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0399F" w14:textId="5B0DEE69" w:rsidR="00F5104E" w:rsidRPr="007F3CAE" w:rsidRDefault="00F5104E" w:rsidP="002A5274">
      <w:pPr>
        <w:tabs>
          <w:tab w:val="left" w:pos="1467"/>
          <w:tab w:val="center" w:pos="4680"/>
        </w:tabs>
        <w:autoSpaceDE w:val="0"/>
        <w:autoSpaceDN w:val="0"/>
        <w:adjustRightInd w:val="0"/>
        <w:spacing w:after="0" w:line="240" w:lineRule="auto"/>
        <w:jc w:val="center"/>
        <w:rPr>
          <w:rFonts w:ascii="Times New Roman" w:hAnsi="Times New Roman"/>
          <w:b/>
          <w:bCs/>
          <w:sz w:val="24"/>
          <w:szCs w:val="24"/>
        </w:rPr>
      </w:pPr>
      <w:bookmarkStart w:id="0" w:name="_GoBack"/>
      <w:bookmarkEnd w:id="0"/>
      <w:r w:rsidRPr="007F3CAE">
        <w:rPr>
          <w:rFonts w:ascii="Times New Roman" w:hAnsi="Times New Roman"/>
          <w:b/>
          <w:bCs/>
          <w:sz w:val="24"/>
          <w:szCs w:val="24"/>
        </w:rPr>
        <w:t>Supporting Statement for a Request for OMB Review under</w:t>
      </w:r>
    </w:p>
    <w:p w14:paraId="45FF7F99" w14:textId="77777777" w:rsidR="00F5104E" w:rsidRPr="007F3CAE" w:rsidRDefault="00F5104E" w:rsidP="007F3CAE">
      <w:pPr>
        <w:autoSpaceDE w:val="0"/>
        <w:autoSpaceDN w:val="0"/>
        <w:adjustRightInd w:val="0"/>
        <w:spacing w:after="0" w:line="240" w:lineRule="auto"/>
        <w:jc w:val="center"/>
        <w:rPr>
          <w:rFonts w:ascii="Times New Roman" w:hAnsi="Times New Roman"/>
          <w:b/>
          <w:bCs/>
          <w:sz w:val="24"/>
          <w:szCs w:val="24"/>
        </w:rPr>
      </w:pPr>
      <w:r w:rsidRPr="007F3CAE">
        <w:rPr>
          <w:rFonts w:ascii="Times New Roman" w:hAnsi="Times New Roman"/>
          <w:b/>
          <w:bCs/>
          <w:sz w:val="24"/>
          <w:szCs w:val="24"/>
        </w:rPr>
        <w:t>The Paperwork Reduction Act</w:t>
      </w:r>
    </w:p>
    <w:p w14:paraId="75CEED91" w14:textId="77777777" w:rsidR="00F5104E" w:rsidRPr="007F3CAE" w:rsidRDefault="00F5104E" w:rsidP="00A4335B">
      <w:pPr>
        <w:pStyle w:val="Heading1"/>
        <w:rPr>
          <w:rFonts w:ascii="Times New Roman" w:hAnsi="Times New Roman"/>
          <w:color w:val="auto"/>
          <w:sz w:val="24"/>
          <w:szCs w:val="24"/>
        </w:rPr>
      </w:pPr>
      <w:r w:rsidRPr="007F3CAE">
        <w:rPr>
          <w:rFonts w:ascii="Times New Roman" w:hAnsi="Times New Roman"/>
          <w:color w:val="auto"/>
          <w:sz w:val="24"/>
          <w:szCs w:val="24"/>
        </w:rPr>
        <w:t>IDENTIFICATION OF THE INFORMATION COLLECTION</w:t>
      </w:r>
    </w:p>
    <w:p w14:paraId="1E7CBD7A" w14:textId="77777777" w:rsidR="00F5104E" w:rsidRPr="007F3CAE" w:rsidRDefault="00282FEF" w:rsidP="00FE226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1(a)</w:t>
      </w:r>
      <w:r>
        <w:rPr>
          <w:rFonts w:ascii="Times New Roman" w:hAnsi="Times New Roman"/>
          <w:color w:val="auto"/>
          <w:sz w:val="24"/>
          <w:szCs w:val="24"/>
        </w:rPr>
        <w:tab/>
      </w:r>
      <w:r w:rsidR="00F5104E" w:rsidRPr="007F3CAE">
        <w:rPr>
          <w:rFonts w:ascii="Times New Roman" w:hAnsi="Times New Roman"/>
          <w:color w:val="auto"/>
          <w:sz w:val="24"/>
          <w:szCs w:val="24"/>
        </w:rPr>
        <w:t>Title and Number of the Information Collection</w:t>
      </w:r>
    </w:p>
    <w:p w14:paraId="327DB714" w14:textId="77777777" w:rsidR="007F3CAE" w:rsidRDefault="007F3CAE" w:rsidP="00F5104E">
      <w:pPr>
        <w:autoSpaceDE w:val="0"/>
        <w:autoSpaceDN w:val="0"/>
        <w:adjustRightInd w:val="0"/>
        <w:spacing w:after="0" w:line="240" w:lineRule="auto"/>
        <w:rPr>
          <w:rFonts w:ascii="Times New Roman" w:hAnsi="Times New Roman"/>
          <w:b/>
          <w:bCs/>
          <w:sz w:val="24"/>
          <w:szCs w:val="24"/>
        </w:rPr>
      </w:pPr>
    </w:p>
    <w:p w14:paraId="1BE5583A" w14:textId="77777777" w:rsidR="00F5104E" w:rsidRPr="007F3CAE" w:rsidRDefault="00F5104E" w:rsidP="00282FEF">
      <w:pPr>
        <w:autoSpaceDE w:val="0"/>
        <w:autoSpaceDN w:val="0"/>
        <w:adjustRightInd w:val="0"/>
        <w:spacing w:after="0" w:line="240" w:lineRule="auto"/>
        <w:ind w:left="720" w:firstLine="720"/>
        <w:rPr>
          <w:rFonts w:ascii="Times New Roman" w:hAnsi="Times New Roman"/>
          <w:b/>
          <w:bCs/>
          <w:sz w:val="24"/>
          <w:szCs w:val="24"/>
        </w:rPr>
      </w:pPr>
      <w:r w:rsidRPr="007F3CAE">
        <w:rPr>
          <w:rFonts w:ascii="Times New Roman" w:hAnsi="Times New Roman"/>
          <w:b/>
          <w:bCs/>
          <w:sz w:val="24"/>
          <w:szCs w:val="24"/>
        </w:rPr>
        <w:t>Title: TSCA Section 8(a) Preliminary Assessment Information Rule</w:t>
      </w:r>
      <w:r w:rsidR="00D340F5" w:rsidRPr="007F3CAE">
        <w:rPr>
          <w:rFonts w:ascii="Times New Roman" w:hAnsi="Times New Roman"/>
          <w:b/>
          <w:bCs/>
          <w:sz w:val="24"/>
          <w:szCs w:val="24"/>
        </w:rPr>
        <w:t xml:space="preserve"> </w:t>
      </w:r>
      <w:r w:rsidRPr="007F3CAE">
        <w:rPr>
          <w:rFonts w:ascii="Times New Roman" w:hAnsi="Times New Roman"/>
          <w:b/>
          <w:bCs/>
          <w:sz w:val="24"/>
          <w:szCs w:val="24"/>
        </w:rPr>
        <w:t>(PAIR)</w:t>
      </w:r>
    </w:p>
    <w:p w14:paraId="48767A5E" w14:textId="77777777" w:rsidR="007F3CAE" w:rsidRPr="008829A6" w:rsidRDefault="007F3CAE" w:rsidP="00F5104E">
      <w:pPr>
        <w:autoSpaceDE w:val="0"/>
        <w:autoSpaceDN w:val="0"/>
        <w:adjustRightInd w:val="0"/>
        <w:spacing w:after="0" w:line="240" w:lineRule="auto"/>
        <w:rPr>
          <w:rFonts w:ascii="Times New Roman" w:hAnsi="Times New Roman"/>
          <w:b/>
          <w:bCs/>
          <w:sz w:val="24"/>
          <w:szCs w:val="24"/>
        </w:rPr>
      </w:pPr>
    </w:p>
    <w:p w14:paraId="04414510" w14:textId="7EF29770" w:rsidR="00F5104E" w:rsidRDefault="00F5104E" w:rsidP="00282FEF">
      <w:pPr>
        <w:autoSpaceDE w:val="0"/>
        <w:autoSpaceDN w:val="0"/>
        <w:adjustRightInd w:val="0"/>
        <w:spacing w:after="0" w:line="240" w:lineRule="auto"/>
        <w:ind w:left="720" w:firstLine="720"/>
        <w:rPr>
          <w:rFonts w:ascii="Times New Roman" w:hAnsi="Times New Roman"/>
          <w:b/>
          <w:bCs/>
          <w:sz w:val="24"/>
          <w:szCs w:val="24"/>
          <w:lang w:val="es-DO"/>
        </w:rPr>
      </w:pPr>
      <w:r w:rsidRPr="007F3CAE">
        <w:rPr>
          <w:rFonts w:ascii="Times New Roman" w:hAnsi="Times New Roman"/>
          <w:b/>
          <w:bCs/>
          <w:sz w:val="24"/>
          <w:szCs w:val="24"/>
          <w:lang w:val="es-DO"/>
        </w:rPr>
        <w:t>EPA ICR No.: 0586.1</w:t>
      </w:r>
      <w:r w:rsidR="00AC2B0D">
        <w:rPr>
          <w:rFonts w:ascii="Times New Roman" w:hAnsi="Times New Roman"/>
          <w:b/>
          <w:bCs/>
          <w:sz w:val="24"/>
          <w:szCs w:val="24"/>
          <w:lang w:val="es-DO"/>
        </w:rPr>
        <w:t>4</w:t>
      </w:r>
      <w:r w:rsidRPr="007F3CAE">
        <w:rPr>
          <w:rFonts w:ascii="Times New Roman" w:hAnsi="Times New Roman"/>
          <w:b/>
          <w:bCs/>
          <w:sz w:val="24"/>
          <w:szCs w:val="24"/>
          <w:lang w:val="es-DO"/>
        </w:rPr>
        <w:t xml:space="preserve"> </w:t>
      </w:r>
      <w:r w:rsidR="00282FEF">
        <w:rPr>
          <w:rFonts w:ascii="Times New Roman" w:hAnsi="Times New Roman"/>
          <w:b/>
          <w:bCs/>
          <w:sz w:val="24"/>
          <w:szCs w:val="24"/>
          <w:lang w:val="es-DO"/>
        </w:rPr>
        <w:tab/>
      </w:r>
      <w:r w:rsidRPr="007F3CAE">
        <w:rPr>
          <w:rFonts w:ascii="Times New Roman" w:hAnsi="Times New Roman"/>
          <w:b/>
          <w:bCs/>
          <w:sz w:val="24"/>
          <w:szCs w:val="24"/>
          <w:lang w:val="es-DO"/>
        </w:rPr>
        <w:t>OMB Control No.: 2070-0054</w:t>
      </w:r>
    </w:p>
    <w:p w14:paraId="3BA89C8C" w14:textId="4E8A8040" w:rsidR="00FC4076" w:rsidRPr="002A5274" w:rsidRDefault="00FC4076" w:rsidP="002A5274">
      <w:pPr>
        <w:autoSpaceDE w:val="0"/>
        <w:autoSpaceDN w:val="0"/>
        <w:adjustRightInd w:val="0"/>
        <w:spacing w:after="0" w:line="240" w:lineRule="auto"/>
        <w:rPr>
          <w:rFonts w:ascii="Times New Roman" w:hAnsi="Times New Roman"/>
          <w:b/>
          <w:bCs/>
          <w:sz w:val="24"/>
          <w:szCs w:val="24"/>
          <w:lang w:val="es-DO"/>
        </w:rPr>
      </w:pPr>
    </w:p>
    <w:p w14:paraId="3266E57A" w14:textId="446365C5" w:rsidR="00FC4076" w:rsidRPr="002A5274" w:rsidRDefault="00FC4076" w:rsidP="00282FEF">
      <w:pPr>
        <w:autoSpaceDE w:val="0"/>
        <w:autoSpaceDN w:val="0"/>
        <w:adjustRightInd w:val="0"/>
        <w:spacing w:after="0" w:line="240" w:lineRule="auto"/>
        <w:ind w:left="720" w:firstLine="720"/>
        <w:rPr>
          <w:rFonts w:ascii="Times New Roman" w:hAnsi="Times New Roman"/>
          <w:b/>
          <w:bCs/>
          <w:sz w:val="24"/>
          <w:szCs w:val="24"/>
          <w:lang w:val="es-DO"/>
        </w:rPr>
      </w:pPr>
      <w:r w:rsidRPr="002A5274">
        <w:rPr>
          <w:rFonts w:ascii="Times New Roman" w:hAnsi="Times New Roman"/>
          <w:b/>
          <w:bCs/>
          <w:sz w:val="24"/>
          <w:szCs w:val="24"/>
          <w:lang w:val="es-DO"/>
        </w:rPr>
        <w:t xml:space="preserve">Docket ID No.: </w:t>
      </w:r>
      <w:r w:rsidR="002A5274" w:rsidRPr="002A5274">
        <w:rPr>
          <w:rFonts w:ascii="Times New Roman" w:hAnsi="Times New Roman"/>
          <w:b/>
          <w:sz w:val="24"/>
          <w:szCs w:val="24"/>
        </w:rPr>
        <w:t>EPA-HQ-OPPT-2018-0516</w:t>
      </w:r>
    </w:p>
    <w:p w14:paraId="57033347" w14:textId="77777777" w:rsidR="00F5104E" w:rsidRPr="007F3CAE" w:rsidRDefault="00282FE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1(b)</w:t>
      </w:r>
      <w:r>
        <w:rPr>
          <w:rFonts w:ascii="Times New Roman" w:hAnsi="Times New Roman"/>
          <w:color w:val="auto"/>
          <w:sz w:val="24"/>
          <w:szCs w:val="24"/>
        </w:rPr>
        <w:tab/>
      </w:r>
      <w:r w:rsidR="00F5104E" w:rsidRPr="007F3CAE">
        <w:rPr>
          <w:rFonts w:ascii="Times New Roman" w:hAnsi="Times New Roman"/>
          <w:color w:val="auto"/>
          <w:sz w:val="24"/>
          <w:szCs w:val="24"/>
        </w:rPr>
        <w:t>Short Characterization</w:t>
      </w:r>
    </w:p>
    <w:p w14:paraId="30D31B09" w14:textId="77777777" w:rsidR="00282FEF" w:rsidRDefault="00282FEF" w:rsidP="00F5104E">
      <w:pPr>
        <w:autoSpaceDE w:val="0"/>
        <w:autoSpaceDN w:val="0"/>
        <w:adjustRightInd w:val="0"/>
        <w:spacing w:after="0" w:line="240" w:lineRule="auto"/>
        <w:rPr>
          <w:rFonts w:ascii="Times New Roman" w:hAnsi="Times New Roman"/>
          <w:sz w:val="24"/>
          <w:szCs w:val="24"/>
        </w:rPr>
      </w:pPr>
    </w:p>
    <w:p w14:paraId="0EDA24A9" w14:textId="1E09277F" w:rsidR="005A40B0" w:rsidRDefault="00C86B2A" w:rsidP="005A40B0">
      <w:pPr>
        <w:autoSpaceDE w:val="0"/>
        <w:autoSpaceDN w:val="0"/>
        <w:adjustRightInd w:val="0"/>
        <w:spacing w:after="0" w:line="240" w:lineRule="auto"/>
        <w:ind w:firstLine="720"/>
        <w:rPr>
          <w:rFonts w:ascii="Times New Roman" w:hAnsi="Times New Roman"/>
          <w:sz w:val="24"/>
          <w:szCs w:val="24"/>
        </w:rPr>
      </w:pPr>
      <w:r w:rsidRPr="005A2AF7">
        <w:rPr>
          <w:rFonts w:ascii="Times New Roman" w:hAnsi="Times New Roman"/>
          <w:sz w:val="24"/>
          <w:szCs w:val="24"/>
        </w:rPr>
        <w:t>EPA promulgated the generic section 8(a) Preliminary Assessment Information Rule (PAIR) (40 CFR part 712) under the Toxic Substances Control Act</w:t>
      </w:r>
      <w:r w:rsidR="00FC4076">
        <w:rPr>
          <w:rFonts w:ascii="Times New Roman" w:hAnsi="Times New Roman"/>
          <w:sz w:val="24"/>
          <w:szCs w:val="24"/>
        </w:rPr>
        <w:t xml:space="preserve"> (TSCA)</w:t>
      </w:r>
      <w:r w:rsidRPr="005A2AF7">
        <w:rPr>
          <w:rFonts w:ascii="Times New Roman" w:hAnsi="Times New Roman"/>
          <w:sz w:val="24"/>
          <w:szCs w:val="24"/>
        </w:rPr>
        <w:t>. EPA uses PAIR to collect information to</w:t>
      </w:r>
      <w:r>
        <w:rPr>
          <w:rFonts w:ascii="Times New Roman" w:hAnsi="Times New Roman"/>
          <w:sz w:val="24"/>
          <w:szCs w:val="24"/>
        </w:rPr>
        <w:t xml:space="preserve"> help</w:t>
      </w:r>
      <w:r w:rsidRPr="005A2AF7">
        <w:rPr>
          <w:rFonts w:ascii="Times New Roman" w:hAnsi="Times New Roman"/>
          <w:sz w:val="24"/>
          <w:szCs w:val="24"/>
        </w:rPr>
        <w:t xml:space="preserve"> identify, assess, and manage human health and environmental risks from chemical substances, mixtures and categories. PAIR requires chemical manufacturers and importers to complete </w:t>
      </w:r>
      <w:r>
        <w:rPr>
          <w:rFonts w:ascii="Times New Roman" w:hAnsi="Times New Roman"/>
          <w:sz w:val="24"/>
          <w:szCs w:val="24"/>
        </w:rPr>
        <w:t xml:space="preserve">and submit standardized information about </w:t>
      </w:r>
      <w:r w:rsidRPr="005A2AF7">
        <w:rPr>
          <w:rFonts w:ascii="Times New Roman" w:hAnsi="Times New Roman"/>
          <w:sz w:val="24"/>
          <w:szCs w:val="24"/>
        </w:rPr>
        <w:t xml:space="preserve">production, use, or exposure-related data to help evaluate the potential for human health and environmental </w:t>
      </w:r>
      <w:r>
        <w:rPr>
          <w:rFonts w:ascii="Times New Roman" w:hAnsi="Times New Roman"/>
          <w:sz w:val="24"/>
          <w:szCs w:val="24"/>
        </w:rPr>
        <w:t>risks</w:t>
      </w:r>
      <w:r w:rsidRPr="005A2AF7">
        <w:rPr>
          <w:rFonts w:ascii="Times New Roman" w:hAnsi="Times New Roman"/>
          <w:sz w:val="24"/>
          <w:szCs w:val="24"/>
        </w:rPr>
        <w:t xml:space="preserve"> caused by the manufacture or importation of identified chemical substances, mixtures or categories.</w:t>
      </w:r>
      <w:r w:rsidRPr="005A2AF7">
        <w:rPr>
          <w:rFonts w:ascii="Times New Roman" w:hAnsi="Times New Roman"/>
          <w:color w:val="000000"/>
          <w:sz w:val="24"/>
          <w:szCs w:val="24"/>
        </w:rPr>
        <w:t xml:space="preserve"> </w:t>
      </w:r>
    </w:p>
    <w:p w14:paraId="3ACF65DE" w14:textId="77777777" w:rsidR="00C86B2A" w:rsidRPr="005A40B0" w:rsidRDefault="00C86B2A" w:rsidP="005A40B0">
      <w:pPr>
        <w:autoSpaceDE w:val="0"/>
        <w:autoSpaceDN w:val="0"/>
        <w:adjustRightInd w:val="0"/>
        <w:spacing w:after="0" w:line="240" w:lineRule="auto"/>
        <w:ind w:firstLine="720"/>
        <w:rPr>
          <w:rFonts w:ascii="Times New Roman" w:hAnsi="Times New Roman"/>
          <w:sz w:val="24"/>
          <w:szCs w:val="24"/>
        </w:rPr>
      </w:pPr>
    </w:p>
    <w:p w14:paraId="610A7760" w14:textId="6EF57387" w:rsidR="00F5104E" w:rsidRPr="005A40B0" w:rsidRDefault="00626400"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EPA or other federal agencies (e.g., the agencies that are part of the Interagency Testing Committee (ITC)</w:t>
      </w:r>
      <w:r w:rsidR="001D1F4C" w:rsidRPr="005A40B0">
        <w:rPr>
          <w:rFonts w:ascii="Times New Roman" w:hAnsi="Times New Roman"/>
          <w:sz w:val="24"/>
          <w:szCs w:val="24"/>
        </w:rPr>
        <w:t xml:space="preserve"> as authorized under TSCA section 4(e)</w:t>
      </w:r>
      <w:r w:rsidRPr="005A40B0">
        <w:rPr>
          <w:rFonts w:ascii="Times New Roman" w:hAnsi="Times New Roman"/>
          <w:sz w:val="24"/>
          <w:szCs w:val="24"/>
        </w:rPr>
        <w:t xml:space="preserve">) can identify chemicals for a TSCA section 8(a) PAIR </w:t>
      </w:r>
      <w:r w:rsidR="00C86B2A">
        <w:rPr>
          <w:rFonts w:ascii="Times New Roman" w:hAnsi="Times New Roman"/>
          <w:sz w:val="24"/>
          <w:szCs w:val="24"/>
        </w:rPr>
        <w:t xml:space="preserve">expediated </w:t>
      </w:r>
      <w:r w:rsidRPr="005A40B0">
        <w:rPr>
          <w:rFonts w:ascii="Times New Roman" w:hAnsi="Times New Roman"/>
          <w:sz w:val="24"/>
          <w:szCs w:val="24"/>
        </w:rPr>
        <w:t>rulemaking that have</w:t>
      </w:r>
      <w:r w:rsidR="0006487A" w:rsidRPr="005A40B0">
        <w:rPr>
          <w:rFonts w:ascii="Times New Roman" w:hAnsi="Times New Roman"/>
          <w:sz w:val="24"/>
          <w:szCs w:val="24"/>
        </w:rPr>
        <w:t xml:space="preserve"> a justifiable </w:t>
      </w:r>
      <w:r w:rsidRPr="005A40B0">
        <w:rPr>
          <w:rFonts w:ascii="Times New Roman" w:hAnsi="Times New Roman"/>
          <w:sz w:val="24"/>
          <w:szCs w:val="24"/>
        </w:rPr>
        <w:t xml:space="preserve">need for production, use, or exposure-related data. </w:t>
      </w:r>
      <w:r w:rsidR="00F018F8">
        <w:rPr>
          <w:rFonts w:ascii="Times New Roman" w:hAnsi="Times New Roman"/>
          <w:sz w:val="24"/>
          <w:szCs w:val="24"/>
        </w:rPr>
        <w:t>PAIR is also available to the EPA for the purpose of informing the prioritization and risk evaluation activities required</w:t>
      </w:r>
      <w:r w:rsidR="00F018F8" w:rsidRPr="005A2AF7">
        <w:rPr>
          <w:rFonts w:ascii="Times New Roman" w:hAnsi="Times New Roman"/>
          <w:sz w:val="24"/>
          <w:szCs w:val="24"/>
        </w:rPr>
        <w:t xml:space="preserve"> </w:t>
      </w:r>
      <w:r w:rsidR="00F018F8">
        <w:rPr>
          <w:rFonts w:ascii="Times New Roman" w:hAnsi="Times New Roman"/>
          <w:sz w:val="24"/>
          <w:szCs w:val="24"/>
        </w:rPr>
        <w:t xml:space="preserve">under the </w:t>
      </w:r>
      <w:r w:rsidR="00FC4076">
        <w:rPr>
          <w:rFonts w:ascii="Times New Roman" w:hAnsi="Times New Roman"/>
          <w:sz w:val="24"/>
          <w:szCs w:val="24"/>
        </w:rPr>
        <w:t xml:space="preserve">2016 amendments to TSCA enacted when the </w:t>
      </w:r>
      <w:r w:rsidR="00F018F8" w:rsidRPr="001E1176">
        <w:rPr>
          <w:rFonts w:ascii="Times New Roman" w:hAnsi="Times New Roman"/>
          <w:sz w:val="24"/>
          <w:szCs w:val="24"/>
        </w:rPr>
        <w:t xml:space="preserve">Frank R. Lautenberg Chemical Safety for the 21st Century Act </w:t>
      </w:r>
      <w:r w:rsidR="00F018F8">
        <w:rPr>
          <w:rFonts w:ascii="Times New Roman" w:hAnsi="Times New Roman"/>
          <w:sz w:val="24"/>
          <w:szCs w:val="24"/>
        </w:rPr>
        <w:t xml:space="preserve">(LCSA) </w:t>
      </w:r>
      <w:r w:rsidR="00F018F8" w:rsidRPr="001E1176">
        <w:rPr>
          <w:rFonts w:ascii="Times New Roman" w:hAnsi="Times New Roman"/>
          <w:sz w:val="24"/>
          <w:szCs w:val="24"/>
        </w:rPr>
        <w:t>was s</w:t>
      </w:r>
      <w:r w:rsidR="00F018F8">
        <w:rPr>
          <w:rFonts w:ascii="Times New Roman" w:hAnsi="Times New Roman"/>
          <w:sz w:val="24"/>
          <w:szCs w:val="24"/>
        </w:rPr>
        <w:t>igned into law on June 22, 2016.</w:t>
      </w:r>
    </w:p>
    <w:p w14:paraId="69928F64"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3693D049" w14:textId="47924B4E" w:rsidR="00A76773"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This information collection activity also covers certain specific chemical testing</w:t>
      </w:r>
      <w:r w:rsidR="00A76773" w:rsidRPr="005A40B0">
        <w:rPr>
          <w:rFonts w:ascii="Times New Roman" w:hAnsi="Times New Roman"/>
          <w:sz w:val="24"/>
          <w:szCs w:val="24"/>
        </w:rPr>
        <w:t xml:space="preserve"> </w:t>
      </w:r>
      <w:r w:rsidRPr="005A40B0">
        <w:rPr>
          <w:rFonts w:ascii="Times New Roman" w:hAnsi="Times New Roman"/>
          <w:sz w:val="24"/>
          <w:szCs w:val="24"/>
        </w:rPr>
        <w:t>and reporting requirements und</w:t>
      </w:r>
      <w:r w:rsidR="00B50480" w:rsidRPr="005A40B0">
        <w:rPr>
          <w:rFonts w:ascii="Times New Roman" w:hAnsi="Times New Roman"/>
          <w:sz w:val="24"/>
          <w:szCs w:val="24"/>
        </w:rPr>
        <w:t>er Subpart B of 40 CFR part 766</w:t>
      </w:r>
      <w:r w:rsidRPr="005A40B0">
        <w:rPr>
          <w:rFonts w:ascii="Times New Roman" w:hAnsi="Times New Roman"/>
          <w:sz w:val="24"/>
          <w:szCs w:val="24"/>
        </w:rPr>
        <w:t xml:space="preserve"> </w:t>
      </w:r>
      <w:r w:rsidR="00EC644B" w:rsidRPr="005A40B0">
        <w:rPr>
          <w:rFonts w:ascii="Times New Roman" w:hAnsi="Times New Roman"/>
          <w:sz w:val="24"/>
          <w:szCs w:val="24"/>
        </w:rPr>
        <w:t xml:space="preserve">(see Attachment </w:t>
      </w:r>
      <w:r w:rsidR="00684816" w:rsidRPr="005A40B0">
        <w:rPr>
          <w:rFonts w:ascii="Times New Roman" w:hAnsi="Times New Roman"/>
          <w:sz w:val="24"/>
          <w:szCs w:val="24"/>
        </w:rPr>
        <w:t>C</w:t>
      </w:r>
      <w:r w:rsidR="00EC644B" w:rsidRPr="005A40B0">
        <w:rPr>
          <w:rFonts w:ascii="Times New Roman" w:hAnsi="Times New Roman"/>
          <w:sz w:val="24"/>
          <w:szCs w:val="24"/>
        </w:rPr>
        <w:t xml:space="preserve">) </w:t>
      </w:r>
      <w:r w:rsidRPr="005A40B0">
        <w:rPr>
          <w:rFonts w:ascii="Times New Roman" w:hAnsi="Times New Roman"/>
          <w:sz w:val="24"/>
          <w:szCs w:val="24"/>
        </w:rPr>
        <w:t>that</w:t>
      </w:r>
      <w:r w:rsidR="00A76773" w:rsidRPr="005A40B0">
        <w:rPr>
          <w:rFonts w:ascii="Times New Roman" w:hAnsi="Times New Roman"/>
          <w:sz w:val="24"/>
          <w:szCs w:val="24"/>
        </w:rPr>
        <w:t xml:space="preserve"> </w:t>
      </w:r>
      <w:r w:rsidRPr="005A40B0">
        <w:rPr>
          <w:rFonts w:ascii="Times New Roman" w:hAnsi="Times New Roman"/>
          <w:sz w:val="24"/>
          <w:szCs w:val="24"/>
        </w:rPr>
        <w:t>are very similar to the PAIR requirements. The Agency rarely receives submissions of</w:t>
      </w:r>
      <w:r w:rsidR="00A76773" w:rsidRPr="005A40B0">
        <w:rPr>
          <w:rFonts w:ascii="Times New Roman" w:hAnsi="Times New Roman"/>
          <w:sz w:val="24"/>
          <w:szCs w:val="24"/>
        </w:rPr>
        <w:t xml:space="preserve"> </w:t>
      </w:r>
      <w:r w:rsidRPr="005A40B0">
        <w:rPr>
          <w:rFonts w:ascii="Times New Roman" w:hAnsi="Times New Roman"/>
          <w:sz w:val="24"/>
          <w:szCs w:val="24"/>
        </w:rPr>
        <w:t xml:space="preserve">the information </w:t>
      </w:r>
      <w:r w:rsidR="00C57C8F" w:rsidRPr="005A40B0">
        <w:rPr>
          <w:rFonts w:ascii="Times New Roman" w:hAnsi="Times New Roman"/>
          <w:sz w:val="24"/>
          <w:szCs w:val="24"/>
        </w:rPr>
        <w:t>r</w:t>
      </w:r>
      <w:r w:rsidRPr="005A40B0">
        <w:rPr>
          <w:rFonts w:ascii="Times New Roman" w:hAnsi="Times New Roman"/>
          <w:sz w:val="24"/>
          <w:szCs w:val="24"/>
        </w:rPr>
        <w:t xml:space="preserve">equired by 40 CFR 766. EPA received </w:t>
      </w:r>
      <w:r w:rsidR="001D1F4C" w:rsidRPr="005A40B0">
        <w:rPr>
          <w:rFonts w:ascii="Times New Roman" w:hAnsi="Times New Roman"/>
          <w:sz w:val="24"/>
          <w:szCs w:val="24"/>
        </w:rPr>
        <w:t>less</w:t>
      </w:r>
      <w:r w:rsidRPr="005A40B0">
        <w:rPr>
          <w:rFonts w:ascii="Times New Roman" w:hAnsi="Times New Roman"/>
          <w:sz w:val="24"/>
          <w:szCs w:val="24"/>
        </w:rPr>
        <w:t xml:space="preserve"> than </w:t>
      </w:r>
      <w:r w:rsidR="00B50480" w:rsidRPr="005A40B0">
        <w:rPr>
          <w:rFonts w:ascii="Times New Roman" w:hAnsi="Times New Roman"/>
          <w:sz w:val="24"/>
          <w:szCs w:val="24"/>
        </w:rPr>
        <w:t>five</w:t>
      </w:r>
      <w:r w:rsidRPr="005A40B0">
        <w:rPr>
          <w:rFonts w:ascii="Times New Roman" w:hAnsi="Times New Roman"/>
          <w:sz w:val="24"/>
          <w:szCs w:val="24"/>
        </w:rPr>
        <w:t xml:space="preserve"> submissions over</w:t>
      </w:r>
      <w:r w:rsidR="00A76773" w:rsidRPr="005A40B0">
        <w:rPr>
          <w:rFonts w:ascii="Times New Roman" w:hAnsi="Times New Roman"/>
          <w:sz w:val="24"/>
          <w:szCs w:val="24"/>
        </w:rPr>
        <w:t xml:space="preserve"> </w:t>
      </w:r>
      <w:r w:rsidRPr="005A40B0">
        <w:rPr>
          <w:rFonts w:ascii="Times New Roman" w:hAnsi="Times New Roman"/>
          <w:sz w:val="24"/>
          <w:szCs w:val="24"/>
        </w:rPr>
        <w:t>the course of the last OMB approval for this aspect of the information</w:t>
      </w:r>
      <w:r w:rsidR="00A76773" w:rsidRPr="005A40B0">
        <w:rPr>
          <w:rFonts w:ascii="Times New Roman" w:hAnsi="Times New Roman"/>
          <w:sz w:val="24"/>
          <w:szCs w:val="24"/>
        </w:rPr>
        <w:t xml:space="preserve"> </w:t>
      </w:r>
      <w:r w:rsidRPr="005A40B0">
        <w:rPr>
          <w:rFonts w:ascii="Times New Roman" w:hAnsi="Times New Roman"/>
          <w:sz w:val="24"/>
          <w:szCs w:val="24"/>
        </w:rPr>
        <w:t>collection. However, collection of this information is covered under the PAIR ICR</w:t>
      </w:r>
      <w:r w:rsidR="00A76773" w:rsidRPr="005A40B0">
        <w:rPr>
          <w:rFonts w:ascii="Times New Roman" w:hAnsi="Times New Roman"/>
          <w:sz w:val="24"/>
          <w:szCs w:val="24"/>
        </w:rPr>
        <w:t xml:space="preserve"> </w:t>
      </w:r>
      <w:r w:rsidRPr="005A40B0">
        <w:rPr>
          <w:rFonts w:ascii="Times New Roman" w:hAnsi="Times New Roman"/>
          <w:sz w:val="24"/>
          <w:szCs w:val="24"/>
        </w:rPr>
        <w:t>because the requirements are similar and because the Paperwork Reduction Act requires</w:t>
      </w:r>
      <w:r w:rsidR="00A76773" w:rsidRPr="005A40B0">
        <w:rPr>
          <w:rFonts w:ascii="Times New Roman" w:hAnsi="Times New Roman"/>
          <w:sz w:val="24"/>
          <w:szCs w:val="24"/>
        </w:rPr>
        <w:t xml:space="preserve"> </w:t>
      </w:r>
      <w:r w:rsidRPr="005A40B0">
        <w:rPr>
          <w:rFonts w:ascii="Times New Roman" w:hAnsi="Times New Roman"/>
          <w:sz w:val="24"/>
          <w:szCs w:val="24"/>
        </w:rPr>
        <w:t>that recordkeeping and reporting activities contained in any regulation be approved by</w:t>
      </w:r>
      <w:r w:rsidR="00A76773" w:rsidRPr="005A40B0">
        <w:rPr>
          <w:rFonts w:ascii="Times New Roman" w:hAnsi="Times New Roman"/>
          <w:sz w:val="24"/>
          <w:szCs w:val="24"/>
        </w:rPr>
        <w:t xml:space="preserve"> </w:t>
      </w:r>
      <w:r w:rsidRPr="005A40B0">
        <w:rPr>
          <w:rFonts w:ascii="Times New Roman" w:hAnsi="Times New Roman"/>
          <w:sz w:val="24"/>
          <w:szCs w:val="24"/>
        </w:rPr>
        <w:t xml:space="preserve">OMB even if they involve less than </w:t>
      </w:r>
      <w:r w:rsidR="00B50480" w:rsidRPr="005A40B0">
        <w:rPr>
          <w:rFonts w:ascii="Times New Roman" w:hAnsi="Times New Roman"/>
          <w:sz w:val="24"/>
          <w:szCs w:val="24"/>
        </w:rPr>
        <w:t>ten</w:t>
      </w:r>
      <w:r w:rsidRPr="005A40B0">
        <w:rPr>
          <w:rFonts w:ascii="Times New Roman" w:hAnsi="Times New Roman"/>
          <w:sz w:val="24"/>
          <w:szCs w:val="24"/>
        </w:rPr>
        <w:t xml:space="preserve"> respondents or would otherwise not require</w:t>
      </w:r>
      <w:r w:rsidR="00282FEF" w:rsidRPr="005A40B0">
        <w:rPr>
          <w:rFonts w:ascii="Times New Roman" w:hAnsi="Times New Roman"/>
          <w:sz w:val="24"/>
          <w:szCs w:val="24"/>
        </w:rPr>
        <w:t xml:space="preserve"> </w:t>
      </w:r>
      <w:r w:rsidRPr="005A40B0">
        <w:rPr>
          <w:rFonts w:ascii="Times New Roman" w:hAnsi="Times New Roman"/>
          <w:sz w:val="24"/>
          <w:szCs w:val="24"/>
        </w:rPr>
        <w:t>approval (see 5 CFR 1320.3(c)(4)(i)).</w:t>
      </w:r>
    </w:p>
    <w:p w14:paraId="5FAA5C01"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25988A40" w14:textId="2BFC72C6" w:rsidR="00982135" w:rsidRDefault="00982135" w:rsidP="005A40B0">
      <w:pPr>
        <w:autoSpaceDE w:val="0"/>
        <w:autoSpaceDN w:val="0"/>
        <w:spacing w:after="0" w:line="240" w:lineRule="auto"/>
        <w:ind w:firstLine="720"/>
        <w:rPr>
          <w:rFonts w:ascii="Times New Roman" w:hAnsi="Times New Roman"/>
          <w:iCs/>
          <w:sz w:val="24"/>
          <w:szCs w:val="24"/>
        </w:rPr>
      </w:pPr>
      <w:r w:rsidRPr="005A40B0">
        <w:rPr>
          <w:rFonts w:ascii="Times New Roman" w:hAnsi="Times New Roman"/>
          <w:iCs/>
          <w:sz w:val="24"/>
          <w:szCs w:val="24"/>
        </w:rPr>
        <w:t xml:space="preserve">The dibenzo-para-dioxin/dibenzofuran regulations at 40 CFR part 766 require that any person who manufactures, imports, or processes a chemical substance listed at 40 CFR 766.25 test that chemical substance and submit appropriate information to EPA according to the schedules described at 40 CFR 766.35. Persons who commence manufacture, import, or processing of a chemical substance listed at 40 CFR 766.25 must submit a letter of intent to test </w:t>
      </w:r>
      <w:r w:rsidRPr="005A40B0">
        <w:rPr>
          <w:rFonts w:ascii="Times New Roman" w:hAnsi="Times New Roman"/>
          <w:iCs/>
          <w:sz w:val="24"/>
          <w:szCs w:val="24"/>
        </w:rPr>
        <w:lastRenderedPageBreak/>
        <w:t>or an exemption application within 60-days of starting any of those activities. Each person who is manufacturing or processing a chemical listed in 40 CFR 766.25, must submit a protocol for testing according to the schedule at 40 CFR 766.35(a)(2). Persons who manufacture or import a chemical substance listed under 40 CFR 766.25 must report positive test results, using the Dioxin/Furan Report Form (EPA Form 7710-51; see Attachment D), of all existing test data that show that chemical substance has been tested for the presence of halogenated dibenzodioxins/halogenated dibenzofurans (HDDs/HDFs), as well as an</w:t>
      </w:r>
      <w:r w:rsidR="000E4472" w:rsidRPr="005A40B0">
        <w:rPr>
          <w:rFonts w:ascii="Times New Roman" w:hAnsi="Times New Roman"/>
          <w:iCs/>
          <w:sz w:val="24"/>
          <w:szCs w:val="24"/>
        </w:rPr>
        <w:t>y</w:t>
      </w:r>
      <w:r w:rsidRPr="005A40B0">
        <w:rPr>
          <w:rFonts w:ascii="Times New Roman" w:hAnsi="Times New Roman"/>
          <w:iCs/>
          <w:sz w:val="24"/>
          <w:szCs w:val="24"/>
        </w:rPr>
        <w:t xml:space="preserve"> health and safety studies for the chemical substance, as defined in the regulation, no later than 90 days after the date of submission of the positive test result. Additionally, any manufacturer or importer of a chemical substance listed in 40 CFR 766.25 in possession of unpublished health and safety studies on HDDs/HDFs is required to submit copies of such studies to EPA, in accordance with various provisions of 40 CFR 716, no later than 90 days after the person first manufactures or imports the chemical substance.</w:t>
      </w:r>
    </w:p>
    <w:p w14:paraId="0ECBCEE1" w14:textId="77777777" w:rsidR="005A40B0" w:rsidRPr="005A40B0" w:rsidRDefault="005A40B0" w:rsidP="005A40B0">
      <w:pPr>
        <w:autoSpaceDE w:val="0"/>
        <w:autoSpaceDN w:val="0"/>
        <w:spacing w:after="0" w:line="240" w:lineRule="auto"/>
        <w:ind w:firstLine="720"/>
        <w:rPr>
          <w:rFonts w:ascii="Times New Roman" w:hAnsi="Times New Roman"/>
          <w:iCs/>
          <w:sz w:val="24"/>
          <w:szCs w:val="24"/>
        </w:rPr>
      </w:pPr>
    </w:p>
    <w:p w14:paraId="5D7BC3DB" w14:textId="7BE8CAD9" w:rsidR="00F5104E" w:rsidRDefault="00F5104E" w:rsidP="00584DC7">
      <w:pPr>
        <w:pStyle w:val="Heading1"/>
        <w:spacing w:before="0" w:line="240" w:lineRule="auto"/>
        <w:rPr>
          <w:rFonts w:ascii="Times New Roman" w:hAnsi="Times New Roman"/>
          <w:color w:val="auto"/>
          <w:sz w:val="24"/>
          <w:szCs w:val="24"/>
        </w:rPr>
      </w:pPr>
      <w:r w:rsidRPr="005A40B0">
        <w:rPr>
          <w:rFonts w:ascii="Times New Roman" w:hAnsi="Times New Roman"/>
          <w:color w:val="auto"/>
          <w:sz w:val="24"/>
          <w:szCs w:val="24"/>
        </w:rPr>
        <w:t>NEED FOR AND USE OF THE COLLECTION</w:t>
      </w:r>
    </w:p>
    <w:p w14:paraId="2CBADE0B" w14:textId="77777777" w:rsidR="00584DC7" w:rsidRPr="00584DC7" w:rsidRDefault="00584DC7" w:rsidP="00584DC7">
      <w:pPr>
        <w:spacing w:after="0" w:line="240" w:lineRule="auto"/>
      </w:pPr>
    </w:p>
    <w:p w14:paraId="701599EC" w14:textId="77777777" w:rsidR="00F5104E" w:rsidRPr="005A40B0" w:rsidRDefault="00282FEF" w:rsidP="00584DC7">
      <w:pPr>
        <w:pStyle w:val="Heading2"/>
        <w:numPr>
          <w:ilvl w:val="0"/>
          <w:numId w:val="0"/>
        </w:numPr>
        <w:spacing w:before="0" w:line="240" w:lineRule="auto"/>
        <w:ind w:left="576"/>
        <w:rPr>
          <w:rFonts w:ascii="Times New Roman" w:hAnsi="Times New Roman"/>
          <w:color w:val="auto"/>
          <w:sz w:val="24"/>
          <w:szCs w:val="24"/>
        </w:rPr>
      </w:pPr>
      <w:r w:rsidRPr="005A40B0">
        <w:rPr>
          <w:rFonts w:ascii="Times New Roman" w:hAnsi="Times New Roman"/>
          <w:color w:val="auto"/>
          <w:sz w:val="24"/>
          <w:szCs w:val="24"/>
        </w:rPr>
        <w:t>2(a)</w:t>
      </w:r>
      <w:r w:rsidRPr="005A40B0">
        <w:rPr>
          <w:rFonts w:ascii="Times New Roman" w:hAnsi="Times New Roman"/>
          <w:color w:val="auto"/>
          <w:sz w:val="24"/>
          <w:szCs w:val="24"/>
        </w:rPr>
        <w:tab/>
      </w:r>
      <w:r w:rsidR="00F5104E" w:rsidRPr="005A40B0">
        <w:rPr>
          <w:rFonts w:ascii="Times New Roman" w:hAnsi="Times New Roman"/>
          <w:color w:val="auto"/>
          <w:sz w:val="24"/>
          <w:szCs w:val="24"/>
        </w:rPr>
        <w:t>Need/Authority for the Collection</w:t>
      </w:r>
    </w:p>
    <w:p w14:paraId="07BEEC1F" w14:textId="77777777" w:rsidR="00282FEF" w:rsidRPr="005A40B0" w:rsidRDefault="00282FEF" w:rsidP="00584DC7">
      <w:pPr>
        <w:autoSpaceDE w:val="0"/>
        <w:autoSpaceDN w:val="0"/>
        <w:adjustRightInd w:val="0"/>
        <w:spacing w:after="0" w:line="240" w:lineRule="auto"/>
        <w:rPr>
          <w:rFonts w:ascii="Times New Roman" w:hAnsi="Times New Roman"/>
          <w:sz w:val="24"/>
          <w:szCs w:val="24"/>
        </w:rPr>
      </w:pPr>
    </w:p>
    <w:p w14:paraId="42751EA1" w14:textId="460A23D0" w:rsidR="00F5104E" w:rsidRPr="005A40B0" w:rsidRDefault="00F5104E" w:rsidP="005A40B0">
      <w:pPr>
        <w:autoSpaceDE w:val="0"/>
        <w:autoSpaceDN w:val="0"/>
        <w:adjustRightInd w:val="0"/>
        <w:spacing w:after="0" w:line="240" w:lineRule="auto"/>
        <w:ind w:firstLine="576"/>
        <w:rPr>
          <w:rFonts w:ascii="Times New Roman" w:hAnsi="Times New Roman"/>
          <w:sz w:val="24"/>
          <w:szCs w:val="24"/>
        </w:rPr>
      </w:pPr>
      <w:r w:rsidRPr="005A40B0">
        <w:rPr>
          <w:rFonts w:ascii="Times New Roman" w:hAnsi="Times New Roman"/>
          <w:sz w:val="24"/>
          <w:szCs w:val="24"/>
        </w:rPr>
        <w:t xml:space="preserve">Under TSCA, which covers the production, distribution, </w:t>
      </w:r>
      <w:r w:rsidR="007E761D">
        <w:rPr>
          <w:rFonts w:ascii="Times New Roman" w:hAnsi="Times New Roman"/>
          <w:sz w:val="24"/>
          <w:szCs w:val="24"/>
        </w:rPr>
        <w:t xml:space="preserve">use, </w:t>
      </w:r>
      <w:r w:rsidRPr="005A40B0">
        <w:rPr>
          <w:rFonts w:ascii="Times New Roman" w:hAnsi="Times New Roman"/>
          <w:sz w:val="24"/>
          <w:szCs w:val="24"/>
        </w:rPr>
        <w:t>and disposal of</w:t>
      </w:r>
      <w:r w:rsidR="00A76773" w:rsidRPr="005A40B0">
        <w:rPr>
          <w:rFonts w:ascii="Times New Roman" w:hAnsi="Times New Roman"/>
          <w:sz w:val="24"/>
          <w:szCs w:val="24"/>
        </w:rPr>
        <w:t xml:space="preserve"> </w:t>
      </w:r>
      <w:r w:rsidR="00F33344">
        <w:rPr>
          <w:rFonts w:ascii="Times New Roman" w:hAnsi="Times New Roman"/>
          <w:sz w:val="24"/>
          <w:szCs w:val="24"/>
        </w:rPr>
        <w:t>chemical substances</w:t>
      </w:r>
      <w:r w:rsidRPr="005A40B0">
        <w:rPr>
          <w:rFonts w:ascii="Times New Roman" w:hAnsi="Times New Roman"/>
          <w:sz w:val="24"/>
          <w:szCs w:val="24"/>
        </w:rPr>
        <w:t>, EPA’s Office of Pollution</w:t>
      </w:r>
      <w:r w:rsidR="00A76773" w:rsidRPr="005A40B0">
        <w:rPr>
          <w:rFonts w:ascii="Times New Roman" w:hAnsi="Times New Roman"/>
          <w:sz w:val="24"/>
          <w:szCs w:val="24"/>
        </w:rPr>
        <w:t xml:space="preserve"> </w:t>
      </w:r>
      <w:r w:rsidRPr="005A40B0">
        <w:rPr>
          <w:rFonts w:ascii="Times New Roman" w:hAnsi="Times New Roman"/>
          <w:sz w:val="24"/>
          <w:szCs w:val="24"/>
        </w:rPr>
        <w:t>Prevention and Toxics (OPPT) is charged with the responsibility for assuring that</w:t>
      </w:r>
      <w:r w:rsidR="00A76773" w:rsidRPr="005A40B0">
        <w:rPr>
          <w:rFonts w:ascii="Times New Roman" w:hAnsi="Times New Roman"/>
          <w:sz w:val="24"/>
          <w:szCs w:val="24"/>
        </w:rPr>
        <w:t xml:space="preserve"> </w:t>
      </w:r>
      <w:r w:rsidRPr="005A40B0">
        <w:rPr>
          <w:rFonts w:ascii="Times New Roman" w:hAnsi="Times New Roman"/>
          <w:sz w:val="24"/>
          <w:szCs w:val="24"/>
        </w:rPr>
        <w:t>chemicals made available for sale and use in the United States do not pose any</w:t>
      </w:r>
      <w:r w:rsidR="00A76773" w:rsidRPr="005A40B0">
        <w:rPr>
          <w:rFonts w:ascii="Times New Roman" w:hAnsi="Times New Roman"/>
          <w:sz w:val="24"/>
          <w:szCs w:val="24"/>
        </w:rPr>
        <w:t xml:space="preserve"> </w:t>
      </w:r>
      <w:r w:rsidRPr="005A40B0">
        <w:rPr>
          <w:rFonts w:ascii="Times New Roman" w:hAnsi="Times New Roman"/>
          <w:sz w:val="24"/>
          <w:szCs w:val="24"/>
        </w:rPr>
        <w:t>unreasonable adverse risks to human health or to the environment. To carry out this</w:t>
      </w:r>
      <w:r w:rsidR="00A76773" w:rsidRPr="005A40B0">
        <w:rPr>
          <w:rFonts w:ascii="Times New Roman" w:hAnsi="Times New Roman"/>
          <w:sz w:val="24"/>
          <w:szCs w:val="24"/>
        </w:rPr>
        <w:t xml:space="preserve"> </w:t>
      </w:r>
      <w:r w:rsidRPr="005A40B0">
        <w:rPr>
          <w:rFonts w:ascii="Times New Roman" w:hAnsi="Times New Roman"/>
          <w:sz w:val="24"/>
          <w:szCs w:val="24"/>
        </w:rPr>
        <w:t>mandate, EPA has broad authority to issue regulations designed to gather health/safety</w:t>
      </w:r>
      <w:r w:rsidR="00A76773" w:rsidRPr="005A40B0">
        <w:rPr>
          <w:rFonts w:ascii="Times New Roman" w:hAnsi="Times New Roman"/>
          <w:sz w:val="24"/>
          <w:szCs w:val="24"/>
        </w:rPr>
        <w:t xml:space="preserve"> </w:t>
      </w:r>
      <w:r w:rsidRPr="005A40B0">
        <w:rPr>
          <w:rFonts w:ascii="Times New Roman" w:hAnsi="Times New Roman"/>
          <w:sz w:val="24"/>
          <w:szCs w:val="24"/>
        </w:rPr>
        <w:t>and exposure information on, require testing of, and control exposure to chemical</w:t>
      </w:r>
      <w:r w:rsidR="00A76773" w:rsidRPr="005A40B0">
        <w:rPr>
          <w:rFonts w:ascii="Times New Roman" w:hAnsi="Times New Roman"/>
          <w:sz w:val="24"/>
          <w:szCs w:val="24"/>
        </w:rPr>
        <w:t xml:space="preserve"> </w:t>
      </w:r>
      <w:r w:rsidRPr="005A40B0">
        <w:rPr>
          <w:rFonts w:ascii="Times New Roman" w:hAnsi="Times New Roman"/>
          <w:sz w:val="24"/>
          <w:szCs w:val="24"/>
        </w:rPr>
        <w:t>substances and mixtures. Drugs, cosmetics, foods, food additives, pesticides, and nuclear</w:t>
      </w:r>
      <w:r w:rsidR="00A76773" w:rsidRPr="005A40B0">
        <w:rPr>
          <w:rFonts w:ascii="Times New Roman" w:hAnsi="Times New Roman"/>
          <w:sz w:val="24"/>
          <w:szCs w:val="24"/>
        </w:rPr>
        <w:t xml:space="preserve"> </w:t>
      </w:r>
      <w:r w:rsidRPr="005A40B0">
        <w:rPr>
          <w:rFonts w:ascii="Times New Roman" w:hAnsi="Times New Roman"/>
          <w:sz w:val="24"/>
          <w:szCs w:val="24"/>
        </w:rPr>
        <w:t>materials are exempt from TSCA and are subject to control under other U.S. Government</w:t>
      </w:r>
      <w:r w:rsidR="00A76773" w:rsidRPr="005A40B0">
        <w:rPr>
          <w:rFonts w:ascii="Times New Roman" w:hAnsi="Times New Roman"/>
          <w:sz w:val="24"/>
          <w:szCs w:val="24"/>
        </w:rPr>
        <w:t xml:space="preserve"> </w:t>
      </w:r>
      <w:r w:rsidRPr="005A40B0">
        <w:rPr>
          <w:rFonts w:ascii="Times New Roman" w:hAnsi="Times New Roman"/>
          <w:sz w:val="24"/>
          <w:szCs w:val="24"/>
        </w:rPr>
        <w:t>statutes (e.g., foods, food additives, drugs and cosmetics are under the purview of the</w:t>
      </w:r>
      <w:r w:rsidR="00A76773" w:rsidRPr="005A40B0">
        <w:rPr>
          <w:rFonts w:ascii="Times New Roman" w:hAnsi="Times New Roman"/>
          <w:sz w:val="24"/>
          <w:szCs w:val="24"/>
        </w:rPr>
        <w:t xml:space="preserve"> </w:t>
      </w:r>
      <w:r w:rsidRPr="005A40B0">
        <w:rPr>
          <w:rFonts w:ascii="Times New Roman" w:hAnsi="Times New Roman"/>
          <w:sz w:val="24"/>
          <w:szCs w:val="24"/>
        </w:rPr>
        <w:t>Federal Food, Drug, and Cosmetic Act (FFDCA)).</w:t>
      </w:r>
    </w:p>
    <w:p w14:paraId="2224D743" w14:textId="64678102" w:rsidR="00A76773" w:rsidRDefault="00A76773" w:rsidP="005A40B0">
      <w:pPr>
        <w:autoSpaceDE w:val="0"/>
        <w:autoSpaceDN w:val="0"/>
        <w:adjustRightInd w:val="0"/>
        <w:spacing w:after="0" w:line="240" w:lineRule="auto"/>
        <w:rPr>
          <w:rFonts w:ascii="Times New Roman" w:hAnsi="Times New Roman"/>
          <w:sz w:val="24"/>
          <w:szCs w:val="24"/>
        </w:rPr>
      </w:pPr>
    </w:p>
    <w:p w14:paraId="71CD0B35" w14:textId="35FE011E" w:rsidR="00D24DEF" w:rsidRDefault="00D24DEF" w:rsidP="005A40B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D24DEF">
        <w:rPr>
          <w:rFonts w:ascii="Times New Roman" w:hAnsi="Times New Roman"/>
          <w:sz w:val="24"/>
          <w:szCs w:val="24"/>
        </w:rPr>
        <w:t xml:space="preserve">Specifically, TSCA section 8(a) can also be used to support the activities required in Section 6 of TSCA, as amended by </w:t>
      </w:r>
      <w:r w:rsidR="00F018F8">
        <w:rPr>
          <w:rFonts w:ascii="Times New Roman" w:hAnsi="Times New Roman"/>
          <w:sz w:val="24"/>
          <w:szCs w:val="24"/>
        </w:rPr>
        <w:t>LCSA</w:t>
      </w:r>
      <w:r w:rsidRPr="00D24DEF">
        <w:rPr>
          <w:rFonts w:ascii="Times New Roman" w:hAnsi="Times New Roman"/>
          <w:sz w:val="24"/>
          <w:szCs w:val="24"/>
        </w:rPr>
        <w:t>, which outlines procedures and timelines for risk-based prioritizing and evaluating the risk of the chemicals on the TSCA Inventory. EPA intends to resolve any concerns it may have about the sufficiency of information about a given chemical substance for purposes of prioritization before subjecting that chemical substance to the prioritization process. To address these concerns, the Agency plans to use the authorities under TSCA sections 4, 8, and 11 to gather information and request data to fill data gaps after internal audits and voluntary calls for information have been exhausted first.</w:t>
      </w:r>
    </w:p>
    <w:p w14:paraId="520BC295" w14:textId="77777777" w:rsidR="00D24DEF" w:rsidRPr="005A40B0" w:rsidRDefault="00D24DEF" w:rsidP="005A40B0">
      <w:pPr>
        <w:autoSpaceDE w:val="0"/>
        <w:autoSpaceDN w:val="0"/>
        <w:adjustRightInd w:val="0"/>
        <w:spacing w:after="0" w:line="240" w:lineRule="auto"/>
        <w:rPr>
          <w:rFonts w:ascii="Times New Roman" w:hAnsi="Times New Roman"/>
          <w:sz w:val="24"/>
          <w:szCs w:val="24"/>
        </w:rPr>
      </w:pPr>
    </w:p>
    <w:p w14:paraId="7A62F7D5" w14:textId="64E2F01C" w:rsidR="00F5104E" w:rsidRPr="005A40B0" w:rsidRDefault="00F5104E" w:rsidP="005A40B0">
      <w:pPr>
        <w:autoSpaceDE w:val="0"/>
        <w:autoSpaceDN w:val="0"/>
        <w:adjustRightInd w:val="0"/>
        <w:spacing w:after="0" w:line="240" w:lineRule="auto"/>
        <w:ind w:firstLine="576"/>
        <w:rPr>
          <w:rFonts w:ascii="Times New Roman" w:hAnsi="Times New Roman"/>
          <w:sz w:val="24"/>
          <w:szCs w:val="24"/>
        </w:rPr>
      </w:pPr>
      <w:r w:rsidRPr="005A40B0">
        <w:rPr>
          <w:rFonts w:ascii="Times New Roman" w:hAnsi="Times New Roman"/>
          <w:sz w:val="24"/>
          <w:szCs w:val="24"/>
        </w:rPr>
        <w:t>TSCA section 8(a) gives EPA the authority to promulgate rules under which</w:t>
      </w:r>
      <w:r w:rsidR="00A76773" w:rsidRPr="005A40B0">
        <w:rPr>
          <w:rFonts w:ascii="Times New Roman" w:hAnsi="Times New Roman"/>
          <w:sz w:val="24"/>
          <w:szCs w:val="24"/>
        </w:rPr>
        <w:t xml:space="preserve"> </w:t>
      </w:r>
      <w:r w:rsidRPr="005A40B0">
        <w:rPr>
          <w:rFonts w:ascii="Times New Roman" w:hAnsi="Times New Roman"/>
          <w:sz w:val="24"/>
          <w:szCs w:val="24"/>
        </w:rPr>
        <w:t>manufacturers (which by statute includes importers) and processors of chemical</w:t>
      </w:r>
      <w:r w:rsidR="00A76773" w:rsidRPr="005A40B0">
        <w:rPr>
          <w:rFonts w:ascii="Times New Roman" w:hAnsi="Times New Roman"/>
          <w:sz w:val="24"/>
          <w:szCs w:val="24"/>
        </w:rPr>
        <w:t xml:space="preserve"> </w:t>
      </w:r>
      <w:r w:rsidRPr="005A40B0">
        <w:rPr>
          <w:rFonts w:ascii="Times New Roman" w:hAnsi="Times New Roman"/>
          <w:sz w:val="24"/>
          <w:szCs w:val="24"/>
        </w:rPr>
        <w:t xml:space="preserve">substances must maintain </w:t>
      </w:r>
      <w:r w:rsidR="00A76773" w:rsidRPr="005A40B0">
        <w:rPr>
          <w:rFonts w:ascii="Times New Roman" w:hAnsi="Times New Roman"/>
          <w:sz w:val="24"/>
          <w:szCs w:val="24"/>
        </w:rPr>
        <w:t>r</w:t>
      </w:r>
      <w:r w:rsidRPr="005A40B0">
        <w:rPr>
          <w:rFonts w:ascii="Times New Roman" w:hAnsi="Times New Roman"/>
          <w:sz w:val="24"/>
          <w:szCs w:val="24"/>
        </w:rPr>
        <w:t>ecords and/or report such data as EPA may reasonably require</w:t>
      </w:r>
      <w:r w:rsidR="00A76773" w:rsidRPr="005A40B0">
        <w:rPr>
          <w:rFonts w:ascii="Times New Roman" w:hAnsi="Times New Roman"/>
          <w:sz w:val="24"/>
          <w:szCs w:val="24"/>
        </w:rPr>
        <w:t xml:space="preserve"> </w:t>
      </w:r>
      <w:r w:rsidRPr="005A40B0">
        <w:rPr>
          <w:rFonts w:ascii="Times New Roman" w:hAnsi="Times New Roman"/>
          <w:sz w:val="24"/>
          <w:szCs w:val="24"/>
        </w:rPr>
        <w:t>to</w:t>
      </w:r>
      <w:r w:rsidR="00472E7A">
        <w:rPr>
          <w:rFonts w:ascii="Times New Roman" w:hAnsi="Times New Roman"/>
          <w:sz w:val="24"/>
          <w:szCs w:val="24"/>
        </w:rPr>
        <w:t xml:space="preserve"> in order to</w:t>
      </w:r>
      <w:r w:rsidRPr="005A40B0">
        <w:rPr>
          <w:rFonts w:ascii="Times New Roman" w:hAnsi="Times New Roman"/>
          <w:sz w:val="24"/>
          <w:szCs w:val="24"/>
        </w:rPr>
        <w:t xml:space="preserve"> carry out the TSCA mandates. Examples of information that can be required to be</w:t>
      </w:r>
      <w:r w:rsidR="00A76773" w:rsidRPr="005A40B0">
        <w:rPr>
          <w:rFonts w:ascii="Times New Roman" w:hAnsi="Times New Roman"/>
          <w:sz w:val="24"/>
          <w:szCs w:val="24"/>
        </w:rPr>
        <w:t xml:space="preserve"> </w:t>
      </w:r>
      <w:r w:rsidRPr="005A40B0">
        <w:rPr>
          <w:rFonts w:ascii="Times New Roman" w:hAnsi="Times New Roman"/>
          <w:sz w:val="24"/>
          <w:szCs w:val="24"/>
        </w:rPr>
        <w:t xml:space="preserve">reported under TSCA </w:t>
      </w:r>
      <w:r w:rsidR="006C5B34" w:rsidRPr="005A40B0">
        <w:rPr>
          <w:rFonts w:ascii="Times New Roman" w:hAnsi="Times New Roman"/>
          <w:sz w:val="24"/>
          <w:szCs w:val="24"/>
        </w:rPr>
        <w:t>s</w:t>
      </w:r>
      <w:r w:rsidRPr="005A40B0">
        <w:rPr>
          <w:rFonts w:ascii="Times New Roman" w:hAnsi="Times New Roman"/>
          <w:sz w:val="24"/>
          <w:szCs w:val="24"/>
        </w:rPr>
        <w:t>ection 8(a) include:</w:t>
      </w:r>
    </w:p>
    <w:p w14:paraId="41CAA60F"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165154B5" w14:textId="77777777" w:rsidR="00F5104E" w:rsidRPr="005A40B0" w:rsidRDefault="00F5104E"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chemical or mixture identity;</w:t>
      </w:r>
    </w:p>
    <w:p w14:paraId="492B73A1" w14:textId="77777777" w:rsidR="00F5104E" w:rsidRPr="005A40B0" w:rsidRDefault="00F5104E"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categories of use;</w:t>
      </w:r>
    </w:p>
    <w:p w14:paraId="22FFB318" w14:textId="77777777" w:rsidR="00F5104E" w:rsidRPr="005A40B0" w:rsidRDefault="00F5104E"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quantity manufactured or processed;</w:t>
      </w:r>
    </w:p>
    <w:p w14:paraId="46865DC2" w14:textId="77777777" w:rsidR="00F5104E" w:rsidRPr="005A40B0" w:rsidRDefault="00F5104E"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by-product description;</w:t>
      </w:r>
    </w:p>
    <w:p w14:paraId="2BC7C49A" w14:textId="77777777" w:rsidR="00F5104E" w:rsidRPr="005A40B0" w:rsidRDefault="00F5104E"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health and environmental effects information;</w:t>
      </w:r>
    </w:p>
    <w:p w14:paraId="29CE1BB8" w14:textId="77777777" w:rsidR="00A76773" w:rsidRPr="005A40B0" w:rsidRDefault="00F5104E"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number of individuals exposed; and</w:t>
      </w:r>
    </w:p>
    <w:p w14:paraId="630A182A" w14:textId="77777777" w:rsidR="00F5104E" w:rsidRPr="005A40B0" w:rsidRDefault="00A76773" w:rsidP="005A40B0">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method(s) of disposal</w:t>
      </w:r>
    </w:p>
    <w:p w14:paraId="154DF78D" w14:textId="77777777" w:rsidR="00A76773" w:rsidRPr="005A40B0" w:rsidRDefault="00A76773" w:rsidP="005A40B0">
      <w:pPr>
        <w:pStyle w:val="ListParagraph"/>
        <w:autoSpaceDE w:val="0"/>
        <w:autoSpaceDN w:val="0"/>
        <w:adjustRightInd w:val="0"/>
        <w:spacing w:after="0" w:line="240" w:lineRule="auto"/>
        <w:rPr>
          <w:rFonts w:ascii="Times New Roman" w:hAnsi="Times New Roman"/>
          <w:sz w:val="24"/>
          <w:szCs w:val="24"/>
        </w:rPr>
      </w:pPr>
    </w:p>
    <w:p w14:paraId="6B1E8C19" w14:textId="617ED2ED"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Section 8(a) regulations can be tailored to meet unique information needs (e.g.,</w:t>
      </w:r>
      <w:r w:rsidR="00A76773" w:rsidRPr="005A40B0">
        <w:rPr>
          <w:rFonts w:ascii="Times New Roman" w:hAnsi="Times New Roman"/>
          <w:sz w:val="24"/>
          <w:szCs w:val="24"/>
        </w:rPr>
        <w:t xml:space="preserve"> </w:t>
      </w:r>
      <w:r w:rsidRPr="005A40B0">
        <w:rPr>
          <w:rFonts w:ascii="Times New Roman" w:hAnsi="Times New Roman"/>
          <w:sz w:val="24"/>
          <w:szCs w:val="24"/>
        </w:rPr>
        <w:t xml:space="preserve">via chemical-specific rules, which are covered under </w:t>
      </w:r>
      <w:bookmarkStart w:id="1" w:name="_Hlk509587702"/>
      <w:r w:rsidRPr="005A40B0">
        <w:rPr>
          <w:rFonts w:ascii="Times New Roman" w:hAnsi="Times New Roman"/>
          <w:sz w:val="24"/>
          <w:szCs w:val="24"/>
        </w:rPr>
        <w:t>EPA ICR #1198</w:t>
      </w:r>
      <w:r w:rsidR="00B50480" w:rsidRPr="005A40B0">
        <w:rPr>
          <w:rFonts w:ascii="Times New Roman" w:hAnsi="Times New Roman"/>
          <w:sz w:val="24"/>
          <w:szCs w:val="24"/>
        </w:rPr>
        <w:t>,</w:t>
      </w:r>
      <w:r w:rsidRPr="005A40B0">
        <w:rPr>
          <w:rFonts w:ascii="Times New Roman" w:hAnsi="Times New Roman"/>
          <w:sz w:val="24"/>
          <w:szCs w:val="24"/>
        </w:rPr>
        <w:t xml:space="preserve"> OMB Control</w:t>
      </w:r>
      <w:r w:rsidR="00A76773" w:rsidRPr="005A40B0">
        <w:rPr>
          <w:rFonts w:ascii="Times New Roman" w:hAnsi="Times New Roman"/>
          <w:sz w:val="24"/>
          <w:szCs w:val="24"/>
        </w:rPr>
        <w:t xml:space="preserve"> </w:t>
      </w:r>
      <w:r w:rsidRPr="005A40B0">
        <w:rPr>
          <w:rFonts w:ascii="Times New Roman" w:hAnsi="Times New Roman"/>
          <w:sz w:val="24"/>
          <w:szCs w:val="24"/>
        </w:rPr>
        <w:t>#2070-0067) or information can be obtained via the use of “model” or standardized</w:t>
      </w:r>
      <w:r w:rsidR="00A76773" w:rsidRPr="005A40B0">
        <w:rPr>
          <w:rFonts w:ascii="Times New Roman" w:hAnsi="Times New Roman"/>
          <w:sz w:val="24"/>
          <w:szCs w:val="24"/>
        </w:rPr>
        <w:t xml:space="preserve"> </w:t>
      </w:r>
      <w:r w:rsidRPr="005A40B0">
        <w:rPr>
          <w:rFonts w:ascii="Times New Roman" w:hAnsi="Times New Roman"/>
          <w:sz w:val="24"/>
          <w:szCs w:val="24"/>
        </w:rPr>
        <w:t>reporting rule</w:t>
      </w:r>
      <w:r w:rsidR="00282FEF" w:rsidRPr="005A40B0">
        <w:rPr>
          <w:rFonts w:ascii="Times New Roman" w:hAnsi="Times New Roman"/>
          <w:sz w:val="24"/>
          <w:szCs w:val="24"/>
        </w:rPr>
        <w:t xml:space="preserve">s. </w:t>
      </w:r>
      <w:r w:rsidR="00626400" w:rsidRPr="005A40B0">
        <w:rPr>
          <w:rFonts w:ascii="Times New Roman" w:hAnsi="Times New Roman"/>
          <w:sz w:val="24"/>
          <w:szCs w:val="24"/>
        </w:rPr>
        <w:t xml:space="preserve">The subject </w:t>
      </w:r>
      <w:bookmarkEnd w:id="1"/>
      <w:r w:rsidR="00626400" w:rsidRPr="005A40B0">
        <w:rPr>
          <w:rFonts w:ascii="Times New Roman" w:hAnsi="Times New Roman"/>
          <w:sz w:val="24"/>
          <w:szCs w:val="24"/>
        </w:rPr>
        <w:t xml:space="preserve">of this ICR, the TSCA section 8(a) PAIR rule, is one example of a model TSCA section 8(a) reporting rule. </w:t>
      </w:r>
      <w:r w:rsidRPr="005A40B0">
        <w:rPr>
          <w:rFonts w:ascii="Times New Roman" w:hAnsi="Times New Roman"/>
          <w:sz w:val="24"/>
          <w:szCs w:val="24"/>
        </w:rPr>
        <w:t>Under PAIR, producers and</w:t>
      </w:r>
      <w:r w:rsidR="00A76773" w:rsidRPr="005A40B0">
        <w:rPr>
          <w:rFonts w:ascii="Times New Roman" w:hAnsi="Times New Roman"/>
          <w:sz w:val="24"/>
          <w:szCs w:val="24"/>
        </w:rPr>
        <w:t xml:space="preserve"> </w:t>
      </w:r>
      <w:r w:rsidRPr="005A40B0">
        <w:rPr>
          <w:rFonts w:ascii="Times New Roman" w:hAnsi="Times New Roman"/>
          <w:sz w:val="24"/>
          <w:szCs w:val="24"/>
        </w:rPr>
        <w:t>importers of a listed chemical are required to report the following site-specific</w:t>
      </w:r>
      <w:r w:rsidR="00A76773" w:rsidRPr="005A40B0">
        <w:rPr>
          <w:rFonts w:ascii="Times New Roman" w:hAnsi="Times New Roman"/>
          <w:sz w:val="24"/>
          <w:szCs w:val="24"/>
        </w:rPr>
        <w:t xml:space="preserve"> </w:t>
      </w:r>
      <w:r w:rsidR="00B50480" w:rsidRPr="005A40B0">
        <w:rPr>
          <w:rFonts w:ascii="Times New Roman" w:hAnsi="Times New Roman"/>
          <w:sz w:val="24"/>
          <w:szCs w:val="24"/>
        </w:rPr>
        <w:t>information</w:t>
      </w:r>
      <w:r w:rsidR="00A35895" w:rsidRPr="005A40B0">
        <w:rPr>
          <w:rFonts w:ascii="Times New Roman" w:hAnsi="Times New Roman"/>
          <w:sz w:val="24"/>
          <w:szCs w:val="24"/>
        </w:rPr>
        <w:t xml:space="preserve"> </w:t>
      </w:r>
      <w:r w:rsidRPr="005A40B0">
        <w:rPr>
          <w:rFonts w:ascii="Times New Roman" w:hAnsi="Times New Roman"/>
          <w:sz w:val="24"/>
          <w:szCs w:val="24"/>
        </w:rPr>
        <w:t xml:space="preserve">(described in more detail in </w:t>
      </w:r>
      <w:r w:rsidR="00B50480" w:rsidRPr="005A40B0">
        <w:rPr>
          <w:rFonts w:ascii="Times New Roman" w:hAnsi="Times New Roman"/>
          <w:sz w:val="24"/>
          <w:szCs w:val="24"/>
        </w:rPr>
        <w:t>section</w:t>
      </w:r>
      <w:r w:rsidRPr="005A40B0">
        <w:rPr>
          <w:rFonts w:ascii="Times New Roman" w:hAnsi="Times New Roman"/>
          <w:sz w:val="24"/>
          <w:szCs w:val="24"/>
        </w:rPr>
        <w:t xml:space="preserve"> </w:t>
      </w:r>
      <w:r w:rsidR="00A35895" w:rsidRPr="005A40B0">
        <w:rPr>
          <w:rFonts w:ascii="Times New Roman" w:hAnsi="Times New Roman"/>
          <w:sz w:val="24"/>
          <w:szCs w:val="24"/>
        </w:rPr>
        <w:t>4</w:t>
      </w:r>
      <w:r w:rsidRPr="005A40B0">
        <w:rPr>
          <w:rFonts w:ascii="Times New Roman" w:hAnsi="Times New Roman"/>
          <w:sz w:val="24"/>
          <w:szCs w:val="24"/>
        </w:rPr>
        <w:t xml:space="preserve"> of this </w:t>
      </w:r>
      <w:r w:rsidR="00B50480" w:rsidRPr="005A40B0">
        <w:rPr>
          <w:rFonts w:ascii="Times New Roman" w:hAnsi="Times New Roman"/>
          <w:sz w:val="24"/>
          <w:szCs w:val="24"/>
        </w:rPr>
        <w:t>Supporting Statement</w:t>
      </w:r>
      <w:r w:rsidRPr="005A40B0">
        <w:rPr>
          <w:rFonts w:ascii="Times New Roman" w:hAnsi="Times New Roman"/>
          <w:sz w:val="24"/>
          <w:szCs w:val="24"/>
        </w:rPr>
        <w:t>):</w:t>
      </w:r>
    </w:p>
    <w:p w14:paraId="0DF19DE9" w14:textId="77777777" w:rsidR="005F76C1" w:rsidRPr="005A40B0" w:rsidRDefault="005F76C1" w:rsidP="005A40B0">
      <w:pPr>
        <w:autoSpaceDE w:val="0"/>
        <w:autoSpaceDN w:val="0"/>
        <w:adjustRightInd w:val="0"/>
        <w:spacing w:after="0" w:line="240" w:lineRule="auto"/>
        <w:ind w:firstLine="720"/>
        <w:rPr>
          <w:rFonts w:ascii="Times New Roman" w:hAnsi="Times New Roman"/>
          <w:sz w:val="24"/>
          <w:szCs w:val="24"/>
        </w:rPr>
      </w:pPr>
    </w:p>
    <w:p w14:paraId="0943ACD2" w14:textId="77777777" w:rsidR="00F5104E" w:rsidRPr="005A40B0" w:rsidRDefault="00F5104E" w:rsidP="005A40B0">
      <w:pPr>
        <w:pStyle w:val="ListParagraph"/>
        <w:numPr>
          <w:ilvl w:val="0"/>
          <w:numId w:val="3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Quantity of chemical produced and/or imported;</w:t>
      </w:r>
    </w:p>
    <w:p w14:paraId="0449981C" w14:textId="77777777" w:rsidR="00F5104E" w:rsidRPr="005A40B0" w:rsidRDefault="00F5104E" w:rsidP="005A40B0">
      <w:pPr>
        <w:pStyle w:val="ListParagraph"/>
        <w:numPr>
          <w:ilvl w:val="0"/>
          <w:numId w:val="3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Amount of chemical lost to the environment during production or importation;</w:t>
      </w:r>
    </w:p>
    <w:p w14:paraId="165D16E8" w14:textId="77777777" w:rsidR="00F5104E" w:rsidRPr="005A40B0" w:rsidRDefault="00F5104E" w:rsidP="005A40B0">
      <w:pPr>
        <w:pStyle w:val="ListParagraph"/>
        <w:numPr>
          <w:ilvl w:val="0"/>
          <w:numId w:val="3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Quantity of enclosed, controlled and open releases of the chemical; and</w:t>
      </w:r>
    </w:p>
    <w:p w14:paraId="0C44869F" w14:textId="77777777" w:rsidR="00F5104E" w:rsidRPr="005A40B0" w:rsidRDefault="00F5104E" w:rsidP="005A40B0">
      <w:pPr>
        <w:pStyle w:val="ListParagraph"/>
        <w:numPr>
          <w:ilvl w:val="0"/>
          <w:numId w:val="3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Per release, the number of workers exposed and the number of hours exposed.</w:t>
      </w:r>
    </w:p>
    <w:p w14:paraId="3BED280D" w14:textId="77777777" w:rsidR="007F2DD7" w:rsidRPr="005A40B0" w:rsidRDefault="007F2DD7" w:rsidP="005A40B0">
      <w:pPr>
        <w:autoSpaceDE w:val="0"/>
        <w:autoSpaceDN w:val="0"/>
        <w:adjustRightInd w:val="0"/>
        <w:spacing w:after="0" w:line="240" w:lineRule="auto"/>
        <w:rPr>
          <w:rFonts w:ascii="Times New Roman" w:hAnsi="Times New Roman"/>
          <w:sz w:val="24"/>
          <w:szCs w:val="24"/>
        </w:rPr>
      </w:pPr>
    </w:p>
    <w:p w14:paraId="14264D99" w14:textId="77777777"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Exemptions for such reporting are as follows:</w:t>
      </w:r>
    </w:p>
    <w:p w14:paraId="1C7B9604" w14:textId="77777777" w:rsidR="007F2DD7" w:rsidRPr="005A40B0" w:rsidRDefault="007F2DD7" w:rsidP="005A40B0">
      <w:pPr>
        <w:autoSpaceDE w:val="0"/>
        <w:autoSpaceDN w:val="0"/>
        <w:adjustRightInd w:val="0"/>
        <w:spacing w:after="0" w:line="240" w:lineRule="auto"/>
        <w:rPr>
          <w:rFonts w:ascii="Times New Roman" w:hAnsi="Times New Roman"/>
          <w:sz w:val="24"/>
          <w:szCs w:val="24"/>
        </w:rPr>
      </w:pPr>
    </w:p>
    <w:p w14:paraId="4C36CA1B" w14:textId="77777777" w:rsidR="00F5104E" w:rsidRPr="005A40B0" w:rsidRDefault="00F5104E" w:rsidP="005A40B0">
      <w:pPr>
        <w:pStyle w:val="ListParagraph"/>
        <w:numPr>
          <w:ilvl w:val="0"/>
          <w:numId w:val="32"/>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Production or importation for the sole purpose of research and development</w:t>
      </w:r>
      <w:r w:rsidR="007F2DD7" w:rsidRPr="005A40B0">
        <w:rPr>
          <w:rFonts w:ascii="Times New Roman" w:hAnsi="Times New Roman"/>
          <w:sz w:val="24"/>
          <w:szCs w:val="24"/>
        </w:rPr>
        <w:t xml:space="preserve"> </w:t>
      </w:r>
      <w:r w:rsidRPr="005A40B0">
        <w:rPr>
          <w:rFonts w:ascii="Times New Roman" w:hAnsi="Times New Roman"/>
          <w:sz w:val="24"/>
          <w:szCs w:val="24"/>
        </w:rPr>
        <w:t>(R&amp;D);</w:t>
      </w:r>
    </w:p>
    <w:p w14:paraId="6CF43F8E" w14:textId="77777777" w:rsidR="00F5104E" w:rsidRPr="005A40B0" w:rsidRDefault="00F5104E" w:rsidP="005A40B0">
      <w:pPr>
        <w:pStyle w:val="ListParagraph"/>
        <w:numPr>
          <w:ilvl w:val="0"/>
          <w:numId w:val="32"/>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Production or importation of less than 500 kilograms during the reporting period</w:t>
      </w:r>
      <w:r w:rsidR="007F2DD7" w:rsidRPr="005A40B0">
        <w:rPr>
          <w:rFonts w:ascii="Times New Roman" w:hAnsi="Times New Roman"/>
          <w:sz w:val="24"/>
          <w:szCs w:val="24"/>
        </w:rPr>
        <w:t xml:space="preserve"> </w:t>
      </w:r>
      <w:r w:rsidRPr="005A40B0">
        <w:rPr>
          <w:rFonts w:ascii="Times New Roman" w:hAnsi="Times New Roman"/>
          <w:sz w:val="24"/>
          <w:szCs w:val="24"/>
        </w:rPr>
        <w:t>at single plant site;</w:t>
      </w:r>
    </w:p>
    <w:p w14:paraId="71370AF1" w14:textId="77777777" w:rsidR="00F5104E" w:rsidRPr="005A40B0" w:rsidRDefault="00F5104E" w:rsidP="005A40B0">
      <w:pPr>
        <w:pStyle w:val="ListParagraph"/>
        <w:numPr>
          <w:ilvl w:val="0"/>
          <w:numId w:val="32"/>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Companies whose total annual sales from all sites owned by the domestic or</w:t>
      </w:r>
      <w:r w:rsidR="007F2DD7" w:rsidRPr="005A40B0">
        <w:rPr>
          <w:rFonts w:ascii="Times New Roman" w:hAnsi="Times New Roman"/>
          <w:sz w:val="24"/>
          <w:szCs w:val="24"/>
        </w:rPr>
        <w:t xml:space="preserve"> </w:t>
      </w:r>
      <w:r w:rsidRPr="005A40B0">
        <w:rPr>
          <w:rFonts w:ascii="Times New Roman" w:hAnsi="Times New Roman"/>
          <w:sz w:val="24"/>
          <w:szCs w:val="24"/>
        </w:rPr>
        <w:t>foreign parent company are below $30 million for the reporting period and who</w:t>
      </w:r>
      <w:r w:rsidR="007F2DD7" w:rsidRPr="005A40B0">
        <w:rPr>
          <w:rFonts w:ascii="Times New Roman" w:hAnsi="Times New Roman"/>
          <w:sz w:val="24"/>
          <w:szCs w:val="24"/>
        </w:rPr>
        <w:t xml:space="preserve"> </w:t>
      </w:r>
      <w:r w:rsidRPr="005A40B0">
        <w:rPr>
          <w:rFonts w:ascii="Times New Roman" w:hAnsi="Times New Roman"/>
          <w:sz w:val="24"/>
          <w:szCs w:val="24"/>
        </w:rPr>
        <w:t>produced or imported less than 45,400 kilograms of the chemical; and</w:t>
      </w:r>
    </w:p>
    <w:p w14:paraId="67ABB02A" w14:textId="77777777" w:rsidR="00F5104E" w:rsidRPr="005A40B0" w:rsidRDefault="00F5104E" w:rsidP="005A40B0">
      <w:pPr>
        <w:pStyle w:val="ListParagraph"/>
        <w:numPr>
          <w:ilvl w:val="0"/>
          <w:numId w:val="32"/>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Production or importation of the listed chemical solely as an impurity, a non</w:t>
      </w:r>
      <w:r w:rsidR="007F2DD7" w:rsidRPr="005A40B0">
        <w:rPr>
          <w:rFonts w:ascii="Times New Roman" w:hAnsi="Times New Roman"/>
          <w:sz w:val="24"/>
          <w:szCs w:val="24"/>
        </w:rPr>
        <w:t>-</w:t>
      </w:r>
      <w:r w:rsidRPr="005A40B0">
        <w:rPr>
          <w:rFonts w:ascii="Times New Roman" w:hAnsi="Times New Roman"/>
          <w:sz w:val="24"/>
          <w:szCs w:val="24"/>
        </w:rPr>
        <w:t>isolated</w:t>
      </w:r>
      <w:r w:rsidR="007F2DD7" w:rsidRPr="005A40B0">
        <w:rPr>
          <w:rFonts w:ascii="Times New Roman" w:hAnsi="Times New Roman"/>
          <w:sz w:val="24"/>
          <w:szCs w:val="24"/>
        </w:rPr>
        <w:t xml:space="preserve"> </w:t>
      </w:r>
      <w:r w:rsidRPr="005A40B0">
        <w:rPr>
          <w:rFonts w:ascii="Times New Roman" w:hAnsi="Times New Roman"/>
          <w:sz w:val="24"/>
          <w:szCs w:val="24"/>
        </w:rPr>
        <w:t>intermediate, and under certai</w:t>
      </w:r>
      <w:r w:rsidR="00A76773" w:rsidRPr="005A40B0">
        <w:rPr>
          <w:rFonts w:ascii="Times New Roman" w:hAnsi="Times New Roman"/>
          <w:sz w:val="24"/>
          <w:szCs w:val="24"/>
        </w:rPr>
        <w:t>n circumstances as a by-product</w:t>
      </w:r>
      <w:r w:rsidR="007F2DD7" w:rsidRPr="005A40B0">
        <w:rPr>
          <w:rFonts w:ascii="Times New Roman" w:hAnsi="Times New Roman"/>
          <w:sz w:val="24"/>
          <w:szCs w:val="24"/>
        </w:rPr>
        <w:t>.</w:t>
      </w:r>
    </w:p>
    <w:p w14:paraId="40923BC3" w14:textId="77777777" w:rsidR="00A76773" w:rsidRPr="005A40B0" w:rsidRDefault="00A76773" w:rsidP="005A40B0">
      <w:pPr>
        <w:pStyle w:val="ListParagraph"/>
        <w:autoSpaceDE w:val="0"/>
        <w:autoSpaceDN w:val="0"/>
        <w:adjustRightInd w:val="0"/>
        <w:spacing w:after="0" w:line="240" w:lineRule="auto"/>
        <w:rPr>
          <w:rFonts w:ascii="Times New Roman" w:hAnsi="Times New Roman"/>
          <w:sz w:val="24"/>
          <w:szCs w:val="24"/>
        </w:rPr>
      </w:pPr>
    </w:p>
    <w:p w14:paraId="450B6F06" w14:textId="596EB98B"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This </w:t>
      </w:r>
      <w:r w:rsidR="00B50480" w:rsidRPr="005A40B0">
        <w:rPr>
          <w:rFonts w:ascii="Times New Roman" w:hAnsi="Times New Roman"/>
          <w:sz w:val="24"/>
          <w:szCs w:val="24"/>
        </w:rPr>
        <w:t>Supporting Statement</w:t>
      </w:r>
      <w:r w:rsidRPr="005A40B0">
        <w:rPr>
          <w:rFonts w:ascii="Times New Roman" w:hAnsi="Times New Roman"/>
          <w:sz w:val="24"/>
          <w:szCs w:val="24"/>
        </w:rPr>
        <w:t xml:space="preserve"> addresses the information collection activities associated with PAIR,</w:t>
      </w:r>
      <w:r w:rsidR="00A76773" w:rsidRPr="005A40B0">
        <w:rPr>
          <w:rFonts w:ascii="Times New Roman" w:hAnsi="Times New Roman"/>
          <w:sz w:val="24"/>
          <w:szCs w:val="24"/>
        </w:rPr>
        <w:t xml:space="preserve"> </w:t>
      </w:r>
      <w:r w:rsidRPr="005A40B0">
        <w:rPr>
          <w:rFonts w:ascii="Times New Roman" w:hAnsi="Times New Roman"/>
          <w:sz w:val="24"/>
          <w:szCs w:val="24"/>
        </w:rPr>
        <w:t>which establishes procedures for chemical</w:t>
      </w:r>
      <w:r w:rsidR="00A76773" w:rsidRPr="005A40B0">
        <w:rPr>
          <w:rFonts w:ascii="Times New Roman" w:hAnsi="Times New Roman"/>
          <w:sz w:val="24"/>
          <w:szCs w:val="24"/>
        </w:rPr>
        <w:t xml:space="preserve"> </w:t>
      </w:r>
      <w:r w:rsidRPr="005A40B0">
        <w:rPr>
          <w:rFonts w:ascii="Times New Roman" w:hAnsi="Times New Roman"/>
          <w:sz w:val="24"/>
          <w:szCs w:val="24"/>
        </w:rPr>
        <w:t>manufacturers and processors to report production, use, and exposure-related information</w:t>
      </w:r>
      <w:r w:rsidR="00A76773" w:rsidRPr="005A40B0">
        <w:rPr>
          <w:rFonts w:ascii="Times New Roman" w:hAnsi="Times New Roman"/>
          <w:sz w:val="24"/>
          <w:szCs w:val="24"/>
        </w:rPr>
        <w:t xml:space="preserve"> </w:t>
      </w:r>
      <w:r w:rsidRPr="005A40B0">
        <w:rPr>
          <w:rFonts w:ascii="Times New Roman" w:hAnsi="Times New Roman"/>
          <w:sz w:val="24"/>
          <w:szCs w:val="24"/>
        </w:rPr>
        <w:t>on listed chemical substances. Subpart A establishes requirements that apply to all</w:t>
      </w:r>
      <w:r w:rsidR="00A76773" w:rsidRPr="005A40B0">
        <w:rPr>
          <w:rFonts w:ascii="Times New Roman" w:hAnsi="Times New Roman"/>
          <w:sz w:val="24"/>
          <w:szCs w:val="24"/>
        </w:rPr>
        <w:t xml:space="preserve"> </w:t>
      </w:r>
      <w:r w:rsidRPr="005A40B0">
        <w:rPr>
          <w:rFonts w:ascii="Times New Roman" w:hAnsi="Times New Roman"/>
          <w:sz w:val="24"/>
          <w:szCs w:val="24"/>
        </w:rPr>
        <w:t xml:space="preserve">reporting under PAIR, and Subpart B covers manufacturers’ and </w:t>
      </w:r>
      <w:r w:rsidR="00626400" w:rsidRPr="005A40B0">
        <w:rPr>
          <w:rFonts w:ascii="Times New Roman" w:hAnsi="Times New Roman"/>
          <w:sz w:val="24"/>
          <w:szCs w:val="24"/>
        </w:rPr>
        <w:t>importers</w:t>
      </w:r>
      <w:r w:rsidRPr="005A40B0">
        <w:rPr>
          <w:rFonts w:ascii="Times New Roman" w:hAnsi="Times New Roman"/>
          <w:sz w:val="24"/>
          <w:szCs w:val="24"/>
        </w:rPr>
        <w:t>’ reporting.</w:t>
      </w:r>
      <w:r w:rsidR="00B50480" w:rsidRPr="005A40B0">
        <w:rPr>
          <w:rFonts w:ascii="Times New Roman" w:hAnsi="Times New Roman"/>
          <w:sz w:val="24"/>
          <w:szCs w:val="24"/>
        </w:rPr>
        <w:t xml:space="preserve"> </w:t>
      </w:r>
      <w:r w:rsidRPr="005A40B0">
        <w:rPr>
          <w:rFonts w:ascii="Times New Roman" w:hAnsi="Times New Roman"/>
          <w:sz w:val="24"/>
          <w:szCs w:val="24"/>
        </w:rPr>
        <w:t xml:space="preserve">Processors are not required to report PAIR information under this </w:t>
      </w:r>
      <w:r w:rsidR="00B50480" w:rsidRPr="005A40B0">
        <w:rPr>
          <w:rFonts w:ascii="Times New Roman" w:hAnsi="Times New Roman"/>
          <w:sz w:val="24"/>
          <w:szCs w:val="24"/>
        </w:rPr>
        <w:t>information collection</w:t>
      </w:r>
      <w:r w:rsidRPr="005A40B0">
        <w:rPr>
          <w:rFonts w:ascii="Times New Roman" w:hAnsi="Times New Roman"/>
          <w:sz w:val="24"/>
          <w:szCs w:val="24"/>
        </w:rPr>
        <w:t>.</w:t>
      </w:r>
    </w:p>
    <w:p w14:paraId="62AF0215"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6EEFD5B7" w14:textId="4C710CC3" w:rsidR="00F5104E"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In addition, as described in the previous section, this </w:t>
      </w:r>
      <w:r w:rsidR="00B50480" w:rsidRPr="005A40B0">
        <w:rPr>
          <w:rFonts w:ascii="Times New Roman" w:hAnsi="Times New Roman"/>
          <w:sz w:val="24"/>
          <w:szCs w:val="24"/>
        </w:rPr>
        <w:t>Supporting Statement</w:t>
      </w:r>
      <w:r w:rsidRPr="005A40B0">
        <w:rPr>
          <w:rFonts w:ascii="Times New Roman" w:hAnsi="Times New Roman"/>
          <w:sz w:val="24"/>
          <w:szCs w:val="24"/>
        </w:rPr>
        <w:t xml:space="preserve"> addresses information</w:t>
      </w:r>
      <w:r w:rsidR="00A76773" w:rsidRPr="005A40B0">
        <w:rPr>
          <w:rFonts w:ascii="Times New Roman" w:hAnsi="Times New Roman"/>
          <w:sz w:val="24"/>
          <w:szCs w:val="24"/>
        </w:rPr>
        <w:t xml:space="preserve"> </w:t>
      </w:r>
      <w:r w:rsidRPr="005A40B0">
        <w:rPr>
          <w:rFonts w:ascii="Times New Roman" w:hAnsi="Times New Roman"/>
          <w:sz w:val="24"/>
          <w:szCs w:val="24"/>
        </w:rPr>
        <w:t>collection activities associated with the reporting and recordkeeping requirements</w:t>
      </w:r>
      <w:r w:rsidR="00A76773" w:rsidRPr="005A40B0">
        <w:rPr>
          <w:rFonts w:ascii="Times New Roman" w:hAnsi="Times New Roman"/>
          <w:sz w:val="24"/>
          <w:szCs w:val="24"/>
        </w:rPr>
        <w:t xml:space="preserve"> </w:t>
      </w:r>
      <w:r w:rsidRPr="005A40B0">
        <w:rPr>
          <w:rFonts w:ascii="Times New Roman" w:hAnsi="Times New Roman"/>
          <w:sz w:val="24"/>
          <w:szCs w:val="24"/>
        </w:rPr>
        <w:t>contained in 40 CFR 766.</w:t>
      </w:r>
    </w:p>
    <w:p w14:paraId="280380D0" w14:textId="77777777" w:rsidR="009A5F98" w:rsidRPr="005A40B0" w:rsidRDefault="009A5F98" w:rsidP="005A40B0">
      <w:pPr>
        <w:autoSpaceDE w:val="0"/>
        <w:autoSpaceDN w:val="0"/>
        <w:adjustRightInd w:val="0"/>
        <w:spacing w:after="0" w:line="240" w:lineRule="auto"/>
        <w:ind w:firstLine="720"/>
        <w:rPr>
          <w:rFonts w:ascii="Times New Roman" w:hAnsi="Times New Roman"/>
          <w:sz w:val="24"/>
          <w:szCs w:val="24"/>
        </w:rPr>
      </w:pPr>
    </w:p>
    <w:p w14:paraId="01E6B184" w14:textId="77777777" w:rsidR="00F5104E" w:rsidRPr="005A40B0" w:rsidRDefault="00282FEF" w:rsidP="005A40B0">
      <w:pPr>
        <w:pStyle w:val="Heading2"/>
        <w:numPr>
          <w:ilvl w:val="0"/>
          <w:numId w:val="0"/>
        </w:numPr>
        <w:spacing w:before="0" w:line="240" w:lineRule="auto"/>
        <w:ind w:firstLine="720"/>
        <w:rPr>
          <w:rFonts w:ascii="Times New Roman" w:hAnsi="Times New Roman"/>
          <w:color w:val="auto"/>
          <w:sz w:val="24"/>
          <w:szCs w:val="24"/>
        </w:rPr>
      </w:pPr>
      <w:r w:rsidRPr="005A40B0">
        <w:rPr>
          <w:rFonts w:ascii="Times New Roman" w:hAnsi="Times New Roman"/>
          <w:color w:val="auto"/>
          <w:sz w:val="24"/>
          <w:szCs w:val="24"/>
        </w:rPr>
        <w:t>2(b)</w:t>
      </w:r>
      <w:r w:rsidRPr="005A40B0">
        <w:rPr>
          <w:rFonts w:ascii="Times New Roman" w:hAnsi="Times New Roman"/>
          <w:color w:val="auto"/>
          <w:sz w:val="24"/>
          <w:szCs w:val="24"/>
        </w:rPr>
        <w:tab/>
      </w:r>
      <w:r w:rsidR="00F5104E" w:rsidRPr="005A40B0">
        <w:rPr>
          <w:rFonts w:ascii="Times New Roman" w:hAnsi="Times New Roman"/>
          <w:color w:val="auto"/>
          <w:sz w:val="24"/>
          <w:szCs w:val="24"/>
        </w:rPr>
        <w:t>Use/Users of the Data</w:t>
      </w:r>
    </w:p>
    <w:p w14:paraId="0A34B4F3" w14:textId="77777777" w:rsidR="00282FEF" w:rsidRPr="005A40B0" w:rsidRDefault="00282FEF" w:rsidP="005A40B0">
      <w:pPr>
        <w:autoSpaceDE w:val="0"/>
        <w:autoSpaceDN w:val="0"/>
        <w:adjustRightInd w:val="0"/>
        <w:spacing w:after="0" w:line="240" w:lineRule="auto"/>
        <w:rPr>
          <w:rFonts w:ascii="Times New Roman" w:hAnsi="Times New Roman"/>
          <w:sz w:val="24"/>
          <w:szCs w:val="24"/>
        </w:rPr>
      </w:pPr>
    </w:p>
    <w:p w14:paraId="230E9743" w14:textId="2F7065E5"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EPA uses PAIR </w:t>
      </w:r>
      <w:r w:rsidR="002E3173" w:rsidRPr="005A40B0">
        <w:rPr>
          <w:rFonts w:ascii="Times New Roman" w:hAnsi="Times New Roman"/>
          <w:sz w:val="24"/>
          <w:szCs w:val="24"/>
        </w:rPr>
        <w:t xml:space="preserve">and subpart B of 40 CFR 766 </w:t>
      </w:r>
      <w:r w:rsidRPr="005A40B0">
        <w:rPr>
          <w:rFonts w:ascii="Times New Roman" w:hAnsi="Times New Roman"/>
          <w:sz w:val="24"/>
          <w:szCs w:val="24"/>
        </w:rPr>
        <w:t>data to (1) monitor domestic manufacture and/or importation of</w:t>
      </w:r>
      <w:r w:rsidR="00A76773" w:rsidRPr="005A40B0">
        <w:rPr>
          <w:rFonts w:ascii="Times New Roman" w:hAnsi="Times New Roman"/>
          <w:sz w:val="24"/>
          <w:szCs w:val="24"/>
        </w:rPr>
        <w:t xml:space="preserve"> </w:t>
      </w:r>
      <w:r w:rsidRPr="005A40B0">
        <w:rPr>
          <w:rFonts w:ascii="Times New Roman" w:hAnsi="Times New Roman"/>
          <w:sz w:val="24"/>
          <w:szCs w:val="24"/>
        </w:rPr>
        <w:t>chemical substances, mixtures and categories, (2) identify possible routes of human or</w:t>
      </w:r>
      <w:r w:rsidR="00A76773" w:rsidRPr="005A40B0">
        <w:rPr>
          <w:rFonts w:ascii="Times New Roman" w:hAnsi="Times New Roman"/>
          <w:sz w:val="24"/>
          <w:szCs w:val="24"/>
        </w:rPr>
        <w:t xml:space="preserve"> </w:t>
      </w:r>
      <w:r w:rsidRPr="005A40B0">
        <w:rPr>
          <w:rFonts w:ascii="Times New Roman" w:hAnsi="Times New Roman"/>
          <w:sz w:val="24"/>
          <w:szCs w:val="24"/>
        </w:rPr>
        <w:t>environmental exposure, (3) support regulations designed to prevent possible adverse</w:t>
      </w:r>
      <w:r w:rsidR="00A76773" w:rsidRPr="005A40B0">
        <w:rPr>
          <w:rFonts w:ascii="Times New Roman" w:hAnsi="Times New Roman"/>
          <w:sz w:val="24"/>
          <w:szCs w:val="24"/>
        </w:rPr>
        <w:t xml:space="preserve"> </w:t>
      </w:r>
      <w:r w:rsidRPr="005A40B0">
        <w:rPr>
          <w:rFonts w:ascii="Times New Roman" w:hAnsi="Times New Roman"/>
          <w:sz w:val="24"/>
          <w:szCs w:val="24"/>
        </w:rPr>
        <w:t xml:space="preserve">health effects and (4) support EPA programs. The information provided by PAIR </w:t>
      </w:r>
      <w:r w:rsidR="002E3173" w:rsidRPr="005A40B0">
        <w:rPr>
          <w:rFonts w:ascii="Times New Roman" w:hAnsi="Times New Roman"/>
          <w:sz w:val="24"/>
          <w:szCs w:val="24"/>
        </w:rPr>
        <w:t xml:space="preserve">and subpart B of 40 CFR 766 </w:t>
      </w:r>
      <w:r w:rsidRPr="005A40B0">
        <w:rPr>
          <w:rFonts w:ascii="Times New Roman" w:hAnsi="Times New Roman"/>
          <w:sz w:val="24"/>
          <w:szCs w:val="24"/>
        </w:rPr>
        <w:t>is</w:t>
      </w:r>
      <w:r w:rsidR="00A76773" w:rsidRPr="005A40B0">
        <w:rPr>
          <w:rFonts w:ascii="Times New Roman" w:hAnsi="Times New Roman"/>
          <w:sz w:val="24"/>
          <w:szCs w:val="24"/>
        </w:rPr>
        <w:t xml:space="preserve"> </w:t>
      </w:r>
      <w:r w:rsidRPr="005A40B0">
        <w:rPr>
          <w:rFonts w:ascii="Times New Roman" w:hAnsi="Times New Roman"/>
          <w:sz w:val="24"/>
          <w:szCs w:val="24"/>
        </w:rPr>
        <w:t>needed to complete assessments of chemicals of interest and to assist in the development</w:t>
      </w:r>
      <w:r w:rsidR="00A76773" w:rsidRPr="005A40B0">
        <w:rPr>
          <w:rFonts w:ascii="Times New Roman" w:hAnsi="Times New Roman"/>
          <w:sz w:val="24"/>
          <w:szCs w:val="24"/>
        </w:rPr>
        <w:t xml:space="preserve"> </w:t>
      </w:r>
      <w:r w:rsidRPr="005A40B0">
        <w:rPr>
          <w:rFonts w:ascii="Times New Roman" w:hAnsi="Times New Roman"/>
          <w:sz w:val="24"/>
          <w:szCs w:val="24"/>
        </w:rPr>
        <w:t>of regulations to control hazardous chemicals.</w:t>
      </w:r>
      <w:r w:rsidR="00D24DEF">
        <w:rPr>
          <w:rFonts w:ascii="Times New Roman" w:hAnsi="Times New Roman"/>
          <w:sz w:val="24"/>
          <w:szCs w:val="24"/>
        </w:rPr>
        <w:t xml:space="preserve"> In particular, PAIR can be used to support the activities under TSCA section 6 for </w:t>
      </w:r>
      <w:r w:rsidR="00D16F07">
        <w:rPr>
          <w:rFonts w:ascii="Times New Roman" w:hAnsi="Times New Roman"/>
          <w:sz w:val="24"/>
          <w:szCs w:val="24"/>
        </w:rPr>
        <w:t xml:space="preserve">risk-based prioritization and risk evaluation of TSCA chemicals. </w:t>
      </w:r>
    </w:p>
    <w:p w14:paraId="01CDACAB" w14:textId="77777777" w:rsidR="00F5104E" w:rsidRPr="005A40B0" w:rsidRDefault="00F5104E" w:rsidP="005A40B0">
      <w:pPr>
        <w:autoSpaceDE w:val="0"/>
        <w:autoSpaceDN w:val="0"/>
        <w:adjustRightInd w:val="0"/>
        <w:spacing w:after="0" w:line="240" w:lineRule="auto"/>
        <w:rPr>
          <w:rFonts w:ascii="Times New Roman" w:hAnsi="Times New Roman"/>
          <w:sz w:val="24"/>
          <w:szCs w:val="24"/>
        </w:rPr>
      </w:pPr>
    </w:p>
    <w:p w14:paraId="4A65BD5A" w14:textId="7BADA232"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All EPA program offices are potential users of the </w:t>
      </w:r>
      <w:r w:rsidR="002C6CCA">
        <w:rPr>
          <w:rFonts w:ascii="Times New Roman" w:hAnsi="Times New Roman"/>
          <w:sz w:val="24"/>
          <w:szCs w:val="24"/>
        </w:rPr>
        <w:t xml:space="preserve">PAIR </w:t>
      </w:r>
      <w:r w:rsidR="002E3173" w:rsidRPr="005A40B0">
        <w:rPr>
          <w:rFonts w:ascii="Times New Roman" w:hAnsi="Times New Roman"/>
          <w:sz w:val="24"/>
          <w:szCs w:val="24"/>
        </w:rPr>
        <w:t>and subpart B of 40 CFR 766</w:t>
      </w:r>
      <w:r w:rsidRPr="005A40B0">
        <w:rPr>
          <w:rFonts w:ascii="Times New Roman" w:hAnsi="Times New Roman"/>
          <w:sz w:val="24"/>
          <w:szCs w:val="24"/>
        </w:rPr>
        <w:t>. The information helps</w:t>
      </w:r>
      <w:r w:rsidR="00A76773" w:rsidRPr="005A40B0">
        <w:rPr>
          <w:rFonts w:ascii="Times New Roman" w:hAnsi="Times New Roman"/>
          <w:sz w:val="24"/>
          <w:szCs w:val="24"/>
        </w:rPr>
        <w:t xml:space="preserve"> </w:t>
      </w:r>
      <w:r w:rsidRPr="005A40B0">
        <w:rPr>
          <w:rFonts w:ascii="Times New Roman" w:hAnsi="Times New Roman"/>
          <w:sz w:val="24"/>
          <w:szCs w:val="24"/>
        </w:rPr>
        <w:t xml:space="preserve">EPA </w:t>
      </w:r>
      <w:r w:rsidR="00D24DEF">
        <w:rPr>
          <w:rFonts w:ascii="Times New Roman" w:hAnsi="Times New Roman"/>
          <w:sz w:val="24"/>
          <w:szCs w:val="24"/>
        </w:rPr>
        <w:t xml:space="preserve">prioritize and </w:t>
      </w:r>
      <w:r w:rsidRPr="005A40B0">
        <w:rPr>
          <w:rFonts w:ascii="Times New Roman" w:hAnsi="Times New Roman"/>
          <w:sz w:val="24"/>
          <w:szCs w:val="24"/>
        </w:rPr>
        <w:t>evaluate the potential for adverse human health or environmental effects caused by</w:t>
      </w:r>
      <w:r w:rsidR="00A76773" w:rsidRPr="005A40B0">
        <w:rPr>
          <w:rFonts w:ascii="Times New Roman" w:hAnsi="Times New Roman"/>
          <w:sz w:val="24"/>
          <w:szCs w:val="24"/>
        </w:rPr>
        <w:t xml:space="preserve"> </w:t>
      </w:r>
      <w:r w:rsidRPr="005A40B0">
        <w:rPr>
          <w:rFonts w:ascii="Times New Roman" w:hAnsi="Times New Roman"/>
          <w:sz w:val="24"/>
          <w:szCs w:val="24"/>
        </w:rPr>
        <w:t>the manufacture and importation of the identified chemical substance, mixture or</w:t>
      </w:r>
      <w:r w:rsidR="00A76773" w:rsidRPr="005A40B0">
        <w:rPr>
          <w:rFonts w:ascii="Times New Roman" w:hAnsi="Times New Roman"/>
          <w:sz w:val="24"/>
          <w:szCs w:val="24"/>
        </w:rPr>
        <w:t xml:space="preserve"> </w:t>
      </w:r>
      <w:r w:rsidRPr="005A40B0">
        <w:rPr>
          <w:rFonts w:ascii="Times New Roman" w:hAnsi="Times New Roman"/>
          <w:sz w:val="24"/>
          <w:szCs w:val="24"/>
        </w:rPr>
        <w:t xml:space="preserve">category. </w:t>
      </w:r>
    </w:p>
    <w:p w14:paraId="3C1E01BF"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3BCF9094" w14:textId="15253C46" w:rsidR="00F5104E"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Other federal agencies, which require data on the human health and</w:t>
      </w:r>
      <w:r w:rsidR="00A76773" w:rsidRPr="005A40B0">
        <w:rPr>
          <w:rFonts w:ascii="Times New Roman" w:hAnsi="Times New Roman"/>
          <w:sz w:val="24"/>
          <w:szCs w:val="24"/>
        </w:rPr>
        <w:t xml:space="preserve"> </w:t>
      </w:r>
      <w:r w:rsidRPr="005A40B0">
        <w:rPr>
          <w:rFonts w:ascii="Times New Roman" w:hAnsi="Times New Roman"/>
          <w:sz w:val="24"/>
          <w:szCs w:val="24"/>
        </w:rPr>
        <w:t>environmental effects of a chemical, use PAIR information. States also have access to</w:t>
      </w:r>
      <w:r w:rsidR="00A76773" w:rsidRPr="005A40B0">
        <w:rPr>
          <w:rFonts w:ascii="Times New Roman" w:hAnsi="Times New Roman"/>
          <w:sz w:val="24"/>
          <w:szCs w:val="24"/>
        </w:rPr>
        <w:t xml:space="preserve"> </w:t>
      </w:r>
      <w:r w:rsidRPr="005A40B0">
        <w:rPr>
          <w:rFonts w:ascii="Times New Roman" w:hAnsi="Times New Roman"/>
          <w:sz w:val="24"/>
          <w:szCs w:val="24"/>
        </w:rPr>
        <w:t xml:space="preserve">public portions of PAIR </w:t>
      </w:r>
      <w:r w:rsidR="002E3173" w:rsidRPr="005A40B0">
        <w:rPr>
          <w:rFonts w:ascii="Times New Roman" w:hAnsi="Times New Roman"/>
          <w:sz w:val="24"/>
          <w:szCs w:val="24"/>
        </w:rPr>
        <w:t xml:space="preserve">and subpart B of 40 CFR 766 </w:t>
      </w:r>
      <w:r w:rsidRPr="005A40B0">
        <w:rPr>
          <w:rFonts w:ascii="Times New Roman" w:hAnsi="Times New Roman"/>
          <w:sz w:val="24"/>
          <w:szCs w:val="24"/>
        </w:rPr>
        <w:t>information. Public interest groups use information reported</w:t>
      </w:r>
      <w:r w:rsidR="00A76773" w:rsidRPr="005A40B0">
        <w:rPr>
          <w:rFonts w:ascii="Times New Roman" w:hAnsi="Times New Roman"/>
          <w:sz w:val="24"/>
          <w:szCs w:val="24"/>
        </w:rPr>
        <w:t xml:space="preserve"> </w:t>
      </w:r>
      <w:r w:rsidRPr="005A40B0">
        <w:rPr>
          <w:rFonts w:ascii="Times New Roman" w:hAnsi="Times New Roman"/>
          <w:sz w:val="24"/>
          <w:szCs w:val="24"/>
        </w:rPr>
        <w:t>under the public portions of PAIR</w:t>
      </w:r>
      <w:r w:rsidR="002E3173" w:rsidRPr="002E3173">
        <w:rPr>
          <w:rFonts w:ascii="Times New Roman" w:hAnsi="Times New Roman"/>
          <w:sz w:val="24"/>
          <w:szCs w:val="24"/>
        </w:rPr>
        <w:t xml:space="preserve"> </w:t>
      </w:r>
      <w:r w:rsidR="002E3173" w:rsidRPr="005A40B0">
        <w:rPr>
          <w:rFonts w:ascii="Times New Roman" w:hAnsi="Times New Roman"/>
          <w:sz w:val="24"/>
          <w:szCs w:val="24"/>
        </w:rPr>
        <w:t>and subpart B of 40 CFR 766</w:t>
      </w:r>
      <w:r w:rsidRPr="005A40B0">
        <w:rPr>
          <w:rFonts w:ascii="Times New Roman" w:hAnsi="Times New Roman"/>
          <w:sz w:val="24"/>
          <w:szCs w:val="24"/>
        </w:rPr>
        <w:t>.</w:t>
      </w:r>
    </w:p>
    <w:p w14:paraId="6638A408" w14:textId="77777777" w:rsidR="00584DC7" w:rsidRPr="005A40B0" w:rsidRDefault="00584DC7" w:rsidP="005A40B0">
      <w:pPr>
        <w:autoSpaceDE w:val="0"/>
        <w:autoSpaceDN w:val="0"/>
        <w:adjustRightInd w:val="0"/>
        <w:spacing w:after="0" w:line="240" w:lineRule="auto"/>
        <w:ind w:firstLine="720"/>
        <w:rPr>
          <w:rFonts w:ascii="Times New Roman" w:hAnsi="Times New Roman"/>
          <w:sz w:val="24"/>
          <w:szCs w:val="24"/>
        </w:rPr>
      </w:pPr>
    </w:p>
    <w:p w14:paraId="24EA46BF" w14:textId="6F3A4BBB" w:rsidR="00F5104E" w:rsidRDefault="00F5104E" w:rsidP="00584DC7">
      <w:pPr>
        <w:pStyle w:val="Heading1"/>
        <w:spacing w:before="0" w:line="240" w:lineRule="auto"/>
        <w:rPr>
          <w:rFonts w:ascii="Times New Roman" w:hAnsi="Times New Roman"/>
          <w:color w:val="auto"/>
          <w:sz w:val="24"/>
          <w:szCs w:val="24"/>
        </w:rPr>
      </w:pPr>
      <w:r w:rsidRPr="005A40B0">
        <w:rPr>
          <w:rFonts w:ascii="Times New Roman" w:hAnsi="Times New Roman"/>
          <w:color w:val="auto"/>
          <w:sz w:val="24"/>
          <w:szCs w:val="24"/>
        </w:rPr>
        <w:t>NON-DUPLICATION, CONSULTATION AND OTHER COLLECTION</w:t>
      </w:r>
      <w:r w:rsidR="00A76773" w:rsidRPr="005A40B0">
        <w:rPr>
          <w:rFonts w:ascii="Times New Roman" w:hAnsi="Times New Roman"/>
          <w:color w:val="auto"/>
          <w:sz w:val="24"/>
          <w:szCs w:val="24"/>
        </w:rPr>
        <w:t xml:space="preserve"> </w:t>
      </w:r>
      <w:r w:rsidRPr="005A40B0">
        <w:rPr>
          <w:rFonts w:ascii="Times New Roman" w:hAnsi="Times New Roman"/>
          <w:color w:val="auto"/>
          <w:sz w:val="24"/>
          <w:szCs w:val="24"/>
        </w:rPr>
        <w:t>CRITERIA</w:t>
      </w:r>
    </w:p>
    <w:p w14:paraId="2A782764" w14:textId="77777777" w:rsidR="00584DC7" w:rsidRPr="00584DC7" w:rsidRDefault="00584DC7" w:rsidP="00584DC7">
      <w:pPr>
        <w:spacing w:after="0" w:line="240" w:lineRule="auto"/>
      </w:pPr>
    </w:p>
    <w:p w14:paraId="4AA8E414" w14:textId="77777777" w:rsidR="00F5104E" w:rsidRPr="005A40B0" w:rsidRDefault="00282FEF" w:rsidP="00584DC7">
      <w:pPr>
        <w:pStyle w:val="Heading2"/>
        <w:numPr>
          <w:ilvl w:val="0"/>
          <w:numId w:val="0"/>
        </w:numPr>
        <w:spacing w:before="0" w:line="240" w:lineRule="auto"/>
        <w:ind w:left="576"/>
        <w:rPr>
          <w:rFonts w:ascii="Times New Roman" w:hAnsi="Times New Roman"/>
          <w:color w:val="auto"/>
          <w:sz w:val="24"/>
          <w:szCs w:val="24"/>
        </w:rPr>
      </w:pPr>
      <w:r w:rsidRPr="005A40B0">
        <w:rPr>
          <w:rFonts w:ascii="Times New Roman" w:hAnsi="Times New Roman"/>
          <w:color w:val="auto"/>
          <w:sz w:val="24"/>
          <w:szCs w:val="24"/>
        </w:rPr>
        <w:t>3(a)</w:t>
      </w:r>
      <w:r w:rsidRPr="005A40B0">
        <w:rPr>
          <w:rFonts w:ascii="Times New Roman" w:hAnsi="Times New Roman"/>
          <w:color w:val="auto"/>
          <w:sz w:val="24"/>
          <w:szCs w:val="24"/>
        </w:rPr>
        <w:tab/>
      </w:r>
      <w:r w:rsidR="00F5104E" w:rsidRPr="005A40B0">
        <w:rPr>
          <w:rFonts w:ascii="Times New Roman" w:hAnsi="Times New Roman"/>
          <w:color w:val="auto"/>
          <w:sz w:val="24"/>
          <w:szCs w:val="24"/>
        </w:rPr>
        <w:t>Non-Duplication</w:t>
      </w:r>
    </w:p>
    <w:p w14:paraId="4C42B32C" w14:textId="77777777" w:rsidR="00282FEF" w:rsidRPr="005A40B0" w:rsidRDefault="00282FEF" w:rsidP="00584DC7">
      <w:pPr>
        <w:autoSpaceDE w:val="0"/>
        <w:autoSpaceDN w:val="0"/>
        <w:adjustRightInd w:val="0"/>
        <w:spacing w:after="0" w:line="240" w:lineRule="auto"/>
        <w:rPr>
          <w:rFonts w:ascii="Times New Roman" w:hAnsi="Times New Roman"/>
          <w:sz w:val="24"/>
          <w:szCs w:val="24"/>
        </w:rPr>
      </w:pPr>
    </w:p>
    <w:p w14:paraId="35E08C02" w14:textId="508616D4" w:rsidR="00F5104E" w:rsidRPr="005A40B0" w:rsidRDefault="00F5104E" w:rsidP="00584DC7">
      <w:pPr>
        <w:autoSpaceDE w:val="0"/>
        <w:autoSpaceDN w:val="0"/>
        <w:adjustRightInd w:val="0"/>
        <w:spacing w:after="0" w:line="240" w:lineRule="auto"/>
        <w:ind w:firstLine="576"/>
        <w:rPr>
          <w:rFonts w:ascii="Times New Roman" w:hAnsi="Times New Roman"/>
          <w:sz w:val="24"/>
          <w:szCs w:val="24"/>
        </w:rPr>
      </w:pPr>
      <w:r w:rsidRPr="005A40B0">
        <w:rPr>
          <w:rFonts w:ascii="Times New Roman" w:hAnsi="Times New Roman"/>
          <w:sz w:val="24"/>
          <w:szCs w:val="24"/>
        </w:rPr>
        <w:t xml:space="preserve">PAIR </w:t>
      </w:r>
      <w:r w:rsidR="002E3173" w:rsidRPr="005A40B0">
        <w:rPr>
          <w:rFonts w:ascii="Times New Roman" w:hAnsi="Times New Roman"/>
          <w:sz w:val="24"/>
          <w:szCs w:val="24"/>
        </w:rPr>
        <w:t xml:space="preserve">and subpart B of 40 CFR 766 </w:t>
      </w:r>
      <w:r w:rsidRPr="005A40B0">
        <w:rPr>
          <w:rFonts w:ascii="Times New Roman" w:hAnsi="Times New Roman"/>
          <w:sz w:val="24"/>
          <w:szCs w:val="24"/>
        </w:rPr>
        <w:t>reporting data assist EPA in identifying, evaluating and managing the</w:t>
      </w:r>
      <w:r w:rsidR="00A76773" w:rsidRPr="005A40B0">
        <w:rPr>
          <w:rFonts w:ascii="Times New Roman" w:hAnsi="Times New Roman"/>
          <w:sz w:val="24"/>
          <w:szCs w:val="24"/>
        </w:rPr>
        <w:t xml:space="preserve"> </w:t>
      </w:r>
      <w:r w:rsidRPr="005A40B0">
        <w:rPr>
          <w:rFonts w:ascii="Times New Roman" w:hAnsi="Times New Roman"/>
          <w:sz w:val="24"/>
          <w:szCs w:val="24"/>
        </w:rPr>
        <w:t>human health and environmental effects of chemical substances, mixtures and categories.</w:t>
      </w:r>
    </w:p>
    <w:p w14:paraId="0267E739"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671E158D" w14:textId="77777777" w:rsidR="00F5104E" w:rsidRPr="005A40B0" w:rsidRDefault="00F5104E" w:rsidP="005A40B0">
      <w:pPr>
        <w:autoSpaceDE w:val="0"/>
        <w:autoSpaceDN w:val="0"/>
        <w:adjustRightInd w:val="0"/>
        <w:spacing w:after="0" w:line="240" w:lineRule="auto"/>
        <w:ind w:firstLine="576"/>
        <w:rPr>
          <w:rFonts w:ascii="Times New Roman" w:hAnsi="Times New Roman"/>
          <w:sz w:val="24"/>
          <w:szCs w:val="24"/>
        </w:rPr>
      </w:pPr>
      <w:r w:rsidRPr="005A40B0">
        <w:rPr>
          <w:rFonts w:ascii="Times New Roman" w:hAnsi="Times New Roman"/>
          <w:sz w:val="24"/>
          <w:szCs w:val="24"/>
        </w:rPr>
        <w:t>EPA has developed procedures that must be met to ensure that the chemicals added to the</w:t>
      </w:r>
      <w:r w:rsidR="00A76773" w:rsidRPr="005A40B0">
        <w:rPr>
          <w:rFonts w:ascii="Times New Roman" w:hAnsi="Times New Roman"/>
          <w:sz w:val="24"/>
          <w:szCs w:val="24"/>
        </w:rPr>
        <w:t xml:space="preserve"> </w:t>
      </w:r>
      <w:r w:rsidRPr="005A40B0">
        <w:rPr>
          <w:rFonts w:ascii="Times New Roman" w:hAnsi="Times New Roman"/>
          <w:sz w:val="24"/>
          <w:szCs w:val="24"/>
        </w:rPr>
        <w:t>rule and the information requested on these chemicals does not duplicate other activities</w:t>
      </w:r>
      <w:r w:rsidR="00A76773" w:rsidRPr="005A40B0">
        <w:rPr>
          <w:rFonts w:ascii="Times New Roman" w:hAnsi="Times New Roman"/>
          <w:sz w:val="24"/>
          <w:szCs w:val="24"/>
        </w:rPr>
        <w:t xml:space="preserve"> </w:t>
      </w:r>
      <w:r w:rsidRPr="005A40B0">
        <w:rPr>
          <w:rFonts w:ascii="Times New Roman" w:hAnsi="Times New Roman"/>
          <w:sz w:val="24"/>
          <w:szCs w:val="24"/>
        </w:rPr>
        <w:t>or impose a burden on industry that outweighs the need for the data. These procedures</w:t>
      </w:r>
      <w:r w:rsidR="00A76773" w:rsidRPr="005A40B0">
        <w:rPr>
          <w:rFonts w:ascii="Times New Roman" w:hAnsi="Times New Roman"/>
          <w:sz w:val="24"/>
          <w:szCs w:val="24"/>
        </w:rPr>
        <w:t xml:space="preserve"> </w:t>
      </w:r>
      <w:r w:rsidRPr="005A40B0">
        <w:rPr>
          <w:rFonts w:ascii="Times New Roman" w:hAnsi="Times New Roman"/>
          <w:sz w:val="24"/>
          <w:szCs w:val="24"/>
        </w:rPr>
        <w:t>are for rule promulgation and implementation:</w:t>
      </w:r>
    </w:p>
    <w:p w14:paraId="082DA3A3"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59EB4D6D" w14:textId="5C446EB5" w:rsidR="00F5104E" w:rsidRPr="005A40B0" w:rsidRDefault="00F5104E" w:rsidP="005A40B0">
      <w:pPr>
        <w:pStyle w:val="ListParagraph"/>
        <w:numPr>
          <w:ilvl w:val="0"/>
          <w:numId w:val="1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 xml:space="preserve">A </w:t>
      </w:r>
      <w:r w:rsidR="00F904D6">
        <w:rPr>
          <w:rFonts w:ascii="Times New Roman" w:hAnsi="Times New Roman"/>
          <w:sz w:val="24"/>
          <w:szCs w:val="24"/>
        </w:rPr>
        <w:t xml:space="preserve">continuous </w:t>
      </w:r>
      <w:r w:rsidRPr="005A40B0">
        <w:rPr>
          <w:rFonts w:ascii="Times New Roman" w:hAnsi="Times New Roman"/>
          <w:sz w:val="24"/>
          <w:szCs w:val="24"/>
        </w:rPr>
        <w:t>evaluation of the information collection and management</w:t>
      </w:r>
      <w:r w:rsidR="00A76773" w:rsidRPr="005A40B0">
        <w:rPr>
          <w:rFonts w:ascii="Times New Roman" w:hAnsi="Times New Roman"/>
          <w:sz w:val="24"/>
          <w:szCs w:val="24"/>
        </w:rPr>
        <w:t xml:space="preserve"> </w:t>
      </w:r>
      <w:r w:rsidRPr="005A40B0">
        <w:rPr>
          <w:rFonts w:ascii="Times New Roman" w:hAnsi="Times New Roman"/>
          <w:sz w:val="24"/>
          <w:szCs w:val="24"/>
        </w:rPr>
        <w:t>activities;</w:t>
      </w:r>
    </w:p>
    <w:p w14:paraId="330624B1" w14:textId="77777777" w:rsidR="00F5104E" w:rsidRPr="005A40B0" w:rsidRDefault="00F5104E" w:rsidP="005A40B0">
      <w:pPr>
        <w:pStyle w:val="ListParagraph"/>
        <w:numPr>
          <w:ilvl w:val="0"/>
          <w:numId w:val="1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The management of the collected information;</w:t>
      </w:r>
    </w:p>
    <w:p w14:paraId="0DBA68D4" w14:textId="77777777" w:rsidR="00F5104E" w:rsidRPr="005A40B0" w:rsidRDefault="00F5104E" w:rsidP="005A40B0">
      <w:pPr>
        <w:pStyle w:val="ListParagraph"/>
        <w:numPr>
          <w:ilvl w:val="0"/>
          <w:numId w:val="1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A chemical nomination, screening and selection process; and</w:t>
      </w:r>
    </w:p>
    <w:p w14:paraId="43544E47" w14:textId="77777777" w:rsidR="00F5104E" w:rsidRPr="005A40B0" w:rsidRDefault="00F5104E" w:rsidP="005A40B0">
      <w:pPr>
        <w:pStyle w:val="ListParagraph"/>
        <w:numPr>
          <w:ilvl w:val="0"/>
          <w:numId w:val="11"/>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Technical assistance for persons subject to the rule.</w:t>
      </w:r>
    </w:p>
    <w:p w14:paraId="144BDBA7" w14:textId="77777777" w:rsidR="00A76773" w:rsidRPr="005A40B0" w:rsidRDefault="00A76773" w:rsidP="005A40B0">
      <w:pPr>
        <w:pStyle w:val="ListParagraph"/>
        <w:autoSpaceDE w:val="0"/>
        <w:autoSpaceDN w:val="0"/>
        <w:adjustRightInd w:val="0"/>
        <w:spacing w:after="0" w:line="240" w:lineRule="auto"/>
        <w:rPr>
          <w:rFonts w:ascii="Times New Roman" w:hAnsi="Times New Roman"/>
          <w:sz w:val="24"/>
          <w:szCs w:val="24"/>
        </w:rPr>
      </w:pPr>
    </w:p>
    <w:p w14:paraId="3D3651B0" w14:textId="26144D26" w:rsidR="00F5104E" w:rsidRPr="005A40B0" w:rsidRDefault="00F5104E" w:rsidP="005A40B0">
      <w:pPr>
        <w:autoSpaceDE w:val="0"/>
        <w:autoSpaceDN w:val="0"/>
        <w:adjustRightInd w:val="0"/>
        <w:spacing w:after="0" w:line="240" w:lineRule="auto"/>
        <w:ind w:firstLine="576"/>
        <w:rPr>
          <w:rFonts w:ascii="Times New Roman" w:hAnsi="Times New Roman"/>
          <w:sz w:val="24"/>
          <w:szCs w:val="24"/>
        </w:rPr>
      </w:pPr>
      <w:r w:rsidRPr="005A40B0">
        <w:rPr>
          <w:rFonts w:ascii="Times New Roman" w:hAnsi="Times New Roman"/>
          <w:sz w:val="24"/>
          <w:szCs w:val="24"/>
        </w:rPr>
        <w:t>It is unlikely that the information to be reported is duplicative because (1) EPA</w:t>
      </w:r>
      <w:r w:rsidR="00A76773" w:rsidRPr="005A40B0">
        <w:rPr>
          <w:rFonts w:ascii="Times New Roman" w:hAnsi="Times New Roman"/>
          <w:sz w:val="24"/>
          <w:szCs w:val="24"/>
        </w:rPr>
        <w:t xml:space="preserve"> </w:t>
      </w:r>
      <w:r w:rsidRPr="005A40B0">
        <w:rPr>
          <w:rFonts w:ascii="Times New Roman" w:hAnsi="Times New Roman"/>
          <w:sz w:val="24"/>
          <w:szCs w:val="24"/>
        </w:rPr>
        <w:t>estimates that each rule will generate only a few reports, (2) the information required by</w:t>
      </w:r>
      <w:r w:rsidR="00A76773" w:rsidRPr="005A40B0">
        <w:rPr>
          <w:rFonts w:ascii="Times New Roman" w:hAnsi="Times New Roman"/>
          <w:sz w:val="24"/>
          <w:szCs w:val="24"/>
        </w:rPr>
        <w:t xml:space="preserve"> </w:t>
      </w:r>
      <w:r w:rsidRPr="005A40B0">
        <w:rPr>
          <w:rFonts w:ascii="Times New Roman" w:hAnsi="Times New Roman"/>
          <w:sz w:val="24"/>
          <w:szCs w:val="24"/>
        </w:rPr>
        <w:t xml:space="preserve">the PAIR </w:t>
      </w:r>
      <w:r w:rsidR="002E3173" w:rsidRPr="005A40B0">
        <w:rPr>
          <w:rFonts w:ascii="Times New Roman" w:hAnsi="Times New Roman"/>
          <w:sz w:val="24"/>
          <w:szCs w:val="24"/>
        </w:rPr>
        <w:t xml:space="preserve">and subpart B of 40 CFR 766 </w:t>
      </w:r>
      <w:r w:rsidRPr="005A40B0">
        <w:rPr>
          <w:rFonts w:ascii="Times New Roman" w:hAnsi="Times New Roman"/>
          <w:sz w:val="24"/>
          <w:szCs w:val="24"/>
        </w:rPr>
        <w:t>is unique to the manufacturer or importer, and (3) efforts are made to ensure</w:t>
      </w:r>
      <w:r w:rsidR="00A76773" w:rsidRPr="005A40B0">
        <w:rPr>
          <w:rFonts w:ascii="Times New Roman" w:hAnsi="Times New Roman"/>
          <w:sz w:val="24"/>
          <w:szCs w:val="24"/>
        </w:rPr>
        <w:t xml:space="preserve"> </w:t>
      </w:r>
      <w:r w:rsidRPr="005A40B0">
        <w:rPr>
          <w:rFonts w:ascii="Times New Roman" w:hAnsi="Times New Roman"/>
          <w:sz w:val="24"/>
          <w:szCs w:val="24"/>
        </w:rPr>
        <w:t>that the information requested is not currently in the possession of EPA or easily obtained</w:t>
      </w:r>
      <w:r w:rsidR="00A76773" w:rsidRPr="005A40B0">
        <w:rPr>
          <w:rFonts w:ascii="Times New Roman" w:hAnsi="Times New Roman"/>
          <w:sz w:val="24"/>
          <w:szCs w:val="24"/>
        </w:rPr>
        <w:t xml:space="preserve"> </w:t>
      </w:r>
      <w:r w:rsidRPr="005A40B0">
        <w:rPr>
          <w:rFonts w:ascii="Times New Roman" w:hAnsi="Times New Roman"/>
          <w:sz w:val="24"/>
          <w:szCs w:val="24"/>
        </w:rPr>
        <w:t>by EPA from other public sources. The following databases and sources of information</w:t>
      </w:r>
      <w:r w:rsidR="00A76773" w:rsidRPr="005A40B0">
        <w:rPr>
          <w:rFonts w:ascii="Times New Roman" w:hAnsi="Times New Roman"/>
          <w:sz w:val="24"/>
          <w:szCs w:val="24"/>
        </w:rPr>
        <w:t xml:space="preserve"> </w:t>
      </w:r>
      <w:r w:rsidRPr="005A40B0">
        <w:rPr>
          <w:rFonts w:ascii="Times New Roman" w:hAnsi="Times New Roman"/>
          <w:sz w:val="24"/>
          <w:szCs w:val="24"/>
        </w:rPr>
        <w:t>are checked</w:t>
      </w:r>
      <w:r w:rsidR="00F904D6">
        <w:rPr>
          <w:rFonts w:ascii="Times New Roman" w:hAnsi="Times New Roman"/>
          <w:sz w:val="24"/>
          <w:szCs w:val="24"/>
        </w:rPr>
        <w:t xml:space="preserve"> to ensure non-duplication</w:t>
      </w:r>
      <w:r w:rsidRPr="005A40B0">
        <w:rPr>
          <w:rFonts w:ascii="Times New Roman" w:hAnsi="Times New Roman"/>
          <w:sz w:val="24"/>
          <w:szCs w:val="24"/>
        </w:rPr>
        <w:t>:</w:t>
      </w:r>
    </w:p>
    <w:p w14:paraId="67E8935E" w14:textId="77777777" w:rsidR="00A76773" w:rsidRPr="005A40B0" w:rsidRDefault="00A76773" w:rsidP="005A40B0">
      <w:pPr>
        <w:autoSpaceDE w:val="0"/>
        <w:autoSpaceDN w:val="0"/>
        <w:adjustRightInd w:val="0"/>
        <w:spacing w:after="0" w:line="240" w:lineRule="auto"/>
        <w:rPr>
          <w:rFonts w:ascii="Times New Roman" w:hAnsi="Times New Roman"/>
          <w:sz w:val="24"/>
          <w:szCs w:val="24"/>
        </w:rPr>
      </w:pPr>
    </w:p>
    <w:p w14:paraId="6EDC4870" w14:textId="499E3562" w:rsidR="004A1379" w:rsidRPr="005A40B0" w:rsidRDefault="004A1379" w:rsidP="005A40B0">
      <w:pPr>
        <w:pStyle w:val="ListParagraph"/>
        <w:numPr>
          <w:ilvl w:val="0"/>
          <w:numId w:val="33"/>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The Chemical Data Reporting (CDR) database for</w:t>
      </w:r>
      <w:r w:rsidRPr="005A40B0">
        <w:rPr>
          <w:rFonts w:ascii="Times New Roman" w:hAnsi="Times New Roman"/>
          <w:sz w:val="24"/>
          <w:szCs w:val="24"/>
          <w:lang w:val="en"/>
        </w:rPr>
        <w:t xml:space="preserve"> production and use information of chemicals in commerce. </w:t>
      </w:r>
    </w:p>
    <w:p w14:paraId="13D3D0F9" w14:textId="588020D2" w:rsidR="00F5104E" w:rsidRPr="005A40B0" w:rsidRDefault="006B544E" w:rsidP="005A40B0">
      <w:pPr>
        <w:pStyle w:val="ListParagraph"/>
        <w:numPr>
          <w:ilvl w:val="0"/>
          <w:numId w:val="33"/>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ChemView,</w:t>
      </w:r>
      <w:r w:rsidR="00F5104E" w:rsidRPr="005A40B0">
        <w:rPr>
          <w:rFonts w:ascii="Times New Roman" w:hAnsi="Times New Roman"/>
          <w:sz w:val="24"/>
          <w:szCs w:val="24"/>
        </w:rPr>
        <w:t xml:space="preserve"> a</w:t>
      </w:r>
      <w:r w:rsidRPr="005A40B0">
        <w:rPr>
          <w:rFonts w:ascii="Times New Roman" w:hAnsi="Times New Roman"/>
          <w:sz w:val="24"/>
          <w:szCs w:val="24"/>
        </w:rPr>
        <w:t xml:space="preserve"> publicly available web portal, and internal EPA data repositories</w:t>
      </w:r>
      <w:r w:rsidR="00F5104E" w:rsidRPr="005A40B0">
        <w:rPr>
          <w:rFonts w:ascii="Times New Roman" w:hAnsi="Times New Roman"/>
          <w:sz w:val="24"/>
          <w:szCs w:val="24"/>
        </w:rPr>
        <w:t xml:space="preserve"> containing information on</w:t>
      </w:r>
      <w:r w:rsidRPr="005A40B0">
        <w:rPr>
          <w:rFonts w:ascii="Times New Roman" w:hAnsi="Times New Roman"/>
          <w:sz w:val="24"/>
          <w:szCs w:val="24"/>
        </w:rPr>
        <w:t xml:space="preserve"> data received by EPA under</w:t>
      </w:r>
      <w:r w:rsidR="00F5104E" w:rsidRPr="005A40B0">
        <w:rPr>
          <w:rFonts w:ascii="Times New Roman" w:hAnsi="Times New Roman"/>
          <w:sz w:val="24"/>
          <w:szCs w:val="24"/>
        </w:rPr>
        <w:t xml:space="preserve"> TSCA;</w:t>
      </w:r>
    </w:p>
    <w:p w14:paraId="4004A3AB" w14:textId="22EC2BC3" w:rsidR="00E8280E" w:rsidRPr="005A40B0" w:rsidRDefault="00F5104E" w:rsidP="005A40B0">
      <w:pPr>
        <w:pStyle w:val="ListParagraph"/>
        <w:numPr>
          <w:ilvl w:val="0"/>
          <w:numId w:val="33"/>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The Toxic Substances Control Act Test Submissions (TSCATS) database, an online</w:t>
      </w:r>
      <w:r w:rsidR="00E8280E" w:rsidRPr="005A40B0">
        <w:rPr>
          <w:rFonts w:ascii="Times New Roman" w:hAnsi="Times New Roman"/>
          <w:sz w:val="24"/>
          <w:szCs w:val="24"/>
        </w:rPr>
        <w:t xml:space="preserve"> </w:t>
      </w:r>
      <w:r w:rsidRPr="005A40B0">
        <w:rPr>
          <w:rFonts w:ascii="Times New Roman" w:hAnsi="Times New Roman"/>
          <w:sz w:val="24"/>
          <w:szCs w:val="24"/>
        </w:rPr>
        <w:t xml:space="preserve">index </w:t>
      </w:r>
      <w:r w:rsidR="00830954">
        <w:rPr>
          <w:rFonts w:ascii="Times New Roman" w:hAnsi="Times New Roman"/>
          <w:sz w:val="24"/>
          <w:szCs w:val="24"/>
        </w:rPr>
        <w:t>of</w:t>
      </w:r>
      <w:r w:rsidRPr="005A40B0">
        <w:rPr>
          <w:rFonts w:ascii="Times New Roman" w:hAnsi="Times New Roman"/>
          <w:sz w:val="24"/>
          <w:szCs w:val="24"/>
        </w:rPr>
        <w:t xml:space="preserve"> the compiled, unpublished health and safety studies submitted to</w:t>
      </w:r>
      <w:r w:rsidR="00E8280E" w:rsidRPr="005A40B0">
        <w:rPr>
          <w:rFonts w:ascii="Times New Roman" w:hAnsi="Times New Roman"/>
          <w:sz w:val="24"/>
          <w:szCs w:val="24"/>
        </w:rPr>
        <w:t xml:space="preserve"> EPA;</w:t>
      </w:r>
    </w:p>
    <w:p w14:paraId="0D07AE57" w14:textId="77777777" w:rsidR="00F5104E" w:rsidRPr="005A40B0" w:rsidRDefault="00F5104E" w:rsidP="005A40B0">
      <w:pPr>
        <w:pStyle w:val="ListParagraph"/>
        <w:numPr>
          <w:ilvl w:val="0"/>
          <w:numId w:val="33"/>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The Registry of Toxic Effects of Chemical Substances (RTECS), a file containing</w:t>
      </w:r>
      <w:r w:rsidR="00E8280E" w:rsidRPr="005A40B0">
        <w:rPr>
          <w:rFonts w:ascii="Times New Roman" w:hAnsi="Times New Roman"/>
          <w:sz w:val="24"/>
          <w:szCs w:val="24"/>
        </w:rPr>
        <w:t xml:space="preserve"> </w:t>
      </w:r>
      <w:r w:rsidRPr="005A40B0">
        <w:rPr>
          <w:rFonts w:ascii="Times New Roman" w:hAnsi="Times New Roman"/>
          <w:sz w:val="24"/>
          <w:szCs w:val="24"/>
        </w:rPr>
        <w:t>chemical toxicity data;</w:t>
      </w:r>
    </w:p>
    <w:p w14:paraId="7AB80390" w14:textId="2061C412" w:rsidR="00F5104E" w:rsidRPr="005A40B0" w:rsidRDefault="00F5104E" w:rsidP="005A40B0">
      <w:pPr>
        <w:pStyle w:val="ListParagraph"/>
        <w:numPr>
          <w:ilvl w:val="0"/>
          <w:numId w:val="33"/>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L</w:t>
      </w:r>
      <w:r w:rsidR="00624FFC">
        <w:rPr>
          <w:rFonts w:ascii="Times New Roman" w:hAnsi="Times New Roman"/>
          <w:sz w:val="24"/>
          <w:szCs w:val="24"/>
        </w:rPr>
        <w:t>exis</w:t>
      </w:r>
      <w:r w:rsidRPr="005A40B0">
        <w:rPr>
          <w:rFonts w:ascii="Times New Roman" w:hAnsi="Times New Roman"/>
          <w:sz w:val="24"/>
          <w:szCs w:val="24"/>
        </w:rPr>
        <w:t>N</w:t>
      </w:r>
      <w:r w:rsidR="00624FFC">
        <w:rPr>
          <w:rFonts w:ascii="Times New Roman" w:hAnsi="Times New Roman"/>
          <w:sz w:val="24"/>
          <w:szCs w:val="24"/>
        </w:rPr>
        <w:t>exis</w:t>
      </w:r>
      <w:r w:rsidRPr="005A40B0">
        <w:rPr>
          <w:rFonts w:ascii="Times New Roman" w:hAnsi="Times New Roman"/>
          <w:sz w:val="24"/>
          <w:szCs w:val="24"/>
        </w:rPr>
        <w:t>, a data network with a wide range of fields including information</w:t>
      </w:r>
      <w:r w:rsidR="00E8280E" w:rsidRPr="005A40B0">
        <w:rPr>
          <w:rFonts w:ascii="Times New Roman" w:hAnsi="Times New Roman"/>
          <w:sz w:val="24"/>
          <w:szCs w:val="24"/>
        </w:rPr>
        <w:t xml:space="preserve"> </w:t>
      </w:r>
      <w:r w:rsidRPr="005A40B0">
        <w:rPr>
          <w:rFonts w:ascii="Times New Roman" w:hAnsi="Times New Roman"/>
          <w:sz w:val="24"/>
          <w:szCs w:val="24"/>
        </w:rPr>
        <w:t xml:space="preserve">published in the </w:t>
      </w:r>
      <w:r w:rsidRPr="005A40B0">
        <w:rPr>
          <w:rFonts w:ascii="Times New Roman" w:hAnsi="Times New Roman"/>
          <w:i/>
          <w:iCs/>
          <w:sz w:val="24"/>
          <w:szCs w:val="24"/>
        </w:rPr>
        <w:t xml:space="preserve">Code of Federal Regulations </w:t>
      </w:r>
      <w:r w:rsidRPr="005A40B0">
        <w:rPr>
          <w:rFonts w:ascii="Times New Roman" w:hAnsi="Times New Roman"/>
          <w:sz w:val="24"/>
          <w:szCs w:val="24"/>
        </w:rPr>
        <w:t xml:space="preserve">(CFR) and BNA’s </w:t>
      </w:r>
      <w:r w:rsidRPr="005A40B0">
        <w:rPr>
          <w:rFonts w:ascii="Times New Roman" w:hAnsi="Times New Roman"/>
          <w:i/>
          <w:iCs/>
          <w:sz w:val="24"/>
          <w:szCs w:val="24"/>
        </w:rPr>
        <w:t>Environmental</w:t>
      </w:r>
      <w:r w:rsidR="00E8280E" w:rsidRPr="005A40B0">
        <w:rPr>
          <w:rFonts w:ascii="Times New Roman" w:hAnsi="Times New Roman"/>
          <w:i/>
          <w:iCs/>
          <w:sz w:val="24"/>
          <w:szCs w:val="24"/>
        </w:rPr>
        <w:t xml:space="preserve"> </w:t>
      </w:r>
      <w:r w:rsidRPr="005A40B0">
        <w:rPr>
          <w:rFonts w:ascii="Times New Roman" w:hAnsi="Times New Roman"/>
          <w:i/>
          <w:iCs/>
          <w:sz w:val="24"/>
          <w:szCs w:val="24"/>
        </w:rPr>
        <w:t>Reporter and Chemical Regulation Reporter</w:t>
      </w:r>
      <w:r w:rsidRPr="005A40B0">
        <w:rPr>
          <w:rFonts w:ascii="Times New Roman" w:hAnsi="Times New Roman"/>
          <w:sz w:val="24"/>
          <w:szCs w:val="24"/>
        </w:rPr>
        <w:t>;</w:t>
      </w:r>
    </w:p>
    <w:p w14:paraId="006DA1DA" w14:textId="77777777" w:rsidR="00E8280E" w:rsidRPr="005A40B0" w:rsidRDefault="00F5104E" w:rsidP="005A40B0">
      <w:pPr>
        <w:pStyle w:val="ListParagraph"/>
        <w:numPr>
          <w:ilvl w:val="0"/>
          <w:numId w:val="33"/>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The Toxicology Data Network (TOXNET), run by the National Library of</w:t>
      </w:r>
      <w:r w:rsidR="00E8280E" w:rsidRPr="005A40B0">
        <w:rPr>
          <w:rFonts w:ascii="Times New Roman" w:hAnsi="Times New Roman"/>
          <w:sz w:val="24"/>
          <w:szCs w:val="24"/>
        </w:rPr>
        <w:t xml:space="preserve"> Medicine; and</w:t>
      </w:r>
    </w:p>
    <w:p w14:paraId="1D970F5D" w14:textId="77777777" w:rsidR="00E8280E" w:rsidRPr="005A40B0" w:rsidRDefault="00E8280E" w:rsidP="005A40B0">
      <w:pPr>
        <w:pStyle w:val="ListParagraph"/>
        <w:autoSpaceDE w:val="0"/>
        <w:autoSpaceDN w:val="0"/>
        <w:adjustRightInd w:val="0"/>
        <w:spacing w:after="0" w:line="240" w:lineRule="auto"/>
        <w:rPr>
          <w:rFonts w:ascii="Times New Roman" w:hAnsi="Times New Roman"/>
          <w:sz w:val="24"/>
          <w:szCs w:val="24"/>
        </w:rPr>
      </w:pPr>
    </w:p>
    <w:p w14:paraId="47352A4E" w14:textId="77777777"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Similar searches are conducted for each list of chemical substances, mixtures or</w:t>
      </w:r>
      <w:r w:rsidR="00006901" w:rsidRPr="005A40B0">
        <w:rPr>
          <w:rFonts w:ascii="Times New Roman" w:hAnsi="Times New Roman"/>
          <w:sz w:val="24"/>
          <w:szCs w:val="24"/>
        </w:rPr>
        <w:t xml:space="preserve"> </w:t>
      </w:r>
      <w:r w:rsidRPr="005A40B0">
        <w:rPr>
          <w:rFonts w:ascii="Times New Roman" w:hAnsi="Times New Roman"/>
          <w:sz w:val="24"/>
          <w:szCs w:val="24"/>
        </w:rPr>
        <w:t>categories added to the PAIR.</w:t>
      </w:r>
    </w:p>
    <w:p w14:paraId="5DA4C76A" w14:textId="77777777" w:rsidR="00006901" w:rsidRPr="005A40B0" w:rsidRDefault="00006901" w:rsidP="005A40B0">
      <w:pPr>
        <w:autoSpaceDE w:val="0"/>
        <w:autoSpaceDN w:val="0"/>
        <w:adjustRightInd w:val="0"/>
        <w:spacing w:after="0" w:line="240" w:lineRule="auto"/>
        <w:rPr>
          <w:rFonts w:ascii="Times New Roman" w:hAnsi="Times New Roman"/>
          <w:sz w:val="24"/>
          <w:szCs w:val="24"/>
        </w:rPr>
      </w:pPr>
    </w:p>
    <w:p w14:paraId="15832432" w14:textId="77777777" w:rsidR="0087505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Some chemicals in PAIR are referred to EPA by other federal agencies. These</w:t>
      </w:r>
      <w:r w:rsidR="00006901" w:rsidRPr="005A40B0">
        <w:rPr>
          <w:rFonts w:ascii="Times New Roman" w:hAnsi="Times New Roman"/>
          <w:sz w:val="24"/>
          <w:szCs w:val="24"/>
        </w:rPr>
        <w:t xml:space="preserve"> </w:t>
      </w:r>
      <w:r w:rsidRPr="005A40B0">
        <w:rPr>
          <w:rFonts w:ascii="Times New Roman" w:hAnsi="Times New Roman"/>
          <w:sz w:val="24"/>
          <w:szCs w:val="24"/>
        </w:rPr>
        <w:t>agencies conduct searches of their own databases for existing chemical information</w:t>
      </w:r>
      <w:r w:rsidR="00006901" w:rsidRPr="005A40B0">
        <w:rPr>
          <w:rFonts w:ascii="Times New Roman" w:hAnsi="Times New Roman"/>
          <w:sz w:val="24"/>
          <w:szCs w:val="24"/>
        </w:rPr>
        <w:t xml:space="preserve"> </w:t>
      </w:r>
      <w:r w:rsidRPr="005A40B0">
        <w:rPr>
          <w:rFonts w:ascii="Times New Roman" w:hAnsi="Times New Roman"/>
          <w:sz w:val="24"/>
          <w:szCs w:val="24"/>
        </w:rPr>
        <w:t>before they refer any chemical to EPA. Referrals are made to EPA only after a decision</w:t>
      </w:r>
      <w:r w:rsidR="00006901" w:rsidRPr="005A40B0">
        <w:rPr>
          <w:rFonts w:ascii="Times New Roman" w:hAnsi="Times New Roman"/>
          <w:sz w:val="24"/>
          <w:szCs w:val="24"/>
        </w:rPr>
        <w:t xml:space="preserve"> </w:t>
      </w:r>
      <w:r w:rsidRPr="005A40B0">
        <w:rPr>
          <w:rFonts w:ascii="Times New Roman" w:hAnsi="Times New Roman"/>
          <w:sz w:val="24"/>
          <w:szCs w:val="24"/>
        </w:rPr>
        <w:t>has been made that an agency’s existing chemical information is inadequate to meet its</w:t>
      </w:r>
      <w:r w:rsidR="00006901" w:rsidRPr="005A40B0">
        <w:rPr>
          <w:rFonts w:ascii="Times New Roman" w:hAnsi="Times New Roman"/>
          <w:sz w:val="24"/>
          <w:szCs w:val="24"/>
        </w:rPr>
        <w:t xml:space="preserve"> </w:t>
      </w:r>
      <w:r w:rsidRPr="005A40B0">
        <w:rPr>
          <w:rFonts w:ascii="Times New Roman" w:hAnsi="Times New Roman"/>
          <w:sz w:val="24"/>
          <w:szCs w:val="24"/>
        </w:rPr>
        <w:t>needs.</w:t>
      </w:r>
      <w:bookmarkStart w:id="2" w:name="_Ref293299978"/>
    </w:p>
    <w:p w14:paraId="63106136" w14:textId="77777777" w:rsidR="0087505E" w:rsidRPr="005A40B0" w:rsidRDefault="0087505E" w:rsidP="005A40B0">
      <w:pPr>
        <w:spacing w:after="0" w:line="240" w:lineRule="auto"/>
        <w:rPr>
          <w:rFonts w:ascii="Times New Roman" w:hAnsi="Times New Roman"/>
          <w:sz w:val="24"/>
          <w:szCs w:val="24"/>
        </w:rPr>
      </w:pPr>
    </w:p>
    <w:p w14:paraId="066E46A9" w14:textId="12196303" w:rsidR="00282FEF" w:rsidRDefault="00282FEF" w:rsidP="005A40B0">
      <w:pPr>
        <w:spacing w:after="0" w:line="240" w:lineRule="auto"/>
        <w:ind w:firstLine="720"/>
        <w:rPr>
          <w:rFonts w:ascii="Times New Roman" w:hAnsi="Times New Roman"/>
          <w:b/>
          <w:sz w:val="24"/>
          <w:szCs w:val="24"/>
        </w:rPr>
      </w:pPr>
      <w:r w:rsidRPr="005A40B0">
        <w:rPr>
          <w:rFonts w:ascii="Times New Roman" w:hAnsi="Times New Roman"/>
          <w:b/>
          <w:sz w:val="24"/>
          <w:szCs w:val="24"/>
        </w:rPr>
        <w:t>3(b)</w:t>
      </w:r>
      <w:r w:rsidRPr="005A40B0">
        <w:rPr>
          <w:rFonts w:ascii="Times New Roman" w:hAnsi="Times New Roman"/>
          <w:b/>
          <w:sz w:val="24"/>
          <w:szCs w:val="24"/>
        </w:rPr>
        <w:tab/>
      </w:r>
      <w:r w:rsidR="00F5104E" w:rsidRPr="005A40B0">
        <w:rPr>
          <w:rFonts w:ascii="Times New Roman" w:hAnsi="Times New Roman"/>
          <w:b/>
          <w:sz w:val="24"/>
          <w:szCs w:val="24"/>
        </w:rPr>
        <w:t>Public Notice Required Prior to ICR Submission to OMB</w:t>
      </w:r>
      <w:bookmarkEnd w:id="2"/>
    </w:p>
    <w:p w14:paraId="72F832FF" w14:textId="77777777" w:rsidR="00584DC7" w:rsidRPr="005A40B0" w:rsidRDefault="00584DC7" w:rsidP="005A40B0">
      <w:pPr>
        <w:spacing w:after="0" w:line="240" w:lineRule="auto"/>
        <w:ind w:firstLine="720"/>
        <w:rPr>
          <w:rFonts w:ascii="Times New Roman" w:hAnsi="Times New Roman"/>
          <w:sz w:val="24"/>
          <w:szCs w:val="24"/>
        </w:rPr>
      </w:pPr>
    </w:p>
    <w:p w14:paraId="4AFEF60A" w14:textId="156FF67A" w:rsidR="00584DC7" w:rsidRDefault="00B33CA3" w:rsidP="005A40B0">
      <w:pPr>
        <w:spacing w:after="0" w:line="240" w:lineRule="auto"/>
        <w:ind w:firstLine="720"/>
        <w:rPr>
          <w:rFonts w:ascii="Times New Roman" w:hAnsi="Times New Roman"/>
          <w:sz w:val="24"/>
          <w:szCs w:val="24"/>
        </w:rPr>
      </w:pPr>
      <w:r w:rsidRPr="00B33CA3">
        <w:rPr>
          <w:rFonts w:ascii="Times New Roman" w:hAnsi="Times New Roman"/>
          <w:sz w:val="24"/>
          <w:szCs w:val="24"/>
        </w:rPr>
        <w:t>In proposing to renew this ICR, EPA provided a 60-day public notice and comment</w:t>
      </w:r>
      <w:r>
        <w:rPr>
          <w:rFonts w:ascii="Times New Roman" w:hAnsi="Times New Roman"/>
          <w:sz w:val="24"/>
          <w:szCs w:val="24"/>
        </w:rPr>
        <w:t xml:space="preserve"> period that ended on October 29</w:t>
      </w:r>
      <w:r w:rsidRPr="00B33CA3">
        <w:rPr>
          <w:rFonts w:ascii="Times New Roman" w:hAnsi="Times New Roman"/>
          <w:sz w:val="24"/>
          <w:szCs w:val="24"/>
        </w:rPr>
        <w:t>, 2018</w:t>
      </w:r>
      <w:r>
        <w:rPr>
          <w:rFonts w:ascii="Times New Roman" w:hAnsi="Times New Roman"/>
          <w:sz w:val="24"/>
          <w:szCs w:val="24"/>
        </w:rPr>
        <w:t xml:space="preserve"> (83 FR 44045, August 29</w:t>
      </w:r>
      <w:r w:rsidRPr="00B33CA3">
        <w:rPr>
          <w:rFonts w:ascii="Times New Roman" w:hAnsi="Times New Roman"/>
          <w:sz w:val="24"/>
          <w:szCs w:val="24"/>
        </w:rPr>
        <w:t>, 2018). EPA received no public comments in response to this notice.</w:t>
      </w:r>
    </w:p>
    <w:p w14:paraId="7E001D44" w14:textId="77777777" w:rsidR="00B33CA3" w:rsidRPr="005A40B0" w:rsidRDefault="00B33CA3" w:rsidP="005A40B0">
      <w:pPr>
        <w:spacing w:after="0" w:line="240" w:lineRule="auto"/>
        <w:ind w:firstLine="720"/>
        <w:rPr>
          <w:rFonts w:ascii="Times New Roman" w:hAnsi="Times New Roman"/>
          <w:sz w:val="24"/>
          <w:szCs w:val="24"/>
        </w:rPr>
      </w:pPr>
    </w:p>
    <w:p w14:paraId="4FC6026C" w14:textId="77777777" w:rsidR="00282FEF" w:rsidRPr="005A40B0" w:rsidRDefault="00282FEF" w:rsidP="005A40B0">
      <w:pPr>
        <w:pStyle w:val="Heading2"/>
        <w:numPr>
          <w:ilvl w:val="0"/>
          <w:numId w:val="0"/>
        </w:numPr>
        <w:spacing w:before="0" w:line="240" w:lineRule="auto"/>
        <w:ind w:firstLine="720"/>
        <w:rPr>
          <w:rFonts w:ascii="Times New Roman" w:hAnsi="Times New Roman"/>
          <w:sz w:val="24"/>
          <w:szCs w:val="24"/>
        </w:rPr>
      </w:pPr>
      <w:r w:rsidRPr="005A40B0">
        <w:rPr>
          <w:rFonts w:ascii="Times New Roman" w:hAnsi="Times New Roman"/>
          <w:color w:val="auto"/>
          <w:sz w:val="24"/>
          <w:szCs w:val="24"/>
        </w:rPr>
        <w:t>3(c)</w:t>
      </w:r>
      <w:r w:rsidRPr="005A40B0">
        <w:rPr>
          <w:rFonts w:ascii="Times New Roman" w:hAnsi="Times New Roman"/>
          <w:color w:val="auto"/>
          <w:sz w:val="24"/>
          <w:szCs w:val="24"/>
        </w:rPr>
        <w:tab/>
      </w:r>
      <w:r w:rsidR="00F5104E" w:rsidRPr="005A40B0">
        <w:rPr>
          <w:rFonts w:ascii="Times New Roman" w:hAnsi="Times New Roman"/>
          <w:color w:val="auto"/>
          <w:sz w:val="24"/>
          <w:szCs w:val="24"/>
        </w:rPr>
        <w:t>Consultations</w:t>
      </w:r>
    </w:p>
    <w:p w14:paraId="7A57BD60" w14:textId="77777777" w:rsidR="004D09E3" w:rsidRPr="005A40B0" w:rsidRDefault="004D09E3" w:rsidP="005A40B0">
      <w:pPr>
        <w:widowControl w:val="0"/>
        <w:autoSpaceDE w:val="0"/>
        <w:autoSpaceDN w:val="0"/>
        <w:adjustRightInd w:val="0"/>
        <w:spacing w:after="0" w:line="240" w:lineRule="auto"/>
        <w:ind w:firstLine="720"/>
        <w:rPr>
          <w:rFonts w:ascii="Times New Roman" w:eastAsia="Times New Roman" w:hAnsi="Times New Roman"/>
          <w:sz w:val="24"/>
          <w:szCs w:val="24"/>
        </w:rPr>
      </w:pPr>
    </w:p>
    <w:p w14:paraId="17B14D73" w14:textId="77777777" w:rsidR="00B33CA3" w:rsidRDefault="00B33CA3" w:rsidP="00B33CA3">
      <w:pPr>
        <w:pStyle w:val="NoSpacing"/>
        <w:ind w:firstLine="720"/>
        <w:rPr>
          <w:rFonts w:ascii="Times New Roman" w:hAnsi="Times New Roman"/>
          <w:sz w:val="24"/>
          <w:szCs w:val="24"/>
        </w:rPr>
      </w:pPr>
      <w:r>
        <w:rPr>
          <w:rFonts w:ascii="Times New Roman" w:hAnsi="Times New Roman"/>
          <w:sz w:val="24"/>
          <w:szCs w:val="24"/>
        </w:rPr>
        <w:t xml:space="preserve">Additionally, under 5 CFR 1320.8(d)(1), OMB requires agencies to consult with </w:t>
      </w:r>
    </w:p>
    <w:p w14:paraId="07F4E928" w14:textId="77777777" w:rsidR="00B33CA3" w:rsidRDefault="00B33CA3" w:rsidP="00B33CA3">
      <w:pPr>
        <w:pStyle w:val="NoSpacing"/>
        <w:rPr>
          <w:rFonts w:ascii="Times New Roman" w:hAnsi="Times New Roman"/>
          <w:sz w:val="24"/>
          <w:szCs w:val="24"/>
        </w:rPr>
      </w:pPr>
      <w:r>
        <w:rPr>
          <w:rFonts w:ascii="Times New Roman" w:hAnsi="Times New Roman"/>
          <w:sz w:val="24"/>
          <w:szCs w:val="24"/>
        </w:rPr>
        <w:t xml:space="preserve">potential ICR respondents and information users about specific aspects of ICRs before submitting an ICR to OMB for review and approval. In accordance with this regulation, EPA submitted questions to several interested parties via e-mail. The individuals </w:t>
      </w:r>
    </w:p>
    <w:p w14:paraId="59A155BB" w14:textId="77777777" w:rsidR="00B33CA3" w:rsidRDefault="00B33CA3" w:rsidP="00B33CA3">
      <w:pPr>
        <w:pStyle w:val="BodyTextFirstIndent"/>
        <w:ind w:firstLine="0"/>
      </w:pPr>
      <w:r>
        <w:t>contacted were:</w:t>
      </w:r>
    </w:p>
    <w:p w14:paraId="3FAC29CB"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Mike Walls, Vice President</w:t>
      </w:r>
    </w:p>
    <w:p w14:paraId="157C2ED0"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 Regulatory and Technical Affairs </w:t>
      </w:r>
    </w:p>
    <w:p w14:paraId="5E93AF84"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American Chemistry Council Inc. </w:t>
      </w:r>
    </w:p>
    <w:p w14:paraId="299A3B57"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700 2nd Street N.E. </w:t>
      </w:r>
    </w:p>
    <w:p w14:paraId="57859518"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Washington, D.C. 20002 </w:t>
      </w:r>
    </w:p>
    <w:p w14:paraId="64BF318A"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(202) 249-6400 </w:t>
      </w:r>
    </w:p>
    <w:p w14:paraId="4374E672" w14:textId="626EBB92"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E-mail: mike_walls@americanchemistry.com </w:t>
      </w:r>
    </w:p>
    <w:p w14:paraId="641D6329" w14:textId="77777777" w:rsidR="00B33CA3" w:rsidRPr="00EF2533" w:rsidRDefault="00B33CA3" w:rsidP="00B33CA3">
      <w:pPr>
        <w:spacing w:after="0" w:line="240" w:lineRule="auto"/>
        <w:rPr>
          <w:rFonts w:ascii="Times New Roman" w:hAnsi="Times New Roman"/>
          <w:sz w:val="24"/>
          <w:szCs w:val="24"/>
        </w:rPr>
      </w:pPr>
    </w:p>
    <w:p w14:paraId="74502ABD" w14:textId="3D82F5D3"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Matthew Moedritzer, Manager </w:t>
      </w:r>
    </w:p>
    <w:p w14:paraId="749A453B"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Legal and Governmental Relations </w:t>
      </w:r>
    </w:p>
    <w:p w14:paraId="1D0CA72B"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Society of Chemical Manufacturers and Affiliates (SOCMA)</w:t>
      </w:r>
    </w:p>
    <w:p w14:paraId="47B673BD"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1400 Crystal Drive, Suite 630 </w:t>
      </w:r>
    </w:p>
    <w:p w14:paraId="70B5B362"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Arlington, VA 22202 </w:t>
      </w:r>
    </w:p>
    <w:p w14:paraId="3FCB7CC1"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(571) 348-5123 </w:t>
      </w:r>
    </w:p>
    <w:p w14:paraId="02456B4F" w14:textId="2D8D2138"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E-mail: moedritzerm@socma.com </w:t>
      </w:r>
    </w:p>
    <w:p w14:paraId="4575AB97" w14:textId="77777777" w:rsidR="00B33CA3" w:rsidRPr="00EF2533" w:rsidRDefault="00B33CA3" w:rsidP="00B33CA3">
      <w:pPr>
        <w:spacing w:after="0" w:line="240" w:lineRule="auto"/>
        <w:rPr>
          <w:rFonts w:ascii="Times New Roman" w:hAnsi="Times New Roman"/>
          <w:sz w:val="24"/>
          <w:szCs w:val="24"/>
        </w:rPr>
      </w:pPr>
    </w:p>
    <w:p w14:paraId="37FFDC64"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Dan Turner </w:t>
      </w:r>
    </w:p>
    <w:p w14:paraId="146F5DE3"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Media Relations </w:t>
      </w:r>
    </w:p>
    <w:p w14:paraId="10C86B16"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DowDupont </w:t>
      </w:r>
    </w:p>
    <w:p w14:paraId="4C4E0ECC"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974 Centre Road </w:t>
      </w:r>
    </w:p>
    <w:p w14:paraId="65B7AD1F"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Wilmington, DE 19805 </w:t>
      </w:r>
    </w:p>
    <w:p w14:paraId="187FBDB8"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302-996-8372 </w:t>
      </w:r>
    </w:p>
    <w:p w14:paraId="00ADF192" w14:textId="2D5949AE"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E-mail: Daniel.a.Turner@dupont.com</w:t>
      </w:r>
    </w:p>
    <w:p w14:paraId="1CD6B0DD"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 </w:t>
      </w:r>
    </w:p>
    <w:p w14:paraId="06F05237" w14:textId="4C8EC98B"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Derek Swick, Senior Policy Advisor </w:t>
      </w:r>
    </w:p>
    <w:p w14:paraId="40E43301"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Regulatory and Scientific Affairs </w:t>
      </w:r>
    </w:p>
    <w:p w14:paraId="58C88EBB"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American Petroleum Institute </w:t>
      </w:r>
    </w:p>
    <w:p w14:paraId="4481A68C"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1220 L Street N.W. </w:t>
      </w:r>
    </w:p>
    <w:p w14:paraId="574E7E2E"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Washington, D.C. 20005-4070 </w:t>
      </w:r>
    </w:p>
    <w:p w14:paraId="645F01E8"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(202) 682-8341 </w:t>
      </w:r>
    </w:p>
    <w:p w14:paraId="3FAD9458" w14:textId="382D1EC3"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E-mail: swickd@api.org </w:t>
      </w:r>
    </w:p>
    <w:p w14:paraId="4B92728D" w14:textId="77777777" w:rsidR="00B33CA3" w:rsidRPr="00EF2533" w:rsidRDefault="00B33CA3" w:rsidP="00B33CA3">
      <w:pPr>
        <w:spacing w:after="0" w:line="240" w:lineRule="auto"/>
        <w:rPr>
          <w:rFonts w:ascii="Times New Roman" w:hAnsi="Times New Roman"/>
          <w:sz w:val="24"/>
          <w:szCs w:val="24"/>
        </w:rPr>
      </w:pPr>
    </w:p>
    <w:p w14:paraId="05FC8F66"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Melissa Scanlan Co-Founder and Director, New Economy Law Center </w:t>
      </w:r>
    </w:p>
    <w:p w14:paraId="766D7C3F"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Professor of Law </w:t>
      </w:r>
    </w:p>
    <w:p w14:paraId="1A7CF8BF" w14:textId="77777777" w:rsidR="00B33CA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Environmental Law Center, Vermont Law School </w:t>
      </w:r>
    </w:p>
    <w:p w14:paraId="640EBB01"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164 Chelsea St, PO Box 96 </w:t>
      </w:r>
    </w:p>
    <w:p w14:paraId="56EDF031"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South Royalton, VT 05068 </w:t>
      </w:r>
    </w:p>
    <w:p w14:paraId="6DC80AF8"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Tel: (802) 831-1066</w:t>
      </w:r>
    </w:p>
    <w:p w14:paraId="43FFB3EA" w14:textId="059F7206"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 E-mail: </w:t>
      </w:r>
      <w:r w:rsidR="00EF2533" w:rsidRPr="00EF2533">
        <w:rPr>
          <w:rFonts w:ascii="Times New Roman" w:hAnsi="Times New Roman"/>
          <w:sz w:val="24"/>
          <w:szCs w:val="24"/>
        </w:rPr>
        <w:t>MSCANLAN@vermontlaw.edu</w:t>
      </w:r>
      <w:r w:rsidRPr="00EF2533">
        <w:rPr>
          <w:rFonts w:ascii="Times New Roman" w:hAnsi="Times New Roman"/>
          <w:sz w:val="24"/>
          <w:szCs w:val="24"/>
        </w:rPr>
        <w:t xml:space="preserve"> </w:t>
      </w:r>
    </w:p>
    <w:p w14:paraId="6DEE0E94" w14:textId="77777777" w:rsidR="00EF2533" w:rsidRPr="00EF2533" w:rsidRDefault="00EF2533" w:rsidP="00B33CA3">
      <w:pPr>
        <w:spacing w:after="0" w:line="240" w:lineRule="auto"/>
        <w:rPr>
          <w:rFonts w:ascii="Times New Roman" w:hAnsi="Times New Roman"/>
          <w:sz w:val="24"/>
          <w:szCs w:val="24"/>
        </w:rPr>
      </w:pPr>
    </w:p>
    <w:p w14:paraId="2F3FF15D"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Stacy Cooks Data Specialist </w:t>
      </w:r>
    </w:p>
    <w:p w14:paraId="0816C97C"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Asthma &amp; Allergy Foundation of America </w:t>
      </w:r>
    </w:p>
    <w:p w14:paraId="3F3A2B0C"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8201 Corporate Dr. </w:t>
      </w:r>
    </w:p>
    <w:p w14:paraId="482D7EEC"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Landover, MD 20785 </w:t>
      </w:r>
    </w:p>
    <w:p w14:paraId="68357A92"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(202) 466-7643 </w:t>
      </w:r>
    </w:p>
    <w:p w14:paraId="75D2333B" w14:textId="22F35808"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E-mail: </w:t>
      </w:r>
      <w:r w:rsidR="00EF2533" w:rsidRPr="00EF2533">
        <w:rPr>
          <w:rFonts w:ascii="Times New Roman" w:hAnsi="Times New Roman"/>
          <w:sz w:val="24"/>
          <w:szCs w:val="24"/>
        </w:rPr>
        <w:t>stacy@aafa.org</w:t>
      </w:r>
      <w:r w:rsidRPr="00EF2533">
        <w:rPr>
          <w:rFonts w:ascii="Times New Roman" w:hAnsi="Times New Roman"/>
          <w:sz w:val="24"/>
          <w:szCs w:val="24"/>
        </w:rPr>
        <w:t xml:space="preserve"> </w:t>
      </w:r>
    </w:p>
    <w:p w14:paraId="26E5C1F1" w14:textId="77777777" w:rsidR="00EF2533" w:rsidRPr="00EF2533" w:rsidRDefault="00EF2533" w:rsidP="00B33CA3">
      <w:pPr>
        <w:spacing w:after="0" w:line="240" w:lineRule="auto"/>
        <w:rPr>
          <w:rFonts w:ascii="Times New Roman" w:hAnsi="Times New Roman"/>
          <w:sz w:val="24"/>
          <w:szCs w:val="24"/>
        </w:rPr>
      </w:pPr>
    </w:p>
    <w:p w14:paraId="6685B39F"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Sharyn Stein </w:t>
      </w:r>
    </w:p>
    <w:p w14:paraId="2F8C4CD6"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Environmental Defense Fund </w:t>
      </w:r>
    </w:p>
    <w:p w14:paraId="3FBA51E9"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Media contact </w:t>
      </w:r>
    </w:p>
    <w:p w14:paraId="15B7159B"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1875 Connecticut Ave, NW </w:t>
      </w:r>
    </w:p>
    <w:p w14:paraId="2F69FDE6"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Washington, DC 20009 </w:t>
      </w:r>
    </w:p>
    <w:p w14:paraId="3C815B51"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(202) 572-3396 </w:t>
      </w:r>
    </w:p>
    <w:p w14:paraId="0BF786BA" w14:textId="45A0EA3B"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E-mail: </w:t>
      </w:r>
      <w:r w:rsidR="00EF2533" w:rsidRPr="00EF2533">
        <w:rPr>
          <w:rFonts w:ascii="Times New Roman" w:hAnsi="Times New Roman"/>
          <w:sz w:val="24"/>
          <w:szCs w:val="24"/>
        </w:rPr>
        <w:t>sstein@edf.org</w:t>
      </w:r>
      <w:r w:rsidRPr="00EF2533">
        <w:rPr>
          <w:rFonts w:ascii="Times New Roman" w:hAnsi="Times New Roman"/>
          <w:sz w:val="24"/>
          <w:szCs w:val="24"/>
        </w:rPr>
        <w:t xml:space="preserve"> </w:t>
      </w:r>
    </w:p>
    <w:p w14:paraId="384313F3" w14:textId="77777777" w:rsidR="00EF2533" w:rsidRPr="00EF2533" w:rsidRDefault="00EF2533" w:rsidP="00B33CA3">
      <w:pPr>
        <w:spacing w:after="0" w:line="240" w:lineRule="auto"/>
        <w:rPr>
          <w:rFonts w:ascii="Times New Roman" w:hAnsi="Times New Roman"/>
          <w:sz w:val="24"/>
          <w:szCs w:val="24"/>
        </w:rPr>
      </w:pPr>
    </w:p>
    <w:p w14:paraId="2AF3AD3E"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Ken Cook President and Co-Founder </w:t>
      </w:r>
    </w:p>
    <w:p w14:paraId="6EDA3538"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Environmental Working Group </w:t>
      </w:r>
    </w:p>
    <w:p w14:paraId="4B5F072D"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500 Washington, St. </w:t>
      </w:r>
    </w:p>
    <w:p w14:paraId="69391238"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San Francisco, CA 94111 </w:t>
      </w:r>
    </w:p>
    <w:p w14:paraId="499987E8"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(415) 963-0750 </w:t>
      </w:r>
    </w:p>
    <w:p w14:paraId="6838B9BC" w14:textId="3A01C2F6"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E-mail: </w:t>
      </w:r>
      <w:r w:rsidR="00EF2533" w:rsidRPr="00EF2533">
        <w:rPr>
          <w:rFonts w:ascii="Times New Roman" w:hAnsi="Times New Roman"/>
          <w:sz w:val="24"/>
          <w:szCs w:val="24"/>
        </w:rPr>
        <w:t>ken@ewg.org</w:t>
      </w:r>
      <w:r w:rsidRPr="00EF2533">
        <w:rPr>
          <w:rFonts w:ascii="Times New Roman" w:hAnsi="Times New Roman"/>
          <w:sz w:val="24"/>
          <w:szCs w:val="24"/>
        </w:rPr>
        <w:t xml:space="preserve"> </w:t>
      </w:r>
    </w:p>
    <w:p w14:paraId="3312BD14" w14:textId="77777777" w:rsidR="00EF2533" w:rsidRPr="00EF2533" w:rsidRDefault="00EF2533" w:rsidP="00B33CA3">
      <w:pPr>
        <w:spacing w:after="0" w:line="240" w:lineRule="auto"/>
        <w:rPr>
          <w:rFonts w:ascii="Times New Roman" w:hAnsi="Times New Roman"/>
          <w:sz w:val="24"/>
          <w:szCs w:val="24"/>
        </w:rPr>
      </w:pPr>
    </w:p>
    <w:p w14:paraId="39C71452"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David Goldston Director, Government Affairs</w:t>
      </w:r>
    </w:p>
    <w:p w14:paraId="536E4424"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Natural Resources Defense Council </w:t>
      </w:r>
    </w:p>
    <w:p w14:paraId="05C89A57"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1152 15th Street, NW </w:t>
      </w:r>
    </w:p>
    <w:p w14:paraId="4E051970" w14:textId="34ADACBD"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Washington, DC 20005 </w:t>
      </w:r>
    </w:p>
    <w:p w14:paraId="524B2C0A" w14:textId="77777777" w:rsidR="00EF2533" w:rsidRPr="00EF2533" w:rsidRDefault="00B33CA3" w:rsidP="00B33CA3">
      <w:pPr>
        <w:spacing w:after="0" w:line="240" w:lineRule="auto"/>
        <w:rPr>
          <w:rFonts w:ascii="Times New Roman" w:hAnsi="Times New Roman"/>
          <w:sz w:val="24"/>
          <w:szCs w:val="24"/>
        </w:rPr>
      </w:pPr>
      <w:r w:rsidRPr="00EF2533">
        <w:rPr>
          <w:rFonts w:ascii="Times New Roman" w:hAnsi="Times New Roman"/>
          <w:sz w:val="24"/>
          <w:szCs w:val="24"/>
        </w:rPr>
        <w:t xml:space="preserve">Tel: 202-289-2194 (Mai Ichihara, program assistant) </w:t>
      </w:r>
    </w:p>
    <w:p w14:paraId="00325E76" w14:textId="736DC9F9" w:rsidR="00EF2533" w:rsidRPr="00EF2533" w:rsidRDefault="00EF2533" w:rsidP="00B33CA3">
      <w:pPr>
        <w:spacing w:after="0" w:line="240" w:lineRule="auto"/>
        <w:rPr>
          <w:rFonts w:ascii="Times New Roman" w:hAnsi="Times New Roman"/>
          <w:sz w:val="24"/>
          <w:szCs w:val="24"/>
        </w:rPr>
      </w:pPr>
      <w:r w:rsidRPr="00EF2533">
        <w:rPr>
          <w:rFonts w:ascii="Times New Roman" w:hAnsi="Times New Roman"/>
          <w:sz w:val="24"/>
          <w:szCs w:val="24"/>
        </w:rPr>
        <w:t>michihara@nrdc.org</w:t>
      </w:r>
      <w:r w:rsidR="00B33CA3" w:rsidRPr="00EF2533">
        <w:rPr>
          <w:rFonts w:ascii="Times New Roman" w:hAnsi="Times New Roman"/>
          <w:sz w:val="24"/>
          <w:szCs w:val="24"/>
        </w:rPr>
        <w:t xml:space="preserve"> </w:t>
      </w:r>
    </w:p>
    <w:p w14:paraId="5B04CDE3" w14:textId="65DAB560" w:rsidR="00EF2533" w:rsidRPr="00EF2533" w:rsidRDefault="00EF2533" w:rsidP="00B33CA3">
      <w:pPr>
        <w:spacing w:after="0" w:line="240" w:lineRule="auto"/>
        <w:rPr>
          <w:rFonts w:ascii="Times New Roman" w:hAnsi="Times New Roman"/>
          <w:sz w:val="24"/>
          <w:szCs w:val="24"/>
        </w:rPr>
      </w:pPr>
    </w:p>
    <w:p w14:paraId="126D16AB" w14:textId="595E0730" w:rsidR="00EF2533" w:rsidRDefault="00EF2533" w:rsidP="00B33CA3">
      <w:pPr>
        <w:spacing w:after="0" w:line="240" w:lineRule="auto"/>
        <w:rPr>
          <w:rFonts w:ascii="Times New Roman" w:hAnsi="Times New Roman"/>
          <w:sz w:val="24"/>
          <w:szCs w:val="24"/>
        </w:rPr>
      </w:pPr>
      <w:r w:rsidRPr="00EF2533">
        <w:rPr>
          <w:rFonts w:ascii="Times New Roman" w:hAnsi="Times New Roman"/>
          <w:sz w:val="24"/>
          <w:szCs w:val="24"/>
        </w:rPr>
        <w:t xml:space="preserve">EPA received no responses to its consultation correspondence. </w:t>
      </w:r>
    </w:p>
    <w:p w14:paraId="0746B41A" w14:textId="77777777" w:rsidR="00FC4076" w:rsidRPr="00EF2533" w:rsidRDefault="00FC4076" w:rsidP="00B33CA3">
      <w:pPr>
        <w:spacing w:after="0" w:line="240" w:lineRule="auto"/>
        <w:rPr>
          <w:rFonts w:ascii="Times New Roman" w:hAnsi="Times New Roman"/>
          <w:sz w:val="24"/>
          <w:szCs w:val="24"/>
        </w:rPr>
      </w:pPr>
    </w:p>
    <w:p w14:paraId="5D074E40" w14:textId="77777777" w:rsidR="00E43B77" w:rsidRPr="005A40B0" w:rsidRDefault="00282FEF" w:rsidP="005A40B0">
      <w:pPr>
        <w:pStyle w:val="Heading2"/>
        <w:numPr>
          <w:ilvl w:val="0"/>
          <w:numId w:val="0"/>
        </w:numPr>
        <w:spacing w:before="0" w:line="240" w:lineRule="auto"/>
        <w:ind w:firstLine="720"/>
        <w:rPr>
          <w:rFonts w:ascii="Times New Roman" w:hAnsi="Times New Roman"/>
          <w:sz w:val="24"/>
          <w:szCs w:val="24"/>
        </w:rPr>
      </w:pPr>
      <w:r w:rsidRPr="005A40B0">
        <w:rPr>
          <w:rFonts w:ascii="Times New Roman" w:hAnsi="Times New Roman"/>
          <w:color w:val="auto"/>
          <w:sz w:val="24"/>
          <w:szCs w:val="24"/>
        </w:rPr>
        <w:t>3(d)</w:t>
      </w:r>
      <w:r w:rsidRPr="005A40B0">
        <w:rPr>
          <w:rFonts w:ascii="Times New Roman" w:hAnsi="Times New Roman"/>
          <w:color w:val="auto"/>
          <w:sz w:val="24"/>
          <w:szCs w:val="24"/>
        </w:rPr>
        <w:tab/>
      </w:r>
      <w:r w:rsidR="00F5104E" w:rsidRPr="005A40B0">
        <w:rPr>
          <w:rFonts w:ascii="Times New Roman" w:hAnsi="Times New Roman"/>
          <w:color w:val="auto"/>
          <w:sz w:val="24"/>
          <w:szCs w:val="24"/>
        </w:rPr>
        <w:t>Effects of Less Frequent Collection</w:t>
      </w:r>
      <w:r w:rsidR="00E43B77" w:rsidRPr="005A40B0">
        <w:rPr>
          <w:rFonts w:ascii="Times New Roman" w:hAnsi="Times New Roman"/>
          <w:sz w:val="24"/>
          <w:szCs w:val="24"/>
        </w:rPr>
        <w:br/>
      </w:r>
    </w:p>
    <w:p w14:paraId="7C51D34D" w14:textId="5AC47D0F" w:rsidR="007B5C3C"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Under PAIR</w:t>
      </w:r>
      <w:r w:rsidR="002E3173" w:rsidRPr="002E3173">
        <w:rPr>
          <w:rFonts w:ascii="Times New Roman" w:hAnsi="Times New Roman"/>
          <w:sz w:val="24"/>
          <w:szCs w:val="24"/>
        </w:rPr>
        <w:t xml:space="preserve"> </w:t>
      </w:r>
      <w:r w:rsidR="002E3173">
        <w:rPr>
          <w:rFonts w:ascii="Times New Roman" w:hAnsi="Times New Roman"/>
          <w:sz w:val="24"/>
          <w:szCs w:val="24"/>
        </w:rPr>
        <w:t>or</w:t>
      </w:r>
      <w:r w:rsidR="002E3173" w:rsidRPr="005A40B0">
        <w:rPr>
          <w:rFonts w:ascii="Times New Roman" w:hAnsi="Times New Roman"/>
          <w:sz w:val="24"/>
          <w:szCs w:val="24"/>
        </w:rPr>
        <w:t xml:space="preserve"> subpart B of 40 CFR 766</w:t>
      </w:r>
      <w:r w:rsidRPr="005A40B0">
        <w:rPr>
          <w:rFonts w:ascii="Times New Roman" w:hAnsi="Times New Roman"/>
          <w:sz w:val="24"/>
          <w:szCs w:val="24"/>
        </w:rPr>
        <w:t>, persons are required to report only once for a chemical listed in the</w:t>
      </w:r>
      <w:r w:rsidR="00006901" w:rsidRPr="005A40B0">
        <w:rPr>
          <w:rFonts w:ascii="Times New Roman" w:hAnsi="Times New Roman"/>
          <w:sz w:val="24"/>
          <w:szCs w:val="24"/>
        </w:rPr>
        <w:t xml:space="preserve"> </w:t>
      </w:r>
      <w:r w:rsidRPr="005A40B0">
        <w:rPr>
          <w:rFonts w:ascii="Times New Roman" w:hAnsi="Times New Roman"/>
          <w:sz w:val="24"/>
          <w:szCs w:val="24"/>
        </w:rPr>
        <w:t>PAIR</w:t>
      </w:r>
      <w:r w:rsidR="002E3173" w:rsidRPr="002E3173">
        <w:rPr>
          <w:rFonts w:ascii="Times New Roman" w:hAnsi="Times New Roman"/>
          <w:sz w:val="24"/>
          <w:szCs w:val="24"/>
        </w:rPr>
        <w:t xml:space="preserve"> </w:t>
      </w:r>
      <w:r w:rsidR="002E3173">
        <w:rPr>
          <w:rFonts w:ascii="Times New Roman" w:hAnsi="Times New Roman"/>
          <w:sz w:val="24"/>
          <w:szCs w:val="24"/>
        </w:rPr>
        <w:t>or</w:t>
      </w:r>
      <w:r w:rsidR="002E3173" w:rsidRPr="005A40B0">
        <w:rPr>
          <w:rFonts w:ascii="Times New Roman" w:hAnsi="Times New Roman"/>
          <w:sz w:val="24"/>
          <w:szCs w:val="24"/>
        </w:rPr>
        <w:t xml:space="preserve"> subpart B of 40 CFR 766</w:t>
      </w:r>
      <w:r w:rsidRPr="005A40B0">
        <w:rPr>
          <w:rFonts w:ascii="Times New Roman" w:hAnsi="Times New Roman"/>
          <w:sz w:val="24"/>
          <w:szCs w:val="24"/>
        </w:rPr>
        <w:t>. However</w:t>
      </w:r>
      <w:r w:rsidR="002C6CCA">
        <w:rPr>
          <w:rFonts w:ascii="Times New Roman" w:hAnsi="Times New Roman"/>
          <w:sz w:val="24"/>
          <w:szCs w:val="24"/>
        </w:rPr>
        <w:t>, for PAIR</w:t>
      </w:r>
      <w:r w:rsidRPr="005A40B0">
        <w:rPr>
          <w:rFonts w:ascii="Times New Roman" w:hAnsi="Times New Roman"/>
          <w:sz w:val="24"/>
          <w:szCs w:val="24"/>
        </w:rPr>
        <w:t>, if information received from the initial report indicates human health</w:t>
      </w:r>
      <w:r w:rsidR="00006901" w:rsidRPr="005A40B0">
        <w:rPr>
          <w:rFonts w:ascii="Times New Roman" w:hAnsi="Times New Roman"/>
          <w:sz w:val="24"/>
          <w:szCs w:val="24"/>
        </w:rPr>
        <w:t xml:space="preserve"> </w:t>
      </w:r>
      <w:r w:rsidRPr="005A40B0">
        <w:rPr>
          <w:rFonts w:ascii="Times New Roman" w:hAnsi="Times New Roman"/>
          <w:sz w:val="24"/>
          <w:szCs w:val="24"/>
        </w:rPr>
        <w:t>and environmental risks, then the Agency may require that additional information be</w:t>
      </w:r>
      <w:r w:rsidR="00006901" w:rsidRPr="005A40B0">
        <w:rPr>
          <w:rFonts w:ascii="Times New Roman" w:hAnsi="Times New Roman"/>
          <w:sz w:val="24"/>
          <w:szCs w:val="24"/>
        </w:rPr>
        <w:t xml:space="preserve"> </w:t>
      </w:r>
      <w:r w:rsidRPr="005A40B0">
        <w:rPr>
          <w:rFonts w:ascii="Times New Roman" w:hAnsi="Times New Roman"/>
          <w:sz w:val="24"/>
          <w:szCs w:val="24"/>
        </w:rPr>
        <w:t>submitted at some future date to monitor any changes pertaining to that chemical. As</w:t>
      </w:r>
      <w:r w:rsidR="00006901" w:rsidRPr="005A40B0">
        <w:rPr>
          <w:rFonts w:ascii="Times New Roman" w:hAnsi="Times New Roman"/>
          <w:sz w:val="24"/>
          <w:szCs w:val="24"/>
        </w:rPr>
        <w:t xml:space="preserve"> </w:t>
      </w:r>
      <w:r w:rsidRPr="005A40B0">
        <w:rPr>
          <w:rFonts w:ascii="Times New Roman" w:hAnsi="Times New Roman"/>
          <w:sz w:val="24"/>
          <w:szCs w:val="24"/>
        </w:rPr>
        <w:t xml:space="preserve">such, the reporting frequency for PAIR </w:t>
      </w:r>
      <w:r w:rsidR="002E3173" w:rsidRPr="005A40B0">
        <w:rPr>
          <w:rFonts w:ascii="Times New Roman" w:hAnsi="Times New Roman"/>
          <w:sz w:val="24"/>
          <w:szCs w:val="24"/>
        </w:rPr>
        <w:t xml:space="preserve">and subpart B of 40 CFR 766 </w:t>
      </w:r>
      <w:r w:rsidRPr="005A40B0">
        <w:rPr>
          <w:rFonts w:ascii="Times New Roman" w:hAnsi="Times New Roman"/>
          <w:sz w:val="24"/>
          <w:szCs w:val="24"/>
        </w:rPr>
        <w:t>cannot be reduced without effectively suspending</w:t>
      </w:r>
      <w:r w:rsidR="00006901" w:rsidRPr="005A40B0">
        <w:rPr>
          <w:rFonts w:ascii="Times New Roman" w:hAnsi="Times New Roman"/>
          <w:sz w:val="24"/>
          <w:szCs w:val="24"/>
        </w:rPr>
        <w:t xml:space="preserve"> </w:t>
      </w:r>
      <w:r w:rsidRPr="005A40B0">
        <w:rPr>
          <w:rFonts w:ascii="Times New Roman" w:hAnsi="Times New Roman"/>
          <w:sz w:val="24"/>
          <w:szCs w:val="24"/>
        </w:rPr>
        <w:t>the information collection requirement.</w:t>
      </w:r>
    </w:p>
    <w:p w14:paraId="6A2419F2" w14:textId="77777777" w:rsidR="007B5C3C" w:rsidRPr="005A40B0" w:rsidRDefault="007B5C3C" w:rsidP="005A40B0">
      <w:pPr>
        <w:autoSpaceDE w:val="0"/>
        <w:autoSpaceDN w:val="0"/>
        <w:adjustRightInd w:val="0"/>
        <w:spacing w:after="0" w:line="240" w:lineRule="auto"/>
        <w:ind w:firstLine="720"/>
        <w:rPr>
          <w:rFonts w:ascii="Times New Roman" w:hAnsi="Times New Roman"/>
          <w:sz w:val="24"/>
          <w:szCs w:val="24"/>
        </w:rPr>
      </w:pPr>
    </w:p>
    <w:p w14:paraId="06044530" w14:textId="77777777" w:rsidR="00F5104E" w:rsidRPr="005A40B0" w:rsidRDefault="00282FEF" w:rsidP="005A40B0">
      <w:pPr>
        <w:autoSpaceDE w:val="0"/>
        <w:autoSpaceDN w:val="0"/>
        <w:adjustRightInd w:val="0"/>
        <w:spacing w:after="0" w:line="240" w:lineRule="auto"/>
        <w:ind w:firstLine="720"/>
        <w:rPr>
          <w:rFonts w:ascii="Times New Roman" w:hAnsi="Times New Roman"/>
          <w:b/>
          <w:sz w:val="24"/>
          <w:szCs w:val="24"/>
        </w:rPr>
      </w:pPr>
      <w:r w:rsidRPr="005A40B0">
        <w:rPr>
          <w:rFonts w:ascii="Times New Roman" w:hAnsi="Times New Roman"/>
          <w:b/>
          <w:sz w:val="24"/>
          <w:szCs w:val="24"/>
        </w:rPr>
        <w:t>3(e)</w:t>
      </w:r>
      <w:r w:rsidRPr="005A40B0">
        <w:rPr>
          <w:rFonts w:ascii="Times New Roman" w:hAnsi="Times New Roman"/>
          <w:b/>
          <w:sz w:val="24"/>
          <w:szCs w:val="24"/>
        </w:rPr>
        <w:tab/>
      </w:r>
      <w:r w:rsidR="00F5104E" w:rsidRPr="005A40B0">
        <w:rPr>
          <w:rFonts w:ascii="Times New Roman" w:hAnsi="Times New Roman"/>
          <w:b/>
          <w:sz w:val="24"/>
          <w:szCs w:val="24"/>
        </w:rPr>
        <w:t>General Guidelines</w:t>
      </w:r>
    </w:p>
    <w:p w14:paraId="6CDF07F8" w14:textId="77777777" w:rsidR="00282FEF" w:rsidRPr="005A40B0" w:rsidRDefault="00282FEF" w:rsidP="005A40B0">
      <w:pPr>
        <w:autoSpaceDE w:val="0"/>
        <w:autoSpaceDN w:val="0"/>
        <w:adjustRightInd w:val="0"/>
        <w:spacing w:after="0" w:line="240" w:lineRule="auto"/>
        <w:ind w:firstLine="576"/>
        <w:rPr>
          <w:rFonts w:ascii="Times New Roman" w:hAnsi="Times New Roman"/>
          <w:sz w:val="24"/>
          <w:szCs w:val="24"/>
        </w:rPr>
      </w:pPr>
    </w:p>
    <w:p w14:paraId="1EFAC34B" w14:textId="755778F9" w:rsidR="00F5104E" w:rsidRDefault="00F5104E" w:rsidP="000D1DA1">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This collection does not exceed any of the Paperwork Reduction Act guidelines at</w:t>
      </w:r>
      <w:r w:rsidR="00006901" w:rsidRPr="005A40B0">
        <w:rPr>
          <w:rFonts w:ascii="Times New Roman" w:hAnsi="Times New Roman"/>
          <w:sz w:val="24"/>
          <w:szCs w:val="24"/>
        </w:rPr>
        <w:t xml:space="preserve"> </w:t>
      </w:r>
      <w:r w:rsidRPr="005A40B0">
        <w:rPr>
          <w:rFonts w:ascii="Times New Roman" w:hAnsi="Times New Roman"/>
          <w:sz w:val="24"/>
          <w:szCs w:val="24"/>
        </w:rPr>
        <w:t xml:space="preserve">5 CFR 1320.6. </w:t>
      </w:r>
    </w:p>
    <w:p w14:paraId="11FC4F7F" w14:textId="77777777" w:rsidR="00584DC7" w:rsidRPr="005A40B0" w:rsidRDefault="00584DC7" w:rsidP="005A40B0">
      <w:pPr>
        <w:autoSpaceDE w:val="0"/>
        <w:autoSpaceDN w:val="0"/>
        <w:adjustRightInd w:val="0"/>
        <w:spacing w:after="0" w:line="240" w:lineRule="auto"/>
        <w:ind w:firstLine="720"/>
        <w:rPr>
          <w:rFonts w:ascii="Times New Roman" w:hAnsi="Times New Roman"/>
          <w:sz w:val="24"/>
          <w:szCs w:val="24"/>
        </w:rPr>
      </w:pPr>
    </w:p>
    <w:p w14:paraId="1522E8B1" w14:textId="77777777" w:rsidR="00F5104E" w:rsidRPr="005A40B0" w:rsidRDefault="0079707F" w:rsidP="005A40B0">
      <w:pPr>
        <w:pStyle w:val="Heading2"/>
        <w:numPr>
          <w:ilvl w:val="0"/>
          <w:numId w:val="0"/>
        </w:numPr>
        <w:spacing w:before="0" w:line="240" w:lineRule="auto"/>
        <w:ind w:firstLine="720"/>
        <w:rPr>
          <w:rFonts w:ascii="Times New Roman" w:hAnsi="Times New Roman"/>
          <w:color w:val="auto"/>
          <w:sz w:val="24"/>
          <w:szCs w:val="24"/>
        </w:rPr>
      </w:pPr>
      <w:r w:rsidRPr="005A40B0">
        <w:rPr>
          <w:rFonts w:ascii="Times New Roman" w:hAnsi="Times New Roman"/>
          <w:color w:val="auto"/>
          <w:sz w:val="24"/>
          <w:szCs w:val="24"/>
        </w:rPr>
        <w:t>3(f)</w:t>
      </w:r>
      <w:r w:rsidRPr="005A40B0">
        <w:rPr>
          <w:rFonts w:ascii="Times New Roman" w:hAnsi="Times New Roman"/>
          <w:color w:val="auto"/>
          <w:sz w:val="24"/>
          <w:szCs w:val="24"/>
        </w:rPr>
        <w:tab/>
      </w:r>
      <w:r w:rsidR="00F5104E" w:rsidRPr="005A40B0">
        <w:rPr>
          <w:rFonts w:ascii="Times New Roman" w:hAnsi="Times New Roman"/>
          <w:color w:val="auto"/>
          <w:sz w:val="24"/>
          <w:szCs w:val="24"/>
        </w:rPr>
        <w:t>Confidentiality</w:t>
      </w:r>
    </w:p>
    <w:p w14:paraId="77459CF9" w14:textId="77777777" w:rsidR="003C5CB0" w:rsidRPr="005A40B0" w:rsidRDefault="003C5CB0" w:rsidP="005A40B0">
      <w:pPr>
        <w:autoSpaceDE w:val="0"/>
        <w:autoSpaceDN w:val="0"/>
        <w:adjustRightInd w:val="0"/>
        <w:spacing w:after="0" w:line="240" w:lineRule="auto"/>
        <w:rPr>
          <w:rFonts w:ascii="Times New Roman" w:hAnsi="Times New Roman"/>
          <w:sz w:val="24"/>
          <w:szCs w:val="24"/>
        </w:rPr>
      </w:pPr>
    </w:p>
    <w:p w14:paraId="44A3F205" w14:textId="6DBCEE46" w:rsidR="00F5104E"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Submitters may designate information reported under PAIR and </w:t>
      </w:r>
      <w:r w:rsidR="003C5CB0" w:rsidRPr="005A40B0">
        <w:rPr>
          <w:rFonts w:ascii="Times New Roman" w:hAnsi="Times New Roman"/>
          <w:sz w:val="24"/>
          <w:szCs w:val="24"/>
        </w:rPr>
        <w:t>s</w:t>
      </w:r>
      <w:r w:rsidRPr="005A40B0">
        <w:rPr>
          <w:rFonts w:ascii="Times New Roman" w:hAnsi="Times New Roman"/>
          <w:sz w:val="24"/>
          <w:szCs w:val="24"/>
        </w:rPr>
        <w:t>ubpart B of 40</w:t>
      </w:r>
      <w:r w:rsidR="00006901" w:rsidRPr="005A40B0">
        <w:rPr>
          <w:rFonts w:ascii="Times New Roman" w:hAnsi="Times New Roman"/>
          <w:sz w:val="24"/>
          <w:szCs w:val="24"/>
        </w:rPr>
        <w:t xml:space="preserve"> </w:t>
      </w:r>
      <w:r w:rsidRPr="005A40B0">
        <w:rPr>
          <w:rFonts w:ascii="Times New Roman" w:hAnsi="Times New Roman"/>
          <w:sz w:val="24"/>
          <w:szCs w:val="24"/>
        </w:rPr>
        <w:t>CFR 766 as confidential business information (CBI). EPA has implemented procedures</w:t>
      </w:r>
      <w:r w:rsidR="00006901" w:rsidRPr="005A40B0">
        <w:rPr>
          <w:rFonts w:ascii="Times New Roman" w:hAnsi="Times New Roman"/>
          <w:sz w:val="24"/>
          <w:szCs w:val="24"/>
        </w:rPr>
        <w:t xml:space="preserve"> </w:t>
      </w:r>
      <w:r w:rsidRPr="005A40B0">
        <w:rPr>
          <w:rFonts w:ascii="Times New Roman" w:hAnsi="Times New Roman"/>
          <w:sz w:val="24"/>
          <w:szCs w:val="24"/>
        </w:rPr>
        <w:t>to protect any confidential, trade secret or proprietary information from disclosure. These</w:t>
      </w:r>
      <w:r w:rsidR="00006901" w:rsidRPr="005A40B0">
        <w:rPr>
          <w:rFonts w:ascii="Times New Roman" w:hAnsi="Times New Roman"/>
          <w:sz w:val="24"/>
          <w:szCs w:val="24"/>
        </w:rPr>
        <w:t xml:space="preserve"> </w:t>
      </w:r>
      <w:r w:rsidRPr="005A40B0">
        <w:rPr>
          <w:rFonts w:ascii="Times New Roman" w:hAnsi="Times New Roman"/>
          <w:sz w:val="24"/>
          <w:szCs w:val="24"/>
        </w:rPr>
        <w:t>procedures comply with EPA’s confide</w:t>
      </w:r>
      <w:r w:rsidR="003C5CB0" w:rsidRPr="005A40B0">
        <w:rPr>
          <w:rFonts w:ascii="Times New Roman" w:hAnsi="Times New Roman"/>
          <w:sz w:val="24"/>
          <w:szCs w:val="24"/>
        </w:rPr>
        <w:t>ntiality regulations at 40 CFR p</w:t>
      </w:r>
      <w:r w:rsidRPr="005A40B0">
        <w:rPr>
          <w:rFonts w:ascii="Times New Roman" w:hAnsi="Times New Roman"/>
          <w:sz w:val="24"/>
          <w:szCs w:val="24"/>
        </w:rPr>
        <w:t xml:space="preserve">art 2, </w:t>
      </w:r>
      <w:r w:rsidR="003C5CB0" w:rsidRPr="005A40B0">
        <w:rPr>
          <w:rFonts w:ascii="Times New Roman" w:hAnsi="Times New Roman"/>
          <w:sz w:val="24"/>
          <w:szCs w:val="24"/>
        </w:rPr>
        <w:t>s</w:t>
      </w:r>
      <w:r w:rsidRPr="005A40B0">
        <w:rPr>
          <w:rFonts w:ascii="Times New Roman" w:hAnsi="Times New Roman"/>
          <w:sz w:val="24"/>
          <w:szCs w:val="24"/>
        </w:rPr>
        <w:t>ubpart B,</w:t>
      </w:r>
      <w:r w:rsidR="00006901" w:rsidRPr="005A40B0">
        <w:rPr>
          <w:rFonts w:ascii="Times New Roman" w:hAnsi="Times New Roman"/>
          <w:sz w:val="24"/>
          <w:szCs w:val="24"/>
        </w:rPr>
        <w:t xml:space="preserve"> </w:t>
      </w:r>
      <w:r w:rsidR="003C5CB0" w:rsidRPr="005A40B0">
        <w:rPr>
          <w:rFonts w:ascii="Times New Roman" w:hAnsi="Times New Roman"/>
          <w:sz w:val="24"/>
          <w:szCs w:val="24"/>
        </w:rPr>
        <w:t>and TSCA s</w:t>
      </w:r>
      <w:r w:rsidRPr="005A40B0">
        <w:rPr>
          <w:rFonts w:ascii="Times New Roman" w:hAnsi="Times New Roman"/>
          <w:sz w:val="24"/>
          <w:szCs w:val="24"/>
        </w:rPr>
        <w:t>ection 1</w:t>
      </w:r>
      <w:r w:rsidR="00F40973" w:rsidRPr="005A40B0">
        <w:rPr>
          <w:rFonts w:ascii="Times New Roman" w:hAnsi="Times New Roman"/>
          <w:sz w:val="24"/>
          <w:szCs w:val="24"/>
        </w:rPr>
        <w:t>4</w:t>
      </w:r>
      <w:r w:rsidR="00584DC7">
        <w:rPr>
          <w:rFonts w:ascii="Times New Roman" w:hAnsi="Times New Roman"/>
          <w:sz w:val="24"/>
          <w:szCs w:val="24"/>
        </w:rPr>
        <w:t>.</w:t>
      </w:r>
    </w:p>
    <w:p w14:paraId="040DE95F" w14:textId="77777777" w:rsidR="00584DC7" w:rsidRPr="005A40B0" w:rsidRDefault="00584DC7" w:rsidP="005A40B0">
      <w:pPr>
        <w:autoSpaceDE w:val="0"/>
        <w:autoSpaceDN w:val="0"/>
        <w:adjustRightInd w:val="0"/>
        <w:spacing w:after="0" w:line="240" w:lineRule="auto"/>
        <w:ind w:firstLine="720"/>
        <w:rPr>
          <w:rFonts w:ascii="Times New Roman" w:hAnsi="Times New Roman"/>
          <w:sz w:val="24"/>
          <w:szCs w:val="24"/>
        </w:rPr>
      </w:pPr>
    </w:p>
    <w:p w14:paraId="60888381" w14:textId="77777777" w:rsidR="00F5104E" w:rsidRPr="005A40B0" w:rsidRDefault="0079707F" w:rsidP="005A40B0">
      <w:pPr>
        <w:pStyle w:val="Heading2"/>
        <w:numPr>
          <w:ilvl w:val="0"/>
          <w:numId w:val="0"/>
        </w:numPr>
        <w:spacing w:before="0" w:line="240" w:lineRule="auto"/>
        <w:ind w:firstLine="720"/>
        <w:rPr>
          <w:rFonts w:ascii="Times New Roman" w:hAnsi="Times New Roman"/>
          <w:color w:val="auto"/>
          <w:sz w:val="24"/>
          <w:szCs w:val="24"/>
        </w:rPr>
      </w:pPr>
      <w:r w:rsidRPr="005A40B0">
        <w:rPr>
          <w:rFonts w:ascii="Times New Roman" w:hAnsi="Times New Roman"/>
          <w:color w:val="auto"/>
          <w:sz w:val="24"/>
          <w:szCs w:val="24"/>
        </w:rPr>
        <w:t>3(g)</w:t>
      </w:r>
      <w:r w:rsidRPr="005A40B0">
        <w:rPr>
          <w:rFonts w:ascii="Times New Roman" w:hAnsi="Times New Roman"/>
          <w:color w:val="auto"/>
          <w:sz w:val="24"/>
          <w:szCs w:val="24"/>
        </w:rPr>
        <w:tab/>
      </w:r>
      <w:r w:rsidR="00F5104E" w:rsidRPr="005A40B0">
        <w:rPr>
          <w:rFonts w:ascii="Times New Roman" w:hAnsi="Times New Roman"/>
          <w:color w:val="auto"/>
          <w:sz w:val="24"/>
          <w:szCs w:val="24"/>
        </w:rPr>
        <w:t>Sensitive Questions</w:t>
      </w:r>
    </w:p>
    <w:p w14:paraId="7029D5F6" w14:textId="77777777" w:rsidR="0079707F" w:rsidRPr="005A40B0" w:rsidRDefault="0079707F" w:rsidP="005A40B0">
      <w:pPr>
        <w:autoSpaceDE w:val="0"/>
        <w:autoSpaceDN w:val="0"/>
        <w:adjustRightInd w:val="0"/>
        <w:spacing w:after="0" w:line="240" w:lineRule="auto"/>
        <w:rPr>
          <w:rFonts w:ascii="Times New Roman" w:hAnsi="Times New Roman"/>
          <w:sz w:val="24"/>
          <w:szCs w:val="24"/>
        </w:rPr>
      </w:pPr>
    </w:p>
    <w:p w14:paraId="10022001" w14:textId="77777777" w:rsidR="00D017B8"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This information collection does not include questions of a sensitive nature.</w:t>
      </w:r>
      <w:bookmarkStart w:id="3" w:name="_Ref293306104"/>
    </w:p>
    <w:p w14:paraId="3C926D8D" w14:textId="77777777" w:rsidR="00945E7C" w:rsidRPr="005A40B0" w:rsidRDefault="00945E7C" w:rsidP="005A40B0">
      <w:pPr>
        <w:autoSpaceDE w:val="0"/>
        <w:autoSpaceDN w:val="0"/>
        <w:adjustRightInd w:val="0"/>
        <w:spacing w:after="0" w:line="240" w:lineRule="auto"/>
        <w:ind w:firstLine="720"/>
        <w:rPr>
          <w:rFonts w:ascii="Times New Roman" w:hAnsi="Times New Roman"/>
          <w:sz w:val="24"/>
          <w:szCs w:val="24"/>
        </w:rPr>
      </w:pPr>
    </w:p>
    <w:p w14:paraId="588193FC" w14:textId="77777777" w:rsidR="00945E7C" w:rsidRPr="005A40B0" w:rsidRDefault="00945E7C" w:rsidP="005A40B0">
      <w:pPr>
        <w:autoSpaceDE w:val="0"/>
        <w:autoSpaceDN w:val="0"/>
        <w:adjustRightInd w:val="0"/>
        <w:spacing w:after="0" w:line="240" w:lineRule="auto"/>
        <w:ind w:firstLine="720"/>
        <w:rPr>
          <w:rFonts w:ascii="Times New Roman" w:hAnsi="Times New Roman"/>
          <w:sz w:val="24"/>
          <w:szCs w:val="24"/>
        </w:rPr>
      </w:pPr>
    </w:p>
    <w:p w14:paraId="7E171B9C" w14:textId="53EBCD3B" w:rsidR="00F5104E" w:rsidRDefault="00D017B8" w:rsidP="005A40B0">
      <w:pPr>
        <w:autoSpaceDE w:val="0"/>
        <w:autoSpaceDN w:val="0"/>
        <w:adjustRightInd w:val="0"/>
        <w:spacing w:after="0" w:line="240" w:lineRule="auto"/>
        <w:rPr>
          <w:rFonts w:ascii="Times New Roman" w:hAnsi="Times New Roman"/>
          <w:b/>
          <w:sz w:val="24"/>
          <w:szCs w:val="24"/>
        </w:rPr>
      </w:pPr>
      <w:r w:rsidRPr="005A40B0">
        <w:rPr>
          <w:rFonts w:ascii="Times New Roman" w:hAnsi="Times New Roman"/>
          <w:b/>
          <w:sz w:val="24"/>
          <w:szCs w:val="24"/>
        </w:rPr>
        <w:t>4</w:t>
      </w:r>
      <w:r w:rsidRPr="005A40B0">
        <w:rPr>
          <w:rFonts w:ascii="Times New Roman" w:hAnsi="Times New Roman"/>
          <w:b/>
          <w:sz w:val="24"/>
          <w:szCs w:val="24"/>
        </w:rPr>
        <w:tab/>
      </w:r>
      <w:r w:rsidR="00F5104E" w:rsidRPr="005A40B0">
        <w:rPr>
          <w:rFonts w:ascii="Times New Roman" w:hAnsi="Times New Roman"/>
          <w:b/>
          <w:sz w:val="24"/>
          <w:szCs w:val="24"/>
        </w:rPr>
        <w:t xml:space="preserve">THE RESPONDENTS AND THE INFORMATION </w:t>
      </w:r>
      <w:r w:rsidR="0001115F" w:rsidRPr="005A40B0">
        <w:rPr>
          <w:rFonts w:ascii="Times New Roman" w:hAnsi="Times New Roman"/>
          <w:b/>
          <w:sz w:val="24"/>
          <w:szCs w:val="24"/>
        </w:rPr>
        <w:t>REQUES</w:t>
      </w:r>
      <w:r w:rsidR="00F5104E" w:rsidRPr="005A40B0">
        <w:rPr>
          <w:rFonts w:ascii="Times New Roman" w:hAnsi="Times New Roman"/>
          <w:b/>
          <w:sz w:val="24"/>
          <w:szCs w:val="24"/>
        </w:rPr>
        <w:t>TED</w:t>
      </w:r>
      <w:bookmarkEnd w:id="3"/>
    </w:p>
    <w:p w14:paraId="68F1E65A" w14:textId="77777777" w:rsidR="00584DC7" w:rsidRPr="005A40B0" w:rsidRDefault="00584DC7" w:rsidP="005A40B0">
      <w:pPr>
        <w:autoSpaceDE w:val="0"/>
        <w:autoSpaceDN w:val="0"/>
        <w:adjustRightInd w:val="0"/>
        <w:spacing w:after="0" w:line="240" w:lineRule="auto"/>
        <w:rPr>
          <w:rFonts w:ascii="Times New Roman" w:hAnsi="Times New Roman"/>
          <w:b/>
          <w:sz w:val="24"/>
          <w:szCs w:val="24"/>
        </w:rPr>
      </w:pPr>
    </w:p>
    <w:p w14:paraId="578B338B" w14:textId="77777777" w:rsidR="00F5104E" w:rsidRPr="005A40B0" w:rsidRDefault="0079707F" w:rsidP="005A40B0">
      <w:pPr>
        <w:pStyle w:val="Heading2"/>
        <w:numPr>
          <w:ilvl w:val="0"/>
          <w:numId w:val="0"/>
        </w:numPr>
        <w:spacing w:before="0" w:line="240" w:lineRule="auto"/>
        <w:ind w:left="576" w:firstLine="144"/>
        <w:rPr>
          <w:rFonts w:ascii="Times New Roman" w:hAnsi="Times New Roman"/>
          <w:color w:val="auto"/>
          <w:sz w:val="24"/>
          <w:szCs w:val="24"/>
        </w:rPr>
      </w:pPr>
      <w:r w:rsidRPr="005A40B0">
        <w:rPr>
          <w:rFonts w:ascii="Times New Roman" w:hAnsi="Times New Roman"/>
          <w:color w:val="auto"/>
          <w:sz w:val="24"/>
          <w:szCs w:val="24"/>
        </w:rPr>
        <w:t>4(a)</w:t>
      </w:r>
      <w:r w:rsidRPr="005A40B0">
        <w:rPr>
          <w:rFonts w:ascii="Times New Roman" w:hAnsi="Times New Roman"/>
          <w:color w:val="auto"/>
          <w:sz w:val="24"/>
          <w:szCs w:val="24"/>
        </w:rPr>
        <w:tab/>
      </w:r>
      <w:r w:rsidR="00F5104E" w:rsidRPr="005A40B0">
        <w:rPr>
          <w:rFonts w:ascii="Times New Roman" w:hAnsi="Times New Roman"/>
          <w:color w:val="auto"/>
          <w:sz w:val="24"/>
          <w:szCs w:val="24"/>
        </w:rPr>
        <w:t>Respondent NAICS Codes</w:t>
      </w:r>
    </w:p>
    <w:p w14:paraId="12454FB7" w14:textId="77777777" w:rsidR="0079707F" w:rsidRPr="005A40B0" w:rsidRDefault="0079707F" w:rsidP="005A40B0">
      <w:pPr>
        <w:autoSpaceDE w:val="0"/>
        <w:autoSpaceDN w:val="0"/>
        <w:adjustRightInd w:val="0"/>
        <w:spacing w:after="0" w:line="240" w:lineRule="auto"/>
        <w:rPr>
          <w:rFonts w:ascii="Times New Roman" w:hAnsi="Times New Roman"/>
          <w:sz w:val="24"/>
          <w:szCs w:val="24"/>
        </w:rPr>
      </w:pPr>
    </w:p>
    <w:p w14:paraId="080FC865" w14:textId="1577B76C" w:rsidR="00036B7B"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PAIR</w:t>
      </w:r>
      <w:r w:rsidR="002E3173">
        <w:rPr>
          <w:rFonts w:ascii="Times New Roman" w:hAnsi="Times New Roman"/>
          <w:sz w:val="24"/>
          <w:szCs w:val="24"/>
        </w:rPr>
        <w:t xml:space="preserve"> </w:t>
      </w:r>
      <w:r w:rsidR="002E3173" w:rsidRPr="005A40B0">
        <w:rPr>
          <w:rFonts w:ascii="Times New Roman" w:hAnsi="Times New Roman"/>
          <w:sz w:val="24"/>
          <w:szCs w:val="24"/>
        </w:rPr>
        <w:t>and subpart B of 40 CFR 766</w:t>
      </w:r>
      <w:r w:rsidR="002E3173">
        <w:rPr>
          <w:rFonts w:ascii="Times New Roman" w:hAnsi="Times New Roman"/>
          <w:sz w:val="24"/>
          <w:szCs w:val="24"/>
        </w:rPr>
        <w:t xml:space="preserve"> </w:t>
      </w:r>
      <w:r w:rsidRPr="005A40B0">
        <w:rPr>
          <w:rFonts w:ascii="Times New Roman" w:hAnsi="Times New Roman"/>
          <w:sz w:val="24"/>
          <w:szCs w:val="24"/>
        </w:rPr>
        <w:t>respondents are manufacturers and importers of chemical substances,</w:t>
      </w:r>
      <w:r w:rsidR="00006901" w:rsidRPr="005A40B0">
        <w:rPr>
          <w:rFonts w:ascii="Times New Roman" w:hAnsi="Times New Roman"/>
          <w:sz w:val="24"/>
          <w:szCs w:val="24"/>
        </w:rPr>
        <w:t xml:space="preserve"> </w:t>
      </w:r>
      <w:r w:rsidRPr="005A40B0">
        <w:rPr>
          <w:rFonts w:ascii="Times New Roman" w:hAnsi="Times New Roman"/>
          <w:sz w:val="24"/>
          <w:szCs w:val="24"/>
        </w:rPr>
        <w:t>mixtures or categories. Respondents affected by this collection are included primarily in</w:t>
      </w:r>
      <w:r w:rsidR="00006901" w:rsidRPr="005A40B0">
        <w:rPr>
          <w:rFonts w:ascii="Times New Roman" w:hAnsi="Times New Roman"/>
          <w:sz w:val="24"/>
          <w:szCs w:val="24"/>
        </w:rPr>
        <w:t xml:space="preserve"> </w:t>
      </w:r>
      <w:r w:rsidRPr="005A40B0">
        <w:rPr>
          <w:rFonts w:ascii="Times New Roman" w:hAnsi="Times New Roman"/>
          <w:sz w:val="24"/>
          <w:szCs w:val="24"/>
        </w:rPr>
        <w:t>the following NAICS codes:</w:t>
      </w:r>
      <w:r w:rsidR="00E43B77" w:rsidRPr="005A40B0">
        <w:rPr>
          <w:rFonts w:ascii="Times New Roman" w:hAnsi="Times New Roman"/>
          <w:sz w:val="24"/>
          <w:szCs w:val="24"/>
        </w:rPr>
        <w:br/>
      </w:r>
    </w:p>
    <w:p w14:paraId="608784E9" w14:textId="77777777" w:rsidR="00F5104E" w:rsidRPr="005A40B0" w:rsidRDefault="00F5104E" w:rsidP="005A40B0">
      <w:pPr>
        <w:autoSpaceDE w:val="0"/>
        <w:autoSpaceDN w:val="0"/>
        <w:adjustRightInd w:val="0"/>
        <w:spacing w:after="0" w:line="240" w:lineRule="auto"/>
        <w:ind w:left="720"/>
        <w:rPr>
          <w:rFonts w:ascii="Times New Roman" w:hAnsi="Times New Roman"/>
          <w:sz w:val="24"/>
          <w:szCs w:val="24"/>
        </w:rPr>
      </w:pPr>
      <w:r w:rsidRPr="005A40B0">
        <w:rPr>
          <w:rFonts w:ascii="Times New Roman" w:hAnsi="Times New Roman"/>
          <w:sz w:val="24"/>
          <w:szCs w:val="24"/>
        </w:rPr>
        <w:t>3251 Basic Chemical Manufacturing</w:t>
      </w:r>
    </w:p>
    <w:p w14:paraId="4A02BDA7" w14:textId="77777777" w:rsidR="00F5104E" w:rsidRPr="005A40B0" w:rsidRDefault="00F5104E" w:rsidP="000E77DC">
      <w:pPr>
        <w:autoSpaceDE w:val="0"/>
        <w:autoSpaceDN w:val="0"/>
        <w:adjustRightInd w:val="0"/>
        <w:spacing w:after="0" w:line="240" w:lineRule="auto"/>
        <w:ind w:left="720"/>
        <w:rPr>
          <w:rFonts w:ascii="Times New Roman" w:hAnsi="Times New Roman"/>
          <w:sz w:val="24"/>
          <w:szCs w:val="24"/>
        </w:rPr>
      </w:pPr>
      <w:r w:rsidRPr="005A40B0">
        <w:rPr>
          <w:rFonts w:ascii="Times New Roman" w:hAnsi="Times New Roman"/>
          <w:sz w:val="24"/>
          <w:szCs w:val="24"/>
        </w:rPr>
        <w:t>3252 Resin, Synthetic Rubber, and Artificial Synthetic Fibers and Filaments</w:t>
      </w:r>
      <w:r w:rsidR="00006901" w:rsidRPr="005A40B0">
        <w:rPr>
          <w:rFonts w:ascii="Times New Roman" w:hAnsi="Times New Roman"/>
          <w:sz w:val="24"/>
          <w:szCs w:val="24"/>
        </w:rPr>
        <w:t xml:space="preserve"> </w:t>
      </w:r>
      <w:r w:rsidR="007664A0" w:rsidRPr="005A40B0">
        <w:rPr>
          <w:rFonts w:ascii="Times New Roman" w:hAnsi="Times New Roman"/>
          <w:sz w:val="24"/>
          <w:szCs w:val="24"/>
        </w:rPr>
        <w:t>M</w:t>
      </w:r>
      <w:r w:rsidRPr="005A40B0">
        <w:rPr>
          <w:rFonts w:ascii="Times New Roman" w:hAnsi="Times New Roman"/>
          <w:sz w:val="24"/>
          <w:szCs w:val="24"/>
        </w:rPr>
        <w:t>anufacturing</w:t>
      </w:r>
    </w:p>
    <w:p w14:paraId="663295CB" w14:textId="77777777" w:rsidR="00F5104E" w:rsidRPr="005A40B0" w:rsidRDefault="00F5104E" w:rsidP="005A40B0">
      <w:pPr>
        <w:autoSpaceDE w:val="0"/>
        <w:autoSpaceDN w:val="0"/>
        <w:adjustRightInd w:val="0"/>
        <w:spacing w:after="0" w:line="240" w:lineRule="auto"/>
        <w:ind w:left="720"/>
        <w:rPr>
          <w:rFonts w:ascii="Times New Roman" w:hAnsi="Times New Roman"/>
          <w:sz w:val="24"/>
          <w:szCs w:val="24"/>
        </w:rPr>
      </w:pPr>
      <w:r w:rsidRPr="005A40B0">
        <w:rPr>
          <w:rFonts w:ascii="Times New Roman" w:hAnsi="Times New Roman"/>
          <w:sz w:val="24"/>
          <w:szCs w:val="24"/>
        </w:rPr>
        <w:t>3255 Paint, Coating, and Adhesive Manufacturing</w:t>
      </w:r>
    </w:p>
    <w:p w14:paraId="3DA97CB0" w14:textId="77777777" w:rsidR="00F5104E" w:rsidRPr="005A40B0" w:rsidRDefault="00F5104E" w:rsidP="005A40B0">
      <w:pPr>
        <w:autoSpaceDE w:val="0"/>
        <w:autoSpaceDN w:val="0"/>
        <w:adjustRightInd w:val="0"/>
        <w:spacing w:after="0" w:line="240" w:lineRule="auto"/>
        <w:ind w:left="720"/>
        <w:rPr>
          <w:rFonts w:ascii="Times New Roman" w:hAnsi="Times New Roman"/>
          <w:sz w:val="24"/>
          <w:szCs w:val="24"/>
        </w:rPr>
      </w:pPr>
      <w:r w:rsidRPr="005A40B0">
        <w:rPr>
          <w:rFonts w:ascii="Times New Roman" w:hAnsi="Times New Roman"/>
          <w:sz w:val="24"/>
          <w:szCs w:val="24"/>
        </w:rPr>
        <w:t>3253 Pesticide, Fertilizer, and Other Agricultural Chemical Manufacturing</w:t>
      </w:r>
    </w:p>
    <w:p w14:paraId="2A215404" w14:textId="77777777" w:rsidR="00F5104E" w:rsidRPr="005A40B0" w:rsidRDefault="00F5104E" w:rsidP="005A40B0">
      <w:pPr>
        <w:autoSpaceDE w:val="0"/>
        <w:autoSpaceDN w:val="0"/>
        <w:adjustRightInd w:val="0"/>
        <w:spacing w:after="0" w:line="240" w:lineRule="auto"/>
        <w:ind w:left="720"/>
        <w:rPr>
          <w:rFonts w:ascii="Times New Roman" w:hAnsi="Times New Roman"/>
          <w:sz w:val="24"/>
          <w:szCs w:val="24"/>
        </w:rPr>
      </w:pPr>
      <w:r w:rsidRPr="005A40B0">
        <w:rPr>
          <w:rFonts w:ascii="Times New Roman" w:hAnsi="Times New Roman"/>
          <w:sz w:val="24"/>
          <w:szCs w:val="24"/>
        </w:rPr>
        <w:t>3259 Other Chemical Product and Preparation Manufacturing</w:t>
      </w:r>
    </w:p>
    <w:p w14:paraId="5BA0DC64" w14:textId="1338C77F" w:rsidR="00F5104E" w:rsidRDefault="00F5104E" w:rsidP="005A40B0">
      <w:pPr>
        <w:autoSpaceDE w:val="0"/>
        <w:autoSpaceDN w:val="0"/>
        <w:adjustRightInd w:val="0"/>
        <w:spacing w:after="0" w:line="240" w:lineRule="auto"/>
        <w:ind w:left="720"/>
        <w:rPr>
          <w:rFonts w:ascii="Times New Roman" w:hAnsi="Times New Roman"/>
          <w:sz w:val="24"/>
          <w:szCs w:val="24"/>
        </w:rPr>
      </w:pPr>
      <w:r w:rsidRPr="005A40B0">
        <w:rPr>
          <w:rFonts w:ascii="Times New Roman" w:hAnsi="Times New Roman"/>
          <w:sz w:val="24"/>
          <w:szCs w:val="24"/>
        </w:rPr>
        <w:t>32411 Petroleum Refineries</w:t>
      </w:r>
    </w:p>
    <w:p w14:paraId="044A0EC9" w14:textId="77777777" w:rsidR="00584DC7" w:rsidRPr="005A40B0" w:rsidRDefault="00584DC7" w:rsidP="005A40B0">
      <w:pPr>
        <w:autoSpaceDE w:val="0"/>
        <w:autoSpaceDN w:val="0"/>
        <w:adjustRightInd w:val="0"/>
        <w:spacing w:after="0" w:line="240" w:lineRule="auto"/>
        <w:ind w:left="720"/>
        <w:rPr>
          <w:rFonts w:ascii="Times New Roman" w:hAnsi="Times New Roman"/>
          <w:sz w:val="24"/>
          <w:szCs w:val="24"/>
        </w:rPr>
      </w:pPr>
    </w:p>
    <w:p w14:paraId="4533D859" w14:textId="30CCCACA" w:rsidR="00D017B8" w:rsidRDefault="0079707F" w:rsidP="00584DC7">
      <w:pPr>
        <w:pStyle w:val="Heading2"/>
        <w:numPr>
          <w:ilvl w:val="0"/>
          <w:numId w:val="0"/>
        </w:numPr>
        <w:spacing w:before="0" w:line="240" w:lineRule="auto"/>
        <w:ind w:left="576" w:firstLine="144"/>
        <w:rPr>
          <w:rFonts w:ascii="Times New Roman" w:hAnsi="Times New Roman"/>
          <w:color w:val="auto"/>
          <w:sz w:val="24"/>
          <w:szCs w:val="24"/>
        </w:rPr>
      </w:pPr>
      <w:r w:rsidRPr="005A40B0">
        <w:rPr>
          <w:rFonts w:ascii="Times New Roman" w:hAnsi="Times New Roman"/>
          <w:color w:val="auto"/>
          <w:sz w:val="24"/>
          <w:szCs w:val="24"/>
        </w:rPr>
        <w:t>4(b)</w:t>
      </w:r>
      <w:r w:rsidRPr="005A40B0">
        <w:rPr>
          <w:rFonts w:ascii="Times New Roman" w:hAnsi="Times New Roman"/>
          <w:color w:val="auto"/>
          <w:sz w:val="24"/>
          <w:szCs w:val="24"/>
        </w:rPr>
        <w:tab/>
      </w:r>
      <w:r w:rsidR="00F5104E" w:rsidRPr="005A40B0">
        <w:rPr>
          <w:rFonts w:ascii="Times New Roman" w:hAnsi="Times New Roman"/>
          <w:color w:val="auto"/>
          <w:sz w:val="24"/>
          <w:szCs w:val="24"/>
        </w:rPr>
        <w:t>Information Requested</w:t>
      </w:r>
    </w:p>
    <w:p w14:paraId="3B8C80D9" w14:textId="77777777" w:rsidR="00584DC7" w:rsidRPr="00584DC7" w:rsidRDefault="00584DC7" w:rsidP="00584DC7">
      <w:pPr>
        <w:spacing w:after="0" w:line="240" w:lineRule="auto"/>
      </w:pPr>
    </w:p>
    <w:p w14:paraId="70FF9703" w14:textId="77777777" w:rsidR="00F5104E" w:rsidRPr="005A40B0" w:rsidRDefault="00F5104E" w:rsidP="00584DC7">
      <w:pPr>
        <w:pStyle w:val="Heading2"/>
        <w:numPr>
          <w:ilvl w:val="0"/>
          <w:numId w:val="28"/>
        </w:numPr>
        <w:spacing w:before="0" w:line="240" w:lineRule="auto"/>
        <w:rPr>
          <w:rFonts w:ascii="Times New Roman" w:hAnsi="Times New Roman"/>
          <w:color w:val="auto"/>
          <w:sz w:val="24"/>
          <w:szCs w:val="24"/>
        </w:rPr>
      </w:pPr>
      <w:r w:rsidRPr="005A40B0">
        <w:rPr>
          <w:rFonts w:ascii="Times New Roman" w:hAnsi="Times New Roman"/>
          <w:color w:val="auto"/>
          <w:sz w:val="24"/>
          <w:szCs w:val="24"/>
        </w:rPr>
        <w:t>Data Items</w:t>
      </w:r>
    </w:p>
    <w:p w14:paraId="18512F46" w14:textId="77777777" w:rsidR="0079707F" w:rsidRPr="005A40B0" w:rsidRDefault="0079707F" w:rsidP="00584DC7">
      <w:pPr>
        <w:autoSpaceDE w:val="0"/>
        <w:autoSpaceDN w:val="0"/>
        <w:adjustRightInd w:val="0"/>
        <w:spacing w:after="0" w:line="240" w:lineRule="auto"/>
        <w:rPr>
          <w:rFonts w:ascii="Times New Roman" w:hAnsi="Times New Roman"/>
          <w:sz w:val="24"/>
          <w:szCs w:val="24"/>
        </w:rPr>
      </w:pPr>
    </w:p>
    <w:p w14:paraId="77C160AC" w14:textId="56DDBF08" w:rsidR="006B5508" w:rsidRDefault="00F5104E" w:rsidP="00584DC7">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PAIR requires manufacturers or importers of the listed chemical substances,</w:t>
      </w:r>
      <w:r w:rsidR="007664A0" w:rsidRPr="005A40B0">
        <w:rPr>
          <w:rFonts w:ascii="Times New Roman" w:hAnsi="Times New Roman"/>
          <w:sz w:val="24"/>
          <w:szCs w:val="24"/>
        </w:rPr>
        <w:t xml:space="preserve"> </w:t>
      </w:r>
      <w:r w:rsidRPr="005A40B0">
        <w:rPr>
          <w:rFonts w:ascii="Times New Roman" w:hAnsi="Times New Roman"/>
          <w:sz w:val="24"/>
          <w:szCs w:val="24"/>
        </w:rPr>
        <w:t>mixtures or categories to report to EPA information such as the substances’ chemical</w:t>
      </w:r>
      <w:r w:rsidR="007664A0" w:rsidRPr="005A40B0">
        <w:rPr>
          <w:rFonts w:ascii="Times New Roman" w:hAnsi="Times New Roman"/>
          <w:sz w:val="24"/>
          <w:szCs w:val="24"/>
        </w:rPr>
        <w:t xml:space="preserve"> </w:t>
      </w:r>
      <w:r w:rsidRPr="005A40B0">
        <w:rPr>
          <w:rFonts w:ascii="Times New Roman" w:hAnsi="Times New Roman"/>
          <w:sz w:val="24"/>
          <w:szCs w:val="24"/>
        </w:rPr>
        <w:t>identification, quantity produced or imported, chemical processes, employee exposure,</w:t>
      </w:r>
      <w:r w:rsidR="007664A0" w:rsidRPr="005A40B0">
        <w:rPr>
          <w:rFonts w:ascii="Times New Roman" w:hAnsi="Times New Roman"/>
          <w:sz w:val="24"/>
          <w:szCs w:val="24"/>
        </w:rPr>
        <w:t xml:space="preserve"> </w:t>
      </w:r>
      <w:r w:rsidRPr="005A40B0">
        <w:rPr>
          <w:rFonts w:ascii="Times New Roman" w:hAnsi="Times New Roman"/>
          <w:sz w:val="24"/>
          <w:szCs w:val="24"/>
        </w:rPr>
        <w:t>environmental releases, uses and products. Respondents are only required to report</w:t>
      </w:r>
      <w:r w:rsidR="007664A0" w:rsidRPr="005A40B0">
        <w:rPr>
          <w:rFonts w:ascii="Times New Roman" w:hAnsi="Times New Roman"/>
          <w:sz w:val="24"/>
          <w:szCs w:val="24"/>
        </w:rPr>
        <w:t xml:space="preserve"> </w:t>
      </w:r>
      <w:r w:rsidRPr="005A40B0">
        <w:rPr>
          <w:rFonts w:ascii="Times New Roman" w:hAnsi="Times New Roman"/>
          <w:sz w:val="24"/>
          <w:szCs w:val="24"/>
        </w:rPr>
        <w:t>information that is known or reasonably ascertainable by them. As described in the</w:t>
      </w:r>
      <w:r w:rsidR="007664A0" w:rsidRPr="005A40B0">
        <w:rPr>
          <w:rFonts w:ascii="Times New Roman" w:hAnsi="Times New Roman"/>
          <w:sz w:val="24"/>
          <w:szCs w:val="24"/>
        </w:rPr>
        <w:t xml:space="preserve"> </w:t>
      </w:r>
      <w:r w:rsidRPr="005A40B0">
        <w:rPr>
          <w:rFonts w:ascii="Times New Roman" w:hAnsi="Times New Roman"/>
          <w:sz w:val="24"/>
          <w:szCs w:val="24"/>
        </w:rPr>
        <w:t xml:space="preserve">previous section, extensive file searches are not required. </w:t>
      </w:r>
      <w:r w:rsidR="006B5508" w:rsidRPr="007F3CAE">
        <w:rPr>
          <w:rFonts w:ascii="Times New Roman" w:hAnsi="Times New Roman"/>
          <w:sz w:val="24"/>
          <w:szCs w:val="24"/>
        </w:rPr>
        <w:t>The PAIR reporting requirements are included in the PAIR form (EPA Form 7710-35)</w:t>
      </w:r>
      <w:r w:rsidR="006B5508">
        <w:rPr>
          <w:rFonts w:ascii="Times New Roman" w:hAnsi="Times New Roman"/>
          <w:sz w:val="24"/>
          <w:szCs w:val="24"/>
        </w:rPr>
        <w:t xml:space="preserve"> </w:t>
      </w:r>
      <w:r w:rsidR="006B5508" w:rsidRPr="007F3CAE">
        <w:rPr>
          <w:rFonts w:ascii="Times New Roman" w:hAnsi="Times New Roman"/>
          <w:sz w:val="24"/>
          <w:szCs w:val="24"/>
        </w:rPr>
        <w:t>and instructions</w:t>
      </w:r>
      <w:r w:rsidR="006B5508">
        <w:rPr>
          <w:rFonts w:ascii="Times New Roman" w:hAnsi="Times New Roman"/>
          <w:sz w:val="24"/>
          <w:szCs w:val="24"/>
        </w:rPr>
        <w:t xml:space="preserve"> (see Attachment H)</w:t>
      </w:r>
      <w:r w:rsidR="006B5508" w:rsidRPr="007F3CAE">
        <w:rPr>
          <w:rFonts w:ascii="Times New Roman" w:hAnsi="Times New Roman"/>
          <w:sz w:val="24"/>
          <w:szCs w:val="24"/>
        </w:rPr>
        <w:t>.</w:t>
      </w:r>
      <w:r w:rsidR="006B5508">
        <w:rPr>
          <w:rFonts w:ascii="Times New Roman" w:hAnsi="Times New Roman"/>
          <w:sz w:val="24"/>
          <w:szCs w:val="24"/>
        </w:rPr>
        <w:t xml:space="preserve"> </w:t>
      </w:r>
    </w:p>
    <w:p w14:paraId="13F67405" w14:textId="77777777" w:rsidR="006B5508" w:rsidRDefault="006B5508" w:rsidP="00584DC7">
      <w:pPr>
        <w:autoSpaceDE w:val="0"/>
        <w:autoSpaceDN w:val="0"/>
        <w:adjustRightInd w:val="0"/>
        <w:spacing w:after="0" w:line="240" w:lineRule="auto"/>
        <w:ind w:firstLine="720"/>
        <w:rPr>
          <w:rFonts w:ascii="Times New Roman" w:hAnsi="Times New Roman"/>
          <w:sz w:val="24"/>
          <w:szCs w:val="24"/>
        </w:rPr>
      </w:pPr>
    </w:p>
    <w:p w14:paraId="7D8F5A88" w14:textId="3867EF3B" w:rsidR="007664A0" w:rsidRDefault="006B5508" w:rsidP="00584DC7">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In addition, e</w:t>
      </w:r>
      <w:r w:rsidR="001642FE">
        <w:rPr>
          <w:rFonts w:ascii="Times New Roman" w:hAnsi="Times New Roman"/>
          <w:sz w:val="24"/>
          <w:szCs w:val="24"/>
        </w:rPr>
        <w:t>ach person who is manufacturing or processing a chemical listed in 40 CFR 766.25, must submit a protocol for testing according to the schedule at 40 CFR 766.35(a)(2). Persons who manufacture or import a chemical substance listed under 40 CFR 766.25 must report positive test results, using the Dioxin/Furan Report Form (EPA Form 7710-51; see Attachment D), of all existing test data that show that chemical substance has been tested for the presence of halogenated dibenzodioxins/halogenated dibenzofurans (HDDs/HDFs), as well as any health and safety studies for the chemical substance, as defined in the regulation. Additionally, any manufacturer or importer of a chemical substance listed in 40 CFR 766.25 in possession of unpublished health and safety studies on HDDs/HDFs is required to submit copies of such studies to EPA.</w:t>
      </w:r>
    </w:p>
    <w:p w14:paraId="4D8AD887" w14:textId="77777777" w:rsidR="00C640EA" w:rsidRPr="005A40B0" w:rsidRDefault="00C640EA" w:rsidP="00584DC7">
      <w:pPr>
        <w:autoSpaceDE w:val="0"/>
        <w:autoSpaceDN w:val="0"/>
        <w:adjustRightInd w:val="0"/>
        <w:spacing w:after="0" w:line="240" w:lineRule="auto"/>
        <w:ind w:firstLine="720"/>
        <w:rPr>
          <w:rFonts w:ascii="Times New Roman" w:hAnsi="Times New Roman"/>
          <w:sz w:val="24"/>
          <w:szCs w:val="24"/>
        </w:rPr>
      </w:pPr>
    </w:p>
    <w:p w14:paraId="7F9105E5" w14:textId="77777777" w:rsidR="00F5104E" w:rsidRPr="005A40B0" w:rsidRDefault="00F5104E" w:rsidP="005A40B0">
      <w:pPr>
        <w:pStyle w:val="Heading3"/>
        <w:numPr>
          <w:ilvl w:val="0"/>
          <w:numId w:val="28"/>
        </w:numPr>
        <w:spacing w:before="0" w:line="240" w:lineRule="auto"/>
        <w:rPr>
          <w:rFonts w:ascii="Times New Roman" w:hAnsi="Times New Roman"/>
          <w:color w:val="auto"/>
          <w:sz w:val="24"/>
          <w:szCs w:val="24"/>
        </w:rPr>
      </w:pPr>
      <w:r w:rsidRPr="005A40B0">
        <w:rPr>
          <w:rFonts w:ascii="Times New Roman" w:hAnsi="Times New Roman"/>
          <w:color w:val="auto"/>
          <w:sz w:val="24"/>
          <w:szCs w:val="24"/>
        </w:rPr>
        <w:t>Respondent Activities</w:t>
      </w:r>
    </w:p>
    <w:p w14:paraId="799C1102" w14:textId="77777777" w:rsidR="0079707F" w:rsidRPr="005A40B0" w:rsidRDefault="0079707F" w:rsidP="005A40B0">
      <w:pPr>
        <w:autoSpaceDE w:val="0"/>
        <w:autoSpaceDN w:val="0"/>
        <w:adjustRightInd w:val="0"/>
        <w:spacing w:after="0" w:line="240" w:lineRule="auto"/>
        <w:rPr>
          <w:rFonts w:ascii="Times New Roman" w:hAnsi="Times New Roman"/>
          <w:sz w:val="24"/>
          <w:szCs w:val="24"/>
        </w:rPr>
      </w:pPr>
    </w:p>
    <w:p w14:paraId="73456C70" w14:textId="77777777"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A representative respondent would engage in the following activities:</w:t>
      </w:r>
    </w:p>
    <w:p w14:paraId="495E087C" w14:textId="77777777" w:rsidR="007664A0" w:rsidRPr="005A40B0" w:rsidRDefault="007664A0" w:rsidP="005A40B0">
      <w:pPr>
        <w:autoSpaceDE w:val="0"/>
        <w:autoSpaceDN w:val="0"/>
        <w:adjustRightInd w:val="0"/>
        <w:spacing w:after="0" w:line="240" w:lineRule="auto"/>
        <w:rPr>
          <w:rFonts w:ascii="Times New Roman" w:hAnsi="Times New Roman"/>
          <w:sz w:val="24"/>
          <w:szCs w:val="24"/>
        </w:rPr>
      </w:pPr>
    </w:p>
    <w:p w14:paraId="37786A5E" w14:textId="77777777" w:rsidR="00F5104E" w:rsidRPr="005A40B0" w:rsidRDefault="00F5104E" w:rsidP="005A40B0">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 xml:space="preserve">Conduct an initial review of the rule to </w:t>
      </w:r>
      <w:r w:rsidR="007664A0" w:rsidRPr="005A40B0">
        <w:rPr>
          <w:rFonts w:ascii="Times New Roman" w:hAnsi="Times New Roman"/>
          <w:sz w:val="24"/>
          <w:szCs w:val="24"/>
        </w:rPr>
        <w:t xml:space="preserve">determine if their company must </w:t>
      </w:r>
      <w:r w:rsidRPr="005A40B0">
        <w:rPr>
          <w:rFonts w:ascii="Times New Roman" w:hAnsi="Times New Roman"/>
          <w:sz w:val="24"/>
          <w:szCs w:val="24"/>
        </w:rPr>
        <w:t>report;</w:t>
      </w:r>
    </w:p>
    <w:p w14:paraId="21957284" w14:textId="1C32A53F" w:rsidR="00F5104E" w:rsidRPr="005A40B0" w:rsidRDefault="00F5104E" w:rsidP="005A40B0">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Familiarize themselves with the PAIR</w:t>
      </w:r>
      <w:r w:rsidR="00365DBF" w:rsidRPr="005A40B0">
        <w:rPr>
          <w:rFonts w:ascii="Times New Roman" w:hAnsi="Times New Roman"/>
          <w:sz w:val="24"/>
          <w:szCs w:val="24"/>
        </w:rPr>
        <w:t xml:space="preserve"> </w:t>
      </w:r>
      <w:r w:rsidR="00CF7235" w:rsidRPr="005A40B0">
        <w:rPr>
          <w:rFonts w:ascii="Times New Roman" w:hAnsi="Times New Roman"/>
          <w:sz w:val="24"/>
          <w:szCs w:val="24"/>
        </w:rPr>
        <w:t>and subpart B of 40 CFR 766</w:t>
      </w:r>
      <w:r w:rsidR="00CF7235">
        <w:rPr>
          <w:rFonts w:ascii="Times New Roman" w:hAnsi="Times New Roman"/>
          <w:sz w:val="24"/>
          <w:szCs w:val="24"/>
        </w:rPr>
        <w:t xml:space="preserve"> </w:t>
      </w:r>
      <w:r w:rsidR="00365DBF" w:rsidRPr="005A40B0">
        <w:rPr>
          <w:rFonts w:ascii="Times New Roman" w:hAnsi="Times New Roman"/>
          <w:sz w:val="24"/>
          <w:szCs w:val="24"/>
        </w:rPr>
        <w:t>requirements</w:t>
      </w:r>
      <w:r w:rsidRPr="005A40B0">
        <w:rPr>
          <w:rFonts w:ascii="Times New Roman" w:hAnsi="Times New Roman"/>
          <w:sz w:val="24"/>
          <w:szCs w:val="24"/>
        </w:rPr>
        <w:t>;</w:t>
      </w:r>
    </w:p>
    <w:p w14:paraId="7D56E7AC" w14:textId="5DFA28B1" w:rsidR="00F5104E" w:rsidRPr="005A40B0" w:rsidRDefault="00F5104E" w:rsidP="005A40B0">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 xml:space="preserve">Complete the PAIR </w:t>
      </w:r>
      <w:r w:rsidR="00CF7235" w:rsidRPr="005A40B0">
        <w:rPr>
          <w:rFonts w:ascii="Times New Roman" w:hAnsi="Times New Roman"/>
          <w:sz w:val="24"/>
          <w:szCs w:val="24"/>
        </w:rPr>
        <w:t>and subpart B of 40 CFR 766</w:t>
      </w:r>
      <w:r w:rsidR="00CF7235">
        <w:rPr>
          <w:rFonts w:ascii="Times New Roman" w:hAnsi="Times New Roman"/>
          <w:sz w:val="24"/>
          <w:szCs w:val="24"/>
        </w:rPr>
        <w:t xml:space="preserve"> </w:t>
      </w:r>
      <w:r w:rsidRPr="005A40B0">
        <w:rPr>
          <w:rFonts w:ascii="Times New Roman" w:hAnsi="Times New Roman"/>
          <w:sz w:val="24"/>
          <w:szCs w:val="24"/>
        </w:rPr>
        <w:t xml:space="preserve">reporting </w:t>
      </w:r>
      <w:r w:rsidR="00365DBF" w:rsidRPr="005A40B0">
        <w:rPr>
          <w:rFonts w:ascii="Times New Roman" w:hAnsi="Times New Roman"/>
          <w:sz w:val="24"/>
          <w:szCs w:val="24"/>
        </w:rPr>
        <w:t>via the Agency’s Central Data Exchange (CDX)</w:t>
      </w:r>
      <w:r w:rsidRPr="005A40B0">
        <w:rPr>
          <w:rFonts w:ascii="Times New Roman" w:hAnsi="Times New Roman"/>
          <w:sz w:val="24"/>
          <w:szCs w:val="24"/>
        </w:rPr>
        <w:t>;</w:t>
      </w:r>
    </w:p>
    <w:p w14:paraId="0A02BAC2" w14:textId="77777777" w:rsidR="00F5104E" w:rsidRPr="005A40B0" w:rsidRDefault="00F5104E" w:rsidP="005A40B0">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Provide trade name notification;</w:t>
      </w:r>
    </w:p>
    <w:p w14:paraId="25C34EF6" w14:textId="77777777" w:rsidR="00F5104E" w:rsidRPr="005A40B0" w:rsidRDefault="00F5104E" w:rsidP="005A40B0">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Indicate CBI status if so desired; and</w:t>
      </w:r>
    </w:p>
    <w:p w14:paraId="50B90CD5" w14:textId="77777777" w:rsidR="00F5104E" w:rsidRPr="005A40B0" w:rsidRDefault="00F5104E" w:rsidP="005A40B0">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5A40B0">
        <w:rPr>
          <w:rFonts w:ascii="Times New Roman" w:hAnsi="Times New Roman"/>
          <w:sz w:val="24"/>
          <w:szCs w:val="24"/>
        </w:rPr>
        <w:t>Keep a copy for recordkeeping requirements.</w:t>
      </w:r>
    </w:p>
    <w:p w14:paraId="662E1C92" w14:textId="77777777" w:rsidR="007664A0" w:rsidRPr="005A40B0" w:rsidRDefault="007664A0" w:rsidP="005A40B0">
      <w:pPr>
        <w:pStyle w:val="ListParagraph"/>
        <w:autoSpaceDE w:val="0"/>
        <w:autoSpaceDN w:val="0"/>
        <w:adjustRightInd w:val="0"/>
        <w:spacing w:after="0" w:line="240" w:lineRule="auto"/>
        <w:rPr>
          <w:rFonts w:ascii="Times New Roman" w:hAnsi="Times New Roman"/>
          <w:sz w:val="24"/>
          <w:szCs w:val="24"/>
        </w:rPr>
      </w:pPr>
    </w:p>
    <w:p w14:paraId="120AFB09" w14:textId="74B6272C" w:rsidR="00D017B8"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The PAIR </w:t>
      </w:r>
      <w:r w:rsidR="00C427C7">
        <w:rPr>
          <w:rFonts w:ascii="Times New Roman" w:hAnsi="Times New Roman"/>
          <w:sz w:val="24"/>
          <w:szCs w:val="24"/>
        </w:rPr>
        <w:t>(</w:t>
      </w:r>
      <w:r w:rsidR="00C427C7" w:rsidRPr="005A2AF7">
        <w:rPr>
          <w:rFonts w:ascii="Times New Roman" w:hAnsi="Times New Roman"/>
          <w:sz w:val="24"/>
          <w:szCs w:val="24"/>
        </w:rPr>
        <w:t>40 CFR part 712</w:t>
      </w:r>
      <w:r w:rsidR="00C427C7">
        <w:rPr>
          <w:rFonts w:ascii="Times New Roman" w:hAnsi="Times New Roman"/>
          <w:sz w:val="24"/>
          <w:szCs w:val="24"/>
        </w:rPr>
        <w:t xml:space="preserve">) </w:t>
      </w:r>
      <w:r w:rsidR="00CF7235" w:rsidRPr="005A40B0">
        <w:rPr>
          <w:rFonts w:ascii="Times New Roman" w:hAnsi="Times New Roman"/>
          <w:sz w:val="24"/>
          <w:szCs w:val="24"/>
        </w:rPr>
        <w:t>and subpart B of 40 CFR 766</w:t>
      </w:r>
      <w:r w:rsidR="00CF7235">
        <w:rPr>
          <w:rFonts w:ascii="Times New Roman" w:hAnsi="Times New Roman"/>
          <w:sz w:val="24"/>
          <w:szCs w:val="24"/>
        </w:rPr>
        <w:t xml:space="preserve"> </w:t>
      </w:r>
      <w:r w:rsidRPr="005A40B0">
        <w:rPr>
          <w:rFonts w:ascii="Times New Roman" w:hAnsi="Times New Roman"/>
          <w:sz w:val="24"/>
          <w:szCs w:val="24"/>
        </w:rPr>
        <w:t>generally requires one-time reporting and establishes the reporting</w:t>
      </w:r>
      <w:r w:rsidR="007664A0" w:rsidRPr="005A40B0">
        <w:rPr>
          <w:rFonts w:ascii="Times New Roman" w:hAnsi="Times New Roman"/>
          <w:sz w:val="24"/>
          <w:szCs w:val="24"/>
        </w:rPr>
        <w:t xml:space="preserve"> </w:t>
      </w:r>
      <w:r w:rsidRPr="005A40B0">
        <w:rPr>
          <w:rFonts w:ascii="Times New Roman" w:hAnsi="Times New Roman"/>
          <w:sz w:val="24"/>
          <w:szCs w:val="24"/>
        </w:rPr>
        <w:t>period for the listed chemical substances, mixtures or categories. Therefore, a reporting schedule is not required.</w:t>
      </w:r>
    </w:p>
    <w:p w14:paraId="4A4D549F" w14:textId="77777777" w:rsidR="00D017B8" w:rsidRPr="005A40B0" w:rsidRDefault="00D017B8" w:rsidP="005A40B0">
      <w:pPr>
        <w:autoSpaceDE w:val="0"/>
        <w:autoSpaceDN w:val="0"/>
        <w:adjustRightInd w:val="0"/>
        <w:spacing w:after="0" w:line="240" w:lineRule="auto"/>
        <w:rPr>
          <w:rFonts w:ascii="Times New Roman" w:hAnsi="Times New Roman"/>
          <w:sz w:val="24"/>
          <w:szCs w:val="24"/>
        </w:rPr>
      </w:pPr>
    </w:p>
    <w:p w14:paraId="13B43520" w14:textId="77777777" w:rsidR="00D017B8" w:rsidRPr="005A40B0" w:rsidRDefault="00D017B8" w:rsidP="005A40B0">
      <w:pPr>
        <w:autoSpaceDE w:val="0"/>
        <w:autoSpaceDN w:val="0"/>
        <w:adjustRightInd w:val="0"/>
        <w:spacing w:after="0" w:line="240" w:lineRule="auto"/>
        <w:rPr>
          <w:rFonts w:ascii="Times New Roman" w:hAnsi="Times New Roman"/>
          <w:sz w:val="24"/>
          <w:szCs w:val="24"/>
        </w:rPr>
      </w:pPr>
    </w:p>
    <w:p w14:paraId="0366CC8B" w14:textId="77777777" w:rsidR="00D017B8" w:rsidRPr="005A40B0" w:rsidRDefault="00D017B8" w:rsidP="005A40B0">
      <w:pPr>
        <w:autoSpaceDE w:val="0"/>
        <w:autoSpaceDN w:val="0"/>
        <w:adjustRightInd w:val="0"/>
        <w:spacing w:after="0" w:line="240" w:lineRule="auto"/>
        <w:rPr>
          <w:rFonts w:ascii="Times New Roman" w:hAnsi="Times New Roman"/>
          <w:b/>
          <w:sz w:val="24"/>
          <w:szCs w:val="24"/>
        </w:rPr>
      </w:pPr>
      <w:r w:rsidRPr="005A40B0">
        <w:rPr>
          <w:rFonts w:ascii="Times New Roman" w:hAnsi="Times New Roman"/>
          <w:b/>
          <w:sz w:val="24"/>
          <w:szCs w:val="24"/>
        </w:rPr>
        <w:t>5</w:t>
      </w:r>
      <w:r w:rsidRPr="005A40B0">
        <w:rPr>
          <w:rFonts w:ascii="Times New Roman" w:hAnsi="Times New Roman"/>
          <w:b/>
          <w:sz w:val="24"/>
          <w:szCs w:val="24"/>
        </w:rPr>
        <w:tab/>
      </w:r>
      <w:r w:rsidR="00F5104E" w:rsidRPr="005A40B0">
        <w:rPr>
          <w:rFonts w:ascii="Times New Roman" w:hAnsi="Times New Roman"/>
          <w:b/>
          <w:sz w:val="24"/>
          <w:szCs w:val="24"/>
        </w:rPr>
        <w:t>THE INFORMATION COLLECTED - AGENCY ACTIVITIES,</w:t>
      </w:r>
      <w:r w:rsidR="007664A0" w:rsidRPr="005A40B0">
        <w:rPr>
          <w:rFonts w:ascii="Times New Roman" w:hAnsi="Times New Roman"/>
          <w:b/>
          <w:sz w:val="24"/>
          <w:szCs w:val="24"/>
        </w:rPr>
        <w:t xml:space="preserve"> </w:t>
      </w:r>
      <w:r w:rsidR="00F5104E" w:rsidRPr="005A40B0">
        <w:rPr>
          <w:rFonts w:ascii="Times New Roman" w:hAnsi="Times New Roman"/>
          <w:b/>
          <w:sz w:val="24"/>
          <w:szCs w:val="24"/>
        </w:rPr>
        <w:t xml:space="preserve">COLLECTION </w:t>
      </w:r>
    </w:p>
    <w:p w14:paraId="19C1A1A7" w14:textId="03F7A774" w:rsidR="00F5104E" w:rsidRDefault="00F5104E" w:rsidP="005A40B0">
      <w:pPr>
        <w:autoSpaceDE w:val="0"/>
        <w:autoSpaceDN w:val="0"/>
        <w:adjustRightInd w:val="0"/>
        <w:spacing w:after="0" w:line="240" w:lineRule="auto"/>
        <w:ind w:firstLine="720"/>
        <w:rPr>
          <w:rFonts w:ascii="Times New Roman" w:hAnsi="Times New Roman"/>
          <w:b/>
          <w:sz w:val="24"/>
          <w:szCs w:val="24"/>
        </w:rPr>
      </w:pPr>
      <w:r w:rsidRPr="005A40B0">
        <w:rPr>
          <w:rFonts w:ascii="Times New Roman" w:hAnsi="Times New Roman"/>
          <w:b/>
          <w:sz w:val="24"/>
          <w:szCs w:val="24"/>
        </w:rPr>
        <w:t>METHODOLOGY AND INFORMATION MANAGEMENT</w:t>
      </w:r>
    </w:p>
    <w:p w14:paraId="4EDFC796" w14:textId="77777777" w:rsidR="00C640EA" w:rsidRPr="005A40B0" w:rsidRDefault="00C640EA" w:rsidP="005A40B0">
      <w:pPr>
        <w:autoSpaceDE w:val="0"/>
        <w:autoSpaceDN w:val="0"/>
        <w:adjustRightInd w:val="0"/>
        <w:spacing w:after="0" w:line="240" w:lineRule="auto"/>
        <w:ind w:firstLine="720"/>
        <w:rPr>
          <w:rFonts w:ascii="Times New Roman" w:hAnsi="Times New Roman"/>
          <w:b/>
          <w:sz w:val="24"/>
          <w:szCs w:val="24"/>
        </w:rPr>
      </w:pPr>
    </w:p>
    <w:p w14:paraId="34633D24" w14:textId="77777777" w:rsidR="00F5104E" w:rsidRPr="005A40B0" w:rsidRDefault="0079707F" w:rsidP="005A40B0">
      <w:pPr>
        <w:pStyle w:val="Heading2"/>
        <w:numPr>
          <w:ilvl w:val="0"/>
          <w:numId w:val="0"/>
        </w:numPr>
        <w:spacing w:before="0" w:line="240" w:lineRule="auto"/>
        <w:ind w:left="270" w:firstLine="450"/>
        <w:rPr>
          <w:rFonts w:ascii="Times New Roman" w:hAnsi="Times New Roman"/>
          <w:color w:val="auto"/>
          <w:sz w:val="24"/>
          <w:szCs w:val="24"/>
        </w:rPr>
      </w:pPr>
      <w:r w:rsidRPr="005A40B0">
        <w:rPr>
          <w:rFonts w:ascii="Times New Roman" w:hAnsi="Times New Roman"/>
          <w:color w:val="auto"/>
          <w:sz w:val="24"/>
          <w:szCs w:val="24"/>
        </w:rPr>
        <w:t>5(a)</w:t>
      </w:r>
      <w:r w:rsidRPr="005A40B0">
        <w:rPr>
          <w:rFonts w:ascii="Times New Roman" w:hAnsi="Times New Roman"/>
          <w:color w:val="auto"/>
          <w:sz w:val="24"/>
          <w:szCs w:val="24"/>
        </w:rPr>
        <w:tab/>
      </w:r>
      <w:r w:rsidR="00F5104E" w:rsidRPr="005A40B0">
        <w:rPr>
          <w:rFonts w:ascii="Times New Roman" w:hAnsi="Times New Roman"/>
          <w:color w:val="auto"/>
          <w:sz w:val="24"/>
          <w:szCs w:val="24"/>
        </w:rPr>
        <w:t>Agency Activities</w:t>
      </w:r>
    </w:p>
    <w:p w14:paraId="5E2D4DC4" w14:textId="77777777" w:rsidR="0079707F" w:rsidRPr="005A40B0" w:rsidRDefault="0079707F" w:rsidP="005A40B0">
      <w:pPr>
        <w:autoSpaceDE w:val="0"/>
        <w:autoSpaceDN w:val="0"/>
        <w:adjustRightInd w:val="0"/>
        <w:spacing w:after="0" w:line="240" w:lineRule="auto"/>
        <w:rPr>
          <w:rFonts w:ascii="Times New Roman" w:hAnsi="Times New Roman"/>
          <w:sz w:val="24"/>
          <w:szCs w:val="24"/>
        </w:rPr>
      </w:pPr>
    </w:p>
    <w:p w14:paraId="0B0D412E" w14:textId="17F583F5" w:rsidR="00F5104E"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The activities routinely conducted by EPA related to the rule development,</w:t>
      </w:r>
      <w:r w:rsidR="007664A0" w:rsidRPr="005A40B0">
        <w:rPr>
          <w:rFonts w:ascii="Times New Roman" w:hAnsi="Times New Roman"/>
          <w:sz w:val="24"/>
          <w:szCs w:val="24"/>
        </w:rPr>
        <w:t xml:space="preserve"> </w:t>
      </w:r>
      <w:r w:rsidRPr="005A40B0">
        <w:rPr>
          <w:rFonts w:ascii="Times New Roman" w:hAnsi="Times New Roman"/>
          <w:sz w:val="24"/>
          <w:szCs w:val="24"/>
        </w:rPr>
        <w:t xml:space="preserve">processing, analysis and storage of the information collected under a PAIR rule </w:t>
      </w:r>
      <w:r w:rsidR="00C427C7">
        <w:rPr>
          <w:rFonts w:ascii="Times New Roman" w:hAnsi="Times New Roman"/>
          <w:sz w:val="24"/>
          <w:szCs w:val="24"/>
        </w:rPr>
        <w:t>(</w:t>
      </w:r>
      <w:r w:rsidR="00C427C7" w:rsidRPr="005A2AF7">
        <w:rPr>
          <w:rFonts w:ascii="Times New Roman" w:hAnsi="Times New Roman"/>
          <w:sz w:val="24"/>
          <w:szCs w:val="24"/>
        </w:rPr>
        <w:t>40 CFR part 712</w:t>
      </w:r>
      <w:r w:rsidR="00C427C7">
        <w:rPr>
          <w:rFonts w:ascii="Times New Roman" w:hAnsi="Times New Roman"/>
          <w:sz w:val="24"/>
          <w:szCs w:val="24"/>
        </w:rPr>
        <w:t xml:space="preserve">) </w:t>
      </w:r>
      <w:r w:rsidR="004E574F" w:rsidRPr="005A40B0">
        <w:rPr>
          <w:rFonts w:ascii="Times New Roman" w:hAnsi="Times New Roman"/>
          <w:sz w:val="24"/>
          <w:szCs w:val="24"/>
        </w:rPr>
        <w:t>and subpart B of 40 CFR 766</w:t>
      </w:r>
      <w:r w:rsidR="004E574F">
        <w:rPr>
          <w:rFonts w:ascii="Times New Roman" w:hAnsi="Times New Roman"/>
          <w:sz w:val="24"/>
          <w:szCs w:val="24"/>
        </w:rPr>
        <w:t xml:space="preserve"> </w:t>
      </w:r>
      <w:r w:rsidRPr="005A40B0">
        <w:rPr>
          <w:rFonts w:ascii="Times New Roman" w:hAnsi="Times New Roman"/>
          <w:sz w:val="24"/>
          <w:szCs w:val="24"/>
        </w:rPr>
        <w:t>are as</w:t>
      </w:r>
      <w:r w:rsidR="007664A0" w:rsidRPr="005A40B0">
        <w:rPr>
          <w:rFonts w:ascii="Times New Roman" w:hAnsi="Times New Roman"/>
          <w:sz w:val="24"/>
          <w:szCs w:val="24"/>
        </w:rPr>
        <w:t xml:space="preserve"> </w:t>
      </w:r>
      <w:r w:rsidRPr="005A40B0">
        <w:rPr>
          <w:rFonts w:ascii="Times New Roman" w:hAnsi="Times New Roman"/>
          <w:sz w:val="24"/>
          <w:szCs w:val="24"/>
        </w:rPr>
        <w:t>follows:</w:t>
      </w:r>
    </w:p>
    <w:p w14:paraId="168A478C" w14:textId="77777777" w:rsidR="007664A0" w:rsidRPr="005A40B0" w:rsidRDefault="007664A0" w:rsidP="005A40B0">
      <w:pPr>
        <w:autoSpaceDE w:val="0"/>
        <w:autoSpaceDN w:val="0"/>
        <w:adjustRightInd w:val="0"/>
        <w:spacing w:after="0" w:line="240" w:lineRule="auto"/>
        <w:rPr>
          <w:rFonts w:ascii="Times New Roman" w:hAnsi="Times New Roman"/>
          <w:sz w:val="24"/>
          <w:szCs w:val="24"/>
        </w:rPr>
      </w:pPr>
    </w:p>
    <w:p w14:paraId="51E7846C" w14:textId="77777777" w:rsidR="00EA3FE1" w:rsidRPr="005A40B0" w:rsidRDefault="00EA3FE1" w:rsidP="005A40B0">
      <w:pPr>
        <w:pStyle w:val="ListParagraph"/>
        <w:numPr>
          <w:ilvl w:val="0"/>
          <w:numId w:val="35"/>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Chemical nomination, review and selection;</w:t>
      </w:r>
    </w:p>
    <w:p w14:paraId="39D016C6" w14:textId="77777777" w:rsidR="00EA3FE1" w:rsidRPr="005A40B0" w:rsidRDefault="00EA3FE1" w:rsidP="005A40B0">
      <w:pPr>
        <w:pStyle w:val="ListParagraph"/>
        <w:numPr>
          <w:ilvl w:val="0"/>
          <w:numId w:val="35"/>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Rule development;</w:t>
      </w:r>
    </w:p>
    <w:p w14:paraId="7F068736" w14:textId="77777777" w:rsidR="00F5104E" w:rsidRPr="005A40B0" w:rsidRDefault="00F5104E" w:rsidP="005A40B0">
      <w:pPr>
        <w:pStyle w:val="ListParagraph"/>
        <w:numPr>
          <w:ilvl w:val="0"/>
          <w:numId w:val="35"/>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Evaluation of the rule (including impact assessments);</w:t>
      </w:r>
    </w:p>
    <w:p w14:paraId="387E284A" w14:textId="77777777" w:rsidR="00F5104E" w:rsidRPr="005A40B0" w:rsidRDefault="00F5104E" w:rsidP="005A40B0">
      <w:pPr>
        <w:pStyle w:val="ListParagraph"/>
        <w:numPr>
          <w:ilvl w:val="0"/>
          <w:numId w:val="35"/>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Industry/public assistance;</w:t>
      </w:r>
    </w:p>
    <w:p w14:paraId="5ADC7A85" w14:textId="77777777" w:rsidR="00F5104E" w:rsidRPr="005A40B0" w:rsidRDefault="00F5104E" w:rsidP="005A40B0">
      <w:pPr>
        <w:pStyle w:val="ListParagraph"/>
        <w:numPr>
          <w:ilvl w:val="0"/>
          <w:numId w:val="35"/>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Compliance monitoring; and</w:t>
      </w:r>
    </w:p>
    <w:p w14:paraId="57551FC6" w14:textId="54173AC5" w:rsidR="00F5104E" w:rsidRDefault="00F5104E" w:rsidP="005A40B0">
      <w:pPr>
        <w:pStyle w:val="ListParagraph"/>
        <w:numPr>
          <w:ilvl w:val="0"/>
          <w:numId w:val="35"/>
        </w:numPr>
        <w:autoSpaceDE w:val="0"/>
        <w:autoSpaceDN w:val="0"/>
        <w:adjustRightInd w:val="0"/>
        <w:spacing w:after="0" w:line="240" w:lineRule="auto"/>
        <w:rPr>
          <w:rFonts w:ascii="Times New Roman" w:hAnsi="Times New Roman"/>
          <w:sz w:val="24"/>
          <w:szCs w:val="24"/>
        </w:rPr>
      </w:pPr>
      <w:r w:rsidRPr="005A40B0">
        <w:rPr>
          <w:rFonts w:ascii="Times New Roman" w:hAnsi="Times New Roman"/>
          <w:sz w:val="24"/>
          <w:szCs w:val="24"/>
        </w:rPr>
        <w:t>Processing of data received for listed chemicals (includes receipt,</w:t>
      </w:r>
      <w:r w:rsidR="007664A0" w:rsidRPr="005A40B0">
        <w:rPr>
          <w:rFonts w:ascii="Times New Roman" w:hAnsi="Times New Roman"/>
          <w:sz w:val="24"/>
          <w:szCs w:val="24"/>
        </w:rPr>
        <w:t xml:space="preserve"> </w:t>
      </w:r>
      <w:r w:rsidRPr="005A40B0">
        <w:rPr>
          <w:rFonts w:ascii="Times New Roman" w:hAnsi="Times New Roman"/>
          <w:sz w:val="24"/>
          <w:szCs w:val="24"/>
        </w:rPr>
        <w:t>dissemination, evaluation, etc.).</w:t>
      </w:r>
    </w:p>
    <w:p w14:paraId="1A3672AF" w14:textId="77777777" w:rsidR="00C640EA" w:rsidRPr="005A40B0" w:rsidRDefault="00C640EA" w:rsidP="00C640EA">
      <w:pPr>
        <w:pStyle w:val="ListParagraph"/>
        <w:autoSpaceDE w:val="0"/>
        <w:autoSpaceDN w:val="0"/>
        <w:adjustRightInd w:val="0"/>
        <w:spacing w:after="0" w:line="240" w:lineRule="auto"/>
        <w:ind w:left="1080"/>
        <w:rPr>
          <w:rFonts w:ascii="Times New Roman" w:hAnsi="Times New Roman"/>
          <w:sz w:val="24"/>
          <w:szCs w:val="24"/>
        </w:rPr>
      </w:pPr>
    </w:p>
    <w:p w14:paraId="77B0D880" w14:textId="77777777" w:rsidR="00F5104E" w:rsidRPr="005A40B0" w:rsidRDefault="0079707F" w:rsidP="005A40B0">
      <w:pPr>
        <w:pStyle w:val="Heading2"/>
        <w:numPr>
          <w:ilvl w:val="0"/>
          <w:numId w:val="0"/>
        </w:numPr>
        <w:spacing w:before="0" w:line="240" w:lineRule="auto"/>
        <w:ind w:firstLine="720"/>
        <w:rPr>
          <w:rFonts w:ascii="Times New Roman" w:hAnsi="Times New Roman"/>
          <w:color w:val="auto"/>
          <w:sz w:val="24"/>
          <w:szCs w:val="24"/>
        </w:rPr>
      </w:pPr>
      <w:r w:rsidRPr="005A40B0">
        <w:rPr>
          <w:rFonts w:ascii="Times New Roman" w:hAnsi="Times New Roman"/>
          <w:color w:val="auto"/>
          <w:sz w:val="24"/>
          <w:szCs w:val="24"/>
        </w:rPr>
        <w:t>5(b)</w:t>
      </w:r>
      <w:r w:rsidRPr="005A40B0">
        <w:rPr>
          <w:rFonts w:ascii="Times New Roman" w:hAnsi="Times New Roman"/>
          <w:color w:val="auto"/>
          <w:sz w:val="24"/>
          <w:szCs w:val="24"/>
        </w:rPr>
        <w:tab/>
      </w:r>
      <w:r w:rsidR="00F5104E" w:rsidRPr="005A40B0">
        <w:rPr>
          <w:rFonts w:ascii="Times New Roman" w:hAnsi="Times New Roman"/>
          <w:color w:val="auto"/>
          <w:sz w:val="24"/>
          <w:szCs w:val="24"/>
        </w:rPr>
        <w:t>Collection Methodology and Management</w:t>
      </w:r>
    </w:p>
    <w:p w14:paraId="566EA414" w14:textId="77777777" w:rsidR="0079707F" w:rsidRPr="005A40B0" w:rsidRDefault="0079707F" w:rsidP="005A40B0">
      <w:pPr>
        <w:autoSpaceDE w:val="0"/>
        <w:autoSpaceDN w:val="0"/>
        <w:adjustRightInd w:val="0"/>
        <w:spacing w:after="0" w:line="240" w:lineRule="auto"/>
        <w:rPr>
          <w:rFonts w:ascii="Times New Roman" w:hAnsi="Times New Roman"/>
          <w:sz w:val="24"/>
          <w:szCs w:val="24"/>
        </w:rPr>
      </w:pPr>
    </w:p>
    <w:p w14:paraId="0D8FAEA1" w14:textId="79DE73D5" w:rsidR="002A5274"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The PAIR</w:t>
      </w:r>
      <w:r w:rsidR="004E574F" w:rsidRPr="004E574F">
        <w:rPr>
          <w:rFonts w:ascii="Times New Roman" w:hAnsi="Times New Roman"/>
          <w:sz w:val="24"/>
          <w:szCs w:val="24"/>
        </w:rPr>
        <w:t xml:space="preserve"> </w:t>
      </w:r>
      <w:r w:rsidR="006B5508" w:rsidRPr="007F3CAE">
        <w:rPr>
          <w:rFonts w:ascii="Times New Roman" w:hAnsi="Times New Roman"/>
          <w:sz w:val="24"/>
          <w:szCs w:val="24"/>
        </w:rPr>
        <w:t>(</w:t>
      </w:r>
      <w:r w:rsidR="00C427C7" w:rsidRPr="005A2AF7">
        <w:rPr>
          <w:rFonts w:ascii="Times New Roman" w:hAnsi="Times New Roman"/>
          <w:sz w:val="24"/>
          <w:szCs w:val="24"/>
        </w:rPr>
        <w:t>40 CFR part 712</w:t>
      </w:r>
      <w:r w:rsidR="006B5508" w:rsidRPr="007F3CAE">
        <w:rPr>
          <w:rFonts w:ascii="Times New Roman" w:hAnsi="Times New Roman"/>
          <w:sz w:val="24"/>
          <w:szCs w:val="24"/>
        </w:rPr>
        <w:t>)</w:t>
      </w:r>
      <w:r w:rsidR="006B5508">
        <w:rPr>
          <w:rFonts w:ascii="Times New Roman" w:hAnsi="Times New Roman"/>
          <w:sz w:val="24"/>
          <w:szCs w:val="24"/>
        </w:rPr>
        <w:t xml:space="preserve"> </w:t>
      </w:r>
      <w:r w:rsidR="004E574F" w:rsidRPr="005A40B0">
        <w:rPr>
          <w:rFonts w:ascii="Times New Roman" w:hAnsi="Times New Roman"/>
          <w:sz w:val="24"/>
          <w:szCs w:val="24"/>
        </w:rPr>
        <w:t>and subpart B of 40 CFR 766</w:t>
      </w:r>
      <w:r w:rsidR="00C427C7">
        <w:rPr>
          <w:rFonts w:ascii="Times New Roman" w:hAnsi="Times New Roman"/>
          <w:sz w:val="24"/>
          <w:szCs w:val="24"/>
        </w:rPr>
        <w:t xml:space="preserve"> </w:t>
      </w:r>
      <w:r w:rsidRPr="005A40B0">
        <w:rPr>
          <w:rFonts w:ascii="Times New Roman" w:hAnsi="Times New Roman"/>
          <w:sz w:val="24"/>
          <w:szCs w:val="24"/>
        </w:rPr>
        <w:t xml:space="preserve">requires respondents to submit </w:t>
      </w:r>
      <w:r w:rsidR="004A1379" w:rsidRPr="005A40B0">
        <w:rPr>
          <w:rFonts w:ascii="Times New Roman" w:hAnsi="Times New Roman"/>
          <w:sz w:val="24"/>
          <w:szCs w:val="24"/>
        </w:rPr>
        <w:t xml:space="preserve">information electronically via </w:t>
      </w:r>
      <w:r w:rsidR="00BA231C" w:rsidRPr="005A40B0">
        <w:rPr>
          <w:rFonts w:ascii="Times New Roman" w:hAnsi="Times New Roman"/>
          <w:sz w:val="24"/>
          <w:szCs w:val="24"/>
        </w:rPr>
        <w:t>CDX</w:t>
      </w:r>
      <w:r w:rsidR="00A340E5" w:rsidRPr="005A40B0">
        <w:rPr>
          <w:rFonts w:ascii="Times New Roman" w:hAnsi="Times New Roman"/>
          <w:sz w:val="24"/>
          <w:szCs w:val="24"/>
        </w:rPr>
        <w:t>.</w:t>
      </w:r>
      <w:r w:rsidR="004A1379" w:rsidRPr="005A40B0">
        <w:rPr>
          <w:rFonts w:ascii="Times New Roman" w:hAnsi="Times New Roman"/>
          <w:sz w:val="24"/>
          <w:szCs w:val="24"/>
        </w:rPr>
        <w:t xml:space="preserve"> </w:t>
      </w:r>
      <w:r w:rsidRPr="005A40B0">
        <w:rPr>
          <w:rFonts w:ascii="Times New Roman" w:hAnsi="Times New Roman"/>
          <w:sz w:val="24"/>
          <w:szCs w:val="24"/>
        </w:rPr>
        <w:t>Information collected under PAIR</w:t>
      </w:r>
      <w:r w:rsidR="004E574F" w:rsidRPr="004E574F">
        <w:rPr>
          <w:rFonts w:ascii="Times New Roman" w:hAnsi="Times New Roman"/>
          <w:sz w:val="24"/>
          <w:szCs w:val="24"/>
        </w:rPr>
        <w:t xml:space="preserve"> </w:t>
      </w:r>
      <w:r w:rsidR="004E574F" w:rsidRPr="005A40B0">
        <w:rPr>
          <w:rFonts w:ascii="Times New Roman" w:hAnsi="Times New Roman"/>
          <w:sz w:val="24"/>
          <w:szCs w:val="24"/>
        </w:rPr>
        <w:t>and subpart B of 40 CFR 766</w:t>
      </w:r>
      <w:r w:rsidR="004E574F">
        <w:rPr>
          <w:rFonts w:ascii="Times New Roman" w:hAnsi="Times New Roman"/>
          <w:sz w:val="24"/>
          <w:szCs w:val="24"/>
        </w:rPr>
        <w:t xml:space="preserve"> </w:t>
      </w:r>
      <w:r w:rsidRPr="005A40B0">
        <w:rPr>
          <w:rFonts w:ascii="Times New Roman" w:hAnsi="Times New Roman"/>
          <w:sz w:val="24"/>
          <w:szCs w:val="24"/>
        </w:rPr>
        <w:t xml:space="preserve">is </w:t>
      </w:r>
      <w:r w:rsidR="00057A3C" w:rsidRPr="005A40B0">
        <w:rPr>
          <w:rFonts w:ascii="Times New Roman" w:hAnsi="Times New Roman"/>
          <w:sz w:val="24"/>
          <w:szCs w:val="24"/>
        </w:rPr>
        <w:t>catalogued</w:t>
      </w:r>
      <w:r w:rsidRPr="005A40B0">
        <w:rPr>
          <w:rFonts w:ascii="Times New Roman" w:hAnsi="Times New Roman"/>
          <w:sz w:val="24"/>
          <w:szCs w:val="24"/>
        </w:rPr>
        <w:t>, distributed to appropriate EPA personnel for further</w:t>
      </w:r>
      <w:r w:rsidR="007664A0" w:rsidRPr="005A40B0">
        <w:rPr>
          <w:rFonts w:ascii="Times New Roman" w:hAnsi="Times New Roman"/>
          <w:sz w:val="24"/>
          <w:szCs w:val="24"/>
        </w:rPr>
        <w:t xml:space="preserve"> </w:t>
      </w:r>
      <w:r w:rsidRPr="005A40B0">
        <w:rPr>
          <w:rFonts w:ascii="Times New Roman" w:hAnsi="Times New Roman"/>
          <w:sz w:val="24"/>
          <w:szCs w:val="24"/>
        </w:rPr>
        <w:t>processing, review</w:t>
      </w:r>
      <w:r w:rsidR="009C6212" w:rsidRPr="005A40B0">
        <w:rPr>
          <w:rFonts w:ascii="Times New Roman" w:hAnsi="Times New Roman"/>
          <w:sz w:val="24"/>
          <w:szCs w:val="24"/>
        </w:rPr>
        <w:t xml:space="preserve"> </w:t>
      </w:r>
      <w:r w:rsidR="00A340E5" w:rsidRPr="005A40B0">
        <w:rPr>
          <w:rFonts w:ascii="Times New Roman" w:hAnsi="Times New Roman"/>
          <w:sz w:val="24"/>
          <w:szCs w:val="24"/>
        </w:rPr>
        <w:t>and analysis</w:t>
      </w:r>
      <w:r w:rsidR="00C640EA">
        <w:rPr>
          <w:rFonts w:ascii="Times New Roman" w:hAnsi="Times New Roman"/>
          <w:sz w:val="24"/>
          <w:szCs w:val="24"/>
        </w:rPr>
        <w:t>.</w:t>
      </w:r>
      <w:r w:rsidR="00A340E5" w:rsidRPr="005A40B0">
        <w:rPr>
          <w:rFonts w:ascii="Times New Roman" w:hAnsi="Times New Roman"/>
          <w:sz w:val="24"/>
          <w:szCs w:val="24"/>
        </w:rPr>
        <w:t xml:space="preserve"> </w:t>
      </w:r>
      <w:r w:rsidR="002A5274" w:rsidRPr="007F3CAE">
        <w:rPr>
          <w:rFonts w:ascii="Times New Roman" w:hAnsi="Times New Roman"/>
          <w:sz w:val="24"/>
          <w:szCs w:val="24"/>
        </w:rPr>
        <w:t xml:space="preserve">The information is maintained by </w:t>
      </w:r>
      <w:r w:rsidR="002A5274">
        <w:rPr>
          <w:rFonts w:ascii="Times New Roman" w:hAnsi="Times New Roman"/>
          <w:sz w:val="24"/>
          <w:szCs w:val="24"/>
        </w:rPr>
        <w:t>OPPT</w:t>
      </w:r>
      <w:r w:rsidR="002A5274" w:rsidRPr="007F3CAE">
        <w:rPr>
          <w:rFonts w:ascii="Times New Roman" w:hAnsi="Times New Roman"/>
          <w:sz w:val="24"/>
          <w:szCs w:val="24"/>
        </w:rPr>
        <w:t>’s Information Management Division.</w:t>
      </w:r>
    </w:p>
    <w:p w14:paraId="7CF2FA53" w14:textId="77777777" w:rsidR="002A5274" w:rsidRDefault="002A5274" w:rsidP="005A40B0">
      <w:pPr>
        <w:autoSpaceDE w:val="0"/>
        <w:autoSpaceDN w:val="0"/>
        <w:adjustRightInd w:val="0"/>
        <w:spacing w:after="0" w:line="240" w:lineRule="auto"/>
        <w:ind w:firstLine="720"/>
        <w:rPr>
          <w:rFonts w:ascii="Times New Roman" w:hAnsi="Times New Roman"/>
          <w:sz w:val="24"/>
          <w:szCs w:val="24"/>
        </w:rPr>
      </w:pPr>
    </w:p>
    <w:p w14:paraId="6D997D96" w14:textId="5C2B1C8B" w:rsidR="00F5104E" w:rsidRPr="005A40B0" w:rsidRDefault="007B66BB"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Electronic subm</w:t>
      </w:r>
      <w:r w:rsidR="00C640EA">
        <w:rPr>
          <w:rFonts w:ascii="Times New Roman" w:hAnsi="Times New Roman"/>
          <w:sz w:val="24"/>
          <w:szCs w:val="24"/>
        </w:rPr>
        <w:t>ission of TSCA section 8(a) PAIR</w:t>
      </w:r>
      <w:r w:rsidRPr="005A40B0">
        <w:rPr>
          <w:rFonts w:ascii="Times New Roman" w:hAnsi="Times New Roman"/>
          <w:sz w:val="24"/>
          <w:szCs w:val="24"/>
        </w:rPr>
        <w:t xml:space="preserve"> </w:t>
      </w:r>
      <w:r w:rsidR="004E574F" w:rsidRPr="005A40B0">
        <w:rPr>
          <w:rFonts w:ascii="Times New Roman" w:hAnsi="Times New Roman"/>
          <w:sz w:val="24"/>
          <w:szCs w:val="24"/>
        </w:rPr>
        <w:t>and subpart B of 40 CFR 766</w:t>
      </w:r>
      <w:r w:rsidR="004E574F">
        <w:rPr>
          <w:rFonts w:ascii="Times New Roman" w:hAnsi="Times New Roman"/>
          <w:sz w:val="24"/>
          <w:szCs w:val="24"/>
        </w:rPr>
        <w:t xml:space="preserve"> </w:t>
      </w:r>
      <w:r w:rsidRPr="005A40B0">
        <w:rPr>
          <w:rFonts w:ascii="Times New Roman" w:hAnsi="Times New Roman"/>
          <w:sz w:val="24"/>
          <w:szCs w:val="24"/>
        </w:rPr>
        <w:t>information is required and to address the CBI substantiation changes under amended TSCA t</w:t>
      </w:r>
      <w:r w:rsidR="00A340E5" w:rsidRPr="005A40B0">
        <w:rPr>
          <w:rFonts w:ascii="Times New Roman" w:hAnsi="Times New Roman"/>
          <w:sz w:val="24"/>
          <w:szCs w:val="24"/>
        </w:rPr>
        <w:t>he Agency has updated the interface in CD</w:t>
      </w:r>
      <w:r w:rsidRPr="005A40B0">
        <w:rPr>
          <w:rFonts w:ascii="Times New Roman" w:hAnsi="Times New Roman"/>
          <w:sz w:val="24"/>
          <w:szCs w:val="24"/>
        </w:rPr>
        <w:t>X</w:t>
      </w:r>
      <w:r w:rsidR="00A340E5" w:rsidRPr="005A40B0">
        <w:rPr>
          <w:rFonts w:ascii="Times New Roman" w:hAnsi="Times New Roman"/>
          <w:sz w:val="24"/>
          <w:szCs w:val="24"/>
        </w:rPr>
        <w:t xml:space="preserve">. </w:t>
      </w:r>
      <w:r w:rsidR="00147312">
        <w:rPr>
          <w:rFonts w:ascii="Times New Roman" w:hAnsi="Times New Roman"/>
          <w:sz w:val="24"/>
          <w:szCs w:val="24"/>
        </w:rPr>
        <w:t>(</w:t>
      </w:r>
      <w:r w:rsidR="002939A0">
        <w:rPr>
          <w:rFonts w:ascii="Times New Roman" w:hAnsi="Times New Roman"/>
          <w:sz w:val="24"/>
          <w:szCs w:val="24"/>
        </w:rPr>
        <w:t>S</w:t>
      </w:r>
      <w:r w:rsidR="00C427C7">
        <w:rPr>
          <w:rFonts w:ascii="Times New Roman" w:hAnsi="Times New Roman"/>
          <w:sz w:val="24"/>
          <w:szCs w:val="24"/>
        </w:rPr>
        <w:t xml:space="preserve">ee </w:t>
      </w:r>
      <w:r w:rsidR="002939A0">
        <w:rPr>
          <w:rFonts w:ascii="Times New Roman" w:hAnsi="Times New Roman"/>
          <w:sz w:val="24"/>
          <w:szCs w:val="24"/>
        </w:rPr>
        <w:t xml:space="preserve">also </w:t>
      </w:r>
      <w:r w:rsidR="00C427C7">
        <w:rPr>
          <w:rFonts w:ascii="Times New Roman" w:hAnsi="Times New Roman"/>
          <w:sz w:val="24"/>
          <w:szCs w:val="24"/>
        </w:rPr>
        <w:t xml:space="preserve">Attachments </w:t>
      </w:r>
      <w:r w:rsidR="002939A0">
        <w:rPr>
          <w:rFonts w:ascii="Times New Roman" w:hAnsi="Times New Roman"/>
          <w:sz w:val="24"/>
          <w:szCs w:val="24"/>
        </w:rPr>
        <w:t>D and H).</w:t>
      </w:r>
    </w:p>
    <w:p w14:paraId="68F9263C" w14:textId="7E28C9BC" w:rsidR="0057151C" w:rsidRPr="005A40B0" w:rsidRDefault="0057151C" w:rsidP="00C640EA">
      <w:pPr>
        <w:autoSpaceDE w:val="0"/>
        <w:autoSpaceDN w:val="0"/>
        <w:adjustRightInd w:val="0"/>
        <w:spacing w:after="0" w:line="240" w:lineRule="auto"/>
        <w:rPr>
          <w:rFonts w:ascii="Times New Roman" w:hAnsi="Times New Roman"/>
          <w:sz w:val="24"/>
          <w:szCs w:val="24"/>
        </w:rPr>
      </w:pPr>
    </w:p>
    <w:p w14:paraId="393CB54C" w14:textId="77777777" w:rsidR="00F5104E" w:rsidRPr="005A40B0" w:rsidRDefault="0079707F" w:rsidP="005A40B0">
      <w:pPr>
        <w:pStyle w:val="Heading2"/>
        <w:numPr>
          <w:ilvl w:val="0"/>
          <w:numId w:val="0"/>
        </w:numPr>
        <w:spacing w:before="0" w:line="240" w:lineRule="auto"/>
        <w:ind w:firstLine="720"/>
        <w:rPr>
          <w:rFonts w:ascii="Times New Roman" w:hAnsi="Times New Roman"/>
          <w:color w:val="auto"/>
          <w:sz w:val="24"/>
          <w:szCs w:val="24"/>
        </w:rPr>
      </w:pPr>
      <w:r w:rsidRPr="005A40B0">
        <w:rPr>
          <w:rFonts w:ascii="Times New Roman" w:hAnsi="Times New Roman"/>
          <w:color w:val="auto"/>
          <w:sz w:val="24"/>
          <w:szCs w:val="24"/>
        </w:rPr>
        <w:t>5(c)</w:t>
      </w:r>
      <w:r w:rsidRPr="005A40B0">
        <w:rPr>
          <w:rFonts w:ascii="Times New Roman" w:hAnsi="Times New Roman"/>
          <w:color w:val="auto"/>
          <w:sz w:val="24"/>
          <w:szCs w:val="24"/>
        </w:rPr>
        <w:tab/>
      </w:r>
      <w:r w:rsidR="00F5104E" w:rsidRPr="005A40B0">
        <w:rPr>
          <w:rFonts w:ascii="Times New Roman" w:hAnsi="Times New Roman"/>
          <w:color w:val="auto"/>
          <w:sz w:val="24"/>
          <w:szCs w:val="24"/>
        </w:rPr>
        <w:t>Small Entity Flexibility</w:t>
      </w:r>
    </w:p>
    <w:p w14:paraId="6903F4DB" w14:textId="77777777" w:rsidR="0079707F" w:rsidRPr="005A40B0" w:rsidRDefault="0079707F" w:rsidP="005A40B0">
      <w:pPr>
        <w:autoSpaceDE w:val="0"/>
        <w:autoSpaceDN w:val="0"/>
        <w:adjustRightInd w:val="0"/>
        <w:spacing w:after="0" w:line="240" w:lineRule="auto"/>
        <w:rPr>
          <w:rFonts w:ascii="Times New Roman" w:hAnsi="Times New Roman"/>
          <w:sz w:val="24"/>
          <w:szCs w:val="24"/>
        </w:rPr>
      </w:pPr>
    </w:p>
    <w:p w14:paraId="57D56400" w14:textId="2FE0E692" w:rsidR="00BF0033"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In accordance with TSCA section 8(a)(1)(B), PAIR contains a small business</w:t>
      </w:r>
      <w:r w:rsidR="007664A0" w:rsidRPr="005A40B0">
        <w:rPr>
          <w:rFonts w:ascii="Times New Roman" w:hAnsi="Times New Roman"/>
          <w:sz w:val="24"/>
          <w:szCs w:val="24"/>
        </w:rPr>
        <w:t xml:space="preserve"> </w:t>
      </w:r>
      <w:r w:rsidRPr="005A40B0">
        <w:rPr>
          <w:rFonts w:ascii="Times New Roman" w:hAnsi="Times New Roman"/>
          <w:sz w:val="24"/>
          <w:szCs w:val="24"/>
        </w:rPr>
        <w:t>exemption. A manufacturer or importer is considered a small business if (1) the firm’s</w:t>
      </w:r>
      <w:r w:rsidR="007664A0" w:rsidRPr="005A40B0">
        <w:rPr>
          <w:rFonts w:ascii="Times New Roman" w:hAnsi="Times New Roman"/>
          <w:sz w:val="24"/>
          <w:szCs w:val="24"/>
        </w:rPr>
        <w:t xml:space="preserve"> </w:t>
      </w:r>
      <w:r w:rsidRPr="005A40B0">
        <w:rPr>
          <w:rFonts w:ascii="Times New Roman" w:hAnsi="Times New Roman"/>
          <w:sz w:val="24"/>
          <w:szCs w:val="24"/>
        </w:rPr>
        <w:t>total annual sales when combined with those of its parent company (if any) are less than</w:t>
      </w:r>
      <w:r w:rsidR="007664A0" w:rsidRPr="005A40B0">
        <w:rPr>
          <w:rFonts w:ascii="Times New Roman" w:hAnsi="Times New Roman"/>
          <w:sz w:val="24"/>
          <w:szCs w:val="24"/>
        </w:rPr>
        <w:t xml:space="preserve"> </w:t>
      </w:r>
      <w:r w:rsidRPr="005A40B0">
        <w:rPr>
          <w:rFonts w:ascii="Times New Roman" w:hAnsi="Times New Roman"/>
          <w:sz w:val="24"/>
          <w:szCs w:val="24"/>
        </w:rPr>
        <w:t>$30 million for the reporting period and (2) its total production and/or importation of the</w:t>
      </w:r>
      <w:r w:rsidR="007664A0" w:rsidRPr="005A40B0">
        <w:rPr>
          <w:rFonts w:ascii="Times New Roman" w:hAnsi="Times New Roman"/>
          <w:sz w:val="24"/>
          <w:szCs w:val="24"/>
        </w:rPr>
        <w:t xml:space="preserve"> </w:t>
      </w:r>
      <w:r w:rsidRPr="005A40B0">
        <w:rPr>
          <w:rFonts w:ascii="Times New Roman" w:hAnsi="Times New Roman"/>
          <w:sz w:val="24"/>
          <w:szCs w:val="24"/>
        </w:rPr>
        <w:t>chemical substances, mixture or category, for the reporting period, does not exceed</w:t>
      </w:r>
      <w:r w:rsidR="007664A0" w:rsidRPr="005A40B0">
        <w:rPr>
          <w:rFonts w:ascii="Times New Roman" w:hAnsi="Times New Roman"/>
          <w:sz w:val="24"/>
          <w:szCs w:val="24"/>
        </w:rPr>
        <w:t xml:space="preserve"> </w:t>
      </w:r>
      <w:r w:rsidRPr="005A40B0">
        <w:rPr>
          <w:rFonts w:ascii="Times New Roman" w:hAnsi="Times New Roman"/>
          <w:sz w:val="24"/>
          <w:szCs w:val="24"/>
        </w:rPr>
        <w:t>100,000 pounds (45,</w:t>
      </w:r>
      <w:r w:rsidR="00BF0033" w:rsidRPr="005A40B0">
        <w:rPr>
          <w:rFonts w:ascii="Times New Roman" w:hAnsi="Times New Roman"/>
          <w:sz w:val="24"/>
          <w:szCs w:val="24"/>
        </w:rPr>
        <w:t>4</w:t>
      </w:r>
      <w:r w:rsidRPr="005A40B0">
        <w:rPr>
          <w:rFonts w:ascii="Times New Roman" w:hAnsi="Times New Roman"/>
          <w:sz w:val="24"/>
          <w:szCs w:val="24"/>
        </w:rPr>
        <w:t>00 kilograms) at an individual site owned and controlled by the</w:t>
      </w:r>
      <w:r w:rsidR="007664A0" w:rsidRPr="005A40B0">
        <w:rPr>
          <w:rFonts w:ascii="Times New Roman" w:hAnsi="Times New Roman"/>
          <w:sz w:val="24"/>
          <w:szCs w:val="24"/>
        </w:rPr>
        <w:t xml:space="preserve"> </w:t>
      </w:r>
      <w:r w:rsidRPr="005A40B0">
        <w:rPr>
          <w:rFonts w:ascii="Times New Roman" w:hAnsi="Times New Roman"/>
          <w:sz w:val="24"/>
          <w:szCs w:val="24"/>
        </w:rPr>
        <w:t>firm.</w:t>
      </w:r>
      <w:r w:rsidR="00BF0033" w:rsidRPr="005A40B0">
        <w:rPr>
          <w:rFonts w:ascii="Times New Roman" w:hAnsi="Times New Roman"/>
          <w:sz w:val="24"/>
          <w:szCs w:val="24"/>
        </w:rPr>
        <w:t xml:space="preserve"> In accordance with amended TSCA the EPA consulted with the Administrator of the Small Business Administration to review the adequacy of the standards for determining which entities are considered small for the purposes of TSCA section 8(a). The </w:t>
      </w:r>
      <w:r w:rsidR="00C640EA">
        <w:rPr>
          <w:rFonts w:ascii="Times New Roman" w:hAnsi="Times New Roman"/>
          <w:sz w:val="24"/>
          <w:szCs w:val="24"/>
        </w:rPr>
        <w:t>a</w:t>
      </w:r>
      <w:r w:rsidR="00BF0033" w:rsidRPr="005A40B0">
        <w:rPr>
          <w:rFonts w:ascii="Times New Roman" w:hAnsi="Times New Roman"/>
          <w:sz w:val="24"/>
          <w:szCs w:val="24"/>
        </w:rPr>
        <w:t>gency determined that a revision of the standard is warranted (</w:t>
      </w:r>
      <w:r w:rsidR="00BB5E09" w:rsidRPr="00BB5E09">
        <w:rPr>
          <w:rFonts w:ascii="Times New Roman" w:hAnsi="Times New Roman"/>
          <w:sz w:val="24"/>
          <w:szCs w:val="24"/>
        </w:rPr>
        <w:t>82 FR 56824</w:t>
      </w:r>
      <w:r w:rsidR="00BF0033" w:rsidRPr="005A40B0">
        <w:rPr>
          <w:rFonts w:ascii="Times New Roman" w:hAnsi="Times New Roman"/>
          <w:sz w:val="24"/>
          <w:szCs w:val="24"/>
        </w:rPr>
        <w:t>, November 30, 2017)</w:t>
      </w:r>
      <w:r w:rsidR="00BB5E09">
        <w:rPr>
          <w:rFonts w:ascii="Times New Roman" w:hAnsi="Times New Roman"/>
          <w:sz w:val="24"/>
          <w:szCs w:val="24"/>
        </w:rPr>
        <w:t xml:space="preserve"> and initiated rulemaking to update the standard</w:t>
      </w:r>
      <w:r w:rsidR="00BF0033" w:rsidRPr="005A40B0">
        <w:rPr>
          <w:rFonts w:ascii="Times New Roman" w:hAnsi="Times New Roman"/>
          <w:sz w:val="24"/>
          <w:szCs w:val="24"/>
        </w:rPr>
        <w:t xml:space="preserve">. </w:t>
      </w:r>
    </w:p>
    <w:p w14:paraId="78ABF1E4" w14:textId="77777777" w:rsidR="007664A0" w:rsidRPr="005A40B0" w:rsidRDefault="007664A0" w:rsidP="005A40B0">
      <w:pPr>
        <w:autoSpaceDE w:val="0"/>
        <w:autoSpaceDN w:val="0"/>
        <w:adjustRightInd w:val="0"/>
        <w:spacing w:after="0" w:line="240" w:lineRule="auto"/>
        <w:rPr>
          <w:rFonts w:ascii="Times New Roman" w:hAnsi="Times New Roman"/>
          <w:sz w:val="24"/>
          <w:szCs w:val="24"/>
        </w:rPr>
      </w:pPr>
    </w:p>
    <w:p w14:paraId="776BA05A" w14:textId="7235A2AD" w:rsidR="00F5104E"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The small manufacturer/importer exemptions apply to PAIR, regardless of which</w:t>
      </w:r>
      <w:r w:rsidR="007664A0" w:rsidRPr="005A40B0">
        <w:rPr>
          <w:rFonts w:ascii="Times New Roman" w:hAnsi="Times New Roman"/>
          <w:sz w:val="24"/>
          <w:szCs w:val="24"/>
        </w:rPr>
        <w:t xml:space="preserve"> </w:t>
      </w:r>
      <w:r w:rsidRPr="005A40B0">
        <w:rPr>
          <w:rFonts w:ascii="Times New Roman" w:hAnsi="Times New Roman"/>
          <w:sz w:val="24"/>
          <w:szCs w:val="24"/>
        </w:rPr>
        <w:t>office or agency nominates a chemical. In some instances, the EPA Administrator can</w:t>
      </w:r>
      <w:r w:rsidR="007664A0" w:rsidRPr="005A40B0">
        <w:rPr>
          <w:rFonts w:ascii="Times New Roman" w:hAnsi="Times New Roman"/>
          <w:sz w:val="24"/>
          <w:szCs w:val="24"/>
        </w:rPr>
        <w:t xml:space="preserve"> </w:t>
      </w:r>
      <w:r w:rsidRPr="005A40B0">
        <w:rPr>
          <w:rFonts w:ascii="Times New Roman" w:hAnsi="Times New Roman"/>
          <w:sz w:val="24"/>
          <w:szCs w:val="24"/>
        </w:rPr>
        <w:t>remove these exemptions on a chemical-specific basis, provided notice and comment</w:t>
      </w:r>
      <w:r w:rsidR="007664A0" w:rsidRPr="005A40B0">
        <w:rPr>
          <w:rFonts w:ascii="Times New Roman" w:hAnsi="Times New Roman"/>
          <w:sz w:val="24"/>
          <w:szCs w:val="24"/>
        </w:rPr>
        <w:t xml:space="preserve"> </w:t>
      </w:r>
      <w:r w:rsidRPr="005A40B0">
        <w:rPr>
          <w:rFonts w:ascii="Times New Roman" w:hAnsi="Times New Roman"/>
          <w:sz w:val="24"/>
          <w:szCs w:val="24"/>
        </w:rPr>
        <w:t>rulemaking is utilized. EPA expects that those offices that have a critical need for</w:t>
      </w:r>
      <w:r w:rsidR="007664A0" w:rsidRPr="005A40B0">
        <w:rPr>
          <w:rFonts w:ascii="Times New Roman" w:hAnsi="Times New Roman"/>
          <w:sz w:val="24"/>
          <w:szCs w:val="24"/>
        </w:rPr>
        <w:t xml:space="preserve"> </w:t>
      </w:r>
      <w:r w:rsidRPr="005A40B0">
        <w:rPr>
          <w:rFonts w:ascii="Times New Roman" w:hAnsi="Times New Roman"/>
          <w:sz w:val="24"/>
          <w:szCs w:val="24"/>
        </w:rPr>
        <w:t>reporting from small businesses usually exempt from PAIR reporting will use other</w:t>
      </w:r>
      <w:r w:rsidR="007664A0" w:rsidRPr="005A40B0">
        <w:rPr>
          <w:rFonts w:ascii="Times New Roman" w:hAnsi="Times New Roman"/>
          <w:sz w:val="24"/>
          <w:szCs w:val="24"/>
        </w:rPr>
        <w:t xml:space="preserve"> </w:t>
      </w:r>
      <w:r w:rsidRPr="005A40B0">
        <w:rPr>
          <w:rFonts w:ascii="Times New Roman" w:hAnsi="Times New Roman"/>
          <w:sz w:val="24"/>
          <w:szCs w:val="24"/>
        </w:rPr>
        <w:t>mechanisms to gather the data. EPA does not expect to issue a PAIR rule during the next</w:t>
      </w:r>
      <w:r w:rsidR="007664A0" w:rsidRPr="005A40B0">
        <w:rPr>
          <w:rFonts w:ascii="Times New Roman" w:hAnsi="Times New Roman"/>
          <w:sz w:val="24"/>
          <w:szCs w:val="24"/>
        </w:rPr>
        <w:t xml:space="preserve"> </w:t>
      </w:r>
      <w:r w:rsidR="00C640EA">
        <w:rPr>
          <w:rFonts w:ascii="Times New Roman" w:hAnsi="Times New Roman"/>
          <w:sz w:val="24"/>
          <w:szCs w:val="24"/>
        </w:rPr>
        <w:t>3 years that would impact</w:t>
      </w:r>
      <w:r w:rsidRPr="005A40B0">
        <w:rPr>
          <w:rFonts w:ascii="Times New Roman" w:hAnsi="Times New Roman"/>
          <w:sz w:val="24"/>
          <w:szCs w:val="24"/>
        </w:rPr>
        <w:t xml:space="preserve"> small businesses.</w:t>
      </w:r>
    </w:p>
    <w:p w14:paraId="700E04C6" w14:textId="77777777" w:rsidR="00C640EA" w:rsidRPr="005A40B0" w:rsidRDefault="00C640EA" w:rsidP="005A40B0">
      <w:pPr>
        <w:autoSpaceDE w:val="0"/>
        <w:autoSpaceDN w:val="0"/>
        <w:adjustRightInd w:val="0"/>
        <w:spacing w:after="0" w:line="240" w:lineRule="auto"/>
        <w:ind w:firstLine="720"/>
        <w:rPr>
          <w:rFonts w:ascii="Times New Roman" w:hAnsi="Times New Roman"/>
          <w:sz w:val="24"/>
          <w:szCs w:val="24"/>
        </w:rPr>
      </w:pPr>
    </w:p>
    <w:p w14:paraId="76F38584" w14:textId="77777777" w:rsidR="00F5104E" w:rsidRPr="005A40B0" w:rsidRDefault="0079707F" w:rsidP="005A40B0">
      <w:pPr>
        <w:pStyle w:val="Heading2"/>
        <w:numPr>
          <w:ilvl w:val="0"/>
          <w:numId w:val="0"/>
        </w:numPr>
        <w:spacing w:before="0" w:line="240" w:lineRule="auto"/>
        <w:ind w:firstLine="720"/>
        <w:rPr>
          <w:rFonts w:ascii="Times New Roman" w:hAnsi="Times New Roman"/>
          <w:color w:val="auto"/>
          <w:sz w:val="24"/>
          <w:szCs w:val="24"/>
        </w:rPr>
      </w:pPr>
      <w:r w:rsidRPr="005A40B0">
        <w:rPr>
          <w:rFonts w:ascii="Times New Roman" w:hAnsi="Times New Roman"/>
          <w:color w:val="auto"/>
          <w:sz w:val="24"/>
          <w:szCs w:val="24"/>
        </w:rPr>
        <w:t>5(d)</w:t>
      </w:r>
      <w:r w:rsidRPr="005A40B0">
        <w:rPr>
          <w:rFonts w:ascii="Times New Roman" w:hAnsi="Times New Roman"/>
          <w:color w:val="auto"/>
          <w:sz w:val="24"/>
          <w:szCs w:val="24"/>
        </w:rPr>
        <w:tab/>
      </w:r>
      <w:r w:rsidR="00F5104E" w:rsidRPr="005A40B0">
        <w:rPr>
          <w:rFonts w:ascii="Times New Roman" w:hAnsi="Times New Roman"/>
          <w:color w:val="auto"/>
          <w:sz w:val="24"/>
          <w:szCs w:val="24"/>
        </w:rPr>
        <w:t>Collection Schedule</w:t>
      </w:r>
    </w:p>
    <w:p w14:paraId="77561DA6" w14:textId="77777777" w:rsidR="00DA409E" w:rsidRPr="005A40B0" w:rsidRDefault="00DA409E" w:rsidP="005A40B0">
      <w:pPr>
        <w:autoSpaceDE w:val="0"/>
        <w:autoSpaceDN w:val="0"/>
        <w:adjustRightInd w:val="0"/>
        <w:spacing w:after="0" w:line="240" w:lineRule="auto"/>
        <w:rPr>
          <w:rFonts w:ascii="Times New Roman" w:hAnsi="Times New Roman"/>
          <w:sz w:val="24"/>
          <w:szCs w:val="24"/>
        </w:rPr>
      </w:pPr>
    </w:p>
    <w:p w14:paraId="2439963B" w14:textId="77777777" w:rsidR="00A86603"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Information collection under PAIR occurs after publication of a </w:t>
      </w:r>
      <w:r w:rsidRPr="005A40B0">
        <w:rPr>
          <w:rFonts w:ascii="Times New Roman" w:hAnsi="Times New Roman"/>
          <w:i/>
          <w:iCs/>
          <w:sz w:val="24"/>
          <w:szCs w:val="24"/>
        </w:rPr>
        <w:t>Federal Register</w:t>
      </w:r>
      <w:r w:rsidR="007664A0" w:rsidRPr="005A40B0">
        <w:rPr>
          <w:rFonts w:ascii="Times New Roman" w:hAnsi="Times New Roman"/>
          <w:i/>
          <w:iCs/>
          <w:sz w:val="24"/>
          <w:szCs w:val="24"/>
        </w:rPr>
        <w:t xml:space="preserve"> </w:t>
      </w:r>
      <w:r w:rsidRPr="005A40B0">
        <w:rPr>
          <w:rFonts w:ascii="Times New Roman" w:hAnsi="Times New Roman"/>
          <w:sz w:val="24"/>
          <w:szCs w:val="24"/>
        </w:rPr>
        <w:t>notice establishing the reporting period for the listed chemical substances, mixtures or</w:t>
      </w:r>
      <w:r w:rsidR="007664A0" w:rsidRPr="005A40B0">
        <w:rPr>
          <w:rFonts w:ascii="Times New Roman" w:hAnsi="Times New Roman"/>
          <w:sz w:val="24"/>
          <w:szCs w:val="24"/>
        </w:rPr>
        <w:t xml:space="preserve"> </w:t>
      </w:r>
      <w:r w:rsidRPr="005A40B0">
        <w:rPr>
          <w:rFonts w:ascii="Times New Roman" w:hAnsi="Times New Roman"/>
          <w:sz w:val="24"/>
          <w:szCs w:val="24"/>
        </w:rPr>
        <w:t>categories. Respondents are asked to respond once, within 30 days of the effective date</w:t>
      </w:r>
      <w:r w:rsidR="007664A0" w:rsidRPr="005A40B0">
        <w:rPr>
          <w:rFonts w:ascii="Times New Roman" w:hAnsi="Times New Roman"/>
          <w:sz w:val="24"/>
          <w:szCs w:val="24"/>
        </w:rPr>
        <w:t xml:space="preserve"> </w:t>
      </w:r>
      <w:r w:rsidRPr="005A40B0">
        <w:rPr>
          <w:rFonts w:ascii="Times New Roman" w:hAnsi="Times New Roman"/>
          <w:sz w:val="24"/>
          <w:szCs w:val="24"/>
        </w:rPr>
        <w:t>of the final PAIR rule (which is usually 30 days after publication of the rule in the</w:t>
      </w:r>
      <w:r w:rsidR="007664A0" w:rsidRPr="005A40B0">
        <w:rPr>
          <w:rFonts w:ascii="Times New Roman" w:hAnsi="Times New Roman"/>
          <w:sz w:val="24"/>
          <w:szCs w:val="24"/>
        </w:rPr>
        <w:t xml:space="preserve"> </w:t>
      </w:r>
      <w:r w:rsidRPr="005A40B0">
        <w:rPr>
          <w:rFonts w:ascii="Times New Roman" w:hAnsi="Times New Roman"/>
          <w:i/>
          <w:iCs/>
          <w:sz w:val="24"/>
          <w:szCs w:val="24"/>
        </w:rPr>
        <w:t>Federal Register</w:t>
      </w:r>
      <w:r w:rsidRPr="005A40B0">
        <w:rPr>
          <w:rFonts w:ascii="Times New Roman" w:hAnsi="Times New Roman"/>
          <w:sz w:val="24"/>
          <w:szCs w:val="24"/>
        </w:rPr>
        <w:t xml:space="preserve">). </w:t>
      </w:r>
    </w:p>
    <w:p w14:paraId="0D0E10B1" w14:textId="77777777" w:rsidR="009B135E" w:rsidRDefault="009B135E" w:rsidP="005A40B0">
      <w:pPr>
        <w:autoSpaceDE w:val="0"/>
        <w:autoSpaceDN w:val="0"/>
        <w:adjustRightInd w:val="0"/>
        <w:spacing w:after="0" w:line="240" w:lineRule="auto"/>
        <w:ind w:firstLine="720"/>
        <w:rPr>
          <w:rFonts w:ascii="Times New Roman" w:hAnsi="Times New Roman"/>
          <w:sz w:val="24"/>
          <w:szCs w:val="24"/>
        </w:rPr>
      </w:pPr>
    </w:p>
    <w:p w14:paraId="03A1A240" w14:textId="129F8716" w:rsidR="00A86603" w:rsidRDefault="009B135E" w:rsidP="005A40B0">
      <w:pPr>
        <w:autoSpaceDE w:val="0"/>
        <w:autoSpaceDN w:val="0"/>
        <w:adjustRightInd w:val="0"/>
        <w:spacing w:after="0" w:line="240" w:lineRule="auto"/>
        <w:ind w:firstLine="720"/>
        <w:rPr>
          <w:rFonts w:ascii="Times New Roman" w:hAnsi="Times New Roman"/>
          <w:sz w:val="24"/>
          <w:szCs w:val="24"/>
        </w:rPr>
      </w:pPr>
      <w:r w:rsidRPr="009B135E">
        <w:rPr>
          <w:rFonts w:ascii="Times New Roman" w:hAnsi="Times New Roman"/>
          <w:sz w:val="24"/>
          <w:szCs w:val="24"/>
        </w:rPr>
        <w:t>Persons</w:t>
      </w:r>
      <w:r w:rsidR="00A86603" w:rsidRPr="00A86603">
        <w:rPr>
          <w:rFonts w:ascii="Times New Roman" w:hAnsi="Times New Roman"/>
          <w:sz w:val="24"/>
          <w:szCs w:val="24"/>
        </w:rPr>
        <w:t xml:space="preserve"> who manufacture or import a chemical substance listed under </w:t>
      </w:r>
      <w:r w:rsidR="00A86603">
        <w:rPr>
          <w:rFonts w:ascii="Times New Roman" w:hAnsi="Times New Roman"/>
          <w:sz w:val="24"/>
          <w:szCs w:val="24"/>
        </w:rPr>
        <w:t xml:space="preserve">40 CFR </w:t>
      </w:r>
      <w:r w:rsidR="00A86603" w:rsidRPr="00A86603">
        <w:rPr>
          <w:rFonts w:ascii="Times New Roman" w:hAnsi="Times New Roman"/>
          <w:sz w:val="24"/>
          <w:szCs w:val="24"/>
        </w:rPr>
        <w:t>766.25 must report no later than October 5, 1987 or 90 days after the</w:t>
      </w:r>
      <w:r w:rsidR="00A86603" w:rsidRPr="009B135E">
        <w:rPr>
          <w:rFonts w:ascii="Times New Roman" w:hAnsi="Times New Roman"/>
          <w:sz w:val="24"/>
          <w:szCs w:val="24"/>
        </w:rPr>
        <w:t xml:space="preserve"> </w:t>
      </w:r>
      <w:hyperlink r:id="rId9" w:history="1">
        <w:r w:rsidR="00A86603" w:rsidRPr="009B135E">
          <w:rPr>
            <w:rStyle w:val="Hyperlink"/>
            <w:rFonts w:ascii="Times New Roman" w:hAnsi="Times New Roman"/>
            <w:color w:val="auto"/>
            <w:sz w:val="24"/>
            <w:szCs w:val="24"/>
            <w:u w:val="none"/>
          </w:rPr>
          <w:t>person</w:t>
        </w:r>
      </w:hyperlink>
      <w:r w:rsidR="00A86603" w:rsidRPr="00A86603">
        <w:rPr>
          <w:rFonts w:ascii="Times New Roman" w:hAnsi="Times New Roman"/>
          <w:sz w:val="24"/>
          <w:szCs w:val="24"/>
        </w:rPr>
        <w:t xml:space="preserve"> first manufactures or imports the chemical substance,</w:t>
      </w:r>
      <w:r w:rsidR="00A86603">
        <w:rPr>
          <w:rFonts w:ascii="Times New Roman" w:hAnsi="Times New Roman"/>
          <w:sz w:val="24"/>
          <w:szCs w:val="24"/>
        </w:rPr>
        <w:t xml:space="preserve"> the information as detailed at 40 CFR 766.35(b).</w:t>
      </w:r>
    </w:p>
    <w:p w14:paraId="5537B382" w14:textId="77777777" w:rsidR="009B135E" w:rsidRDefault="009B135E" w:rsidP="005A40B0">
      <w:pPr>
        <w:autoSpaceDE w:val="0"/>
        <w:autoSpaceDN w:val="0"/>
        <w:adjustRightInd w:val="0"/>
        <w:spacing w:after="0" w:line="240" w:lineRule="auto"/>
        <w:ind w:firstLine="720"/>
        <w:rPr>
          <w:rFonts w:ascii="Times New Roman" w:hAnsi="Times New Roman"/>
          <w:sz w:val="24"/>
          <w:szCs w:val="24"/>
        </w:rPr>
      </w:pPr>
    </w:p>
    <w:p w14:paraId="3DBC5D85" w14:textId="5523B085" w:rsidR="00C57C8F" w:rsidRPr="005A40B0" w:rsidRDefault="00F5104E"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The Agency has no plans to publish the data collected by PAIR</w:t>
      </w:r>
      <w:r w:rsidR="00A86603" w:rsidRPr="00A86603">
        <w:rPr>
          <w:rFonts w:ascii="Times New Roman" w:hAnsi="Times New Roman"/>
          <w:sz w:val="24"/>
          <w:szCs w:val="24"/>
        </w:rPr>
        <w:t xml:space="preserve"> </w:t>
      </w:r>
      <w:r w:rsidR="00A86603" w:rsidRPr="005A40B0">
        <w:rPr>
          <w:rFonts w:ascii="Times New Roman" w:hAnsi="Times New Roman"/>
          <w:sz w:val="24"/>
          <w:szCs w:val="24"/>
        </w:rPr>
        <w:t>and subpart B of 40 CFR 766</w:t>
      </w:r>
      <w:r w:rsidRPr="005A40B0">
        <w:rPr>
          <w:rFonts w:ascii="Times New Roman" w:hAnsi="Times New Roman"/>
          <w:sz w:val="24"/>
          <w:szCs w:val="24"/>
        </w:rPr>
        <w:t>,</w:t>
      </w:r>
      <w:r w:rsidR="007664A0" w:rsidRPr="005A40B0">
        <w:rPr>
          <w:rFonts w:ascii="Times New Roman" w:hAnsi="Times New Roman"/>
          <w:sz w:val="24"/>
          <w:szCs w:val="24"/>
        </w:rPr>
        <w:t xml:space="preserve"> </w:t>
      </w:r>
      <w:r w:rsidRPr="005A40B0">
        <w:rPr>
          <w:rFonts w:ascii="Times New Roman" w:hAnsi="Times New Roman"/>
          <w:sz w:val="24"/>
          <w:szCs w:val="24"/>
        </w:rPr>
        <w:t>although non-CBI information may be made available to the public upon request.</w:t>
      </w:r>
    </w:p>
    <w:p w14:paraId="7E5C86A9" w14:textId="77777777" w:rsidR="00E43B77" w:rsidRPr="005A40B0" w:rsidRDefault="00E43B77" w:rsidP="005A40B0">
      <w:pPr>
        <w:autoSpaceDE w:val="0"/>
        <w:autoSpaceDN w:val="0"/>
        <w:adjustRightInd w:val="0"/>
        <w:spacing w:after="0" w:line="240" w:lineRule="auto"/>
        <w:ind w:firstLine="720"/>
        <w:rPr>
          <w:rFonts w:ascii="Times New Roman" w:hAnsi="Times New Roman"/>
          <w:sz w:val="24"/>
          <w:szCs w:val="24"/>
        </w:rPr>
      </w:pPr>
      <w:r w:rsidRPr="005A40B0">
        <w:rPr>
          <w:rFonts w:ascii="Times New Roman" w:hAnsi="Times New Roman"/>
          <w:sz w:val="24"/>
          <w:szCs w:val="24"/>
        </w:rPr>
        <w:t xml:space="preserve"> </w:t>
      </w:r>
    </w:p>
    <w:p w14:paraId="3EA70F4F" w14:textId="77777777" w:rsidR="00E43B77" w:rsidRDefault="00E43B77" w:rsidP="00E43B77">
      <w:pPr>
        <w:autoSpaceDE w:val="0"/>
        <w:autoSpaceDN w:val="0"/>
        <w:adjustRightInd w:val="0"/>
        <w:spacing w:after="0" w:line="240" w:lineRule="auto"/>
        <w:ind w:firstLine="720"/>
        <w:rPr>
          <w:rFonts w:ascii="Times New Roman" w:hAnsi="Times New Roman"/>
          <w:sz w:val="24"/>
          <w:szCs w:val="24"/>
        </w:rPr>
      </w:pPr>
    </w:p>
    <w:p w14:paraId="2A0324BD" w14:textId="77777777" w:rsidR="00F5104E" w:rsidRPr="00D017B8" w:rsidRDefault="00D017B8" w:rsidP="00E43B77">
      <w:pPr>
        <w:tabs>
          <w:tab w:val="left" w:pos="360"/>
        </w:tabs>
        <w:autoSpaceDE w:val="0"/>
        <w:autoSpaceDN w:val="0"/>
        <w:adjustRightInd w:val="0"/>
        <w:spacing w:after="0" w:line="240" w:lineRule="auto"/>
        <w:rPr>
          <w:rFonts w:ascii="Times New Roman" w:hAnsi="Times New Roman"/>
          <w:b/>
          <w:sz w:val="24"/>
          <w:szCs w:val="24"/>
        </w:rPr>
      </w:pPr>
      <w:r w:rsidRPr="00D017B8">
        <w:rPr>
          <w:rFonts w:ascii="Times New Roman" w:hAnsi="Times New Roman"/>
          <w:b/>
          <w:sz w:val="24"/>
          <w:szCs w:val="24"/>
        </w:rPr>
        <w:t>6</w:t>
      </w:r>
      <w:r w:rsidRPr="00D017B8">
        <w:rPr>
          <w:rFonts w:ascii="Times New Roman" w:hAnsi="Times New Roman"/>
          <w:b/>
          <w:sz w:val="24"/>
          <w:szCs w:val="24"/>
        </w:rPr>
        <w:tab/>
      </w:r>
      <w:r w:rsidR="00F5104E" w:rsidRPr="00D017B8">
        <w:rPr>
          <w:rFonts w:ascii="Times New Roman" w:hAnsi="Times New Roman"/>
          <w:b/>
          <w:sz w:val="24"/>
          <w:szCs w:val="24"/>
        </w:rPr>
        <w:t>ESTIMATING THE BURDEN AND COST OF THE COLLECTION</w:t>
      </w:r>
    </w:p>
    <w:p w14:paraId="55A534BC" w14:textId="77777777" w:rsidR="00F5104E" w:rsidRPr="007F3CAE" w:rsidRDefault="00DA409E" w:rsidP="006C5B34">
      <w:pPr>
        <w:pStyle w:val="Heading2"/>
        <w:numPr>
          <w:ilvl w:val="0"/>
          <w:numId w:val="0"/>
        </w:numPr>
        <w:ind w:left="576" w:firstLine="144"/>
        <w:rPr>
          <w:rFonts w:ascii="Times New Roman" w:hAnsi="Times New Roman"/>
          <w:color w:val="auto"/>
          <w:sz w:val="24"/>
          <w:szCs w:val="24"/>
        </w:rPr>
      </w:pPr>
      <w:bookmarkStart w:id="4" w:name="_Ref293303067"/>
      <w:r>
        <w:rPr>
          <w:rFonts w:ascii="Times New Roman" w:hAnsi="Times New Roman"/>
          <w:color w:val="auto"/>
          <w:sz w:val="24"/>
          <w:szCs w:val="24"/>
        </w:rPr>
        <w:t>6(a)</w:t>
      </w:r>
      <w:r>
        <w:rPr>
          <w:rFonts w:ascii="Times New Roman" w:hAnsi="Times New Roman"/>
          <w:color w:val="auto"/>
          <w:sz w:val="24"/>
          <w:szCs w:val="24"/>
        </w:rPr>
        <w:tab/>
      </w:r>
      <w:r w:rsidR="00F5104E" w:rsidRPr="007F3CAE">
        <w:rPr>
          <w:rFonts w:ascii="Times New Roman" w:hAnsi="Times New Roman"/>
          <w:color w:val="auto"/>
          <w:sz w:val="24"/>
          <w:szCs w:val="24"/>
        </w:rPr>
        <w:t>Estimating Respondent Burden</w:t>
      </w:r>
      <w:bookmarkEnd w:id="4"/>
    </w:p>
    <w:p w14:paraId="3DE4F47A" w14:textId="77777777" w:rsidR="00DA409E" w:rsidRDefault="00DA409E" w:rsidP="00F5104E">
      <w:pPr>
        <w:autoSpaceDE w:val="0"/>
        <w:autoSpaceDN w:val="0"/>
        <w:adjustRightInd w:val="0"/>
        <w:spacing w:after="0" w:line="240" w:lineRule="auto"/>
        <w:rPr>
          <w:rFonts w:ascii="Times New Roman" w:hAnsi="Times New Roman"/>
          <w:sz w:val="24"/>
          <w:szCs w:val="24"/>
        </w:rPr>
      </w:pPr>
    </w:p>
    <w:p w14:paraId="1383C08B" w14:textId="1A68B673"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section presents the Agency’s estimates of the burden associated with the</w:t>
      </w:r>
      <w:r w:rsidR="007664A0" w:rsidRPr="007F3CAE">
        <w:rPr>
          <w:rFonts w:ascii="Times New Roman" w:hAnsi="Times New Roman"/>
          <w:sz w:val="24"/>
          <w:szCs w:val="24"/>
        </w:rPr>
        <w:t xml:space="preserve"> </w:t>
      </w:r>
      <w:r w:rsidRPr="007F3CAE">
        <w:rPr>
          <w:rFonts w:ascii="Times New Roman" w:hAnsi="Times New Roman"/>
          <w:sz w:val="24"/>
          <w:szCs w:val="24"/>
        </w:rPr>
        <w:t>reporting and recordkeeping requirements under the TSCA section 8(a) PAIR</w:t>
      </w:r>
      <w:r w:rsidR="00A86603">
        <w:rPr>
          <w:rFonts w:ascii="Times New Roman" w:hAnsi="Times New Roman"/>
          <w:sz w:val="24"/>
          <w:szCs w:val="24"/>
        </w:rPr>
        <w:t xml:space="preserve"> </w:t>
      </w:r>
      <w:r w:rsidR="00A86603" w:rsidRPr="005A40B0">
        <w:rPr>
          <w:rFonts w:ascii="Times New Roman" w:hAnsi="Times New Roman"/>
          <w:sz w:val="24"/>
          <w:szCs w:val="24"/>
        </w:rPr>
        <w:t>and subpart B of 40 CFR 766</w:t>
      </w:r>
      <w:r w:rsidRPr="007F3CAE">
        <w:rPr>
          <w:rFonts w:ascii="Times New Roman" w:hAnsi="Times New Roman"/>
          <w:sz w:val="24"/>
          <w:szCs w:val="24"/>
        </w:rPr>
        <w:t>. The total</w:t>
      </w:r>
      <w:r w:rsidR="007664A0" w:rsidRPr="007F3CAE">
        <w:rPr>
          <w:rFonts w:ascii="Times New Roman" w:hAnsi="Times New Roman"/>
          <w:sz w:val="24"/>
          <w:szCs w:val="24"/>
        </w:rPr>
        <w:t xml:space="preserve"> </w:t>
      </w:r>
      <w:r w:rsidRPr="007F3CAE">
        <w:rPr>
          <w:rFonts w:ascii="Times New Roman" w:hAnsi="Times New Roman"/>
          <w:sz w:val="24"/>
          <w:szCs w:val="24"/>
        </w:rPr>
        <w:t xml:space="preserve">annual industry burden for both reporting and recordkeeping is estimated to be </w:t>
      </w:r>
      <w:r w:rsidR="00EE0A54">
        <w:rPr>
          <w:rFonts w:ascii="Times New Roman" w:hAnsi="Times New Roman"/>
          <w:sz w:val="24"/>
          <w:szCs w:val="24"/>
        </w:rPr>
        <w:t>3</w:t>
      </w:r>
      <w:r w:rsidR="00412492">
        <w:rPr>
          <w:rFonts w:ascii="Times New Roman" w:hAnsi="Times New Roman"/>
          <w:sz w:val="24"/>
          <w:szCs w:val="24"/>
        </w:rPr>
        <w:t>3</w:t>
      </w:r>
      <w:r w:rsidR="00EE0A54">
        <w:rPr>
          <w:rFonts w:ascii="Times New Roman" w:hAnsi="Times New Roman"/>
          <w:sz w:val="24"/>
          <w:szCs w:val="24"/>
        </w:rPr>
        <w:t>.</w:t>
      </w:r>
      <w:r w:rsidR="00412492">
        <w:rPr>
          <w:rFonts w:ascii="Times New Roman" w:hAnsi="Times New Roman"/>
          <w:sz w:val="24"/>
          <w:szCs w:val="24"/>
        </w:rPr>
        <w:t>0</w:t>
      </w:r>
      <w:r w:rsidR="006125D3" w:rsidRPr="00F21405">
        <w:rPr>
          <w:rFonts w:ascii="Times New Roman" w:hAnsi="Times New Roman"/>
          <w:sz w:val="24"/>
          <w:szCs w:val="24"/>
        </w:rPr>
        <w:t xml:space="preserve"> </w:t>
      </w:r>
      <w:r w:rsidRPr="00F21405">
        <w:rPr>
          <w:rFonts w:ascii="Times New Roman" w:hAnsi="Times New Roman"/>
          <w:sz w:val="24"/>
          <w:szCs w:val="24"/>
        </w:rPr>
        <w:t>hours</w:t>
      </w:r>
      <w:r w:rsidRPr="007F3CAE">
        <w:rPr>
          <w:rFonts w:ascii="Times New Roman" w:hAnsi="Times New Roman"/>
          <w:sz w:val="24"/>
          <w:szCs w:val="24"/>
        </w:rPr>
        <w:t xml:space="preserve">. These estimates are based on the level of PAIR </w:t>
      </w:r>
      <w:r w:rsidR="00A86603" w:rsidRPr="005A40B0">
        <w:rPr>
          <w:rFonts w:ascii="Times New Roman" w:hAnsi="Times New Roman"/>
          <w:sz w:val="24"/>
          <w:szCs w:val="24"/>
        </w:rPr>
        <w:t>and subpart B of 40 CFR 766</w:t>
      </w:r>
      <w:r w:rsidR="00A86603">
        <w:rPr>
          <w:rFonts w:ascii="Times New Roman" w:hAnsi="Times New Roman"/>
          <w:sz w:val="24"/>
          <w:szCs w:val="24"/>
        </w:rPr>
        <w:t xml:space="preserve"> </w:t>
      </w:r>
      <w:r w:rsidRPr="007F3CAE">
        <w:rPr>
          <w:rFonts w:ascii="Times New Roman" w:hAnsi="Times New Roman"/>
          <w:sz w:val="24"/>
          <w:szCs w:val="24"/>
        </w:rPr>
        <w:t>reporting activity expected during</w:t>
      </w:r>
      <w:r w:rsidR="007664A0" w:rsidRPr="007F3CAE">
        <w:rPr>
          <w:rFonts w:ascii="Times New Roman" w:hAnsi="Times New Roman"/>
          <w:sz w:val="24"/>
          <w:szCs w:val="24"/>
        </w:rPr>
        <w:t xml:space="preserve"> </w:t>
      </w:r>
      <w:r w:rsidRPr="007F3CAE">
        <w:rPr>
          <w:rFonts w:ascii="Times New Roman" w:hAnsi="Times New Roman"/>
          <w:sz w:val="24"/>
          <w:szCs w:val="24"/>
        </w:rPr>
        <w:t xml:space="preserve">the </w:t>
      </w:r>
      <w:r w:rsidRPr="0093025C">
        <w:rPr>
          <w:rFonts w:ascii="Times New Roman" w:hAnsi="Times New Roman"/>
          <w:sz w:val="24"/>
          <w:szCs w:val="24"/>
        </w:rPr>
        <w:t xml:space="preserve">ICR period of FY </w:t>
      </w:r>
      <w:r w:rsidR="00EF3164" w:rsidRPr="0093025C">
        <w:rPr>
          <w:rFonts w:ascii="Times New Roman" w:hAnsi="Times New Roman"/>
          <w:sz w:val="24"/>
          <w:szCs w:val="24"/>
        </w:rPr>
        <w:t>201</w:t>
      </w:r>
      <w:r w:rsidR="008337F7">
        <w:rPr>
          <w:rFonts w:ascii="Times New Roman" w:hAnsi="Times New Roman"/>
          <w:sz w:val="24"/>
          <w:szCs w:val="24"/>
        </w:rPr>
        <w:t>9</w:t>
      </w:r>
      <w:r w:rsidR="00EF3164" w:rsidRPr="0093025C">
        <w:rPr>
          <w:rFonts w:ascii="Times New Roman" w:hAnsi="Times New Roman"/>
          <w:sz w:val="24"/>
          <w:szCs w:val="24"/>
        </w:rPr>
        <w:t xml:space="preserve"> </w:t>
      </w:r>
      <w:r w:rsidRPr="0093025C">
        <w:rPr>
          <w:rFonts w:ascii="Times New Roman" w:hAnsi="Times New Roman"/>
          <w:sz w:val="24"/>
          <w:szCs w:val="24"/>
        </w:rPr>
        <w:t>through 20</w:t>
      </w:r>
      <w:r w:rsidR="00104BCB">
        <w:rPr>
          <w:rFonts w:ascii="Times New Roman" w:hAnsi="Times New Roman"/>
          <w:sz w:val="24"/>
          <w:szCs w:val="24"/>
        </w:rPr>
        <w:t>2</w:t>
      </w:r>
      <w:r w:rsidR="008337F7">
        <w:rPr>
          <w:rFonts w:ascii="Times New Roman" w:hAnsi="Times New Roman"/>
          <w:sz w:val="24"/>
          <w:szCs w:val="24"/>
        </w:rPr>
        <w:t>1</w:t>
      </w:r>
      <w:r w:rsidRPr="007F3CAE">
        <w:rPr>
          <w:rFonts w:ascii="Times New Roman" w:hAnsi="Times New Roman"/>
          <w:sz w:val="24"/>
          <w:szCs w:val="24"/>
        </w:rPr>
        <w:t>. In conducting any study that will be submitted</w:t>
      </w:r>
      <w:r w:rsidR="007664A0" w:rsidRPr="007F3CAE">
        <w:rPr>
          <w:rFonts w:ascii="Times New Roman" w:hAnsi="Times New Roman"/>
          <w:sz w:val="24"/>
          <w:szCs w:val="24"/>
        </w:rPr>
        <w:t xml:space="preserve"> </w:t>
      </w:r>
      <w:r w:rsidRPr="007F3CAE">
        <w:rPr>
          <w:rFonts w:ascii="Times New Roman" w:hAnsi="Times New Roman"/>
          <w:sz w:val="24"/>
          <w:szCs w:val="24"/>
        </w:rPr>
        <w:t>to EPA under TSCA, the respondent must comply with the Good Laboratory Practice</w:t>
      </w:r>
      <w:r w:rsidR="007664A0" w:rsidRPr="007F3CAE">
        <w:rPr>
          <w:rFonts w:ascii="Times New Roman" w:hAnsi="Times New Roman"/>
          <w:sz w:val="24"/>
          <w:szCs w:val="24"/>
        </w:rPr>
        <w:t xml:space="preserve"> </w:t>
      </w:r>
      <w:r w:rsidRPr="007F3CAE">
        <w:rPr>
          <w:rFonts w:ascii="Times New Roman" w:hAnsi="Times New Roman"/>
          <w:sz w:val="24"/>
          <w:szCs w:val="24"/>
        </w:rPr>
        <w:t>Standards (GLPS) at 40 CFR part 792</w:t>
      </w:r>
      <w:r w:rsidR="00EC644B">
        <w:rPr>
          <w:rFonts w:ascii="Times New Roman" w:hAnsi="Times New Roman"/>
          <w:sz w:val="24"/>
          <w:szCs w:val="24"/>
        </w:rPr>
        <w:t xml:space="preserve"> (see Attachment </w:t>
      </w:r>
      <w:r w:rsidR="007601A6">
        <w:rPr>
          <w:rFonts w:ascii="Times New Roman" w:hAnsi="Times New Roman"/>
          <w:sz w:val="24"/>
          <w:szCs w:val="24"/>
        </w:rPr>
        <w:t>F</w:t>
      </w:r>
      <w:r w:rsidR="00EC644B">
        <w:rPr>
          <w:rFonts w:ascii="Times New Roman" w:hAnsi="Times New Roman"/>
          <w:sz w:val="24"/>
          <w:szCs w:val="24"/>
        </w:rPr>
        <w:t>)</w:t>
      </w:r>
      <w:r w:rsidRPr="007F3CAE">
        <w:rPr>
          <w:rFonts w:ascii="Times New Roman" w:hAnsi="Times New Roman"/>
          <w:sz w:val="24"/>
          <w:szCs w:val="24"/>
        </w:rPr>
        <w:t>. Since the GLPS represent</w:t>
      </w:r>
      <w:r w:rsidR="007664A0" w:rsidRPr="007F3CAE">
        <w:rPr>
          <w:rFonts w:ascii="Times New Roman" w:hAnsi="Times New Roman"/>
          <w:sz w:val="24"/>
          <w:szCs w:val="24"/>
        </w:rPr>
        <w:t xml:space="preserve"> </w:t>
      </w:r>
      <w:r w:rsidRPr="007F3CAE">
        <w:rPr>
          <w:rFonts w:ascii="Times New Roman" w:hAnsi="Times New Roman"/>
          <w:sz w:val="24"/>
          <w:szCs w:val="24"/>
        </w:rPr>
        <w:t>basic standard practices used by laboratories, any burden and costs related to the GLPS</w:t>
      </w:r>
      <w:r w:rsidR="007664A0" w:rsidRPr="007F3CAE">
        <w:rPr>
          <w:rFonts w:ascii="Times New Roman" w:hAnsi="Times New Roman"/>
          <w:sz w:val="24"/>
          <w:szCs w:val="24"/>
        </w:rPr>
        <w:t xml:space="preserve"> </w:t>
      </w:r>
      <w:r w:rsidRPr="007F3CAE">
        <w:rPr>
          <w:rFonts w:ascii="Times New Roman" w:hAnsi="Times New Roman"/>
          <w:sz w:val="24"/>
          <w:szCs w:val="24"/>
        </w:rPr>
        <w:t>are fully captured in the cost and burden estimates provided below.</w:t>
      </w:r>
    </w:p>
    <w:p w14:paraId="407E4E44" w14:textId="77777777" w:rsidR="005C499A" w:rsidRPr="007F3CAE" w:rsidRDefault="005C499A" w:rsidP="00F5104E">
      <w:pPr>
        <w:autoSpaceDE w:val="0"/>
        <w:autoSpaceDN w:val="0"/>
        <w:adjustRightInd w:val="0"/>
        <w:spacing w:after="0" w:line="240" w:lineRule="auto"/>
        <w:rPr>
          <w:rFonts w:ascii="Times New Roman" w:hAnsi="Times New Roman"/>
          <w:sz w:val="24"/>
          <w:szCs w:val="24"/>
        </w:rPr>
      </w:pPr>
    </w:p>
    <w:p w14:paraId="488D6244" w14:textId="7A96D495" w:rsidR="00CF3059" w:rsidRPr="007F3CAE" w:rsidRDefault="00F5104E" w:rsidP="00CF3059">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The PAIR </w:t>
      </w:r>
      <w:r w:rsidR="002A5274">
        <w:rPr>
          <w:rFonts w:ascii="Times New Roman" w:hAnsi="Times New Roman"/>
          <w:sz w:val="24"/>
          <w:szCs w:val="24"/>
        </w:rPr>
        <w:t xml:space="preserve">(40 CFR part 712) </w:t>
      </w:r>
      <w:r w:rsidR="00A86603" w:rsidRPr="005A40B0">
        <w:rPr>
          <w:rFonts w:ascii="Times New Roman" w:hAnsi="Times New Roman"/>
          <w:sz w:val="24"/>
          <w:szCs w:val="24"/>
        </w:rPr>
        <w:t>and subpart B of 40 CFR 766</w:t>
      </w:r>
      <w:r w:rsidR="00A86603">
        <w:rPr>
          <w:rFonts w:ascii="Times New Roman" w:hAnsi="Times New Roman"/>
          <w:sz w:val="24"/>
          <w:szCs w:val="24"/>
        </w:rPr>
        <w:t xml:space="preserve"> </w:t>
      </w:r>
      <w:r w:rsidR="008337F7">
        <w:rPr>
          <w:rFonts w:ascii="Times New Roman" w:hAnsi="Times New Roman"/>
          <w:sz w:val="24"/>
          <w:szCs w:val="24"/>
        </w:rPr>
        <w:t>information</w:t>
      </w:r>
      <w:r w:rsidRPr="007F3CAE">
        <w:rPr>
          <w:rFonts w:ascii="Times New Roman" w:hAnsi="Times New Roman"/>
          <w:sz w:val="24"/>
          <w:szCs w:val="24"/>
        </w:rPr>
        <w:t xml:space="preserve"> is submitted</w:t>
      </w:r>
      <w:r w:rsidR="008337F7">
        <w:rPr>
          <w:rFonts w:ascii="Times New Roman" w:hAnsi="Times New Roman"/>
          <w:sz w:val="24"/>
          <w:szCs w:val="24"/>
        </w:rPr>
        <w:t xml:space="preserve"> electronically via CDX</w:t>
      </w:r>
      <w:r w:rsidRPr="007F3CAE">
        <w:rPr>
          <w:rFonts w:ascii="Times New Roman" w:hAnsi="Times New Roman"/>
          <w:sz w:val="24"/>
          <w:szCs w:val="24"/>
        </w:rPr>
        <w:t xml:space="preserve">, </w:t>
      </w:r>
      <w:r w:rsidR="008337F7">
        <w:rPr>
          <w:rFonts w:ascii="Times New Roman" w:hAnsi="Times New Roman"/>
          <w:sz w:val="24"/>
          <w:szCs w:val="24"/>
        </w:rPr>
        <w:t>(</w:t>
      </w:r>
      <w:hyperlink r:id="rId10" w:history="1">
        <w:r w:rsidR="002A5274" w:rsidRPr="00615C51">
          <w:rPr>
            <w:rStyle w:val="Hyperlink"/>
            <w:rFonts w:ascii="Times New Roman" w:hAnsi="Times New Roman"/>
            <w:sz w:val="24"/>
            <w:szCs w:val="24"/>
          </w:rPr>
          <w:t>https://cdx.epa.gov/</w:t>
        </w:r>
      </w:hyperlink>
      <w:r w:rsidR="008337F7">
        <w:rPr>
          <w:rFonts w:ascii="Times New Roman" w:hAnsi="Times New Roman"/>
          <w:sz w:val="24"/>
          <w:szCs w:val="24"/>
        </w:rPr>
        <w:t>) and</w:t>
      </w:r>
      <w:r w:rsidRPr="007F3CAE">
        <w:rPr>
          <w:rFonts w:ascii="Times New Roman" w:hAnsi="Times New Roman"/>
          <w:sz w:val="24"/>
          <w:szCs w:val="24"/>
        </w:rPr>
        <w:t xml:space="preserve"> </w:t>
      </w:r>
      <w:r w:rsidR="008337F7">
        <w:rPr>
          <w:rFonts w:ascii="Times New Roman" w:hAnsi="Times New Roman"/>
          <w:sz w:val="24"/>
          <w:szCs w:val="24"/>
        </w:rPr>
        <w:t>requests</w:t>
      </w:r>
      <w:r w:rsidRPr="007F3CAE">
        <w:rPr>
          <w:rFonts w:ascii="Times New Roman" w:hAnsi="Times New Roman"/>
          <w:sz w:val="24"/>
          <w:szCs w:val="24"/>
        </w:rPr>
        <w:t xml:space="preserve"> basic identifying</w:t>
      </w:r>
      <w:r w:rsidR="007664A0" w:rsidRPr="007F3CAE">
        <w:rPr>
          <w:rFonts w:ascii="Times New Roman" w:hAnsi="Times New Roman"/>
          <w:sz w:val="24"/>
          <w:szCs w:val="24"/>
        </w:rPr>
        <w:t xml:space="preserve"> </w:t>
      </w:r>
      <w:r w:rsidRPr="007F3CAE">
        <w:rPr>
          <w:rFonts w:ascii="Times New Roman" w:hAnsi="Times New Roman"/>
          <w:sz w:val="24"/>
          <w:szCs w:val="24"/>
        </w:rPr>
        <w:t>information, such as the identity of the chemical (CAS number), the physical location of</w:t>
      </w:r>
      <w:r w:rsidR="007664A0" w:rsidRPr="007F3CAE">
        <w:rPr>
          <w:rFonts w:ascii="Times New Roman" w:hAnsi="Times New Roman"/>
          <w:sz w:val="24"/>
          <w:szCs w:val="24"/>
        </w:rPr>
        <w:t xml:space="preserve"> </w:t>
      </w:r>
      <w:r w:rsidRPr="007F3CAE">
        <w:rPr>
          <w:rFonts w:ascii="Times New Roman" w:hAnsi="Times New Roman"/>
          <w:sz w:val="24"/>
          <w:szCs w:val="24"/>
        </w:rPr>
        <w:t>the plant and mailing address of the responding entity</w:t>
      </w:r>
      <w:r w:rsidR="008337F7">
        <w:rPr>
          <w:rFonts w:ascii="Times New Roman" w:hAnsi="Times New Roman"/>
          <w:sz w:val="24"/>
          <w:szCs w:val="24"/>
        </w:rPr>
        <w:t xml:space="preserve"> as well as </w:t>
      </w:r>
      <w:r w:rsidRPr="007F3CAE">
        <w:rPr>
          <w:rFonts w:ascii="Times New Roman" w:hAnsi="Times New Roman"/>
          <w:sz w:val="24"/>
          <w:szCs w:val="24"/>
        </w:rPr>
        <w:t>general information on the quantities of the chemical used and</w:t>
      </w:r>
      <w:r w:rsidR="007664A0" w:rsidRPr="007F3CAE">
        <w:rPr>
          <w:rFonts w:ascii="Times New Roman" w:hAnsi="Times New Roman"/>
          <w:sz w:val="24"/>
          <w:szCs w:val="24"/>
        </w:rPr>
        <w:t xml:space="preserve"> </w:t>
      </w:r>
      <w:r w:rsidRPr="007F3CAE">
        <w:rPr>
          <w:rFonts w:ascii="Times New Roman" w:hAnsi="Times New Roman"/>
          <w:sz w:val="24"/>
          <w:szCs w:val="24"/>
        </w:rPr>
        <w:t>number of workers exposed and some additional information on the categories of</w:t>
      </w:r>
      <w:r w:rsidR="007664A0" w:rsidRPr="007F3CAE">
        <w:rPr>
          <w:rFonts w:ascii="Times New Roman" w:hAnsi="Times New Roman"/>
          <w:sz w:val="24"/>
          <w:szCs w:val="24"/>
        </w:rPr>
        <w:t xml:space="preserve"> </w:t>
      </w:r>
      <w:r w:rsidRPr="007F3CAE">
        <w:rPr>
          <w:rFonts w:ascii="Times New Roman" w:hAnsi="Times New Roman"/>
          <w:sz w:val="24"/>
          <w:szCs w:val="24"/>
        </w:rPr>
        <w:t>products (e.g., industrial and consumer) associated with manufacture or processing of the</w:t>
      </w:r>
      <w:r w:rsidR="007664A0" w:rsidRPr="007F3CAE">
        <w:rPr>
          <w:rFonts w:ascii="Times New Roman" w:hAnsi="Times New Roman"/>
          <w:sz w:val="24"/>
          <w:szCs w:val="24"/>
        </w:rPr>
        <w:t xml:space="preserve"> </w:t>
      </w:r>
      <w:r w:rsidRPr="007F3CAE">
        <w:rPr>
          <w:rFonts w:ascii="Times New Roman" w:hAnsi="Times New Roman"/>
          <w:sz w:val="24"/>
          <w:szCs w:val="24"/>
        </w:rPr>
        <w:t>reported substance.</w:t>
      </w:r>
      <w:r w:rsidR="00CF3059" w:rsidRPr="00CF3059">
        <w:rPr>
          <w:rFonts w:ascii="Times New Roman" w:hAnsi="Times New Roman"/>
          <w:sz w:val="24"/>
          <w:szCs w:val="24"/>
        </w:rPr>
        <w:t xml:space="preserve"> </w:t>
      </w:r>
      <w:r w:rsidR="00CF3059" w:rsidRPr="007F3CAE">
        <w:rPr>
          <w:rFonts w:ascii="Times New Roman" w:hAnsi="Times New Roman"/>
          <w:sz w:val="24"/>
          <w:szCs w:val="24"/>
        </w:rPr>
        <w:t xml:space="preserve">In addition, as described in the </w:t>
      </w:r>
      <w:r w:rsidR="00CF3059">
        <w:rPr>
          <w:rFonts w:ascii="Times New Roman" w:hAnsi="Times New Roman"/>
          <w:sz w:val="24"/>
          <w:szCs w:val="24"/>
        </w:rPr>
        <w:t>characterization</w:t>
      </w:r>
      <w:r w:rsidR="00CF3059" w:rsidRPr="007F3CAE">
        <w:rPr>
          <w:rFonts w:ascii="Times New Roman" w:hAnsi="Times New Roman"/>
          <w:sz w:val="24"/>
          <w:szCs w:val="24"/>
        </w:rPr>
        <w:t xml:space="preserve"> section, </w:t>
      </w:r>
      <w:r w:rsidR="00CF3059">
        <w:rPr>
          <w:rFonts w:ascii="Times New Roman" w:hAnsi="Times New Roman"/>
          <w:sz w:val="24"/>
          <w:szCs w:val="24"/>
        </w:rPr>
        <w:t>the</w:t>
      </w:r>
      <w:r w:rsidR="00CF3059" w:rsidRPr="007F3CAE">
        <w:rPr>
          <w:rFonts w:ascii="Times New Roman" w:hAnsi="Times New Roman"/>
          <w:sz w:val="24"/>
          <w:szCs w:val="24"/>
        </w:rPr>
        <w:t xml:space="preserve"> </w:t>
      </w:r>
      <w:r w:rsidR="00CF3059">
        <w:rPr>
          <w:rFonts w:ascii="Times New Roman" w:hAnsi="Times New Roman"/>
          <w:sz w:val="24"/>
          <w:szCs w:val="24"/>
        </w:rPr>
        <w:t>estimation of burden and cost of collection</w:t>
      </w:r>
      <w:r w:rsidR="00CF3059" w:rsidRPr="007F3CAE">
        <w:rPr>
          <w:rFonts w:ascii="Times New Roman" w:hAnsi="Times New Roman"/>
          <w:sz w:val="24"/>
          <w:szCs w:val="24"/>
        </w:rPr>
        <w:t xml:space="preserve"> addresses information collection activities associated with the reporting and recordkeeping requirements contained in 40 CFR 766.</w:t>
      </w:r>
      <w:r w:rsidR="002A5274">
        <w:rPr>
          <w:rFonts w:ascii="Times New Roman" w:hAnsi="Times New Roman"/>
          <w:sz w:val="24"/>
          <w:szCs w:val="24"/>
        </w:rPr>
        <w:t xml:space="preserve"> See also the forms and instructions in Attachments D and H.</w:t>
      </w:r>
    </w:p>
    <w:p w14:paraId="16C8EAFB" w14:textId="077C5E4C" w:rsidR="00F5104E" w:rsidRPr="007F3CAE" w:rsidRDefault="00F5104E" w:rsidP="00F5104E">
      <w:pPr>
        <w:autoSpaceDE w:val="0"/>
        <w:autoSpaceDN w:val="0"/>
        <w:adjustRightInd w:val="0"/>
        <w:spacing w:after="0" w:line="240" w:lineRule="auto"/>
        <w:rPr>
          <w:rFonts w:ascii="Times New Roman" w:hAnsi="Times New Roman"/>
          <w:sz w:val="24"/>
          <w:szCs w:val="24"/>
        </w:rPr>
      </w:pPr>
    </w:p>
    <w:p w14:paraId="34EB66AB" w14:textId="40F20A30" w:rsidR="00F5104E" w:rsidRPr="000006BB" w:rsidRDefault="00F5104E" w:rsidP="00734A27">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Much of the information requested under this ICR is routinely collected by</w:t>
      </w:r>
      <w:r w:rsidR="007664A0" w:rsidRPr="007F3CAE">
        <w:rPr>
          <w:rFonts w:ascii="Times New Roman" w:hAnsi="Times New Roman"/>
          <w:sz w:val="24"/>
          <w:szCs w:val="24"/>
        </w:rPr>
        <w:t xml:space="preserve"> </w:t>
      </w:r>
      <w:r w:rsidRPr="007F3CAE">
        <w:rPr>
          <w:rFonts w:ascii="Times New Roman" w:hAnsi="Times New Roman"/>
          <w:sz w:val="24"/>
          <w:szCs w:val="24"/>
        </w:rPr>
        <w:t>manufacturers and processors for the maintenance and upkeep of health and safety</w:t>
      </w:r>
      <w:r w:rsidR="007664A0" w:rsidRPr="007F3CAE">
        <w:rPr>
          <w:rFonts w:ascii="Times New Roman" w:hAnsi="Times New Roman"/>
          <w:sz w:val="24"/>
          <w:szCs w:val="24"/>
        </w:rPr>
        <w:t xml:space="preserve"> </w:t>
      </w:r>
      <w:r w:rsidRPr="007F3CAE">
        <w:rPr>
          <w:rFonts w:ascii="Times New Roman" w:hAnsi="Times New Roman"/>
          <w:sz w:val="24"/>
          <w:szCs w:val="24"/>
        </w:rPr>
        <w:t>information but has not previously been made available to the Agency. This information</w:t>
      </w:r>
      <w:r w:rsidR="007664A0" w:rsidRPr="007F3CAE">
        <w:rPr>
          <w:rFonts w:ascii="Times New Roman" w:hAnsi="Times New Roman"/>
          <w:sz w:val="24"/>
          <w:szCs w:val="24"/>
        </w:rPr>
        <w:t xml:space="preserve"> </w:t>
      </w:r>
      <w:r w:rsidRPr="007F3CAE">
        <w:rPr>
          <w:rFonts w:ascii="Times New Roman" w:hAnsi="Times New Roman"/>
          <w:sz w:val="24"/>
          <w:szCs w:val="24"/>
        </w:rPr>
        <w:t>should be readily available to the firm as it is generated and maintained as part of their</w:t>
      </w:r>
      <w:r w:rsidR="007664A0" w:rsidRPr="007F3CAE">
        <w:rPr>
          <w:rFonts w:ascii="Times New Roman" w:hAnsi="Times New Roman"/>
          <w:sz w:val="24"/>
          <w:szCs w:val="24"/>
        </w:rPr>
        <w:t xml:space="preserve"> </w:t>
      </w:r>
      <w:r w:rsidRPr="007F3CAE">
        <w:rPr>
          <w:rFonts w:ascii="Times New Roman" w:hAnsi="Times New Roman"/>
          <w:sz w:val="24"/>
          <w:szCs w:val="24"/>
        </w:rPr>
        <w:t>normal business practices. In fact, the regulations specifically state that the respondent is</w:t>
      </w:r>
      <w:r w:rsidR="007664A0" w:rsidRPr="007F3CAE">
        <w:rPr>
          <w:rFonts w:ascii="Times New Roman" w:hAnsi="Times New Roman"/>
          <w:sz w:val="24"/>
          <w:szCs w:val="24"/>
        </w:rPr>
        <w:t xml:space="preserve"> </w:t>
      </w:r>
      <w:r w:rsidRPr="007F3CAE">
        <w:rPr>
          <w:rFonts w:ascii="Times New Roman" w:hAnsi="Times New Roman"/>
          <w:sz w:val="24"/>
          <w:szCs w:val="24"/>
        </w:rPr>
        <w:t>not required to conduct an exhaustive search of their files (see 40 CFR 712.7). The EPA</w:t>
      </w:r>
      <w:r w:rsidR="007664A0" w:rsidRPr="007F3CAE">
        <w:rPr>
          <w:rFonts w:ascii="Times New Roman" w:hAnsi="Times New Roman"/>
          <w:sz w:val="24"/>
          <w:szCs w:val="24"/>
        </w:rPr>
        <w:t xml:space="preserve"> </w:t>
      </w:r>
      <w:r w:rsidRPr="007F3CAE">
        <w:rPr>
          <w:rFonts w:ascii="Times New Roman" w:hAnsi="Times New Roman"/>
          <w:sz w:val="24"/>
          <w:szCs w:val="24"/>
        </w:rPr>
        <w:t>has reviewed the average per-report burden estimate in light of the Agency’s experience</w:t>
      </w:r>
      <w:r w:rsidR="007664A0" w:rsidRPr="007F3CAE">
        <w:rPr>
          <w:rFonts w:ascii="Times New Roman" w:hAnsi="Times New Roman"/>
          <w:sz w:val="24"/>
          <w:szCs w:val="24"/>
        </w:rPr>
        <w:t xml:space="preserve"> </w:t>
      </w:r>
      <w:r w:rsidRPr="007F3CAE">
        <w:rPr>
          <w:rFonts w:ascii="Times New Roman" w:hAnsi="Times New Roman"/>
          <w:sz w:val="24"/>
          <w:szCs w:val="24"/>
        </w:rPr>
        <w:t xml:space="preserve">and feedback received from actual </w:t>
      </w:r>
      <w:r w:rsidRPr="000006BB">
        <w:rPr>
          <w:rFonts w:ascii="Times New Roman" w:hAnsi="Times New Roman"/>
          <w:sz w:val="24"/>
          <w:szCs w:val="24"/>
        </w:rPr>
        <w:t xml:space="preserve">submitters. Our average estimate of </w:t>
      </w:r>
      <w:r w:rsidR="00EE0A54" w:rsidRPr="000006BB">
        <w:rPr>
          <w:rFonts w:ascii="Times New Roman" w:hAnsi="Times New Roman"/>
          <w:sz w:val="24"/>
          <w:szCs w:val="24"/>
        </w:rPr>
        <w:t>3</w:t>
      </w:r>
      <w:r w:rsidR="00412492" w:rsidRPr="000006BB">
        <w:rPr>
          <w:rFonts w:ascii="Times New Roman" w:hAnsi="Times New Roman"/>
          <w:sz w:val="24"/>
          <w:szCs w:val="24"/>
        </w:rPr>
        <w:t>3</w:t>
      </w:r>
      <w:r w:rsidR="00EE0A54" w:rsidRPr="000006BB">
        <w:rPr>
          <w:rFonts w:ascii="Times New Roman" w:hAnsi="Times New Roman"/>
          <w:sz w:val="24"/>
          <w:szCs w:val="24"/>
        </w:rPr>
        <w:t>.</w:t>
      </w:r>
      <w:r w:rsidR="00412492" w:rsidRPr="000006BB">
        <w:rPr>
          <w:rFonts w:ascii="Times New Roman" w:hAnsi="Times New Roman"/>
          <w:sz w:val="24"/>
          <w:szCs w:val="24"/>
        </w:rPr>
        <w:t>0</w:t>
      </w:r>
      <w:r w:rsidRPr="000006BB">
        <w:rPr>
          <w:rFonts w:ascii="Times New Roman" w:hAnsi="Times New Roman"/>
          <w:sz w:val="24"/>
          <w:szCs w:val="24"/>
        </w:rPr>
        <w:t xml:space="preserve"> hours per</w:t>
      </w:r>
      <w:r w:rsidR="007664A0" w:rsidRPr="000006BB">
        <w:rPr>
          <w:rFonts w:ascii="Times New Roman" w:hAnsi="Times New Roman"/>
          <w:sz w:val="24"/>
          <w:szCs w:val="24"/>
        </w:rPr>
        <w:t xml:space="preserve"> </w:t>
      </w:r>
      <w:r w:rsidRPr="000006BB">
        <w:rPr>
          <w:rFonts w:ascii="Times New Roman" w:hAnsi="Times New Roman"/>
          <w:sz w:val="24"/>
          <w:szCs w:val="24"/>
        </w:rPr>
        <w:t>response is consistent with that information.</w:t>
      </w:r>
    </w:p>
    <w:p w14:paraId="45CE6C89" w14:textId="77777777" w:rsidR="007664A0" w:rsidRPr="000006BB" w:rsidRDefault="007664A0" w:rsidP="00734A27">
      <w:pPr>
        <w:autoSpaceDE w:val="0"/>
        <w:autoSpaceDN w:val="0"/>
        <w:adjustRightInd w:val="0"/>
        <w:spacing w:after="0" w:line="240" w:lineRule="auto"/>
        <w:rPr>
          <w:rFonts w:ascii="Times New Roman" w:hAnsi="Times New Roman"/>
          <w:sz w:val="24"/>
          <w:szCs w:val="24"/>
        </w:rPr>
      </w:pPr>
    </w:p>
    <w:p w14:paraId="1B26A960" w14:textId="646B5E93" w:rsidR="00F5104E" w:rsidRPr="007F3CAE" w:rsidRDefault="00F5104E" w:rsidP="00734A27">
      <w:pPr>
        <w:autoSpaceDE w:val="0"/>
        <w:autoSpaceDN w:val="0"/>
        <w:adjustRightInd w:val="0"/>
        <w:spacing w:after="0" w:line="240" w:lineRule="auto"/>
        <w:ind w:firstLine="720"/>
        <w:rPr>
          <w:rFonts w:ascii="Times New Roman" w:hAnsi="Times New Roman"/>
          <w:sz w:val="24"/>
          <w:szCs w:val="24"/>
        </w:rPr>
      </w:pPr>
      <w:r w:rsidRPr="000006BB">
        <w:rPr>
          <w:rFonts w:ascii="Times New Roman" w:hAnsi="Times New Roman"/>
          <w:sz w:val="24"/>
          <w:szCs w:val="24"/>
        </w:rPr>
        <w:t>The methodology used to develop these cost estimates follows principles that</w:t>
      </w:r>
      <w:r w:rsidR="007664A0" w:rsidRPr="000006BB">
        <w:rPr>
          <w:rFonts w:ascii="Times New Roman" w:hAnsi="Times New Roman"/>
          <w:sz w:val="24"/>
          <w:szCs w:val="24"/>
        </w:rPr>
        <w:t xml:space="preserve"> </w:t>
      </w:r>
      <w:r w:rsidRPr="000006BB">
        <w:rPr>
          <w:rFonts w:ascii="Times New Roman" w:hAnsi="Times New Roman"/>
          <w:sz w:val="24"/>
          <w:szCs w:val="24"/>
        </w:rPr>
        <w:t>have been</w:t>
      </w:r>
      <w:r w:rsidRPr="007F3CAE">
        <w:rPr>
          <w:rFonts w:ascii="Times New Roman" w:hAnsi="Times New Roman"/>
          <w:sz w:val="24"/>
          <w:szCs w:val="24"/>
        </w:rPr>
        <w:t xml:space="preserve"> used in previous ICRs. The methodology and calculations used in this analysis</w:t>
      </w:r>
      <w:r w:rsidR="007664A0" w:rsidRPr="007F3CAE">
        <w:rPr>
          <w:rFonts w:ascii="Times New Roman" w:hAnsi="Times New Roman"/>
          <w:sz w:val="24"/>
          <w:szCs w:val="24"/>
        </w:rPr>
        <w:t xml:space="preserve"> </w:t>
      </w:r>
      <w:r w:rsidRPr="007F3CAE">
        <w:rPr>
          <w:rFonts w:ascii="Times New Roman" w:hAnsi="Times New Roman"/>
          <w:sz w:val="24"/>
          <w:szCs w:val="24"/>
        </w:rPr>
        <w:t>assume the employee responsible for filling out the form has a reasonable level of</w:t>
      </w:r>
      <w:r w:rsidR="007664A0" w:rsidRPr="007F3CAE">
        <w:rPr>
          <w:rFonts w:ascii="Times New Roman" w:hAnsi="Times New Roman"/>
          <w:sz w:val="24"/>
          <w:szCs w:val="24"/>
        </w:rPr>
        <w:t xml:space="preserve"> </w:t>
      </w:r>
      <w:r w:rsidRPr="007F3CAE">
        <w:rPr>
          <w:rFonts w:ascii="Times New Roman" w:hAnsi="Times New Roman"/>
          <w:sz w:val="24"/>
          <w:szCs w:val="24"/>
        </w:rPr>
        <w:t>familiarity with the company and knowledge of the operation at the site. The analysis</w:t>
      </w:r>
      <w:r w:rsidR="007664A0" w:rsidRPr="007F3CAE">
        <w:rPr>
          <w:rFonts w:ascii="Times New Roman" w:hAnsi="Times New Roman"/>
          <w:sz w:val="24"/>
          <w:szCs w:val="24"/>
        </w:rPr>
        <w:t xml:space="preserve"> </w:t>
      </w:r>
      <w:r w:rsidRPr="007F3CAE">
        <w:rPr>
          <w:rFonts w:ascii="Times New Roman" w:hAnsi="Times New Roman"/>
          <w:sz w:val="24"/>
          <w:szCs w:val="24"/>
        </w:rPr>
        <w:t>deals with the marginal costs of complying with this specific request and not the total</w:t>
      </w:r>
      <w:r w:rsidR="007664A0" w:rsidRPr="007F3CAE">
        <w:rPr>
          <w:rFonts w:ascii="Times New Roman" w:hAnsi="Times New Roman"/>
          <w:sz w:val="24"/>
          <w:szCs w:val="24"/>
        </w:rPr>
        <w:t xml:space="preserve"> </w:t>
      </w:r>
      <w:r w:rsidRPr="007F3CAE">
        <w:rPr>
          <w:rFonts w:ascii="Times New Roman" w:hAnsi="Times New Roman"/>
          <w:sz w:val="24"/>
          <w:szCs w:val="24"/>
        </w:rPr>
        <w:t>costs to the company of initial employee training and costs associated with collecting and</w:t>
      </w:r>
      <w:r w:rsidR="007664A0" w:rsidRPr="007F3CAE">
        <w:rPr>
          <w:rFonts w:ascii="Times New Roman" w:hAnsi="Times New Roman"/>
          <w:sz w:val="24"/>
          <w:szCs w:val="24"/>
        </w:rPr>
        <w:t xml:space="preserve"> </w:t>
      </w:r>
      <w:r w:rsidRPr="007F3CAE">
        <w:rPr>
          <w:rFonts w:ascii="Times New Roman" w:hAnsi="Times New Roman"/>
          <w:sz w:val="24"/>
          <w:szCs w:val="24"/>
        </w:rPr>
        <w:t>storing records or of file maintenance that enable a company to comply with a range of</w:t>
      </w:r>
      <w:r w:rsidR="007664A0" w:rsidRPr="007F3CAE">
        <w:rPr>
          <w:rFonts w:ascii="Times New Roman" w:hAnsi="Times New Roman"/>
          <w:sz w:val="24"/>
          <w:szCs w:val="24"/>
        </w:rPr>
        <w:t xml:space="preserve"> </w:t>
      </w:r>
      <w:r w:rsidRPr="007F3CAE">
        <w:rPr>
          <w:rFonts w:ascii="Times New Roman" w:hAnsi="Times New Roman"/>
          <w:sz w:val="24"/>
          <w:szCs w:val="24"/>
        </w:rPr>
        <w:t xml:space="preserve">other </w:t>
      </w:r>
      <w:r w:rsidR="00FE2264">
        <w:rPr>
          <w:rFonts w:ascii="Times New Roman" w:hAnsi="Times New Roman"/>
          <w:sz w:val="24"/>
          <w:szCs w:val="24"/>
        </w:rPr>
        <w:t>f</w:t>
      </w:r>
      <w:r w:rsidRPr="007F3CAE">
        <w:rPr>
          <w:rFonts w:ascii="Times New Roman" w:hAnsi="Times New Roman"/>
          <w:sz w:val="24"/>
          <w:szCs w:val="24"/>
        </w:rPr>
        <w:t>ederal and state environmental, health and safety regulations or accounting</w:t>
      </w:r>
      <w:r w:rsidR="007664A0" w:rsidRPr="007F3CAE">
        <w:rPr>
          <w:rFonts w:ascii="Times New Roman" w:hAnsi="Times New Roman"/>
          <w:sz w:val="24"/>
          <w:szCs w:val="24"/>
        </w:rPr>
        <w:t xml:space="preserve"> </w:t>
      </w:r>
      <w:r w:rsidRPr="007F3CAE">
        <w:rPr>
          <w:rFonts w:ascii="Times New Roman" w:hAnsi="Times New Roman"/>
          <w:sz w:val="24"/>
          <w:szCs w:val="24"/>
        </w:rPr>
        <w:t xml:space="preserve">requirements that rely on this type of information. </w:t>
      </w:r>
      <w:r w:rsidR="008F215B">
        <w:rPr>
          <w:rFonts w:ascii="Times New Roman" w:hAnsi="Times New Roman"/>
          <w:sz w:val="24"/>
          <w:szCs w:val="24"/>
        </w:rPr>
        <w:t>B</w:t>
      </w:r>
      <w:r w:rsidRPr="007F3CAE">
        <w:rPr>
          <w:rFonts w:ascii="Times New Roman" w:hAnsi="Times New Roman"/>
          <w:sz w:val="24"/>
          <w:szCs w:val="24"/>
        </w:rPr>
        <w:t xml:space="preserve">ased on conversations with </w:t>
      </w:r>
      <w:r w:rsidR="00FA73CD" w:rsidRPr="007F3CAE">
        <w:rPr>
          <w:rFonts w:ascii="Times New Roman" w:hAnsi="Times New Roman"/>
          <w:sz w:val="24"/>
          <w:szCs w:val="24"/>
        </w:rPr>
        <w:t>respondents,</w:t>
      </w:r>
      <w:r w:rsidRPr="007F3CAE">
        <w:rPr>
          <w:rFonts w:ascii="Times New Roman" w:hAnsi="Times New Roman"/>
          <w:sz w:val="24"/>
          <w:szCs w:val="24"/>
        </w:rPr>
        <w:t xml:space="preserve"> </w:t>
      </w:r>
      <w:r w:rsidR="008F215B">
        <w:rPr>
          <w:rFonts w:ascii="Times New Roman" w:hAnsi="Times New Roman"/>
          <w:sz w:val="24"/>
          <w:szCs w:val="24"/>
        </w:rPr>
        <w:t xml:space="preserve">gathering information for an 8(a) PAIR request </w:t>
      </w:r>
      <w:r w:rsidRPr="007F3CAE">
        <w:rPr>
          <w:rFonts w:ascii="Times New Roman" w:hAnsi="Times New Roman"/>
          <w:sz w:val="24"/>
          <w:szCs w:val="24"/>
        </w:rPr>
        <w:t xml:space="preserve">is similar to other </w:t>
      </w:r>
      <w:r w:rsidR="00941032" w:rsidRPr="007F3CAE">
        <w:rPr>
          <w:rFonts w:ascii="Times New Roman" w:hAnsi="Times New Roman"/>
          <w:sz w:val="24"/>
          <w:szCs w:val="24"/>
        </w:rPr>
        <w:t xml:space="preserve">efforts </w:t>
      </w:r>
      <w:r w:rsidRPr="007F3CAE">
        <w:rPr>
          <w:rFonts w:ascii="Times New Roman" w:hAnsi="Times New Roman"/>
          <w:sz w:val="24"/>
          <w:szCs w:val="24"/>
        </w:rPr>
        <w:t>they perform which require familiarity with EPA, state and</w:t>
      </w:r>
      <w:r w:rsidR="007664A0" w:rsidRPr="007F3CAE">
        <w:rPr>
          <w:rFonts w:ascii="Times New Roman" w:hAnsi="Times New Roman"/>
          <w:sz w:val="24"/>
          <w:szCs w:val="24"/>
        </w:rPr>
        <w:t xml:space="preserve"> </w:t>
      </w:r>
      <w:r w:rsidRPr="007F3CAE">
        <w:rPr>
          <w:rFonts w:ascii="Times New Roman" w:hAnsi="Times New Roman"/>
          <w:sz w:val="24"/>
          <w:szCs w:val="24"/>
        </w:rPr>
        <w:t xml:space="preserve">other </w:t>
      </w:r>
      <w:r w:rsidR="00FE2264">
        <w:rPr>
          <w:rFonts w:ascii="Times New Roman" w:hAnsi="Times New Roman"/>
          <w:sz w:val="24"/>
          <w:szCs w:val="24"/>
        </w:rPr>
        <w:t>f</w:t>
      </w:r>
      <w:r w:rsidRPr="007F3CAE">
        <w:rPr>
          <w:rFonts w:ascii="Times New Roman" w:hAnsi="Times New Roman"/>
          <w:sz w:val="24"/>
          <w:szCs w:val="24"/>
        </w:rPr>
        <w:t>ederal agency requests for chemical information and does not involve additional</w:t>
      </w:r>
      <w:r w:rsidR="007664A0" w:rsidRPr="007F3CAE">
        <w:rPr>
          <w:rFonts w:ascii="Times New Roman" w:hAnsi="Times New Roman"/>
          <w:sz w:val="24"/>
          <w:szCs w:val="24"/>
        </w:rPr>
        <w:t xml:space="preserve"> </w:t>
      </w:r>
      <w:r w:rsidRPr="007F3CAE">
        <w:rPr>
          <w:rFonts w:ascii="Times New Roman" w:hAnsi="Times New Roman"/>
          <w:sz w:val="24"/>
          <w:szCs w:val="24"/>
        </w:rPr>
        <w:t>familiarization or training to comply with information requested under this ICR.</w:t>
      </w:r>
    </w:p>
    <w:p w14:paraId="353C870A" w14:textId="77777777" w:rsidR="007664A0" w:rsidRPr="007F3CAE" w:rsidRDefault="007664A0" w:rsidP="00F5104E">
      <w:pPr>
        <w:autoSpaceDE w:val="0"/>
        <w:autoSpaceDN w:val="0"/>
        <w:adjustRightInd w:val="0"/>
        <w:spacing w:after="0" w:line="240" w:lineRule="auto"/>
        <w:rPr>
          <w:rFonts w:ascii="Times New Roman" w:hAnsi="Times New Roman"/>
          <w:sz w:val="24"/>
          <w:szCs w:val="24"/>
        </w:rPr>
      </w:pPr>
    </w:p>
    <w:p w14:paraId="6E156931" w14:textId="68D95576"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bookmarkStart w:id="5" w:name="_Hlk511739801"/>
      <w:r w:rsidRPr="007F3CAE">
        <w:rPr>
          <w:rFonts w:ascii="Times New Roman" w:hAnsi="Times New Roman"/>
          <w:sz w:val="24"/>
          <w:szCs w:val="24"/>
        </w:rPr>
        <w:t>The Agency is not asserting an exact measurement of the burden and costs that all</w:t>
      </w:r>
      <w:r w:rsidR="007664A0" w:rsidRPr="007F3CAE">
        <w:rPr>
          <w:rFonts w:ascii="Times New Roman" w:hAnsi="Times New Roman"/>
          <w:sz w:val="24"/>
          <w:szCs w:val="24"/>
        </w:rPr>
        <w:t xml:space="preserve"> </w:t>
      </w:r>
      <w:r w:rsidRPr="007F3CAE">
        <w:rPr>
          <w:rFonts w:ascii="Times New Roman" w:hAnsi="Times New Roman"/>
          <w:sz w:val="24"/>
          <w:szCs w:val="24"/>
        </w:rPr>
        <w:t>potential respondents will incur while complying with this information collection</w:t>
      </w:r>
      <w:r w:rsidR="007826C6" w:rsidRPr="007F3CAE">
        <w:rPr>
          <w:rFonts w:ascii="Times New Roman" w:hAnsi="Times New Roman"/>
          <w:sz w:val="24"/>
          <w:szCs w:val="24"/>
        </w:rPr>
        <w:t xml:space="preserve"> </w:t>
      </w:r>
      <w:r w:rsidRPr="007F3CAE">
        <w:rPr>
          <w:rFonts w:ascii="Times New Roman" w:hAnsi="Times New Roman"/>
          <w:sz w:val="24"/>
          <w:szCs w:val="24"/>
        </w:rPr>
        <w:t>activity. The Agency’s burden and cost estimates are based on averages. Some</w:t>
      </w:r>
      <w:r w:rsidR="007826C6" w:rsidRPr="007F3CAE">
        <w:rPr>
          <w:rFonts w:ascii="Times New Roman" w:hAnsi="Times New Roman"/>
          <w:sz w:val="24"/>
          <w:szCs w:val="24"/>
        </w:rPr>
        <w:t xml:space="preserve"> </w:t>
      </w:r>
      <w:r w:rsidRPr="007F3CAE">
        <w:rPr>
          <w:rFonts w:ascii="Times New Roman" w:hAnsi="Times New Roman"/>
          <w:sz w:val="24"/>
          <w:szCs w:val="24"/>
        </w:rPr>
        <w:t xml:space="preserve">respondents may require more time to respond </w:t>
      </w:r>
      <w:r w:rsidR="00846FDC">
        <w:rPr>
          <w:rFonts w:ascii="Times New Roman" w:hAnsi="Times New Roman"/>
          <w:sz w:val="24"/>
          <w:szCs w:val="24"/>
        </w:rPr>
        <w:t xml:space="preserve">to </w:t>
      </w:r>
      <w:r w:rsidRPr="007F3CAE">
        <w:rPr>
          <w:rFonts w:ascii="Times New Roman" w:hAnsi="Times New Roman"/>
          <w:sz w:val="24"/>
          <w:szCs w:val="24"/>
        </w:rPr>
        <w:t>the information collection than the</w:t>
      </w:r>
      <w:r w:rsidR="007826C6" w:rsidRPr="007F3CAE">
        <w:rPr>
          <w:rFonts w:ascii="Times New Roman" w:hAnsi="Times New Roman"/>
          <w:sz w:val="24"/>
          <w:szCs w:val="24"/>
        </w:rPr>
        <w:t xml:space="preserve"> </w:t>
      </w:r>
      <w:r w:rsidRPr="007F3CAE">
        <w:rPr>
          <w:rFonts w:ascii="Times New Roman" w:hAnsi="Times New Roman"/>
          <w:sz w:val="24"/>
          <w:szCs w:val="24"/>
        </w:rPr>
        <w:t xml:space="preserve">Agency’s estimated </w:t>
      </w:r>
      <w:r w:rsidRPr="000006BB">
        <w:rPr>
          <w:rFonts w:ascii="Times New Roman" w:hAnsi="Times New Roman"/>
          <w:sz w:val="24"/>
          <w:szCs w:val="24"/>
        </w:rPr>
        <w:t xml:space="preserve">average of </w:t>
      </w:r>
      <w:r w:rsidR="00EE0A54" w:rsidRPr="000006BB">
        <w:rPr>
          <w:rFonts w:ascii="Times New Roman" w:hAnsi="Times New Roman"/>
          <w:sz w:val="24"/>
          <w:szCs w:val="24"/>
        </w:rPr>
        <w:t>3</w:t>
      </w:r>
      <w:r w:rsidR="000006BB" w:rsidRPr="000006BB">
        <w:rPr>
          <w:rFonts w:ascii="Times New Roman" w:hAnsi="Times New Roman"/>
          <w:sz w:val="24"/>
          <w:szCs w:val="24"/>
        </w:rPr>
        <w:t>3</w:t>
      </w:r>
      <w:r w:rsidRPr="000006BB">
        <w:rPr>
          <w:rFonts w:ascii="Times New Roman" w:hAnsi="Times New Roman"/>
          <w:sz w:val="24"/>
          <w:szCs w:val="24"/>
        </w:rPr>
        <w:t xml:space="preserve"> hours</w:t>
      </w:r>
      <w:r w:rsidRPr="007F3CAE">
        <w:rPr>
          <w:rFonts w:ascii="Times New Roman" w:hAnsi="Times New Roman"/>
          <w:sz w:val="24"/>
          <w:szCs w:val="24"/>
        </w:rPr>
        <w:t xml:space="preserve"> per report; however, the Agency believes</w:t>
      </w:r>
      <w:r w:rsidR="007826C6" w:rsidRPr="007F3CAE">
        <w:rPr>
          <w:rFonts w:ascii="Times New Roman" w:hAnsi="Times New Roman"/>
          <w:sz w:val="24"/>
          <w:szCs w:val="24"/>
        </w:rPr>
        <w:t xml:space="preserve"> </w:t>
      </w:r>
      <w:r w:rsidRPr="007F3CAE">
        <w:rPr>
          <w:rFonts w:ascii="Times New Roman" w:hAnsi="Times New Roman"/>
          <w:sz w:val="24"/>
          <w:szCs w:val="24"/>
        </w:rPr>
        <w:t>some respondents will be able to complete their response activities in less time. The</w:t>
      </w:r>
      <w:r w:rsidR="007826C6" w:rsidRPr="007F3CAE">
        <w:rPr>
          <w:rFonts w:ascii="Times New Roman" w:hAnsi="Times New Roman"/>
          <w:sz w:val="24"/>
          <w:szCs w:val="24"/>
        </w:rPr>
        <w:t xml:space="preserve"> </w:t>
      </w:r>
      <w:r w:rsidRPr="007F3CAE">
        <w:rPr>
          <w:rFonts w:ascii="Times New Roman" w:hAnsi="Times New Roman"/>
          <w:sz w:val="24"/>
          <w:szCs w:val="24"/>
        </w:rPr>
        <w:t>Agency also intends to continue to provide rule-specific estimates of burden and costs,</w:t>
      </w:r>
      <w:r w:rsidR="007826C6" w:rsidRPr="007F3CAE">
        <w:rPr>
          <w:rFonts w:ascii="Times New Roman" w:hAnsi="Times New Roman"/>
          <w:sz w:val="24"/>
          <w:szCs w:val="24"/>
        </w:rPr>
        <w:t xml:space="preserve"> </w:t>
      </w:r>
      <w:r w:rsidRPr="007F3CAE">
        <w:rPr>
          <w:rFonts w:ascii="Times New Roman" w:hAnsi="Times New Roman"/>
          <w:sz w:val="24"/>
          <w:szCs w:val="24"/>
        </w:rPr>
        <w:t>presenting them in the preamble to the PAIR rule. Should the Agency determine in that</w:t>
      </w:r>
      <w:r w:rsidR="007826C6" w:rsidRPr="007F3CAE">
        <w:rPr>
          <w:rFonts w:ascii="Times New Roman" w:hAnsi="Times New Roman"/>
          <w:sz w:val="24"/>
          <w:szCs w:val="24"/>
        </w:rPr>
        <w:t xml:space="preserve"> </w:t>
      </w:r>
      <w:r w:rsidRPr="007F3CAE">
        <w:rPr>
          <w:rFonts w:ascii="Times New Roman" w:hAnsi="Times New Roman"/>
          <w:sz w:val="24"/>
          <w:szCs w:val="24"/>
        </w:rPr>
        <w:t>context that this average estimate is insufficient, it will adjust the ICR accordingly. Upon</w:t>
      </w:r>
      <w:r w:rsidR="007826C6" w:rsidRPr="007F3CAE">
        <w:rPr>
          <w:rFonts w:ascii="Times New Roman" w:hAnsi="Times New Roman"/>
          <w:sz w:val="24"/>
          <w:szCs w:val="24"/>
        </w:rPr>
        <w:t xml:space="preserve"> </w:t>
      </w:r>
      <w:r w:rsidRPr="007F3CAE">
        <w:rPr>
          <w:rFonts w:ascii="Times New Roman" w:hAnsi="Times New Roman"/>
          <w:sz w:val="24"/>
          <w:szCs w:val="24"/>
        </w:rPr>
        <w:t>renewal, EPA will reassess its burden estimate based on the next three-year approval</w:t>
      </w:r>
      <w:r w:rsidR="007826C6" w:rsidRPr="007F3CAE">
        <w:rPr>
          <w:rFonts w:ascii="Times New Roman" w:hAnsi="Times New Roman"/>
          <w:sz w:val="24"/>
          <w:szCs w:val="24"/>
        </w:rPr>
        <w:t xml:space="preserve"> </w:t>
      </w:r>
      <w:r w:rsidRPr="007F3CAE">
        <w:rPr>
          <w:rFonts w:ascii="Times New Roman" w:hAnsi="Times New Roman"/>
          <w:sz w:val="24"/>
          <w:szCs w:val="24"/>
        </w:rPr>
        <w:t xml:space="preserve">period and </w:t>
      </w:r>
      <w:r w:rsidR="00846FDC" w:rsidRPr="007F3CAE">
        <w:rPr>
          <w:rFonts w:ascii="Times New Roman" w:hAnsi="Times New Roman"/>
          <w:sz w:val="24"/>
          <w:szCs w:val="24"/>
        </w:rPr>
        <w:t>adjust</w:t>
      </w:r>
      <w:r w:rsidRPr="007F3CAE">
        <w:rPr>
          <w:rFonts w:ascii="Times New Roman" w:hAnsi="Times New Roman"/>
          <w:sz w:val="24"/>
          <w:szCs w:val="24"/>
        </w:rPr>
        <w:t xml:space="preserve"> as appropriate</w:t>
      </w:r>
      <w:r w:rsidR="007826C6" w:rsidRPr="007F3CAE">
        <w:rPr>
          <w:rFonts w:ascii="Times New Roman" w:hAnsi="Times New Roman"/>
          <w:sz w:val="24"/>
          <w:szCs w:val="24"/>
        </w:rPr>
        <w:t>.</w:t>
      </w:r>
    </w:p>
    <w:bookmarkEnd w:id="5"/>
    <w:p w14:paraId="46715F7B"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739519B8" w14:textId="7F59725A" w:rsidR="00653F29" w:rsidRDefault="00F5104E" w:rsidP="009B135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Based on information provided by EPA’s Information Management Division</w:t>
      </w:r>
      <w:r w:rsidR="007826C6" w:rsidRPr="007F3CAE">
        <w:rPr>
          <w:rFonts w:ascii="Times New Roman" w:hAnsi="Times New Roman"/>
          <w:sz w:val="24"/>
          <w:szCs w:val="24"/>
        </w:rPr>
        <w:t xml:space="preserve"> </w:t>
      </w:r>
      <w:r w:rsidRPr="007F3CAE">
        <w:rPr>
          <w:rFonts w:ascii="Times New Roman" w:hAnsi="Times New Roman"/>
          <w:sz w:val="24"/>
          <w:szCs w:val="24"/>
        </w:rPr>
        <w:t xml:space="preserve">(IMD), an average of </w:t>
      </w:r>
      <w:r w:rsidR="00593D8C" w:rsidRPr="007F3CAE">
        <w:rPr>
          <w:rFonts w:ascii="Times New Roman" w:hAnsi="Times New Roman"/>
          <w:sz w:val="24"/>
          <w:szCs w:val="24"/>
        </w:rPr>
        <w:t xml:space="preserve">14.8 </w:t>
      </w:r>
      <w:r w:rsidRPr="007F3CAE">
        <w:rPr>
          <w:rFonts w:ascii="Times New Roman" w:hAnsi="Times New Roman"/>
          <w:sz w:val="24"/>
          <w:szCs w:val="24"/>
        </w:rPr>
        <w:t xml:space="preserve">sites submitted a total of </w:t>
      </w:r>
      <w:r w:rsidR="003B7A2E" w:rsidRPr="007F3CAE">
        <w:rPr>
          <w:rFonts w:ascii="Times New Roman" w:hAnsi="Times New Roman"/>
          <w:sz w:val="24"/>
          <w:szCs w:val="24"/>
        </w:rPr>
        <w:t>33</w:t>
      </w:r>
      <w:r w:rsidRPr="007F3CAE">
        <w:rPr>
          <w:rFonts w:ascii="Times New Roman" w:hAnsi="Times New Roman"/>
          <w:sz w:val="24"/>
          <w:szCs w:val="24"/>
        </w:rPr>
        <w:t xml:space="preserve"> reports per year (an average</w:t>
      </w:r>
      <w:r w:rsidR="007826C6" w:rsidRPr="007F3CAE">
        <w:rPr>
          <w:rFonts w:ascii="Times New Roman" w:hAnsi="Times New Roman"/>
          <w:sz w:val="24"/>
          <w:szCs w:val="24"/>
        </w:rPr>
        <w:t xml:space="preserve"> </w:t>
      </w:r>
      <w:r w:rsidRPr="007F3CAE">
        <w:rPr>
          <w:rFonts w:ascii="Times New Roman" w:hAnsi="Times New Roman"/>
          <w:sz w:val="24"/>
          <w:szCs w:val="24"/>
        </w:rPr>
        <w:t>of 2.</w:t>
      </w:r>
      <w:r w:rsidR="00EF3164" w:rsidRPr="007F3CAE">
        <w:rPr>
          <w:rFonts w:ascii="Times New Roman" w:hAnsi="Times New Roman"/>
          <w:sz w:val="24"/>
          <w:szCs w:val="24"/>
        </w:rPr>
        <w:t>2</w:t>
      </w:r>
      <w:r w:rsidR="00593D8C" w:rsidRPr="007F3CAE">
        <w:rPr>
          <w:rFonts w:ascii="Times New Roman" w:hAnsi="Times New Roman"/>
          <w:sz w:val="24"/>
          <w:szCs w:val="24"/>
        </w:rPr>
        <w:t>3</w:t>
      </w:r>
      <w:r w:rsidRPr="007F3CAE">
        <w:rPr>
          <w:rFonts w:ascii="Times New Roman" w:hAnsi="Times New Roman"/>
          <w:sz w:val="24"/>
          <w:szCs w:val="24"/>
        </w:rPr>
        <w:t xml:space="preserve"> reports per site per year) during the period of FY 200</w:t>
      </w:r>
      <w:r w:rsidR="003B7A2E" w:rsidRPr="007F3CAE">
        <w:rPr>
          <w:rFonts w:ascii="Times New Roman" w:hAnsi="Times New Roman"/>
          <w:sz w:val="24"/>
          <w:szCs w:val="24"/>
        </w:rPr>
        <w:t>6</w:t>
      </w:r>
      <w:r w:rsidRPr="007F3CAE">
        <w:rPr>
          <w:rFonts w:ascii="Times New Roman" w:hAnsi="Times New Roman"/>
          <w:sz w:val="24"/>
          <w:szCs w:val="24"/>
        </w:rPr>
        <w:t xml:space="preserve"> through FY 20</w:t>
      </w:r>
      <w:r w:rsidR="003B7A2E" w:rsidRPr="007F3CAE">
        <w:rPr>
          <w:rFonts w:ascii="Times New Roman" w:hAnsi="Times New Roman"/>
          <w:sz w:val="24"/>
          <w:szCs w:val="24"/>
        </w:rPr>
        <w:t>10</w:t>
      </w:r>
      <w:r w:rsidRPr="007F3CAE">
        <w:rPr>
          <w:rFonts w:ascii="Times New Roman" w:hAnsi="Times New Roman"/>
          <w:sz w:val="24"/>
          <w:szCs w:val="24"/>
        </w:rPr>
        <w:t xml:space="preserve">. </w:t>
      </w:r>
      <w:r w:rsidR="0093025C" w:rsidRPr="007F3CAE">
        <w:rPr>
          <w:rFonts w:ascii="Times New Roman" w:hAnsi="Times New Roman"/>
          <w:sz w:val="24"/>
          <w:szCs w:val="24"/>
        </w:rPr>
        <w:t>The rate at which new PAIR rule chemicals are added is sporadic and not entirely predictable</w:t>
      </w:r>
      <w:r w:rsidR="0093025C">
        <w:rPr>
          <w:rFonts w:ascii="Times New Roman" w:hAnsi="Times New Roman"/>
          <w:sz w:val="24"/>
          <w:szCs w:val="24"/>
        </w:rPr>
        <w:t>;</w:t>
      </w:r>
      <w:r w:rsidR="0037258C">
        <w:rPr>
          <w:rFonts w:ascii="Times New Roman" w:hAnsi="Times New Roman"/>
          <w:sz w:val="24"/>
          <w:szCs w:val="24"/>
        </w:rPr>
        <w:t xml:space="preserve"> between FY 201</w:t>
      </w:r>
      <w:r w:rsidR="00982A19">
        <w:rPr>
          <w:rFonts w:ascii="Times New Roman" w:hAnsi="Times New Roman"/>
          <w:sz w:val="24"/>
          <w:szCs w:val="24"/>
        </w:rPr>
        <w:t>2</w:t>
      </w:r>
      <w:r w:rsidR="0037258C">
        <w:rPr>
          <w:rFonts w:ascii="Times New Roman" w:hAnsi="Times New Roman"/>
          <w:sz w:val="24"/>
          <w:szCs w:val="24"/>
        </w:rPr>
        <w:t xml:space="preserve"> and FY 201</w:t>
      </w:r>
      <w:r w:rsidR="00982A19">
        <w:rPr>
          <w:rFonts w:ascii="Times New Roman" w:hAnsi="Times New Roman"/>
          <w:sz w:val="24"/>
          <w:szCs w:val="24"/>
        </w:rPr>
        <w:t>7</w:t>
      </w:r>
      <w:r w:rsidR="0037258C">
        <w:rPr>
          <w:rFonts w:ascii="Times New Roman" w:hAnsi="Times New Roman"/>
          <w:sz w:val="24"/>
          <w:szCs w:val="24"/>
        </w:rPr>
        <w:t xml:space="preserve">, EPA received no PAIR submissions. </w:t>
      </w:r>
      <w:r w:rsidRPr="007F3CAE">
        <w:rPr>
          <w:rFonts w:ascii="Times New Roman" w:hAnsi="Times New Roman"/>
          <w:sz w:val="24"/>
          <w:szCs w:val="24"/>
        </w:rPr>
        <w:t>In</w:t>
      </w:r>
      <w:r w:rsidR="007826C6" w:rsidRPr="007F3CAE">
        <w:rPr>
          <w:rFonts w:ascii="Times New Roman" w:hAnsi="Times New Roman"/>
          <w:sz w:val="24"/>
          <w:szCs w:val="24"/>
        </w:rPr>
        <w:t xml:space="preserve"> </w:t>
      </w:r>
      <w:r w:rsidRPr="007F3CAE">
        <w:rPr>
          <w:rFonts w:ascii="Times New Roman" w:hAnsi="Times New Roman"/>
          <w:sz w:val="24"/>
          <w:szCs w:val="24"/>
        </w:rPr>
        <w:t>general, the analysis uses data and methodological assumptions from previous economic</w:t>
      </w:r>
      <w:r w:rsidR="007826C6" w:rsidRPr="007F3CAE">
        <w:rPr>
          <w:rFonts w:ascii="Times New Roman" w:hAnsi="Times New Roman"/>
          <w:sz w:val="24"/>
          <w:szCs w:val="24"/>
        </w:rPr>
        <w:t xml:space="preserve"> </w:t>
      </w:r>
      <w:r w:rsidRPr="007F3CAE">
        <w:rPr>
          <w:rFonts w:ascii="Times New Roman" w:hAnsi="Times New Roman"/>
          <w:sz w:val="24"/>
          <w:szCs w:val="24"/>
        </w:rPr>
        <w:t>analyses of PAIR rules</w:t>
      </w:r>
      <w:r w:rsidR="00AA2C49">
        <w:rPr>
          <w:rFonts w:ascii="Times New Roman" w:hAnsi="Times New Roman"/>
          <w:sz w:val="24"/>
          <w:szCs w:val="24"/>
        </w:rPr>
        <w:t>,</w:t>
      </w:r>
      <w:r w:rsidRPr="007F3CAE">
        <w:rPr>
          <w:rFonts w:ascii="Times New Roman" w:hAnsi="Times New Roman"/>
          <w:sz w:val="24"/>
          <w:szCs w:val="24"/>
        </w:rPr>
        <w:t xml:space="preserve"> other government data sources</w:t>
      </w:r>
      <w:r w:rsidR="00AA2C49">
        <w:rPr>
          <w:rFonts w:ascii="Times New Roman" w:hAnsi="Times New Roman"/>
          <w:sz w:val="24"/>
          <w:szCs w:val="24"/>
        </w:rPr>
        <w:t>, and assumptions as described</w:t>
      </w:r>
      <w:r w:rsidRPr="007F3CAE">
        <w:rPr>
          <w:rFonts w:ascii="Times New Roman" w:hAnsi="Times New Roman"/>
          <w:sz w:val="24"/>
          <w:szCs w:val="24"/>
        </w:rPr>
        <w:t>. A</w:t>
      </w:r>
      <w:r w:rsidR="007826C6" w:rsidRPr="007F3CAE">
        <w:rPr>
          <w:rFonts w:ascii="Times New Roman" w:hAnsi="Times New Roman"/>
          <w:sz w:val="24"/>
          <w:szCs w:val="24"/>
        </w:rPr>
        <w:t xml:space="preserve"> </w:t>
      </w:r>
      <w:r w:rsidRPr="007F3CAE">
        <w:rPr>
          <w:rFonts w:ascii="Times New Roman" w:hAnsi="Times New Roman"/>
          <w:sz w:val="24"/>
          <w:szCs w:val="24"/>
        </w:rPr>
        <w:t>detailed description of the methodology used to derive the estimates follows.</w:t>
      </w:r>
    </w:p>
    <w:p w14:paraId="674543C7" w14:textId="77777777" w:rsidR="00653F29" w:rsidRPr="007F3CAE" w:rsidRDefault="00653F29" w:rsidP="00F5104E">
      <w:pPr>
        <w:autoSpaceDE w:val="0"/>
        <w:autoSpaceDN w:val="0"/>
        <w:adjustRightInd w:val="0"/>
        <w:spacing w:after="0" w:line="240" w:lineRule="auto"/>
        <w:rPr>
          <w:rFonts w:ascii="Times New Roman" w:hAnsi="Times New Roman"/>
          <w:sz w:val="24"/>
          <w:szCs w:val="24"/>
        </w:rPr>
      </w:pPr>
    </w:p>
    <w:p w14:paraId="4EB36E9F"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u w:val="single"/>
        </w:rPr>
      </w:pPr>
      <w:r w:rsidRPr="007F3CAE">
        <w:rPr>
          <w:rFonts w:ascii="Times New Roman" w:hAnsi="Times New Roman"/>
          <w:sz w:val="24"/>
          <w:szCs w:val="24"/>
          <w:u w:val="single"/>
        </w:rPr>
        <w:t>Number of Sites and Reports per Site</w:t>
      </w:r>
    </w:p>
    <w:p w14:paraId="54A79C68" w14:textId="77777777" w:rsidR="007826C6" w:rsidRPr="007F3CAE" w:rsidRDefault="007826C6" w:rsidP="00290C12">
      <w:pPr>
        <w:autoSpaceDE w:val="0"/>
        <w:autoSpaceDN w:val="0"/>
        <w:adjustRightInd w:val="0"/>
        <w:spacing w:after="0" w:line="240" w:lineRule="auto"/>
        <w:jc w:val="right"/>
        <w:rPr>
          <w:rFonts w:ascii="Times New Roman" w:hAnsi="Times New Roman"/>
          <w:sz w:val="24"/>
          <w:szCs w:val="24"/>
        </w:rPr>
      </w:pPr>
    </w:p>
    <w:p w14:paraId="3D282908" w14:textId="61D57400" w:rsidR="00F5104E" w:rsidRPr="007F3CAE" w:rsidRDefault="00F5104E" w:rsidP="00DA409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burden hour estimates in this analysis are based on an estimate of the level of</w:t>
      </w:r>
      <w:r w:rsidR="007826C6" w:rsidRPr="007F3CAE">
        <w:rPr>
          <w:rFonts w:ascii="Times New Roman" w:hAnsi="Times New Roman"/>
          <w:sz w:val="24"/>
          <w:szCs w:val="24"/>
        </w:rPr>
        <w:t xml:space="preserve"> </w:t>
      </w:r>
      <w:r w:rsidRPr="007F3CAE">
        <w:rPr>
          <w:rFonts w:ascii="Times New Roman" w:hAnsi="Times New Roman"/>
          <w:sz w:val="24"/>
          <w:szCs w:val="24"/>
        </w:rPr>
        <w:t xml:space="preserve">PAIR </w:t>
      </w:r>
      <w:r w:rsidR="00B663AB" w:rsidRPr="005A40B0">
        <w:rPr>
          <w:rFonts w:ascii="Times New Roman" w:hAnsi="Times New Roman"/>
          <w:sz w:val="24"/>
          <w:szCs w:val="24"/>
        </w:rPr>
        <w:t>and subpart B of 40 CFR 766</w:t>
      </w:r>
      <w:r w:rsidR="00B663AB">
        <w:rPr>
          <w:rFonts w:ascii="Times New Roman" w:hAnsi="Times New Roman"/>
          <w:sz w:val="24"/>
          <w:szCs w:val="24"/>
        </w:rPr>
        <w:t xml:space="preserve"> </w:t>
      </w:r>
      <w:r w:rsidRPr="007F3CAE">
        <w:rPr>
          <w:rFonts w:ascii="Times New Roman" w:hAnsi="Times New Roman"/>
          <w:sz w:val="24"/>
          <w:szCs w:val="24"/>
        </w:rPr>
        <w:t xml:space="preserve">reporting activity during the next three-year ICR approval period (FY </w:t>
      </w:r>
      <w:r w:rsidR="00F01687" w:rsidRPr="007F3CAE">
        <w:rPr>
          <w:rFonts w:ascii="Times New Roman" w:hAnsi="Times New Roman"/>
          <w:sz w:val="24"/>
          <w:szCs w:val="24"/>
        </w:rPr>
        <w:t>201</w:t>
      </w:r>
      <w:r w:rsidR="008F215B">
        <w:rPr>
          <w:rFonts w:ascii="Times New Roman" w:hAnsi="Times New Roman"/>
          <w:sz w:val="24"/>
          <w:szCs w:val="24"/>
        </w:rPr>
        <w:t>9</w:t>
      </w:r>
      <w:r w:rsidR="00F01687" w:rsidRPr="007F3CAE">
        <w:rPr>
          <w:rFonts w:ascii="Times New Roman" w:hAnsi="Times New Roman"/>
          <w:sz w:val="24"/>
          <w:szCs w:val="24"/>
        </w:rPr>
        <w:t xml:space="preserve"> </w:t>
      </w:r>
      <w:r w:rsidRPr="007F3CAE">
        <w:rPr>
          <w:rFonts w:ascii="Times New Roman" w:hAnsi="Times New Roman"/>
          <w:sz w:val="24"/>
          <w:szCs w:val="24"/>
        </w:rPr>
        <w:t>to FY</w:t>
      </w:r>
      <w:r w:rsidR="007826C6" w:rsidRPr="007F3CAE">
        <w:rPr>
          <w:rFonts w:ascii="Times New Roman" w:hAnsi="Times New Roman"/>
          <w:sz w:val="24"/>
          <w:szCs w:val="24"/>
        </w:rPr>
        <w:t xml:space="preserve"> </w:t>
      </w:r>
      <w:r w:rsidR="00F01687" w:rsidRPr="007F3CAE">
        <w:rPr>
          <w:rFonts w:ascii="Times New Roman" w:hAnsi="Times New Roman"/>
          <w:sz w:val="24"/>
          <w:szCs w:val="24"/>
        </w:rPr>
        <w:t>20</w:t>
      </w:r>
      <w:r w:rsidR="003E3D92">
        <w:rPr>
          <w:rFonts w:ascii="Times New Roman" w:hAnsi="Times New Roman"/>
          <w:sz w:val="24"/>
          <w:szCs w:val="24"/>
        </w:rPr>
        <w:t>2</w:t>
      </w:r>
      <w:r w:rsidR="008F215B">
        <w:rPr>
          <w:rFonts w:ascii="Times New Roman" w:hAnsi="Times New Roman"/>
          <w:sz w:val="24"/>
          <w:szCs w:val="24"/>
        </w:rPr>
        <w:t>1</w:t>
      </w:r>
      <w:r w:rsidRPr="007F3CAE">
        <w:rPr>
          <w:rFonts w:ascii="Times New Roman" w:hAnsi="Times New Roman"/>
          <w:sz w:val="24"/>
          <w:szCs w:val="24"/>
        </w:rPr>
        <w:t xml:space="preserve">). This, in turn, is related to the number of </w:t>
      </w:r>
      <w:r w:rsidR="00AA2C49">
        <w:rPr>
          <w:rFonts w:ascii="Times New Roman" w:hAnsi="Times New Roman"/>
          <w:sz w:val="24"/>
          <w:szCs w:val="24"/>
        </w:rPr>
        <w:t xml:space="preserve">expected </w:t>
      </w:r>
      <w:r w:rsidRPr="007F3CAE">
        <w:rPr>
          <w:rFonts w:ascii="Times New Roman" w:hAnsi="Times New Roman"/>
          <w:sz w:val="24"/>
          <w:szCs w:val="24"/>
        </w:rPr>
        <w:t xml:space="preserve">PAIR </w:t>
      </w:r>
      <w:r w:rsidR="00B663AB" w:rsidRPr="005A40B0">
        <w:rPr>
          <w:rFonts w:ascii="Times New Roman" w:hAnsi="Times New Roman"/>
          <w:sz w:val="24"/>
          <w:szCs w:val="24"/>
        </w:rPr>
        <w:t>and subpart B of 40 CFR 766</w:t>
      </w:r>
      <w:r w:rsidR="00B663AB">
        <w:rPr>
          <w:rFonts w:ascii="Times New Roman" w:hAnsi="Times New Roman"/>
          <w:sz w:val="24"/>
          <w:szCs w:val="24"/>
        </w:rPr>
        <w:t xml:space="preserve"> </w:t>
      </w:r>
      <w:r w:rsidRPr="007F3CAE">
        <w:rPr>
          <w:rFonts w:ascii="Times New Roman" w:hAnsi="Times New Roman"/>
          <w:sz w:val="24"/>
          <w:szCs w:val="24"/>
        </w:rPr>
        <w:t>chemical reports and reporting</w:t>
      </w:r>
      <w:r w:rsidR="007826C6" w:rsidRPr="007F3CAE">
        <w:rPr>
          <w:rFonts w:ascii="Times New Roman" w:hAnsi="Times New Roman"/>
          <w:sz w:val="24"/>
          <w:szCs w:val="24"/>
        </w:rPr>
        <w:t xml:space="preserve"> </w:t>
      </w:r>
      <w:r w:rsidRPr="007F3CAE">
        <w:rPr>
          <w:rFonts w:ascii="Times New Roman" w:hAnsi="Times New Roman"/>
          <w:sz w:val="24"/>
          <w:szCs w:val="24"/>
        </w:rPr>
        <w:t xml:space="preserve">sites. </w:t>
      </w:r>
      <w:r w:rsidR="00AA2C49">
        <w:rPr>
          <w:rFonts w:ascii="Times New Roman" w:hAnsi="Times New Roman"/>
          <w:sz w:val="24"/>
          <w:szCs w:val="24"/>
        </w:rPr>
        <w:t>During</w:t>
      </w:r>
      <w:r w:rsidRPr="007F3CAE">
        <w:rPr>
          <w:rFonts w:ascii="Times New Roman" w:hAnsi="Times New Roman"/>
          <w:sz w:val="24"/>
          <w:szCs w:val="24"/>
        </w:rPr>
        <w:t xml:space="preserve"> fiscal years </w:t>
      </w:r>
      <w:r w:rsidR="00F01687" w:rsidRPr="007F3CAE">
        <w:rPr>
          <w:rFonts w:ascii="Times New Roman" w:hAnsi="Times New Roman"/>
          <w:sz w:val="24"/>
          <w:szCs w:val="24"/>
        </w:rPr>
        <w:t>20</w:t>
      </w:r>
      <w:r w:rsidR="00F01687">
        <w:rPr>
          <w:rFonts w:ascii="Times New Roman" w:hAnsi="Times New Roman"/>
          <w:sz w:val="24"/>
          <w:szCs w:val="24"/>
        </w:rPr>
        <w:t>1</w:t>
      </w:r>
      <w:r w:rsidR="00982A19">
        <w:rPr>
          <w:rFonts w:ascii="Times New Roman" w:hAnsi="Times New Roman"/>
          <w:sz w:val="24"/>
          <w:szCs w:val="24"/>
        </w:rPr>
        <w:t>2</w:t>
      </w:r>
      <w:r w:rsidR="00F01687" w:rsidRPr="007F3CAE">
        <w:rPr>
          <w:rFonts w:ascii="Times New Roman" w:hAnsi="Times New Roman"/>
          <w:sz w:val="24"/>
          <w:szCs w:val="24"/>
        </w:rPr>
        <w:t xml:space="preserve"> </w:t>
      </w:r>
      <w:r w:rsidRPr="007F3CAE">
        <w:rPr>
          <w:rFonts w:ascii="Times New Roman" w:hAnsi="Times New Roman"/>
          <w:sz w:val="24"/>
          <w:szCs w:val="24"/>
        </w:rPr>
        <w:t xml:space="preserve">to </w:t>
      </w:r>
      <w:r w:rsidR="00F01687" w:rsidRPr="007F3CAE">
        <w:rPr>
          <w:rFonts w:ascii="Times New Roman" w:hAnsi="Times New Roman"/>
          <w:sz w:val="24"/>
          <w:szCs w:val="24"/>
        </w:rPr>
        <w:t>201</w:t>
      </w:r>
      <w:r w:rsidR="00982A19">
        <w:rPr>
          <w:rFonts w:ascii="Times New Roman" w:hAnsi="Times New Roman"/>
          <w:sz w:val="24"/>
          <w:szCs w:val="24"/>
        </w:rPr>
        <w:t>7</w:t>
      </w:r>
      <w:r w:rsidR="00AA2C49">
        <w:rPr>
          <w:rFonts w:ascii="Times New Roman" w:hAnsi="Times New Roman"/>
          <w:sz w:val="24"/>
          <w:szCs w:val="24"/>
        </w:rPr>
        <w:t>,</w:t>
      </w:r>
      <w:r w:rsidRPr="007F3CAE">
        <w:rPr>
          <w:rFonts w:ascii="Times New Roman" w:hAnsi="Times New Roman"/>
          <w:sz w:val="24"/>
          <w:szCs w:val="24"/>
        </w:rPr>
        <w:t xml:space="preserve"> </w:t>
      </w:r>
      <w:r w:rsidR="00F01687">
        <w:rPr>
          <w:rFonts w:ascii="Times New Roman" w:hAnsi="Times New Roman"/>
          <w:sz w:val="24"/>
          <w:szCs w:val="24"/>
        </w:rPr>
        <w:t xml:space="preserve">EPA received no PAIR submissions. </w:t>
      </w:r>
      <w:r w:rsidR="00AA2C49" w:rsidRPr="007F3CAE">
        <w:rPr>
          <w:rFonts w:ascii="Times New Roman" w:hAnsi="Times New Roman"/>
          <w:sz w:val="24"/>
          <w:szCs w:val="24"/>
        </w:rPr>
        <w:t xml:space="preserve">Some PAIR reports submitted during a given fiscal year may </w:t>
      </w:r>
      <w:r w:rsidR="00AA2C49">
        <w:rPr>
          <w:rFonts w:ascii="Times New Roman" w:hAnsi="Times New Roman"/>
          <w:sz w:val="24"/>
          <w:szCs w:val="24"/>
        </w:rPr>
        <w:t xml:space="preserve">be for </w:t>
      </w:r>
      <w:r w:rsidR="00AA2C49" w:rsidRPr="007F3CAE">
        <w:rPr>
          <w:rFonts w:ascii="Times New Roman" w:hAnsi="Times New Roman"/>
          <w:sz w:val="24"/>
          <w:szCs w:val="24"/>
        </w:rPr>
        <w:t>chemicals added to the PAIR during previous year</w:t>
      </w:r>
      <w:r w:rsidR="00AA2C49">
        <w:rPr>
          <w:rFonts w:ascii="Times New Roman" w:hAnsi="Times New Roman"/>
          <w:sz w:val="24"/>
          <w:szCs w:val="24"/>
        </w:rPr>
        <w:t>s</w:t>
      </w:r>
      <w:r w:rsidR="00AA2C49" w:rsidRPr="007F3CAE">
        <w:rPr>
          <w:rFonts w:ascii="Times New Roman" w:hAnsi="Times New Roman"/>
          <w:sz w:val="24"/>
          <w:szCs w:val="24"/>
        </w:rPr>
        <w:t>.</w:t>
      </w:r>
      <w:r w:rsidR="00AA2C49">
        <w:rPr>
          <w:rFonts w:ascii="Times New Roman" w:hAnsi="Times New Roman"/>
          <w:sz w:val="24"/>
          <w:szCs w:val="24"/>
        </w:rPr>
        <w:t xml:space="preserve"> </w:t>
      </w:r>
      <w:r w:rsidR="00BC7535" w:rsidRPr="005A40B0">
        <w:rPr>
          <w:rFonts w:ascii="Times New Roman" w:hAnsi="Times New Roman"/>
          <w:sz w:val="24"/>
          <w:szCs w:val="24"/>
        </w:rPr>
        <w:t xml:space="preserve">EPA received less than five submissions over the course of the last OMB approval for subpart B of 40 CFR 766. </w:t>
      </w:r>
      <w:r w:rsidR="00AA2C49">
        <w:rPr>
          <w:rFonts w:ascii="Times New Roman" w:hAnsi="Times New Roman"/>
          <w:sz w:val="24"/>
          <w:szCs w:val="24"/>
        </w:rPr>
        <w:t>F</w:t>
      </w:r>
      <w:r w:rsidR="00F01687">
        <w:rPr>
          <w:rFonts w:ascii="Times New Roman" w:hAnsi="Times New Roman"/>
          <w:sz w:val="24"/>
          <w:szCs w:val="24"/>
        </w:rPr>
        <w:t>or the purposes of this analysis</w:t>
      </w:r>
      <w:r w:rsidR="00AA2C49">
        <w:rPr>
          <w:rFonts w:ascii="Times New Roman" w:hAnsi="Times New Roman"/>
          <w:sz w:val="24"/>
          <w:szCs w:val="24"/>
        </w:rPr>
        <w:t>,</w:t>
      </w:r>
      <w:r w:rsidR="00F01687">
        <w:rPr>
          <w:rFonts w:ascii="Times New Roman" w:hAnsi="Times New Roman"/>
          <w:sz w:val="24"/>
          <w:szCs w:val="24"/>
        </w:rPr>
        <w:t xml:space="preserve"> EPA assumes </w:t>
      </w:r>
      <w:r w:rsidRPr="007F3CAE">
        <w:rPr>
          <w:rFonts w:ascii="Times New Roman" w:hAnsi="Times New Roman"/>
          <w:sz w:val="24"/>
          <w:szCs w:val="24"/>
        </w:rPr>
        <w:t xml:space="preserve">an annual average of </w:t>
      </w:r>
      <w:r w:rsidR="00F01687">
        <w:rPr>
          <w:rFonts w:ascii="Times New Roman" w:hAnsi="Times New Roman"/>
          <w:sz w:val="24"/>
          <w:szCs w:val="24"/>
        </w:rPr>
        <w:t>1</w:t>
      </w:r>
      <w:r w:rsidR="00D340F5" w:rsidRPr="007F3CAE">
        <w:rPr>
          <w:rFonts w:ascii="Times New Roman" w:hAnsi="Times New Roman"/>
          <w:sz w:val="24"/>
          <w:szCs w:val="24"/>
        </w:rPr>
        <w:t xml:space="preserve"> </w:t>
      </w:r>
      <w:r w:rsidRPr="007F3CAE">
        <w:rPr>
          <w:rFonts w:ascii="Times New Roman" w:hAnsi="Times New Roman"/>
          <w:sz w:val="24"/>
          <w:szCs w:val="24"/>
        </w:rPr>
        <w:t>site</w:t>
      </w:r>
      <w:r w:rsidR="007826C6" w:rsidRPr="007F3CAE">
        <w:rPr>
          <w:rFonts w:ascii="Times New Roman" w:hAnsi="Times New Roman"/>
          <w:sz w:val="24"/>
          <w:szCs w:val="24"/>
        </w:rPr>
        <w:t xml:space="preserve"> </w:t>
      </w:r>
      <w:r w:rsidRPr="007F3CAE">
        <w:rPr>
          <w:rFonts w:ascii="Times New Roman" w:hAnsi="Times New Roman"/>
          <w:sz w:val="24"/>
          <w:szCs w:val="24"/>
        </w:rPr>
        <w:t>(respondent) submitt</w:t>
      </w:r>
      <w:r w:rsidR="00F01687">
        <w:rPr>
          <w:rFonts w:ascii="Times New Roman" w:hAnsi="Times New Roman"/>
          <w:sz w:val="24"/>
          <w:szCs w:val="24"/>
        </w:rPr>
        <w:t>ing</w:t>
      </w:r>
      <w:r w:rsidR="00B647B7">
        <w:rPr>
          <w:rFonts w:ascii="Times New Roman" w:hAnsi="Times New Roman"/>
          <w:sz w:val="24"/>
          <w:szCs w:val="24"/>
        </w:rPr>
        <w:t xml:space="preserve"> </w:t>
      </w:r>
      <w:r w:rsidR="00F01687">
        <w:rPr>
          <w:rFonts w:ascii="Times New Roman" w:hAnsi="Times New Roman"/>
          <w:sz w:val="24"/>
          <w:szCs w:val="24"/>
        </w:rPr>
        <w:t>1</w:t>
      </w:r>
      <w:r w:rsidR="00F01687" w:rsidRPr="007F3CAE">
        <w:rPr>
          <w:rFonts w:ascii="Times New Roman" w:hAnsi="Times New Roman"/>
          <w:sz w:val="24"/>
          <w:szCs w:val="24"/>
        </w:rPr>
        <w:t xml:space="preserve"> </w:t>
      </w:r>
      <w:r w:rsidRPr="007F3CAE">
        <w:rPr>
          <w:rFonts w:ascii="Times New Roman" w:hAnsi="Times New Roman"/>
          <w:sz w:val="24"/>
          <w:szCs w:val="24"/>
        </w:rPr>
        <w:t xml:space="preserve">report (form), for an average of </w:t>
      </w:r>
      <w:r w:rsidR="00F01687">
        <w:rPr>
          <w:rFonts w:ascii="Times New Roman" w:hAnsi="Times New Roman"/>
          <w:sz w:val="24"/>
          <w:szCs w:val="24"/>
        </w:rPr>
        <w:t>1</w:t>
      </w:r>
      <w:r w:rsidR="00B647B7">
        <w:rPr>
          <w:rFonts w:ascii="Times New Roman" w:hAnsi="Times New Roman"/>
          <w:sz w:val="24"/>
          <w:szCs w:val="24"/>
        </w:rPr>
        <w:t xml:space="preserve"> </w:t>
      </w:r>
      <w:r w:rsidRPr="007F3CAE">
        <w:rPr>
          <w:rFonts w:ascii="Times New Roman" w:hAnsi="Times New Roman"/>
          <w:sz w:val="24"/>
          <w:szCs w:val="24"/>
        </w:rPr>
        <w:t>report per</w:t>
      </w:r>
      <w:r w:rsidR="007826C6" w:rsidRPr="007F3CAE">
        <w:rPr>
          <w:rFonts w:ascii="Times New Roman" w:hAnsi="Times New Roman"/>
          <w:sz w:val="24"/>
          <w:szCs w:val="24"/>
        </w:rPr>
        <w:t xml:space="preserve"> </w:t>
      </w:r>
      <w:r w:rsidR="00EA3FE1">
        <w:rPr>
          <w:rFonts w:ascii="Times New Roman" w:hAnsi="Times New Roman"/>
          <w:sz w:val="24"/>
          <w:szCs w:val="24"/>
        </w:rPr>
        <w:t>respondent.</w:t>
      </w:r>
    </w:p>
    <w:p w14:paraId="63F31200" w14:textId="77777777" w:rsidR="00D12238" w:rsidRPr="00665511" w:rsidRDefault="00D12238" w:rsidP="00DA409E">
      <w:pPr>
        <w:autoSpaceDE w:val="0"/>
        <w:autoSpaceDN w:val="0"/>
        <w:adjustRightInd w:val="0"/>
        <w:spacing w:after="0" w:line="240" w:lineRule="auto"/>
        <w:ind w:firstLine="720"/>
        <w:rPr>
          <w:rFonts w:ascii="Times New Roman" w:hAnsi="Times New Roman"/>
          <w:sz w:val="24"/>
          <w:szCs w:val="24"/>
        </w:rPr>
      </w:pPr>
    </w:p>
    <w:p w14:paraId="7F066B8E" w14:textId="77777777" w:rsidR="00D340F5" w:rsidRPr="007F3CAE" w:rsidRDefault="00920924" w:rsidP="00DA409E">
      <w:pPr>
        <w:autoSpaceDE w:val="0"/>
        <w:autoSpaceDN w:val="0"/>
        <w:adjustRightInd w:val="0"/>
        <w:spacing w:after="0" w:line="240" w:lineRule="auto"/>
        <w:ind w:firstLine="720"/>
        <w:rPr>
          <w:rFonts w:ascii="Times New Roman" w:hAnsi="Times New Roman"/>
          <w:sz w:val="24"/>
          <w:szCs w:val="24"/>
        </w:rPr>
      </w:pPr>
      <w:r w:rsidRPr="00D12238">
        <w:rPr>
          <w:rFonts w:ascii="Times New Roman" w:hAnsi="Times New Roman"/>
          <w:sz w:val="24"/>
          <w:szCs w:val="24"/>
        </w:rPr>
        <w:fldChar w:fldCharType="begin"/>
      </w:r>
      <w:r w:rsidRPr="00D12238">
        <w:rPr>
          <w:rFonts w:ascii="Times New Roman" w:hAnsi="Times New Roman"/>
          <w:sz w:val="24"/>
          <w:szCs w:val="24"/>
        </w:rPr>
        <w:instrText xml:space="preserve"> REF _Ref295819045 \h  \* MERGEFORMAT </w:instrText>
      </w:r>
      <w:r w:rsidRPr="00D12238">
        <w:rPr>
          <w:rFonts w:ascii="Times New Roman" w:hAnsi="Times New Roman"/>
          <w:sz w:val="24"/>
          <w:szCs w:val="24"/>
        </w:rPr>
      </w:r>
      <w:r w:rsidRPr="00D12238">
        <w:rPr>
          <w:rFonts w:ascii="Times New Roman" w:hAnsi="Times New Roman"/>
          <w:sz w:val="24"/>
          <w:szCs w:val="24"/>
        </w:rPr>
        <w:fldChar w:fldCharType="separate"/>
      </w:r>
      <w:r w:rsidR="00D12238" w:rsidRPr="00D12238">
        <w:rPr>
          <w:rFonts w:ascii="Times New Roman" w:hAnsi="Times New Roman"/>
          <w:bCs/>
          <w:sz w:val="24"/>
          <w:szCs w:val="24"/>
        </w:rPr>
        <w:t>Table 1</w:t>
      </w:r>
      <w:r w:rsidRPr="00D12238">
        <w:rPr>
          <w:rFonts w:ascii="Times New Roman" w:hAnsi="Times New Roman"/>
          <w:sz w:val="24"/>
          <w:szCs w:val="24"/>
        </w:rPr>
        <w:fldChar w:fldCharType="end"/>
      </w:r>
      <w:r w:rsidR="00D340F5" w:rsidRPr="007F3CAE">
        <w:rPr>
          <w:rFonts w:ascii="Times New Roman" w:hAnsi="Times New Roman"/>
          <w:sz w:val="24"/>
          <w:szCs w:val="24"/>
        </w:rPr>
        <w:t xml:space="preserve"> presents the </w:t>
      </w:r>
      <w:r w:rsidR="00F01687">
        <w:rPr>
          <w:rFonts w:ascii="Times New Roman" w:hAnsi="Times New Roman"/>
          <w:sz w:val="24"/>
          <w:szCs w:val="24"/>
        </w:rPr>
        <w:t xml:space="preserve">historic </w:t>
      </w:r>
      <w:r w:rsidR="00D340F5" w:rsidRPr="007F3CAE">
        <w:rPr>
          <w:rFonts w:ascii="Times New Roman" w:hAnsi="Times New Roman"/>
          <w:sz w:val="24"/>
          <w:szCs w:val="24"/>
        </w:rPr>
        <w:t xml:space="preserve">submission statistics for </w:t>
      </w:r>
      <w:r w:rsidR="006C5B34">
        <w:rPr>
          <w:rFonts w:ascii="Times New Roman" w:hAnsi="Times New Roman"/>
          <w:sz w:val="24"/>
          <w:szCs w:val="24"/>
        </w:rPr>
        <w:t>s</w:t>
      </w:r>
      <w:r w:rsidR="00D340F5" w:rsidRPr="007F3CAE">
        <w:rPr>
          <w:rFonts w:ascii="Times New Roman" w:hAnsi="Times New Roman"/>
          <w:sz w:val="24"/>
          <w:szCs w:val="24"/>
        </w:rPr>
        <w:t>ection 8(a) PAIR reporting.</w:t>
      </w:r>
    </w:p>
    <w:p w14:paraId="34591375" w14:textId="77777777" w:rsidR="00D340F5" w:rsidRPr="007F3CAE" w:rsidRDefault="00D340F5" w:rsidP="004C3822">
      <w:pPr>
        <w:autoSpaceDE w:val="0"/>
        <w:autoSpaceDN w:val="0"/>
        <w:adjustRightInd w:val="0"/>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064"/>
      </w:tblGrid>
      <w:tr w:rsidR="000B0BF4" w:rsidRPr="002C7CCA" w14:paraId="01394B8F" w14:textId="77777777" w:rsidTr="00F33AEB">
        <w:trPr>
          <w:jc w:val="center"/>
        </w:trPr>
        <w:tc>
          <w:tcPr>
            <w:tcW w:w="6128" w:type="dxa"/>
            <w:gridSpan w:val="2"/>
          </w:tcPr>
          <w:p w14:paraId="584C467F" w14:textId="77777777" w:rsidR="000B0BF4" w:rsidRPr="002C7CCA" w:rsidRDefault="000B0BF4" w:rsidP="002C7CCA">
            <w:pPr>
              <w:pStyle w:val="Caption"/>
              <w:keepNext/>
              <w:spacing w:after="0"/>
              <w:rPr>
                <w:rFonts w:ascii="Times New Roman" w:eastAsiaTheme="minorHAnsi" w:hAnsi="Times New Roman"/>
                <w:b w:val="0"/>
                <w:bCs w:val="0"/>
                <w:color w:val="auto"/>
                <w:sz w:val="24"/>
                <w:szCs w:val="24"/>
              </w:rPr>
            </w:pPr>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CE068E">
              <w:rPr>
                <w:rFonts w:ascii="Times New Roman" w:hAnsi="Times New Roman"/>
                <w:noProof/>
                <w:color w:val="auto"/>
                <w:sz w:val="24"/>
                <w:szCs w:val="24"/>
              </w:rPr>
              <w:t>1</w:t>
            </w:r>
            <w:r w:rsidRPr="00A82BDA">
              <w:rPr>
                <w:rFonts w:ascii="Times New Roman" w:hAnsi="Times New Roman"/>
                <w:color w:val="auto"/>
                <w:sz w:val="24"/>
                <w:szCs w:val="24"/>
              </w:rPr>
              <w:fldChar w:fldCharType="end"/>
            </w:r>
            <w:r w:rsidRPr="00A82BDA">
              <w:rPr>
                <w:rFonts w:ascii="Times New Roman" w:hAnsi="Times New Roman"/>
                <w:color w:val="auto"/>
              </w:rPr>
              <w:t xml:space="preserve">: </w:t>
            </w:r>
            <w:r>
              <w:rPr>
                <w:rFonts w:ascii="Times New Roman" w:eastAsiaTheme="minorHAnsi" w:hAnsi="Times New Roman"/>
                <w:color w:val="auto"/>
                <w:sz w:val="24"/>
                <w:szCs w:val="24"/>
              </w:rPr>
              <w:t xml:space="preserve">Historic Numbers of </w:t>
            </w:r>
            <w:r w:rsidRPr="002C7CCA">
              <w:rPr>
                <w:rFonts w:ascii="Times New Roman" w:eastAsiaTheme="minorHAnsi" w:hAnsi="Times New Roman"/>
                <w:bCs w:val="0"/>
                <w:color w:val="auto"/>
                <w:sz w:val="24"/>
                <w:szCs w:val="24"/>
              </w:rPr>
              <w:t>Sites Reporting and PAIR Reports Submitted</w:t>
            </w:r>
          </w:p>
        </w:tc>
      </w:tr>
      <w:tr w:rsidR="000B0BF4" w:rsidRPr="002C7CCA" w14:paraId="033EAB06" w14:textId="77777777" w:rsidTr="00F33AEB">
        <w:trPr>
          <w:jc w:val="center"/>
        </w:trPr>
        <w:tc>
          <w:tcPr>
            <w:tcW w:w="3064" w:type="dxa"/>
          </w:tcPr>
          <w:p w14:paraId="0E146320"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Fiscal Year</w:t>
            </w:r>
          </w:p>
        </w:tc>
        <w:tc>
          <w:tcPr>
            <w:tcW w:w="3064" w:type="dxa"/>
          </w:tcPr>
          <w:p w14:paraId="3F2B829E"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Sites Reporting</w:t>
            </w:r>
          </w:p>
        </w:tc>
      </w:tr>
      <w:tr w:rsidR="000B0BF4" w:rsidRPr="002C7CCA" w14:paraId="33E6119F" w14:textId="77777777" w:rsidTr="00F33AEB">
        <w:trPr>
          <w:jc w:val="center"/>
        </w:trPr>
        <w:tc>
          <w:tcPr>
            <w:tcW w:w="3064" w:type="dxa"/>
          </w:tcPr>
          <w:p w14:paraId="1633C938"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2006</w:t>
            </w:r>
          </w:p>
        </w:tc>
        <w:tc>
          <w:tcPr>
            <w:tcW w:w="3064" w:type="dxa"/>
            <w:vAlign w:val="bottom"/>
          </w:tcPr>
          <w:p w14:paraId="5BBB1A20"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3</w:t>
            </w:r>
          </w:p>
        </w:tc>
      </w:tr>
      <w:tr w:rsidR="000B0BF4" w:rsidRPr="002C7CCA" w14:paraId="05D5391D" w14:textId="77777777" w:rsidTr="00F33AEB">
        <w:trPr>
          <w:jc w:val="center"/>
        </w:trPr>
        <w:tc>
          <w:tcPr>
            <w:tcW w:w="3064" w:type="dxa"/>
          </w:tcPr>
          <w:p w14:paraId="1C3ECBFE"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2007</w:t>
            </w:r>
          </w:p>
        </w:tc>
        <w:tc>
          <w:tcPr>
            <w:tcW w:w="3064" w:type="dxa"/>
            <w:vAlign w:val="bottom"/>
          </w:tcPr>
          <w:p w14:paraId="302490D6"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68</w:t>
            </w:r>
          </w:p>
        </w:tc>
      </w:tr>
      <w:tr w:rsidR="000B0BF4" w:rsidRPr="002C7CCA" w14:paraId="34DC76D2" w14:textId="77777777" w:rsidTr="00F33AEB">
        <w:trPr>
          <w:jc w:val="center"/>
        </w:trPr>
        <w:tc>
          <w:tcPr>
            <w:tcW w:w="3064" w:type="dxa"/>
          </w:tcPr>
          <w:p w14:paraId="5FFCB911"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2008</w:t>
            </w:r>
          </w:p>
        </w:tc>
        <w:tc>
          <w:tcPr>
            <w:tcW w:w="3064" w:type="dxa"/>
            <w:vAlign w:val="bottom"/>
          </w:tcPr>
          <w:p w14:paraId="7D54AF78"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w:t>
            </w:r>
          </w:p>
        </w:tc>
      </w:tr>
      <w:tr w:rsidR="000B0BF4" w:rsidRPr="002C7CCA" w14:paraId="3F118E97" w14:textId="77777777" w:rsidTr="00F33AEB">
        <w:trPr>
          <w:jc w:val="center"/>
        </w:trPr>
        <w:tc>
          <w:tcPr>
            <w:tcW w:w="3064" w:type="dxa"/>
          </w:tcPr>
          <w:p w14:paraId="08C7233E"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2009</w:t>
            </w:r>
          </w:p>
        </w:tc>
        <w:tc>
          <w:tcPr>
            <w:tcW w:w="3064" w:type="dxa"/>
            <w:vAlign w:val="bottom"/>
          </w:tcPr>
          <w:p w14:paraId="5A9FC9E7"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w:t>
            </w:r>
          </w:p>
        </w:tc>
      </w:tr>
      <w:tr w:rsidR="000B0BF4" w:rsidRPr="002C7CCA" w14:paraId="37D4CBA6" w14:textId="77777777" w:rsidTr="00F33AEB">
        <w:trPr>
          <w:jc w:val="center"/>
        </w:trPr>
        <w:tc>
          <w:tcPr>
            <w:tcW w:w="3064" w:type="dxa"/>
          </w:tcPr>
          <w:p w14:paraId="1F98115F"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2010</w:t>
            </w:r>
          </w:p>
        </w:tc>
        <w:tc>
          <w:tcPr>
            <w:tcW w:w="3064" w:type="dxa"/>
            <w:vAlign w:val="bottom"/>
          </w:tcPr>
          <w:p w14:paraId="27DF2D2C"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2</w:t>
            </w:r>
          </w:p>
        </w:tc>
      </w:tr>
      <w:tr w:rsidR="000B0BF4" w:rsidRPr="002C7CCA" w14:paraId="5FFA7BF3" w14:textId="77777777" w:rsidTr="00F33AEB">
        <w:trPr>
          <w:jc w:val="center"/>
        </w:trPr>
        <w:tc>
          <w:tcPr>
            <w:tcW w:w="3064" w:type="dxa"/>
          </w:tcPr>
          <w:p w14:paraId="799570E6"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2011</w:t>
            </w:r>
          </w:p>
        </w:tc>
        <w:tc>
          <w:tcPr>
            <w:tcW w:w="3064" w:type="dxa"/>
            <w:vAlign w:val="bottom"/>
          </w:tcPr>
          <w:p w14:paraId="75192056" w14:textId="2624E417" w:rsidR="000B0BF4" w:rsidRPr="002C7CCA" w:rsidRDefault="00982A19" w:rsidP="002C7CC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r>
      <w:tr w:rsidR="000B0BF4" w:rsidRPr="002C7CCA" w14:paraId="402FF271" w14:textId="77777777" w:rsidTr="00F33AEB">
        <w:trPr>
          <w:jc w:val="center"/>
        </w:trPr>
        <w:tc>
          <w:tcPr>
            <w:tcW w:w="3064" w:type="dxa"/>
          </w:tcPr>
          <w:p w14:paraId="27720B18" w14:textId="77777777" w:rsidR="000B0BF4" w:rsidRPr="002C7CCA" w:rsidRDefault="000B0BF4"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2012</w:t>
            </w:r>
          </w:p>
        </w:tc>
        <w:tc>
          <w:tcPr>
            <w:tcW w:w="3064" w:type="dxa"/>
            <w:vAlign w:val="bottom"/>
          </w:tcPr>
          <w:p w14:paraId="5D206E2F" w14:textId="77777777" w:rsidR="000B0BF4" w:rsidRPr="002C7CCA" w:rsidRDefault="000B0BF4"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6C9BB1D6" w14:textId="77777777" w:rsidTr="00F33AEB">
        <w:trPr>
          <w:jc w:val="center"/>
        </w:trPr>
        <w:tc>
          <w:tcPr>
            <w:tcW w:w="3064" w:type="dxa"/>
          </w:tcPr>
          <w:p w14:paraId="0A74AC13" w14:textId="77777777" w:rsidR="000B0BF4" w:rsidRPr="002C7CCA" w:rsidRDefault="000B0BF4"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2013</w:t>
            </w:r>
          </w:p>
        </w:tc>
        <w:tc>
          <w:tcPr>
            <w:tcW w:w="3064" w:type="dxa"/>
            <w:vAlign w:val="bottom"/>
          </w:tcPr>
          <w:p w14:paraId="38FA1245" w14:textId="77777777" w:rsidR="000B0BF4" w:rsidRPr="002C7CCA" w:rsidRDefault="000B0BF4"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7D661977" w14:textId="77777777" w:rsidTr="00F33AEB">
        <w:trPr>
          <w:jc w:val="center"/>
        </w:trPr>
        <w:tc>
          <w:tcPr>
            <w:tcW w:w="3064" w:type="dxa"/>
          </w:tcPr>
          <w:p w14:paraId="2C02579A" w14:textId="77777777" w:rsidR="000B0BF4" w:rsidRDefault="000B0BF4"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2014</w:t>
            </w:r>
          </w:p>
        </w:tc>
        <w:tc>
          <w:tcPr>
            <w:tcW w:w="3064" w:type="dxa"/>
            <w:vAlign w:val="bottom"/>
          </w:tcPr>
          <w:p w14:paraId="70E78855" w14:textId="77777777" w:rsidR="000B0BF4" w:rsidRPr="002C7CCA" w:rsidRDefault="000B0BF4"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982A19" w:rsidRPr="002C7CCA" w14:paraId="2341AD74" w14:textId="77777777" w:rsidTr="00F33AEB">
        <w:trPr>
          <w:jc w:val="center"/>
        </w:trPr>
        <w:tc>
          <w:tcPr>
            <w:tcW w:w="3064" w:type="dxa"/>
          </w:tcPr>
          <w:p w14:paraId="50EBDC58" w14:textId="77777777" w:rsidR="00982A19" w:rsidRDefault="00982A19"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2015</w:t>
            </w:r>
          </w:p>
        </w:tc>
        <w:tc>
          <w:tcPr>
            <w:tcW w:w="3064" w:type="dxa"/>
            <w:vAlign w:val="bottom"/>
          </w:tcPr>
          <w:p w14:paraId="03710E63" w14:textId="77777777" w:rsidR="00982A19" w:rsidRDefault="00982A19"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982A19" w:rsidRPr="002C7CCA" w14:paraId="69E736B9" w14:textId="77777777" w:rsidTr="00F33AEB">
        <w:trPr>
          <w:jc w:val="center"/>
        </w:trPr>
        <w:tc>
          <w:tcPr>
            <w:tcW w:w="3064" w:type="dxa"/>
          </w:tcPr>
          <w:p w14:paraId="29A80B8A" w14:textId="77777777" w:rsidR="00982A19" w:rsidRDefault="00982A19"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2016</w:t>
            </w:r>
          </w:p>
        </w:tc>
        <w:tc>
          <w:tcPr>
            <w:tcW w:w="3064" w:type="dxa"/>
            <w:vAlign w:val="bottom"/>
          </w:tcPr>
          <w:p w14:paraId="2ECF8327" w14:textId="77777777" w:rsidR="00982A19" w:rsidRDefault="00982A19"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982A19" w:rsidRPr="002C7CCA" w14:paraId="38A4C72A" w14:textId="77777777" w:rsidTr="00F33AEB">
        <w:trPr>
          <w:jc w:val="center"/>
        </w:trPr>
        <w:tc>
          <w:tcPr>
            <w:tcW w:w="3064" w:type="dxa"/>
          </w:tcPr>
          <w:p w14:paraId="662B42F4" w14:textId="77777777" w:rsidR="00982A19" w:rsidRDefault="00982A19"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2017</w:t>
            </w:r>
          </w:p>
        </w:tc>
        <w:tc>
          <w:tcPr>
            <w:tcW w:w="3064" w:type="dxa"/>
            <w:vAlign w:val="bottom"/>
          </w:tcPr>
          <w:p w14:paraId="24B46C20" w14:textId="77777777" w:rsidR="00982A19" w:rsidRDefault="00982A19"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24FDA3C1" w14:textId="77777777" w:rsidTr="00F33AEB">
        <w:trPr>
          <w:jc w:val="center"/>
        </w:trPr>
        <w:tc>
          <w:tcPr>
            <w:tcW w:w="3064" w:type="dxa"/>
          </w:tcPr>
          <w:p w14:paraId="2479714C" w14:textId="77777777" w:rsidR="000B0BF4" w:rsidRPr="002C7CCA" w:rsidRDefault="000B0BF4" w:rsidP="00665511">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Totals</w:t>
            </w:r>
          </w:p>
        </w:tc>
        <w:tc>
          <w:tcPr>
            <w:tcW w:w="3064" w:type="dxa"/>
          </w:tcPr>
          <w:p w14:paraId="61FC3EAF" w14:textId="704F1BB2" w:rsidR="000B0BF4" w:rsidRPr="002C7CCA" w:rsidRDefault="000B0BF4" w:rsidP="00F01687">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7</w:t>
            </w:r>
            <w:r w:rsidR="00982A19">
              <w:rPr>
                <w:rFonts w:ascii="Times New Roman" w:eastAsiaTheme="minorHAnsi" w:hAnsi="Times New Roman"/>
                <w:b/>
                <w:bCs/>
                <w:sz w:val="24"/>
                <w:szCs w:val="24"/>
              </w:rPr>
              <w:t>5</w:t>
            </w:r>
          </w:p>
        </w:tc>
      </w:tr>
    </w:tbl>
    <w:p w14:paraId="317FF755" w14:textId="77777777" w:rsidR="00407AD2" w:rsidRPr="007F3CAE" w:rsidRDefault="00407AD2" w:rsidP="00F5104E">
      <w:pPr>
        <w:autoSpaceDE w:val="0"/>
        <w:autoSpaceDN w:val="0"/>
        <w:adjustRightInd w:val="0"/>
        <w:spacing w:after="0" w:line="240" w:lineRule="auto"/>
        <w:rPr>
          <w:rFonts w:ascii="Times New Roman" w:hAnsi="Times New Roman"/>
          <w:sz w:val="24"/>
          <w:szCs w:val="24"/>
        </w:rPr>
      </w:pPr>
    </w:p>
    <w:p w14:paraId="482C13A8" w14:textId="77777777" w:rsidR="00F43B7F" w:rsidRDefault="00F43B7F" w:rsidP="006C5B34">
      <w:pPr>
        <w:autoSpaceDE w:val="0"/>
        <w:autoSpaceDN w:val="0"/>
        <w:adjustRightInd w:val="0"/>
        <w:spacing w:after="0" w:line="240" w:lineRule="auto"/>
        <w:ind w:firstLine="720"/>
        <w:rPr>
          <w:rFonts w:ascii="Times New Roman" w:hAnsi="Times New Roman"/>
          <w:sz w:val="24"/>
          <w:szCs w:val="24"/>
          <w:u w:val="single"/>
        </w:rPr>
      </w:pPr>
    </w:p>
    <w:p w14:paraId="15405804" w14:textId="2BC3C86F" w:rsidR="00F5104E" w:rsidRPr="007F3CAE" w:rsidRDefault="00F5104E" w:rsidP="006C5B34">
      <w:pPr>
        <w:autoSpaceDE w:val="0"/>
        <w:autoSpaceDN w:val="0"/>
        <w:adjustRightInd w:val="0"/>
        <w:spacing w:after="0" w:line="240" w:lineRule="auto"/>
        <w:ind w:firstLine="720"/>
        <w:rPr>
          <w:rFonts w:ascii="Times New Roman" w:hAnsi="Times New Roman"/>
          <w:sz w:val="24"/>
          <w:szCs w:val="24"/>
          <w:u w:val="single"/>
        </w:rPr>
      </w:pPr>
      <w:r w:rsidRPr="007F3CAE">
        <w:rPr>
          <w:rFonts w:ascii="Times New Roman" w:hAnsi="Times New Roman"/>
          <w:sz w:val="24"/>
          <w:szCs w:val="24"/>
          <w:u w:val="single"/>
        </w:rPr>
        <w:t>Unit Burden Estimates</w:t>
      </w:r>
    </w:p>
    <w:p w14:paraId="607D46A7" w14:textId="77777777" w:rsidR="007826C6" w:rsidRPr="007F3CAE" w:rsidRDefault="007826C6" w:rsidP="00F5104E">
      <w:pPr>
        <w:autoSpaceDE w:val="0"/>
        <w:autoSpaceDN w:val="0"/>
        <w:adjustRightInd w:val="0"/>
        <w:spacing w:after="0" w:line="240" w:lineRule="auto"/>
        <w:rPr>
          <w:rFonts w:ascii="Times New Roman" w:hAnsi="Times New Roman"/>
          <w:sz w:val="24"/>
          <w:szCs w:val="24"/>
          <w:u w:val="single"/>
        </w:rPr>
      </w:pPr>
    </w:p>
    <w:p w14:paraId="410C4D29" w14:textId="77777777" w:rsidR="007E2BC3"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To estimate the burden and costs to industry respondents, several reporting</w:t>
      </w:r>
      <w:r w:rsidR="007826C6" w:rsidRPr="007F3CAE">
        <w:rPr>
          <w:rFonts w:ascii="Times New Roman" w:hAnsi="Times New Roman"/>
          <w:sz w:val="24"/>
          <w:szCs w:val="24"/>
        </w:rPr>
        <w:t xml:space="preserve"> </w:t>
      </w:r>
      <w:r w:rsidRPr="007F3CAE">
        <w:rPr>
          <w:rFonts w:ascii="Times New Roman" w:hAnsi="Times New Roman"/>
          <w:sz w:val="24"/>
          <w:szCs w:val="24"/>
        </w:rPr>
        <w:t>activities (or burden factors) are analyzed. These burden items include: form</w:t>
      </w:r>
      <w:r w:rsidR="007826C6" w:rsidRPr="007F3CAE">
        <w:rPr>
          <w:rFonts w:ascii="Times New Roman" w:hAnsi="Times New Roman"/>
          <w:sz w:val="24"/>
          <w:szCs w:val="24"/>
        </w:rPr>
        <w:t xml:space="preserve"> </w:t>
      </w:r>
      <w:r w:rsidRPr="007F3CAE">
        <w:rPr>
          <w:rFonts w:ascii="Times New Roman" w:hAnsi="Times New Roman"/>
          <w:sz w:val="24"/>
          <w:szCs w:val="24"/>
        </w:rPr>
        <w:t>familiarization; report</w:t>
      </w:r>
      <w:r w:rsidR="00247A79">
        <w:rPr>
          <w:rFonts w:ascii="Times New Roman" w:hAnsi="Times New Roman"/>
          <w:sz w:val="24"/>
          <w:szCs w:val="24"/>
        </w:rPr>
        <w:t xml:space="preserve"> preparation</w:t>
      </w:r>
      <w:r w:rsidRPr="007F3CAE">
        <w:rPr>
          <w:rFonts w:ascii="Times New Roman" w:hAnsi="Times New Roman"/>
          <w:sz w:val="24"/>
          <w:szCs w:val="24"/>
        </w:rPr>
        <w:t>; trade name notification; CBI substantiation; recordkeeping;</w:t>
      </w:r>
      <w:r w:rsidR="007826C6" w:rsidRPr="007F3CAE">
        <w:rPr>
          <w:rFonts w:ascii="Times New Roman" w:hAnsi="Times New Roman"/>
          <w:sz w:val="24"/>
          <w:szCs w:val="24"/>
        </w:rPr>
        <w:t xml:space="preserve"> </w:t>
      </w:r>
      <w:r w:rsidR="00247A79">
        <w:rPr>
          <w:rFonts w:ascii="Times New Roman" w:hAnsi="Times New Roman"/>
          <w:sz w:val="24"/>
          <w:szCs w:val="24"/>
        </w:rPr>
        <w:t xml:space="preserve">CDX registration; </w:t>
      </w:r>
      <w:r w:rsidRPr="007F3CAE">
        <w:rPr>
          <w:rFonts w:ascii="Times New Roman" w:hAnsi="Times New Roman"/>
          <w:sz w:val="24"/>
          <w:szCs w:val="24"/>
        </w:rPr>
        <w:t>and report submission. Each of these activities requires the skills of various labor</w:t>
      </w:r>
      <w:r w:rsidR="007826C6" w:rsidRPr="007F3CAE">
        <w:rPr>
          <w:rFonts w:ascii="Times New Roman" w:hAnsi="Times New Roman"/>
          <w:sz w:val="24"/>
          <w:szCs w:val="24"/>
        </w:rPr>
        <w:t xml:space="preserve"> </w:t>
      </w:r>
      <w:r w:rsidRPr="007F3CAE">
        <w:rPr>
          <w:rFonts w:ascii="Times New Roman" w:hAnsi="Times New Roman"/>
          <w:sz w:val="24"/>
          <w:szCs w:val="24"/>
        </w:rPr>
        <w:t>categories. The section below details each separate activity and presents the estimated</w:t>
      </w:r>
      <w:r w:rsidR="007826C6" w:rsidRPr="007F3CAE">
        <w:rPr>
          <w:rFonts w:ascii="Times New Roman" w:hAnsi="Times New Roman"/>
          <w:sz w:val="24"/>
          <w:szCs w:val="24"/>
        </w:rPr>
        <w:t xml:space="preserve"> </w:t>
      </w:r>
      <w:r w:rsidRPr="007F3CAE">
        <w:rPr>
          <w:rFonts w:ascii="Times New Roman" w:hAnsi="Times New Roman"/>
          <w:sz w:val="24"/>
          <w:szCs w:val="24"/>
        </w:rPr>
        <w:t>labor hours required by each task, by labor category (</w:t>
      </w:r>
      <w:r w:rsidR="007E2BC3">
        <w:rPr>
          <w:rFonts w:ascii="Times New Roman" w:hAnsi="Times New Roman"/>
          <w:sz w:val="24"/>
          <w:szCs w:val="24"/>
        </w:rPr>
        <w:t>clerical</w:t>
      </w:r>
      <w:r w:rsidRPr="007F3CAE">
        <w:rPr>
          <w:rFonts w:ascii="Times New Roman" w:hAnsi="Times New Roman"/>
          <w:sz w:val="24"/>
          <w:szCs w:val="24"/>
        </w:rPr>
        <w:t>, technical and</w:t>
      </w:r>
      <w:r w:rsidR="007826C6" w:rsidRPr="007F3CAE">
        <w:rPr>
          <w:rFonts w:ascii="Times New Roman" w:hAnsi="Times New Roman"/>
          <w:sz w:val="24"/>
          <w:szCs w:val="24"/>
        </w:rPr>
        <w:t xml:space="preserve"> </w:t>
      </w:r>
      <w:r w:rsidRPr="007F3CAE">
        <w:rPr>
          <w:rFonts w:ascii="Times New Roman" w:hAnsi="Times New Roman"/>
          <w:sz w:val="24"/>
          <w:szCs w:val="24"/>
        </w:rPr>
        <w:t>managerial).</w:t>
      </w:r>
    </w:p>
    <w:p w14:paraId="0FF8E53B" w14:textId="77777777" w:rsidR="007E2BC3" w:rsidRDefault="007E2BC3" w:rsidP="006C5B34">
      <w:pPr>
        <w:autoSpaceDE w:val="0"/>
        <w:autoSpaceDN w:val="0"/>
        <w:adjustRightInd w:val="0"/>
        <w:spacing w:after="0" w:line="240" w:lineRule="auto"/>
        <w:ind w:firstLine="720"/>
        <w:rPr>
          <w:rFonts w:ascii="Times New Roman" w:hAnsi="Times New Roman"/>
          <w:sz w:val="24"/>
          <w:szCs w:val="24"/>
        </w:rPr>
      </w:pPr>
    </w:p>
    <w:p w14:paraId="5A7EB8E9" w14:textId="053E72F5" w:rsidR="00F5104E" w:rsidRDefault="007E2BC3" w:rsidP="006C5B34">
      <w:pPr>
        <w:autoSpaceDE w:val="0"/>
        <w:autoSpaceDN w:val="0"/>
        <w:adjustRightInd w:val="0"/>
        <w:spacing w:after="0" w:line="240" w:lineRule="auto"/>
        <w:ind w:firstLine="720"/>
      </w:pPr>
      <w:r>
        <w:rPr>
          <w:rFonts w:ascii="Times New Roman" w:hAnsi="Times New Roman"/>
          <w:sz w:val="24"/>
          <w:szCs w:val="24"/>
        </w:rPr>
        <w:t>All</w:t>
      </w:r>
      <w:r w:rsidRPr="007E2BC3">
        <w:rPr>
          <w:rFonts w:ascii="Times New Roman" w:hAnsi="Times New Roman"/>
          <w:sz w:val="24"/>
          <w:szCs w:val="24"/>
        </w:rPr>
        <w:t xml:space="preserve"> burden estimates are taken from the </w:t>
      </w:r>
      <w:r w:rsidRPr="00F33AEB">
        <w:rPr>
          <w:rFonts w:ascii="Times New Roman" w:hAnsi="Times New Roman"/>
          <w:i/>
          <w:color w:val="000000"/>
          <w:sz w:val="24"/>
          <w:szCs w:val="24"/>
        </w:rPr>
        <w:t>Economic Impact and Small Business Definition Analysis for the Final TSCA Section 8(a) Preliminary Assessment Information Rule, Final Report</w:t>
      </w:r>
      <w:r w:rsidRPr="00F33AEB">
        <w:rPr>
          <w:rFonts w:ascii="Times New Roman" w:hAnsi="Times New Roman"/>
          <w:color w:val="000000"/>
          <w:sz w:val="24"/>
          <w:szCs w:val="24"/>
        </w:rPr>
        <w:t xml:space="preserve"> </w:t>
      </w:r>
      <w:r>
        <w:rPr>
          <w:rFonts w:ascii="Times New Roman" w:hAnsi="Times New Roman"/>
          <w:color w:val="000000"/>
          <w:sz w:val="24"/>
          <w:szCs w:val="24"/>
        </w:rPr>
        <w:t xml:space="preserve">(EPA, </w:t>
      </w:r>
      <w:r w:rsidRPr="00F33AEB">
        <w:rPr>
          <w:rFonts w:ascii="Times New Roman" w:hAnsi="Times New Roman"/>
          <w:color w:val="000000"/>
          <w:sz w:val="24"/>
          <w:szCs w:val="24"/>
        </w:rPr>
        <w:t>1981</w:t>
      </w:r>
      <w:r>
        <w:rPr>
          <w:rFonts w:ascii="Times New Roman" w:hAnsi="Times New Roman"/>
          <w:color w:val="000000"/>
          <w:sz w:val="24"/>
          <w:szCs w:val="24"/>
        </w:rPr>
        <w:t>)</w:t>
      </w:r>
      <w:r w:rsidR="002E5634">
        <w:rPr>
          <w:rFonts w:ascii="Times New Roman" w:hAnsi="Times New Roman"/>
          <w:color w:val="000000"/>
          <w:sz w:val="24"/>
          <w:szCs w:val="24"/>
        </w:rPr>
        <w:t>, previous TSCA Section 8(a) PAIR ICRs updates,</w:t>
      </w:r>
      <w:r>
        <w:rPr>
          <w:rFonts w:ascii="Times New Roman" w:hAnsi="Times New Roman"/>
          <w:color w:val="000000"/>
          <w:sz w:val="24"/>
          <w:szCs w:val="24"/>
        </w:rPr>
        <w:t xml:space="preserve"> and </w:t>
      </w:r>
      <w:r w:rsidRPr="00924D57">
        <w:rPr>
          <w:rFonts w:ascii="Times New Roman" w:hAnsi="Times New Roman"/>
          <w:sz w:val="24"/>
          <w:szCs w:val="24"/>
        </w:rPr>
        <w:t xml:space="preserve">the </w:t>
      </w:r>
      <w:r w:rsidRPr="004C12B6">
        <w:rPr>
          <w:rFonts w:ascii="Times New Roman" w:hAnsi="Times New Roman"/>
          <w:i/>
          <w:sz w:val="24"/>
          <w:szCs w:val="24"/>
        </w:rPr>
        <w:t>Economic Analysis for the Electronic Reporting under the Toxic Substances Control Act (TSCA) Final Rule</w:t>
      </w:r>
      <w:r>
        <w:rPr>
          <w:rFonts w:ascii="Times New Roman" w:hAnsi="Times New Roman"/>
          <w:sz w:val="24"/>
          <w:szCs w:val="24"/>
        </w:rPr>
        <w:t xml:space="preserve"> (EPA, 2012)</w:t>
      </w:r>
      <w:r w:rsidR="002E5634">
        <w:rPr>
          <w:rFonts w:ascii="Times New Roman" w:hAnsi="Times New Roman"/>
          <w:sz w:val="24"/>
          <w:szCs w:val="24"/>
        </w:rPr>
        <w:t>, unless otherwise noted</w:t>
      </w:r>
      <w:r>
        <w:rPr>
          <w:rFonts w:ascii="Times New Roman" w:hAnsi="Times New Roman"/>
          <w:color w:val="000000"/>
          <w:sz w:val="24"/>
          <w:szCs w:val="24"/>
        </w:rPr>
        <w:t xml:space="preserve">. The 2012 EA estimates the burden </w:t>
      </w:r>
      <w:r w:rsidR="00460EDC">
        <w:rPr>
          <w:rFonts w:ascii="Times New Roman" w:hAnsi="Times New Roman"/>
          <w:color w:val="000000"/>
          <w:sz w:val="24"/>
          <w:szCs w:val="24"/>
        </w:rPr>
        <w:t xml:space="preserve">associated with electronic PAIR </w:t>
      </w:r>
      <w:r w:rsidR="00BC7535" w:rsidRPr="005A40B0">
        <w:rPr>
          <w:rFonts w:ascii="Times New Roman" w:hAnsi="Times New Roman"/>
          <w:sz w:val="24"/>
          <w:szCs w:val="24"/>
        </w:rPr>
        <w:t>and subpart B of 40 CFR 766</w:t>
      </w:r>
      <w:r w:rsidR="00BC7535">
        <w:rPr>
          <w:rFonts w:ascii="Times New Roman" w:hAnsi="Times New Roman"/>
          <w:sz w:val="24"/>
          <w:szCs w:val="24"/>
        </w:rPr>
        <w:t xml:space="preserve"> </w:t>
      </w:r>
      <w:r w:rsidR="00460EDC">
        <w:rPr>
          <w:rFonts w:ascii="Times New Roman" w:hAnsi="Times New Roman"/>
          <w:color w:val="000000"/>
          <w:sz w:val="24"/>
          <w:szCs w:val="24"/>
        </w:rPr>
        <w:t xml:space="preserve">submissions, including the burden associated with CDX registration, the reduction in recordkeeping </w:t>
      </w:r>
      <w:r w:rsidR="00176F7E">
        <w:rPr>
          <w:rFonts w:ascii="Times New Roman" w:hAnsi="Times New Roman"/>
          <w:color w:val="000000"/>
          <w:sz w:val="24"/>
          <w:szCs w:val="24"/>
        </w:rPr>
        <w:t>burden</w:t>
      </w:r>
      <w:r w:rsidR="00460EDC">
        <w:rPr>
          <w:rFonts w:ascii="Times New Roman" w:hAnsi="Times New Roman"/>
          <w:color w:val="000000"/>
          <w:sz w:val="24"/>
          <w:szCs w:val="24"/>
        </w:rPr>
        <w:t>, and the re</w:t>
      </w:r>
      <w:r w:rsidR="00176F7E">
        <w:rPr>
          <w:rFonts w:ascii="Times New Roman" w:hAnsi="Times New Roman"/>
          <w:color w:val="000000"/>
          <w:sz w:val="24"/>
          <w:szCs w:val="24"/>
        </w:rPr>
        <w:t>duction</w:t>
      </w:r>
      <w:r w:rsidR="00460EDC">
        <w:rPr>
          <w:rFonts w:ascii="Times New Roman" w:hAnsi="Times New Roman"/>
          <w:color w:val="000000"/>
          <w:sz w:val="24"/>
          <w:szCs w:val="24"/>
        </w:rPr>
        <w:t xml:space="preserve"> of the clerical burden associated with </w:t>
      </w:r>
      <w:r w:rsidR="00176F7E">
        <w:rPr>
          <w:rFonts w:ascii="Times New Roman" w:hAnsi="Times New Roman"/>
          <w:color w:val="000000"/>
          <w:sz w:val="24"/>
          <w:szCs w:val="24"/>
        </w:rPr>
        <w:t>report submis</w:t>
      </w:r>
      <w:r w:rsidR="00B924F4">
        <w:rPr>
          <w:rFonts w:ascii="Times New Roman" w:hAnsi="Times New Roman"/>
          <w:color w:val="000000"/>
          <w:sz w:val="24"/>
          <w:szCs w:val="24"/>
        </w:rPr>
        <w:t xml:space="preserve">sion. </w:t>
      </w:r>
      <w:r w:rsidR="00DB7918">
        <w:rPr>
          <w:rFonts w:ascii="Times New Roman" w:hAnsi="Times New Roman"/>
          <w:color w:val="000000"/>
          <w:sz w:val="24"/>
          <w:szCs w:val="24"/>
        </w:rPr>
        <w:t>This ICR follows the practice of the last ICR update where</w:t>
      </w:r>
      <w:r w:rsidR="00B924F4">
        <w:rPr>
          <w:rFonts w:ascii="Times New Roman" w:hAnsi="Times New Roman"/>
          <w:color w:val="000000"/>
          <w:sz w:val="24"/>
          <w:szCs w:val="24"/>
        </w:rPr>
        <w:t xml:space="preserve"> </w:t>
      </w:r>
      <w:r w:rsidR="00B924F4" w:rsidRPr="00B924F4">
        <w:rPr>
          <w:rFonts w:ascii="Times New Roman" w:hAnsi="Times New Roman"/>
          <w:color w:val="000000"/>
          <w:sz w:val="24"/>
          <w:szCs w:val="24"/>
        </w:rPr>
        <w:t>EPA</w:t>
      </w:r>
      <w:r w:rsidR="00176F7E" w:rsidRPr="00B924F4">
        <w:rPr>
          <w:rFonts w:ascii="Times New Roman" w:hAnsi="Times New Roman"/>
          <w:color w:val="000000"/>
          <w:sz w:val="24"/>
          <w:szCs w:val="24"/>
        </w:rPr>
        <w:t xml:space="preserve"> removed the clerical burden associated with all </w:t>
      </w:r>
      <w:r w:rsidR="00B924F4" w:rsidRPr="00B924F4">
        <w:rPr>
          <w:rFonts w:ascii="Times New Roman" w:hAnsi="Times New Roman"/>
          <w:color w:val="000000"/>
          <w:sz w:val="24"/>
          <w:szCs w:val="24"/>
        </w:rPr>
        <w:t xml:space="preserve">other </w:t>
      </w:r>
      <w:r w:rsidR="00176F7E" w:rsidRPr="00B924F4">
        <w:rPr>
          <w:rFonts w:ascii="Times New Roman" w:hAnsi="Times New Roman"/>
          <w:color w:val="000000"/>
          <w:sz w:val="24"/>
          <w:szCs w:val="24"/>
        </w:rPr>
        <w:t>PAIR</w:t>
      </w:r>
      <w:r w:rsidR="00BC7535" w:rsidRPr="00BC7535">
        <w:rPr>
          <w:rFonts w:ascii="Times New Roman" w:hAnsi="Times New Roman"/>
          <w:sz w:val="24"/>
          <w:szCs w:val="24"/>
        </w:rPr>
        <w:t xml:space="preserve"> </w:t>
      </w:r>
      <w:r w:rsidR="00BC7535" w:rsidRPr="005A40B0">
        <w:rPr>
          <w:rFonts w:ascii="Times New Roman" w:hAnsi="Times New Roman"/>
          <w:sz w:val="24"/>
          <w:szCs w:val="24"/>
        </w:rPr>
        <w:t>and subpart B of 40 CFR 766</w:t>
      </w:r>
      <w:r w:rsidR="00BC7535">
        <w:rPr>
          <w:rFonts w:ascii="Times New Roman" w:hAnsi="Times New Roman"/>
          <w:sz w:val="24"/>
          <w:szCs w:val="24"/>
        </w:rPr>
        <w:t xml:space="preserve"> </w:t>
      </w:r>
      <w:r w:rsidR="00176F7E" w:rsidRPr="00B924F4">
        <w:rPr>
          <w:rFonts w:ascii="Times New Roman" w:hAnsi="Times New Roman"/>
          <w:color w:val="000000"/>
          <w:sz w:val="24"/>
          <w:szCs w:val="24"/>
        </w:rPr>
        <w:t xml:space="preserve">submission activities. </w:t>
      </w:r>
      <w:r w:rsidR="00B924F4" w:rsidRPr="002E5634">
        <w:rPr>
          <w:rFonts w:ascii="Times New Roman" w:hAnsi="Times New Roman"/>
          <w:color w:val="000000"/>
          <w:sz w:val="24"/>
          <w:szCs w:val="24"/>
        </w:rPr>
        <w:t xml:space="preserve">This change was made to be consistent with the burden estimates provided for the electronic reporting of TSCA Section 5 Notices in </w:t>
      </w:r>
      <w:r w:rsidR="00B924F4" w:rsidRPr="00F33AEB">
        <w:rPr>
          <w:rFonts w:ascii="Times New Roman" w:hAnsi="Times New Roman"/>
          <w:i/>
          <w:sz w:val="24"/>
          <w:szCs w:val="24"/>
        </w:rPr>
        <w:t>The Economic Analysis of the Premanufac</w:t>
      </w:r>
      <w:r w:rsidR="00B53F94">
        <w:rPr>
          <w:rFonts w:ascii="Times New Roman" w:hAnsi="Times New Roman"/>
          <w:i/>
          <w:sz w:val="24"/>
          <w:szCs w:val="24"/>
        </w:rPr>
        <w:t>t</w:t>
      </w:r>
      <w:r w:rsidR="00B924F4" w:rsidRPr="00F33AEB">
        <w:rPr>
          <w:rFonts w:ascii="Times New Roman" w:hAnsi="Times New Roman"/>
          <w:i/>
          <w:sz w:val="24"/>
          <w:szCs w:val="24"/>
        </w:rPr>
        <w:t>ure Notification Electronic Reporting Rule</w:t>
      </w:r>
      <w:r w:rsidR="00B924F4" w:rsidRPr="00F33AEB">
        <w:rPr>
          <w:rFonts w:ascii="Times New Roman" w:hAnsi="Times New Roman"/>
          <w:sz w:val="24"/>
          <w:szCs w:val="24"/>
        </w:rPr>
        <w:t xml:space="preserve"> (EPA, 2009) and the </w:t>
      </w:r>
      <w:r w:rsidR="00B924F4">
        <w:rPr>
          <w:rFonts w:ascii="Times New Roman" w:hAnsi="Times New Roman"/>
          <w:sz w:val="24"/>
          <w:szCs w:val="24"/>
        </w:rPr>
        <w:t>electronic submission of TSCA 8(b) Chemic</w:t>
      </w:r>
      <w:r w:rsidR="00B53F94">
        <w:rPr>
          <w:rFonts w:ascii="Times New Roman" w:hAnsi="Times New Roman"/>
          <w:sz w:val="24"/>
          <w:szCs w:val="24"/>
        </w:rPr>
        <w:t>al</w:t>
      </w:r>
      <w:r w:rsidR="00B924F4">
        <w:rPr>
          <w:rFonts w:ascii="Times New Roman" w:hAnsi="Times New Roman"/>
          <w:sz w:val="24"/>
          <w:szCs w:val="24"/>
        </w:rPr>
        <w:t xml:space="preserve"> Data Reporting (CDR) submissions in the </w:t>
      </w:r>
      <w:r w:rsidR="00B924F4">
        <w:rPr>
          <w:rFonts w:ascii="Times New Roman" w:hAnsi="Times New Roman"/>
          <w:i/>
          <w:sz w:val="24"/>
          <w:szCs w:val="24"/>
        </w:rPr>
        <w:t xml:space="preserve">Economic Analysis for the Final Inventory Update Reporting (IUR) Modifications Rule </w:t>
      </w:r>
      <w:r w:rsidR="00B924F4">
        <w:rPr>
          <w:rFonts w:ascii="Times New Roman" w:hAnsi="Times New Roman"/>
          <w:sz w:val="24"/>
          <w:szCs w:val="24"/>
        </w:rPr>
        <w:t>(EPA, 2011)</w:t>
      </w:r>
      <w:r w:rsidR="00B924F4">
        <w:t>.</w:t>
      </w:r>
    </w:p>
    <w:p w14:paraId="4A88B07D" w14:textId="77777777" w:rsidR="00F5104E" w:rsidRPr="00D017B8" w:rsidRDefault="00F5104E" w:rsidP="006C5B34">
      <w:pPr>
        <w:pStyle w:val="Heading2"/>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Form Familiarization</w:t>
      </w:r>
    </w:p>
    <w:p w14:paraId="78E79030" w14:textId="77777777" w:rsidR="00AD569B" w:rsidRDefault="00AD569B" w:rsidP="006C5B34">
      <w:pPr>
        <w:autoSpaceDE w:val="0"/>
        <w:autoSpaceDN w:val="0"/>
        <w:adjustRightInd w:val="0"/>
        <w:spacing w:after="0" w:line="240" w:lineRule="auto"/>
        <w:ind w:firstLine="720"/>
        <w:rPr>
          <w:rFonts w:ascii="Times New Roman" w:hAnsi="Times New Roman"/>
          <w:sz w:val="24"/>
          <w:szCs w:val="24"/>
        </w:rPr>
      </w:pPr>
    </w:p>
    <w:p w14:paraId="6693670A" w14:textId="77777777" w:rsidR="00DA409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In the 1981 PAIR economic analysis</w:t>
      </w:r>
      <w:r w:rsidR="007826C6" w:rsidRPr="007F3CAE">
        <w:rPr>
          <w:rStyle w:val="FootnoteReference"/>
          <w:rFonts w:ascii="Times New Roman" w:hAnsi="Times New Roman"/>
          <w:sz w:val="24"/>
          <w:szCs w:val="24"/>
        </w:rPr>
        <w:footnoteReference w:id="1"/>
      </w:r>
      <w:r w:rsidR="000B0BF4">
        <w:rPr>
          <w:rFonts w:ascii="Times New Roman" w:hAnsi="Times New Roman"/>
          <w:sz w:val="24"/>
          <w:szCs w:val="24"/>
        </w:rPr>
        <w:t>,</w:t>
      </w:r>
      <w:r w:rsidRPr="007F3CAE">
        <w:rPr>
          <w:rFonts w:ascii="Times New Roman" w:hAnsi="Times New Roman"/>
          <w:sz w:val="24"/>
          <w:szCs w:val="24"/>
        </w:rPr>
        <w:t xml:space="preserve"> it was estimated that form familiarization</w:t>
      </w:r>
      <w:r w:rsidR="007826C6" w:rsidRPr="007F3CAE">
        <w:rPr>
          <w:rFonts w:ascii="Times New Roman" w:hAnsi="Times New Roman"/>
          <w:sz w:val="24"/>
          <w:szCs w:val="24"/>
        </w:rPr>
        <w:t xml:space="preserve"> </w:t>
      </w:r>
      <w:r w:rsidRPr="007F3CAE">
        <w:rPr>
          <w:rFonts w:ascii="Times New Roman" w:hAnsi="Times New Roman"/>
          <w:sz w:val="24"/>
          <w:szCs w:val="24"/>
        </w:rPr>
        <w:t>would require 3 hours of effort from managerial personnel and 4 hours from technical</w:t>
      </w:r>
      <w:r w:rsidR="007826C6" w:rsidRPr="007F3CAE">
        <w:rPr>
          <w:rFonts w:ascii="Times New Roman" w:hAnsi="Times New Roman"/>
          <w:sz w:val="24"/>
          <w:szCs w:val="24"/>
        </w:rPr>
        <w:t xml:space="preserve"> </w:t>
      </w:r>
      <w:r w:rsidRPr="007F3CAE">
        <w:rPr>
          <w:rFonts w:ascii="Times New Roman" w:hAnsi="Times New Roman"/>
          <w:sz w:val="24"/>
          <w:szCs w:val="24"/>
        </w:rPr>
        <w:t>personnel for a total of 7 hours per site. The estimate includes efforts for rule</w:t>
      </w:r>
      <w:r w:rsidR="007826C6" w:rsidRPr="007F3CAE">
        <w:rPr>
          <w:rFonts w:ascii="Times New Roman" w:hAnsi="Times New Roman"/>
          <w:sz w:val="24"/>
          <w:szCs w:val="24"/>
        </w:rPr>
        <w:t xml:space="preserve"> </w:t>
      </w:r>
      <w:r w:rsidRPr="007F3CAE">
        <w:rPr>
          <w:rFonts w:ascii="Times New Roman" w:hAnsi="Times New Roman"/>
          <w:sz w:val="24"/>
          <w:szCs w:val="24"/>
        </w:rPr>
        <w:t xml:space="preserve">familiarization and to determine if reporting is required. </w:t>
      </w:r>
      <w:r w:rsidR="00B75344">
        <w:rPr>
          <w:rFonts w:ascii="Times New Roman" w:hAnsi="Times New Roman"/>
          <w:sz w:val="24"/>
          <w:szCs w:val="24"/>
        </w:rPr>
        <w:t xml:space="preserve">Because EPA only expects one report from one site in the next ICR cycle, the </w:t>
      </w:r>
      <w:r w:rsidR="00554987">
        <w:rPr>
          <w:rFonts w:ascii="Times New Roman" w:hAnsi="Times New Roman"/>
          <w:sz w:val="24"/>
          <w:szCs w:val="24"/>
        </w:rPr>
        <w:t>per-</w:t>
      </w:r>
      <w:r w:rsidRPr="007F3CAE">
        <w:rPr>
          <w:rFonts w:ascii="Times New Roman" w:hAnsi="Times New Roman"/>
          <w:sz w:val="24"/>
          <w:szCs w:val="24"/>
        </w:rPr>
        <w:t xml:space="preserve">report burden </w:t>
      </w:r>
      <w:r w:rsidR="0028171B">
        <w:rPr>
          <w:rFonts w:ascii="Times New Roman" w:hAnsi="Times New Roman"/>
          <w:sz w:val="24"/>
          <w:szCs w:val="24"/>
        </w:rPr>
        <w:t xml:space="preserve">is estimated to be </w:t>
      </w:r>
      <w:r w:rsidR="00B75344">
        <w:rPr>
          <w:rFonts w:ascii="Times New Roman" w:hAnsi="Times New Roman"/>
          <w:sz w:val="24"/>
          <w:szCs w:val="24"/>
        </w:rPr>
        <w:t xml:space="preserve">7 </w:t>
      </w:r>
      <w:r w:rsidRPr="007F3CAE">
        <w:rPr>
          <w:rFonts w:ascii="Times New Roman" w:hAnsi="Times New Roman"/>
          <w:sz w:val="24"/>
          <w:szCs w:val="24"/>
        </w:rPr>
        <w:t>hours.</w:t>
      </w:r>
    </w:p>
    <w:p w14:paraId="3FE4D029" w14:textId="77777777" w:rsidR="000D4840" w:rsidRPr="007F3CAE" w:rsidRDefault="000D4840" w:rsidP="00F5104E">
      <w:pPr>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980"/>
        <w:gridCol w:w="1620"/>
        <w:gridCol w:w="1620"/>
        <w:gridCol w:w="1525"/>
      </w:tblGrid>
      <w:tr w:rsidR="00053C17" w:rsidRPr="002C7CCA" w14:paraId="0BAFABD3" w14:textId="77777777" w:rsidTr="00B75344">
        <w:tc>
          <w:tcPr>
            <w:tcW w:w="9242" w:type="dxa"/>
            <w:gridSpan w:val="5"/>
          </w:tcPr>
          <w:p w14:paraId="48129374" w14:textId="77777777" w:rsidR="00053C17" w:rsidRPr="00665511" w:rsidRDefault="00311498" w:rsidP="00665511">
            <w:pPr>
              <w:pStyle w:val="Caption"/>
              <w:keepNext/>
              <w:spacing w:after="0"/>
              <w:rPr>
                <w:rFonts w:ascii="Times New Roman" w:eastAsiaTheme="minorHAnsi" w:hAnsi="Times New Roman"/>
                <w:b w:val="0"/>
                <w:sz w:val="24"/>
                <w:szCs w:val="24"/>
              </w:rPr>
            </w:pPr>
            <w:r w:rsidRPr="00665511">
              <w:rPr>
                <w:rFonts w:ascii="Times New Roman" w:hAnsi="Times New Roman"/>
                <w:color w:val="auto"/>
                <w:sz w:val="24"/>
                <w:szCs w:val="24"/>
              </w:rPr>
              <w:t xml:space="preserve">Table </w:t>
            </w:r>
            <w:r w:rsidRPr="00665511">
              <w:rPr>
                <w:rFonts w:ascii="Times New Roman" w:hAnsi="Times New Roman"/>
                <w:color w:val="auto"/>
                <w:sz w:val="24"/>
                <w:szCs w:val="24"/>
              </w:rPr>
              <w:fldChar w:fldCharType="begin"/>
            </w:r>
            <w:r w:rsidRPr="00665511">
              <w:rPr>
                <w:rFonts w:ascii="Times New Roman" w:hAnsi="Times New Roman"/>
                <w:color w:val="auto"/>
                <w:sz w:val="24"/>
                <w:szCs w:val="24"/>
              </w:rPr>
              <w:instrText xml:space="preserve"> SEQ Table \* ARABIC </w:instrText>
            </w:r>
            <w:r w:rsidRPr="00665511">
              <w:rPr>
                <w:rFonts w:ascii="Times New Roman" w:hAnsi="Times New Roman"/>
                <w:color w:val="auto"/>
                <w:sz w:val="24"/>
                <w:szCs w:val="24"/>
              </w:rPr>
              <w:fldChar w:fldCharType="separate"/>
            </w:r>
            <w:r w:rsidR="00CE068E">
              <w:rPr>
                <w:rFonts w:ascii="Times New Roman" w:hAnsi="Times New Roman"/>
                <w:noProof/>
                <w:color w:val="auto"/>
                <w:sz w:val="24"/>
                <w:szCs w:val="24"/>
              </w:rPr>
              <w:t>2</w:t>
            </w:r>
            <w:r w:rsidRPr="00665511">
              <w:rPr>
                <w:rFonts w:ascii="Times New Roman" w:hAnsi="Times New Roman"/>
                <w:color w:val="auto"/>
                <w:sz w:val="24"/>
                <w:szCs w:val="24"/>
              </w:rPr>
              <w:fldChar w:fldCharType="end"/>
            </w:r>
            <w:r w:rsidRPr="00665511">
              <w:rPr>
                <w:rFonts w:ascii="Times New Roman" w:hAnsi="Times New Roman"/>
                <w:color w:val="auto"/>
              </w:rPr>
              <w:t xml:space="preserve">: </w:t>
            </w:r>
            <w:r w:rsidRPr="00665511">
              <w:rPr>
                <w:rFonts w:ascii="Times New Roman" w:hAnsi="Times New Roman"/>
                <w:color w:val="auto"/>
                <w:sz w:val="24"/>
                <w:szCs w:val="24"/>
              </w:rPr>
              <w:t>Per-Report Burden Hours for Form Familiarization</w:t>
            </w:r>
          </w:p>
        </w:tc>
      </w:tr>
      <w:tr w:rsidR="00B31E7D" w:rsidRPr="002C7CCA" w14:paraId="771C3D7B" w14:textId="77777777" w:rsidTr="00805D90">
        <w:tc>
          <w:tcPr>
            <w:tcW w:w="2497" w:type="dxa"/>
          </w:tcPr>
          <w:p w14:paraId="6D5F7998"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980" w:type="dxa"/>
          </w:tcPr>
          <w:p w14:paraId="02C8A20D" w14:textId="77777777" w:rsidR="000D4840" w:rsidRPr="002C7CCA" w:rsidRDefault="00B75344" w:rsidP="002C7CCA">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620" w:type="dxa"/>
          </w:tcPr>
          <w:p w14:paraId="65FD7A80"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620" w:type="dxa"/>
          </w:tcPr>
          <w:p w14:paraId="48518008"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525" w:type="dxa"/>
          </w:tcPr>
          <w:p w14:paraId="79A9833A"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75344" w:rsidRPr="002C7CCA" w14:paraId="0C94CEE6" w14:textId="77777777" w:rsidTr="00805D90">
        <w:tc>
          <w:tcPr>
            <w:tcW w:w="2497" w:type="dxa"/>
          </w:tcPr>
          <w:p w14:paraId="116F89CD" w14:textId="77777777" w:rsidR="00B75344" w:rsidRPr="00DC7D34" w:rsidRDefault="00B75344" w:rsidP="00B75344">
            <w:pPr>
              <w:autoSpaceDE w:val="0"/>
              <w:autoSpaceDN w:val="0"/>
              <w:adjustRightInd w:val="0"/>
              <w:spacing w:after="0" w:line="240" w:lineRule="auto"/>
              <w:rPr>
                <w:rFonts w:ascii="Times New Roman" w:eastAsiaTheme="minorHAnsi" w:hAnsi="Times New Roman"/>
              </w:rPr>
            </w:pPr>
            <w:r w:rsidRPr="00DC7D34">
              <w:rPr>
                <w:rFonts w:ascii="Times New Roman" w:eastAsiaTheme="minorHAnsi" w:hAnsi="Times New Roman"/>
              </w:rPr>
              <w:t>Form Familiarization</w:t>
            </w:r>
          </w:p>
        </w:tc>
        <w:tc>
          <w:tcPr>
            <w:tcW w:w="1980" w:type="dxa"/>
            <w:vAlign w:val="center"/>
          </w:tcPr>
          <w:p w14:paraId="7F064985" w14:textId="77777777"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w:t>
            </w:r>
            <w:r w:rsidR="00867568" w:rsidRPr="00DC7D34">
              <w:rPr>
                <w:rFonts w:ascii="Times New Roman" w:hAnsi="Times New Roman"/>
                <w:color w:val="000000"/>
              </w:rPr>
              <w:t>.00</w:t>
            </w:r>
          </w:p>
        </w:tc>
        <w:tc>
          <w:tcPr>
            <w:tcW w:w="1620" w:type="dxa"/>
            <w:vAlign w:val="center"/>
          </w:tcPr>
          <w:p w14:paraId="2F3F8188" w14:textId="77777777"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4.00</w:t>
            </w:r>
          </w:p>
        </w:tc>
        <w:tc>
          <w:tcPr>
            <w:tcW w:w="1620" w:type="dxa"/>
            <w:vAlign w:val="center"/>
          </w:tcPr>
          <w:p w14:paraId="32590EF5" w14:textId="77777777"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3.00</w:t>
            </w:r>
          </w:p>
        </w:tc>
        <w:tc>
          <w:tcPr>
            <w:tcW w:w="1525" w:type="dxa"/>
            <w:vAlign w:val="center"/>
          </w:tcPr>
          <w:p w14:paraId="1D9F8A99" w14:textId="77777777"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7</w:t>
            </w:r>
            <w:r w:rsidR="00867568" w:rsidRPr="00DC7D34">
              <w:rPr>
                <w:rFonts w:ascii="Times New Roman" w:hAnsi="Times New Roman"/>
                <w:color w:val="000000"/>
              </w:rPr>
              <w:t>.00</w:t>
            </w:r>
          </w:p>
        </w:tc>
      </w:tr>
    </w:tbl>
    <w:p w14:paraId="43D213B0" w14:textId="77777777" w:rsidR="00F5104E" w:rsidRPr="00D017B8" w:rsidRDefault="00F5104E" w:rsidP="00665511">
      <w:pPr>
        <w:pStyle w:val="Heading2"/>
        <w:widowControl w:val="0"/>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Report Preparation</w:t>
      </w:r>
    </w:p>
    <w:p w14:paraId="6D4A2160" w14:textId="77777777" w:rsidR="0028171B" w:rsidRDefault="0028171B" w:rsidP="00665511">
      <w:pPr>
        <w:keepNext/>
        <w:widowControl w:val="0"/>
        <w:autoSpaceDE w:val="0"/>
        <w:autoSpaceDN w:val="0"/>
        <w:adjustRightInd w:val="0"/>
        <w:spacing w:after="0" w:line="240" w:lineRule="auto"/>
        <w:ind w:firstLine="720"/>
        <w:rPr>
          <w:rFonts w:ascii="Times New Roman" w:hAnsi="Times New Roman"/>
          <w:sz w:val="24"/>
          <w:szCs w:val="24"/>
        </w:rPr>
      </w:pPr>
    </w:p>
    <w:p w14:paraId="4FEF42EE" w14:textId="7DB9C6D6" w:rsidR="00F5104E" w:rsidRPr="007F3CAE" w:rsidRDefault="00F5104E" w:rsidP="00665511">
      <w:pPr>
        <w:keepNext/>
        <w:widowControl w:val="0"/>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1981 PAIR economic analysis estimated that direct reporting activities would</w:t>
      </w:r>
      <w:r w:rsidR="007826C6" w:rsidRPr="007F3CAE">
        <w:rPr>
          <w:rFonts w:ascii="Times New Roman" w:hAnsi="Times New Roman"/>
          <w:sz w:val="24"/>
          <w:szCs w:val="24"/>
        </w:rPr>
        <w:t xml:space="preserve"> </w:t>
      </w:r>
      <w:r w:rsidRPr="007F3CAE">
        <w:rPr>
          <w:rFonts w:ascii="Times New Roman" w:hAnsi="Times New Roman"/>
          <w:sz w:val="24"/>
          <w:szCs w:val="24"/>
        </w:rPr>
        <w:t>require a total of 16 hours of effort per report. This consists of the burden related to the</w:t>
      </w:r>
      <w:r w:rsidR="007826C6" w:rsidRPr="007F3CAE">
        <w:rPr>
          <w:rFonts w:ascii="Times New Roman" w:hAnsi="Times New Roman"/>
          <w:sz w:val="24"/>
          <w:szCs w:val="24"/>
        </w:rPr>
        <w:t xml:space="preserve"> </w:t>
      </w:r>
      <w:r w:rsidRPr="007F3CAE">
        <w:rPr>
          <w:rFonts w:ascii="Times New Roman" w:hAnsi="Times New Roman"/>
          <w:sz w:val="24"/>
          <w:szCs w:val="24"/>
        </w:rPr>
        <w:t xml:space="preserve">completion of the PAIR </w:t>
      </w:r>
      <w:r w:rsidR="002A5274">
        <w:rPr>
          <w:rFonts w:ascii="Times New Roman" w:hAnsi="Times New Roman"/>
          <w:sz w:val="24"/>
          <w:szCs w:val="24"/>
        </w:rPr>
        <w:t xml:space="preserve">(EPA Form No. 7710-35) </w:t>
      </w:r>
      <w:r w:rsidR="00341F2D">
        <w:rPr>
          <w:rFonts w:ascii="Times New Roman" w:hAnsi="Times New Roman"/>
          <w:sz w:val="24"/>
          <w:szCs w:val="24"/>
        </w:rPr>
        <w:t>or</w:t>
      </w:r>
      <w:r w:rsidR="00341F2D" w:rsidRPr="00341F2D">
        <w:rPr>
          <w:rFonts w:ascii="Times New Roman" w:hAnsi="Times New Roman"/>
          <w:sz w:val="24"/>
          <w:szCs w:val="24"/>
        </w:rPr>
        <w:t xml:space="preserve"> </w:t>
      </w:r>
      <w:r w:rsidR="00341F2D" w:rsidRPr="005A40B0">
        <w:rPr>
          <w:rFonts w:ascii="Times New Roman" w:hAnsi="Times New Roman"/>
          <w:sz w:val="24"/>
          <w:szCs w:val="24"/>
        </w:rPr>
        <w:t>subpart B of 40 CFR 766</w:t>
      </w:r>
      <w:r w:rsidR="00341F2D">
        <w:rPr>
          <w:rFonts w:ascii="Times New Roman" w:hAnsi="Times New Roman"/>
          <w:sz w:val="24"/>
          <w:szCs w:val="24"/>
        </w:rPr>
        <w:t xml:space="preserve"> </w:t>
      </w:r>
      <w:r w:rsidRPr="007F3CAE">
        <w:rPr>
          <w:rFonts w:ascii="Times New Roman" w:hAnsi="Times New Roman"/>
          <w:sz w:val="24"/>
          <w:szCs w:val="24"/>
        </w:rPr>
        <w:t>form</w:t>
      </w:r>
      <w:r w:rsidR="002A5274">
        <w:rPr>
          <w:rFonts w:ascii="Times New Roman" w:hAnsi="Times New Roman"/>
          <w:sz w:val="24"/>
          <w:szCs w:val="24"/>
        </w:rPr>
        <w:t xml:space="preserve"> (EPA Form No. 7710-51)</w:t>
      </w:r>
      <w:r w:rsidRPr="007F3CAE">
        <w:rPr>
          <w:rFonts w:ascii="Times New Roman" w:hAnsi="Times New Roman"/>
          <w:sz w:val="24"/>
          <w:szCs w:val="24"/>
        </w:rPr>
        <w:t>. As indicated previously, the respondents are not expected</w:t>
      </w:r>
      <w:r w:rsidR="007826C6" w:rsidRPr="007F3CAE">
        <w:rPr>
          <w:rFonts w:ascii="Times New Roman" w:hAnsi="Times New Roman"/>
          <w:sz w:val="24"/>
          <w:szCs w:val="24"/>
        </w:rPr>
        <w:t xml:space="preserve"> </w:t>
      </w:r>
      <w:r w:rsidRPr="007F3CAE">
        <w:rPr>
          <w:rFonts w:ascii="Times New Roman" w:hAnsi="Times New Roman"/>
          <w:sz w:val="24"/>
          <w:szCs w:val="24"/>
        </w:rPr>
        <w:t>to conduct an exhaustive search of their files. Respondents are only required to report</w:t>
      </w:r>
      <w:r w:rsidR="007826C6" w:rsidRPr="007F3CAE">
        <w:rPr>
          <w:rFonts w:ascii="Times New Roman" w:hAnsi="Times New Roman"/>
          <w:sz w:val="24"/>
          <w:szCs w:val="24"/>
        </w:rPr>
        <w:t xml:space="preserve"> </w:t>
      </w:r>
      <w:r w:rsidRPr="007F3CAE">
        <w:rPr>
          <w:rFonts w:ascii="Times New Roman" w:hAnsi="Times New Roman"/>
          <w:sz w:val="24"/>
          <w:szCs w:val="24"/>
        </w:rPr>
        <w:t>what is known or reasonably ascertainable to them (see 40 CFR 712.7). The relative</w:t>
      </w:r>
      <w:r w:rsidR="007826C6" w:rsidRPr="007F3CAE">
        <w:rPr>
          <w:rFonts w:ascii="Times New Roman" w:hAnsi="Times New Roman"/>
          <w:sz w:val="24"/>
          <w:szCs w:val="24"/>
        </w:rPr>
        <w:t xml:space="preserve"> </w:t>
      </w:r>
      <w:r w:rsidRPr="007F3CAE">
        <w:rPr>
          <w:rFonts w:ascii="Times New Roman" w:hAnsi="Times New Roman"/>
          <w:sz w:val="24"/>
          <w:szCs w:val="24"/>
        </w:rPr>
        <w:t xml:space="preserve">distribution of reporting burden between managerial, technical and </w:t>
      </w:r>
      <w:r w:rsidR="00A04E30">
        <w:rPr>
          <w:rFonts w:ascii="Times New Roman" w:hAnsi="Times New Roman"/>
          <w:sz w:val="24"/>
          <w:szCs w:val="24"/>
        </w:rPr>
        <w:t>clerical</w:t>
      </w:r>
      <w:r w:rsidR="00A04E30" w:rsidRPr="007F3CAE">
        <w:rPr>
          <w:rFonts w:ascii="Times New Roman" w:hAnsi="Times New Roman"/>
          <w:sz w:val="24"/>
          <w:szCs w:val="24"/>
        </w:rPr>
        <w:t xml:space="preserve"> </w:t>
      </w:r>
      <w:r w:rsidRPr="007F3CAE">
        <w:rPr>
          <w:rFonts w:ascii="Times New Roman" w:hAnsi="Times New Roman"/>
          <w:sz w:val="24"/>
          <w:szCs w:val="24"/>
        </w:rPr>
        <w:t>personnel</w:t>
      </w:r>
      <w:r w:rsidR="007826C6" w:rsidRPr="007F3CAE">
        <w:rPr>
          <w:rFonts w:ascii="Times New Roman" w:hAnsi="Times New Roman"/>
          <w:sz w:val="24"/>
          <w:szCs w:val="24"/>
        </w:rPr>
        <w:t xml:space="preserve"> </w:t>
      </w:r>
      <w:r w:rsidR="00A04E30">
        <w:rPr>
          <w:rFonts w:ascii="Times New Roman" w:hAnsi="Times New Roman"/>
          <w:sz w:val="24"/>
          <w:szCs w:val="24"/>
        </w:rPr>
        <w:t xml:space="preserve">was developed for the </w:t>
      </w:r>
      <w:r w:rsidRPr="007F3CAE">
        <w:rPr>
          <w:rFonts w:ascii="Times New Roman" w:hAnsi="Times New Roman"/>
          <w:sz w:val="24"/>
          <w:szCs w:val="24"/>
        </w:rPr>
        <w:t>1992 PAIR ICR update</w:t>
      </w:r>
      <w:r w:rsidR="00A04E30">
        <w:rPr>
          <w:rFonts w:ascii="Times New Roman" w:hAnsi="Times New Roman"/>
          <w:sz w:val="24"/>
          <w:szCs w:val="24"/>
        </w:rPr>
        <w:t>. For this ICR update</w:t>
      </w:r>
      <w:r w:rsidR="00B72F9F">
        <w:rPr>
          <w:rFonts w:ascii="Times New Roman" w:hAnsi="Times New Roman"/>
          <w:sz w:val="24"/>
          <w:szCs w:val="24"/>
        </w:rPr>
        <w:t xml:space="preserve">, EPA assumes that per-report burden for report preparation is the same as in the prior ICR update, </w:t>
      </w:r>
      <w:r w:rsidR="002E5634">
        <w:rPr>
          <w:rFonts w:ascii="Times New Roman" w:hAnsi="Times New Roman"/>
          <w:sz w:val="24"/>
          <w:szCs w:val="24"/>
        </w:rPr>
        <w:t>for a total burden estimate of 14.7</w:t>
      </w:r>
      <w:r w:rsidR="00B53F94">
        <w:rPr>
          <w:rFonts w:ascii="Times New Roman" w:hAnsi="Times New Roman"/>
          <w:sz w:val="24"/>
          <w:szCs w:val="24"/>
        </w:rPr>
        <w:t>5</w:t>
      </w:r>
      <w:r w:rsidR="002E5634">
        <w:rPr>
          <w:rFonts w:ascii="Times New Roman" w:hAnsi="Times New Roman"/>
          <w:sz w:val="24"/>
          <w:szCs w:val="24"/>
        </w:rPr>
        <w:t xml:space="preserve"> hours</w:t>
      </w:r>
      <w:r w:rsidR="00A04E30">
        <w:rPr>
          <w:rFonts w:ascii="Times New Roman" w:hAnsi="Times New Roman"/>
          <w:sz w:val="24"/>
          <w:szCs w:val="24"/>
        </w:rPr>
        <w:t>.</w:t>
      </w:r>
    </w:p>
    <w:p w14:paraId="28E78366" w14:textId="77777777" w:rsidR="00AB5220" w:rsidRPr="007F3CAE" w:rsidRDefault="00AB5220" w:rsidP="00AB5220">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980"/>
        <w:gridCol w:w="1710"/>
        <w:gridCol w:w="1620"/>
        <w:gridCol w:w="1435"/>
      </w:tblGrid>
      <w:tr w:rsidR="00A7367E" w:rsidRPr="002C7CCA" w14:paraId="62FCB0E5" w14:textId="77777777" w:rsidTr="0028171B">
        <w:tc>
          <w:tcPr>
            <w:tcW w:w="9242" w:type="dxa"/>
            <w:gridSpan w:val="5"/>
          </w:tcPr>
          <w:p w14:paraId="54A898D9"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CE068E">
              <w:rPr>
                <w:rFonts w:ascii="Times New Roman" w:hAnsi="Times New Roman"/>
                <w:b/>
                <w:noProof/>
                <w:sz w:val="24"/>
                <w:szCs w:val="24"/>
              </w:rPr>
              <w:t>3</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Per-Report Burden Hours for Report Preparation</w:t>
            </w:r>
          </w:p>
        </w:tc>
      </w:tr>
      <w:tr w:rsidR="00B31E7D" w:rsidRPr="002C7CCA" w14:paraId="2EA4351B" w14:textId="77777777" w:rsidTr="00805D90">
        <w:tc>
          <w:tcPr>
            <w:tcW w:w="2497" w:type="dxa"/>
          </w:tcPr>
          <w:p w14:paraId="131B28E5"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980" w:type="dxa"/>
          </w:tcPr>
          <w:p w14:paraId="13FC9BA8" w14:textId="77777777" w:rsidR="00AB5220" w:rsidRPr="002C7CCA" w:rsidRDefault="0028171B" w:rsidP="002C7CCA">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710" w:type="dxa"/>
          </w:tcPr>
          <w:p w14:paraId="5CEC33ED"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620" w:type="dxa"/>
          </w:tcPr>
          <w:p w14:paraId="6C90F844"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435" w:type="dxa"/>
          </w:tcPr>
          <w:p w14:paraId="10913B7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28171B" w:rsidRPr="002C7CCA" w14:paraId="2EB12768" w14:textId="77777777" w:rsidTr="00805D90">
        <w:tc>
          <w:tcPr>
            <w:tcW w:w="2497" w:type="dxa"/>
          </w:tcPr>
          <w:p w14:paraId="6C960899" w14:textId="77777777" w:rsidR="0028171B" w:rsidRPr="002C7CCA" w:rsidRDefault="0028171B" w:rsidP="0028171B">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Reporting</w:t>
            </w:r>
          </w:p>
        </w:tc>
        <w:tc>
          <w:tcPr>
            <w:tcW w:w="1980" w:type="dxa"/>
            <w:vAlign w:val="center"/>
          </w:tcPr>
          <w:p w14:paraId="52D4D3D6" w14:textId="77777777"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0</w:t>
            </w:r>
          </w:p>
        </w:tc>
        <w:tc>
          <w:tcPr>
            <w:tcW w:w="1710" w:type="dxa"/>
            <w:vAlign w:val="center"/>
          </w:tcPr>
          <w:p w14:paraId="49CF9521" w14:textId="77777777"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9.25</w:t>
            </w:r>
          </w:p>
        </w:tc>
        <w:tc>
          <w:tcPr>
            <w:tcW w:w="1620" w:type="dxa"/>
            <w:vAlign w:val="center"/>
          </w:tcPr>
          <w:p w14:paraId="3B98EB67" w14:textId="77777777"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5.5</w:t>
            </w:r>
          </w:p>
        </w:tc>
        <w:tc>
          <w:tcPr>
            <w:tcW w:w="1435" w:type="dxa"/>
            <w:vAlign w:val="center"/>
          </w:tcPr>
          <w:p w14:paraId="748BB524" w14:textId="77777777"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14.75</w:t>
            </w:r>
          </w:p>
        </w:tc>
      </w:tr>
    </w:tbl>
    <w:p w14:paraId="5D418809"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360CB782"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Given that each site produces an average of </w:t>
      </w:r>
      <w:r w:rsidR="00AB197C">
        <w:rPr>
          <w:rFonts w:ascii="Times New Roman" w:hAnsi="Times New Roman"/>
          <w:sz w:val="24"/>
          <w:szCs w:val="24"/>
        </w:rPr>
        <w:t>1</w:t>
      </w:r>
      <w:r w:rsidRPr="007F3CAE">
        <w:rPr>
          <w:rFonts w:ascii="Times New Roman" w:hAnsi="Times New Roman"/>
          <w:sz w:val="24"/>
          <w:szCs w:val="24"/>
        </w:rPr>
        <w:t xml:space="preserve"> report, the per-site burden for</w:t>
      </w:r>
      <w:r w:rsidR="007826C6" w:rsidRPr="007F3CAE">
        <w:rPr>
          <w:rFonts w:ascii="Times New Roman" w:hAnsi="Times New Roman"/>
          <w:sz w:val="24"/>
          <w:szCs w:val="24"/>
        </w:rPr>
        <w:t xml:space="preserve"> </w:t>
      </w:r>
      <w:r w:rsidRPr="007F3CAE">
        <w:rPr>
          <w:rFonts w:ascii="Times New Roman" w:hAnsi="Times New Roman"/>
          <w:sz w:val="24"/>
          <w:szCs w:val="24"/>
        </w:rPr>
        <w:t xml:space="preserve">report preparation is </w:t>
      </w:r>
      <w:r w:rsidR="00AB197C">
        <w:rPr>
          <w:rFonts w:ascii="Times New Roman" w:hAnsi="Times New Roman"/>
          <w:sz w:val="24"/>
          <w:szCs w:val="24"/>
        </w:rPr>
        <w:t>1</w:t>
      </w:r>
      <w:r w:rsidRPr="007F3CAE">
        <w:rPr>
          <w:rFonts w:ascii="Times New Roman" w:hAnsi="Times New Roman"/>
          <w:sz w:val="24"/>
          <w:szCs w:val="24"/>
        </w:rPr>
        <w:t xml:space="preserve"> x </w:t>
      </w:r>
      <w:r w:rsidR="0028171B">
        <w:rPr>
          <w:rFonts w:ascii="Times New Roman" w:hAnsi="Times New Roman"/>
          <w:sz w:val="24"/>
          <w:szCs w:val="24"/>
        </w:rPr>
        <w:t>14.75</w:t>
      </w:r>
      <w:r w:rsidR="0028171B" w:rsidRPr="007F3CAE">
        <w:rPr>
          <w:rFonts w:ascii="Times New Roman" w:hAnsi="Times New Roman"/>
          <w:sz w:val="24"/>
          <w:szCs w:val="24"/>
        </w:rPr>
        <w:t xml:space="preserve"> </w:t>
      </w:r>
      <w:r w:rsidRPr="007F3CAE">
        <w:rPr>
          <w:rFonts w:ascii="Times New Roman" w:hAnsi="Times New Roman"/>
          <w:sz w:val="24"/>
          <w:szCs w:val="24"/>
        </w:rPr>
        <w:t xml:space="preserve">hours, or </w:t>
      </w:r>
      <w:r w:rsidR="0028171B">
        <w:rPr>
          <w:rFonts w:ascii="Times New Roman" w:hAnsi="Times New Roman"/>
          <w:sz w:val="24"/>
          <w:szCs w:val="24"/>
        </w:rPr>
        <w:t>14.75</w:t>
      </w:r>
      <w:r w:rsidR="0028171B" w:rsidRPr="007F3CAE">
        <w:rPr>
          <w:rFonts w:ascii="Times New Roman" w:hAnsi="Times New Roman"/>
          <w:sz w:val="24"/>
          <w:szCs w:val="24"/>
        </w:rPr>
        <w:t xml:space="preserve"> </w:t>
      </w:r>
      <w:r w:rsidRPr="007F3CAE">
        <w:rPr>
          <w:rFonts w:ascii="Times New Roman" w:hAnsi="Times New Roman"/>
          <w:sz w:val="24"/>
          <w:szCs w:val="24"/>
        </w:rPr>
        <w:t>hours.</w:t>
      </w:r>
    </w:p>
    <w:p w14:paraId="20E8C1D5" w14:textId="77777777" w:rsidR="00F5104E" w:rsidRPr="00D017B8" w:rsidRDefault="00F5104E" w:rsidP="007150CB">
      <w:pPr>
        <w:pStyle w:val="Heading2"/>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Trade Name Notification</w:t>
      </w:r>
    </w:p>
    <w:p w14:paraId="1C60C66C"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47A8DFFF"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Some companies may report their customers’ uses as </w:t>
      </w:r>
      <w:r w:rsidR="00B647B7">
        <w:rPr>
          <w:rFonts w:ascii="Times New Roman" w:hAnsi="Times New Roman"/>
          <w:sz w:val="24"/>
          <w:szCs w:val="24"/>
        </w:rPr>
        <w:t>“</w:t>
      </w:r>
      <w:r w:rsidRPr="007F3CAE">
        <w:rPr>
          <w:rFonts w:ascii="Times New Roman" w:hAnsi="Times New Roman"/>
          <w:sz w:val="24"/>
          <w:szCs w:val="24"/>
        </w:rPr>
        <w:t>unknown</w:t>
      </w:r>
      <w:r w:rsidR="00B647B7">
        <w:rPr>
          <w:rFonts w:ascii="Times New Roman" w:hAnsi="Times New Roman"/>
          <w:sz w:val="24"/>
          <w:szCs w:val="24"/>
        </w:rPr>
        <w:t>”</w:t>
      </w:r>
      <w:r w:rsidRPr="007F3CAE">
        <w:rPr>
          <w:rFonts w:ascii="Times New Roman" w:hAnsi="Times New Roman"/>
          <w:sz w:val="24"/>
          <w:szCs w:val="24"/>
        </w:rPr>
        <w:t xml:space="preserve"> for more than</w:t>
      </w:r>
      <w:r w:rsidR="007826C6" w:rsidRPr="007F3CAE">
        <w:rPr>
          <w:rFonts w:ascii="Times New Roman" w:hAnsi="Times New Roman"/>
          <w:sz w:val="24"/>
          <w:szCs w:val="24"/>
        </w:rPr>
        <w:t xml:space="preserve"> </w:t>
      </w:r>
      <w:r w:rsidRPr="007F3CAE">
        <w:rPr>
          <w:rFonts w:ascii="Times New Roman" w:hAnsi="Times New Roman"/>
          <w:sz w:val="24"/>
          <w:szCs w:val="24"/>
        </w:rPr>
        <w:t>twenty percent of their volume. These companies must list under Item 10 of the PAIR</w:t>
      </w:r>
      <w:r w:rsidR="007826C6" w:rsidRPr="007F3CAE">
        <w:rPr>
          <w:rFonts w:ascii="Times New Roman" w:hAnsi="Times New Roman"/>
          <w:sz w:val="24"/>
          <w:szCs w:val="24"/>
        </w:rPr>
        <w:t xml:space="preserve"> </w:t>
      </w:r>
      <w:r w:rsidRPr="007F3CAE">
        <w:rPr>
          <w:rFonts w:ascii="Times New Roman" w:hAnsi="Times New Roman"/>
          <w:sz w:val="24"/>
          <w:szCs w:val="24"/>
        </w:rPr>
        <w:t>reporting form the market (trade) name(s) under which they distribute the chemical. This</w:t>
      </w:r>
      <w:r w:rsidR="007826C6" w:rsidRPr="007F3CAE">
        <w:rPr>
          <w:rFonts w:ascii="Times New Roman" w:hAnsi="Times New Roman"/>
          <w:sz w:val="24"/>
          <w:szCs w:val="24"/>
        </w:rPr>
        <w:t xml:space="preserve"> </w:t>
      </w:r>
      <w:r w:rsidRPr="007F3CAE">
        <w:rPr>
          <w:rFonts w:ascii="Times New Roman" w:hAnsi="Times New Roman"/>
          <w:sz w:val="24"/>
          <w:szCs w:val="24"/>
        </w:rPr>
        <w:t>reporting is referred to as trade name notification.</w:t>
      </w:r>
      <w:r w:rsidR="007826C6" w:rsidRPr="007F3CAE">
        <w:rPr>
          <w:rStyle w:val="FootnoteReference"/>
          <w:rFonts w:ascii="Times New Roman" w:hAnsi="Times New Roman"/>
          <w:sz w:val="24"/>
          <w:szCs w:val="24"/>
        </w:rPr>
        <w:footnoteReference w:id="2"/>
      </w:r>
    </w:p>
    <w:p w14:paraId="34A60D68"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615D2B77"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All commercial manufacturing, importing and processing sites that distribute any</w:t>
      </w:r>
      <w:r w:rsidR="007826C6" w:rsidRPr="007F3CAE">
        <w:rPr>
          <w:rFonts w:ascii="Times New Roman" w:hAnsi="Times New Roman"/>
          <w:sz w:val="24"/>
          <w:szCs w:val="24"/>
        </w:rPr>
        <w:t xml:space="preserve"> </w:t>
      </w:r>
      <w:r w:rsidRPr="007F3CAE">
        <w:rPr>
          <w:rFonts w:ascii="Times New Roman" w:hAnsi="Times New Roman"/>
          <w:sz w:val="24"/>
          <w:szCs w:val="24"/>
        </w:rPr>
        <w:t>of the chemicals subjected to a PAIR reporting rule under a trade name must take steps to</w:t>
      </w:r>
      <w:r w:rsidR="007826C6" w:rsidRPr="007F3CAE">
        <w:rPr>
          <w:rFonts w:ascii="Times New Roman" w:hAnsi="Times New Roman"/>
          <w:sz w:val="24"/>
          <w:szCs w:val="24"/>
        </w:rPr>
        <w:t xml:space="preserve"> </w:t>
      </w:r>
      <w:r w:rsidRPr="007F3CAE">
        <w:rPr>
          <w:rFonts w:ascii="Times New Roman" w:hAnsi="Times New Roman"/>
          <w:sz w:val="24"/>
          <w:szCs w:val="24"/>
        </w:rPr>
        <w:t>ensure that information about the downstream processors is submitted to EPA. Firms</w:t>
      </w:r>
      <w:r w:rsidR="007826C6" w:rsidRPr="007F3CAE">
        <w:rPr>
          <w:rFonts w:ascii="Times New Roman" w:hAnsi="Times New Roman"/>
          <w:sz w:val="24"/>
          <w:szCs w:val="24"/>
        </w:rPr>
        <w:t xml:space="preserve"> </w:t>
      </w:r>
      <w:r w:rsidRPr="007F3CAE">
        <w:rPr>
          <w:rFonts w:ascii="Times New Roman" w:hAnsi="Times New Roman"/>
          <w:sz w:val="24"/>
          <w:szCs w:val="24"/>
        </w:rPr>
        <w:t>may cho</w:t>
      </w:r>
      <w:r w:rsidR="007826C6" w:rsidRPr="007F3CAE">
        <w:rPr>
          <w:rFonts w:ascii="Times New Roman" w:hAnsi="Times New Roman"/>
          <w:sz w:val="24"/>
          <w:szCs w:val="24"/>
        </w:rPr>
        <w:t>o</w:t>
      </w:r>
      <w:r w:rsidRPr="007F3CAE">
        <w:rPr>
          <w:rFonts w:ascii="Times New Roman" w:hAnsi="Times New Roman"/>
          <w:sz w:val="24"/>
          <w:szCs w:val="24"/>
        </w:rPr>
        <w:t>se among several options to meet trade name notification requirements,</w:t>
      </w:r>
      <w:r w:rsidR="007826C6" w:rsidRPr="007F3CAE">
        <w:rPr>
          <w:rFonts w:ascii="Times New Roman" w:hAnsi="Times New Roman"/>
          <w:sz w:val="24"/>
          <w:szCs w:val="24"/>
        </w:rPr>
        <w:t xml:space="preserve"> </w:t>
      </w:r>
      <w:r w:rsidRPr="007F3CAE">
        <w:rPr>
          <w:rFonts w:ascii="Times New Roman" w:hAnsi="Times New Roman"/>
          <w:sz w:val="24"/>
          <w:szCs w:val="24"/>
        </w:rPr>
        <w:t>including:</w:t>
      </w:r>
    </w:p>
    <w:p w14:paraId="4E596885"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570B8C8F" w14:textId="77777777" w:rsidR="00F5104E" w:rsidRPr="007F3CAE" w:rsidRDefault="00F5104E" w:rsidP="007826C6">
      <w:pPr>
        <w:pStyle w:val="ListParagraph"/>
        <w:numPr>
          <w:ilvl w:val="0"/>
          <w:numId w:val="19"/>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 xml:space="preserve">Submit trade name data to EPA for listing in the </w:t>
      </w:r>
      <w:r w:rsidRPr="00FE2264">
        <w:rPr>
          <w:rFonts w:ascii="Times New Roman" w:hAnsi="Times New Roman"/>
          <w:i/>
          <w:sz w:val="24"/>
          <w:szCs w:val="24"/>
        </w:rPr>
        <w:t>Federal Register</w:t>
      </w:r>
      <w:r w:rsidRPr="007F3CAE">
        <w:rPr>
          <w:rFonts w:ascii="Times New Roman" w:hAnsi="Times New Roman"/>
          <w:sz w:val="24"/>
          <w:szCs w:val="24"/>
        </w:rPr>
        <w:t>;</w:t>
      </w:r>
    </w:p>
    <w:p w14:paraId="711C2668" w14:textId="77777777" w:rsidR="00F5104E" w:rsidRPr="007F3CAE" w:rsidRDefault="00F5104E" w:rsidP="007826C6">
      <w:pPr>
        <w:pStyle w:val="ListParagraph"/>
        <w:numPr>
          <w:ilvl w:val="0"/>
          <w:numId w:val="19"/>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Notify all customers of the need to report; or</w:t>
      </w:r>
    </w:p>
    <w:p w14:paraId="5FFA6987" w14:textId="77777777" w:rsidR="00F5104E" w:rsidRPr="007F3CAE" w:rsidRDefault="00F5104E" w:rsidP="007826C6">
      <w:pPr>
        <w:pStyle w:val="ListParagraph"/>
        <w:numPr>
          <w:ilvl w:val="0"/>
          <w:numId w:val="19"/>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Complete the reporting requirements for each customer.</w:t>
      </w:r>
    </w:p>
    <w:p w14:paraId="24AF42BA" w14:textId="77777777" w:rsidR="00985332" w:rsidRPr="007F3CAE" w:rsidRDefault="00985332" w:rsidP="00985332">
      <w:pPr>
        <w:pStyle w:val="ListParagraph"/>
        <w:autoSpaceDE w:val="0"/>
        <w:autoSpaceDN w:val="0"/>
        <w:adjustRightInd w:val="0"/>
        <w:spacing w:after="0" w:line="240" w:lineRule="auto"/>
        <w:rPr>
          <w:rFonts w:ascii="Times New Roman" w:hAnsi="Times New Roman"/>
          <w:sz w:val="24"/>
          <w:szCs w:val="24"/>
        </w:rPr>
      </w:pPr>
    </w:p>
    <w:p w14:paraId="729F9583"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ICR assumes that companies will adopt the least-costly reporting alternative</w:t>
      </w:r>
      <w:r w:rsidR="007826C6" w:rsidRPr="007F3CAE">
        <w:rPr>
          <w:rFonts w:ascii="Times New Roman" w:hAnsi="Times New Roman"/>
          <w:sz w:val="24"/>
          <w:szCs w:val="24"/>
        </w:rPr>
        <w:t xml:space="preserve"> </w:t>
      </w:r>
      <w:r w:rsidRPr="007F3CAE">
        <w:rPr>
          <w:rFonts w:ascii="Times New Roman" w:hAnsi="Times New Roman"/>
          <w:sz w:val="24"/>
          <w:szCs w:val="24"/>
        </w:rPr>
        <w:t xml:space="preserve">of providing a trade name list to EPA for inclusion in the </w:t>
      </w:r>
      <w:r w:rsidRPr="00FE2264">
        <w:rPr>
          <w:rFonts w:ascii="Times New Roman" w:hAnsi="Times New Roman"/>
          <w:i/>
          <w:sz w:val="24"/>
          <w:szCs w:val="24"/>
        </w:rPr>
        <w:t>Federal Register</w:t>
      </w:r>
      <w:r w:rsidRPr="007F3CAE">
        <w:rPr>
          <w:rFonts w:ascii="Times New Roman" w:hAnsi="Times New Roman"/>
          <w:sz w:val="24"/>
          <w:szCs w:val="24"/>
        </w:rPr>
        <w:t>. However,</w:t>
      </w:r>
      <w:r w:rsidR="007826C6" w:rsidRPr="007F3CAE">
        <w:rPr>
          <w:rFonts w:ascii="Times New Roman" w:hAnsi="Times New Roman"/>
          <w:sz w:val="24"/>
          <w:szCs w:val="24"/>
        </w:rPr>
        <w:t xml:space="preserve"> </w:t>
      </w:r>
      <w:r w:rsidRPr="007F3CAE">
        <w:rPr>
          <w:rFonts w:ascii="Times New Roman" w:hAnsi="Times New Roman"/>
          <w:sz w:val="24"/>
          <w:szCs w:val="24"/>
        </w:rPr>
        <w:t>trade name notification is not relevant if processor reporting is not required.</w:t>
      </w:r>
    </w:p>
    <w:p w14:paraId="6F37A86A"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4544E504"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Furthermore, this ICR also assumes that all manufacturers and importers will incur trade</w:t>
      </w:r>
      <w:r w:rsidR="007826C6" w:rsidRPr="007F3CAE">
        <w:rPr>
          <w:rFonts w:ascii="Times New Roman" w:hAnsi="Times New Roman"/>
          <w:sz w:val="24"/>
          <w:szCs w:val="24"/>
        </w:rPr>
        <w:t xml:space="preserve"> </w:t>
      </w:r>
      <w:r w:rsidRPr="007F3CAE">
        <w:rPr>
          <w:rFonts w:ascii="Times New Roman" w:hAnsi="Times New Roman"/>
          <w:sz w:val="24"/>
          <w:szCs w:val="24"/>
        </w:rPr>
        <w:t>name notification costs, but does not address processors due to the lack of data on</w:t>
      </w:r>
      <w:r w:rsidR="007826C6" w:rsidRPr="007F3CAE">
        <w:rPr>
          <w:rFonts w:ascii="Times New Roman" w:hAnsi="Times New Roman"/>
          <w:sz w:val="24"/>
          <w:szCs w:val="24"/>
        </w:rPr>
        <w:t xml:space="preserve"> </w:t>
      </w:r>
      <w:r w:rsidRPr="007F3CAE">
        <w:rPr>
          <w:rFonts w:ascii="Times New Roman" w:hAnsi="Times New Roman"/>
          <w:sz w:val="24"/>
          <w:szCs w:val="24"/>
        </w:rPr>
        <w:t>processor reporting. In the 1994 EPA PAIR ICR,</w:t>
      </w:r>
      <w:r w:rsidR="002E4D68" w:rsidRPr="007F3CAE">
        <w:rPr>
          <w:rStyle w:val="FootnoteReference"/>
          <w:rFonts w:ascii="Times New Roman" w:hAnsi="Times New Roman"/>
          <w:sz w:val="24"/>
          <w:szCs w:val="24"/>
        </w:rPr>
        <w:footnoteReference w:id="3"/>
      </w:r>
      <w:r w:rsidRPr="007F3CAE">
        <w:rPr>
          <w:rFonts w:ascii="Times New Roman" w:hAnsi="Times New Roman"/>
          <w:sz w:val="24"/>
          <w:szCs w:val="24"/>
        </w:rPr>
        <w:t xml:space="preserve"> the unit burden of trade name</w:t>
      </w:r>
      <w:r w:rsidR="007826C6" w:rsidRPr="007F3CAE">
        <w:rPr>
          <w:rFonts w:ascii="Times New Roman" w:hAnsi="Times New Roman"/>
          <w:sz w:val="24"/>
          <w:szCs w:val="24"/>
        </w:rPr>
        <w:t xml:space="preserve"> </w:t>
      </w:r>
      <w:r w:rsidRPr="007F3CAE">
        <w:rPr>
          <w:rFonts w:ascii="Times New Roman" w:hAnsi="Times New Roman"/>
          <w:sz w:val="24"/>
          <w:szCs w:val="24"/>
        </w:rPr>
        <w:t xml:space="preserve">notification was given as 3.2 hours (i.e., 2.2 hours managerial and 1.0 hours </w:t>
      </w:r>
      <w:r w:rsidR="0028171B">
        <w:rPr>
          <w:rFonts w:ascii="Times New Roman" w:hAnsi="Times New Roman"/>
          <w:sz w:val="24"/>
          <w:szCs w:val="24"/>
        </w:rPr>
        <w:t>clerical</w:t>
      </w:r>
      <w:r w:rsidRPr="007F3CAE">
        <w:rPr>
          <w:rFonts w:ascii="Times New Roman" w:hAnsi="Times New Roman"/>
          <w:sz w:val="24"/>
          <w:szCs w:val="24"/>
        </w:rPr>
        <w:t>)</w:t>
      </w:r>
      <w:r w:rsidR="0033759D">
        <w:rPr>
          <w:rFonts w:ascii="Times New Roman" w:hAnsi="Times New Roman"/>
          <w:sz w:val="24"/>
          <w:szCs w:val="24"/>
        </w:rPr>
        <w:t>, for this analysis the 1.0 hours of clerical burden is removed to adjust for electronic submissions, for a total burden of 2.2 hours per report.</w:t>
      </w:r>
    </w:p>
    <w:p w14:paraId="7F12A3B0" w14:textId="77777777" w:rsidR="00AB5220" w:rsidRPr="007F3CAE" w:rsidRDefault="00AB5220" w:rsidP="00F5104E">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710"/>
        <w:gridCol w:w="1530"/>
        <w:gridCol w:w="1522"/>
        <w:gridCol w:w="1358"/>
      </w:tblGrid>
      <w:tr w:rsidR="00A7367E" w:rsidRPr="002C7CCA" w14:paraId="77849BC8" w14:textId="77777777" w:rsidTr="0093025C">
        <w:tc>
          <w:tcPr>
            <w:tcW w:w="9018" w:type="dxa"/>
            <w:gridSpan w:val="5"/>
          </w:tcPr>
          <w:p w14:paraId="091EA3F5"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CE068E">
              <w:rPr>
                <w:rFonts w:ascii="Times New Roman" w:hAnsi="Times New Roman"/>
                <w:b/>
                <w:noProof/>
                <w:sz w:val="24"/>
                <w:szCs w:val="24"/>
              </w:rPr>
              <w:t>4</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Per-Report Burden Hours for Trade Name Notification</w:t>
            </w:r>
          </w:p>
        </w:tc>
      </w:tr>
      <w:tr w:rsidR="00B31E7D" w:rsidRPr="002C7CCA" w14:paraId="06FA6043" w14:textId="77777777" w:rsidTr="002C7CCA">
        <w:tc>
          <w:tcPr>
            <w:tcW w:w="2898" w:type="dxa"/>
          </w:tcPr>
          <w:p w14:paraId="3559472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710" w:type="dxa"/>
          </w:tcPr>
          <w:p w14:paraId="3D0CB5E8" w14:textId="77777777" w:rsidR="00AB5220" w:rsidRPr="002C7CCA" w:rsidRDefault="0033759D" w:rsidP="0033759D">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w:t>
            </w:r>
            <w:r w:rsidR="002E5634">
              <w:rPr>
                <w:rFonts w:ascii="Times New Roman" w:eastAsiaTheme="minorHAnsi" w:hAnsi="Times New Roman"/>
                <w:b/>
                <w:sz w:val="24"/>
                <w:szCs w:val="24"/>
              </w:rPr>
              <w:t>lerical</w:t>
            </w:r>
          </w:p>
        </w:tc>
        <w:tc>
          <w:tcPr>
            <w:tcW w:w="1530" w:type="dxa"/>
          </w:tcPr>
          <w:p w14:paraId="2BAB6B56"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522" w:type="dxa"/>
          </w:tcPr>
          <w:p w14:paraId="6A4184DA"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358" w:type="dxa"/>
          </w:tcPr>
          <w:p w14:paraId="6E928B64"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31E7D" w:rsidRPr="002C7CCA" w14:paraId="3334A336" w14:textId="77777777" w:rsidTr="002C7CCA">
        <w:tc>
          <w:tcPr>
            <w:tcW w:w="2898" w:type="dxa"/>
          </w:tcPr>
          <w:p w14:paraId="4E4B913A" w14:textId="77777777" w:rsidR="00AB5220" w:rsidRPr="002C7CCA" w:rsidRDefault="00AB5220"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Trade Name Notification</w:t>
            </w:r>
          </w:p>
        </w:tc>
        <w:tc>
          <w:tcPr>
            <w:tcW w:w="1710" w:type="dxa"/>
            <w:vAlign w:val="center"/>
          </w:tcPr>
          <w:p w14:paraId="440F4253" w14:textId="77777777" w:rsidR="00AB5220" w:rsidRPr="002C7CCA" w:rsidRDefault="00867568" w:rsidP="002C7CCA">
            <w:pPr>
              <w:autoSpaceDE w:val="0"/>
              <w:autoSpaceDN w:val="0"/>
              <w:adjustRightInd w:val="0"/>
              <w:spacing w:after="0" w:line="240" w:lineRule="auto"/>
              <w:jc w:val="center"/>
              <w:rPr>
                <w:rFonts w:ascii="Times New Roman" w:eastAsiaTheme="minorHAnsi" w:hAnsi="Times New Roman"/>
                <w:sz w:val="24"/>
                <w:szCs w:val="24"/>
              </w:rPr>
            </w:pPr>
            <w:r w:rsidRPr="00F33AEB">
              <w:rPr>
                <w:rFonts w:ascii="Times New Roman" w:hAnsi="Times New Roman"/>
                <w:color w:val="000000"/>
              </w:rPr>
              <w:t>0</w:t>
            </w:r>
            <w:r>
              <w:rPr>
                <w:rFonts w:ascii="Times New Roman" w:hAnsi="Times New Roman"/>
                <w:color w:val="000000"/>
              </w:rPr>
              <w:t>.00</w:t>
            </w:r>
          </w:p>
        </w:tc>
        <w:tc>
          <w:tcPr>
            <w:tcW w:w="1530" w:type="dxa"/>
            <w:vAlign w:val="center"/>
          </w:tcPr>
          <w:p w14:paraId="18704558"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0.00</w:t>
            </w:r>
          </w:p>
        </w:tc>
        <w:tc>
          <w:tcPr>
            <w:tcW w:w="1522" w:type="dxa"/>
            <w:vAlign w:val="center"/>
          </w:tcPr>
          <w:p w14:paraId="2620F69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2.20</w:t>
            </w:r>
          </w:p>
        </w:tc>
        <w:tc>
          <w:tcPr>
            <w:tcW w:w="1358" w:type="dxa"/>
            <w:vAlign w:val="center"/>
          </w:tcPr>
          <w:p w14:paraId="59A1E756" w14:textId="77777777" w:rsidR="00AB5220" w:rsidRPr="002C7CCA" w:rsidRDefault="002E5634"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2.20</w:t>
            </w:r>
          </w:p>
        </w:tc>
      </w:tr>
    </w:tbl>
    <w:p w14:paraId="056627B6" w14:textId="77777777" w:rsidR="00AB5220" w:rsidRPr="007F3CAE" w:rsidRDefault="00AB5220" w:rsidP="00F5104E">
      <w:pPr>
        <w:autoSpaceDE w:val="0"/>
        <w:autoSpaceDN w:val="0"/>
        <w:adjustRightInd w:val="0"/>
        <w:spacing w:after="0" w:line="240" w:lineRule="auto"/>
        <w:rPr>
          <w:rFonts w:ascii="Times New Roman" w:hAnsi="Times New Roman"/>
          <w:b/>
          <w:bCs/>
          <w:sz w:val="24"/>
          <w:szCs w:val="24"/>
        </w:rPr>
      </w:pPr>
    </w:p>
    <w:p w14:paraId="3B0E2378" w14:textId="77777777" w:rsidR="00EA3FE1" w:rsidRDefault="00F5104E" w:rsidP="00EA3FE1">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Given that each site produces an average of </w:t>
      </w:r>
      <w:r w:rsidR="00AB197C">
        <w:rPr>
          <w:rFonts w:ascii="Times New Roman" w:hAnsi="Times New Roman"/>
          <w:sz w:val="24"/>
          <w:szCs w:val="24"/>
        </w:rPr>
        <w:t>1</w:t>
      </w:r>
      <w:r w:rsidR="00A30ABB" w:rsidRPr="007F3CAE">
        <w:rPr>
          <w:rFonts w:ascii="Times New Roman" w:hAnsi="Times New Roman"/>
          <w:sz w:val="24"/>
          <w:szCs w:val="24"/>
        </w:rPr>
        <w:t xml:space="preserve"> </w:t>
      </w:r>
      <w:r w:rsidRPr="007F3CAE">
        <w:rPr>
          <w:rFonts w:ascii="Times New Roman" w:hAnsi="Times New Roman"/>
          <w:sz w:val="24"/>
          <w:szCs w:val="24"/>
        </w:rPr>
        <w:t>report, the trade name</w:t>
      </w:r>
      <w:r w:rsidR="007826C6" w:rsidRPr="007F3CAE">
        <w:rPr>
          <w:rFonts w:ascii="Times New Roman" w:hAnsi="Times New Roman"/>
          <w:sz w:val="24"/>
          <w:szCs w:val="24"/>
        </w:rPr>
        <w:t xml:space="preserve"> </w:t>
      </w:r>
      <w:r w:rsidRPr="007F3CAE">
        <w:rPr>
          <w:rFonts w:ascii="Times New Roman" w:hAnsi="Times New Roman"/>
          <w:sz w:val="24"/>
          <w:szCs w:val="24"/>
        </w:rPr>
        <w:t xml:space="preserve">notification per-site burden for trade name notification is </w:t>
      </w:r>
      <w:r w:rsidR="00AB197C">
        <w:rPr>
          <w:rFonts w:ascii="Times New Roman" w:hAnsi="Times New Roman"/>
          <w:sz w:val="24"/>
          <w:szCs w:val="24"/>
        </w:rPr>
        <w:t>1</w:t>
      </w:r>
      <w:r w:rsidRPr="007F3CAE">
        <w:rPr>
          <w:rFonts w:ascii="Times New Roman" w:hAnsi="Times New Roman"/>
          <w:sz w:val="24"/>
          <w:szCs w:val="24"/>
        </w:rPr>
        <w:t xml:space="preserve"> x </w:t>
      </w:r>
      <w:r w:rsidR="0033759D">
        <w:rPr>
          <w:rFonts w:ascii="Times New Roman" w:hAnsi="Times New Roman"/>
          <w:sz w:val="24"/>
          <w:szCs w:val="24"/>
        </w:rPr>
        <w:t>2</w:t>
      </w:r>
      <w:r w:rsidRPr="007F3CAE">
        <w:rPr>
          <w:rFonts w:ascii="Times New Roman" w:hAnsi="Times New Roman"/>
          <w:sz w:val="24"/>
          <w:szCs w:val="24"/>
        </w:rPr>
        <w:t xml:space="preserve">.2 hours, or </w:t>
      </w:r>
      <w:r w:rsidR="0033759D">
        <w:rPr>
          <w:rFonts w:ascii="Times New Roman" w:hAnsi="Times New Roman"/>
          <w:sz w:val="24"/>
          <w:szCs w:val="24"/>
        </w:rPr>
        <w:t>2</w:t>
      </w:r>
      <w:r w:rsidR="00AB197C">
        <w:rPr>
          <w:rFonts w:ascii="Times New Roman" w:hAnsi="Times New Roman"/>
          <w:sz w:val="24"/>
          <w:szCs w:val="24"/>
        </w:rPr>
        <w:t>.2</w:t>
      </w:r>
      <w:r w:rsidRPr="007F3CAE">
        <w:rPr>
          <w:rFonts w:ascii="Times New Roman" w:hAnsi="Times New Roman"/>
          <w:sz w:val="24"/>
          <w:szCs w:val="24"/>
        </w:rPr>
        <w:t xml:space="preserve"> hours.</w:t>
      </w:r>
    </w:p>
    <w:p w14:paraId="28738ED5" w14:textId="77777777" w:rsidR="00EA3FE1" w:rsidRDefault="00EA3FE1" w:rsidP="00EA3FE1">
      <w:pPr>
        <w:autoSpaceDE w:val="0"/>
        <w:autoSpaceDN w:val="0"/>
        <w:adjustRightInd w:val="0"/>
        <w:spacing w:after="0" w:line="240" w:lineRule="auto"/>
        <w:ind w:firstLine="720"/>
        <w:rPr>
          <w:rFonts w:ascii="Times New Roman" w:hAnsi="Times New Roman"/>
          <w:sz w:val="24"/>
          <w:szCs w:val="24"/>
        </w:rPr>
      </w:pPr>
    </w:p>
    <w:p w14:paraId="743B4BDB" w14:textId="77777777" w:rsidR="00F5104E" w:rsidRPr="00EA3FE1" w:rsidRDefault="00F5104E" w:rsidP="00EA3FE1">
      <w:pPr>
        <w:autoSpaceDE w:val="0"/>
        <w:autoSpaceDN w:val="0"/>
        <w:adjustRightInd w:val="0"/>
        <w:spacing w:after="0" w:line="240" w:lineRule="auto"/>
        <w:ind w:firstLine="720"/>
        <w:rPr>
          <w:rFonts w:ascii="Times New Roman" w:hAnsi="Times New Roman"/>
          <w:b/>
          <w:i/>
          <w:sz w:val="24"/>
          <w:szCs w:val="24"/>
        </w:rPr>
      </w:pPr>
      <w:r w:rsidRPr="00EA3FE1">
        <w:rPr>
          <w:rFonts w:ascii="Times New Roman" w:hAnsi="Times New Roman"/>
          <w:i/>
          <w:sz w:val="24"/>
          <w:szCs w:val="24"/>
        </w:rPr>
        <w:t>CBI Substantiation</w:t>
      </w:r>
    </w:p>
    <w:p w14:paraId="21D9FF88"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432CB855" w14:textId="2B1B3F68" w:rsidR="001B7106"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 company may make claims of confidentiality for any data element contained in</w:t>
      </w:r>
      <w:r w:rsidR="007826C6" w:rsidRPr="007F3CAE">
        <w:rPr>
          <w:rFonts w:ascii="Times New Roman" w:hAnsi="Times New Roman"/>
          <w:sz w:val="24"/>
          <w:szCs w:val="24"/>
        </w:rPr>
        <w:t xml:space="preserve"> </w:t>
      </w:r>
      <w:r w:rsidRPr="007F3CAE">
        <w:rPr>
          <w:rFonts w:ascii="Times New Roman" w:hAnsi="Times New Roman"/>
          <w:sz w:val="24"/>
          <w:szCs w:val="24"/>
        </w:rPr>
        <w:t>its submission. For each CBI (confidential business information) claim, generic</w:t>
      </w:r>
      <w:r w:rsidR="007826C6" w:rsidRPr="007F3CAE">
        <w:rPr>
          <w:rFonts w:ascii="Times New Roman" w:hAnsi="Times New Roman"/>
          <w:sz w:val="24"/>
          <w:szCs w:val="24"/>
        </w:rPr>
        <w:t xml:space="preserve"> </w:t>
      </w:r>
      <w:r w:rsidRPr="007F3CAE">
        <w:rPr>
          <w:rFonts w:ascii="Times New Roman" w:hAnsi="Times New Roman"/>
          <w:sz w:val="24"/>
          <w:szCs w:val="24"/>
        </w:rPr>
        <w:t>information must be supplied for a non-CBI copy of the submission (i.e., a sanitized</w:t>
      </w:r>
      <w:r w:rsidR="007826C6" w:rsidRPr="007F3CAE">
        <w:rPr>
          <w:rFonts w:ascii="Times New Roman" w:hAnsi="Times New Roman"/>
          <w:sz w:val="24"/>
          <w:szCs w:val="24"/>
        </w:rPr>
        <w:t xml:space="preserve"> </w:t>
      </w:r>
      <w:r w:rsidRPr="007F3CAE">
        <w:rPr>
          <w:rFonts w:ascii="Times New Roman" w:hAnsi="Times New Roman"/>
          <w:sz w:val="24"/>
          <w:szCs w:val="24"/>
        </w:rPr>
        <w:t>version must also be submitted). It is assumed that most of the time required for CBI</w:t>
      </w:r>
      <w:r w:rsidR="007826C6" w:rsidRPr="007F3CAE">
        <w:rPr>
          <w:rFonts w:ascii="Times New Roman" w:hAnsi="Times New Roman"/>
          <w:sz w:val="24"/>
          <w:szCs w:val="24"/>
        </w:rPr>
        <w:t xml:space="preserve"> </w:t>
      </w:r>
      <w:r w:rsidRPr="007F3CAE">
        <w:rPr>
          <w:rFonts w:ascii="Times New Roman" w:hAnsi="Times New Roman"/>
          <w:sz w:val="24"/>
          <w:szCs w:val="24"/>
        </w:rPr>
        <w:t>substantiation involves managerial staff discussion of whether or not to make a CBI</w:t>
      </w:r>
      <w:r w:rsidR="007826C6" w:rsidRPr="007F3CAE">
        <w:rPr>
          <w:rFonts w:ascii="Times New Roman" w:hAnsi="Times New Roman"/>
          <w:sz w:val="24"/>
          <w:szCs w:val="24"/>
        </w:rPr>
        <w:t xml:space="preserve"> </w:t>
      </w:r>
      <w:r w:rsidRPr="007F3CAE">
        <w:rPr>
          <w:rFonts w:ascii="Times New Roman" w:hAnsi="Times New Roman"/>
          <w:sz w:val="24"/>
          <w:szCs w:val="24"/>
        </w:rPr>
        <w:t>claim. Furthermore, it is assumed that all firms will review their submissions for CBI</w:t>
      </w:r>
      <w:r w:rsidR="007826C6" w:rsidRPr="007F3CAE">
        <w:rPr>
          <w:rFonts w:ascii="Times New Roman" w:hAnsi="Times New Roman"/>
          <w:sz w:val="24"/>
          <w:szCs w:val="24"/>
        </w:rPr>
        <w:t xml:space="preserve"> </w:t>
      </w:r>
      <w:r w:rsidRPr="007F3CAE">
        <w:rPr>
          <w:rFonts w:ascii="Times New Roman" w:hAnsi="Times New Roman"/>
          <w:sz w:val="24"/>
          <w:szCs w:val="24"/>
        </w:rPr>
        <w:t xml:space="preserve">content. </w:t>
      </w:r>
    </w:p>
    <w:p w14:paraId="4F5C486E" w14:textId="77777777" w:rsidR="00E75D80" w:rsidRDefault="00E75D80" w:rsidP="00CA78BE">
      <w:pPr>
        <w:autoSpaceDE w:val="0"/>
        <w:autoSpaceDN w:val="0"/>
        <w:adjustRightInd w:val="0"/>
        <w:spacing w:after="0" w:line="240" w:lineRule="auto"/>
        <w:ind w:firstLine="720"/>
        <w:rPr>
          <w:rFonts w:ascii="Times New Roman" w:hAnsi="Times New Roman"/>
          <w:sz w:val="24"/>
          <w:szCs w:val="24"/>
        </w:rPr>
      </w:pPr>
    </w:p>
    <w:p w14:paraId="25A86A00" w14:textId="651E07EA" w:rsidR="001B7106" w:rsidRDefault="001B7106" w:rsidP="00CA78BE">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The Lautenberg Act, passed in 2016 reformed TSCA and increased requirements for TSCA CBI substantiation claims. These changes significantly change the CBI substantiation burden from prior ICR </w:t>
      </w:r>
      <w:r w:rsidR="006B50F2">
        <w:rPr>
          <w:rFonts w:ascii="Times New Roman" w:hAnsi="Times New Roman"/>
          <w:sz w:val="24"/>
          <w:szCs w:val="24"/>
        </w:rPr>
        <w:t xml:space="preserve">updates. The previous ICR </w:t>
      </w:r>
      <w:r w:rsidR="00B75644">
        <w:rPr>
          <w:rFonts w:ascii="Times New Roman" w:hAnsi="Times New Roman"/>
          <w:sz w:val="24"/>
          <w:szCs w:val="24"/>
        </w:rPr>
        <w:t xml:space="preserve">assumed that all CBI substantiation burden was a managerial decision. The Lautenberg Act changed TSCA to require a statement that the submitter has (1) taken reasonable measures to protect the confidentiality of the information, (2) determined that the information is not required to be disclosed or otherwise made available to the public under any other Federal law, (3) </w:t>
      </w:r>
      <w:r w:rsidR="000D1459">
        <w:rPr>
          <w:rFonts w:ascii="Times New Roman" w:hAnsi="Times New Roman"/>
          <w:sz w:val="24"/>
          <w:szCs w:val="24"/>
        </w:rPr>
        <w:t xml:space="preserve">has </w:t>
      </w:r>
      <w:r w:rsidR="00B75644">
        <w:rPr>
          <w:rFonts w:ascii="Times New Roman" w:hAnsi="Times New Roman"/>
          <w:sz w:val="24"/>
          <w:szCs w:val="24"/>
        </w:rPr>
        <w:t xml:space="preserve">a reasonable basis to conclude that disclosure of the information is likely to cause substantial harm to the competitive position of the person; and (4) </w:t>
      </w:r>
      <w:r w:rsidR="000D1459">
        <w:rPr>
          <w:rFonts w:ascii="Times New Roman" w:hAnsi="Times New Roman"/>
          <w:sz w:val="24"/>
          <w:szCs w:val="24"/>
        </w:rPr>
        <w:t xml:space="preserve">has </w:t>
      </w:r>
      <w:r w:rsidR="00B75644">
        <w:rPr>
          <w:rFonts w:ascii="Times New Roman" w:hAnsi="Times New Roman"/>
          <w:sz w:val="24"/>
          <w:szCs w:val="24"/>
        </w:rPr>
        <w:t>a reasonable basis to believe that the information is not readily discoverable through reverse engineering.</w:t>
      </w:r>
      <w:r w:rsidR="00B75644">
        <w:rPr>
          <w:rStyle w:val="FootnoteReference"/>
          <w:rFonts w:ascii="Times New Roman" w:hAnsi="Times New Roman"/>
          <w:sz w:val="24"/>
          <w:szCs w:val="24"/>
        </w:rPr>
        <w:footnoteReference w:id="4"/>
      </w:r>
      <w:r>
        <w:rPr>
          <w:rFonts w:ascii="Times New Roman" w:hAnsi="Times New Roman"/>
          <w:sz w:val="24"/>
          <w:szCs w:val="24"/>
        </w:rPr>
        <w:t xml:space="preserve"> </w:t>
      </w:r>
      <w:r w:rsidR="00B75644">
        <w:rPr>
          <w:rFonts w:ascii="Times New Roman" w:hAnsi="Times New Roman"/>
          <w:sz w:val="24"/>
          <w:szCs w:val="24"/>
        </w:rPr>
        <w:t>These additional questions make CBI substantiation more a technical than a managerial decision. The previous ICR update assumed 4 hours of managerial time per report; this update estimates 1.270 hours of managerial time and 4.075 hours of technical time per report for a total of 5.345 hours per report.</w:t>
      </w:r>
    </w:p>
    <w:p w14:paraId="50C5443B" w14:textId="77777777" w:rsidR="00F5104E" w:rsidRPr="007F3CAE" w:rsidRDefault="00F5104E" w:rsidP="00F5104E">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890"/>
        <w:gridCol w:w="1800"/>
        <w:gridCol w:w="1710"/>
        <w:gridCol w:w="1705"/>
      </w:tblGrid>
      <w:tr w:rsidR="00A7367E" w:rsidRPr="002C7CCA" w14:paraId="74CDBAAB" w14:textId="77777777" w:rsidTr="00EA3FE1">
        <w:tc>
          <w:tcPr>
            <w:tcW w:w="9242" w:type="dxa"/>
            <w:gridSpan w:val="5"/>
          </w:tcPr>
          <w:p w14:paraId="3AD7686C"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CE068E">
              <w:rPr>
                <w:rFonts w:ascii="Times New Roman" w:hAnsi="Times New Roman"/>
                <w:b/>
                <w:noProof/>
                <w:sz w:val="24"/>
                <w:szCs w:val="24"/>
              </w:rPr>
              <w:t>5</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Per-Substantiation Burden for CBI Substantiation</w:t>
            </w:r>
          </w:p>
        </w:tc>
      </w:tr>
      <w:tr w:rsidR="00B31E7D" w:rsidRPr="002C7CCA" w14:paraId="560F4C49" w14:textId="77777777" w:rsidTr="00EA3FE1">
        <w:tc>
          <w:tcPr>
            <w:tcW w:w="2137" w:type="dxa"/>
          </w:tcPr>
          <w:p w14:paraId="137F1E3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890" w:type="dxa"/>
          </w:tcPr>
          <w:p w14:paraId="0EB80E90" w14:textId="77777777" w:rsidR="00AB5220" w:rsidRPr="002C7CCA" w:rsidRDefault="0040648D" w:rsidP="002C7CCA">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800" w:type="dxa"/>
          </w:tcPr>
          <w:p w14:paraId="46135C37"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710" w:type="dxa"/>
          </w:tcPr>
          <w:p w14:paraId="6FC582C5"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705" w:type="dxa"/>
          </w:tcPr>
          <w:p w14:paraId="0736A2C6"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31E7D" w:rsidRPr="002C7CCA" w14:paraId="4D694A53" w14:textId="77777777" w:rsidTr="00EA3FE1">
        <w:tc>
          <w:tcPr>
            <w:tcW w:w="2137" w:type="dxa"/>
          </w:tcPr>
          <w:p w14:paraId="23EE7BDD" w14:textId="77777777" w:rsidR="00AB5220" w:rsidRPr="002C7CCA" w:rsidRDefault="00DD36AE" w:rsidP="002C7CCA">
            <w:pPr>
              <w:autoSpaceDE w:val="0"/>
              <w:autoSpaceDN w:val="0"/>
              <w:adjustRightInd w:val="0"/>
              <w:spacing w:after="0" w:line="240" w:lineRule="auto"/>
              <w:rPr>
                <w:rFonts w:ascii="Times New Roman" w:eastAsiaTheme="minorHAnsi" w:hAnsi="Times New Roman"/>
                <w:sz w:val="24"/>
                <w:szCs w:val="24"/>
              </w:rPr>
            </w:pPr>
            <w:r w:rsidRPr="00665511">
              <w:rPr>
                <w:rFonts w:ascii="Times New Roman" w:hAnsi="Times New Roman"/>
                <w:bCs/>
                <w:sz w:val="24"/>
                <w:szCs w:val="24"/>
              </w:rPr>
              <w:t>CBI Substantiation</w:t>
            </w:r>
          </w:p>
        </w:tc>
        <w:tc>
          <w:tcPr>
            <w:tcW w:w="1890" w:type="dxa"/>
            <w:vAlign w:val="center"/>
          </w:tcPr>
          <w:p w14:paraId="0F12A3FB" w14:textId="77777777" w:rsidR="00AB5220" w:rsidRPr="002C7CCA" w:rsidRDefault="0040648D"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0.00</w:t>
            </w:r>
          </w:p>
        </w:tc>
        <w:tc>
          <w:tcPr>
            <w:tcW w:w="1800" w:type="dxa"/>
            <w:vAlign w:val="center"/>
          </w:tcPr>
          <w:p w14:paraId="59298DBA" w14:textId="5ECDB17F" w:rsidR="00AB5220" w:rsidRPr="002C7CCA" w:rsidRDefault="006E212C" w:rsidP="002C7CC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4.075</w:t>
            </w:r>
          </w:p>
        </w:tc>
        <w:tc>
          <w:tcPr>
            <w:tcW w:w="1710" w:type="dxa"/>
            <w:vAlign w:val="center"/>
          </w:tcPr>
          <w:p w14:paraId="2A2F0598" w14:textId="141F3101" w:rsidR="00AB5220" w:rsidRPr="002C7CCA" w:rsidRDefault="006E212C" w:rsidP="002C7CC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1.27</w:t>
            </w:r>
          </w:p>
        </w:tc>
        <w:tc>
          <w:tcPr>
            <w:tcW w:w="1705" w:type="dxa"/>
            <w:vAlign w:val="center"/>
          </w:tcPr>
          <w:p w14:paraId="68F656B5" w14:textId="1F07E865" w:rsidR="00AB5220" w:rsidRPr="002C7CCA" w:rsidRDefault="006E212C" w:rsidP="0040648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5.345</w:t>
            </w:r>
          </w:p>
        </w:tc>
      </w:tr>
    </w:tbl>
    <w:p w14:paraId="5B55338F" w14:textId="77777777" w:rsidR="007150CB" w:rsidRDefault="007150CB" w:rsidP="00F5104E">
      <w:pPr>
        <w:autoSpaceDE w:val="0"/>
        <w:autoSpaceDN w:val="0"/>
        <w:adjustRightInd w:val="0"/>
        <w:spacing w:after="0" w:line="240" w:lineRule="auto"/>
        <w:rPr>
          <w:rFonts w:ascii="Times New Roman" w:hAnsi="Times New Roman"/>
          <w:sz w:val="24"/>
          <w:szCs w:val="24"/>
        </w:rPr>
      </w:pPr>
    </w:p>
    <w:p w14:paraId="6EA7D3E1" w14:textId="6F10D983" w:rsidR="00D017B8"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Based on an analysis of CBI claims for reporting to the TSCA Inventory</w:t>
      </w:r>
      <w:r w:rsidR="002E4D68" w:rsidRPr="007F3CAE">
        <w:rPr>
          <w:rFonts w:ascii="Times New Roman" w:hAnsi="Times New Roman"/>
          <w:sz w:val="24"/>
          <w:szCs w:val="24"/>
        </w:rPr>
        <w:t xml:space="preserve"> </w:t>
      </w:r>
      <w:r w:rsidRPr="007F3CAE">
        <w:rPr>
          <w:rFonts w:ascii="Times New Roman" w:hAnsi="Times New Roman"/>
          <w:sz w:val="24"/>
          <w:szCs w:val="24"/>
        </w:rPr>
        <w:t>(discussed in the 1986 CAIR economic analysis), only 75 percent of reports are expected</w:t>
      </w:r>
      <w:r w:rsidR="002E4D68" w:rsidRPr="007F3CAE">
        <w:rPr>
          <w:rFonts w:ascii="Times New Roman" w:hAnsi="Times New Roman"/>
          <w:sz w:val="24"/>
          <w:szCs w:val="24"/>
        </w:rPr>
        <w:t xml:space="preserve"> </w:t>
      </w:r>
      <w:r w:rsidRPr="007F3CAE">
        <w:rPr>
          <w:rFonts w:ascii="Times New Roman" w:hAnsi="Times New Roman"/>
          <w:sz w:val="24"/>
          <w:szCs w:val="24"/>
        </w:rPr>
        <w:t xml:space="preserve">to make CBI claims. The burden distributed across all reports is </w:t>
      </w:r>
      <w:r w:rsidR="006E212C">
        <w:rPr>
          <w:rFonts w:ascii="Times New Roman" w:hAnsi="Times New Roman"/>
          <w:sz w:val="24"/>
          <w:szCs w:val="24"/>
        </w:rPr>
        <w:t>5</w:t>
      </w:r>
      <w:r w:rsidRPr="007F3CAE">
        <w:rPr>
          <w:rFonts w:ascii="Times New Roman" w:hAnsi="Times New Roman"/>
          <w:sz w:val="24"/>
          <w:szCs w:val="24"/>
        </w:rPr>
        <w:t>.</w:t>
      </w:r>
      <w:r w:rsidR="006E212C">
        <w:rPr>
          <w:rFonts w:ascii="Times New Roman" w:hAnsi="Times New Roman"/>
          <w:sz w:val="24"/>
          <w:szCs w:val="24"/>
        </w:rPr>
        <w:t>345</w:t>
      </w:r>
      <w:r w:rsidR="00AA3544">
        <w:rPr>
          <w:rFonts w:ascii="Times New Roman" w:hAnsi="Times New Roman"/>
          <w:sz w:val="24"/>
          <w:szCs w:val="24"/>
        </w:rPr>
        <w:t xml:space="preserve"> </w:t>
      </w:r>
      <w:r w:rsidRPr="007F3CAE">
        <w:rPr>
          <w:rFonts w:ascii="Times New Roman" w:hAnsi="Times New Roman"/>
          <w:sz w:val="24"/>
          <w:szCs w:val="24"/>
        </w:rPr>
        <w:t xml:space="preserve">hours x 0.75, or </w:t>
      </w:r>
      <w:r w:rsidR="006E212C">
        <w:rPr>
          <w:rFonts w:ascii="Times New Roman" w:hAnsi="Times New Roman"/>
          <w:sz w:val="24"/>
          <w:szCs w:val="24"/>
        </w:rPr>
        <w:t>4</w:t>
      </w:r>
      <w:r w:rsidRPr="007F3CAE">
        <w:rPr>
          <w:rFonts w:ascii="Times New Roman" w:hAnsi="Times New Roman"/>
          <w:sz w:val="24"/>
          <w:szCs w:val="24"/>
        </w:rPr>
        <w:t>.</w:t>
      </w:r>
      <w:r w:rsidR="00CA3564">
        <w:rPr>
          <w:rFonts w:ascii="Times New Roman" w:hAnsi="Times New Roman"/>
          <w:sz w:val="24"/>
          <w:szCs w:val="24"/>
        </w:rPr>
        <w:t>0</w:t>
      </w:r>
      <w:r w:rsidR="006E212C">
        <w:rPr>
          <w:rFonts w:ascii="Times New Roman" w:hAnsi="Times New Roman"/>
          <w:sz w:val="24"/>
          <w:szCs w:val="24"/>
        </w:rPr>
        <w:t>1</w:t>
      </w:r>
      <w:r w:rsidR="00CA3564" w:rsidRPr="007F3CAE">
        <w:rPr>
          <w:rFonts w:ascii="Times New Roman" w:hAnsi="Times New Roman"/>
          <w:sz w:val="24"/>
          <w:szCs w:val="24"/>
        </w:rPr>
        <w:t xml:space="preserve"> </w:t>
      </w:r>
      <w:r w:rsidRPr="007F3CAE">
        <w:rPr>
          <w:rFonts w:ascii="Times New Roman" w:hAnsi="Times New Roman"/>
          <w:sz w:val="24"/>
          <w:szCs w:val="24"/>
        </w:rPr>
        <w:t xml:space="preserve">hours. Multiplying the adjusted report burden and cost by </w:t>
      </w:r>
      <w:r w:rsidR="00AB197C">
        <w:rPr>
          <w:rFonts w:ascii="Times New Roman" w:hAnsi="Times New Roman"/>
          <w:sz w:val="24"/>
          <w:szCs w:val="24"/>
        </w:rPr>
        <w:t>1</w:t>
      </w:r>
      <w:r w:rsidRPr="007F3CAE">
        <w:rPr>
          <w:rFonts w:ascii="Times New Roman" w:hAnsi="Times New Roman"/>
          <w:sz w:val="24"/>
          <w:szCs w:val="24"/>
        </w:rPr>
        <w:t>, in turn, provides the per</w:t>
      </w:r>
      <w:r w:rsidR="00554987">
        <w:rPr>
          <w:rFonts w:ascii="Times New Roman" w:hAnsi="Times New Roman"/>
          <w:sz w:val="24"/>
          <w:szCs w:val="24"/>
        </w:rPr>
        <w:t>-</w:t>
      </w:r>
      <w:r w:rsidRPr="007F3CAE">
        <w:rPr>
          <w:rFonts w:ascii="Times New Roman" w:hAnsi="Times New Roman"/>
          <w:sz w:val="24"/>
          <w:szCs w:val="24"/>
        </w:rPr>
        <w:t xml:space="preserve">site burden for CBI substantiations of </w:t>
      </w:r>
      <w:r w:rsidR="006E212C">
        <w:rPr>
          <w:rFonts w:ascii="Times New Roman" w:hAnsi="Times New Roman"/>
          <w:sz w:val="24"/>
          <w:szCs w:val="24"/>
        </w:rPr>
        <w:t>4</w:t>
      </w:r>
      <w:r w:rsidR="006A43BB" w:rsidRPr="007F3CAE">
        <w:rPr>
          <w:rFonts w:ascii="Times New Roman" w:hAnsi="Times New Roman"/>
          <w:sz w:val="24"/>
          <w:szCs w:val="24"/>
        </w:rPr>
        <w:t>.</w:t>
      </w:r>
      <w:r w:rsidR="00CA3564">
        <w:rPr>
          <w:rFonts w:ascii="Times New Roman" w:hAnsi="Times New Roman"/>
          <w:sz w:val="24"/>
          <w:szCs w:val="24"/>
        </w:rPr>
        <w:t>0</w:t>
      </w:r>
      <w:r w:rsidR="006E212C">
        <w:rPr>
          <w:rFonts w:ascii="Times New Roman" w:hAnsi="Times New Roman"/>
          <w:sz w:val="24"/>
          <w:szCs w:val="24"/>
        </w:rPr>
        <w:t>1</w:t>
      </w:r>
      <w:r w:rsidR="006A43BB" w:rsidRPr="007F3CAE">
        <w:rPr>
          <w:rFonts w:ascii="Times New Roman" w:hAnsi="Times New Roman"/>
          <w:sz w:val="24"/>
          <w:szCs w:val="24"/>
        </w:rPr>
        <w:t xml:space="preserve"> </w:t>
      </w:r>
      <w:r w:rsidRPr="007F3CAE">
        <w:rPr>
          <w:rFonts w:ascii="Times New Roman" w:hAnsi="Times New Roman"/>
          <w:sz w:val="24"/>
          <w:szCs w:val="24"/>
        </w:rPr>
        <w:t>hours.</w:t>
      </w:r>
    </w:p>
    <w:p w14:paraId="37786443" w14:textId="77777777" w:rsidR="00D017B8" w:rsidRDefault="00D017B8" w:rsidP="00D017B8">
      <w:pPr>
        <w:autoSpaceDE w:val="0"/>
        <w:autoSpaceDN w:val="0"/>
        <w:adjustRightInd w:val="0"/>
        <w:spacing w:after="0" w:line="240" w:lineRule="auto"/>
        <w:ind w:firstLine="576"/>
        <w:rPr>
          <w:rFonts w:ascii="Times New Roman" w:hAnsi="Times New Roman"/>
          <w:sz w:val="24"/>
          <w:szCs w:val="24"/>
        </w:rPr>
      </w:pPr>
    </w:p>
    <w:p w14:paraId="20AB2C31" w14:textId="77777777" w:rsidR="00F5104E" w:rsidRPr="00D017B8" w:rsidRDefault="00F5104E" w:rsidP="00CA78BE">
      <w:pPr>
        <w:autoSpaceDE w:val="0"/>
        <w:autoSpaceDN w:val="0"/>
        <w:adjustRightInd w:val="0"/>
        <w:spacing w:after="0" w:line="240" w:lineRule="auto"/>
        <w:ind w:firstLine="720"/>
        <w:rPr>
          <w:rFonts w:ascii="Times New Roman" w:hAnsi="Times New Roman"/>
          <w:i/>
          <w:sz w:val="24"/>
          <w:szCs w:val="24"/>
        </w:rPr>
      </w:pPr>
      <w:r w:rsidRPr="00D017B8">
        <w:rPr>
          <w:rFonts w:ascii="Times New Roman" w:hAnsi="Times New Roman"/>
          <w:i/>
          <w:sz w:val="24"/>
          <w:szCs w:val="24"/>
        </w:rPr>
        <w:t>Recordkeeping</w:t>
      </w:r>
    </w:p>
    <w:p w14:paraId="61CB2313" w14:textId="77777777" w:rsidR="002E4D68" w:rsidRPr="007F3CAE" w:rsidRDefault="002E4D68" w:rsidP="00F5104E">
      <w:pPr>
        <w:autoSpaceDE w:val="0"/>
        <w:autoSpaceDN w:val="0"/>
        <w:adjustRightInd w:val="0"/>
        <w:spacing w:after="0" w:line="240" w:lineRule="auto"/>
        <w:rPr>
          <w:rFonts w:ascii="Times New Roman" w:hAnsi="Times New Roman"/>
          <w:sz w:val="24"/>
          <w:szCs w:val="24"/>
        </w:rPr>
      </w:pPr>
    </w:p>
    <w:p w14:paraId="490D707C" w14:textId="005389E9" w:rsidR="00F5104E" w:rsidRPr="00F33AEB" w:rsidRDefault="00F5104E" w:rsidP="00BC733F">
      <w:pPr>
        <w:spacing w:line="240" w:lineRule="auto"/>
        <w:ind w:firstLine="720"/>
        <w:rPr>
          <w:rFonts w:ascii="Times New Roman" w:hAnsi="Times New Roman"/>
          <w:sz w:val="24"/>
        </w:rPr>
      </w:pPr>
      <w:r w:rsidRPr="00F33AEB">
        <w:rPr>
          <w:rFonts w:ascii="Times New Roman" w:hAnsi="Times New Roman"/>
          <w:sz w:val="24"/>
        </w:rPr>
        <w:t xml:space="preserve">Pursuant to TSCA </w:t>
      </w:r>
      <w:r w:rsidR="006C5B34" w:rsidRPr="00F33AEB">
        <w:rPr>
          <w:rFonts w:ascii="Times New Roman" w:hAnsi="Times New Roman"/>
          <w:sz w:val="24"/>
        </w:rPr>
        <w:t>s</w:t>
      </w:r>
      <w:r w:rsidRPr="00F33AEB">
        <w:rPr>
          <w:rFonts w:ascii="Times New Roman" w:hAnsi="Times New Roman"/>
          <w:sz w:val="24"/>
        </w:rPr>
        <w:t>ection 8(a), the manufacturer/importer or processors of the</w:t>
      </w:r>
      <w:r w:rsidR="002E4D68" w:rsidRPr="00F33AEB">
        <w:rPr>
          <w:rFonts w:ascii="Times New Roman" w:hAnsi="Times New Roman"/>
          <w:sz w:val="24"/>
        </w:rPr>
        <w:t xml:space="preserve"> </w:t>
      </w:r>
      <w:r w:rsidRPr="00F33AEB">
        <w:rPr>
          <w:rFonts w:ascii="Times New Roman" w:hAnsi="Times New Roman"/>
          <w:sz w:val="24"/>
        </w:rPr>
        <w:t>chemical substances identified under PAIR must also maintain records of the information</w:t>
      </w:r>
      <w:r w:rsidR="002E4D68" w:rsidRPr="00F33AEB">
        <w:rPr>
          <w:rFonts w:ascii="Times New Roman" w:hAnsi="Times New Roman"/>
          <w:sz w:val="24"/>
        </w:rPr>
        <w:t xml:space="preserve"> </w:t>
      </w:r>
      <w:r w:rsidRPr="00F33AEB">
        <w:rPr>
          <w:rFonts w:ascii="Times New Roman" w:hAnsi="Times New Roman"/>
          <w:sz w:val="24"/>
        </w:rPr>
        <w:t>submitted to EPA. In addition, since manufacturer/</w:t>
      </w:r>
      <w:r w:rsidR="0021025C" w:rsidRPr="00F33AEB">
        <w:rPr>
          <w:rFonts w:ascii="Times New Roman" w:hAnsi="Times New Roman"/>
          <w:sz w:val="24"/>
        </w:rPr>
        <w:t>importer or</w:t>
      </w:r>
      <w:r w:rsidRPr="00F33AEB">
        <w:rPr>
          <w:rFonts w:ascii="Times New Roman" w:hAnsi="Times New Roman"/>
          <w:sz w:val="24"/>
        </w:rPr>
        <w:t xml:space="preserve"> processors that submit</w:t>
      </w:r>
      <w:r w:rsidR="002E4D68" w:rsidRPr="00F33AEB">
        <w:rPr>
          <w:rFonts w:ascii="Times New Roman" w:hAnsi="Times New Roman"/>
          <w:sz w:val="24"/>
        </w:rPr>
        <w:t xml:space="preserve"> </w:t>
      </w:r>
      <w:r w:rsidRPr="00F33AEB">
        <w:rPr>
          <w:rFonts w:ascii="Times New Roman" w:hAnsi="Times New Roman"/>
          <w:sz w:val="24"/>
        </w:rPr>
        <w:t>data to EPA must comply with the GLPS in 40 CFR 792, this ICR also generally covers</w:t>
      </w:r>
      <w:r w:rsidR="002E4D68" w:rsidRPr="00F33AEB">
        <w:rPr>
          <w:rFonts w:ascii="Times New Roman" w:hAnsi="Times New Roman"/>
          <w:sz w:val="24"/>
        </w:rPr>
        <w:t xml:space="preserve"> </w:t>
      </w:r>
      <w:r w:rsidRPr="00F33AEB">
        <w:rPr>
          <w:rFonts w:ascii="Times New Roman" w:hAnsi="Times New Roman"/>
          <w:sz w:val="24"/>
        </w:rPr>
        <w:t>the burden associated with maintaining records as required under the GLPS. These</w:t>
      </w:r>
      <w:r w:rsidR="002E4D68" w:rsidRPr="00F33AEB">
        <w:rPr>
          <w:rFonts w:ascii="Times New Roman" w:hAnsi="Times New Roman"/>
          <w:sz w:val="24"/>
        </w:rPr>
        <w:t xml:space="preserve"> </w:t>
      </w:r>
      <w:r w:rsidRPr="00F33AEB">
        <w:rPr>
          <w:rFonts w:ascii="Times New Roman" w:hAnsi="Times New Roman"/>
          <w:sz w:val="24"/>
        </w:rPr>
        <w:t>records are used for compliance monitoring and enforcement purposes.</w:t>
      </w:r>
    </w:p>
    <w:p w14:paraId="77F11336" w14:textId="19DCE3C7" w:rsidR="00F5104E" w:rsidRPr="0021025C" w:rsidRDefault="0053341F" w:rsidP="0021025C">
      <w:pPr>
        <w:spacing w:line="240" w:lineRule="auto"/>
        <w:rPr>
          <w:rFonts w:ascii="Times New Roman" w:hAnsi="Times New Roman"/>
          <w:sz w:val="24"/>
        </w:rPr>
      </w:pPr>
      <w:r>
        <w:rPr>
          <w:rFonts w:ascii="Times New Roman" w:hAnsi="Times New Roman"/>
          <w:sz w:val="24"/>
        </w:rPr>
        <w:tab/>
      </w:r>
      <w:r w:rsidR="00F5104E" w:rsidRPr="00F33AEB">
        <w:rPr>
          <w:rFonts w:ascii="Times New Roman" w:hAnsi="Times New Roman"/>
          <w:sz w:val="24"/>
        </w:rPr>
        <w:t>EPA estimates that the recordkeeping burden associated</w:t>
      </w:r>
      <w:r w:rsidR="002E4D68" w:rsidRPr="00F33AEB">
        <w:rPr>
          <w:rFonts w:ascii="Times New Roman" w:hAnsi="Times New Roman"/>
          <w:sz w:val="24"/>
        </w:rPr>
        <w:t xml:space="preserve"> </w:t>
      </w:r>
      <w:r w:rsidR="00F5104E" w:rsidRPr="00F33AEB">
        <w:rPr>
          <w:rFonts w:ascii="Times New Roman" w:hAnsi="Times New Roman"/>
          <w:sz w:val="24"/>
        </w:rPr>
        <w:t xml:space="preserve">with this ICR involves about </w:t>
      </w:r>
      <w:r w:rsidR="0092779F" w:rsidRPr="00F33AEB">
        <w:rPr>
          <w:rFonts w:ascii="Times New Roman" w:hAnsi="Times New Roman"/>
          <w:sz w:val="24"/>
        </w:rPr>
        <w:t xml:space="preserve">half </w:t>
      </w:r>
      <w:r w:rsidR="00F5104E" w:rsidRPr="00F33AEB">
        <w:rPr>
          <w:rFonts w:ascii="Times New Roman" w:hAnsi="Times New Roman"/>
          <w:sz w:val="24"/>
        </w:rPr>
        <w:t xml:space="preserve">an hour of time for both the </w:t>
      </w:r>
      <w:r w:rsidR="00256B84">
        <w:rPr>
          <w:rFonts w:ascii="Times New Roman" w:hAnsi="Times New Roman"/>
          <w:sz w:val="24"/>
        </w:rPr>
        <w:t>clerical</w:t>
      </w:r>
      <w:r w:rsidR="00256B84" w:rsidRPr="00F33AEB">
        <w:rPr>
          <w:rFonts w:ascii="Times New Roman" w:hAnsi="Times New Roman"/>
          <w:sz w:val="24"/>
        </w:rPr>
        <w:t xml:space="preserve"> </w:t>
      </w:r>
      <w:r w:rsidR="00F5104E" w:rsidRPr="00F33AEB">
        <w:rPr>
          <w:rFonts w:ascii="Times New Roman" w:hAnsi="Times New Roman"/>
          <w:sz w:val="24"/>
        </w:rPr>
        <w:t>and the technical</w:t>
      </w:r>
      <w:r w:rsidR="002E4D68" w:rsidRPr="00F33AEB">
        <w:rPr>
          <w:rFonts w:ascii="Times New Roman" w:hAnsi="Times New Roman"/>
          <w:sz w:val="24"/>
        </w:rPr>
        <w:t xml:space="preserve"> </w:t>
      </w:r>
      <w:r w:rsidR="00F5104E" w:rsidRPr="00F33AEB">
        <w:rPr>
          <w:rFonts w:ascii="Times New Roman" w:hAnsi="Times New Roman"/>
          <w:sz w:val="24"/>
        </w:rPr>
        <w:t>labor category</w:t>
      </w:r>
      <w:r w:rsidR="0092779F" w:rsidRPr="00F33AEB">
        <w:rPr>
          <w:rFonts w:ascii="Times New Roman" w:hAnsi="Times New Roman"/>
          <w:sz w:val="24"/>
        </w:rPr>
        <w:t xml:space="preserve">, based on the </w:t>
      </w:r>
      <w:r w:rsidR="0092779F" w:rsidRPr="00F33AEB">
        <w:rPr>
          <w:rFonts w:ascii="Times New Roman" w:hAnsi="Times New Roman"/>
          <w:i/>
          <w:sz w:val="24"/>
        </w:rPr>
        <w:t>Economic Analysis for the Electronic Reporting under the Toxic Substances Control Act (TSCA) Final Rule</w:t>
      </w:r>
      <w:r w:rsidR="0092779F" w:rsidRPr="00F33AEB">
        <w:rPr>
          <w:rFonts w:ascii="Times New Roman" w:hAnsi="Times New Roman"/>
          <w:sz w:val="24"/>
        </w:rPr>
        <w:t xml:space="preserve"> (EPA, 2012)</w:t>
      </w:r>
      <w:r w:rsidR="00F5104E" w:rsidRPr="00F33AEB">
        <w:rPr>
          <w:rFonts w:ascii="Times New Roman" w:hAnsi="Times New Roman"/>
          <w:sz w:val="24"/>
        </w:rPr>
        <w:t>. This burden estimate represents the time necessary for the individuals to</w:t>
      </w:r>
      <w:r w:rsidR="002E4D68" w:rsidRPr="00F33AEB">
        <w:rPr>
          <w:rFonts w:ascii="Times New Roman" w:hAnsi="Times New Roman"/>
          <w:sz w:val="24"/>
        </w:rPr>
        <w:t xml:space="preserve"> </w:t>
      </w:r>
      <w:r w:rsidR="00F5104E" w:rsidRPr="00F33AEB">
        <w:rPr>
          <w:rFonts w:ascii="Times New Roman" w:hAnsi="Times New Roman"/>
          <w:sz w:val="24"/>
        </w:rPr>
        <w:t>identify the information, determine the appropriate location for the record to be kept, and</w:t>
      </w:r>
      <w:r w:rsidR="002E4D68" w:rsidRPr="00F33AEB">
        <w:rPr>
          <w:rFonts w:ascii="Times New Roman" w:hAnsi="Times New Roman"/>
          <w:sz w:val="24"/>
        </w:rPr>
        <w:t xml:space="preserve"> </w:t>
      </w:r>
      <w:r w:rsidR="00F5104E" w:rsidRPr="00F33AEB">
        <w:rPr>
          <w:rFonts w:ascii="Times New Roman" w:hAnsi="Times New Roman"/>
          <w:sz w:val="24"/>
        </w:rPr>
        <w:t>placing the record in such a location. The per-report recordkeeping burden is therefore</w:t>
      </w:r>
      <w:r w:rsidR="002E4D68" w:rsidRPr="00F33AEB">
        <w:rPr>
          <w:rFonts w:ascii="Times New Roman" w:hAnsi="Times New Roman"/>
          <w:sz w:val="24"/>
        </w:rPr>
        <w:t xml:space="preserve"> </w:t>
      </w:r>
      <w:r w:rsidR="00F5104E" w:rsidRPr="00F33AEB">
        <w:rPr>
          <w:rFonts w:ascii="Times New Roman" w:hAnsi="Times New Roman"/>
          <w:sz w:val="24"/>
        </w:rPr>
        <w:t xml:space="preserve">estimated to be </w:t>
      </w:r>
      <w:r w:rsidR="0092779F" w:rsidRPr="00F33AEB">
        <w:rPr>
          <w:rFonts w:ascii="Times New Roman" w:hAnsi="Times New Roman"/>
          <w:sz w:val="24"/>
        </w:rPr>
        <w:t>1</w:t>
      </w:r>
      <w:r w:rsidR="00805D90">
        <w:rPr>
          <w:rFonts w:ascii="Times New Roman" w:hAnsi="Times New Roman"/>
          <w:sz w:val="24"/>
        </w:rPr>
        <w:t>.00</w:t>
      </w:r>
      <w:r w:rsidR="0092779F" w:rsidRPr="00F33AEB">
        <w:rPr>
          <w:rFonts w:ascii="Times New Roman" w:hAnsi="Times New Roman"/>
          <w:sz w:val="24"/>
        </w:rPr>
        <w:t xml:space="preserve"> </w:t>
      </w:r>
      <w:r w:rsidR="0021025C">
        <w:rPr>
          <w:rFonts w:ascii="Times New Roman" w:hAnsi="Times New Roman"/>
          <w:sz w:val="24"/>
        </w:rPr>
        <w:t>hour.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670"/>
        <w:gridCol w:w="1643"/>
        <w:gridCol w:w="1478"/>
        <w:gridCol w:w="1705"/>
      </w:tblGrid>
      <w:tr w:rsidR="00A7367E" w:rsidRPr="002C7CCA" w14:paraId="651ECC2C" w14:textId="77777777" w:rsidTr="00EA3FE1">
        <w:tc>
          <w:tcPr>
            <w:tcW w:w="9242" w:type="dxa"/>
            <w:gridSpan w:val="5"/>
          </w:tcPr>
          <w:p w14:paraId="767AEE8F"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CE068E">
              <w:rPr>
                <w:rFonts w:ascii="Times New Roman" w:hAnsi="Times New Roman"/>
                <w:b/>
                <w:noProof/>
                <w:sz w:val="24"/>
                <w:szCs w:val="24"/>
              </w:rPr>
              <w:t>6</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Per-Report Burden Estimates for Recordkeeping</w:t>
            </w:r>
          </w:p>
        </w:tc>
      </w:tr>
      <w:tr w:rsidR="00B31E7D" w:rsidRPr="002C7CCA" w14:paraId="2FF01189" w14:textId="77777777" w:rsidTr="00EA3FE1">
        <w:tc>
          <w:tcPr>
            <w:tcW w:w="2746" w:type="dxa"/>
          </w:tcPr>
          <w:p w14:paraId="698BA74C"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670" w:type="dxa"/>
          </w:tcPr>
          <w:p w14:paraId="2D9DFD5B" w14:textId="77777777" w:rsidR="00AB5220" w:rsidRPr="002C7CCA" w:rsidRDefault="009F7FE9" w:rsidP="009F7FE9">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w:t>
            </w:r>
            <w:r w:rsidR="00AB5220" w:rsidRPr="002C7CCA">
              <w:rPr>
                <w:rFonts w:ascii="Times New Roman" w:eastAsiaTheme="minorHAnsi" w:hAnsi="Times New Roman"/>
                <w:b/>
                <w:sz w:val="24"/>
                <w:szCs w:val="24"/>
              </w:rPr>
              <w:t>l</w:t>
            </w:r>
          </w:p>
        </w:tc>
        <w:tc>
          <w:tcPr>
            <w:tcW w:w="1643" w:type="dxa"/>
          </w:tcPr>
          <w:p w14:paraId="210D515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478" w:type="dxa"/>
          </w:tcPr>
          <w:p w14:paraId="16F75DAA"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705" w:type="dxa"/>
          </w:tcPr>
          <w:p w14:paraId="2AD1066B"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665511" w:rsidRPr="002C7CCA" w14:paraId="5691359C" w14:textId="77777777" w:rsidTr="00EA3FE1">
        <w:tc>
          <w:tcPr>
            <w:tcW w:w="2746" w:type="dxa"/>
          </w:tcPr>
          <w:p w14:paraId="27DD865E" w14:textId="77777777" w:rsidR="00665511" w:rsidRPr="00DC7D34" w:rsidRDefault="00665511" w:rsidP="00665511">
            <w:pPr>
              <w:autoSpaceDE w:val="0"/>
              <w:autoSpaceDN w:val="0"/>
              <w:adjustRightInd w:val="0"/>
              <w:spacing w:after="0" w:line="240" w:lineRule="auto"/>
              <w:rPr>
                <w:rFonts w:ascii="Times New Roman" w:eastAsiaTheme="minorHAnsi" w:hAnsi="Times New Roman"/>
              </w:rPr>
            </w:pPr>
            <w:r w:rsidRPr="00DC7D34">
              <w:rPr>
                <w:rFonts w:ascii="Times New Roman" w:eastAsiaTheme="minorHAnsi" w:hAnsi="Times New Roman"/>
              </w:rPr>
              <w:t>Recordkeeping</w:t>
            </w:r>
          </w:p>
        </w:tc>
        <w:tc>
          <w:tcPr>
            <w:tcW w:w="1670" w:type="dxa"/>
            <w:vAlign w:val="center"/>
          </w:tcPr>
          <w:p w14:paraId="78789691" w14:textId="77777777"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0.5</w:t>
            </w:r>
          </w:p>
        </w:tc>
        <w:tc>
          <w:tcPr>
            <w:tcW w:w="1643" w:type="dxa"/>
            <w:vAlign w:val="center"/>
          </w:tcPr>
          <w:p w14:paraId="45353163" w14:textId="77777777"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0.5</w:t>
            </w:r>
          </w:p>
        </w:tc>
        <w:tc>
          <w:tcPr>
            <w:tcW w:w="1478" w:type="dxa"/>
            <w:vAlign w:val="center"/>
          </w:tcPr>
          <w:p w14:paraId="24B46E6B" w14:textId="77777777"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w:t>
            </w:r>
          </w:p>
        </w:tc>
        <w:tc>
          <w:tcPr>
            <w:tcW w:w="1705" w:type="dxa"/>
            <w:vAlign w:val="center"/>
          </w:tcPr>
          <w:p w14:paraId="38FCD557" w14:textId="77777777"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1</w:t>
            </w:r>
            <w:r w:rsidR="00EA3FE1">
              <w:rPr>
                <w:rFonts w:ascii="Times New Roman" w:hAnsi="Times New Roman"/>
                <w:color w:val="000000"/>
              </w:rPr>
              <w:t>.00</w:t>
            </w:r>
          </w:p>
        </w:tc>
      </w:tr>
    </w:tbl>
    <w:p w14:paraId="1BC274B2"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0E038E09" w14:textId="77777777" w:rsidR="00F5104E" w:rsidRPr="007F3CAE" w:rsidRDefault="00F5104E" w:rsidP="00765290">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The per-site burden for recordkeeping is </w:t>
      </w:r>
      <w:r w:rsidR="006A43BB">
        <w:rPr>
          <w:rFonts w:ascii="Times New Roman" w:hAnsi="Times New Roman"/>
          <w:sz w:val="24"/>
          <w:szCs w:val="24"/>
        </w:rPr>
        <w:t>1</w:t>
      </w:r>
      <w:r w:rsidR="00A30ABB" w:rsidRPr="007F3CAE">
        <w:rPr>
          <w:rFonts w:ascii="Times New Roman" w:hAnsi="Times New Roman"/>
          <w:sz w:val="24"/>
          <w:szCs w:val="24"/>
        </w:rPr>
        <w:t xml:space="preserve"> </w:t>
      </w:r>
      <w:r w:rsidRPr="007F3CAE">
        <w:rPr>
          <w:rFonts w:ascii="Times New Roman" w:hAnsi="Times New Roman"/>
          <w:sz w:val="24"/>
          <w:szCs w:val="24"/>
        </w:rPr>
        <w:t xml:space="preserve">report x </w:t>
      </w:r>
      <w:r w:rsidR="0092779F">
        <w:rPr>
          <w:rFonts w:ascii="Times New Roman" w:hAnsi="Times New Roman"/>
          <w:sz w:val="24"/>
          <w:szCs w:val="24"/>
        </w:rPr>
        <w:t>1</w:t>
      </w:r>
      <w:r w:rsidRPr="007F3CAE">
        <w:rPr>
          <w:rFonts w:ascii="Times New Roman" w:hAnsi="Times New Roman"/>
          <w:sz w:val="24"/>
          <w:szCs w:val="24"/>
        </w:rPr>
        <w:t xml:space="preserve">.0 hours, or </w:t>
      </w:r>
      <w:r w:rsidR="0092779F">
        <w:rPr>
          <w:rFonts w:ascii="Times New Roman" w:hAnsi="Times New Roman"/>
          <w:sz w:val="24"/>
          <w:szCs w:val="24"/>
        </w:rPr>
        <w:t>1</w:t>
      </w:r>
      <w:r w:rsidR="006A43BB">
        <w:rPr>
          <w:rFonts w:ascii="Times New Roman" w:hAnsi="Times New Roman"/>
          <w:sz w:val="24"/>
          <w:szCs w:val="24"/>
        </w:rPr>
        <w:t xml:space="preserve"> </w:t>
      </w:r>
      <w:r w:rsidRPr="007F3CAE">
        <w:rPr>
          <w:rFonts w:ascii="Times New Roman" w:hAnsi="Times New Roman"/>
          <w:sz w:val="24"/>
          <w:szCs w:val="24"/>
        </w:rPr>
        <w:t>hours.</w:t>
      </w:r>
    </w:p>
    <w:p w14:paraId="396C99AE" w14:textId="77777777" w:rsidR="009705B6" w:rsidRPr="00D017B8" w:rsidRDefault="009705B6" w:rsidP="009705B6">
      <w:pPr>
        <w:pStyle w:val="Heading2"/>
        <w:numPr>
          <w:ilvl w:val="0"/>
          <w:numId w:val="0"/>
        </w:numPr>
        <w:ind w:firstLine="720"/>
        <w:rPr>
          <w:rFonts w:ascii="Times New Roman" w:hAnsi="Times New Roman"/>
          <w:b w:val="0"/>
          <w:i/>
          <w:color w:val="auto"/>
          <w:sz w:val="24"/>
          <w:szCs w:val="24"/>
        </w:rPr>
      </w:pPr>
      <w:r>
        <w:rPr>
          <w:rFonts w:ascii="Times New Roman" w:hAnsi="Times New Roman"/>
          <w:b w:val="0"/>
          <w:i/>
          <w:color w:val="auto"/>
          <w:sz w:val="24"/>
          <w:szCs w:val="24"/>
        </w:rPr>
        <w:t>CDX Registration</w:t>
      </w:r>
    </w:p>
    <w:p w14:paraId="16507AB6" w14:textId="77777777" w:rsidR="009705B6" w:rsidRPr="009705B6" w:rsidRDefault="009705B6" w:rsidP="009705B6">
      <w:pPr>
        <w:autoSpaceDE w:val="0"/>
        <w:autoSpaceDN w:val="0"/>
        <w:adjustRightInd w:val="0"/>
        <w:spacing w:after="0" w:line="240" w:lineRule="auto"/>
        <w:rPr>
          <w:rFonts w:ascii="Times New Roman" w:hAnsi="Times New Roman"/>
          <w:sz w:val="24"/>
          <w:szCs w:val="24"/>
        </w:rPr>
      </w:pPr>
    </w:p>
    <w:p w14:paraId="28804B12" w14:textId="59CAD38A" w:rsidR="002E5634" w:rsidRDefault="009705B6" w:rsidP="00F33AEB">
      <w:pPr>
        <w:autoSpaceDE w:val="0"/>
        <w:autoSpaceDN w:val="0"/>
        <w:adjustRightInd w:val="0"/>
        <w:spacing w:after="0" w:line="240" w:lineRule="auto"/>
        <w:ind w:firstLine="720"/>
        <w:rPr>
          <w:rFonts w:ascii="Times New Roman" w:hAnsi="Times New Roman"/>
          <w:b/>
          <w:bCs/>
          <w:sz w:val="24"/>
          <w:szCs w:val="24"/>
        </w:rPr>
      </w:pPr>
      <w:r w:rsidRPr="00A82BDA">
        <w:rPr>
          <w:rFonts w:ascii="Times New Roman" w:hAnsi="Times New Roman"/>
          <w:sz w:val="24"/>
          <w:szCs w:val="24"/>
        </w:rPr>
        <w:t xml:space="preserve">As part of EPA’s electronic reporting requirements, submitters of </w:t>
      </w:r>
      <w:r>
        <w:rPr>
          <w:rFonts w:ascii="Times New Roman" w:hAnsi="Times New Roman"/>
          <w:sz w:val="24"/>
          <w:szCs w:val="24"/>
        </w:rPr>
        <w:t xml:space="preserve">PAIR </w:t>
      </w:r>
      <w:r w:rsidR="00341F2D" w:rsidRPr="005A40B0">
        <w:rPr>
          <w:rFonts w:ascii="Times New Roman" w:hAnsi="Times New Roman"/>
          <w:sz w:val="24"/>
          <w:szCs w:val="24"/>
        </w:rPr>
        <w:t>and subpart B of 40 CFR 766</w:t>
      </w:r>
      <w:r w:rsidR="00341F2D">
        <w:rPr>
          <w:rFonts w:ascii="Times New Roman" w:hAnsi="Times New Roman"/>
          <w:sz w:val="24"/>
          <w:szCs w:val="24"/>
        </w:rPr>
        <w:t xml:space="preserve"> </w:t>
      </w:r>
      <w:r>
        <w:rPr>
          <w:rFonts w:ascii="Times New Roman" w:hAnsi="Times New Roman"/>
          <w:sz w:val="24"/>
          <w:szCs w:val="24"/>
        </w:rPr>
        <w:t>reports</w:t>
      </w:r>
      <w:r w:rsidRPr="00A82BDA">
        <w:rPr>
          <w:rFonts w:ascii="Times New Roman" w:hAnsi="Times New Roman"/>
          <w:sz w:val="24"/>
          <w:szCs w:val="24"/>
        </w:rPr>
        <w:t xml:space="preserve"> are required to register and submit information electronically with EPA’s CDX system. EPA estimates that companies </w:t>
      </w:r>
      <w:r w:rsidR="00DD36AE">
        <w:rPr>
          <w:rFonts w:ascii="Times New Roman" w:hAnsi="Times New Roman"/>
          <w:sz w:val="24"/>
          <w:szCs w:val="24"/>
        </w:rPr>
        <w:t>registering with CDX</w:t>
      </w:r>
      <w:r w:rsidRPr="00A82BDA">
        <w:rPr>
          <w:rFonts w:ascii="Times New Roman" w:hAnsi="Times New Roman"/>
          <w:sz w:val="24"/>
          <w:szCs w:val="24"/>
        </w:rPr>
        <w:t xml:space="preserve"> for the first time would incur a one-time burden to complete CDX registration activities, obtain a CDX electronic signature, and </w:t>
      </w:r>
      <w:r w:rsidR="00A462EB">
        <w:rPr>
          <w:rFonts w:ascii="Times New Roman" w:hAnsi="Times New Roman"/>
          <w:sz w:val="24"/>
          <w:szCs w:val="24"/>
        </w:rPr>
        <w:t>familiarize themselves with electronic reporting requirements</w:t>
      </w:r>
      <w:r w:rsidRPr="00A82BDA">
        <w:rPr>
          <w:rFonts w:ascii="Times New Roman" w:hAnsi="Times New Roman"/>
          <w:sz w:val="24"/>
          <w:szCs w:val="24"/>
        </w:rPr>
        <w:t xml:space="preserve">. The total burden associated with CDX registration is </w:t>
      </w:r>
      <w:r w:rsidR="0092779F">
        <w:rPr>
          <w:rFonts w:ascii="Times New Roman" w:hAnsi="Times New Roman"/>
          <w:sz w:val="24"/>
          <w:szCs w:val="24"/>
        </w:rPr>
        <w:t xml:space="preserve">taken from </w:t>
      </w:r>
      <w:r w:rsidR="0092779F" w:rsidRPr="00286AD8">
        <w:rPr>
          <w:rFonts w:ascii="Times New Roman" w:hAnsi="Times New Roman"/>
          <w:sz w:val="24"/>
          <w:szCs w:val="24"/>
        </w:rPr>
        <w:t xml:space="preserve">the </w:t>
      </w:r>
      <w:r w:rsidR="0092779F" w:rsidRPr="00286AD8">
        <w:rPr>
          <w:rFonts w:ascii="Times New Roman" w:hAnsi="Times New Roman"/>
          <w:i/>
          <w:sz w:val="24"/>
          <w:szCs w:val="24"/>
        </w:rPr>
        <w:t>Economic Analysis for the Electronic Reporting under the Toxic Substances Control Act (TSCA) Final Rule</w:t>
      </w:r>
      <w:r w:rsidR="0092779F">
        <w:rPr>
          <w:rFonts w:ascii="Times New Roman" w:hAnsi="Times New Roman"/>
          <w:sz w:val="24"/>
          <w:szCs w:val="24"/>
        </w:rPr>
        <w:t xml:space="preserve"> (EPA, 2012) and is estimated to be</w:t>
      </w:r>
      <w:r w:rsidRPr="00A82BDA">
        <w:rPr>
          <w:rFonts w:ascii="Times New Roman" w:hAnsi="Times New Roman"/>
          <w:sz w:val="24"/>
          <w:szCs w:val="24"/>
        </w:rPr>
        <w:t xml:space="preserve"> </w:t>
      </w:r>
      <w:r w:rsidR="0092779F">
        <w:rPr>
          <w:rFonts w:ascii="Times New Roman" w:hAnsi="Times New Roman"/>
          <w:sz w:val="24"/>
          <w:szCs w:val="24"/>
        </w:rPr>
        <w:t>3.48</w:t>
      </w:r>
      <w:r w:rsidRPr="00A82BDA">
        <w:rPr>
          <w:rFonts w:ascii="Times New Roman" w:hAnsi="Times New Roman"/>
          <w:sz w:val="24"/>
          <w:szCs w:val="24"/>
        </w:rPr>
        <w:t xml:space="preserve"> hours per company</w:t>
      </w:r>
      <w:r w:rsidR="00A462EB">
        <w:rPr>
          <w:rFonts w:ascii="Times New Roman" w:hAnsi="Times New Roman"/>
          <w:sz w:val="24"/>
          <w:szCs w:val="24"/>
        </w:rPr>
        <w:t xml:space="preserve">, including 0.91 hours for CDX Registration, 1.75 hours for completing electronic signature agreements, and 0.82 </w:t>
      </w:r>
      <w:r w:rsidR="00EA3FE1">
        <w:rPr>
          <w:rFonts w:ascii="Times New Roman" w:hAnsi="Times New Roman"/>
          <w:sz w:val="24"/>
          <w:szCs w:val="24"/>
        </w:rPr>
        <w:t>hours for rule familiarization.</w:t>
      </w:r>
    </w:p>
    <w:p w14:paraId="5CCCB8CB" w14:textId="77777777" w:rsidR="009705B6" w:rsidRPr="007F3CAE" w:rsidRDefault="009705B6" w:rsidP="009705B6">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683"/>
        <w:gridCol w:w="1591"/>
        <w:gridCol w:w="1688"/>
        <w:gridCol w:w="1492"/>
      </w:tblGrid>
      <w:tr w:rsidR="00A7367E" w:rsidRPr="002C7CCA" w14:paraId="32EF4427" w14:textId="77777777" w:rsidTr="00867568">
        <w:tc>
          <w:tcPr>
            <w:tcW w:w="9242" w:type="dxa"/>
            <w:gridSpan w:val="5"/>
          </w:tcPr>
          <w:p w14:paraId="34DA39FC" w14:textId="77777777" w:rsidR="00A7367E" w:rsidRPr="00B264CD" w:rsidRDefault="00A7367E" w:rsidP="00F33AEB">
            <w:pPr>
              <w:keepNext/>
              <w:widowControl w:val="0"/>
              <w:autoSpaceDE w:val="0"/>
              <w:autoSpaceDN w:val="0"/>
              <w:adjustRightInd w:val="0"/>
              <w:spacing w:after="0" w:line="240" w:lineRule="auto"/>
              <w:rPr>
                <w:rFonts w:ascii="Times New Roman"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CE068E">
              <w:rPr>
                <w:rFonts w:ascii="Times New Roman" w:hAnsi="Times New Roman"/>
                <w:b/>
                <w:noProof/>
                <w:sz w:val="24"/>
                <w:szCs w:val="24"/>
              </w:rPr>
              <w:t>7</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w:t>
            </w:r>
            <w:r>
              <w:rPr>
                <w:rFonts w:ascii="Times New Roman" w:hAnsi="Times New Roman"/>
                <w:b/>
                <w:bCs/>
                <w:sz w:val="24"/>
                <w:szCs w:val="24"/>
              </w:rPr>
              <w:t>-Site</w:t>
            </w:r>
            <w:r w:rsidRPr="007F3CAE">
              <w:rPr>
                <w:rFonts w:ascii="Times New Roman" w:hAnsi="Times New Roman"/>
                <w:b/>
                <w:bCs/>
                <w:sz w:val="24"/>
                <w:szCs w:val="24"/>
              </w:rPr>
              <w:t xml:space="preserve"> Burden Estimates for </w:t>
            </w:r>
            <w:r>
              <w:rPr>
                <w:rFonts w:ascii="Times New Roman" w:hAnsi="Times New Roman"/>
                <w:b/>
                <w:bCs/>
                <w:sz w:val="24"/>
                <w:szCs w:val="24"/>
              </w:rPr>
              <w:t>One Time CDX Registration</w:t>
            </w:r>
          </w:p>
        </w:tc>
      </w:tr>
      <w:tr w:rsidR="009705B6" w:rsidRPr="002C7CCA" w14:paraId="702AE690" w14:textId="77777777" w:rsidTr="00867568">
        <w:tc>
          <w:tcPr>
            <w:tcW w:w="2788" w:type="dxa"/>
          </w:tcPr>
          <w:p w14:paraId="20164A36" w14:textId="77777777" w:rsidR="009705B6" w:rsidRPr="00B264CD" w:rsidRDefault="009705B6" w:rsidP="00F33AEB">
            <w:pPr>
              <w:keepNext/>
              <w:widowControl w:val="0"/>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Activity</w:t>
            </w:r>
          </w:p>
        </w:tc>
        <w:tc>
          <w:tcPr>
            <w:tcW w:w="1683" w:type="dxa"/>
          </w:tcPr>
          <w:p w14:paraId="1229BC62" w14:textId="77777777" w:rsidR="009705B6" w:rsidRPr="00B264CD" w:rsidRDefault="00867568" w:rsidP="00380F8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Clerical</w:t>
            </w:r>
          </w:p>
        </w:tc>
        <w:tc>
          <w:tcPr>
            <w:tcW w:w="1591" w:type="dxa"/>
          </w:tcPr>
          <w:p w14:paraId="662CA902" w14:textId="77777777" w:rsidR="009705B6" w:rsidRPr="00B264CD" w:rsidRDefault="009705B6" w:rsidP="00380F8D">
            <w:pPr>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Technical</w:t>
            </w:r>
          </w:p>
        </w:tc>
        <w:tc>
          <w:tcPr>
            <w:tcW w:w="1688" w:type="dxa"/>
          </w:tcPr>
          <w:p w14:paraId="5A5C8E69" w14:textId="77777777" w:rsidR="009705B6" w:rsidRPr="00B264CD" w:rsidRDefault="009705B6" w:rsidP="00380F8D">
            <w:pPr>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Managerial</w:t>
            </w:r>
          </w:p>
        </w:tc>
        <w:tc>
          <w:tcPr>
            <w:tcW w:w="1492" w:type="dxa"/>
          </w:tcPr>
          <w:p w14:paraId="2BD0466F" w14:textId="77777777" w:rsidR="009705B6" w:rsidRPr="00B264CD" w:rsidRDefault="009705B6" w:rsidP="00380F8D">
            <w:pPr>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Total</w:t>
            </w:r>
          </w:p>
        </w:tc>
      </w:tr>
      <w:tr w:rsidR="00867568" w:rsidRPr="002C7CCA" w14:paraId="74028173" w14:textId="77777777" w:rsidTr="00867568">
        <w:tc>
          <w:tcPr>
            <w:tcW w:w="2788" w:type="dxa"/>
          </w:tcPr>
          <w:p w14:paraId="38DC2523"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rPr>
              <w:t>CDX Registration</w:t>
            </w:r>
          </w:p>
        </w:tc>
        <w:tc>
          <w:tcPr>
            <w:tcW w:w="1683" w:type="dxa"/>
          </w:tcPr>
          <w:p w14:paraId="70898F3F"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A270D1">
              <w:rPr>
                <w:rFonts w:ascii="Times New Roman" w:hAnsi="Times New Roman"/>
                <w:color w:val="000000"/>
              </w:rPr>
              <w:t>0.00</w:t>
            </w:r>
          </w:p>
        </w:tc>
        <w:tc>
          <w:tcPr>
            <w:tcW w:w="1591" w:type="dxa"/>
          </w:tcPr>
          <w:p w14:paraId="6849546D"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0.73</w:t>
            </w:r>
          </w:p>
        </w:tc>
        <w:tc>
          <w:tcPr>
            <w:tcW w:w="1688" w:type="dxa"/>
          </w:tcPr>
          <w:p w14:paraId="6038D334"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0.18</w:t>
            </w:r>
          </w:p>
        </w:tc>
        <w:tc>
          <w:tcPr>
            <w:tcW w:w="1492" w:type="dxa"/>
            <w:vAlign w:val="center"/>
          </w:tcPr>
          <w:p w14:paraId="7F0B6A86"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0.91</w:t>
            </w:r>
          </w:p>
        </w:tc>
      </w:tr>
      <w:tr w:rsidR="00867568" w:rsidRPr="002C7CCA" w14:paraId="63EDD26A" w14:textId="77777777" w:rsidTr="00867568">
        <w:tc>
          <w:tcPr>
            <w:tcW w:w="2788" w:type="dxa"/>
          </w:tcPr>
          <w:p w14:paraId="1F2D12D6"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rPr>
              <w:t>CDX Electronic Signature</w:t>
            </w:r>
          </w:p>
        </w:tc>
        <w:tc>
          <w:tcPr>
            <w:tcW w:w="1683" w:type="dxa"/>
          </w:tcPr>
          <w:p w14:paraId="1F38718A"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A270D1">
              <w:rPr>
                <w:rFonts w:ascii="Times New Roman" w:hAnsi="Times New Roman"/>
                <w:color w:val="000000"/>
              </w:rPr>
              <w:t>0.00</w:t>
            </w:r>
          </w:p>
        </w:tc>
        <w:tc>
          <w:tcPr>
            <w:tcW w:w="1591" w:type="dxa"/>
          </w:tcPr>
          <w:p w14:paraId="53686DC9"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1.00</w:t>
            </w:r>
          </w:p>
        </w:tc>
        <w:tc>
          <w:tcPr>
            <w:tcW w:w="1688" w:type="dxa"/>
          </w:tcPr>
          <w:p w14:paraId="684889C4"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0.75</w:t>
            </w:r>
          </w:p>
        </w:tc>
        <w:tc>
          <w:tcPr>
            <w:tcW w:w="1492" w:type="dxa"/>
            <w:vAlign w:val="center"/>
          </w:tcPr>
          <w:p w14:paraId="41DA0490"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1.75</w:t>
            </w:r>
          </w:p>
        </w:tc>
      </w:tr>
      <w:tr w:rsidR="00867568" w:rsidRPr="002C7CCA" w14:paraId="2D98018D" w14:textId="77777777" w:rsidTr="00867568">
        <w:tc>
          <w:tcPr>
            <w:tcW w:w="2788" w:type="dxa"/>
          </w:tcPr>
          <w:p w14:paraId="35AE1F00"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rPr>
              <w:t>Rule Familiarization</w:t>
            </w:r>
          </w:p>
        </w:tc>
        <w:tc>
          <w:tcPr>
            <w:tcW w:w="1683" w:type="dxa"/>
          </w:tcPr>
          <w:p w14:paraId="73E80B74"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A270D1">
              <w:rPr>
                <w:rFonts w:ascii="Times New Roman" w:hAnsi="Times New Roman"/>
                <w:color w:val="000000"/>
              </w:rPr>
              <w:t>0.00</w:t>
            </w:r>
          </w:p>
        </w:tc>
        <w:tc>
          <w:tcPr>
            <w:tcW w:w="1591" w:type="dxa"/>
          </w:tcPr>
          <w:p w14:paraId="280C53C8"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0.27</w:t>
            </w:r>
          </w:p>
        </w:tc>
        <w:tc>
          <w:tcPr>
            <w:tcW w:w="1688" w:type="dxa"/>
          </w:tcPr>
          <w:p w14:paraId="7BF6F632"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0.55</w:t>
            </w:r>
          </w:p>
        </w:tc>
        <w:tc>
          <w:tcPr>
            <w:tcW w:w="1492" w:type="dxa"/>
            <w:vAlign w:val="center"/>
          </w:tcPr>
          <w:p w14:paraId="4C4FD480"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0.82</w:t>
            </w:r>
          </w:p>
        </w:tc>
      </w:tr>
      <w:tr w:rsidR="00867568" w:rsidRPr="002C7CCA" w14:paraId="2B39D680" w14:textId="77777777" w:rsidTr="00867568">
        <w:tc>
          <w:tcPr>
            <w:tcW w:w="2788" w:type="dxa"/>
          </w:tcPr>
          <w:p w14:paraId="3B8049E7"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b/>
                <w:bCs/>
              </w:rPr>
              <w:t>Total</w:t>
            </w:r>
          </w:p>
        </w:tc>
        <w:tc>
          <w:tcPr>
            <w:tcW w:w="1683" w:type="dxa"/>
          </w:tcPr>
          <w:p w14:paraId="439FE7ED" w14:textId="77777777" w:rsidR="00867568" w:rsidRPr="0061312A" w:rsidRDefault="00867568" w:rsidP="00867568">
            <w:pPr>
              <w:autoSpaceDE w:val="0"/>
              <w:autoSpaceDN w:val="0"/>
              <w:adjustRightInd w:val="0"/>
              <w:spacing w:after="0" w:line="240" w:lineRule="auto"/>
              <w:jc w:val="center"/>
              <w:rPr>
                <w:rFonts w:ascii="Times New Roman" w:hAnsi="Times New Roman"/>
                <w:b/>
                <w:sz w:val="24"/>
                <w:szCs w:val="24"/>
              </w:rPr>
            </w:pPr>
            <w:r w:rsidRPr="0061312A">
              <w:rPr>
                <w:rFonts w:ascii="Times New Roman" w:hAnsi="Times New Roman"/>
                <w:b/>
                <w:color w:val="000000"/>
              </w:rPr>
              <w:t>0.00</w:t>
            </w:r>
          </w:p>
        </w:tc>
        <w:tc>
          <w:tcPr>
            <w:tcW w:w="1591" w:type="dxa"/>
          </w:tcPr>
          <w:p w14:paraId="68915419"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b/>
                <w:bCs/>
              </w:rPr>
              <w:t>2.00</w:t>
            </w:r>
          </w:p>
        </w:tc>
        <w:tc>
          <w:tcPr>
            <w:tcW w:w="1688" w:type="dxa"/>
          </w:tcPr>
          <w:p w14:paraId="2A543D97"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b/>
                <w:bCs/>
              </w:rPr>
              <w:t>1.48</w:t>
            </w:r>
          </w:p>
        </w:tc>
        <w:tc>
          <w:tcPr>
            <w:tcW w:w="1492" w:type="dxa"/>
            <w:vAlign w:val="center"/>
          </w:tcPr>
          <w:p w14:paraId="7CCBA304"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3.48</w:t>
            </w:r>
          </w:p>
        </w:tc>
      </w:tr>
    </w:tbl>
    <w:p w14:paraId="64E6C4B0" w14:textId="77777777" w:rsidR="009705B6" w:rsidRPr="007F3CAE" w:rsidRDefault="009705B6" w:rsidP="009705B6">
      <w:pPr>
        <w:autoSpaceDE w:val="0"/>
        <w:autoSpaceDN w:val="0"/>
        <w:adjustRightInd w:val="0"/>
        <w:spacing w:after="0" w:line="240" w:lineRule="auto"/>
        <w:rPr>
          <w:rFonts w:ascii="Times New Roman" w:hAnsi="Times New Roman"/>
          <w:sz w:val="24"/>
          <w:szCs w:val="24"/>
        </w:rPr>
      </w:pPr>
    </w:p>
    <w:p w14:paraId="04148C20" w14:textId="52A3CEF3" w:rsidR="009705B6" w:rsidRDefault="000D7FF1" w:rsidP="009705B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For the purposes of this analysis EPA assumes that the one site submitting PAIR </w:t>
      </w:r>
      <w:r w:rsidR="00341F2D">
        <w:rPr>
          <w:rFonts w:ascii="Times New Roman" w:hAnsi="Times New Roman"/>
          <w:sz w:val="24"/>
          <w:szCs w:val="24"/>
        </w:rPr>
        <w:t xml:space="preserve">or </w:t>
      </w:r>
      <w:r w:rsidR="00341F2D" w:rsidRPr="005A40B0">
        <w:rPr>
          <w:rFonts w:ascii="Times New Roman" w:hAnsi="Times New Roman"/>
          <w:sz w:val="24"/>
          <w:szCs w:val="24"/>
        </w:rPr>
        <w:t>subpart B of 40 CFR 766</w:t>
      </w:r>
      <w:r w:rsidR="00341F2D">
        <w:rPr>
          <w:rFonts w:ascii="Times New Roman" w:hAnsi="Times New Roman"/>
          <w:sz w:val="24"/>
          <w:szCs w:val="24"/>
        </w:rPr>
        <w:t xml:space="preserve"> </w:t>
      </w:r>
      <w:r>
        <w:rPr>
          <w:rFonts w:ascii="Times New Roman" w:hAnsi="Times New Roman"/>
          <w:sz w:val="24"/>
          <w:szCs w:val="24"/>
        </w:rPr>
        <w:t>data will register with CDX</w:t>
      </w:r>
      <w:r w:rsidR="00F21405">
        <w:rPr>
          <w:rFonts w:ascii="Times New Roman" w:hAnsi="Times New Roman"/>
          <w:sz w:val="24"/>
          <w:szCs w:val="24"/>
        </w:rPr>
        <w:t>,</w:t>
      </w:r>
      <w:r>
        <w:rPr>
          <w:rFonts w:ascii="Times New Roman" w:hAnsi="Times New Roman"/>
          <w:sz w:val="24"/>
          <w:szCs w:val="24"/>
        </w:rPr>
        <w:t xml:space="preserve"> for a total </w:t>
      </w:r>
      <w:r w:rsidR="009705B6">
        <w:rPr>
          <w:rFonts w:ascii="Times New Roman" w:hAnsi="Times New Roman"/>
          <w:sz w:val="24"/>
          <w:szCs w:val="24"/>
        </w:rPr>
        <w:t>per-</w:t>
      </w:r>
      <w:r w:rsidR="009705B6" w:rsidRPr="007F3CAE">
        <w:rPr>
          <w:rFonts w:ascii="Times New Roman" w:hAnsi="Times New Roman"/>
          <w:sz w:val="24"/>
          <w:szCs w:val="24"/>
        </w:rPr>
        <w:t xml:space="preserve">site burden </w:t>
      </w:r>
      <w:r>
        <w:rPr>
          <w:rFonts w:ascii="Times New Roman" w:hAnsi="Times New Roman"/>
          <w:sz w:val="24"/>
          <w:szCs w:val="24"/>
        </w:rPr>
        <w:t>of 3.48 hours</w:t>
      </w:r>
      <w:r w:rsidR="009705B6" w:rsidRPr="007F3CAE">
        <w:rPr>
          <w:rFonts w:ascii="Times New Roman" w:hAnsi="Times New Roman"/>
          <w:sz w:val="24"/>
          <w:szCs w:val="24"/>
        </w:rPr>
        <w:t>.</w:t>
      </w:r>
    </w:p>
    <w:p w14:paraId="23506897" w14:textId="77777777" w:rsidR="00F5104E" w:rsidRPr="00D017B8" w:rsidRDefault="00F5104E" w:rsidP="00765290">
      <w:pPr>
        <w:pStyle w:val="Heading2"/>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Report Submission</w:t>
      </w:r>
    </w:p>
    <w:p w14:paraId="5EC92ED6" w14:textId="77777777" w:rsidR="00303E7C" w:rsidRPr="007F3CAE" w:rsidRDefault="00303E7C" w:rsidP="0053341F">
      <w:pPr>
        <w:autoSpaceDE w:val="0"/>
        <w:autoSpaceDN w:val="0"/>
        <w:adjustRightInd w:val="0"/>
        <w:spacing w:after="0" w:line="240" w:lineRule="auto"/>
        <w:rPr>
          <w:rFonts w:ascii="Times New Roman" w:hAnsi="Times New Roman"/>
          <w:sz w:val="24"/>
          <w:szCs w:val="24"/>
        </w:rPr>
      </w:pPr>
    </w:p>
    <w:p w14:paraId="6716BA9B" w14:textId="5D6D71F9" w:rsidR="00F5104E" w:rsidRPr="007F3CAE" w:rsidRDefault="00F5104E" w:rsidP="0053341F">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Report submission consists of </w:t>
      </w:r>
      <w:r w:rsidR="0095569F">
        <w:rPr>
          <w:rFonts w:ascii="Times New Roman" w:hAnsi="Times New Roman"/>
          <w:sz w:val="24"/>
          <w:szCs w:val="24"/>
        </w:rPr>
        <w:t xml:space="preserve">the </w:t>
      </w:r>
      <w:r w:rsidRPr="007F3CAE">
        <w:rPr>
          <w:rFonts w:ascii="Times New Roman" w:hAnsi="Times New Roman"/>
          <w:sz w:val="24"/>
          <w:szCs w:val="24"/>
        </w:rPr>
        <w:t>preparation</w:t>
      </w:r>
      <w:r w:rsidR="003023B3">
        <w:rPr>
          <w:rFonts w:ascii="Times New Roman" w:hAnsi="Times New Roman"/>
          <w:sz w:val="24"/>
          <w:szCs w:val="24"/>
        </w:rPr>
        <w:t>,</w:t>
      </w:r>
      <w:r w:rsidRPr="007F3CAE">
        <w:rPr>
          <w:rFonts w:ascii="Times New Roman" w:hAnsi="Times New Roman"/>
          <w:sz w:val="24"/>
          <w:szCs w:val="24"/>
        </w:rPr>
        <w:t xml:space="preserve"> review </w:t>
      </w:r>
      <w:r w:rsidR="0095569F">
        <w:rPr>
          <w:rFonts w:ascii="Times New Roman" w:hAnsi="Times New Roman"/>
          <w:sz w:val="24"/>
          <w:szCs w:val="24"/>
        </w:rPr>
        <w:t xml:space="preserve">and electronic submission of </w:t>
      </w:r>
      <w:r w:rsidR="00E1193F">
        <w:rPr>
          <w:rFonts w:ascii="Times New Roman" w:hAnsi="Times New Roman"/>
          <w:sz w:val="24"/>
          <w:szCs w:val="24"/>
        </w:rPr>
        <w:t xml:space="preserve">a </w:t>
      </w:r>
      <w:r w:rsidR="0095569F">
        <w:rPr>
          <w:rFonts w:ascii="Times New Roman" w:hAnsi="Times New Roman"/>
          <w:sz w:val="24"/>
          <w:szCs w:val="24"/>
        </w:rPr>
        <w:t>report</w:t>
      </w:r>
      <w:r w:rsidR="0021025C">
        <w:rPr>
          <w:rFonts w:ascii="Times New Roman" w:hAnsi="Times New Roman"/>
          <w:sz w:val="24"/>
          <w:szCs w:val="24"/>
        </w:rPr>
        <w:t xml:space="preserve"> </w:t>
      </w:r>
      <w:r w:rsidR="00E1193F">
        <w:rPr>
          <w:rFonts w:ascii="Times New Roman" w:hAnsi="Times New Roman"/>
          <w:sz w:val="24"/>
          <w:szCs w:val="24"/>
        </w:rPr>
        <w:t>in accordance with 40 CFR Part 712, Subpart B, as amended by 78 FR 72818</w:t>
      </w:r>
      <w:r w:rsidR="00E151F0">
        <w:rPr>
          <w:rFonts w:ascii="Times New Roman" w:hAnsi="Times New Roman"/>
          <w:sz w:val="24"/>
          <w:szCs w:val="24"/>
        </w:rPr>
        <w:t xml:space="preserve"> (</w:t>
      </w:r>
      <w:r w:rsidR="00E1193F">
        <w:rPr>
          <w:rFonts w:ascii="Times New Roman" w:hAnsi="Times New Roman"/>
          <w:sz w:val="24"/>
          <w:szCs w:val="24"/>
        </w:rPr>
        <w:t>December 4, 2013</w:t>
      </w:r>
      <w:r w:rsidR="00E151F0">
        <w:rPr>
          <w:rFonts w:ascii="Times New Roman" w:hAnsi="Times New Roman"/>
          <w:sz w:val="24"/>
          <w:szCs w:val="24"/>
        </w:rPr>
        <w:t>),</w:t>
      </w:r>
      <w:r w:rsidR="00E1193F">
        <w:rPr>
          <w:rFonts w:ascii="Times New Roman" w:hAnsi="Times New Roman"/>
          <w:sz w:val="24"/>
          <w:szCs w:val="24"/>
        </w:rPr>
        <w:t xml:space="preserve"> which required electronic submission</w:t>
      </w:r>
      <w:r w:rsidR="00EA3FE1">
        <w:rPr>
          <w:rFonts w:ascii="Times New Roman" w:hAnsi="Times New Roman"/>
          <w:sz w:val="24"/>
          <w:szCs w:val="24"/>
        </w:rPr>
        <w:t>.</w:t>
      </w:r>
    </w:p>
    <w:p w14:paraId="6E01B79A" w14:textId="77777777" w:rsidR="00303E7C" w:rsidRPr="007F3CAE" w:rsidRDefault="00303E7C" w:rsidP="0061312A">
      <w:pPr>
        <w:autoSpaceDE w:val="0"/>
        <w:autoSpaceDN w:val="0"/>
        <w:adjustRightInd w:val="0"/>
        <w:spacing w:after="0" w:line="240" w:lineRule="auto"/>
        <w:rPr>
          <w:rFonts w:ascii="Times New Roman" w:hAnsi="Times New Roman"/>
          <w:sz w:val="24"/>
          <w:szCs w:val="24"/>
        </w:rPr>
      </w:pPr>
    </w:p>
    <w:p w14:paraId="52ED9358" w14:textId="77777777" w:rsidR="00F5104E" w:rsidRPr="007F3CAE" w:rsidRDefault="00554987" w:rsidP="0061312A">
      <w:pPr>
        <w:spacing w:line="240" w:lineRule="auto"/>
        <w:ind w:firstLine="720"/>
        <w:rPr>
          <w:rFonts w:ascii="Times New Roman" w:hAnsi="Times New Roman"/>
          <w:sz w:val="24"/>
          <w:szCs w:val="24"/>
        </w:rPr>
      </w:pPr>
      <w:r w:rsidRPr="00920924">
        <w:rPr>
          <w:rFonts w:ascii="Times New Roman" w:hAnsi="Times New Roman"/>
          <w:sz w:val="24"/>
          <w:szCs w:val="24"/>
        </w:rPr>
        <w:t>EPA estimates that the per-</w:t>
      </w:r>
      <w:r w:rsidR="00F5104E" w:rsidRPr="00920924">
        <w:rPr>
          <w:rFonts w:ascii="Times New Roman" w:hAnsi="Times New Roman"/>
          <w:sz w:val="24"/>
          <w:szCs w:val="24"/>
        </w:rPr>
        <w:t>report submission will</w:t>
      </w:r>
      <w:r w:rsidR="00303E7C" w:rsidRPr="00920924">
        <w:rPr>
          <w:rFonts w:ascii="Times New Roman" w:hAnsi="Times New Roman"/>
          <w:sz w:val="24"/>
          <w:szCs w:val="24"/>
        </w:rPr>
        <w:t xml:space="preserve"> </w:t>
      </w:r>
      <w:r w:rsidR="00F5104E" w:rsidRPr="00920924">
        <w:rPr>
          <w:rFonts w:ascii="Times New Roman" w:hAnsi="Times New Roman"/>
          <w:sz w:val="24"/>
          <w:szCs w:val="24"/>
        </w:rPr>
        <w:t>require 0.</w:t>
      </w:r>
      <w:r w:rsidR="00B264CD" w:rsidRPr="00920924">
        <w:rPr>
          <w:rFonts w:ascii="Times New Roman" w:hAnsi="Times New Roman"/>
          <w:sz w:val="24"/>
          <w:szCs w:val="24"/>
        </w:rPr>
        <w:t>0</w:t>
      </w:r>
      <w:r w:rsidR="00F5104E" w:rsidRPr="00920924">
        <w:rPr>
          <w:rFonts w:ascii="Times New Roman" w:hAnsi="Times New Roman"/>
          <w:sz w:val="24"/>
          <w:szCs w:val="24"/>
        </w:rPr>
        <w:t xml:space="preserve">5 hours of </w:t>
      </w:r>
      <w:r w:rsidR="00136CA4">
        <w:rPr>
          <w:rFonts w:ascii="Times New Roman" w:hAnsi="Times New Roman"/>
          <w:sz w:val="24"/>
          <w:szCs w:val="24"/>
        </w:rPr>
        <w:t>clerical</w:t>
      </w:r>
      <w:r w:rsidR="00136CA4" w:rsidRPr="00F01687">
        <w:rPr>
          <w:rFonts w:ascii="Times New Roman" w:hAnsi="Times New Roman"/>
          <w:sz w:val="24"/>
          <w:szCs w:val="24"/>
        </w:rPr>
        <w:t xml:space="preserve"> </w:t>
      </w:r>
      <w:r w:rsidR="00F5104E" w:rsidRPr="00F01687">
        <w:rPr>
          <w:rFonts w:ascii="Times New Roman" w:hAnsi="Times New Roman"/>
          <w:sz w:val="24"/>
          <w:szCs w:val="24"/>
        </w:rPr>
        <w:t xml:space="preserve">time and 0.5 hours of managerial time for a total of </w:t>
      </w:r>
      <w:r w:rsidR="0095569F">
        <w:rPr>
          <w:rFonts w:ascii="Times New Roman" w:hAnsi="Times New Roman"/>
          <w:sz w:val="24"/>
          <w:szCs w:val="24"/>
        </w:rPr>
        <w:t>0.55</w:t>
      </w:r>
      <w:r w:rsidR="0095569F" w:rsidRPr="00F01687">
        <w:rPr>
          <w:rFonts w:ascii="Times New Roman" w:hAnsi="Times New Roman"/>
          <w:sz w:val="24"/>
          <w:szCs w:val="24"/>
        </w:rPr>
        <w:t xml:space="preserve"> </w:t>
      </w:r>
      <w:r w:rsidR="00F5104E" w:rsidRPr="00F01687">
        <w:rPr>
          <w:rFonts w:ascii="Times New Roman" w:hAnsi="Times New Roman"/>
          <w:sz w:val="24"/>
          <w:szCs w:val="24"/>
        </w:rPr>
        <w:t>hour</w:t>
      </w:r>
      <w:r w:rsidR="0095569F">
        <w:rPr>
          <w:rFonts w:ascii="Times New Roman" w:hAnsi="Times New Roman"/>
          <w:sz w:val="24"/>
          <w:szCs w:val="24"/>
        </w:rPr>
        <w:t>s</w:t>
      </w:r>
      <w:r w:rsidR="00F5104E" w:rsidRPr="00F01687">
        <w:rPr>
          <w:rFonts w:ascii="Times New Roman" w:hAnsi="Times New Roman"/>
          <w:sz w:val="24"/>
          <w:szCs w:val="24"/>
        </w:rPr>
        <w:t xml:space="preserve">. The </w:t>
      </w:r>
      <w:r w:rsidR="00136CA4">
        <w:rPr>
          <w:rFonts w:ascii="Times New Roman" w:hAnsi="Times New Roman"/>
          <w:sz w:val="24"/>
          <w:szCs w:val="24"/>
        </w:rPr>
        <w:t>clerical</w:t>
      </w:r>
      <w:r w:rsidR="00136CA4" w:rsidRPr="00F01687">
        <w:rPr>
          <w:rFonts w:ascii="Times New Roman" w:hAnsi="Times New Roman"/>
          <w:sz w:val="24"/>
          <w:szCs w:val="24"/>
        </w:rPr>
        <w:t xml:space="preserve"> </w:t>
      </w:r>
      <w:r w:rsidR="00F5104E" w:rsidRPr="00F01687">
        <w:rPr>
          <w:rFonts w:ascii="Times New Roman" w:hAnsi="Times New Roman"/>
          <w:sz w:val="24"/>
          <w:szCs w:val="24"/>
        </w:rPr>
        <w:t xml:space="preserve">burden </w:t>
      </w:r>
      <w:r w:rsidR="00920924" w:rsidRPr="00F01687">
        <w:rPr>
          <w:rFonts w:ascii="Times New Roman" w:hAnsi="Times New Roman"/>
          <w:sz w:val="24"/>
          <w:szCs w:val="24"/>
        </w:rPr>
        <w:t xml:space="preserve">is taken from the </w:t>
      </w:r>
      <w:r w:rsidR="00920924" w:rsidRPr="00665511">
        <w:rPr>
          <w:rFonts w:ascii="Times New Roman" w:hAnsi="Times New Roman"/>
          <w:bCs/>
          <w:i/>
          <w:sz w:val="24"/>
          <w:szCs w:val="24"/>
        </w:rPr>
        <w:t xml:space="preserve">Economic Analysis for the Electronic Reporting under the Toxic Substances Control Act (TSCA) Final Rule </w:t>
      </w:r>
      <w:r w:rsidR="00920924" w:rsidRPr="00665511">
        <w:rPr>
          <w:rFonts w:ascii="Times New Roman" w:hAnsi="Times New Roman"/>
          <w:bCs/>
          <w:sz w:val="24"/>
          <w:szCs w:val="24"/>
        </w:rPr>
        <w:t xml:space="preserve">(EPA, 2012) and includes time to </w:t>
      </w:r>
      <w:r w:rsidR="00920924" w:rsidRPr="00665511">
        <w:rPr>
          <w:rFonts w:ascii="Times New Roman" w:hAnsi="Times New Roman"/>
          <w:sz w:val="24"/>
          <w:szCs w:val="24"/>
        </w:rPr>
        <w:t>prepare and submit a report electronically</w:t>
      </w:r>
      <w:r w:rsidR="00F5104E" w:rsidRPr="00F01687">
        <w:rPr>
          <w:rFonts w:ascii="Times New Roman" w:hAnsi="Times New Roman"/>
          <w:sz w:val="24"/>
          <w:szCs w:val="24"/>
        </w:rPr>
        <w:t>. The managerial time assumes an involvement</w:t>
      </w:r>
      <w:r w:rsidR="00F5104E" w:rsidRPr="00920924">
        <w:rPr>
          <w:rFonts w:ascii="Times New Roman" w:hAnsi="Times New Roman"/>
          <w:sz w:val="24"/>
          <w:szCs w:val="24"/>
        </w:rPr>
        <w:t xml:space="preserve"> in the</w:t>
      </w:r>
      <w:r w:rsidR="00303E7C" w:rsidRPr="00920924">
        <w:rPr>
          <w:rFonts w:ascii="Times New Roman" w:hAnsi="Times New Roman"/>
          <w:sz w:val="24"/>
          <w:szCs w:val="24"/>
        </w:rPr>
        <w:t xml:space="preserve"> </w:t>
      </w:r>
      <w:r w:rsidR="00F5104E" w:rsidRPr="00920924">
        <w:rPr>
          <w:rFonts w:ascii="Times New Roman" w:hAnsi="Times New Roman"/>
          <w:sz w:val="24"/>
          <w:szCs w:val="24"/>
        </w:rPr>
        <w:t>preparation of the transmittal letter and review of the report package before it is</w:t>
      </w:r>
      <w:r w:rsidR="00303E7C" w:rsidRPr="00920924">
        <w:rPr>
          <w:rFonts w:ascii="Times New Roman" w:hAnsi="Times New Roman"/>
          <w:sz w:val="24"/>
          <w:szCs w:val="24"/>
        </w:rPr>
        <w:t xml:space="preserve"> </w:t>
      </w:r>
      <w:r w:rsidR="00F5104E" w:rsidRPr="00920924">
        <w:rPr>
          <w:rFonts w:ascii="Times New Roman" w:hAnsi="Times New Roman"/>
          <w:sz w:val="24"/>
          <w:szCs w:val="24"/>
        </w:rPr>
        <w:t>submitted to EPA.</w:t>
      </w:r>
    </w:p>
    <w:p w14:paraId="7F3A6F4E" w14:textId="77777777" w:rsidR="00F5104E" w:rsidRPr="007F3CAE" w:rsidRDefault="00F5104E" w:rsidP="00F5104E">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20"/>
        <w:gridCol w:w="1620"/>
        <w:gridCol w:w="1710"/>
        <w:gridCol w:w="1435"/>
      </w:tblGrid>
      <w:tr w:rsidR="00A7367E" w:rsidRPr="002C7CCA" w14:paraId="77F0ACBC" w14:textId="77777777" w:rsidTr="00701463">
        <w:tc>
          <w:tcPr>
            <w:tcW w:w="9242" w:type="dxa"/>
            <w:gridSpan w:val="5"/>
          </w:tcPr>
          <w:p w14:paraId="7FCD0974" w14:textId="77777777" w:rsidR="00A7367E" w:rsidRPr="002C7CCA" w:rsidRDefault="00A7367E" w:rsidP="002C7CCA">
            <w:pPr>
              <w:autoSpaceDE w:val="0"/>
              <w:autoSpaceDN w:val="0"/>
              <w:adjustRightInd w:val="0"/>
              <w:spacing w:after="0" w:line="240" w:lineRule="auto"/>
              <w:jc w:val="center"/>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CE068E">
              <w:rPr>
                <w:rFonts w:ascii="Times New Roman" w:hAnsi="Times New Roman"/>
                <w:b/>
                <w:noProof/>
                <w:sz w:val="24"/>
                <w:szCs w:val="24"/>
              </w:rPr>
              <w:t>8</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w:t>
            </w:r>
            <w:r>
              <w:rPr>
                <w:rFonts w:ascii="Times New Roman" w:hAnsi="Times New Roman"/>
                <w:b/>
                <w:bCs/>
                <w:sz w:val="24"/>
                <w:szCs w:val="24"/>
              </w:rPr>
              <w:t>-</w:t>
            </w:r>
            <w:r w:rsidRPr="007F3CAE">
              <w:rPr>
                <w:rFonts w:ascii="Times New Roman" w:hAnsi="Times New Roman"/>
                <w:b/>
                <w:bCs/>
                <w:sz w:val="24"/>
                <w:szCs w:val="24"/>
              </w:rPr>
              <w:t>Report Burden Estimates for Report Submission</w:t>
            </w:r>
          </w:p>
        </w:tc>
      </w:tr>
      <w:tr w:rsidR="00A7367E" w:rsidRPr="002C7CCA" w14:paraId="67E0053C" w14:textId="77777777" w:rsidTr="00701463">
        <w:tc>
          <w:tcPr>
            <w:tcW w:w="2857" w:type="dxa"/>
          </w:tcPr>
          <w:p w14:paraId="671FA367"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620" w:type="dxa"/>
          </w:tcPr>
          <w:p w14:paraId="43CC910B" w14:textId="77777777" w:rsidR="00A7367E" w:rsidRPr="002C7CCA" w:rsidRDefault="00A165F1" w:rsidP="00A7367E">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620" w:type="dxa"/>
          </w:tcPr>
          <w:p w14:paraId="19E518AF"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710" w:type="dxa"/>
          </w:tcPr>
          <w:p w14:paraId="04F0A235"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435" w:type="dxa"/>
          </w:tcPr>
          <w:p w14:paraId="1E8B7A50"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264CD" w:rsidRPr="002C7CCA" w14:paraId="6B606D48" w14:textId="77777777" w:rsidTr="00701463">
        <w:tc>
          <w:tcPr>
            <w:tcW w:w="2857" w:type="dxa"/>
          </w:tcPr>
          <w:p w14:paraId="1835B527" w14:textId="77777777" w:rsidR="00B264CD" w:rsidRPr="002C7CCA" w:rsidRDefault="00DD36AE" w:rsidP="00B264C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Report Submission</w:t>
            </w:r>
          </w:p>
        </w:tc>
        <w:tc>
          <w:tcPr>
            <w:tcW w:w="1620" w:type="dxa"/>
            <w:vAlign w:val="center"/>
          </w:tcPr>
          <w:p w14:paraId="5F73514A" w14:textId="77777777"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0.05</w:t>
            </w:r>
          </w:p>
        </w:tc>
        <w:tc>
          <w:tcPr>
            <w:tcW w:w="1620" w:type="dxa"/>
            <w:vAlign w:val="center"/>
          </w:tcPr>
          <w:p w14:paraId="66025F98" w14:textId="77777777"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w:t>
            </w:r>
            <w:r w:rsidR="00867568">
              <w:rPr>
                <w:rFonts w:ascii="Times New Roman" w:hAnsi="Times New Roman"/>
                <w:color w:val="000000"/>
                <w:sz w:val="24"/>
                <w:szCs w:val="24"/>
              </w:rPr>
              <w:t>.00</w:t>
            </w:r>
          </w:p>
        </w:tc>
        <w:tc>
          <w:tcPr>
            <w:tcW w:w="1710" w:type="dxa"/>
            <w:vAlign w:val="center"/>
          </w:tcPr>
          <w:p w14:paraId="041A30A6" w14:textId="77777777"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0.5</w:t>
            </w:r>
          </w:p>
        </w:tc>
        <w:tc>
          <w:tcPr>
            <w:tcW w:w="1435" w:type="dxa"/>
            <w:vAlign w:val="center"/>
          </w:tcPr>
          <w:p w14:paraId="7BC90F64" w14:textId="77777777"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0.55</w:t>
            </w:r>
          </w:p>
        </w:tc>
      </w:tr>
    </w:tbl>
    <w:p w14:paraId="6D4D4A08"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70C50973" w14:textId="3BDA76D3" w:rsidR="00653F29" w:rsidRDefault="00F5104E" w:rsidP="009B135E">
      <w:pPr>
        <w:autoSpaceDE w:val="0"/>
        <w:autoSpaceDN w:val="0"/>
        <w:adjustRightInd w:val="0"/>
        <w:spacing w:after="0" w:line="240" w:lineRule="auto"/>
        <w:rPr>
          <w:rFonts w:ascii="Times New Roman" w:hAnsi="Times New Roman"/>
          <w:sz w:val="24"/>
          <w:szCs w:val="24"/>
          <w:u w:val="single"/>
        </w:rPr>
      </w:pPr>
      <w:r w:rsidRPr="007F3CAE">
        <w:rPr>
          <w:rFonts w:ascii="Times New Roman" w:hAnsi="Times New Roman"/>
          <w:sz w:val="24"/>
          <w:szCs w:val="24"/>
        </w:rPr>
        <w:t xml:space="preserve">Given that each site produces an average of </w:t>
      </w:r>
      <w:r w:rsidR="00805D90">
        <w:rPr>
          <w:rFonts w:ascii="Times New Roman" w:hAnsi="Times New Roman"/>
          <w:sz w:val="24"/>
          <w:szCs w:val="24"/>
        </w:rPr>
        <w:t>one (</w:t>
      </w:r>
      <w:r w:rsidR="0095569F">
        <w:rPr>
          <w:rFonts w:ascii="Times New Roman" w:hAnsi="Times New Roman"/>
          <w:sz w:val="24"/>
          <w:szCs w:val="24"/>
        </w:rPr>
        <w:t>1</w:t>
      </w:r>
      <w:r w:rsidR="00805D90">
        <w:rPr>
          <w:rFonts w:ascii="Times New Roman" w:hAnsi="Times New Roman"/>
          <w:sz w:val="24"/>
          <w:szCs w:val="24"/>
        </w:rPr>
        <w:t>)</w:t>
      </w:r>
      <w:r w:rsidR="00A30ABB" w:rsidRPr="007F3CAE">
        <w:rPr>
          <w:rFonts w:ascii="Times New Roman" w:hAnsi="Times New Roman"/>
          <w:sz w:val="24"/>
          <w:szCs w:val="24"/>
        </w:rPr>
        <w:t xml:space="preserve"> </w:t>
      </w:r>
      <w:r w:rsidR="00554987">
        <w:rPr>
          <w:rFonts w:ascii="Times New Roman" w:hAnsi="Times New Roman"/>
          <w:sz w:val="24"/>
          <w:szCs w:val="24"/>
        </w:rPr>
        <w:t>report, the per-</w:t>
      </w:r>
      <w:r w:rsidRPr="007F3CAE">
        <w:rPr>
          <w:rFonts w:ascii="Times New Roman" w:hAnsi="Times New Roman"/>
          <w:sz w:val="24"/>
          <w:szCs w:val="24"/>
        </w:rPr>
        <w:t>site burden for</w:t>
      </w:r>
      <w:r w:rsidR="00303E7C" w:rsidRPr="007F3CAE">
        <w:rPr>
          <w:rFonts w:ascii="Times New Roman" w:hAnsi="Times New Roman"/>
          <w:sz w:val="24"/>
          <w:szCs w:val="24"/>
        </w:rPr>
        <w:t xml:space="preserve"> </w:t>
      </w:r>
      <w:r w:rsidRPr="007F3CAE">
        <w:rPr>
          <w:rFonts w:ascii="Times New Roman" w:hAnsi="Times New Roman"/>
          <w:sz w:val="24"/>
          <w:szCs w:val="24"/>
        </w:rPr>
        <w:t xml:space="preserve">report submission is </w:t>
      </w:r>
      <w:r w:rsidR="0095569F">
        <w:rPr>
          <w:rFonts w:ascii="Times New Roman" w:hAnsi="Times New Roman"/>
          <w:sz w:val="24"/>
          <w:szCs w:val="24"/>
        </w:rPr>
        <w:t>1</w:t>
      </w:r>
      <w:r w:rsidR="00A30ABB" w:rsidRPr="007F3CAE">
        <w:rPr>
          <w:rFonts w:ascii="Times New Roman" w:hAnsi="Times New Roman"/>
          <w:sz w:val="24"/>
          <w:szCs w:val="24"/>
        </w:rPr>
        <w:t xml:space="preserve"> </w:t>
      </w:r>
      <w:r w:rsidRPr="007F3CAE">
        <w:rPr>
          <w:rFonts w:ascii="Times New Roman" w:hAnsi="Times New Roman"/>
          <w:sz w:val="24"/>
          <w:szCs w:val="24"/>
        </w:rPr>
        <w:t xml:space="preserve">x </w:t>
      </w:r>
      <w:r w:rsidR="0095569F">
        <w:rPr>
          <w:rFonts w:ascii="Times New Roman" w:hAnsi="Times New Roman"/>
          <w:sz w:val="24"/>
          <w:szCs w:val="24"/>
        </w:rPr>
        <w:t>0.55</w:t>
      </w:r>
      <w:r w:rsidR="0095569F" w:rsidRPr="007F3CAE">
        <w:rPr>
          <w:rFonts w:ascii="Times New Roman" w:hAnsi="Times New Roman"/>
          <w:sz w:val="24"/>
          <w:szCs w:val="24"/>
        </w:rPr>
        <w:t xml:space="preserve"> </w:t>
      </w:r>
      <w:r w:rsidRPr="007F3CAE">
        <w:rPr>
          <w:rFonts w:ascii="Times New Roman" w:hAnsi="Times New Roman"/>
          <w:sz w:val="24"/>
          <w:szCs w:val="24"/>
        </w:rPr>
        <w:t>hour</w:t>
      </w:r>
      <w:r w:rsidR="0095569F">
        <w:rPr>
          <w:rFonts w:ascii="Times New Roman" w:hAnsi="Times New Roman"/>
          <w:sz w:val="24"/>
          <w:szCs w:val="24"/>
        </w:rPr>
        <w:t>s</w:t>
      </w:r>
      <w:r w:rsidRPr="007F3CAE">
        <w:rPr>
          <w:rFonts w:ascii="Times New Roman" w:hAnsi="Times New Roman"/>
          <w:sz w:val="24"/>
          <w:szCs w:val="24"/>
        </w:rPr>
        <w:t xml:space="preserve">, or </w:t>
      </w:r>
      <w:r w:rsidR="0095569F">
        <w:rPr>
          <w:rFonts w:ascii="Times New Roman" w:hAnsi="Times New Roman"/>
          <w:sz w:val="24"/>
          <w:szCs w:val="24"/>
        </w:rPr>
        <w:t>0.55</w:t>
      </w:r>
      <w:r w:rsidR="00A30ABB" w:rsidRPr="007F3CAE">
        <w:rPr>
          <w:rFonts w:ascii="Times New Roman" w:hAnsi="Times New Roman"/>
          <w:sz w:val="24"/>
          <w:szCs w:val="24"/>
        </w:rPr>
        <w:t xml:space="preserve"> </w:t>
      </w:r>
      <w:r w:rsidRPr="007F3CAE">
        <w:rPr>
          <w:rFonts w:ascii="Times New Roman" w:hAnsi="Times New Roman"/>
          <w:sz w:val="24"/>
          <w:szCs w:val="24"/>
        </w:rPr>
        <w:t>hours.</w:t>
      </w:r>
    </w:p>
    <w:p w14:paraId="4B1AA4C8" w14:textId="228126A8" w:rsidR="00653F29" w:rsidRDefault="00653F29" w:rsidP="009B135E">
      <w:pPr>
        <w:autoSpaceDE w:val="0"/>
        <w:autoSpaceDN w:val="0"/>
        <w:adjustRightInd w:val="0"/>
        <w:spacing w:after="0" w:line="240" w:lineRule="auto"/>
        <w:rPr>
          <w:rFonts w:ascii="Times New Roman" w:hAnsi="Times New Roman"/>
          <w:sz w:val="24"/>
          <w:szCs w:val="24"/>
          <w:u w:val="single"/>
        </w:rPr>
      </w:pPr>
    </w:p>
    <w:p w14:paraId="36AB71A0" w14:textId="30C9DC71" w:rsidR="00F5104E" w:rsidRPr="007F3CAE" w:rsidRDefault="00F5104E" w:rsidP="00765290">
      <w:pPr>
        <w:autoSpaceDE w:val="0"/>
        <w:autoSpaceDN w:val="0"/>
        <w:adjustRightInd w:val="0"/>
        <w:spacing w:after="0" w:line="240" w:lineRule="auto"/>
        <w:ind w:firstLine="720"/>
        <w:rPr>
          <w:rFonts w:ascii="Times New Roman" w:hAnsi="Times New Roman"/>
          <w:sz w:val="24"/>
          <w:szCs w:val="24"/>
          <w:u w:val="single"/>
        </w:rPr>
      </w:pPr>
      <w:r w:rsidRPr="007F3CAE">
        <w:rPr>
          <w:rFonts w:ascii="Times New Roman" w:hAnsi="Times New Roman"/>
          <w:sz w:val="24"/>
          <w:szCs w:val="24"/>
          <w:u w:val="single"/>
        </w:rPr>
        <w:t>Total Industry Burden Estimates</w:t>
      </w:r>
    </w:p>
    <w:p w14:paraId="6A32D02E"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p w14:paraId="3A69525F" w14:textId="30AFCC1F" w:rsidR="00F5104E" w:rsidRDefault="001062EE" w:rsidP="00765290">
      <w:pPr>
        <w:autoSpaceDE w:val="0"/>
        <w:autoSpaceDN w:val="0"/>
        <w:adjustRightInd w:val="0"/>
        <w:spacing w:after="0" w:line="240" w:lineRule="auto"/>
        <w:ind w:firstLine="720"/>
        <w:rPr>
          <w:rFonts w:ascii="Times New Roman" w:hAnsi="Times New Roman"/>
          <w:sz w:val="24"/>
          <w:szCs w:val="24"/>
        </w:rPr>
      </w:pPr>
      <w:r w:rsidRPr="00B647B7">
        <w:rPr>
          <w:rFonts w:ascii="Times New Roman" w:hAnsi="Times New Roman"/>
          <w:sz w:val="24"/>
          <w:szCs w:val="24"/>
        </w:rPr>
        <w:fldChar w:fldCharType="begin"/>
      </w:r>
      <w:r w:rsidRPr="001062EE">
        <w:rPr>
          <w:rFonts w:ascii="Times New Roman" w:hAnsi="Times New Roman"/>
          <w:sz w:val="24"/>
          <w:szCs w:val="24"/>
        </w:rPr>
        <w:instrText xml:space="preserve"> REF _Ref416443759 \h </w:instrText>
      </w:r>
      <w:r w:rsidRPr="00665511">
        <w:rPr>
          <w:rFonts w:ascii="Times New Roman" w:hAnsi="Times New Roman"/>
          <w:sz w:val="24"/>
          <w:szCs w:val="24"/>
        </w:rPr>
        <w:instrText xml:space="preserve"> \* MERGEFORMAT </w:instrText>
      </w:r>
      <w:r w:rsidRPr="00B647B7">
        <w:rPr>
          <w:rFonts w:ascii="Times New Roman" w:hAnsi="Times New Roman"/>
          <w:sz w:val="24"/>
          <w:szCs w:val="24"/>
        </w:rPr>
      </w:r>
      <w:r w:rsidRPr="00B647B7">
        <w:rPr>
          <w:rFonts w:ascii="Times New Roman" w:hAnsi="Times New Roman"/>
          <w:sz w:val="24"/>
          <w:szCs w:val="24"/>
        </w:rPr>
        <w:fldChar w:fldCharType="separate"/>
      </w:r>
      <w:r w:rsidR="00CE068E" w:rsidRPr="00A82BDA">
        <w:rPr>
          <w:rFonts w:ascii="Times New Roman" w:hAnsi="Times New Roman"/>
          <w:sz w:val="24"/>
          <w:szCs w:val="24"/>
        </w:rPr>
        <w:t xml:space="preserve">Table </w:t>
      </w:r>
      <w:r w:rsidR="00CE068E">
        <w:rPr>
          <w:rFonts w:ascii="Times New Roman" w:hAnsi="Times New Roman"/>
          <w:noProof/>
          <w:sz w:val="24"/>
          <w:szCs w:val="24"/>
        </w:rPr>
        <w:t>9</w:t>
      </w:r>
      <w:r w:rsidRPr="00B647B7">
        <w:rPr>
          <w:rFonts w:ascii="Times New Roman" w:hAnsi="Times New Roman"/>
          <w:sz w:val="24"/>
          <w:szCs w:val="24"/>
        </w:rPr>
        <w:fldChar w:fldCharType="end"/>
      </w:r>
      <w:r>
        <w:rPr>
          <w:rFonts w:ascii="Times New Roman" w:hAnsi="Times New Roman"/>
          <w:sz w:val="24"/>
          <w:szCs w:val="24"/>
        </w:rPr>
        <w:t xml:space="preserve"> </w:t>
      </w:r>
      <w:r w:rsidR="00F5104E" w:rsidRPr="007F3CAE">
        <w:rPr>
          <w:rFonts w:ascii="Times New Roman" w:hAnsi="Times New Roman"/>
          <w:sz w:val="24"/>
          <w:szCs w:val="24"/>
        </w:rPr>
        <w:t>presents the compilation of the annual burden hour estimates</w:t>
      </w:r>
      <w:r w:rsidR="00303E7C" w:rsidRPr="007F3CAE">
        <w:rPr>
          <w:rFonts w:ascii="Times New Roman" w:hAnsi="Times New Roman"/>
          <w:sz w:val="24"/>
          <w:szCs w:val="24"/>
        </w:rPr>
        <w:t xml:space="preserve"> </w:t>
      </w:r>
      <w:r w:rsidR="00F5104E" w:rsidRPr="007F3CAE">
        <w:rPr>
          <w:rFonts w:ascii="Times New Roman" w:hAnsi="Times New Roman"/>
          <w:sz w:val="24"/>
          <w:szCs w:val="24"/>
        </w:rPr>
        <w:t>for respondents.</w:t>
      </w:r>
    </w:p>
    <w:p w14:paraId="7589E24C"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296"/>
        <w:gridCol w:w="1713"/>
        <w:gridCol w:w="1403"/>
        <w:gridCol w:w="1137"/>
        <w:gridCol w:w="1518"/>
      </w:tblGrid>
      <w:tr w:rsidR="000D7FF1" w:rsidRPr="002C7CCA" w14:paraId="4204E6B2" w14:textId="77777777" w:rsidTr="00945E7C">
        <w:tc>
          <w:tcPr>
            <w:tcW w:w="9355" w:type="dxa"/>
            <w:gridSpan w:val="6"/>
          </w:tcPr>
          <w:p w14:paraId="45BB6B01" w14:textId="00AB0FD9" w:rsidR="000D7FF1" w:rsidRPr="002C7CCA" w:rsidRDefault="00311498" w:rsidP="00FC4076">
            <w:pPr>
              <w:pStyle w:val="Caption"/>
              <w:keepNext/>
              <w:spacing w:after="0"/>
              <w:rPr>
                <w:rFonts w:ascii="Times New Roman" w:eastAsiaTheme="minorHAnsi" w:hAnsi="Times New Roman"/>
                <w:color w:val="auto"/>
                <w:sz w:val="24"/>
                <w:szCs w:val="24"/>
              </w:rPr>
            </w:pPr>
            <w:bookmarkStart w:id="6" w:name="_Ref416443759"/>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CE068E">
              <w:rPr>
                <w:rFonts w:ascii="Times New Roman" w:hAnsi="Times New Roman"/>
                <w:noProof/>
                <w:color w:val="auto"/>
                <w:sz w:val="24"/>
                <w:szCs w:val="24"/>
              </w:rPr>
              <w:t>9</w:t>
            </w:r>
            <w:r w:rsidRPr="00A82BDA">
              <w:rPr>
                <w:rFonts w:ascii="Times New Roman" w:hAnsi="Times New Roman"/>
                <w:color w:val="auto"/>
                <w:sz w:val="24"/>
                <w:szCs w:val="24"/>
              </w:rPr>
              <w:fldChar w:fldCharType="end"/>
            </w:r>
            <w:bookmarkEnd w:id="6"/>
            <w:r w:rsidRPr="00A82BDA">
              <w:rPr>
                <w:rFonts w:ascii="Times New Roman" w:hAnsi="Times New Roman"/>
                <w:color w:val="auto"/>
              </w:rPr>
              <w:t xml:space="preserve">: </w:t>
            </w:r>
            <w:r w:rsidR="000D7FF1" w:rsidRPr="000D7FF1">
              <w:rPr>
                <w:rFonts w:ascii="Times New Roman" w:hAnsi="Times New Roman"/>
                <w:bCs w:val="0"/>
                <w:color w:val="auto"/>
                <w:sz w:val="24"/>
                <w:szCs w:val="24"/>
              </w:rPr>
              <w:t>Estimated Annual Burden Hours (assuming 1 report per site and a total of 1 report per year)</w:t>
            </w:r>
          </w:p>
        </w:tc>
      </w:tr>
      <w:tr w:rsidR="000D7FF1" w:rsidRPr="002C7CCA" w14:paraId="055CD4BA" w14:textId="77777777" w:rsidTr="00945E7C">
        <w:tc>
          <w:tcPr>
            <w:tcW w:w="2288" w:type="dxa"/>
            <w:vAlign w:val="center"/>
          </w:tcPr>
          <w:p w14:paraId="511312A1"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Burden Item</w:t>
            </w:r>
          </w:p>
        </w:tc>
        <w:tc>
          <w:tcPr>
            <w:tcW w:w="1296" w:type="dxa"/>
            <w:vAlign w:val="center"/>
          </w:tcPr>
          <w:p w14:paraId="63BE8DC4" w14:textId="77777777" w:rsidR="000D7FF1" w:rsidRPr="002C7CCA" w:rsidRDefault="000D7FF1" w:rsidP="00FC4076">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Hours Per Report</w:t>
            </w:r>
          </w:p>
        </w:tc>
        <w:tc>
          <w:tcPr>
            <w:tcW w:w="1713" w:type="dxa"/>
            <w:vAlign w:val="center"/>
          </w:tcPr>
          <w:p w14:paraId="20518BE5" w14:textId="77777777" w:rsidR="000D7FF1" w:rsidRPr="002C7CCA" w:rsidRDefault="000D7FF1" w:rsidP="00FC4076">
            <w:pPr>
              <w:keepNext/>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Total Number of Reports per Site</w:t>
            </w:r>
          </w:p>
        </w:tc>
        <w:tc>
          <w:tcPr>
            <w:tcW w:w="1403" w:type="dxa"/>
            <w:vAlign w:val="center"/>
          </w:tcPr>
          <w:p w14:paraId="7370950C" w14:textId="77777777" w:rsidR="000D7FF1" w:rsidRPr="002C7CCA" w:rsidRDefault="000D7FF1" w:rsidP="00FC4076">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Hours Per Site</w:t>
            </w:r>
          </w:p>
        </w:tc>
        <w:tc>
          <w:tcPr>
            <w:tcW w:w="1137" w:type="dxa"/>
            <w:vAlign w:val="center"/>
          </w:tcPr>
          <w:p w14:paraId="4112EACA" w14:textId="77777777" w:rsidR="000D7FF1" w:rsidRPr="002C7CCA" w:rsidRDefault="000D7FF1" w:rsidP="00FC4076">
            <w:pPr>
              <w:keepNext/>
              <w:autoSpaceDE w:val="0"/>
              <w:autoSpaceDN w:val="0"/>
              <w:adjustRightInd w:val="0"/>
              <w:spacing w:after="0" w:line="240" w:lineRule="auto"/>
              <w:jc w:val="center"/>
              <w:rPr>
                <w:rFonts w:ascii="Times New Roman" w:eastAsiaTheme="minorHAnsi" w:hAnsi="Times New Roman"/>
                <w:b/>
                <w:sz w:val="24"/>
                <w:szCs w:val="24"/>
              </w:rPr>
            </w:pPr>
            <w:r w:rsidRPr="000D7FF1">
              <w:rPr>
                <w:rFonts w:ascii="Times New Roman" w:hAnsi="Times New Roman"/>
                <w:b/>
                <w:sz w:val="24"/>
                <w:szCs w:val="24"/>
              </w:rPr>
              <w:t>Total Number of Site</w:t>
            </w:r>
            <w:r>
              <w:rPr>
                <w:rFonts w:ascii="Times New Roman" w:hAnsi="Times New Roman"/>
                <w:b/>
                <w:sz w:val="24"/>
                <w:szCs w:val="24"/>
              </w:rPr>
              <w:t>s</w:t>
            </w:r>
          </w:p>
        </w:tc>
        <w:tc>
          <w:tcPr>
            <w:tcW w:w="1518" w:type="dxa"/>
            <w:vAlign w:val="center"/>
          </w:tcPr>
          <w:p w14:paraId="0DC623EC" w14:textId="77777777" w:rsidR="000D7FF1" w:rsidRPr="002C7CCA" w:rsidRDefault="000D7FF1" w:rsidP="00FC4076">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 Annual Hours</w:t>
            </w:r>
          </w:p>
        </w:tc>
      </w:tr>
      <w:tr w:rsidR="00BC733F" w:rsidRPr="002C7CCA" w14:paraId="248F11FF" w14:textId="77777777" w:rsidTr="00945E7C">
        <w:trPr>
          <w:trHeight w:val="215"/>
        </w:trPr>
        <w:tc>
          <w:tcPr>
            <w:tcW w:w="2288" w:type="dxa"/>
          </w:tcPr>
          <w:p w14:paraId="55599BB1"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Form Familiarization</w:t>
            </w:r>
          </w:p>
        </w:tc>
        <w:tc>
          <w:tcPr>
            <w:tcW w:w="1296" w:type="dxa"/>
            <w:vAlign w:val="center"/>
          </w:tcPr>
          <w:p w14:paraId="69B6B103"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7.00</w:t>
            </w:r>
          </w:p>
        </w:tc>
        <w:tc>
          <w:tcPr>
            <w:tcW w:w="1713" w:type="dxa"/>
            <w:vAlign w:val="center"/>
          </w:tcPr>
          <w:p w14:paraId="20B1A685"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5A4DFB68"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7.00</w:t>
            </w:r>
          </w:p>
        </w:tc>
        <w:tc>
          <w:tcPr>
            <w:tcW w:w="1137" w:type="dxa"/>
            <w:vAlign w:val="center"/>
          </w:tcPr>
          <w:p w14:paraId="7CB29C5E"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6B25CF5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7.00</w:t>
            </w:r>
          </w:p>
        </w:tc>
      </w:tr>
      <w:tr w:rsidR="00BC733F" w:rsidRPr="002C7CCA" w14:paraId="15EBFA35" w14:textId="77777777" w:rsidTr="00945E7C">
        <w:tc>
          <w:tcPr>
            <w:tcW w:w="2288" w:type="dxa"/>
          </w:tcPr>
          <w:p w14:paraId="1FB226B3"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Reporting</w:t>
            </w:r>
          </w:p>
        </w:tc>
        <w:tc>
          <w:tcPr>
            <w:tcW w:w="1296" w:type="dxa"/>
            <w:vAlign w:val="center"/>
          </w:tcPr>
          <w:p w14:paraId="10836A4F"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14.75</w:t>
            </w:r>
          </w:p>
        </w:tc>
        <w:tc>
          <w:tcPr>
            <w:tcW w:w="1713" w:type="dxa"/>
            <w:vAlign w:val="center"/>
          </w:tcPr>
          <w:p w14:paraId="1C9224E7"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2D9E8158"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14.75</w:t>
            </w:r>
          </w:p>
        </w:tc>
        <w:tc>
          <w:tcPr>
            <w:tcW w:w="1137" w:type="dxa"/>
            <w:vAlign w:val="center"/>
          </w:tcPr>
          <w:p w14:paraId="34D4D52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64010364"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14.75</w:t>
            </w:r>
          </w:p>
        </w:tc>
      </w:tr>
      <w:tr w:rsidR="00BC733F" w:rsidRPr="002C7CCA" w14:paraId="783B0FF5" w14:textId="77777777" w:rsidTr="00945E7C">
        <w:tc>
          <w:tcPr>
            <w:tcW w:w="2288" w:type="dxa"/>
          </w:tcPr>
          <w:p w14:paraId="18EA85CB"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Trade Name Notification</w:t>
            </w:r>
          </w:p>
        </w:tc>
        <w:tc>
          <w:tcPr>
            <w:tcW w:w="1296" w:type="dxa"/>
            <w:vAlign w:val="center"/>
          </w:tcPr>
          <w:p w14:paraId="781B7B9C"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2.20</w:t>
            </w:r>
          </w:p>
        </w:tc>
        <w:tc>
          <w:tcPr>
            <w:tcW w:w="1713" w:type="dxa"/>
            <w:vAlign w:val="center"/>
          </w:tcPr>
          <w:p w14:paraId="5161F8B8"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368F9E29"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2.20</w:t>
            </w:r>
          </w:p>
        </w:tc>
        <w:tc>
          <w:tcPr>
            <w:tcW w:w="1137" w:type="dxa"/>
            <w:vAlign w:val="center"/>
          </w:tcPr>
          <w:p w14:paraId="3EB35347"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008E901B"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2.20</w:t>
            </w:r>
          </w:p>
        </w:tc>
      </w:tr>
      <w:tr w:rsidR="00BC733F" w:rsidRPr="002C7CCA" w14:paraId="2DC0D5F7" w14:textId="77777777" w:rsidTr="00945E7C">
        <w:tc>
          <w:tcPr>
            <w:tcW w:w="2288" w:type="dxa"/>
          </w:tcPr>
          <w:p w14:paraId="0CE01408"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CBI Substantiation</w:t>
            </w:r>
          </w:p>
        </w:tc>
        <w:tc>
          <w:tcPr>
            <w:tcW w:w="1296" w:type="dxa"/>
            <w:vAlign w:val="center"/>
          </w:tcPr>
          <w:p w14:paraId="0B6D36D3" w14:textId="3D8BA58A" w:rsidR="00BC733F" w:rsidRPr="00BC733F" w:rsidRDefault="000F7A7C" w:rsidP="00BC733F">
            <w:pPr>
              <w:keepNext/>
              <w:autoSpaceDE w:val="0"/>
              <w:autoSpaceDN w:val="0"/>
              <w:adjustRightInd w:val="0"/>
              <w:spacing w:after="0" w:line="240" w:lineRule="auto"/>
              <w:jc w:val="center"/>
              <w:rPr>
                <w:rFonts w:ascii="Times New Roman" w:eastAsiaTheme="minorHAnsi" w:hAnsi="Times New Roman"/>
              </w:rPr>
            </w:pPr>
            <w:r>
              <w:rPr>
                <w:rFonts w:ascii="Times New Roman" w:hAnsi="Times New Roman"/>
                <w:color w:val="000000"/>
              </w:rPr>
              <w:t>4.01</w:t>
            </w:r>
          </w:p>
        </w:tc>
        <w:tc>
          <w:tcPr>
            <w:tcW w:w="1713" w:type="dxa"/>
            <w:vAlign w:val="center"/>
          </w:tcPr>
          <w:p w14:paraId="77DCEDCD"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719BD7AB" w14:textId="315A7155" w:rsidR="00BC733F" w:rsidRPr="00BC733F" w:rsidRDefault="000F7A7C" w:rsidP="00BC733F">
            <w:pPr>
              <w:keepNext/>
              <w:autoSpaceDE w:val="0"/>
              <w:autoSpaceDN w:val="0"/>
              <w:adjustRightInd w:val="0"/>
              <w:spacing w:after="0" w:line="240" w:lineRule="auto"/>
              <w:jc w:val="center"/>
              <w:rPr>
                <w:rFonts w:ascii="Times New Roman" w:eastAsiaTheme="minorHAnsi" w:hAnsi="Times New Roman"/>
              </w:rPr>
            </w:pPr>
            <w:r>
              <w:rPr>
                <w:rFonts w:ascii="Times New Roman" w:hAnsi="Times New Roman"/>
                <w:color w:val="000000"/>
              </w:rPr>
              <w:t>4.01</w:t>
            </w:r>
          </w:p>
        </w:tc>
        <w:tc>
          <w:tcPr>
            <w:tcW w:w="1137" w:type="dxa"/>
            <w:vAlign w:val="center"/>
          </w:tcPr>
          <w:p w14:paraId="02ADA141"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5A0FDDE7" w14:textId="75BA92C8" w:rsidR="00BC733F" w:rsidRPr="00BC733F" w:rsidRDefault="000F7A7C" w:rsidP="00BC733F">
            <w:pPr>
              <w:keepNext/>
              <w:autoSpaceDE w:val="0"/>
              <w:autoSpaceDN w:val="0"/>
              <w:adjustRightInd w:val="0"/>
              <w:spacing w:after="0" w:line="240" w:lineRule="auto"/>
              <w:jc w:val="center"/>
              <w:rPr>
                <w:rFonts w:ascii="Times New Roman" w:eastAsiaTheme="minorHAnsi" w:hAnsi="Times New Roman"/>
                <w:b/>
              </w:rPr>
            </w:pPr>
            <w:r>
              <w:rPr>
                <w:rFonts w:ascii="Times New Roman" w:hAnsi="Times New Roman"/>
                <w:color w:val="000000"/>
              </w:rPr>
              <w:t>4.01</w:t>
            </w:r>
          </w:p>
        </w:tc>
      </w:tr>
      <w:tr w:rsidR="00BC733F" w:rsidRPr="002C7CCA" w14:paraId="1D7273FB" w14:textId="77777777" w:rsidTr="00945E7C">
        <w:tc>
          <w:tcPr>
            <w:tcW w:w="2288" w:type="dxa"/>
          </w:tcPr>
          <w:p w14:paraId="59DD368D"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Recordkeeping</w:t>
            </w:r>
          </w:p>
        </w:tc>
        <w:tc>
          <w:tcPr>
            <w:tcW w:w="1296" w:type="dxa"/>
            <w:vAlign w:val="center"/>
          </w:tcPr>
          <w:p w14:paraId="1682A68D" w14:textId="745C750D" w:rsidR="00BC733F" w:rsidRPr="00BC733F" w:rsidRDefault="00226188" w:rsidP="00BC733F">
            <w:pPr>
              <w:keepNext/>
              <w:autoSpaceDE w:val="0"/>
              <w:autoSpaceDN w:val="0"/>
              <w:adjustRightInd w:val="0"/>
              <w:spacing w:after="0" w:line="240" w:lineRule="auto"/>
              <w:jc w:val="center"/>
              <w:rPr>
                <w:rFonts w:ascii="Times New Roman" w:eastAsiaTheme="minorHAnsi" w:hAnsi="Times New Roman"/>
              </w:rPr>
            </w:pPr>
            <w:r>
              <w:rPr>
                <w:rFonts w:ascii="Times New Roman" w:hAnsi="Times New Roman"/>
                <w:color w:val="000000"/>
              </w:rPr>
              <w:t>1</w:t>
            </w:r>
            <w:r w:rsidR="00BC733F" w:rsidRPr="00BC733F">
              <w:rPr>
                <w:rFonts w:ascii="Times New Roman" w:hAnsi="Times New Roman"/>
                <w:color w:val="000000"/>
              </w:rPr>
              <w:t>.</w:t>
            </w:r>
            <w:r>
              <w:rPr>
                <w:rFonts w:ascii="Times New Roman" w:hAnsi="Times New Roman"/>
                <w:color w:val="000000"/>
              </w:rPr>
              <w:t>0</w:t>
            </w:r>
            <w:r w:rsidR="00BC733F" w:rsidRPr="00BC733F">
              <w:rPr>
                <w:rFonts w:ascii="Times New Roman" w:hAnsi="Times New Roman"/>
                <w:color w:val="000000"/>
              </w:rPr>
              <w:t>0</w:t>
            </w:r>
          </w:p>
        </w:tc>
        <w:tc>
          <w:tcPr>
            <w:tcW w:w="1713" w:type="dxa"/>
            <w:vAlign w:val="center"/>
          </w:tcPr>
          <w:p w14:paraId="2D3C3535"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79D1FEC1" w14:textId="0E94DEAD" w:rsidR="00BC733F" w:rsidRPr="00BC733F" w:rsidRDefault="00226188" w:rsidP="00BC733F">
            <w:pPr>
              <w:keepNext/>
              <w:autoSpaceDE w:val="0"/>
              <w:autoSpaceDN w:val="0"/>
              <w:adjustRightInd w:val="0"/>
              <w:spacing w:after="0" w:line="240" w:lineRule="auto"/>
              <w:jc w:val="center"/>
              <w:rPr>
                <w:rFonts w:ascii="Times New Roman" w:eastAsiaTheme="minorHAnsi" w:hAnsi="Times New Roman"/>
              </w:rPr>
            </w:pPr>
            <w:r>
              <w:rPr>
                <w:rFonts w:ascii="Times New Roman" w:hAnsi="Times New Roman"/>
                <w:color w:val="000000"/>
              </w:rPr>
              <w:t>1</w:t>
            </w:r>
            <w:r w:rsidR="00BC733F" w:rsidRPr="00BC733F">
              <w:rPr>
                <w:rFonts w:ascii="Times New Roman" w:hAnsi="Times New Roman"/>
                <w:color w:val="000000"/>
              </w:rPr>
              <w:t>.</w:t>
            </w:r>
            <w:r>
              <w:rPr>
                <w:rFonts w:ascii="Times New Roman" w:hAnsi="Times New Roman"/>
                <w:color w:val="000000"/>
              </w:rPr>
              <w:t>0</w:t>
            </w:r>
            <w:r w:rsidR="00BC733F" w:rsidRPr="00BC733F">
              <w:rPr>
                <w:rFonts w:ascii="Times New Roman" w:hAnsi="Times New Roman"/>
                <w:color w:val="000000"/>
              </w:rPr>
              <w:t>0</w:t>
            </w:r>
          </w:p>
        </w:tc>
        <w:tc>
          <w:tcPr>
            <w:tcW w:w="1137" w:type="dxa"/>
            <w:vAlign w:val="center"/>
          </w:tcPr>
          <w:p w14:paraId="08271D6A"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5FA0232E" w14:textId="32E5B617" w:rsidR="00BC733F" w:rsidRPr="00BC733F" w:rsidRDefault="00226188" w:rsidP="00BC733F">
            <w:pPr>
              <w:keepNext/>
              <w:autoSpaceDE w:val="0"/>
              <w:autoSpaceDN w:val="0"/>
              <w:adjustRightInd w:val="0"/>
              <w:spacing w:after="0" w:line="240" w:lineRule="auto"/>
              <w:jc w:val="center"/>
              <w:rPr>
                <w:rFonts w:ascii="Times New Roman" w:eastAsiaTheme="minorHAnsi" w:hAnsi="Times New Roman"/>
                <w:b/>
              </w:rPr>
            </w:pPr>
            <w:r>
              <w:rPr>
                <w:rFonts w:ascii="Times New Roman" w:hAnsi="Times New Roman"/>
                <w:color w:val="000000"/>
              </w:rPr>
              <w:t>1</w:t>
            </w:r>
            <w:r w:rsidR="00BC733F" w:rsidRPr="00BC733F">
              <w:rPr>
                <w:rFonts w:ascii="Times New Roman" w:hAnsi="Times New Roman"/>
                <w:color w:val="000000"/>
              </w:rPr>
              <w:t>.</w:t>
            </w:r>
            <w:r>
              <w:rPr>
                <w:rFonts w:ascii="Times New Roman" w:hAnsi="Times New Roman"/>
                <w:color w:val="000000"/>
              </w:rPr>
              <w:t>0</w:t>
            </w:r>
            <w:r w:rsidR="00BC733F" w:rsidRPr="00BC733F">
              <w:rPr>
                <w:rFonts w:ascii="Times New Roman" w:hAnsi="Times New Roman"/>
                <w:color w:val="000000"/>
              </w:rPr>
              <w:t>0</w:t>
            </w:r>
          </w:p>
        </w:tc>
      </w:tr>
      <w:tr w:rsidR="00BC733F" w:rsidRPr="002C7CCA" w14:paraId="49D12596" w14:textId="77777777" w:rsidTr="00945E7C">
        <w:tc>
          <w:tcPr>
            <w:tcW w:w="2288" w:type="dxa"/>
          </w:tcPr>
          <w:p w14:paraId="4AD8169C"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CDX Registration</w:t>
            </w:r>
          </w:p>
        </w:tc>
        <w:tc>
          <w:tcPr>
            <w:tcW w:w="1296" w:type="dxa"/>
            <w:vAlign w:val="center"/>
          </w:tcPr>
          <w:p w14:paraId="5EE841E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w:t>
            </w:r>
          </w:p>
        </w:tc>
        <w:tc>
          <w:tcPr>
            <w:tcW w:w="1713" w:type="dxa"/>
            <w:vAlign w:val="center"/>
          </w:tcPr>
          <w:p w14:paraId="0F341B19"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w:t>
            </w:r>
          </w:p>
        </w:tc>
        <w:tc>
          <w:tcPr>
            <w:tcW w:w="1403" w:type="dxa"/>
            <w:vAlign w:val="center"/>
          </w:tcPr>
          <w:p w14:paraId="5D00571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3.48</w:t>
            </w:r>
          </w:p>
        </w:tc>
        <w:tc>
          <w:tcPr>
            <w:tcW w:w="1137" w:type="dxa"/>
            <w:vAlign w:val="center"/>
          </w:tcPr>
          <w:p w14:paraId="7118D78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61104FC5"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3.48</w:t>
            </w:r>
          </w:p>
        </w:tc>
      </w:tr>
      <w:tr w:rsidR="00BC733F" w:rsidRPr="002C7CCA" w14:paraId="5F128BC5" w14:textId="77777777" w:rsidTr="00945E7C">
        <w:tc>
          <w:tcPr>
            <w:tcW w:w="2288" w:type="dxa"/>
          </w:tcPr>
          <w:p w14:paraId="779BD058"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Report Submission</w:t>
            </w:r>
          </w:p>
        </w:tc>
        <w:tc>
          <w:tcPr>
            <w:tcW w:w="1296" w:type="dxa"/>
            <w:vAlign w:val="center"/>
          </w:tcPr>
          <w:p w14:paraId="2F94AC8B"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0.55</w:t>
            </w:r>
          </w:p>
        </w:tc>
        <w:tc>
          <w:tcPr>
            <w:tcW w:w="1713" w:type="dxa"/>
            <w:vAlign w:val="center"/>
          </w:tcPr>
          <w:p w14:paraId="75AC0B9D"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64466BF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0.55</w:t>
            </w:r>
          </w:p>
        </w:tc>
        <w:tc>
          <w:tcPr>
            <w:tcW w:w="1137" w:type="dxa"/>
            <w:vAlign w:val="center"/>
          </w:tcPr>
          <w:p w14:paraId="7CA7B139"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4846CC25"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0.55</w:t>
            </w:r>
          </w:p>
        </w:tc>
      </w:tr>
      <w:tr w:rsidR="00BC733F" w:rsidRPr="002C7CCA" w14:paraId="14EC918D" w14:textId="77777777" w:rsidTr="00945E7C">
        <w:tc>
          <w:tcPr>
            <w:tcW w:w="2288" w:type="dxa"/>
          </w:tcPr>
          <w:p w14:paraId="6588E6B8"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Totals</w:t>
            </w:r>
          </w:p>
        </w:tc>
        <w:tc>
          <w:tcPr>
            <w:tcW w:w="1296" w:type="dxa"/>
            <w:vAlign w:val="center"/>
          </w:tcPr>
          <w:p w14:paraId="50081F19" w14:textId="31875B49" w:rsidR="00BC733F" w:rsidRPr="00BC733F" w:rsidRDefault="00226188" w:rsidP="00BC733F">
            <w:pPr>
              <w:keepNext/>
              <w:autoSpaceDE w:val="0"/>
              <w:autoSpaceDN w:val="0"/>
              <w:adjustRightInd w:val="0"/>
              <w:spacing w:after="0" w:line="240" w:lineRule="auto"/>
              <w:jc w:val="center"/>
              <w:rPr>
                <w:rFonts w:ascii="Times New Roman" w:eastAsiaTheme="minorHAnsi" w:hAnsi="Times New Roman"/>
                <w:b/>
              </w:rPr>
            </w:pPr>
            <w:r>
              <w:rPr>
                <w:rFonts w:ascii="Times New Roman" w:hAnsi="Times New Roman"/>
                <w:b/>
                <w:bCs/>
                <w:color w:val="000000"/>
              </w:rPr>
              <w:t>29.5</w:t>
            </w:r>
            <w:r w:rsidR="000F7A7C">
              <w:rPr>
                <w:rFonts w:ascii="Times New Roman" w:hAnsi="Times New Roman"/>
                <w:b/>
                <w:bCs/>
                <w:color w:val="000000"/>
              </w:rPr>
              <w:t>1</w:t>
            </w:r>
          </w:p>
        </w:tc>
        <w:tc>
          <w:tcPr>
            <w:tcW w:w="1713" w:type="dxa"/>
            <w:vAlign w:val="center"/>
          </w:tcPr>
          <w:p w14:paraId="629DDE64"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b/>
                <w:bCs/>
                <w:color w:val="000000"/>
              </w:rPr>
              <w:t> </w:t>
            </w:r>
          </w:p>
        </w:tc>
        <w:tc>
          <w:tcPr>
            <w:tcW w:w="1403" w:type="dxa"/>
            <w:vAlign w:val="center"/>
          </w:tcPr>
          <w:p w14:paraId="5D699A23" w14:textId="31476F0F" w:rsidR="00BC733F" w:rsidRPr="00BC733F" w:rsidRDefault="00226188" w:rsidP="00BC733F">
            <w:pPr>
              <w:keepNext/>
              <w:autoSpaceDE w:val="0"/>
              <w:autoSpaceDN w:val="0"/>
              <w:adjustRightInd w:val="0"/>
              <w:spacing w:after="0" w:line="240" w:lineRule="auto"/>
              <w:jc w:val="center"/>
              <w:rPr>
                <w:rFonts w:ascii="Times New Roman" w:eastAsiaTheme="minorHAnsi" w:hAnsi="Times New Roman"/>
                <w:b/>
              </w:rPr>
            </w:pPr>
            <w:r>
              <w:rPr>
                <w:rFonts w:ascii="Times New Roman" w:hAnsi="Times New Roman"/>
                <w:b/>
                <w:bCs/>
                <w:color w:val="000000"/>
              </w:rPr>
              <w:t>32.9</w:t>
            </w:r>
            <w:r w:rsidR="000F7A7C">
              <w:rPr>
                <w:rFonts w:ascii="Times New Roman" w:hAnsi="Times New Roman"/>
                <w:b/>
                <w:bCs/>
                <w:color w:val="000000"/>
              </w:rPr>
              <w:t>9</w:t>
            </w:r>
          </w:p>
        </w:tc>
        <w:tc>
          <w:tcPr>
            <w:tcW w:w="1137" w:type="dxa"/>
            <w:vAlign w:val="center"/>
          </w:tcPr>
          <w:p w14:paraId="374B1B90" w14:textId="7777777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 </w:t>
            </w:r>
          </w:p>
        </w:tc>
        <w:tc>
          <w:tcPr>
            <w:tcW w:w="1518" w:type="dxa"/>
            <w:vAlign w:val="center"/>
          </w:tcPr>
          <w:p w14:paraId="576D3DE6" w14:textId="1C7C713C" w:rsidR="00BC733F" w:rsidRPr="00BC733F" w:rsidRDefault="00226188" w:rsidP="00BC733F">
            <w:pPr>
              <w:keepNext/>
              <w:autoSpaceDE w:val="0"/>
              <w:autoSpaceDN w:val="0"/>
              <w:adjustRightInd w:val="0"/>
              <w:spacing w:after="0" w:line="240" w:lineRule="auto"/>
              <w:jc w:val="center"/>
              <w:rPr>
                <w:rFonts w:ascii="Times New Roman" w:eastAsiaTheme="minorHAnsi" w:hAnsi="Times New Roman"/>
                <w:b/>
              </w:rPr>
            </w:pPr>
            <w:r>
              <w:rPr>
                <w:rFonts w:ascii="Times New Roman" w:hAnsi="Times New Roman"/>
                <w:b/>
                <w:bCs/>
                <w:color w:val="000000"/>
              </w:rPr>
              <w:t>32.9</w:t>
            </w:r>
            <w:r w:rsidR="000F7A7C">
              <w:rPr>
                <w:rFonts w:ascii="Times New Roman" w:hAnsi="Times New Roman"/>
                <w:b/>
                <w:bCs/>
                <w:color w:val="000000"/>
              </w:rPr>
              <w:t>9</w:t>
            </w:r>
          </w:p>
        </w:tc>
      </w:tr>
    </w:tbl>
    <w:p w14:paraId="52987E67"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3F360764" w14:textId="7147232E" w:rsidR="00F5104E" w:rsidRPr="007F3CAE"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In summary, an average of </w:t>
      </w:r>
      <w:r w:rsidR="004556B8">
        <w:rPr>
          <w:rFonts w:ascii="Times New Roman" w:hAnsi="Times New Roman"/>
          <w:sz w:val="24"/>
          <w:szCs w:val="24"/>
        </w:rPr>
        <w:t>one (1)</w:t>
      </w:r>
      <w:r w:rsidR="000D7FF1">
        <w:rPr>
          <w:rFonts w:ascii="Times New Roman" w:hAnsi="Times New Roman"/>
          <w:sz w:val="24"/>
          <w:szCs w:val="24"/>
        </w:rPr>
        <w:t xml:space="preserve"> </w:t>
      </w:r>
      <w:r w:rsidRPr="007F3CAE">
        <w:rPr>
          <w:rFonts w:ascii="Times New Roman" w:hAnsi="Times New Roman"/>
          <w:sz w:val="24"/>
          <w:szCs w:val="24"/>
        </w:rPr>
        <w:t xml:space="preserve">respondent </w:t>
      </w:r>
      <w:r w:rsidR="00DF5CCB">
        <w:rPr>
          <w:rFonts w:ascii="Times New Roman" w:hAnsi="Times New Roman"/>
          <w:sz w:val="24"/>
          <w:szCs w:val="24"/>
        </w:rPr>
        <w:t xml:space="preserve">per year </w:t>
      </w:r>
      <w:r w:rsidRPr="007F3CAE">
        <w:rPr>
          <w:rFonts w:ascii="Times New Roman" w:hAnsi="Times New Roman"/>
          <w:sz w:val="24"/>
          <w:szCs w:val="24"/>
        </w:rPr>
        <w:t>would be required to spend an</w:t>
      </w:r>
      <w:r w:rsidR="00303E7C" w:rsidRPr="007F3CAE">
        <w:rPr>
          <w:rFonts w:ascii="Times New Roman" w:hAnsi="Times New Roman"/>
          <w:sz w:val="24"/>
          <w:szCs w:val="24"/>
        </w:rPr>
        <w:t xml:space="preserve"> </w:t>
      </w:r>
      <w:r w:rsidRPr="007F3CAE">
        <w:rPr>
          <w:rFonts w:ascii="Times New Roman" w:hAnsi="Times New Roman"/>
          <w:sz w:val="24"/>
          <w:szCs w:val="24"/>
        </w:rPr>
        <w:t xml:space="preserve">estimated total of </w:t>
      </w:r>
      <w:r w:rsidR="00226188">
        <w:rPr>
          <w:rFonts w:ascii="Times New Roman" w:hAnsi="Times New Roman"/>
          <w:sz w:val="24"/>
          <w:szCs w:val="24"/>
        </w:rPr>
        <w:t>32.9</w:t>
      </w:r>
      <w:r w:rsidR="000F7A7C">
        <w:rPr>
          <w:rFonts w:ascii="Times New Roman" w:hAnsi="Times New Roman"/>
          <w:sz w:val="24"/>
          <w:szCs w:val="24"/>
        </w:rPr>
        <w:t>9</w:t>
      </w:r>
      <w:r w:rsidRPr="007F3CAE">
        <w:rPr>
          <w:rFonts w:ascii="Times New Roman" w:hAnsi="Times New Roman"/>
          <w:sz w:val="24"/>
          <w:szCs w:val="24"/>
        </w:rPr>
        <w:t xml:space="preserve"> hours each year to respond to PAIR </w:t>
      </w:r>
      <w:r w:rsidR="00341F2D" w:rsidRPr="005A40B0">
        <w:rPr>
          <w:rFonts w:ascii="Times New Roman" w:hAnsi="Times New Roman"/>
          <w:sz w:val="24"/>
          <w:szCs w:val="24"/>
        </w:rPr>
        <w:t>and subpart B of 40 CFR 766</w:t>
      </w:r>
      <w:r w:rsidR="00341F2D">
        <w:rPr>
          <w:rFonts w:ascii="Times New Roman" w:hAnsi="Times New Roman"/>
          <w:sz w:val="24"/>
          <w:szCs w:val="24"/>
        </w:rPr>
        <w:t xml:space="preserve"> </w:t>
      </w:r>
      <w:r w:rsidRPr="007F3CAE">
        <w:rPr>
          <w:rFonts w:ascii="Times New Roman" w:hAnsi="Times New Roman"/>
          <w:sz w:val="24"/>
          <w:szCs w:val="24"/>
        </w:rPr>
        <w:t>rules during the period of</w:t>
      </w:r>
      <w:r w:rsidR="00303E7C" w:rsidRPr="007F3CAE">
        <w:rPr>
          <w:rFonts w:ascii="Times New Roman" w:hAnsi="Times New Roman"/>
          <w:sz w:val="24"/>
          <w:szCs w:val="24"/>
        </w:rPr>
        <w:t xml:space="preserve"> </w:t>
      </w:r>
      <w:r w:rsidRPr="007F3CAE">
        <w:rPr>
          <w:rFonts w:ascii="Times New Roman" w:hAnsi="Times New Roman"/>
          <w:sz w:val="24"/>
          <w:szCs w:val="24"/>
        </w:rPr>
        <w:t xml:space="preserve">FY </w:t>
      </w:r>
      <w:r w:rsidR="000D7FF1" w:rsidRPr="007F3CAE">
        <w:rPr>
          <w:rFonts w:ascii="Times New Roman" w:hAnsi="Times New Roman"/>
          <w:sz w:val="24"/>
          <w:szCs w:val="24"/>
        </w:rPr>
        <w:t>201</w:t>
      </w:r>
      <w:r w:rsidR="00BB5E4D">
        <w:rPr>
          <w:rFonts w:ascii="Times New Roman" w:hAnsi="Times New Roman"/>
          <w:sz w:val="24"/>
          <w:szCs w:val="24"/>
        </w:rPr>
        <w:t>9</w:t>
      </w:r>
      <w:r w:rsidR="000D7FF1" w:rsidRPr="007F3CAE">
        <w:rPr>
          <w:rFonts w:ascii="Times New Roman" w:hAnsi="Times New Roman"/>
          <w:sz w:val="24"/>
          <w:szCs w:val="24"/>
        </w:rPr>
        <w:t xml:space="preserve"> </w:t>
      </w:r>
      <w:r w:rsidRPr="007F3CAE">
        <w:rPr>
          <w:rFonts w:ascii="Times New Roman" w:hAnsi="Times New Roman"/>
          <w:sz w:val="24"/>
          <w:szCs w:val="24"/>
        </w:rPr>
        <w:t xml:space="preserve">through FY </w:t>
      </w:r>
      <w:r w:rsidR="000D7FF1" w:rsidRPr="007F3CAE">
        <w:rPr>
          <w:rFonts w:ascii="Times New Roman" w:hAnsi="Times New Roman"/>
          <w:sz w:val="24"/>
          <w:szCs w:val="24"/>
        </w:rPr>
        <w:t>20</w:t>
      </w:r>
      <w:r w:rsidR="000F7A7C">
        <w:rPr>
          <w:rFonts w:ascii="Times New Roman" w:hAnsi="Times New Roman"/>
          <w:sz w:val="24"/>
          <w:szCs w:val="24"/>
        </w:rPr>
        <w:t>2</w:t>
      </w:r>
      <w:r w:rsidR="00BB5E4D">
        <w:rPr>
          <w:rFonts w:ascii="Times New Roman" w:hAnsi="Times New Roman"/>
          <w:sz w:val="24"/>
          <w:szCs w:val="24"/>
        </w:rPr>
        <w:t>1</w:t>
      </w:r>
      <w:r w:rsidRPr="007F3CAE">
        <w:rPr>
          <w:rFonts w:ascii="Times New Roman" w:hAnsi="Times New Roman"/>
          <w:sz w:val="24"/>
          <w:szCs w:val="24"/>
        </w:rPr>
        <w:t xml:space="preserve">, </w:t>
      </w:r>
      <w:r w:rsidR="00DF5CCB">
        <w:rPr>
          <w:rFonts w:ascii="Times New Roman" w:hAnsi="Times New Roman"/>
          <w:sz w:val="24"/>
          <w:szCs w:val="24"/>
        </w:rPr>
        <w:t>resulting in</w:t>
      </w:r>
      <w:r w:rsidR="00DF5CCB" w:rsidRPr="007F3CAE">
        <w:rPr>
          <w:rFonts w:ascii="Times New Roman" w:hAnsi="Times New Roman"/>
          <w:sz w:val="24"/>
          <w:szCs w:val="24"/>
        </w:rPr>
        <w:t xml:space="preserve"> </w:t>
      </w:r>
      <w:r w:rsidRPr="007F3CAE">
        <w:rPr>
          <w:rFonts w:ascii="Times New Roman" w:hAnsi="Times New Roman"/>
          <w:sz w:val="24"/>
          <w:szCs w:val="24"/>
        </w:rPr>
        <w:t xml:space="preserve">an average </w:t>
      </w:r>
      <w:r w:rsidR="00DF5CCB">
        <w:rPr>
          <w:rFonts w:ascii="Times New Roman" w:hAnsi="Times New Roman"/>
          <w:sz w:val="24"/>
          <w:szCs w:val="24"/>
        </w:rPr>
        <w:t xml:space="preserve">burden </w:t>
      </w:r>
      <w:r w:rsidR="00DF5CCB" w:rsidRPr="00653F29">
        <w:rPr>
          <w:rFonts w:ascii="Times New Roman" w:hAnsi="Times New Roman"/>
          <w:sz w:val="24"/>
          <w:szCs w:val="24"/>
        </w:rPr>
        <w:t xml:space="preserve">of </w:t>
      </w:r>
      <w:r w:rsidR="00226188" w:rsidRPr="00653F29">
        <w:rPr>
          <w:rFonts w:ascii="Times New Roman" w:hAnsi="Times New Roman"/>
          <w:sz w:val="24"/>
          <w:szCs w:val="24"/>
        </w:rPr>
        <w:t>32.9</w:t>
      </w:r>
      <w:r w:rsidR="000F7A7C" w:rsidRPr="00653F29">
        <w:rPr>
          <w:rFonts w:ascii="Times New Roman" w:hAnsi="Times New Roman"/>
          <w:sz w:val="24"/>
          <w:szCs w:val="24"/>
        </w:rPr>
        <w:t>9</w:t>
      </w:r>
      <w:r w:rsidR="001D6CAB" w:rsidRPr="00653F29">
        <w:rPr>
          <w:rFonts w:ascii="Times New Roman" w:hAnsi="Times New Roman"/>
          <w:sz w:val="24"/>
          <w:szCs w:val="24"/>
        </w:rPr>
        <w:t xml:space="preserve"> </w:t>
      </w:r>
      <w:r w:rsidRPr="00653F29">
        <w:rPr>
          <w:rFonts w:ascii="Times New Roman" w:hAnsi="Times New Roman"/>
          <w:sz w:val="24"/>
          <w:szCs w:val="24"/>
        </w:rPr>
        <w:t>hours</w:t>
      </w:r>
      <w:r w:rsidRPr="007F3CAE">
        <w:rPr>
          <w:rFonts w:ascii="Times New Roman" w:hAnsi="Times New Roman"/>
          <w:sz w:val="24"/>
          <w:szCs w:val="24"/>
        </w:rPr>
        <w:t xml:space="preserve"> per </w:t>
      </w:r>
      <w:r w:rsidR="00DF5CCB">
        <w:rPr>
          <w:rFonts w:ascii="Times New Roman" w:hAnsi="Times New Roman"/>
          <w:sz w:val="24"/>
          <w:szCs w:val="24"/>
        </w:rPr>
        <w:t>response</w:t>
      </w:r>
      <w:r w:rsidRPr="007F3CAE">
        <w:rPr>
          <w:rFonts w:ascii="Times New Roman" w:hAnsi="Times New Roman"/>
          <w:sz w:val="24"/>
          <w:szCs w:val="24"/>
        </w:rPr>
        <w:t>.</w:t>
      </w:r>
    </w:p>
    <w:p w14:paraId="16C6563B" w14:textId="77777777" w:rsidR="00F5104E" w:rsidRPr="007F3CAE" w:rsidRDefault="00765290" w:rsidP="00CA78BE">
      <w:pPr>
        <w:pStyle w:val="Heading2"/>
        <w:numPr>
          <w:ilvl w:val="0"/>
          <w:numId w:val="0"/>
        </w:numPr>
        <w:ind w:left="270" w:firstLine="450"/>
        <w:rPr>
          <w:rFonts w:ascii="Times New Roman" w:hAnsi="Times New Roman"/>
          <w:color w:val="auto"/>
          <w:sz w:val="24"/>
          <w:szCs w:val="24"/>
        </w:rPr>
      </w:pPr>
      <w:r>
        <w:rPr>
          <w:rFonts w:ascii="Times New Roman" w:hAnsi="Times New Roman"/>
          <w:color w:val="auto"/>
          <w:sz w:val="24"/>
          <w:szCs w:val="24"/>
        </w:rPr>
        <w:t>6(b)</w:t>
      </w:r>
      <w:r>
        <w:rPr>
          <w:rFonts w:ascii="Times New Roman" w:hAnsi="Times New Roman"/>
          <w:color w:val="auto"/>
          <w:sz w:val="24"/>
          <w:szCs w:val="24"/>
        </w:rPr>
        <w:tab/>
      </w:r>
      <w:r w:rsidR="00F5104E" w:rsidRPr="007F3CAE">
        <w:rPr>
          <w:rFonts w:ascii="Times New Roman" w:hAnsi="Times New Roman"/>
          <w:color w:val="auto"/>
          <w:sz w:val="24"/>
          <w:szCs w:val="24"/>
        </w:rPr>
        <w:t>Estimating Respondent Costs</w:t>
      </w:r>
    </w:p>
    <w:p w14:paraId="51E6D32C" w14:textId="77777777" w:rsidR="00765290" w:rsidRDefault="00765290" w:rsidP="00F5104E">
      <w:pPr>
        <w:autoSpaceDE w:val="0"/>
        <w:autoSpaceDN w:val="0"/>
        <w:adjustRightInd w:val="0"/>
        <w:spacing w:after="0" w:line="240" w:lineRule="auto"/>
        <w:rPr>
          <w:rFonts w:ascii="Times New Roman" w:hAnsi="Times New Roman"/>
          <w:sz w:val="24"/>
          <w:szCs w:val="24"/>
        </w:rPr>
      </w:pPr>
    </w:p>
    <w:p w14:paraId="1F40329A" w14:textId="67E1BD95" w:rsidR="00F5104E" w:rsidRPr="007F3CAE"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section presents estimates of the cost expected to be incurred</w:t>
      </w:r>
      <w:r w:rsidR="00412492">
        <w:rPr>
          <w:rFonts w:ascii="Times New Roman" w:hAnsi="Times New Roman"/>
          <w:sz w:val="24"/>
          <w:szCs w:val="24"/>
        </w:rPr>
        <w:t xml:space="preserve"> due to</w:t>
      </w:r>
      <w:r w:rsidR="00303E7C" w:rsidRPr="007F3CAE">
        <w:rPr>
          <w:rFonts w:ascii="Times New Roman" w:hAnsi="Times New Roman"/>
          <w:sz w:val="24"/>
          <w:szCs w:val="24"/>
        </w:rPr>
        <w:t xml:space="preserve"> </w:t>
      </w:r>
      <w:r w:rsidRPr="007F3CAE">
        <w:rPr>
          <w:rFonts w:ascii="Times New Roman" w:hAnsi="Times New Roman"/>
          <w:sz w:val="24"/>
          <w:szCs w:val="24"/>
        </w:rPr>
        <w:t>reporting under the TSCA section 8(a) PAIR</w:t>
      </w:r>
      <w:r w:rsidR="00341F2D" w:rsidRPr="00341F2D">
        <w:rPr>
          <w:rFonts w:ascii="Times New Roman" w:hAnsi="Times New Roman"/>
          <w:sz w:val="24"/>
          <w:szCs w:val="24"/>
        </w:rPr>
        <w:t xml:space="preserve"> </w:t>
      </w:r>
      <w:r w:rsidR="00341F2D" w:rsidRPr="005A40B0">
        <w:rPr>
          <w:rFonts w:ascii="Times New Roman" w:hAnsi="Times New Roman"/>
          <w:sz w:val="24"/>
          <w:szCs w:val="24"/>
        </w:rPr>
        <w:t>and subpart B of 40 CFR 766</w:t>
      </w:r>
      <w:r w:rsidRPr="007F3CAE">
        <w:rPr>
          <w:rFonts w:ascii="Times New Roman" w:hAnsi="Times New Roman"/>
          <w:sz w:val="24"/>
          <w:szCs w:val="24"/>
        </w:rPr>
        <w:t>. The total annual industry cost for both</w:t>
      </w:r>
      <w:r w:rsidR="00303E7C" w:rsidRPr="007F3CAE">
        <w:rPr>
          <w:rFonts w:ascii="Times New Roman" w:hAnsi="Times New Roman"/>
          <w:sz w:val="24"/>
          <w:szCs w:val="24"/>
        </w:rPr>
        <w:t xml:space="preserve"> </w:t>
      </w:r>
      <w:r w:rsidRPr="007F3CAE">
        <w:rPr>
          <w:rFonts w:ascii="Times New Roman" w:hAnsi="Times New Roman"/>
          <w:sz w:val="24"/>
          <w:szCs w:val="24"/>
        </w:rPr>
        <w:t>reporting and recordkeeping is estimated to be $</w:t>
      </w:r>
      <w:r w:rsidR="001A789D">
        <w:rPr>
          <w:rFonts w:ascii="Times New Roman" w:hAnsi="Times New Roman"/>
          <w:sz w:val="24"/>
          <w:szCs w:val="24"/>
        </w:rPr>
        <w:t>2,</w:t>
      </w:r>
      <w:r w:rsidR="00A91655">
        <w:rPr>
          <w:rFonts w:ascii="Times New Roman" w:hAnsi="Times New Roman"/>
          <w:sz w:val="24"/>
          <w:szCs w:val="24"/>
        </w:rPr>
        <w:t>533</w:t>
      </w:r>
      <w:r w:rsidR="00707694">
        <w:rPr>
          <w:rFonts w:ascii="Times New Roman" w:hAnsi="Times New Roman"/>
          <w:sz w:val="24"/>
          <w:szCs w:val="24"/>
        </w:rPr>
        <w:t>.</w:t>
      </w:r>
      <w:r w:rsidRPr="007F3CAE">
        <w:rPr>
          <w:rFonts w:ascii="Times New Roman" w:hAnsi="Times New Roman"/>
          <w:sz w:val="24"/>
          <w:szCs w:val="24"/>
        </w:rPr>
        <w:t xml:space="preserve"> This estimate is based on the</w:t>
      </w:r>
      <w:r w:rsidR="00303E7C" w:rsidRPr="007F3CAE">
        <w:rPr>
          <w:rFonts w:ascii="Times New Roman" w:hAnsi="Times New Roman"/>
          <w:sz w:val="24"/>
          <w:szCs w:val="24"/>
        </w:rPr>
        <w:t xml:space="preserve"> </w:t>
      </w:r>
      <w:r w:rsidRPr="007F3CAE">
        <w:rPr>
          <w:rFonts w:ascii="Times New Roman" w:hAnsi="Times New Roman"/>
          <w:sz w:val="24"/>
          <w:szCs w:val="24"/>
        </w:rPr>
        <w:t>cost of the burden estimate provided above, and includes other costs</w:t>
      </w:r>
      <w:r w:rsidR="00303E7C" w:rsidRPr="007F3CAE">
        <w:rPr>
          <w:rFonts w:ascii="Times New Roman" w:hAnsi="Times New Roman"/>
          <w:sz w:val="24"/>
          <w:szCs w:val="24"/>
        </w:rPr>
        <w:t xml:space="preserve"> </w:t>
      </w:r>
      <w:r w:rsidRPr="007F3CAE">
        <w:rPr>
          <w:rFonts w:ascii="Times New Roman" w:hAnsi="Times New Roman"/>
          <w:sz w:val="24"/>
          <w:szCs w:val="24"/>
        </w:rPr>
        <w:t>associated with this ICR.</w:t>
      </w:r>
    </w:p>
    <w:p w14:paraId="7CE1FBD5"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p w14:paraId="04871BEF" w14:textId="37236279" w:rsidR="0057151C"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Labor costs in this report have been updated using the most recently available,</w:t>
      </w:r>
      <w:r w:rsidR="00303E7C" w:rsidRPr="007F3CAE">
        <w:rPr>
          <w:rFonts w:ascii="Times New Roman" w:hAnsi="Times New Roman"/>
          <w:sz w:val="24"/>
          <w:szCs w:val="24"/>
        </w:rPr>
        <w:t xml:space="preserve"> </w:t>
      </w:r>
      <w:r w:rsidRPr="007F3CAE">
        <w:rPr>
          <w:rFonts w:ascii="Times New Roman" w:hAnsi="Times New Roman"/>
          <w:sz w:val="24"/>
          <w:szCs w:val="24"/>
        </w:rPr>
        <w:t>revised wage rates and information on benefits costs. These wage rates are taken from</w:t>
      </w:r>
      <w:r w:rsidR="00303E7C" w:rsidRPr="007F3CAE">
        <w:rPr>
          <w:rFonts w:ascii="Times New Roman" w:hAnsi="Times New Roman"/>
          <w:sz w:val="24"/>
          <w:szCs w:val="24"/>
        </w:rPr>
        <w:t xml:space="preserve"> </w:t>
      </w:r>
      <w:r w:rsidRPr="007F3CAE">
        <w:rPr>
          <w:rFonts w:ascii="Times New Roman" w:hAnsi="Times New Roman"/>
          <w:sz w:val="24"/>
          <w:szCs w:val="24"/>
        </w:rPr>
        <w:t>the Bureau of Labor Statistics (BLS) Employer Costs for Employee Compensation</w:t>
      </w:r>
      <w:r w:rsidR="00303E7C" w:rsidRPr="007F3CAE">
        <w:rPr>
          <w:rFonts w:ascii="Times New Roman" w:hAnsi="Times New Roman"/>
          <w:sz w:val="24"/>
          <w:szCs w:val="24"/>
        </w:rPr>
        <w:t xml:space="preserve"> </w:t>
      </w:r>
      <w:r w:rsidRPr="007F3CAE">
        <w:rPr>
          <w:rFonts w:ascii="Times New Roman" w:hAnsi="Times New Roman"/>
          <w:sz w:val="24"/>
          <w:szCs w:val="24"/>
        </w:rPr>
        <w:t xml:space="preserve">Supplemental Tables, December </w:t>
      </w:r>
      <w:r w:rsidR="001A789D" w:rsidRPr="007F3CAE">
        <w:rPr>
          <w:rFonts w:ascii="Times New Roman" w:hAnsi="Times New Roman"/>
          <w:sz w:val="24"/>
          <w:szCs w:val="24"/>
        </w:rPr>
        <w:t>201</w:t>
      </w:r>
      <w:r w:rsidR="00412492">
        <w:rPr>
          <w:rFonts w:ascii="Times New Roman" w:hAnsi="Times New Roman"/>
          <w:sz w:val="24"/>
          <w:szCs w:val="24"/>
        </w:rPr>
        <w:t>7</w:t>
      </w:r>
      <w:r w:rsidR="001A789D" w:rsidRPr="007F3CAE">
        <w:rPr>
          <w:rFonts w:ascii="Times New Roman" w:hAnsi="Times New Roman"/>
          <w:sz w:val="24"/>
          <w:szCs w:val="24"/>
        </w:rPr>
        <w:t xml:space="preserve"> </w:t>
      </w:r>
      <w:r w:rsidRPr="007F3CAE">
        <w:rPr>
          <w:rFonts w:ascii="Times New Roman" w:hAnsi="Times New Roman"/>
          <w:sz w:val="24"/>
          <w:szCs w:val="24"/>
        </w:rPr>
        <w:t xml:space="preserve">(released </w:t>
      </w:r>
      <w:r w:rsidR="004C4A6C">
        <w:rPr>
          <w:rFonts w:ascii="Times New Roman" w:hAnsi="Times New Roman"/>
          <w:sz w:val="24"/>
          <w:szCs w:val="24"/>
        </w:rPr>
        <w:t>in</w:t>
      </w:r>
      <w:r w:rsidRPr="007F3CAE">
        <w:rPr>
          <w:rFonts w:ascii="Times New Roman" w:hAnsi="Times New Roman"/>
          <w:sz w:val="24"/>
          <w:szCs w:val="24"/>
        </w:rPr>
        <w:t xml:space="preserve"> March </w:t>
      </w:r>
      <w:r w:rsidR="001A789D" w:rsidRPr="007F3CAE">
        <w:rPr>
          <w:rFonts w:ascii="Times New Roman" w:hAnsi="Times New Roman"/>
          <w:sz w:val="24"/>
          <w:szCs w:val="24"/>
        </w:rPr>
        <w:t>201</w:t>
      </w:r>
      <w:r w:rsidR="00412492">
        <w:rPr>
          <w:rFonts w:ascii="Times New Roman" w:hAnsi="Times New Roman"/>
          <w:sz w:val="24"/>
          <w:szCs w:val="24"/>
        </w:rPr>
        <w:t>8</w:t>
      </w:r>
      <w:r w:rsidRPr="007F3CAE">
        <w:rPr>
          <w:rFonts w:ascii="Times New Roman" w:hAnsi="Times New Roman"/>
          <w:sz w:val="24"/>
          <w:szCs w:val="24"/>
        </w:rPr>
        <w:t>), with the</w:t>
      </w:r>
      <w:r w:rsidR="00303E7C" w:rsidRPr="007F3CAE">
        <w:rPr>
          <w:rFonts w:ascii="Times New Roman" w:hAnsi="Times New Roman"/>
          <w:sz w:val="24"/>
          <w:szCs w:val="24"/>
        </w:rPr>
        <w:t xml:space="preserve"> </w:t>
      </w:r>
      <w:r w:rsidRPr="007F3CAE">
        <w:rPr>
          <w:rFonts w:ascii="Times New Roman" w:hAnsi="Times New Roman"/>
          <w:sz w:val="24"/>
          <w:szCs w:val="24"/>
        </w:rPr>
        <w:t xml:space="preserve">information extracted from Table 2, </w:t>
      </w:r>
      <w:r w:rsidRPr="007F3CAE">
        <w:rPr>
          <w:rFonts w:ascii="Times New Roman" w:hAnsi="Times New Roman"/>
          <w:i/>
          <w:iCs/>
          <w:sz w:val="24"/>
          <w:szCs w:val="24"/>
        </w:rPr>
        <w:t>Private industry workers in manufacturing</w:t>
      </w:r>
      <w:r w:rsidR="00303E7C" w:rsidRPr="007F3CAE">
        <w:rPr>
          <w:rFonts w:ascii="Times New Roman" w:hAnsi="Times New Roman"/>
          <w:i/>
          <w:iCs/>
          <w:sz w:val="24"/>
          <w:szCs w:val="24"/>
        </w:rPr>
        <w:t xml:space="preserve"> </w:t>
      </w:r>
      <w:r w:rsidRPr="007F3CAE">
        <w:rPr>
          <w:rFonts w:ascii="Times New Roman" w:hAnsi="Times New Roman"/>
          <w:i/>
          <w:iCs/>
          <w:sz w:val="24"/>
          <w:szCs w:val="24"/>
        </w:rPr>
        <w:t>industries, by occupational group</w:t>
      </w:r>
      <w:r w:rsidRPr="007F3CAE">
        <w:rPr>
          <w:rFonts w:ascii="Times New Roman" w:hAnsi="Times New Roman"/>
          <w:sz w:val="24"/>
          <w:szCs w:val="24"/>
        </w:rPr>
        <w:t>. The clerical wages are taken from the</w:t>
      </w:r>
      <w:r w:rsidR="00303E7C" w:rsidRPr="007F3CAE">
        <w:rPr>
          <w:rFonts w:ascii="Times New Roman" w:hAnsi="Times New Roman"/>
          <w:sz w:val="24"/>
          <w:szCs w:val="24"/>
        </w:rPr>
        <w:t xml:space="preserve"> </w:t>
      </w:r>
      <w:r w:rsidRPr="007F3CAE">
        <w:rPr>
          <w:rFonts w:ascii="Times New Roman" w:hAnsi="Times New Roman"/>
          <w:sz w:val="24"/>
          <w:szCs w:val="24"/>
        </w:rPr>
        <w:t>BLS data for “office and administrative support.” The technical wages are taken from the</w:t>
      </w:r>
      <w:r w:rsidR="00303E7C" w:rsidRPr="007F3CAE">
        <w:rPr>
          <w:rFonts w:ascii="Times New Roman" w:hAnsi="Times New Roman"/>
          <w:sz w:val="24"/>
          <w:szCs w:val="24"/>
        </w:rPr>
        <w:t xml:space="preserve"> </w:t>
      </w:r>
      <w:r w:rsidRPr="007F3CAE">
        <w:rPr>
          <w:rFonts w:ascii="Times New Roman" w:hAnsi="Times New Roman"/>
          <w:sz w:val="24"/>
          <w:szCs w:val="24"/>
        </w:rPr>
        <w:t>BLS data for “professional and related.” The managerial wages are taken from the BLS</w:t>
      </w:r>
      <w:r w:rsidR="00303E7C" w:rsidRPr="007F3CAE">
        <w:rPr>
          <w:rFonts w:ascii="Times New Roman" w:hAnsi="Times New Roman"/>
          <w:sz w:val="24"/>
          <w:szCs w:val="24"/>
        </w:rPr>
        <w:t xml:space="preserve"> </w:t>
      </w:r>
      <w:r w:rsidRPr="007F3CAE">
        <w:rPr>
          <w:rFonts w:ascii="Times New Roman" w:hAnsi="Times New Roman"/>
          <w:sz w:val="24"/>
          <w:szCs w:val="24"/>
        </w:rPr>
        <w:t>data for “management, business and financial.” Labor wage rates and hourly benefit costs</w:t>
      </w:r>
      <w:r w:rsidR="003328B5" w:rsidRPr="007F3CAE">
        <w:rPr>
          <w:rFonts w:ascii="Times New Roman" w:hAnsi="Times New Roman"/>
          <w:sz w:val="24"/>
          <w:szCs w:val="24"/>
        </w:rPr>
        <w:t xml:space="preserve"> </w:t>
      </w:r>
      <w:r w:rsidRPr="007F3CAE">
        <w:rPr>
          <w:rFonts w:ascii="Times New Roman" w:hAnsi="Times New Roman"/>
          <w:sz w:val="24"/>
          <w:szCs w:val="24"/>
        </w:rPr>
        <w:t>taken from those sources have been used to calculate the labor cost to respondents, as</w:t>
      </w:r>
      <w:r w:rsidR="003328B5" w:rsidRPr="007F3CAE">
        <w:rPr>
          <w:rFonts w:ascii="Times New Roman" w:hAnsi="Times New Roman"/>
          <w:sz w:val="24"/>
          <w:szCs w:val="24"/>
        </w:rPr>
        <w:t xml:space="preserve"> </w:t>
      </w:r>
      <w:r w:rsidRPr="007F3CAE">
        <w:rPr>
          <w:rFonts w:ascii="Times New Roman" w:hAnsi="Times New Roman"/>
          <w:sz w:val="24"/>
          <w:szCs w:val="24"/>
        </w:rPr>
        <w:t>shown below. The hourly overhead is calculated as 17 percent of the base wage. This</w:t>
      </w:r>
      <w:r w:rsidR="003328B5" w:rsidRPr="007F3CAE">
        <w:rPr>
          <w:rFonts w:ascii="Times New Roman" w:hAnsi="Times New Roman"/>
          <w:sz w:val="24"/>
          <w:szCs w:val="24"/>
        </w:rPr>
        <w:t xml:space="preserve"> </w:t>
      </w:r>
      <w:r w:rsidRPr="007F3CAE">
        <w:rPr>
          <w:rFonts w:ascii="Times New Roman" w:hAnsi="Times New Roman"/>
          <w:sz w:val="24"/>
          <w:szCs w:val="24"/>
        </w:rPr>
        <w:t>approach is used for consistency with Office of Pollution Prevention and Toxics</w:t>
      </w:r>
      <w:r w:rsidR="003328B5" w:rsidRPr="007F3CAE">
        <w:rPr>
          <w:rFonts w:ascii="Times New Roman" w:hAnsi="Times New Roman"/>
          <w:sz w:val="24"/>
          <w:szCs w:val="24"/>
        </w:rPr>
        <w:t xml:space="preserve"> </w:t>
      </w:r>
      <w:r w:rsidRPr="007F3CAE">
        <w:rPr>
          <w:rFonts w:ascii="Times New Roman" w:hAnsi="Times New Roman"/>
          <w:sz w:val="24"/>
          <w:szCs w:val="24"/>
        </w:rPr>
        <w:t xml:space="preserve">economics practices, and is based on the analysis in </w:t>
      </w:r>
      <w:r w:rsidRPr="007F3CAE">
        <w:rPr>
          <w:rFonts w:ascii="Times New Roman" w:hAnsi="Times New Roman"/>
          <w:i/>
          <w:iCs/>
          <w:sz w:val="24"/>
          <w:szCs w:val="24"/>
        </w:rPr>
        <w:t>Wage Rates for Economic Analyses</w:t>
      </w:r>
      <w:r w:rsidR="003328B5" w:rsidRPr="007F3CAE">
        <w:rPr>
          <w:rFonts w:ascii="Times New Roman" w:hAnsi="Times New Roman"/>
          <w:i/>
          <w:iCs/>
          <w:sz w:val="24"/>
          <w:szCs w:val="24"/>
        </w:rPr>
        <w:t xml:space="preserve"> </w:t>
      </w:r>
      <w:r w:rsidRPr="007F3CAE">
        <w:rPr>
          <w:rFonts w:ascii="Times New Roman" w:hAnsi="Times New Roman"/>
          <w:i/>
          <w:iCs/>
          <w:sz w:val="24"/>
          <w:szCs w:val="24"/>
        </w:rPr>
        <w:t>of the Toxics Release Inventory Program</w:t>
      </w:r>
      <w:r w:rsidRPr="007F3CAE">
        <w:rPr>
          <w:rFonts w:ascii="Times New Roman" w:hAnsi="Times New Roman"/>
          <w:sz w:val="24"/>
          <w:szCs w:val="24"/>
        </w:rPr>
        <w:t>, Cody Rice, U.S. EPA, Office of Pollution</w:t>
      </w:r>
      <w:r w:rsidR="003328B5" w:rsidRPr="007F3CAE">
        <w:rPr>
          <w:rFonts w:ascii="Times New Roman" w:hAnsi="Times New Roman"/>
          <w:sz w:val="24"/>
          <w:szCs w:val="24"/>
        </w:rPr>
        <w:t xml:space="preserve"> </w:t>
      </w:r>
      <w:r w:rsidRPr="007F3CAE">
        <w:rPr>
          <w:rFonts w:ascii="Times New Roman" w:hAnsi="Times New Roman"/>
          <w:sz w:val="24"/>
          <w:szCs w:val="24"/>
        </w:rPr>
        <w:t>Prevention and Toxics, Economic and Policy Analysis Branch, June 10, 2002. This</w:t>
      </w:r>
      <w:r w:rsidR="003328B5" w:rsidRPr="007F3CAE">
        <w:rPr>
          <w:rFonts w:ascii="Times New Roman" w:hAnsi="Times New Roman"/>
          <w:sz w:val="24"/>
          <w:szCs w:val="24"/>
        </w:rPr>
        <w:t xml:space="preserve"> </w:t>
      </w:r>
      <w:r w:rsidRPr="007F3CAE">
        <w:rPr>
          <w:rFonts w:ascii="Times New Roman" w:hAnsi="Times New Roman"/>
          <w:sz w:val="24"/>
          <w:szCs w:val="24"/>
        </w:rPr>
        <w:t>approach, which is now standard practice in this office, produces wage and cost estimates</w:t>
      </w:r>
      <w:r w:rsidR="003328B5" w:rsidRPr="007F3CAE">
        <w:rPr>
          <w:rFonts w:ascii="Times New Roman" w:hAnsi="Times New Roman"/>
          <w:sz w:val="24"/>
          <w:szCs w:val="24"/>
        </w:rPr>
        <w:t xml:space="preserve"> </w:t>
      </w:r>
      <w:r w:rsidRPr="007F3CAE">
        <w:rPr>
          <w:rFonts w:ascii="Times New Roman" w:hAnsi="Times New Roman"/>
          <w:sz w:val="24"/>
          <w:szCs w:val="24"/>
        </w:rPr>
        <w:t>that are somewhat lower than the data and methods used in the most recent previous 8(a)</w:t>
      </w:r>
      <w:r w:rsidR="003328B5" w:rsidRPr="007F3CAE">
        <w:rPr>
          <w:rFonts w:ascii="Times New Roman" w:hAnsi="Times New Roman"/>
          <w:sz w:val="24"/>
          <w:szCs w:val="24"/>
        </w:rPr>
        <w:t xml:space="preserve"> </w:t>
      </w:r>
      <w:r w:rsidRPr="007F3CAE">
        <w:rPr>
          <w:rFonts w:ascii="Times New Roman" w:hAnsi="Times New Roman"/>
          <w:sz w:val="24"/>
          <w:szCs w:val="24"/>
        </w:rPr>
        <w:t xml:space="preserve">PAIR ICR renewal </w:t>
      </w:r>
      <w:r w:rsidRPr="001062EE">
        <w:rPr>
          <w:rFonts w:ascii="Times New Roman" w:hAnsi="Times New Roman"/>
          <w:sz w:val="24"/>
          <w:szCs w:val="24"/>
        </w:rPr>
        <w:t>analysis.</w:t>
      </w:r>
      <w:r w:rsidR="004C3822" w:rsidRPr="001062EE">
        <w:rPr>
          <w:rFonts w:ascii="Times New Roman" w:hAnsi="Times New Roman"/>
          <w:sz w:val="24"/>
          <w:szCs w:val="24"/>
        </w:rPr>
        <w:t xml:space="preserve"> </w:t>
      </w:r>
      <w:r w:rsidR="001062EE" w:rsidRPr="00B647B7">
        <w:rPr>
          <w:rFonts w:ascii="Times New Roman" w:hAnsi="Times New Roman"/>
          <w:sz w:val="24"/>
          <w:szCs w:val="24"/>
        </w:rPr>
        <w:fldChar w:fldCharType="begin"/>
      </w:r>
      <w:r w:rsidR="001062EE" w:rsidRPr="001062EE">
        <w:rPr>
          <w:rFonts w:ascii="Times New Roman" w:hAnsi="Times New Roman"/>
          <w:sz w:val="24"/>
          <w:szCs w:val="24"/>
        </w:rPr>
        <w:instrText xml:space="preserve"> REF _Ref416443737 \h </w:instrText>
      </w:r>
      <w:r w:rsidR="001062EE" w:rsidRPr="00665511">
        <w:rPr>
          <w:rFonts w:ascii="Times New Roman" w:hAnsi="Times New Roman"/>
          <w:sz w:val="24"/>
          <w:szCs w:val="24"/>
        </w:rPr>
        <w:instrText xml:space="preserve"> \* MERGEFORMAT </w:instrText>
      </w:r>
      <w:r w:rsidR="001062EE" w:rsidRPr="00B647B7">
        <w:rPr>
          <w:rFonts w:ascii="Times New Roman" w:hAnsi="Times New Roman"/>
          <w:sz w:val="24"/>
          <w:szCs w:val="24"/>
        </w:rPr>
      </w:r>
      <w:r w:rsidR="001062EE" w:rsidRPr="00B647B7">
        <w:rPr>
          <w:rFonts w:ascii="Times New Roman" w:hAnsi="Times New Roman"/>
          <w:sz w:val="24"/>
          <w:szCs w:val="24"/>
        </w:rPr>
        <w:fldChar w:fldCharType="separate"/>
      </w:r>
      <w:r w:rsidR="00CE068E" w:rsidRPr="00A82BDA">
        <w:rPr>
          <w:rFonts w:ascii="Times New Roman" w:hAnsi="Times New Roman"/>
          <w:sz w:val="24"/>
          <w:szCs w:val="24"/>
        </w:rPr>
        <w:t xml:space="preserve">Table </w:t>
      </w:r>
      <w:r w:rsidR="00CE068E">
        <w:rPr>
          <w:rFonts w:ascii="Times New Roman" w:hAnsi="Times New Roman"/>
          <w:noProof/>
          <w:sz w:val="24"/>
          <w:szCs w:val="24"/>
        </w:rPr>
        <w:t>10</w:t>
      </w:r>
      <w:r w:rsidR="001062EE" w:rsidRPr="00B647B7">
        <w:rPr>
          <w:rFonts w:ascii="Times New Roman" w:hAnsi="Times New Roman"/>
          <w:sz w:val="24"/>
          <w:szCs w:val="24"/>
        </w:rPr>
        <w:fldChar w:fldCharType="end"/>
      </w:r>
      <w:r w:rsidR="00D340F5" w:rsidRPr="001062EE">
        <w:rPr>
          <w:rFonts w:ascii="Times New Roman" w:hAnsi="Times New Roman"/>
          <w:sz w:val="24"/>
          <w:szCs w:val="24"/>
        </w:rPr>
        <w:t xml:space="preserve"> presents </w:t>
      </w:r>
      <w:r w:rsidR="001A789D" w:rsidRPr="001062EE">
        <w:rPr>
          <w:rFonts w:ascii="Times New Roman" w:hAnsi="Times New Roman"/>
          <w:sz w:val="24"/>
          <w:szCs w:val="24"/>
        </w:rPr>
        <w:t>201</w:t>
      </w:r>
      <w:r w:rsidR="00A91655">
        <w:rPr>
          <w:rFonts w:ascii="Times New Roman" w:hAnsi="Times New Roman"/>
          <w:sz w:val="24"/>
          <w:szCs w:val="24"/>
        </w:rPr>
        <w:t>7</w:t>
      </w:r>
      <w:r w:rsidR="00B647B7" w:rsidRPr="001062EE">
        <w:rPr>
          <w:rFonts w:ascii="Times New Roman" w:hAnsi="Times New Roman"/>
          <w:sz w:val="24"/>
          <w:szCs w:val="24"/>
        </w:rPr>
        <w:t>$</w:t>
      </w:r>
      <w:r w:rsidR="001A789D" w:rsidRPr="001062EE">
        <w:rPr>
          <w:rFonts w:ascii="Times New Roman" w:hAnsi="Times New Roman"/>
          <w:sz w:val="24"/>
          <w:szCs w:val="24"/>
        </w:rPr>
        <w:t xml:space="preserve"> </w:t>
      </w:r>
      <w:r w:rsidR="00D340F5" w:rsidRPr="001062EE">
        <w:rPr>
          <w:rFonts w:ascii="Times New Roman" w:hAnsi="Times New Roman"/>
          <w:sz w:val="24"/>
          <w:szCs w:val="24"/>
        </w:rPr>
        <w:t>hourly industry wages.</w:t>
      </w:r>
    </w:p>
    <w:p w14:paraId="53052874" w14:textId="77777777" w:rsidR="0021025C" w:rsidRDefault="0021025C" w:rsidP="00CA78BE">
      <w:pPr>
        <w:autoSpaceDE w:val="0"/>
        <w:autoSpaceDN w:val="0"/>
        <w:adjustRightInd w:val="0"/>
        <w:spacing w:after="0" w:line="240" w:lineRule="auto"/>
        <w:ind w:firstLine="72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102"/>
        <w:gridCol w:w="2026"/>
        <w:gridCol w:w="1967"/>
      </w:tblGrid>
      <w:tr w:rsidR="00AB5220" w:rsidRPr="002C7CCA" w14:paraId="0808360E" w14:textId="77777777" w:rsidTr="0057151C">
        <w:tc>
          <w:tcPr>
            <w:tcW w:w="9242" w:type="dxa"/>
            <w:gridSpan w:val="4"/>
          </w:tcPr>
          <w:p w14:paraId="21A9BEC4" w14:textId="36A8B865" w:rsidR="00AB5220" w:rsidRPr="002C7CCA" w:rsidRDefault="0057151C" w:rsidP="00380F8D">
            <w:pPr>
              <w:pStyle w:val="Caption"/>
              <w:keepNext/>
              <w:spacing w:after="0"/>
              <w:rPr>
                <w:rFonts w:ascii="Times New Roman" w:eastAsiaTheme="minorHAnsi" w:hAnsi="Times New Roman"/>
                <w:b w:val="0"/>
                <w:color w:val="auto"/>
                <w:sz w:val="24"/>
                <w:szCs w:val="24"/>
              </w:rPr>
            </w:pPr>
            <w:r>
              <w:rPr>
                <w:rFonts w:ascii="Times New Roman" w:hAnsi="Times New Roman"/>
                <w:sz w:val="24"/>
                <w:szCs w:val="24"/>
              </w:rPr>
              <w:br w:type="page"/>
            </w:r>
            <w:bookmarkStart w:id="7" w:name="_Ref416443737"/>
            <w:bookmarkStart w:id="8" w:name="_Ref295819216"/>
            <w:r w:rsidR="00311498" w:rsidRPr="00A82BDA">
              <w:rPr>
                <w:rFonts w:ascii="Times New Roman" w:hAnsi="Times New Roman"/>
                <w:color w:val="auto"/>
                <w:sz w:val="24"/>
                <w:szCs w:val="24"/>
              </w:rPr>
              <w:t xml:space="preserve">Table </w:t>
            </w:r>
            <w:r w:rsidR="00311498" w:rsidRPr="00A82BDA">
              <w:rPr>
                <w:rFonts w:ascii="Times New Roman" w:hAnsi="Times New Roman"/>
                <w:color w:val="auto"/>
                <w:sz w:val="24"/>
                <w:szCs w:val="24"/>
              </w:rPr>
              <w:fldChar w:fldCharType="begin"/>
            </w:r>
            <w:r w:rsidR="00311498" w:rsidRPr="00A82BDA">
              <w:rPr>
                <w:rFonts w:ascii="Times New Roman" w:hAnsi="Times New Roman"/>
                <w:color w:val="auto"/>
                <w:sz w:val="24"/>
                <w:szCs w:val="24"/>
              </w:rPr>
              <w:instrText xml:space="preserve"> SEQ Table \* ARABIC </w:instrText>
            </w:r>
            <w:r w:rsidR="00311498" w:rsidRPr="00A82BDA">
              <w:rPr>
                <w:rFonts w:ascii="Times New Roman" w:hAnsi="Times New Roman"/>
                <w:color w:val="auto"/>
                <w:sz w:val="24"/>
                <w:szCs w:val="24"/>
              </w:rPr>
              <w:fldChar w:fldCharType="separate"/>
            </w:r>
            <w:r w:rsidR="00CE068E">
              <w:rPr>
                <w:rFonts w:ascii="Times New Roman" w:hAnsi="Times New Roman"/>
                <w:noProof/>
                <w:color w:val="auto"/>
                <w:sz w:val="24"/>
                <w:szCs w:val="24"/>
              </w:rPr>
              <w:t>10</w:t>
            </w:r>
            <w:r w:rsidR="00311498" w:rsidRPr="00A82BDA">
              <w:rPr>
                <w:rFonts w:ascii="Times New Roman" w:hAnsi="Times New Roman"/>
                <w:color w:val="auto"/>
                <w:sz w:val="24"/>
                <w:szCs w:val="24"/>
              </w:rPr>
              <w:fldChar w:fldCharType="end"/>
            </w:r>
            <w:bookmarkEnd w:id="7"/>
            <w:r w:rsidR="00311498" w:rsidRPr="00A82BDA">
              <w:rPr>
                <w:rFonts w:ascii="Times New Roman" w:hAnsi="Times New Roman"/>
                <w:color w:val="auto"/>
              </w:rPr>
              <w:t xml:space="preserve">: </w:t>
            </w:r>
            <w:bookmarkEnd w:id="8"/>
            <w:r w:rsidR="00D340F5" w:rsidRPr="002C7CCA">
              <w:rPr>
                <w:rFonts w:ascii="Times New Roman" w:eastAsiaTheme="minorHAnsi" w:hAnsi="Times New Roman"/>
                <w:color w:val="auto"/>
                <w:sz w:val="24"/>
                <w:szCs w:val="24"/>
              </w:rPr>
              <w:t xml:space="preserve">Industry </w:t>
            </w:r>
            <w:r w:rsidR="00AB5220" w:rsidRPr="002C7CCA">
              <w:rPr>
                <w:rFonts w:ascii="Times New Roman" w:eastAsiaTheme="minorHAnsi" w:hAnsi="Times New Roman"/>
                <w:color w:val="auto"/>
                <w:sz w:val="24"/>
                <w:szCs w:val="24"/>
              </w:rPr>
              <w:t>Hourly Labor Costs (</w:t>
            </w:r>
            <w:r w:rsidR="001A789D" w:rsidRPr="002C7CCA">
              <w:rPr>
                <w:rFonts w:ascii="Times New Roman" w:eastAsiaTheme="minorHAnsi" w:hAnsi="Times New Roman"/>
                <w:color w:val="auto"/>
                <w:sz w:val="24"/>
                <w:szCs w:val="24"/>
              </w:rPr>
              <w:t>201</w:t>
            </w:r>
            <w:r w:rsidR="00764E5D">
              <w:rPr>
                <w:rFonts w:ascii="Times New Roman" w:eastAsiaTheme="minorHAnsi" w:hAnsi="Times New Roman"/>
                <w:color w:val="auto"/>
                <w:sz w:val="24"/>
                <w:szCs w:val="24"/>
              </w:rPr>
              <w:t>7</w:t>
            </w:r>
            <w:r w:rsidR="00AB5220" w:rsidRPr="002C7CCA">
              <w:rPr>
                <w:rFonts w:ascii="Times New Roman" w:eastAsiaTheme="minorHAnsi" w:hAnsi="Times New Roman"/>
                <w:color w:val="auto"/>
                <w:sz w:val="24"/>
                <w:szCs w:val="24"/>
              </w:rPr>
              <w:t>$)</w:t>
            </w:r>
          </w:p>
        </w:tc>
      </w:tr>
      <w:tr w:rsidR="00B31E7D" w:rsidRPr="002C7CCA" w14:paraId="0FD5096B" w14:textId="77777777" w:rsidTr="0057151C">
        <w:tc>
          <w:tcPr>
            <w:tcW w:w="3147" w:type="dxa"/>
          </w:tcPr>
          <w:p w14:paraId="3E0E6A30" w14:textId="77777777" w:rsidR="00AB5220" w:rsidRPr="002C7CCA" w:rsidRDefault="00A1332C" w:rsidP="00F33AEB">
            <w:pPr>
              <w:autoSpaceDE w:val="0"/>
              <w:autoSpaceDN w:val="0"/>
              <w:adjustRightInd w:val="0"/>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Wage Component</w:t>
            </w:r>
          </w:p>
        </w:tc>
        <w:tc>
          <w:tcPr>
            <w:tcW w:w="2102" w:type="dxa"/>
          </w:tcPr>
          <w:p w14:paraId="4A0C88A1"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Clerical</w:t>
            </w:r>
          </w:p>
        </w:tc>
        <w:tc>
          <w:tcPr>
            <w:tcW w:w="2026" w:type="dxa"/>
          </w:tcPr>
          <w:p w14:paraId="5DE2767B"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967" w:type="dxa"/>
          </w:tcPr>
          <w:p w14:paraId="53E83F66"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r>
      <w:tr w:rsidR="00B31E7D" w:rsidRPr="002C7CCA" w14:paraId="6752DE9C" w14:textId="77777777" w:rsidTr="0057151C">
        <w:tc>
          <w:tcPr>
            <w:tcW w:w="3147" w:type="dxa"/>
          </w:tcPr>
          <w:p w14:paraId="7AD70DC8" w14:textId="77777777" w:rsidR="00AB5220" w:rsidRPr="002C7CCA" w:rsidRDefault="00AB5220"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Hourly Wage Rate</w:t>
            </w:r>
          </w:p>
        </w:tc>
        <w:tc>
          <w:tcPr>
            <w:tcW w:w="2102" w:type="dxa"/>
          </w:tcPr>
          <w:p w14:paraId="2738AF8A" w14:textId="3F993D3B" w:rsidR="00AB5220" w:rsidRPr="002C7CCA" w:rsidRDefault="00AB5220"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764E5D">
              <w:rPr>
                <w:rFonts w:ascii="Times New Roman" w:eastAsiaTheme="minorHAnsi" w:hAnsi="Times New Roman"/>
                <w:sz w:val="24"/>
                <w:szCs w:val="24"/>
              </w:rPr>
              <w:t>20.4</w:t>
            </w:r>
            <w:r w:rsidR="00CA1C63">
              <w:rPr>
                <w:rFonts w:ascii="Times New Roman" w:eastAsiaTheme="minorHAnsi" w:hAnsi="Times New Roman"/>
                <w:sz w:val="24"/>
                <w:szCs w:val="24"/>
              </w:rPr>
              <w:t>9</w:t>
            </w:r>
          </w:p>
        </w:tc>
        <w:tc>
          <w:tcPr>
            <w:tcW w:w="2026" w:type="dxa"/>
          </w:tcPr>
          <w:p w14:paraId="44B2FA9A" w14:textId="74CED314" w:rsidR="00AB5220" w:rsidRPr="002C7CCA" w:rsidRDefault="00AB5220">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4</w:t>
            </w:r>
            <w:r w:rsidR="00764E5D">
              <w:rPr>
                <w:rFonts w:ascii="Times New Roman" w:eastAsiaTheme="minorHAnsi" w:hAnsi="Times New Roman"/>
                <w:sz w:val="24"/>
                <w:szCs w:val="24"/>
              </w:rPr>
              <w:t>5.82</w:t>
            </w:r>
          </w:p>
        </w:tc>
        <w:tc>
          <w:tcPr>
            <w:tcW w:w="1967" w:type="dxa"/>
          </w:tcPr>
          <w:p w14:paraId="2144CC00" w14:textId="3D848D84" w:rsidR="00AB5220" w:rsidRPr="002C7CCA" w:rsidRDefault="00AB5220">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764E5D">
              <w:rPr>
                <w:rFonts w:ascii="Times New Roman" w:eastAsiaTheme="minorHAnsi" w:hAnsi="Times New Roman"/>
                <w:sz w:val="24"/>
                <w:szCs w:val="24"/>
              </w:rPr>
              <w:t>46.5</w:t>
            </w:r>
            <w:r w:rsidR="00F834E2">
              <w:rPr>
                <w:rFonts w:ascii="Times New Roman" w:eastAsiaTheme="minorHAnsi" w:hAnsi="Times New Roman"/>
                <w:sz w:val="24"/>
                <w:szCs w:val="24"/>
              </w:rPr>
              <w:t>9</w:t>
            </w:r>
          </w:p>
        </w:tc>
      </w:tr>
      <w:tr w:rsidR="00B31E7D" w:rsidRPr="002C7CCA" w14:paraId="6346D5F1" w14:textId="77777777" w:rsidTr="0057151C">
        <w:tc>
          <w:tcPr>
            <w:tcW w:w="3147" w:type="dxa"/>
          </w:tcPr>
          <w:p w14:paraId="7132F2DE" w14:textId="77777777" w:rsidR="00AB5220" w:rsidRPr="002C7CCA" w:rsidRDefault="00AB5220"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Benefit Costs</w:t>
            </w:r>
          </w:p>
        </w:tc>
        <w:tc>
          <w:tcPr>
            <w:tcW w:w="2102" w:type="dxa"/>
          </w:tcPr>
          <w:p w14:paraId="4A9C1394" w14:textId="2135E67C" w:rsidR="00AB5220" w:rsidRPr="002C7CCA" w:rsidRDefault="00AB5220"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764E5D">
              <w:rPr>
                <w:rFonts w:ascii="Times New Roman" w:eastAsiaTheme="minorHAnsi" w:hAnsi="Times New Roman"/>
                <w:sz w:val="24"/>
                <w:szCs w:val="24"/>
              </w:rPr>
              <w:t>11.0</w:t>
            </w:r>
            <w:r w:rsidR="00CA1C63">
              <w:rPr>
                <w:rFonts w:ascii="Times New Roman" w:eastAsiaTheme="minorHAnsi" w:hAnsi="Times New Roman"/>
                <w:sz w:val="24"/>
                <w:szCs w:val="24"/>
              </w:rPr>
              <w:t>2</w:t>
            </w:r>
          </w:p>
        </w:tc>
        <w:tc>
          <w:tcPr>
            <w:tcW w:w="2026" w:type="dxa"/>
          </w:tcPr>
          <w:p w14:paraId="60A7E204" w14:textId="2BD7DB3F"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2</w:t>
            </w:r>
            <w:r w:rsidR="00764E5D">
              <w:rPr>
                <w:rFonts w:ascii="Times New Roman" w:eastAsiaTheme="minorHAnsi" w:hAnsi="Times New Roman"/>
                <w:sz w:val="24"/>
                <w:szCs w:val="24"/>
              </w:rPr>
              <w:t>4.33</w:t>
            </w:r>
          </w:p>
        </w:tc>
        <w:tc>
          <w:tcPr>
            <w:tcW w:w="1967" w:type="dxa"/>
          </w:tcPr>
          <w:p w14:paraId="239697B6" w14:textId="6AFAF932" w:rsidR="00AB5220" w:rsidRPr="002C7CCA" w:rsidRDefault="00AB5220"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2</w:t>
            </w:r>
            <w:r w:rsidR="00764E5D">
              <w:rPr>
                <w:rFonts w:ascii="Times New Roman" w:eastAsiaTheme="minorHAnsi" w:hAnsi="Times New Roman"/>
                <w:sz w:val="24"/>
                <w:szCs w:val="24"/>
              </w:rPr>
              <w:t>2</w:t>
            </w:r>
            <w:r w:rsidR="001A789D">
              <w:rPr>
                <w:rFonts w:ascii="Times New Roman" w:eastAsiaTheme="minorHAnsi" w:hAnsi="Times New Roman"/>
                <w:sz w:val="24"/>
                <w:szCs w:val="24"/>
              </w:rPr>
              <w:t>.</w:t>
            </w:r>
            <w:r w:rsidR="00764E5D">
              <w:rPr>
                <w:rFonts w:ascii="Times New Roman" w:eastAsiaTheme="minorHAnsi" w:hAnsi="Times New Roman"/>
                <w:sz w:val="24"/>
                <w:szCs w:val="24"/>
              </w:rPr>
              <w:t>16</w:t>
            </w:r>
          </w:p>
        </w:tc>
      </w:tr>
      <w:tr w:rsidR="00B31E7D" w:rsidRPr="002C7CCA" w14:paraId="788F1A09" w14:textId="77777777" w:rsidTr="0057151C">
        <w:tc>
          <w:tcPr>
            <w:tcW w:w="3147" w:type="dxa"/>
          </w:tcPr>
          <w:p w14:paraId="2F8A5A90" w14:textId="77777777" w:rsidR="00AB5220" w:rsidRPr="002C7CCA" w:rsidRDefault="004A1718"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 xml:space="preserve">Fringe and </w:t>
            </w:r>
            <w:r w:rsidR="00AB5220" w:rsidRPr="002C7CCA">
              <w:rPr>
                <w:rFonts w:ascii="Times New Roman" w:eastAsiaTheme="minorHAnsi" w:hAnsi="Times New Roman"/>
                <w:sz w:val="24"/>
                <w:szCs w:val="24"/>
              </w:rPr>
              <w:t>Overhead</w:t>
            </w:r>
            <w:r w:rsidRPr="002C7CCA">
              <w:rPr>
                <w:rFonts w:ascii="Times New Roman" w:eastAsiaTheme="minorHAnsi" w:hAnsi="Times New Roman"/>
                <w:sz w:val="24"/>
                <w:szCs w:val="24"/>
              </w:rPr>
              <w:t xml:space="preserve"> Factor</w:t>
            </w:r>
          </w:p>
        </w:tc>
        <w:tc>
          <w:tcPr>
            <w:tcW w:w="2102" w:type="dxa"/>
          </w:tcPr>
          <w:p w14:paraId="69C1223F" w14:textId="082F5C6C"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w:t>
            </w:r>
            <w:r w:rsidR="00764E5D">
              <w:rPr>
                <w:rFonts w:ascii="Times New Roman" w:eastAsiaTheme="minorHAnsi" w:hAnsi="Times New Roman"/>
                <w:sz w:val="24"/>
                <w:szCs w:val="24"/>
              </w:rPr>
              <w:t>71</w:t>
            </w:r>
          </w:p>
        </w:tc>
        <w:tc>
          <w:tcPr>
            <w:tcW w:w="2026" w:type="dxa"/>
          </w:tcPr>
          <w:p w14:paraId="314BC638" w14:textId="1BF94E0A" w:rsidR="00AB5220" w:rsidRPr="002C7CCA" w:rsidRDefault="001A789D" w:rsidP="002C7CC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w:t>
            </w:r>
            <w:r w:rsidR="00764E5D">
              <w:rPr>
                <w:rFonts w:ascii="Times New Roman" w:eastAsiaTheme="minorHAnsi" w:hAnsi="Times New Roman"/>
                <w:sz w:val="24"/>
                <w:szCs w:val="24"/>
              </w:rPr>
              <w:t>0</w:t>
            </w:r>
          </w:p>
        </w:tc>
        <w:tc>
          <w:tcPr>
            <w:tcW w:w="1967" w:type="dxa"/>
          </w:tcPr>
          <w:p w14:paraId="43002B6F" w14:textId="46338EF4" w:rsidR="00AB5220" w:rsidRPr="002C7CCA" w:rsidRDefault="004A1718"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1.6</w:t>
            </w:r>
            <w:r w:rsidR="00764E5D">
              <w:rPr>
                <w:rFonts w:ascii="Times New Roman" w:eastAsiaTheme="minorHAnsi" w:hAnsi="Times New Roman"/>
                <w:sz w:val="24"/>
                <w:szCs w:val="24"/>
              </w:rPr>
              <w:t>5</w:t>
            </w:r>
          </w:p>
        </w:tc>
      </w:tr>
      <w:tr w:rsidR="00B31E7D" w:rsidRPr="002C7CCA" w14:paraId="77A5577E" w14:textId="77777777" w:rsidTr="0057151C">
        <w:tc>
          <w:tcPr>
            <w:tcW w:w="3147" w:type="dxa"/>
          </w:tcPr>
          <w:p w14:paraId="24E6CDDF" w14:textId="77777777" w:rsidR="00AB5220" w:rsidRPr="002C7CCA" w:rsidRDefault="00AB5220" w:rsidP="002C7CCA">
            <w:pPr>
              <w:autoSpaceDE w:val="0"/>
              <w:autoSpaceDN w:val="0"/>
              <w:adjustRightInd w:val="0"/>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Total Hourly Cost</w:t>
            </w:r>
          </w:p>
        </w:tc>
        <w:tc>
          <w:tcPr>
            <w:tcW w:w="2102" w:type="dxa"/>
          </w:tcPr>
          <w:p w14:paraId="4574AE91" w14:textId="42FFFEC2" w:rsidR="00AB5220" w:rsidRPr="002C7CCA" w:rsidRDefault="004A1718"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w:t>
            </w:r>
            <w:r w:rsidR="001A789D">
              <w:rPr>
                <w:rFonts w:ascii="Times New Roman" w:eastAsiaTheme="minorHAnsi" w:hAnsi="Times New Roman"/>
                <w:b/>
                <w:sz w:val="24"/>
                <w:szCs w:val="24"/>
              </w:rPr>
              <w:t>3</w:t>
            </w:r>
            <w:r w:rsidR="00764E5D">
              <w:rPr>
                <w:rFonts w:ascii="Times New Roman" w:eastAsiaTheme="minorHAnsi" w:hAnsi="Times New Roman"/>
                <w:b/>
                <w:sz w:val="24"/>
                <w:szCs w:val="24"/>
              </w:rPr>
              <w:t>4.99</w:t>
            </w:r>
          </w:p>
        </w:tc>
        <w:tc>
          <w:tcPr>
            <w:tcW w:w="2026" w:type="dxa"/>
          </w:tcPr>
          <w:p w14:paraId="2859C040" w14:textId="4BA138F6" w:rsidR="00AB5220" w:rsidRPr="002C7CCA" w:rsidRDefault="004A1718"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w:t>
            </w:r>
            <w:r w:rsidR="001A789D">
              <w:rPr>
                <w:rFonts w:ascii="Times New Roman" w:eastAsiaTheme="minorHAnsi" w:hAnsi="Times New Roman"/>
                <w:b/>
                <w:sz w:val="24"/>
                <w:szCs w:val="24"/>
              </w:rPr>
              <w:t>7</w:t>
            </w:r>
            <w:r w:rsidR="00764E5D">
              <w:rPr>
                <w:rFonts w:ascii="Times New Roman" w:eastAsiaTheme="minorHAnsi" w:hAnsi="Times New Roman"/>
                <w:b/>
                <w:sz w:val="24"/>
                <w:szCs w:val="24"/>
              </w:rPr>
              <w:t>7.94</w:t>
            </w:r>
          </w:p>
        </w:tc>
        <w:tc>
          <w:tcPr>
            <w:tcW w:w="1967" w:type="dxa"/>
          </w:tcPr>
          <w:p w14:paraId="16312D58" w14:textId="0FF89660" w:rsidR="00AB5220" w:rsidRPr="002C7CCA" w:rsidRDefault="004A1718" w:rsidP="00380F8D">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w:t>
            </w:r>
            <w:r w:rsidR="00764E5D">
              <w:rPr>
                <w:rFonts w:ascii="Times New Roman" w:eastAsiaTheme="minorHAnsi" w:hAnsi="Times New Roman"/>
                <w:b/>
                <w:sz w:val="24"/>
                <w:szCs w:val="24"/>
              </w:rPr>
              <w:t>76.67</w:t>
            </w:r>
          </w:p>
        </w:tc>
      </w:tr>
    </w:tbl>
    <w:p w14:paraId="1D1A6467"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188A7EFD" w14:textId="77777777" w:rsidR="00F5104E" w:rsidRPr="007F3CAE" w:rsidRDefault="00F5104E" w:rsidP="0053341F">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These labor costs are multiplied by the estimated burden hours per activity and</w:t>
      </w:r>
      <w:r w:rsidR="003328B5" w:rsidRPr="007F3CAE">
        <w:rPr>
          <w:rFonts w:ascii="Times New Roman" w:hAnsi="Times New Roman"/>
          <w:sz w:val="24"/>
          <w:szCs w:val="24"/>
        </w:rPr>
        <w:t xml:space="preserve"> </w:t>
      </w:r>
      <w:r w:rsidRPr="007F3CAE">
        <w:rPr>
          <w:rFonts w:ascii="Times New Roman" w:hAnsi="Times New Roman"/>
          <w:sz w:val="24"/>
          <w:szCs w:val="24"/>
        </w:rPr>
        <w:t>added to any non-labor costs to develop total unit costs per report</w:t>
      </w:r>
      <w:r w:rsidR="00A85ED5">
        <w:rPr>
          <w:rFonts w:ascii="Times New Roman" w:hAnsi="Times New Roman"/>
          <w:sz w:val="24"/>
          <w:szCs w:val="24"/>
        </w:rPr>
        <w:t xml:space="preserve"> (See Table </w:t>
      </w:r>
      <w:r w:rsidR="00867568">
        <w:rPr>
          <w:rFonts w:ascii="Times New Roman" w:hAnsi="Times New Roman"/>
          <w:sz w:val="24"/>
          <w:szCs w:val="24"/>
        </w:rPr>
        <w:t>11</w:t>
      </w:r>
      <w:r w:rsidR="00A85ED5">
        <w:rPr>
          <w:rFonts w:ascii="Times New Roman" w:hAnsi="Times New Roman"/>
          <w:sz w:val="24"/>
          <w:szCs w:val="24"/>
        </w:rPr>
        <w:t>)</w:t>
      </w:r>
      <w:r w:rsidRPr="007F3CAE">
        <w:rPr>
          <w:rFonts w:ascii="Times New Roman" w:hAnsi="Times New Roman"/>
          <w:sz w:val="24"/>
          <w:szCs w:val="24"/>
        </w:rPr>
        <w:t>. It is estimated that</w:t>
      </w:r>
      <w:r w:rsidR="003328B5" w:rsidRPr="007F3CAE">
        <w:rPr>
          <w:rFonts w:ascii="Times New Roman" w:hAnsi="Times New Roman"/>
          <w:sz w:val="24"/>
          <w:szCs w:val="24"/>
        </w:rPr>
        <w:t xml:space="preserve"> </w:t>
      </w:r>
      <w:r w:rsidR="00242BDD">
        <w:rPr>
          <w:rFonts w:ascii="Times New Roman" w:hAnsi="Times New Roman"/>
          <w:sz w:val="24"/>
          <w:szCs w:val="24"/>
        </w:rPr>
        <w:t>only the CDX registration</w:t>
      </w:r>
      <w:r w:rsidRPr="007F3CAE">
        <w:rPr>
          <w:rFonts w:ascii="Times New Roman" w:hAnsi="Times New Roman"/>
          <w:sz w:val="24"/>
          <w:szCs w:val="24"/>
        </w:rPr>
        <w:t xml:space="preserve"> task will require expenditures other than labor.</w:t>
      </w:r>
    </w:p>
    <w:p w14:paraId="143672E6" w14:textId="77777777" w:rsidR="003328B5" w:rsidRPr="007F3CAE" w:rsidRDefault="003328B5" w:rsidP="0061312A">
      <w:pPr>
        <w:autoSpaceDE w:val="0"/>
        <w:autoSpaceDN w:val="0"/>
        <w:adjustRightInd w:val="0"/>
        <w:spacing w:after="0" w:line="240" w:lineRule="auto"/>
        <w:rPr>
          <w:rFonts w:ascii="Times New Roman" w:hAnsi="Times New Roman"/>
          <w:sz w:val="24"/>
          <w:szCs w:val="24"/>
        </w:rPr>
      </w:pPr>
    </w:p>
    <w:p w14:paraId="3CFA0286" w14:textId="77777777" w:rsidR="00A85ED5" w:rsidRDefault="00F5104E" w:rsidP="0061312A">
      <w:pPr>
        <w:spacing w:line="240" w:lineRule="auto"/>
        <w:ind w:firstLine="720"/>
        <w:rPr>
          <w:rFonts w:ascii="Times New Roman" w:hAnsi="Times New Roman"/>
          <w:sz w:val="24"/>
          <w:szCs w:val="24"/>
        </w:rPr>
      </w:pPr>
      <w:r w:rsidRPr="007F3CAE">
        <w:rPr>
          <w:rFonts w:ascii="Times New Roman" w:hAnsi="Times New Roman"/>
          <w:sz w:val="24"/>
          <w:szCs w:val="24"/>
        </w:rPr>
        <w:t>Total non-burden costs per report are</w:t>
      </w:r>
      <w:r w:rsidR="003328B5" w:rsidRPr="007F3CAE">
        <w:rPr>
          <w:rFonts w:ascii="Times New Roman" w:hAnsi="Times New Roman"/>
          <w:sz w:val="24"/>
          <w:szCs w:val="24"/>
        </w:rPr>
        <w:t xml:space="preserve"> </w:t>
      </w:r>
      <w:r w:rsidRPr="007F3CAE">
        <w:rPr>
          <w:rFonts w:ascii="Times New Roman" w:hAnsi="Times New Roman"/>
          <w:sz w:val="24"/>
          <w:szCs w:val="24"/>
        </w:rPr>
        <w:t>estimated to be $</w:t>
      </w:r>
      <w:r w:rsidR="00A85ED5">
        <w:rPr>
          <w:rFonts w:ascii="Times New Roman" w:hAnsi="Times New Roman"/>
          <w:sz w:val="24"/>
          <w:szCs w:val="24"/>
        </w:rPr>
        <w:t>2.</w:t>
      </w:r>
      <w:r w:rsidR="00B647B7">
        <w:rPr>
          <w:rFonts w:ascii="Times New Roman" w:hAnsi="Times New Roman"/>
          <w:sz w:val="24"/>
          <w:szCs w:val="24"/>
        </w:rPr>
        <w:t>3</w:t>
      </w:r>
      <w:r w:rsidR="00A85ED5">
        <w:rPr>
          <w:rFonts w:ascii="Times New Roman" w:hAnsi="Times New Roman"/>
          <w:sz w:val="24"/>
          <w:szCs w:val="24"/>
        </w:rPr>
        <w:t>0 associated with mailing CDX electronic signature forms to EPA</w:t>
      </w:r>
      <w:r w:rsidRPr="007F3CAE">
        <w:rPr>
          <w:rFonts w:ascii="Times New Roman" w:hAnsi="Times New Roman"/>
          <w:sz w:val="24"/>
          <w:szCs w:val="24"/>
        </w:rPr>
        <w:t xml:space="preserve">. With an annual estimate of </w:t>
      </w:r>
      <w:r w:rsidR="00A85ED5">
        <w:rPr>
          <w:rFonts w:ascii="Times New Roman" w:hAnsi="Times New Roman"/>
          <w:sz w:val="24"/>
          <w:szCs w:val="24"/>
        </w:rPr>
        <w:t>1</w:t>
      </w:r>
      <w:r w:rsidR="00A85ED5" w:rsidRPr="007F3CAE">
        <w:rPr>
          <w:rFonts w:ascii="Times New Roman" w:hAnsi="Times New Roman"/>
          <w:sz w:val="24"/>
          <w:szCs w:val="24"/>
        </w:rPr>
        <w:t xml:space="preserve"> </w:t>
      </w:r>
      <w:r w:rsidRPr="007F3CAE">
        <w:rPr>
          <w:rFonts w:ascii="Times New Roman" w:hAnsi="Times New Roman"/>
          <w:sz w:val="24"/>
          <w:szCs w:val="24"/>
        </w:rPr>
        <w:t>report expected, the total</w:t>
      </w:r>
      <w:r w:rsidR="00DF5CCB">
        <w:rPr>
          <w:rFonts w:ascii="Times New Roman" w:hAnsi="Times New Roman"/>
          <w:sz w:val="24"/>
          <w:szCs w:val="24"/>
        </w:rPr>
        <w:t xml:space="preserve"> annual</w:t>
      </w:r>
      <w:r w:rsidRPr="007F3CAE">
        <w:rPr>
          <w:rFonts w:ascii="Times New Roman" w:hAnsi="Times New Roman"/>
          <w:sz w:val="24"/>
          <w:szCs w:val="24"/>
        </w:rPr>
        <w:t xml:space="preserve"> non</w:t>
      </w:r>
      <w:r w:rsidR="00FA3B48" w:rsidRPr="007F3CAE">
        <w:rPr>
          <w:rFonts w:ascii="Times New Roman" w:hAnsi="Times New Roman"/>
          <w:sz w:val="24"/>
          <w:szCs w:val="24"/>
        </w:rPr>
        <w:t>-</w:t>
      </w:r>
      <w:r w:rsidRPr="007F3CAE">
        <w:rPr>
          <w:rFonts w:ascii="Times New Roman" w:hAnsi="Times New Roman"/>
          <w:sz w:val="24"/>
          <w:szCs w:val="24"/>
        </w:rPr>
        <w:t>burden</w:t>
      </w:r>
      <w:r w:rsidR="003328B5" w:rsidRPr="007F3CAE">
        <w:rPr>
          <w:rFonts w:ascii="Times New Roman" w:hAnsi="Times New Roman"/>
          <w:sz w:val="24"/>
          <w:szCs w:val="24"/>
        </w:rPr>
        <w:t xml:space="preserve"> </w:t>
      </w:r>
      <w:r w:rsidRPr="007F3CAE">
        <w:rPr>
          <w:rFonts w:ascii="Times New Roman" w:hAnsi="Times New Roman"/>
          <w:sz w:val="24"/>
          <w:szCs w:val="24"/>
        </w:rPr>
        <w:t xml:space="preserve">cost for this ICR is </w:t>
      </w:r>
      <w:r w:rsidR="00A85ED5" w:rsidRPr="007F3CAE">
        <w:rPr>
          <w:rFonts w:ascii="Times New Roman" w:hAnsi="Times New Roman"/>
          <w:sz w:val="24"/>
          <w:szCs w:val="24"/>
        </w:rPr>
        <w:t>$</w:t>
      </w:r>
      <w:r w:rsidR="00A85ED5">
        <w:rPr>
          <w:rFonts w:ascii="Times New Roman" w:hAnsi="Times New Roman"/>
          <w:sz w:val="24"/>
          <w:szCs w:val="24"/>
        </w:rPr>
        <w:t>2.</w:t>
      </w:r>
      <w:r w:rsidR="00B647B7">
        <w:rPr>
          <w:rFonts w:ascii="Times New Roman" w:hAnsi="Times New Roman"/>
          <w:sz w:val="24"/>
          <w:szCs w:val="24"/>
        </w:rPr>
        <w:t>3</w:t>
      </w:r>
      <w:r w:rsidR="00A85ED5">
        <w:rPr>
          <w:rFonts w:ascii="Times New Roman" w:hAnsi="Times New Roman"/>
          <w:sz w:val="24"/>
          <w:szCs w:val="24"/>
        </w:rPr>
        <w:t>0</w:t>
      </w:r>
      <w:r w:rsidRPr="007F3CAE">
        <w:rPr>
          <w:rFonts w:ascii="Times New Roman" w:hAnsi="Times New Roman"/>
          <w:sz w:val="24"/>
          <w:szCs w:val="24"/>
        </w:rPr>
        <w:t>. These non</w:t>
      </w:r>
      <w:r w:rsidR="00FA3B48" w:rsidRPr="007F3CAE">
        <w:rPr>
          <w:rFonts w:ascii="Times New Roman" w:hAnsi="Times New Roman"/>
          <w:sz w:val="24"/>
          <w:szCs w:val="24"/>
        </w:rPr>
        <w:t>-</w:t>
      </w:r>
      <w:r w:rsidRPr="007F3CAE">
        <w:rPr>
          <w:rFonts w:ascii="Times New Roman" w:hAnsi="Times New Roman"/>
          <w:sz w:val="24"/>
          <w:szCs w:val="24"/>
        </w:rPr>
        <w:t>burden</w:t>
      </w:r>
      <w:r w:rsidR="003328B5" w:rsidRPr="007F3CAE">
        <w:rPr>
          <w:rFonts w:ascii="Times New Roman" w:hAnsi="Times New Roman"/>
          <w:sz w:val="24"/>
          <w:szCs w:val="24"/>
        </w:rPr>
        <w:t xml:space="preserve"> </w:t>
      </w:r>
      <w:r w:rsidRPr="007F3CAE">
        <w:rPr>
          <w:rFonts w:ascii="Times New Roman" w:hAnsi="Times New Roman"/>
          <w:sz w:val="24"/>
          <w:szCs w:val="24"/>
        </w:rPr>
        <w:t xml:space="preserve">hour costs are </w:t>
      </w:r>
      <w:r w:rsidR="00A42BF0">
        <w:rPr>
          <w:rFonts w:ascii="Times New Roman" w:hAnsi="Times New Roman"/>
          <w:sz w:val="24"/>
          <w:szCs w:val="24"/>
        </w:rPr>
        <w:t xml:space="preserve"> not included in the Agency’s annual burden estimate</w:t>
      </w:r>
      <w:r w:rsidRPr="00311498">
        <w:rPr>
          <w:rFonts w:ascii="Times New Roman" w:hAnsi="Times New Roman"/>
          <w:sz w:val="24"/>
          <w:szCs w:val="24"/>
        </w:rPr>
        <w:t>, but are included in the total costs here. Finally, unit costs per report are</w:t>
      </w:r>
      <w:r w:rsidR="003328B5" w:rsidRPr="00311498">
        <w:rPr>
          <w:rFonts w:ascii="Times New Roman" w:hAnsi="Times New Roman"/>
          <w:sz w:val="24"/>
          <w:szCs w:val="24"/>
        </w:rPr>
        <w:t xml:space="preserve"> </w:t>
      </w:r>
      <w:r w:rsidRPr="00311498">
        <w:rPr>
          <w:rFonts w:ascii="Times New Roman" w:hAnsi="Times New Roman"/>
          <w:sz w:val="24"/>
          <w:szCs w:val="24"/>
        </w:rPr>
        <w:t>multiplied by the number of reports per site per year to arrive at unit costs per site</w:t>
      </w:r>
      <w:r w:rsidR="003328B5" w:rsidRPr="00311498">
        <w:rPr>
          <w:rFonts w:ascii="Times New Roman" w:hAnsi="Times New Roman"/>
          <w:sz w:val="24"/>
          <w:szCs w:val="24"/>
        </w:rPr>
        <w:t xml:space="preserve"> </w:t>
      </w:r>
      <w:r w:rsidRPr="00311498">
        <w:rPr>
          <w:rFonts w:ascii="Times New Roman" w:hAnsi="Times New Roman"/>
          <w:sz w:val="24"/>
          <w:szCs w:val="24"/>
        </w:rPr>
        <w:t>(respondent costs)</w:t>
      </w:r>
      <w:r w:rsidR="00A85ED5" w:rsidRPr="00311498">
        <w:rPr>
          <w:rFonts w:ascii="Times New Roman" w:hAnsi="Times New Roman"/>
          <w:sz w:val="24"/>
          <w:szCs w:val="24"/>
        </w:rPr>
        <w:t xml:space="preserve">, and are summarized in </w:t>
      </w:r>
      <w:r w:rsidR="00311498" w:rsidRPr="00665511">
        <w:rPr>
          <w:rFonts w:ascii="Times New Roman" w:hAnsi="Times New Roman"/>
          <w:sz w:val="24"/>
          <w:szCs w:val="24"/>
        </w:rPr>
        <w:t>Table 11</w:t>
      </w:r>
      <w:bookmarkStart w:id="9" w:name="_Ref295819308"/>
      <w:r w:rsidR="00EA3FE1">
        <w:rPr>
          <w:rFonts w:ascii="Times New Roman" w:hAnsi="Times New Roman"/>
          <w:sz w:val="24"/>
          <w:szCs w:val="24"/>
        </w:rPr>
        <w:t>.</w:t>
      </w:r>
    </w:p>
    <w:p w14:paraId="647599ED" w14:textId="77777777" w:rsidR="00FC4076" w:rsidRDefault="00FC4076" w:rsidP="0061312A">
      <w:pPr>
        <w:spacing w:line="240" w:lineRule="auto"/>
        <w:ind w:firstLine="720"/>
        <w:rPr>
          <w:b/>
          <w:bCs/>
        </w:rPr>
      </w:pPr>
    </w:p>
    <w:p w14:paraId="07E2A3DF" w14:textId="4BA3C2D1" w:rsidR="00FC4076" w:rsidRDefault="00FC4076" w:rsidP="0061312A">
      <w:pPr>
        <w:spacing w:line="240" w:lineRule="auto"/>
        <w:ind w:firstLine="720"/>
        <w:rPr>
          <w:b/>
          <w:bCs/>
        </w:rPr>
        <w:sectPr w:rsidR="00FC4076" w:rsidSect="00025A1D">
          <w:headerReference w:type="default" r:id="rId11"/>
          <w:footerReference w:type="default" r:id="rId12"/>
          <w:pgSz w:w="12240" w:h="15840"/>
          <w:pgMar w:top="1440" w:right="1440" w:bottom="1440" w:left="1440" w:header="720" w:footer="720" w:gutter="0"/>
          <w:cols w:space="720"/>
          <w:docGrid w:linePitch="360"/>
        </w:sectPr>
      </w:pPr>
    </w:p>
    <w:p w14:paraId="1CB54BF9" w14:textId="77777777" w:rsidR="00A85ED5" w:rsidRPr="00A85ED5" w:rsidRDefault="00A85ED5" w:rsidP="00A85ED5">
      <w:pPr>
        <w:rPr>
          <w:b/>
          <w:bCs/>
        </w:rPr>
      </w:pP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p>
    <w:tbl>
      <w:tblPr>
        <w:tblStyle w:val="TableGrid"/>
        <w:tblW w:w="13855" w:type="dxa"/>
        <w:tblLook w:val="04A0" w:firstRow="1" w:lastRow="0" w:firstColumn="1" w:lastColumn="0" w:noHBand="0" w:noVBand="1"/>
      </w:tblPr>
      <w:tblGrid>
        <w:gridCol w:w="1791"/>
        <w:gridCol w:w="876"/>
        <w:gridCol w:w="644"/>
        <w:gridCol w:w="876"/>
        <w:gridCol w:w="636"/>
        <w:gridCol w:w="876"/>
        <w:gridCol w:w="636"/>
        <w:gridCol w:w="978"/>
        <w:gridCol w:w="859"/>
        <w:gridCol w:w="1094"/>
        <w:gridCol w:w="1242"/>
        <w:gridCol w:w="1061"/>
        <w:gridCol w:w="1080"/>
        <w:gridCol w:w="1206"/>
      </w:tblGrid>
      <w:tr w:rsidR="00A85ED5" w:rsidRPr="00A85ED5" w14:paraId="44A66CE7" w14:textId="77777777" w:rsidTr="00DC7D34">
        <w:trPr>
          <w:trHeight w:val="70"/>
        </w:trPr>
        <w:tc>
          <w:tcPr>
            <w:tcW w:w="13855" w:type="dxa"/>
            <w:gridSpan w:val="14"/>
            <w:vAlign w:val="center"/>
            <w:hideMark/>
          </w:tcPr>
          <w:p w14:paraId="72305E81" w14:textId="77777777" w:rsidR="00A85ED5" w:rsidRPr="0061312A" w:rsidRDefault="00311498" w:rsidP="00665511">
            <w:pPr>
              <w:spacing w:after="0"/>
              <w:jc w:val="center"/>
              <w:rPr>
                <w:rFonts w:ascii="Times New Roman" w:hAnsi="Times New Roman"/>
                <w:b/>
                <w:bCs/>
              </w:rPr>
            </w:pPr>
            <w:r w:rsidRPr="0061312A">
              <w:rPr>
                <w:rFonts w:ascii="Times New Roman" w:hAnsi="Times New Roman"/>
                <w:b/>
              </w:rPr>
              <w:t xml:space="preserve">Table </w:t>
            </w:r>
            <w:r w:rsidRPr="0061312A">
              <w:rPr>
                <w:rFonts w:ascii="Times New Roman" w:hAnsi="Times New Roman"/>
                <w:b/>
              </w:rPr>
              <w:fldChar w:fldCharType="begin"/>
            </w:r>
            <w:r w:rsidRPr="0061312A">
              <w:rPr>
                <w:rFonts w:ascii="Times New Roman" w:hAnsi="Times New Roman"/>
                <w:b/>
              </w:rPr>
              <w:instrText xml:space="preserve"> SEQ Table \* ARABIC </w:instrText>
            </w:r>
            <w:r w:rsidRPr="0061312A">
              <w:rPr>
                <w:rFonts w:ascii="Times New Roman" w:hAnsi="Times New Roman"/>
                <w:b/>
              </w:rPr>
              <w:fldChar w:fldCharType="separate"/>
            </w:r>
            <w:r w:rsidR="00CE068E">
              <w:rPr>
                <w:rFonts w:ascii="Times New Roman" w:hAnsi="Times New Roman"/>
                <w:b/>
                <w:noProof/>
              </w:rPr>
              <w:t>11</w:t>
            </w:r>
            <w:r w:rsidRPr="0061312A">
              <w:rPr>
                <w:rFonts w:ascii="Times New Roman" w:hAnsi="Times New Roman"/>
                <w:b/>
              </w:rPr>
              <w:fldChar w:fldCharType="end"/>
            </w:r>
            <w:r w:rsidRPr="0061312A">
              <w:rPr>
                <w:rFonts w:ascii="Times New Roman" w:hAnsi="Times New Roman"/>
              </w:rPr>
              <w:t xml:space="preserve">: </w:t>
            </w:r>
            <w:r w:rsidR="00A85ED5" w:rsidRPr="0061312A">
              <w:rPr>
                <w:rFonts w:ascii="Times New Roman" w:hAnsi="Times New Roman"/>
                <w:b/>
                <w:bCs/>
              </w:rPr>
              <w:t>Reporting Costs by Labor Category and Reporting Activity</w:t>
            </w:r>
          </w:p>
        </w:tc>
      </w:tr>
      <w:tr w:rsidR="00297829" w:rsidRPr="00A85ED5" w14:paraId="1EB20B44" w14:textId="77777777" w:rsidTr="00DC7D34">
        <w:trPr>
          <w:trHeight w:val="773"/>
        </w:trPr>
        <w:tc>
          <w:tcPr>
            <w:tcW w:w="1791" w:type="dxa"/>
            <w:vAlign w:val="center"/>
            <w:hideMark/>
          </w:tcPr>
          <w:p w14:paraId="3FACC571"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Cost Element</w:t>
            </w:r>
          </w:p>
        </w:tc>
        <w:tc>
          <w:tcPr>
            <w:tcW w:w="1520" w:type="dxa"/>
            <w:gridSpan w:val="2"/>
            <w:vAlign w:val="center"/>
            <w:hideMark/>
          </w:tcPr>
          <w:p w14:paraId="621F4CA0" w14:textId="77777777" w:rsidR="00A85ED5" w:rsidRPr="0061312A" w:rsidRDefault="00867568" w:rsidP="00665511">
            <w:pPr>
              <w:spacing w:after="0"/>
              <w:jc w:val="center"/>
              <w:rPr>
                <w:rFonts w:ascii="Times New Roman" w:hAnsi="Times New Roman"/>
                <w:b/>
                <w:bCs/>
              </w:rPr>
            </w:pPr>
            <w:r w:rsidRPr="0061312A">
              <w:rPr>
                <w:rFonts w:ascii="Times New Roman" w:hAnsi="Times New Roman"/>
                <w:b/>
                <w:bCs/>
              </w:rPr>
              <w:t>Clerical</w:t>
            </w:r>
          </w:p>
        </w:tc>
        <w:tc>
          <w:tcPr>
            <w:tcW w:w="1512" w:type="dxa"/>
            <w:gridSpan w:val="2"/>
            <w:vAlign w:val="center"/>
            <w:hideMark/>
          </w:tcPr>
          <w:p w14:paraId="65CB8863"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Technical</w:t>
            </w:r>
          </w:p>
        </w:tc>
        <w:tc>
          <w:tcPr>
            <w:tcW w:w="1512" w:type="dxa"/>
            <w:gridSpan w:val="2"/>
            <w:vAlign w:val="center"/>
            <w:hideMark/>
          </w:tcPr>
          <w:p w14:paraId="4C3C3E3E"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Managerial</w:t>
            </w:r>
          </w:p>
        </w:tc>
        <w:tc>
          <w:tcPr>
            <w:tcW w:w="978" w:type="dxa"/>
            <w:vAlign w:val="center"/>
            <w:hideMark/>
          </w:tcPr>
          <w:p w14:paraId="3E2CA92A"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Labor Costs</w:t>
            </w:r>
          </w:p>
        </w:tc>
        <w:tc>
          <w:tcPr>
            <w:tcW w:w="859" w:type="dxa"/>
            <w:vAlign w:val="center"/>
            <w:hideMark/>
          </w:tcPr>
          <w:p w14:paraId="52628587"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Other Direct Costs</w:t>
            </w:r>
          </w:p>
        </w:tc>
        <w:tc>
          <w:tcPr>
            <w:tcW w:w="1094" w:type="dxa"/>
            <w:vAlign w:val="center"/>
            <w:hideMark/>
          </w:tcPr>
          <w:p w14:paraId="28A95AA5"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Cost Per Report</w:t>
            </w:r>
          </w:p>
        </w:tc>
        <w:tc>
          <w:tcPr>
            <w:tcW w:w="1242" w:type="dxa"/>
            <w:vAlign w:val="center"/>
            <w:hideMark/>
          </w:tcPr>
          <w:p w14:paraId="0407342D"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Number of Reports</w:t>
            </w:r>
          </w:p>
        </w:tc>
        <w:tc>
          <w:tcPr>
            <w:tcW w:w="1061" w:type="dxa"/>
            <w:vAlign w:val="center"/>
            <w:hideMark/>
          </w:tcPr>
          <w:p w14:paraId="236959B9"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Cost Per Site</w:t>
            </w:r>
          </w:p>
        </w:tc>
        <w:tc>
          <w:tcPr>
            <w:tcW w:w="1080" w:type="dxa"/>
            <w:vAlign w:val="center"/>
            <w:hideMark/>
          </w:tcPr>
          <w:p w14:paraId="1BA3CA9A"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Number of Sites</w:t>
            </w:r>
          </w:p>
        </w:tc>
        <w:tc>
          <w:tcPr>
            <w:tcW w:w="1206" w:type="dxa"/>
            <w:vAlign w:val="center"/>
            <w:hideMark/>
          </w:tcPr>
          <w:p w14:paraId="75A038DA"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Annual Industry Cost</w:t>
            </w:r>
          </w:p>
        </w:tc>
      </w:tr>
      <w:tr w:rsidR="00297829" w:rsidRPr="00A85ED5" w14:paraId="38D243B6" w14:textId="77777777" w:rsidTr="00DC7D34">
        <w:trPr>
          <w:trHeight w:val="600"/>
        </w:trPr>
        <w:tc>
          <w:tcPr>
            <w:tcW w:w="1791" w:type="dxa"/>
            <w:vAlign w:val="center"/>
            <w:hideMark/>
          </w:tcPr>
          <w:p w14:paraId="2F670426"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Form Familiarization</w:t>
            </w:r>
          </w:p>
        </w:tc>
        <w:tc>
          <w:tcPr>
            <w:tcW w:w="876" w:type="dxa"/>
            <w:tcBorders>
              <w:right w:val="dotted" w:sz="4" w:space="0" w:color="auto"/>
            </w:tcBorders>
            <w:vAlign w:val="center"/>
            <w:hideMark/>
          </w:tcPr>
          <w:p w14:paraId="1E16F47B" w14:textId="764D9D99"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71ADE1E1"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36BF74B7" w14:textId="7A751E2F"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69ED739C"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4.00</w:t>
            </w:r>
          </w:p>
        </w:tc>
        <w:tc>
          <w:tcPr>
            <w:tcW w:w="876" w:type="dxa"/>
            <w:tcBorders>
              <w:right w:val="dotted" w:sz="4" w:space="0" w:color="auto"/>
            </w:tcBorders>
            <w:vAlign w:val="center"/>
            <w:hideMark/>
          </w:tcPr>
          <w:p w14:paraId="55790D6C" w14:textId="3B3B924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2004DBB3"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3.00</w:t>
            </w:r>
          </w:p>
        </w:tc>
        <w:tc>
          <w:tcPr>
            <w:tcW w:w="978" w:type="dxa"/>
            <w:vAlign w:val="center"/>
            <w:hideMark/>
          </w:tcPr>
          <w:p w14:paraId="756D3858" w14:textId="05EDE95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$5</w:t>
            </w:r>
            <w:r w:rsidR="008837D3">
              <w:rPr>
                <w:rFonts w:ascii="Times New Roman" w:hAnsi="Times New Roman"/>
                <w:color w:val="000000"/>
                <w:sz w:val="20"/>
                <w:szCs w:val="20"/>
              </w:rPr>
              <w:t>42</w:t>
            </w:r>
          </w:p>
        </w:tc>
        <w:tc>
          <w:tcPr>
            <w:tcW w:w="859" w:type="dxa"/>
            <w:vAlign w:val="center"/>
            <w:hideMark/>
          </w:tcPr>
          <w:p w14:paraId="7A176B65"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6F800364" w14:textId="3548E08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$5</w:t>
            </w:r>
            <w:r w:rsidR="008837D3">
              <w:rPr>
                <w:rFonts w:ascii="Times New Roman" w:hAnsi="Times New Roman"/>
                <w:color w:val="000000"/>
                <w:sz w:val="20"/>
                <w:szCs w:val="20"/>
              </w:rPr>
              <w:t>42</w:t>
            </w:r>
            <w:r w:rsidRPr="00CE3BFB">
              <w:rPr>
                <w:rFonts w:ascii="Times New Roman" w:hAnsi="Times New Roman"/>
                <w:color w:val="000000"/>
                <w:sz w:val="20"/>
                <w:szCs w:val="20"/>
              </w:rPr>
              <w:t xml:space="preserve"> </w:t>
            </w:r>
          </w:p>
        </w:tc>
        <w:tc>
          <w:tcPr>
            <w:tcW w:w="1242" w:type="dxa"/>
            <w:vAlign w:val="center"/>
            <w:hideMark/>
          </w:tcPr>
          <w:p w14:paraId="1D0EFD5B"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631A406F" w14:textId="4C067D9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$5</w:t>
            </w:r>
            <w:r w:rsidR="00630ECC">
              <w:rPr>
                <w:rFonts w:ascii="Times New Roman" w:hAnsi="Times New Roman"/>
                <w:color w:val="000000"/>
                <w:sz w:val="20"/>
                <w:szCs w:val="20"/>
              </w:rPr>
              <w:t>42</w:t>
            </w:r>
            <w:r w:rsidRPr="00CE3BFB">
              <w:rPr>
                <w:rFonts w:ascii="Times New Roman" w:hAnsi="Times New Roman"/>
                <w:color w:val="000000"/>
                <w:sz w:val="20"/>
                <w:szCs w:val="20"/>
              </w:rPr>
              <w:t xml:space="preserve"> </w:t>
            </w:r>
          </w:p>
        </w:tc>
        <w:tc>
          <w:tcPr>
            <w:tcW w:w="1080" w:type="dxa"/>
            <w:noWrap/>
            <w:vAlign w:val="center"/>
            <w:hideMark/>
          </w:tcPr>
          <w:p w14:paraId="0126BAE5"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45DC8B21" w14:textId="01C3DD38"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$5</w:t>
            </w:r>
            <w:r w:rsidR="00630ECC">
              <w:rPr>
                <w:rFonts w:ascii="Times New Roman" w:hAnsi="Times New Roman"/>
                <w:color w:val="000000"/>
                <w:sz w:val="20"/>
                <w:szCs w:val="20"/>
              </w:rPr>
              <w:t>42</w:t>
            </w:r>
            <w:r w:rsidRPr="00CE3BFB">
              <w:rPr>
                <w:rFonts w:ascii="Times New Roman" w:hAnsi="Times New Roman"/>
                <w:color w:val="000000"/>
                <w:sz w:val="20"/>
                <w:szCs w:val="20"/>
              </w:rPr>
              <w:t xml:space="preserve"> </w:t>
            </w:r>
          </w:p>
        </w:tc>
      </w:tr>
      <w:tr w:rsidR="00297829" w:rsidRPr="00A85ED5" w14:paraId="50C53F34" w14:textId="77777777" w:rsidTr="00DC7D34">
        <w:trPr>
          <w:trHeight w:val="300"/>
        </w:trPr>
        <w:tc>
          <w:tcPr>
            <w:tcW w:w="1791" w:type="dxa"/>
            <w:vAlign w:val="center"/>
            <w:hideMark/>
          </w:tcPr>
          <w:p w14:paraId="757C706F"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Reporting</w:t>
            </w:r>
          </w:p>
        </w:tc>
        <w:tc>
          <w:tcPr>
            <w:tcW w:w="876" w:type="dxa"/>
            <w:tcBorders>
              <w:right w:val="dotted" w:sz="4" w:space="0" w:color="auto"/>
            </w:tcBorders>
            <w:vAlign w:val="center"/>
            <w:hideMark/>
          </w:tcPr>
          <w:p w14:paraId="41F251ED" w14:textId="6DDADB6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083DD7D4"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478D949D" w14:textId="377AD8B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1D8B3882"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9.25</w:t>
            </w:r>
          </w:p>
        </w:tc>
        <w:tc>
          <w:tcPr>
            <w:tcW w:w="876" w:type="dxa"/>
            <w:tcBorders>
              <w:right w:val="dotted" w:sz="4" w:space="0" w:color="auto"/>
            </w:tcBorders>
            <w:vAlign w:val="center"/>
            <w:hideMark/>
          </w:tcPr>
          <w:p w14:paraId="0103952B" w14:textId="198DCF2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017E401B"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5.50</w:t>
            </w:r>
          </w:p>
        </w:tc>
        <w:tc>
          <w:tcPr>
            <w:tcW w:w="978" w:type="dxa"/>
            <w:vAlign w:val="center"/>
            <w:hideMark/>
          </w:tcPr>
          <w:p w14:paraId="636E0919" w14:textId="0C7661C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$1,1</w:t>
            </w:r>
            <w:r w:rsidR="008837D3">
              <w:rPr>
                <w:rFonts w:ascii="Times New Roman" w:hAnsi="Times New Roman"/>
                <w:color w:val="000000"/>
                <w:sz w:val="20"/>
                <w:szCs w:val="20"/>
              </w:rPr>
              <w:t>43</w:t>
            </w:r>
          </w:p>
        </w:tc>
        <w:tc>
          <w:tcPr>
            <w:tcW w:w="859" w:type="dxa"/>
            <w:vAlign w:val="center"/>
            <w:hideMark/>
          </w:tcPr>
          <w:p w14:paraId="0F5FFFC1"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70E3370C" w14:textId="29D42F0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$1,1</w:t>
            </w:r>
            <w:r w:rsidR="008837D3">
              <w:rPr>
                <w:rFonts w:ascii="Times New Roman" w:hAnsi="Times New Roman"/>
                <w:color w:val="000000"/>
                <w:sz w:val="20"/>
                <w:szCs w:val="20"/>
              </w:rPr>
              <w:t>43</w:t>
            </w:r>
            <w:r w:rsidRPr="00CE3BFB">
              <w:rPr>
                <w:rFonts w:ascii="Times New Roman" w:hAnsi="Times New Roman"/>
                <w:color w:val="000000"/>
                <w:sz w:val="20"/>
                <w:szCs w:val="20"/>
              </w:rPr>
              <w:t xml:space="preserve"> </w:t>
            </w:r>
          </w:p>
        </w:tc>
        <w:tc>
          <w:tcPr>
            <w:tcW w:w="1242" w:type="dxa"/>
            <w:vAlign w:val="center"/>
            <w:hideMark/>
          </w:tcPr>
          <w:p w14:paraId="57C3C071"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0BBA9D46" w14:textId="233DBC6F"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$1,1</w:t>
            </w:r>
            <w:r w:rsidR="008837D3">
              <w:rPr>
                <w:rFonts w:ascii="Times New Roman" w:hAnsi="Times New Roman"/>
                <w:color w:val="000000"/>
                <w:sz w:val="20"/>
                <w:szCs w:val="20"/>
              </w:rPr>
              <w:t>43</w:t>
            </w:r>
            <w:r w:rsidRPr="00CE3BFB">
              <w:rPr>
                <w:rFonts w:ascii="Times New Roman" w:hAnsi="Times New Roman"/>
                <w:color w:val="000000"/>
                <w:sz w:val="20"/>
                <w:szCs w:val="20"/>
              </w:rPr>
              <w:t xml:space="preserve"> </w:t>
            </w:r>
          </w:p>
        </w:tc>
        <w:tc>
          <w:tcPr>
            <w:tcW w:w="1080" w:type="dxa"/>
            <w:noWrap/>
            <w:vAlign w:val="center"/>
            <w:hideMark/>
          </w:tcPr>
          <w:p w14:paraId="11304154"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0346DE27" w14:textId="4772F24A"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$1,1</w:t>
            </w:r>
            <w:r w:rsidR="008837D3">
              <w:rPr>
                <w:rFonts w:ascii="Times New Roman" w:hAnsi="Times New Roman"/>
                <w:color w:val="000000"/>
                <w:sz w:val="20"/>
                <w:szCs w:val="20"/>
              </w:rPr>
              <w:t>43</w:t>
            </w:r>
            <w:r w:rsidRPr="00CE3BFB">
              <w:rPr>
                <w:rFonts w:ascii="Times New Roman" w:hAnsi="Times New Roman"/>
                <w:color w:val="000000"/>
                <w:sz w:val="20"/>
                <w:szCs w:val="20"/>
              </w:rPr>
              <w:t xml:space="preserve"> </w:t>
            </w:r>
          </w:p>
        </w:tc>
      </w:tr>
      <w:tr w:rsidR="00297829" w:rsidRPr="00A85ED5" w14:paraId="14D3907A" w14:textId="77777777" w:rsidTr="00DC7D34">
        <w:trPr>
          <w:trHeight w:val="600"/>
        </w:trPr>
        <w:tc>
          <w:tcPr>
            <w:tcW w:w="1791" w:type="dxa"/>
            <w:vAlign w:val="center"/>
            <w:hideMark/>
          </w:tcPr>
          <w:p w14:paraId="3A16A135"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Trade Name Notification</w:t>
            </w:r>
          </w:p>
        </w:tc>
        <w:tc>
          <w:tcPr>
            <w:tcW w:w="876" w:type="dxa"/>
            <w:tcBorders>
              <w:right w:val="dotted" w:sz="4" w:space="0" w:color="auto"/>
            </w:tcBorders>
            <w:vAlign w:val="center"/>
            <w:hideMark/>
          </w:tcPr>
          <w:p w14:paraId="11334DA4" w14:textId="482CEA2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783648D1"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55947BA0" w14:textId="548BAF2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3C579326"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06B4F379" w14:textId="3B793DE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66ED1430"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2.20</w:t>
            </w:r>
          </w:p>
        </w:tc>
        <w:tc>
          <w:tcPr>
            <w:tcW w:w="978" w:type="dxa"/>
            <w:vAlign w:val="center"/>
            <w:hideMark/>
          </w:tcPr>
          <w:p w14:paraId="302C6E39" w14:textId="2875ED0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r w:rsidR="008837D3">
              <w:rPr>
                <w:rFonts w:ascii="Times New Roman" w:hAnsi="Times New Roman"/>
                <w:color w:val="000000"/>
                <w:sz w:val="20"/>
                <w:szCs w:val="20"/>
              </w:rPr>
              <w:t>69</w:t>
            </w:r>
          </w:p>
        </w:tc>
        <w:tc>
          <w:tcPr>
            <w:tcW w:w="859" w:type="dxa"/>
            <w:vAlign w:val="center"/>
            <w:hideMark/>
          </w:tcPr>
          <w:p w14:paraId="338D530E"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4FB80B77" w14:textId="5FD7D811"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r w:rsidR="008837D3">
              <w:rPr>
                <w:rFonts w:ascii="Times New Roman" w:hAnsi="Times New Roman"/>
                <w:color w:val="000000"/>
                <w:sz w:val="20"/>
                <w:szCs w:val="20"/>
              </w:rPr>
              <w:t>69</w:t>
            </w:r>
            <w:r w:rsidRPr="00CE3BFB">
              <w:rPr>
                <w:rFonts w:ascii="Times New Roman" w:hAnsi="Times New Roman"/>
                <w:color w:val="000000"/>
                <w:sz w:val="20"/>
                <w:szCs w:val="20"/>
              </w:rPr>
              <w:t xml:space="preserve"> </w:t>
            </w:r>
          </w:p>
        </w:tc>
        <w:tc>
          <w:tcPr>
            <w:tcW w:w="1242" w:type="dxa"/>
            <w:vAlign w:val="center"/>
            <w:hideMark/>
          </w:tcPr>
          <w:p w14:paraId="629CA3BA"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2E420C0F" w14:textId="419E348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r w:rsidR="008837D3">
              <w:rPr>
                <w:rFonts w:ascii="Times New Roman" w:hAnsi="Times New Roman"/>
                <w:color w:val="000000"/>
                <w:sz w:val="20"/>
                <w:szCs w:val="20"/>
              </w:rPr>
              <w:t>69</w:t>
            </w:r>
            <w:r w:rsidRPr="00CE3BFB">
              <w:rPr>
                <w:rFonts w:ascii="Times New Roman" w:hAnsi="Times New Roman"/>
                <w:color w:val="000000"/>
                <w:sz w:val="20"/>
                <w:szCs w:val="20"/>
              </w:rPr>
              <w:t xml:space="preserve"> </w:t>
            </w:r>
          </w:p>
        </w:tc>
        <w:tc>
          <w:tcPr>
            <w:tcW w:w="1080" w:type="dxa"/>
            <w:noWrap/>
            <w:vAlign w:val="center"/>
            <w:hideMark/>
          </w:tcPr>
          <w:p w14:paraId="36D56E19"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34ED75F9" w14:textId="2AA5740F"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$1</w:t>
            </w:r>
            <w:r w:rsidR="008837D3">
              <w:rPr>
                <w:rFonts w:ascii="Times New Roman" w:hAnsi="Times New Roman"/>
                <w:color w:val="000000"/>
                <w:sz w:val="20"/>
                <w:szCs w:val="20"/>
              </w:rPr>
              <w:t>69</w:t>
            </w:r>
            <w:r w:rsidRPr="00CE3BFB">
              <w:rPr>
                <w:rFonts w:ascii="Times New Roman" w:hAnsi="Times New Roman"/>
                <w:color w:val="000000"/>
                <w:sz w:val="20"/>
                <w:szCs w:val="20"/>
              </w:rPr>
              <w:t xml:space="preserve"> </w:t>
            </w:r>
          </w:p>
        </w:tc>
      </w:tr>
      <w:tr w:rsidR="00297829" w:rsidRPr="00A85ED5" w14:paraId="1AB409EE" w14:textId="77777777" w:rsidTr="00DC7D34">
        <w:trPr>
          <w:trHeight w:val="600"/>
        </w:trPr>
        <w:tc>
          <w:tcPr>
            <w:tcW w:w="1791" w:type="dxa"/>
            <w:vAlign w:val="center"/>
            <w:hideMark/>
          </w:tcPr>
          <w:p w14:paraId="135A4295"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CBI Substantiation</w:t>
            </w:r>
          </w:p>
        </w:tc>
        <w:tc>
          <w:tcPr>
            <w:tcW w:w="876" w:type="dxa"/>
            <w:tcBorders>
              <w:right w:val="dotted" w:sz="4" w:space="0" w:color="auto"/>
            </w:tcBorders>
            <w:vAlign w:val="center"/>
            <w:hideMark/>
          </w:tcPr>
          <w:p w14:paraId="08B912B1" w14:textId="5048D96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3F0ECB7F"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35A18DA5" w14:textId="16C5CCEF"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11C3C9DD" w14:textId="5F9D9667" w:rsidR="00CE3BFB" w:rsidRPr="00CE3BFB" w:rsidRDefault="008837D3" w:rsidP="00CE3BFB">
            <w:pPr>
              <w:spacing w:after="0"/>
              <w:jc w:val="center"/>
              <w:rPr>
                <w:rFonts w:ascii="Times New Roman" w:hAnsi="Times New Roman"/>
                <w:bCs/>
                <w:sz w:val="20"/>
                <w:szCs w:val="20"/>
              </w:rPr>
            </w:pPr>
            <w:r>
              <w:rPr>
                <w:rFonts w:ascii="Times New Roman" w:hAnsi="Times New Roman"/>
                <w:color w:val="000000"/>
                <w:sz w:val="20"/>
                <w:szCs w:val="20"/>
              </w:rPr>
              <w:t>3.06</w:t>
            </w:r>
          </w:p>
        </w:tc>
        <w:tc>
          <w:tcPr>
            <w:tcW w:w="876" w:type="dxa"/>
            <w:tcBorders>
              <w:right w:val="dotted" w:sz="4" w:space="0" w:color="auto"/>
            </w:tcBorders>
            <w:vAlign w:val="center"/>
            <w:hideMark/>
          </w:tcPr>
          <w:p w14:paraId="1F23CB60" w14:textId="0A2F0023"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3B3DDC2B" w14:textId="7B5488BA" w:rsidR="00CE3BFB" w:rsidRPr="00E40B0D" w:rsidRDefault="008837D3" w:rsidP="00297829">
            <w:pPr>
              <w:spacing w:after="0"/>
              <w:jc w:val="center"/>
              <w:rPr>
                <w:rFonts w:ascii="Times New Roman" w:hAnsi="Times New Roman"/>
                <w:color w:val="000000"/>
                <w:sz w:val="20"/>
                <w:szCs w:val="20"/>
              </w:rPr>
            </w:pPr>
            <w:r>
              <w:rPr>
                <w:rFonts w:ascii="Times New Roman" w:hAnsi="Times New Roman"/>
                <w:color w:val="000000"/>
                <w:sz w:val="20"/>
                <w:szCs w:val="20"/>
              </w:rPr>
              <w:t>0.95</w:t>
            </w:r>
          </w:p>
        </w:tc>
        <w:tc>
          <w:tcPr>
            <w:tcW w:w="978" w:type="dxa"/>
            <w:vAlign w:val="center"/>
            <w:hideMark/>
          </w:tcPr>
          <w:p w14:paraId="4F344399" w14:textId="2A95ACA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311</w:t>
            </w:r>
          </w:p>
        </w:tc>
        <w:tc>
          <w:tcPr>
            <w:tcW w:w="859" w:type="dxa"/>
            <w:vAlign w:val="center"/>
            <w:hideMark/>
          </w:tcPr>
          <w:p w14:paraId="23122697"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0A5F38D0" w14:textId="33E19C8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311</w:t>
            </w:r>
            <w:r w:rsidRPr="00CE3BFB">
              <w:rPr>
                <w:rFonts w:ascii="Times New Roman" w:hAnsi="Times New Roman"/>
                <w:color w:val="000000"/>
                <w:sz w:val="20"/>
                <w:szCs w:val="20"/>
              </w:rPr>
              <w:t xml:space="preserve"> </w:t>
            </w:r>
          </w:p>
        </w:tc>
        <w:tc>
          <w:tcPr>
            <w:tcW w:w="1242" w:type="dxa"/>
            <w:vAlign w:val="center"/>
            <w:hideMark/>
          </w:tcPr>
          <w:p w14:paraId="021341C2"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37CE59D0" w14:textId="2E3F90D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8837D3">
              <w:rPr>
                <w:rFonts w:ascii="Times New Roman" w:hAnsi="Times New Roman"/>
                <w:color w:val="000000"/>
                <w:sz w:val="20"/>
                <w:szCs w:val="20"/>
              </w:rPr>
              <w:t>1</w:t>
            </w:r>
            <w:r w:rsidRPr="00CE3BFB">
              <w:rPr>
                <w:rFonts w:ascii="Times New Roman" w:hAnsi="Times New Roman"/>
                <w:color w:val="000000"/>
                <w:sz w:val="20"/>
                <w:szCs w:val="20"/>
              </w:rPr>
              <w:t xml:space="preserve">1 </w:t>
            </w:r>
          </w:p>
        </w:tc>
        <w:tc>
          <w:tcPr>
            <w:tcW w:w="1080" w:type="dxa"/>
            <w:noWrap/>
            <w:vAlign w:val="center"/>
            <w:hideMark/>
          </w:tcPr>
          <w:p w14:paraId="02584C19"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106C02CC" w14:textId="4097BD8D"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$3</w:t>
            </w:r>
            <w:r w:rsidR="008837D3">
              <w:rPr>
                <w:rFonts w:ascii="Times New Roman" w:hAnsi="Times New Roman"/>
                <w:color w:val="000000"/>
                <w:sz w:val="20"/>
                <w:szCs w:val="20"/>
              </w:rPr>
              <w:t>1</w:t>
            </w:r>
            <w:r w:rsidRPr="00CE3BFB">
              <w:rPr>
                <w:rFonts w:ascii="Times New Roman" w:hAnsi="Times New Roman"/>
                <w:color w:val="000000"/>
                <w:sz w:val="20"/>
                <w:szCs w:val="20"/>
              </w:rPr>
              <w:t xml:space="preserve">1 </w:t>
            </w:r>
          </w:p>
        </w:tc>
      </w:tr>
      <w:tr w:rsidR="00297829" w:rsidRPr="00A85ED5" w14:paraId="052AB6B9" w14:textId="77777777" w:rsidTr="00DC7D34">
        <w:trPr>
          <w:trHeight w:val="300"/>
        </w:trPr>
        <w:tc>
          <w:tcPr>
            <w:tcW w:w="1791" w:type="dxa"/>
            <w:vAlign w:val="center"/>
            <w:hideMark/>
          </w:tcPr>
          <w:p w14:paraId="07EDB453"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Recordkeeping</w:t>
            </w:r>
          </w:p>
        </w:tc>
        <w:tc>
          <w:tcPr>
            <w:tcW w:w="876" w:type="dxa"/>
            <w:tcBorders>
              <w:right w:val="dotted" w:sz="4" w:space="0" w:color="auto"/>
            </w:tcBorders>
            <w:vAlign w:val="center"/>
            <w:hideMark/>
          </w:tcPr>
          <w:p w14:paraId="452B84DB" w14:textId="276A269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3194A1F2" w14:textId="044C433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w:t>
            </w:r>
            <w:r w:rsidR="008837D3">
              <w:rPr>
                <w:rFonts w:ascii="Times New Roman" w:hAnsi="Times New Roman"/>
                <w:color w:val="000000"/>
                <w:sz w:val="20"/>
                <w:szCs w:val="20"/>
              </w:rPr>
              <w:t>5</w:t>
            </w:r>
            <w:r w:rsidRPr="00CE3BFB">
              <w:rPr>
                <w:rFonts w:ascii="Times New Roman" w:hAnsi="Times New Roman"/>
                <w:color w:val="000000"/>
                <w:sz w:val="20"/>
                <w:szCs w:val="20"/>
              </w:rPr>
              <w:t>0</w:t>
            </w:r>
          </w:p>
        </w:tc>
        <w:tc>
          <w:tcPr>
            <w:tcW w:w="876" w:type="dxa"/>
            <w:tcBorders>
              <w:right w:val="dotted" w:sz="4" w:space="0" w:color="auto"/>
            </w:tcBorders>
            <w:vAlign w:val="center"/>
            <w:hideMark/>
          </w:tcPr>
          <w:p w14:paraId="2E159955" w14:textId="26DD0BC1"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0DA8123F"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0.50</w:t>
            </w:r>
          </w:p>
        </w:tc>
        <w:tc>
          <w:tcPr>
            <w:tcW w:w="876" w:type="dxa"/>
            <w:tcBorders>
              <w:right w:val="dotted" w:sz="4" w:space="0" w:color="auto"/>
            </w:tcBorders>
            <w:vAlign w:val="center"/>
            <w:hideMark/>
          </w:tcPr>
          <w:p w14:paraId="03D0AF7E" w14:textId="39F40EF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77E91584" w14:textId="762D95E3"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w:t>
            </w:r>
            <w:r w:rsidR="0035208B">
              <w:rPr>
                <w:rFonts w:ascii="Times New Roman" w:hAnsi="Times New Roman"/>
                <w:color w:val="000000"/>
                <w:sz w:val="20"/>
                <w:szCs w:val="20"/>
              </w:rPr>
              <w:t>5</w:t>
            </w:r>
            <w:r w:rsidRPr="00CE3BFB">
              <w:rPr>
                <w:rFonts w:ascii="Times New Roman" w:hAnsi="Times New Roman"/>
                <w:color w:val="000000"/>
                <w:sz w:val="20"/>
                <w:szCs w:val="20"/>
              </w:rPr>
              <w:t>0</w:t>
            </w:r>
          </w:p>
        </w:tc>
        <w:tc>
          <w:tcPr>
            <w:tcW w:w="978" w:type="dxa"/>
            <w:vAlign w:val="center"/>
            <w:hideMark/>
          </w:tcPr>
          <w:p w14:paraId="43EB5141" w14:textId="5012279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56</w:t>
            </w:r>
          </w:p>
        </w:tc>
        <w:tc>
          <w:tcPr>
            <w:tcW w:w="859" w:type="dxa"/>
            <w:vAlign w:val="center"/>
            <w:hideMark/>
          </w:tcPr>
          <w:p w14:paraId="3598FE76"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 </w:t>
            </w:r>
          </w:p>
        </w:tc>
        <w:tc>
          <w:tcPr>
            <w:tcW w:w="1094" w:type="dxa"/>
            <w:vAlign w:val="center"/>
            <w:hideMark/>
          </w:tcPr>
          <w:p w14:paraId="4966B229" w14:textId="17CDC37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56</w:t>
            </w:r>
            <w:r w:rsidRPr="00CE3BFB">
              <w:rPr>
                <w:rFonts w:ascii="Times New Roman" w:hAnsi="Times New Roman"/>
                <w:color w:val="000000"/>
                <w:sz w:val="20"/>
                <w:szCs w:val="20"/>
              </w:rPr>
              <w:t xml:space="preserve"> </w:t>
            </w:r>
          </w:p>
        </w:tc>
        <w:tc>
          <w:tcPr>
            <w:tcW w:w="1242" w:type="dxa"/>
            <w:vAlign w:val="center"/>
            <w:hideMark/>
          </w:tcPr>
          <w:p w14:paraId="03CD98B4"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0167E1A6" w14:textId="3E18262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5</w:t>
            </w:r>
            <w:r w:rsidRPr="00CE3BFB">
              <w:rPr>
                <w:rFonts w:ascii="Times New Roman" w:hAnsi="Times New Roman"/>
                <w:color w:val="000000"/>
                <w:sz w:val="20"/>
                <w:szCs w:val="20"/>
              </w:rPr>
              <w:t xml:space="preserve">6 </w:t>
            </w:r>
          </w:p>
        </w:tc>
        <w:tc>
          <w:tcPr>
            <w:tcW w:w="1080" w:type="dxa"/>
            <w:noWrap/>
            <w:vAlign w:val="center"/>
            <w:hideMark/>
          </w:tcPr>
          <w:p w14:paraId="09484FE3"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362D5BE2" w14:textId="69903AF4"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5</w:t>
            </w:r>
            <w:r w:rsidRPr="00CE3BFB">
              <w:rPr>
                <w:rFonts w:ascii="Times New Roman" w:hAnsi="Times New Roman"/>
                <w:color w:val="000000"/>
                <w:sz w:val="20"/>
                <w:szCs w:val="20"/>
              </w:rPr>
              <w:t xml:space="preserve">6 </w:t>
            </w:r>
          </w:p>
        </w:tc>
      </w:tr>
      <w:tr w:rsidR="00297829" w:rsidRPr="00A85ED5" w14:paraId="3E3357A5" w14:textId="77777777" w:rsidTr="00DC7D34">
        <w:trPr>
          <w:trHeight w:val="300"/>
        </w:trPr>
        <w:tc>
          <w:tcPr>
            <w:tcW w:w="1791" w:type="dxa"/>
            <w:vAlign w:val="center"/>
            <w:hideMark/>
          </w:tcPr>
          <w:p w14:paraId="52B08942"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CDX Registration</w:t>
            </w:r>
          </w:p>
        </w:tc>
        <w:tc>
          <w:tcPr>
            <w:tcW w:w="876" w:type="dxa"/>
            <w:tcBorders>
              <w:right w:val="dotted" w:sz="4" w:space="0" w:color="auto"/>
            </w:tcBorders>
            <w:vAlign w:val="center"/>
            <w:hideMark/>
          </w:tcPr>
          <w:p w14:paraId="598E8FB4" w14:textId="539B44D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4D2BC75A"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238BB52B" w14:textId="2B6AB8E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41B1F48F" w14:textId="2DA8000E" w:rsidR="00CE3BFB" w:rsidRPr="00CE3BFB" w:rsidRDefault="008837D3" w:rsidP="00CE3BFB">
            <w:pPr>
              <w:spacing w:after="0"/>
              <w:jc w:val="center"/>
              <w:rPr>
                <w:rFonts w:ascii="Times New Roman" w:hAnsi="Times New Roman"/>
                <w:bCs/>
                <w:sz w:val="20"/>
                <w:szCs w:val="20"/>
              </w:rPr>
            </w:pPr>
            <w:r>
              <w:rPr>
                <w:rFonts w:ascii="Times New Roman" w:hAnsi="Times New Roman"/>
                <w:color w:val="000000"/>
                <w:sz w:val="20"/>
                <w:szCs w:val="20"/>
              </w:rPr>
              <w:t>2</w:t>
            </w:r>
          </w:p>
        </w:tc>
        <w:tc>
          <w:tcPr>
            <w:tcW w:w="876" w:type="dxa"/>
            <w:tcBorders>
              <w:right w:val="dotted" w:sz="4" w:space="0" w:color="auto"/>
            </w:tcBorders>
            <w:vAlign w:val="center"/>
            <w:hideMark/>
          </w:tcPr>
          <w:p w14:paraId="62FFE5CB" w14:textId="55C7D02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0E1F8067"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1.48</w:t>
            </w:r>
          </w:p>
        </w:tc>
        <w:tc>
          <w:tcPr>
            <w:tcW w:w="978" w:type="dxa"/>
            <w:vAlign w:val="center"/>
            <w:hideMark/>
          </w:tcPr>
          <w:p w14:paraId="698DB938" w14:textId="5C76A3F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269</w:t>
            </w:r>
          </w:p>
        </w:tc>
        <w:tc>
          <w:tcPr>
            <w:tcW w:w="859" w:type="dxa"/>
            <w:vAlign w:val="center"/>
            <w:hideMark/>
          </w:tcPr>
          <w:p w14:paraId="7D079652"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$2.30</w:t>
            </w:r>
          </w:p>
        </w:tc>
        <w:tc>
          <w:tcPr>
            <w:tcW w:w="1094" w:type="dxa"/>
            <w:vAlign w:val="center"/>
            <w:hideMark/>
          </w:tcPr>
          <w:p w14:paraId="271EC718" w14:textId="1C286273"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272</w:t>
            </w:r>
            <w:r w:rsidRPr="00CE3BFB">
              <w:rPr>
                <w:rFonts w:ascii="Times New Roman" w:hAnsi="Times New Roman"/>
                <w:color w:val="000000"/>
                <w:sz w:val="20"/>
                <w:szCs w:val="20"/>
              </w:rPr>
              <w:t xml:space="preserve"> </w:t>
            </w:r>
          </w:p>
        </w:tc>
        <w:tc>
          <w:tcPr>
            <w:tcW w:w="1242" w:type="dxa"/>
            <w:vAlign w:val="center"/>
            <w:hideMark/>
          </w:tcPr>
          <w:p w14:paraId="62C8AE92"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47DE027C" w14:textId="565D336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272</w:t>
            </w:r>
            <w:r w:rsidRPr="00CE3BFB">
              <w:rPr>
                <w:rFonts w:ascii="Times New Roman" w:hAnsi="Times New Roman"/>
                <w:color w:val="000000"/>
                <w:sz w:val="20"/>
                <w:szCs w:val="20"/>
              </w:rPr>
              <w:t xml:space="preserve"> </w:t>
            </w:r>
          </w:p>
        </w:tc>
        <w:tc>
          <w:tcPr>
            <w:tcW w:w="1080" w:type="dxa"/>
            <w:noWrap/>
            <w:vAlign w:val="center"/>
            <w:hideMark/>
          </w:tcPr>
          <w:p w14:paraId="2B123B05"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756EFED6" w14:textId="57B91B35"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w:t>
            </w:r>
            <w:r w:rsidR="008837D3">
              <w:rPr>
                <w:rFonts w:ascii="Times New Roman" w:hAnsi="Times New Roman"/>
                <w:color w:val="000000"/>
                <w:sz w:val="20"/>
                <w:szCs w:val="20"/>
              </w:rPr>
              <w:t>272</w:t>
            </w:r>
            <w:r w:rsidRPr="00CE3BFB">
              <w:rPr>
                <w:rFonts w:ascii="Times New Roman" w:hAnsi="Times New Roman"/>
                <w:color w:val="000000"/>
                <w:sz w:val="20"/>
                <w:szCs w:val="20"/>
              </w:rPr>
              <w:t xml:space="preserve"> </w:t>
            </w:r>
          </w:p>
        </w:tc>
      </w:tr>
      <w:tr w:rsidR="00297829" w:rsidRPr="00A85ED5" w14:paraId="364114EB" w14:textId="77777777" w:rsidTr="00DC7D34">
        <w:trPr>
          <w:trHeight w:val="600"/>
        </w:trPr>
        <w:tc>
          <w:tcPr>
            <w:tcW w:w="1791" w:type="dxa"/>
            <w:vAlign w:val="center"/>
            <w:hideMark/>
          </w:tcPr>
          <w:p w14:paraId="52B6312D"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Report Submission</w:t>
            </w:r>
          </w:p>
        </w:tc>
        <w:tc>
          <w:tcPr>
            <w:tcW w:w="876" w:type="dxa"/>
            <w:tcBorders>
              <w:right w:val="dotted" w:sz="4" w:space="0" w:color="auto"/>
            </w:tcBorders>
            <w:vAlign w:val="center"/>
            <w:hideMark/>
          </w:tcPr>
          <w:p w14:paraId="32897C31" w14:textId="738291E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w:t>
            </w:r>
            <w:r w:rsidR="00DC1CBD">
              <w:rPr>
                <w:rFonts w:ascii="Times New Roman" w:hAnsi="Times New Roman"/>
                <w:color w:val="000000"/>
                <w:sz w:val="20"/>
                <w:szCs w:val="20"/>
              </w:rPr>
              <w:t>4</w:t>
            </w:r>
            <w:r w:rsidRPr="00CE3BFB">
              <w:rPr>
                <w:rFonts w:ascii="Times New Roman" w:hAnsi="Times New Roman"/>
                <w:color w:val="000000"/>
                <w:sz w:val="20"/>
                <w:szCs w:val="20"/>
              </w:rPr>
              <w:t>.</w:t>
            </w:r>
            <w:r w:rsidR="0035208B">
              <w:rPr>
                <w:rFonts w:ascii="Times New Roman" w:hAnsi="Times New Roman"/>
                <w:color w:val="000000"/>
                <w:sz w:val="20"/>
                <w:szCs w:val="20"/>
              </w:rPr>
              <w:t>99</w:t>
            </w:r>
          </w:p>
        </w:tc>
        <w:tc>
          <w:tcPr>
            <w:tcW w:w="644" w:type="dxa"/>
            <w:tcBorders>
              <w:left w:val="dotted" w:sz="4" w:space="0" w:color="auto"/>
            </w:tcBorders>
            <w:vAlign w:val="center"/>
            <w:hideMark/>
          </w:tcPr>
          <w:p w14:paraId="5F6E2C68"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0.05</w:t>
            </w:r>
          </w:p>
        </w:tc>
        <w:tc>
          <w:tcPr>
            <w:tcW w:w="876" w:type="dxa"/>
            <w:tcBorders>
              <w:right w:val="dotted" w:sz="4" w:space="0" w:color="auto"/>
            </w:tcBorders>
            <w:vAlign w:val="center"/>
            <w:hideMark/>
          </w:tcPr>
          <w:p w14:paraId="20AA6BFF" w14:textId="4E3AA73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w:t>
            </w:r>
            <w:r w:rsidR="0035208B">
              <w:rPr>
                <w:rFonts w:ascii="Times New Roman" w:hAnsi="Times New Roman"/>
                <w:color w:val="000000"/>
                <w:sz w:val="20"/>
                <w:szCs w:val="20"/>
              </w:rPr>
              <w:t>7.94</w:t>
            </w:r>
          </w:p>
        </w:tc>
        <w:tc>
          <w:tcPr>
            <w:tcW w:w="636" w:type="dxa"/>
            <w:tcBorders>
              <w:left w:val="dotted" w:sz="4" w:space="0" w:color="auto"/>
            </w:tcBorders>
            <w:vAlign w:val="center"/>
            <w:hideMark/>
          </w:tcPr>
          <w:p w14:paraId="44FDE3C9"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5B18812A" w14:textId="01CA570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w:t>
            </w:r>
            <w:r w:rsidR="0035208B">
              <w:rPr>
                <w:rFonts w:ascii="Times New Roman" w:hAnsi="Times New Roman"/>
                <w:color w:val="000000"/>
                <w:sz w:val="20"/>
                <w:szCs w:val="20"/>
              </w:rPr>
              <w:t>76.67</w:t>
            </w:r>
          </w:p>
        </w:tc>
        <w:tc>
          <w:tcPr>
            <w:tcW w:w="636" w:type="dxa"/>
            <w:tcBorders>
              <w:left w:val="dotted" w:sz="4" w:space="0" w:color="auto"/>
            </w:tcBorders>
            <w:vAlign w:val="center"/>
            <w:hideMark/>
          </w:tcPr>
          <w:p w14:paraId="56201EB8"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0.50</w:t>
            </w:r>
          </w:p>
        </w:tc>
        <w:tc>
          <w:tcPr>
            <w:tcW w:w="978" w:type="dxa"/>
            <w:vAlign w:val="center"/>
            <w:hideMark/>
          </w:tcPr>
          <w:p w14:paraId="2947595A" w14:textId="65A0B731"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w:t>
            </w:r>
            <w:r w:rsidR="008837D3">
              <w:rPr>
                <w:rFonts w:ascii="Times New Roman" w:hAnsi="Times New Roman"/>
                <w:color w:val="000000"/>
                <w:sz w:val="20"/>
                <w:szCs w:val="20"/>
              </w:rPr>
              <w:t>0</w:t>
            </w:r>
          </w:p>
        </w:tc>
        <w:tc>
          <w:tcPr>
            <w:tcW w:w="859" w:type="dxa"/>
            <w:vAlign w:val="center"/>
            <w:hideMark/>
          </w:tcPr>
          <w:p w14:paraId="313BA9BD"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58EB7B8B" w14:textId="17FB66E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w:t>
            </w:r>
            <w:r w:rsidR="008837D3">
              <w:rPr>
                <w:rFonts w:ascii="Times New Roman" w:hAnsi="Times New Roman"/>
                <w:color w:val="000000"/>
                <w:sz w:val="20"/>
                <w:szCs w:val="20"/>
              </w:rPr>
              <w:t>0</w:t>
            </w:r>
            <w:r w:rsidRPr="00CE3BFB">
              <w:rPr>
                <w:rFonts w:ascii="Times New Roman" w:hAnsi="Times New Roman"/>
                <w:color w:val="000000"/>
                <w:sz w:val="20"/>
                <w:szCs w:val="20"/>
              </w:rPr>
              <w:t xml:space="preserve"> </w:t>
            </w:r>
          </w:p>
        </w:tc>
        <w:tc>
          <w:tcPr>
            <w:tcW w:w="1242" w:type="dxa"/>
            <w:vAlign w:val="center"/>
            <w:hideMark/>
          </w:tcPr>
          <w:p w14:paraId="5CEF7310"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691E1868" w14:textId="5CC33F0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w:t>
            </w:r>
            <w:r w:rsidR="008837D3">
              <w:rPr>
                <w:rFonts w:ascii="Times New Roman" w:hAnsi="Times New Roman"/>
                <w:color w:val="000000"/>
                <w:sz w:val="20"/>
                <w:szCs w:val="20"/>
              </w:rPr>
              <w:t>0</w:t>
            </w:r>
            <w:r w:rsidRPr="00CE3BFB">
              <w:rPr>
                <w:rFonts w:ascii="Times New Roman" w:hAnsi="Times New Roman"/>
                <w:color w:val="000000"/>
                <w:sz w:val="20"/>
                <w:szCs w:val="20"/>
              </w:rPr>
              <w:t xml:space="preserve"> </w:t>
            </w:r>
          </w:p>
        </w:tc>
        <w:tc>
          <w:tcPr>
            <w:tcW w:w="1080" w:type="dxa"/>
            <w:noWrap/>
            <w:vAlign w:val="center"/>
            <w:hideMark/>
          </w:tcPr>
          <w:p w14:paraId="429B47B1" w14:textId="7777777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5A1A1915" w14:textId="03F534B1"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$4</w:t>
            </w:r>
            <w:r w:rsidR="008837D3">
              <w:rPr>
                <w:rFonts w:ascii="Times New Roman" w:hAnsi="Times New Roman"/>
                <w:color w:val="000000"/>
                <w:sz w:val="20"/>
                <w:szCs w:val="20"/>
              </w:rPr>
              <w:t>0</w:t>
            </w:r>
            <w:r w:rsidRPr="00CE3BFB">
              <w:rPr>
                <w:rFonts w:ascii="Times New Roman" w:hAnsi="Times New Roman"/>
                <w:color w:val="000000"/>
                <w:sz w:val="20"/>
                <w:szCs w:val="20"/>
              </w:rPr>
              <w:t xml:space="preserve"> </w:t>
            </w:r>
          </w:p>
        </w:tc>
      </w:tr>
      <w:tr w:rsidR="00297829" w:rsidRPr="00A85ED5" w14:paraId="157029C8" w14:textId="77777777" w:rsidTr="00DC7D34">
        <w:trPr>
          <w:trHeight w:val="70"/>
        </w:trPr>
        <w:tc>
          <w:tcPr>
            <w:tcW w:w="6335" w:type="dxa"/>
            <w:gridSpan w:val="7"/>
            <w:vAlign w:val="center"/>
            <w:hideMark/>
          </w:tcPr>
          <w:p w14:paraId="79CC507D" w14:textId="77777777" w:rsidR="00CE3BFB" w:rsidRPr="0061312A" w:rsidRDefault="00CE3BFB" w:rsidP="00CE3BFB">
            <w:pPr>
              <w:spacing w:after="0"/>
              <w:jc w:val="right"/>
              <w:rPr>
                <w:rFonts w:ascii="Times New Roman" w:hAnsi="Times New Roman"/>
                <w:bCs/>
              </w:rPr>
            </w:pPr>
            <w:r w:rsidRPr="0061312A">
              <w:rPr>
                <w:rFonts w:ascii="Times New Roman" w:hAnsi="Times New Roman"/>
                <w:b/>
                <w:bCs/>
              </w:rPr>
              <w:t>TOTAL</w:t>
            </w:r>
          </w:p>
        </w:tc>
        <w:tc>
          <w:tcPr>
            <w:tcW w:w="978" w:type="dxa"/>
            <w:vAlign w:val="center"/>
            <w:hideMark/>
          </w:tcPr>
          <w:p w14:paraId="2E38B270" w14:textId="05191A4A"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$2,</w:t>
            </w:r>
            <w:r w:rsidR="008837D3">
              <w:rPr>
                <w:rFonts w:ascii="Times New Roman" w:hAnsi="Times New Roman"/>
                <w:b/>
                <w:bCs/>
                <w:color w:val="000000"/>
                <w:sz w:val="20"/>
              </w:rPr>
              <w:t>530</w:t>
            </w:r>
          </w:p>
        </w:tc>
        <w:tc>
          <w:tcPr>
            <w:tcW w:w="859" w:type="dxa"/>
            <w:vAlign w:val="center"/>
            <w:hideMark/>
          </w:tcPr>
          <w:p w14:paraId="5022433C" w14:textId="77777777"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$2.30</w:t>
            </w:r>
          </w:p>
        </w:tc>
        <w:tc>
          <w:tcPr>
            <w:tcW w:w="1094" w:type="dxa"/>
            <w:vAlign w:val="center"/>
            <w:hideMark/>
          </w:tcPr>
          <w:p w14:paraId="4D7A38C0" w14:textId="16A1B25C"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$2,</w:t>
            </w:r>
            <w:r w:rsidR="00A91655">
              <w:rPr>
                <w:rFonts w:ascii="Times New Roman" w:hAnsi="Times New Roman"/>
                <w:b/>
                <w:bCs/>
                <w:color w:val="000000"/>
                <w:sz w:val="20"/>
              </w:rPr>
              <w:t>533</w:t>
            </w:r>
            <w:r w:rsidRPr="00CE3BFB">
              <w:rPr>
                <w:rFonts w:ascii="Times New Roman" w:hAnsi="Times New Roman"/>
                <w:b/>
                <w:bCs/>
                <w:color w:val="000000"/>
                <w:sz w:val="20"/>
              </w:rPr>
              <w:t xml:space="preserve"> </w:t>
            </w:r>
          </w:p>
        </w:tc>
        <w:tc>
          <w:tcPr>
            <w:tcW w:w="1242" w:type="dxa"/>
            <w:vAlign w:val="center"/>
            <w:hideMark/>
          </w:tcPr>
          <w:p w14:paraId="64E0036D" w14:textId="77777777" w:rsidR="00CE3BFB" w:rsidRPr="00CE3BFB" w:rsidRDefault="00CE3BFB" w:rsidP="00CE3BFB">
            <w:pPr>
              <w:spacing w:after="0"/>
              <w:jc w:val="center"/>
              <w:rPr>
                <w:rFonts w:ascii="Times New Roman" w:hAnsi="Times New Roman"/>
                <w:b/>
                <w:bCs/>
                <w:sz w:val="20"/>
              </w:rPr>
            </w:pPr>
            <w:r w:rsidRPr="00DC7D34">
              <w:rPr>
                <w:rFonts w:ascii="Times New Roman" w:hAnsi="Times New Roman"/>
                <w:b/>
                <w:color w:val="000000"/>
                <w:sz w:val="20"/>
              </w:rPr>
              <w:t>1 </w:t>
            </w:r>
          </w:p>
        </w:tc>
        <w:tc>
          <w:tcPr>
            <w:tcW w:w="1061" w:type="dxa"/>
            <w:vAlign w:val="center"/>
            <w:hideMark/>
          </w:tcPr>
          <w:p w14:paraId="00F05919" w14:textId="03F72185" w:rsidR="00CE3BFB" w:rsidRPr="00DC7D34" w:rsidRDefault="00CE3BFB" w:rsidP="00CE3BFB">
            <w:pPr>
              <w:spacing w:after="0"/>
              <w:jc w:val="center"/>
              <w:rPr>
                <w:rFonts w:ascii="Times New Roman" w:hAnsi="Times New Roman"/>
                <w:b/>
                <w:bCs/>
                <w:sz w:val="20"/>
              </w:rPr>
            </w:pPr>
            <w:r w:rsidRPr="00DC7D34">
              <w:rPr>
                <w:rFonts w:ascii="Times New Roman" w:hAnsi="Times New Roman"/>
                <w:b/>
                <w:bCs/>
                <w:color w:val="000000"/>
                <w:sz w:val="20"/>
              </w:rPr>
              <w:t>$2,</w:t>
            </w:r>
            <w:r w:rsidR="00A91655">
              <w:rPr>
                <w:rFonts w:ascii="Times New Roman" w:hAnsi="Times New Roman"/>
                <w:b/>
                <w:bCs/>
                <w:color w:val="000000"/>
                <w:sz w:val="20"/>
              </w:rPr>
              <w:t>533</w:t>
            </w:r>
            <w:r w:rsidRPr="00DC7D34">
              <w:rPr>
                <w:rFonts w:ascii="Times New Roman" w:hAnsi="Times New Roman"/>
                <w:b/>
                <w:bCs/>
                <w:color w:val="000000"/>
                <w:sz w:val="20"/>
              </w:rPr>
              <w:t xml:space="preserve"> </w:t>
            </w:r>
          </w:p>
        </w:tc>
        <w:tc>
          <w:tcPr>
            <w:tcW w:w="1080" w:type="dxa"/>
            <w:noWrap/>
            <w:vAlign w:val="center"/>
            <w:hideMark/>
          </w:tcPr>
          <w:p w14:paraId="1F96C829" w14:textId="77777777" w:rsidR="00CE3BFB" w:rsidRPr="00CE3BFB" w:rsidRDefault="00CE3BFB" w:rsidP="00CE3BFB">
            <w:pPr>
              <w:spacing w:after="0"/>
              <w:jc w:val="center"/>
              <w:rPr>
                <w:rFonts w:ascii="Times New Roman" w:hAnsi="Times New Roman"/>
                <w:b/>
                <w:bCs/>
                <w:sz w:val="20"/>
              </w:rPr>
            </w:pPr>
            <w:r w:rsidRPr="00DC7D34">
              <w:rPr>
                <w:rFonts w:ascii="Times New Roman" w:hAnsi="Times New Roman"/>
                <w:b/>
                <w:color w:val="000000"/>
                <w:sz w:val="20"/>
              </w:rPr>
              <w:t>1 </w:t>
            </w:r>
          </w:p>
        </w:tc>
        <w:tc>
          <w:tcPr>
            <w:tcW w:w="1206" w:type="dxa"/>
            <w:vAlign w:val="center"/>
            <w:hideMark/>
          </w:tcPr>
          <w:p w14:paraId="76898996" w14:textId="3E84CE31"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$2,</w:t>
            </w:r>
            <w:r w:rsidR="00A91655">
              <w:rPr>
                <w:rFonts w:ascii="Times New Roman" w:hAnsi="Times New Roman"/>
                <w:b/>
                <w:bCs/>
                <w:color w:val="000000"/>
                <w:sz w:val="20"/>
              </w:rPr>
              <w:t>533</w:t>
            </w:r>
            <w:r w:rsidRPr="00CE3BFB">
              <w:rPr>
                <w:rFonts w:ascii="Times New Roman" w:hAnsi="Times New Roman"/>
                <w:b/>
                <w:bCs/>
                <w:color w:val="000000"/>
                <w:sz w:val="20"/>
              </w:rPr>
              <w:t xml:space="preserve"> </w:t>
            </w:r>
          </w:p>
        </w:tc>
      </w:tr>
    </w:tbl>
    <w:p w14:paraId="0AFF9748" w14:textId="77777777" w:rsidR="00A85ED5" w:rsidRDefault="00A85ED5">
      <w:pPr>
        <w:rPr>
          <w:b/>
          <w:bCs/>
        </w:rPr>
        <w:sectPr w:rsidR="00A85ED5" w:rsidSect="00665511">
          <w:pgSz w:w="15840" w:h="12240" w:orient="landscape"/>
          <w:pgMar w:top="1440" w:right="1440" w:bottom="1440" w:left="1440" w:header="720" w:footer="720" w:gutter="0"/>
          <w:cols w:space="720"/>
          <w:docGrid w:linePitch="360"/>
        </w:sectPr>
      </w:pPr>
    </w:p>
    <w:bookmarkEnd w:id="9"/>
    <w:p w14:paraId="0A5B4C6C" w14:textId="5A32F324" w:rsidR="00F5104E" w:rsidRPr="007F3CAE" w:rsidRDefault="00F5104E" w:rsidP="002B3D56">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average respondent is assumed to spend $</w:t>
      </w:r>
      <w:r w:rsidR="00EE0A54">
        <w:rPr>
          <w:rFonts w:ascii="Times New Roman" w:hAnsi="Times New Roman"/>
          <w:sz w:val="24"/>
          <w:szCs w:val="24"/>
        </w:rPr>
        <w:t>2,</w:t>
      </w:r>
      <w:r w:rsidR="00A91655">
        <w:rPr>
          <w:rFonts w:ascii="Times New Roman" w:hAnsi="Times New Roman"/>
          <w:sz w:val="24"/>
          <w:szCs w:val="24"/>
        </w:rPr>
        <w:t>533</w:t>
      </w:r>
      <w:r w:rsidR="00EE0A54">
        <w:rPr>
          <w:rFonts w:ascii="Times New Roman" w:hAnsi="Times New Roman"/>
          <w:sz w:val="24"/>
          <w:szCs w:val="24"/>
        </w:rPr>
        <w:t xml:space="preserve"> </w:t>
      </w:r>
      <w:r w:rsidRPr="007F3CAE">
        <w:rPr>
          <w:rFonts w:ascii="Times New Roman" w:hAnsi="Times New Roman"/>
          <w:sz w:val="24"/>
          <w:szCs w:val="24"/>
        </w:rPr>
        <w:t>per report, or $</w:t>
      </w:r>
      <w:r w:rsidR="00EE0A54">
        <w:rPr>
          <w:rFonts w:ascii="Times New Roman" w:hAnsi="Times New Roman"/>
          <w:sz w:val="24"/>
          <w:szCs w:val="24"/>
        </w:rPr>
        <w:t>2,</w:t>
      </w:r>
      <w:r w:rsidR="00A91655">
        <w:rPr>
          <w:rFonts w:ascii="Times New Roman" w:hAnsi="Times New Roman"/>
          <w:sz w:val="24"/>
          <w:szCs w:val="24"/>
        </w:rPr>
        <w:t>533</w:t>
      </w:r>
      <w:r w:rsidR="00EE0A54">
        <w:rPr>
          <w:rFonts w:ascii="Times New Roman" w:hAnsi="Times New Roman"/>
          <w:sz w:val="24"/>
          <w:szCs w:val="24"/>
        </w:rPr>
        <w:t xml:space="preserve"> </w:t>
      </w:r>
      <w:r w:rsidRPr="007F3CAE">
        <w:rPr>
          <w:rFonts w:ascii="Times New Roman" w:hAnsi="Times New Roman"/>
          <w:sz w:val="24"/>
          <w:szCs w:val="24"/>
        </w:rPr>
        <w:t>in total</w:t>
      </w:r>
      <w:r w:rsidR="00CC21BD" w:rsidRPr="007F3CAE">
        <w:rPr>
          <w:rFonts w:ascii="Times New Roman" w:hAnsi="Times New Roman"/>
          <w:sz w:val="24"/>
          <w:szCs w:val="24"/>
        </w:rPr>
        <w:t xml:space="preserve"> </w:t>
      </w:r>
      <w:r w:rsidRPr="007F3CAE">
        <w:rPr>
          <w:rFonts w:ascii="Times New Roman" w:hAnsi="Times New Roman"/>
          <w:sz w:val="24"/>
          <w:szCs w:val="24"/>
        </w:rPr>
        <w:t xml:space="preserve">per respondent per year. As noted earlier, the Agency is estimating an average of </w:t>
      </w:r>
      <w:r w:rsidR="00B647B7">
        <w:rPr>
          <w:rFonts w:ascii="Times New Roman" w:hAnsi="Times New Roman"/>
          <w:sz w:val="24"/>
          <w:szCs w:val="24"/>
        </w:rPr>
        <w:t>1</w:t>
      </w:r>
      <w:r w:rsidR="00BA63C7" w:rsidRPr="007F3CAE">
        <w:rPr>
          <w:rFonts w:ascii="Times New Roman" w:hAnsi="Times New Roman"/>
          <w:sz w:val="24"/>
          <w:szCs w:val="24"/>
        </w:rPr>
        <w:t xml:space="preserve"> </w:t>
      </w:r>
      <w:r w:rsidRPr="007F3CAE">
        <w:rPr>
          <w:rFonts w:ascii="Times New Roman" w:hAnsi="Times New Roman"/>
          <w:sz w:val="24"/>
          <w:szCs w:val="24"/>
        </w:rPr>
        <w:t xml:space="preserve">reporting sites and </w:t>
      </w:r>
      <w:r w:rsidR="00B647B7">
        <w:rPr>
          <w:rFonts w:ascii="Times New Roman" w:hAnsi="Times New Roman"/>
          <w:sz w:val="24"/>
          <w:szCs w:val="24"/>
        </w:rPr>
        <w:t>1</w:t>
      </w:r>
      <w:r w:rsidR="00B647B7" w:rsidRPr="007F3CAE">
        <w:rPr>
          <w:rFonts w:ascii="Times New Roman" w:hAnsi="Times New Roman"/>
          <w:sz w:val="24"/>
          <w:szCs w:val="24"/>
        </w:rPr>
        <w:t xml:space="preserve"> </w:t>
      </w:r>
      <w:r w:rsidRPr="007F3CAE">
        <w:rPr>
          <w:rFonts w:ascii="Times New Roman" w:hAnsi="Times New Roman"/>
          <w:sz w:val="24"/>
          <w:szCs w:val="24"/>
        </w:rPr>
        <w:t xml:space="preserve">reports per year. </w:t>
      </w:r>
      <w:r w:rsidR="00DF5CCB">
        <w:rPr>
          <w:rFonts w:ascii="Times New Roman" w:hAnsi="Times New Roman"/>
          <w:sz w:val="24"/>
          <w:szCs w:val="24"/>
        </w:rPr>
        <w:t>As a result</w:t>
      </w:r>
      <w:r w:rsidRPr="007F3CAE">
        <w:rPr>
          <w:rFonts w:ascii="Times New Roman" w:hAnsi="Times New Roman"/>
          <w:sz w:val="24"/>
          <w:szCs w:val="24"/>
        </w:rPr>
        <w:t>,</w:t>
      </w:r>
      <w:r w:rsidR="00DF5CCB">
        <w:rPr>
          <w:rFonts w:ascii="Times New Roman" w:hAnsi="Times New Roman"/>
          <w:sz w:val="24"/>
          <w:szCs w:val="24"/>
        </w:rPr>
        <w:t xml:space="preserve"> total industry cost for complying with PAIR </w:t>
      </w:r>
      <w:r w:rsidR="00341F2D" w:rsidRPr="005A40B0">
        <w:rPr>
          <w:rFonts w:ascii="Times New Roman" w:hAnsi="Times New Roman"/>
          <w:sz w:val="24"/>
          <w:szCs w:val="24"/>
        </w:rPr>
        <w:t>and subpart B of 40 CFR 766</w:t>
      </w:r>
      <w:r w:rsidR="00341F2D">
        <w:rPr>
          <w:rFonts w:ascii="Times New Roman" w:hAnsi="Times New Roman"/>
          <w:sz w:val="24"/>
          <w:szCs w:val="24"/>
        </w:rPr>
        <w:t xml:space="preserve"> </w:t>
      </w:r>
      <w:r w:rsidR="00DF5CCB">
        <w:rPr>
          <w:rFonts w:ascii="Times New Roman" w:hAnsi="Times New Roman"/>
          <w:sz w:val="24"/>
          <w:szCs w:val="24"/>
        </w:rPr>
        <w:t xml:space="preserve">rules </w:t>
      </w:r>
      <w:r w:rsidRPr="007F3CAE">
        <w:rPr>
          <w:rFonts w:ascii="Times New Roman" w:hAnsi="Times New Roman"/>
          <w:sz w:val="24"/>
          <w:szCs w:val="24"/>
        </w:rPr>
        <w:t>is</w:t>
      </w:r>
      <w:r w:rsidR="00CC21BD" w:rsidRPr="007F3CAE">
        <w:rPr>
          <w:rFonts w:ascii="Times New Roman" w:hAnsi="Times New Roman"/>
          <w:sz w:val="24"/>
          <w:szCs w:val="24"/>
        </w:rPr>
        <w:t xml:space="preserve"> </w:t>
      </w:r>
      <w:r w:rsidRPr="007F3CAE">
        <w:rPr>
          <w:rFonts w:ascii="Times New Roman" w:hAnsi="Times New Roman"/>
          <w:sz w:val="24"/>
          <w:szCs w:val="24"/>
        </w:rPr>
        <w:t xml:space="preserve">estimated </w:t>
      </w:r>
      <w:r w:rsidR="00DF5CCB">
        <w:rPr>
          <w:rFonts w:ascii="Times New Roman" w:hAnsi="Times New Roman"/>
          <w:sz w:val="24"/>
          <w:szCs w:val="24"/>
        </w:rPr>
        <w:t xml:space="preserve">to be </w:t>
      </w:r>
      <w:r w:rsidRPr="007F3CAE">
        <w:rPr>
          <w:rFonts w:ascii="Times New Roman" w:hAnsi="Times New Roman"/>
          <w:sz w:val="24"/>
          <w:szCs w:val="24"/>
        </w:rPr>
        <w:t>$</w:t>
      </w:r>
      <w:r w:rsidR="00EE0A54">
        <w:rPr>
          <w:rFonts w:ascii="Times New Roman" w:hAnsi="Times New Roman"/>
          <w:sz w:val="24"/>
          <w:szCs w:val="24"/>
        </w:rPr>
        <w:t>2,</w:t>
      </w:r>
      <w:r w:rsidR="00A91655">
        <w:rPr>
          <w:rFonts w:ascii="Times New Roman" w:hAnsi="Times New Roman"/>
          <w:sz w:val="24"/>
          <w:szCs w:val="24"/>
        </w:rPr>
        <w:t>533</w:t>
      </w:r>
      <w:r w:rsidR="00EE0A54">
        <w:rPr>
          <w:rFonts w:ascii="Times New Roman" w:hAnsi="Times New Roman"/>
          <w:sz w:val="24"/>
          <w:szCs w:val="24"/>
        </w:rPr>
        <w:t xml:space="preserve"> </w:t>
      </w:r>
      <w:r w:rsidRPr="007F3CAE">
        <w:rPr>
          <w:rFonts w:ascii="Times New Roman" w:hAnsi="Times New Roman"/>
          <w:sz w:val="24"/>
          <w:szCs w:val="24"/>
        </w:rPr>
        <w:t xml:space="preserve">per year during the period of FY </w:t>
      </w:r>
      <w:r w:rsidR="00BA63C7" w:rsidRPr="007F3CAE">
        <w:rPr>
          <w:rFonts w:ascii="Times New Roman" w:hAnsi="Times New Roman"/>
          <w:sz w:val="24"/>
          <w:szCs w:val="24"/>
        </w:rPr>
        <w:t>20</w:t>
      </w:r>
      <w:r w:rsidR="009327A1">
        <w:rPr>
          <w:rFonts w:ascii="Times New Roman" w:hAnsi="Times New Roman"/>
          <w:sz w:val="24"/>
          <w:szCs w:val="24"/>
        </w:rPr>
        <w:t>1</w:t>
      </w:r>
      <w:r w:rsidR="00BB5E4D">
        <w:rPr>
          <w:rFonts w:ascii="Times New Roman" w:hAnsi="Times New Roman"/>
          <w:sz w:val="24"/>
          <w:szCs w:val="24"/>
        </w:rPr>
        <w:t>9</w:t>
      </w:r>
      <w:r w:rsidR="00BA63C7" w:rsidRPr="007F3CAE">
        <w:rPr>
          <w:rFonts w:ascii="Times New Roman" w:hAnsi="Times New Roman"/>
          <w:sz w:val="24"/>
          <w:szCs w:val="24"/>
        </w:rPr>
        <w:t xml:space="preserve"> </w:t>
      </w:r>
      <w:r w:rsidRPr="007F3CAE">
        <w:rPr>
          <w:rFonts w:ascii="Times New Roman" w:hAnsi="Times New Roman"/>
          <w:sz w:val="24"/>
          <w:szCs w:val="24"/>
        </w:rPr>
        <w:t>through FY 20</w:t>
      </w:r>
      <w:r w:rsidR="009327A1">
        <w:rPr>
          <w:rFonts w:ascii="Times New Roman" w:hAnsi="Times New Roman"/>
          <w:sz w:val="24"/>
          <w:szCs w:val="24"/>
        </w:rPr>
        <w:t>2</w:t>
      </w:r>
      <w:r w:rsidR="00BB5E4D">
        <w:rPr>
          <w:rFonts w:ascii="Times New Roman" w:hAnsi="Times New Roman"/>
          <w:sz w:val="24"/>
          <w:szCs w:val="24"/>
        </w:rPr>
        <w:t>1</w:t>
      </w:r>
      <w:r w:rsidRPr="007F3CAE">
        <w:rPr>
          <w:rFonts w:ascii="Times New Roman" w:hAnsi="Times New Roman"/>
          <w:sz w:val="24"/>
          <w:szCs w:val="24"/>
        </w:rPr>
        <w:t>.</w:t>
      </w:r>
    </w:p>
    <w:p w14:paraId="6B8F859A" w14:textId="77777777" w:rsidR="00F5104E" w:rsidRPr="007F3CAE" w:rsidRDefault="003A43F2" w:rsidP="00CA78BE">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6(c)</w:t>
      </w:r>
      <w:r>
        <w:rPr>
          <w:rFonts w:ascii="Times New Roman" w:hAnsi="Times New Roman"/>
          <w:color w:val="auto"/>
          <w:sz w:val="24"/>
          <w:szCs w:val="24"/>
        </w:rPr>
        <w:tab/>
      </w:r>
      <w:r w:rsidR="00F5104E" w:rsidRPr="007F3CAE">
        <w:rPr>
          <w:rFonts w:ascii="Times New Roman" w:hAnsi="Times New Roman"/>
          <w:color w:val="auto"/>
          <w:sz w:val="24"/>
          <w:szCs w:val="24"/>
        </w:rPr>
        <w:t>Estimating Agency Burden and Cost</w:t>
      </w:r>
    </w:p>
    <w:p w14:paraId="7C0551E3" w14:textId="77777777" w:rsidR="003A43F2" w:rsidRDefault="003A43F2" w:rsidP="00F5104E">
      <w:pPr>
        <w:autoSpaceDE w:val="0"/>
        <w:autoSpaceDN w:val="0"/>
        <w:adjustRightInd w:val="0"/>
        <w:spacing w:after="0" w:line="240" w:lineRule="auto"/>
        <w:rPr>
          <w:rFonts w:ascii="Times New Roman" w:hAnsi="Times New Roman"/>
          <w:sz w:val="24"/>
          <w:szCs w:val="24"/>
        </w:rPr>
      </w:pPr>
    </w:p>
    <w:p w14:paraId="732375DC" w14:textId="149F4B36" w:rsidR="00F5104E" w:rsidRPr="007F3CAE" w:rsidRDefault="00F5104E" w:rsidP="00665511">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 xml:space="preserve">The FY </w:t>
      </w:r>
      <w:r w:rsidR="00A85ED5" w:rsidRPr="007F3CAE">
        <w:rPr>
          <w:rFonts w:ascii="Times New Roman" w:hAnsi="Times New Roman"/>
          <w:sz w:val="24"/>
          <w:szCs w:val="24"/>
        </w:rPr>
        <w:t>201</w:t>
      </w:r>
      <w:r w:rsidR="00CF555C">
        <w:rPr>
          <w:rFonts w:ascii="Times New Roman" w:hAnsi="Times New Roman"/>
          <w:sz w:val="24"/>
          <w:szCs w:val="24"/>
        </w:rPr>
        <w:t>8</w:t>
      </w:r>
      <w:r w:rsidR="00A85ED5" w:rsidRPr="007F3CAE">
        <w:rPr>
          <w:rFonts w:ascii="Times New Roman" w:hAnsi="Times New Roman"/>
          <w:sz w:val="24"/>
          <w:szCs w:val="24"/>
        </w:rPr>
        <w:t xml:space="preserve"> </w:t>
      </w:r>
      <w:r w:rsidRPr="007F3CAE">
        <w:rPr>
          <w:rFonts w:ascii="Times New Roman" w:hAnsi="Times New Roman"/>
          <w:sz w:val="24"/>
          <w:szCs w:val="24"/>
        </w:rPr>
        <w:t>cost to EPA of a full-time equivalent employee (FTE),</w:t>
      </w:r>
      <w:r w:rsidR="00CC21BD" w:rsidRPr="007F3CAE">
        <w:rPr>
          <w:rFonts w:ascii="Times New Roman" w:hAnsi="Times New Roman"/>
          <w:sz w:val="24"/>
          <w:szCs w:val="24"/>
        </w:rPr>
        <w:t xml:space="preserve"> </w:t>
      </w:r>
      <w:r w:rsidRPr="007F3CAE">
        <w:rPr>
          <w:rFonts w:ascii="Times New Roman" w:hAnsi="Times New Roman"/>
          <w:sz w:val="24"/>
          <w:szCs w:val="24"/>
        </w:rPr>
        <w:t>Grade 12, Step 1 in the Baltimore-Washington pay area is $</w:t>
      </w:r>
      <w:r w:rsidR="00003311">
        <w:rPr>
          <w:rFonts w:ascii="Times New Roman" w:hAnsi="Times New Roman"/>
          <w:sz w:val="24"/>
          <w:szCs w:val="24"/>
        </w:rPr>
        <w:t>81,548</w:t>
      </w:r>
      <w:r w:rsidRPr="007F3CAE">
        <w:rPr>
          <w:rFonts w:ascii="Times New Roman" w:hAnsi="Times New Roman"/>
          <w:sz w:val="24"/>
          <w:szCs w:val="24"/>
        </w:rPr>
        <w:t xml:space="preserve"> (U.S. Office of</w:t>
      </w:r>
      <w:r w:rsidR="00CC21BD" w:rsidRPr="007F3CAE">
        <w:rPr>
          <w:rFonts w:ascii="Times New Roman" w:hAnsi="Times New Roman"/>
          <w:sz w:val="24"/>
          <w:szCs w:val="24"/>
        </w:rPr>
        <w:t xml:space="preserve"> </w:t>
      </w:r>
      <w:r w:rsidRPr="007F3CAE">
        <w:rPr>
          <w:rFonts w:ascii="Times New Roman" w:hAnsi="Times New Roman"/>
          <w:sz w:val="24"/>
          <w:szCs w:val="24"/>
        </w:rPr>
        <w:t xml:space="preserve">Personnel Management Internet site at </w:t>
      </w:r>
      <w:hyperlink r:id="rId13" w:history="1">
        <w:r w:rsidR="00FC4076" w:rsidRPr="00615C51">
          <w:rPr>
            <w:rStyle w:val="Hyperlink"/>
            <w:rFonts w:ascii="Times New Roman" w:hAnsi="Times New Roman"/>
            <w:i/>
            <w:sz w:val="24"/>
            <w:szCs w:val="24"/>
          </w:rPr>
          <w:t>http://www.opm.gov</w:t>
        </w:r>
      </w:hyperlink>
      <w:r w:rsidRPr="007F3CAE">
        <w:rPr>
          <w:rFonts w:ascii="Times New Roman" w:hAnsi="Times New Roman"/>
          <w:sz w:val="24"/>
          <w:szCs w:val="24"/>
        </w:rPr>
        <w:t>). One FTE is equivalent to</w:t>
      </w:r>
      <w:r w:rsidR="00CC21BD" w:rsidRPr="007F3CAE">
        <w:rPr>
          <w:rFonts w:ascii="Times New Roman" w:hAnsi="Times New Roman"/>
          <w:sz w:val="24"/>
          <w:szCs w:val="24"/>
        </w:rPr>
        <w:t xml:space="preserve"> </w:t>
      </w:r>
      <w:r w:rsidRPr="007F3CAE">
        <w:rPr>
          <w:rFonts w:ascii="Times New Roman" w:hAnsi="Times New Roman"/>
          <w:sz w:val="24"/>
          <w:szCs w:val="24"/>
        </w:rPr>
        <w:t>2,080 hours per year. The fully loaded FTE cost is $</w:t>
      </w:r>
      <w:r w:rsidR="000130FA">
        <w:rPr>
          <w:rFonts w:ascii="Times New Roman" w:hAnsi="Times New Roman"/>
          <w:sz w:val="24"/>
          <w:szCs w:val="24"/>
        </w:rPr>
        <w:t>1</w:t>
      </w:r>
      <w:r w:rsidR="00003311">
        <w:rPr>
          <w:rFonts w:ascii="Times New Roman" w:hAnsi="Times New Roman"/>
          <w:sz w:val="24"/>
          <w:szCs w:val="24"/>
        </w:rPr>
        <w:t>3</w:t>
      </w:r>
      <w:r w:rsidR="000130FA">
        <w:rPr>
          <w:rFonts w:ascii="Times New Roman" w:hAnsi="Times New Roman"/>
          <w:sz w:val="24"/>
          <w:szCs w:val="24"/>
        </w:rPr>
        <w:t>0,</w:t>
      </w:r>
      <w:r w:rsidR="00003311">
        <w:rPr>
          <w:rFonts w:ascii="Times New Roman" w:hAnsi="Times New Roman"/>
          <w:sz w:val="24"/>
          <w:szCs w:val="24"/>
        </w:rPr>
        <w:t>477</w:t>
      </w:r>
      <w:r w:rsidRPr="007F3CAE">
        <w:rPr>
          <w:rFonts w:ascii="Times New Roman" w:hAnsi="Times New Roman"/>
          <w:sz w:val="24"/>
          <w:szCs w:val="24"/>
        </w:rPr>
        <w:t>. The annual costs per FTE</w:t>
      </w:r>
      <w:r w:rsidR="00CC21BD" w:rsidRPr="007F3CAE">
        <w:rPr>
          <w:rFonts w:ascii="Times New Roman" w:hAnsi="Times New Roman"/>
          <w:sz w:val="24"/>
          <w:szCs w:val="24"/>
        </w:rPr>
        <w:t xml:space="preserve"> </w:t>
      </w:r>
      <w:r w:rsidRPr="007F3CAE">
        <w:rPr>
          <w:rFonts w:ascii="Times New Roman" w:hAnsi="Times New Roman"/>
          <w:sz w:val="24"/>
          <w:szCs w:val="24"/>
        </w:rPr>
        <w:t>are derived by multiplying the annual pay rate by 1.6 (the benefits multiplication factor).</w:t>
      </w:r>
      <w:r w:rsidR="00242BDD">
        <w:rPr>
          <w:rFonts w:ascii="Times New Roman" w:hAnsi="Times New Roman"/>
          <w:sz w:val="24"/>
          <w:szCs w:val="24"/>
        </w:rPr>
        <w:t xml:space="preserve"> </w:t>
      </w:r>
      <w:r w:rsidRPr="007F3CAE">
        <w:rPr>
          <w:rFonts w:ascii="Times New Roman" w:hAnsi="Times New Roman"/>
          <w:sz w:val="24"/>
          <w:szCs w:val="24"/>
        </w:rPr>
        <w:t>The multiplication factor used is recommended in EPA’s Office of Policy, Planning, and</w:t>
      </w:r>
      <w:r w:rsidR="00242BDD">
        <w:rPr>
          <w:rFonts w:ascii="Times New Roman" w:hAnsi="Times New Roman"/>
          <w:sz w:val="24"/>
          <w:szCs w:val="24"/>
        </w:rPr>
        <w:t xml:space="preserve"> </w:t>
      </w:r>
      <w:r w:rsidRPr="007F3CAE">
        <w:rPr>
          <w:rFonts w:ascii="Times New Roman" w:hAnsi="Times New Roman"/>
          <w:sz w:val="24"/>
          <w:szCs w:val="24"/>
        </w:rPr>
        <w:t>Evaluation’s Instructions for Preparing Information Collection Requests (ICRs), (June 1,</w:t>
      </w:r>
      <w:r w:rsidR="00242BDD">
        <w:rPr>
          <w:rFonts w:ascii="Times New Roman" w:hAnsi="Times New Roman"/>
          <w:sz w:val="24"/>
          <w:szCs w:val="24"/>
        </w:rPr>
        <w:t xml:space="preserve"> </w:t>
      </w:r>
      <w:r w:rsidRPr="007F3CAE">
        <w:rPr>
          <w:rFonts w:ascii="Times New Roman" w:hAnsi="Times New Roman"/>
          <w:sz w:val="24"/>
          <w:szCs w:val="24"/>
        </w:rPr>
        <w:t>1992).</w:t>
      </w:r>
    </w:p>
    <w:p w14:paraId="326D77A0"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2C9314F6" w14:textId="030FAE17" w:rsidR="00F5104E" w:rsidRPr="007F3CAE" w:rsidRDefault="00F5104E" w:rsidP="003A43F2">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Data processing costs have been updated from </w:t>
      </w:r>
      <w:r w:rsidR="008967F7" w:rsidRPr="007F3CAE">
        <w:rPr>
          <w:rFonts w:ascii="Times New Roman" w:hAnsi="Times New Roman"/>
          <w:sz w:val="24"/>
          <w:szCs w:val="24"/>
        </w:rPr>
        <w:t>20</w:t>
      </w:r>
      <w:r w:rsidR="008967F7">
        <w:rPr>
          <w:rFonts w:ascii="Times New Roman" w:hAnsi="Times New Roman"/>
          <w:sz w:val="24"/>
          <w:szCs w:val="24"/>
        </w:rPr>
        <w:t>1</w:t>
      </w:r>
      <w:r w:rsidR="00003311">
        <w:rPr>
          <w:rFonts w:ascii="Times New Roman" w:hAnsi="Times New Roman"/>
          <w:sz w:val="24"/>
          <w:szCs w:val="24"/>
        </w:rPr>
        <w:t>4</w:t>
      </w:r>
      <w:r w:rsidR="008967F7" w:rsidRPr="007F3CAE">
        <w:rPr>
          <w:rFonts w:ascii="Times New Roman" w:hAnsi="Times New Roman"/>
          <w:sz w:val="24"/>
          <w:szCs w:val="24"/>
        </w:rPr>
        <w:t xml:space="preserve"> </w:t>
      </w:r>
      <w:r w:rsidRPr="007F3CAE">
        <w:rPr>
          <w:rFonts w:ascii="Times New Roman" w:hAnsi="Times New Roman"/>
          <w:sz w:val="24"/>
          <w:szCs w:val="24"/>
        </w:rPr>
        <w:t xml:space="preserve">to </w:t>
      </w:r>
      <w:r w:rsidR="001F32D0" w:rsidRPr="007F3CAE">
        <w:rPr>
          <w:rFonts w:ascii="Times New Roman" w:hAnsi="Times New Roman"/>
          <w:sz w:val="24"/>
          <w:szCs w:val="24"/>
        </w:rPr>
        <w:t xml:space="preserve">average </w:t>
      </w:r>
      <w:r w:rsidR="008967F7" w:rsidRPr="007F3CAE">
        <w:rPr>
          <w:rFonts w:ascii="Times New Roman" w:hAnsi="Times New Roman"/>
          <w:sz w:val="24"/>
          <w:szCs w:val="24"/>
        </w:rPr>
        <w:t>201</w:t>
      </w:r>
      <w:r w:rsidR="00003311">
        <w:rPr>
          <w:rFonts w:ascii="Times New Roman" w:hAnsi="Times New Roman"/>
          <w:sz w:val="24"/>
          <w:szCs w:val="24"/>
        </w:rPr>
        <w:t>7</w:t>
      </w:r>
      <w:r w:rsidR="008967F7" w:rsidRPr="007F3CAE">
        <w:rPr>
          <w:rFonts w:ascii="Times New Roman" w:hAnsi="Times New Roman"/>
          <w:sz w:val="24"/>
          <w:szCs w:val="24"/>
        </w:rPr>
        <w:t xml:space="preserve"> </w:t>
      </w:r>
      <w:r w:rsidR="001F32D0" w:rsidRPr="007F3CAE">
        <w:rPr>
          <w:rFonts w:ascii="Times New Roman" w:hAnsi="Times New Roman"/>
          <w:sz w:val="24"/>
          <w:szCs w:val="24"/>
        </w:rPr>
        <w:t>dollars</w:t>
      </w:r>
      <w:r w:rsidRPr="007F3CAE">
        <w:rPr>
          <w:rFonts w:ascii="Times New Roman" w:hAnsi="Times New Roman"/>
          <w:sz w:val="24"/>
          <w:szCs w:val="24"/>
        </w:rPr>
        <w:t xml:space="preserve"> using the</w:t>
      </w:r>
      <w:r w:rsidR="00CC21BD" w:rsidRPr="007F3CAE">
        <w:rPr>
          <w:rFonts w:ascii="Times New Roman" w:hAnsi="Times New Roman"/>
          <w:sz w:val="24"/>
          <w:szCs w:val="24"/>
        </w:rPr>
        <w:t xml:space="preserve"> </w:t>
      </w:r>
      <w:r w:rsidRPr="007F3CAE">
        <w:rPr>
          <w:rFonts w:ascii="Times New Roman" w:hAnsi="Times New Roman"/>
          <w:sz w:val="24"/>
          <w:szCs w:val="24"/>
        </w:rPr>
        <w:t>GDP implicit price deflator from the Bureau of Economic Analysis (BEA). The BEA</w:t>
      </w:r>
      <w:r w:rsidR="00CC21BD" w:rsidRPr="007F3CAE">
        <w:rPr>
          <w:rFonts w:ascii="Times New Roman" w:hAnsi="Times New Roman"/>
          <w:sz w:val="24"/>
          <w:szCs w:val="24"/>
        </w:rPr>
        <w:t xml:space="preserve"> </w:t>
      </w:r>
      <w:r w:rsidRPr="007F3CAE">
        <w:rPr>
          <w:rFonts w:ascii="Times New Roman" w:hAnsi="Times New Roman"/>
          <w:sz w:val="24"/>
          <w:szCs w:val="24"/>
        </w:rPr>
        <w:t xml:space="preserve">GDP price index series with a base of </w:t>
      </w:r>
      <w:r w:rsidR="008967F7" w:rsidRPr="007F3CAE">
        <w:rPr>
          <w:rFonts w:ascii="Times New Roman" w:hAnsi="Times New Roman"/>
          <w:sz w:val="24"/>
          <w:szCs w:val="24"/>
        </w:rPr>
        <w:t>200</w:t>
      </w:r>
      <w:r w:rsidR="008967F7">
        <w:rPr>
          <w:rFonts w:ascii="Times New Roman" w:hAnsi="Times New Roman"/>
          <w:sz w:val="24"/>
          <w:szCs w:val="24"/>
        </w:rPr>
        <w:t>9</w:t>
      </w:r>
      <w:r w:rsidR="008967F7" w:rsidRPr="007F3CAE">
        <w:rPr>
          <w:rFonts w:ascii="Times New Roman" w:hAnsi="Times New Roman"/>
          <w:sz w:val="24"/>
          <w:szCs w:val="24"/>
        </w:rPr>
        <w:t xml:space="preserve"> </w:t>
      </w:r>
      <w:r w:rsidRPr="007F3CAE">
        <w:rPr>
          <w:rFonts w:ascii="Times New Roman" w:hAnsi="Times New Roman"/>
          <w:sz w:val="24"/>
          <w:szCs w:val="24"/>
        </w:rPr>
        <w:t xml:space="preserve">= 100 has the </w:t>
      </w:r>
      <w:r w:rsidR="008967F7" w:rsidRPr="007F3CAE">
        <w:rPr>
          <w:rFonts w:ascii="Times New Roman" w:hAnsi="Times New Roman"/>
          <w:sz w:val="24"/>
          <w:szCs w:val="24"/>
        </w:rPr>
        <w:t>20</w:t>
      </w:r>
      <w:r w:rsidR="008967F7">
        <w:rPr>
          <w:rFonts w:ascii="Times New Roman" w:hAnsi="Times New Roman"/>
          <w:sz w:val="24"/>
          <w:szCs w:val="24"/>
        </w:rPr>
        <w:t>1</w:t>
      </w:r>
      <w:r w:rsidR="00003311">
        <w:rPr>
          <w:rFonts w:ascii="Times New Roman" w:hAnsi="Times New Roman"/>
          <w:sz w:val="24"/>
          <w:szCs w:val="24"/>
        </w:rPr>
        <w:t>4</w:t>
      </w:r>
      <w:r w:rsidR="008967F7" w:rsidRPr="007F3CAE">
        <w:rPr>
          <w:rFonts w:ascii="Times New Roman" w:hAnsi="Times New Roman"/>
          <w:sz w:val="24"/>
          <w:szCs w:val="24"/>
        </w:rPr>
        <w:t xml:space="preserve"> </w:t>
      </w:r>
      <w:r w:rsidRPr="007F3CAE">
        <w:rPr>
          <w:rFonts w:ascii="Times New Roman" w:hAnsi="Times New Roman"/>
          <w:sz w:val="24"/>
          <w:szCs w:val="24"/>
        </w:rPr>
        <w:t xml:space="preserve">index at </w:t>
      </w:r>
      <w:r w:rsidR="008967F7">
        <w:rPr>
          <w:rFonts w:ascii="Times New Roman" w:hAnsi="Times New Roman"/>
          <w:sz w:val="24"/>
          <w:szCs w:val="24"/>
        </w:rPr>
        <w:t>10</w:t>
      </w:r>
      <w:r w:rsidR="00003311">
        <w:rPr>
          <w:rFonts w:ascii="Times New Roman" w:hAnsi="Times New Roman"/>
          <w:sz w:val="24"/>
          <w:szCs w:val="24"/>
        </w:rPr>
        <w:t>8</w:t>
      </w:r>
      <w:r w:rsidR="008967F7">
        <w:rPr>
          <w:rFonts w:ascii="Times New Roman" w:hAnsi="Times New Roman"/>
          <w:sz w:val="24"/>
          <w:szCs w:val="24"/>
        </w:rPr>
        <w:t>.</w:t>
      </w:r>
      <w:r w:rsidR="00003311">
        <w:rPr>
          <w:rFonts w:ascii="Times New Roman" w:hAnsi="Times New Roman"/>
          <w:sz w:val="24"/>
          <w:szCs w:val="24"/>
        </w:rPr>
        <w:t>832</w:t>
      </w:r>
      <w:r w:rsidR="00F61661">
        <w:rPr>
          <w:rFonts w:ascii="Times New Roman" w:hAnsi="Times New Roman"/>
          <w:sz w:val="24"/>
          <w:szCs w:val="24"/>
        </w:rPr>
        <w:t xml:space="preserve"> </w:t>
      </w:r>
      <w:r w:rsidRPr="007F3CAE">
        <w:rPr>
          <w:rFonts w:ascii="Times New Roman" w:hAnsi="Times New Roman"/>
          <w:sz w:val="24"/>
          <w:szCs w:val="24"/>
        </w:rPr>
        <w:t>and the</w:t>
      </w:r>
      <w:r w:rsidR="00CC21BD" w:rsidRPr="007F3CAE">
        <w:rPr>
          <w:rFonts w:ascii="Times New Roman" w:hAnsi="Times New Roman"/>
          <w:sz w:val="24"/>
          <w:szCs w:val="24"/>
        </w:rPr>
        <w:t xml:space="preserve"> </w:t>
      </w:r>
      <w:r w:rsidR="008967F7" w:rsidRPr="007F3CAE">
        <w:rPr>
          <w:rFonts w:ascii="Times New Roman" w:hAnsi="Times New Roman"/>
          <w:sz w:val="24"/>
          <w:szCs w:val="24"/>
        </w:rPr>
        <w:t>201</w:t>
      </w:r>
      <w:r w:rsidR="00003311">
        <w:rPr>
          <w:rFonts w:ascii="Times New Roman" w:hAnsi="Times New Roman"/>
          <w:sz w:val="24"/>
          <w:szCs w:val="24"/>
        </w:rPr>
        <w:t>7</w:t>
      </w:r>
      <w:r w:rsidR="008967F7" w:rsidRPr="007F3CAE">
        <w:rPr>
          <w:rFonts w:ascii="Times New Roman" w:hAnsi="Times New Roman"/>
          <w:sz w:val="24"/>
          <w:szCs w:val="24"/>
        </w:rPr>
        <w:t xml:space="preserve"> </w:t>
      </w:r>
      <w:r w:rsidRPr="007F3CAE">
        <w:rPr>
          <w:rFonts w:ascii="Times New Roman" w:hAnsi="Times New Roman"/>
          <w:sz w:val="24"/>
          <w:szCs w:val="24"/>
        </w:rPr>
        <w:t xml:space="preserve">index at </w:t>
      </w:r>
      <w:r w:rsidR="008967F7">
        <w:rPr>
          <w:rFonts w:ascii="Times New Roman" w:hAnsi="Times New Roman"/>
          <w:sz w:val="24"/>
          <w:szCs w:val="24"/>
        </w:rPr>
        <w:t>1</w:t>
      </w:r>
      <w:r w:rsidR="00003311">
        <w:rPr>
          <w:rFonts w:ascii="Times New Roman" w:hAnsi="Times New Roman"/>
          <w:sz w:val="24"/>
          <w:szCs w:val="24"/>
        </w:rPr>
        <w:t>13</w:t>
      </w:r>
      <w:r w:rsidR="008967F7">
        <w:rPr>
          <w:rFonts w:ascii="Times New Roman" w:hAnsi="Times New Roman"/>
          <w:sz w:val="24"/>
          <w:szCs w:val="24"/>
        </w:rPr>
        <w:t>.</w:t>
      </w:r>
      <w:r w:rsidR="00003311">
        <w:rPr>
          <w:rFonts w:ascii="Times New Roman" w:hAnsi="Times New Roman"/>
          <w:sz w:val="24"/>
          <w:szCs w:val="24"/>
        </w:rPr>
        <w:t>422</w:t>
      </w:r>
      <w:r w:rsidRPr="007F3CAE">
        <w:rPr>
          <w:rFonts w:ascii="Times New Roman" w:hAnsi="Times New Roman"/>
          <w:sz w:val="24"/>
          <w:szCs w:val="24"/>
        </w:rPr>
        <w:t xml:space="preserve"> so the adjustment factor from </w:t>
      </w:r>
      <w:r w:rsidR="00D6624F" w:rsidRPr="007F3CAE">
        <w:rPr>
          <w:rFonts w:ascii="Times New Roman" w:hAnsi="Times New Roman"/>
          <w:sz w:val="24"/>
          <w:szCs w:val="24"/>
        </w:rPr>
        <w:t>20</w:t>
      </w:r>
      <w:r w:rsidR="00003311">
        <w:rPr>
          <w:rFonts w:ascii="Times New Roman" w:hAnsi="Times New Roman"/>
          <w:sz w:val="24"/>
          <w:szCs w:val="24"/>
        </w:rPr>
        <w:t>14</w:t>
      </w:r>
      <w:r w:rsidRPr="007F3CAE">
        <w:rPr>
          <w:rFonts w:ascii="Times New Roman" w:hAnsi="Times New Roman"/>
          <w:sz w:val="24"/>
          <w:szCs w:val="24"/>
        </w:rPr>
        <w:t xml:space="preserve"> to </w:t>
      </w:r>
      <w:r w:rsidR="00D6624F" w:rsidRPr="007F3CAE">
        <w:rPr>
          <w:rFonts w:ascii="Times New Roman" w:hAnsi="Times New Roman"/>
          <w:sz w:val="24"/>
          <w:szCs w:val="24"/>
        </w:rPr>
        <w:t>201</w:t>
      </w:r>
      <w:r w:rsidR="00003311">
        <w:rPr>
          <w:rFonts w:ascii="Times New Roman" w:hAnsi="Times New Roman"/>
          <w:sz w:val="24"/>
          <w:szCs w:val="24"/>
        </w:rPr>
        <w:t>7</w:t>
      </w:r>
      <w:r w:rsidRPr="007F3CAE">
        <w:rPr>
          <w:rFonts w:ascii="Times New Roman" w:hAnsi="Times New Roman"/>
          <w:sz w:val="24"/>
          <w:szCs w:val="24"/>
        </w:rPr>
        <w:t xml:space="preserve"> is </w:t>
      </w:r>
      <w:r w:rsidR="008967F7">
        <w:rPr>
          <w:rFonts w:ascii="Times New Roman" w:hAnsi="Times New Roman"/>
          <w:sz w:val="24"/>
          <w:szCs w:val="24"/>
        </w:rPr>
        <w:t>1.0</w:t>
      </w:r>
      <w:r w:rsidR="00CE068E">
        <w:rPr>
          <w:rFonts w:ascii="Times New Roman" w:hAnsi="Times New Roman"/>
          <w:sz w:val="24"/>
          <w:szCs w:val="24"/>
        </w:rPr>
        <w:t>422</w:t>
      </w:r>
      <w:r w:rsidR="00CC21BD" w:rsidRPr="007F3CAE">
        <w:rPr>
          <w:rFonts w:ascii="Times New Roman" w:hAnsi="Times New Roman"/>
          <w:sz w:val="24"/>
          <w:szCs w:val="24"/>
        </w:rPr>
        <w:t xml:space="preserve"> </w:t>
      </w:r>
      <w:r w:rsidRPr="007F3CAE">
        <w:rPr>
          <w:rFonts w:ascii="Times New Roman" w:hAnsi="Times New Roman"/>
          <w:sz w:val="24"/>
          <w:szCs w:val="24"/>
        </w:rPr>
        <w:t>(</w:t>
      </w:r>
      <w:r w:rsidR="00003311">
        <w:rPr>
          <w:rFonts w:ascii="Times New Roman" w:hAnsi="Times New Roman"/>
          <w:sz w:val="24"/>
          <w:szCs w:val="24"/>
        </w:rPr>
        <w:t>113.422/108.832</w:t>
      </w:r>
      <w:r w:rsidR="00F43B7F">
        <w:rPr>
          <w:rFonts w:ascii="Times New Roman" w:hAnsi="Times New Roman"/>
          <w:sz w:val="24"/>
          <w:szCs w:val="24"/>
        </w:rPr>
        <w:t xml:space="preserve"> </w:t>
      </w:r>
      <w:r w:rsidRPr="007F3CAE">
        <w:rPr>
          <w:rFonts w:ascii="Times New Roman" w:hAnsi="Times New Roman"/>
          <w:sz w:val="24"/>
          <w:szCs w:val="24"/>
        </w:rPr>
        <w:t>= 1.</w:t>
      </w:r>
      <w:r w:rsidR="008967F7" w:rsidRPr="007F3CAE">
        <w:rPr>
          <w:rFonts w:ascii="Times New Roman" w:hAnsi="Times New Roman"/>
          <w:sz w:val="24"/>
          <w:szCs w:val="24"/>
        </w:rPr>
        <w:t>0</w:t>
      </w:r>
      <w:r w:rsidR="00CE068E">
        <w:rPr>
          <w:rFonts w:ascii="Times New Roman" w:hAnsi="Times New Roman"/>
          <w:sz w:val="24"/>
          <w:szCs w:val="24"/>
        </w:rPr>
        <w:t>422</w:t>
      </w:r>
      <w:r w:rsidRPr="007F3CAE">
        <w:rPr>
          <w:rFonts w:ascii="Times New Roman" w:hAnsi="Times New Roman"/>
          <w:sz w:val="24"/>
          <w:szCs w:val="24"/>
        </w:rPr>
        <w:t xml:space="preserve">). Data processing costs for the </w:t>
      </w:r>
      <w:r w:rsidR="0044686C" w:rsidRPr="007F3CAE">
        <w:rPr>
          <w:rFonts w:ascii="Times New Roman" w:hAnsi="Times New Roman"/>
          <w:sz w:val="24"/>
          <w:szCs w:val="24"/>
        </w:rPr>
        <w:t>20</w:t>
      </w:r>
      <w:r w:rsidR="0044686C">
        <w:rPr>
          <w:rFonts w:ascii="Times New Roman" w:hAnsi="Times New Roman"/>
          <w:sz w:val="24"/>
          <w:szCs w:val="24"/>
        </w:rPr>
        <w:t>1</w:t>
      </w:r>
      <w:r w:rsidR="00003311">
        <w:rPr>
          <w:rFonts w:ascii="Times New Roman" w:hAnsi="Times New Roman"/>
          <w:sz w:val="24"/>
          <w:szCs w:val="24"/>
        </w:rPr>
        <w:t>4</w:t>
      </w:r>
      <w:r w:rsidR="0044686C" w:rsidRPr="007F3CAE">
        <w:rPr>
          <w:rFonts w:ascii="Times New Roman" w:hAnsi="Times New Roman"/>
          <w:sz w:val="24"/>
          <w:szCs w:val="24"/>
        </w:rPr>
        <w:t xml:space="preserve"> </w:t>
      </w:r>
      <w:r w:rsidRPr="007F3CAE">
        <w:rPr>
          <w:rFonts w:ascii="Times New Roman" w:hAnsi="Times New Roman"/>
          <w:sz w:val="24"/>
          <w:szCs w:val="24"/>
        </w:rPr>
        <w:t>PAIR ICR update were</w:t>
      </w:r>
      <w:r w:rsidR="00CC21BD" w:rsidRPr="007F3CAE">
        <w:rPr>
          <w:rFonts w:ascii="Times New Roman" w:hAnsi="Times New Roman"/>
          <w:sz w:val="24"/>
          <w:szCs w:val="24"/>
        </w:rPr>
        <w:t xml:space="preserve"> </w:t>
      </w:r>
      <w:r w:rsidRPr="007F3CAE">
        <w:rPr>
          <w:rFonts w:ascii="Times New Roman" w:hAnsi="Times New Roman"/>
          <w:sz w:val="24"/>
          <w:szCs w:val="24"/>
        </w:rPr>
        <w:t xml:space="preserve">estimated to be approximately </w:t>
      </w:r>
      <w:r w:rsidR="0044686C" w:rsidRPr="007F3CAE">
        <w:rPr>
          <w:rFonts w:ascii="Times New Roman" w:hAnsi="Times New Roman"/>
          <w:sz w:val="24"/>
          <w:szCs w:val="24"/>
        </w:rPr>
        <w:t>$2</w:t>
      </w:r>
      <w:r w:rsidR="00003311">
        <w:rPr>
          <w:rFonts w:ascii="Times New Roman" w:hAnsi="Times New Roman"/>
          <w:sz w:val="24"/>
          <w:szCs w:val="24"/>
        </w:rPr>
        <w:t>83</w:t>
      </w:r>
      <w:r w:rsidR="0044686C" w:rsidRPr="007F3CAE">
        <w:rPr>
          <w:rFonts w:ascii="Times New Roman" w:hAnsi="Times New Roman"/>
          <w:sz w:val="24"/>
          <w:szCs w:val="24"/>
        </w:rPr>
        <w:t>.</w:t>
      </w:r>
      <w:r w:rsidR="00003311">
        <w:rPr>
          <w:rFonts w:ascii="Times New Roman" w:hAnsi="Times New Roman"/>
          <w:sz w:val="24"/>
          <w:szCs w:val="24"/>
        </w:rPr>
        <w:t>06</w:t>
      </w:r>
      <w:r w:rsidR="0044686C" w:rsidRPr="007F3CAE">
        <w:rPr>
          <w:rFonts w:ascii="Times New Roman" w:hAnsi="Times New Roman"/>
          <w:sz w:val="24"/>
          <w:szCs w:val="24"/>
        </w:rPr>
        <w:t xml:space="preserve"> </w:t>
      </w:r>
      <w:r w:rsidRPr="007F3CAE">
        <w:rPr>
          <w:rFonts w:ascii="Times New Roman" w:hAnsi="Times New Roman"/>
          <w:sz w:val="24"/>
          <w:szCs w:val="24"/>
        </w:rPr>
        <w:t xml:space="preserve">per report. Adjusting this number to </w:t>
      </w:r>
      <w:r w:rsidR="0044686C" w:rsidRPr="007F3CAE">
        <w:rPr>
          <w:rFonts w:ascii="Times New Roman" w:hAnsi="Times New Roman"/>
          <w:sz w:val="24"/>
          <w:szCs w:val="24"/>
        </w:rPr>
        <w:t>201</w:t>
      </w:r>
      <w:r w:rsidR="00CE068E">
        <w:rPr>
          <w:rFonts w:ascii="Times New Roman" w:hAnsi="Times New Roman"/>
          <w:sz w:val="24"/>
          <w:szCs w:val="24"/>
        </w:rPr>
        <w:t>7</w:t>
      </w:r>
      <w:r w:rsidR="0044686C" w:rsidRPr="007F3CAE">
        <w:rPr>
          <w:rFonts w:ascii="Times New Roman" w:hAnsi="Times New Roman"/>
          <w:sz w:val="24"/>
          <w:szCs w:val="24"/>
        </w:rPr>
        <w:t xml:space="preserve"> </w:t>
      </w:r>
      <w:r w:rsidRPr="007F3CAE">
        <w:rPr>
          <w:rFonts w:ascii="Times New Roman" w:hAnsi="Times New Roman"/>
          <w:sz w:val="24"/>
          <w:szCs w:val="24"/>
        </w:rPr>
        <w:t>with</w:t>
      </w:r>
      <w:r w:rsidR="00CC21BD" w:rsidRPr="007F3CAE">
        <w:rPr>
          <w:rFonts w:ascii="Times New Roman" w:hAnsi="Times New Roman"/>
          <w:sz w:val="24"/>
          <w:szCs w:val="24"/>
        </w:rPr>
        <w:t xml:space="preserve"> </w:t>
      </w:r>
      <w:r w:rsidRPr="007F3CAE">
        <w:rPr>
          <w:rFonts w:ascii="Times New Roman" w:hAnsi="Times New Roman"/>
          <w:sz w:val="24"/>
          <w:szCs w:val="24"/>
        </w:rPr>
        <w:t>the GDP implicit price deflator yields an adjusted data processing cost of $</w:t>
      </w:r>
      <w:r w:rsidR="0044686C">
        <w:rPr>
          <w:rFonts w:ascii="Times New Roman" w:hAnsi="Times New Roman"/>
          <w:sz w:val="24"/>
          <w:szCs w:val="24"/>
        </w:rPr>
        <w:t>2</w:t>
      </w:r>
      <w:r w:rsidR="00CE068E">
        <w:rPr>
          <w:rFonts w:ascii="Times New Roman" w:hAnsi="Times New Roman"/>
          <w:sz w:val="24"/>
          <w:szCs w:val="24"/>
        </w:rPr>
        <w:t>95</w:t>
      </w:r>
      <w:r w:rsidR="0044686C">
        <w:rPr>
          <w:rFonts w:ascii="Times New Roman" w:hAnsi="Times New Roman"/>
          <w:sz w:val="24"/>
          <w:szCs w:val="24"/>
        </w:rPr>
        <w:t>.0</w:t>
      </w:r>
      <w:r w:rsidR="00CE068E">
        <w:rPr>
          <w:rFonts w:ascii="Times New Roman" w:hAnsi="Times New Roman"/>
          <w:sz w:val="24"/>
          <w:szCs w:val="24"/>
        </w:rPr>
        <w:t>1</w:t>
      </w:r>
      <w:r w:rsidR="00CF26F4" w:rsidRPr="007F3CAE">
        <w:rPr>
          <w:rFonts w:ascii="Times New Roman" w:hAnsi="Times New Roman"/>
          <w:sz w:val="24"/>
          <w:szCs w:val="24"/>
        </w:rPr>
        <w:t xml:space="preserve"> </w:t>
      </w:r>
      <w:r w:rsidRPr="007F3CAE">
        <w:rPr>
          <w:rFonts w:ascii="Times New Roman" w:hAnsi="Times New Roman"/>
          <w:sz w:val="24"/>
          <w:szCs w:val="24"/>
        </w:rPr>
        <w:t>per</w:t>
      </w:r>
      <w:r w:rsidR="00CC21BD" w:rsidRPr="007F3CAE">
        <w:rPr>
          <w:rFonts w:ascii="Times New Roman" w:hAnsi="Times New Roman"/>
          <w:sz w:val="24"/>
          <w:szCs w:val="24"/>
        </w:rPr>
        <w:t xml:space="preserve"> </w:t>
      </w:r>
      <w:r w:rsidRPr="007F3CAE">
        <w:rPr>
          <w:rFonts w:ascii="Times New Roman" w:hAnsi="Times New Roman"/>
          <w:sz w:val="24"/>
          <w:szCs w:val="24"/>
        </w:rPr>
        <w:t>report (i.e., $</w:t>
      </w:r>
      <w:r w:rsidR="0044686C">
        <w:rPr>
          <w:rFonts w:ascii="Times New Roman" w:hAnsi="Times New Roman"/>
          <w:sz w:val="24"/>
          <w:szCs w:val="24"/>
        </w:rPr>
        <w:t>2</w:t>
      </w:r>
      <w:r w:rsidR="00CE068E">
        <w:rPr>
          <w:rFonts w:ascii="Times New Roman" w:hAnsi="Times New Roman"/>
          <w:sz w:val="24"/>
          <w:szCs w:val="24"/>
        </w:rPr>
        <w:t>83.06</w:t>
      </w:r>
      <w:r w:rsidRPr="007F3CAE">
        <w:rPr>
          <w:rFonts w:ascii="Times New Roman" w:hAnsi="Times New Roman"/>
          <w:sz w:val="24"/>
          <w:szCs w:val="24"/>
        </w:rPr>
        <w:t xml:space="preserve"> x 1.</w:t>
      </w:r>
      <w:r w:rsidR="0044686C" w:rsidRPr="007F3CAE">
        <w:rPr>
          <w:rFonts w:ascii="Times New Roman" w:hAnsi="Times New Roman"/>
          <w:sz w:val="24"/>
          <w:szCs w:val="24"/>
        </w:rPr>
        <w:t>0</w:t>
      </w:r>
      <w:r w:rsidR="00CE068E">
        <w:rPr>
          <w:rFonts w:ascii="Times New Roman" w:hAnsi="Times New Roman"/>
          <w:sz w:val="24"/>
          <w:szCs w:val="24"/>
        </w:rPr>
        <w:t>422</w:t>
      </w:r>
      <w:r w:rsidR="0044686C" w:rsidRPr="007F3CAE">
        <w:rPr>
          <w:rFonts w:ascii="Times New Roman" w:hAnsi="Times New Roman"/>
          <w:sz w:val="24"/>
          <w:szCs w:val="24"/>
        </w:rPr>
        <w:t xml:space="preserve"> </w:t>
      </w:r>
      <w:r w:rsidRPr="007F3CAE">
        <w:rPr>
          <w:rFonts w:ascii="Times New Roman" w:hAnsi="Times New Roman"/>
          <w:sz w:val="24"/>
          <w:szCs w:val="24"/>
        </w:rPr>
        <w:t xml:space="preserve">= </w:t>
      </w:r>
      <w:r w:rsidR="0044686C">
        <w:rPr>
          <w:rFonts w:ascii="Times New Roman" w:hAnsi="Times New Roman"/>
          <w:sz w:val="24"/>
          <w:szCs w:val="24"/>
        </w:rPr>
        <w:t>$2</w:t>
      </w:r>
      <w:r w:rsidR="00CE068E">
        <w:rPr>
          <w:rFonts w:ascii="Times New Roman" w:hAnsi="Times New Roman"/>
          <w:sz w:val="24"/>
          <w:szCs w:val="24"/>
        </w:rPr>
        <w:t>95</w:t>
      </w:r>
      <w:r w:rsidR="0044686C">
        <w:rPr>
          <w:rFonts w:ascii="Times New Roman" w:hAnsi="Times New Roman"/>
          <w:sz w:val="24"/>
          <w:szCs w:val="24"/>
        </w:rPr>
        <w:t>.0</w:t>
      </w:r>
      <w:r w:rsidR="00CE068E">
        <w:rPr>
          <w:rFonts w:ascii="Times New Roman" w:hAnsi="Times New Roman"/>
          <w:sz w:val="24"/>
          <w:szCs w:val="24"/>
        </w:rPr>
        <w:t>1</w:t>
      </w:r>
      <w:r w:rsidR="00EA3FE1">
        <w:rPr>
          <w:rFonts w:ascii="Times New Roman" w:hAnsi="Times New Roman"/>
          <w:sz w:val="24"/>
          <w:szCs w:val="24"/>
        </w:rPr>
        <w:t>).</w:t>
      </w:r>
    </w:p>
    <w:p w14:paraId="2197E10F"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5AA1BF0F" w14:textId="77777777" w:rsidR="00F5104E" w:rsidRPr="007F3CAE" w:rsidRDefault="00F5104E" w:rsidP="003A43F2">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This analysis assumes that an annual average of </w:t>
      </w:r>
      <w:r w:rsidR="00F82981">
        <w:rPr>
          <w:rFonts w:ascii="Times New Roman" w:hAnsi="Times New Roman"/>
          <w:sz w:val="24"/>
          <w:szCs w:val="24"/>
        </w:rPr>
        <w:t>1</w:t>
      </w:r>
      <w:r w:rsidR="00F82981" w:rsidRPr="007F3CAE">
        <w:rPr>
          <w:rFonts w:ascii="Times New Roman" w:hAnsi="Times New Roman"/>
          <w:sz w:val="24"/>
          <w:szCs w:val="24"/>
        </w:rPr>
        <w:t xml:space="preserve"> </w:t>
      </w:r>
      <w:r w:rsidRPr="007F3CAE">
        <w:rPr>
          <w:rFonts w:ascii="Times New Roman" w:hAnsi="Times New Roman"/>
          <w:sz w:val="24"/>
          <w:szCs w:val="24"/>
        </w:rPr>
        <w:t>report will be submitted</w:t>
      </w:r>
      <w:r w:rsidR="00CC21BD" w:rsidRPr="007F3CAE">
        <w:rPr>
          <w:rFonts w:ascii="Times New Roman" w:hAnsi="Times New Roman"/>
          <w:sz w:val="24"/>
          <w:szCs w:val="24"/>
        </w:rPr>
        <w:t xml:space="preserve"> </w:t>
      </w:r>
      <w:r w:rsidRPr="007F3CAE">
        <w:rPr>
          <w:rFonts w:ascii="Times New Roman" w:hAnsi="Times New Roman"/>
          <w:sz w:val="24"/>
          <w:szCs w:val="24"/>
        </w:rPr>
        <w:t>over the three</w:t>
      </w:r>
      <w:r w:rsidR="00A75729">
        <w:rPr>
          <w:rFonts w:ascii="Times New Roman" w:hAnsi="Times New Roman"/>
          <w:sz w:val="24"/>
          <w:szCs w:val="24"/>
        </w:rPr>
        <w:t>-</w:t>
      </w:r>
      <w:r w:rsidRPr="007F3CAE">
        <w:rPr>
          <w:rFonts w:ascii="Times New Roman" w:hAnsi="Times New Roman"/>
          <w:sz w:val="24"/>
          <w:szCs w:val="24"/>
        </w:rPr>
        <w:t xml:space="preserve">year period of </w:t>
      </w:r>
      <w:r w:rsidR="00A75729">
        <w:rPr>
          <w:rFonts w:ascii="Times New Roman" w:hAnsi="Times New Roman"/>
          <w:sz w:val="24"/>
          <w:szCs w:val="24"/>
        </w:rPr>
        <w:t>the ICR</w:t>
      </w:r>
      <w:r w:rsidRPr="007F3CAE">
        <w:rPr>
          <w:rFonts w:ascii="Times New Roman" w:hAnsi="Times New Roman"/>
          <w:sz w:val="24"/>
          <w:szCs w:val="24"/>
        </w:rPr>
        <w:t>. Personnel burden and costs</w:t>
      </w:r>
      <w:r w:rsidR="00CC21BD" w:rsidRPr="007F3CAE">
        <w:rPr>
          <w:rFonts w:ascii="Times New Roman" w:hAnsi="Times New Roman"/>
          <w:sz w:val="24"/>
          <w:szCs w:val="24"/>
        </w:rPr>
        <w:t xml:space="preserve"> </w:t>
      </w:r>
      <w:r w:rsidRPr="007F3CAE">
        <w:rPr>
          <w:rFonts w:ascii="Times New Roman" w:hAnsi="Times New Roman"/>
          <w:sz w:val="24"/>
          <w:szCs w:val="24"/>
        </w:rPr>
        <w:t>associated with industry/public assistance and data processing activities have been</w:t>
      </w:r>
      <w:r w:rsidR="00CC21BD" w:rsidRPr="007F3CAE">
        <w:rPr>
          <w:rFonts w:ascii="Times New Roman" w:hAnsi="Times New Roman"/>
          <w:sz w:val="24"/>
          <w:szCs w:val="24"/>
        </w:rPr>
        <w:t xml:space="preserve"> </w:t>
      </w:r>
      <w:r w:rsidRPr="007F3CAE">
        <w:rPr>
          <w:rFonts w:ascii="Times New Roman" w:hAnsi="Times New Roman"/>
          <w:sz w:val="24"/>
          <w:szCs w:val="24"/>
        </w:rPr>
        <w:t>adjusted based on that estimate. From the 1989 PAIR ICR update it has been derived that</w:t>
      </w:r>
      <w:r w:rsidR="00CC21BD" w:rsidRPr="007F3CAE">
        <w:rPr>
          <w:rFonts w:ascii="Times New Roman" w:hAnsi="Times New Roman"/>
          <w:sz w:val="24"/>
          <w:szCs w:val="24"/>
        </w:rPr>
        <w:t xml:space="preserve"> </w:t>
      </w:r>
      <w:r w:rsidRPr="007F3CAE">
        <w:rPr>
          <w:rFonts w:ascii="Times New Roman" w:hAnsi="Times New Roman"/>
          <w:sz w:val="24"/>
          <w:szCs w:val="24"/>
        </w:rPr>
        <w:t>industry/public assistance required approximately 1.5 hours per report</w:t>
      </w:r>
      <w:r w:rsidR="00F82981">
        <w:rPr>
          <w:rFonts w:ascii="Times New Roman" w:hAnsi="Times New Roman"/>
          <w:sz w:val="24"/>
          <w:szCs w:val="24"/>
        </w:rPr>
        <w:t xml:space="preserve"> or 0.0007 FTE</w:t>
      </w:r>
      <w:r w:rsidRPr="007F3CAE">
        <w:rPr>
          <w:rFonts w:ascii="Times New Roman" w:hAnsi="Times New Roman"/>
          <w:sz w:val="24"/>
          <w:szCs w:val="24"/>
        </w:rPr>
        <w:t>. Similarly, the 1989 PAIR ICR update</w:t>
      </w:r>
      <w:r w:rsidR="00CC21BD" w:rsidRPr="007F3CAE">
        <w:rPr>
          <w:rFonts w:ascii="Times New Roman" w:hAnsi="Times New Roman"/>
          <w:sz w:val="24"/>
          <w:szCs w:val="24"/>
        </w:rPr>
        <w:t xml:space="preserve"> </w:t>
      </w:r>
      <w:r w:rsidRPr="007F3CAE">
        <w:rPr>
          <w:rFonts w:ascii="Times New Roman" w:hAnsi="Times New Roman"/>
          <w:sz w:val="24"/>
          <w:szCs w:val="24"/>
        </w:rPr>
        <w:t>estimated that about 3.75 hours</w:t>
      </w:r>
      <w:r w:rsidR="00A75729">
        <w:rPr>
          <w:rFonts w:ascii="Times New Roman" w:hAnsi="Times New Roman"/>
          <w:sz w:val="24"/>
          <w:szCs w:val="24"/>
        </w:rPr>
        <w:t xml:space="preserve">, or 0.002 FTE, </w:t>
      </w:r>
      <w:r w:rsidRPr="007F3CAE">
        <w:rPr>
          <w:rFonts w:ascii="Times New Roman" w:hAnsi="Times New Roman"/>
          <w:sz w:val="24"/>
          <w:szCs w:val="24"/>
        </w:rPr>
        <w:t>of data processing/system support personnel time would</w:t>
      </w:r>
      <w:r w:rsidR="00CC21BD" w:rsidRPr="007F3CAE">
        <w:rPr>
          <w:rFonts w:ascii="Times New Roman" w:hAnsi="Times New Roman"/>
          <w:sz w:val="24"/>
          <w:szCs w:val="24"/>
        </w:rPr>
        <w:t xml:space="preserve"> </w:t>
      </w:r>
      <w:r w:rsidRPr="007F3CAE">
        <w:rPr>
          <w:rFonts w:ascii="Times New Roman" w:hAnsi="Times New Roman"/>
          <w:sz w:val="24"/>
          <w:szCs w:val="24"/>
        </w:rPr>
        <w:t>be required per report.</w:t>
      </w:r>
    </w:p>
    <w:p w14:paraId="0A2B8EA6"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440C34DF" w14:textId="62E7F47B" w:rsidR="00F5104E" w:rsidRDefault="00311498" w:rsidP="003A43F2">
      <w:pPr>
        <w:autoSpaceDE w:val="0"/>
        <w:autoSpaceDN w:val="0"/>
        <w:adjustRightInd w:val="0"/>
        <w:spacing w:after="0" w:line="240" w:lineRule="auto"/>
        <w:ind w:firstLine="720"/>
        <w:rPr>
          <w:rFonts w:ascii="Times New Roman" w:hAnsi="Times New Roman"/>
          <w:sz w:val="24"/>
          <w:szCs w:val="24"/>
        </w:rPr>
      </w:pPr>
      <w:r w:rsidRPr="00B647B7">
        <w:rPr>
          <w:rFonts w:ascii="Times New Roman" w:hAnsi="Times New Roman"/>
          <w:sz w:val="24"/>
          <w:szCs w:val="24"/>
        </w:rPr>
        <w:fldChar w:fldCharType="begin"/>
      </w:r>
      <w:r w:rsidRPr="00311498">
        <w:rPr>
          <w:rFonts w:ascii="Times New Roman" w:hAnsi="Times New Roman"/>
          <w:sz w:val="24"/>
          <w:szCs w:val="24"/>
        </w:rPr>
        <w:instrText xml:space="preserve"> REF _Ref416442077 \h </w:instrText>
      </w:r>
      <w:r w:rsidRPr="00665511">
        <w:rPr>
          <w:rFonts w:ascii="Times New Roman" w:hAnsi="Times New Roman"/>
          <w:sz w:val="24"/>
          <w:szCs w:val="24"/>
        </w:rPr>
        <w:instrText xml:space="preserve"> \* MERGEFORMAT </w:instrText>
      </w:r>
      <w:r w:rsidRPr="00B647B7">
        <w:rPr>
          <w:rFonts w:ascii="Times New Roman" w:hAnsi="Times New Roman"/>
          <w:sz w:val="24"/>
          <w:szCs w:val="24"/>
        </w:rPr>
      </w:r>
      <w:r w:rsidRPr="00B647B7">
        <w:rPr>
          <w:rFonts w:ascii="Times New Roman" w:hAnsi="Times New Roman"/>
          <w:sz w:val="24"/>
          <w:szCs w:val="24"/>
        </w:rPr>
        <w:fldChar w:fldCharType="separate"/>
      </w:r>
      <w:r w:rsidR="00CE068E" w:rsidRPr="00A82BDA">
        <w:rPr>
          <w:rFonts w:ascii="Times New Roman" w:hAnsi="Times New Roman"/>
          <w:sz w:val="24"/>
          <w:szCs w:val="24"/>
        </w:rPr>
        <w:t xml:space="preserve">Table </w:t>
      </w:r>
      <w:r w:rsidR="00CE068E">
        <w:rPr>
          <w:rFonts w:ascii="Times New Roman" w:hAnsi="Times New Roman"/>
          <w:noProof/>
          <w:sz w:val="24"/>
          <w:szCs w:val="24"/>
        </w:rPr>
        <w:t>12</w:t>
      </w:r>
      <w:r w:rsidRPr="00B647B7">
        <w:rPr>
          <w:rFonts w:ascii="Times New Roman" w:hAnsi="Times New Roman"/>
          <w:sz w:val="24"/>
          <w:szCs w:val="24"/>
        </w:rPr>
        <w:fldChar w:fldCharType="end"/>
      </w:r>
      <w:r>
        <w:rPr>
          <w:rFonts w:ascii="Times New Roman" w:hAnsi="Times New Roman"/>
          <w:sz w:val="24"/>
          <w:szCs w:val="24"/>
        </w:rPr>
        <w:t xml:space="preserve"> </w:t>
      </w:r>
      <w:r w:rsidR="00F5104E" w:rsidRPr="007F3CAE">
        <w:rPr>
          <w:rFonts w:ascii="Times New Roman" w:hAnsi="Times New Roman"/>
          <w:sz w:val="24"/>
          <w:szCs w:val="24"/>
        </w:rPr>
        <w:t>summarizes the government’s activities in developing</w:t>
      </w:r>
      <w:r w:rsidR="00CC21BD" w:rsidRPr="007F3CAE">
        <w:rPr>
          <w:rFonts w:ascii="Times New Roman" w:hAnsi="Times New Roman"/>
          <w:sz w:val="24"/>
          <w:szCs w:val="24"/>
        </w:rPr>
        <w:t xml:space="preserve"> </w:t>
      </w:r>
      <w:r w:rsidR="00F5104E" w:rsidRPr="007F3CAE">
        <w:rPr>
          <w:rFonts w:ascii="Times New Roman" w:hAnsi="Times New Roman"/>
          <w:sz w:val="24"/>
          <w:szCs w:val="24"/>
        </w:rPr>
        <w:t>and administrating the PAIR</w:t>
      </w:r>
      <w:r w:rsidR="00341F2D" w:rsidRPr="00341F2D">
        <w:rPr>
          <w:rFonts w:ascii="Times New Roman" w:hAnsi="Times New Roman"/>
          <w:sz w:val="24"/>
          <w:szCs w:val="24"/>
        </w:rPr>
        <w:t xml:space="preserve"> </w:t>
      </w:r>
      <w:r w:rsidR="00341F2D" w:rsidRPr="005A40B0">
        <w:rPr>
          <w:rFonts w:ascii="Times New Roman" w:hAnsi="Times New Roman"/>
          <w:sz w:val="24"/>
          <w:szCs w:val="24"/>
        </w:rPr>
        <w:t>and subpart B of 40 CFR 766</w:t>
      </w:r>
      <w:r w:rsidR="00F5104E" w:rsidRPr="007F3CAE">
        <w:rPr>
          <w:rFonts w:ascii="Times New Roman" w:hAnsi="Times New Roman"/>
          <w:sz w:val="24"/>
          <w:szCs w:val="24"/>
        </w:rPr>
        <w:t>. The required FTEs per activity are retained from the 1996</w:t>
      </w:r>
      <w:r w:rsidR="00CC21BD" w:rsidRPr="007F3CAE">
        <w:rPr>
          <w:rFonts w:ascii="Times New Roman" w:hAnsi="Times New Roman"/>
          <w:sz w:val="24"/>
          <w:szCs w:val="24"/>
        </w:rPr>
        <w:t xml:space="preserve"> </w:t>
      </w:r>
      <w:r w:rsidR="00F5104E" w:rsidRPr="007F3CAE">
        <w:rPr>
          <w:rFonts w:ascii="Times New Roman" w:hAnsi="Times New Roman"/>
          <w:sz w:val="24"/>
          <w:szCs w:val="24"/>
        </w:rPr>
        <w:t>PAIR ICR update and from the previous 8(a) PAIR ICR renewal analyses, for all</w:t>
      </w:r>
      <w:r w:rsidR="00CC21BD" w:rsidRPr="007F3CAE">
        <w:rPr>
          <w:rFonts w:ascii="Times New Roman" w:hAnsi="Times New Roman"/>
          <w:sz w:val="24"/>
          <w:szCs w:val="24"/>
        </w:rPr>
        <w:t xml:space="preserve"> </w:t>
      </w:r>
      <w:r w:rsidR="00F5104E" w:rsidRPr="007F3CAE">
        <w:rPr>
          <w:rFonts w:ascii="Times New Roman" w:hAnsi="Times New Roman"/>
          <w:sz w:val="24"/>
          <w:szCs w:val="24"/>
        </w:rPr>
        <w:t xml:space="preserve">activities except for the recalculation of the </w:t>
      </w:r>
      <w:r w:rsidR="00A75729">
        <w:rPr>
          <w:rFonts w:ascii="Times New Roman" w:hAnsi="Times New Roman"/>
          <w:sz w:val="24"/>
          <w:szCs w:val="24"/>
        </w:rPr>
        <w:t>burden associated with industry/public assistance and data processing/system support personnel time</w:t>
      </w:r>
      <w:r w:rsidR="00F5104E" w:rsidRPr="007F3CAE">
        <w:rPr>
          <w:rFonts w:ascii="Times New Roman" w:hAnsi="Times New Roman"/>
          <w:sz w:val="24"/>
          <w:szCs w:val="24"/>
        </w:rPr>
        <w:t>.</w:t>
      </w:r>
    </w:p>
    <w:p w14:paraId="23551C31" w14:textId="77777777" w:rsidR="0057151C" w:rsidRDefault="0057151C" w:rsidP="0057151C">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FA59F9" w:rsidRPr="002C7CCA" w14:paraId="6304AA84" w14:textId="77777777" w:rsidTr="0057151C">
        <w:tc>
          <w:tcPr>
            <w:tcW w:w="9350" w:type="dxa"/>
            <w:gridSpan w:val="2"/>
          </w:tcPr>
          <w:p w14:paraId="13273ABA" w14:textId="77777777" w:rsidR="00FA59F9" w:rsidRPr="002C7CCA" w:rsidRDefault="00311498" w:rsidP="00380F8D">
            <w:pPr>
              <w:pStyle w:val="Caption"/>
              <w:keepNext/>
              <w:spacing w:after="0"/>
              <w:rPr>
                <w:rFonts w:ascii="Times New Roman" w:eastAsiaTheme="minorHAnsi" w:hAnsi="Times New Roman"/>
                <w:color w:val="auto"/>
                <w:sz w:val="24"/>
                <w:szCs w:val="24"/>
              </w:rPr>
            </w:pPr>
            <w:bookmarkStart w:id="10" w:name="_Ref416442077"/>
            <w:bookmarkStart w:id="11" w:name="_Ref295819653"/>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CE068E">
              <w:rPr>
                <w:rFonts w:ascii="Times New Roman" w:hAnsi="Times New Roman"/>
                <w:noProof/>
                <w:color w:val="auto"/>
                <w:sz w:val="24"/>
                <w:szCs w:val="24"/>
              </w:rPr>
              <w:t>12</w:t>
            </w:r>
            <w:r w:rsidRPr="00A82BDA">
              <w:rPr>
                <w:rFonts w:ascii="Times New Roman" w:hAnsi="Times New Roman"/>
                <w:color w:val="auto"/>
                <w:sz w:val="24"/>
                <w:szCs w:val="24"/>
              </w:rPr>
              <w:fldChar w:fldCharType="end"/>
            </w:r>
            <w:bookmarkEnd w:id="10"/>
            <w:r w:rsidRPr="00A82BDA">
              <w:rPr>
                <w:rFonts w:ascii="Times New Roman" w:hAnsi="Times New Roman"/>
                <w:color w:val="auto"/>
              </w:rPr>
              <w:t xml:space="preserve">: </w:t>
            </w:r>
            <w:bookmarkEnd w:id="11"/>
            <w:r w:rsidR="007824E0" w:rsidRPr="002C7CCA">
              <w:rPr>
                <w:rFonts w:ascii="Times New Roman" w:eastAsiaTheme="minorHAnsi" w:hAnsi="Times New Roman"/>
                <w:color w:val="auto"/>
                <w:sz w:val="24"/>
                <w:szCs w:val="24"/>
              </w:rPr>
              <w:t>Government Burden Summary</w:t>
            </w:r>
          </w:p>
        </w:tc>
      </w:tr>
      <w:tr w:rsidR="00FA59F9" w:rsidRPr="002C7CCA" w14:paraId="6FDCB3A2" w14:textId="77777777" w:rsidTr="0057151C">
        <w:tc>
          <w:tcPr>
            <w:tcW w:w="4686" w:type="dxa"/>
          </w:tcPr>
          <w:p w14:paraId="450E6597" w14:textId="77777777" w:rsidR="00FA59F9" w:rsidRPr="002C7CCA" w:rsidRDefault="007C5F37" w:rsidP="00665511">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4664" w:type="dxa"/>
          </w:tcPr>
          <w:p w14:paraId="545C3150" w14:textId="77777777" w:rsidR="00FA59F9" w:rsidRPr="002C7CCA" w:rsidRDefault="007C5F37" w:rsidP="00665511">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Annual Burden</w:t>
            </w:r>
          </w:p>
        </w:tc>
      </w:tr>
      <w:tr w:rsidR="00F82981" w:rsidRPr="002C7CCA" w14:paraId="0587B1B3" w14:textId="77777777" w:rsidTr="0057151C">
        <w:tc>
          <w:tcPr>
            <w:tcW w:w="4686" w:type="dxa"/>
            <w:vAlign w:val="bottom"/>
          </w:tcPr>
          <w:p w14:paraId="00E44B70"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Chemical nomination, review, and selection</w:t>
            </w:r>
          </w:p>
        </w:tc>
        <w:tc>
          <w:tcPr>
            <w:tcW w:w="4664" w:type="dxa"/>
          </w:tcPr>
          <w:p w14:paraId="512EA549" w14:textId="77777777"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0.25</w:t>
            </w:r>
          </w:p>
        </w:tc>
      </w:tr>
      <w:tr w:rsidR="00F82981" w:rsidRPr="002C7CCA" w14:paraId="77A8A382" w14:textId="77777777" w:rsidTr="0057151C">
        <w:tc>
          <w:tcPr>
            <w:tcW w:w="4686" w:type="dxa"/>
            <w:vAlign w:val="bottom"/>
          </w:tcPr>
          <w:p w14:paraId="41B8C63E"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Rule development</w:t>
            </w:r>
          </w:p>
        </w:tc>
        <w:tc>
          <w:tcPr>
            <w:tcW w:w="4664" w:type="dxa"/>
          </w:tcPr>
          <w:p w14:paraId="689A046C" w14:textId="77777777"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0.9</w:t>
            </w:r>
            <w:r w:rsidR="0057151C">
              <w:rPr>
                <w:rFonts w:ascii="Times New Roman" w:hAnsi="Times New Roman"/>
                <w:sz w:val="24"/>
                <w:szCs w:val="24"/>
              </w:rPr>
              <w:t>0</w:t>
            </w:r>
          </w:p>
        </w:tc>
      </w:tr>
      <w:tr w:rsidR="00F82981" w:rsidRPr="002C7CCA" w14:paraId="64C71CDC" w14:textId="77777777" w:rsidTr="0057151C">
        <w:tc>
          <w:tcPr>
            <w:tcW w:w="4686" w:type="dxa"/>
            <w:vAlign w:val="bottom"/>
          </w:tcPr>
          <w:p w14:paraId="1B95B13C"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Evaluation of rule</w:t>
            </w:r>
          </w:p>
        </w:tc>
        <w:tc>
          <w:tcPr>
            <w:tcW w:w="4664" w:type="dxa"/>
          </w:tcPr>
          <w:p w14:paraId="58BCF9C7" w14:textId="77777777"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0.05</w:t>
            </w:r>
          </w:p>
        </w:tc>
      </w:tr>
      <w:tr w:rsidR="00F82981" w:rsidRPr="002C7CCA" w14:paraId="0AFB95B6" w14:textId="77777777" w:rsidTr="0057151C">
        <w:tc>
          <w:tcPr>
            <w:tcW w:w="4686" w:type="dxa"/>
            <w:vAlign w:val="bottom"/>
          </w:tcPr>
          <w:p w14:paraId="45AB0E65"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Industry/public assistance</w:t>
            </w:r>
          </w:p>
        </w:tc>
        <w:tc>
          <w:tcPr>
            <w:tcW w:w="4664" w:type="dxa"/>
          </w:tcPr>
          <w:p w14:paraId="4E5416CD" w14:textId="77777777"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0.0007</w:t>
            </w:r>
          </w:p>
        </w:tc>
      </w:tr>
      <w:tr w:rsidR="00F82981" w:rsidRPr="002C7CCA" w14:paraId="353C1BD6" w14:textId="77777777" w:rsidTr="0057151C">
        <w:tc>
          <w:tcPr>
            <w:tcW w:w="4686" w:type="dxa"/>
            <w:vAlign w:val="bottom"/>
          </w:tcPr>
          <w:p w14:paraId="70AB156C"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Compliance monitoring</w:t>
            </w:r>
          </w:p>
        </w:tc>
        <w:tc>
          <w:tcPr>
            <w:tcW w:w="4664" w:type="dxa"/>
          </w:tcPr>
          <w:p w14:paraId="6E61B3D0" w14:textId="77777777"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0.1</w:t>
            </w:r>
            <w:r w:rsidR="0057151C">
              <w:rPr>
                <w:rFonts w:ascii="Times New Roman" w:hAnsi="Times New Roman"/>
                <w:sz w:val="24"/>
                <w:szCs w:val="24"/>
              </w:rPr>
              <w:t>0</w:t>
            </w:r>
          </w:p>
        </w:tc>
      </w:tr>
      <w:tr w:rsidR="00F82981" w:rsidRPr="002C7CCA" w14:paraId="6C9DE545" w14:textId="77777777" w:rsidTr="0057151C">
        <w:tc>
          <w:tcPr>
            <w:tcW w:w="4686" w:type="dxa"/>
            <w:vAlign w:val="bottom"/>
          </w:tcPr>
          <w:p w14:paraId="5E04C286"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Data processing and system support personnel</w:t>
            </w:r>
          </w:p>
        </w:tc>
        <w:tc>
          <w:tcPr>
            <w:tcW w:w="4664" w:type="dxa"/>
          </w:tcPr>
          <w:p w14:paraId="77A76A17" w14:textId="77777777"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0.002</w:t>
            </w:r>
          </w:p>
        </w:tc>
      </w:tr>
      <w:tr w:rsidR="00F82981" w:rsidRPr="002C7CCA" w14:paraId="6FA91ACA" w14:textId="77777777" w:rsidTr="0057151C">
        <w:tc>
          <w:tcPr>
            <w:tcW w:w="4686" w:type="dxa"/>
            <w:vAlign w:val="bottom"/>
          </w:tcPr>
          <w:p w14:paraId="00717E15" w14:textId="77777777" w:rsidR="00F82981" w:rsidRPr="002C7CCA" w:rsidRDefault="00F82981" w:rsidP="00665511">
            <w:pPr>
              <w:keepNext/>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 xml:space="preserve">Total </w:t>
            </w:r>
            <w:r>
              <w:rPr>
                <w:rFonts w:ascii="Times New Roman" w:eastAsiaTheme="minorHAnsi" w:hAnsi="Times New Roman"/>
                <w:b/>
                <w:sz w:val="24"/>
                <w:szCs w:val="24"/>
              </w:rPr>
              <w:t>FTE</w:t>
            </w:r>
          </w:p>
        </w:tc>
        <w:tc>
          <w:tcPr>
            <w:tcW w:w="4664" w:type="dxa"/>
          </w:tcPr>
          <w:p w14:paraId="1CFEA267" w14:textId="77777777" w:rsidR="00F82981" w:rsidRPr="00380F8D" w:rsidRDefault="00F82981" w:rsidP="00665511">
            <w:pPr>
              <w:keepNext/>
              <w:spacing w:after="0" w:line="240" w:lineRule="auto"/>
              <w:jc w:val="center"/>
              <w:rPr>
                <w:rFonts w:ascii="Times New Roman" w:eastAsiaTheme="minorHAnsi" w:hAnsi="Times New Roman"/>
                <w:b/>
                <w:sz w:val="24"/>
                <w:szCs w:val="24"/>
              </w:rPr>
            </w:pPr>
            <w:r w:rsidRPr="00665511">
              <w:rPr>
                <w:rFonts w:ascii="Times New Roman" w:hAnsi="Times New Roman"/>
                <w:b/>
                <w:sz w:val="24"/>
                <w:szCs w:val="24"/>
              </w:rPr>
              <w:t>1.3</w:t>
            </w:r>
          </w:p>
        </w:tc>
      </w:tr>
    </w:tbl>
    <w:p w14:paraId="4575A6C4" w14:textId="77777777" w:rsidR="00FA59F9" w:rsidRPr="007F3CAE" w:rsidRDefault="00FA59F9" w:rsidP="00F5104E">
      <w:pPr>
        <w:autoSpaceDE w:val="0"/>
        <w:autoSpaceDN w:val="0"/>
        <w:adjustRightInd w:val="0"/>
        <w:spacing w:after="0" w:line="240" w:lineRule="auto"/>
        <w:rPr>
          <w:rFonts w:ascii="Times New Roman" w:hAnsi="Times New Roman"/>
          <w:sz w:val="24"/>
          <w:szCs w:val="24"/>
        </w:rPr>
      </w:pPr>
    </w:p>
    <w:p w14:paraId="4D8B744F" w14:textId="4FFFB09B" w:rsidR="00F5104E" w:rsidRPr="007F3CAE" w:rsidRDefault="00F5104E" w:rsidP="003A43F2">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It is estimat</w:t>
      </w:r>
      <w:r w:rsidR="002B3D56">
        <w:rPr>
          <w:rFonts w:ascii="Times New Roman" w:hAnsi="Times New Roman"/>
          <w:sz w:val="24"/>
          <w:szCs w:val="24"/>
        </w:rPr>
        <w:t>ed that the annual cost to the f</w:t>
      </w:r>
      <w:r w:rsidRPr="007F3CAE">
        <w:rPr>
          <w:rFonts w:ascii="Times New Roman" w:hAnsi="Times New Roman"/>
          <w:sz w:val="24"/>
          <w:szCs w:val="24"/>
        </w:rPr>
        <w:t xml:space="preserve">ederal </w:t>
      </w:r>
      <w:r w:rsidR="002B3D56">
        <w:rPr>
          <w:rFonts w:ascii="Times New Roman" w:hAnsi="Times New Roman"/>
          <w:sz w:val="24"/>
          <w:szCs w:val="24"/>
        </w:rPr>
        <w:t>g</w:t>
      </w:r>
      <w:r w:rsidRPr="007F3CAE">
        <w:rPr>
          <w:rFonts w:ascii="Times New Roman" w:hAnsi="Times New Roman"/>
          <w:sz w:val="24"/>
          <w:szCs w:val="24"/>
        </w:rPr>
        <w:t>overnment will be $</w:t>
      </w:r>
      <w:r w:rsidR="00F82981">
        <w:rPr>
          <w:rFonts w:ascii="Times New Roman" w:hAnsi="Times New Roman"/>
          <w:sz w:val="24"/>
          <w:szCs w:val="24"/>
        </w:rPr>
        <w:t>2</w:t>
      </w:r>
      <w:r w:rsidR="00CE068E">
        <w:rPr>
          <w:rFonts w:ascii="Times New Roman" w:hAnsi="Times New Roman"/>
          <w:sz w:val="24"/>
          <w:szCs w:val="24"/>
        </w:rPr>
        <w:t>95</w:t>
      </w:r>
      <w:r w:rsidR="00CF26F4" w:rsidRPr="007F3CAE">
        <w:rPr>
          <w:rFonts w:ascii="Times New Roman" w:hAnsi="Times New Roman"/>
          <w:sz w:val="24"/>
          <w:szCs w:val="24"/>
        </w:rPr>
        <w:t xml:space="preserve"> </w:t>
      </w:r>
      <w:r w:rsidRPr="007F3CAE">
        <w:rPr>
          <w:rFonts w:ascii="Times New Roman" w:hAnsi="Times New Roman"/>
          <w:sz w:val="24"/>
          <w:szCs w:val="24"/>
        </w:rPr>
        <w:t>in</w:t>
      </w:r>
      <w:r w:rsidR="00CC21BD" w:rsidRPr="007F3CAE">
        <w:rPr>
          <w:rFonts w:ascii="Times New Roman" w:hAnsi="Times New Roman"/>
          <w:sz w:val="24"/>
          <w:szCs w:val="24"/>
        </w:rPr>
        <w:t xml:space="preserve"> </w:t>
      </w:r>
      <w:r w:rsidRPr="007F3CAE">
        <w:rPr>
          <w:rFonts w:ascii="Times New Roman" w:hAnsi="Times New Roman"/>
          <w:sz w:val="24"/>
          <w:szCs w:val="24"/>
        </w:rPr>
        <w:t>data processing costs plus 1.</w:t>
      </w:r>
      <w:r w:rsidR="00F97C44" w:rsidRPr="007F3CAE">
        <w:rPr>
          <w:rFonts w:ascii="Times New Roman" w:hAnsi="Times New Roman"/>
          <w:sz w:val="24"/>
          <w:szCs w:val="24"/>
        </w:rPr>
        <w:t>3</w:t>
      </w:r>
      <w:r w:rsidRPr="007F3CAE">
        <w:rPr>
          <w:rFonts w:ascii="Times New Roman" w:hAnsi="Times New Roman"/>
          <w:sz w:val="24"/>
          <w:szCs w:val="24"/>
        </w:rPr>
        <w:t xml:space="preserve"> FTEs. At an estimated loaded annual salary of $</w:t>
      </w:r>
      <w:r w:rsidR="00F82981">
        <w:rPr>
          <w:rFonts w:ascii="Times New Roman" w:hAnsi="Times New Roman"/>
          <w:sz w:val="24"/>
          <w:szCs w:val="24"/>
        </w:rPr>
        <w:t>1</w:t>
      </w:r>
      <w:r w:rsidR="00CE068E">
        <w:rPr>
          <w:rFonts w:ascii="Times New Roman" w:hAnsi="Times New Roman"/>
          <w:sz w:val="24"/>
          <w:szCs w:val="24"/>
        </w:rPr>
        <w:t>30</w:t>
      </w:r>
      <w:r w:rsidR="00F82981">
        <w:rPr>
          <w:rFonts w:ascii="Times New Roman" w:hAnsi="Times New Roman"/>
          <w:sz w:val="24"/>
          <w:szCs w:val="24"/>
        </w:rPr>
        <w:t>,</w:t>
      </w:r>
      <w:r w:rsidR="00CE068E">
        <w:rPr>
          <w:rFonts w:ascii="Times New Roman" w:hAnsi="Times New Roman"/>
          <w:sz w:val="24"/>
          <w:szCs w:val="24"/>
        </w:rPr>
        <w:t>477</w:t>
      </w:r>
      <w:r w:rsidR="00CC21BD" w:rsidRPr="007F3CAE">
        <w:rPr>
          <w:rFonts w:ascii="Times New Roman" w:hAnsi="Times New Roman"/>
          <w:sz w:val="24"/>
          <w:szCs w:val="24"/>
        </w:rPr>
        <w:t xml:space="preserve"> </w:t>
      </w:r>
      <w:r w:rsidRPr="007F3CAE">
        <w:rPr>
          <w:rFonts w:ascii="Times New Roman" w:hAnsi="Times New Roman"/>
          <w:sz w:val="24"/>
          <w:szCs w:val="24"/>
        </w:rPr>
        <w:t>per FTE, the total of 1.</w:t>
      </w:r>
      <w:r w:rsidR="00F97C44" w:rsidRPr="007F3CAE">
        <w:rPr>
          <w:rFonts w:ascii="Times New Roman" w:hAnsi="Times New Roman"/>
          <w:sz w:val="24"/>
          <w:szCs w:val="24"/>
        </w:rPr>
        <w:t>3</w:t>
      </w:r>
      <w:r w:rsidRPr="007F3CAE">
        <w:rPr>
          <w:rFonts w:ascii="Times New Roman" w:hAnsi="Times New Roman"/>
          <w:sz w:val="24"/>
          <w:szCs w:val="24"/>
        </w:rPr>
        <w:t xml:space="preserve"> FTEs will cost EPA $</w:t>
      </w:r>
      <w:r w:rsidR="00F82981">
        <w:rPr>
          <w:rFonts w:ascii="Times New Roman" w:hAnsi="Times New Roman"/>
          <w:sz w:val="24"/>
          <w:szCs w:val="24"/>
        </w:rPr>
        <w:t>157,597</w:t>
      </w:r>
      <w:r w:rsidRPr="007F3CAE">
        <w:rPr>
          <w:rFonts w:ascii="Times New Roman" w:hAnsi="Times New Roman"/>
          <w:sz w:val="24"/>
          <w:szCs w:val="24"/>
        </w:rPr>
        <w:t xml:space="preserve"> in fully loaded labor cost</w:t>
      </w:r>
      <w:r w:rsidR="00CC21BD" w:rsidRPr="007F3CAE">
        <w:rPr>
          <w:rFonts w:ascii="Times New Roman" w:hAnsi="Times New Roman"/>
          <w:sz w:val="24"/>
          <w:szCs w:val="24"/>
        </w:rPr>
        <w:t xml:space="preserve"> </w:t>
      </w:r>
      <w:r w:rsidRPr="007F3CAE">
        <w:rPr>
          <w:rFonts w:ascii="Times New Roman" w:hAnsi="Times New Roman"/>
          <w:sz w:val="24"/>
          <w:szCs w:val="24"/>
        </w:rPr>
        <w:t>(salaries, benefits, and overhead). This</w:t>
      </w:r>
      <w:r w:rsidR="002B3D56">
        <w:rPr>
          <w:rFonts w:ascii="Times New Roman" w:hAnsi="Times New Roman"/>
          <w:sz w:val="24"/>
          <w:szCs w:val="24"/>
        </w:rPr>
        <w:t xml:space="preserve"> brings the total costs to the f</w:t>
      </w:r>
      <w:r w:rsidRPr="007F3CAE">
        <w:rPr>
          <w:rFonts w:ascii="Times New Roman" w:hAnsi="Times New Roman"/>
          <w:sz w:val="24"/>
          <w:szCs w:val="24"/>
        </w:rPr>
        <w:t>ederal government to</w:t>
      </w:r>
      <w:r w:rsidR="00CC21BD" w:rsidRPr="007F3CAE">
        <w:rPr>
          <w:rFonts w:ascii="Times New Roman" w:hAnsi="Times New Roman"/>
          <w:sz w:val="24"/>
          <w:szCs w:val="24"/>
        </w:rPr>
        <w:t xml:space="preserve"> </w:t>
      </w:r>
      <w:r w:rsidRPr="007F3CAE">
        <w:rPr>
          <w:rFonts w:ascii="Times New Roman" w:hAnsi="Times New Roman"/>
          <w:sz w:val="24"/>
          <w:szCs w:val="24"/>
        </w:rPr>
        <w:t>$</w:t>
      </w:r>
      <w:r w:rsidR="00F82981">
        <w:rPr>
          <w:rFonts w:ascii="Times New Roman" w:hAnsi="Times New Roman"/>
          <w:sz w:val="24"/>
          <w:szCs w:val="24"/>
        </w:rPr>
        <w:t>157,8</w:t>
      </w:r>
      <w:r w:rsidR="0044686C">
        <w:rPr>
          <w:rFonts w:ascii="Times New Roman" w:hAnsi="Times New Roman"/>
          <w:sz w:val="24"/>
          <w:szCs w:val="24"/>
        </w:rPr>
        <w:t>80</w:t>
      </w:r>
      <w:r w:rsidR="00CF26F4" w:rsidRPr="007F3CAE">
        <w:rPr>
          <w:rFonts w:ascii="Times New Roman" w:hAnsi="Times New Roman"/>
          <w:sz w:val="24"/>
          <w:szCs w:val="24"/>
        </w:rPr>
        <w:t xml:space="preserve"> </w:t>
      </w:r>
      <w:r w:rsidRPr="007F3CAE">
        <w:rPr>
          <w:rFonts w:ascii="Times New Roman" w:hAnsi="Times New Roman"/>
          <w:sz w:val="24"/>
          <w:szCs w:val="24"/>
        </w:rPr>
        <w:t xml:space="preserve">annually (i.e., </w:t>
      </w:r>
      <w:r w:rsidR="00F82981">
        <w:rPr>
          <w:rFonts w:ascii="Times New Roman" w:hAnsi="Times New Roman"/>
          <w:sz w:val="24"/>
          <w:szCs w:val="24"/>
        </w:rPr>
        <w:t>$2</w:t>
      </w:r>
      <w:r w:rsidR="0044686C">
        <w:rPr>
          <w:rFonts w:ascii="Times New Roman" w:hAnsi="Times New Roman"/>
          <w:sz w:val="24"/>
          <w:szCs w:val="24"/>
        </w:rPr>
        <w:t>83</w:t>
      </w:r>
      <w:r w:rsidR="00CF26F4" w:rsidRPr="007F3CAE">
        <w:rPr>
          <w:rFonts w:ascii="Times New Roman" w:hAnsi="Times New Roman"/>
          <w:sz w:val="24"/>
          <w:szCs w:val="24"/>
        </w:rPr>
        <w:t xml:space="preserve"> </w:t>
      </w:r>
      <w:r w:rsidRPr="007F3CAE">
        <w:rPr>
          <w:rFonts w:ascii="Times New Roman" w:hAnsi="Times New Roman"/>
          <w:sz w:val="24"/>
          <w:szCs w:val="24"/>
        </w:rPr>
        <w:t>+ $</w:t>
      </w:r>
      <w:r w:rsidR="00F82981">
        <w:rPr>
          <w:rFonts w:ascii="Times New Roman" w:hAnsi="Times New Roman"/>
          <w:sz w:val="24"/>
          <w:szCs w:val="24"/>
        </w:rPr>
        <w:t>157,597)</w:t>
      </w:r>
      <w:r w:rsidRPr="007F3CAE">
        <w:rPr>
          <w:rFonts w:ascii="Times New Roman" w:hAnsi="Times New Roman"/>
          <w:sz w:val="24"/>
          <w:szCs w:val="24"/>
        </w:rPr>
        <w:t>.</w:t>
      </w:r>
    </w:p>
    <w:p w14:paraId="79F9E2FF"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02864AD9" w14:textId="34FF8CB0" w:rsidR="007824E0" w:rsidRPr="00311498" w:rsidRDefault="00311498" w:rsidP="003A43F2">
      <w:pPr>
        <w:autoSpaceDE w:val="0"/>
        <w:autoSpaceDN w:val="0"/>
        <w:adjustRightInd w:val="0"/>
        <w:spacing w:after="0" w:line="240" w:lineRule="auto"/>
        <w:ind w:firstLine="720"/>
        <w:rPr>
          <w:rFonts w:ascii="Times New Roman" w:hAnsi="Times New Roman"/>
          <w:sz w:val="24"/>
          <w:szCs w:val="24"/>
        </w:rPr>
      </w:pPr>
      <w:r w:rsidRPr="00B647B7">
        <w:rPr>
          <w:rFonts w:ascii="Times New Roman" w:hAnsi="Times New Roman"/>
          <w:sz w:val="24"/>
          <w:szCs w:val="24"/>
        </w:rPr>
        <w:fldChar w:fldCharType="begin"/>
      </w:r>
      <w:r w:rsidRPr="00311498">
        <w:rPr>
          <w:rFonts w:ascii="Times New Roman" w:hAnsi="Times New Roman"/>
          <w:sz w:val="24"/>
          <w:szCs w:val="24"/>
        </w:rPr>
        <w:instrText xml:space="preserve"> REF _Ref416442059 \h </w:instrText>
      </w:r>
      <w:r w:rsidRPr="00665511">
        <w:rPr>
          <w:rFonts w:ascii="Times New Roman" w:hAnsi="Times New Roman"/>
          <w:sz w:val="24"/>
          <w:szCs w:val="24"/>
        </w:rPr>
        <w:instrText xml:space="preserve"> \* MERGEFORMAT </w:instrText>
      </w:r>
      <w:r w:rsidRPr="00B647B7">
        <w:rPr>
          <w:rFonts w:ascii="Times New Roman" w:hAnsi="Times New Roman"/>
          <w:sz w:val="24"/>
          <w:szCs w:val="24"/>
        </w:rPr>
      </w:r>
      <w:r w:rsidRPr="00B647B7">
        <w:rPr>
          <w:rFonts w:ascii="Times New Roman" w:hAnsi="Times New Roman"/>
          <w:sz w:val="24"/>
          <w:szCs w:val="24"/>
        </w:rPr>
        <w:fldChar w:fldCharType="separate"/>
      </w:r>
      <w:r w:rsidR="00CE068E" w:rsidRPr="00A82BDA">
        <w:rPr>
          <w:rFonts w:ascii="Times New Roman" w:hAnsi="Times New Roman"/>
          <w:sz w:val="24"/>
          <w:szCs w:val="24"/>
        </w:rPr>
        <w:t xml:space="preserve">Table </w:t>
      </w:r>
      <w:r w:rsidR="00CE068E">
        <w:rPr>
          <w:rFonts w:ascii="Times New Roman" w:hAnsi="Times New Roman"/>
          <w:noProof/>
          <w:sz w:val="24"/>
          <w:szCs w:val="24"/>
        </w:rPr>
        <w:t>13</w:t>
      </w:r>
      <w:r w:rsidRPr="00B647B7">
        <w:rPr>
          <w:rFonts w:ascii="Times New Roman" w:hAnsi="Times New Roman"/>
          <w:sz w:val="24"/>
          <w:szCs w:val="24"/>
        </w:rPr>
        <w:fldChar w:fldCharType="end"/>
      </w:r>
      <w:r w:rsidRPr="00311498">
        <w:rPr>
          <w:rFonts w:ascii="Times New Roman" w:hAnsi="Times New Roman"/>
          <w:sz w:val="24"/>
          <w:szCs w:val="24"/>
        </w:rPr>
        <w:t xml:space="preserve"> </w:t>
      </w:r>
      <w:r w:rsidR="007824E0" w:rsidRPr="00311498">
        <w:rPr>
          <w:rFonts w:ascii="Times New Roman" w:hAnsi="Times New Roman"/>
          <w:sz w:val="24"/>
          <w:szCs w:val="24"/>
        </w:rPr>
        <w:t>presents a</w:t>
      </w:r>
      <w:r w:rsidR="00F5104E" w:rsidRPr="00311498">
        <w:rPr>
          <w:rFonts w:ascii="Times New Roman" w:hAnsi="Times New Roman"/>
          <w:sz w:val="24"/>
          <w:szCs w:val="24"/>
        </w:rPr>
        <w:t xml:space="preserve"> summary of the costs to the federal government for this information</w:t>
      </w:r>
      <w:r w:rsidR="00CC21BD" w:rsidRPr="00311498">
        <w:rPr>
          <w:rFonts w:ascii="Times New Roman" w:hAnsi="Times New Roman"/>
          <w:sz w:val="24"/>
          <w:szCs w:val="24"/>
        </w:rPr>
        <w:t xml:space="preserve"> </w:t>
      </w:r>
      <w:r w:rsidR="00F5104E" w:rsidRPr="00311498">
        <w:rPr>
          <w:rFonts w:ascii="Times New Roman" w:hAnsi="Times New Roman"/>
          <w:sz w:val="24"/>
          <w:szCs w:val="24"/>
        </w:rPr>
        <w:t>collection.</w:t>
      </w:r>
    </w:p>
    <w:p w14:paraId="74F22432" w14:textId="77777777" w:rsidR="007824E0" w:rsidRPr="007F3CAE" w:rsidRDefault="007824E0" w:rsidP="00F5104E">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B2077" w:rsidRPr="002C7CCA" w14:paraId="6D97388B" w14:textId="77777777" w:rsidTr="002C7CCA">
        <w:tc>
          <w:tcPr>
            <w:tcW w:w="9576" w:type="dxa"/>
            <w:gridSpan w:val="2"/>
          </w:tcPr>
          <w:p w14:paraId="0863894E" w14:textId="77777777" w:rsidR="00DB2077" w:rsidRPr="002C7CCA" w:rsidRDefault="00311498" w:rsidP="0061312A">
            <w:pPr>
              <w:pStyle w:val="Caption"/>
              <w:keepNext/>
              <w:spacing w:after="0"/>
              <w:rPr>
                <w:rFonts w:ascii="Times New Roman" w:eastAsiaTheme="minorHAnsi" w:hAnsi="Times New Roman"/>
                <w:color w:val="auto"/>
                <w:sz w:val="24"/>
                <w:szCs w:val="24"/>
              </w:rPr>
            </w:pPr>
            <w:bookmarkStart w:id="12" w:name="_Ref416442059"/>
            <w:bookmarkStart w:id="13" w:name="_Ref295819736"/>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CE068E">
              <w:rPr>
                <w:rFonts w:ascii="Times New Roman" w:hAnsi="Times New Roman"/>
                <w:noProof/>
                <w:color w:val="auto"/>
                <w:sz w:val="24"/>
                <w:szCs w:val="24"/>
              </w:rPr>
              <w:t>13</w:t>
            </w:r>
            <w:r w:rsidRPr="00A82BDA">
              <w:rPr>
                <w:rFonts w:ascii="Times New Roman" w:hAnsi="Times New Roman"/>
                <w:color w:val="auto"/>
                <w:sz w:val="24"/>
                <w:szCs w:val="24"/>
              </w:rPr>
              <w:fldChar w:fldCharType="end"/>
            </w:r>
            <w:bookmarkEnd w:id="12"/>
            <w:r w:rsidRPr="00A82BDA">
              <w:rPr>
                <w:rFonts w:ascii="Times New Roman" w:hAnsi="Times New Roman"/>
                <w:color w:val="auto"/>
              </w:rPr>
              <w:t xml:space="preserve">: </w:t>
            </w:r>
            <w:bookmarkEnd w:id="13"/>
            <w:r w:rsidR="00DB2077" w:rsidRPr="002C7CCA">
              <w:rPr>
                <w:rFonts w:ascii="Times New Roman" w:eastAsiaTheme="minorHAnsi" w:hAnsi="Times New Roman"/>
                <w:bCs w:val="0"/>
                <w:color w:val="auto"/>
                <w:sz w:val="24"/>
                <w:szCs w:val="24"/>
              </w:rPr>
              <w:t>Government Estimated Annual Burden and Cost Summary (</w:t>
            </w:r>
            <w:r w:rsidR="0061312A">
              <w:rPr>
                <w:rFonts w:ascii="Times New Roman" w:eastAsiaTheme="minorHAnsi" w:hAnsi="Times New Roman"/>
                <w:bCs w:val="0"/>
                <w:color w:val="auto"/>
                <w:sz w:val="24"/>
                <w:szCs w:val="24"/>
              </w:rPr>
              <w:t>2</w:t>
            </w:r>
            <w:r w:rsidR="0061312A" w:rsidRPr="002C7CCA">
              <w:rPr>
                <w:rFonts w:ascii="Times New Roman" w:eastAsiaTheme="minorHAnsi" w:hAnsi="Times New Roman"/>
                <w:bCs w:val="0"/>
                <w:color w:val="auto"/>
                <w:sz w:val="24"/>
                <w:szCs w:val="24"/>
              </w:rPr>
              <w:t>01</w:t>
            </w:r>
            <w:r w:rsidR="0061312A">
              <w:rPr>
                <w:rFonts w:ascii="Times New Roman" w:eastAsiaTheme="minorHAnsi" w:hAnsi="Times New Roman"/>
                <w:bCs w:val="0"/>
                <w:color w:val="auto"/>
                <w:sz w:val="24"/>
                <w:szCs w:val="24"/>
              </w:rPr>
              <w:t>4</w:t>
            </w:r>
            <w:r w:rsidR="00DB2077" w:rsidRPr="002C7CCA">
              <w:rPr>
                <w:rFonts w:ascii="Times New Roman" w:eastAsiaTheme="minorHAnsi" w:hAnsi="Times New Roman"/>
                <w:bCs w:val="0"/>
                <w:color w:val="auto"/>
                <w:sz w:val="24"/>
                <w:szCs w:val="24"/>
              </w:rPr>
              <w:t>$)</w:t>
            </w:r>
          </w:p>
        </w:tc>
      </w:tr>
      <w:tr w:rsidR="00DB2077" w:rsidRPr="002C7CCA" w14:paraId="2A0D523F" w14:textId="77777777" w:rsidTr="002C7CCA">
        <w:tc>
          <w:tcPr>
            <w:tcW w:w="4788" w:type="dxa"/>
          </w:tcPr>
          <w:p w14:paraId="5D612A13"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Total FTEs</w:t>
            </w:r>
          </w:p>
        </w:tc>
        <w:tc>
          <w:tcPr>
            <w:tcW w:w="4788" w:type="dxa"/>
          </w:tcPr>
          <w:p w14:paraId="73980539" w14:textId="77777777" w:rsidR="00DB2077" w:rsidRPr="002C7CCA" w:rsidRDefault="00DB2077"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w:t>
            </w:r>
            <w:r w:rsidR="00FC1040" w:rsidRPr="002C7CCA">
              <w:rPr>
                <w:rFonts w:ascii="Times New Roman" w:eastAsiaTheme="minorHAnsi" w:hAnsi="Times New Roman"/>
                <w:sz w:val="24"/>
                <w:szCs w:val="24"/>
              </w:rPr>
              <w:t>3</w:t>
            </w:r>
          </w:p>
        </w:tc>
      </w:tr>
      <w:tr w:rsidR="00DB2077" w:rsidRPr="002C7CCA" w14:paraId="786178C6" w14:textId="77777777" w:rsidTr="002C7CCA">
        <w:tc>
          <w:tcPr>
            <w:tcW w:w="4788" w:type="dxa"/>
          </w:tcPr>
          <w:p w14:paraId="5C18FC26"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Loaded Cost per FTE</w:t>
            </w:r>
          </w:p>
        </w:tc>
        <w:tc>
          <w:tcPr>
            <w:tcW w:w="4788" w:type="dxa"/>
          </w:tcPr>
          <w:p w14:paraId="458E1FA9" w14:textId="039C9F18" w:rsidR="00DB2077" w:rsidRPr="002C7CCA" w:rsidRDefault="00DB2077"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F82981">
              <w:rPr>
                <w:rFonts w:ascii="Times New Roman" w:eastAsiaTheme="minorHAnsi" w:hAnsi="Times New Roman"/>
                <w:sz w:val="24"/>
                <w:szCs w:val="24"/>
              </w:rPr>
              <w:t>1</w:t>
            </w:r>
            <w:r w:rsidR="00CE068E">
              <w:rPr>
                <w:rFonts w:ascii="Times New Roman" w:eastAsiaTheme="minorHAnsi" w:hAnsi="Times New Roman"/>
                <w:sz w:val="24"/>
                <w:szCs w:val="24"/>
              </w:rPr>
              <w:t>30</w:t>
            </w:r>
            <w:r w:rsidR="00CF60A0">
              <w:rPr>
                <w:rFonts w:ascii="Times New Roman" w:eastAsiaTheme="minorHAnsi" w:hAnsi="Times New Roman"/>
                <w:sz w:val="24"/>
                <w:szCs w:val="24"/>
              </w:rPr>
              <w:t>,</w:t>
            </w:r>
            <w:r w:rsidR="00CE068E">
              <w:rPr>
                <w:rFonts w:ascii="Times New Roman" w:eastAsiaTheme="minorHAnsi" w:hAnsi="Times New Roman"/>
                <w:sz w:val="24"/>
                <w:szCs w:val="24"/>
              </w:rPr>
              <w:t>477</w:t>
            </w:r>
          </w:p>
        </w:tc>
      </w:tr>
      <w:tr w:rsidR="00DB2077" w:rsidRPr="002C7CCA" w14:paraId="193303E4" w14:textId="77777777" w:rsidTr="002C7CCA">
        <w:tc>
          <w:tcPr>
            <w:tcW w:w="4788" w:type="dxa"/>
          </w:tcPr>
          <w:p w14:paraId="4E6330BA"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Government Labor Cost</w:t>
            </w:r>
          </w:p>
        </w:tc>
        <w:tc>
          <w:tcPr>
            <w:tcW w:w="4788" w:type="dxa"/>
          </w:tcPr>
          <w:p w14:paraId="4E511F85" w14:textId="71D7D786" w:rsidR="00DB2077" w:rsidRPr="002C7CCA" w:rsidRDefault="00DB2077"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FC1040" w:rsidRPr="002C7CCA">
              <w:rPr>
                <w:rFonts w:ascii="Times New Roman" w:eastAsiaTheme="minorHAnsi" w:hAnsi="Times New Roman"/>
                <w:sz w:val="24"/>
                <w:szCs w:val="24"/>
              </w:rPr>
              <w:t>1</w:t>
            </w:r>
            <w:r w:rsidR="00CE068E">
              <w:rPr>
                <w:rFonts w:ascii="Times New Roman" w:eastAsiaTheme="minorHAnsi" w:hAnsi="Times New Roman"/>
                <w:sz w:val="24"/>
                <w:szCs w:val="24"/>
              </w:rPr>
              <w:t>69</w:t>
            </w:r>
            <w:r w:rsidR="00F82981">
              <w:rPr>
                <w:rFonts w:ascii="Times New Roman" w:eastAsiaTheme="minorHAnsi" w:hAnsi="Times New Roman"/>
                <w:sz w:val="24"/>
                <w:szCs w:val="24"/>
              </w:rPr>
              <w:t>,</w:t>
            </w:r>
            <w:r w:rsidR="00CE068E">
              <w:rPr>
                <w:rFonts w:ascii="Times New Roman" w:eastAsiaTheme="minorHAnsi" w:hAnsi="Times New Roman"/>
                <w:sz w:val="24"/>
                <w:szCs w:val="24"/>
              </w:rPr>
              <w:t>620</w:t>
            </w:r>
          </w:p>
        </w:tc>
      </w:tr>
      <w:tr w:rsidR="00DB2077" w:rsidRPr="002C7CCA" w14:paraId="06F14FB8" w14:textId="77777777" w:rsidTr="002C7CCA">
        <w:tc>
          <w:tcPr>
            <w:tcW w:w="4788" w:type="dxa"/>
          </w:tcPr>
          <w:p w14:paraId="5528FBBF"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Government Data Processing Cost</w:t>
            </w:r>
          </w:p>
        </w:tc>
        <w:tc>
          <w:tcPr>
            <w:tcW w:w="4788" w:type="dxa"/>
          </w:tcPr>
          <w:p w14:paraId="204EB7E3" w14:textId="007436A1" w:rsidR="00DB2077" w:rsidRPr="002C7CCA" w:rsidRDefault="00A61BEA"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 xml:space="preserve">    </w:t>
            </w:r>
            <w:r w:rsidR="00DB2077" w:rsidRPr="002C7CCA">
              <w:rPr>
                <w:rFonts w:ascii="Times New Roman" w:eastAsiaTheme="minorHAnsi" w:hAnsi="Times New Roman"/>
                <w:sz w:val="24"/>
                <w:szCs w:val="24"/>
              </w:rPr>
              <w:t>$</w:t>
            </w:r>
            <w:r w:rsidR="0044686C">
              <w:rPr>
                <w:rFonts w:ascii="Times New Roman" w:eastAsiaTheme="minorHAnsi" w:hAnsi="Times New Roman"/>
                <w:sz w:val="24"/>
                <w:szCs w:val="24"/>
              </w:rPr>
              <w:t>2</w:t>
            </w:r>
            <w:r w:rsidR="00CE068E">
              <w:rPr>
                <w:rFonts w:ascii="Times New Roman" w:eastAsiaTheme="minorHAnsi" w:hAnsi="Times New Roman"/>
                <w:sz w:val="24"/>
                <w:szCs w:val="24"/>
              </w:rPr>
              <w:t>95</w:t>
            </w:r>
          </w:p>
        </w:tc>
      </w:tr>
      <w:tr w:rsidR="00DB2077" w:rsidRPr="002C7CCA" w14:paraId="23CAD03F" w14:textId="77777777" w:rsidTr="002C7CCA">
        <w:tc>
          <w:tcPr>
            <w:tcW w:w="4788" w:type="dxa"/>
          </w:tcPr>
          <w:p w14:paraId="728BE78F" w14:textId="77777777" w:rsidR="00DB2077" w:rsidRPr="00665511" w:rsidRDefault="00DB2077" w:rsidP="002C7CCA">
            <w:pPr>
              <w:autoSpaceDE w:val="0"/>
              <w:autoSpaceDN w:val="0"/>
              <w:adjustRightInd w:val="0"/>
              <w:spacing w:after="0" w:line="240" w:lineRule="auto"/>
              <w:rPr>
                <w:rFonts w:ascii="Times New Roman" w:eastAsiaTheme="minorHAnsi" w:hAnsi="Times New Roman"/>
                <w:b/>
                <w:sz w:val="24"/>
                <w:szCs w:val="24"/>
              </w:rPr>
            </w:pPr>
            <w:r w:rsidRPr="00665511">
              <w:rPr>
                <w:rFonts w:ascii="Times New Roman" w:eastAsiaTheme="minorHAnsi" w:hAnsi="Times New Roman"/>
                <w:b/>
                <w:sz w:val="24"/>
                <w:szCs w:val="24"/>
              </w:rPr>
              <w:t>Total Annual Government Cost</w:t>
            </w:r>
          </w:p>
        </w:tc>
        <w:tc>
          <w:tcPr>
            <w:tcW w:w="4788" w:type="dxa"/>
          </w:tcPr>
          <w:p w14:paraId="7C3F4F1C" w14:textId="443B62A7" w:rsidR="00DB2077" w:rsidRPr="00665511" w:rsidRDefault="00DB2077" w:rsidP="00924D57">
            <w:pPr>
              <w:autoSpaceDE w:val="0"/>
              <w:autoSpaceDN w:val="0"/>
              <w:adjustRightInd w:val="0"/>
              <w:spacing w:after="0" w:line="240" w:lineRule="auto"/>
              <w:jc w:val="center"/>
              <w:rPr>
                <w:rFonts w:ascii="Times New Roman" w:eastAsiaTheme="minorHAnsi" w:hAnsi="Times New Roman"/>
                <w:b/>
                <w:sz w:val="24"/>
                <w:szCs w:val="24"/>
              </w:rPr>
            </w:pPr>
            <w:r w:rsidRPr="00665511">
              <w:rPr>
                <w:rFonts w:ascii="Times New Roman" w:eastAsiaTheme="minorHAnsi" w:hAnsi="Times New Roman"/>
                <w:b/>
                <w:sz w:val="24"/>
                <w:szCs w:val="24"/>
              </w:rPr>
              <w:t>$</w:t>
            </w:r>
            <w:r w:rsidR="00F82981" w:rsidRPr="00665511">
              <w:rPr>
                <w:rFonts w:ascii="Times New Roman" w:eastAsiaTheme="minorHAnsi" w:hAnsi="Times New Roman"/>
                <w:b/>
                <w:sz w:val="24"/>
                <w:szCs w:val="24"/>
              </w:rPr>
              <w:t>1</w:t>
            </w:r>
            <w:r w:rsidR="00CE068E">
              <w:rPr>
                <w:rFonts w:ascii="Times New Roman" w:eastAsiaTheme="minorHAnsi" w:hAnsi="Times New Roman"/>
                <w:b/>
                <w:sz w:val="24"/>
                <w:szCs w:val="24"/>
              </w:rPr>
              <w:t>69</w:t>
            </w:r>
            <w:r w:rsidR="00F82981" w:rsidRPr="00665511">
              <w:rPr>
                <w:rFonts w:ascii="Times New Roman" w:eastAsiaTheme="minorHAnsi" w:hAnsi="Times New Roman"/>
                <w:b/>
                <w:sz w:val="24"/>
                <w:szCs w:val="24"/>
              </w:rPr>
              <w:t>,</w:t>
            </w:r>
            <w:r w:rsidR="00CE068E">
              <w:rPr>
                <w:rFonts w:ascii="Times New Roman" w:eastAsiaTheme="minorHAnsi" w:hAnsi="Times New Roman"/>
                <w:b/>
                <w:sz w:val="24"/>
                <w:szCs w:val="24"/>
              </w:rPr>
              <w:t>915</w:t>
            </w:r>
          </w:p>
        </w:tc>
      </w:tr>
    </w:tbl>
    <w:p w14:paraId="36A3CA18" w14:textId="77777777" w:rsidR="00F5104E" w:rsidRPr="007F3CAE" w:rsidRDefault="003A43F2" w:rsidP="003A43F2">
      <w:pPr>
        <w:pStyle w:val="Heading2"/>
        <w:numPr>
          <w:ilvl w:val="0"/>
          <w:numId w:val="0"/>
        </w:numPr>
        <w:ind w:left="270" w:firstLine="450"/>
        <w:rPr>
          <w:rFonts w:ascii="Times New Roman" w:hAnsi="Times New Roman"/>
          <w:color w:val="auto"/>
          <w:sz w:val="24"/>
          <w:szCs w:val="24"/>
        </w:rPr>
      </w:pPr>
      <w:r>
        <w:rPr>
          <w:rFonts w:ascii="Times New Roman" w:hAnsi="Times New Roman"/>
          <w:color w:val="auto"/>
          <w:sz w:val="24"/>
          <w:szCs w:val="24"/>
        </w:rPr>
        <w:t>6(d)</w:t>
      </w:r>
      <w:r>
        <w:rPr>
          <w:rFonts w:ascii="Times New Roman" w:hAnsi="Times New Roman"/>
          <w:color w:val="auto"/>
          <w:sz w:val="24"/>
          <w:szCs w:val="24"/>
        </w:rPr>
        <w:tab/>
      </w:r>
      <w:r w:rsidR="00F5104E" w:rsidRPr="007F3CAE">
        <w:rPr>
          <w:rFonts w:ascii="Times New Roman" w:hAnsi="Times New Roman"/>
          <w:color w:val="auto"/>
          <w:sz w:val="24"/>
          <w:szCs w:val="24"/>
        </w:rPr>
        <w:t>Bottom Line Burden Hours and Costs</w:t>
      </w:r>
    </w:p>
    <w:p w14:paraId="448CBFF4" w14:textId="77777777" w:rsidR="003A43F2" w:rsidRDefault="003A43F2" w:rsidP="00F5104E">
      <w:pPr>
        <w:autoSpaceDE w:val="0"/>
        <w:autoSpaceDN w:val="0"/>
        <w:adjustRightInd w:val="0"/>
        <w:spacing w:after="0" w:line="240" w:lineRule="auto"/>
        <w:rPr>
          <w:rFonts w:ascii="Times New Roman" w:hAnsi="Times New Roman"/>
          <w:sz w:val="24"/>
          <w:szCs w:val="24"/>
          <w:u w:val="single"/>
        </w:rPr>
      </w:pPr>
    </w:p>
    <w:p w14:paraId="66ACC72F" w14:textId="2265F968" w:rsidR="00F5104E" w:rsidRPr="007F3CAE" w:rsidRDefault="00F5104E" w:rsidP="00F5104E">
      <w:pPr>
        <w:autoSpaceDE w:val="0"/>
        <w:autoSpaceDN w:val="0"/>
        <w:adjustRightInd w:val="0"/>
        <w:spacing w:after="0" w:line="240" w:lineRule="auto"/>
        <w:rPr>
          <w:rFonts w:ascii="Times New Roman" w:hAnsi="Times New Roman"/>
          <w:sz w:val="24"/>
          <w:szCs w:val="24"/>
          <w:u w:val="single"/>
        </w:rPr>
      </w:pPr>
      <w:r w:rsidRPr="007F3CAE">
        <w:rPr>
          <w:rFonts w:ascii="Times New Roman" w:hAnsi="Times New Roman"/>
          <w:sz w:val="24"/>
          <w:szCs w:val="24"/>
          <w:u w:val="single"/>
        </w:rPr>
        <w:t>Respondent Burden and Costs</w:t>
      </w:r>
      <w:r w:rsidR="00FC4076">
        <w:rPr>
          <w:rFonts w:ascii="Times New Roman" w:hAnsi="Times New Roman"/>
          <w:sz w:val="24"/>
          <w:szCs w:val="24"/>
          <w:u w:val="single"/>
        </w:rPr>
        <w:t>:</w:t>
      </w:r>
    </w:p>
    <w:p w14:paraId="0D624439" w14:textId="77777777" w:rsidR="00CC21BD" w:rsidRPr="007F3CAE" w:rsidRDefault="00CC21BD" w:rsidP="00F5104E">
      <w:pPr>
        <w:autoSpaceDE w:val="0"/>
        <w:autoSpaceDN w:val="0"/>
        <w:adjustRightInd w:val="0"/>
        <w:spacing w:after="0" w:line="240" w:lineRule="auto"/>
        <w:rPr>
          <w:rFonts w:ascii="Times New Roman" w:hAnsi="Times New Roman"/>
          <w:sz w:val="24"/>
          <w:szCs w:val="24"/>
          <w:u w:val="single"/>
        </w:rPr>
      </w:pPr>
    </w:p>
    <w:p w14:paraId="0DDFF2A3" w14:textId="4C0FE184" w:rsidR="00F5104E" w:rsidRPr="007F3CAE" w:rsidRDefault="00F5104E" w:rsidP="00FC4076">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 xml:space="preserve">Total respondent annual burden hours = </w:t>
      </w:r>
      <w:r w:rsidR="00CE3BFB">
        <w:rPr>
          <w:rFonts w:ascii="Times New Roman" w:hAnsi="Times New Roman"/>
          <w:sz w:val="24"/>
          <w:szCs w:val="24"/>
        </w:rPr>
        <w:t>3</w:t>
      </w:r>
      <w:r w:rsidR="00CE068E">
        <w:rPr>
          <w:rFonts w:ascii="Times New Roman" w:hAnsi="Times New Roman"/>
          <w:sz w:val="24"/>
          <w:szCs w:val="24"/>
        </w:rPr>
        <w:t>2</w:t>
      </w:r>
      <w:r w:rsidR="00CE3BFB">
        <w:rPr>
          <w:rFonts w:ascii="Times New Roman" w:hAnsi="Times New Roman"/>
          <w:sz w:val="24"/>
          <w:szCs w:val="24"/>
        </w:rPr>
        <w:t>.</w:t>
      </w:r>
      <w:r w:rsidR="00A91655">
        <w:rPr>
          <w:rFonts w:ascii="Times New Roman" w:hAnsi="Times New Roman"/>
          <w:sz w:val="24"/>
          <w:szCs w:val="24"/>
        </w:rPr>
        <w:t>9</w:t>
      </w:r>
      <w:r w:rsidR="00CE068E">
        <w:rPr>
          <w:rFonts w:ascii="Times New Roman" w:hAnsi="Times New Roman"/>
          <w:sz w:val="24"/>
          <w:szCs w:val="24"/>
        </w:rPr>
        <w:t>9</w:t>
      </w:r>
      <w:r w:rsidR="00CF60A0">
        <w:rPr>
          <w:rFonts w:ascii="Times New Roman" w:hAnsi="Times New Roman"/>
          <w:sz w:val="24"/>
          <w:szCs w:val="24"/>
        </w:rPr>
        <w:t xml:space="preserve"> </w:t>
      </w:r>
      <w:r w:rsidR="00CF60A0" w:rsidRPr="007F3CAE">
        <w:rPr>
          <w:rFonts w:ascii="Times New Roman" w:hAnsi="Times New Roman"/>
          <w:sz w:val="24"/>
          <w:szCs w:val="24"/>
        </w:rPr>
        <w:t>hours</w:t>
      </w:r>
    </w:p>
    <w:p w14:paraId="636C05F8" w14:textId="184B6DA1" w:rsidR="00F5104E" w:rsidRDefault="00F5104E" w:rsidP="00FC4076">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Total respondent annual costs = $</w:t>
      </w:r>
      <w:r w:rsidR="00380F8D">
        <w:rPr>
          <w:rFonts w:ascii="Times New Roman" w:hAnsi="Times New Roman"/>
          <w:sz w:val="24"/>
          <w:szCs w:val="24"/>
        </w:rPr>
        <w:t>2,</w:t>
      </w:r>
      <w:r w:rsidR="00A91655">
        <w:rPr>
          <w:rFonts w:ascii="Times New Roman" w:hAnsi="Times New Roman"/>
          <w:sz w:val="24"/>
          <w:szCs w:val="24"/>
        </w:rPr>
        <w:t>533</w:t>
      </w:r>
    </w:p>
    <w:p w14:paraId="422DE21F" w14:textId="77777777" w:rsidR="00EA3FE1" w:rsidRDefault="00EA3FE1" w:rsidP="00F5104E">
      <w:pPr>
        <w:autoSpaceDE w:val="0"/>
        <w:autoSpaceDN w:val="0"/>
        <w:adjustRightInd w:val="0"/>
        <w:spacing w:after="0" w:line="240" w:lineRule="auto"/>
        <w:rPr>
          <w:rFonts w:ascii="Times New Roman" w:hAnsi="Times New Roman"/>
          <w:sz w:val="24"/>
          <w:szCs w:val="24"/>
        </w:rPr>
      </w:pPr>
    </w:p>
    <w:p w14:paraId="75488FBB" w14:textId="47EEEF5D" w:rsidR="00F5104E" w:rsidRDefault="00CC21BD" w:rsidP="00F5104E">
      <w:pPr>
        <w:autoSpaceDE w:val="0"/>
        <w:autoSpaceDN w:val="0"/>
        <w:adjustRightInd w:val="0"/>
        <w:spacing w:after="0" w:line="240" w:lineRule="auto"/>
        <w:rPr>
          <w:rFonts w:ascii="Times New Roman" w:hAnsi="Times New Roman"/>
          <w:sz w:val="24"/>
          <w:szCs w:val="24"/>
          <w:u w:val="single"/>
        </w:rPr>
      </w:pPr>
      <w:r w:rsidRPr="007F3CAE">
        <w:rPr>
          <w:rFonts w:ascii="Times New Roman" w:hAnsi="Times New Roman"/>
          <w:sz w:val="24"/>
          <w:szCs w:val="24"/>
          <w:u w:val="single"/>
        </w:rPr>
        <w:t>Agency Burden and Costs</w:t>
      </w:r>
      <w:r w:rsidR="00FC4076">
        <w:rPr>
          <w:rFonts w:ascii="Times New Roman" w:hAnsi="Times New Roman"/>
          <w:sz w:val="24"/>
          <w:szCs w:val="24"/>
          <w:u w:val="single"/>
        </w:rPr>
        <w:t>:</w:t>
      </w:r>
    </w:p>
    <w:p w14:paraId="3461AE3C" w14:textId="77777777" w:rsidR="00FC4076" w:rsidRPr="007F3CAE" w:rsidRDefault="00FC4076" w:rsidP="00F5104E">
      <w:pPr>
        <w:autoSpaceDE w:val="0"/>
        <w:autoSpaceDN w:val="0"/>
        <w:adjustRightInd w:val="0"/>
        <w:spacing w:after="0" w:line="240" w:lineRule="auto"/>
        <w:rPr>
          <w:rFonts w:ascii="Times New Roman" w:hAnsi="Times New Roman"/>
          <w:sz w:val="24"/>
          <w:szCs w:val="24"/>
          <w:u w:val="single"/>
        </w:rPr>
      </w:pPr>
    </w:p>
    <w:p w14:paraId="7BBEFC48" w14:textId="77777777" w:rsidR="00F5104E" w:rsidRPr="007F3CAE" w:rsidRDefault="00F5104E" w:rsidP="00FC4076">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Agency burden hours: 1.</w:t>
      </w:r>
      <w:r w:rsidR="00FC1040" w:rsidRPr="007F3CAE">
        <w:rPr>
          <w:rFonts w:ascii="Times New Roman" w:hAnsi="Times New Roman"/>
          <w:sz w:val="24"/>
          <w:szCs w:val="24"/>
        </w:rPr>
        <w:t>3</w:t>
      </w:r>
      <w:r w:rsidRPr="007F3CAE">
        <w:rPr>
          <w:rFonts w:ascii="Times New Roman" w:hAnsi="Times New Roman"/>
          <w:sz w:val="24"/>
          <w:szCs w:val="24"/>
        </w:rPr>
        <w:t xml:space="preserve"> FTEs = 2</w:t>
      </w:r>
      <w:r w:rsidR="00A75729">
        <w:rPr>
          <w:rFonts w:ascii="Times New Roman" w:hAnsi="Times New Roman"/>
          <w:sz w:val="24"/>
          <w:szCs w:val="24"/>
        </w:rPr>
        <w:t>,</w:t>
      </w:r>
      <w:r w:rsidR="00CF60A0">
        <w:rPr>
          <w:rFonts w:ascii="Times New Roman" w:hAnsi="Times New Roman"/>
          <w:sz w:val="24"/>
          <w:szCs w:val="24"/>
        </w:rPr>
        <w:t>709.3</w:t>
      </w:r>
      <w:r w:rsidRPr="007F3CAE">
        <w:rPr>
          <w:rFonts w:ascii="Times New Roman" w:hAnsi="Times New Roman"/>
          <w:sz w:val="24"/>
          <w:szCs w:val="24"/>
        </w:rPr>
        <w:t xml:space="preserve"> hours</w:t>
      </w:r>
    </w:p>
    <w:p w14:paraId="68E14007" w14:textId="08E8BF9E" w:rsidR="00CC21BD" w:rsidRPr="007F3CAE" w:rsidRDefault="00F5104E" w:rsidP="00FC4076">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Agency annual costs = $</w:t>
      </w:r>
      <w:r w:rsidR="00CF60A0">
        <w:rPr>
          <w:rFonts w:ascii="Times New Roman" w:hAnsi="Times New Roman"/>
          <w:sz w:val="24"/>
          <w:szCs w:val="24"/>
        </w:rPr>
        <w:t>1</w:t>
      </w:r>
      <w:r w:rsidR="00CE068E">
        <w:rPr>
          <w:rFonts w:ascii="Times New Roman" w:hAnsi="Times New Roman"/>
          <w:sz w:val="24"/>
          <w:szCs w:val="24"/>
        </w:rPr>
        <w:t>69</w:t>
      </w:r>
      <w:r w:rsidR="00CF60A0">
        <w:rPr>
          <w:rFonts w:ascii="Times New Roman" w:hAnsi="Times New Roman"/>
          <w:sz w:val="24"/>
          <w:szCs w:val="24"/>
        </w:rPr>
        <w:t>,</w:t>
      </w:r>
      <w:r w:rsidR="00CE068E">
        <w:rPr>
          <w:rFonts w:ascii="Times New Roman" w:hAnsi="Times New Roman"/>
          <w:sz w:val="24"/>
          <w:szCs w:val="24"/>
        </w:rPr>
        <w:t>915</w:t>
      </w:r>
    </w:p>
    <w:p w14:paraId="24623FB6" w14:textId="77777777" w:rsidR="00F5104E" w:rsidRPr="007F3CAE" w:rsidRDefault="003A43F2" w:rsidP="00CA78BE">
      <w:pPr>
        <w:pStyle w:val="Heading2"/>
        <w:numPr>
          <w:ilvl w:val="0"/>
          <w:numId w:val="0"/>
        </w:numPr>
        <w:ind w:left="576" w:firstLine="144"/>
        <w:rPr>
          <w:rFonts w:ascii="Times New Roman" w:hAnsi="Times New Roman"/>
          <w:color w:val="auto"/>
          <w:sz w:val="24"/>
          <w:szCs w:val="24"/>
        </w:rPr>
      </w:pPr>
      <w:r>
        <w:rPr>
          <w:rFonts w:ascii="Times New Roman" w:hAnsi="Times New Roman"/>
          <w:color w:val="auto"/>
          <w:sz w:val="24"/>
          <w:szCs w:val="24"/>
        </w:rPr>
        <w:t>6(e)</w:t>
      </w:r>
      <w:r>
        <w:rPr>
          <w:rFonts w:ascii="Times New Roman" w:hAnsi="Times New Roman"/>
          <w:color w:val="auto"/>
          <w:sz w:val="24"/>
          <w:szCs w:val="24"/>
        </w:rPr>
        <w:tab/>
      </w:r>
      <w:r w:rsidR="00F5104E" w:rsidRPr="007F3CAE">
        <w:rPr>
          <w:rFonts w:ascii="Times New Roman" w:hAnsi="Times New Roman"/>
          <w:color w:val="auto"/>
          <w:sz w:val="24"/>
          <w:szCs w:val="24"/>
        </w:rPr>
        <w:t>Reason for Change in Burden</w:t>
      </w:r>
    </w:p>
    <w:p w14:paraId="6832E38F" w14:textId="77777777" w:rsidR="003A43F2" w:rsidRDefault="003A43F2" w:rsidP="00F5104E">
      <w:pPr>
        <w:autoSpaceDE w:val="0"/>
        <w:autoSpaceDN w:val="0"/>
        <w:adjustRightInd w:val="0"/>
        <w:spacing w:after="0" w:line="240" w:lineRule="auto"/>
        <w:rPr>
          <w:rFonts w:ascii="Times New Roman" w:hAnsi="Times New Roman"/>
          <w:sz w:val="24"/>
          <w:szCs w:val="24"/>
        </w:rPr>
      </w:pPr>
    </w:p>
    <w:p w14:paraId="0350D8DE" w14:textId="540D33EA" w:rsidR="00F5104E" w:rsidRDefault="00BA5EBC">
      <w:pPr>
        <w:autoSpaceDE w:val="0"/>
        <w:autoSpaceDN w:val="0"/>
        <w:adjustRightInd w:val="0"/>
        <w:spacing w:after="0" w:line="240" w:lineRule="auto"/>
        <w:ind w:firstLine="720"/>
        <w:rPr>
          <w:rFonts w:ascii="Times New Roman" w:hAnsi="Times New Roman"/>
          <w:sz w:val="24"/>
          <w:szCs w:val="24"/>
        </w:rPr>
      </w:pPr>
      <w:bookmarkStart w:id="14" w:name="_Hlk511740362"/>
      <w:r w:rsidRPr="007F3CAE">
        <w:rPr>
          <w:rFonts w:ascii="Times New Roman" w:hAnsi="Times New Roman"/>
          <w:sz w:val="24"/>
          <w:szCs w:val="24"/>
        </w:rPr>
        <w:t xml:space="preserve">This request reflects a </w:t>
      </w:r>
      <w:r w:rsidR="00DC1CBD">
        <w:rPr>
          <w:rFonts w:ascii="Times New Roman" w:hAnsi="Times New Roman"/>
          <w:sz w:val="24"/>
          <w:szCs w:val="24"/>
        </w:rPr>
        <w:t xml:space="preserve">slight increase </w:t>
      </w:r>
      <w:r w:rsidR="00F5104E" w:rsidRPr="007F3CAE">
        <w:rPr>
          <w:rFonts w:ascii="Times New Roman" w:hAnsi="Times New Roman"/>
          <w:sz w:val="24"/>
          <w:szCs w:val="24"/>
        </w:rPr>
        <w:t xml:space="preserve">in the estimated annual burden of </w:t>
      </w:r>
      <w:r w:rsidR="00DC1CBD">
        <w:rPr>
          <w:rFonts w:ascii="Times New Roman" w:hAnsi="Times New Roman"/>
          <w:sz w:val="24"/>
          <w:szCs w:val="24"/>
        </w:rPr>
        <w:t>1</w:t>
      </w:r>
      <w:r w:rsidR="00053C17" w:rsidRPr="007F3CAE">
        <w:rPr>
          <w:rFonts w:ascii="Times New Roman" w:hAnsi="Times New Roman"/>
          <w:sz w:val="24"/>
          <w:szCs w:val="24"/>
        </w:rPr>
        <w:t xml:space="preserve"> </w:t>
      </w:r>
      <w:r w:rsidR="00F5104E" w:rsidRPr="007F3CAE">
        <w:rPr>
          <w:rFonts w:ascii="Times New Roman" w:hAnsi="Times New Roman"/>
          <w:sz w:val="24"/>
          <w:szCs w:val="24"/>
        </w:rPr>
        <w:t>hour</w:t>
      </w:r>
      <w:r w:rsidR="00CC21BD" w:rsidRPr="007F3CAE">
        <w:rPr>
          <w:rFonts w:ascii="Times New Roman" w:hAnsi="Times New Roman"/>
          <w:sz w:val="24"/>
          <w:szCs w:val="24"/>
        </w:rPr>
        <w:t xml:space="preserve"> </w:t>
      </w:r>
      <w:r w:rsidR="00F5104E" w:rsidRPr="007F3CAE">
        <w:rPr>
          <w:rFonts w:ascii="Times New Roman" w:hAnsi="Times New Roman"/>
          <w:sz w:val="24"/>
          <w:szCs w:val="24"/>
        </w:rPr>
        <w:t xml:space="preserve">(from </w:t>
      </w:r>
      <w:r w:rsidR="00A91655">
        <w:rPr>
          <w:rFonts w:ascii="Times New Roman" w:hAnsi="Times New Roman"/>
          <w:sz w:val="24"/>
          <w:szCs w:val="24"/>
        </w:rPr>
        <w:t>32</w:t>
      </w:r>
      <w:r w:rsidR="00053C17">
        <w:rPr>
          <w:rFonts w:ascii="Times New Roman" w:hAnsi="Times New Roman"/>
          <w:sz w:val="24"/>
          <w:szCs w:val="24"/>
        </w:rPr>
        <w:t xml:space="preserve"> </w:t>
      </w:r>
      <w:r w:rsidR="00F5104E" w:rsidRPr="007F3CAE">
        <w:rPr>
          <w:rFonts w:ascii="Times New Roman" w:hAnsi="Times New Roman"/>
          <w:sz w:val="24"/>
          <w:szCs w:val="24"/>
        </w:rPr>
        <w:t xml:space="preserve">hours to </w:t>
      </w:r>
      <w:r w:rsidR="00CE3BFB">
        <w:rPr>
          <w:rFonts w:ascii="Times New Roman" w:hAnsi="Times New Roman"/>
          <w:sz w:val="24"/>
          <w:szCs w:val="24"/>
        </w:rPr>
        <w:t>3</w:t>
      </w:r>
      <w:r w:rsidR="00A91655">
        <w:rPr>
          <w:rFonts w:ascii="Times New Roman" w:hAnsi="Times New Roman"/>
          <w:sz w:val="24"/>
          <w:szCs w:val="24"/>
        </w:rPr>
        <w:t>3</w:t>
      </w:r>
      <w:r w:rsidR="00053C17" w:rsidRPr="007F3CAE">
        <w:rPr>
          <w:rFonts w:ascii="Times New Roman" w:hAnsi="Times New Roman"/>
          <w:sz w:val="24"/>
          <w:szCs w:val="24"/>
        </w:rPr>
        <w:t xml:space="preserve"> </w:t>
      </w:r>
      <w:r w:rsidR="00F5104E" w:rsidRPr="007F3CAE">
        <w:rPr>
          <w:rFonts w:ascii="Times New Roman" w:hAnsi="Times New Roman"/>
          <w:sz w:val="24"/>
          <w:szCs w:val="24"/>
        </w:rPr>
        <w:t xml:space="preserve">hours) from that currently in the OMB inventory. </w:t>
      </w:r>
      <w:r w:rsidR="00534DBD">
        <w:rPr>
          <w:rFonts w:ascii="Times New Roman" w:hAnsi="Times New Roman"/>
          <w:sz w:val="24"/>
          <w:szCs w:val="24"/>
        </w:rPr>
        <w:t>In the previous ICR update</w:t>
      </w:r>
      <w:r w:rsidR="00D27D1A">
        <w:rPr>
          <w:rFonts w:ascii="Times New Roman" w:hAnsi="Times New Roman"/>
          <w:sz w:val="24"/>
          <w:szCs w:val="24"/>
        </w:rPr>
        <w:t>,</w:t>
      </w:r>
      <w:r w:rsidR="00534DBD">
        <w:rPr>
          <w:rFonts w:ascii="Times New Roman" w:hAnsi="Times New Roman"/>
          <w:sz w:val="24"/>
          <w:szCs w:val="24"/>
        </w:rPr>
        <w:t xml:space="preserve"> EPA assumed 4 hours of managerial time per report</w:t>
      </w:r>
      <w:r w:rsidR="00D27D1A">
        <w:rPr>
          <w:rFonts w:ascii="Times New Roman" w:hAnsi="Times New Roman"/>
          <w:sz w:val="24"/>
          <w:szCs w:val="24"/>
        </w:rPr>
        <w:t xml:space="preserve"> related to the submitter’s decision whether to make a CBI claim</w:t>
      </w:r>
      <w:r w:rsidR="00534DBD">
        <w:rPr>
          <w:rFonts w:ascii="Times New Roman" w:hAnsi="Times New Roman"/>
          <w:sz w:val="24"/>
          <w:szCs w:val="24"/>
        </w:rPr>
        <w:t xml:space="preserve">; </w:t>
      </w:r>
      <w:r w:rsidR="00D27D1A">
        <w:rPr>
          <w:rFonts w:ascii="Times New Roman" w:hAnsi="Times New Roman"/>
          <w:sz w:val="24"/>
          <w:szCs w:val="24"/>
        </w:rPr>
        <w:t xml:space="preserve">whereas </w:t>
      </w:r>
      <w:r w:rsidR="00534DBD">
        <w:rPr>
          <w:rFonts w:ascii="Times New Roman" w:hAnsi="Times New Roman"/>
          <w:sz w:val="24"/>
          <w:szCs w:val="24"/>
        </w:rPr>
        <w:t xml:space="preserve">this update estimates a total of 5.345 hours per report. </w:t>
      </w:r>
      <w:r w:rsidR="00D27D1A">
        <w:rPr>
          <w:rFonts w:ascii="Times New Roman" w:hAnsi="Times New Roman"/>
          <w:sz w:val="24"/>
          <w:szCs w:val="24"/>
        </w:rPr>
        <w:t>EPA continues to attribute burden to CBI substantiation while also estimating an</w:t>
      </w:r>
      <w:r w:rsidR="00DC1CBD">
        <w:rPr>
          <w:rFonts w:ascii="Times New Roman" w:hAnsi="Times New Roman"/>
          <w:sz w:val="24"/>
          <w:szCs w:val="24"/>
        </w:rPr>
        <w:t xml:space="preserve"> increased </w:t>
      </w:r>
      <w:r w:rsidR="00D27D1A">
        <w:rPr>
          <w:rFonts w:ascii="Times New Roman" w:hAnsi="Times New Roman"/>
          <w:sz w:val="24"/>
          <w:szCs w:val="24"/>
        </w:rPr>
        <w:t xml:space="preserve">burden due to the </w:t>
      </w:r>
      <w:r w:rsidR="00FC4076">
        <w:rPr>
          <w:rFonts w:ascii="Times New Roman" w:hAnsi="Times New Roman"/>
          <w:sz w:val="24"/>
          <w:szCs w:val="24"/>
        </w:rPr>
        <w:t>revised</w:t>
      </w:r>
      <w:r w:rsidR="00D27D1A">
        <w:rPr>
          <w:rFonts w:ascii="Times New Roman" w:hAnsi="Times New Roman"/>
          <w:sz w:val="24"/>
          <w:szCs w:val="24"/>
        </w:rPr>
        <w:t xml:space="preserve"> </w:t>
      </w:r>
      <w:r w:rsidR="00DC1CBD">
        <w:rPr>
          <w:rFonts w:ascii="Times New Roman" w:hAnsi="Times New Roman"/>
          <w:sz w:val="24"/>
          <w:szCs w:val="24"/>
        </w:rPr>
        <w:t xml:space="preserve">CBI substantiation requirements </w:t>
      </w:r>
      <w:r w:rsidR="00FC4076">
        <w:rPr>
          <w:rFonts w:ascii="Times New Roman" w:hAnsi="Times New Roman"/>
          <w:sz w:val="24"/>
          <w:szCs w:val="24"/>
        </w:rPr>
        <w:t>in</w:t>
      </w:r>
      <w:r w:rsidR="00DC1CBD">
        <w:rPr>
          <w:rFonts w:ascii="Times New Roman" w:hAnsi="Times New Roman"/>
          <w:sz w:val="24"/>
          <w:szCs w:val="24"/>
        </w:rPr>
        <w:t xml:space="preserve"> the 2016 </w:t>
      </w:r>
      <w:r w:rsidR="00FC4076">
        <w:rPr>
          <w:rFonts w:ascii="Times New Roman" w:hAnsi="Times New Roman"/>
          <w:sz w:val="24"/>
          <w:szCs w:val="24"/>
        </w:rPr>
        <w:t>amendments to TSCA</w:t>
      </w:r>
      <w:r w:rsidR="00DC1CBD">
        <w:rPr>
          <w:rFonts w:ascii="Times New Roman" w:hAnsi="Times New Roman"/>
          <w:sz w:val="24"/>
          <w:szCs w:val="24"/>
        </w:rPr>
        <w:t>.</w:t>
      </w:r>
    </w:p>
    <w:p w14:paraId="198D6FAD" w14:textId="77777777" w:rsidR="00FC4076" w:rsidRDefault="00FC4076">
      <w:pPr>
        <w:autoSpaceDE w:val="0"/>
        <w:autoSpaceDN w:val="0"/>
        <w:adjustRightInd w:val="0"/>
        <w:spacing w:after="0" w:line="240" w:lineRule="auto"/>
        <w:ind w:firstLine="720"/>
        <w:rPr>
          <w:rFonts w:ascii="Times New Roman" w:hAnsi="Times New Roman"/>
          <w:sz w:val="24"/>
          <w:szCs w:val="24"/>
        </w:rPr>
      </w:pPr>
    </w:p>
    <w:tbl>
      <w:tblPr>
        <w:tblStyle w:val="TableGrid"/>
        <w:tblW w:w="0" w:type="auto"/>
        <w:tblInd w:w="18" w:type="dxa"/>
        <w:tblLayout w:type="fixed"/>
        <w:tblLook w:val="04A0" w:firstRow="1" w:lastRow="0" w:firstColumn="1" w:lastColumn="0" w:noHBand="0" w:noVBand="1"/>
      </w:tblPr>
      <w:tblGrid>
        <w:gridCol w:w="247"/>
        <w:gridCol w:w="6869"/>
        <w:gridCol w:w="1704"/>
      </w:tblGrid>
      <w:tr w:rsidR="00053C17" w:rsidRPr="00311498" w14:paraId="3009E31D" w14:textId="77777777" w:rsidTr="001C68C9">
        <w:trPr>
          <w:trHeight w:val="300"/>
        </w:trPr>
        <w:tc>
          <w:tcPr>
            <w:tcW w:w="8820" w:type="dxa"/>
            <w:gridSpan w:val="3"/>
            <w:hideMark/>
          </w:tcPr>
          <w:bookmarkEnd w:id="14"/>
          <w:p w14:paraId="3F836D6E" w14:textId="77777777" w:rsidR="00053C17" w:rsidRPr="00311498" w:rsidRDefault="00311498" w:rsidP="00053C17">
            <w:pPr>
              <w:autoSpaceDE w:val="0"/>
              <w:autoSpaceDN w:val="0"/>
              <w:adjustRightInd w:val="0"/>
              <w:spacing w:after="0" w:line="240" w:lineRule="auto"/>
              <w:ind w:firstLine="720"/>
              <w:rPr>
                <w:rFonts w:ascii="Times New Roman" w:hAnsi="Times New Roman"/>
                <w:b/>
                <w:bCs/>
                <w:sz w:val="24"/>
                <w:szCs w:val="24"/>
              </w:rPr>
            </w:pPr>
            <w:r w:rsidRPr="00311498">
              <w:rPr>
                <w:rFonts w:ascii="Times New Roman" w:hAnsi="Times New Roman"/>
                <w:b/>
                <w:sz w:val="24"/>
                <w:szCs w:val="24"/>
              </w:rPr>
              <w:t xml:space="preserve">Table </w:t>
            </w:r>
            <w:r w:rsidRPr="00B647B7">
              <w:rPr>
                <w:rFonts w:ascii="Times New Roman" w:hAnsi="Times New Roman"/>
                <w:b/>
                <w:sz w:val="24"/>
                <w:szCs w:val="24"/>
              </w:rPr>
              <w:fldChar w:fldCharType="begin"/>
            </w:r>
            <w:r w:rsidRPr="00311498">
              <w:rPr>
                <w:rFonts w:ascii="Times New Roman" w:hAnsi="Times New Roman"/>
                <w:b/>
                <w:sz w:val="24"/>
                <w:szCs w:val="24"/>
              </w:rPr>
              <w:instrText xml:space="preserve"> SEQ Table \* ARABIC </w:instrText>
            </w:r>
            <w:r w:rsidRPr="00B647B7">
              <w:rPr>
                <w:rFonts w:ascii="Times New Roman" w:hAnsi="Times New Roman"/>
                <w:b/>
                <w:sz w:val="24"/>
                <w:szCs w:val="24"/>
              </w:rPr>
              <w:fldChar w:fldCharType="separate"/>
            </w:r>
            <w:r w:rsidR="00CE068E">
              <w:rPr>
                <w:rFonts w:ascii="Times New Roman" w:hAnsi="Times New Roman"/>
                <w:b/>
                <w:noProof/>
                <w:sz w:val="24"/>
                <w:szCs w:val="24"/>
              </w:rPr>
              <w:t>14</w:t>
            </w:r>
            <w:r w:rsidRPr="00B647B7">
              <w:rPr>
                <w:rFonts w:ascii="Times New Roman" w:hAnsi="Times New Roman"/>
                <w:b/>
                <w:sz w:val="24"/>
                <w:szCs w:val="24"/>
              </w:rPr>
              <w:fldChar w:fldCharType="end"/>
            </w:r>
            <w:r w:rsidRPr="00665511">
              <w:rPr>
                <w:rFonts w:ascii="Times New Roman" w:hAnsi="Times New Roman"/>
                <w:b/>
              </w:rPr>
              <w:t xml:space="preserve">: Annual </w:t>
            </w:r>
            <w:r w:rsidR="00053C17" w:rsidRPr="00311498">
              <w:rPr>
                <w:rFonts w:ascii="Times New Roman" w:hAnsi="Times New Roman"/>
                <w:b/>
                <w:bCs/>
                <w:sz w:val="24"/>
                <w:szCs w:val="24"/>
              </w:rPr>
              <w:t>Burden Hour Change</w:t>
            </w:r>
          </w:p>
        </w:tc>
      </w:tr>
      <w:tr w:rsidR="00053C17" w:rsidRPr="00053C17" w14:paraId="75652DF8" w14:textId="77777777" w:rsidTr="001C68C9">
        <w:trPr>
          <w:trHeight w:val="300"/>
        </w:trPr>
        <w:tc>
          <w:tcPr>
            <w:tcW w:w="7116" w:type="dxa"/>
            <w:gridSpan w:val="2"/>
            <w:vAlign w:val="center"/>
            <w:hideMark/>
          </w:tcPr>
          <w:p w14:paraId="065A9453" w14:textId="77777777" w:rsidR="00053C17" w:rsidRPr="00053C17" w:rsidRDefault="00053C17" w:rsidP="00665511">
            <w:pPr>
              <w:autoSpaceDE w:val="0"/>
              <w:autoSpaceDN w:val="0"/>
              <w:adjustRightInd w:val="0"/>
              <w:spacing w:after="0" w:line="240" w:lineRule="auto"/>
              <w:rPr>
                <w:rFonts w:ascii="Times New Roman" w:hAnsi="Times New Roman"/>
                <w:sz w:val="24"/>
                <w:szCs w:val="24"/>
              </w:rPr>
            </w:pPr>
            <w:r w:rsidRPr="00053C17">
              <w:rPr>
                <w:rFonts w:ascii="Times New Roman" w:hAnsi="Times New Roman"/>
                <w:sz w:val="24"/>
                <w:szCs w:val="24"/>
              </w:rPr>
              <w:t>Starting Burden</w:t>
            </w:r>
          </w:p>
        </w:tc>
        <w:tc>
          <w:tcPr>
            <w:tcW w:w="1704" w:type="dxa"/>
            <w:vAlign w:val="center"/>
            <w:hideMark/>
          </w:tcPr>
          <w:p w14:paraId="5BF8DDE3" w14:textId="1D91E487" w:rsidR="00053C17" w:rsidRPr="00053C17" w:rsidRDefault="00A91655" w:rsidP="0066551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31.9</w:t>
            </w:r>
            <w:r w:rsidR="00DC1CBD">
              <w:rPr>
                <w:rFonts w:ascii="Times New Roman" w:hAnsi="Times New Roman"/>
                <w:sz w:val="24"/>
                <w:szCs w:val="24"/>
              </w:rPr>
              <w:t>8</w:t>
            </w:r>
          </w:p>
        </w:tc>
      </w:tr>
      <w:tr w:rsidR="00053C17" w:rsidRPr="00053C17" w14:paraId="58F64B2C" w14:textId="77777777" w:rsidTr="001C68C9">
        <w:trPr>
          <w:trHeight w:val="225"/>
        </w:trPr>
        <w:tc>
          <w:tcPr>
            <w:tcW w:w="7116" w:type="dxa"/>
            <w:gridSpan w:val="2"/>
            <w:hideMark/>
          </w:tcPr>
          <w:p w14:paraId="2B50F0A4" w14:textId="77777777" w:rsidR="00053C17" w:rsidRPr="00053C17" w:rsidRDefault="00053C17" w:rsidP="00665511">
            <w:pPr>
              <w:autoSpaceDE w:val="0"/>
              <w:autoSpaceDN w:val="0"/>
              <w:adjustRightInd w:val="0"/>
              <w:spacing w:after="0" w:line="240" w:lineRule="auto"/>
              <w:rPr>
                <w:rFonts w:ascii="Times New Roman" w:hAnsi="Times New Roman"/>
                <w:sz w:val="24"/>
                <w:szCs w:val="24"/>
              </w:rPr>
            </w:pPr>
            <w:r w:rsidRPr="00053C17">
              <w:rPr>
                <w:rFonts w:ascii="Times New Roman" w:hAnsi="Times New Roman"/>
                <w:sz w:val="24"/>
                <w:szCs w:val="24"/>
              </w:rPr>
              <w:t>Program Changes</w:t>
            </w:r>
          </w:p>
        </w:tc>
        <w:tc>
          <w:tcPr>
            <w:tcW w:w="1704" w:type="dxa"/>
            <w:noWrap/>
            <w:vAlign w:val="center"/>
            <w:hideMark/>
          </w:tcPr>
          <w:p w14:paraId="5B2C98FF" w14:textId="77777777" w:rsidR="00053C17" w:rsidRPr="00053C17" w:rsidRDefault="00053C17" w:rsidP="00665511">
            <w:pPr>
              <w:autoSpaceDE w:val="0"/>
              <w:autoSpaceDN w:val="0"/>
              <w:adjustRightInd w:val="0"/>
              <w:spacing w:after="0" w:line="240" w:lineRule="auto"/>
              <w:ind w:firstLine="720"/>
              <w:jc w:val="center"/>
              <w:rPr>
                <w:rFonts w:ascii="Times New Roman" w:hAnsi="Times New Roman"/>
                <w:sz w:val="24"/>
                <w:szCs w:val="24"/>
              </w:rPr>
            </w:pPr>
          </w:p>
        </w:tc>
      </w:tr>
      <w:tr w:rsidR="00053C17" w:rsidRPr="00053C17" w14:paraId="036FB988" w14:textId="77777777" w:rsidTr="001C68C9">
        <w:trPr>
          <w:trHeight w:val="285"/>
        </w:trPr>
        <w:tc>
          <w:tcPr>
            <w:tcW w:w="247" w:type="dxa"/>
            <w:tcBorders>
              <w:right w:val="nil"/>
            </w:tcBorders>
            <w:hideMark/>
          </w:tcPr>
          <w:p w14:paraId="7BAEBD55" w14:textId="77777777" w:rsidR="00053C17" w:rsidRPr="00053C17" w:rsidRDefault="00053C17" w:rsidP="00053C17">
            <w:pPr>
              <w:autoSpaceDE w:val="0"/>
              <w:autoSpaceDN w:val="0"/>
              <w:adjustRightInd w:val="0"/>
              <w:spacing w:after="0" w:line="240" w:lineRule="auto"/>
              <w:ind w:firstLine="720"/>
              <w:rPr>
                <w:rFonts w:ascii="Times New Roman" w:hAnsi="Times New Roman"/>
                <w:sz w:val="24"/>
                <w:szCs w:val="24"/>
              </w:rPr>
            </w:pPr>
            <w:r w:rsidRPr="00053C17">
              <w:rPr>
                <w:rFonts w:ascii="Times New Roman" w:hAnsi="Times New Roman"/>
                <w:sz w:val="24"/>
                <w:szCs w:val="24"/>
              </w:rPr>
              <w:t> </w:t>
            </w:r>
          </w:p>
        </w:tc>
        <w:tc>
          <w:tcPr>
            <w:tcW w:w="6869" w:type="dxa"/>
            <w:tcBorders>
              <w:left w:val="nil"/>
            </w:tcBorders>
            <w:hideMark/>
          </w:tcPr>
          <w:p w14:paraId="79A26AB9" w14:textId="686015CD" w:rsidR="00053C17" w:rsidRPr="00053C17" w:rsidRDefault="00053C17" w:rsidP="001C68C9">
            <w:pPr>
              <w:autoSpaceDE w:val="0"/>
              <w:autoSpaceDN w:val="0"/>
              <w:adjustRightInd w:val="0"/>
              <w:spacing w:after="0" w:line="240" w:lineRule="auto"/>
              <w:rPr>
                <w:rFonts w:ascii="Times New Roman" w:hAnsi="Times New Roman"/>
                <w:i/>
                <w:iCs/>
                <w:sz w:val="24"/>
                <w:szCs w:val="24"/>
              </w:rPr>
            </w:pPr>
            <w:r w:rsidRPr="00053C17">
              <w:rPr>
                <w:rFonts w:ascii="Times New Roman" w:hAnsi="Times New Roman"/>
                <w:i/>
                <w:iCs/>
                <w:sz w:val="24"/>
                <w:szCs w:val="24"/>
              </w:rPr>
              <w:t xml:space="preserve">Changes due to </w:t>
            </w:r>
            <w:r w:rsidR="00BB5E09">
              <w:rPr>
                <w:rFonts w:ascii="Times New Roman" w:hAnsi="Times New Roman"/>
                <w:i/>
                <w:iCs/>
                <w:sz w:val="24"/>
                <w:szCs w:val="24"/>
              </w:rPr>
              <w:t>statutory requirement for upfront CBI substantiation</w:t>
            </w:r>
          </w:p>
        </w:tc>
        <w:tc>
          <w:tcPr>
            <w:tcW w:w="1704" w:type="dxa"/>
            <w:noWrap/>
            <w:vAlign w:val="center"/>
            <w:hideMark/>
          </w:tcPr>
          <w:p w14:paraId="66E53D5B" w14:textId="7635C751" w:rsidR="00053C17" w:rsidRPr="00053C17" w:rsidRDefault="00DC1CBD" w:rsidP="008F26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1</w:t>
            </w:r>
            <w:r w:rsidR="00F722B8">
              <w:rPr>
                <w:rFonts w:ascii="Times New Roman" w:hAnsi="Times New Roman"/>
                <w:i/>
                <w:iCs/>
                <w:sz w:val="24"/>
                <w:szCs w:val="24"/>
              </w:rPr>
              <w:t>.</w:t>
            </w:r>
            <w:r>
              <w:rPr>
                <w:rFonts w:ascii="Times New Roman" w:hAnsi="Times New Roman"/>
                <w:i/>
                <w:iCs/>
                <w:sz w:val="24"/>
                <w:szCs w:val="24"/>
              </w:rPr>
              <w:t>01</w:t>
            </w:r>
          </w:p>
        </w:tc>
      </w:tr>
      <w:tr w:rsidR="00DC7D34" w:rsidRPr="00053C17" w14:paraId="05A33E4C" w14:textId="77777777" w:rsidTr="001C68C9">
        <w:trPr>
          <w:trHeight w:val="300"/>
        </w:trPr>
        <w:tc>
          <w:tcPr>
            <w:tcW w:w="7116" w:type="dxa"/>
            <w:gridSpan w:val="2"/>
            <w:vAlign w:val="center"/>
            <w:hideMark/>
          </w:tcPr>
          <w:p w14:paraId="702D5857" w14:textId="77777777" w:rsidR="00DC7D34" w:rsidRPr="00053C17" w:rsidRDefault="00DC7D34" w:rsidP="00DC7D34">
            <w:pPr>
              <w:autoSpaceDE w:val="0"/>
              <w:autoSpaceDN w:val="0"/>
              <w:adjustRightInd w:val="0"/>
              <w:spacing w:after="0" w:line="240" w:lineRule="auto"/>
              <w:ind w:firstLine="720"/>
              <w:jc w:val="right"/>
              <w:rPr>
                <w:rFonts w:ascii="Times New Roman" w:hAnsi="Times New Roman"/>
                <w:b/>
                <w:bCs/>
                <w:i/>
                <w:iCs/>
                <w:sz w:val="24"/>
                <w:szCs w:val="24"/>
              </w:rPr>
            </w:pPr>
            <w:r w:rsidRPr="00053C17">
              <w:rPr>
                <w:rFonts w:ascii="Times New Roman" w:hAnsi="Times New Roman"/>
                <w:b/>
                <w:bCs/>
                <w:i/>
                <w:iCs/>
                <w:sz w:val="24"/>
                <w:szCs w:val="24"/>
              </w:rPr>
              <w:t>Total Change</w:t>
            </w:r>
          </w:p>
        </w:tc>
        <w:tc>
          <w:tcPr>
            <w:tcW w:w="1704" w:type="dxa"/>
            <w:noWrap/>
            <w:vAlign w:val="bottom"/>
            <w:hideMark/>
          </w:tcPr>
          <w:p w14:paraId="16A2FBD1" w14:textId="27FF51E1" w:rsidR="00DC7D34" w:rsidRPr="00DC7D34" w:rsidRDefault="00DC1CBD" w:rsidP="00DC7D34">
            <w:pPr>
              <w:autoSpaceDE w:val="0"/>
              <w:autoSpaceDN w:val="0"/>
              <w:adjustRightInd w:val="0"/>
              <w:spacing w:after="0" w:line="240" w:lineRule="auto"/>
              <w:jc w:val="center"/>
              <w:rPr>
                <w:rFonts w:ascii="Times New Roman" w:hAnsi="Times New Roman"/>
                <w:b/>
                <w:bCs/>
                <w:i/>
                <w:iCs/>
              </w:rPr>
            </w:pPr>
            <w:r>
              <w:rPr>
                <w:rFonts w:ascii="Times New Roman" w:hAnsi="Times New Roman"/>
                <w:b/>
                <w:bCs/>
                <w:i/>
                <w:iCs/>
                <w:color w:val="000000"/>
              </w:rPr>
              <w:t>1.01</w:t>
            </w:r>
          </w:p>
        </w:tc>
      </w:tr>
      <w:tr w:rsidR="00DC7D34" w:rsidRPr="00053C17" w14:paraId="2B8C1461" w14:textId="77777777" w:rsidTr="001C68C9">
        <w:trPr>
          <w:trHeight w:val="300"/>
        </w:trPr>
        <w:tc>
          <w:tcPr>
            <w:tcW w:w="7116" w:type="dxa"/>
            <w:gridSpan w:val="2"/>
            <w:noWrap/>
            <w:vAlign w:val="center"/>
            <w:hideMark/>
          </w:tcPr>
          <w:p w14:paraId="62999404" w14:textId="77777777" w:rsidR="00DC7D34" w:rsidRPr="00053C17" w:rsidRDefault="00DC7D34" w:rsidP="00DC7D34">
            <w:pPr>
              <w:autoSpaceDE w:val="0"/>
              <w:autoSpaceDN w:val="0"/>
              <w:adjustRightInd w:val="0"/>
              <w:spacing w:after="0" w:line="240" w:lineRule="auto"/>
              <w:ind w:firstLine="720"/>
              <w:jc w:val="right"/>
              <w:rPr>
                <w:rFonts w:ascii="Times New Roman" w:hAnsi="Times New Roman"/>
                <w:b/>
                <w:bCs/>
                <w:sz w:val="24"/>
                <w:szCs w:val="24"/>
              </w:rPr>
            </w:pPr>
            <w:r w:rsidRPr="00053C17">
              <w:rPr>
                <w:rFonts w:ascii="Times New Roman" w:hAnsi="Times New Roman"/>
                <w:b/>
                <w:bCs/>
                <w:sz w:val="24"/>
                <w:szCs w:val="24"/>
              </w:rPr>
              <w:t xml:space="preserve">Total Annual Burden </w:t>
            </w:r>
          </w:p>
        </w:tc>
        <w:tc>
          <w:tcPr>
            <w:tcW w:w="1704" w:type="dxa"/>
            <w:noWrap/>
            <w:vAlign w:val="bottom"/>
            <w:hideMark/>
          </w:tcPr>
          <w:p w14:paraId="38D05650" w14:textId="16BAD287" w:rsidR="00DC7D34" w:rsidRPr="00DC7D34" w:rsidRDefault="00DC7D34" w:rsidP="00DC7D34">
            <w:pPr>
              <w:autoSpaceDE w:val="0"/>
              <w:autoSpaceDN w:val="0"/>
              <w:adjustRightInd w:val="0"/>
              <w:spacing w:after="0" w:line="240" w:lineRule="auto"/>
              <w:jc w:val="center"/>
              <w:rPr>
                <w:rFonts w:ascii="Times New Roman" w:hAnsi="Times New Roman"/>
                <w:b/>
                <w:bCs/>
              </w:rPr>
            </w:pPr>
            <w:r w:rsidRPr="00DC7D34">
              <w:rPr>
                <w:rFonts w:ascii="Times New Roman" w:hAnsi="Times New Roman"/>
                <w:b/>
                <w:bCs/>
                <w:color w:val="000000"/>
              </w:rPr>
              <w:t>3</w:t>
            </w:r>
            <w:r w:rsidR="00DC1CBD">
              <w:rPr>
                <w:rFonts w:ascii="Times New Roman" w:hAnsi="Times New Roman"/>
                <w:b/>
                <w:bCs/>
                <w:color w:val="000000"/>
              </w:rPr>
              <w:t>2</w:t>
            </w:r>
            <w:r w:rsidRPr="00DC7D34">
              <w:rPr>
                <w:rFonts w:ascii="Times New Roman" w:hAnsi="Times New Roman"/>
                <w:b/>
                <w:bCs/>
                <w:color w:val="000000"/>
              </w:rPr>
              <w:t>.</w:t>
            </w:r>
            <w:r w:rsidR="00A91655">
              <w:rPr>
                <w:rFonts w:ascii="Times New Roman" w:hAnsi="Times New Roman"/>
                <w:b/>
                <w:bCs/>
                <w:color w:val="000000"/>
              </w:rPr>
              <w:t>9</w:t>
            </w:r>
            <w:r w:rsidR="00DC1CBD">
              <w:rPr>
                <w:rFonts w:ascii="Times New Roman" w:hAnsi="Times New Roman"/>
                <w:b/>
                <w:bCs/>
                <w:color w:val="000000"/>
              </w:rPr>
              <w:t>9</w:t>
            </w:r>
          </w:p>
        </w:tc>
      </w:tr>
    </w:tbl>
    <w:p w14:paraId="37F6947F" w14:textId="77777777" w:rsidR="00053C17" w:rsidRDefault="00053C17">
      <w:pPr>
        <w:autoSpaceDE w:val="0"/>
        <w:autoSpaceDN w:val="0"/>
        <w:adjustRightInd w:val="0"/>
        <w:spacing w:after="0" w:line="240" w:lineRule="auto"/>
        <w:ind w:firstLine="720"/>
        <w:rPr>
          <w:rFonts w:ascii="Times New Roman" w:hAnsi="Times New Roman"/>
          <w:sz w:val="24"/>
          <w:szCs w:val="24"/>
        </w:rPr>
      </w:pPr>
    </w:p>
    <w:p w14:paraId="09AB9C04" w14:textId="77777777" w:rsidR="00F5104E" w:rsidRPr="007F3CAE" w:rsidRDefault="003A43F2" w:rsidP="002B3D56">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6(f)</w:t>
      </w:r>
      <w:r>
        <w:rPr>
          <w:rFonts w:ascii="Times New Roman" w:hAnsi="Times New Roman"/>
          <w:color w:val="auto"/>
          <w:sz w:val="24"/>
          <w:szCs w:val="24"/>
        </w:rPr>
        <w:tab/>
      </w:r>
      <w:r w:rsidR="00F5104E" w:rsidRPr="007F3CAE">
        <w:rPr>
          <w:rFonts w:ascii="Times New Roman" w:hAnsi="Times New Roman"/>
          <w:color w:val="auto"/>
          <w:sz w:val="24"/>
          <w:szCs w:val="24"/>
        </w:rPr>
        <w:t>Burden Statement</w:t>
      </w:r>
    </w:p>
    <w:p w14:paraId="178CEAB2" w14:textId="77777777" w:rsidR="00DA409E" w:rsidRDefault="00DA409E" w:rsidP="00DA409E">
      <w:pPr>
        <w:autoSpaceDE w:val="0"/>
        <w:autoSpaceDN w:val="0"/>
        <w:adjustRightInd w:val="0"/>
        <w:spacing w:after="0" w:line="240" w:lineRule="auto"/>
        <w:rPr>
          <w:rFonts w:ascii="Times New Roman" w:hAnsi="Times New Roman"/>
          <w:sz w:val="24"/>
          <w:szCs w:val="24"/>
        </w:rPr>
      </w:pPr>
    </w:p>
    <w:p w14:paraId="14146CB5" w14:textId="4BC790EF" w:rsidR="00DA409E" w:rsidRPr="00DA409E" w:rsidRDefault="00DA409E" w:rsidP="00CA78BE">
      <w:pPr>
        <w:autoSpaceDE w:val="0"/>
        <w:autoSpaceDN w:val="0"/>
        <w:adjustRightInd w:val="0"/>
        <w:spacing w:after="0" w:line="240" w:lineRule="auto"/>
        <w:ind w:firstLine="720"/>
        <w:rPr>
          <w:rFonts w:ascii="Times New Roman" w:hAnsi="Times New Roman"/>
          <w:sz w:val="24"/>
          <w:szCs w:val="24"/>
        </w:rPr>
      </w:pPr>
      <w:r w:rsidRPr="00DA409E">
        <w:rPr>
          <w:rFonts w:ascii="Times New Roman" w:hAnsi="Times New Roman"/>
          <w:sz w:val="24"/>
          <w:szCs w:val="24"/>
        </w:rPr>
        <w:t>The annual public burden for this collection of information, which is approved under OMB Control No. 2070-0</w:t>
      </w:r>
      <w:r w:rsidR="003A43F2">
        <w:rPr>
          <w:rFonts w:ascii="Times New Roman" w:hAnsi="Times New Roman"/>
          <w:sz w:val="24"/>
          <w:szCs w:val="24"/>
        </w:rPr>
        <w:t>054</w:t>
      </w:r>
      <w:r w:rsidRPr="00DA409E">
        <w:rPr>
          <w:rFonts w:ascii="Times New Roman" w:hAnsi="Times New Roman"/>
          <w:sz w:val="24"/>
          <w:szCs w:val="24"/>
        </w:rPr>
        <w:t xml:space="preserve">, is estimated to </w:t>
      </w:r>
      <w:r w:rsidR="00FE09F0">
        <w:rPr>
          <w:rFonts w:ascii="Times New Roman" w:hAnsi="Times New Roman"/>
          <w:color w:val="000000"/>
          <w:sz w:val="24"/>
          <w:szCs w:val="24"/>
        </w:rPr>
        <w:t xml:space="preserve">average </w:t>
      </w:r>
      <w:r w:rsidR="00EE0A54">
        <w:rPr>
          <w:rFonts w:ascii="Times New Roman" w:hAnsi="Times New Roman"/>
          <w:color w:val="000000"/>
          <w:sz w:val="24"/>
          <w:szCs w:val="24"/>
        </w:rPr>
        <w:t>3</w:t>
      </w:r>
      <w:r w:rsidR="00A91655">
        <w:rPr>
          <w:rFonts w:ascii="Times New Roman" w:hAnsi="Times New Roman"/>
          <w:color w:val="000000"/>
          <w:sz w:val="24"/>
          <w:szCs w:val="24"/>
        </w:rPr>
        <w:t>3</w:t>
      </w:r>
      <w:r w:rsidR="00EE0A54">
        <w:rPr>
          <w:rFonts w:ascii="Times New Roman" w:hAnsi="Times New Roman"/>
          <w:color w:val="000000"/>
          <w:sz w:val="24"/>
          <w:szCs w:val="24"/>
        </w:rPr>
        <w:t>.</w:t>
      </w:r>
      <w:r w:rsidR="00A91655">
        <w:rPr>
          <w:rFonts w:ascii="Times New Roman" w:hAnsi="Times New Roman"/>
          <w:color w:val="000000"/>
          <w:sz w:val="24"/>
          <w:szCs w:val="24"/>
        </w:rPr>
        <w:t>0</w:t>
      </w:r>
      <w:r w:rsidR="00FE09F0">
        <w:rPr>
          <w:rFonts w:ascii="Times New Roman" w:hAnsi="Times New Roman"/>
          <w:color w:val="000000"/>
          <w:sz w:val="24"/>
          <w:szCs w:val="24"/>
        </w:rPr>
        <w:t xml:space="preserve"> hours per response.</w:t>
      </w:r>
      <w:r w:rsidRPr="00DA409E">
        <w:rPr>
          <w:rFonts w:ascii="Times New Roman" w:hAnsi="Times New Roman"/>
          <w:sz w:val="24"/>
          <w:szCs w:val="24"/>
        </w:rPr>
        <w:t xml:space="preserve"> </w:t>
      </w:r>
      <w:r w:rsidR="003A43F2" w:rsidRPr="003A43F2">
        <w:rPr>
          <w:rFonts w:ascii="Times New Roman" w:hAnsi="Times New Roman"/>
          <w:sz w:val="24"/>
          <w:szCs w:val="24"/>
        </w:rPr>
        <w:t>Burden is defined in 5 CFR 1320.3(b).</w:t>
      </w:r>
      <w:r w:rsidRPr="00DA409E">
        <w:rPr>
          <w:rFonts w:ascii="Times New Roman" w:hAnsi="Times New Roman"/>
          <w:sz w:val="24"/>
          <w:szCs w:val="24"/>
        </w:rPr>
        <w:t xml:space="preserve"> An agency may not conduct or sponsor, and a person is not required to respond to, a collection of information unless it displays a currently valid OMB control number. The OMB control numbers for EPA’s regulations in title 40 of the CFR, after appearing in the </w:t>
      </w:r>
      <w:r w:rsidRPr="001C68C9">
        <w:rPr>
          <w:rFonts w:ascii="Times New Roman" w:hAnsi="Times New Roman"/>
          <w:b/>
          <w:sz w:val="24"/>
          <w:szCs w:val="24"/>
        </w:rPr>
        <w:t>Federal Register</w:t>
      </w:r>
      <w:r w:rsidRPr="00DA409E">
        <w:rPr>
          <w:rFonts w:ascii="Times New Roman" w:hAnsi="Times New Roman"/>
          <w:sz w:val="24"/>
          <w:szCs w:val="24"/>
        </w:rPr>
        <w:t>, are listed in 40 CFR part 9 and included on the related collection instrument or form, if applicable.</w:t>
      </w:r>
    </w:p>
    <w:p w14:paraId="6E9B1E83" w14:textId="77777777" w:rsidR="00DA409E" w:rsidRPr="00DA409E" w:rsidRDefault="00DA409E" w:rsidP="00DA409E">
      <w:pPr>
        <w:autoSpaceDE w:val="0"/>
        <w:autoSpaceDN w:val="0"/>
        <w:adjustRightInd w:val="0"/>
        <w:spacing w:after="0" w:line="240" w:lineRule="auto"/>
        <w:rPr>
          <w:rFonts w:ascii="Times New Roman" w:hAnsi="Times New Roman"/>
          <w:sz w:val="24"/>
          <w:szCs w:val="24"/>
        </w:rPr>
      </w:pPr>
    </w:p>
    <w:p w14:paraId="4FEE81B9" w14:textId="522F5476" w:rsidR="00DA409E" w:rsidRPr="00DA409E" w:rsidRDefault="00DA409E" w:rsidP="00DA409E">
      <w:pPr>
        <w:autoSpaceDE w:val="0"/>
        <w:autoSpaceDN w:val="0"/>
        <w:adjustRightInd w:val="0"/>
        <w:spacing w:after="0" w:line="240" w:lineRule="auto"/>
        <w:rPr>
          <w:rFonts w:ascii="Times New Roman" w:hAnsi="Times New Roman"/>
          <w:sz w:val="24"/>
          <w:szCs w:val="24"/>
        </w:rPr>
      </w:pPr>
      <w:r w:rsidRPr="00DA409E">
        <w:rPr>
          <w:rFonts w:ascii="Times New Roman" w:hAnsi="Times New Roman"/>
          <w:sz w:val="24"/>
          <w:szCs w:val="24"/>
        </w:rPr>
        <w:tab/>
        <w:t xml:space="preserve">The Agency has established a public docket for this ICR under Docket ID No. </w:t>
      </w:r>
      <w:r w:rsidR="00F97777" w:rsidRPr="00F97777">
        <w:rPr>
          <w:rFonts w:ascii="Times New Roman" w:hAnsi="Times New Roman"/>
          <w:sz w:val="24"/>
          <w:szCs w:val="24"/>
        </w:rPr>
        <w:t>EPA-HQ-OPPT-2018-0516</w:t>
      </w:r>
      <w:r w:rsidRPr="00DA409E">
        <w:rPr>
          <w:rFonts w:ascii="Times New Roman" w:hAnsi="Times New Roman"/>
          <w:sz w:val="24"/>
          <w:szCs w:val="24"/>
        </w:rPr>
        <w:t xml:space="preserve">, which is available for online viewing at </w:t>
      </w:r>
      <w:hyperlink r:id="rId14" w:history="1">
        <w:r w:rsidR="007C0168" w:rsidRPr="00615C51">
          <w:rPr>
            <w:rStyle w:val="Hyperlink"/>
            <w:rFonts w:ascii="Times New Roman" w:hAnsi="Times New Roman"/>
            <w:i/>
            <w:sz w:val="24"/>
            <w:szCs w:val="24"/>
          </w:rPr>
          <w:t>http://www.regulations.gov</w:t>
        </w:r>
      </w:hyperlink>
      <w:r w:rsidRPr="00DA409E">
        <w:rPr>
          <w:rFonts w:ascii="Times New Roman" w:hAnsi="Times New Roman"/>
          <w:sz w:val="24"/>
          <w:szCs w:val="24"/>
        </w:rPr>
        <w:t>, or in person viewing at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Pollution Prevention and Toxics Docket is (202) 566-0280. You may submit comments regarding the Agency</w:t>
      </w:r>
      <w:r w:rsidR="00B647B7">
        <w:rPr>
          <w:rFonts w:ascii="Times New Roman" w:hAnsi="Times New Roman"/>
          <w:sz w:val="24"/>
          <w:szCs w:val="24"/>
        </w:rPr>
        <w:t>’</w:t>
      </w:r>
      <w:r w:rsidRPr="00DA409E">
        <w:rPr>
          <w:rFonts w:ascii="Times New Roman" w:hAnsi="Times New Roman"/>
          <w:sz w:val="24"/>
          <w:szCs w:val="24"/>
        </w:rPr>
        <w:t>s need for this information, the accuracy of the provided burden estimates and any suggested methods for minimizing respondent burden, including the use of automated collection techniques.</w:t>
      </w:r>
    </w:p>
    <w:p w14:paraId="0BF3730C" w14:textId="77777777" w:rsidR="00DA409E" w:rsidRPr="00DA409E" w:rsidRDefault="00DA409E" w:rsidP="00DA409E">
      <w:pPr>
        <w:autoSpaceDE w:val="0"/>
        <w:autoSpaceDN w:val="0"/>
        <w:adjustRightInd w:val="0"/>
        <w:spacing w:after="0" w:line="240" w:lineRule="auto"/>
        <w:rPr>
          <w:rFonts w:ascii="Times New Roman" w:hAnsi="Times New Roman"/>
          <w:sz w:val="24"/>
          <w:szCs w:val="24"/>
        </w:rPr>
      </w:pPr>
    </w:p>
    <w:p w14:paraId="59C6750E" w14:textId="001F6265" w:rsidR="007C0168" w:rsidRDefault="00DA409E" w:rsidP="003A43F2">
      <w:pPr>
        <w:autoSpaceDE w:val="0"/>
        <w:autoSpaceDN w:val="0"/>
        <w:adjustRightInd w:val="0"/>
        <w:spacing w:after="0" w:line="240" w:lineRule="auto"/>
        <w:ind w:firstLine="720"/>
        <w:rPr>
          <w:rFonts w:ascii="Times New Roman" w:hAnsi="Times New Roman"/>
          <w:sz w:val="24"/>
          <w:szCs w:val="24"/>
        </w:rPr>
      </w:pPr>
      <w:r w:rsidRPr="00DA409E">
        <w:rPr>
          <w:rFonts w:ascii="Times New Roman" w:hAnsi="Times New Roman"/>
          <w:sz w:val="24"/>
          <w:szCs w:val="24"/>
        </w:rPr>
        <w:t xml:space="preserve">Submit your comments, referencing Docket ID No. </w:t>
      </w:r>
      <w:r w:rsidR="00F97777" w:rsidRPr="00F97777">
        <w:rPr>
          <w:rFonts w:ascii="Times New Roman" w:hAnsi="Times New Roman"/>
          <w:sz w:val="24"/>
          <w:szCs w:val="24"/>
        </w:rPr>
        <w:t>EPA-HQ-OPPT-2018-0516</w:t>
      </w:r>
      <w:r w:rsidR="00F97777">
        <w:rPr>
          <w:rFonts w:ascii="Times New Roman" w:hAnsi="Times New Roman"/>
          <w:sz w:val="24"/>
          <w:szCs w:val="24"/>
        </w:rPr>
        <w:t xml:space="preserve"> </w:t>
      </w:r>
      <w:r w:rsidRPr="00DA409E">
        <w:rPr>
          <w:rFonts w:ascii="Times New Roman" w:hAnsi="Times New Roman"/>
          <w:sz w:val="24"/>
          <w:szCs w:val="24"/>
        </w:rPr>
        <w:t>and OMB Control No. 2070-</w:t>
      </w:r>
      <w:r w:rsidR="003A43F2">
        <w:rPr>
          <w:rFonts w:ascii="Times New Roman" w:hAnsi="Times New Roman"/>
          <w:sz w:val="24"/>
          <w:szCs w:val="24"/>
        </w:rPr>
        <w:t>0054</w:t>
      </w:r>
      <w:r w:rsidRPr="00DA409E">
        <w:rPr>
          <w:rFonts w:ascii="Times New Roman" w:hAnsi="Times New Roman"/>
          <w:sz w:val="24"/>
          <w:szCs w:val="24"/>
        </w:rPr>
        <w:t xml:space="preserve">, to </w:t>
      </w:r>
    </w:p>
    <w:p w14:paraId="4F0E5AD0" w14:textId="77777777" w:rsidR="007C0168" w:rsidRDefault="007C0168" w:rsidP="003A43F2">
      <w:pPr>
        <w:autoSpaceDE w:val="0"/>
        <w:autoSpaceDN w:val="0"/>
        <w:adjustRightInd w:val="0"/>
        <w:spacing w:after="0" w:line="240" w:lineRule="auto"/>
        <w:ind w:firstLine="720"/>
        <w:rPr>
          <w:rFonts w:ascii="Times New Roman" w:hAnsi="Times New Roman"/>
          <w:sz w:val="24"/>
          <w:szCs w:val="24"/>
        </w:rPr>
      </w:pPr>
    </w:p>
    <w:p w14:paraId="5BFBC5B1" w14:textId="77777777" w:rsidR="007C0168" w:rsidRDefault="00DA409E" w:rsidP="007C0168">
      <w:pPr>
        <w:autoSpaceDE w:val="0"/>
        <w:autoSpaceDN w:val="0"/>
        <w:adjustRightInd w:val="0"/>
        <w:spacing w:after="0" w:line="240" w:lineRule="auto"/>
        <w:ind w:left="720"/>
        <w:rPr>
          <w:rFonts w:ascii="Times New Roman" w:hAnsi="Times New Roman"/>
          <w:sz w:val="24"/>
          <w:szCs w:val="24"/>
        </w:rPr>
      </w:pPr>
      <w:r w:rsidRPr="00DA409E">
        <w:rPr>
          <w:rFonts w:ascii="Times New Roman" w:hAnsi="Times New Roman"/>
          <w:sz w:val="24"/>
          <w:szCs w:val="24"/>
        </w:rPr>
        <w:t xml:space="preserve">(1) EPA online using </w:t>
      </w:r>
      <w:hyperlink r:id="rId15" w:history="1">
        <w:r w:rsidR="001C68C9" w:rsidRPr="007C0168">
          <w:rPr>
            <w:rStyle w:val="Hyperlink"/>
            <w:rFonts w:ascii="Times New Roman" w:hAnsi="Times New Roman"/>
            <w:i/>
            <w:sz w:val="24"/>
            <w:szCs w:val="24"/>
          </w:rPr>
          <w:t>http://www.regulations.gov</w:t>
        </w:r>
      </w:hyperlink>
      <w:r w:rsidR="001C68C9">
        <w:rPr>
          <w:rFonts w:ascii="Times New Roman" w:hAnsi="Times New Roman"/>
          <w:sz w:val="24"/>
          <w:szCs w:val="24"/>
        </w:rPr>
        <w:t xml:space="preserve"> </w:t>
      </w:r>
      <w:r w:rsidRPr="00DA409E">
        <w:rPr>
          <w:rFonts w:ascii="Times New Roman" w:hAnsi="Times New Roman"/>
          <w:sz w:val="24"/>
          <w:szCs w:val="24"/>
        </w:rPr>
        <w:t xml:space="preserve">(our preferred method), or by mail to: </w:t>
      </w:r>
      <w:r w:rsidR="007C0168" w:rsidRPr="007C0168">
        <w:rPr>
          <w:rFonts w:ascii="Times New Roman" w:hAnsi="Times New Roman"/>
          <w:sz w:val="24"/>
          <w:szCs w:val="24"/>
        </w:rPr>
        <w:t>EPA Docket Center, Environmental Protection Agency, Mail Code 28221T, 1200 Pennsylvania Ave., NW, Washington, DC 20460</w:t>
      </w:r>
      <w:r w:rsidR="007C0168">
        <w:rPr>
          <w:rFonts w:ascii="Times New Roman" w:hAnsi="Times New Roman"/>
          <w:sz w:val="24"/>
          <w:szCs w:val="24"/>
        </w:rPr>
        <w:t xml:space="preserve">; </w:t>
      </w:r>
      <w:r w:rsidRPr="00DA409E">
        <w:rPr>
          <w:rFonts w:ascii="Times New Roman" w:hAnsi="Times New Roman"/>
          <w:sz w:val="24"/>
          <w:szCs w:val="24"/>
        </w:rPr>
        <w:t xml:space="preserve">and </w:t>
      </w:r>
    </w:p>
    <w:p w14:paraId="53AB892F" w14:textId="77777777" w:rsidR="007C0168" w:rsidRDefault="007C0168" w:rsidP="007C0168">
      <w:pPr>
        <w:autoSpaceDE w:val="0"/>
        <w:autoSpaceDN w:val="0"/>
        <w:adjustRightInd w:val="0"/>
        <w:spacing w:after="0" w:line="240" w:lineRule="auto"/>
        <w:ind w:left="720"/>
        <w:rPr>
          <w:rFonts w:ascii="Times New Roman" w:hAnsi="Times New Roman"/>
          <w:sz w:val="24"/>
          <w:szCs w:val="24"/>
        </w:rPr>
      </w:pPr>
    </w:p>
    <w:p w14:paraId="159148DC" w14:textId="74BEB826" w:rsidR="00FE09F0" w:rsidRDefault="00DA409E" w:rsidP="007C0168">
      <w:pPr>
        <w:autoSpaceDE w:val="0"/>
        <w:autoSpaceDN w:val="0"/>
        <w:adjustRightInd w:val="0"/>
        <w:spacing w:after="0" w:line="240" w:lineRule="auto"/>
        <w:ind w:left="720"/>
        <w:rPr>
          <w:rFonts w:ascii="Times New Roman" w:hAnsi="Times New Roman"/>
          <w:sz w:val="24"/>
          <w:szCs w:val="24"/>
        </w:rPr>
      </w:pPr>
      <w:r w:rsidRPr="00DA409E">
        <w:rPr>
          <w:rFonts w:ascii="Times New Roman" w:hAnsi="Times New Roman"/>
          <w:sz w:val="24"/>
          <w:szCs w:val="24"/>
        </w:rPr>
        <w:t xml:space="preserve">(2) OMB </w:t>
      </w:r>
      <w:r w:rsidR="007C0168" w:rsidRPr="007C0168">
        <w:rPr>
          <w:rFonts w:ascii="Times New Roman" w:hAnsi="Times New Roman"/>
          <w:sz w:val="24"/>
          <w:szCs w:val="24"/>
        </w:rPr>
        <w:t xml:space="preserve">via email to </w:t>
      </w:r>
      <w:hyperlink r:id="rId16" w:history="1">
        <w:r w:rsidR="007C0168" w:rsidRPr="00615C51">
          <w:rPr>
            <w:rStyle w:val="Hyperlink"/>
            <w:rFonts w:ascii="Times New Roman" w:hAnsi="Times New Roman"/>
            <w:i/>
            <w:sz w:val="24"/>
            <w:szCs w:val="24"/>
          </w:rPr>
          <w:t>oira_submission@omb.eop.gov</w:t>
        </w:r>
      </w:hyperlink>
      <w:r w:rsidR="007C0168" w:rsidRPr="007C0168">
        <w:rPr>
          <w:rFonts w:ascii="Times New Roman" w:hAnsi="Times New Roman"/>
          <w:sz w:val="24"/>
          <w:szCs w:val="24"/>
        </w:rPr>
        <w:t>.</w:t>
      </w:r>
      <w:r w:rsidR="007C0168">
        <w:rPr>
          <w:rFonts w:ascii="Times New Roman" w:hAnsi="Times New Roman"/>
          <w:sz w:val="24"/>
          <w:szCs w:val="24"/>
        </w:rPr>
        <w:t xml:space="preserve"> </w:t>
      </w:r>
      <w:r w:rsidR="007C0168" w:rsidRPr="007C0168">
        <w:rPr>
          <w:rFonts w:ascii="Times New Roman" w:hAnsi="Times New Roman"/>
          <w:sz w:val="24"/>
          <w:szCs w:val="24"/>
        </w:rPr>
        <w:t xml:space="preserve">Address comments to </w:t>
      </w:r>
      <w:r w:rsidR="007C0168">
        <w:rPr>
          <w:rFonts w:ascii="Times New Roman" w:hAnsi="Times New Roman"/>
          <w:sz w:val="24"/>
          <w:szCs w:val="24"/>
        </w:rPr>
        <w:t xml:space="preserve">the </w:t>
      </w:r>
      <w:r w:rsidR="007C0168" w:rsidRPr="007C0168">
        <w:rPr>
          <w:rFonts w:ascii="Times New Roman" w:hAnsi="Times New Roman"/>
          <w:sz w:val="24"/>
          <w:szCs w:val="24"/>
        </w:rPr>
        <w:t>OMB Desk Officer for EPA.</w:t>
      </w:r>
    </w:p>
    <w:p w14:paraId="01A4EDED" w14:textId="77777777" w:rsidR="00D75278" w:rsidRDefault="00D75278">
      <w:pPr>
        <w:spacing w:after="0" w:line="240" w:lineRule="auto"/>
        <w:rPr>
          <w:rFonts w:ascii="Times New Roman" w:hAnsi="Times New Roman"/>
          <w:sz w:val="24"/>
          <w:szCs w:val="24"/>
        </w:rPr>
      </w:pPr>
      <w:r>
        <w:rPr>
          <w:rFonts w:ascii="Times New Roman" w:hAnsi="Times New Roman"/>
          <w:sz w:val="24"/>
          <w:szCs w:val="24"/>
        </w:rPr>
        <w:br w:type="page"/>
      </w:r>
    </w:p>
    <w:p w14:paraId="2F4853F2" w14:textId="77777777" w:rsidR="00D75278" w:rsidRPr="00D75278" w:rsidRDefault="009614FA"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bCs/>
          <w:sz w:val="24"/>
          <w:szCs w:val="24"/>
          <w:u w:val="single"/>
        </w:rPr>
        <w:t xml:space="preserve">Attachments </w:t>
      </w:r>
      <w:r>
        <w:rPr>
          <w:rFonts w:ascii="Times New Roman" w:hAnsi="Times New Roman"/>
          <w:b/>
          <w:bCs/>
          <w:sz w:val="24"/>
          <w:szCs w:val="24"/>
          <w:u w:val="single"/>
        </w:rPr>
        <w:t>to t</w:t>
      </w:r>
      <w:r w:rsidRPr="00D75278">
        <w:rPr>
          <w:rFonts w:ascii="Times New Roman" w:hAnsi="Times New Roman"/>
          <w:b/>
          <w:bCs/>
          <w:sz w:val="24"/>
          <w:szCs w:val="24"/>
          <w:u w:val="single"/>
        </w:rPr>
        <w:t>he Supporting Statement</w:t>
      </w:r>
    </w:p>
    <w:p w14:paraId="04C94342"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3825FFE0" w14:textId="77777777" w:rsidR="004B1C30"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b/>
          <w:sz w:val="24"/>
          <w:szCs w:val="24"/>
        </w:rPr>
        <w:t>Attachment A</w:t>
      </w:r>
      <w:r>
        <w:rPr>
          <w:rFonts w:ascii="Times New Roman" w:hAnsi="Times New Roman"/>
          <w:sz w:val="24"/>
          <w:szCs w:val="24"/>
        </w:rPr>
        <w:tab/>
      </w:r>
      <w:r w:rsidR="004B1C30" w:rsidRPr="00D75278">
        <w:rPr>
          <w:rFonts w:ascii="Times New Roman" w:hAnsi="Times New Roman"/>
          <w:sz w:val="24"/>
          <w:szCs w:val="24"/>
        </w:rPr>
        <w:t>Chemical Information Rules – 40 CFR 712</w:t>
      </w:r>
    </w:p>
    <w:p w14:paraId="24D5FBBF" w14:textId="77777777" w:rsidR="00D75278"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p>
    <w:p w14:paraId="49A1CAF2" w14:textId="78BB4A3C" w:rsidR="004B1C30"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B</w:t>
      </w:r>
      <w:r>
        <w:rPr>
          <w:rFonts w:ascii="Times New Roman" w:hAnsi="Times New Roman"/>
          <w:sz w:val="24"/>
          <w:szCs w:val="24"/>
        </w:rPr>
        <w:tab/>
      </w:r>
      <w:r w:rsidR="004B1C30" w:rsidRPr="00D75278">
        <w:rPr>
          <w:rFonts w:ascii="Times New Roman" w:hAnsi="Times New Roman"/>
          <w:sz w:val="24"/>
          <w:szCs w:val="24"/>
        </w:rPr>
        <w:t>Section 8(a) of the Toxic Substances Control Act (15 U.S.C. 2607a)</w:t>
      </w:r>
    </w:p>
    <w:p w14:paraId="5EF375A3" w14:textId="77777777" w:rsidR="00D75278"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p>
    <w:p w14:paraId="3CF4D23F" w14:textId="3867835A" w:rsid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C</w:t>
      </w:r>
      <w:r>
        <w:rPr>
          <w:rFonts w:ascii="Times New Roman" w:hAnsi="Times New Roman"/>
          <w:sz w:val="24"/>
          <w:szCs w:val="24"/>
        </w:rPr>
        <w:tab/>
      </w:r>
      <w:r w:rsidR="00684816" w:rsidRPr="00D75278">
        <w:rPr>
          <w:rFonts w:ascii="Times New Roman" w:hAnsi="Times New Roman"/>
          <w:sz w:val="24"/>
          <w:szCs w:val="24"/>
        </w:rPr>
        <w:t xml:space="preserve">Dibenzo-para-dioxins/dibenzofurans – 40 CFR </w:t>
      </w:r>
      <w:r w:rsidR="00C90803">
        <w:rPr>
          <w:rFonts w:ascii="Times New Roman" w:hAnsi="Times New Roman"/>
          <w:sz w:val="24"/>
          <w:szCs w:val="24"/>
        </w:rPr>
        <w:t>766</w:t>
      </w:r>
    </w:p>
    <w:p w14:paraId="1732812C" w14:textId="77777777" w:rsidR="00D75278"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7923700" w14:textId="3CB6A61C" w:rsidR="008B5A99"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D</w:t>
      </w:r>
      <w:r w:rsidR="00ED1BD8">
        <w:rPr>
          <w:rFonts w:ascii="Times New Roman" w:hAnsi="Times New Roman"/>
          <w:sz w:val="24"/>
          <w:szCs w:val="24"/>
        </w:rPr>
        <w:tab/>
      </w:r>
      <w:r w:rsidR="008B5A99" w:rsidRPr="00D75278">
        <w:rPr>
          <w:rFonts w:ascii="Times New Roman" w:hAnsi="Times New Roman"/>
          <w:sz w:val="24"/>
          <w:szCs w:val="24"/>
        </w:rPr>
        <w:t>Dioxin/Furan Report Form (EPA Form 7710-51) and instructions</w:t>
      </w:r>
      <w:r w:rsidR="001C68C9">
        <w:rPr>
          <w:rFonts w:ascii="Times New Roman" w:hAnsi="Times New Roman"/>
          <w:sz w:val="24"/>
          <w:szCs w:val="24"/>
        </w:rPr>
        <w:t>.</w:t>
      </w:r>
    </w:p>
    <w:p w14:paraId="0F54AF74" w14:textId="50A4E0E8" w:rsidR="008B5A99" w:rsidRPr="00D75278" w:rsidRDefault="008B5A99"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sz w:val="24"/>
          <w:szCs w:val="24"/>
        </w:rPr>
        <w:tab/>
        <w:t>Available electronically at</w:t>
      </w:r>
    </w:p>
    <w:p w14:paraId="3EDBAE50" w14:textId="2BD5D6C7" w:rsidR="008B5A99" w:rsidRPr="001C68C9" w:rsidRDefault="008B5A99" w:rsidP="001C68C9">
      <w:pPr>
        <w:tabs>
          <w:tab w:val="left" w:pos="1800"/>
        </w:tabs>
        <w:autoSpaceDE w:val="0"/>
        <w:autoSpaceDN w:val="0"/>
        <w:adjustRightInd w:val="0"/>
        <w:spacing w:after="0" w:line="240" w:lineRule="auto"/>
        <w:ind w:left="1800" w:hanging="1800"/>
        <w:rPr>
          <w:rFonts w:ascii="Times New Roman" w:hAnsi="Times New Roman"/>
          <w:i/>
          <w:sz w:val="24"/>
          <w:szCs w:val="24"/>
        </w:rPr>
      </w:pPr>
      <w:r w:rsidRPr="00D75278">
        <w:rPr>
          <w:rFonts w:ascii="Times New Roman" w:hAnsi="Times New Roman"/>
          <w:sz w:val="24"/>
          <w:szCs w:val="24"/>
        </w:rPr>
        <w:tab/>
      </w:r>
      <w:hyperlink r:id="rId17" w:history="1">
        <w:r w:rsidR="001C68C9" w:rsidRPr="001C68C9">
          <w:rPr>
            <w:rStyle w:val="Hyperlink"/>
            <w:rFonts w:ascii="Times New Roman" w:hAnsi="Times New Roman"/>
            <w:i/>
            <w:sz w:val="24"/>
            <w:szCs w:val="24"/>
          </w:rPr>
          <w:t>https://www.epa.gov/sites/production/files/2015-08/documents/7710-51.pdf</w:t>
        </w:r>
      </w:hyperlink>
      <w:r w:rsidR="001C68C9">
        <w:rPr>
          <w:rFonts w:ascii="Times New Roman" w:hAnsi="Times New Roman"/>
          <w:i/>
          <w:sz w:val="24"/>
          <w:szCs w:val="24"/>
        </w:rPr>
        <w:t>.</w:t>
      </w:r>
      <w:r w:rsidR="001C68C9" w:rsidRPr="001C68C9">
        <w:rPr>
          <w:rFonts w:ascii="Times New Roman" w:hAnsi="Times New Roman"/>
          <w:i/>
          <w:sz w:val="24"/>
          <w:szCs w:val="24"/>
        </w:rPr>
        <w:t xml:space="preserve"> </w:t>
      </w:r>
    </w:p>
    <w:p w14:paraId="0CBAFD3F" w14:textId="77777777" w:rsidR="008B5A99" w:rsidRDefault="008B5A99" w:rsidP="001C68C9">
      <w:pPr>
        <w:tabs>
          <w:tab w:val="left" w:pos="1800"/>
        </w:tabs>
        <w:autoSpaceDE w:val="0"/>
        <w:autoSpaceDN w:val="0"/>
        <w:adjustRightInd w:val="0"/>
        <w:spacing w:after="0" w:line="240" w:lineRule="auto"/>
        <w:ind w:left="1800" w:hanging="1800"/>
        <w:rPr>
          <w:rFonts w:ascii="Times New Roman" w:hAnsi="Times New Roman"/>
          <w:sz w:val="24"/>
          <w:szCs w:val="24"/>
        </w:rPr>
      </w:pPr>
    </w:p>
    <w:p w14:paraId="7C92069E" w14:textId="77777777" w:rsidR="008B5A99"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E</w:t>
      </w:r>
      <w:r w:rsidRPr="00D75278">
        <w:rPr>
          <w:rFonts w:ascii="Times New Roman" w:hAnsi="Times New Roman"/>
          <w:sz w:val="24"/>
          <w:szCs w:val="24"/>
        </w:rPr>
        <w:tab/>
      </w:r>
      <w:r w:rsidR="004B43D5" w:rsidRPr="004B43D5">
        <w:rPr>
          <w:rFonts w:ascii="Times New Roman" w:hAnsi="Times New Roman"/>
          <w:sz w:val="24"/>
          <w:szCs w:val="24"/>
        </w:rPr>
        <w:t xml:space="preserve">Screenshot of changes to be made to CDX for TSCA section 8(a) PAIR reporting </w:t>
      </w:r>
      <w:r w:rsidR="002652A1">
        <w:rPr>
          <w:rFonts w:ascii="Times New Roman" w:hAnsi="Times New Roman"/>
          <w:sz w:val="24"/>
          <w:szCs w:val="24"/>
        </w:rPr>
        <w:t xml:space="preserve"> </w:t>
      </w:r>
    </w:p>
    <w:p w14:paraId="0914C61A" w14:textId="77777777" w:rsidR="00D75278"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p>
    <w:p w14:paraId="7D0079BB" w14:textId="441BCA0C" w:rsidR="00D75278"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b/>
          <w:sz w:val="24"/>
          <w:szCs w:val="24"/>
        </w:rPr>
        <w:t xml:space="preserve">Attachment </w:t>
      </w:r>
      <w:r w:rsidR="00F61661">
        <w:rPr>
          <w:rFonts w:ascii="Times New Roman" w:hAnsi="Times New Roman"/>
          <w:b/>
          <w:sz w:val="24"/>
          <w:szCs w:val="24"/>
        </w:rPr>
        <w:t>F</w:t>
      </w:r>
      <w:r>
        <w:rPr>
          <w:rFonts w:ascii="Times New Roman" w:hAnsi="Times New Roman"/>
          <w:sz w:val="24"/>
          <w:szCs w:val="24"/>
        </w:rPr>
        <w:tab/>
      </w:r>
      <w:r w:rsidRPr="00D75278">
        <w:rPr>
          <w:rFonts w:ascii="Times New Roman" w:hAnsi="Times New Roman"/>
          <w:sz w:val="24"/>
          <w:szCs w:val="24"/>
        </w:rPr>
        <w:t>Good Laboratory Practice Standards – 40 CFR 792</w:t>
      </w:r>
    </w:p>
    <w:p w14:paraId="164AF42C" w14:textId="77777777" w:rsidR="00D75278" w:rsidRPr="00D75278" w:rsidRDefault="00D75278" w:rsidP="001C68C9">
      <w:pPr>
        <w:tabs>
          <w:tab w:val="left" w:pos="1800"/>
        </w:tabs>
        <w:autoSpaceDE w:val="0"/>
        <w:autoSpaceDN w:val="0"/>
        <w:adjustRightInd w:val="0"/>
        <w:spacing w:after="0" w:line="240" w:lineRule="auto"/>
        <w:ind w:left="1800" w:hanging="1800"/>
        <w:rPr>
          <w:rFonts w:ascii="Times New Roman" w:hAnsi="Times New Roman"/>
          <w:sz w:val="24"/>
          <w:szCs w:val="24"/>
        </w:rPr>
      </w:pPr>
    </w:p>
    <w:p w14:paraId="33A57AD9" w14:textId="7922F7B6" w:rsidR="002A5CB9" w:rsidRDefault="002A5CB9"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2A5CB9">
        <w:rPr>
          <w:rFonts w:ascii="Times New Roman" w:hAnsi="Times New Roman"/>
          <w:b/>
          <w:sz w:val="24"/>
          <w:szCs w:val="24"/>
        </w:rPr>
        <w:t>Attachment</w:t>
      </w:r>
      <w:r w:rsidR="00463DD1">
        <w:rPr>
          <w:rFonts w:ascii="Times New Roman" w:hAnsi="Times New Roman"/>
          <w:b/>
          <w:sz w:val="24"/>
          <w:szCs w:val="24"/>
        </w:rPr>
        <w:t xml:space="preserve"> G</w:t>
      </w:r>
      <w:r w:rsidRPr="002A5CB9">
        <w:rPr>
          <w:rFonts w:ascii="Times New Roman" w:hAnsi="Times New Roman"/>
          <w:b/>
          <w:sz w:val="24"/>
          <w:szCs w:val="24"/>
        </w:rPr>
        <w:tab/>
      </w:r>
      <w:r w:rsidR="00045489" w:rsidRPr="00045489">
        <w:rPr>
          <w:rFonts w:ascii="Times New Roman" w:hAnsi="Times New Roman"/>
          <w:sz w:val="24"/>
          <w:szCs w:val="24"/>
        </w:rPr>
        <w:t xml:space="preserve">CDX </w:t>
      </w:r>
      <w:r w:rsidR="006A001F">
        <w:rPr>
          <w:rFonts w:ascii="Times New Roman" w:hAnsi="Times New Roman"/>
          <w:sz w:val="24"/>
          <w:szCs w:val="24"/>
        </w:rPr>
        <w:t xml:space="preserve">Section 8(a) PAIR User Guide </w:t>
      </w:r>
    </w:p>
    <w:p w14:paraId="4D85FAA6" w14:textId="27EDA41F" w:rsidR="001C68C9" w:rsidRDefault="001C68C9" w:rsidP="001C68C9">
      <w:pPr>
        <w:tabs>
          <w:tab w:val="left" w:pos="1800"/>
        </w:tabs>
        <w:autoSpaceDE w:val="0"/>
        <w:autoSpaceDN w:val="0"/>
        <w:adjustRightInd w:val="0"/>
        <w:spacing w:after="0" w:line="240" w:lineRule="auto"/>
        <w:ind w:left="1800" w:hanging="1800"/>
        <w:rPr>
          <w:rFonts w:ascii="Times New Roman" w:hAnsi="Times New Roman"/>
          <w:b/>
          <w:sz w:val="24"/>
          <w:szCs w:val="24"/>
        </w:rPr>
      </w:pPr>
    </w:p>
    <w:p w14:paraId="1F64011F" w14:textId="654877F1" w:rsidR="001C68C9" w:rsidRPr="00D75278" w:rsidRDefault="001C68C9"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Pr>
          <w:rFonts w:ascii="Times New Roman" w:hAnsi="Times New Roman"/>
          <w:b/>
          <w:sz w:val="24"/>
          <w:szCs w:val="24"/>
        </w:rPr>
        <w:t>Attachment H</w:t>
      </w:r>
      <w:r>
        <w:rPr>
          <w:rFonts w:ascii="Times New Roman" w:hAnsi="Times New Roman"/>
          <w:b/>
          <w:sz w:val="24"/>
          <w:szCs w:val="24"/>
        </w:rPr>
        <w:tab/>
      </w:r>
      <w:bookmarkStart w:id="15" w:name="_Hlk6222098"/>
      <w:r w:rsidRPr="001C68C9">
        <w:rPr>
          <w:rFonts w:ascii="Times New Roman" w:hAnsi="Times New Roman"/>
          <w:sz w:val="24"/>
          <w:szCs w:val="24"/>
        </w:rPr>
        <w:t>Manufacturer’s Report</w:t>
      </w:r>
      <w:r>
        <w:rPr>
          <w:rFonts w:ascii="Times New Roman" w:hAnsi="Times New Roman"/>
          <w:sz w:val="24"/>
          <w:szCs w:val="24"/>
        </w:rPr>
        <w:t xml:space="preserve"> </w:t>
      </w:r>
      <w:r w:rsidRPr="001C68C9">
        <w:rPr>
          <w:rFonts w:ascii="Times New Roman" w:hAnsi="Times New Roman"/>
          <w:sz w:val="24"/>
          <w:szCs w:val="24"/>
        </w:rPr>
        <w:t>Preliminary Assessment Information</w:t>
      </w:r>
      <w:bookmarkEnd w:id="15"/>
      <w:r>
        <w:rPr>
          <w:rFonts w:ascii="Times New Roman" w:hAnsi="Times New Roman"/>
          <w:sz w:val="24"/>
          <w:szCs w:val="24"/>
        </w:rPr>
        <w:t xml:space="preserve"> </w:t>
      </w:r>
      <w:r w:rsidR="008415D8">
        <w:rPr>
          <w:rFonts w:ascii="Times New Roman" w:hAnsi="Times New Roman"/>
          <w:sz w:val="24"/>
          <w:szCs w:val="24"/>
        </w:rPr>
        <w:t xml:space="preserve">Form </w:t>
      </w:r>
      <w:r w:rsidRPr="00D75278">
        <w:rPr>
          <w:rFonts w:ascii="Times New Roman" w:hAnsi="Times New Roman"/>
          <w:sz w:val="24"/>
          <w:szCs w:val="24"/>
        </w:rPr>
        <w:t>(EPA Form 7710-</w:t>
      </w:r>
      <w:r>
        <w:rPr>
          <w:rFonts w:ascii="Times New Roman" w:hAnsi="Times New Roman"/>
          <w:sz w:val="24"/>
          <w:szCs w:val="24"/>
        </w:rPr>
        <w:t>35</w:t>
      </w:r>
      <w:r w:rsidRPr="00D75278">
        <w:rPr>
          <w:rFonts w:ascii="Times New Roman" w:hAnsi="Times New Roman"/>
          <w:sz w:val="24"/>
          <w:szCs w:val="24"/>
        </w:rPr>
        <w:t>) and instructions</w:t>
      </w:r>
      <w:r>
        <w:rPr>
          <w:rFonts w:ascii="Times New Roman" w:hAnsi="Times New Roman"/>
          <w:sz w:val="24"/>
          <w:szCs w:val="24"/>
        </w:rPr>
        <w:t>.</w:t>
      </w:r>
    </w:p>
    <w:p w14:paraId="661988D8" w14:textId="6673B8B8" w:rsidR="002B3D56" w:rsidRDefault="001C68C9" w:rsidP="001C68C9">
      <w:pPr>
        <w:tabs>
          <w:tab w:val="left" w:pos="1800"/>
        </w:tabs>
        <w:autoSpaceDE w:val="0"/>
        <w:autoSpaceDN w:val="0"/>
        <w:adjustRightInd w:val="0"/>
        <w:spacing w:after="0" w:line="240" w:lineRule="auto"/>
        <w:ind w:left="1800" w:hanging="1800"/>
        <w:rPr>
          <w:rFonts w:ascii="Times New Roman" w:hAnsi="Times New Roman"/>
          <w:sz w:val="24"/>
          <w:szCs w:val="24"/>
        </w:rPr>
      </w:pPr>
      <w:r w:rsidRPr="00D75278">
        <w:rPr>
          <w:rFonts w:ascii="Times New Roman" w:hAnsi="Times New Roman"/>
          <w:sz w:val="24"/>
          <w:szCs w:val="24"/>
        </w:rPr>
        <w:tab/>
        <w:t>Available electronically at</w:t>
      </w:r>
      <w:r>
        <w:rPr>
          <w:rFonts w:ascii="Times New Roman" w:hAnsi="Times New Roman"/>
          <w:sz w:val="24"/>
          <w:szCs w:val="24"/>
        </w:rPr>
        <w:t xml:space="preserve"> </w:t>
      </w:r>
      <w:hyperlink r:id="rId18" w:history="1">
        <w:r w:rsidR="00F83D47" w:rsidRPr="00F83D47">
          <w:rPr>
            <w:rStyle w:val="Hyperlink"/>
            <w:rFonts w:ascii="Times New Roman" w:hAnsi="Times New Roman"/>
            <w:i/>
            <w:sz w:val="24"/>
            <w:szCs w:val="24"/>
          </w:rPr>
          <w:t>https://www.epa.gov/assessing-and-managing-chemicals-under-tsca/electronic-reporting-requirements-certain-information</w:t>
        </w:r>
      </w:hyperlink>
      <w:r w:rsidR="00F83D47" w:rsidRPr="00F83D47">
        <w:rPr>
          <w:rFonts w:ascii="Times New Roman" w:hAnsi="Times New Roman"/>
          <w:i/>
          <w:sz w:val="24"/>
          <w:szCs w:val="24"/>
        </w:rPr>
        <w:t>.</w:t>
      </w:r>
      <w:r w:rsidR="00F83D47">
        <w:rPr>
          <w:rFonts w:ascii="Times New Roman" w:hAnsi="Times New Roman"/>
          <w:sz w:val="24"/>
          <w:szCs w:val="24"/>
        </w:rPr>
        <w:t xml:space="preserve"> </w:t>
      </w:r>
    </w:p>
    <w:sectPr w:rsidR="002B3D56" w:rsidSect="00025A1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62281" w14:textId="77777777" w:rsidR="00FC4076" w:rsidRDefault="00FC4076" w:rsidP="00EB1F6B">
      <w:pPr>
        <w:spacing w:after="0" w:line="240" w:lineRule="auto"/>
      </w:pPr>
      <w:r>
        <w:separator/>
      </w:r>
    </w:p>
  </w:endnote>
  <w:endnote w:type="continuationSeparator" w:id="0">
    <w:p w14:paraId="5D6DBB09" w14:textId="77777777" w:rsidR="00FC4076" w:rsidRDefault="00FC4076" w:rsidP="00EB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6BF1B" w14:textId="792AC14F" w:rsidR="00FC4076" w:rsidRPr="00375035" w:rsidRDefault="00FC4076" w:rsidP="00375035">
    <w:pPr>
      <w:pStyle w:val="Footer"/>
      <w:jc w:val="center"/>
      <w:rPr>
        <w:rFonts w:ascii="Times New Roman" w:hAnsi="Times New Roman"/>
        <w:sz w:val="24"/>
      </w:rPr>
    </w:pPr>
    <w:r w:rsidRPr="00375035">
      <w:rPr>
        <w:rFonts w:ascii="Times New Roman" w:hAnsi="Times New Roman"/>
        <w:sz w:val="24"/>
      </w:rPr>
      <w:t xml:space="preserve">Page </w:t>
    </w:r>
    <w:r w:rsidRPr="00375035">
      <w:rPr>
        <w:rFonts w:ascii="Times New Roman" w:hAnsi="Times New Roman"/>
        <w:b/>
        <w:bCs/>
        <w:sz w:val="24"/>
      </w:rPr>
      <w:fldChar w:fldCharType="begin"/>
    </w:r>
    <w:r w:rsidRPr="00375035">
      <w:rPr>
        <w:rFonts w:ascii="Times New Roman" w:hAnsi="Times New Roman"/>
        <w:b/>
        <w:bCs/>
        <w:sz w:val="24"/>
      </w:rPr>
      <w:instrText xml:space="preserve"> PAGE  \* Arabic  \* MERGEFORMAT </w:instrText>
    </w:r>
    <w:r w:rsidRPr="00375035">
      <w:rPr>
        <w:rFonts w:ascii="Times New Roman" w:hAnsi="Times New Roman"/>
        <w:b/>
        <w:bCs/>
        <w:sz w:val="24"/>
      </w:rPr>
      <w:fldChar w:fldCharType="separate"/>
    </w:r>
    <w:r w:rsidR="006A51BA">
      <w:rPr>
        <w:rFonts w:ascii="Times New Roman" w:hAnsi="Times New Roman"/>
        <w:b/>
        <w:bCs/>
        <w:noProof/>
        <w:sz w:val="24"/>
      </w:rPr>
      <w:t>1</w:t>
    </w:r>
    <w:r w:rsidRPr="00375035">
      <w:rPr>
        <w:rFonts w:ascii="Times New Roman" w:hAnsi="Times New Roman"/>
        <w:b/>
        <w:bCs/>
        <w:sz w:val="24"/>
      </w:rPr>
      <w:fldChar w:fldCharType="end"/>
    </w:r>
    <w:r w:rsidRPr="00375035">
      <w:rPr>
        <w:rFonts w:ascii="Times New Roman" w:hAnsi="Times New Roman"/>
        <w:sz w:val="24"/>
      </w:rPr>
      <w:t xml:space="preserve"> of </w:t>
    </w:r>
    <w:r w:rsidRPr="00375035">
      <w:rPr>
        <w:rFonts w:ascii="Times New Roman" w:hAnsi="Times New Roman"/>
        <w:b/>
        <w:bCs/>
        <w:sz w:val="24"/>
      </w:rPr>
      <w:fldChar w:fldCharType="begin"/>
    </w:r>
    <w:r w:rsidRPr="00375035">
      <w:rPr>
        <w:rFonts w:ascii="Times New Roman" w:hAnsi="Times New Roman"/>
        <w:b/>
        <w:bCs/>
        <w:sz w:val="24"/>
      </w:rPr>
      <w:instrText xml:space="preserve"> NUMPAGES  \* Arabic  \* MERGEFORMAT </w:instrText>
    </w:r>
    <w:r w:rsidRPr="00375035">
      <w:rPr>
        <w:rFonts w:ascii="Times New Roman" w:hAnsi="Times New Roman"/>
        <w:b/>
        <w:bCs/>
        <w:sz w:val="24"/>
      </w:rPr>
      <w:fldChar w:fldCharType="separate"/>
    </w:r>
    <w:r w:rsidR="006A51BA">
      <w:rPr>
        <w:rFonts w:ascii="Times New Roman" w:hAnsi="Times New Roman"/>
        <w:b/>
        <w:bCs/>
        <w:noProof/>
        <w:sz w:val="24"/>
      </w:rPr>
      <w:t>1</w:t>
    </w:r>
    <w:r w:rsidRPr="00375035">
      <w:rPr>
        <w:rFonts w:ascii="Times New Roman" w:hAnsi="Times New Roman"/>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94CEE" w14:textId="4A526A01" w:rsidR="00FC4076" w:rsidRDefault="00FC4076">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0B360" w14:textId="77777777" w:rsidR="00FC4076" w:rsidRDefault="00FC4076" w:rsidP="00EB1F6B">
      <w:pPr>
        <w:spacing w:after="0" w:line="240" w:lineRule="auto"/>
      </w:pPr>
      <w:r>
        <w:separator/>
      </w:r>
    </w:p>
  </w:footnote>
  <w:footnote w:type="continuationSeparator" w:id="0">
    <w:p w14:paraId="1FB1C1B3" w14:textId="77777777" w:rsidR="00FC4076" w:rsidRDefault="00FC4076" w:rsidP="00EB1F6B">
      <w:pPr>
        <w:spacing w:after="0" w:line="240" w:lineRule="auto"/>
      </w:pPr>
      <w:r>
        <w:continuationSeparator/>
      </w:r>
    </w:p>
  </w:footnote>
  <w:footnote w:id="1">
    <w:p w14:paraId="721CF0FC" w14:textId="77777777" w:rsidR="00FC4076" w:rsidRPr="007826C6" w:rsidRDefault="00FC4076" w:rsidP="007826C6">
      <w:pPr>
        <w:autoSpaceDE w:val="0"/>
        <w:autoSpaceDN w:val="0"/>
        <w:adjustRightInd w:val="0"/>
        <w:spacing w:after="0" w:line="240" w:lineRule="auto"/>
        <w:rPr>
          <w:rFonts w:ascii="Times New Roman" w:hAnsi="Times New Roman"/>
          <w:color w:val="000000"/>
          <w:sz w:val="20"/>
          <w:szCs w:val="20"/>
        </w:rPr>
      </w:pPr>
      <w:r>
        <w:rPr>
          <w:rStyle w:val="FootnoteReference"/>
        </w:rPr>
        <w:footnoteRef/>
      </w:r>
      <w:r>
        <w:t xml:space="preserve"> </w:t>
      </w:r>
      <w:r>
        <w:rPr>
          <w:rFonts w:ascii="Times New Roman" w:hAnsi="Times New Roman"/>
          <w:color w:val="000000"/>
          <w:sz w:val="20"/>
          <w:szCs w:val="20"/>
        </w:rPr>
        <w:t>Economic Impact and Small Business Definition Analysis for the Final TSCA Section 8(a) Preliminary Assessment Information Rule, Final Report, prepared for the EPA by ICF, Inc., Washington, D.C., 1981.</w:t>
      </w:r>
    </w:p>
  </w:footnote>
  <w:footnote w:id="2">
    <w:p w14:paraId="5B55E549" w14:textId="77777777" w:rsidR="00FC4076" w:rsidRDefault="00FC4076">
      <w:pPr>
        <w:pStyle w:val="FootnoteText"/>
      </w:pPr>
      <w:r>
        <w:rPr>
          <w:rStyle w:val="FootnoteReference"/>
        </w:rPr>
        <w:footnoteRef/>
      </w:r>
      <w:r>
        <w:t xml:space="preserve"> </w:t>
      </w:r>
      <w:r>
        <w:rPr>
          <w:rFonts w:ascii="Times New Roman" w:hAnsi="Times New Roman"/>
          <w:color w:val="000000"/>
        </w:rPr>
        <w:t>40 CFR 712.28 (July 1, 1993).</w:t>
      </w:r>
    </w:p>
  </w:footnote>
  <w:footnote w:id="3">
    <w:p w14:paraId="094A1789" w14:textId="77777777" w:rsidR="00FC4076" w:rsidRDefault="00FC4076" w:rsidP="002E4D68">
      <w:pPr>
        <w:autoSpaceDE w:val="0"/>
        <w:autoSpaceDN w:val="0"/>
        <w:adjustRightInd w:val="0"/>
        <w:spacing w:after="0" w:line="240" w:lineRule="auto"/>
      </w:pPr>
      <w:r>
        <w:rPr>
          <w:rStyle w:val="FootnoteReference"/>
        </w:rPr>
        <w:footnoteRef/>
      </w:r>
      <w:r>
        <w:t xml:space="preserve"> </w:t>
      </w:r>
      <w:r>
        <w:rPr>
          <w:rFonts w:ascii="Times New Roman" w:hAnsi="Times New Roman"/>
          <w:color w:val="000000"/>
          <w:sz w:val="20"/>
          <w:szCs w:val="20"/>
        </w:rPr>
        <w:t>Burden Hour and Cost Estimates for PAIR Section 8(a) Reporting (1994 Update), internal U.S. EPA memorandum from Carol Rawie, Economics, Exposure, and Technology Division to Karen Boswell, Chemical Testing and Information Branch, May 16, 1994.</w:t>
      </w:r>
    </w:p>
  </w:footnote>
  <w:footnote w:id="4">
    <w:p w14:paraId="7A759977" w14:textId="77777777" w:rsidR="00FC4076" w:rsidRDefault="00FC4076">
      <w:pPr>
        <w:pStyle w:val="FootnoteText"/>
      </w:pPr>
      <w:r>
        <w:rPr>
          <w:rStyle w:val="FootnoteReference"/>
        </w:rPr>
        <w:footnoteRef/>
      </w:r>
      <w:r>
        <w:t xml:space="preserve"> TSCA, Sec. 14(c)(1)(B),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BA3F" w14:textId="04B3C0A8" w:rsidR="00FC4076" w:rsidRPr="00375035" w:rsidRDefault="00FC4076" w:rsidP="000A0C04">
    <w:pPr>
      <w:pStyle w:val="Header"/>
      <w:jc w:val="right"/>
      <w:rPr>
        <w:rFonts w:ascii="Times New Roman" w:hAnsi="Times New Roman"/>
        <w:sz w:val="24"/>
      </w:rPr>
    </w:pPr>
    <w:r>
      <w:rPr>
        <w:rFonts w:ascii="Times New Roman" w:hAnsi="Times New Roman"/>
        <w:sz w:val="24"/>
      </w:rPr>
      <w:t>April 10,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693"/>
    <w:multiLevelType w:val="hybridMultilevel"/>
    <w:tmpl w:val="E24AE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21070"/>
    <w:multiLevelType w:val="hybridMultilevel"/>
    <w:tmpl w:val="90F0C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274CB"/>
    <w:multiLevelType w:val="hybridMultilevel"/>
    <w:tmpl w:val="E5987BDC"/>
    <w:lvl w:ilvl="0" w:tplc="D50A7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86085"/>
    <w:multiLevelType w:val="hybridMultilevel"/>
    <w:tmpl w:val="BFFA5996"/>
    <w:lvl w:ilvl="0" w:tplc="7B421CF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246D57"/>
    <w:multiLevelType w:val="hybridMultilevel"/>
    <w:tmpl w:val="09542810"/>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932FF"/>
    <w:multiLevelType w:val="hybridMultilevel"/>
    <w:tmpl w:val="DDDCF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90F75"/>
    <w:multiLevelType w:val="hybridMultilevel"/>
    <w:tmpl w:val="76BA5530"/>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B48DB"/>
    <w:multiLevelType w:val="hybridMultilevel"/>
    <w:tmpl w:val="66B0FAA6"/>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03DF3"/>
    <w:multiLevelType w:val="hybridMultilevel"/>
    <w:tmpl w:val="C89A5D7E"/>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D06C7"/>
    <w:multiLevelType w:val="hybridMultilevel"/>
    <w:tmpl w:val="DEA26E5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A6198"/>
    <w:multiLevelType w:val="hybridMultilevel"/>
    <w:tmpl w:val="2DDEF62C"/>
    <w:lvl w:ilvl="0" w:tplc="44EC8570">
      <w:start w:val="1"/>
      <w:numFmt w:val="decimal"/>
      <w:lvlText w:val="(%1)"/>
      <w:lvlJc w:val="left"/>
      <w:pPr>
        <w:ind w:left="936" w:hanging="360"/>
      </w:pPr>
      <w:rPr>
        <w:rFonts w:hint="default"/>
      </w:rPr>
    </w:lvl>
    <w:lvl w:ilvl="1" w:tplc="A1F23850">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34654DC4"/>
    <w:multiLevelType w:val="hybridMultilevel"/>
    <w:tmpl w:val="256C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83C74"/>
    <w:multiLevelType w:val="hybridMultilevel"/>
    <w:tmpl w:val="A4AE4216"/>
    <w:lvl w:ilvl="0" w:tplc="DCB259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347FD3"/>
    <w:multiLevelType w:val="hybridMultilevel"/>
    <w:tmpl w:val="34C84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D6573"/>
    <w:multiLevelType w:val="hybridMultilevel"/>
    <w:tmpl w:val="5CE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12276D"/>
    <w:multiLevelType w:val="hybridMultilevel"/>
    <w:tmpl w:val="9A925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866C23"/>
    <w:multiLevelType w:val="hybridMultilevel"/>
    <w:tmpl w:val="939A0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F1296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AF72496"/>
    <w:multiLevelType w:val="hybridMultilevel"/>
    <w:tmpl w:val="9DF8BC10"/>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F37E8"/>
    <w:multiLevelType w:val="hybridMultilevel"/>
    <w:tmpl w:val="E238035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CC69E4"/>
    <w:multiLevelType w:val="hybridMultilevel"/>
    <w:tmpl w:val="20667094"/>
    <w:lvl w:ilvl="0" w:tplc="0C489A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50F1A"/>
    <w:multiLevelType w:val="hybridMultilevel"/>
    <w:tmpl w:val="32D4446C"/>
    <w:lvl w:ilvl="0" w:tplc="D50A7464">
      <w:start w:val="1"/>
      <w:numFmt w:val="lowerLetter"/>
      <w:lvlText w:val="(%1)"/>
      <w:lvlJc w:val="left"/>
      <w:pPr>
        <w:ind w:left="720" w:hanging="360"/>
      </w:pPr>
      <w:rPr>
        <w:rFonts w:hint="default"/>
      </w:rPr>
    </w:lvl>
    <w:lvl w:ilvl="1" w:tplc="6ED20DFE">
      <w:start w:val="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D79B3"/>
    <w:multiLevelType w:val="hybridMultilevel"/>
    <w:tmpl w:val="276A5116"/>
    <w:lvl w:ilvl="0" w:tplc="FA3C5D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B54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CB9003C"/>
    <w:multiLevelType w:val="hybridMultilevel"/>
    <w:tmpl w:val="3C8AF4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A80C03"/>
    <w:multiLevelType w:val="hybridMultilevel"/>
    <w:tmpl w:val="1554ACC8"/>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4AA8"/>
    <w:multiLevelType w:val="hybridMultilevel"/>
    <w:tmpl w:val="C5DA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8F4D5A"/>
    <w:multiLevelType w:val="hybridMultilevel"/>
    <w:tmpl w:val="89EA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0817AD"/>
    <w:multiLevelType w:val="hybridMultilevel"/>
    <w:tmpl w:val="D1E2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525DE"/>
    <w:multiLevelType w:val="hybridMultilevel"/>
    <w:tmpl w:val="F71EB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CF74CE"/>
    <w:multiLevelType w:val="hybridMultilevel"/>
    <w:tmpl w:val="8B7E0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20276"/>
    <w:multiLevelType w:val="hybridMultilevel"/>
    <w:tmpl w:val="E4867F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33572E"/>
    <w:multiLevelType w:val="hybridMultilevel"/>
    <w:tmpl w:val="D56C1236"/>
    <w:lvl w:ilvl="0" w:tplc="0C489A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B31E8"/>
    <w:multiLevelType w:val="hybridMultilevel"/>
    <w:tmpl w:val="ACF241C8"/>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CB3F15"/>
    <w:multiLevelType w:val="hybridMultilevel"/>
    <w:tmpl w:val="A038F386"/>
    <w:lvl w:ilvl="0" w:tplc="AD5C40B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7D4F154E"/>
    <w:multiLevelType w:val="hybridMultilevel"/>
    <w:tmpl w:val="240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21"/>
  </w:num>
  <w:num w:numId="5">
    <w:abstractNumId w:val="2"/>
  </w:num>
  <w:num w:numId="6">
    <w:abstractNumId w:val="5"/>
  </w:num>
  <w:num w:numId="7">
    <w:abstractNumId w:val="14"/>
  </w:num>
  <w:num w:numId="8">
    <w:abstractNumId w:val="32"/>
  </w:num>
  <w:num w:numId="9">
    <w:abstractNumId w:val="20"/>
  </w:num>
  <w:num w:numId="10">
    <w:abstractNumId w:val="26"/>
  </w:num>
  <w:num w:numId="11">
    <w:abstractNumId w:val="10"/>
  </w:num>
  <w:num w:numId="12">
    <w:abstractNumId w:val="11"/>
  </w:num>
  <w:num w:numId="13">
    <w:abstractNumId w:val="24"/>
  </w:num>
  <w:num w:numId="14">
    <w:abstractNumId w:val="30"/>
  </w:num>
  <w:num w:numId="15">
    <w:abstractNumId w:val="7"/>
  </w:num>
  <w:num w:numId="16">
    <w:abstractNumId w:val="33"/>
  </w:num>
  <w:num w:numId="17">
    <w:abstractNumId w:val="8"/>
  </w:num>
  <w:num w:numId="18">
    <w:abstractNumId w:val="18"/>
  </w:num>
  <w:num w:numId="19">
    <w:abstractNumId w:val="19"/>
  </w:num>
  <w:num w:numId="20">
    <w:abstractNumId w:val="13"/>
  </w:num>
  <w:num w:numId="21">
    <w:abstractNumId w:val="4"/>
  </w:num>
  <w:num w:numId="22">
    <w:abstractNumId w:val="25"/>
  </w:num>
  <w:num w:numId="23">
    <w:abstractNumId w:val="6"/>
  </w:num>
  <w:num w:numId="24">
    <w:abstractNumId w:val="31"/>
  </w:num>
  <w:num w:numId="25">
    <w:abstractNumId w:val="34"/>
  </w:num>
  <w:num w:numId="26">
    <w:abstractNumId w:val="3"/>
  </w:num>
  <w:num w:numId="27">
    <w:abstractNumId w:val="9"/>
  </w:num>
  <w:num w:numId="28">
    <w:abstractNumId w:val="12"/>
  </w:num>
  <w:num w:numId="29">
    <w:abstractNumId w:val="22"/>
  </w:num>
  <w:num w:numId="30">
    <w:abstractNumId w:val="35"/>
  </w:num>
  <w:num w:numId="31">
    <w:abstractNumId w:val="15"/>
  </w:num>
  <w:num w:numId="32">
    <w:abstractNumId w:val="16"/>
  </w:num>
  <w:num w:numId="33">
    <w:abstractNumId w:val="29"/>
  </w:num>
  <w:num w:numId="34">
    <w:abstractNumId w:val="27"/>
  </w:num>
  <w:num w:numId="35">
    <w:abstractNumId w:val="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62"/>
    <w:rsid w:val="000006BB"/>
    <w:rsid w:val="00003311"/>
    <w:rsid w:val="00006901"/>
    <w:rsid w:val="0001115F"/>
    <w:rsid w:val="000130FA"/>
    <w:rsid w:val="00023572"/>
    <w:rsid w:val="00025A1D"/>
    <w:rsid w:val="00031601"/>
    <w:rsid w:val="00031AEA"/>
    <w:rsid w:val="00036B7B"/>
    <w:rsid w:val="00042035"/>
    <w:rsid w:val="0004356E"/>
    <w:rsid w:val="00045489"/>
    <w:rsid w:val="00053C17"/>
    <w:rsid w:val="00057A3C"/>
    <w:rsid w:val="0006487A"/>
    <w:rsid w:val="00087C7E"/>
    <w:rsid w:val="00094C2A"/>
    <w:rsid w:val="000A0C04"/>
    <w:rsid w:val="000B0B7E"/>
    <w:rsid w:val="000B0BF4"/>
    <w:rsid w:val="000B45EC"/>
    <w:rsid w:val="000B4FE7"/>
    <w:rsid w:val="000D1459"/>
    <w:rsid w:val="000D1DA1"/>
    <w:rsid w:val="000D4840"/>
    <w:rsid w:val="000D7FF1"/>
    <w:rsid w:val="000E4472"/>
    <w:rsid w:val="000E77DC"/>
    <w:rsid w:val="000F7A7C"/>
    <w:rsid w:val="00104BCB"/>
    <w:rsid w:val="001062EE"/>
    <w:rsid w:val="00115556"/>
    <w:rsid w:val="00115755"/>
    <w:rsid w:val="00115FAB"/>
    <w:rsid w:val="0012153E"/>
    <w:rsid w:val="00136CA4"/>
    <w:rsid w:val="001375D6"/>
    <w:rsid w:val="00147312"/>
    <w:rsid w:val="0014797E"/>
    <w:rsid w:val="00153080"/>
    <w:rsid w:val="00161204"/>
    <w:rsid w:val="001642FE"/>
    <w:rsid w:val="00171B8D"/>
    <w:rsid w:val="00174158"/>
    <w:rsid w:val="00176F7E"/>
    <w:rsid w:val="0018655B"/>
    <w:rsid w:val="00195930"/>
    <w:rsid w:val="001A7130"/>
    <w:rsid w:val="001A789D"/>
    <w:rsid w:val="001B4AC3"/>
    <w:rsid w:val="001B7106"/>
    <w:rsid w:val="001C68C9"/>
    <w:rsid w:val="001D1F4C"/>
    <w:rsid w:val="001D3273"/>
    <w:rsid w:val="001D388A"/>
    <w:rsid w:val="001D6CAB"/>
    <w:rsid w:val="001E5557"/>
    <w:rsid w:val="001F32D0"/>
    <w:rsid w:val="00204F8A"/>
    <w:rsid w:val="0021025C"/>
    <w:rsid w:val="00211C4B"/>
    <w:rsid w:val="0021773C"/>
    <w:rsid w:val="00226188"/>
    <w:rsid w:val="00231DE7"/>
    <w:rsid w:val="0023479B"/>
    <w:rsid w:val="00234EF7"/>
    <w:rsid w:val="00235A86"/>
    <w:rsid w:val="00241ED1"/>
    <w:rsid w:val="00242BDD"/>
    <w:rsid w:val="002441E5"/>
    <w:rsid w:val="002450C2"/>
    <w:rsid w:val="0024582C"/>
    <w:rsid w:val="00247A79"/>
    <w:rsid w:val="00251A01"/>
    <w:rsid w:val="00253720"/>
    <w:rsid w:val="00256B84"/>
    <w:rsid w:val="002620D3"/>
    <w:rsid w:val="002636A0"/>
    <w:rsid w:val="002652A1"/>
    <w:rsid w:val="00266060"/>
    <w:rsid w:val="0028171B"/>
    <w:rsid w:val="00282FEF"/>
    <w:rsid w:val="00290C12"/>
    <w:rsid w:val="002939A0"/>
    <w:rsid w:val="002945B5"/>
    <w:rsid w:val="00297829"/>
    <w:rsid w:val="002A5274"/>
    <w:rsid w:val="002A564A"/>
    <w:rsid w:val="002A5CB9"/>
    <w:rsid w:val="002B3D56"/>
    <w:rsid w:val="002B4273"/>
    <w:rsid w:val="002B497D"/>
    <w:rsid w:val="002C0E0F"/>
    <w:rsid w:val="002C3451"/>
    <w:rsid w:val="002C60FE"/>
    <w:rsid w:val="002C6CCA"/>
    <w:rsid w:val="002C7CCA"/>
    <w:rsid w:val="002D0852"/>
    <w:rsid w:val="002D733D"/>
    <w:rsid w:val="002E3173"/>
    <w:rsid w:val="002E36E7"/>
    <w:rsid w:val="002E4D68"/>
    <w:rsid w:val="002E5634"/>
    <w:rsid w:val="002E565E"/>
    <w:rsid w:val="002F425D"/>
    <w:rsid w:val="003023B3"/>
    <w:rsid w:val="00302581"/>
    <w:rsid w:val="00303E7C"/>
    <w:rsid w:val="00311498"/>
    <w:rsid w:val="00317ABB"/>
    <w:rsid w:val="003328B5"/>
    <w:rsid w:val="00332F61"/>
    <w:rsid w:val="00335A47"/>
    <w:rsid w:val="0033702B"/>
    <w:rsid w:val="0033759D"/>
    <w:rsid w:val="0033785D"/>
    <w:rsid w:val="0034162F"/>
    <w:rsid w:val="00341F2D"/>
    <w:rsid w:val="0035208B"/>
    <w:rsid w:val="00363BAB"/>
    <w:rsid w:val="003642F7"/>
    <w:rsid w:val="00365DBF"/>
    <w:rsid w:val="0037258C"/>
    <w:rsid w:val="003731BB"/>
    <w:rsid w:val="00375035"/>
    <w:rsid w:val="00375C84"/>
    <w:rsid w:val="00380F8D"/>
    <w:rsid w:val="0039200D"/>
    <w:rsid w:val="003A14B0"/>
    <w:rsid w:val="003A43F2"/>
    <w:rsid w:val="003A7EE1"/>
    <w:rsid w:val="003B7A2E"/>
    <w:rsid w:val="003C5CB0"/>
    <w:rsid w:val="003D35A5"/>
    <w:rsid w:val="003D370B"/>
    <w:rsid w:val="003E3D92"/>
    <w:rsid w:val="003F3221"/>
    <w:rsid w:val="0040025E"/>
    <w:rsid w:val="0040648D"/>
    <w:rsid w:val="00407AD2"/>
    <w:rsid w:val="00412492"/>
    <w:rsid w:val="004209C1"/>
    <w:rsid w:val="00423BD2"/>
    <w:rsid w:val="0042627C"/>
    <w:rsid w:val="00433B7F"/>
    <w:rsid w:val="00433DFF"/>
    <w:rsid w:val="004346BD"/>
    <w:rsid w:val="00435D6B"/>
    <w:rsid w:val="004428FD"/>
    <w:rsid w:val="0044686C"/>
    <w:rsid w:val="00455543"/>
    <w:rsid w:val="004556B8"/>
    <w:rsid w:val="00456980"/>
    <w:rsid w:val="00460EDC"/>
    <w:rsid w:val="00463DD1"/>
    <w:rsid w:val="00465EC4"/>
    <w:rsid w:val="00467669"/>
    <w:rsid w:val="0047080D"/>
    <w:rsid w:val="004710A2"/>
    <w:rsid w:val="00471B62"/>
    <w:rsid w:val="00472E7A"/>
    <w:rsid w:val="00493D47"/>
    <w:rsid w:val="004A1379"/>
    <w:rsid w:val="004A1718"/>
    <w:rsid w:val="004A335F"/>
    <w:rsid w:val="004B1C30"/>
    <w:rsid w:val="004B43D5"/>
    <w:rsid w:val="004C3822"/>
    <w:rsid w:val="004C4A6C"/>
    <w:rsid w:val="004C55C7"/>
    <w:rsid w:val="004D0335"/>
    <w:rsid w:val="004D09E3"/>
    <w:rsid w:val="004D126E"/>
    <w:rsid w:val="004D1C8B"/>
    <w:rsid w:val="004D45AD"/>
    <w:rsid w:val="004D6998"/>
    <w:rsid w:val="004D7DFA"/>
    <w:rsid w:val="004E280B"/>
    <w:rsid w:val="004E574F"/>
    <w:rsid w:val="0050060D"/>
    <w:rsid w:val="0051628D"/>
    <w:rsid w:val="00516F4D"/>
    <w:rsid w:val="005244FD"/>
    <w:rsid w:val="0053341F"/>
    <w:rsid w:val="00534DBD"/>
    <w:rsid w:val="00541EF6"/>
    <w:rsid w:val="00554987"/>
    <w:rsid w:val="00565756"/>
    <w:rsid w:val="00566854"/>
    <w:rsid w:val="0057151C"/>
    <w:rsid w:val="00574E60"/>
    <w:rsid w:val="00584DC7"/>
    <w:rsid w:val="00593D8C"/>
    <w:rsid w:val="005A054D"/>
    <w:rsid w:val="005A40B0"/>
    <w:rsid w:val="005A598F"/>
    <w:rsid w:val="005A5DA8"/>
    <w:rsid w:val="005A5F84"/>
    <w:rsid w:val="005B1B00"/>
    <w:rsid w:val="005B5668"/>
    <w:rsid w:val="005C499A"/>
    <w:rsid w:val="005C5E19"/>
    <w:rsid w:val="005D42D1"/>
    <w:rsid w:val="005F6E13"/>
    <w:rsid w:val="005F76C1"/>
    <w:rsid w:val="00605118"/>
    <w:rsid w:val="00611EC5"/>
    <w:rsid w:val="006125D3"/>
    <w:rsid w:val="0061312A"/>
    <w:rsid w:val="00624FFC"/>
    <w:rsid w:val="0062616D"/>
    <w:rsid w:val="00626400"/>
    <w:rsid w:val="00630ECC"/>
    <w:rsid w:val="00630F2F"/>
    <w:rsid w:val="006512AC"/>
    <w:rsid w:val="00653DD1"/>
    <w:rsid w:val="00653F29"/>
    <w:rsid w:val="0065577B"/>
    <w:rsid w:val="00665511"/>
    <w:rsid w:val="006736DE"/>
    <w:rsid w:val="00674852"/>
    <w:rsid w:val="00684816"/>
    <w:rsid w:val="00695730"/>
    <w:rsid w:val="006A001F"/>
    <w:rsid w:val="006A238B"/>
    <w:rsid w:val="006A43BB"/>
    <w:rsid w:val="006A51BA"/>
    <w:rsid w:val="006B0E26"/>
    <w:rsid w:val="006B50F2"/>
    <w:rsid w:val="006B544E"/>
    <w:rsid w:val="006B5508"/>
    <w:rsid w:val="006C5B34"/>
    <w:rsid w:val="006D0CBD"/>
    <w:rsid w:val="006E121C"/>
    <w:rsid w:val="006E1E38"/>
    <w:rsid w:val="006E212C"/>
    <w:rsid w:val="006E23DA"/>
    <w:rsid w:val="006F23F4"/>
    <w:rsid w:val="006F619F"/>
    <w:rsid w:val="00701463"/>
    <w:rsid w:val="00707694"/>
    <w:rsid w:val="007128A9"/>
    <w:rsid w:val="00713F3C"/>
    <w:rsid w:val="007150CB"/>
    <w:rsid w:val="007168DC"/>
    <w:rsid w:val="007207D5"/>
    <w:rsid w:val="00723C3D"/>
    <w:rsid w:val="00725081"/>
    <w:rsid w:val="007267E8"/>
    <w:rsid w:val="007273ED"/>
    <w:rsid w:val="00730567"/>
    <w:rsid w:val="00734A27"/>
    <w:rsid w:val="00747584"/>
    <w:rsid w:val="007601A6"/>
    <w:rsid w:val="00764E5D"/>
    <w:rsid w:val="00765290"/>
    <w:rsid w:val="007664A0"/>
    <w:rsid w:val="007824E0"/>
    <w:rsid w:val="007826C6"/>
    <w:rsid w:val="00785172"/>
    <w:rsid w:val="00786D6A"/>
    <w:rsid w:val="00791F25"/>
    <w:rsid w:val="0079707F"/>
    <w:rsid w:val="007B5510"/>
    <w:rsid w:val="007B5C3C"/>
    <w:rsid w:val="007B66BB"/>
    <w:rsid w:val="007C0168"/>
    <w:rsid w:val="007C5F37"/>
    <w:rsid w:val="007D34AC"/>
    <w:rsid w:val="007D3B03"/>
    <w:rsid w:val="007D438F"/>
    <w:rsid w:val="007D49AB"/>
    <w:rsid w:val="007E1370"/>
    <w:rsid w:val="007E2BC3"/>
    <w:rsid w:val="007E5B1A"/>
    <w:rsid w:val="007E761D"/>
    <w:rsid w:val="007F2DD7"/>
    <w:rsid w:val="007F3CAE"/>
    <w:rsid w:val="007F3DD9"/>
    <w:rsid w:val="00803D30"/>
    <w:rsid w:val="0080569E"/>
    <w:rsid w:val="00805D90"/>
    <w:rsid w:val="00814298"/>
    <w:rsid w:val="008161A9"/>
    <w:rsid w:val="00821501"/>
    <w:rsid w:val="00830954"/>
    <w:rsid w:val="008337F7"/>
    <w:rsid w:val="00833CE0"/>
    <w:rsid w:val="008415D8"/>
    <w:rsid w:val="00843ACB"/>
    <w:rsid w:val="008467DD"/>
    <w:rsid w:val="00846FDC"/>
    <w:rsid w:val="00850227"/>
    <w:rsid w:val="00860ACE"/>
    <w:rsid w:val="00861DEB"/>
    <w:rsid w:val="00867568"/>
    <w:rsid w:val="00870BC0"/>
    <w:rsid w:val="0087505E"/>
    <w:rsid w:val="008829A6"/>
    <w:rsid w:val="008837D3"/>
    <w:rsid w:val="00891308"/>
    <w:rsid w:val="00894AFF"/>
    <w:rsid w:val="00895B70"/>
    <w:rsid w:val="008967F7"/>
    <w:rsid w:val="008A43E8"/>
    <w:rsid w:val="008B5A99"/>
    <w:rsid w:val="008C5EC2"/>
    <w:rsid w:val="008E7430"/>
    <w:rsid w:val="008F215B"/>
    <w:rsid w:val="008F26D0"/>
    <w:rsid w:val="00903016"/>
    <w:rsid w:val="00912230"/>
    <w:rsid w:val="009204CF"/>
    <w:rsid w:val="009207FA"/>
    <w:rsid w:val="00920924"/>
    <w:rsid w:val="00924D57"/>
    <w:rsid w:val="0092582D"/>
    <w:rsid w:val="0092779F"/>
    <w:rsid w:val="0093025C"/>
    <w:rsid w:val="009327A1"/>
    <w:rsid w:val="00941032"/>
    <w:rsid w:val="0094293C"/>
    <w:rsid w:val="00945E7C"/>
    <w:rsid w:val="00952C3E"/>
    <w:rsid w:val="0095569F"/>
    <w:rsid w:val="00955901"/>
    <w:rsid w:val="009579FE"/>
    <w:rsid w:val="00960C82"/>
    <w:rsid w:val="009614FA"/>
    <w:rsid w:val="00963D6A"/>
    <w:rsid w:val="009658A6"/>
    <w:rsid w:val="00967662"/>
    <w:rsid w:val="009705B6"/>
    <w:rsid w:val="00971878"/>
    <w:rsid w:val="00971B93"/>
    <w:rsid w:val="00972468"/>
    <w:rsid w:val="009732CA"/>
    <w:rsid w:val="00981AE2"/>
    <w:rsid w:val="00982135"/>
    <w:rsid w:val="0098225B"/>
    <w:rsid w:val="0098277C"/>
    <w:rsid w:val="00982A19"/>
    <w:rsid w:val="00985332"/>
    <w:rsid w:val="009A5F98"/>
    <w:rsid w:val="009B01D0"/>
    <w:rsid w:val="009B1248"/>
    <w:rsid w:val="009B135E"/>
    <w:rsid w:val="009C4F69"/>
    <w:rsid w:val="009C6212"/>
    <w:rsid w:val="009D336F"/>
    <w:rsid w:val="009E6E6A"/>
    <w:rsid w:val="009F3145"/>
    <w:rsid w:val="009F7FE9"/>
    <w:rsid w:val="00A00EEB"/>
    <w:rsid w:val="00A02542"/>
    <w:rsid w:val="00A03E9C"/>
    <w:rsid w:val="00A04E30"/>
    <w:rsid w:val="00A1332C"/>
    <w:rsid w:val="00A165F1"/>
    <w:rsid w:val="00A30ABB"/>
    <w:rsid w:val="00A313CD"/>
    <w:rsid w:val="00A340E5"/>
    <w:rsid w:val="00A353F4"/>
    <w:rsid w:val="00A354E2"/>
    <w:rsid w:val="00A35895"/>
    <w:rsid w:val="00A42BF0"/>
    <w:rsid w:val="00A4335B"/>
    <w:rsid w:val="00A45F53"/>
    <w:rsid w:val="00A462EB"/>
    <w:rsid w:val="00A61BEA"/>
    <w:rsid w:val="00A64F2E"/>
    <w:rsid w:val="00A70ED9"/>
    <w:rsid w:val="00A71C61"/>
    <w:rsid w:val="00A7228D"/>
    <w:rsid w:val="00A7367E"/>
    <w:rsid w:val="00A75729"/>
    <w:rsid w:val="00A76773"/>
    <w:rsid w:val="00A7731C"/>
    <w:rsid w:val="00A80345"/>
    <w:rsid w:val="00A83BAA"/>
    <w:rsid w:val="00A85ED5"/>
    <w:rsid w:val="00A86603"/>
    <w:rsid w:val="00A87054"/>
    <w:rsid w:val="00A91655"/>
    <w:rsid w:val="00AA2C49"/>
    <w:rsid w:val="00AA3544"/>
    <w:rsid w:val="00AA431B"/>
    <w:rsid w:val="00AB197C"/>
    <w:rsid w:val="00AB428A"/>
    <w:rsid w:val="00AB5220"/>
    <w:rsid w:val="00AC2B0D"/>
    <w:rsid w:val="00AD065C"/>
    <w:rsid w:val="00AD4497"/>
    <w:rsid w:val="00AD569B"/>
    <w:rsid w:val="00AD60F6"/>
    <w:rsid w:val="00AE76C0"/>
    <w:rsid w:val="00B038FC"/>
    <w:rsid w:val="00B04674"/>
    <w:rsid w:val="00B107BC"/>
    <w:rsid w:val="00B11703"/>
    <w:rsid w:val="00B151FE"/>
    <w:rsid w:val="00B20C67"/>
    <w:rsid w:val="00B264CD"/>
    <w:rsid w:val="00B31E7D"/>
    <w:rsid w:val="00B3255D"/>
    <w:rsid w:val="00B33CA3"/>
    <w:rsid w:val="00B42BC7"/>
    <w:rsid w:val="00B432F8"/>
    <w:rsid w:val="00B50480"/>
    <w:rsid w:val="00B53D64"/>
    <w:rsid w:val="00B53F94"/>
    <w:rsid w:val="00B57647"/>
    <w:rsid w:val="00B62EDD"/>
    <w:rsid w:val="00B63EEC"/>
    <w:rsid w:val="00B647B7"/>
    <w:rsid w:val="00B663AB"/>
    <w:rsid w:val="00B72F9F"/>
    <w:rsid w:val="00B74053"/>
    <w:rsid w:val="00B75344"/>
    <w:rsid w:val="00B75644"/>
    <w:rsid w:val="00B75D77"/>
    <w:rsid w:val="00B81C29"/>
    <w:rsid w:val="00B83CD1"/>
    <w:rsid w:val="00B85BEC"/>
    <w:rsid w:val="00B86D60"/>
    <w:rsid w:val="00B924F4"/>
    <w:rsid w:val="00BA231C"/>
    <w:rsid w:val="00BA5EBC"/>
    <w:rsid w:val="00BA63C7"/>
    <w:rsid w:val="00BA6EA7"/>
    <w:rsid w:val="00BB5E09"/>
    <w:rsid w:val="00BB5E4D"/>
    <w:rsid w:val="00BB637D"/>
    <w:rsid w:val="00BC239A"/>
    <w:rsid w:val="00BC690F"/>
    <w:rsid w:val="00BC733F"/>
    <w:rsid w:val="00BC7535"/>
    <w:rsid w:val="00BD3AB2"/>
    <w:rsid w:val="00BD7590"/>
    <w:rsid w:val="00BF0033"/>
    <w:rsid w:val="00BF37F0"/>
    <w:rsid w:val="00C06FB1"/>
    <w:rsid w:val="00C16336"/>
    <w:rsid w:val="00C30AC5"/>
    <w:rsid w:val="00C33305"/>
    <w:rsid w:val="00C41AA0"/>
    <w:rsid w:val="00C427C7"/>
    <w:rsid w:val="00C45263"/>
    <w:rsid w:val="00C475D9"/>
    <w:rsid w:val="00C47BD0"/>
    <w:rsid w:val="00C539D3"/>
    <w:rsid w:val="00C54EB2"/>
    <w:rsid w:val="00C57C8F"/>
    <w:rsid w:val="00C62274"/>
    <w:rsid w:val="00C640EA"/>
    <w:rsid w:val="00C732AF"/>
    <w:rsid w:val="00C86B2A"/>
    <w:rsid w:val="00C90803"/>
    <w:rsid w:val="00CA1C63"/>
    <w:rsid w:val="00CA3564"/>
    <w:rsid w:val="00CA4482"/>
    <w:rsid w:val="00CA68CB"/>
    <w:rsid w:val="00CA78BE"/>
    <w:rsid w:val="00CB40CF"/>
    <w:rsid w:val="00CC0B07"/>
    <w:rsid w:val="00CC21BD"/>
    <w:rsid w:val="00CC3961"/>
    <w:rsid w:val="00CC3BF5"/>
    <w:rsid w:val="00CC6F79"/>
    <w:rsid w:val="00CD3594"/>
    <w:rsid w:val="00CD4CB6"/>
    <w:rsid w:val="00CD5997"/>
    <w:rsid w:val="00CD5CAB"/>
    <w:rsid w:val="00CE068E"/>
    <w:rsid w:val="00CE1D55"/>
    <w:rsid w:val="00CE228A"/>
    <w:rsid w:val="00CE2590"/>
    <w:rsid w:val="00CE3BFB"/>
    <w:rsid w:val="00CE50AF"/>
    <w:rsid w:val="00CF177B"/>
    <w:rsid w:val="00CF1FD6"/>
    <w:rsid w:val="00CF26F4"/>
    <w:rsid w:val="00CF3059"/>
    <w:rsid w:val="00CF555C"/>
    <w:rsid w:val="00CF60A0"/>
    <w:rsid w:val="00CF7235"/>
    <w:rsid w:val="00D017B8"/>
    <w:rsid w:val="00D067BC"/>
    <w:rsid w:val="00D12238"/>
    <w:rsid w:val="00D16F07"/>
    <w:rsid w:val="00D2318F"/>
    <w:rsid w:val="00D242DB"/>
    <w:rsid w:val="00D24DEF"/>
    <w:rsid w:val="00D27D1A"/>
    <w:rsid w:val="00D340F5"/>
    <w:rsid w:val="00D37263"/>
    <w:rsid w:val="00D6624F"/>
    <w:rsid w:val="00D73686"/>
    <w:rsid w:val="00D75278"/>
    <w:rsid w:val="00D97F30"/>
    <w:rsid w:val="00DA409E"/>
    <w:rsid w:val="00DA633D"/>
    <w:rsid w:val="00DB0354"/>
    <w:rsid w:val="00DB1A6B"/>
    <w:rsid w:val="00DB2077"/>
    <w:rsid w:val="00DB7918"/>
    <w:rsid w:val="00DC1CBD"/>
    <w:rsid w:val="00DC7D34"/>
    <w:rsid w:val="00DD0EB9"/>
    <w:rsid w:val="00DD1F97"/>
    <w:rsid w:val="00DD36AE"/>
    <w:rsid w:val="00DD7172"/>
    <w:rsid w:val="00DE2891"/>
    <w:rsid w:val="00DE73B4"/>
    <w:rsid w:val="00DF5CCB"/>
    <w:rsid w:val="00DF74A1"/>
    <w:rsid w:val="00E0247E"/>
    <w:rsid w:val="00E0382E"/>
    <w:rsid w:val="00E1193F"/>
    <w:rsid w:val="00E151F0"/>
    <w:rsid w:val="00E21E3E"/>
    <w:rsid w:val="00E24B25"/>
    <w:rsid w:val="00E31A66"/>
    <w:rsid w:val="00E40B0D"/>
    <w:rsid w:val="00E430AF"/>
    <w:rsid w:val="00E43B77"/>
    <w:rsid w:val="00E62C18"/>
    <w:rsid w:val="00E62E5F"/>
    <w:rsid w:val="00E63039"/>
    <w:rsid w:val="00E70150"/>
    <w:rsid w:val="00E71E1D"/>
    <w:rsid w:val="00E74D7D"/>
    <w:rsid w:val="00E75D80"/>
    <w:rsid w:val="00E82135"/>
    <w:rsid w:val="00E8280E"/>
    <w:rsid w:val="00E84C9D"/>
    <w:rsid w:val="00E9026F"/>
    <w:rsid w:val="00E94083"/>
    <w:rsid w:val="00EA202C"/>
    <w:rsid w:val="00EA3B33"/>
    <w:rsid w:val="00EA3FE1"/>
    <w:rsid w:val="00EA7994"/>
    <w:rsid w:val="00EB1F6B"/>
    <w:rsid w:val="00EC644B"/>
    <w:rsid w:val="00ED1BD8"/>
    <w:rsid w:val="00ED70CF"/>
    <w:rsid w:val="00EE0A54"/>
    <w:rsid w:val="00EF2533"/>
    <w:rsid w:val="00EF3164"/>
    <w:rsid w:val="00F01687"/>
    <w:rsid w:val="00F018F8"/>
    <w:rsid w:val="00F0338D"/>
    <w:rsid w:val="00F047C8"/>
    <w:rsid w:val="00F1693A"/>
    <w:rsid w:val="00F20ADB"/>
    <w:rsid w:val="00F21405"/>
    <w:rsid w:val="00F31960"/>
    <w:rsid w:val="00F3206D"/>
    <w:rsid w:val="00F32AD7"/>
    <w:rsid w:val="00F33344"/>
    <w:rsid w:val="00F33AEB"/>
    <w:rsid w:val="00F40973"/>
    <w:rsid w:val="00F43260"/>
    <w:rsid w:val="00F43271"/>
    <w:rsid w:val="00F43B7F"/>
    <w:rsid w:val="00F46E64"/>
    <w:rsid w:val="00F5104E"/>
    <w:rsid w:val="00F55380"/>
    <w:rsid w:val="00F61661"/>
    <w:rsid w:val="00F627CA"/>
    <w:rsid w:val="00F63FF7"/>
    <w:rsid w:val="00F65357"/>
    <w:rsid w:val="00F722B8"/>
    <w:rsid w:val="00F82981"/>
    <w:rsid w:val="00F834E2"/>
    <w:rsid w:val="00F83D47"/>
    <w:rsid w:val="00F904D6"/>
    <w:rsid w:val="00F905C4"/>
    <w:rsid w:val="00F93C01"/>
    <w:rsid w:val="00F97777"/>
    <w:rsid w:val="00F97C44"/>
    <w:rsid w:val="00FA3146"/>
    <w:rsid w:val="00FA3863"/>
    <w:rsid w:val="00FA3B48"/>
    <w:rsid w:val="00FA59F9"/>
    <w:rsid w:val="00FA73CD"/>
    <w:rsid w:val="00FB6443"/>
    <w:rsid w:val="00FC1040"/>
    <w:rsid w:val="00FC4076"/>
    <w:rsid w:val="00FC5C52"/>
    <w:rsid w:val="00FE09F0"/>
    <w:rsid w:val="00FE2264"/>
    <w:rsid w:val="00FF1EFC"/>
    <w:rsid w:val="00FF64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7C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0F"/>
    <w:pPr>
      <w:spacing w:after="200" w:line="276" w:lineRule="auto"/>
    </w:pPr>
    <w:rPr>
      <w:sz w:val="22"/>
      <w:szCs w:val="22"/>
    </w:rPr>
  </w:style>
  <w:style w:type="paragraph" w:styleId="Heading1">
    <w:name w:val="heading 1"/>
    <w:basedOn w:val="Normal"/>
    <w:next w:val="Normal"/>
    <w:link w:val="Heading1Char"/>
    <w:uiPriority w:val="9"/>
    <w:qFormat/>
    <w:rsid w:val="002D733D"/>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D733D"/>
    <w:pPr>
      <w:keepNext/>
      <w:keepLines/>
      <w:numPr>
        <w:ilvl w:val="1"/>
        <w:numId w:val="2"/>
      </w:numPr>
      <w:spacing w:before="200" w:after="0"/>
      <w:ind w:left="576"/>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D733D"/>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D733D"/>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D733D"/>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D733D"/>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D733D"/>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D733D"/>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D733D"/>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33D"/>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2D733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2D733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D733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D733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D733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D733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D733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D733D"/>
    <w:rPr>
      <w:rFonts w:ascii="Cambria" w:eastAsia="Times New Roman" w:hAnsi="Cambria" w:cs="Times New Roman"/>
      <w:i/>
      <w:iCs/>
      <w:color w:val="404040"/>
      <w:sz w:val="20"/>
      <w:szCs w:val="20"/>
    </w:rPr>
  </w:style>
  <w:style w:type="character" w:styleId="CommentReference">
    <w:name w:val="annotation reference"/>
    <w:basedOn w:val="DefaultParagraphFont"/>
    <w:uiPriority w:val="99"/>
    <w:semiHidden/>
    <w:unhideWhenUsed/>
    <w:rsid w:val="00566854"/>
    <w:rPr>
      <w:sz w:val="16"/>
      <w:szCs w:val="16"/>
    </w:rPr>
  </w:style>
  <w:style w:type="paragraph" w:styleId="CommentText">
    <w:name w:val="annotation text"/>
    <w:basedOn w:val="Normal"/>
    <w:link w:val="CommentTextChar"/>
    <w:uiPriority w:val="99"/>
    <w:semiHidden/>
    <w:unhideWhenUsed/>
    <w:rsid w:val="00566854"/>
    <w:pPr>
      <w:spacing w:line="240" w:lineRule="auto"/>
    </w:pPr>
    <w:rPr>
      <w:sz w:val="20"/>
      <w:szCs w:val="20"/>
    </w:rPr>
  </w:style>
  <w:style w:type="character" w:customStyle="1" w:styleId="CommentTextChar">
    <w:name w:val="Comment Text Char"/>
    <w:basedOn w:val="DefaultParagraphFont"/>
    <w:link w:val="CommentText"/>
    <w:uiPriority w:val="99"/>
    <w:semiHidden/>
    <w:rsid w:val="00566854"/>
    <w:rPr>
      <w:sz w:val="20"/>
      <w:szCs w:val="20"/>
    </w:rPr>
  </w:style>
  <w:style w:type="paragraph" w:styleId="CommentSubject">
    <w:name w:val="annotation subject"/>
    <w:basedOn w:val="CommentText"/>
    <w:next w:val="CommentText"/>
    <w:link w:val="CommentSubjectChar"/>
    <w:uiPriority w:val="99"/>
    <w:semiHidden/>
    <w:unhideWhenUsed/>
    <w:rsid w:val="00566854"/>
    <w:rPr>
      <w:b/>
      <w:bCs/>
    </w:rPr>
  </w:style>
  <w:style w:type="character" w:customStyle="1" w:styleId="CommentSubjectChar">
    <w:name w:val="Comment Subject Char"/>
    <w:basedOn w:val="CommentTextChar"/>
    <w:link w:val="CommentSubject"/>
    <w:uiPriority w:val="99"/>
    <w:semiHidden/>
    <w:rsid w:val="00566854"/>
    <w:rPr>
      <w:b/>
      <w:bCs/>
      <w:sz w:val="20"/>
      <w:szCs w:val="20"/>
    </w:rPr>
  </w:style>
  <w:style w:type="paragraph" w:styleId="BalloonText">
    <w:name w:val="Balloon Text"/>
    <w:basedOn w:val="Normal"/>
    <w:link w:val="BalloonTextChar"/>
    <w:uiPriority w:val="99"/>
    <w:semiHidden/>
    <w:unhideWhenUsed/>
    <w:rsid w:val="0056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54"/>
    <w:rPr>
      <w:rFonts w:ascii="Tahoma" w:hAnsi="Tahoma" w:cs="Tahoma"/>
      <w:sz w:val="16"/>
      <w:szCs w:val="16"/>
    </w:rPr>
  </w:style>
  <w:style w:type="table" w:styleId="TableGrid">
    <w:name w:val="Table Grid"/>
    <w:basedOn w:val="TableNormal"/>
    <w:uiPriority w:val="59"/>
    <w:rsid w:val="002B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82"/>
    <w:pPr>
      <w:ind w:left="720"/>
      <w:contextualSpacing/>
    </w:pPr>
  </w:style>
  <w:style w:type="character" w:styleId="Hyperlink">
    <w:name w:val="Hyperlink"/>
    <w:basedOn w:val="DefaultParagraphFont"/>
    <w:uiPriority w:val="99"/>
    <w:unhideWhenUsed/>
    <w:rsid w:val="00960C82"/>
    <w:rPr>
      <w:color w:val="0000FF"/>
      <w:u w:val="single"/>
    </w:rPr>
  </w:style>
  <w:style w:type="paragraph" w:styleId="EndnoteText">
    <w:name w:val="endnote text"/>
    <w:basedOn w:val="Normal"/>
    <w:link w:val="EndnoteTextChar"/>
    <w:uiPriority w:val="99"/>
    <w:semiHidden/>
    <w:unhideWhenUsed/>
    <w:rsid w:val="00EB1F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F6B"/>
    <w:rPr>
      <w:sz w:val="20"/>
      <w:szCs w:val="20"/>
    </w:rPr>
  </w:style>
  <w:style w:type="character" w:styleId="EndnoteReference">
    <w:name w:val="endnote reference"/>
    <w:basedOn w:val="DefaultParagraphFont"/>
    <w:uiPriority w:val="99"/>
    <w:semiHidden/>
    <w:unhideWhenUsed/>
    <w:rsid w:val="00EB1F6B"/>
    <w:rPr>
      <w:vertAlign w:val="superscript"/>
    </w:rPr>
  </w:style>
  <w:style w:type="paragraph" w:styleId="FootnoteText">
    <w:name w:val="footnote text"/>
    <w:basedOn w:val="Normal"/>
    <w:link w:val="FootnoteTextChar"/>
    <w:uiPriority w:val="99"/>
    <w:semiHidden/>
    <w:unhideWhenUsed/>
    <w:rsid w:val="00EB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F6B"/>
    <w:rPr>
      <w:sz w:val="20"/>
      <w:szCs w:val="20"/>
    </w:rPr>
  </w:style>
  <w:style w:type="character" w:styleId="FootnoteReference">
    <w:name w:val="footnote reference"/>
    <w:basedOn w:val="DefaultParagraphFont"/>
    <w:uiPriority w:val="99"/>
    <w:semiHidden/>
    <w:unhideWhenUsed/>
    <w:rsid w:val="00EB1F6B"/>
    <w:rPr>
      <w:vertAlign w:val="superscript"/>
    </w:rPr>
  </w:style>
  <w:style w:type="paragraph" w:styleId="Header">
    <w:name w:val="header"/>
    <w:basedOn w:val="Normal"/>
    <w:link w:val="HeaderChar"/>
    <w:uiPriority w:val="99"/>
    <w:unhideWhenUsed/>
    <w:rsid w:val="0003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01"/>
  </w:style>
  <w:style w:type="paragraph" w:styleId="Footer">
    <w:name w:val="footer"/>
    <w:basedOn w:val="Normal"/>
    <w:link w:val="FooterChar"/>
    <w:uiPriority w:val="99"/>
    <w:unhideWhenUsed/>
    <w:rsid w:val="0003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01"/>
  </w:style>
  <w:style w:type="paragraph" w:styleId="Caption">
    <w:name w:val="caption"/>
    <w:basedOn w:val="Normal"/>
    <w:next w:val="Normal"/>
    <w:uiPriority w:val="35"/>
    <w:unhideWhenUsed/>
    <w:qFormat/>
    <w:rsid w:val="00D340F5"/>
    <w:pPr>
      <w:spacing w:line="240" w:lineRule="auto"/>
    </w:pPr>
    <w:rPr>
      <w:b/>
      <w:bCs/>
      <w:color w:val="4F81BD"/>
      <w:sz w:val="18"/>
      <w:szCs w:val="18"/>
    </w:rPr>
  </w:style>
  <w:style w:type="character" w:styleId="FollowedHyperlink">
    <w:name w:val="FollowedHyperlink"/>
    <w:basedOn w:val="DefaultParagraphFont"/>
    <w:uiPriority w:val="99"/>
    <w:semiHidden/>
    <w:unhideWhenUsed/>
    <w:rsid w:val="003A7EE1"/>
    <w:rPr>
      <w:color w:val="800080"/>
      <w:u w:val="single"/>
    </w:rPr>
  </w:style>
  <w:style w:type="paragraph" w:styleId="NoSpacing">
    <w:name w:val="No Spacing"/>
    <w:uiPriority w:val="1"/>
    <w:qFormat/>
    <w:rsid w:val="00C54EB2"/>
    <w:rPr>
      <w:sz w:val="22"/>
      <w:szCs w:val="22"/>
    </w:rPr>
  </w:style>
  <w:style w:type="character" w:styleId="PageNumber">
    <w:name w:val="page number"/>
    <w:basedOn w:val="DefaultParagraphFont"/>
    <w:rsid w:val="00D75278"/>
  </w:style>
  <w:style w:type="paragraph" w:styleId="BodyText">
    <w:name w:val="Body Text"/>
    <w:basedOn w:val="Normal"/>
    <w:link w:val="BodyTextChar"/>
    <w:uiPriority w:val="99"/>
    <w:semiHidden/>
    <w:unhideWhenUsed/>
    <w:rsid w:val="00B33CA3"/>
    <w:pPr>
      <w:spacing w:after="120"/>
    </w:pPr>
  </w:style>
  <w:style w:type="character" w:customStyle="1" w:styleId="BodyTextChar">
    <w:name w:val="Body Text Char"/>
    <w:basedOn w:val="DefaultParagraphFont"/>
    <w:link w:val="BodyText"/>
    <w:uiPriority w:val="99"/>
    <w:semiHidden/>
    <w:rsid w:val="00B33CA3"/>
    <w:rPr>
      <w:sz w:val="22"/>
      <w:szCs w:val="22"/>
    </w:rPr>
  </w:style>
  <w:style w:type="paragraph" w:styleId="BodyTextFirstIndent">
    <w:name w:val="Body Text First Indent"/>
    <w:link w:val="BodyTextFirstIndentChar"/>
    <w:qFormat/>
    <w:rsid w:val="00B33CA3"/>
    <w:pPr>
      <w:spacing w:after="240"/>
      <w:ind w:firstLine="72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B33CA3"/>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B33CA3"/>
    <w:rPr>
      <w:color w:val="808080"/>
      <w:shd w:val="clear" w:color="auto" w:fill="E6E6E6"/>
    </w:rPr>
  </w:style>
  <w:style w:type="character" w:styleId="Emphasis">
    <w:name w:val="Emphasis"/>
    <w:basedOn w:val="DefaultParagraphFont"/>
    <w:uiPriority w:val="20"/>
    <w:qFormat/>
    <w:rsid w:val="00435D6B"/>
    <w:rPr>
      <w:i/>
      <w:iCs/>
    </w:rPr>
  </w:style>
  <w:style w:type="character" w:customStyle="1" w:styleId="text">
    <w:name w:val="text"/>
    <w:basedOn w:val="DefaultParagraphFont"/>
    <w:rsid w:val="007E761D"/>
  </w:style>
  <w:style w:type="paragraph" w:styleId="Revision">
    <w:name w:val="Revision"/>
    <w:hidden/>
    <w:uiPriority w:val="99"/>
    <w:semiHidden/>
    <w:rsid w:val="0037503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0F"/>
    <w:pPr>
      <w:spacing w:after="200" w:line="276" w:lineRule="auto"/>
    </w:pPr>
    <w:rPr>
      <w:sz w:val="22"/>
      <w:szCs w:val="22"/>
    </w:rPr>
  </w:style>
  <w:style w:type="paragraph" w:styleId="Heading1">
    <w:name w:val="heading 1"/>
    <w:basedOn w:val="Normal"/>
    <w:next w:val="Normal"/>
    <w:link w:val="Heading1Char"/>
    <w:uiPriority w:val="9"/>
    <w:qFormat/>
    <w:rsid w:val="002D733D"/>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D733D"/>
    <w:pPr>
      <w:keepNext/>
      <w:keepLines/>
      <w:numPr>
        <w:ilvl w:val="1"/>
        <w:numId w:val="2"/>
      </w:numPr>
      <w:spacing w:before="200" w:after="0"/>
      <w:ind w:left="576"/>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D733D"/>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D733D"/>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D733D"/>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D733D"/>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D733D"/>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D733D"/>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D733D"/>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33D"/>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2D733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2D733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D733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D733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D733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D733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D733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D733D"/>
    <w:rPr>
      <w:rFonts w:ascii="Cambria" w:eastAsia="Times New Roman" w:hAnsi="Cambria" w:cs="Times New Roman"/>
      <w:i/>
      <w:iCs/>
      <w:color w:val="404040"/>
      <w:sz w:val="20"/>
      <w:szCs w:val="20"/>
    </w:rPr>
  </w:style>
  <w:style w:type="character" w:styleId="CommentReference">
    <w:name w:val="annotation reference"/>
    <w:basedOn w:val="DefaultParagraphFont"/>
    <w:uiPriority w:val="99"/>
    <w:semiHidden/>
    <w:unhideWhenUsed/>
    <w:rsid w:val="00566854"/>
    <w:rPr>
      <w:sz w:val="16"/>
      <w:szCs w:val="16"/>
    </w:rPr>
  </w:style>
  <w:style w:type="paragraph" w:styleId="CommentText">
    <w:name w:val="annotation text"/>
    <w:basedOn w:val="Normal"/>
    <w:link w:val="CommentTextChar"/>
    <w:uiPriority w:val="99"/>
    <w:semiHidden/>
    <w:unhideWhenUsed/>
    <w:rsid w:val="00566854"/>
    <w:pPr>
      <w:spacing w:line="240" w:lineRule="auto"/>
    </w:pPr>
    <w:rPr>
      <w:sz w:val="20"/>
      <w:szCs w:val="20"/>
    </w:rPr>
  </w:style>
  <w:style w:type="character" w:customStyle="1" w:styleId="CommentTextChar">
    <w:name w:val="Comment Text Char"/>
    <w:basedOn w:val="DefaultParagraphFont"/>
    <w:link w:val="CommentText"/>
    <w:uiPriority w:val="99"/>
    <w:semiHidden/>
    <w:rsid w:val="00566854"/>
    <w:rPr>
      <w:sz w:val="20"/>
      <w:szCs w:val="20"/>
    </w:rPr>
  </w:style>
  <w:style w:type="paragraph" w:styleId="CommentSubject">
    <w:name w:val="annotation subject"/>
    <w:basedOn w:val="CommentText"/>
    <w:next w:val="CommentText"/>
    <w:link w:val="CommentSubjectChar"/>
    <w:uiPriority w:val="99"/>
    <w:semiHidden/>
    <w:unhideWhenUsed/>
    <w:rsid w:val="00566854"/>
    <w:rPr>
      <w:b/>
      <w:bCs/>
    </w:rPr>
  </w:style>
  <w:style w:type="character" w:customStyle="1" w:styleId="CommentSubjectChar">
    <w:name w:val="Comment Subject Char"/>
    <w:basedOn w:val="CommentTextChar"/>
    <w:link w:val="CommentSubject"/>
    <w:uiPriority w:val="99"/>
    <w:semiHidden/>
    <w:rsid w:val="00566854"/>
    <w:rPr>
      <w:b/>
      <w:bCs/>
      <w:sz w:val="20"/>
      <w:szCs w:val="20"/>
    </w:rPr>
  </w:style>
  <w:style w:type="paragraph" w:styleId="BalloonText">
    <w:name w:val="Balloon Text"/>
    <w:basedOn w:val="Normal"/>
    <w:link w:val="BalloonTextChar"/>
    <w:uiPriority w:val="99"/>
    <w:semiHidden/>
    <w:unhideWhenUsed/>
    <w:rsid w:val="0056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54"/>
    <w:rPr>
      <w:rFonts w:ascii="Tahoma" w:hAnsi="Tahoma" w:cs="Tahoma"/>
      <w:sz w:val="16"/>
      <w:szCs w:val="16"/>
    </w:rPr>
  </w:style>
  <w:style w:type="table" w:styleId="TableGrid">
    <w:name w:val="Table Grid"/>
    <w:basedOn w:val="TableNormal"/>
    <w:uiPriority w:val="59"/>
    <w:rsid w:val="002B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82"/>
    <w:pPr>
      <w:ind w:left="720"/>
      <w:contextualSpacing/>
    </w:pPr>
  </w:style>
  <w:style w:type="character" w:styleId="Hyperlink">
    <w:name w:val="Hyperlink"/>
    <w:basedOn w:val="DefaultParagraphFont"/>
    <w:uiPriority w:val="99"/>
    <w:unhideWhenUsed/>
    <w:rsid w:val="00960C82"/>
    <w:rPr>
      <w:color w:val="0000FF"/>
      <w:u w:val="single"/>
    </w:rPr>
  </w:style>
  <w:style w:type="paragraph" w:styleId="EndnoteText">
    <w:name w:val="endnote text"/>
    <w:basedOn w:val="Normal"/>
    <w:link w:val="EndnoteTextChar"/>
    <w:uiPriority w:val="99"/>
    <w:semiHidden/>
    <w:unhideWhenUsed/>
    <w:rsid w:val="00EB1F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F6B"/>
    <w:rPr>
      <w:sz w:val="20"/>
      <w:szCs w:val="20"/>
    </w:rPr>
  </w:style>
  <w:style w:type="character" w:styleId="EndnoteReference">
    <w:name w:val="endnote reference"/>
    <w:basedOn w:val="DefaultParagraphFont"/>
    <w:uiPriority w:val="99"/>
    <w:semiHidden/>
    <w:unhideWhenUsed/>
    <w:rsid w:val="00EB1F6B"/>
    <w:rPr>
      <w:vertAlign w:val="superscript"/>
    </w:rPr>
  </w:style>
  <w:style w:type="paragraph" w:styleId="FootnoteText">
    <w:name w:val="footnote text"/>
    <w:basedOn w:val="Normal"/>
    <w:link w:val="FootnoteTextChar"/>
    <w:uiPriority w:val="99"/>
    <w:semiHidden/>
    <w:unhideWhenUsed/>
    <w:rsid w:val="00EB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F6B"/>
    <w:rPr>
      <w:sz w:val="20"/>
      <w:szCs w:val="20"/>
    </w:rPr>
  </w:style>
  <w:style w:type="character" w:styleId="FootnoteReference">
    <w:name w:val="footnote reference"/>
    <w:basedOn w:val="DefaultParagraphFont"/>
    <w:uiPriority w:val="99"/>
    <w:semiHidden/>
    <w:unhideWhenUsed/>
    <w:rsid w:val="00EB1F6B"/>
    <w:rPr>
      <w:vertAlign w:val="superscript"/>
    </w:rPr>
  </w:style>
  <w:style w:type="paragraph" w:styleId="Header">
    <w:name w:val="header"/>
    <w:basedOn w:val="Normal"/>
    <w:link w:val="HeaderChar"/>
    <w:uiPriority w:val="99"/>
    <w:unhideWhenUsed/>
    <w:rsid w:val="0003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01"/>
  </w:style>
  <w:style w:type="paragraph" w:styleId="Footer">
    <w:name w:val="footer"/>
    <w:basedOn w:val="Normal"/>
    <w:link w:val="FooterChar"/>
    <w:uiPriority w:val="99"/>
    <w:unhideWhenUsed/>
    <w:rsid w:val="0003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01"/>
  </w:style>
  <w:style w:type="paragraph" w:styleId="Caption">
    <w:name w:val="caption"/>
    <w:basedOn w:val="Normal"/>
    <w:next w:val="Normal"/>
    <w:uiPriority w:val="35"/>
    <w:unhideWhenUsed/>
    <w:qFormat/>
    <w:rsid w:val="00D340F5"/>
    <w:pPr>
      <w:spacing w:line="240" w:lineRule="auto"/>
    </w:pPr>
    <w:rPr>
      <w:b/>
      <w:bCs/>
      <w:color w:val="4F81BD"/>
      <w:sz w:val="18"/>
      <w:szCs w:val="18"/>
    </w:rPr>
  </w:style>
  <w:style w:type="character" w:styleId="FollowedHyperlink">
    <w:name w:val="FollowedHyperlink"/>
    <w:basedOn w:val="DefaultParagraphFont"/>
    <w:uiPriority w:val="99"/>
    <w:semiHidden/>
    <w:unhideWhenUsed/>
    <w:rsid w:val="003A7EE1"/>
    <w:rPr>
      <w:color w:val="800080"/>
      <w:u w:val="single"/>
    </w:rPr>
  </w:style>
  <w:style w:type="paragraph" w:styleId="NoSpacing">
    <w:name w:val="No Spacing"/>
    <w:uiPriority w:val="1"/>
    <w:qFormat/>
    <w:rsid w:val="00C54EB2"/>
    <w:rPr>
      <w:sz w:val="22"/>
      <w:szCs w:val="22"/>
    </w:rPr>
  </w:style>
  <w:style w:type="character" w:styleId="PageNumber">
    <w:name w:val="page number"/>
    <w:basedOn w:val="DefaultParagraphFont"/>
    <w:rsid w:val="00D75278"/>
  </w:style>
  <w:style w:type="paragraph" w:styleId="BodyText">
    <w:name w:val="Body Text"/>
    <w:basedOn w:val="Normal"/>
    <w:link w:val="BodyTextChar"/>
    <w:uiPriority w:val="99"/>
    <w:semiHidden/>
    <w:unhideWhenUsed/>
    <w:rsid w:val="00B33CA3"/>
    <w:pPr>
      <w:spacing w:after="120"/>
    </w:pPr>
  </w:style>
  <w:style w:type="character" w:customStyle="1" w:styleId="BodyTextChar">
    <w:name w:val="Body Text Char"/>
    <w:basedOn w:val="DefaultParagraphFont"/>
    <w:link w:val="BodyText"/>
    <w:uiPriority w:val="99"/>
    <w:semiHidden/>
    <w:rsid w:val="00B33CA3"/>
    <w:rPr>
      <w:sz w:val="22"/>
      <w:szCs w:val="22"/>
    </w:rPr>
  </w:style>
  <w:style w:type="paragraph" w:styleId="BodyTextFirstIndent">
    <w:name w:val="Body Text First Indent"/>
    <w:link w:val="BodyTextFirstIndentChar"/>
    <w:qFormat/>
    <w:rsid w:val="00B33CA3"/>
    <w:pPr>
      <w:spacing w:after="240"/>
      <w:ind w:firstLine="72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B33CA3"/>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B33CA3"/>
    <w:rPr>
      <w:color w:val="808080"/>
      <w:shd w:val="clear" w:color="auto" w:fill="E6E6E6"/>
    </w:rPr>
  </w:style>
  <w:style w:type="character" w:styleId="Emphasis">
    <w:name w:val="Emphasis"/>
    <w:basedOn w:val="DefaultParagraphFont"/>
    <w:uiPriority w:val="20"/>
    <w:qFormat/>
    <w:rsid w:val="00435D6B"/>
    <w:rPr>
      <w:i/>
      <w:iCs/>
    </w:rPr>
  </w:style>
  <w:style w:type="character" w:customStyle="1" w:styleId="text">
    <w:name w:val="text"/>
    <w:basedOn w:val="DefaultParagraphFont"/>
    <w:rsid w:val="007E761D"/>
  </w:style>
  <w:style w:type="paragraph" w:styleId="Revision">
    <w:name w:val="Revision"/>
    <w:hidden/>
    <w:uiPriority w:val="99"/>
    <w:semiHidden/>
    <w:rsid w:val="003750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4329">
      <w:bodyDiv w:val="1"/>
      <w:marLeft w:val="0"/>
      <w:marRight w:val="0"/>
      <w:marTop w:val="0"/>
      <w:marBottom w:val="0"/>
      <w:divBdr>
        <w:top w:val="none" w:sz="0" w:space="0" w:color="auto"/>
        <w:left w:val="none" w:sz="0" w:space="0" w:color="auto"/>
        <w:bottom w:val="none" w:sz="0" w:space="0" w:color="auto"/>
        <w:right w:val="none" w:sz="0" w:space="0" w:color="auto"/>
      </w:divBdr>
    </w:div>
    <w:div w:id="656416981">
      <w:bodyDiv w:val="1"/>
      <w:marLeft w:val="0"/>
      <w:marRight w:val="0"/>
      <w:marTop w:val="0"/>
      <w:marBottom w:val="0"/>
      <w:divBdr>
        <w:top w:val="none" w:sz="0" w:space="0" w:color="auto"/>
        <w:left w:val="none" w:sz="0" w:space="0" w:color="auto"/>
        <w:bottom w:val="none" w:sz="0" w:space="0" w:color="auto"/>
        <w:right w:val="none" w:sz="0" w:space="0" w:color="auto"/>
      </w:divBdr>
    </w:div>
    <w:div w:id="1151680916">
      <w:bodyDiv w:val="1"/>
      <w:marLeft w:val="0"/>
      <w:marRight w:val="0"/>
      <w:marTop w:val="0"/>
      <w:marBottom w:val="0"/>
      <w:divBdr>
        <w:top w:val="none" w:sz="0" w:space="0" w:color="auto"/>
        <w:left w:val="none" w:sz="0" w:space="0" w:color="auto"/>
        <w:bottom w:val="none" w:sz="0" w:space="0" w:color="auto"/>
        <w:right w:val="none" w:sz="0" w:space="0" w:color="auto"/>
      </w:divBdr>
    </w:div>
    <w:div w:id="1271010444">
      <w:bodyDiv w:val="1"/>
      <w:marLeft w:val="0"/>
      <w:marRight w:val="0"/>
      <w:marTop w:val="0"/>
      <w:marBottom w:val="0"/>
      <w:divBdr>
        <w:top w:val="none" w:sz="0" w:space="0" w:color="auto"/>
        <w:left w:val="none" w:sz="0" w:space="0" w:color="auto"/>
        <w:bottom w:val="none" w:sz="0" w:space="0" w:color="auto"/>
        <w:right w:val="none" w:sz="0" w:space="0" w:color="auto"/>
      </w:divBdr>
    </w:div>
    <w:div w:id="18419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 TargetMode="External"/><Relationship Id="rId18" Type="http://schemas.openxmlformats.org/officeDocument/2006/relationships/hyperlink" Target="https://www.epa.gov/assessing-and-managing-chemicals-under-tsca/electronic-reporting-requirements-certain-inform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pa.gov/sites/production/files/2015-08/documents/7710-51.pdf" TargetMode="External"/><Relationship Id="rId2" Type="http://schemas.openxmlformats.org/officeDocument/2006/relationships/numbering" Target="numbering.xml"/><Relationship Id="rId16" Type="http://schemas.openxmlformats.org/officeDocument/2006/relationships/hyperlink" Target="mailto:oira_submission@omb.eop.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s://cdx.ep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law.cornell.edu/definitions/index.php?width=840&amp;height=800&amp;iframe=true&amp;def_id=e15b4deba881119d03b80663b7bd8534&amp;term_occur=8&amp;term_src=Title:40:Chapter:I:Subchapter:R:Part:766:Subpart:B:766.35"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8D2D-4854-411C-B98C-9BC0A7C4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7908</Words>
  <Characters>45076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Boyar</dc:creator>
  <cp:keywords/>
  <dc:description/>
  <cp:lastModifiedBy>SYSTEM</cp:lastModifiedBy>
  <cp:revision>2</cp:revision>
  <cp:lastPrinted>2018-02-26T15:58:00Z</cp:lastPrinted>
  <dcterms:created xsi:type="dcterms:W3CDTF">2019-04-23T15:17:00Z</dcterms:created>
  <dcterms:modified xsi:type="dcterms:W3CDTF">2019-04-23T15:17:00Z</dcterms:modified>
</cp:coreProperties>
</file>