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753B1D" w:rsidRPr="000C59B6" w:rsidRDefault="00753B1D" w:rsidP="00753B1D">
      <w:pPr>
        <w:rPr>
          <w:rFonts w:eastAsia="Times New Roman"/>
          <w:vanish/>
          <w:sz w:val="22"/>
          <w:szCs w:val="22"/>
        </w:rPr>
      </w:pPr>
      <w:bookmarkStart w:id="0" w:name="_GoBack"/>
      <w:bookmarkEnd w:id="0"/>
    </w:p>
    <w:p w14:paraId="0AFDAF3C" w14:textId="77777777" w:rsidR="00753B1D" w:rsidRPr="000C59B6" w:rsidRDefault="00753B1D" w:rsidP="00AB597F">
      <w:pPr>
        <w:rPr>
          <w:rFonts w:eastAsia="Times New Roman"/>
          <w:b/>
          <w:color w:val="000000"/>
          <w:sz w:val="22"/>
          <w:szCs w:val="22"/>
        </w:rPr>
      </w:pPr>
      <w:bookmarkStart w:id="1" w:name="section1_anchor_1"/>
      <w:bookmarkEnd w:id="1"/>
      <w:r w:rsidRPr="000C59B6">
        <w:rPr>
          <w:rFonts w:eastAsia="Times New Roman"/>
          <w:b/>
          <w:color w:val="000000"/>
          <w:sz w:val="22"/>
          <w:szCs w:val="22"/>
        </w:rPr>
        <w:t xml:space="preserve">Study Area Boundary Data Reporting in </w:t>
      </w:r>
      <w:r w:rsidRPr="000C59B6">
        <w:rPr>
          <w:rFonts w:eastAsia="Times New Roman"/>
          <w:b/>
          <w:color w:val="000000"/>
          <w:sz w:val="22"/>
          <w:szCs w:val="22"/>
        </w:rPr>
        <w:tab/>
      </w:r>
      <w:r w:rsidRPr="000C59B6">
        <w:rPr>
          <w:rFonts w:eastAsia="Times New Roman"/>
          <w:b/>
          <w:color w:val="000000"/>
          <w:sz w:val="22"/>
          <w:szCs w:val="22"/>
        </w:rPr>
        <w:tab/>
      </w:r>
      <w:r w:rsidRPr="000C59B6">
        <w:rPr>
          <w:rFonts w:eastAsia="Times New Roman"/>
          <w:b/>
          <w:color w:val="000000"/>
          <w:sz w:val="22"/>
          <w:szCs w:val="22"/>
        </w:rPr>
        <w:tab/>
      </w:r>
      <w:r w:rsidRPr="000C59B6">
        <w:rPr>
          <w:rFonts w:eastAsia="Times New Roman"/>
          <w:b/>
          <w:color w:val="000000"/>
          <w:sz w:val="22"/>
          <w:szCs w:val="22"/>
        </w:rPr>
        <w:tab/>
      </w:r>
      <w:r w:rsidRPr="000C59B6">
        <w:rPr>
          <w:rFonts w:eastAsia="Times New Roman"/>
          <w:b/>
          <w:color w:val="000000"/>
          <w:sz w:val="22"/>
          <w:szCs w:val="22"/>
        </w:rPr>
        <w:tab/>
      </w:r>
      <w:r w:rsidRPr="000C59B6">
        <w:rPr>
          <w:rFonts w:eastAsia="Times New Roman"/>
          <w:b/>
          <w:color w:val="000000"/>
          <w:sz w:val="22"/>
          <w:szCs w:val="22"/>
        </w:rPr>
        <w:tab/>
        <w:t>3060-1181</w:t>
      </w:r>
    </w:p>
    <w:p w14:paraId="3F482CE6" w14:textId="63A10AE4" w:rsidR="005F0D7B" w:rsidRPr="000C59B6" w:rsidRDefault="00753B1D" w:rsidP="00AB597F">
      <w:pPr>
        <w:spacing w:line="270" w:lineRule="atLeast"/>
        <w:rPr>
          <w:rFonts w:eastAsia="Times New Roman"/>
          <w:b/>
          <w:color w:val="000000"/>
          <w:sz w:val="22"/>
          <w:szCs w:val="22"/>
        </w:rPr>
      </w:pPr>
      <w:r w:rsidRPr="000C59B6">
        <w:rPr>
          <w:rFonts w:eastAsia="Times New Roman"/>
          <w:b/>
          <w:color w:val="000000"/>
          <w:sz w:val="22"/>
          <w:szCs w:val="22"/>
        </w:rPr>
        <w:t>Esri Shapefile Format, DA 12-</w:t>
      </w:r>
      <w:r w:rsidR="001F7F7C">
        <w:rPr>
          <w:rFonts w:eastAsia="Times New Roman"/>
          <w:b/>
          <w:color w:val="000000"/>
          <w:sz w:val="22"/>
          <w:szCs w:val="22"/>
        </w:rPr>
        <w:t>1</w:t>
      </w:r>
      <w:r w:rsidRPr="000C59B6">
        <w:rPr>
          <w:rFonts w:eastAsia="Times New Roman"/>
          <w:b/>
          <w:color w:val="000000"/>
          <w:sz w:val="22"/>
          <w:szCs w:val="22"/>
        </w:rPr>
        <w:t>777 and DA 13-282</w:t>
      </w:r>
      <w:r w:rsidRPr="000C59B6">
        <w:rPr>
          <w:rFonts w:eastAsia="Times New Roman"/>
          <w:b/>
          <w:color w:val="000000"/>
          <w:sz w:val="22"/>
          <w:szCs w:val="22"/>
        </w:rPr>
        <w:tab/>
      </w:r>
      <w:r w:rsidRPr="000C59B6">
        <w:rPr>
          <w:rFonts w:eastAsia="Times New Roman"/>
          <w:b/>
          <w:color w:val="000000"/>
          <w:sz w:val="22"/>
          <w:szCs w:val="22"/>
        </w:rPr>
        <w:tab/>
      </w:r>
      <w:r w:rsidRPr="000C59B6">
        <w:rPr>
          <w:rFonts w:eastAsia="Times New Roman"/>
          <w:b/>
          <w:color w:val="000000"/>
          <w:sz w:val="22"/>
          <w:szCs w:val="22"/>
        </w:rPr>
        <w:tab/>
      </w:r>
      <w:r w:rsidRPr="000C59B6">
        <w:rPr>
          <w:rFonts w:eastAsia="Times New Roman"/>
          <w:b/>
          <w:color w:val="000000"/>
          <w:sz w:val="22"/>
          <w:szCs w:val="22"/>
        </w:rPr>
        <w:tab/>
      </w:r>
      <w:r w:rsidRPr="000C59B6">
        <w:rPr>
          <w:rFonts w:eastAsia="Times New Roman"/>
          <w:b/>
          <w:color w:val="000000"/>
          <w:sz w:val="22"/>
          <w:szCs w:val="22"/>
        </w:rPr>
        <w:tab/>
      </w:r>
      <w:r w:rsidR="00FF5822">
        <w:rPr>
          <w:rFonts w:eastAsia="Times New Roman"/>
          <w:b/>
          <w:color w:val="000000"/>
          <w:sz w:val="22"/>
          <w:szCs w:val="22"/>
        </w:rPr>
        <w:t>May</w:t>
      </w:r>
      <w:r w:rsidRPr="000C59B6">
        <w:rPr>
          <w:rFonts w:eastAsia="Times New Roman"/>
          <w:b/>
          <w:color w:val="000000"/>
          <w:sz w:val="22"/>
          <w:szCs w:val="22"/>
        </w:rPr>
        <w:t xml:space="preserve"> </w:t>
      </w:r>
      <w:r w:rsidR="008A50B0" w:rsidRPr="000C59B6">
        <w:rPr>
          <w:rFonts w:eastAsia="Times New Roman"/>
          <w:b/>
          <w:color w:val="000000"/>
          <w:sz w:val="22"/>
          <w:szCs w:val="22"/>
        </w:rPr>
        <w:t>2019</w:t>
      </w:r>
    </w:p>
    <w:p w14:paraId="0A37501D" w14:textId="77777777" w:rsidR="00334FA5" w:rsidRPr="000C59B6" w:rsidRDefault="00334FA5" w:rsidP="005F0D7B">
      <w:pPr>
        <w:rPr>
          <w:sz w:val="22"/>
          <w:szCs w:val="22"/>
        </w:rPr>
      </w:pPr>
    </w:p>
    <w:p w14:paraId="5DAB6C7B" w14:textId="77777777" w:rsidR="005F0D7B" w:rsidRPr="000C59B6" w:rsidRDefault="005F0D7B" w:rsidP="005F0D7B">
      <w:pPr>
        <w:rPr>
          <w:sz w:val="22"/>
          <w:szCs w:val="22"/>
        </w:rPr>
      </w:pPr>
    </w:p>
    <w:p w14:paraId="2C2BCB7B" w14:textId="77777777" w:rsidR="005F0D7B" w:rsidRPr="000C59B6" w:rsidRDefault="005F0D7B" w:rsidP="005F0D7B">
      <w:pPr>
        <w:jc w:val="center"/>
        <w:rPr>
          <w:b/>
          <w:sz w:val="22"/>
          <w:szCs w:val="22"/>
        </w:rPr>
      </w:pPr>
      <w:r w:rsidRPr="000C59B6">
        <w:rPr>
          <w:b/>
          <w:sz w:val="22"/>
          <w:szCs w:val="22"/>
        </w:rPr>
        <w:t>SUPPORTING STATEMENT</w:t>
      </w:r>
    </w:p>
    <w:p w14:paraId="02EB378F" w14:textId="77777777" w:rsidR="005F0D7B" w:rsidRPr="000C59B6" w:rsidRDefault="005F0D7B" w:rsidP="005F0D7B">
      <w:pPr>
        <w:jc w:val="center"/>
        <w:rPr>
          <w:sz w:val="22"/>
          <w:szCs w:val="22"/>
        </w:rPr>
      </w:pPr>
    </w:p>
    <w:p w14:paraId="2DE28C22" w14:textId="77777777" w:rsidR="005F0D7B" w:rsidRPr="000C59B6" w:rsidRDefault="005B1D42" w:rsidP="005F0D7B">
      <w:pPr>
        <w:rPr>
          <w:sz w:val="22"/>
          <w:szCs w:val="22"/>
        </w:rPr>
      </w:pPr>
      <w:r w:rsidRPr="000C59B6">
        <w:rPr>
          <w:sz w:val="22"/>
          <w:szCs w:val="22"/>
        </w:rPr>
        <w:t>Th</w:t>
      </w:r>
      <w:r w:rsidR="00C91053" w:rsidRPr="000C59B6">
        <w:rPr>
          <w:sz w:val="22"/>
          <w:szCs w:val="22"/>
        </w:rPr>
        <w:t>e</w:t>
      </w:r>
      <w:r w:rsidRPr="000C59B6">
        <w:rPr>
          <w:sz w:val="22"/>
          <w:szCs w:val="22"/>
        </w:rPr>
        <w:t xml:space="preserve"> Commission is seeking </w:t>
      </w:r>
      <w:r w:rsidR="00C91053" w:rsidRPr="000C59B6">
        <w:rPr>
          <w:sz w:val="22"/>
          <w:szCs w:val="22"/>
        </w:rPr>
        <w:t xml:space="preserve">the </w:t>
      </w:r>
      <w:r w:rsidR="00753B1D" w:rsidRPr="000C59B6">
        <w:rPr>
          <w:sz w:val="22"/>
          <w:szCs w:val="22"/>
        </w:rPr>
        <w:t xml:space="preserve">full </w:t>
      </w:r>
      <w:r w:rsidR="00C91053" w:rsidRPr="000C59B6">
        <w:rPr>
          <w:sz w:val="22"/>
          <w:szCs w:val="22"/>
        </w:rPr>
        <w:t xml:space="preserve">three-year approval from the Office of Management and Budget (OMB) </w:t>
      </w:r>
      <w:r w:rsidRPr="000C59B6">
        <w:rPr>
          <w:sz w:val="22"/>
          <w:szCs w:val="22"/>
        </w:rPr>
        <w:t xml:space="preserve">to extend a currently-approved </w:t>
      </w:r>
      <w:r w:rsidR="00C91053" w:rsidRPr="000C59B6">
        <w:rPr>
          <w:sz w:val="22"/>
          <w:szCs w:val="22"/>
        </w:rPr>
        <w:t xml:space="preserve">information </w:t>
      </w:r>
      <w:r w:rsidRPr="000C59B6">
        <w:rPr>
          <w:sz w:val="22"/>
          <w:szCs w:val="22"/>
        </w:rPr>
        <w:t>collection</w:t>
      </w:r>
      <w:r w:rsidR="00C91053" w:rsidRPr="000C59B6">
        <w:rPr>
          <w:sz w:val="22"/>
          <w:szCs w:val="22"/>
        </w:rPr>
        <w:t xml:space="preserve">. There is no change </w:t>
      </w:r>
      <w:r w:rsidR="00753B1D" w:rsidRPr="000C59B6">
        <w:rPr>
          <w:sz w:val="22"/>
          <w:szCs w:val="22"/>
        </w:rPr>
        <w:t>in</w:t>
      </w:r>
      <w:r w:rsidRPr="000C59B6">
        <w:rPr>
          <w:sz w:val="22"/>
          <w:szCs w:val="22"/>
        </w:rPr>
        <w:t xml:space="preserve"> the reporting requirements.  </w:t>
      </w:r>
    </w:p>
    <w:p w14:paraId="6A05A809" w14:textId="77777777" w:rsidR="005F0D7B" w:rsidRPr="000C59B6" w:rsidRDefault="005F0D7B" w:rsidP="00830F24">
      <w:pPr>
        <w:tabs>
          <w:tab w:val="left" w:pos="7500"/>
        </w:tabs>
        <w:rPr>
          <w:sz w:val="22"/>
          <w:szCs w:val="22"/>
        </w:rPr>
      </w:pPr>
      <w:r w:rsidRPr="000C59B6">
        <w:rPr>
          <w:sz w:val="22"/>
          <w:szCs w:val="22"/>
        </w:rPr>
        <w:tab/>
      </w:r>
    </w:p>
    <w:p w14:paraId="2AFF69DD" w14:textId="77777777" w:rsidR="005F0D7B" w:rsidRPr="000C59B6" w:rsidRDefault="005F0D7B" w:rsidP="005F0D7B">
      <w:pPr>
        <w:numPr>
          <w:ilvl w:val="0"/>
          <w:numId w:val="14"/>
        </w:numPr>
        <w:rPr>
          <w:b/>
          <w:sz w:val="22"/>
          <w:szCs w:val="22"/>
          <w:u w:val="single"/>
        </w:rPr>
      </w:pPr>
      <w:r w:rsidRPr="000C59B6">
        <w:rPr>
          <w:b/>
          <w:sz w:val="22"/>
          <w:szCs w:val="22"/>
          <w:u w:val="single"/>
        </w:rPr>
        <w:t>Justification:</w:t>
      </w:r>
    </w:p>
    <w:p w14:paraId="5A39BBE3" w14:textId="77777777" w:rsidR="005F0D7B" w:rsidRPr="000C59B6" w:rsidRDefault="005F0D7B" w:rsidP="005F0D7B">
      <w:pPr>
        <w:rPr>
          <w:sz w:val="22"/>
          <w:szCs w:val="22"/>
        </w:rPr>
      </w:pPr>
    </w:p>
    <w:p w14:paraId="466E0CE3" w14:textId="77777777" w:rsidR="00B24568" w:rsidRPr="000C59B6" w:rsidRDefault="005F0D7B" w:rsidP="005F0D7B">
      <w:pPr>
        <w:rPr>
          <w:sz w:val="22"/>
          <w:szCs w:val="22"/>
        </w:rPr>
      </w:pPr>
      <w:r w:rsidRPr="000C59B6">
        <w:rPr>
          <w:sz w:val="22"/>
          <w:szCs w:val="22"/>
        </w:rPr>
        <w:t>1.  47 U.S.C. § 254(b) mandates the Federal Commissions Commission to preserve and advance “[a]ccess in rural and high cost areas [to] interexchange services and advanced</w:t>
      </w:r>
      <w:r w:rsidR="004605F7" w:rsidRPr="000C59B6">
        <w:rPr>
          <w:sz w:val="22"/>
          <w:szCs w:val="22"/>
        </w:rPr>
        <w:t xml:space="preserve"> </w:t>
      </w:r>
      <w:r w:rsidRPr="000C59B6">
        <w:rPr>
          <w:sz w:val="22"/>
          <w:szCs w:val="22"/>
        </w:rPr>
        <w:t xml:space="preserve">Telecommunications and information services, that are reasonably comparable to those services provided in urban areas and that are available at rates that are reasonably comparable to rates charged for similar services in urban areas.”  Pursuant to that mandate, the Commission adopted the </w:t>
      </w:r>
      <w:r w:rsidRPr="000C59B6">
        <w:rPr>
          <w:i/>
          <w:sz w:val="22"/>
          <w:szCs w:val="22"/>
        </w:rPr>
        <w:t>USF/ICC Transformation Order</w:t>
      </w:r>
      <w:r w:rsidRPr="000C59B6">
        <w:rPr>
          <w:sz w:val="22"/>
          <w:szCs w:val="22"/>
        </w:rPr>
        <w:t>, 76 FR 73830 (Nov</w:t>
      </w:r>
      <w:r w:rsidR="008C40B8" w:rsidRPr="000C59B6">
        <w:rPr>
          <w:sz w:val="22"/>
          <w:szCs w:val="22"/>
        </w:rPr>
        <w:t>.</w:t>
      </w:r>
      <w:r w:rsidRPr="000C59B6">
        <w:rPr>
          <w:sz w:val="22"/>
          <w:szCs w:val="22"/>
        </w:rPr>
        <w:t xml:space="preserve"> 29, 2011), which comprehensively reform</w:t>
      </w:r>
      <w:r w:rsidR="00863A5C" w:rsidRPr="000C59B6">
        <w:rPr>
          <w:sz w:val="22"/>
          <w:szCs w:val="22"/>
        </w:rPr>
        <w:t>ed</w:t>
      </w:r>
      <w:r w:rsidRPr="000C59B6">
        <w:rPr>
          <w:sz w:val="22"/>
          <w:szCs w:val="22"/>
        </w:rPr>
        <w:t xml:space="preserve"> universal service funding, including </w:t>
      </w:r>
      <w:r w:rsidR="00B24568" w:rsidRPr="000C59B6">
        <w:rPr>
          <w:sz w:val="22"/>
          <w:szCs w:val="22"/>
        </w:rPr>
        <w:t>funding for incumbent local exchange carriers (ILECs) to serve</w:t>
      </w:r>
      <w:r w:rsidRPr="000C59B6">
        <w:rPr>
          <w:sz w:val="22"/>
          <w:szCs w:val="22"/>
        </w:rPr>
        <w:t xml:space="preserve"> high-cost, rural areas.</w:t>
      </w:r>
      <w:r w:rsidRPr="000C59B6">
        <w:rPr>
          <w:rStyle w:val="FootnoteReference"/>
          <w:sz w:val="22"/>
          <w:szCs w:val="22"/>
        </w:rPr>
        <w:footnoteReference w:id="2"/>
      </w:r>
      <w:r w:rsidRPr="000C59B6">
        <w:rPr>
          <w:sz w:val="22"/>
          <w:szCs w:val="22"/>
        </w:rPr>
        <w:t xml:space="preserve">  </w:t>
      </w:r>
    </w:p>
    <w:p w14:paraId="41C8F396" w14:textId="77777777" w:rsidR="00B24568" w:rsidRPr="000C59B6" w:rsidRDefault="00B24568" w:rsidP="005F0D7B">
      <w:pPr>
        <w:rPr>
          <w:sz w:val="22"/>
          <w:szCs w:val="22"/>
        </w:rPr>
      </w:pPr>
    </w:p>
    <w:p w14:paraId="2405B13B" w14:textId="77777777" w:rsidR="005B1D42" w:rsidRPr="000C59B6" w:rsidRDefault="00863A5C" w:rsidP="00B24568">
      <w:pPr>
        <w:ind w:firstLine="720"/>
        <w:rPr>
          <w:sz w:val="22"/>
          <w:szCs w:val="22"/>
        </w:rPr>
      </w:pPr>
      <w:r w:rsidRPr="000C59B6">
        <w:rPr>
          <w:sz w:val="22"/>
          <w:szCs w:val="22"/>
        </w:rPr>
        <w:t xml:space="preserve">Fees totaling approximately $4.5 billion dollars are assessed on interstate, end-user telecommunications revenues in part to support the deployment of voice and broadband-capable infrastructure in rural, high cost areas.  </w:t>
      </w:r>
      <w:r w:rsidR="005B1D42" w:rsidRPr="000C59B6">
        <w:rPr>
          <w:sz w:val="22"/>
          <w:szCs w:val="22"/>
        </w:rPr>
        <w:t>H</w:t>
      </w:r>
      <w:r w:rsidRPr="000C59B6">
        <w:rPr>
          <w:sz w:val="22"/>
          <w:szCs w:val="22"/>
        </w:rPr>
        <w:t xml:space="preserve">igh-cost support is granted to a carrier based on the characteristics of its “study area,” the geographic area served by an ILEC within a state.  Therefore, complete and accurate study area boundary data are </w:t>
      </w:r>
      <w:r w:rsidR="005B1D42" w:rsidRPr="000C59B6">
        <w:rPr>
          <w:sz w:val="22"/>
          <w:szCs w:val="22"/>
        </w:rPr>
        <w:t>essential</w:t>
      </w:r>
      <w:r w:rsidRPr="000C59B6">
        <w:rPr>
          <w:sz w:val="22"/>
          <w:szCs w:val="22"/>
        </w:rPr>
        <w:t xml:space="preserve"> </w:t>
      </w:r>
      <w:r w:rsidR="005B1D42" w:rsidRPr="000C59B6">
        <w:rPr>
          <w:sz w:val="22"/>
          <w:szCs w:val="22"/>
        </w:rPr>
        <w:t>for calculating</w:t>
      </w:r>
      <w:r w:rsidRPr="000C59B6">
        <w:rPr>
          <w:sz w:val="22"/>
          <w:szCs w:val="22"/>
        </w:rPr>
        <w:t xml:space="preserve"> a carrier’s costs and expenses, which in turn determine</w:t>
      </w:r>
      <w:r w:rsidR="005B1D42" w:rsidRPr="000C59B6">
        <w:rPr>
          <w:sz w:val="22"/>
          <w:szCs w:val="22"/>
        </w:rPr>
        <w:t>s</w:t>
      </w:r>
      <w:r w:rsidRPr="000C59B6">
        <w:rPr>
          <w:sz w:val="22"/>
          <w:szCs w:val="22"/>
        </w:rPr>
        <w:t xml:space="preserve"> the amount of support </w:t>
      </w:r>
      <w:r w:rsidR="005B1D42" w:rsidRPr="000C59B6">
        <w:rPr>
          <w:sz w:val="22"/>
          <w:szCs w:val="22"/>
        </w:rPr>
        <w:t>that</w:t>
      </w:r>
      <w:r w:rsidRPr="000C59B6">
        <w:rPr>
          <w:sz w:val="22"/>
          <w:szCs w:val="22"/>
        </w:rPr>
        <w:t xml:space="preserve"> carrier can receive</w:t>
      </w:r>
      <w:r w:rsidR="005B1D42" w:rsidRPr="000C59B6">
        <w:rPr>
          <w:sz w:val="22"/>
          <w:szCs w:val="22"/>
        </w:rPr>
        <w:t xml:space="preserve"> to serve high-cost areas</w:t>
      </w:r>
      <w:r w:rsidRPr="000C59B6">
        <w:rPr>
          <w:sz w:val="22"/>
          <w:szCs w:val="22"/>
        </w:rPr>
        <w:t xml:space="preserve">. </w:t>
      </w:r>
    </w:p>
    <w:p w14:paraId="72A3D3EC" w14:textId="77777777" w:rsidR="005B1D42" w:rsidRPr="000C59B6" w:rsidRDefault="005B1D42" w:rsidP="00B24568">
      <w:pPr>
        <w:ind w:firstLine="720"/>
        <w:rPr>
          <w:sz w:val="22"/>
          <w:szCs w:val="22"/>
        </w:rPr>
      </w:pPr>
    </w:p>
    <w:p w14:paraId="4C617957" w14:textId="77777777" w:rsidR="002A43A4" w:rsidRPr="000C59B6" w:rsidRDefault="00B24568" w:rsidP="00B24568">
      <w:pPr>
        <w:ind w:firstLine="720"/>
        <w:rPr>
          <w:sz w:val="22"/>
          <w:szCs w:val="22"/>
        </w:rPr>
      </w:pPr>
      <w:r w:rsidRPr="000C59B6">
        <w:rPr>
          <w:sz w:val="22"/>
          <w:szCs w:val="22"/>
        </w:rPr>
        <w:t xml:space="preserve">In </w:t>
      </w:r>
      <w:r w:rsidR="0045558B" w:rsidRPr="000C59B6">
        <w:rPr>
          <w:sz w:val="22"/>
          <w:szCs w:val="22"/>
        </w:rPr>
        <w:t xml:space="preserve">order to collect </w:t>
      </w:r>
      <w:r w:rsidR="005B1D42" w:rsidRPr="000C59B6">
        <w:rPr>
          <w:sz w:val="22"/>
          <w:szCs w:val="22"/>
        </w:rPr>
        <w:t xml:space="preserve">a complete and accurate set of ILEC </w:t>
      </w:r>
      <w:r w:rsidR="0045558B" w:rsidRPr="000C59B6">
        <w:rPr>
          <w:sz w:val="22"/>
          <w:szCs w:val="22"/>
        </w:rPr>
        <w:t>study area boundar</w:t>
      </w:r>
      <w:r w:rsidR="005B1D42" w:rsidRPr="000C59B6">
        <w:rPr>
          <w:sz w:val="22"/>
          <w:szCs w:val="22"/>
        </w:rPr>
        <w:t>ies</w:t>
      </w:r>
      <w:r w:rsidRPr="000C59B6">
        <w:rPr>
          <w:sz w:val="22"/>
          <w:szCs w:val="22"/>
        </w:rPr>
        <w:t xml:space="preserve">, the Commission’s Wireline Competition Bureau </w:t>
      </w:r>
      <w:r w:rsidR="005D5387" w:rsidRPr="000C59B6">
        <w:rPr>
          <w:sz w:val="22"/>
          <w:szCs w:val="22"/>
        </w:rPr>
        <w:t xml:space="preserve">(Bureau) </w:t>
      </w:r>
      <w:r w:rsidRPr="000C59B6">
        <w:rPr>
          <w:sz w:val="22"/>
          <w:szCs w:val="22"/>
        </w:rPr>
        <w:t xml:space="preserve">sought comment </w:t>
      </w:r>
      <w:r w:rsidR="0045558B" w:rsidRPr="000C59B6">
        <w:rPr>
          <w:sz w:val="22"/>
          <w:szCs w:val="22"/>
        </w:rPr>
        <w:t xml:space="preserve">in </w:t>
      </w:r>
      <w:r w:rsidR="005B1D42" w:rsidRPr="000C59B6">
        <w:rPr>
          <w:sz w:val="22"/>
          <w:szCs w:val="22"/>
        </w:rPr>
        <w:t>a 2012 Public Notice (</w:t>
      </w:r>
      <w:r w:rsidR="005B1D42" w:rsidRPr="000C59B6">
        <w:rPr>
          <w:i/>
          <w:sz w:val="22"/>
          <w:szCs w:val="22"/>
        </w:rPr>
        <w:t>Data Specifications for Collecting Study Area Boundaries</w:t>
      </w:r>
      <w:r w:rsidR="005B1D42" w:rsidRPr="000C59B6">
        <w:rPr>
          <w:sz w:val="22"/>
          <w:szCs w:val="22"/>
        </w:rPr>
        <w:t xml:space="preserve">, 77 FR 37402 (June 21, 2012)) </w:t>
      </w:r>
      <w:r w:rsidR="00F85EB8" w:rsidRPr="000C59B6">
        <w:rPr>
          <w:sz w:val="22"/>
          <w:szCs w:val="22"/>
        </w:rPr>
        <w:t>on</w:t>
      </w:r>
      <w:r w:rsidRPr="000C59B6">
        <w:rPr>
          <w:sz w:val="22"/>
          <w:szCs w:val="22"/>
        </w:rPr>
        <w:t xml:space="preserve"> how best to collect study area boundary data</w:t>
      </w:r>
      <w:r w:rsidR="005B1D42" w:rsidRPr="000C59B6">
        <w:rPr>
          <w:sz w:val="22"/>
          <w:szCs w:val="22"/>
        </w:rPr>
        <w:t>.  L</w:t>
      </w:r>
      <w:r w:rsidR="00F85EB8" w:rsidRPr="000C59B6">
        <w:rPr>
          <w:sz w:val="22"/>
          <w:szCs w:val="22"/>
        </w:rPr>
        <w:t>ater that year</w:t>
      </w:r>
      <w:r w:rsidR="005B1D42" w:rsidRPr="000C59B6">
        <w:rPr>
          <w:sz w:val="22"/>
          <w:szCs w:val="22"/>
        </w:rPr>
        <w:t>, the Bureau</w:t>
      </w:r>
      <w:r w:rsidRPr="000C59B6">
        <w:rPr>
          <w:sz w:val="22"/>
          <w:szCs w:val="22"/>
        </w:rPr>
        <w:t xml:space="preserve"> adopted the study area boundary </w:t>
      </w:r>
      <w:r w:rsidR="005B1D42" w:rsidRPr="000C59B6">
        <w:rPr>
          <w:sz w:val="22"/>
          <w:szCs w:val="22"/>
        </w:rPr>
        <w:t xml:space="preserve">data </w:t>
      </w:r>
      <w:r w:rsidRPr="000C59B6">
        <w:rPr>
          <w:sz w:val="22"/>
          <w:szCs w:val="22"/>
        </w:rPr>
        <w:t xml:space="preserve">collection </w:t>
      </w:r>
      <w:r w:rsidR="005B1D42" w:rsidRPr="000C59B6">
        <w:rPr>
          <w:sz w:val="22"/>
          <w:szCs w:val="22"/>
        </w:rPr>
        <w:t xml:space="preserve">requirements </w:t>
      </w:r>
      <w:r w:rsidRPr="000C59B6">
        <w:rPr>
          <w:sz w:val="22"/>
          <w:szCs w:val="22"/>
        </w:rPr>
        <w:t xml:space="preserve">in </w:t>
      </w:r>
      <w:r w:rsidRPr="000C59B6">
        <w:rPr>
          <w:i/>
          <w:sz w:val="22"/>
          <w:szCs w:val="22"/>
        </w:rPr>
        <w:t>Report &amp; Order</w:t>
      </w:r>
      <w:r w:rsidRPr="000C59B6">
        <w:rPr>
          <w:sz w:val="22"/>
          <w:szCs w:val="22"/>
        </w:rPr>
        <w:t>, DA 12-1777, 78 FR 5750 (Nov. 6, 2012).</w:t>
      </w:r>
      <w:r w:rsidR="00F85EB8" w:rsidRPr="000C59B6">
        <w:rPr>
          <w:sz w:val="22"/>
          <w:szCs w:val="22"/>
        </w:rPr>
        <w:t xml:space="preserve">  </w:t>
      </w:r>
      <w:r w:rsidR="002A43A4" w:rsidRPr="000C59B6">
        <w:rPr>
          <w:sz w:val="22"/>
          <w:szCs w:val="22"/>
        </w:rPr>
        <w:t xml:space="preserve">The Bureau required the collection of study area boundary data in a </w:t>
      </w:r>
      <w:r w:rsidR="00F85EB8" w:rsidRPr="000C59B6">
        <w:rPr>
          <w:sz w:val="22"/>
          <w:szCs w:val="22"/>
        </w:rPr>
        <w:t xml:space="preserve">geographic information system (GIS) shapefile </w:t>
      </w:r>
      <w:r w:rsidR="002A43A4" w:rsidRPr="000C59B6">
        <w:rPr>
          <w:sz w:val="22"/>
          <w:szCs w:val="22"/>
        </w:rPr>
        <w:t>format, a</w:t>
      </w:r>
      <w:r w:rsidR="00F85EB8" w:rsidRPr="000C59B6">
        <w:rPr>
          <w:sz w:val="22"/>
          <w:szCs w:val="22"/>
        </w:rPr>
        <w:t xml:space="preserve"> data storage format for storing the location, shape, and attributes of geographic features.</w:t>
      </w:r>
      <w:r w:rsidR="00F85EB8" w:rsidRPr="000C59B6">
        <w:rPr>
          <w:rStyle w:val="FootnoteReference"/>
          <w:sz w:val="22"/>
          <w:szCs w:val="22"/>
        </w:rPr>
        <w:footnoteReference w:id="3"/>
      </w:r>
      <w:r w:rsidR="00F85EB8" w:rsidRPr="000C59B6">
        <w:rPr>
          <w:sz w:val="22"/>
          <w:szCs w:val="22"/>
        </w:rPr>
        <w:t xml:space="preserve">  </w:t>
      </w:r>
      <w:r w:rsidR="005B1D42" w:rsidRPr="000C59B6">
        <w:rPr>
          <w:sz w:val="22"/>
          <w:szCs w:val="22"/>
        </w:rPr>
        <w:t xml:space="preserve">Study areas within a state consist of one or more exchanges, and the Bureau also required rate-of-return carrier to submit the component exchange boundaries within a study area so that the Commission could distinguish the </w:t>
      </w:r>
      <w:r w:rsidR="005B1D42" w:rsidRPr="000C59B6">
        <w:rPr>
          <w:sz w:val="22"/>
          <w:szCs w:val="22"/>
        </w:rPr>
        <w:lastRenderedPageBreak/>
        <w:t xml:space="preserve">exchanges within a study area that are subject to frozen levels of high cost support, based on an existing Commission rule, from those that are not.  In addition, carriers occasionally sell exchanges among themselves, and standardized study area map data allows the Commission to track which exchanges have been bought and sold.  </w:t>
      </w:r>
    </w:p>
    <w:p w14:paraId="0D0B940D" w14:textId="77777777" w:rsidR="002A43A4" w:rsidRPr="000C59B6" w:rsidRDefault="002A43A4" w:rsidP="00B24568">
      <w:pPr>
        <w:ind w:firstLine="720"/>
        <w:rPr>
          <w:sz w:val="22"/>
          <w:szCs w:val="22"/>
        </w:rPr>
      </w:pPr>
    </w:p>
    <w:p w14:paraId="3818F128" w14:textId="77777777" w:rsidR="00B24568" w:rsidRPr="000C59B6" w:rsidRDefault="00F85EB8" w:rsidP="00B24568">
      <w:pPr>
        <w:ind w:firstLine="720"/>
        <w:rPr>
          <w:sz w:val="22"/>
          <w:szCs w:val="22"/>
        </w:rPr>
      </w:pPr>
      <w:r w:rsidRPr="000C59B6">
        <w:rPr>
          <w:sz w:val="22"/>
          <w:szCs w:val="22"/>
        </w:rPr>
        <w:t xml:space="preserve">In December 2012, the Commission submitted a request for emergency preapproval of the Study Area Boundary Data Reporting in Esri Shapefile Format data collection, </w:t>
      </w:r>
      <w:r w:rsidR="002A43A4" w:rsidRPr="000C59B6">
        <w:rPr>
          <w:sz w:val="22"/>
          <w:szCs w:val="22"/>
        </w:rPr>
        <w:t xml:space="preserve">which </w:t>
      </w:r>
      <w:r w:rsidRPr="000C59B6">
        <w:rPr>
          <w:sz w:val="22"/>
          <w:szCs w:val="22"/>
        </w:rPr>
        <w:t xml:space="preserve">the Office of Management and Budget (OMB) granted </w:t>
      </w:r>
      <w:r w:rsidR="002A43A4" w:rsidRPr="000C59B6">
        <w:rPr>
          <w:sz w:val="22"/>
          <w:szCs w:val="22"/>
        </w:rPr>
        <w:t>on January 23, 2013</w:t>
      </w:r>
      <w:r w:rsidRPr="000C59B6">
        <w:rPr>
          <w:sz w:val="22"/>
          <w:szCs w:val="22"/>
        </w:rPr>
        <w:t>.</w:t>
      </w:r>
      <w:r w:rsidR="002A43A4" w:rsidRPr="000C59B6">
        <w:rPr>
          <w:rStyle w:val="FootnoteReference"/>
          <w:sz w:val="22"/>
          <w:szCs w:val="22"/>
        </w:rPr>
        <w:footnoteReference w:id="4"/>
      </w:r>
      <w:r w:rsidRPr="000C59B6">
        <w:rPr>
          <w:sz w:val="22"/>
          <w:szCs w:val="22"/>
        </w:rPr>
        <w:t xml:space="preserve">  The Bureau subsequently adopted an </w:t>
      </w:r>
      <w:r w:rsidRPr="000C59B6">
        <w:rPr>
          <w:i/>
          <w:sz w:val="22"/>
          <w:szCs w:val="22"/>
        </w:rPr>
        <w:t>Order on Reconsideration,</w:t>
      </w:r>
      <w:r w:rsidRPr="000C59B6">
        <w:rPr>
          <w:sz w:val="22"/>
          <w:szCs w:val="22"/>
        </w:rPr>
        <w:t xml:space="preserve"> DA 13-282 (Feb. 26, 2013), which modified and clarified certain rules related to this data collection.</w:t>
      </w:r>
      <w:r w:rsidR="002A43A4" w:rsidRPr="000C59B6">
        <w:rPr>
          <w:rStyle w:val="FootnoteReference"/>
          <w:sz w:val="22"/>
          <w:szCs w:val="22"/>
        </w:rPr>
        <w:footnoteReference w:id="5"/>
      </w:r>
      <w:r w:rsidRPr="000C59B6">
        <w:rPr>
          <w:sz w:val="22"/>
          <w:szCs w:val="22"/>
        </w:rPr>
        <w:t xml:space="preserve">  </w:t>
      </w:r>
      <w:r w:rsidR="0045558B" w:rsidRPr="000C59B6">
        <w:rPr>
          <w:sz w:val="22"/>
          <w:szCs w:val="22"/>
        </w:rPr>
        <w:t xml:space="preserve">On June 12, 2013, the Commission submitted a request for a three-year extension of the collection </w:t>
      </w:r>
      <w:r w:rsidR="00863A5C" w:rsidRPr="000C59B6">
        <w:rPr>
          <w:sz w:val="22"/>
          <w:szCs w:val="22"/>
        </w:rPr>
        <w:t xml:space="preserve">to July 31, 2016 (78 FR 34382), which </w:t>
      </w:r>
      <w:r w:rsidR="0045558B" w:rsidRPr="000C59B6">
        <w:rPr>
          <w:sz w:val="22"/>
          <w:szCs w:val="22"/>
        </w:rPr>
        <w:t>OMB approved on July 31, 2013</w:t>
      </w:r>
      <w:r w:rsidR="00863A5C" w:rsidRPr="000C59B6">
        <w:rPr>
          <w:sz w:val="22"/>
          <w:szCs w:val="22"/>
        </w:rPr>
        <w:t xml:space="preserve"> (78 FR 76312).</w:t>
      </w:r>
    </w:p>
    <w:p w14:paraId="0E27B00A" w14:textId="77777777" w:rsidR="00B24568" w:rsidRPr="000C59B6" w:rsidRDefault="00B24568" w:rsidP="00B24568">
      <w:pPr>
        <w:ind w:firstLine="720"/>
        <w:rPr>
          <w:sz w:val="22"/>
          <w:szCs w:val="22"/>
        </w:rPr>
      </w:pPr>
    </w:p>
    <w:p w14:paraId="5459B2F5" w14:textId="77777777" w:rsidR="005F0D7B" w:rsidRPr="000C59B6" w:rsidRDefault="00863A5C" w:rsidP="005B1D42">
      <w:pPr>
        <w:ind w:firstLine="720"/>
        <w:rPr>
          <w:sz w:val="22"/>
          <w:szCs w:val="22"/>
        </w:rPr>
      </w:pPr>
      <w:r w:rsidRPr="000C59B6">
        <w:rPr>
          <w:sz w:val="22"/>
          <w:szCs w:val="22"/>
        </w:rPr>
        <w:t xml:space="preserve">ILECs were required to submit </w:t>
      </w:r>
      <w:r w:rsidR="005B1D42" w:rsidRPr="000C59B6">
        <w:rPr>
          <w:sz w:val="22"/>
          <w:szCs w:val="22"/>
        </w:rPr>
        <w:t xml:space="preserve">their initial </w:t>
      </w:r>
      <w:r w:rsidRPr="000C59B6">
        <w:rPr>
          <w:sz w:val="22"/>
          <w:szCs w:val="22"/>
        </w:rPr>
        <w:t>study area boundary data to the Commission in May 2013.</w:t>
      </w:r>
      <w:r w:rsidR="00152210" w:rsidRPr="000C59B6">
        <w:rPr>
          <w:rStyle w:val="FootnoteReference"/>
          <w:sz w:val="22"/>
          <w:szCs w:val="22"/>
        </w:rPr>
        <w:footnoteReference w:id="6"/>
      </w:r>
      <w:r w:rsidRPr="000C59B6">
        <w:rPr>
          <w:sz w:val="22"/>
          <w:szCs w:val="22"/>
        </w:rPr>
        <w:t xml:space="preserve">  </w:t>
      </w:r>
      <w:r w:rsidR="00E72D3D" w:rsidRPr="000C59B6">
        <w:rPr>
          <w:sz w:val="22"/>
          <w:szCs w:val="22"/>
        </w:rPr>
        <w:t>In cases where a state public utility commission submitted data on behalf of the ILECs in its state</w:t>
      </w:r>
      <w:r w:rsidR="00A872E7" w:rsidRPr="000C59B6">
        <w:rPr>
          <w:sz w:val="22"/>
          <w:szCs w:val="22"/>
        </w:rPr>
        <w:t xml:space="preserve"> (see answer 5 below)</w:t>
      </w:r>
      <w:r w:rsidR="00E72D3D" w:rsidRPr="000C59B6">
        <w:rPr>
          <w:sz w:val="22"/>
          <w:szCs w:val="22"/>
        </w:rPr>
        <w:t>, those data were due in June 2013.  Since that time, t</w:t>
      </w:r>
      <w:r w:rsidRPr="000C59B6">
        <w:rPr>
          <w:sz w:val="22"/>
          <w:szCs w:val="22"/>
        </w:rPr>
        <w:t xml:space="preserve">he </w:t>
      </w:r>
      <w:r w:rsidR="00644A4B" w:rsidRPr="000C59B6">
        <w:rPr>
          <w:sz w:val="22"/>
          <w:szCs w:val="22"/>
        </w:rPr>
        <w:t xml:space="preserve">Commission </w:t>
      </w:r>
      <w:r w:rsidRPr="000C59B6">
        <w:rPr>
          <w:sz w:val="22"/>
          <w:szCs w:val="22"/>
        </w:rPr>
        <w:t>has been using</w:t>
      </w:r>
      <w:r w:rsidR="00644A4B" w:rsidRPr="000C59B6">
        <w:rPr>
          <w:sz w:val="22"/>
          <w:szCs w:val="22"/>
        </w:rPr>
        <w:t xml:space="preserve"> the boundary data</w:t>
      </w:r>
      <w:r w:rsidR="005F0D7B" w:rsidRPr="000C59B6">
        <w:rPr>
          <w:sz w:val="22"/>
          <w:szCs w:val="22"/>
        </w:rPr>
        <w:t xml:space="preserve"> to implement </w:t>
      </w:r>
      <w:r w:rsidR="00644A4B" w:rsidRPr="000C59B6">
        <w:rPr>
          <w:sz w:val="22"/>
          <w:szCs w:val="22"/>
        </w:rPr>
        <w:t>its</w:t>
      </w:r>
      <w:r w:rsidR="005F0D7B" w:rsidRPr="000C59B6">
        <w:rPr>
          <w:sz w:val="22"/>
          <w:szCs w:val="22"/>
        </w:rPr>
        <w:t xml:space="preserve"> rule</w:t>
      </w:r>
      <w:r w:rsidR="00832AC5" w:rsidRPr="000C59B6">
        <w:rPr>
          <w:sz w:val="22"/>
          <w:szCs w:val="22"/>
        </w:rPr>
        <w:t>s</w:t>
      </w:r>
      <w:r w:rsidR="005F0D7B" w:rsidRPr="000C59B6">
        <w:rPr>
          <w:sz w:val="22"/>
          <w:szCs w:val="22"/>
        </w:rPr>
        <w:t xml:space="preserve"> </w:t>
      </w:r>
      <w:r w:rsidR="00832AC5" w:rsidRPr="000C59B6">
        <w:rPr>
          <w:sz w:val="22"/>
          <w:szCs w:val="22"/>
        </w:rPr>
        <w:t>related to determining the level of high-cost support for rate-of-return carriers</w:t>
      </w:r>
      <w:r w:rsidR="008A50B0" w:rsidRPr="000C59B6">
        <w:rPr>
          <w:sz w:val="22"/>
          <w:szCs w:val="22"/>
        </w:rPr>
        <w:t>, areas that are eligible to be included in support auctions,</w:t>
      </w:r>
      <w:r w:rsidR="00832AC5" w:rsidRPr="000C59B6">
        <w:rPr>
          <w:sz w:val="22"/>
          <w:szCs w:val="22"/>
        </w:rPr>
        <w:t xml:space="preserve"> and </w:t>
      </w:r>
      <w:r w:rsidR="008A50B0" w:rsidRPr="000C59B6">
        <w:rPr>
          <w:sz w:val="22"/>
          <w:szCs w:val="22"/>
        </w:rPr>
        <w:t xml:space="preserve">elimination of </w:t>
      </w:r>
      <w:r w:rsidR="005F0D7B" w:rsidRPr="000C59B6">
        <w:rPr>
          <w:sz w:val="22"/>
          <w:szCs w:val="22"/>
        </w:rPr>
        <w:t>support where an unsubsidized competitor offers voice and bro</w:t>
      </w:r>
      <w:r w:rsidR="00832AC5" w:rsidRPr="000C59B6">
        <w:rPr>
          <w:sz w:val="22"/>
          <w:szCs w:val="22"/>
        </w:rPr>
        <w:t xml:space="preserve">adband service that overlaps a rate-of-return </w:t>
      </w:r>
      <w:r w:rsidR="005F0D7B" w:rsidRPr="000C59B6">
        <w:rPr>
          <w:sz w:val="22"/>
          <w:szCs w:val="22"/>
        </w:rPr>
        <w:t>carrier’s study area</w:t>
      </w:r>
      <w:r w:rsidR="005B1D42" w:rsidRPr="000C59B6">
        <w:rPr>
          <w:sz w:val="22"/>
          <w:szCs w:val="22"/>
        </w:rPr>
        <w:t xml:space="preserve"> (see </w:t>
      </w:r>
      <w:r w:rsidR="00222027" w:rsidRPr="000C59B6">
        <w:rPr>
          <w:sz w:val="22"/>
          <w:szCs w:val="22"/>
        </w:rPr>
        <w:t xml:space="preserve">answer </w:t>
      </w:r>
      <w:r w:rsidR="005B1D42" w:rsidRPr="000C59B6">
        <w:rPr>
          <w:sz w:val="22"/>
          <w:szCs w:val="22"/>
        </w:rPr>
        <w:t>2 below)</w:t>
      </w:r>
      <w:r w:rsidR="005F0D7B" w:rsidRPr="000C59B6">
        <w:rPr>
          <w:sz w:val="22"/>
          <w:szCs w:val="22"/>
        </w:rPr>
        <w:t xml:space="preserve">.  </w:t>
      </w:r>
    </w:p>
    <w:p w14:paraId="60061E4C" w14:textId="77777777" w:rsidR="005F0D7B" w:rsidRPr="000C59B6" w:rsidRDefault="005F0D7B" w:rsidP="005F0D7B">
      <w:pPr>
        <w:rPr>
          <w:sz w:val="22"/>
          <w:szCs w:val="22"/>
        </w:rPr>
      </w:pPr>
    </w:p>
    <w:p w14:paraId="4F81DE80" w14:textId="77777777" w:rsidR="005F0D7B" w:rsidRPr="000C59B6" w:rsidRDefault="005F0D7B" w:rsidP="005F0D7B">
      <w:pPr>
        <w:rPr>
          <w:sz w:val="22"/>
          <w:szCs w:val="22"/>
        </w:rPr>
      </w:pPr>
      <w:r w:rsidRPr="000C59B6">
        <w:rPr>
          <w:sz w:val="22"/>
          <w:szCs w:val="22"/>
        </w:rPr>
        <w:tab/>
        <w:t>The information c</w:t>
      </w:r>
      <w:r w:rsidR="006C47FB" w:rsidRPr="000C59B6">
        <w:rPr>
          <w:sz w:val="22"/>
          <w:szCs w:val="22"/>
        </w:rPr>
        <w:t>ollection request adopted in the</w:t>
      </w:r>
      <w:r w:rsidRPr="000C59B6">
        <w:rPr>
          <w:sz w:val="22"/>
          <w:szCs w:val="22"/>
        </w:rPr>
        <w:t>s</w:t>
      </w:r>
      <w:r w:rsidR="006C47FB" w:rsidRPr="000C59B6">
        <w:rPr>
          <w:sz w:val="22"/>
          <w:szCs w:val="22"/>
        </w:rPr>
        <w:t>e</w:t>
      </w:r>
      <w:r w:rsidRPr="000C59B6">
        <w:rPr>
          <w:sz w:val="22"/>
          <w:szCs w:val="22"/>
        </w:rPr>
        <w:t xml:space="preserve"> order</w:t>
      </w:r>
      <w:r w:rsidR="006C47FB" w:rsidRPr="000C59B6">
        <w:rPr>
          <w:sz w:val="22"/>
          <w:szCs w:val="22"/>
        </w:rPr>
        <w:t>s</w:t>
      </w:r>
      <w:r w:rsidRPr="000C59B6">
        <w:rPr>
          <w:sz w:val="22"/>
          <w:szCs w:val="22"/>
        </w:rPr>
        <w:t xml:space="preserve"> is mandatory, and failure to comply may lead to enforcement action, including forfeiture penalties, pursuant to the Communications Act and other applicable law.</w:t>
      </w:r>
      <w:r w:rsidRPr="000C59B6">
        <w:rPr>
          <w:rStyle w:val="FootnoteReference"/>
          <w:sz w:val="22"/>
          <w:szCs w:val="22"/>
        </w:rPr>
        <w:footnoteReference w:id="7"/>
      </w:r>
      <w:r w:rsidRPr="000C59B6">
        <w:rPr>
          <w:sz w:val="22"/>
          <w:szCs w:val="22"/>
        </w:rPr>
        <w:t xml:space="preserve"> </w:t>
      </w:r>
    </w:p>
    <w:p w14:paraId="44EAFD9C" w14:textId="77777777" w:rsidR="005F0D7B" w:rsidRPr="000C59B6" w:rsidRDefault="005F0D7B" w:rsidP="005F0D7B">
      <w:pPr>
        <w:rPr>
          <w:sz w:val="22"/>
          <w:szCs w:val="22"/>
        </w:rPr>
      </w:pPr>
    </w:p>
    <w:p w14:paraId="6FE4D625" w14:textId="77777777" w:rsidR="005F0D7B" w:rsidRPr="000C59B6" w:rsidRDefault="005F0D7B" w:rsidP="005F0D7B">
      <w:pPr>
        <w:rPr>
          <w:sz w:val="22"/>
          <w:szCs w:val="22"/>
        </w:rPr>
      </w:pPr>
      <w:r w:rsidRPr="000C59B6">
        <w:rPr>
          <w:sz w:val="22"/>
          <w:szCs w:val="22"/>
        </w:rPr>
        <w:tab/>
      </w:r>
      <w:r w:rsidR="00C91053" w:rsidRPr="000C59B6">
        <w:rPr>
          <w:sz w:val="22"/>
          <w:szCs w:val="22"/>
        </w:rPr>
        <w:t>T</w:t>
      </w:r>
      <w:r w:rsidRPr="000C59B6">
        <w:rPr>
          <w:sz w:val="22"/>
          <w:szCs w:val="22"/>
        </w:rPr>
        <w:t>his information collection does not affect individuals or households; thus, there are no impacts under the Privacy Act.</w:t>
      </w:r>
    </w:p>
    <w:p w14:paraId="4B94D5A5" w14:textId="77777777" w:rsidR="005F0D7B" w:rsidRPr="000C59B6" w:rsidRDefault="005F0D7B" w:rsidP="005F0D7B">
      <w:pPr>
        <w:rPr>
          <w:sz w:val="22"/>
          <w:szCs w:val="22"/>
        </w:rPr>
      </w:pPr>
    </w:p>
    <w:p w14:paraId="2834DC62" w14:textId="77777777" w:rsidR="005F0D7B" w:rsidRPr="000C59B6" w:rsidRDefault="005F0D7B" w:rsidP="005F0D7B">
      <w:pPr>
        <w:rPr>
          <w:sz w:val="22"/>
          <w:szCs w:val="22"/>
        </w:rPr>
      </w:pPr>
      <w:r w:rsidRPr="000C59B6">
        <w:rPr>
          <w:sz w:val="22"/>
          <w:szCs w:val="22"/>
        </w:rPr>
        <w:tab/>
        <w:t>Statutory authority for this information collection is contained in 47 U.S.C. § 254(b), which charges the Commission, among other requirements, to preserve and advance “[a]ccess in rural and high cost areas [to] interexchange services and advanced telecommunications and information services, that are reasonably comparable to those services provided in urban areas and that are available at rates that are reasonably comparable to rates charged for similar services in urban areas.”</w:t>
      </w:r>
    </w:p>
    <w:p w14:paraId="3DEEC669" w14:textId="77777777" w:rsidR="005F0D7B" w:rsidRPr="000C59B6" w:rsidRDefault="005F0D7B" w:rsidP="005F0D7B">
      <w:pPr>
        <w:rPr>
          <w:sz w:val="22"/>
          <w:szCs w:val="22"/>
        </w:rPr>
      </w:pPr>
    </w:p>
    <w:p w14:paraId="27BDB627" w14:textId="77777777" w:rsidR="000F2CD5" w:rsidRPr="000C59B6" w:rsidRDefault="005F0D7B" w:rsidP="005F0D7B">
      <w:pPr>
        <w:rPr>
          <w:sz w:val="22"/>
          <w:szCs w:val="22"/>
        </w:rPr>
      </w:pPr>
      <w:r w:rsidRPr="000C59B6">
        <w:rPr>
          <w:sz w:val="22"/>
          <w:szCs w:val="22"/>
        </w:rPr>
        <w:t xml:space="preserve">2.    </w:t>
      </w:r>
      <w:r w:rsidR="00E72D3D" w:rsidRPr="000C59B6">
        <w:rPr>
          <w:sz w:val="22"/>
          <w:szCs w:val="22"/>
        </w:rPr>
        <w:t xml:space="preserve">The </w:t>
      </w:r>
      <w:r w:rsidRPr="000C59B6">
        <w:rPr>
          <w:sz w:val="22"/>
          <w:szCs w:val="22"/>
        </w:rPr>
        <w:t xml:space="preserve">Commission </w:t>
      </w:r>
      <w:r w:rsidR="00E72D3D" w:rsidRPr="000C59B6">
        <w:rPr>
          <w:sz w:val="22"/>
          <w:szCs w:val="22"/>
        </w:rPr>
        <w:t>u</w:t>
      </w:r>
      <w:r w:rsidRPr="000C59B6">
        <w:rPr>
          <w:sz w:val="22"/>
          <w:szCs w:val="22"/>
        </w:rPr>
        <w:t>se</w:t>
      </w:r>
      <w:r w:rsidR="00E72D3D" w:rsidRPr="000C59B6">
        <w:rPr>
          <w:sz w:val="22"/>
          <w:szCs w:val="22"/>
        </w:rPr>
        <w:t>s</w:t>
      </w:r>
      <w:r w:rsidR="004717ED" w:rsidRPr="000C59B6">
        <w:rPr>
          <w:sz w:val="22"/>
          <w:szCs w:val="22"/>
        </w:rPr>
        <w:t xml:space="preserve"> and will continue to use</w:t>
      </w:r>
      <w:r w:rsidRPr="000C59B6">
        <w:rPr>
          <w:sz w:val="22"/>
          <w:szCs w:val="22"/>
        </w:rPr>
        <w:t xml:space="preserve"> the study area boundary data </w:t>
      </w:r>
      <w:r w:rsidR="00E72D3D" w:rsidRPr="000C59B6">
        <w:rPr>
          <w:sz w:val="22"/>
          <w:szCs w:val="22"/>
        </w:rPr>
        <w:t xml:space="preserve">collected through 3060-1181 </w:t>
      </w:r>
      <w:r w:rsidRPr="000C59B6">
        <w:rPr>
          <w:sz w:val="22"/>
          <w:szCs w:val="22"/>
        </w:rPr>
        <w:t xml:space="preserve">to implement certain universal service </w:t>
      </w:r>
      <w:r w:rsidR="00E72D3D" w:rsidRPr="000C59B6">
        <w:rPr>
          <w:sz w:val="22"/>
          <w:szCs w:val="22"/>
        </w:rPr>
        <w:t>reforms.</w:t>
      </w:r>
      <w:r w:rsidRPr="000C59B6">
        <w:rPr>
          <w:sz w:val="22"/>
          <w:szCs w:val="22"/>
        </w:rPr>
        <w:t xml:space="preserve">  </w:t>
      </w:r>
      <w:r w:rsidR="00222027" w:rsidRPr="000C59B6">
        <w:rPr>
          <w:sz w:val="22"/>
          <w:szCs w:val="22"/>
        </w:rPr>
        <w:t>First, t</w:t>
      </w:r>
      <w:r w:rsidR="001C11D6" w:rsidRPr="000C59B6">
        <w:rPr>
          <w:sz w:val="22"/>
          <w:szCs w:val="22"/>
        </w:rPr>
        <w:t xml:space="preserve">he Commission </w:t>
      </w:r>
      <w:r w:rsidR="00222027" w:rsidRPr="000C59B6">
        <w:rPr>
          <w:sz w:val="22"/>
          <w:szCs w:val="22"/>
        </w:rPr>
        <w:t xml:space="preserve">uses the data as an essential input into a model, </w:t>
      </w:r>
      <w:r w:rsidR="001C11D6" w:rsidRPr="000C59B6">
        <w:rPr>
          <w:sz w:val="22"/>
          <w:szCs w:val="22"/>
        </w:rPr>
        <w:t xml:space="preserve">the Alternative Connect America Cost Model (A-CAM), </w:t>
      </w:r>
      <w:r w:rsidR="00222027" w:rsidRPr="000C59B6">
        <w:rPr>
          <w:sz w:val="22"/>
          <w:szCs w:val="22"/>
        </w:rPr>
        <w:t>that calculate</w:t>
      </w:r>
      <w:r w:rsidR="00FE2C49" w:rsidRPr="000C59B6">
        <w:rPr>
          <w:sz w:val="22"/>
          <w:szCs w:val="22"/>
        </w:rPr>
        <w:t>s</w:t>
      </w:r>
      <w:r w:rsidR="00222027" w:rsidRPr="000C59B6">
        <w:rPr>
          <w:sz w:val="22"/>
          <w:szCs w:val="22"/>
        </w:rPr>
        <w:t xml:space="preserve"> the forward-looking economic costs of deploying and operating a fiber-to-the-premise network in rate-of-return study areas.</w:t>
      </w:r>
      <w:r w:rsidR="00FE2C49" w:rsidRPr="000C59B6">
        <w:rPr>
          <w:rStyle w:val="FootnoteReference"/>
          <w:sz w:val="22"/>
          <w:szCs w:val="22"/>
        </w:rPr>
        <w:footnoteReference w:id="8"/>
      </w:r>
      <w:r w:rsidR="00FE2C49" w:rsidRPr="000C59B6">
        <w:rPr>
          <w:sz w:val="22"/>
          <w:szCs w:val="22"/>
        </w:rPr>
        <w:t xml:space="preserve">  T</w:t>
      </w:r>
      <w:r w:rsidRPr="000C59B6">
        <w:rPr>
          <w:sz w:val="22"/>
          <w:szCs w:val="22"/>
        </w:rPr>
        <w:t>he geographic variables used in th</w:t>
      </w:r>
      <w:r w:rsidR="00FE2C49" w:rsidRPr="000C59B6">
        <w:rPr>
          <w:sz w:val="22"/>
          <w:szCs w:val="22"/>
        </w:rPr>
        <w:t>e</w:t>
      </w:r>
      <w:r w:rsidRPr="000C59B6">
        <w:rPr>
          <w:sz w:val="22"/>
          <w:szCs w:val="22"/>
        </w:rPr>
        <w:t xml:space="preserve"> model that affect </w:t>
      </w:r>
      <w:r w:rsidR="00FE2C49" w:rsidRPr="000C59B6">
        <w:rPr>
          <w:sz w:val="22"/>
          <w:szCs w:val="22"/>
        </w:rPr>
        <w:t>this calculation ar</w:t>
      </w:r>
      <w:r w:rsidRPr="000C59B6">
        <w:rPr>
          <w:sz w:val="22"/>
          <w:szCs w:val="22"/>
        </w:rPr>
        <w:t>e predicated on knowing the specific service territory of each carrier</w:t>
      </w:r>
      <w:r w:rsidR="00FE2C49" w:rsidRPr="000C59B6">
        <w:rPr>
          <w:sz w:val="22"/>
          <w:szCs w:val="22"/>
        </w:rPr>
        <w:t>.</w:t>
      </w:r>
    </w:p>
    <w:p w14:paraId="3656B9AB" w14:textId="77777777" w:rsidR="000F2CD5" w:rsidRPr="000C59B6" w:rsidRDefault="000F2CD5" w:rsidP="005F0D7B">
      <w:pPr>
        <w:rPr>
          <w:sz w:val="22"/>
          <w:szCs w:val="22"/>
        </w:rPr>
      </w:pPr>
    </w:p>
    <w:p w14:paraId="7DED2048" w14:textId="77777777" w:rsidR="004717ED" w:rsidRPr="000C59B6" w:rsidRDefault="00FE2C49" w:rsidP="000B60AD">
      <w:pPr>
        <w:ind w:firstLine="720"/>
        <w:rPr>
          <w:rFonts w:eastAsia="Times New Roman"/>
          <w:sz w:val="22"/>
          <w:szCs w:val="22"/>
        </w:rPr>
      </w:pPr>
      <w:r w:rsidRPr="000C59B6">
        <w:rPr>
          <w:sz w:val="22"/>
          <w:szCs w:val="22"/>
        </w:rPr>
        <w:t>Second, the Commission is using</w:t>
      </w:r>
      <w:r w:rsidR="00330808" w:rsidRPr="000C59B6">
        <w:rPr>
          <w:color w:val="000000"/>
          <w:sz w:val="22"/>
          <w:szCs w:val="22"/>
        </w:rPr>
        <w:t xml:space="preserve"> the</w:t>
      </w:r>
      <w:r w:rsidR="000F2CD5" w:rsidRPr="000C59B6">
        <w:rPr>
          <w:color w:val="000000"/>
          <w:sz w:val="22"/>
          <w:szCs w:val="22"/>
        </w:rPr>
        <w:t xml:space="preserve"> study area boundary</w:t>
      </w:r>
      <w:r w:rsidR="00330808" w:rsidRPr="000C59B6">
        <w:rPr>
          <w:color w:val="000000"/>
          <w:sz w:val="22"/>
          <w:szCs w:val="22"/>
        </w:rPr>
        <w:t xml:space="preserve"> data</w:t>
      </w:r>
      <w:r w:rsidR="005F0D7B" w:rsidRPr="000C59B6">
        <w:rPr>
          <w:sz w:val="22"/>
          <w:szCs w:val="22"/>
        </w:rPr>
        <w:t xml:space="preserve"> </w:t>
      </w:r>
      <w:r w:rsidR="00330808" w:rsidRPr="000C59B6">
        <w:rPr>
          <w:color w:val="000000"/>
          <w:sz w:val="22"/>
          <w:szCs w:val="22"/>
        </w:rPr>
        <w:t>to determine whether unsubsidized competitors offer service within all or</w:t>
      </w:r>
      <w:r w:rsidR="00832AC5" w:rsidRPr="000C59B6">
        <w:rPr>
          <w:color w:val="000000"/>
          <w:sz w:val="22"/>
          <w:szCs w:val="22"/>
        </w:rPr>
        <w:t xml:space="preserve"> a portion of an incumbent rate-of-</w:t>
      </w:r>
      <w:r w:rsidR="00330808" w:rsidRPr="000C59B6">
        <w:rPr>
          <w:color w:val="000000"/>
          <w:sz w:val="22"/>
          <w:szCs w:val="22"/>
        </w:rPr>
        <w:t xml:space="preserve">return carrier’s study area.  </w:t>
      </w:r>
      <w:r w:rsidRPr="000C59B6">
        <w:rPr>
          <w:color w:val="000000"/>
          <w:sz w:val="22"/>
          <w:szCs w:val="22"/>
        </w:rPr>
        <w:t>In 2015</w:t>
      </w:r>
      <w:r w:rsidR="008A50B0" w:rsidRPr="000C59B6">
        <w:rPr>
          <w:color w:val="000000"/>
          <w:sz w:val="22"/>
          <w:szCs w:val="22"/>
        </w:rPr>
        <w:t xml:space="preserve"> and 2017</w:t>
      </w:r>
      <w:r w:rsidRPr="000C59B6">
        <w:rPr>
          <w:color w:val="000000"/>
          <w:sz w:val="22"/>
          <w:szCs w:val="22"/>
        </w:rPr>
        <w:t xml:space="preserve">, the Wireline Competition Bureau analyzed which ILEC study areas were 100% overlapped by an unsubsidized competitor offering voice and broadband service, and phased out </w:t>
      </w:r>
      <w:r w:rsidR="00330808" w:rsidRPr="000C59B6">
        <w:rPr>
          <w:color w:val="000000"/>
          <w:sz w:val="22"/>
          <w:szCs w:val="22"/>
        </w:rPr>
        <w:t xml:space="preserve">universal service support </w:t>
      </w:r>
      <w:r w:rsidRPr="000C59B6">
        <w:rPr>
          <w:color w:val="000000"/>
          <w:sz w:val="22"/>
          <w:szCs w:val="22"/>
        </w:rPr>
        <w:t>in such areas</w:t>
      </w:r>
      <w:r w:rsidR="005F0D7B" w:rsidRPr="000C59B6">
        <w:rPr>
          <w:sz w:val="22"/>
          <w:szCs w:val="22"/>
        </w:rPr>
        <w:t>.</w:t>
      </w:r>
      <w:r w:rsidR="004717ED" w:rsidRPr="000C59B6">
        <w:rPr>
          <w:rStyle w:val="FootnoteReference"/>
          <w:sz w:val="22"/>
          <w:szCs w:val="22"/>
        </w:rPr>
        <w:footnoteReference w:id="9"/>
      </w:r>
      <w:r w:rsidR="005F0D7B" w:rsidRPr="000C59B6">
        <w:rPr>
          <w:rFonts w:eastAsia="Times New Roman"/>
          <w:sz w:val="22"/>
          <w:szCs w:val="22"/>
        </w:rPr>
        <w:t xml:space="preserve">  </w:t>
      </w:r>
      <w:r w:rsidR="008A50B0" w:rsidRPr="000C59B6">
        <w:rPr>
          <w:rFonts w:eastAsia="Times New Roman"/>
          <w:sz w:val="22"/>
          <w:szCs w:val="22"/>
        </w:rPr>
        <w:t xml:space="preserve">The Commission has used this data to determine whether certain census blocks are eligible to be included in universal service support auctions.  Such data have already been used in the Connect America Fund Phase II Auction and will be used to determine if census blocks in rate-of-return areas are eligible to be included in </w:t>
      </w:r>
      <w:r w:rsidR="009065A2" w:rsidRPr="000C59B6">
        <w:rPr>
          <w:rFonts w:eastAsia="Times New Roman"/>
          <w:sz w:val="22"/>
          <w:szCs w:val="22"/>
        </w:rPr>
        <w:t>later</w:t>
      </w:r>
      <w:r w:rsidR="008A50B0" w:rsidRPr="000C59B6">
        <w:rPr>
          <w:rFonts w:eastAsia="Times New Roman"/>
          <w:sz w:val="22"/>
          <w:szCs w:val="22"/>
        </w:rPr>
        <w:t xml:space="preserve"> auction</w:t>
      </w:r>
      <w:r w:rsidR="009065A2" w:rsidRPr="000C59B6">
        <w:rPr>
          <w:rFonts w:eastAsia="Times New Roman"/>
          <w:sz w:val="22"/>
          <w:szCs w:val="22"/>
        </w:rPr>
        <w:t>s</w:t>
      </w:r>
      <w:r w:rsidR="008A50B0" w:rsidRPr="000C59B6">
        <w:rPr>
          <w:rFonts w:eastAsia="Times New Roman"/>
          <w:sz w:val="22"/>
          <w:szCs w:val="22"/>
        </w:rPr>
        <w:t xml:space="preserve">.  </w:t>
      </w:r>
      <w:r w:rsidR="004717ED" w:rsidRPr="000C59B6">
        <w:rPr>
          <w:rFonts w:eastAsia="Times New Roman"/>
          <w:sz w:val="22"/>
          <w:szCs w:val="22"/>
        </w:rPr>
        <w:t xml:space="preserve">The Commission plans to </w:t>
      </w:r>
      <w:r w:rsidRPr="000C59B6">
        <w:rPr>
          <w:rFonts w:eastAsia="Times New Roman"/>
          <w:sz w:val="22"/>
          <w:szCs w:val="22"/>
        </w:rPr>
        <w:t>use the study area boundary</w:t>
      </w:r>
      <w:r w:rsidR="004717ED" w:rsidRPr="000C59B6">
        <w:rPr>
          <w:rFonts w:eastAsia="Times New Roman"/>
          <w:sz w:val="22"/>
          <w:szCs w:val="22"/>
        </w:rPr>
        <w:t xml:space="preserve"> data in the future to determine whether unsubsidized competitors offer voice and broadband service in a portion of a rate-of-return carrier’s study area.</w:t>
      </w:r>
    </w:p>
    <w:p w14:paraId="45FB0818" w14:textId="77777777" w:rsidR="004717ED" w:rsidRPr="000C59B6" w:rsidRDefault="004717ED" w:rsidP="000B60AD">
      <w:pPr>
        <w:ind w:firstLine="720"/>
        <w:rPr>
          <w:rFonts w:eastAsia="Times New Roman"/>
          <w:sz w:val="22"/>
          <w:szCs w:val="22"/>
        </w:rPr>
      </w:pPr>
    </w:p>
    <w:p w14:paraId="674E1AB4" w14:textId="77777777" w:rsidR="005F0D7B" w:rsidRPr="000C59B6" w:rsidRDefault="00C1236F" w:rsidP="000B60AD">
      <w:pPr>
        <w:ind w:firstLine="720"/>
        <w:rPr>
          <w:sz w:val="22"/>
          <w:szCs w:val="22"/>
        </w:rPr>
      </w:pPr>
      <w:r w:rsidRPr="000C59B6">
        <w:rPr>
          <w:rFonts w:eastAsia="Times New Roman"/>
          <w:sz w:val="22"/>
          <w:szCs w:val="22"/>
        </w:rPr>
        <w:t>The study area boundary data</w:t>
      </w:r>
      <w:r w:rsidR="009E28A9" w:rsidRPr="000C59B6">
        <w:rPr>
          <w:rFonts w:eastAsia="Times New Roman"/>
          <w:sz w:val="22"/>
          <w:szCs w:val="22"/>
        </w:rPr>
        <w:t xml:space="preserve"> </w:t>
      </w:r>
      <w:r w:rsidRPr="000C59B6">
        <w:rPr>
          <w:rFonts w:eastAsia="Times New Roman"/>
          <w:sz w:val="22"/>
          <w:szCs w:val="22"/>
        </w:rPr>
        <w:t>also complement the data collected through the Commission’s Form 477 Local Telephone Competition and Broadband Reporting effort, as the</w:t>
      </w:r>
      <w:r w:rsidR="00096481" w:rsidRPr="000C59B6">
        <w:rPr>
          <w:rFonts w:eastAsia="Times New Roman"/>
          <w:sz w:val="22"/>
          <w:szCs w:val="22"/>
        </w:rPr>
        <w:t xml:space="preserve">y indicate where fixed voice service is available from </w:t>
      </w:r>
      <w:r w:rsidR="00644A4B" w:rsidRPr="000C59B6">
        <w:rPr>
          <w:rFonts w:eastAsia="Times New Roman"/>
          <w:sz w:val="22"/>
          <w:szCs w:val="22"/>
        </w:rPr>
        <w:t>ILECs</w:t>
      </w:r>
      <w:r w:rsidR="00096481" w:rsidRPr="000C59B6">
        <w:rPr>
          <w:rFonts w:eastAsia="Times New Roman"/>
          <w:sz w:val="22"/>
          <w:szCs w:val="22"/>
        </w:rPr>
        <w:t>.</w:t>
      </w:r>
      <w:r w:rsidRPr="000C59B6">
        <w:rPr>
          <w:rFonts w:eastAsia="Times New Roman"/>
          <w:sz w:val="22"/>
          <w:szCs w:val="22"/>
        </w:rPr>
        <w:t xml:space="preserve"> </w:t>
      </w:r>
      <w:r w:rsidR="004717ED" w:rsidRPr="000C59B6">
        <w:rPr>
          <w:rFonts w:eastAsia="Times New Roman"/>
          <w:sz w:val="22"/>
          <w:szCs w:val="22"/>
        </w:rPr>
        <w:t xml:space="preserve"> </w:t>
      </w:r>
      <w:r w:rsidR="005F0D7B" w:rsidRPr="000C59B6">
        <w:rPr>
          <w:sz w:val="22"/>
          <w:szCs w:val="22"/>
        </w:rPr>
        <w:t xml:space="preserve">Finally, the Commission </w:t>
      </w:r>
      <w:r w:rsidR="004717ED" w:rsidRPr="000C59B6">
        <w:rPr>
          <w:sz w:val="22"/>
          <w:szCs w:val="22"/>
        </w:rPr>
        <w:t>has mad</w:t>
      </w:r>
      <w:r w:rsidR="005F0D7B" w:rsidRPr="000C59B6">
        <w:rPr>
          <w:sz w:val="22"/>
          <w:szCs w:val="22"/>
        </w:rPr>
        <w:t>e the study area boundary data available to the public for its use.</w:t>
      </w:r>
      <w:r w:rsidR="004717ED" w:rsidRPr="000C59B6">
        <w:rPr>
          <w:rStyle w:val="FootnoteReference"/>
          <w:sz w:val="22"/>
          <w:szCs w:val="22"/>
        </w:rPr>
        <w:footnoteReference w:id="10"/>
      </w:r>
    </w:p>
    <w:p w14:paraId="049F31CB" w14:textId="77777777" w:rsidR="005F0D7B" w:rsidRPr="000C59B6" w:rsidRDefault="005F0D7B" w:rsidP="005F0D7B">
      <w:pPr>
        <w:rPr>
          <w:sz w:val="22"/>
          <w:szCs w:val="22"/>
        </w:rPr>
      </w:pPr>
    </w:p>
    <w:p w14:paraId="626FC6CC" w14:textId="77777777" w:rsidR="00856A97" w:rsidRPr="000C59B6" w:rsidRDefault="005F0D7B" w:rsidP="005F0D7B">
      <w:pPr>
        <w:rPr>
          <w:sz w:val="22"/>
          <w:szCs w:val="22"/>
        </w:rPr>
      </w:pPr>
      <w:r w:rsidRPr="000C59B6">
        <w:rPr>
          <w:sz w:val="22"/>
          <w:szCs w:val="22"/>
        </w:rPr>
        <w:t xml:space="preserve">3.  Each </w:t>
      </w:r>
      <w:r w:rsidR="00467968" w:rsidRPr="000C59B6">
        <w:rPr>
          <w:sz w:val="22"/>
          <w:szCs w:val="22"/>
        </w:rPr>
        <w:t>ILEC</w:t>
      </w:r>
      <w:r w:rsidRPr="000C59B6">
        <w:rPr>
          <w:sz w:val="22"/>
          <w:szCs w:val="22"/>
        </w:rPr>
        <w:t xml:space="preserve"> (or state commission filing on its behalf; see answer 5 below) </w:t>
      </w:r>
      <w:r w:rsidR="00856A97" w:rsidRPr="000C59B6">
        <w:rPr>
          <w:sz w:val="22"/>
          <w:szCs w:val="22"/>
        </w:rPr>
        <w:t>has filed</w:t>
      </w:r>
      <w:r w:rsidRPr="000C59B6">
        <w:rPr>
          <w:sz w:val="22"/>
          <w:szCs w:val="22"/>
        </w:rPr>
        <w:t xml:space="preserve"> a map of its study area in a uniform GIS esri shapefile format.  </w:t>
      </w:r>
      <w:r w:rsidR="00856A97" w:rsidRPr="000C59B6">
        <w:rPr>
          <w:sz w:val="22"/>
          <w:szCs w:val="22"/>
        </w:rPr>
        <w:t xml:space="preserve">These maps </w:t>
      </w:r>
      <w:r w:rsidR="00A94AC6" w:rsidRPr="000C59B6">
        <w:rPr>
          <w:sz w:val="22"/>
          <w:szCs w:val="22"/>
        </w:rPr>
        <w:t xml:space="preserve">are </w:t>
      </w:r>
      <w:r w:rsidR="00856A97" w:rsidRPr="000C59B6">
        <w:rPr>
          <w:sz w:val="22"/>
          <w:szCs w:val="22"/>
        </w:rPr>
        <w:t>submitted via a</w:t>
      </w:r>
      <w:r w:rsidRPr="000C59B6">
        <w:rPr>
          <w:sz w:val="22"/>
          <w:szCs w:val="22"/>
        </w:rPr>
        <w:t xml:space="preserve"> secure </w:t>
      </w:r>
      <w:r w:rsidR="00060629" w:rsidRPr="000C59B6">
        <w:rPr>
          <w:sz w:val="22"/>
          <w:szCs w:val="22"/>
        </w:rPr>
        <w:t>I</w:t>
      </w:r>
      <w:r w:rsidRPr="000C59B6">
        <w:rPr>
          <w:sz w:val="22"/>
          <w:szCs w:val="22"/>
        </w:rPr>
        <w:t>nternet-browser web interface</w:t>
      </w:r>
      <w:r w:rsidR="00060629" w:rsidRPr="000C59B6">
        <w:rPr>
          <w:sz w:val="22"/>
          <w:szCs w:val="22"/>
        </w:rPr>
        <w:t xml:space="preserve"> developed </w:t>
      </w:r>
      <w:r w:rsidR="00856A97" w:rsidRPr="000C59B6">
        <w:rPr>
          <w:sz w:val="22"/>
          <w:szCs w:val="22"/>
        </w:rPr>
        <w:t xml:space="preserve">and maintained </w:t>
      </w:r>
      <w:r w:rsidR="00060629" w:rsidRPr="000C59B6">
        <w:rPr>
          <w:sz w:val="22"/>
          <w:szCs w:val="22"/>
        </w:rPr>
        <w:t>by the Commission</w:t>
      </w:r>
      <w:r w:rsidRPr="000C59B6">
        <w:rPr>
          <w:sz w:val="22"/>
          <w:szCs w:val="22"/>
        </w:rPr>
        <w:t xml:space="preserve">.  </w:t>
      </w:r>
      <w:r w:rsidR="00856A97" w:rsidRPr="000C59B6">
        <w:rPr>
          <w:sz w:val="22"/>
          <w:szCs w:val="22"/>
        </w:rPr>
        <w:t xml:space="preserve">If </w:t>
      </w:r>
      <w:r w:rsidR="00A33C94" w:rsidRPr="000C59B6">
        <w:rPr>
          <w:sz w:val="22"/>
          <w:szCs w:val="22"/>
        </w:rPr>
        <w:t xml:space="preserve">a </w:t>
      </w:r>
      <w:r w:rsidR="00856A97" w:rsidRPr="000C59B6">
        <w:rPr>
          <w:sz w:val="22"/>
          <w:szCs w:val="22"/>
        </w:rPr>
        <w:t>study area boundar</w:t>
      </w:r>
      <w:r w:rsidR="00A33C94" w:rsidRPr="000C59B6">
        <w:rPr>
          <w:sz w:val="22"/>
          <w:szCs w:val="22"/>
        </w:rPr>
        <w:t>y</w:t>
      </w:r>
      <w:r w:rsidR="00856A97" w:rsidRPr="000C59B6">
        <w:rPr>
          <w:sz w:val="22"/>
          <w:szCs w:val="22"/>
        </w:rPr>
        <w:t xml:space="preserve"> change</w:t>
      </w:r>
      <w:r w:rsidR="00A33C94" w:rsidRPr="000C59B6">
        <w:rPr>
          <w:sz w:val="22"/>
          <w:szCs w:val="22"/>
        </w:rPr>
        <w:t>s</w:t>
      </w:r>
      <w:r w:rsidR="00856A97" w:rsidRPr="000C59B6">
        <w:rPr>
          <w:sz w:val="22"/>
          <w:szCs w:val="22"/>
        </w:rPr>
        <w:t>, filers a</w:t>
      </w:r>
      <w:r w:rsidR="005D5387" w:rsidRPr="000C59B6">
        <w:rPr>
          <w:sz w:val="22"/>
          <w:szCs w:val="22"/>
        </w:rPr>
        <w:t xml:space="preserve">re required to submit, via this interface, </w:t>
      </w:r>
      <w:r w:rsidR="00A33C94" w:rsidRPr="000C59B6">
        <w:rPr>
          <w:sz w:val="22"/>
          <w:szCs w:val="22"/>
        </w:rPr>
        <w:t xml:space="preserve">revised boundary data </w:t>
      </w:r>
      <w:r w:rsidR="00A872E7" w:rsidRPr="000C59B6">
        <w:rPr>
          <w:sz w:val="22"/>
          <w:szCs w:val="22"/>
        </w:rPr>
        <w:t xml:space="preserve">incorporating such changes </w:t>
      </w:r>
      <w:r w:rsidR="00A33C94" w:rsidRPr="000C59B6">
        <w:rPr>
          <w:sz w:val="22"/>
          <w:szCs w:val="22"/>
        </w:rPr>
        <w:t>by March 15 of the year</w:t>
      </w:r>
      <w:r w:rsidR="005D5387" w:rsidRPr="000C59B6">
        <w:rPr>
          <w:sz w:val="22"/>
          <w:szCs w:val="22"/>
        </w:rPr>
        <w:t xml:space="preserve"> following the change</w:t>
      </w:r>
      <w:r w:rsidR="00A33C94" w:rsidRPr="000C59B6">
        <w:rPr>
          <w:sz w:val="22"/>
          <w:szCs w:val="22"/>
        </w:rPr>
        <w:t>.  In addition, all filers are required to recertify their study area boundaries every two years.</w:t>
      </w:r>
    </w:p>
    <w:p w14:paraId="53128261" w14:textId="77777777" w:rsidR="00856A97" w:rsidRPr="000C59B6" w:rsidRDefault="00856A97" w:rsidP="005F0D7B">
      <w:pPr>
        <w:rPr>
          <w:sz w:val="22"/>
          <w:szCs w:val="22"/>
        </w:rPr>
      </w:pPr>
    </w:p>
    <w:p w14:paraId="609F62E7" w14:textId="77777777" w:rsidR="005F0D7B" w:rsidRPr="000C59B6" w:rsidRDefault="00A33C94" w:rsidP="00856A97">
      <w:pPr>
        <w:ind w:firstLine="720"/>
        <w:rPr>
          <w:sz w:val="22"/>
          <w:szCs w:val="22"/>
        </w:rPr>
      </w:pPr>
      <w:r w:rsidRPr="000C59B6">
        <w:rPr>
          <w:sz w:val="22"/>
          <w:szCs w:val="22"/>
        </w:rPr>
        <w:t xml:space="preserve">To submit or recertify study area boundary data, </w:t>
      </w:r>
      <w:r w:rsidR="00644A4B" w:rsidRPr="000C59B6">
        <w:rPr>
          <w:sz w:val="22"/>
          <w:szCs w:val="22"/>
        </w:rPr>
        <w:t>ILECs</w:t>
      </w:r>
      <w:r w:rsidR="00060629" w:rsidRPr="000C59B6">
        <w:rPr>
          <w:sz w:val="22"/>
          <w:szCs w:val="22"/>
        </w:rPr>
        <w:t xml:space="preserve"> </w:t>
      </w:r>
      <w:r w:rsidR="005F0D7B" w:rsidRPr="000C59B6">
        <w:rPr>
          <w:sz w:val="22"/>
          <w:szCs w:val="22"/>
        </w:rPr>
        <w:t xml:space="preserve">log into </w:t>
      </w:r>
      <w:r w:rsidRPr="000C59B6">
        <w:rPr>
          <w:sz w:val="22"/>
          <w:szCs w:val="22"/>
        </w:rPr>
        <w:t>the study area boundary data collection</w:t>
      </w:r>
      <w:r w:rsidR="005F0D7B" w:rsidRPr="000C59B6">
        <w:rPr>
          <w:sz w:val="22"/>
          <w:szCs w:val="22"/>
        </w:rPr>
        <w:t xml:space="preserve"> web site</w:t>
      </w:r>
      <w:r w:rsidR="00060629" w:rsidRPr="000C59B6">
        <w:rPr>
          <w:sz w:val="22"/>
          <w:szCs w:val="22"/>
        </w:rPr>
        <w:t xml:space="preserve"> </w:t>
      </w:r>
      <w:r w:rsidR="005F0D7B" w:rsidRPr="000C59B6">
        <w:rPr>
          <w:sz w:val="22"/>
          <w:szCs w:val="22"/>
        </w:rPr>
        <w:t>using an existing FCC identification and verification protocol</w:t>
      </w:r>
      <w:r w:rsidR="00060629" w:rsidRPr="000C59B6">
        <w:rPr>
          <w:sz w:val="22"/>
          <w:szCs w:val="22"/>
        </w:rPr>
        <w:t>, while state commissions use an FCC-assigned username and password.  Both types of filers navigate through</w:t>
      </w:r>
      <w:r w:rsidR="005F0D7B" w:rsidRPr="000C59B6">
        <w:rPr>
          <w:sz w:val="22"/>
          <w:szCs w:val="22"/>
        </w:rPr>
        <w:t xml:space="preserve"> a few screens </w:t>
      </w:r>
      <w:r w:rsidR="003F34DC" w:rsidRPr="000C59B6">
        <w:rPr>
          <w:sz w:val="22"/>
          <w:szCs w:val="22"/>
        </w:rPr>
        <w:t>to enter i</w:t>
      </w:r>
      <w:r w:rsidR="005F0D7B" w:rsidRPr="000C59B6">
        <w:rPr>
          <w:sz w:val="22"/>
          <w:szCs w:val="22"/>
        </w:rPr>
        <w:t>nformation</w:t>
      </w:r>
      <w:r w:rsidR="003F34DC" w:rsidRPr="000C59B6">
        <w:rPr>
          <w:sz w:val="22"/>
          <w:szCs w:val="22"/>
        </w:rPr>
        <w:t xml:space="preserve"> and upload data</w:t>
      </w:r>
      <w:r w:rsidR="005F0D7B" w:rsidRPr="000C59B6">
        <w:rPr>
          <w:sz w:val="22"/>
          <w:szCs w:val="22"/>
        </w:rPr>
        <w:t>.  The web site check</w:t>
      </w:r>
      <w:r w:rsidR="00915E73" w:rsidRPr="000C59B6">
        <w:rPr>
          <w:sz w:val="22"/>
          <w:szCs w:val="22"/>
        </w:rPr>
        <w:t>s</w:t>
      </w:r>
      <w:r w:rsidR="005F0D7B" w:rsidRPr="000C59B6">
        <w:rPr>
          <w:sz w:val="22"/>
          <w:szCs w:val="22"/>
        </w:rPr>
        <w:t xml:space="preserve"> the contents of the upload for compliance and display</w:t>
      </w:r>
      <w:r w:rsidR="00915E73" w:rsidRPr="000C59B6">
        <w:rPr>
          <w:sz w:val="22"/>
          <w:szCs w:val="22"/>
        </w:rPr>
        <w:t>s</w:t>
      </w:r>
      <w:r w:rsidR="005F0D7B" w:rsidRPr="000C59B6">
        <w:rPr>
          <w:sz w:val="22"/>
          <w:szCs w:val="22"/>
        </w:rPr>
        <w:t xml:space="preserve"> the uploaded data for </w:t>
      </w:r>
      <w:r w:rsidR="007704C7" w:rsidRPr="000C59B6">
        <w:rPr>
          <w:sz w:val="22"/>
          <w:szCs w:val="22"/>
        </w:rPr>
        <w:t xml:space="preserve">viewing and </w:t>
      </w:r>
      <w:r w:rsidR="00872908" w:rsidRPr="000C59B6">
        <w:rPr>
          <w:sz w:val="22"/>
          <w:szCs w:val="22"/>
        </w:rPr>
        <w:t>certification by the filer.</w:t>
      </w:r>
      <w:r w:rsidR="005F0D7B" w:rsidRPr="000C59B6">
        <w:rPr>
          <w:sz w:val="22"/>
          <w:szCs w:val="22"/>
        </w:rPr>
        <w:t xml:space="preserve"> </w:t>
      </w:r>
    </w:p>
    <w:p w14:paraId="62486C05" w14:textId="77777777" w:rsidR="005F0D7B" w:rsidRPr="000C59B6" w:rsidRDefault="005F0D7B" w:rsidP="005F0D7B">
      <w:pPr>
        <w:rPr>
          <w:sz w:val="22"/>
          <w:szCs w:val="22"/>
        </w:rPr>
      </w:pPr>
      <w:r w:rsidRPr="000C59B6">
        <w:rPr>
          <w:sz w:val="22"/>
          <w:szCs w:val="22"/>
        </w:rPr>
        <w:tab/>
      </w:r>
    </w:p>
    <w:p w14:paraId="6173E577" w14:textId="77777777" w:rsidR="005F0D7B" w:rsidRPr="000C59B6" w:rsidRDefault="005F0D7B" w:rsidP="005F0D7B">
      <w:pPr>
        <w:rPr>
          <w:sz w:val="22"/>
          <w:szCs w:val="22"/>
        </w:rPr>
      </w:pPr>
      <w:r w:rsidRPr="000C59B6">
        <w:rPr>
          <w:sz w:val="22"/>
          <w:szCs w:val="22"/>
        </w:rPr>
        <w:t xml:space="preserve">4.  There is no overlap with an existing information collection.  </w:t>
      </w:r>
    </w:p>
    <w:p w14:paraId="4101652C" w14:textId="77777777" w:rsidR="005F0D7B" w:rsidRPr="000C59B6" w:rsidRDefault="005F0D7B" w:rsidP="005F0D7B">
      <w:pPr>
        <w:rPr>
          <w:sz w:val="22"/>
          <w:szCs w:val="22"/>
        </w:rPr>
      </w:pPr>
    </w:p>
    <w:p w14:paraId="599C34E9" w14:textId="77777777" w:rsidR="005D5387" w:rsidRPr="000C59B6" w:rsidRDefault="005F0D7B" w:rsidP="00D454A1">
      <w:pPr>
        <w:rPr>
          <w:sz w:val="22"/>
          <w:szCs w:val="22"/>
        </w:rPr>
      </w:pPr>
      <w:r w:rsidRPr="000C59B6">
        <w:rPr>
          <w:sz w:val="22"/>
          <w:szCs w:val="22"/>
        </w:rPr>
        <w:t xml:space="preserve">5.  The requirements adopted impose the least possible burden on </w:t>
      </w:r>
      <w:r w:rsidR="00644A4B" w:rsidRPr="000C59B6">
        <w:rPr>
          <w:sz w:val="22"/>
          <w:szCs w:val="22"/>
        </w:rPr>
        <w:t>ILECs</w:t>
      </w:r>
      <w:r w:rsidRPr="000C59B6">
        <w:rPr>
          <w:sz w:val="22"/>
          <w:szCs w:val="22"/>
        </w:rPr>
        <w:t xml:space="preserve"> consistent with the regulatory need for the information.  </w:t>
      </w:r>
      <w:r w:rsidR="00644A4B" w:rsidRPr="000C59B6">
        <w:rPr>
          <w:sz w:val="22"/>
          <w:szCs w:val="22"/>
        </w:rPr>
        <w:t>ILECs</w:t>
      </w:r>
      <w:r w:rsidRPr="000C59B6">
        <w:rPr>
          <w:sz w:val="22"/>
          <w:szCs w:val="22"/>
        </w:rPr>
        <w:t xml:space="preserve"> </w:t>
      </w:r>
      <w:r w:rsidR="00B217D5" w:rsidRPr="000C59B6">
        <w:rPr>
          <w:sz w:val="22"/>
          <w:szCs w:val="22"/>
        </w:rPr>
        <w:t xml:space="preserve">have already completed the initial </w:t>
      </w:r>
      <w:r w:rsidR="00644A4B" w:rsidRPr="000C59B6">
        <w:rPr>
          <w:sz w:val="22"/>
          <w:szCs w:val="22"/>
        </w:rPr>
        <w:t xml:space="preserve">and most burdensome </w:t>
      </w:r>
      <w:r w:rsidR="00B217D5" w:rsidRPr="000C59B6">
        <w:rPr>
          <w:sz w:val="22"/>
          <w:szCs w:val="22"/>
        </w:rPr>
        <w:t>task associated wit</w:t>
      </w:r>
      <w:r w:rsidR="005D5387" w:rsidRPr="000C59B6">
        <w:rPr>
          <w:sz w:val="22"/>
          <w:szCs w:val="22"/>
        </w:rPr>
        <w:t>h this filing requirement, which is</w:t>
      </w:r>
      <w:r w:rsidR="00B217D5" w:rsidRPr="000C59B6">
        <w:rPr>
          <w:sz w:val="22"/>
          <w:szCs w:val="22"/>
        </w:rPr>
        <w:t xml:space="preserve"> </w:t>
      </w:r>
      <w:r w:rsidR="00644A4B" w:rsidRPr="000C59B6">
        <w:rPr>
          <w:sz w:val="22"/>
          <w:szCs w:val="22"/>
        </w:rPr>
        <w:t>producing esri</w:t>
      </w:r>
      <w:r w:rsidR="00B217D5" w:rsidRPr="000C59B6">
        <w:rPr>
          <w:sz w:val="22"/>
          <w:szCs w:val="22"/>
        </w:rPr>
        <w:t xml:space="preserve"> shapefiles of their study area boundaries.  </w:t>
      </w:r>
      <w:r w:rsidR="00644A4B" w:rsidRPr="000C59B6">
        <w:rPr>
          <w:sz w:val="22"/>
          <w:szCs w:val="22"/>
        </w:rPr>
        <w:t xml:space="preserve">These shapefiles were due in May 2013.  </w:t>
      </w:r>
      <w:r w:rsidR="005D5387" w:rsidRPr="000C59B6">
        <w:rPr>
          <w:sz w:val="22"/>
          <w:szCs w:val="22"/>
        </w:rPr>
        <w:t xml:space="preserve">To ease the burden on ILECs, especially those that are small entities, the </w:t>
      </w:r>
      <w:r w:rsidR="004034E4" w:rsidRPr="000C59B6">
        <w:rPr>
          <w:sz w:val="22"/>
          <w:szCs w:val="22"/>
        </w:rPr>
        <w:t>Bureau allowed state commissions to submit</w:t>
      </w:r>
      <w:r w:rsidR="005D5387" w:rsidRPr="000C59B6">
        <w:rPr>
          <w:sz w:val="22"/>
          <w:szCs w:val="22"/>
        </w:rPr>
        <w:t xml:space="preserve"> study area boundary data on behalf of </w:t>
      </w:r>
      <w:r w:rsidR="004034E4" w:rsidRPr="000C59B6">
        <w:rPr>
          <w:sz w:val="22"/>
          <w:szCs w:val="22"/>
        </w:rPr>
        <w:t>ILECs in their respective states</w:t>
      </w:r>
      <w:r w:rsidR="005D5387" w:rsidRPr="000C59B6">
        <w:rPr>
          <w:sz w:val="22"/>
          <w:szCs w:val="22"/>
        </w:rPr>
        <w:t>.</w:t>
      </w:r>
      <w:r w:rsidR="004034E4" w:rsidRPr="000C59B6">
        <w:rPr>
          <w:sz w:val="22"/>
          <w:szCs w:val="22"/>
        </w:rPr>
        <w:t xml:space="preserve">  Study area boundaries filed by state commissions were due in June 2013.  </w:t>
      </w:r>
    </w:p>
    <w:p w14:paraId="4B99056E" w14:textId="77777777" w:rsidR="005D5387" w:rsidRPr="000C59B6" w:rsidRDefault="005D5387" w:rsidP="005F0D7B">
      <w:pPr>
        <w:rPr>
          <w:sz w:val="22"/>
          <w:szCs w:val="22"/>
        </w:rPr>
      </w:pPr>
    </w:p>
    <w:p w14:paraId="16CF96D0" w14:textId="77777777" w:rsidR="004034E4" w:rsidRPr="000C59B6" w:rsidRDefault="005D5387" w:rsidP="005D5387">
      <w:pPr>
        <w:ind w:firstLine="720"/>
        <w:rPr>
          <w:sz w:val="22"/>
          <w:szCs w:val="22"/>
        </w:rPr>
      </w:pPr>
      <w:r w:rsidRPr="000C59B6">
        <w:rPr>
          <w:sz w:val="22"/>
          <w:szCs w:val="22"/>
        </w:rPr>
        <w:t xml:space="preserve">It is critical to the Commission’s universal service reform implementation efforts </w:t>
      </w:r>
      <w:r w:rsidR="004034E4" w:rsidRPr="000C59B6">
        <w:rPr>
          <w:sz w:val="22"/>
          <w:szCs w:val="22"/>
        </w:rPr>
        <w:t xml:space="preserve">that </w:t>
      </w:r>
      <w:r w:rsidRPr="000C59B6">
        <w:rPr>
          <w:sz w:val="22"/>
          <w:szCs w:val="22"/>
        </w:rPr>
        <w:t xml:space="preserve">study area boundary data do not become out of date.  Therefore, ILECs </w:t>
      </w:r>
      <w:r w:rsidR="004034E4" w:rsidRPr="000C59B6">
        <w:rPr>
          <w:sz w:val="22"/>
          <w:szCs w:val="22"/>
        </w:rPr>
        <w:t xml:space="preserve">(or state commissions) </w:t>
      </w:r>
      <w:r w:rsidRPr="000C59B6">
        <w:rPr>
          <w:sz w:val="22"/>
          <w:szCs w:val="22"/>
        </w:rPr>
        <w:t xml:space="preserve">are required to submit updated data when their study area boundaries change.  </w:t>
      </w:r>
      <w:r w:rsidR="004034E4" w:rsidRPr="000C59B6">
        <w:rPr>
          <w:sz w:val="22"/>
          <w:szCs w:val="22"/>
        </w:rPr>
        <w:t>Filers</w:t>
      </w:r>
      <w:r w:rsidRPr="000C59B6">
        <w:rPr>
          <w:sz w:val="22"/>
          <w:szCs w:val="22"/>
        </w:rPr>
        <w:t xml:space="preserve"> </w:t>
      </w:r>
      <w:r w:rsidR="004034E4" w:rsidRPr="000C59B6">
        <w:rPr>
          <w:sz w:val="22"/>
          <w:szCs w:val="22"/>
        </w:rPr>
        <w:t>are required</w:t>
      </w:r>
      <w:r w:rsidRPr="000C59B6">
        <w:rPr>
          <w:sz w:val="22"/>
          <w:szCs w:val="22"/>
        </w:rPr>
        <w:t xml:space="preserve"> submit updated </w:t>
      </w:r>
      <w:r w:rsidR="004034E4" w:rsidRPr="000C59B6">
        <w:rPr>
          <w:sz w:val="22"/>
          <w:szCs w:val="22"/>
        </w:rPr>
        <w:t xml:space="preserve">boundary </w:t>
      </w:r>
      <w:r w:rsidRPr="000C59B6">
        <w:rPr>
          <w:sz w:val="22"/>
          <w:szCs w:val="22"/>
        </w:rPr>
        <w:t xml:space="preserve">data – using </w:t>
      </w:r>
      <w:r w:rsidR="004034E4" w:rsidRPr="000C59B6">
        <w:rPr>
          <w:sz w:val="22"/>
          <w:szCs w:val="22"/>
        </w:rPr>
        <w:t xml:space="preserve">the </w:t>
      </w:r>
      <w:r w:rsidRPr="000C59B6">
        <w:rPr>
          <w:sz w:val="22"/>
          <w:szCs w:val="22"/>
        </w:rPr>
        <w:t xml:space="preserve">procedures described </w:t>
      </w:r>
      <w:r w:rsidR="004034E4" w:rsidRPr="000C59B6">
        <w:rPr>
          <w:sz w:val="22"/>
          <w:szCs w:val="22"/>
        </w:rPr>
        <w:t>below</w:t>
      </w:r>
      <w:r w:rsidRPr="000C59B6">
        <w:rPr>
          <w:sz w:val="22"/>
          <w:szCs w:val="22"/>
        </w:rPr>
        <w:t xml:space="preserve"> – by March 15 of each year</w:t>
      </w:r>
      <w:r w:rsidR="004034E4" w:rsidRPr="000C59B6">
        <w:rPr>
          <w:sz w:val="22"/>
          <w:szCs w:val="22"/>
        </w:rPr>
        <w:t xml:space="preserve"> </w:t>
      </w:r>
      <w:r w:rsidRPr="000C59B6">
        <w:rPr>
          <w:sz w:val="22"/>
          <w:szCs w:val="22"/>
        </w:rPr>
        <w:t xml:space="preserve">showing any changes made as of December 31 of the previous year.  </w:t>
      </w:r>
    </w:p>
    <w:p w14:paraId="1299C43A" w14:textId="77777777" w:rsidR="004034E4" w:rsidRPr="000C59B6" w:rsidRDefault="004034E4" w:rsidP="005D5387">
      <w:pPr>
        <w:ind w:firstLine="720"/>
        <w:rPr>
          <w:sz w:val="22"/>
          <w:szCs w:val="22"/>
        </w:rPr>
      </w:pPr>
    </w:p>
    <w:p w14:paraId="3DC11E8B" w14:textId="77777777" w:rsidR="00682F1F" w:rsidRPr="000C59B6" w:rsidRDefault="005D5387" w:rsidP="005D5387">
      <w:pPr>
        <w:ind w:firstLine="720"/>
        <w:rPr>
          <w:sz w:val="22"/>
          <w:szCs w:val="22"/>
        </w:rPr>
      </w:pPr>
      <w:r w:rsidRPr="000C59B6">
        <w:rPr>
          <w:sz w:val="22"/>
          <w:szCs w:val="22"/>
        </w:rPr>
        <w:t xml:space="preserve">In addition, all ILECs </w:t>
      </w:r>
      <w:r w:rsidR="00467968" w:rsidRPr="000C59B6">
        <w:rPr>
          <w:sz w:val="22"/>
          <w:szCs w:val="22"/>
        </w:rPr>
        <w:t>are required to</w:t>
      </w:r>
      <w:r w:rsidRPr="000C59B6">
        <w:rPr>
          <w:sz w:val="22"/>
          <w:szCs w:val="22"/>
        </w:rPr>
        <w:t xml:space="preserve"> recertify their study area boundary data every two years, by logging into the web interface and reviewing and certifying the previously-submitted data</w:t>
      </w:r>
      <w:r w:rsidR="00467968" w:rsidRPr="000C59B6">
        <w:rPr>
          <w:sz w:val="22"/>
          <w:szCs w:val="22"/>
        </w:rPr>
        <w:t>, or by emailing a notification to the Commission staff</w:t>
      </w:r>
      <w:r w:rsidRPr="000C59B6">
        <w:rPr>
          <w:sz w:val="22"/>
          <w:szCs w:val="22"/>
        </w:rPr>
        <w:t>.</w:t>
      </w:r>
      <w:r w:rsidR="005F0D7B" w:rsidRPr="000C59B6">
        <w:rPr>
          <w:sz w:val="22"/>
          <w:szCs w:val="22"/>
        </w:rPr>
        <w:t xml:space="preserve">  </w:t>
      </w:r>
      <w:r w:rsidR="00265FA7" w:rsidRPr="000C59B6">
        <w:rPr>
          <w:sz w:val="22"/>
          <w:szCs w:val="22"/>
        </w:rPr>
        <w:t xml:space="preserve"> </w:t>
      </w:r>
      <w:r w:rsidR="00AB597F" w:rsidRPr="000C59B6">
        <w:rPr>
          <w:sz w:val="22"/>
          <w:szCs w:val="22"/>
        </w:rPr>
        <w:t>The first round of study area boundary recertifications were due in May 2015.</w:t>
      </w:r>
      <w:r w:rsidR="008A50B0" w:rsidRPr="000C59B6">
        <w:rPr>
          <w:sz w:val="22"/>
          <w:szCs w:val="22"/>
        </w:rPr>
        <w:t xml:space="preserve">  Further rounds of data have been filed in 2017 and will be due in 2019.</w:t>
      </w:r>
    </w:p>
    <w:p w14:paraId="4DDBEF00" w14:textId="77777777" w:rsidR="00682F1F" w:rsidRPr="000C59B6" w:rsidRDefault="00682F1F" w:rsidP="005F0D7B">
      <w:pPr>
        <w:rPr>
          <w:sz w:val="22"/>
          <w:szCs w:val="22"/>
        </w:rPr>
      </w:pPr>
    </w:p>
    <w:p w14:paraId="613E00AA" w14:textId="77777777" w:rsidR="002F0606" w:rsidRPr="000C59B6" w:rsidRDefault="00330808" w:rsidP="005D5387">
      <w:pPr>
        <w:ind w:firstLine="720"/>
        <w:rPr>
          <w:sz w:val="22"/>
          <w:szCs w:val="22"/>
        </w:rPr>
      </w:pPr>
      <w:r w:rsidRPr="000C59B6">
        <w:rPr>
          <w:color w:val="000000"/>
          <w:sz w:val="22"/>
          <w:szCs w:val="22"/>
        </w:rPr>
        <w:t xml:space="preserve">The study area boundaries of ILECs that are price cap carriers are needed to verify the accuracy of the adjacent study areas of ILECs that are </w:t>
      </w:r>
      <w:r w:rsidR="001C11D6" w:rsidRPr="000C59B6">
        <w:rPr>
          <w:color w:val="000000"/>
          <w:sz w:val="22"/>
          <w:szCs w:val="22"/>
        </w:rPr>
        <w:t>rate-of-return</w:t>
      </w:r>
      <w:r w:rsidRPr="000C59B6">
        <w:rPr>
          <w:color w:val="000000"/>
          <w:sz w:val="22"/>
          <w:szCs w:val="22"/>
        </w:rPr>
        <w:t xml:space="preserve"> carriers.  In addition, data on exchanges are </w:t>
      </w:r>
      <w:r w:rsidR="00F53FA5" w:rsidRPr="000C59B6">
        <w:rPr>
          <w:color w:val="000000"/>
          <w:sz w:val="22"/>
          <w:szCs w:val="22"/>
        </w:rPr>
        <w:t>needed</w:t>
      </w:r>
      <w:r w:rsidRPr="000C59B6">
        <w:rPr>
          <w:color w:val="000000"/>
          <w:sz w:val="22"/>
          <w:szCs w:val="22"/>
        </w:rPr>
        <w:t xml:space="preserve"> for tracking the sale or transfer of exchanges between price cap and rate-of-return carriers.  </w:t>
      </w:r>
      <w:r w:rsidR="00A33C94" w:rsidRPr="000C59B6">
        <w:rPr>
          <w:color w:val="000000"/>
          <w:sz w:val="22"/>
          <w:szCs w:val="22"/>
        </w:rPr>
        <w:t>P</w:t>
      </w:r>
      <w:r w:rsidRPr="000C59B6">
        <w:rPr>
          <w:color w:val="000000"/>
          <w:sz w:val="22"/>
          <w:szCs w:val="22"/>
        </w:rPr>
        <w:t xml:space="preserve">rice cap carriers </w:t>
      </w:r>
      <w:r w:rsidR="00A33C94" w:rsidRPr="000C59B6">
        <w:rPr>
          <w:color w:val="000000"/>
          <w:sz w:val="22"/>
          <w:szCs w:val="22"/>
        </w:rPr>
        <w:t>can</w:t>
      </w:r>
      <w:r w:rsidRPr="000C59B6">
        <w:rPr>
          <w:color w:val="000000"/>
          <w:sz w:val="22"/>
          <w:szCs w:val="22"/>
        </w:rPr>
        <w:t xml:space="preserve"> </w:t>
      </w:r>
      <w:r w:rsidR="00F53FA5" w:rsidRPr="000C59B6">
        <w:rPr>
          <w:color w:val="000000"/>
          <w:sz w:val="22"/>
          <w:szCs w:val="22"/>
        </w:rPr>
        <w:t xml:space="preserve">submit </w:t>
      </w:r>
      <w:r w:rsidRPr="000C59B6">
        <w:rPr>
          <w:color w:val="000000"/>
          <w:sz w:val="22"/>
          <w:szCs w:val="22"/>
        </w:rPr>
        <w:t>study area boundary data on a wire center basis, as long as the filer indicates the exchange or exchanges associated with each wire center.</w:t>
      </w:r>
    </w:p>
    <w:p w14:paraId="3461D779" w14:textId="77777777" w:rsidR="002F0606" w:rsidRPr="000C59B6" w:rsidRDefault="002F0606" w:rsidP="005F0D7B">
      <w:pPr>
        <w:rPr>
          <w:sz w:val="22"/>
          <w:szCs w:val="22"/>
        </w:rPr>
      </w:pPr>
    </w:p>
    <w:p w14:paraId="478F1BC1" w14:textId="77777777" w:rsidR="005F0D7B" w:rsidRPr="000C59B6" w:rsidRDefault="005F0D7B" w:rsidP="0083345B">
      <w:pPr>
        <w:ind w:firstLine="720"/>
        <w:rPr>
          <w:sz w:val="22"/>
          <w:szCs w:val="22"/>
        </w:rPr>
      </w:pPr>
      <w:r w:rsidRPr="000C59B6">
        <w:rPr>
          <w:sz w:val="22"/>
          <w:szCs w:val="22"/>
        </w:rPr>
        <w:t xml:space="preserve">The </w:t>
      </w:r>
      <w:r w:rsidR="002F0606" w:rsidRPr="000C59B6">
        <w:rPr>
          <w:sz w:val="22"/>
          <w:szCs w:val="22"/>
        </w:rPr>
        <w:t>s</w:t>
      </w:r>
      <w:r w:rsidRPr="000C59B6">
        <w:rPr>
          <w:sz w:val="22"/>
          <w:szCs w:val="22"/>
        </w:rPr>
        <w:t xml:space="preserve">tudy area boundary filing procedures </w:t>
      </w:r>
      <w:r w:rsidR="002F0606" w:rsidRPr="000C59B6">
        <w:rPr>
          <w:sz w:val="22"/>
          <w:szCs w:val="22"/>
        </w:rPr>
        <w:t xml:space="preserve">for </w:t>
      </w:r>
      <w:r w:rsidR="00644A4B" w:rsidRPr="000C59B6">
        <w:rPr>
          <w:sz w:val="22"/>
          <w:szCs w:val="22"/>
        </w:rPr>
        <w:t>ILECs</w:t>
      </w:r>
      <w:r w:rsidR="002F0606" w:rsidRPr="000C59B6">
        <w:rPr>
          <w:sz w:val="22"/>
          <w:szCs w:val="22"/>
        </w:rPr>
        <w:t xml:space="preserve"> and state commissions</w:t>
      </w:r>
      <w:r w:rsidRPr="000C59B6">
        <w:rPr>
          <w:sz w:val="22"/>
          <w:szCs w:val="22"/>
        </w:rPr>
        <w:t xml:space="preserve"> are listed below: </w:t>
      </w:r>
    </w:p>
    <w:p w14:paraId="3CF2D8B6" w14:textId="77777777" w:rsidR="005F0D7B" w:rsidRPr="000C59B6" w:rsidRDefault="005F0D7B" w:rsidP="005F0D7B">
      <w:pPr>
        <w:rPr>
          <w:sz w:val="22"/>
          <w:szCs w:val="22"/>
          <w:u w:val="single"/>
        </w:rPr>
      </w:pPr>
    </w:p>
    <w:p w14:paraId="248D8320" w14:textId="77777777" w:rsidR="005F0D7B" w:rsidRPr="000C59B6" w:rsidRDefault="007370DE" w:rsidP="005F0D7B">
      <w:pPr>
        <w:keepNext/>
        <w:rPr>
          <w:sz w:val="22"/>
          <w:szCs w:val="22"/>
          <w:u w:val="single"/>
        </w:rPr>
      </w:pPr>
      <w:r w:rsidRPr="000C59B6">
        <w:rPr>
          <w:sz w:val="22"/>
          <w:szCs w:val="22"/>
          <w:u w:val="single"/>
        </w:rPr>
        <w:t>P</w:t>
      </w:r>
      <w:r w:rsidR="005F0D7B" w:rsidRPr="000C59B6">
        <w:rPr>
          <w:sz w:val="22"/>
          <w:szCs w:val="22"/>
          <w:u w:val="single"/>
        </w:rPr>
        <w:t xml:space="preserve">rocess for </w:t>
      </w:r>
      <w:r w:rsidRPr="000C59B6">
        <w:rPr>
          <w:sz w:val="22"/>
          <w:szCs w:val="22"/>
          <w:u w:val="single"/>
        </w:rPr>
        <w:t xml:space="preserve">ILECs </w:t>
      </w:r>
      <w:r w:rsidR="005F0D7B" w:rsidRPr="000C59B6">
        <w:rPr>
          <w:sz w:val="22"/>
          <w:szCs w:val="22"/>
          <w:u w:val="single"/>
        </w:rPr>
        <w:t xml:space="preserve">submitting </w:t>
      </w:r>
      <w:r w:rsidR="004034E4" w:rsidRPr="000C59B6">
        <w:rPr>
          <w:sz w:val="22"/>
          <w:szCs w:val="22"/>
          <w:u w:val="single"/>
        </w:rPr>
        <w:t>revised</w:t>
      </w:r>
      <w:r w:rsidR="005F0D7B" w:rsidRPr="000C59B6">
        <w:rPr>
          <w:sz w:val="22"/>
          <w:szCs w:val="22"/>
          <w:u w:val="single"/>
        </w:rPr>
        <w:t xml:space="preserve"> study area boundary data</w:t>
      </w:r>
    </w:p>
    <w:p w14:paraId="1B1E12A0" w14:textId="77777777" w:rsidR="005F0D7B" w:rsidRPr="000C59B6" w:rsidRDefault="005F0D7B" w:rsidP="004034E4">
      <w:pPr>
        <w:ind w:left="720" w:hanging="720"/>
        <w:rPr>
          <w:sz w:val="22"/>
          <w:szCs w:val="22"/>
        </w:rPr>
      </w:pPr>
      <w:r w:rsidRPr="000C59B6">
        <w:rPr>
          <w:sz w:val="22"/>
          <w:szCs w:val="22"/>
        </w:rPr>
        <w:t>1.</w:t>
      </w:r>
      <w:r w:rsidRPr="000C59B6">
        <w:rPr>
          <w:sz w:val="22"/>
          <w:szCs w:val="22"/>
        </w:rPr>
        <w:tab/>
        <w:t>ILEC log</w:t>
      </w:r>
      <w:r w:rsidR="00915E73" w:rsidRPr="000C59B6">
        <w:rPr>
          <w:sz w:val="22"/>
          <w:szCs w:val="22"/>
        </w:rPr>
        <w:t>s</w:t>
      </w:r>
      <w:r w:rsidRPr="000C59B6">
        <w:rPr>
          <w:sz w:val="22"/>
          <w:szCs w:val="22"/>
        </w:rPr>
        <w:t xml:space="preserve"> into a secure web interface </w:t>
      </w:r>
      <w:r w:rsidR="004034E4" w:rsidRPr="000C59B6">
        <w:rPr>
          <w:sz w:val="22"/>
          <w:szCs w:val="22"/>
        </w:rPr>
        <w:t xml:space="preserve">at </w:t>
      </w:r>
      <w:hyperlink r:id="rId9" w:history="1">
        <w:r w:rsidR="004034E4" w:rsidRPr="000C59B6">
          <w:rPr>
            <w:rStyle w:val="Hyperlink"/>
            <w:sz w:val="22"/>
            <w:szCs w:val="22"/>
          </w:rPr>
          <w:t>https://sab.fcc.gov/ilec/login/</w:t>
        </w:r>
      </w:hyperlink>
      <w:r w:rsidR="004034E4" w:rsidRPr="000C59B6">
        <w:rPr>
          <w:sz w:val="22"/>
          <w:szCs w:val="22"/>
        </w:rPr>
        <w:t xml:space="preserve"> </w:t>
      </w:r>
      <w:r w:rsidRPr="000C59B6">
        <w:rPr>
          <w:sz w:val="22"/>
          <w:szCs w:val="22"/>
        </w:rPr>
        <w:t xml:space="preserve">using </w:t>
      </w:r>
      <w:r w:rsidR="004034E4" w:rsidRPr="000C59B6">
        <w:rPr>
          <w:sz w:val="22"/>
          <w:szCs w:val="22"/>
        </w:rPr>
        <w:t xml:space="preserve">an FCC Registration Number (FRN) </w:t>
      </w:r>
      <w:r w:rsidRPr="000C59B6">
        <w:rPr>
          <w:sz w:val="22"/>
          <w:szCs w:val="22"/>
        </w:rPr>
        <w:t>and password.</w:t>
      </w:r>
    </w:p>
    <w:p w14:paraId="2A3CCDCA" w14:textId="77777777" w:rsidR="005F0D7B" w:rsidRPr="000C59B6" w:rsidRDefault="005F0D7B" w:rsidP="005F0D7B">
      <w:pPr>
        <w:rPr>
          <w:sz w:val="22"/>
          <w:szCs w:val="22"/>
        </w:rPr>
      </w:pPr>
      <w:r w:rsidRPr="000C59B6">
        <w:rPr>
          <w:sz w:val="22"/>
          <w:szCs w:val="22"/>
        </w:rPr>
        <w:t>2.</w:t>
      </w:r>
      <w:r w:rsidRPr="000C59B6">
        <w:rPr>
          <w:sz w:val="22"/>
          <w:szCs w:val="22"/>
        </w:rPr>
        <w:tab/>
        <w:t xml:space="preserve">ILECs </w:t>
      </w:r>
      <w:r w:rsidR="004034E4" w:rsidRPr="000C59B6">
        <w:rPr>
          <w:sz w:val="22"/>
          <w:szCs w:val="22"/>
        </w:rPr>
        <w:t>can update</w:t>
      </w:r>
      <w:r w:rsidRPr="000C59B6">
        <w:rPr>
          <w:sz w:val="22"/>
          <w:szCs w:val="22"/>
        </w:rPr>
        <w:t xml:space="preserve"> cover page information</w:t>
      </w:r>
      <w:r w:rsidR="004034E4" w:rsidRPr="000C59B6">
        <w:rPr>
          <w:sz w:val="22"/>
          <w:szCs w:val="22"/>
        </w:rPr>
        <w:t xml:space="preserve"> (such as contact information) as necessary</w:t>
      </w:r>
      <w:r w:rsidRPr="000C59B6">
        <w:rPr>
          <w:sz w:val="22"/>
          <w:szCs w:val="22"/>
        </w:rPr>
        <w:t>.</w:t>
      </w:r>
    </w:p>
    <w:p w14:paraId="285244C8" w14:textId="77777777" w:rsidR="005F0D7B" w:rsidRPr="000C59B6" w:rsidRDefault="005F0D7B" w:rsidP="005F0D7B">
      <w:pPr>
        <w:rPr>
          <w:sz w:val="22"/>
          <w:szCs w:val="22"/>
        </w:rPr>
      </w:pPr>
      <w:r w:rsidRPr="000C59B6">
        <w:rPr>
          <w:sz w:val="22"/>
          <w:szCs w:val="22"/>
        </w:rPr>
        <w:t>3.</w:t>
      </w:r>
      <w:r w:rsidRPr="000C59B6">
        <w:rPr>
          <w:sz w:val="22"/>
          <w:szCs w:val="22"/>
        </w:rPr>
        <w:tab/>
        <w:t>ILEC</w:t>
      </w:r>
      <w:r w:rsidR="00915E73" w:rsidRPr="000C59B6">
        <w:rPr>
          <w:sz w:val="22"/>
          <w:szCs w:val="22"/>
        </w:rPr>
        <w:t>s</w:t>
      </w:r>
      <w:r w:rsidRPr="000C59B6">
        <w:rPr>
          <w:sz w:val="22"/>
          <w:szCs w:val="22"/>
        </w:rPr>
        <w:t xml:space="preserve"> upload a zip file with their study area boundary data.</w:t>
      </w:r>
    </w:p>
    <w:p w14:paraId="27EAC1A6" w14:textId="77777777" w:rsidR="005F0D7B" w:rsidRPr="000C59B6" w:rsidRDefault="005F0D7B" w:rsidP="005F0D7B">
      <w:pPr>
        <w:rPr>
          <w:sz w:val="22"/>
          <w:szCs w:val="22"/>
        </w:rPr>
      </w:pPr>
      <w:r w:rsidRPr="000C59B6">
        <w:rPr>
          <w:sz w:val="22"/>
          <w:szCs w:val="22"/>
        </w:rPr>
        <w:t>4.</w:t>
      </w:r>
      <w:r w:rsidRPr="000C59B6">
        <w:rPr>
          <w:sz w:val="22"/>
          <w:szCs w:val="22"/>
        </w:rPr>
        <w:tab/>
        <w:t>ILEC</w:t>
      </w:r>
      <w:r w:rsidR="00915E73" w:rsidRPr="000C59B6">
        <w:rPr>
          <w:sz w:val="22"/>
          <w:szCs w:val="22"/>
        </w:rPr>
        <w:t>s</w:t>
      </w:r>
      <w:r w:rsidRPr="000C59B6">
        <w:rPr>
          <w:sz w:val="22"/>
          <w:szCs w:val="22"/>
        </w:rPr>
        <w:t xml:space="preserve"> review their map data.</w:t>
      </w:r>
    </w:p>
    <w:p w14:paraId="09C63BAE" w14:textId="77777777" w:rsidR="005F0D7B" w:rsidRPr="000C59B6" w:rsidRDefault="005F0D7B" w:rsidP="005F0D7B">
      <w:pPr>
        <w:rPr>
          <w:sz w:val="22"/>
          <w:szCs w:val="22"/>
        </w:rPr>
      </w:pPr>
      <w:r w:rsidRPr="000C59B6">
        <w:rPr>
          <w:sz w:val="22"/>
          <w:szCs w:val="22"/>
        </w:rPr>
        <w:t>5.</w:t>
      </w:r>
      <w:r w:rsidRPr="000C59B6">
        <w:rPr>
          <w:sz w:val="22"/>
          <w:szCs w:val="22"/>
        </w:rPr>
        <w:tab/>
        <w:t>If accurate, ILEC</w:t>
      </w:r>
      <w:r w:rsidR="00915E73" w:rsidRPr="000C59B6">
        <w:rPr>
          <w:sz w:val="22"/>
          <w:szCs w:val="22"/>
        </w:rPr>
        <w:t>s</w:t>
      </w:r>
      <w:r w:rsidRPr="000C59B6">
        <w:rPr>
          <w:sz w:val="22"/>
          <w:szCs w:val="22"/>
        </w:rPr>
        <w:t xml:space="preserve"> certify and submit the data.</w:t>
      </w:r>
    </w:p>
    <w:p w14:paraId="775E2E1C" w14:textId="77777777" w:rsidR="005F0D7B" w:rsidRPr="000C59B6" w:rsidRDefault="005F0D7B" w:rsidP="004034E4">
      <w:pPr>
        <w:ind w:left="720" w:hanging="720"/>
        <w:rPr>
          <w:sz w:val="22"/>
          <w:szCs w:val="22"/>
        </w:rPr>
      </w:pPr>
      <w:r w:rsidRPr="000C59B6">
        <w:rPr>
          <w:sz w:val="22"/>
          <w:szCs w:val="22"/>
        </w:rPr>
        <w:t>6.</w:t>
      </w:r>
      <w:r w:rsidRPr="000C59B6">
        <w:rPr>
          <w:sz w:val="22"/>
          <w:szCs w:val="22"/>
        </w:rPr>
        <w:tab/>
        <w:t>If the map is not accurate, ILEC</w:t>
      </w:r>
      <w:r w:rsidR="00915E73" w:rsidRPr="000C59B6">
        <w:rPr>
          <w:sz w:val="22"/>
          <w:szCs w:val="22"/>
        </w:rPr>
        <w:t>s</w:t>
      </w:r>
      <w:r w:rsidRPr="000C59B6">
        <w:rPr>
          <w:sz w:val="22"/>
          <w:szCs w:val="22"/>
        </w:rPr>
        <w:t xml:space="preserve"> revise the data as needed, upload a revised zip file, and certify and submit the data at that time.</w:t>
      </w:r>
    </w:p>
    <w:p w14:paraId="0FB78278" w14:textId="77777777" w:rsidR="005F0D7B" w:rsidRPr="000C59B6" w:rsidRDefault="005F0D7B" w:rsidP="005F0D7B">
      <w:pPr>
        <w:rPr>
          <w:sz w:val="22"/>
          <w:szCs w:val="22"/>
        </w:rPr>
      </w:pPr>
    </w:p>
    <w:p w14:paraId="27B00032" w14:textId="77777777" w:rsidR="005F0D7B" w:rsidRPr="000C59B6" w:rsidRDefault="005F0D7B" w:rsidP="005F0D7B">
      <w:pPr>
        <w:rPr>
          <w:sz w:val="22"/>
          <w:szCs w:val="22"/>
          <w:u w:val="single"/>
        </w:rPr>
      </w:pPr>
      <w:r w:rsidRPr="000C59B6">
        <w:rPr>
          <w:sz w:val="22"/>
          <w:szCs w:val="22"/>
          <w:u w:val="single"/>
        </w:rPr>
        <w:t xml:space="preserve">Process </w:t>
      </w:r>
      <w:r w:rsidR="007370DE" w:rsidRPr="000C59B6">
        <w:rPr>
          <w:sz w:val="22"/>
          <w:szCs w:val="22"/>
          <w:u w:val="single"/>
        </w:rPr>
        <w:t xml:space="preserve">for </w:t>
      </w:r>
      <w:r w:rsidRPr="000C59B6">
        <w:rPr>
          <w:sz w:val="22"/>
          <w:szCs w:val="22"/>
          <w:u w:val="single"/>
        </w:rPr>
        <w:t>state commission</w:t>
      </w:r>
      <w:r w:rsidR="007370DE" w:rsidRPr="000C59B6">
        <w:rPr>
          <w:sz w:val="22"/>
          <w:szCs w:val="22"/>
          <w:u w:val="single"/>
        </w:rPr>
        <w:t xml:space="preserve">s submitting </w:t>
      </w:r>
      <w:r w:rsidR="000C48B3" w:rsidRPr="000C59B6">
        <w:rPr>
          <w:sz w:val="22"/>
          <w:szCs w:val="22"/>
          <w:u w:val="single"/>
        </w:rPr>
        <w:t xml:space="preserve">revised </w:t>
      </w:r>
      <w:r w:rsidR="007370DE" w:rsidRPr="000C59B6">
        <w:rPr>
          <w:sz w:val="22"/>
          <w:szCs w:val="22"/>
          <w:u w:val="single"/>
        </w:rPr>
        <w:t>study area boundary</w:t>
      </w:r>
      <w:r w:rsidRPr="000C59B6">
        <w:rPr>
          <w:sz w:val="22"/>
          <w:szCs w:val="22"/>
          <w:u w:val="single"/>
        </w:rPr>
        <w:t xml:space="preserve"> </w:t>
      </w:r>
      <w:r w:rsidR="00933778" w:rsidRPr="000C59B6">
        <w:rPr>
          <w:sz w:val="22"/>
          <w:szCs w:val="22"/>
          <w:u w:val="single"/>
        </w:rPr>
        <w:t xml:space="preserve">data </w:t>
      </w:r>
    </w:p>
    <w:p w14:paraId="50E50792" w14:textId="77777777" w:rsidR="005F0D7B" w:rsidRPr="000C59B6" w:rsidRDefault="005F0D7B" w:rsidP="004034E4">
      <w:pPr>
        <w:ind w:left="720" w:hanging="720"/>
        <w:rPr>
          <w:sz w:val="22"/>
          <w:szCs w:val="22"/>
        </w:rPr>
      </w:pPr>
      <w:r w:rsidRPr="000C59B6">
        <w:rPr>
          <w:sz w:val="22"/>
          <w:szCs w:val="22"/>
        </w:rPr>
        <w:t>1.</w:t>
      </w:r>
      <w:r w:rsidRPr="000C59B6">
        <w:rPr>
          <w:sz w:val="22"/>
          <w:szCs w:val="22"/>
        </w:rPr>
        <w:tab/>
        <w:t xml:space="preserve">State </w:t>
      </w:r>
      <w:r w:rsidR="004034E4" w:rsidRPr="000C59B6">
        <w:rPr>
          <w:sz w:val="22"/>
          <w:szCs w:val="22"/>
        </w:rPr>
        <w:t>commission</w:t>
      </w:r>
      <w:r w:rsidRPr="000C59B6">
        <w:rPr>
          <w:sz w:val="22"/>
          <w:szCs w:val="22"/>
        </w:rPr>
        <w:t xml:space="preserve"> log</w:t>
      </w:r>
      <w:r w:rsidR="00915E73" w:rsidRPr="000C59B6">
        <w:rPr>
          <w:sz w:val="22"/>
          <w:szCs w:val="22"/>
        </w:rPr>
        <w:t>s</w:t>
      </w:r>
      <w:r w:rsidRPr="000C59B6">
        <w:rPr>
          <w:sz w:val="22"/>
          <w:szCs w:val="22"/>
        </w:rPr>
        <w:t xml:space="preserve"> into a secure web interface</w:t>
      </w:r>
      <w:r w:rsidR="004034E4" w:rsidRPr="000C59B6">
        <w:rPr>
          <w:sz w:val="22"/>
          <w:szCs w:val="22"/>
        </w:rPr>
        <w:t xml:space="preserve"> at </w:t>
      </w:r>
      <w:hyperlink r:id="rId10" w:history="1">
        <w:r w:rsidR="004034E4" w:rsidRPr="000C59B6">
          <w:rPr>
            <w:rStyle w:val="Hyperlink"/>
            <w:sz w:val="22"/>
            <w:szCs w:val="22"/>
          </w:rPr>
          <w:t>https://sab.fcc.gov/state/login/</w:t>
        </w:r>
      </w:hyperlink>
      <w:r w:rsidR="004034E4" w:rsidRPr="000C59B6">
        <w:rPr>
          <w:sz w:val="22"/>
          <w:szCs w:val="22"/>
        </w:rPr>
        <w:t xml:space="preserve"> </w:t>
      </w:r>
      <w:r w:rsidRPr="000C59B6">
        <w:rPr>
          <w:sz w:val="22"/>
          <w:szCs w:val="22"/>
        </w:rPr>
        <w:t>using an assigned password.</w:t>
      </w:r>
    </w:p>
    <w:p w14:paraId="376851BA" w14:textId="77777777" w:rsidR="005F0D7B" w:rsidRPr="000C59B6" w:rsidRDefault="005F0D7B" w:rsidP="0083345B">
      <w:pPr>
        <w:ind w:left="720" w:hanging="720"/>
        <w:rPr>
          <w:sz w:val="22"/>
          <w:szCs w:val="22"/>
        </w:rPr>
      </w:pPr>
      <w:r w:rsidRPr="000C59B6">
        <w:rPr>
          <w:sz w:val="22"/>
          <w:szCs w:val="22"/>
        </w:rPr>
        <w:t>2.</w:t>
      </w:r>
      <w:r w:rsidRPr="000C59B6">
        <w:rPr>
          <w:sz w:val="22"/>
          <w:szCs w:val="22"/>
        </w:rPr>
        <w:tab/>
        <w:t>State</w:t>
      </w:r>
      <w:r w:rsidR="0079227F" w:rsidRPr="000C59B6">
        <w:rPr>
          <w:sz w:val="22"/>
          <w:szCs w:val="22"/>
        </w:rPr>
        <w:t xml:space="preserve"> </w:t>
      </w:r>
      <w:r w:rsidR="004034E4" w:rsidRPr="000C59B6">
        <w:rPr>
          <w:sz w:val="22"/>
          <w:szCs w:val="22"/>
        </w:rPr>
        <w:t>commission</w:t>
      </w:r>
      <w:r w:rsidRPr="000C59B6">
        <w:rPr>
          <w:sz w:val="22"/>
          <w:szCs w:val="22"/>
        </w:rPr>
        <w:t xml:space="preserve"> </w:t>
      </w:r>
      <w:r w:rsidR="004034E4" w:rsidRPr="000C59B6">
        <w:rPr>
          <w:sz w:val="22"/>
          <w:szCs w:val="22"/>
        </w:rPr>
        <w:t>can update cover page information (such as contact information) as necessary.</w:t>
      </w:r>
    </w:p>
    <w:p w14:paraId="450C7A4E" w14:textId="77777777" w:rsidR="005F0D7B" w:rsidRPr="000C59B6" w:rsidRDefault="005F0D7B" w:rsidP="0083345B">
      <w:pPr>
        <w:ind w:left="720" w:hanging="720"/>
        <w:rPr>
          <w:sz w:val="22"/>
          <w:szCs w:val="22"/>
        </w:rPr>
      </w:pPr>
      <w:r w:rsidRPr="000C59B6">
        <w:rPr>
          <w:sz w:val="22"/>
          <w:szCs w:val="22"/>
        </w:rPr>
        <w:t>3.</w:t>
      </w:r>
      <w:r w:rsidRPr="000C59B6">
        <w:rPr>
          <w:sz w:val="22"/>
          <w:szCs w:val="22"/>
        </w:rPr>
        <w:tab/>
        <w:t xml:space="preserve">State </w:t>
      </w:r>
      <w:r w:rsidR="004034E4" w:rsidRPr="000C59B6">
        <w:rPr>
          <w:sz w:val="22"/>
          <w:szCs w:val="22"/>
        </w:rPr>
        <w:t>commission</w:t>
      </w:r>
      <w:r w:rsidR="0079227F" w:rsidRPr="000C59B6">
        <w:rPr>
          <w:sz w:val="22"/>
          <w:szCs w:val="22"/>
        </w:rPr>
        <w:t xml:space="preserve"> </w:t>
      </w:r>
      <w:r w:rsidRPr="000C59B6">
        <w:rPr>
          <w:sz w:val="22"/>
          <w:szCs w:val="22"/>
        </w:rPr>
        <w:t>upload</w:t>
      </w:r>
      <w:r w:rsidR="00915E73" w:rsidRPr="000C59B6">
        <w:rPr>
          <w:sz w:val="22"/>
          <w:szCs w:val="22"/>
        </w:rPr>
        <w:t>s</w:t>
      </w:r>
      <w:r w:rsidRPr="000C59B6">
        <w:rPr>
          <w:sz w:val="22"/>
          <w:szCs w:val="22"/>
        </w:rPr>
        <w:t xml:space="preserve"> a zip file for the entire state or for any ILEC(s) within the state</w:t>
      </w:r>
      <w:r w:rsidR="0079227F" w:rsidRPr="000C59B6">
        <w:rPr>
          <w:sz w:val="22"/>
          <w:szCs w:val="22"/>
        </w:rPr>
        <w:t xml:space="preserve">, </w:t>
      </w:r>
      <w:r w:rsidRPr="000C59B6">
        <w:rPr>
          <w:sz w:val="22"/>
          <w:szCs w:val="22"/>
        </w:rPr>
        <w:t>distinguish</w:t>
      </w:r>
      <w:r w:rsidR="0079227F" w:rsidRPr="000C59B6">
        <w:rPr>
          <w:sz w:val="22"/>
          <w:szCs w:val="22"/>
        </w:rPr>
        <w:t>ing</w:t>
      </w:r>
      <w:r w:rsidRPr="000C59B6">
        <w:rPr>
          <w:sz w:val="22"/>
          <w:szCs w:val="22"/>
        </w:rPr>
        <w:t xml:space="preserve"> study areas and exchanges</w:t>
      </w:r>
      <w:r w:rsidR="001B1278" w:rsidRPr="000C59B6">
        <w:rPr>
          <w:sz w:val="22"/>
          <w:szCs w:val="22"/>
        </w:rPr>
        <w:t>/wire centers</w:t>
      </w:r>
      <w:r w:rsidRPr="000C59B6">
        <w:rPr>
          <w:sz w:val="22"/>
          <w:szCs w:val="22"/>
        </w:rPr>
        <w:t>.</w:t>
      </w:r>
    </w:p>
    <w:p w14:paraId="2CBAD949" w14:textId="77777777" w:rsidR="005F0D7B" w:rsidRPr="000C59B6" w:rsidRDefault="005F0D7B" w:rsidP="005F0D7B">
      <w:pPr>
        <w:rPr>
          <w:sz w:val="22"/>
          <w:szCs w:val="22"/>
        </w:rPr>
      </w:pPr>
      <w:r w:rsidRPr="000C59B6">
        <w:rPr>
          <w:sz w:val="22"/>
          <w:szCs w:val="22"/>
        </w:rPr>
        <w:t>4.</w:t>
      </w:r>
      <w:r w:rsidRPr="000C59B6">
        <w:rPr>
          <w:sz w:val="22"/>
          <w:szCs w:val="22"/>
        </w:rPr>
        <w:tab/>
        <w:t xml:space="preserve">State </w:t>
      </w:r>
      <w:r w:rsidR="004034E4" w:rsidRPr="000C59B6">
        <w:rPr>
          <w:sz w:val="22"/>
          <w:szCs w:val="22"/>
        </w:rPr>
        <w:t>commission</w:t>
      </w:r>
      <w:r w:rsidR="0079227F" w:rsidRPr="000C59B6">
        <w:rPr>
          <w:sz w:val="22"/>
          <w:szCs w:val="22"/>
        </w:rPr>
        <w:t xml:space="preserve"> </w:t>
      </w:r>
      <w:r w:rsidRPr="000C59B6">
        <w:rPr>
          <w:sz w:val="22"/>
          <w:szCs w:val="22"/>
        </w:rPr>
        <w:t>review</w:t>
      </w:r>
      <w:r w:rsidR="00915E73" w:rsidRPr="000C59B6">
        <w:rPr>
          <w:sz w:val="22"/>
          <w:szCs w:val="22"/>
        </w:rPr>
        <w:t>s</w:t>
      </w:r>
      <w:r w:rsidRPr="000C59B6">
        <w:rPr>
          <w:sz w:val="22"/>
          <w:szCs w:val="22"/>
        </w:rPr>
        <w:t xml:space="preserve"> their map data.</w:t>
      </w:r>
    </w:p>
    <w:p w14:paraId="01A3A38E" w14:textId="77777777" w:rsidR="005F0D7B" w:rsidRPr="000C59B6" w:rsidRDefault="005F0D7B" w:rsidP="005F0D7B">
      <w:pPr>
        <w:rPr>
          <w:sz w:val="22"/>
          <w:szCs w:val="22"/>
        </w:rPr>
      </w:pPr>
      <w:r w:rsidRPr="000C59B6">
        <w:rPr>
          <w:sz w:val="22"/>
          <w:szCs w:val="22"/>
        </w:rPr>
        <w:t>5.</w:t>
      </w:r>
      <w:r w:rsidRPr="000C59B6">
        <w:rPr>
          <w:sz w:val="22"/>
          <w:szCs w:val="22"/>
        </w:rPr>
        <w:tab/>
        <w:t xml:space="preserve">If accurate, </w:t>
      </w:r>
      <w:r w:rsidR="007370DE" w:rsidRPr="000C59B6">
        <w:rPr>
          <w:sz w:val="22"/>
          <w:szCs w:val="22"/>
        </w:rPr>
        <w:t xml:space="preserve">state </w:t>
      </w:r>
      <w:r w:rsidR="004034E4" w:rsidRPr="000C59B6">
        <w:rPr>
          <w:sz w:val="22"/>
          <w:szCs w:val="22"/>
        </w:rPr>
        <w:t>commission</w:t>
      </w:r>
      <w:r w:rsidRPr="000C59B6">
        <w:rPr>
          <w:sz w:val="22"/>
          <w:szCs w:val="22"/>
        </w:rPr>
        <w:t xml:space="preserve"> </w:t>
      </w:r>
      <w:r w:rsidR="007370DE" w:rsidRPr="000C59B6">
        <w:rPr>
          <w:sz w:val="22"/>
          <w:szCs w:val="22"/>
        </w:rPr>
        <w:t>certif</w:t>
      </w:r>
      <w:r w:rsidR="00915E73" w:rsidRPr="000C59B6">
        <w:rPr>
          <w:sz w:val="22"/>
          <w:szCs w:val="22"/>
        </w:rPr>
        <w:t>ies</w:t>
      </w:r>
      <w:r w:rsidR="007370DE" w:rsidRPr="000C59B6">
        <w:rPr>
          <w:sz w:val="22"/>
          <w:szCs w:val="22"/>
        </w:rPr>
        <w:t xml:space="preserve"> and </w:t>
      </w:r>
      <w:r w:rsidRPr="000C59B6">
        <w:rPr>
          <w:sz w:val="22"/>
          <w:szCs w:val="22"/>
        </w:rPr>
        <w:t>submit</w:t>
      </w:r>
      <w:r w:rsidR="00915E73" w:rsidRPr="000C59B6">
        <w:rPr>
          <w:sz w:val="22"/>
          <w:szCs w:val="22"/>
        </w:rPr>
        <w:t>s</w:t>
      </w:r>
      <w:r w:rsidRPr="000C59B6">
        <w:rPr>
          <w:sz w:val="22"/>
          <w:szCs w:val="22"/>
        </w:rPr>
        <w:t xml:space="preserve"> the data.</w:t>
      </w:r>
    </w:p>
    <w:p w14:paraId="57115158" w14:textId="77777777" w:rsidR="005F0D7B" w:rsidRPr="000C59B6" w:rsidRDefault="005F0D7B" w:rsidP="000C48B3">
      <w:pPr>
        <w:tabs>
          <w:tab w:val="left" w:pos="720"/>
        </w:tabs>
        <w:ind w:left="720" w:hanging="720"/>
        <w:rPr>
          <w:sz w:val="22"/>
          <w:szCs w:val="22"/>
        </w:rPr>
      </w:pPr>
      <w:r w:rsidRPr="000C59B6">
        <w:rPr>
          <w:sz w:val="22"/>
          <w:szCs w:val="22"/>
        </w:rPr>
        <w:t>6.</w:t>
      </w:r>
      <w:r w:rsidRPr="000C59B6">
        <w:rPr>
          <w:sz w:val="22"/>
          <w:szCs w:val="22"/>
        </w:rPr>
        <w:tab/>
        <w:t xml:space="preserve">If the map is not accurate, the state </w:t>
      </w:r>
      <w:r w:rsidR="007370DE" w:rsidRPr="000C59B6">
        <w:rPr>
          <w:sz w:val="22"/>
          <w:szCs w:val="22"/>
        </w:rPr>
        <w:t xml:space="preserve">PUC </w:t>
      </w:r>
      <w:r w:rsidRPr="000C59B6">
        <w:rPr>
          <w:sz w:val="22"/>
          <w:szCs w:val="22"/>
        </w:rPr>
        <w:t>can revise the data as needed, upload a revised zip file, and submit the data at tha</w:t>
      </w:r>
      <w:r w:rsidR="000C48B3" w:rsidRPr="000C59B6">
        <w:rPr>
          <w:sz w:val="22"/>
          <w:szCs w:val="22"/>
        </w:rPr>
        <w:t>t time.</w:t>
      </w:r>
    </w:p>
    <w:p w14:paraId="1FC39945" w14:textId="77777777" w:rsidR="005F0D7B" w:rsidRPr="000C59B6" w:rsidRDefault="005F0D7B" w:rsidP="005F0D7B">
      <w:pPr>
        <w:rPr>
          <w:sz w:val="22"/>
          <w:szCs w:val="22"/>
        </w:rPr>
      </w:pPr>
    </w:p>
    <w:p w14:paraId="0E796E68" w14:textId="77777777" w:rsidR="005F0D7B" w:rsidRPr="000C59B6" w:rsidRDefault="005F0D7B" w:rsidP="005F0D7B">
      <w:pPr>
        <w:rPr>
          <w:sz w:val="22"/>
          <w:szCs w:val="22"/>
        </w:rPr>
      </w:pPr>
      <w:r w:rsidRPr="000C59B6">
        <w:rPr>
          <w:sz w:val="22"/>
          <w:szCs w:val="22"/>
        </w:rPr>
        <w:t xml:space="preserve">6.  There is no source of the information sought other than the </w:t>
      </w:r>
      <w:r w:rsidR="00644A4B" w:rsidRPr="000C59B6">
        <w:rPr>
          <w:sz w:val="22"/>
          <w:szCs w:val="22"/>
        </w:rPr>
        <w:t>ILECs</w:t>
      </w:r>
      <w:r w:rsidRPr="000C59B6">
        <w:rPr>
          <w:sz w:val="22"/>
          <w:szCs w:val="22"/>
        </w:rPr>
        <w:t xml:space="preserve"> or their state commissions.  </w:t>
      </w:r>
      <w:r w:rsidR="00A33C94" w:rsidRPr="000C59B6">
        <w:rPr>
          <w:sz w:val="22"/>
          <w:szCs w:val="22"/>
        </w:rPr>
        <w:t>T</w:t>
      </w:r>
      <w:r w:rsidRPr="000C59B6">
        <w:rPr>
          <w:sz w:val="22"/>
          <w:szCs w:val="22"/>
        </w:rPr>
        <w:t xml:space="preserve">he Commission cannot sustain an accurate system for distributing universal service support nationwide </w:t>
      </w:r>
      <w:r w:rsidR="004B4AC2" w:rsidRPr="000C59B6">
        <w:rPr>
          <w:sz w:val="22"/>
          <w:szCs w:val="22"/>
        </w:rPr>
        <w:t>without accurate maps of study area boundaries</w:t>
      </w:r>
      <w:r w:rsidRPr="000C59B6">
        <w:rPr>
          <w:sz w:val="22"/>
          <w:szCs w:val="22"/>
        </w:rPr>
        <w:t xml:space="preserve">.  Only a complete and reliable set of study area map data that is kept up to date can assure that the substantial funds devoted to high cost support </w:t>
      </w:r>
      <w:r w:rsidR="005107EE" w:rsidRPr="000C59B6">
        <w:rPr>
          <w:sz w:val="22"/>
          <w:szCs w:val="22"/>
        </w:rPr>
        <w:t xml:space="preserve">in rural areas </w:t>
      </w:r>
      <w:r w:rsidRPr="000C59B6">
        <w:rPr>
          <w:sz w:val="22"/>
          <w:szCs w:val="22"/>
        </w:rPr>
        <w:t xml:space="preserve">are distributed fairly and in accord with federal rules and policies.  </w:t>
      </w:r>
    </w:p>
    <w:p w14:paraId="0562CB0E" w14:textId="77777777" w:rsidR="005F0D7B" w:rsidRPr="000C59B6" w:rsidRDefault="005F0D7B" w:rsidP="005F0D7B">
      <w:pPr>
        <w:rPr>
          <w:sz w:val="22"/>
          <w:szCs w:val="22"/>
        </w:rPr>
      </w:pPr>
      <w:r w:rsidRPr="000C59B6">
        <w:rPr>
          <w:sz w:val="22"/>
          <w:szCs w:val="22"/>
        </w:rPr>
        <w:tab/>
      </w:r>
    </w:p>
    <w:p w14:paraId="57D04093" w14:textId="77777777" w:rsidR="005F0D7B" w:rsidRPr="000C59B6" w:rsidRDefault="005F0D7B" w:rsidP="005F0D7B">
      <w:pPr>
        <w:rPr>
          <w:sz w:val="22"/>
          <w:szCs w:val="22"/>
        </w:rPr>
      </w:pPr>
      <w:r w:rsidRPr="000C59B6">
        <w:rPr>
          <w:sz w:val="22"/>
          <w:szCs w:val="22"/>
        </w:rPr>
        <w:t>7.  No special circumstances will apply to this information collection.</w:t>
      </w:r>
    </w:p>
    <w:p w14:paraId="34CE0A41" w14:textId="77777777" w:rsidR="005F0D7B" w:rsidRPr="000C59B6" w:rsidRDefault="005F0D7B" w:rsidP="005F0D7B">
      <w:pPr>
        <w:rPr>
          <w:sz w:val="22"/>
          <w:szCs w:val="22"/>
        </w:rPr>
      </w:pPr>
    </w:p>
    <w:p w14:paraId="5CA9D35F" w14:textId="65479CC5" w:rsidR="005F0D7B" w:rsidRPr="000C59B6" w:rsidRDefault="005F0D7B" w:rsidP="005F0D7B">
      <w:pPr>
        <w:rPr>
          <w:sz w:val="22"/>
          <w:szCs w:val="22"/>
        </w:rPr>
      </w:pPr>
      <w:r w:rsidRPr="000C59B6">
        <w:rPr>
          <w:sz w:val="22"/>
          <w:szCs w:val="22"/>
        </w:rPr>
        <w:t xml:space="preserve">8. </w:t>
      </w:r>
      <w:r w:rsidR="00C77732" w:rsidRPr="000C59B6">
        <w:rPr>
          <w:sz w:val="22"/>
          <w:szCs w:val="22"/>
        </w:rPr>
        <w:t xml:space="preserve"> </w:t>
      </w:r>
      <w:r w:rsidR="00A25DD7" w:rsidRPr="000C59B6">
        <w:rPr>
          <w:sz w:val="22"/>
          <w:szCs w:val="22"/>
        </w:rPr>
        <w:t>Pursuant to 5 CFR 1320.8(d), t</w:t>
      </w:r>
      <w:r w:rsidR="00E82731" w:rsidRPr="000C59B6">
        <w:rPr>
          <w:sz w:val="22"/>
          <w:szCs w:val="22"/>
        </w:rPr>
        <w:t xml:space="preserve">he </w:t>
      </w:r>
      <w:r w:rsidR="00BE10CD" w:rsidRPr="000C59B6">
        <w:rPr>
          <w:sz w:val="22"/>
          <w:szCs w:val="22"/>
        </w:rPr>
        <w:t>Commission</w:t>
      </w:r>
      <w:r w:rsidR="00A25DD7" w:rsidRPr="000C59B6">
        <w:rPr>
          <w:sz w:val="22"/>
          <w:szCs w:val="22"/>
        </w:rPr>
        <w:t xml:space="preserve"> published a notice in the Federal </w:t>
      </w:r>
      <w:r w:rsidR="004605F7" w:rsidRPr="000C59B6">
        <w:rPr>
          <w:sz w:val="22"/>
          <w:szCs w:val="22"/>
        </w:rPr>
        <w:t>Register on</w:t>
      </w:r>
      <w:r w:rsidR="00E60819">
        <w:rPr>
          <w:sz w:val="22"/>
          <w:szCs w:val="22"/>
        </w:rPr>
        <w:t xml:space="preserve"> March 27, 2019 </w:t>
      </w:r>
      <w:r w:rsidR="00932020" w:rsidRPr="00E60819">
        <w:rPr>
          <w:sz w:val="22"/>
          <w:szCs w:val="22"/>
        </w:rPr>
        <w:t>[</w:t>
      </w:r>
      <w:r w:rsidR="00E60819" w:rsidRPr="00E60819">
        <w:rPr>
          <w:sz w:val="22"/>
          <w:szCs w:val="22"/>
        </w:rPr>
        <w:t>84 FR 11450</w:t>
      </w:r>
      <w:r w:rsidR="00932020" w:rsidRPr="00E60819">
        <w:rPr>
          <w:sz w:val="22"/>
          <w:szCs w:val="22"/>
        </w:rPr>
        <w:t>]</w:t>
      </w:r>
      <w:r w:rsidR="00A25DD7" w:rsidRPr="000C59B6">
        <w:rPr>
          <w:sz w:val="22"/>
          <w:szCs w:val="22"/>
        </w:rPr>
        <w:t>.   No PRA comments were received</w:t>
      </w:r>
      <w:r w:rsidR="00BE10CD" w:rsidRPr="000C59B6">
        <w:rPr>
          <w:sz w:val="22"/>
          <w:szCs w:val="22"/>
        </w:rPr>
        <w:t>.</w:t>
      </w:r>
    </w:p>
    <w:p w14:paraId="62EBF3C5" w14:textId="77777777" w:rsidR="005F0D7B" w:rsidRPr="000C59B6" w:rsidRDefault="005F0D7B" w:rsidP="005F0D7B">
      <w:pPr>
        <w:rPr>
          <w:sz w:val="22"/>
          <w:szCs w:val="22"/>
        </w:rPr>
      </w:pPr>
    </w:p>
    <w:p w14:paraId="57427085" w14:textId="77777777" w:rsidR="005F0D7B" w:rsidRPr="000C59B6" w:rsidRDefault="005F0D7B" w:rsidP="005F0D7B">
      <w:pPr>
        <w:rPr>
          <w:sz w:val="22"/>
          <w:szCs w:val="22"/>
        </w:rPr>
      </w:pPr>
      <w:r w:rsidRPr="000C59B6">
        <w:rPr>
          <w:sz w:val="22"/>
          <w:szCs w:val="22"/>
        </w:rPr>
        <w:t>9.  There are no payments or gifts to respondents.</w:t>
      </w:r>
    </w:p>
    <w:p w14:paraId="6D98A12B" w14:textId="77777777" w:rsidR="005F0D7B" w:rsidRPr="000C59B6" w:rsidRDefault="005F0D7B" w:rsidP="005F0D7B">
      <w:pPr>
        <w:rPr>
          <w:sz w:val="22"/>
          <w:szCs w:val="22"/>
        </w:rPr>
      </w:pPr>
    </w:p>
    <w:p w14:paraId="0FA64B68" w14:textId="77777777" w:rsidR="005F0D7B" w:rsidRPr="000C59B6" w:rsidRDefault="005F0D7B" w:rsidP="005F0D7B">
      <w:pPr>
        <w:rPr>
          <w:sz w:val="22"/>
          <w:szCs w:val="22"/>
        </w:rPr>
      </w:pPr>
      <w:r w:rsidRPr="000C59B6">
        <w:rPr>
          <w:sz w:val="22"/>
          <w:szCs w:val="22"/>
        </w:rPr>
        <w:t>10.  No questions of a confidential nature are asked.</w:t>
      </w:r>
    </w:p>
    <w:p w14:paraId="2946DB82" w14:textId="77777777" w:rsidR="005F0D7B" w:rsidRPr="000C59B6" w:rsidRDefault="005F0D7B" w:rsidP="005F0D7B">
      <w:pPr>
        <w:rPr>
          <w:sz w:val="22"/>
          <w:szCs w:val="22"/>
        </w:rPr>
      </w:pPr>
    </w:p>
    <w:p w14:paraId="3F94F5F5" w14:textId="77777777" w:rsidR="005F0D7B" w:rsidRPr="000C59B6" w:rsidRDefault="005F0D7B" w:rsidP="005F0D7B">
      <w:pPr>
        <w:rPr>
          <w:sz w:val="22"/>
          <w:szCs w:val="22"/>
        </w:rPr>
      </w:pPr>
      <w:r w:rsidRPr="000C59B6">
        <w:rPr>
          <w:sz w:val="22"/>
          <w:szCs w:val="22"/>
        </w:rPr>
        <w:t>11.  This collection does not address any private matters or matters of a sensitive nature.</w:t>
      </w:r>
    </w:p>
    <w:p w14:paraId="5997CC1D" w14:textId="77777777" w:rsidR="005F0D7B" w:rsidRPr="000C59B6" w:rsidRDefault="005F0D7B" w:rsidP="005F0D7B">
      <w:pPr>
        <w:rPr>
          <w:sz w:val="22"/>
          <w:szCs w:val="22"/>
        </w:rPr>
      </w:pPr>
    </w:p>
    <w:p w14:paraId="5907A1C1" w14:textId="5FDF930E" w:rsidR="001C2BAD" w:rsidRPr="000C59B6" w:rsidRDefault="005F0D7B" w:rsidP="005F0D7B">
      <w:pPr>
        <w:rPr>
          <w:sz w:val="22"/>
          <w:szCs w:val="22"/>
        </w:rPr>
      </w:pPr>
      <w:r w:rsidRPr="000C59B6">
        <w:rPr>
          <w:sz w:val="22"/>
          <w:szCs w:val="22"/>
        </w:rPr>
        <w:t>12</w:t>
      </w:r>
      <w:r w:rsidRPr="000C59B6">
        <w:rPr>
          <w:i/>
          <w:sz w:val="22"/>
          <w:szCs w:val="22"/>
        </w:rPr>
        <w:t xml:space="preserve">.  </w:t>
      </w:r>
      <w:r w:rsidR="000D4155" w:rsidRPr="000C59B6">
        <w:rPr>
          <w:sz w:val="22"/>
          <w:szCs w:val="22"/>
        </w:rPr>
        <w:t xml:space="preserve">There are approximately </w:t>
      </w:r>
      <w:r w:rsidR="006A0CE5" w:rsidRPr="000C59B6">
        <w:rPr>
          <w:sz w:val="22"/>
          <w:szCs w:val="22"/>
        </w:rPr>
        <w:t xml:space="preserve">737 </w:t>
      </w:r>
      <w:r w:rsidR="000D4155" w:rsidRPr="000C59B6">
        <w:rPr>
          <w:sz w:val="22"/>
          <w:szCs w:val="22"/>
        </w:rPr>
        <w:t xml:space="preserve">holding companies with ILEC operations.  </w:t>
      </w:r>
      <w:r w:rsidR="000D4155" w:rsidRPr="000C59B6">
        <w:rPr>
          <w:i/>
          <w:sz w:val="22"/>
          <w:szCs w:val="22"/>
        </w:rPr>
        <w:t>See</w:t>
      </w:r>
      <w:r w:rsidR="001C2BAD" w:rsidRPr="000C59B6">
        <w:rPr>
          <w:sz w:val="22"/>
          <w:szCs w:val="22"/>
        </w:rPr>
        <w:t xml:space="preserve"> </w:t>
      </w:r>
      <w:r w:rsidR="006A0CE5" w:rsidRPr="000C59B6">
        <w:rPr>
          <w:sz w:val="22"/>
          <w:szCs w:val="22"/>
        </w:rPr>
        <w:t xml:space="preserve">Voice Telephone Services: Status as of June 30, 2017, Reference 5, Table 2 at </w:t>
      </w:r>
      <w:hyperlink r:id="rId11" w:history="1">
        <w:r w:rsidR="006A0CE5" w:rsidRPr="000C59B6">
          <w:rPr>
            <w:rStyle w:val="Hyperlink"/>
            <w:sz w:val="22"/>
            <w:szCs w:val="22"/>
          </w:rPr>
          <w:t>https://docs.fcc.gov/public/attachments/DOC-355165A1.pdf</w:t>
        </w:r>
      </w:hyperlink>
      <w:r w:rsidR="000D4155" w:rsidRPr="000C59B6">
        <w:rPr>
          <w:i/>
          <w:sz w:val="22"/>
          <w:szCs w:val="22"/>
        </w:rPr>
        <w:t xml:space="preserve">.  </w:t>
      </w:r>
      <w:r w:rsidR="001C2BAD" w:rsidRPr="000C59B6">
        <w:rPr>
          <w:sz w:val="22"/>
          <w:szCs w:val="22"/>
        </w:rPr>
        <w:t xml:space="preserve">Some of these holding companies may have multiple ILEC operations and multiple study areas, but we have found that the one person with the parent company usually files study area boundary data for </w:t>
      </w:r>
      <w:r w:rsidR="00027AFE" w:rsidRPr="000C59B6">
        <w:rPr>
          <w:sz w:val="22"/>
          <w:szCs w:val="22"/>
        </w:rPr>
        <w:t>all of the ILEC operations and study areas.</w:t>
      </w:r>
      <w:r w:rsidR="001359B6" w:rsidRPr="000C59B6">
        <w:rPr>
          <w:sz w:val="22"/>
          <w:szCs w:val="22"/>
        </w:rPr>
        <w:t xml:space="preserve">  In addition, many states file on behalf of all of the ILECs in the state.  </w:t>
      </w:r>
    </w:p>
    <w:p w14:paraId="110FFD37" w14:textId="77777777" w:rsidR="001C2BAD" w:rsidRPr="000C59B6" w:rsidRDefault="001C2BAD" w:rsidP="005F0D7B">
      <w:pPr>
        <w:rPr>
          <w:sz w:val="22"/>
          <w:szCs w:val="22"/>
        </w:rPr>
      </w:pPr>
    </w:p>
    <w:p w14:paraId="0ACE87EF" w14:textId="77777777" w:rsidR="003D46D7" w:rsidRPr="000C59B6" w:rsidRDefault="003964E4" w:rsidP="001C2BAD">
      <w:pPr>
        <w:ind w:firstLine="720"/>
        <w:rPr>
          <w:sz w:val="22"/>
          <w:szCs w:val="22"/>
        </w:rPr>
      </w:pPr>
      <w:r w:rsidRPr="000C59B6">
        <w:rPr>
          <w:sz w:val="22"/>
          <w:szCs w:val="22"/>
        </w:rPr>
        <w:t>ILECs have already undertaken the initial filing burden associated with this information collection: creating and submitting GIS esri shapefiles of their study area boundaries</w:t>
      </w:r>
      <w:r w:rsidR="003D46D7" w:rsidRPr="000C59B6">
        <w:rPr>
          <w:sz w:val="22"/>
          <w:szCs w:val="22"/>
        </w:rPr>
        <w:t>.  Therefore, the</w:t>
      </w:r>
      <w:r w:rsidRPr="000C59B6">
        <w:rPr>
          <w:sz w:val="22"/>
          <w:szCs w:val="22"/>
        </w:rPr>
        <w:t xml:space="preserve"> burden estimate for the extension of this collection focuses only on the ongoing tasks </w:t>
      </w:r>
      <w:r w:rsidR="003D46D7" w:rsidRPr="000C59B6">
        <w:rPr>
          <w:sz w:val="22"/>
          <w:szCs w:val="22"/>
        </w:rPr>
        <w:t>associated with</w:t>
      </w:r>
      <w:r w:rsidRPr="000C59B6">
        <w:rPr>
          <w:sz w:val="22"/>
          <w:szCs w:val="22"/>
        </w:rPr>
        <w:t xml:space="preserve"> maintaining accurate </w:t>
      </w:r>
      <w:r w:rsidR="003D46D7" w:rsidRPr="000C59B6">
        <w:rPr>
          <w:sz w:val="22"/>
          <w:szCs w:val="22"/>
        </w:rPr>
        <w:t xml:space="preserve">study area boundary </w:t>
      </w:r>
      <w:r w:rsidRPr="000C59B6">
        <w:rPr>
          <w:sz w:val="22"/>
          <w:szCs w:val="22"/>
        </w:rPr>
        <w:t xml:space="preserve">data, which are </w:t>
      </w:r>
      <w:r w:rsidR="003D46D7" w:rsidRPr="000C59B6">
        <w:rPr>
          <w:sz w:val="22"/>
          <w:szCs w:val="22"/>
        </w:rPr>
        <w:t xml:space="preserve">(a) </w:t>
      </w:r>
      <w:r w:rsidRPr="000C59B6">
        <w:rPr>
          <w:sz w:val="22"/>
          <w:szCs w:val="22"/>
        </w:rPr>
        <w:t xml:space="preserve">submitting boundary changes and </w:t>
      </w:r>
      <w:r w:rsidR="003D46D7" w:rsidRPr="000C59B6">
        <w:rPr>
          <w:sz w:val="22"/>
          <w:szCs w:val="22"/>
        </w:rPr>
        <w:t xml:space="preserve">(b) </w:t>
      </w:r>
      <w:r w:rsidRPr="000C59B6">
        <w:rPr>
          <w:sz w:val="22"/>
          <w:szCs w:val="22"/>
        </w:rPr>
        <w:t xml:space="preserve">recertification.  </w:t>
      </w:r>
    </w:p>
    <w:p w14:paraId="6B699379" w14:textId="77777777" w:rsidR="003D46D7" w:rsidRPr="000C59B6" w:rsidRDefault="003D46D7" w:rsidP="005F0D7B">
      <w:pPr>
        <w:rPr>
          <w:sz w:val="22"/>
          <w:szCs w:val="22"/>
        </w:rPr>
      </w:pPr>
    </w:p>
    <w:p w14:paraId="550CA8B1" w14:textId="77777777" w:rsidR="00065C29" w:rsidRPr="000C59B6" w:rsidRDefault="003D46D7" w:rsidP="00CD7DDE">
      <w:pPr>
        <w:ind w:firstLine="720"/>
        <w:rPr>
          <w:sz w:val="22"/>
          <w:szCs w:val="22"/>
        </w:rPr>
      </w:pPr>
      <w:r w:rsidRPr="000C59B6">
        <w:rPr>
          <w:sz w:val="22"/>
          <w:szCs w:val="22"/>
        </w:rPr>
        <w:t>If an</w:t>
      </w:r>
      <w:r w:rsidR="003964E4" w:rsidRPr="000C59B6">
        <w:rPr>
          <w:sz w:val="22"/>
          <w:szCs w:val="22"/>
        </w:rPr>
        <w:t xml:space="preserve"> ILEC</w:t>
      </w:r>
      <w:r w:rsidRPr="000C59B6">
        <w:rPr>
          <w:sz w:val="22"/>
          <w:szCs w:val="22"/>
        </w:rPr>
        <w:t xml:space="preserve">’s </w:t>
      </w:r>
      <w:r w:rsidR="003964E4" w:rsidRPr="000C59B6">
        <w:rPr>
          <w:sz w:val="22"/>
          <w:szCs w:val="22"/>
        </w:rPr>
        <w:t xml:space="preserve">study area </w:t>
      </w:r>
      <w:r w:rsidRPr="000C59B6">
        <w:rPr>
          <w:sz w:val="22"/>
          <w:szCs w:val="22"/>
        </w:rPr>
        <w:t>boundary changes, it is required to submit a</w:t>
      </w:r>
      <w:r w:rsidR="003964E4" w:rsidRPr="000C59B6">
        <w:rPr>
          <w:sz w:val="22"/>
          <w:szCs w:val="22"/>
        </w:rPr>
        <w:t xml:space="preserve"> revised</w:t>
      </w:r>
      <w:r w:rsidRPr="000C59B6">
        <w:rPr>
          <w:sz w:val="22"/>
          <w:szCs w:val="22"/>
        </w:rPr>
        <w:t xml:space="preserve"> study area</w:t>
      </w:r>
      <w:r w:rsidR="003964E4" w:rsidRPr="000C59B6">
        <w:rPr>
          <w:sz w:val="22"/>
          <w:szCs w:val="22"/>
        </w:rPr>
        <w:t xml:space="preserve"> boundary </w:t>
      </w:r>
      <w:r w:rsidRPr="000C59B6">
        <w:rPr>
          <w:sz w:val="22"/>
          <w:szCs w:val="22"/>
        </w:rPr>
        <w:t>reflecting those changes by March 15 of the year following</w:t>
      </w:r>
      <w:r w:rsidR="00467968" w:rsidRPr="000C59B6">
        <w:rPr>
          <w:sz w:val="22"/>
          <w:szCs w:val="22"/>
        </w:rPr>
        <w:t xml:space="preserve"> the calendar year in which </w:t>
      </w:r>
      <w:r w:rsidRPr="000C59B6">
        <w:rPr>
          <w:sz w:val="22"/>
          <w:szCs w:val="22"/>
        </w:rPr>
        <w:t>those changes were made.</w:t>
      </w:r>
      <w:r w:rsidR="003964E4" w:rsidRPr="000C59B6">
        <w:rPr>
          <w:sz w:val="22"/>
          <w:szCs w:val="22"/>
        </w:rPr>
        <w:t xml:space="preserve"> </w:t>
      </w:r>
      <w:r w:rsidRPr="000C59B6">
        <w:rPr>
          <w:sz w:val="22"/>
          <w:szCs w:val="22"/>
        </w:rPr>
        <w:t xml:space="preserve"> The total number of study area boundary modifications each year is small</w:t>
      </w:r>
      <w:r w:rsidR="00CD7DDE" w:rsidRPr="000C59B6">
        <w:rPr>
          <w:sz w:val="22"/>
          <w:szCs w:val="22"/>
        </w:rPr>
        <w:t xml:space="preserve"> relative to the total number of ILECs and study areas</w:t>
      </w:r>
      <w:r w:rsidRPr="000C59B6">
        <w:rPr>
          <w:sz w:val="22"/>
          <w:szCs w:val="22"/>
        </w:rPr>
        <w:t xml:space="preserve">.  </w:t>
      </w:r>
      <w:r w:rsidR="00CD7DDE" w:rsidRPr="000C59B6">
        <w:rPr>
          <w:sz w:val="22"/>
          <w:szCs w:val="22"/>
        </w:rPr>
        <w:t xml:space="preserve">Based on the number of modifications filed in recent years, we estimate there will be no more than 10 study area boundary modifications filed each year.  </w:t>
      </w:r>
    </w:p>
    <w:p w14:paraId="3FE9F23F" w14:textId="77777777" w:rsidR="00065C29" w:rsidRPr="000C59B6" w:rsidRDefault="00065C29" w:rsidP="00CD7DDE">
      <w:pPr>
        <w:ind w:firstLine="720"/>
        <w:rPr>
          <w:sz w:val="22"/>
          <w:szCs w:val="22"/>
        </w:rPr>
      </w:pPr>
    </w:p>
    <w:p w14:paraId="7C14F407" w14:textId="77777777" w:rsidR="009237E0" w:rsidRPr="000C59B6" w:rsidRDefault="009237E0" w:rsidP="00CD7DDE">
      <w:pPr>
        <w:ind w:firstLine="720"/>
        <w:rPr>
          <w:sz w:val="22"/>
          <w:szCs w:val="22"/>
        </w:rPr>
      </w:pPr>
      <w:r w:rsidRPr="000C59B6">
        <w:rPr>
          <w:sz w:val="22"/>
          <w:szCs w:val="22"/>
        </w:rPr>
        <w:t xml:space="preserve">We estimate that approximately half of the study area boundary modifications filed </w:t>
      </w:r>
      <w:r w:rsidR="009A602A" w:rsidRPr="000C59B6">
        <w:rPr>
          <w:sz w:val="22"/>
          <w:szCs w:val="22"/>
        </w:rPr>
        <w:t>are and will be</w:t>
      </w:r>
      <w:r w:rsidRPr="000C59B6">
        <w:rPr>
          <w:sz w:val="22"/>
          <w:szCs w:val="22"/>
        </w:rPr>
        <w:t xml:space="preserve"> done by ILEC respondents </w:t>
      </w:r>
      <w:r w:rsidR="009A602A" w:rsidRPr="000C59B6">
        <w:rPr>
          <w:sz w:val="22"/>
          <w:szCs w:val="22"/>
        </w:rPr>
        <w:t>with in-</w:t>
      </w:r>
      <w:r w:rsidRPr="000C59B6">
        <w:rPr>
          <w:sz w:val="22"/>
          <w:szCs w:val="22"/>
        </w:rPr>
        <w:t>house</w:t>
      </w:r>
      <w:r w:rsidR="00523828" w:rsidRPr="000C59B6">
        <w:rPr>
          <w:sz w:val="22"/>
          <w:szCs w:val="22"/>
        </w:rPr>
        <w:t xml:space="preserve"> </w:t>
      </w:r>
      <w:r w:rsidR="009A602A" w:rsidRPr="000C59B6">
        <w:rPr>
          <w:sz w:val="22"/>
          <w:szCs w:val="22"/>
        </w:rPr>
        <w:t xml:space="preserve">GIS resources </w:t>
      </w:r>
      <w:r w:rsidR="00523828" w:rsidRPr="000C59B6">
        <w:rPr>
          <w:sz w:val="22"/>
          <w:szCs w:val="22"/>
        </w:rPr>
        <w:t xml:space="preserve">and the other half </w:t>
      </w:r>
      <w:r w:rsidR="009A602A" w:rsidRPr="000C59B6">
        <w:rPr>
          <w:sz w:val="22"/>
          <w:szCs w:val="22"/>
        </w:rPr>
        <w:t>are or will</w:t>
      </w:r>
      <w:r w:rsidR="00523828" w:rsidRPr="000C59B6">
        <w:rPr>
          <w:sz w:val="22"/>
          <w:szCs w:val="22"/>
        </w:rPr>
        <w:t xml:space="preserve"> be done by third party contractors hired by an ILEC.  We estimate the </w:t>
      </w:r>
      <w:r w:rsidR="006A0AFD" w:rsidRPr="000C59B6">
        <w:rPr>
          <w:sz w:val="22"/>
          <w:szCs w:val="22"/>
        </w:rPr>
        <w:t xml:space="preserve">industry </w:t>
      </w:r>
      <w:r w:rsidR="00523828" w:rsidRPr="000C59B6">
        <w:rPr>
          <w:sz w:val="22"/>
          <w:szCs w:val="22"/>
        </w:rPr>
        <w:t xml:space="preserve">burden associated with </w:t>
      </w:r>
      <w:r w:rsidR="00523828" w:rsidRPr="000C59B6">
        <w:rPr>
          <w:i/>
          <w:sz w:val="22"/>
          <w:szCs w:val="22"/>
        </w:rPr>
        <w:t>modifying</w:t>
      </w:r>
      <w:r w:rsidR="00523828" w:rsidRPr="000C59B6">
        <w:rPr>
          <w:sz w:val="22"/>
          <w:szCs w:val="22"/>
        </w:rPr>
        <w:t xml:space="preserve"> a study ar</w:t>
      </w:r>
      <w:r w:rsidR="006A0AFD" w:rsidRPr="000C59B6">
        <w:rPr>
          <w:sz w:val="22"/>
          <w:szCs w:val="22"/>
        </w:rPr>
        <w:t xml:space="preserve">ea boundary shapefile in house to be </w:t>
      </w:r>
      <w:r w:rsidR="00523828" w:rsidRPr="000C59B6">
        <w:rPr>
          <w:sz w:val="22"/>
          <w:szCs w:val="22"/>
        </w:rPr>
        <w:t xml:space="preserve">26 hours.  This </w:t>
      </w:r>
      <w:r w:rsidR="006A0AFD" w:rsidRPr="000C59B6">
        <w:rPr>
          <w:sz w:val="22"/>
          <w:szCs w:val="22"/>
        </w:rPr>
        <w:t>is</w:t>
      </w:r>
      <w:r w:rsidR="00523828" w:rsidRPr="000C59B6">
        <w:rPr>
          <w:sz w:val="22"/>
          <w:szCs w:val="22"/>
        </w:rPr>
        <w:t xml:space="preserve"> the same estimate we use</w:t>
      </w:r>
      <w:r w:rsidR="009A602A" w:rsidRPr="000C59B6">
        <w:rPr>
          <w:sz w:val="22"/>
          <w:szCs w:val="22"/>
        </w:rPr>
        <w:t xml:space="preserve">d for the hour burden associated with </w:t>
      </w:r>
      <w:r w:rsidR="009A602A" w:rsidRPr="000C59B6">
        <w:rPr>
          <w:i/>
          <w:sz w:val="22"/>
          <w:szCs w:val="22"/>
        </w:rPr>
        <w:t>creating</w:t>
      </w:r>
      <w:r w:rsidR="009A602A" w:rsidRPr="000C59B6">
        <w:rPr>
          <w:sz w:val="22"/>
          <w:szCs w:val="22"/>
        </w:rPr>
        <w:t xml:space="preserve"> a shapefile.  While modifying a shapefile is likely less burdensome than creating a new one, we have no rational means of estimating the difference and therefore use our estimate for creating a new shapefile when estimating the burden associated with modifying a shapefile.  </w:t>
      </w:r>
      <w:r w:rsidR="00523828" w:rsidRPr="000C59B6">
        <w:rPr>
          <w:sz w:val="22"/>
          <w:szCs w:val="22"/>
        </w:rPr>
        <w:t xml:space="preserve">  </w:t>
      </w:r>
    </w:p>
    <w:p w14:paraId="0DFAE634" w14:textId="77777777" w:rsidR="006A0AFD" w:rsidRPr="000C59B6" w:rsidRDefault="00CD7DDE" w:rsidP="00CD7DDE">
      <w:pPr>
        <w:ind w:firstLine="720"/>
        <w:rPr>
          <w:sz w:val="22"/>
          <w:szCs w:val="22"/>
        </w:rPr>
      </w:pPr>
      <w:r w:rsidRPr="000C59B6">
        <w:rPr>
          <w:sz w:val="22"/>
          <w:szCs w:val="22"/>
        </w:rPr>
        <w:t xml:space="preserve">  </w:t>
      </w:r>
    </w:p>
    <w:p w14:paraId="3C13CF10" w14:textId="77777777" w:rsidR="006A0AFD" w:rsidRPr="000C59B6" w:rsidRDefault="006A0AFD" w:rsidP="006A0AFD">
      <w:pPr>
        <w:pStyle w:val="cm2"/>
        <w:ind w:firstLine="720"/>
        <w:rPr>
          <w:rFonts w:ascii="Times New Roman" w:hAnsi="Times New Roman"/>
          <w:sz w:val="22"/>
          <w:szCs w:val="22"/>
        </w:rPr>
      </w:pPr>
      <w:r w:rsidRPr="000C59B6">
        <w:rPr>
          <w:rFonts w:ascii="Times New Roman" w:hAnsi="Times New Roman"/>
          <w:sz w:val="22"/>
          <w:szCs w:val="22"/>
        </w:rPr>
        <w:t xml:space="preserve">Therefore, the </w:t>
      </w:r>
      <w:r w:rsidR="00FF6408" w:rsidRPr="000C59B6">
        <w:rPr>
          <w:rFonts w:ascii="Times New Roman" w:hAnsi="Times New Roman"/>
          <w:sz w:val="22"/>
          <w:szCs w:val="22"/>
        </w:rPr>
        <w:t xml:space="preserve">annual </w:t>
      </w:r>
      <w:r w:rsidRPr="000C59B6">
        <w:rPr>
          <w:rFonts w:ascii="Times New Roman" w:hAnsi="Times New Roman"/>
          <w:sz w:val="22"/>
          <w:szCs w:val="22"/>
        </w:rPr>
        <w:t>hour burden for modifying shapefiles</w:t>
      </w:r>
      <w:r w:rsidR="00FF6408" w:rsidRPr="000C59B6">
        <w:rPr>
          <w:rFonts w:ascii="Times New Roman" w:hAnsi="Times New Roman"/>
          <w:sz w:val="22"/>
          <w:szCs w:val="22"/>
        </w:rPr>
        <w:t xml:space="preserve"> in house is</w:t>
      </w:r>
      <w:r w:rsidRPr="000C59B6">
        <w:rPr>
          <w:rFonts w:ascii="Times New Roman" w:hAnsi="Times New Roman"/>
          <w:sz w:val="22"/>
          <w:szCs w:val="22"/>
        </w:rPr>
        <w:t>:</w:t>
      </w:r>
    </w:p>
    <w:p w14:paraId="1F72F646" w14:textId="77777777" w:rsidR="006B099E" w:rsidRPr="000C59B6" w:rsidRDefault="006B099E" w:rsidP="006A0AFD">
      <w:pPr>
        <w:ind w:firstLine="720"/>
        <w:rPr>
          <w:sz w:val="22"/>
          <w:szCs w:val="22"/>
        </w:rPr>
      </w:pPr>
    </w:p>
    <w:p w14:paraId="6B39EBAF" w14:textId="77777777" w:rsidR="006A0AFD" w:rsidRPr="000C59B6" w:rsidRDefault="006A0AFD" w:rsidP="006A0AFD">
      <w:pPr>
        <w:ind w:firstLine="720"/>
        <w:rPr>
          <w:sz w:val="22"/>
          <w:szCs w:val="22"/>
        </w:rPr>
      </w:pPr>
      <w:r w:rsidRPr="000C59B6">
        <w:rPr>
          <w:sz w:val="22"/>
          <w:szCs w:val="22"/>
        </w:rPr>
        <w:t xml:space="preserve">5 modifications per year x 26 hours per modification = </w:t>
      </w:r>
      <w:r w:rsidRPr="000C59B6">
        <w:rPr>
          <w:b/>
          <w:sz w:val="22"/>
          <w:szCs w:val="22"/>
          <w:u w:val="single"/>
        </w:rPr>
        <w:t>130 hours</w:t>
      </w:r>
      <w:r w:rsidRPr="000C59B6">
        <w:rPr>
          <w:sz w:val="22"/>
          <w:szCs w:val="22"/>
        </w:rPr>
        <w:t>.</w:t>
      </w:r>
    </w:p>
    <w:p w14:paraId="08CE6F91" w14:textId="77777777" w:rsidR="00485363" w:rsidRPr="000C59B6" w:rsidRDefault="00485363" w:rsidP="006A0AFD">
      <w:pPr>
        <w:ind w:firstLine="720"/>
        <w:rPr>
          <w:sz w:val="22"/>
          <w:szCs w:val="22"/>
        </w:rPr>
      </w:pPr>
    </w:p>
    <w:p w14:paraId="71CC016B" w14:textId="77777777" w:rsidR="00485363" w:rsidRPr="000C59B6" w:rsidRDefault="00485363" w:rsidP="00485363">
      <w:pPr>
        <w:pStyle w:val="cm2"/>
        <w:spacing w:line="240" w:lineRule="auto"/>
        <w:ind w:firstLine="720"/>
        <w:rPr>
          <w:rStyle w:val="BodyTextChar"/>
          <w:rFonts w:ascii="Times New Roman" w:hAnsi="Times New Roman"/>
          <w:sz w:val="22"/>
          <w:szCs w:val="22"/>
        </w:rPr>
      </w:pPr>
      <w:r w:rsidRPr="000C59B6">
        <w:rPr>
          <w:rFonts w:ascii="Times New Roman" w:eastAsia="Calibri" w:hAnsi="Times New Roman"/>
          <w:sz w:val="22"/>
          <w:szCs w:val="22"/>
        </w:rPr>
        <w:t xml:space="preserve">We estimate that approximately half of the estimated 10 study area boundary modifications filed each year will be done by third-party contractors hired by an ILEC, rather than the ILEC completing the work in house.  We estimate the hour burden associated with hiring a contractor to modify a study area boundary shapefile to be between 4.25 and 12 hours, for an average of 8.13 hours.  These are the same estimates we used for the hour burden associated with creating a shapefile.  While modifying a shapefile is likely less burdensome than creating a new one, we have no rational means of estimating the difference and therefore use our estimates for creating a new shapefile when estimating the burden associated with hiring a consultant to modify a shapefile.      </w:t>
      </w:r>
    </w:p>
    <w:p w14:paraId="61CDCEAD" w14:textId="77777777" w:rsidR="00485363" w:rsidRPr="000C59B6" w:rsidRDefault="00485363" w:rsidP="00485363">
      <w:pPr>
        <w:pStyle w:val="cm2"/>
        <w:spacing w:line="240" w:lineRule="auto"/>
        <w:rPr>
          <w:rStyle w:val="BodyTextChar"/>
          <w:rFonts w:ascii="Times New Roman" w:hAnsi="Times New Roman"/>
          <w:sz w:val="22"/>
          <w:szCs w:val="22"/>
        </w:rPr>
      </w:pPr>
    </w:p>
    <w:p w14:paraId="64CD57A3" w14:textId="77777777" w:rsidR="00485363" w:rsidRPr="000C59B6" w:rsidRDefault="00485363" w:rsidP="00485363">
      <w:pPr>
        <w:pStyle w:val="cm2"/>
        <w:spacing w:line="240" w:lineRule="auto"/>
        <w:ind w:firstLine="720"/>
        <w:rPr>
          <w:rFonts w:ascii="Times New Roman" w:hAnsi="Times New Roman"/>
          <w:sz w:val="22"/>
          <w:szCs w:val="22"/>
        </w:rPr>
      </w:pPr>
      <w:r w:rsidRPr="000C59B6">
        <w:rPr>
          <w:rFonts w:ascii="Times New Roman" w:hAnsi="Times New Roman"/>
          <w:sz w:val="22"/>
          <w:szCs w:val="22"/>
        </w:rPr>
        <w:t>Therefore, the annual hour burden for contracting expenses for modifying shapefiles is:</w:t>
      </w:r>
    </w:p>
    <w:p w14:paraId="6BB9E253" w14:textId="77777777" w:rsidR="006B099E" w:rsidRPr="000C59B6" w:rsidRDefault="006B099E" w:rsidP="00485363">
      <w:pPr>
        <w:pStyle w:val="cm2"/>
        <w:spacing w:line="240" w:lineRule="auto"/>
        <w:ind w:firstLine="720"/>
        <w:rPr>
          <w:rFonts w:ascii="Times New Roman" w:eastAsia="Calibri" w:hAnsi="Times New Roman"/>
          <w:sz w:val="22"/>
          <w:szCs w:val="22"/>
        </w:rPr>
      </w:pPr>
    </w:p>
    <w:p w14:paraId="6F342ECD" w14:textId="77777777" w:rsidR="00485363" w:rsidRPr="000C59B6" w:rsidRDefault="00485363" w:rsidP="00485363">
      <w:pPr>
        <w:pStyle w:val="cm2"/>
        <w:spacing w:line="240" w:lineRule="auto"/>
        <w:ind w:firstLine="720"/>
        <w:rPr>
          <w:rFonts w:ascii="Times New Roman" w:eastAsia="Calibri" w:hAnsi="Times New Roman"/>
          <w:sz w:val="22"/>
          <w:szCs w:val="22"/>
        </w:rPr>
      </w:pPr>
      <w:r w:rsidRPr="000C59B6">
        <w:rPr>
          <w:rFonts w:ascii="Times New Roman" w:eastAsia="Calibri" w:hAnsi="Times New Roman"/>
          <w:sz w:val="22"/>
          <w:szCs w:val="22"/>
        </w:rPr>
        <w:t xml:space="preserve">5 modifications per year x 8.13 hours per modification = </w:t>
      </w:r>
      <w:r w:rsidRPr="000C59B6">
        <w:rPr>
          <w:rFonts w:ascii="Times New Roman" w:eastAsia="Calibri" w:hAnsi="Times New Roman"/>
          <w:b/>
          <w:sz w:val="22"/>
          <w:szCs w:val="22"/>
          <w:u w:val="single"/>
        </w:rPr>
        <w:t>41 hours</w:t>
      </w:r>
      <w:r w:rsidRPr="000C59B6">
        <w:rPr>
          <w:rFonts w:ascii="Times New Roman" w:eastAsia="Calibri" w:hAnsi="Times New Roman"/>
          <w:b/>
          <w:sz w:val="22"/>
          <w:szCs w:val="22"/>
        </w:rPr>
        <w:t>.</w:t>
      </w:r>
    </w:p>
    <w:p w14:paraId="23DE523C" w14:textId="77777777" w:rsidR="00485363" w:rsidRPr="000C59B6" w:rsidRDefault="00485363" w:rsidP="006A0AFD">
      <w:pPr>
        <w:ind w:firstLine="720"/>
        <w:rPr>
          <w:sz w:val="22"/>
          <w:szCs w:val="22"/>
        </w:rPr>
      </w:pPr>
    </w:p>
    <w:p w14:paraId="5D502AC2" w14:textId="3EB8B2D5" w:rsidR="00667845" w:rsidRPr="000C59B6" w:rsidRDefault="00317D8E" w:rsidP="00D454A1">
      <w:pPr>
        <w:pStyle w:val="cm2"/>
        <w:spacing w:line="240" w:lineRule="auto"/>
        <w:ind w:firstLine="720"/>
        <w:rPr>
          <w:rFonts w:ascii="Times New Roman" w:eastAsia="Calibri" w:hAnsi="Times New Roman"/>
          <w:sz w:val="22"/>
          <w:szCs w:val="22"/>
        </w:rPr>
      </w:pPr>
      <w:r w:rsidRPr="000C59B6">
        <w:rPr>
          <w:rFonts w:ascii="Times New Roman" w:eastAsia="Calibri" w:hAnsi="Times New Roman"/>
          <w:sz w:val="22"/>
          <w:szCs w:val="22"/>
        </w:rPr>
        <w:t xml:space="preserve">If an ILEC </w:t>
      </w:r>
      <w:r w:rsidR="00FF6408" w:rsidRPr="000C59B6">
        <w:rPr>
          <w:rFonts w:ascii="Times New Roman" w:eastAsia="Calibri" w:hAnsi="Times New Roman"/>
          <w:sz w:val="22"/>
          <w:szCs w:val="22"/>
        </w:rPr>
        <w:t>modifies</w:t>
      </w:r>
      <w:r w:rsidRPr="000C59B6">
        <w:rPr>
          <w:rFonts w:ascii="Times New Roman" w:eastAsia="Calibri" w:hAnsi="Times New Roman"/>
          <w:sz w:val="22"/>
          <w:szCs w:val="22"/>
        </w:rPr>
        <w:t xml:space="preserve"> its study area boundary shapefile in house, we estimate the hourly salary of such in-house technical staff is</w:t>
      </w:r>
      <w:r w:rsidR="00FF6408" w:rsidRPr="000C59B6">
        <w:rPr>
          <w:rFonts w:ascii="Times New Roman" w:eastAsia="Calibri" w:hAnsi="Times New Roman"/>
          <w:sz w:val="22"/>
          <w:szCs w:val="22"/>
        </w:rPr>
        <w:t xml:space="preserve"> roughly</w:t>
      </w:r>
      <w:r w:rsidRPr="000C59B6">
        <w:rPr>
          <w:rFonts w:ascii="Times New Roman" w:eastAsia="Calibri" w:hAnsi="Times New Roman"/>
          <w:sz w:val="22"/>
          <w:szCs w:val="22"/>
        </w:rPr>
        <w:t xml:space="preserve"> equivalent to the hourly salary of a GS 12 step 5 federal employee, which is $</w:t>
      </w:r>
      <w:r w:rsidR="00CD026B">
        <w:rPr>
          <w:rFonts w:ascii="Times New Roman" w:eastAsia="Calibri" w:hAnsi="Times New Roman"/>
          <w:sz w:val="22"/>
          <w:szCs w:val="22"/>
        </w:rPr>
        <w:t>40</w:t>
      </w:r>
      <w:r w:rsidRPr="000C59B6">
        <w:rPr>
          <w:rFonts w:ascii="Times New Roman" w:eastAsia="Calibri" w:hAnsi="Times New Roman"/>
          <w:sz w:val="22"/>
          <w:szCs w:val="22"/>
        </w:rPr>
        <w:t>.</w:t>
      </w:r>
      <w:r w:rsidR="00CD026B">
        <w:rPr>
          <w:rFonts w:ascii="Times New Roman" w:eastAsia="Calibri" w:hAnsi="Times New Roman"/>
          <w:sz w:val="22"/>
          <w:szCs w:val="22"/>
        </w:rPr>
        <w:t>51</w:t>
      </w:r>
      <w:r w:rsidR="0030537C" w:rsidRPr="000C59B6">
        <w:rPr>
          <w:rFonts w:ascii="Times New Roman" w:eastAsia="Calibri" w:hAnsi="Times New Roman"/>
          <w:sz w:val="22"/>
          <w:szCs w:val="22"/>
        </w:rPr>
        <w:t xml:space="preserve"> plus overhead of $1</w:t>
      </w:r>
      <w:r w:rsidR="00CD026B">
        <w:rPr>
          <w:rFonts w:ascii="Times New Roman" w:eastAsia="Calibri" w:hAnsi="Times New Roman"/>
          <w:sz w:val="22"/>
          <w:szCs w:val="22"/>
        </w:rPr>
        <w:t>2</w:t>
      </w:r>
      <w:r w:rsidR="0030537C" w:rsidRPr="000C59B6">
        <w:rPr>
          <w:rFonts w:ascii="Times New Roman" w:eastAsia="Calibri" w:hAnsi="Times New Roman"/>
          <w:sz w:val="22"/>
          <w:szCs w:val="22"/>
        </w:rPr>
        <w:t>.</w:t>
      </w:r>
      <w:r w:rsidR="00CD026B">
        <w:rPr>
          <w:rFonts w:ascii="Times New Roman" w:eastAsia="Calibri" w:hAnsi="Times New Roman"/>
          <w:sz w:val="22"/>
          <w:szCs w:val="22"/>
        </w:rPr>
        <w:t>15</w:t>
      </w:r>
      <w:r w:rsidR="0030537C" w:rsidRPr="000C59B6">
        <w:rPr>
          <w:rFonts w:ascii="Times New Roman" w:eastAsia="Calibri" w:hAnsi="Times New Roman"/>
          <w:sz w:val="22"/>
          <w:szCs w:val="22"/>
        </w:rPr>
        <w:t xml:space="preserve"> for a total cost of $5</w:t>
      </w:r>
      <w:r w:rsidR="00CD026B">
        <w:rPr>
          <w:rFonts w:ascii="Times New Roman" w:eastAsia="Calibri" w:hAnsi="Times New Roman"/>
          <w:sz w:val="22"/>
          <w:szCs w:val="22"/>
        </w:rPr>
        <w:t>2</w:t>
      </w:r>
      <w:r w:rsidRPr="000C59B6">
        <w:rPr>
          <w:rFonts w:ascii="Times New Roman" w:eastAsia="Calibri" w:hAnsi="Times New Roman"/>
          <w:sz w:val="22"/>
          <w:szCs w:val="22"/>
        </w:rPr>
        <w:t>.</w:t>
      </w:r>
      <w:r w:rsidR="00CD026B">
        <w:rPr>
          <w:rFonts w:ascii="Times New Roman" w:eastAsia="Calibri" w:hAnsi="Times New Roman"/>
          <w:sz w:val="22"/>
          <w:szCs w:val="22"/>
        </w:rPr>
        <w:t>66</w:t>
      </w:r>
      <w:r w:rsidRPr="000C59B6">
        <w:rPr>
          <w:rFonts w:ascii="Times New Roman" w:eastAsia="Calibri" w:hAnsi="Times New Roman"/>
          <w:sz w:val="22"/>
          <w:szCs w:val="22"/>
        </w:rPr>
        <w:t xml:space="preserve">  See</w:t>
      </w:r>
      <w:r w:rsidR="00FF6408" w:rsidRPr="000C59B6">
        <w:rPr>
          <w:rFonts w:ascii="Times New Roman" w:eastAsia="Calibri" w:hAnsi="Times New Roman"/>
          <w:sz w:val="22"/>
          <w:szCs w:val="22"/>
        </w:rPr>
        <w:t xml:space="preserve"> </w:t>
      </w:r>
      <w:hyperlink r:id="rId12" w:history="1">
        <w:r w:rsidRPr="000C59B6">
          <w:rPr>
            <w:rFonts w:ascii="Times New Roman" w:eastAsia="Calibri" w:hAnsi="Times New Roman"/>
            <w:sz w:val="22"/>
            <w:szCs w:val="22"/>
          </w:rPr>
          <w:t>https://www.opm.gov/policy-data-oversight/pay-leave/salaries-wages/salary-tables/16Tables/html/RUS_h.aspx</w:t>
        </w:r>
      </w:hyperlink>
      <w:r w:rsidRPr="000C59B6">
        <w:rPr>
          <w:rFonts w:ascii="Times New Roman" w:eastAsia="Calibri" w:hAnsi="Times New Roman"/>
          <w:sz w:val="22"/>
          <w:szCs w:val="22"/>
        </w:rPr>
        <w:t xml:space="preserve">.  </w:t>
      </w:r>
    </w:p>
    <w:p w14:paraId="07547A01" w14:textId="77777777" w:rsidR="00667845" w:rsidRPr="000C59B6" w:rsidRDefault="00667845" w:rsidP="00CD7DDE">
      <w:pPr>
        <w:ind w:firstLine="720"/>
        <w:rPr>
          <w:sz w:val="22"/>
          <w:szCs w:val="22"/>
        </w:rPr>
      </w:pPr>
    </w:p>
    <w:p w14:paraId="1EF6CF0D" w14:textId="77777777" w:rsidR="006B099E" w:rsidRPr="000C59B6" w:rsidRDefault="00FF6408" w:rsidP="00D454A1">
      <w:pPr>
        <w:ind w:firstLine="720"/>
        <w:rPr>
          <w:sz w:val="22"/>
          <w:szCs w:val="22"/>
        </w:rPr>
      </w:pPr>
      <w:r w:rsidRPr="000C59B6">
        <w:rPr>
          <w:sz w:val="22"/>
          <w:szCs w:val="22"/>
        </w:rPr>
        <w:t>Therefore, the annual cost burden for modifying shapefiles in</w:t>
      </w:r>
      <w:r w:rsidR="006B099E" w:rsidRPr="000C59B6">
        <w:rPr>
          <w:sz w:val="22"/>
          <w:szCs w:val="22"/>
        </w:rPr>
        <w:t>-</w:t>
      </w:r>
      <w:r w:rsidRPr="000C59B6">
        <w:rPr>
          <w:sz w:val="22"/>
          <w:szCs w:val="22"/>
        </w:rPr>
        <w:t>house is:</w:t>
      </w:r>
      <w:r w:rsidRPr="000C59B6">
        <w:rPr>
          <w:sz w:val="22"/>
          <w:szCs w:val="22"/>
        </w:rPr>
        <w:br/>
      </w:r>
      <w:r w:rsidRPr="000C59B6">
        <w:rPr>
          <w:sz w:val="22"/>
          <w:szCs w:val="22"/>
        </w:rPr>
        <w:tab/>
      </w:r>
    </w:p>
    <w:p w14:paraId="14CE71BE" w14:textId="4EB16FD1" w:rsidR="00FF6408" w:rsidRPr="000C59B6" w:rsidRDefault="003724BC" w:rsidP="00D454A1">
      <w:pPr>
        <w:ind w:firstLine="720"/>
        <w:rPr>
          <w:sz w:val="22"/>
          <w:szCs w:val="22"/>
        </w:rPr>
      </w:pPr>
      <w:r w:rsidRPr="000C59B6">
        <w:rPr>
          <w:sz w:val="22"/>
          <w:szCs w:val="22"/>
        </w:rPr>
        <w:t>41</w:t>
      </w:r>
      <w:r w:rsidR="00FF6408" w:rsidRPr="000C59B6">
        <w:rPr>
          <w:sz w:val="22"/>
          <w:szCs w:val="22"/>
        </w:rPr>
        <w:t xml:space="preserve"> hours x </w:t>
      </w:r>
      <w:r w:rsidR="00052C20" w:rsidRPr="000C59B6">
        <w:rPr>
          <w:sz w:val="22"/>
          <w:szCs w:val="22"/>
        </w:rPr>
        <w:t xml:space="preserve">2 respondents x </w:t>
      </w:r>
      <w:r w:rsidR="00FF6408" w:rsidRPr="000C59B6">
        <w:rPr>
          <w:sz w:val="22"/>
          <w:szCs w:val="22"/>
        </w:rPr>
        <w:t>$</w:t>
      </w:r>
      <w:r w:rsidR="0030537C" w:rsidRPr="000C59B6">
        <w:rPr>
          <w:sz w:val="22"/>
          <w:szCs w:val="22"/>
        </w:rPr>
        <w:t>5</w:t>
      </w:r>
      <w:r w:rsidR="00CD026B">
        <w:rPr>
          <w:sz w:val="22"/>
          <w:szCs w:val="22"/>
        </w:rPr>
        <w:t>2</w:t>
      </w:r>
      <w:r w:rsidR="0030537C" w:rsidRPr="000C59B6">
        <w:rPr>
          <w:sz w:val="22"/>
          <w:szCs w:val="22"/>
        </w:rPr>
        <w:t>.</w:t>
      </w:r>
      <w:r w:rsidR="00CD026B">
        <w:rPr>
          <w:sz w:val="22"/>
          <w:szCs w:val="22"/>
        </w:rPr>
        <w:t>66</w:t>
      </w:r>
      <w:r w:rsidR="00FF6408" w:rsidRPr="000C59B6">
        <w:rPr>
          <w:sz w:val="22"/>
          <w:szCs w:val="22"/>
        </w:rPr>
        <w:t xml:space="preserve">/hour = </w:t>
      </w:r>
      <w:r w:rsidR="00FF6408" w:rsidRPr="000C59B6">
        <w:rPr>
          <w:b/>
          <w:sz w:val="22"/>
          <w:szCs w:val="22"/>
        </w:rPr>
        <w:t>$</w:t>
      </w:r>
      <w:r w:rsidRPr="000C59B6">
        <w:rPr>
          <w:b/>
          <w:sz w:val="22"/>
          <w:szCs w:val="22"/>
        </w:rPr>
        <w:t>4</w:t>
      </w:r>
      <w:r w:rsidR="00485363" w:rsidRPr="000C59B6">
        <w:rPr>
          <w:b/>
          <w:sz w:val="22"/>
          <w:szCs w:val="22"/>
        </w:rPr>
        <w:t>,</w:t>
      </w:r>
      <w:r w:rsidR="00CD026B">
        <w:rPr>
          <w:b/>
          <w:sz w:val="22"/>
          <w:szCs w:val="22"/>
        </w:rPr>
        <w:t>318</w:t>
      </w:r>
      <w:r w:rsidR="00FF6408" w:rsidRPr="000C59B6">
        <w:rPr>
          <w:b/>
          <w:sz w:val="22"/>
          <w:szCs w:val="22"/>
        </w:rPr>
        <w:t>.</w:t>
      </w:r>
    </w:p>
    <w:p w14:paraId="5043CB0F" w14:textId="77777777" w:rsidR="00DC50DD" w:rsidRPr="000C59B6" w:rsidRDefault="00DC50DD" w:rsidP="00D454A1">
      <w:pPr>
        <w:ind w:firstLine="720"/>
        <w:rPr>
          <w:b/>
          <w:sz w:val="22"/>
          <w:szCs w:val="22"/>
        </w:rPr>
      </w:pPr>
    </w:p>
    <w:p w14:paraId="44E871BC" w14:textId="42D6DF61" w:rsidR="003D46D7" w:rsidRPr="000C59B6" w:rsidRDefault="003D46D7" w:rsidP="19C747B1">
      <w:pPr>
        <w:ind w:firstLine="720"/>
        <w:rPr>
          <w:sz w:val="22"/>
          <w:szCs w:val="22"/>
        </w:rPr>
      </w:pPr>
    </w:p>
    <w:p w14:paraId="659907D9" w14:textId="77777777" w:rsidR="003964E4" w:rsidRPr="000C59B6" w:rsidRDefault="00AC1D6D" w:rsidP="00065C29">
      <w:pPr>
        <w:ind w:firstLine="720"/>
        <w:rPr>
          <w:sz w:val="22"/>
          <w:szCs w:val="22"/>
        </w:rPr>
      </w:pPr>
      <w:r w:rsidRPr="000C59B6">
        <w:rPr>
          <w:sz w:val="22"/>
          <w:szCs w:val="22"/>
        </w:rPr>
        <w:t xml:space="preserve">In addition to submitting any boundary modifications, </w:t>
      </w:r>
      <w:r w:rsidR="00027AFE" w:rsidRPr="000C59B6">
        <w:rPr>
          <w:sz w:val="22"/>
          <w:szCs w:val="22"/>
        </w:rPr>
        <w:t>all 747</w:t>
      </w:r>
      <w:r w:rsidR="003D46D7" w:rsidRPr="000C59B6">
        <w:rPr>
          <w:sz w:val="22"/>
          <w:szCs w:val="22"/>
        </w:rPr>
        <w:t xml:space="preserve"> ILEC</w:t>
      </w:r>
      <w:r w:rsidR="00467968" w:rsidRPr="000C59B6">
        <w:rPr>
          <w:sz w:val="22"/>
          <w:szCs w:val="22"/>
        </w:rPr>
        <w:t>s</w:t>
      </w:r>
      <w:r w:rsidR="003D46D7" w:rsidRPr="000C59B6">
        <w:rPr>
          <w:sz w:val="22"/>
          <w:szCs w:val="22"/>
        </w:rPr>
        <w:t xml:space="preserve"> </w:t>
      </w:r>
      <w:r w:rsidR="00467968" w:rsidRPr="000C59B6">
        <w:rPr>
          <w:sz w:val="22"/>
          <w:szCs w:val="22"/>
        </w:rPr>
        <w:t>are</w:t>
      </w:r>
      <w:r w:rsidRPr="000C59B6">
        <w:rPr>
          <w:sz w:val="22"/>
          <w:szCs w:val="22"/>
        </w:rPr>
        <w:t xml:space="preserve"> required </w:t>
      </w:r>
      <w:r w:rsidR="003D46D7" w:rsidRPr="000C59B6">
        <w:rPr>
          <w:sz w:val="22"/>
          <w:szCs w:val="22"/>
        </w:rPr>
        <w:t xml:space="preserve">certify the accuracy of </w:t>
      </w:r>
      <w:r w:rsidR="00FF6408" w:rsidRPr="000C59B6">
        <w:rPr>
          <w:sz w:val="22"/>
          <w:szCs w:val="22"/>
        </w:rPr>
        <w:t xml:space="preserve">their </w:t>
      </w:r>
      <w:r w:rsidR="003D46D7" w:rsidRPr="000C59B6">
        <w:rPr>
          <w:sz w:val="22"/>
          <w:szCs w:val="22"/>
        </w:rPr>
        <w:t xml:space="preserve">previously-submitted boundary shapefile every two years.  </w:t>
      </w:r>
      <w:r w:rsidRPr="000C59B6">
        <w:rPr>
          <w:sz w:val="22"/>
          <w:szCs w:val="22"/>
        </w:rPr>
        <w:t>We</w:t>
      </w:r>
      <w:r w:rsidR="000C48B3" w:rsidRPr="000C59B6">
        <w:rPr>
          <w:sz w:val="22"/>
          <w:szCs w:val="22"/>
        </w:rPr>
        <w:t xml:space="preserve"> consider this recertification </w:t>
      </w:r>
      <w:r w:rsidR="00E8777B" w:rsidRPr="000C59B6">
        <w:rPr>
          <w:sz w:val="22"/>
          <w:szCs w:val="22"/>
        </w:rPr>
        <w:t>–</w:t>
      </w:r>
      <w:r w:rsidR="000C48B3" w:rsidRPr="000C59B6">
        <w:rPr>
          <w:sz w:val="22"/>
          <w:szCs w:val="22"/>
        </w:rPr>
        <w:t xml:space="preserve"> </w:t>
      </w:r>
      <w:r w:rsidR="00FF6408" w:rsidRPr="000C59B6">
        <w:rPr>
          <w:sz w:val="22"/>
          <w:szCs w:val="22"/>
        </w:rPr>
        <w:t xml:space="preserve">which involves </w:t>
      </w:r>
      <w:r w:rsidR="00E8777B" w:rsidRPr="000C59B6">
        <w:rPr>
          <w:sz w:val="22"/>
          <w:szCs w:val="22"/>
        </w:rPr>
        <w:t xml:space="preserve">by </w:t>
      </w:r>
      <w:r w:rsidR="000C48B3" w:rsidRPr="000C59B6">
        <w:rPr>
          <w:sz w:val="22"/>
          <w:szCs w:val="22"/>
        </w:rPr>
        <w:t xml:space="preserve">either emailing a notification to Commission staff or </w:t>
      </w:r>
      <w:r w:rsidR="003964E4" w:rsidRPr="000C59B6">
        <w:rPr>
          <w:sz w:val="22"/>
          <w:szCs w:val="22"/>
        </w:rPr>
        <w:t>log</w:t>
      </w:r>
      <w:r w:rsidR="00E8777B" w:rsidRPr="000C59B6">
        <w:rPr>
          <w:sz w:val="22"/>
          <w:szCs w:val="22"/>
        </w:rPr>
        <w:t>ging</w:t>
      </w:r>
      <w:r w:rsidR="003964E4" w:rsidRPr="000C59B6">
        <w:rPr>
          <w:sz w:val="22"/>
          <w:szCs w:val="22"/>
        </w:rPr>
        <w:t xml:space="preserve"> on to the Commission’s study area </w:t>
      </w:r>
      <w:r w:rsidR="00E8777B" w:rsidRPr="000C59B6">
        <w:rPr>
          <w:sz w:val="22"/>
          <w:szCs w:val="22"/>
        </w:rPr>
        <w:t xml:space="preserve">boundary </w:t>
      </w:r>
      <w:r w:rsidR="003964E4" w:rsidRPr="000C59B6">
        <w:rPr>
          <w:sz w:val="22"/>
          <w:szCs w:val="22"/>
        </w:rPr>
        <w:t xml:space="preserve">website </w:t>
      </w:r>
      <w:r w:rsidR="000C48B3" w:rsidRPr="000C59B6">
        <w:rPr>
          <w:sz w:val="22"/>
          <w:szCs w:val="22"/>
        </w:rPr>
        <w:t>a</w:t>
      </w:r>
      <w:r w:rsidR="00E8777B" w:rsidRPr="000C59B6">
        <w:rPr>
          <w:sz w:val="22"/>
          <w:szCs w:val="22"/>
        </w:rPr>
        <w:t>nd certif</w:t>
      </w:r>
      <w:r w:rsidR="000C48B3" w:rsidRPr="000C59B6">
        <w:rPr>
          <w:sz w:val="22"/>
          <w:szCs w:val="22"/>
        </w:rPr>
        <w:t>ying</w:t>
      </w:r>
      <w:r w:rsidR="003964E4" w:rsidRPr="000C59B6">
        <w:rPr>
          <w:sz w:val="22"/>
          <w:szCs w:val="22"/>
        </w:rPr>
        <w:t xml:space="preserve"> the accuracy of </w:t>
      </w:r>
      <w:r w:rsidR="000C48B3" w:rsidRPr="000C59B6">
        <w:rPr>
          <w:sz w:val="22"/>
          <w:szCs w:val="22"/>
        </w:rPr>
        <w:t>the</w:t>
      </w:r>
      <w:r w:rsidR="003964E4" w:rsidRPr="000C59B6">
        <w:rPr>
          <w:sz w:val="22"/>
          <w:szCs w:val="22"/>
        </w:rPr>
        <w:t xml:space="preserve"> study area shapefile </w:t>
      </w:r>
      <w:r w:rsidR="00E8777B" w:rsidRPr="000C59B6">
        <w:rPr>
          <w:sz w:val="22"/>
          <w:szCs w:val="22"/>
        </w:rPr>
        <w:t xml:space="preserve">– </w:t>
      </w:r>
      <w:r w:rsidR="003964E4" w:rsidRPr="000C59B6">
        <w:rPr>
          <w:sz w:val="22"/>
          <w:szCs w:val="22"/>
        </w:rPr>
        <w:t>to</w:t>
      </w:r>
      <w:r w:rsidR="00E8777B" w:rsidRPr="000C59B6">
        <w:rPr>
          <w:sz w:val="22"/>
          <w:szCs w:val="22"/>
        </w:rPr>
        <w:t xml:space="preserve"> </w:t>
      </w:r>
      <w:r w:rsidR="003964E4" w:rsidRPr="000C59B6">
        <w:rPr>
          <w:sz w:val="22"/>
          <w:szCs w:val="22"/>
        </w:rPr>
        <w:t xml:space="preserve">be a normal business activity </w:t>
      </w:r>
      <w:r w:rsidRPr="000C59B6">
        <w:rPr>
          <w:sz w:val="22"/>
          <w:szCs w:val="22"/>
        </w:rPr>
        <w:t xml:space="preserve">and </w:t>
      </w:r>
      <w:r w:rsidR="003964E4" w:rsidRPr="000C59B6">
        <w:rPr>
          <w:sz w:val="22"/>
          <w:szCs w:val="22"/>
        </w:rPr>
        <w:t xml:space="preserve">of negligible burden.    </w:t>
      </w:r>
    </w:p>
    <w:p w14:paraId="144A5D23" w14:textId="77777777" w:rsidR="003964E4" w:rsidRPr="000C59B6" w:rsidRDefault="003964E4" w:rsidP="005F0D7B">
      <w:pPr>
        <w:rPr>
          <w:sz w:val="22"/>
          <w:szCs w:val="22"/>
        </w:rPr>
      </w:pPr>
    </w:p>
    <w:p w14:paraId="629A8EE7" w14:textId="77777777" w:rsidR="000C48B3" w:rsidRPr="000C59B6" w:rsidRDefault="005F0D7B" w:rsidP="000C48B3">
      <w:pPr>
        <w:pStyle w:val="cm2"/>
        <w:spacing w:line="240" w:lineRule="auto"/>
        <w:rPr>
          <w:rFonts w:ascii="Times New Roman" w:eastAsia="Calibri" w:hAnsi="Times New Roman"/>
          <w:sz w:val="22"/>
          <w:szCs w:val="22"/>
        </w:rPr>
      </w:pPr>
      <w:r w:rsidRPr="000C59B6">
        <w:rPr>
          <w:rStyle w:val="BodyTextChar"/>
          <w:rFonts w:ascii="Times New Roman" w:hAnsi="Times New Roman"/>
          <w:sz w:val="22"/>
          <w:szCs w:val="22"/>
        </w:rPr>
        <w:t>13.</w:t>
      </w:r>
      <w:r w:rsidR="000C48B3" w:rsidRPr="000C59B6">
        <w:rPr>
          <w:rStyle w:val="BodyTextChar"/>
          <w:rFonts w:ascii="Times New Roman" w:hAnsi="Times New Roman"/>
          <w:sz w:val="22"/>
          <w:szCs w:val="22"/>
        </w:rPr>
        <w:t xml:space="preserve"> </w:t>
      </w:r>
      <w:r w:rsidRPr="000C59B6">
        <w:rPr>
          <w:rStyle w:val="BodyTextChar"/>
          <w:rFonts w:ascii="Times New Roman" w:hAnsi="Times New Roman"/>
          <w:sz w:val="22"/>
          <w:szCs w:val="22"/>
        </w:rPr>
        <w:t xml:space="preserve"> </w:t>
      </w:r>
      <w:r w:rsidR="000C48B3" w:rsidRPr="000C59B6">
        <w:rPr>
          <w:rFonts w:ascii="Times New Roman" w:eastAsia="Calibri" w:hAnsi="Times New Roman"/>
          <w:sz w:val="22"/>
          <w:szCs w:val="22"/>
        </w:rPr>
        <w:t xml:space="preserve">ILECs have already undertaken the initial filing burden associated with this information collection: creating and submitting GIS esri shapefiles of their study area boundaries.  Therefore, the </w:t>
      </w:r>
      <w:r w:rsidR="008E5039" w:rsidRPr="000C59B6">
        <w:rPr>
          <w:rFonts w:ascii="Times New Roman" w:eastAsia="Calibri" w:hAnsi="Times New Roman"/>
          <w:sz w:val="22"/>
          <w:szCs w:val="22"/>
        </w:rPr>
        <w:t>additional</w:t>
      </w:r>
      <w:r w:rsidR="000C48B3" w:rsidRPr="000C59B6">
        <w:rPr>
          <w:rFonts w:ascii="Times New Roman" w:eastAsia="Calibri" w:hAnsi="Times New Roman"/>
          <w:sz w:val="22"/>
          <w:szCs w:val="22"/>
        </w:rPr>
        <w:t xml:space="preserve"> </w:t>
      </w:r>
      <w:r w:rsidR="00782042" w:rsidRPr="000C59B6">
        <w:rPr>
          <w:rFonts w:ascii="Times New Roman" w:eastAsia="Calibri" w:hAnsi="Times New Roman"/>
          <w:sz w:val="22"/>
          <w:szCs w:val="22"/>
        </w:rPr>
        <w:t xml:space="preserve">cost </w:t>
      </w:r>
      <w:r w:rsidR="000C48B3" w:rsidRPr="000C59B6">
        <w:rPr>
          <w:rFonts w:ascii="Times New Roman" w:eastAsia="Calibri" w:hAnsi="Times New Roman"/>
          <w:sz w:val="22"/>
          <w:szCs w:val="22"/>
        </w:rPr>
        <w:t>burden estimate</w:t>
      </w:r>
      <w:r w:rsidR="008E5039" w:rsidRPr="000C59B6">
        <w:rPr>
          <w:rFonts w:ascii="Times New Roman" w:eastAsia="Calibri" w:hAnsi="Times New Roman"/>
          <w:sz w:val="22"/>
          <w:szCs w:val="22"/>
        </w:rPr>
        <w:t>d here</w:t>
      </w:r>
      <w:r w:rsidR="000C48B3" w:rsidRPr="000C59B6">
        <w:rPr>
          <w:rFonts w:ascii="Times New Roman" w:eastAsia="Calibri" w:hAnsi="Times New Roman"/>
          <w:sz w:val="22"/>
          <w:szCs w:val="22"/>
        </w:rPr>
        <w:t xml:space="preserve"> for the extension of this collection focuses on the ongoing task </w:t>
      </w:r>
      <w:r w:rsidR="00782042" w:rsidRPr="000C59B6">
        <w:rPr>
          <w:rFonts w:ascii="Times New Roman" w:eastAsia="Calibri" w:hAnsi="Times New Roman"/>
          <w:sz w:val="22"/>
          <w:szCs w:val="22"/>
        </w:rPr>
        <w:t>of</w:t>
      </w:r>
      <w:r w:rsidR="000C48B3" w:rsidRPr="000C59B6">
        <w:rPr>
          <w:rFonts w:ascii="Times New Roman" w:eastAsia="Calibri" w:hAnsi="Times New Roman"/>
          <w:sz w:val="22"/>
          <w:szCs w:val="22"/>
        </w:rPr>
        <w:t xml:space="preserve"> </w:t>
      </w:r>
      <w:r w:rsidR="00782042" w:rsidRPr="000C59B6">
        <w:rPr>
          <w:rFonts w:ascii="Times New Roman" w:eastAsia="Calibri" w:hAnsi="Times New Roman"/>
          <w:sz w:val="22"/>
          <w:szCs w:val="22"/>
        </w:rPr>
        <w:t>hiring contractors to modify study area boundary shapefiles</w:t>
      </w:r>
      <w:r w:rsidR="000C48B3" w:rsidRPr="000C59B6">
        <w:rPr>
          <w:rFonts w:ascii="Times New Roman" w:eastAsia="Calibri" w:hAnsi="Times New Roman"/>
          <w:sz w:val="22"/>
          <w:szCs w:val="22"/>
        </w:rPr>
        <w:t>.</w:t>
      </w:r>
    </w:p>
    <w:p w14:paraId="738610EB" w14:textId="77777777" w:rsidR="00FF6408" w:rsidRPr="000C59B6" w:rsidRDefault="00FF6408" w:rsidP="000C48B3">
      <w:pPr>
        <w:pStyle w:val="cm2"/>
        <w:spacing w:line="240" w:lineRule="auto"/>
        <w:rPr>
          <w:rFonts w:ascii="Times New Roman" w:eastAsia="Calibri" w:hAnsi="Times New Roman"/>
          <w:sz w:val="22"/>
          <w:szCs w:val="22"/>
        </w:rPr>
      </w:pPr>
    </w:p>
    <w:p w14:paraId="637805D2" w14:textId="77777777" w:rsidR="008E5039" w:rsidRPr="000C59B6" w:rsidRDefault="008E5039" w:rsidP="00D454A1">
      <w:pPr>
        <w:pStyle w:val="cm2"/>
        <w:spacing w:line="240" w:lineRule="auto"/>
        <w:ind w:firstLine="720"/>
        <w:rPr>
          <w:rStyle w:val="BodyTextChar"/>
          <w:rFonts w:ascii="Times New Roman" w:hAnsi="Times New Roman"/>
          <w:sz w:val="22"/>
          <w:szCs w:val="22"/>
        </w:rPr>
      </w:pPr>
    </w:p>
    <w:p w14:paraId="1F4FCCD4" w14:textId="77777777" w:rsidR="00E8777B" w:rsidRPr="000C59B6" w:rsidRDefault="000C48B3" w:rsidP="00D454A1">
      <w:pPr>
        <w:pStyle w:val="cm2"/>
        <w:spacing w:line="240" w:lineRule="auto"/>
        <w:ind w:firstLine="720"/>
        <w:rPr>
          <w:rFonts w:ascii="Times New Roman" w:hAnsi="Times New Roman"/>
          <w:i/>
          <w:sz w:val="22"/>
          <w:szCs w:val="22"/>
        </w:rPr>
      </w:pPr>
      <w:r w:rsidRPr="000C59B6">
        <w:rPr>
          <w:rStyle w:val="BodyTextChar"/>
          <w:rFonts w:ascii="Times New Roman" w:hAnsi="Times New Roman"/>
          <w:sz w:val="22"/>
          <w:szCs w:val="22"/>
        </w:rPr>
        <w:t>If an ILEC</w:t>
      </w:r>
      <w:r w:rsidR="00782042" w:rsidRPr="000C59B6">
        <w:rPr>
          <w:rStyle w:val="BodyTextChar"/>
          <w:rFonts w:ascii="Times New Roman" w:hAnsi="Times New Roman"/>
          <w:sz w:val="22"/>
          <w:szCs w:val="22"/>
        </w:rPr>
        <w:t xml:space="preserve"> hires a third-</w:t>
      </w:r>
      <w:r w:rsidR="00A204FF" w:rsidRPr="000C59B6">
        <w:rPr>
          <w:rStyle w:val="BodyTextChar"/>
          <w:rFonts w:ascii="Times New Roman" w:hAnsi="Times New Roman"/>
          <w:sz w:val="22"/>
          <w:szCs w:val="22"/>
        </w:rPr>
        <w:t xml:space="preserve">party contractor to modify its </w:t>
      </w:r>
      <w:r w:rsidRPr="000C59B6">
        <w:rPr>
          <w:rStyle w:val="BodyTextChar"/>
          <w:rFonts w:ascii="Times New Roman" w:hAnsi="Times New Roman"/>
          <w:sz w:val="22"/>
          <w:szCs w:val="22"/>
        </w:rPr>
        <w:t xml:space="preserve">study area boundary, we estimate the ILEC will spend </w:t>
      </w:r>
      <w:r w:rsidR="00A204FF" w:rsidRPr="000C59B6">
        <w:rPr>
          <w:rStyle w:val="BodyTextChar"/>
          <w:rFonts w:ascii="Times New Roman" w:hAnsi="Times New Roman"/>
          <w:sz w:val="22"/>
          <w:szCs w:val="22"/>
        </w:rPr>
        <w:t xml:space="preserve">approximately </w:t>
      </w:r>
      <w:r w:rsidRPr="000C59B6">
        <w:rPr>
          <w:rStyle w:val="BodyTextChar"/>
          <w:rFonts w:ascii="Times New Roman" w:hAnsi="Times New Roman"/>
          <w:sz w:val="22"/>
          <w:szCs w:val="22"/>
        </w:rPr>
        <w:t>$</w:t>
      </w:r>
      <w:r w:rsidR="00EB3281" w:rsidRPr="000C59B6">
        <w:rPr>
          <w:rStyle w:val="BodyTextChar"/>
          <w:rFonts w:ascii="Times New Roman" w:hAnsi="Times New Roman"/>
          <w:sz w:val="22"/>
          <w:szCs w:val="22"/>
        </w:rPr>
        <w:t>90</w:t>
      </w:r>
      <w:r w:rsidRPr="000C59B6">
        <w:rPr>
          <w:rStyle w:val="BodyTextChar"/>
          <w:rFonts w:ascii="Times New Roman" w:hAnsi="Times New Roman"/>
          <w:sz w:val="22"/>
          <w:szCs w:val="22"/>
        </w:rPr>
        <w:t xml:space="preserve">.00 per hour </w:t>
      </w:r>
      <w:r w:rsidR="00E8777B" w:rsidRPr="000C59B6">
        <w:rPr>
          <w:rStyle w:val="BodyTextChar"/>
          <w:rFonts w:ascii="Times New Roman" w:hAnsi="Times New Roman"/>
          <w:sz w:val="22"/>
          <w:szCs w:val="22"/>
        </w:rPr>
        <w:t>for t</w:t>
      </w:r>
      <w:r w:rsidR="00A204FF" w:rsidRPr="000C59B6">
        <w:rPr>
          <w:rStyle w:val="BodyTextChar"/>
          <w:rFonts w:ascii="Times New Roman" w:hAnsi="Times New Roman"/>
          <w:sz w:val="22"/>
          <w:szCs w:val="22"/>
        </w:rPr>
        <w:t>his work</w:t>
      </w:r>
      <w:r w:rsidR="00E8777B" w:rsidRPr="000C59B6">
        <w:rPr>
          <w:rStyle w:val="BodyTextChar"/>
          <w:rFonts w:ascii="Times New Roman" w:hAnsi="Times New Roman"/>
          <w:sz w:val="22"/>
          <w:szCs w:val="22"/>
        </w:rPr>
        <w:t xml:space="preserve">.  </w:t>
      </w:r>
      <w:r w:rsidR="00EB3281" w:rsidRPr="000C59B6">
        <w:rPr>
          <w:rFonts w:ascii="Times New Roman" w:hAnsi="Times New Roman"/>
          <w:sz w:val="22"/>
          <w:szCs w:val="22"/>
        </w:rPr>
        <w:t>Sources show hourly GIS consultant charges from $69 to $110</w:t>
      </w:r>
      <w:r w:rsidR="00E8777B" w:rsidRPr="000C59B6">
        <w:rPr>
          <w:rFonts w:ascii="Times New Roman" w:hAnsi="Times New Roman"/>
          <w:sz w:val="22"/>
          <w:szCs w:val="22"/>
        </w:rPr>
        <w:t xml:space="preserve">.  </w:t>
      </w:r>
      <w:r w:rsidR="00E8777B" w:rsidRPr="000C59B6">
        <w:rPr>
          <w:rFonts w:ascii="Times New Roman" w:hAnsi="Times New Roman"/>
          <w:i/>
          <w:sz w:val="22"/>
          <w:szCs w:val="22"/>
        </w:rPr>
        <w:t>See</w:t>
      </w:r>
      <w:r w:rsidR="00EB3281" w:rsidRPr="000C59B6">
        <w:rPr>
          <w:rFonts w:ascii="Times New Roman" w:hAnsi="Times New Roman"/>
          <w:i/>
          <w:sz w:val="22"/>
          <w:szCs w:val="22"/>
        </w:rPr>
        <w:t xml:space="preserve"> </w:t>
      </w:r>
      <w:hyperlink r:id="rId13" w:history="1">
        <w:r w:rsidR="00EB3281" w:rsidRPr="000C59B6">
          <w:rPr>
            <w:rStyle w:val="Hyperlink"/>
            <w:rFonts w:ascii="Times New Roman" w:hAnsi="Times New Roman"/>
            <w:sz w:val="22"/>
            <w:szCs w:val="22"/>
          </w:rPr>
          <w:t>http://www.cio.nebraska.gov/sla/pdf/RPT5_WEB_RATES_PUBLISHED.pdf</w:t>
        </w:r>
      </w:hyperlink>
      <w:r w:rsidR="00EB3281" w:rsidRPr="000C59B6">
        <w:rPr>
          <w:rFonts w:ascii="Times New Roman" w:hAnsi="Times New Roman"/>
          <w:sz w:val="22"/>
          <w:szCs w:val="22"/>
        </w:rPr>
        <w:t xml:space="preserve"> (GIS consulting hourly rate of $</w:t>
      </w:r>
      <w:r w:rsidR="009C35E1" w:rsidRPr="000C59B6">
        <w:rPr>
          <w:rFonts w:ascii="Times New Roman" w:hAnsi="Times New Roman"/>
          <w:sz w:val="22"/>
          <w:szCs w:val="22"/>
        </w:rPr>
        <w:t>93</w:t>
      </w:r>
      <w:r w:rsidR="00EB3281" w:rsidRPr="000C59B6">
        <w:rPr>
          <w:rFonts w:ascii="Times New Roman" w:hAnsi="Times New Roman"/>
          <w:sz w:val="22"/>
          <w:szCs w:val="22"/>
        </w:rPr>
        <w:t xml:space="preserve">.50); </w:t>
      </w:r>
      <w:hyperlink r:id="rId14" w:history="1">
        <w:r w:rsidR="00EB3281" w:rsidRPr="000C59B6">
          <w:rPr>
            <w:rStyle w:val="Hyperlink"/>
            <w:rFonts w:ascii="Times New Roman" w:hAnsi="Times New Roman"/>
            <w:sz w:val="22"/>
            <w:szCs w:val="22"/>
          </w:rPr>
          <w:t>https://www.accenture.com/t20170306T211637Z__w__/us-en/_acnmedia/PDF-45/Accenture-Loaded-Labor-Rates.pdf</w:t>
        </w:r>
      </w:hyperlink>
      <w:r w:rsidR="00EB3281" w:rsidRPr="000C59B6">
        <w:rPr>
          <w:rFonts w:ascii="Times New Roman" w:hAnsi="Times New Roman"/>
          <w:sz w:val="22"/>
          <w:szCs w:val="22"/>
        </w:rPr>
        <w:t xml:space="preserve"> (GIS consulting hourly rates from $85.06</w:t>
      </w:r>
      <w:r w:rsidR="00A20295" w:rsidRPr="000C59B6">
        <w:rPr>
          <w:rFonts w:ascii="Times New Roman" w:hAnsi="Times New Roman"/>
          <w:sz w:val="22"/>
          <w:szCs w:val="22"/>
        </w:rPr>
        <w:t xml:space="preserve"> -</w:t>
      </w:r>
      <w:r w:rsidR="00EB3281" w:rsidRPr="000C59B6">
        <w:rPr>
          <w:rFonts w:ascii="Times New Roman" w:hAnsi="Times New Roman"/>
          <w:sz w:val="22"/>
          <w:szCs w:val="22"/>
        </w:rPr>
        <w:t>$110.65)</w:t>
      </w:r>
      <w:r w:rsidR="00A20295" w:rsidRPr="000C59B6">
        <w:rPr>
          <w:rFonts w:ascii="Times New Roman" w:hAnsi="Times New Roman"/>
          <w:sz w:val="22"/>
          <w:szCs w:val="22"/>
        </w:rPr>
        <w:t>.</w:t>
      </w:r>
      <w:r w:rsidR="00EB3281" w:rsidRPr="000C59B6">
        <w:rPr>
          <w:rFonts w:ascii="Times New Roman" w:hAnsi="Times New Roman"/>
          <w:sz w:val="22"/>
          <w:szCs w:val="22"/>
        </w:rPr>
        <w:t xml:space="preserve"> </w:t>
      </w:r>
    </w:p>
    <w:p w14:paraId="510C577A" w14:textId="77777777" w:rsidR="00AC1D6D" w:rsidRPr="000C59B6" w:rsidRDefault="00E8777B" w:rsidP="00E8777B">
      <w:pPr>
        <w:pStyle w:val="cm2"/>
        <w:rPr>
          <w:rFonts w:ascii="Times New Roman" w:hAnsi="Times New Roman"/>
          <w:sz w:val="22"/>
          <w:szCs w:val="22"/>
        </w:rPr>
      </w:pPr>
      <w:r w:rsidRPr="000C59B6">
        <w:rPr>
          <w:rFonts w:ascii="Times New Roman" w:hAnsi="Times New Roman"/>
          <w:sz w:val="22"/>
          <w:szCs w:val="22"/>
        </w:rPr>
        <w:t xml:space="preserve">      </w:t>
      </w:r>
    </w:p>
    <w:p w14:paraId="463F29E8" w14:textId="77777777" w:rsidR="00AC1D6D" w:rsidRPr="000C59B6" w:rsidRDefault="00AC1D6D" w:rsidP="00AC1D6D">
      <w:pPr>
        <w:pStyle w:val="cm2"/>
        <w:rPr>
          <w:rFonts w:ascii="Times New Roman" w:hAnsi="Times New Roman"/>
          <w:sz w:val="22"/>
          <w:szCs w:val="22"/>
        </w:rPr>
      </w:pPr>
    </w:p>
    <w:p w14:paraId="52E032F9" w14:textId="77777777" w:rsidR="00A204FF" w:rsidRPr="000C59B6" w:rsidRDefault="00A204FF" w:rsidP="00A204FF">
      <w:pPr>
        <w:pStyle w:val="cm2"/>
        <w:spacing w:line="240" w:lineRule="auto"/>
        <w:ind w:firstLine="720"/>
        <w:rPr>
          <w:rFonts w:ascii="Times New Roman" w:hAnsi="Times New Roman"/>
          <w:sz w:val="22"/>
          <w:szCs w:val="22"/>
        </w:rPr>
      </w:pPr>
      <w:r w:rsidRPr="000C59B6">
        <w:rPr>
          <w:rFonts w:ascii="Times New Roman" w:hAnsi="Times New Roman"/>
          <w:sz w:val="22"/>
          <w:szCs w:val="22"/>
        </w:rPr>
        <w:t xml:space="preserve">Therefore, the annual </w:t>
      </w:r>
      <w:r w:rsidR="00782042" w:rsidRPr="000C59B6">
        <w:rPr>
          <w:rFonts w:ascii="Times New Roman" w:hAnsi="Times New Roman"/>
          <w:sz w:val="22"/>
          <w:szCs w:val="22"/>
        </w:rPr>
        <w:t>cost</w:t>
      </w:r>
      <w:r w:rsidRPr="000C59B6">
        <w:rPr>
          <w:rFonts w:ascii="Times New Roman" w:hAnsi="Times New Roman"/>
          <w:sz w:val="22"/>
          <w:szCs w:val="22"/>
        </w:rPr>
        <w:t xml:space="preserve"> burden for contracting expenses for modifying shapefiles is:</w:t>
      </w:r>
    </w:p>
    <w:p w14:paraId="3B7B4B86" w14:textId="77777777" w:rsidR="00485363" w:rsidRPr="000C59B6" w:rsidRDefault="00485363" w:rsidP="00D454A1">
      <w:pPr>
        <w:pStyle w:val="cm2"/>
        <w:ind w:firstLine="720"/>
        <w:rPr>
          <w:rFonts w:ascii="Times New Roman" w:hAnsi="Times New Roman"/>
          <w:sz w:val="22"/>
          <w:szCs w:val="22"/>
        </w:rPr>
      </w:pPr>
    </w:p>
    <w:p w14:paraId="5D9D4870" w14:textId="77777777" w:rsidR="00A204FF" w:rsidRPr="000C59B6" w:rsidRDefault="00A204FF" w:rsidP="00D454A1">
      <w:pPr>
        <w:pStyle w:val="cm2"/>
        <w:ind w:firstLine="720"/>
        <w:rPr>
          <w:rFonts w:ascii="Times New Roman" w:hAnsi="Times New Roman"/>
          <w:sz w:val="22"/>
          <w:szCs w:val="22"/>
        </w:rPr>
      </w:pPr>
      <w:r w:rsidRPr="000C59B6">
        <w:rPr>
          <w:rFonts w:ascii="Times New Roman" w:hAnsi="Times New Roman"/>
          <w:sz w:val="22"/>
          <w:szCs w:val="22"/>
        </w:rPr>
        <w:t>41</w:t>
      </w:r>
      <w:r w:rsidR="00AC1D6D" w:rsidRPr="000C59B6">
        <w:rPr>
          <w:rFonts w:ascii="Times New Roman" w:hAnsi="Times New Roman"/>
          <w:sz w:val="22"/>
          <w:szCs w:val="22"/>
        </w:rPr>
        <w:t xml:space="preserve"> hours x $</w:t>
      </w:r>
      <w:r w:rsidR="00EB3281" w:rsidRPr="000C59B6">
        <w:rPr>
          <w:rFonts w:ascii="Times New Roman" w:hAnsi="Times New Roman"/>
          <w:sz w:val="22"/>
          <w:szCs w:val="22"/>
        </w:rPr>
        <w:t>9</w:t>
      </w:r>
      <w:r w:rsidR="00A20295" w:rsidRPr="000C59B6">
        <w:rPr>
          <w:rFonts w:ascii="Times New Roman" w:hAnsi="Times New Roman"/>
          <w:sz w:val="22"/>
          <w:szCs w:val="22"/>
        </w:rPr>
        <w:t>5</w:t>
      </w:r>
      <w:r w:rsidR="00AC1D6D" w:rsidRPr="000C59B6">
        <w:rPr>
          <w:rFonts w:ascii="Times New Roman" w:hAnsi="Times New Roman"/>
          <w:sz w:val="22"/>
          <w:szCs w:val="22"/>
        </w:rPr>
        <w:t>.00</w:t>
      </w:r>
      <w:r w:rsidR="00DB0635" w:rsidRPr="000C59B6">
        <w:rPr>
          <w:rFonts w:ascii="Times New Roman" w:hAnsi="Times New Roman"/>
          <w:sz w:val="22"/>
          <w:szCs w:val="22"/>
        </w:rPr>
        <w:t>/per hour</w:t>
      </w:r>
      <w:r w:rsidR="00AC1D6D" w:rsidRPr="000C59B6">
        <w:rPr>
          <w:rFonts w:ascii="Times New Roman" w:hAnsi="Times New Roman"/>
          <w:sz w:val="22"/>
          <w:szCs w:val="22"/>
        </w:rPr>
        <w:t xml:space="preserve"> = </w:t>
      </w:r>
      <w:r w:rsidR="00AC1D6D" w:rsidRPr="000C59B6">
        <w:rPr>
          <w:rFonts w:ascii="Times New Roman" w:hAnsi="Times New Roman"/>
          <w:b/>
          <w:sz w:val="22"/>
          <w:szCs w:val="22"/>
          <w:u w:val="single"/>
        </w:rPr>
        <w:t>$</w:t>
      </w:r>
      <w:r w:rsidRPr="000C59B6">
        <w:rPr>
          <w:rFonts w:ascii="Times New Roman" w:hAnsi="Times New Roman"/>
          <w:b/>
          <w:sz w:val="22"/>
          <w:szCs w:val="22"/>
          <w:u w:val="single"/>
        </w:rPr>
        <w:t>3,</w:t>
      </w:r>
      <w:r w:rsidR="00A20295" w:rsidRPr="000C59B6">
        <w:rPr>
          <w:rFonts w:ascii="Times New Roman" w:hAnsi="Times New Roman"/>
          <w:b/>
          <w:sz w:val="22"/>
          <w:szCs w:val="22"/>
          <w:u w:val="single"/>
        </w:rPr>
        <w:t>895</w:t>
      </w:r>
      <w:r w:rsidR="00AC1D6D" w:rsidRPr="000C59B6">
        <w:rPr>
          <w:rFonts w:ascii="Times New Roman" w:hAnsi="Times New Roman"/>
          <w:b/>
          <w:sz w:val="22"/>
          <w:szCs w:val="22"/>
          <w:u w:val="single"/>
        </w:rPr>
        <w:t>.00</w:t>
      </w:r>
      <w:r w:rsidR="00AC1D6D" w:rsidRPr="000C59B6">
        <w:rPr>
          <w:rFonts w:ascii="Times New Roman" w:hAnsi="Times New Roman"/>
          <w:sz w:val="22"/>
          <w:szCs w:val="22"/>
        </w:rPr>
        <w:t>.</w:t>
      </w:r>
    </w:p>
    <w:p w14:paraId="3A0FF5F2" w14:textId="77777777" w:rsidR="004D703F" w:rsidRPr="000C59B6" w:rsidRDefault="004D703F" w:rsidP="005F0D7B">
      <w:pPr>
        <w:rPr>
          <w:sz w:val="22"/>
          <w:szCs w:val="22"/>
        </w:rPr>
      </w:pPr>
    </w:p>
    <w:p w14:paraId="01EC0EF9" w14:textId="77777777" w:rsidR="005F0D7B" w:rsidRPr="000C59B6" w:rsidRDefault="005F0D7B" w:rsidP="005F0D7B">
      <w:pPr>
        <w:rPr>
          <w:sz w:val="22"/>
          <w:szCs w:val="22"/>
        </w:rPr>
      </w:pPr>
      <w:r w:rsidRPr="000C59B6">
        <w:rPr>
          <w:sz w:val="22"/>
          <w:szCs w:val="22"/>
        </w:rPr>
        <w:t>14.  The costs to the federal government for the initi</w:t>
      </w:r>
      <w:r w:rsidR="00E8777B" w:rsidRPr="000C59B6">
        <w:rPr>
          <w:sz w:val="22"/>
          <w:szCs w:val="22"/>
        </w:rPr>
        <w:t>al collection of the study area boundary</w:t>
      </w:r>
      <w:r w:rsidRPr="000C59B6">
        <w:rPr>
          <w:sz w:val="22"/>
          <w:szCs w:val="22"/>
        </w:rPr>
        <w:t xml:space="preserve"> far exceed the costs for keeping the shapefiles accurate and up-to-date after they are collected.  </w:t>
      </w:r>
    </w:p>
    <w:p w14:paraId="5630AD66" w14:textId="77777777" w:rsidR="005F0D7B" w:rsidRPr="000C59B6" w:rsidRDefault="005F0D7B" w:rsidP="005F0D7B">
      <w:pPr>
        <w:pStyle w:val="cm2"/>
        <w:rPr>
          <w:rFonts w:ascii="Times New Roman" w:hAnsi="Times New Roman"/>
          <w:sz w:val="22"/>
          <w:szCs w:val="22"/>
        </w:rPr>
      </w:pPr>
      <w:r w:rsidRPr="000C59B6">
        <w:rPr>
          <w:rFonts w:ascii="Times New Roman" w:hAnsi="Times New Roman"/>
          <w:sz w:val="22"/>
          <w:szCs w:val="22"/>
        </w:rPr>
        <w:tab/>
      </w:r>
    </w:p>
    <w:p w14:paraId="1AABDFAB" w14:textId="17DAFB5D" w:rsidR="005F0D7B" w:rsidRPr="000C59B6" w:rsidRDefault="005F0D7B" w:rsidP="00A32C6B">
      <w:pPr>
        <w:rPr>
          <w:sz w:val="22"/>
          <w:szCs w:val="22"/>
        </w:rPr>
      </w:pPr>
      <w:r w:rsidRPr="000C59B6">
        <w:rPr>
          <w:sz w:val="22"/>
          <w:szCs w:val="22"/>
        </w:rPr>
        <w:tab/>
      </w:r>
      <w:r w:rsidR="00DB0635" w:rsidRPr="000C59B6">
        <w:rPr>
          <w:sz w:val="22"/>
          <w:szCs w:val="22"/>
        </w:rPr>
        <w:t>The</w:t>
      </w:r>
      <w:r w:rsidRPr="000C59B6">
        <w:rPr>
          <w:sz w:val="22"/>
          <w:szCs w:val="22"/>
        </w:rPr>
        <w:t xml:space="preserve"> work </w:t>
      </w:r>
      <w:r w:rsidR="00E8777B" w:rsidRPr="000C59B6">
        <w:rPr>
          <w:sz w:val="22"/>
          <w:szCs w:val="22"/>
        </w:rPr>
        <w:t xml:space="preserve">of </w:t>
      </w:r>
      <w:r w:rsidR="00DB0635" w:rsidRPr="000C59B6">
        <w:rPr>
          <w:sz w:val="22"/>
          <w:szCs w:val="22"/>
        </w:rPr>
        <w:t>processing</w:t>
      </w:r>
      <w:r w:rsidR="00E8777B" w:rsidRPr="000C59B6">
        <w:rPr>
          <w:sz w:val="22"/>
          <w:szCs w:val="22"/>
        </w:rPr>
        <w:t xml:space="preserve"> the</w:t>
      </w:r>
      <w:r w:rsidR="00DB0635" w:rsidRPr="000C59B6">
        <w:rPr>
          <w:sz w:val="22"/>
          <w:szCs w:val="22"/>
        </w:rPr>
        <w:t xml:space="preserve"> submitted study area boundary updates, maintaining the data, and updating the online study area boundary map</w:t>
      </w:r>
      <w:r w:rsidR="00E8777B" w:rsidRPr="000C59B6">
        <w:rPr>
          <w:sz w:val="22"/>
          <w:szCs w:val="22"/>
        </w:rPr>
        <w:t xml:space="preserve"> </w:t>
      </w:r>
      <w:r w:rsidR="00DB0635" w:rsidRPr="000C59B6">
        <w:rPr>
          <w:sz w:val="22"/>
          <w:szCs w:val="22"/>
        </w:rPr>
        <w:t xml:space="preserve">takes approximately 24 hours each year.  This work is </w:t>
      </w:r>
      <w:r w:rsidRPr="000C59B6">
        <w:rPr>
          <w:sz w:val="22"/>
          <w:szCs w:val="22"/>
        </w:rPr>
        <w:t>performed by a GS 14 Geospatial Data Specialist</w:t>
      </w:r>
      <w:r w:rsidR="00A20295" w:rsidRPr="000C59B6">
        <w:rPr>
          <w:sz w:val="22"/>
          <w:szCs w:val="22"/>
        </w:rPr>
        <w:t xml:space="preserve">. The </w:t>
      </w:r>
      <w:r w:rsidRPr="000C59B6">
        <w:rPr>
          <w:sz w:val="22"/>
          <w:szCs w:val="22"/>
        </w:rPr>
        <w:t>base hour</w:t>
      </w:r>
      <w:r w:rsidR="00DB0635" w:rsidRPr="000C59B6">
        <w:rPr>
          <w:sz w:val="22"/>
          <w:szCs w:val="22"/>
        </w:rPr>
        <w:t>ly rate of a GS 14 step 5 is $5</w:t>
      </w:r>
      <w:r w:rsidR="00CD026B">
        <w:rPr>
          <w:sz w:val="22"/>
          <w:szCs w:val="22"/>
        </w:rPr>
        <w:t>6</w:t>
      </w:r>
      <w:r w:rsidR="00DB0635" w:rsidRPr="000C59B6">
        <w:rPr>
          <w:sz w:val="22"/>
          <w:szCs w:val="22"/>
        </w:rPr>
        <w:t>.</w:t>
      </w:r>
      <w:r w:rsidR="00A20295" w:rsidRPr="000C59B6">
        <w:rPr>
          <w:sz w:val="22"/>
          <w:szCs w:val="22"/>
        </w:rPr>
        <w:t>9</w:t>
      </w:r>
      <w:r w:rsidR="00CD026B">
        <w:rPr>
          <w:sz w:val="22"/>
          <w:szCs w:val="22"/>
        </w:rPr>
        <w:t>2</w:t>
      </w:r>
      <w:r w:rsidR="00A20295" w:rsidRPr="000C59B6">
        <w:rPr>
          <w:sz w:val="22"/>
          <w:szCs w:val="22"/>
        </w:rPr>
        <w:t xml:space="preserve"> plus overhead cost of $1</w:t>
      </w:r>
      <w:r w:rsidR="00CD026B">
        <w:rPr>
          <w:sz w:val="22"/>
          <w:szCs w:val="22"/>
        </w:rPr>
        <w:t>7</w:t>
      </w:r>
      <w:r w:rsidR="00A20295" w:rsidRPr="000C59B6">
        <w:rPr>
          <w:sz w:val="22"/>
          <w:szCs w:val="22"/>
        </w:rPr>
        <w:t>.</w:t>
      </w:r>
      <w:r w:rsidR="00CD026B">
        <w:rPr>
          <w:sz w:val="22"/>
          <w:szCs w:val="22"/>
        </w:rPr>
        <w:t>08</w:t>
      </w:r>
      <w:r w:rsidR="00A20295" w:rsidRPr="000C59B6">
        <w:rPr>
          <w:sz w:val="22"/>
          <w:szCs w:val="22"/>
        </w:rPr>
        <w:t xml:space="preserve"> for a total expense per hour of $7</w:t>
      </w:r>
      <w:r w:rsidR="00CD026B">
        <w:rPr>
          <w:sz w:val="22"/>
          <w:szCs w:val="22"/>
        </w:rPr>
        <w:t>4</w:t>
      </w:r>
      <w:r w:rsidRPr="000C59B6">
        <w:rPr>
          <w:sz w:val="22"/>
          <w:szCs w:val="22"/>
        </w:rPr>
        <w:t>.</w:t>
      </w:r>
      <w:r w:rsidR="00CD026B">
        <w:rPr>
          <w:sz w:val="22"/>
          <w:szCs w:val="22"/>
        </w:rPr>
        <w:t>00</w:t>
      </w:r>
      <w:r w:rsidR="00A20295" w:rsidRPr="000C59B6">
        <w:rPr>
          <w:sz w:val="22"/>
          <w:szCs w:val="22"/>
        </w:rPr>
        <w:t xml:space="preserve">. </w:t>
      </w:r>
      <w:r w:rsidRPr="000C59B6">
        <w:rPr>
          <w:sz w:val="22"/>
          <w:szCs w:val="22"/>
        </w:rPr>
        <w:t xml:space="preserve">See </w:t>
      </w:r>
    </w:p>
    <w:p w14:paraId="40E5BC48" w14:textId="77777777" w:rsidR="005F0D7B" w:rsidRPr="000C59B6" w:rsidRDefault="004F667C" w:rsidP="005F0D7B">
      <w:pPr>
        <w:rPr>
          <w:sz w:val="22"/>
          <w:szCs w:val="22"/>
        </w:rPr>
      </w:pPr>
      <w:hyperlink r:id="rId15" w:history="1">
        <w:r w:rsidR="00DB0635" w:rsidRPr="000C59B6">
          <w:rPr>
            <w:sz w:val="22"/>
            <w:szCs w:val="22"/>
          </w:rPr>
          <w:t>https://www.opm.gov/policy-data-oversight/pay-leave/salaries-wages/salary-tables/16Tables/html/RUS_h.aspx</w:t>
        </w:r>
      </w:hyperlink>
      <w:r w:rsidR="005F0D7B" w:rsidRPr="000C59B6">
        <w:rPr>
          <w:sz w:val="22"/>
          <w:szCs w:val="22"/>
        </w:rPr>
        <w:t xml:space="preserve">.  </w:t>
      </w:r>
      <w:r w:rsidR="00672567" w:rsidRPr="000C59B6">
        <w:rPr>
          <w:sz w:val="22"/>
          <w:szCs w:val="22"/>
        </w:rPr>
        <w:t>8</w:t>
      </w:r>
    </w:p>
    <w:p w14:paraId="61829076" w14:textId="77777777" w:rsidR="005F0D7B" w:rsidRPr="000C59B6" w:rsidRDefault="005F0D7B" w:rsidP="005F0D7B">
      <w:pPr>
        <w:rPr>
          <w:sz w:val="22"/>
          <w:szCs w:val="22"/>
        </w:rPr>
      </w:pPr>
    </w:p>
    <w:p w14:paraId="0A20F979" w14:textId="07AAAE8D" w:rsidR="00485363" w:rsidRPr="000C59B6" w:rsidRDefault="00DB0635" w:rsidP="00A32C6B">
      <w:pPr>
        <w:rPr>
          <w:sz w:val="22"/>
          <w:szCs w:val="22"/>
        </w:rPr>
      </w:pPr>
      <w:r w:rsidRPr="000C59B6">
        <w:rPr>
          <w:sz w:val="22"/>
          <w:szCs w:val="22"/>
        </w:rPr>
        <w:t>The annual cost to the federal government</w:t>
      </w:r>
      <w:r w:rsidR="00A20295" w:rsidRPr="000C59B6">
        <w:rPr>
          <w:sz w:val="22"/>
          <w:szCs w:val="22"/>
        </w:rPr>
        <w:t xml:space="preserve"> </w:t>
      </w:r>
      <w:r w:rsidR="00A20295" w:rsidRPr="000C59B6">
        <w:rPr>
          <w:b/>
          <w:sz w:val="22"/>
          <w:szCs w:val="22"/>
        </w:rPr>
        <w:t>is $1</w:t>
      </w:r>
      <w:r w:rsidR="00BE59F5">
        <w:rPr>
          <w:b/>
          <w:sz w:val="22"/>
          <w:szCs w:val="22"/>
        </w:rPr>
        <w:t>,</w:t>
      </w:r>
      <w:r w:rsidR="00A20295" w:rsidRPr="000C59B6">
        <w:rPr>
          <w:b/>
          <w:sz w:val="22"/>
          <w:szCs w:val="22"/>
        </w:rPr>
        <w:t>7</w:t>
      </w:r>
      <w:r w:rsidR="00CD026B">
        <w:rPr>
          <w:b/>
          <w:sz w:val="22"/>
          <w:szCs w:val="22"/>
        </w:rPr>
        <w:t>76</w:t>
      </w:r>
      <w:r w:rsidR="008866EA" w:rsidRPr="000C59B6">
        <w:rPr>
          <w:sz w:val="22"/>
          <w:szCs w:val="22"/>
        </w:rPr>
        <w:t>.</w:t>
      </w:r>
      <w:r w:rsidRPr="000C59B6">
        <w:rPr>
          <w:sz w:val="22"/>
          <w:szCs w:val="22"/>
        </w:rPr>
        <w:br/>
      </w:r>
    </w:p>
    <w:p w14:paraId="51168BDD" w14:textId="2931480A" w:rsidR="005F0D7B" w:rsidRPr="000C59B6" w:rsidRDefault="00DB0635" w:rsidP="008866EA">
      <w:pPr>
        <w:ind w:firstLine="720"/>
        <w:rPr>
          <w:sz w:val="22"/>
          <w:szCs w:val="22"/>
        </w:rPr>
      </w:pPr>
      <w:r w:rsidRPr="000C59B6">
        <w:rPr>
          <w:sz w:val="22"/>
          <w:szCs w:val="22"/>
        </w:rPr>
        <w:t>24 hours x $</w:t>
      </w:r>
      <w:r w:rsidR="00A20295" w:rsidRPr="000C59B6">
        <w:rPr>
          <w:sz w:val="22"/>
          <w:szCs w:val="22"/>
        </w:rPr>
        <w:t>7</w:t>
      </w:r>
      <w:r w:rsidR="00CD026B">
        <w:rPr>
          <w:sz w:val="22"/>
          <w:szCs w:val="22"/>
        </w:rPr>
        <w:t>4</w:t>
      </w:r>
      <w:r w:rsidRPr="000C59B6">
        <w:rPr>
          <w:sz w:val="22"/>
          <w:szCs w:val="22"/>
        </w:rPr>
        <w:t>.</w:t>
      </w:r>
      <w:r w:rsidR="00CD026B">
        <w:rPr>
          <w:sz w:val="22"/>
          <w:szCs w:val="22"/>
        </w:rPr>
        <w:t>00</w:t>
      </w:r>
      <w:r w:rsidRPr="000C59B6">
        <w:rPr>
          <w:sz w:val="22"/>
          <w:szCs w:val="22"/>
        </w:rPr>
        <w:t xml:space="preserve">/hour = </w:t>
      </w:r>
      <w:r w:rsidR="004C5568" w:rsidRPr="000C59B6">
        <w:rPr>
          <w:sz w:val="22"/>
          <w:szCs w:val="22"/>
        </w:rPr>
        <w:t>$1</w:t>
      </w:r>
      <w:r w:rsidR="00485363" w:rsidRPr="000C59B6">
        <w:rPr>
          <w:sz w:val="22"/>
          <w:szCs w:val="22"/>
        </w:rPr>
        <w:t>,</w:t>
      </w:r>
      <w:r w:rsidR="00A20295" w:rsidRPr="000C59B6">
        <w:rPr>
          <w:sz w:val="22"/>
          <w:szCs w:val="22"/>
        </w:rPr>
        <w:t>7</w:t>
      </w:r>
      <w:r w:rsidR="00CD026B">
        <w:rPr>
          <w:sz w:val="22"/>
          <w:szCs w:val="22"/>
        </w:rPr>
        <w:t>76</w:t>
      </w:r>
      <w:r w:rsidR="004C5568" w:rsidRPr="000C59B6">
        <w:rPr>
          <w:sz w:val="22"/>
          <w:szCs w:val="22"/>
        </w:rPr>
        <w:t>.</w:t>
      </w:r>
      <w:r w:rsidR="005F0D7B" w:rsidRPr="000C59B6">
        <w:rPr>
          <w:sz w:val="22"/>
          <w:szCs w:val="22"/>
        </w:rPr>
        <w:tab/>
      </w:r>
    </w:p>
    <w:p w14:paraId="2BA226A1" w14:textId="77777777" w:rsidR="004D703F" w:rsidRPr="000C59B6" w:rsidRDefault="004D703F" w:rsidP="005F0D7B">
      <w:pPr>
        <w:rPr>
          <w:sz w:val="22"/>
          <w:szCs w:val="22"/>
        </w:rPr>
      </w:pPr>
    </w:p>
    <w:p w14:paraId="2D4A5C72" w14:textId="46CF8E01" w:rsidR="005F0D7B" w:rsidRPr="000C59B6" w:rsidRDefault="19C747B1" w:rsidP="19C747B1">
      <w:pPr>
        <w:rPr>
          <w:sz w:val="22"/>
          <w:szCs w:val="22"/>
        </w:rPr>
      </w:pPr>
      <w:r w:rsidRPr="000C59B6">
        <w:rPr>
          <w:sz w:val="22"/>
          <w:szCs w:val="22"/>
        </w:rPr>
        <w:t xml:space="preserve">15.  </w:t>
      </w:r>
      <w:r w:rsidRPr="004F5DA4">
        <w:rPr>
          <w:sz w:val="22"/>
          <w:szCs w:val="22"/>
        </w:rPr>
        <w:t xml:space="preserve">The Commission is reporting adjustments/decreases to this information collection.  Since the last submission to OMB, the total number of respondents and responses decreased to </w:t>
      </w:r>
      <w:r w:rsidR="004F5DA4" w:rsidRPr="004F5DA4">
        <w:rPr>
          <w:sz w:val="22"/>
          <w:szCs w:val="22"/>
        </w:rPr>
        <w:t xml:space="preserve">10 </w:t>
      </w:r>
      <w:r w:rsidRPr="004F5DA4">
        <w:rPr>
          <w:sz w:val="22"/>
          <w:szCs w:val="22"/>
        </w:rPr>
        <w:t xml:space="preserve">from </w:t>
      </w:r>
      <w:r w:rsidR="004F5DA4" w:rsidRPr="004F5DA4">
        <w:rPr>
          <w:sz w:val="22"/>
          <w:szCs w:val="22"/>
        </w:rPr>
        <w:t xml:space="preserve">747 </w:t>
      </w:r>
      <w:r w:rsidRPr="004F5DA4">
        <w:rPr>
          <w:sz w:val="22"/>
          <w:szCs w:val="22"/>
        </w:rPr>
        <w:t>(-</w:t>
      </w:r>
      <w:r w:rsidR="004F5DA4" w:rsidRPr="004F5DA4">
        <w:rPr>
          <w:sz w:val="22"/>
          <w:szCs w:val="22"/>
        </w:rPr>
        <w:t>737</w:t>
      </w:r>
      <w:r w:rsidRPr="004F5DA4">
        <w:rPr>
          <w:sz w:val="22"/>
          <w:szCs w:val="22"/>
        </w:rPr>
        <w:t xml:space="preserve">), the total annual burden hours </w:t>
      </w:r>
      <w:r w:rsidR="00CD3083">
        <w:rPr>
          <w:sz w:val="22"/>
          <w:szCs w:val="22"/>
        </w:rPr>
        <w:t>have remained the same at 171</w:t>
      </w:r>
      <w:r w:rsidRPr="004F5DA4">
        <w:rPr>
          <w:sz w:val="22"/>
          <w:szCs w:val="22"/>
        </w:rPr>
        <w:t>, and, the total annual costs decrease to $</w:t>
      </w:r>
      <w:r w:rsidR="004F5DA4" w:rsidRPr="004F5DA4">
        <w:rPr>
          <w:sz w:val="22"/>
          <w:szCs w:val="22"/>
        </w:rPr>
        <w:t>3,895</w:t>
      </w:r>
      <w:r w:rsidRPr="004F5DA4">
        <w:rPr>
          <w:sz w:val="22"/>
          <w:szCs w:val="22"/>
        </w:rPr>
        <w:t xml:space="preserve"> from $</w:t>
      </w:r>
      <w:r w:rsidR="0089661B">
        <w:rPr>
          <w:sz w:val="22"/>
          <w:szCs w:val="22"/>
        </w:rPr>
        <w:t>3,977</w:t>
      </w:r>
      <w:r w:rsidR="003405F8">
        <w:rPr>
          <w:sz w:val="22"/>
          <w:szCs w:val="22"/>
        </w:rPr>
        <w:t xml:space="preserve"> </w:t>
      </w:r>
      <w:r w:rsidRPr="004F5DA4">
        <w:rPr>
          <w:sz w:val="22"/>
          <w:szCs w:val="22"/>
        </w:rPr>
        <w:t>(-</w:t>
      </w:r>
      <w:r w:rsidR="000C59B6" w:rsidRPr="004F5DA4">
        <w:rPr>
          <w:sz w:val="22"/>
          <w:szCs w:val="22"/>
        </w:rPr>
        <w:t>$</w:t>
      </w:r>
      <w:r w:rsidR="0089661B">
        <w:rPr>
          <w:sz w:val="22"/>
          <w:szCs w:val="22"/>
        </w:rPr>
        <w:t>82</w:t>
      </w:r>
      <w:r w:rsidRPr="004F5DA4">
        <w:rPr>
          <w:sz w:val="22"/>
          <w:szCs w:val="22"/>
        </w:rPr>
        <w:t>).</w:t>
      </w:r>
      <w:r w:rsidRPr="000C59B6">
        <w:rPr>
          <w:sz w:val="22"/>
          <w:szCs w:val="22"/>
        </w:rPr>
        <w:t xml:space="preserve"> These adjustments are </w:t>
      </w:r>
      <w:r w:rsidR="007D5693" w:rsidRPr="000C59B6">
        <w:rPr>
          <w:sz w:val="22"/>
          <w:szCs w:val="22"/>
        </w:rPr>
        <w:t>to correct</w:t>
      </w:r>
      <w:r w:rsidRPr="000C59B6">
        <w:rPr>
          <w:sz w:val="22"/>
          <w:szCs w:val="22"/>
        </w:rPr>
        <w:t xml:space="preserve"> the computation of salary cost per hour and lowering burden hours. The remaining annual costs associated with this information collection will be incurred by the small number of ILECs that have study area boundary changes and hire contractors to modify their study area boundary GIS data.  All ILECs are required to recertify their study area boundaries every two years, but we have determined that this task to be a normal business activity and of negligible burden. </w:t>
      </w:r>
    </w:p>
    <w:p w14:paraId="17AD93B2" w14:textId="77777777" w:rsidR="00DC50DD" w:rsidRPr="000C59B6" w:rsidRDefault="00DC50DD" w:rsidP="005F0D7B">
      <w:pPr>
        <w:rPr>
          <w:sz w:val="22"/>
          <w:szCs w:val="22"/>
        </w:rPr>
      </w:pPr>
    </w:p>
    <w:p w14:paraId="4C9CBC59" w14:textId="77777777" w:rsidR="00DC50DD" w:rsidRPr="000C59B6" w:rsidRDefault="00DC50DD" w:rsidP="005F0D7B">
      <w:pPr>
        <w:rPr>
          <w:sz w:val="22"/>
          <w:szCs w:val="22"/>
        </w:rPr>
      </w:pPr>
      <w:r w:rsidRPr="000C59B6">
        <w:rPr>
          <w:sz w:val="22"/>
          <w:szCs w:val="22"/>
        </w:rPr>
        <w:t xml:space="preserve">There are no program changes.  </w:t>
      </w:r>
    </w:p>
    <w:p w14:paraId="0DE4B5B7" w14:textId="77777777" w:rsidR="005F0D7B" w:rsidRPr="000C59B6" w:rsidRDefault="005F0D7B" w:rsidP="005F0D7B">
      <w:pPr>
        <w:rPr>
          <w:sz w:val="22"/>
          <w:szCs w:val="22"/>
        </w:rPr>
      </w:pPr>
    </w:p>
    <w:p w14:paraId="5677BD43" w14:textId="77777777" w:rsidR="005F0D7B" w:rsidRPr="000C59B6" w:rsidRDefault="005F0D7B" w:rsidP="005F0D7B">
      <w:pPr>
        <w:rPr>
          <w:sz w:val="22"/>
          <w:szCs w:val="22"/>
        </w:rPr>
      </w:pPr>
      <w:r w:rsidRPr="000C59B6">
        <w:rPr>
          <w:sz w:val="22"/>
          <w:szCs w:val="22"/>
        </w:rPr>
        <w:t xml:space="preserve">16.  </w:t>
      </w:r>
      <w:r w:rsidR="00950ABE" w:rsidRPr="000C59B6">
        <w:rPr>
          <w:sz w:val="22"/>
          <w:szCs w:val="22"/>
        </w:rPr>
        <w:t>T</w:t>
      </w:r>
      <w:r w:rsidRPr="000C59B6">
        <w:rPr>
          <w:sz w:val="22"/>
          <w:szCs w:val="22"/>
        </w:rPr>
        <w:t xml:space="preserve">he </w:t>
      </w:r>
      <w:r w:rsidR="00950ABE" w:rsidRPr="000C59B6">
        <w:rPr>
          <w:sz w:val="22"/>
          <w:szCs w:val="22"/>
        </w:rPr>
        <w:t xml:space="preserve">Commission’s </w:t>
      </w:r>
      <w:r w:rsidRPr="000C59B6">
        <w:rPr>
          <w:sz w:val="22"/>
          <w:szCs w:val="22"/>
        </w:rPr>
        <w:t>study area boundary data</w:t>
      </w:r>
      <w:r w:rsidR="00950ABE" w:rsidRPr="000C59B6">
        <w:rPr>
          <w:sz w:val="22"/>
          <w:szCs w:val="22"/>
        </w:rPr>
        <w:t xml:space="preserve"> can be viewed </w:t>
      </w:r>
      <w:r w:rsidR="00C17719" w:rsidRPr="000C59B6">
        <w:rPr>
          <w:sz w:val="22"/>
          <w:szCs w:val="22"/>
        </w:rPr>
        <w:t xml:space="preserve">online at </w:t>
      </w:r>
      <w:hyperlink r:id="rId16" w:history="1">
        <w:r w:rsidR="00C17719" w:rsidRPr="000C59B6">
          <w:rPr>
            <w:rStyle w:val="Hyperlink"/>
            <w:sz w:val="22"/>
            <w:szCs w:val="22"/>
          </w:rPr>
          <w:t>https://www.fcc.gov/maps/study-area-boundaries/</w:t>
        </w:r>
      </w:hyperlink>
      <w:r w:rsidR="00C17719" w:rsidRPr="000C59B6">
        <w:rPr>
          <w:sz w:val="22"/>
          <w:szCs w:val="22"/>
        </w:rPr>
        <w:t xml:space="preserve"> </w:t>
      </w:r>
      <w:r w:rsidR="00950ABE" w:rsidRPr="000C59B6">
        <w:rPr>
          <w:sz w:val="22"/>
          <w:szCs w:val="22"/>
        </w:rPr>
        <w:t xml:space="preserve">and </w:t>
      </w:r>
      <w:r w:rsidR="00C17719" w:rsidRPr="000C59B6">
        <w:rPr>
          <w:sz w:val="22"/>
          <w:szCs w:val="22"/>
        </w:rPr>
        <w:t xml:space="preserve">may be </w:t>
      </w:r>
      <w:r w:rsidR="00950ABE" w:rsidRPr="000C59B6">
        <w:rPr>
          <w:sz w:val="22"/>
          <w:szCs w:val="22"/>
        </w:rPr>
        <w:t xml:space="preserve">downloaded online at </w:t>
      </w:r>
      <w:hyperlink r:id="rId17" w:history="1">
        <w:r w:rsidR="00C17719" w:rsidRPr="000C59B6">
          <w:rPr>
            <w:rStyle w:val="Hyperlink"/>
            <w:sz w:val="22"/>
            <w:szCs w:val="22"/>
          </w:rPr>
          <w:t>https://us-fcc.box.com/s/bc4g2x97ji5tgd6qn94l5pwsrf178odb</w:t>
        </w:r>
      </w:hyperlink>
      <w:r w:rsidR="00C17719" w:rsidRPr="000C59B6">
        <w:rPr>
          <w:sz w:val="22"/>
          <w:szCs w:val="22"/>
        </w:rPr>
        <w:t>.</w:t>
      </w:r>
      <w:r w:rsidRPr="000C59B6">
        <w:rPr>
          <w:sz w:val="22"/>
          <w:szCs w:val="22"/>
        </w:rPr>
        <w:t xml:space="preserve"> </w:t>
      </w:r>
      <w:r w:rsidR="00950ABE" w:rsidRPr="000C59B6">
        <w:rPr>
          <w:sz w:val="22"/>
          <w:szCs w:val="22"/>
        </w:rPr>
        <w:t xml:space="preserve">The boundaries were </w:t>
      </w:r>
      <w:r w:rsidR="00445D3A" w:rsidRPr="000C59B6">
        <w:rPr>
          <w:sz w:val="22"/>
          <w:szCs w:val="22"/>
        </w:rPr>
        <w:t>initially</w:t>
      </w:r>
      <w:r w:rsidR="003F0D47" w:rsidRPr="000C59B6">
        <w:rPr>
          <w:sz w:val="22"/>
          <w:szCs w:val="22"/>
        </w:rPr>
        <w:t xml:space="preserve"> published in December 2013 and have been updated periodically</w:t>
      </w:r>
      <w:r w:rsidRPr="000C59B6">
        <w:rPr>
          <w:sz w:val="22"/>
          <w:szCs w:val="22"/>
        </w:rPr>
        <w:t>.</w:t>
      </w:r>
    </w:p>
    <w:p w14:paraId="66204FF1" w14:textId="77777777" w:rsidR="005F0D7B" w:rsidRPr="000C59B6" w:rsidRDefault="005F0D7B" w:rsidP="005F0D7B">
      <w:pPr>
        <w:rPr>
          <w:rFonts w:eastAsia="Times New Roman"/>
          <w:color w:val="000080"/>
          <w:sz w:val="22"/>
          <w:szCs w:val="22"/>
        </w:rPr>
      </w:pPr>
    </w:p>
    <w:p w14:paraId="7689C530" w14:textId="77777777" w:rsidR="005F0D7B" w:rsidRPr="000C59B6" w:rsidRDefault="005F0D7B" w:rsidP="005F0D7B">
      <w:pPr>
        <w:rPr>
          <w:sz w:val="22"/>
          <w:szCs w:val="22"/>
        </w:rPr>
      </w:pPr>
      <w:r w:rsidRPr="000C59B6">
        <w:rPr>
          <w:sz w:val="22"/>
          <w:szCs w:val="22"/>
        </w:rPr>
        <w:t>17.  The Commission does not intend to seek approval not to display the OMB expiration date for OMB approval of the information collection.  The Commission publishes a list of OMB-approved information collections displaying the OMB control number, OMB expiration date and title of each collection in 47 CFR 0.408 of the Commission’s rules.</w:t>
      </w:r>
    </w:p>
    <w:p w14:paraId="2DBF0D7D" w14:textId="77777777" w:rsidR="005F0D7B" w:rsidRPr="000C59B6" w:rsidRDefault="005F0D7B" w:rsidP="005F0D7B">
      <w:pPr>
        <w:rPr>
          <w:sz w:val="22"/>
          <w:szCs w:val="22"/>
        </w:rPr>
      </w:pPr>
    </w:p>
    <w:p w14:paraId="624C76EA" w14:textId="77777777" w:rsidR="005F0D7B" w:rsidRPr="000C59B6" w:rsidRDefault="005F0D7B" w:rsidP="005F0D7B">
      <w:pPr>
        <w:rPr>
          <w:sz w:val="22"/>
          <w:szCs w:val="22"/>
        </w:rPr>
      </w:pPr>
      <w:r w:rsidRPr="000C59B6">
        <w:rPr>
          <w:sz w:val="22"/>
          <w:szCs w:val="22"/>
        </w:rPr>
        <w:t xml:space="preserve">18.  There </w:t>
      </w:r>
      <w:r w:rsidR="00E82731" w:rsidRPr="000C59B6">
        <w:rPr>
          <w:sz w:val="22"/>
          <w:szCs w:val="22"/>
        </w:rPr>
        <w:t>are no exceptions</w:t>
      </w:r>
      <w:r w:rsidR="00A77D45" w:rsidRPr="000C59B6">
        <w:rPr>
          <w:sz w:val="22"/>
          <w:szCs w:val="22"/>
        </w:rPr>
        <w:t xml:space="preserve"> to </w:t>
      </w:r>
      <w:r w:rsidR="00EA5414" w:rsidRPr="000C59B6">
        <w:rPr>
          <w:sz w:val="22"/>
          <w:szCs w:val="22"/>
        </w:rPr>
        <w:t xml:space="preserve">Certification Statement. </w:t>
      </w:r>
    </w:p>
    <w:p w14:paraId="6B62F1B3" w14:textId="77777777" w:rsidR="005F0D7B" w:rsidRPr="000C59B6" w:rsidRDefault="005F0D7B" w:rsidP="005F0D7B">
      <w:pPr>
        <w:rPr>
          <w:sz w:val="22"/>
          <w:szCs w:val="22"/>
        </w:rPr>
      </w:pPr>
    </w:p>
    <w:p w14:paraId="3F88D8D5" w14:textId="77777777" w:rsidR="005F0D7B" w:rsidRPr="000C59B6" w:rsidRDefault="005F0D7B" w:rsidP="005F0D7B">
      <w:pPr>
        <w:rPr>
          <w:b/>
          <w:sz w:val="22"/>
          <w:szCs w:val="22"/>
          <w:u w:val="single"/>
        </w:rPr>
      </w:pPr>
      <w:r w:rsidRPr="000C59B6">
        <w:rPr>
          <w:b/>
          <w:sz w:val="22"/>
          <w:szCs w:val="22"/>
          <w:u w:val="single"/>
        </w:rPr>
        <w:t>B. Collections of Information Employing Statistical Methods:</w:t>
      </w:r>
    </w:p>
    <w:p w14:paraId="02F2C34E" w14:textId="77777777" w:rsidR="005F0D7B" w:rsidRPr="000C59B6" w:rsidRDefault="005F0D7B" w:rsidP="005F0D7B">
      <w:pPr>
        <w:rPr>
          <w:sz w:val="22"/>
          <w:szCs w:val="22"/>
        </w:rPr>
      </w:pPr>
    </w:p>
    <w:p w14:paraId="0A92276A" w14:textId="77777777" w:rsidR="005F0D7B" w:rsidRPr="000C59B6" w:rsidRDefault="005F0D7B" w:rsidP="005F0D7B">
      <w:pPr>
        <w:rPr>
          <w:sz w:val="22"/>
          <w:szCs w:val="22"/>
        </w:rPr>
      </w:pPr>
      <w:r w:rsidRPr="000C59B6">
        <w:rPr>
          <w:sz w:val="22"/>
          <w:szCs w:val="22"/>
        </w:rPr>
        <w:t>The Commission does not anticipate that the collection of information will employ statistical methods.</w:t>
      </w:r>
    </w:p>
    <w:p w14:paraId="680A4E5D" w14:textId="77777777" w:rsidR="005F0D7B" w:rsidRPr="000C59B6" w:rsidRDefault="005F0D7B" w:rsidP="005F0D7B">
      <w:pPr>
        <w:rPr>
          <w:sz w:val="22"/>
          <w:szCs w:val="22"/>
        </w:rPr>
      </w:pPr>
    </w:p>
    <w:sectPr w:rsidR="005F0D7B" w:rsidRPr="000C59B6" w:rsidSect="005F0D7B">
      <w:footerReference w:type="even" r:id="rId18"/>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5AECC" w14:textId="77777777" w:rsidR="00104208" w:rsidRDefault="00104208">
      <w:r>
        <w:separator/>
      </w:r>
    </w:p>
  </w:endnote>
  <w:endnote w:type="continuationSeparator" w:id="0">
    <w:p w14:paraId="1D744D20" w14:textId="77777777" w:rsidR="00104208" w:rsidRDefault="00104208">
      <w:r>
        <w:continuationSeparator/>
      </w:r>
    </w:p>
  </w:endnote>
  <w:endnote w:type="continuationNotice" w:id="1">
    <w:p w14:paraId="7DB95DB6" w14:textId="77777777" w:rsidR="00104208" w:rsidRDefault="00104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F53FA5" w:rsidRDefault="00F53FA5" w:rsidP="005F0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CD245A" w14:textId="77777777" w:rsidR="00F53FA5" w:rsidRDefault="00F53F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96DDB" w14:textId="77777777" w:rsidR="00F53FA5" w:rsidRDefault="00F53FA5" w:rsidP="005F0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CD7">
      <w:rPr>
        <w:rStyle w:val="PageNumber"/>
        <w:noProof/>
      </w:rPr>
      <w:t>6</w:t>
    </w:r>
    <w:r>
      <w:rPr>
        <w:rStyle w:val="PageNumber"/>
      </w:rPr>
      <w:fldChar w:fldCharType="end"/>
    </w:r>
  </w:p>
  <w:p w14:paraId="19219836" w14:textId="77777777" w:rsidR="00F53FA5" w:rsidRDefault="00F53F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D22A9" w14:textId="77777777" w:rsidR="006C47FB" w:rsidRDefault="006C47FB">
    <w:pPr>
      <w:pStyle w:val="Footer"/>
      <w:jc w:val="center"/>
    </w:pPr>
    <w:r>
      <w:fldChar w:fldCharType="begin"/>
    </w:r>
    <w:r>
      <w:instrText xml:space="preserve"> PAGE   \* MERGEFORMAT </w:instrText>
    </w:r>
    <w:r>
      <w:fldChar w:fldCharType="separate"/>
    </w:r>
    <w:r w:rsidR="004F667C">
      <w:rPr>
        <w:noProof/>
      </w:rPr>
      <w:t>1</w:t>
    </w:r>
    <w:r>
      <w:rPr>
        <w:noProof/>
      </w:rPr>
      <w:fldChar w:fldCharType="end"/>
    </w:r>
  </w:p>
  <w:p w14:paraId="7196D064" w14:textId="77777777" w:rsidR="006C47FB" w:rsidRDefault="006C4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5555D" w14:textId="77777777" w:rsidR="00104208" w:rsidRDefault="00104208">
      <w:r>
        <w:separator/>
      </w:r>
    </w:p>
  </w:footnote>
  <w:footnote w:type="continuationSeparator" w:id="0">
    <w:p w14:paraId="3AB9F65A" w14:textId="77777777" w:rsidR="00104208" w:rsidRDefault="00104208">
      <w:r>
        <w:continuationSeparator/>
      </w:r>
    </w:p>
  </w:footnote>
  <w:footnote w:type="continuationNotice" w:id="1">
    <w:p w14:paraId="4A830B15" w14:textId="77777777" w:rsidR="00104208" w:rsidRDefault="00104208"/>
  </w:footnote>
  <w:footnote w:id="2">
    <w:p w14:paraId="7C9BB0D9" w14:textId="77777777" w:rsidR="00F53FA5" w:rsidRPr="00F9628E" w:rsidRDefault="00F53FA5" w:rsidP="005F0D7B">
      <w:pPr>
        <w:pStyle w:val="FootnoteText"/>
        <w:spacing w:after="120"/>
      </w:pPr>
      <w:r>
        <w:rPr>
          <w:rStyle w:val="FootnoteReference"/>
        </w:rPr>
        <w:footnoteRef/>
      </w:r>
      <w:r>
        <w:t xml:space="preserve"> 47 U.S.C. § 254 (mandating FCC authority over universal service) and the FCC’s delegation of authority to</w:t>
      </w:r>
      <w:r w:rsidRPr="00F9628E">
        <w:t xml:space="preserve"> the Wireline Competition Bureau </w:t>
      </w:r>
      <w:r>
        <w:t xml:space="preserve">in the </w:t>
      </w:r>
      <w:r w:rsidRPr="00F9628E">
        <w:rPr>
          <w:i/>
        </w:rPr>
        <w:t>USF/ICC Transformation Order</w:t>
      </w:r>
      <w:r>
        <w:t xml:space="preserve"> are the most direct lines of authority for this Order.</w:t>
      </w:r>
      <w:r w:rsidRPr="00F9628E">
        <w:t xml:space="preserve"> </w:t>
      </w:r>
      <w:r>
        <w:t xml:space="preserve"> </w:t>
      </w:r>
      <w:r w:rsidRPr="00F9628E">
        <w:t xml:space="preserve">The Order </w:t>
      </w:r>
      <w:r>
        <w:t xml:space="preserve">as a whole </w:t>
      </w:r>
      <w:r w:rsidRPr="00F9628E">
        <w:t xml:space="preserve">is adopted pursuant to sections 1, 2, 4(i), 201-205, 218-220, 254, 256, 303(r), and 403 of the Communications Act of 1934, as amended, 47 U.S.C. §§ 151, 152, 154(i), 201-205, 218-220, 254, 303(r), and 403, and sections 0.91, 0.201(d), 0.291, and 1.427 of the Commission’s rules, 47 C.F.R. §§ 0.91, 0.201(d), 0.291, 1.427, and pursuant to the delegations of authority in paragraphs 157, 184, 187, 192, 217 of the </w:t>
      </w:r>
      <w:r w:rsidRPr="00F9628E">
        <w:rPr>
          <w:i/>
        </w:rPr>
        <w:t>USF/ICC Transformation Order</w:t>
      </w:r>
      <w:r>
        <w:t xml:space="preserve">.  </w:t>
      </w:r>
    </w:p>
  </w:footnote>
  <w:footnote w:id="3">
    <w:p w14:paraId="1D1E73FC" w14:textId="77777777" w:rsidR="00F85EB8" w:rsidRPr="003C2C6A" w:rsidRDefault="00F85EB8" w:rsidP="00F85EB8">
      <w:pPr>
        <w:pStyle w:val="FootnoteText"/>
        <w:spacing w:after="120"/>
      </w:pPr>
      <w:r>
        <w:rPr>
          <w:rStyle w:val="FootnoteReference"/>
        </w:rPr>
        <w:footnoteRef/>
      </w:r>
      <w:r>
        <w:t xml:space="preserve"> </w:t>
      </w:r>
      <w:r w:rsidRPr="00795F32">
        <w:t xml:space="preserve">A shapefile is a vector data storage format for storing the location, shape, and attributes of geographic features. </w:t>
      </w:r>
      <w:r>
        <w:t xml:space="preserve"> </w:t>
      </w:r>
      <w:r w:rsidRPr="00795F32">
        <w:t>A shapefile at a minimum consists of a Main file (.shp), an Index file (.shx), and a dBASE table (.dbf).</w:t>
      </w:r>
      <w:r>
        <w:t xml:space="preserve">  E</w:t>
      </w:r>
      <w:r w:rsidRPr="003C2C6A">
        <w:t>sri introduced the shapefile format in the early 1990s.   Since that time, the esri shapefile has become the industry standard for storing, depicting, and analyzing spatial data.  As a result, there are multiple geographic information system (GIS) platforms capable of creating and managing esri shapefiles, and certain software programs can convert spatial data stored in other formats (such as MapInfo) to an esri shapefile format.</w:t>
      </w:r>
    </w:p>
  </w:footnote>
  <w:footnote w:id="4">
    <w:p w14:paraId="38C4A217" w14:textId="77777777" w:rsidR="002A43A4" w:rsidRPr="003C2C6A" w:rsidRDefault="002A43A4" w:rsidP="002A43A4">
      <w:pPr>
        <w:pStyle w:val="FootnoteText"/>
        <w:spacing w:after="120"/>
      </w:pPr>
      <w:r>
        <w:rPr>
          <w:rStyle w:val="FootnoteReference"/>
        </w:rPr>
        <w:footnoteRef/>
      </w:r>
      <w:r>
        <w:rPr>
          <w:sz w:val="22"/>
          <w:szCs w:val="22"/>
        </w:rPr>
        <w:t xml:space="preserve"> </w:t>
      </w:r>
      <w:r w:rsidRPr="002A43A4">
        <w:t>78 FR 10100, February 13, 2013</w:t>
      </w:r>
      <w:r>
        <w:t xml:space="preserve">.  </w:t>
      </w:r>
      <w:r w:rsidRPr="002A43A4">
        <w:t>The</w:t>
      </w:r>
      <w:r>
        <w:t xml:space="preserve"> emergency preapproval expired on July 31, 2013</w:t>
      </w:r>
      <w:r w:rsidRPr="003C2C6A">
        <w:t>.</w:t>
      </w:r>
    </w:p>
  </w:footnote>
  <w:footnote w:id="5">
    <w:p w14:paraId="54D341AE" w14:textId="77777777" w:rsidR="002A43A4" w:rsidRPr="002A43A4" w:rsidRDefault="002A43A4" w:rsidP="00FE2C49">
      <w:pPr>
        <w:pStyle w:val="FootnoteText"/>
        <w:spacing w:after="120"/>
      </w:pPr>
      <w:r>
        <w:rPr>
          <w:rStyle w:val="FootnoteReference"/>
        </w:rPr>
        <w:footnoteRef/>
      </w:r>
      <w:r>
        <w:t xml:space="preserve"> </w:t>
      </w:r>
      <w:r w:rsidRPr="002A43A4">
        <w:t>On February 28, 2013, the Commission submitted an Explanation of Non-Substantive Changes to OMB to explain these changes</w:t>
      </w:r>
      <w:r>
        <w:t>.</w:t>
      </w:r>
    </w:p>
  </w:footnote>
  <w:footnote w:id="6">
    <w:p w14:paraId="114934D4" w14:textId="77777777" w:rsidR="00152210" w:rsidRDefault="00152210" w:rsidP="00152210">
      <w:pPr>
        <w:pStyle w:val="FootnoteText"/>
        <w:spacing w:after="120"/>
      </w:pPr>
      <w:r>
        <w:rPr>
          <w:rStyle w:val="FootnoteReference"/>
        </w:rPr>
        <w:footnoteRef/>
      </w:r>
      <w:r>
        <w:t xml:space="preserve"> </w:t>
      </w:r>
      <w:r w:rsidRPr="00FE2C49">
        <w:rPr>
          <w:i/>
        </w:rPr>
        <w:t xml:space="preserve">Wireline Competition Bureau </w:t>
      </w:r>
      <w:r>
        <w:rPr>
          <w:i/>
        </w:rPr>
        <w:t>Announces Procedures and Deadlines for Submissions of Study Area Boundaries</w:t>
      </w:r>
      <w:r>
        <w:t>, WC Docket Nos. 10-90 and 05-337, Public Notice, 28 FCC Rcd 2852 (WCB 2013).</w:t>
      </w:r>
    </w:p>
  </w:footnote>
  <w:footnote w:id="7">
    <w:p w14:paraId="15E789B4" w14:textId="77777777" w:rsidR="00F53FA5" w:rsidRDefault="00F53FA5" w:rsidP="00FE2C49">
      <w:pPr>
        <w:pStyle w:val="FootnoteText"/>
        <w:spacing w:after="120"/>
      </w:pPr>
      <w:r>
        <w:rPr>
          <w:rStyle w:val="FootnoteReference"/>
        </w:rPr>
        <w:footnoteRef/>
      </w:r>
      <w:r>
        <w:t xml:space="preserve"> </w:t>
      </w:r>
      <w:r>
        <w:rPr>
          <w:i/>
          <w:iCs/>
        </w:rPr>
        <w:t xml:space="preserve">See </w:t>
      </w:r>
      <w:r>
        <w:t>47 U.S.C. §§ 401(b), 409(m), 501, 502, 503; 47 C.F.R. § 1.80 (describing forfeiture penalty limits for entities regulated by the FCC).</w:t>
      </w:r>
    </w:p>
  </w:footnote>
  <w:footnote w:id="8">
    <w:p w14:paraId="2BE5027C" w14:textId="77777777" w:rsidR="00FE2C49" w:rsidRDefault="00FE2C49" w:rsidP="00FE2C49">
      <w:pPr>
        <w:pStyle w:val="FootnoteText"/>
        <w:spacing w:after="120"/>
      </w:pPr>
      <w:r>
        <w:rPr>
          <w:rStyle w:val="FootnoteReference"/>
        </w:rPr>
        <w:footnoteRef/>
      </w:r>
      <w:r>
        <w:t xml:space="preserve"> </w:t>
      </w:r>
      <w:r w:rsidRPr="00FE2C49">
        <w:rPr>
          <w:i/>
        </w:rPr>
        <w:t>Wireline Competition Bureau Publishes Map of Study Areas for Use in Alternative Connect America Cost Model</w:t>
      </w:r>
      <w:r>
        <w:t>, WC Docket No. 10-90, Public Notice, 30 FCC Rcd 2944 (WCB 2015).</w:t>
      </w:r>
    </w:p>
  </w:footnote>
  <w:footnote w:id="9">
    <w:p w14:paraId="6DBE0FAE" w14:textId="77777777" w:rsidR="004717ED" w:rsidRDefault="004717ED" w:rsidP="004717ED">
      <w:pPr>
        <w:pStyle w:val="FootnoteText"/>
        <w:spacing w:after="120"/>
      </w:pPr>
      <w:r>
        <w:rPr>
          <w:rStyle w:val="FootnoteReference"/>
        </w:rPr>
        <w:footnoteRef/>
      </w:r>
      <w:r>
        <w:t xml:space="preserve"> </w:t>
      </w:r>
      <w:r w:rsidRPr="004717ED">
        <w:rPr>
          <w:i/>
        </w:rPr>
        <w:t>Connect America Fund</w:t>
      </w:r>
      <w:r>
        <w:t>, WC Docket No. 10-90, Order, 30 FCC Rcd 14145 (WCB 2015).</w:t>
      </w:r>
    </w:p>
  </w:footnote>
  <w:footnote w:id="10">
    <w:p w14:paraId="392235BA" w14:textId="77777777" w:rsidR="004717ED" w:rsidRDefault="004717ED" w:rsidP="004717ED">
      <w:pPr>
        <w:pStyle w:val="FootnoteText"/>
        <w:spacing w:after="120"/>
      </w:pPr>
      <w:r>
        <w:rPr>
          <w:rStyle w:val="FootnoteReference"/>
        </w:rPr>
        <w:footnoteRef/>
      </w:r>
      <w:r>
        <w:t xml:space="preserve"> </w:t>
      </w:r>
      <w:r w:rsidRPr="004717ED">
        <w:rPr>
          <w:i/>
        </w:rPr>
        <w:t>Se</w:t>
      </w:r>
      <w:r w:rsidRPr="00152210">
        <w:rPr>
          <w:i/>
        </w:rPr>
        <w:t>e</w:t>
      </w:r>
      <w:r>
        <w:t xml:space="preserve"> </w:t>
      </w:r>
      <w:r w:rsidR="00152210" w:rsidRPr="00152210">
        <w:t>FCC</w:t>
      </w:r>
      <w:r w:rsidR="00152210">
        <w:t xml:space="preserve">, </w:t>
      </w:r>
      <w:r w:rsidRPr="00152210">
        <w:rPr>
          <w:i/>
        </w:rPr>
        <w:t>Study Area Boundary Data as of August 15, 2014</w:t>
      </w:r>
      <w:r>
        <w:t xml:space="preserve">, </w:t>
      </w:r>
      <w:r w:rsidRPr="004717ED">
        <w:t>http://apps.fcc.gov/wcb/sabdata/</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B26B54"/>
    <w:lvl w:ilvl="0">
      <w:start w:val="1"/>
      <w:numFmt w:val="decimal"/>
      <w:lvlText w:val="%1."/>
      <w:lvlJc w:val="left"/>
      <w:pPr>
        <w:tabs>
          <w:tab w:val="num" w:pos="1800"/>
        </w:tabs>
        <w:ind w:left="1800" w:hanging="360"/>
      </w:pPr>
    </w:lvl>
  </w:abstractNum>
  <w:abstractNum w:abstractNumId="1">
    <w:nsid w:val="FFFFFF7D"/>
    <w:multiLevelType w:val="singleLevel"/>
    <w:tmpl w:val="B0E266BC"/>
    <w:lvl w:ilvl="0">
      <w:start w:val="1"/>
      <w:numFmt w:val="decimal"/>
      <w:lvlText w:val="%1."/>
      <w:lvlJc w:val="left"/>
      <w:pPr>
        <w:tabs>
          <w:tab w:val="num" w:pos="1440"/>
        </w:tabs>
        <w:ind w:left="1440" w:hanging="360"/>
      </w:pPr>
    </w:lvl>
  </w:abstractNum>
  <w:abstractNum w:abstractNumId="2">
    <w:nsid w:val="FFFFFF7E"/>
    <w:multiLevelType w:val="singleLevel"/>
    <w:tmpl w:val="6FCEC3F2"/>
    <w:lvl w:ilvl="0">
      <w:start w:val="1"/>
      <w:numFmt w:val="decimal"/>
      <w:lvlText w:val="%1."/>
      <w:lvlJc w:val="left"/>
      <w:pPr>
        <w:tabs>
          <w:tab w:val="num" w:pos="1080"/>
        </w:tabs>
        <w:ind w:left="1080" w:hanging="360"/>
      </w:pPr>
    </w:lvl>
  </w:abstractNum>
  <w:abstractNum w:abstractNumId="3">
    <w:nsid w:val="FFFFFF7F"/>
    <w:multiLevelType w:val="singleLevel"/>
    <w:tmpl w:val="334A0B08"/>
    <w:lvl w:ilvl="0">
      <w:start w:val="1"/>
      <w:numFmt w:val="decimal"/>
      <w:lvlText w:val="%1."/>
      <w:lvlJc w:val="left"/>
      <w:pPr>
        <w:tabs>
          <w:tab w:val="num" w:pos="720"/>
        </w:tabs>
        <w:ind w:left="720" w:hanging="360"/>
      </w:pPr>
    </w:lvl>
  </w:abstractNum>
  <w:abstractNum w:abstractNumId="4">
    <w:nsid w:val="FFFFFF80"/>
    <w:multiLevelType w:val="singleLevel"/>
    <w:tmpl w:val="A34E83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EC4C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38B3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A08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649428"/>
    <w:lvl w:ilvl="0">
      <w:start w:val="1"/>
      <w:numFmt w:val="decimal"/>
      <w:lvlText w:val="%1."/>
      <w:lvlJc w:val="left"/>
      <w:pPr>
        <w:tabs>
          <w:tab w:val="num" w:pos="360"/>
        </w:tabs>
        <w:ind w:left="360" w:hanging="360"/>
      </w:pPr>
    </w:lvl>
  </w:abstractNum>
  <w:abstractNum w:abstractNumId="9">
    <w:nsid w:val="FFFFFF89"/>
    <w:multiLevelType w:val="singleLevel"/>
    <w:tmpl w:val="7222DBA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decimal"/>
      <w:pStyle w:val="ParaNum"/>
      <w:lvlText w:val="%1."/>
      <w:lvlJc w:val="left"/>
      <w:pPr>
        <w:tabs>
          <w:tab w:val="num" w:pos="2340"/>
        </w:tabs>
        <w:ind w:left="1260" w:firstLine="720"/>
      </w:pPr>
      <w:rPr>
        <w:rFonts w:cs="Times New Roman"/>
        <w:b w:val="0"/>
      </w:rPr>
    </w:lvl>
  </w:abstractNum>
  <w:abstractNum w:abstractNumId="11">
    <w:nsid w:val="03503451"/>
    <w:multiLevelType w:val="hybridMultilevel"/>
    <w:tmpl w:val="B76AE77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7705EEA"/>
    <w:multiLevelType w:val="hybridMultilevel"/>
    <w:tmpl w:val="2D3A7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DAF0A4D"/>
    <w:multiLevelType w:val="hybridMultilevel"/>
    <w:tmpl w:val="25965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60DC6"/>
    <w:multiLevelType w:val="hybridMultilevel"/>
    <w:tmpl w:val="E97E2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54"/>
    <w:rsid w:val="00000AE9"/>
    <w:rsid w:val="0000569A"/>
    <w:rsid w:val="00010D68"/>
    <w:rsid w:val="000254B1"/>
    <w:rsid w:val="00027AFE"/>
    <w:rsid w:val="000313BC"/>
    <w:rsid w:val="00052C20"/>
    <w:rsid w:val="00060629"/>
    <w:rsid w:val="00061DE7"/>
    <w:rsid w:val="00065C29"/>
    <w:rsid w:val="00086A92"/>
    <w:rsid w:val="00096481"/>
    <w:rsid w:val="000B0436"/>
    <w:rsid w:val="000B1D1D"/>
    <w:rsid w:val="000B2622"/>
    <w:rsid w:val="000B60AD"/>
    <w:rsid w:val="000C48B3"/>
    <w:rsid w:val="000C59B6"/>
    <w:rsid w:val="000D17D8"/>
    <w:rsid w:val="000D4155"/>
    <w:rsid w:val="000D6549"/>
    <w:rsid w:val="000D74E1"/>
    <w:rsid w:val="000F2CD5"/>
    <w:rsid w:val="000F7103"/>
    <w:rsid w:val="00104208"/>
    <w:rsid w:val="001042CB"/>
    <w:rsid w:val="001142C0"/>
    <w:rsid w:val="001154F6"/>
    <w:rsid w:val="001177B5"/>
    <w:rsid w:val="001179A0"/>
    <w:rsid w:val="001359B6"/>
    <w:rsid w:val="00141469"/>
    <w:rsid w:val="001460E1"/>
    <w:rsid w:val="00152210"/>
    <w:rsid w:val="001B1278"/>
    <w:rsid w:val="001B6555"/>
    <w:rsid w:val="001C11D6"/>
    <w:rsid w:val="001C14E0"/>
    <w:rsid w:val="001C2BAD"/>
    <w:rsid w:val="001E1183"/>
    <w:rsid w:val="001F6918"/>
    <w:rsid w:val="001F7F7C"/>
    <w:rsid w:val="00200F06"/>
    <w:rsid w:val="00201840"/>
    <w:rsid w:val="00202FB3"/>
    <w:rsid w:val="002122D7"/>
    <w:rsid w:val="00215057"/>
    <w:rsid w:val="00222027"/>
    <w:rsid w:val="00247D78"/>
    <w:rsid w:val="00264ECB"/>
    <w:rsid w:val="00265FA7"/>
    <w:rsid w:val="00271DA8"/>
    <w:rsid w:val="002736A9"/>
    <w:rsid w:val="00280BFF"/>
    <w:rsid w:val="00297543"/>
    <w:rsid w:val="002A43A4"/>
    <w:rsid w:val="002A6B78"/>
    <w:rsid w:val="002A6E37"/>
    <w:rsid w:val="002A7A76"/>
    <w:rsid w:val="002B4945"/>
    <w:rsid w:val="002B7CB4"/>
    <w:rsid w:val="002C2DA3"/>
    <w:rsid w:val="002C6DD1"/>
    <w:rsid w:val="002C7560"/>
    <w:rsid w:val="002F0606"/>
    <w:rsid w:val="002F6FD9"/>
    <w:rsid w:val="0030537C"/>
    <w:rsid w:val="00314CD7"/>
    <w:rsid w:val="00315DA9"/>
    <w:rsid w:val="00317D8E"/>
    <w:rsid w:val="00330808"/>
    <w:rsid w:val="00334FA5"/>
    <w:rsid w:val="0033799A"/>
    <w:rsid w:val="003405F8"/>
    <w:rsid w:val="003430E8"/>
    <w:rsid w:val="00363115"/>
    <w:rsid w:val="003724BC"/>
    <w:rsid w:val="00382175"/>
    <w:rsid w:val="003964E4"/>
    <w:rsid w:val="003B7232"/>
    <w:rsid w:val="003C20BA"/>
    <w:rsid w:val="003D46D7"/>
    <w:rsid w:val="003D752B"/>
    <w:rsid w:val="003D7B6B"/>
    <w:rsid w:val="003F05EB"/>
    <w:rsid w:val="003F0D47"/>
    <w:rsid w:val="003F34DC"/>
    <w:rsid w:val="004034E4"/>
    <w:rsid w:val="00412327"/>
    <w:rsid w:val="00423354"/>
    <w:rsid w:val="00427692"/>
    <w:rsid w:val="00445D3A"/>
    <w:rsid w:val="0045558B"/>
    <w:rsid w:val="00457963"/>
    <w:rsid w:val="004605F7"/>
    <w:rsid w:val="00467968"/>
    <w:rsid w:val="004717ED"/>
    <w:rsid w:val="00472C1C"/>
    <w:rsid w:val="00485363"/>
    <w:rsid w:val="0049233F"/>
    <w:rsid w:val="004B4AC2"/>
    <w:rsid w:val="004C5568"/>
    <w:rsid w:val="004D703F"/>
    <w:rsid w:val="004D7A20"/>
    <w:rsid w:val="004E018D"/>
    <w:rsid w:val="004E7606"/>
    <w:rsid w:val="004F5DA4"/>
    <w:rsid w:val="004F667C"/>
    <w:rsid w:val="005107EE"/>
    <w:rsid w:val="0052185F"/>
    <w:rsid w:val="005220F5"/>
    <w:rsid w:val="00523828"/>
    <w:rsid w:val="005440AE"/>
    <w:rsid w:val="00553C81"/>
    <w:rsid w:val="00553F22"/>
    <w:rsid w:val="00556692"/>
    <w:rsid w:val="005625B8"/>
    <w:rsid w:val="00563AF3"/>
    <w:rsid w:val="005644C8"/>
    <w:rsid w:val="00564CF6"/>
    <w:rsid w:val="005728E7"/>
    <w:rsid w:val="00582D70"/>
    <w:rsid w:val="0058584C"/>
    <w:rsid w:val="00587D16"/>
    <w:rsid w:val="00592B65"/>
    <w:rsid w:val="005A204F"/>
    <w:rsid w:val="005A2C6D"/>
    <w:rsid w:val="005B1694"/>
    <w:rsid w:val="005B1D42"/>
    <w:rsid w:val="005B5768"/>
    <w:rsid w:val="005C5829"/>
    <w:rsid w:val="005D2867"/>
    <w:rsid w:val="005D5387"/>
    <w:rsid w:val="005F0D7B"/>
    <w:rsid w:val="005F5BFF"/>
    <w:rsid w:val="00611CB9"/>
    <w:rsid w:val="0061764E"/>
    <w:rsid w:val="00622971"/>
    <w:rsid w:val="00624204"/>
    <w:rsid w:val="00625931"/>
    <w:rsid w:val="0063203E"/>
    <w:rsid w:val="006341CC"/>
    <w:rsid w:val="006378CF"/>
    <w:rsid w:val="00644A4B"/>
    <w:rsid w:val="006469D3"/>
    <w:rsid w:val="00667845"/>
    <w:rsid w:val="00672567"/>
    <w:rsid w:val="006772A7"/>
    <w:rsid w:val="00682F1F"/>
    <w:rsid w:val="006A0AFD"/>
    <w:rsid w:val="006A0CE5"/>
    <w:rsid w:val="006A539F"/>
    <w:rsid w:val="006B099E"/>
    <w:rsid w:val="006B6D59"/>
    <w:rsid w:val="006C47FB"/>
    <w:rsid w:val="006C64E1"/>
    <w:rsid w:val="006D1851"/>
    <w:rsid w:val="006D5D68"/>
    <w:rsid w:val="006E06B8"/>
    <w:rsid w:val="006E1594"/>
    <w:rsid w:val="006F4D78"/>
    <w:rsid w:val="00706FDD"/>
    <w:rsid w:val="007102D3"/>
    <w:rsid w:val="00730825"/>
    <w:rsid w:val="007370DE"/>
    <w:rsid w:val="00752D73"/>
    <w:rsid w:val="00753B1D"/>
    <w:rsid w:val="007704C7"/>
    <w:rsid w:val="00771862"/>
    <w:rsid w:val="007750C2"/>
    <w:rsid w:val="00782042"/>
    <w:rsid w:val="00782CBD"/>
    <w:rsid w:val="0079227F"/>
    <w:rsid w:val="007B4067"/>
    <w:rsid w:val="007D5693"/>
    <w:rsid w:val="007E706E"/>
    <w:rsid w:val="007F00DF"/>
    <w:rsid w:val="00830F24"/>
    <w:rsid w:val="00832AC5"/>
    <w:rsid w:val="0083345B"/>
    <w:rsid w:val="00854E19"/>
    <w:rsid w:val="00856A97"/>
    <w:rsid w:val="00863A5C"/>
    <w:rsid w:val="00872908"/>
    <w:rsid w:val="008866EA"/>
    <w:rsid w:val="0089661B"/>
    <w:rsid w:val="008A1E65"/>
    <w:rsid w:val="008A50B0"/>
    <w:rsid w:val="008A797F"/>
    <w:rsid w:val="008C40B8"/>
    <w:rsid w:val="008C7B8D"/>
    <w:rsid w:val="008D49C1"/>
    <w:rsid w:val="008D56AF"/>
    <w:rsid w:val="008D572E"/>
    <w:rsid w:val="008E0900"/>
    <w:rsid w:val="008E5039"/>
    <w:rsid w:val="008E5E9C"/>
    <w:rsid w:val="008F6594"/>
    <w:rsid w:val="008F6E16"/>
    <w:rsid w:val="009065A2"/>
    <w:rsid w:val="00915480"/>
    <w:rsid w:val="00915E73"/>
    <w:rsid w:val="009237E0"/>
    <w:rsid w:val="00932020"/>
    <w:rsid w:val="00933778"/>
    <w:rsid w:val="00950ABE"/>
    <w:rsid w:val="00961FD2"/>
    <w:rsid w:val="00976201"/>
    <w:rsid w:val="009A23D6"/>
    <w:rsid w:val="009A602A"/>
    <w:rsid w:val="009B1153"/>
    <w:rsid w:val="009B2E54"/>
    <w:rsid w:val="009B5E95"/>
    <w:rsid w:val="009C35E1"/>
    <w:rsid w:val="009C5424"/>
    <w:rsid w:val="009D70F7"/>
    <w:rsid w:val="009E28A9"/>
    <w:rsid w:val="00A1044A"/>
    <w:rsid w:val="00A105DD"/>
    <w:rsid w:val="00A140C7"/>
    <w:rsid w:val="00A1668C"/>
    <w:rsid w:val="00A17458"/>
    <w:rsid w:val="00A20295"/>
    <w:rsid w:val="00A204FF"/>
    <w:rsid w:val="00A22D6B"/>
    <w:rsid w:val="00A256A6"/>
    <w:rsid w:val="00A25A5A"/>
    <w:rsid w:val="00A25DD7"/>
    <w:rsid w:val="00A32C6B"/>
    <w:rsid w:val="00A33C94"/>
    <w:rsid w:val="00A35C4A"/>
    <w:rsid w:val="00A42FA1"/>
    <w:rsid w:val="00A53A9D"/>
    <w:rsid w:val="00A6447B"/>
    <w:rsid w:val="00A77D45"/>
    <w:rsid w:val="00A8415E"/>
    <w:rsid w:val="00A872E7"/>
    <w:rsid w:val="00A94AC6"/>
    <w:rsid w:val="00A95883"/>
    <w:rsid w:val="00AB597F"/>
    <w:rsid w:val="00AB655D"/>
    <w:rsid w:val="00AC1D6D"/>
    <w:rsid w:val="00AD7B63"/>
    <w:rsid w:val="00AF6034"/>
    <w:rsid w:val="00B17745"/>
    <w:rsid w:val="00B217D5"/>
    <w:rsid w:val="00B24568"/>
    <w:rsid w:val="00B52320"/>
    <w:rsid w:val="00B66742"/>
    <w:rsid w:val="00B8694D"/>
    <w:rsid w:val="00B9431F"/>
    <w:rsid w:val="00B953DE"/>
    <w:rsid w:val="00B95515"/>
    <w:rsid w:val="00BD3A58"/>
    <w:rsid w:val="00BE10CD"/>
    <w:rsid w:val="00BE59F5"/>
    <w:rsid w:val="00BE5D03"/>
    <w:rsid w:val="00C100E6"/>
    <w:rsid w:val="00C1236F"/>
    <w:rsid w:val="00C17719"/>
    <w:rsid w:val="00C23F35"/>
    <w:rsid w:val="00C271C7"/>
    <w:rsid w:val="00C43BD9"/>
    <w:rsid w:val="00C5032C"/>
    <w:rsid w:val="00C63964"/>
    <w:rsid w:val="00C64351"/>
    <w:rsid w:val="00C77732"/>
    <w:rsid w:val="00C844D1"/>
    <w:rsid w:val="00C853A5"/>
    <w:rsid w:val="00C91053"/>
    <w:rsid w:val="00C9499C"/>
    <w:rsid w:val="00CB0931"/>
    <w:rsid w:val="00CB6012"/>
    <w:rsid w:val="00CD026B"/>
    <w:rsid w:val="00CD3083"/>
    <w:rsid w:val="00CD7DDE"/>
    <w:rsid w:val="00CE104C"/>
    <w:rsid w:val="00CE6495"/>
    <w:rsid w:val="00CE7CC7"/>
    <w:rsid w:val="00CF46DB"/>
    <w:rsid w:val="00D138B0"/>
    <w:rsid w:val="00D367C9"/>
    <w:rsid w:val="00D454A1"/>
    <w:rsid w:val="00D47AE5"/>
    <w:rsid w:val="00D55E41"/>
    <w:rsid w:val="00D826E4"/>
    <w:rsid w:val="00D82E39"/>
    <w:rsid w:val="00D9085E"/>
    <w:rsid w:val="00D92760"/>
    <w:rsid w:val="00D9502B"/>
    <w:rsid w:val="00DB0635"/>
    <w:rsid w:val="00DB6E9C"/>
    <w:rsid w:val="00DC50DD"/>
    <w:rsid w:val="00DC557B"/>
    <w:rsid w:val="00DD7E2A"/>
    <w:rsid w:val="00DF3E0C"/>
    <w:rsid w:val="00E02A3E"/>
    <w:rsid w:val="00E03EEC"/>
    <w:rsid w:val="00E1096F"/>
    <w:rsid w:val="00E166AA"/>
    <w:rsid w:val="00E279DA"/>
    <w:rsid w:val="00E60819"/>
    <w:rsid w:val="00E61F8A"/>
    <w:rsid w:val="00E67A3F"/>
    <w:rsid w:val="00E72D3D"/>
    <w:rsid w:val="00E82731"/>
    <w:rsid w:val="00E84D61"/>
    <w:rsid w:val="00E85D89"/>
    <w:rsid w:val="00E8777B"/>
    <w:rsid w:val="00EA5414"/>
    <w:rsid w:val="00EB0B06"/>
    <w:rsid w:val="00EB3281"/>
    <w:rsid w:val="00ED5F02"/>
    <w:rsid w:val="00ED677E"/>
    <w:rsid w:val="00EE54CD"/>
    <w:rsid w:val="00EE7470"/>
    <w:rsid w:val="00EF1FEE"/>
    <w:rsid w:val="00F116EC"/>
    <w:rsid w:val="00F173DF"/>
    <w:rsid w:val="00F2147D"/>
    <w:rsid w:val="00F26875"/>
    <w:rsid w:val="00F30F19"/>
    <w:rsid w:val="00F36FFB"/>
    <w:rsid w:val="00F53FA5"/>
    <w:rsid w:val="00F779D1"/>
    <w:rsid w:val="00F85D7F"/>
    <w:rsid w:val="00F85EB8"/>
    <w:rsid w:val="00F961F4"/>
    <w:rsid w:val="00F97388"/>
    <w:rsid w:val="00FA155C"/>
    <w:rsid w:val="00FC6BF5"/>
    <w:rsid w:val="00FD40ED"/>
    <w:rsid w:val="00FD63DE"/>
    <w:rsid w:val="00FE2C49"/>
    <w:rsid w:val="00FE68BE"/>
    <w:rsid w:val="00FF5822"/>
    <w:rsid w:val="00FF6408"/>
    <w:rsid w:val="19C747B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354"/>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1"/>
    <w:semiHidden/>
    <w:rsid w:val="00AE381F"/>
    <w:rPr>
      <w:rFonts w:ascii="Tahoma" w:hAnsi="Tahoma"/>
      <w:sz w:val="16"/>
      <w:szCs w:val="16"/>
    </w:rPr>
  </w:style>
  <w:style w:type="character" w:customStyle="1" w:styleId="BalloonTextChar">
    <w:name w:val="Balloon Text Char"/>
    <w:uiPriority w:val="99"/>
    <w:semiHidden/>
    <w:rsid w:val="00F67AE1"/>
    <w:rPr>
      <w:rFonts w:ascii="Lucida Grande" w:hAnsi="Lucida Grande"/>
      <w:sz w:val="18"/>
      <w:szCs w:val="18"/>
    </w:rPr>
  </w:style>
  <w:style w:type="character" w:styleId="Hyperlink">
    <w:name w:val="Hyperlink"/>
    <w:semiHidden/>
    <w:rsid w:val="00423354"/>
    <w:rPr>
      <w:rFonts w:cs="Times New Roman"/>
      <w:color w:val="0000FF"/>
      <w:u w:val="single"/>
    </w:rPr>
  </w:style>
  <w:style w:type="character" w:customStyle="1" w:styleId="BalloonTextChar1">
    <w:name w:val="Balloon Text Char1"/>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NormalWeb">
    <w:name w:val="Normal (Web)"/>
    <w:basedOn w:val="Normal"/>
    <w:rsid w:val="00B136E8"/>
    <w:pPr>
      <w:spacing w:before="100" w:beforeAutospacing="1" w:after="100" w:afterAutospacing="1"/>
    </w:pPr>
    <w:rPr>
      <w:rFonts w:eastAsia="Times New Roman"/>
    </w:rPr>
  </w:style>
  <w:style w:type="paragraph" w:customStyle="1" w:styleId="default">
    <w:name w:val="default"/>
    <w:basedOn w:val="Normal"/>
    <w:rsid w:val="00B136E8"/>
    <w:pPr>
      <w:autoSpaceDE w:val="0"/>
      <w:autoSpaceDN w:val="0"/>
    </w:pPr>
    <w:rPr>
      <w:rFonts w:ascii="ArialNarrow,Bold" w:eastAsia="Times New Roman" w:hAnsi="ArialNarrow,Bold"/>
      <w:sz w:val="20"/>
      <w:szCs w:val="20"/>
    </w:rPr>
  </w:style>
  <w:style w:type="paragraph" w:customStyle="1" w:styleId="cm2">
    <w:name w:val="cm2"/>
    <w:basedOn w:val="Normal"/>
    <w:rsid w:val="00B136E8"/>
    <w:pPr>
      <w:autoSpaceDE w:val="0"/>
      <w:autoSpaceDN w:val="0"/>
      <w:spacing w:line="206" w:lineRule="auto"/>
    </w:pPr>
    <w:rPr>
      <w:rFonts w:ascii="ArialNarrow,Bold" w:eastAsia="Times New Roman" w:hAnsi="ArialNarrow,Bold"/>
    </w:rPr>
  </w:style>
  <w:style w:type="paragraph" w:styleId="Header">
    <w:name w:val="header"/>
    <w:basedOn w:val="Normal"/>
    <w:rsid w:val="003E365F"/>
    <w:pPr>
      <w:tabs>
        <w:tab w:val="center" w:pos="4320"/>
        <w:tab w:val="right" w:pos="8640"/>
      </w:tabs>
    </w:pPr>
  </w:style>
  <w:style w:type="paragraph" w:styleId="Footer">
    <w:name w:val="footer"/>
    <w:basedOn w:val="Normal"/>
    <w:link w:val="FooterChar"/>
    <w:uiPriority w:val="99"/>
    <w:rsid w:val="003E365F"/>
    <w:pPr>
      <w:tabs>
        <w:tab w:val="center" w:pos="4320"/>
        <w:tab w:val="right" w:pos="8640"/>
      </w:tabs>
    </w:pPr>
  </w:style>
  <w:style w:type="paragraph" w:styleId="FootnoteText">
    <w:name w:val="footnote text"/>
    <w:basedOn w:val="Normal"/>
    <w:semiHidden/>
    <w:rsid w:val="009400F1"/>
    <w:rPr>
      <w:rFonts w:eastAsia="Times New Roman"/>
      <w:sz w:val="20"/>
      <w:szCs w:val="20"/>
    </w:rPr>
  </w:style>
  <w:style w:type="character" w:styleId="FootnoteReference">
    <w:name w:val="footnote reference"/>
    <w:semiHidden/>
    <w:rsid w:val="009400F1"/>
    <w:rPr>
      <w:vertAlign w:val="superscript"/>
    </w:rPr>
  </w:style>
  <w:style w:type="character" w:customStyle="1" w:styleId="jonathanreel">
    <w:name w:val="jonathan.reel"/>
    <w:semiHidden/>
    <w:rsid w:val="00923295"/>
    <w:rPr>
      <w:rFonts w:ascii="Arial" w:hAnsi="Arial" w:cs="Arial"/>
      <w:color w:val="000080"/>
      <w:sz w:val="20"/>
      <w:szCs w:val="20"/>
    </w:rPr>
  </w:style>
  <w:style w:type="paragraph" w:styleId="BodyText">
    <w:name w:val="Body Text"/>
    <w:basedOn w:val="Normal"/>
    <w:link w:val="BodyTextChar"/>
    <w:rsid w:val="00923295"/>
    <w:pPr>
      <w:spacing w:after="120"/>
    </w:pPr>
    <w:rPr>
      <w:rFonts w:ascii="Calibri" w:hAnsi="Calibri"/>
    </w:rPr>
  </w:style>
  <w:style w:type="character" w:customStyle="1" w:styleId="BodyTextChar">
    <w:name w:val="Body Text Char"/>
    <w:link w:val="BodyText"/>
    <w:rsid w:val="00923295"/>
    <w:rPr>
      <w:rFonts w:eastAsia="Calibri"/>
      <w:sz w:val="24"/>
      <w:szCs w:val="24"/>
      <w:lang w:val="en-US" w:eastAsia="en-US" w:bidi="ar-SA"/>
    </w:rPr>
  </w:style>
  <w:style w:type="character" w:styleId="FollowedHyperlink">
    <w:name w:val="FollowedHyperlink"/>
    <w:rsid w:val="00A83CC4"/>
    <w:rPr>
      <w:color w:val="800080"/>
      <w:u w:val="single"/>
    </w:rPr>
  </w:style>
  <w:style w:type="character" w:styleId="PageNumber">
    <w:name w:val="page number"/>
    <w:basedOn w:val="DefaultParagraphFont"/>
    <w:rsid w:val="009A5480"/>
  </w:style>
  <w:style w:type="paragraph" w:customStyle="1" w:styleId="ParaNum">
    <w:name w:val="ParaNum"/>
    <w:basedOn w:val="Normal"/>
    <w:link w:val="ParaNumChar1"/>
    <w:uiPriority w:val="99"/>
    <w:rsid w:val="00D826E4"/>
    <w:pPr>
      <w:numPr>
        <w:numId w:val="15"/>
      </w:numPr>
      <w:suppressAutoHyphens/>
      <w:spacing w:after="120"/>
    </w:pPr>
    <w:rPr>
      <w:rFonts w:eastAsia="Times New Roman"/>
      <w:szCs w:val="20"/>
      <w:lang w:eastAsia="ar-SA"/>
    </w:rPr>
  </w:style>
  <w:style w:type="character" w:customStyle="1" w:styleId="ParaNumChar1">
    <w:name w:val="ParaNum Char1"/>
    <w:link w:val="ParaNum"/>
    <w:uiPriority w:val="99"/>
    <w:locked/>
    <w:rsid w:val="00D826E4"/>
    <w:rPr>
      <w:rFonts w:ascii="Times New Roman" w:eastAsia="Times New Roman" w:hAnsi="Times New Roman"/>
      <w:sz w:val="24"/>
      <w:lang w:eastAsia="ar-SA"/>
    </w:rPr>
  </w:style>
  <w:style w:type="character" w:customStyle="1" w:styleId="FooterChar">
    <w:name w:val="Footer Char"/>
    <w:link w:val="Footer"/>
    <w:uiPriority w:val="99"/>
    <w:rsid w:val="006C47FB"/>
    <w:rPr>
      <w:rFonts w:ascii="Times New Roman" w:hAnsi="Times New Roman"/>
      <w:sz w:val="24"/>
      <w:szCs w:val="24"/>
    </w:rPr>
  </w:style>
  <w:style w:type="character" w:customStyle="1" w:styleId="UnresolvedMention1">
    <w:name w:val="Unresolved Mention1"/>
    <w:uiPriority w:val="99"/>
    <w:semiHidden/>
    <w:unhideWhenUsed/>
    <w:rsid w:val="00C177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354"/>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1"/>
    <w:semiHidden/>
    <w:rsid w:val="00AE381F"/>
    <w:rPr>
      <w:rFonts w:ascii="Tahoma" w:hAnsi="Tahoma"/>
      <w:sz w:val="16"/>
      <w:szCs w:val="16"/>
    </w:rPr>
  </w:style>
  <w:style w:type="character" w:customStyle="1" w:styleId="BalloonTextChar">
    <w:name w:val="Balloon Text Char"/>
    <w:uiPriority w:val="99"/>
    <w:semiHidden/>
    <w:rsid w:val="00F67AE1"/>
    <w:rPr>
      <w:rFonts w:ascii="Lucida Grande" w:hAnsi="Lucida Grande"/>
      <w:sz w:val="18"/>
      <w:szCs w:val="18"/>
    </w:rPr>
  </w:style>
  <w:style w:type="character" w:styleId="Hyperlink">
    <w:name w:val="Hyperlink"/>
    <w:semiHidden/>
    <w:rsid w:val="00423354"/>
    <w:rPr>
      <w:rFonts w:cs="Times New Roman"/>
      <w:color w:val="0000FF"/>
      <w:u w:val="single"/>
    </w:rPr>
  </w:style>
  <w:style w:type="character" w:customStyle="1" w:styleId="BalloonTextChar1">
    <w:name w:val="Balloon Text Char1"/>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NormalWeb">
    <w:name w:val="Normal (Web)"/>
    <w:basedOn w:val="Normal"/>
    <w:rsid w:val="00B136E8"/>
    <w:pPr>
      <w:spacing w:before="100" w:beforeAutospacing="1" w:after="100" w:afterAutospacing="1"/>
    </w:pPr>
    <w:rPr>
      <w:rFonts w:eastAsia="Times New Roman"/>
    </w:rPr>
  </w:style>
  <w:style w:type="paragraph" w:customStyle="1" w:styleId="default">
    <w:name w:val="default"/>
    <w:basedOn w:val="Normal"/>
    <w:rsid w:val="00B136E8"/>
    <w:pPr>
      <w:autoSpaceDE w:val="0"/>
      <w:autoSpaceDN w:val="0"/>
    </w:pPr>
    <w:rPr>
      <w:rFonts w:ascii="ArialNarrow,Bold" w:eastAsia="Times New Roman" w:hAnsi="ArialNarrow,Bold"/>
      <w:sz w:val="20"/>
      <w:szCs w:val="20"/>
    </w:rPr>
  </w:style>
  <w:style w:type="paragraph" w:customStyle="1" w:styleId="cm2">
    <w:name w:val="cm2"/>
    <w:basedOn w:val="Normal"/>
    <w:rsid w:val="00B136E8"/>
    <w:pPr>
      <w:autoSpaceDE w:val="0"/>
      <w:autoSpaceDN w:val="0"/>
      <w:spacing w:line="206" w:lineRule="auto"/>
    </w:pPr>
    <w:rPr>
      <w:rFonts w:ascii="ArialNarrow,Bold" w:eastAsia="Times New Roman" w:hAnsi="ArialNarrow,Bold"/>
    </w:rPr>
  </w:style>
  <w:style w:type="paragraph" w:styleId="Header">
    <w:name w:val="header"/>
    <w:basedOn w:val="Normal"/>
    <w:rsid w:val="003E365F"/>
    <w:pPr>
      <w:tabs>
        <w:tab w:val="center" w:pos="4320"/>
        <w:tab w:val="right" w:pos="8640"/>
      </w:tabs>
    </w:pPr>
  </w:style>
  <w:style w:type="paragraph" w:styleId="Footer">
    <w:name w:val="footer"/>
    <w:basedOn w:val="Normal"/>
    <w:link w:val="FooterChar"/>
    <w:uiPriority w:val="99"/>
    <w:rsid w:val="003E365F"/>
    <w:pPr>
      <w:tabs>
        <w:tab w:val="center" w:pos="4320"/>
        <w:tab w:val="right" w:pos="8640"/>
      </w:tabs>
    </w:pPr>
  </w:style>
  <w:style w:type="paragraph" w:styleId="FootnoteText">
    <w:name w:val="footnote text"/>
    <w:basedOn w:val="Normal"/>
    <w:semiHidden/>
    <w:rsid w:val="009400F1"/>
    <w:rPr>
      <w:rFonts w:eastAsia="Times New Roman"/>
      <w:sz w:val="20"/>
      <w:szCs w:val="20"/>
    </w:rPr>
  </w:style>
  <w:style w:type="character" w:styleId="FootnoteReference">
    <w:name w:val="footnote reference"/>
    <w:semiHidden/>
    <w:rsid w:val="009400F1"/>
    <w:rPr>
      <w:vertAlign w:val="superscript"/>
    </w:rPr>
  </w:style>
  <w:style w:type="character" w:customStyle="1" w:styleId="jonathanreel">
    <w:name w:val="jonathan.reel"/>
    <w:semiHidden/>
    <w:rsid w:val="00923295"/>
    <w:rPr>
      <w:rFonts w:ascii="Arial" w:hAnsi="Arial" w:cs="Arial"/>
      <w:color w:val="000080"/>
      <w:sz w:val="20"/>
      <w:szCs w:val="20"/>
    </w:rPr>
  </w:style>
  <w:style w:type="paragraph" w:styleId="BodyText">
    <w:name w:val="Body Text"/>
    <w:basedOn w:val="Normal"/>
    <w:link w:val="BodyTextChar"/>
    <w:rsid w:val="00923295"/>
    <w:pPr>
      <w:spacing w:after="120"/>
    </w:pPr>
    <w:rPr>
      <w:rFonts w:ascii="Calibri" w:hAnsi="Calibri"/>
    </w:rPr>
  </w:style>
  <w:style w:type="character" w:customStyle="1" w:styleId="BodyTextChar">
    <w:name w:val="Body Text Char"/>
    <w:link w:val="BodyText"/>
    <w:rsid w:val="00923295"/>
    <w:rPr>
      <w:rFonts w:eastAsia="Calibri"/>
      <w:sz w:val="24"/>
      <w:szCs w:val="24"/>
      <w:lang w:val="en-US" w:eastAsia="en-US" w:bidi="ar-SA"/>
    </w:rPr>
  </w:style>
  <w:style w:type="character" w:styleId="FollowedHyperlink">
    <w:name w:val="FollowedHyperlink"/>
    <w:rsid w:val="00A83CC4"/>
    <w:rPr>
      <w:color w:val="800080"/>
      <w:u w:val="single"/>
    </w:rPr>
  </w:style>
  <w:style w:type="character" w:styleId="PageNumber">
    <w:name w:val="page number"/>
    <w:basedOn w:val="DefaultParagraphFont"/>
    <w:rsid w:val="009A5480"/>
  </w:style>
  <w:style w:type="paragraph" w:customStyle="1" w:styleId="ParaNum">
    <w:name w:val="ParaNum"/>
    <w:basedOn w:val="Normal"/>
    <w:link w:val="ParaNumChar1"/>
    <w:uiPriority w:val="99"/>
    <w:rsid w:val="00D826E4"/>
    <w:pPr>
      <w:numPr>
        <w:numId w:val="15"/>
      </w:numPr>
      <w:suppressAutoHyphens/>
      <w:spacing w:after="120"/>
    </w:pPr>
    <w:rPr>
      <w:rFonts w:eastAsia="Times New Roman"/>
      <w:szCs w:val="20"/>
      <w:lang w:eastAsia="ar-SA"/>
    </w:rPr>
  </w:style>
  <w:style w:type="character" w:customStyle="1" w:styleId="ParaNumChar1">
    <w:name w:val="ParaNum Char1"/>
    <w:link w:val="ParaNum"/>
    <w:uiPriority w:val="99"/>
    <w:locked/>
    <w:rsid w:val="00D826E4"/>
    <w:rPr>
      <w:rFonts w:ascii="Times New Roman" w:eastAsia="Times New Roman" w:hAnsi="Times New Roman"/>
      <w:sz w:val="24"/>
      <w:lang w:eastAsia="ar-SA"/>
    </w:rPr>
  </w:style>
  <w:style w:type="character" w:customStyle="1" w:styleId="FooterChar">
    <w:name w:val="Footer Char"/>
    <w:link w:val="Footer"/>
    <w:uiPriority w:val="99"/>
    <w:rsid w:val="006C47FB"/>
    <w:rPr>
      <w:rFonts w:ascii="Times New Roman" w:hAnsi="Times New Roman"/>
      <w:sz w:val="24"/>
      <w:szCs w:val="24"/>
    </w:rPr>
  </w:style>
  <w:style w:type="character" w:customStyle="1" w:styleId="UnresolvedMention1">
    <w:name w:val="Unresolved Mention1"/>
    <w:uiPriority w:val="99"/>
    <w:semiHidden/>
    <w:unhideWhenUsed/>
    <w:rsid w:val="00C1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6343632">
      <w:bodyDiv w:val="1"/>
      <w:marLeft w:val="0"/>
      <w:marRight w:val="0"/>
      <w:marTop w:val="0"/>
      <w:marBottom w:val="0"/>
      <w:divBdr>
        <w:top w:val="none" w:sz="0" w:space="0" w:color="auto"/>
        <w:left w:val="none" w:sz="0" w:space="0" w:color="auto"/>
        <w:bottom w:val="none" w:sz="0" w:space="0" w:color="auto"/>
        <w:right w:val="none" w:sz="0" w:space="0" w:color="auto"/>
      </w:divBdr>
    </w:div>
    <w:div w:id="281881759">
      <w:bodyDiv w:val="1"/>
      <w:marLeft w:val="0"/>
      <w:marRight w:val="0"/>
      <w:marTop w:val="0"/>
      <w:marBottom w:val="0"/>
      <w:divBdr>
        <w:top w:val="none" w:sz="0" w:space="0" w:color="auto"/>
        <w:left w:val="none" w:sz="0" w:space="0" w:color="auto"/>
        <w:bottom w:val="none" w:sz="0" w:space="0" w:color="auto"/>
        <w:right w:val="none" w:sz="0" w:space="0" w:color="auto"/>
      </w:divBdr>
    </w:div>
    <w:div w:id="159246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o.nebraska.gov/sla/pdf/RPT5_WEB_RATES_PUBLISHED.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6Tables/html/RUS_h.aspx" TargetMode="External"/><Relationship Id="rId17" Type="http://schemas.openxmlformats.org/officeDocument/2006/relationships/hyperlink" Target="https://us-fcc.box.com/s/bc4g2x97ji5tgd6qn94l5pwsrf178odb" TargetMode="External"/><Relationship Id="rId2" Type="http://schemas.openxmlformats.org/officeDocument/2006/relationships/numbering" Target="numbering.xml"/><Relationship Id="rId16" Type="http://schemas.openxmlformats.org/officeDocument/2006/relationships/hyperlink" Target="https://www.fcc.gov/maps/study-area-boundari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fcc.gov/public/attachments/DOC-355165A1.pdf"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16Tables/html/RUS_h.aspx" TargetMode="External"/><Relationship Id="rId10" Type="http://schemas.openxmlformats.org/officeDocument/2006/relationships/hyperlink" Target="https://sab.fcc.gov/state/logi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sab.fcc.gov/ilec/login/" TargetMode="External"/><Relationship Id="rId14" Type="http://schemas.openxmlformats.org/officeDocument/2006/relationships/hyperlink" Target="https://www.accenture.com/t20170306T211637Z__w__/us-en/_acnmedia/PDF-45/Accenture-Loaded-Labor-Rate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3CE0-8AAE-4D72-AAD6-1AA24FDE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3060-XXXX</vt:lpstr>
    </vt:vector>
  </TitlesOfParts>
  <Company>Microsoft</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subject/>
  <dc:creator>John Emmett</dc:creator>
  <cp:keywords/>
  <cp:lastModifiedBy>SYSTEM</cp:lastModifiedBy>
  <cp:revision>2</cp:revision>
  <cp:lastPrinted>2016-06-14T11:49:00Z</cp:lastPrinted>
  <dcterms:created xsi:type="dcterms:W3CDTF">2019-05-29T12:11:00Z</dcterms:created>
  <dcterms:modified xsi:type="dcterms:W3CDTF">2019-05-29T12:11:00Z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oFAAohepTGvwTLioOrcoIlRCF4ahv58lEAjaFGGIxYK8a80l2hMwHjAYp3tu+L3/WvSqr8+bH+2CsqTH_x000d_
uP9a73uH0Qb4EWTTknY77jur7p8dS7+skqoXOE2goyfVwq+bzBbncC0xoHoklKyexvpfysekEHfa_x000d_
yS630EpE++h/7hjoB0RhWa3dSMTJi/iWO8y9kAX9wlW3vZy03u6wjUne0QtwBbQtPsqbEU88jzlh_x000d_
bwaelp8DIKjI8TJ44</vt:lpwstr>
  </property>
  <property fmtid="{D5CDD505-2E9C-101B-9397-08002B2CF9AE}" pid="3" name="MAIL_MSG_ID2">
    <vt:lpwstr>DJeNRtBf40QMJNpKqxJ3Aqs6eKejTMf5X2rmEVQi+VUrFF29bTdm8D1Y8Wv_x000d_
t2ObMblNbHHIU5YoYMjBBHIu4dDt3WK+3TMrlu+VAArVDeOg</vt:lpwstr>
  </property>
  <property fmtid="{D5CDD505-2E9C-101B-9397-08002B2CF9AE}" pid="4" name="RESPONSE_SENDER_NAME">
    <vt:lpwstr>sAAA4E8dREqJqIpRn9axpbLBh8QnoKYBqjlNH9cuUtYce4s=</vt:lpwstr>
  </property>
  <property fmtid="{D5CDD505-2E9C-101B-9397-08002B2CF9AE}" pid="5" name="EMAIL_OWNER_ADDRESS">
    <vt:lpwstr>sAAAUYtyAkeNWR77g0aAsZgsRiM6WrRBYGBAF9CCX0CHWp8=</vt:lpwstr>
  </property>
</Properties>
</file>