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ADB" w:rsidRPr="001F2A5D" w:rsidRDefault="005B6ADB" w:rsidP="005B6ADB">
      <w:pPr>
        <w:tabs>
          <w:tab w:val="center" w:pos="4680"/>
        </w:tabs>
        <w:jc w:val="center"/>
        <w:rPr>
          <w:rFonts w:ascii="Times New Roman" w:hAnsi="Times New Roman"/>
          <w:szCs w:val="24"/>
        </w:rPr>
      </w:pPr>
      <w:bookmarkStart w:id="0" w:name="_GoBack"/>
      <w:bookmarkEnd w:id="0"/>
      <w:r w:rsidRPr="001F2A5D">
        <w:rPr>
          <w:rFonts w:ascii="Times New Roman" w:hAnsi="Times New Roman"/>
          <w:szCs w:val="24"/>
        </w:rPr>
        <w:t xml:space="preserve">SUPPORTING STATEMENT  </w:t>
      </w:r>
    </w:p>
    <w:p w:rsidR="005B6ADB" w:rsidRPr="001F2A5D" w:rsidRDefault="001F2A5D" w:rsidP="00485697">
      <w:pPr>
        <w:tabs>
          <w:tab w:val="center" w:pos="4680"/>
        </w:tabs>
        <w:jc w:val="center"/>
        <w:rPr>
          <w:rFonts w:ascii="Times New Roman" w:hAnsi="Times New Roman"/>
          <w:szCs w:val="24"/>
        </w:rPr>
      </w:pPr>
      <w:r w:rsidRPr="001F2A5D">
        <w:rPr>
          <w:rFonts w:ascii="Times New Roman" w:hAnsi="Times New Roman"/>
          <w:szCs w:val="24"/>
        </w:rPr>
        <w:t>“</w:t>
      </w:r>
      <w:r w:rsidR="00485697" w:rsidRPr="001F2A5D">
        <w:rPr>
          <w:rFonts w:ascii="Times New Roman" w:hAnsi="Times New Roman"/>
          <w:szCs w:val="24"/>
        </w:rPr>
        <w:t>Recordkeeping for Timely Deposit Insurance Determination</w:t>
      </w:r>
      <w:r w:rsidRPr="001F2A5D">
        <w:rPr>
          <w:rFonts w:ascii="Times New Roman" w:hAnsi="Times New Roman"/>
          <w:szCs w:val="24"/>
        </w:rPr>
        <w:t>”</w:t>
      </w:r>
    </w:p>
    <w:p w:rsidR="008C29DB" w:rsidRPr="001F2A5D" w:rsidRDefault="00175B53" w:rsidP="00485697">
      <w:pPr>
        <w:tabs>
          <w:tab w:val="center" w:pos="4680"/>
        </w:tabs>
        <w:jc w:val="center"/>
        <w:rPr>
          <w:rFonts w:ascii="Times New Roman" w:hAnsi="Times New Roman"/>
          <w:szCs w:val="24"/>
        </w:rPr>
      </w:pPr>
      <w:r w:rsidRPr="001F2A5D">
        <w:rPr>
          <w:rFonts w:ascii="Times New Roman" w:hAnsi="Times New Roman"/>
          <w:szCs w:val="24"/>
        </w:rPr>
        <w:t xml:space="preserve">(OMB Control No. </w:t>
      </w:r>
      <w:r w:rsidR="008C29DB" w:rsidRPr="001F2A5D">
        <w:rPr>
          <w:rFonts w:ascii="Times New Roman" w:hAnsi="Times New Roman"/>
          <w:szCs w:val="24"/>
        </w:rPr>
        <w:t>3064-</w:t>
      </w:r>
      <w:r w:rsidR="001F2A5D">
        <w:rPr>
          <w:rFonts w:ascii="Times New Roman" w:hAnsi="Times New Roman"/>
          <w:szCs w:val="24"/>
        </w:rPr>
        <w:t>0202</w:t>
      </w:r>
      <w:r w:rsidRPr="001F2A5D">
        <w:rPr>
          <w:rFonts w:ascii="Times New Roman" w:hAnsi="Times New Roman"/>
          <w:szCs w:val="24"/>
        </w:rPr>
        <w:t>)</w:t>
      </w:r>
    </w:p>
    <w:p w:rsidR="005B6ADB" w:rsidRPr="001F2A5D" w:rsidRDefault="005B6ADB" w:rsidP="005B6ADB">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5B6ADB" w:rsidRPr="001F2A5D" w:rsidRDefault="005B6ADB" w:rsidP="005B6ADB">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r w:rsidRPr="001F2A5D">
        <w:rPr>
          <w:rFonts w:ascii="Times New Roman" w:hAnsi="Times New Roman"/>
          <w:szCs w:val="24"/>
          <w:u w:val="single"/>
        </w:rPr>
        <w:t>INTRODUCTION</w:t>
      </w:r>
    </w:p>
    <w:p w:rsidR="005B6ADB" w:rsidRPr="001F2A5D" w:rsidRDefault="005B6ADB" w:rsidP="005B6ADB">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1F2A5D" w:rsidRPr="001F2A5D" w:rsidRDefault="001F2A5D" w:rsidP="009938C8">
      <w:pPr>
        <w:rPr>
          <w:rFonts w:ascii="Times New Roman" w:hAnsi="Times New Roman"/>
          <w:szCs w:val="24"/>
        </w:rPr>
      </w:pPr>
      <w:r w:rsidRPr="001F2A5D">
        <w:rPr>
          <w:rFonts w:ascii="Times New Roman" w:hAnsi="Times New Roman"/>
          <w:szCs w:val="24"/>
        </w:rPr>
        <w:t xml:space="preserve">The Federal Deposit Insurance Corporation (FDIC) is submitting for Office of Management and Budget (OMB) review a </w:t>
      </w:r>
      <w:r w:rsidR="006F1722">
        <w:rPr>
          <w:rFonts w:ascii="Times New Roman" w:hAnsi="Times New Roman"/>
          <w:szCs w:val="24"/>
        </w:rPr>
        <w:t xml:space="preserve">revision of its information collection entitled “Recordkeeping for Timely Deposit Insurance Determination” stemming from a </w:t>
      </w:r>
      <w:r w:rsidR="007935C0">
        <w:rPr>
          <w:rFonts w:ascii="Times New Roman" w:hAnsi="Times New Roman"/>
          <w:szCs w:val="24"/>
        </w:rPr>
        <w:t>notice of proposed rulemaking to revise the FDIC’s rule</w:t>
      </w:r>
      <w:r w:rsidRPr="001F2A5D">
        <w:rPr>
          <w:rFonts w:ascii="Times New Roman" w:hAnsi="Times New Roman"/>
          <w:szCs w:val="24"/>
        </w:rPr>
        <w:t xml:space="preserve"> entitled Recordkeeping for Timely Deposit Insurance Determination</w:t>
      </w:r>
      <w:r w:rsidR="007935C0" w:rsidRPr="009938C8">
        <w:rPr>
          <w:rStyle w:val="FootnoteReference"/>
          <w:szCs w:val="24"/>
          <w:vertAlign w:val="superscript"/>
        </w:rPr>
        <w:footnoteReference w:id="2"/>
      </w:r>
      <w:r w:rsidR="00D034B3">
        <w:rPr>
          <w:rFonts w:ascii="Times New Roman" w:hAnsi="Times New Roman"/>
          <w:szCs w:val="24"/>
        </w:rPr>
        <w:t xml:space="preserve"> </w:t>
      </w:r>
      <w:r w:rsidR="007935C0" w:rsidRPr="001F2A5D">
        <w:rPr>
          <w:rFonts w:ascii="Times New Roman" w:hAnsi="Times New Roman"/>
          <w:szCs w:val="24"/>
        </w:rPr>
        <w:t>(</w:t>
      </w:r>
      <w:r w:rsidR="007935C0">
        <w:rPr>
          <w:rFonts w:ascii="Times New Roman" w:hAnsi="Times New Roman"/>
          <w:szCs w:val="24"/>
        </w:rPr>
        <w:t xml:space="preserve">the “NPR” </w:t>
      </w:r>
      <w:r w:rsidR="000E7130">
        <w:rPr>
          <w:rFonts w:ascii="Times New Roman" w:hAnsi="Times New Roman"/>
          <w:szCs w:val="24"/>
        </w:rPr>
        <w:t>or</w:t>
      </w:r>
      <w:r w:rsidR="007935C0">
        <w:rPr>
          <w:rFonts w:ascii="Times New Roman" w:hAnsi="Times New Roman"/>
          <w:szCs w:val="24"/>
        </w:rPr>
        <w:t xml:space="preserve"> the </w:t>
      </w:r>
      <w:r w:rsidR="007935C0" w:rsidRPr="001F2A5D">
        <w:rPr>
          <w:rFonts w:ascii="Times New Roman" w:hAnsi="Times New Roman"/>
          <w:szCs w:val="24"/>
        </w:rPr>
        <w:t>“</w:t>
      </w:r>
      <w:r w:rsidR="007935C0">
        <w:rPr>
          <w:rFonts w:ascii="Times New Roman" w:hAnsi="Times New Roman"/>
          <w:szCs w:val="24"/>
        </w:rPr>
        <w:t>proposed</w:t>
      </w:r>
      <w:r w:rsidR="007935C0" w:rsidRPr="001F2A5D">
        <w:rPr>
          <w:rFonts w:ascii="Times New Roman" w:hAnsi="Times New Roman"/>
          <w:szCs w:val="24"/>
        </w:rPr>
        <w:t xml:space="preserve"> rule”)</w:t>
      </w:r>
      <w:r w:rsidRPr="001F2A5D">
        <w:rPr>
          <w:rFonts w:ascii="Times New Roman" w:hAnsi="Times New Roman"/>
          <w:szCs w:val="24"/>
        </w:rPr>
        <w:t xml:space="preserve">.  The </w:t>
      </w:r>
      <w:r w:rsidR="00D034B3">
        <w:rPr>
          <w:rFonts w:ascii="Times New Roman" w:hAnsi="Times New Roman"/>
          <w:szCs w:val="24"/>
        </w:rPr>
        <w:t>proposed</w:t>
      </w:r>
      <w:r w:rsidR="00D034B3" w:rsidRPr="001F2A5D">
        <w:rPr>
          <w:rFonts w:ascii="Times New Roman" w:hAnsi="Times New Roman"/>
          <w:szCs w:val="24"/>
        </w:rPr>
        <w:t xml:space="preserve"> </w:t>
      </w:r>
      <w:r w:rsidRPr="001F2A5D">
        <w:rPr>
          <w:rFonts w:ascii="Times New Roman" w:hAnsi="Times New Roman"/>
          <w:szCs w:val="24"/>
        </w:rPr>
        <w:t xml:space="preserve">rule </w:t>
      </w:r>
      <w:r w:rsidR="00D034B3">
        <w:rPr>
          <w:rFonts w:ascii="Times New Roman" w:hAnsi="Times New Roman"/>
          <w:szCs w:val="24"/>
        </w:rPr>
        <w:t>is intended to reduce recordkeeping and reporting burden by modifying</w:t>
      </w:r>
      <w:r w:rsidR="00D034B3" w:rsidRPr="001F2A5D">
        <w:rPr>
          <w:rFonts w:ascii="Times New Roman" w:hAnsi="Times New Roman"/>
          <w:szCs w:val="24"/>
        </w:rPr>
        <w:t xml:space="preserve"> </w:t>
      </w:r>
      <w:r w:rsidRPr="001F2A5D">
        <w:rPr>
          <w:rFonts w:ascii="Times New Roman" w:hAnsi="Times New Roman"/>
          <w:szCs w:val="24"/>
        </w:rPr>
        <w:t xml:space="preserve">information technology system and recordkeeping requirements </w:t>
      </w:r>
      <w:r w:rsidR="007935C0">
        <w:rPr>
          <w:rFonts w:ascii="Times New Roman" w:hAnsi="Times New Roman"/>
          <w:szCs w:val="24"/>
        </w:rPr>
        <w:t xml:space="preserve">in </w:t>
      </w:r>
      <w:r w:rsidR="006F1722">
        <w:rPr>
          <w:rFonts w:ascii="Times New Roman" w:hAnsi="Times New Roman"/>
          <w:szCs w:val="24"/>
        </w:rPr>
        <w:t xml:space="preserve">12 CFR </w:t>
      </w:r>
      <w:r w:rsidR="007935C0">
        <w:rPr>
          <w:rFonts w:ascii="Times New Roman" w:hAnsi="Times New Roman"/>
          <w:szCs w:val="24"/>
        </w:rPr>
        <w:t>Part 370, which applies to</w:t>
      </w:r>
      <w:r w:rsidR="007935C0" w:rsidRPr="001F2A5D">
        <w:rPr>
          <w:rFonts w:ascii="Times New Roman" w:hAnsi="Times New Roman"/>
          <w:szCs w:val="24"/>
        </w:rPr>
        <w:t xml:space="preserve"> </w:t>
      </w:r>
      <w:r w:rsidRPr="001F2A5D">
        <w:rPr>
          <w:rFonts w:ascii="Times New Roman" w:hAnsi="Times New Roman"/>
          <w:szCs w:val="24"/>
        </w:rPr>
        <w:t>insured depository institutions with two million or more deposit accounts (“covered institutions”).</w:t>
      </w:r>
    </w:p>
    <w:p w:rsidR="001F2A5D" w:rsidRPr="001F2A5D" w:rsidRDefault="001F2A5D" w:rsidP="0043292B">
      <w:pPr>
        <w:ind w:firstLine="720"/>
        <w:rPr>
          <w:rFonts w:ascii="Times New Roman" w:hAnsi="Times New Roman"/>
          <w:szCs w:val="24"/>
        </w:rPr>
      </w:pPr>
    </w:p>
    <w:p w:rsidR="001F2A5D" w:rsidRDefault="001F2A5D" w:rsidP="009938C8">
      <w:pPr>
        <w:rPr>
          <w:rFonts w:ascii="Times New Roman" w:hAnsi="Times New Roman"/>
          <w:szCs w:val="24"/>
        </w:rPr>
      </w:pPr>
      <w:r w:rsidRPr="001F2A5D">
        <w:rPr>
          <w:rFonts w:ascii="Times New Roman" w:hAnsi="Times New Roman"/>
          <w:szCs w:val="24"/>
        </w:rPr>
        <w:t xml:space="preserve">Under </w:t>
      </w:r>
      <w:r w:rsidR="007935C0">
        <w:rPr>
          <w:rFonts w:ascii="Times New Roman" w:hAnsi="Times New Roman"/>
          <w:szCs w:val="24"/>
        </w:rPr>
        <w:t>Part 370</w:t>
      </w:r>
      <w:r w:rsidRPr="001F2A5D">
        <w:rPr>
          <w:rFonts w:ascii="Times New Roman" w:hAnsi="Times New Roman"/>
          <w:szCs w:val="24"/>
        </w:rPr>
        <w:t xml:space="preserve">, covered institutions </w:t>
      </w:r>
      <w:r w:rsidR="007935C0">
        <w:rPr>
          <w:rFonts w:ascii="Times New Roman" w:hAnsi="Times New Roman"/>
          <w:szCs w:val="24"/>
        </w:rPr>
        <w:t xml:space="preserve">are </w:t>
      </w:r>
      <w:r w:rsidR="00D4499E">
        <w:rPr>
          <w:rFonts w:ascii="Times New Roman" w:hAnsi="Times New Roman"/>
          <w:szCs w:val="24"/>
        </w:rPr>
        <w:t xml:space="preserve">required </w:t>
      </w:r>
      <w:r w:rsidR="00D4499E" w:rsidRPr="001F2A5D">
        <w:rPr>
          <w:rFonts w:ascii="Times New Roman" w:hAnsi="Times New Roman"/>
          <w:szCs w:val="24"/>
        </w:rPr>
        <w:t>to</w:t>
      </w:r>
      <w:r w:rsidRPr="001F2A5D">
        <w:rPr>
          <w:rFonts w:ascii="Times New Roman" w:hAnsi="Times New Roman"/>
          <w:szCs w:val="24"/>
        </w:rPr>
        <w:t xml:space="preserve"> </w:t>
      </w:r>
      <w:r w:rsidR="007935C0">
        <w:rPr>
          <w:rFonts w:ascii="Times New Roman" w:hAnsi="Times New Roman"/>
          <w:szCs w:val="24"/>
        </w:rPr>
        <w:t>develop</w:t>
      </w:r>
      <w:r w:rsidRPr="001F2A5D">
        <w:rPr>
          <w:rFonts w:ascii="Times New Roman" w:hAnsi="Times New Roman"/>
          <w:szCs w:val="24"/>
        </w:rPr>
        <w:t xml:space="preserve"> recordkeeping and information technology systems to facilitate the FDIC’s determination of deposit insurance coverage for depositors in the event of the covered institution’s failure. Covered institutions can obtain relief from certain of the final rule’s requirements under specific circumstances </w:t>
      </w:r>
      <w:r w:rsidR="007935C0">
        <w:rPr>
          <w:rFonts w:ascii="Times New Roman" w:hAnsi="Times New Roman"/>
          <w:szCs w:val="24"/>
        </w:rPr>
        <w:t>set forth in Part 370</w:t>
      </w:r>
      <w:r w:rsidRPr="001F2A5D">
        <w:rPr>
          <w:rFonts w:ascii="Times New Roman" w:hAnsi="Times New Roman"/>
          <w:szCs w:val="24"/>
        </w:rPr>
        <w:t>.  Beginning three years after the final rule’s effective date, covered institutions will need to certify annually that they satisfy the recordkeeping and information technology requirements. Along with that certification, they will need to provide a summary report detailing the extent to which the covered institution’s information technology system can calculate deposit insurance coverage available in connection with each deposit account.</w:t>
      </w:r>
    </w:p>
    <w:p w:rsidR="007935C0" w:rsidRDefault="007935C0" w:rsidP="0043292B">
      <w:pPr>
        <w:ind w:firstLine="720"/>
        <w:rPr>
          <w:rFonts w:ascii="Times New Roman" w:hAnsi="Times New Roman"/>
          <w:szCs w:val="24"/>
        </w:rPr>
      </w:pPr>
    </w:p>
    <w:p w:rsidR="009932B7" w:rsidRPr="009932B7" w:rsidRDefault="00EC21C7" w:rsidP="009938C8">
      <w:pPr>
        <w:rPr>
          <w:rFonts w:ascii="Times New Roman" w:hAnsi="Times New Roman"/>
          <w:szCs w:val="24"/>
        </w:rPr>
      </w:pPr>
      <w:r>
        <w:rPr>
          <w:rFonts w:ascii="Times New Roman" w:hAnsi="Times New Roman"/>
          <w:szCs w:val="24"/>
        </w:rPr>
        <w:t>The</w:t>
      </w:r>
      <w:r w:rsidRPr="009932B7">
        <w:rPr>
          <w:rFonts w:ascii="Times New Roman" w:hAnsi="Times New Roman"/>
          <w:szCs w:val="24"/>
        </w:rPr>
        <w:t xml:space="preserve"> FDIC is issuing </w:t>
      </w:r>
      <w:r>
        <w:rPr>
          <w:rFonts w:ascii="Times New Roman" w:hAnsi="Times New Roman"/>
          <w:szCs w:val="24"/>
        </w:rPr>
        <w:t xml:space="preserve">a new NPR proposing to </w:t>
      </w:r>
      <w:r w:rsidR="009932B7">
        <w:rPr>
          <w:rFonts w:ascii="Times New Roman" w:hAnsi="Times New Roman"/>
          <w:szCs w:val="24"/>
        </w:rPr>
        <w:t xml:space="preserve">amend Part 370.  Under the proposed rule, Part 370 would be amended </w:t>
      </w:r>
      <w:r w:rsidR="009932B7" w:rsidRPr="009932B7">
        <w:rPr>
          <w:rFonts w:ascii="Times New Roman" w:hAnsi="Times New Roman"/>
          <w:szCs w:val="24"/>
        </w:rPr>
        <w:t>to</w:t>
      </w:r>
      <w:r w:rsidR="009932B7">
        <w:rPr>
          <w:rFonts w:ascii="Times New Roman" w:hAnsi="Times New Roman"/>
          <w:szCs w:val="24"/>
        </w:rPr>
        <w:t>:</w:t>
      </w:r>
      <w:r w:rsidR="009932B7" w:rsidRPr="009932B7">
        <w:rPr>
          <w:rFonts w:ascii="Times New Roman" w:hAnsi="Times New Roman"/>
          <w:szCs w:val="24"/>
        </w:rPr>
        <w:t xml:space="preserve"> provide for elective extension of the compliance date</w:t>
      </w:r>
      <w:r w:rsidR="009932B7">
        <w:rPr>
          <w:rFonts w:ascii="Times New Roman" w:hAnsi="Times New Roman"/>
          <w:szCs w:val="24"/>
        </w:rPr>
        <w:t>;</w:t>
      </w:r>
      <w:r w:rsidR="009932B7" w:rsidRPr="009932B7">
        <w:rPr>
          <w:rFonts w:ascii="Times New Roman" w:hAnsi="Times New Roman"/>
          <w:szCs w:val="24"/>
        </w:rPr>
        <w:t xml:space="preserve"> revise the treatment of deposits created by c</w:t>
      </w:r>
      <w:r w:rsidR="009932B7">
        <w:rPr>
          <w:rFonts w:ascii="Times New Roman" w:hAnsi="Times New Roman"/>
          <w:szCs w:val="24"/>
        </w:rPr>
        <w:t>redit balances on debt accounts;</w:t>
      </w:r>
      <w:r w:rsidR="009932B7" w:rsidRPr="009932B7">
        <w:rPr>
          <w:rFonts w:ascii="Times New Roman" w:hAnsi="Times New Roman"/>
          <w:szCs w:val="24"/>
        </w:rPr>
        <w:t xml:space="preserve"> modify the requirements relating to accou</w:t>
      </w:r>
      <w:r w:rsidR="009932B7">
        <w:rPr>
          <w:rFonts w:ascii="Times New Roman" w:hAnsi="Times New Roman"/>
          <w:szCs w:val="24"/>
        </w:rPr>
        <w:t>nts with transactional features;</w:t>
      </w:r>
      <w:r w:rsidR="009932B7" w:rsidRPr="009932B7">
        <w:rPr>
          <w:rFonts w:ascii="Times New Roman" w:hAnsi="Times New Roman"/>
          <w:szCs w:val="24"/>
        </w:rPr>
        <w:t xml:space="preserve"> change the </w:t>
      </w:r>
      <w:r w:rsidR="009932B7">
        <w:rPr>
          <w:rFonts w:ascii="Times New Roman" w:hAnsi="Times New Roman"/>
          <w:szCs w:val="24"/>
        </w:rPr>
        <w:t>procedures regarding exceptions;</w:t>
      </w:r>
      <w:r w:rsidR="009932B7" w:rsidRPr="009932B7">
        <w:rPr>
          <w:rFonts w:ascii="Times New Roman" w:hAnsi="Times New Roman"/>
          <w:szCs w:val="24"/>
        </w:rPr>
        <w:t xml:space="preserve"> and clarify matters relating to certification requirements. The proposed amendments would also make certain technical changes to Part 370 and correct typographical errors. </w:t>
      </w:r>
    </w:p>
    <w:p w:rsidR="005B6ADB" w:rsidRPr="001F2A5D" w:rsidRDefault="005B6ADB" w:rsidP="009938C8">
      <w:pPr>
        <w:ind w:firstLine="720"/>
        <w:rPr>
          <w:rFonts w:ascii="Times New Roman" w:hAnsi="Times New Roman"/>
          <w:szCs w:val="24"/>
        </w:rPr>
      </w:pPr>
    </w:p>
    <w:p w:rsidR="005B6ADB" w:rsidRPr="001F2A5D" w:rsidRDefault="005B6ADB" w:rsidP="005B6ADB">
      <w:pPr>
        <w:rPr>
          <w:rFonts w:ascii="Times New Roman" w:hAnsi="Times New Roman"/>
          <w:szCs w:val="24"/>
        </w:rPr>
      </w:pPr>
      <w:r w:rsidRPr="001F2A5D">
        <w:rPr>
          <w:rFonts w:ascii="Times New Roman" w:hAnsi="Times New Roman"/>
          <w:szCs w:val="24"/>
        </w:rPr>
        <w:t>A.</w:t>
      </w:r>
      <w:r w:rsidRPr="001F2A5D">
        <w:rPr>
          <w:rFonts w:ascii="Times New Roman" w:hAnsi="Times New Roman"/>
          <w:szCs w:val="24"/>
        </w:rPr>
        <w:tab/>
      </w:r>
      <w:r w:rsidRPr="001F2A5D">
        <w:rPr>
          <w:rFonts w:ascii="Times New Roman" w:hAnsi="Times New Roman"/>
          <w:szCs w:val="24"/>
          <w:u w:val="single"/>
        </w:rPr>
        <w:t>JUSTIFICATION</w:t>
      </w:r>
    </w:p>
    <w:p w:rsidR="005B6ADB" w:rsidRPr="001F2A5D" w:rsidRDefault="005B6ADB" w:rsidP="005B6ADB">
      <w:pPr>
        <w:rPr>
          <w:rFonts w:ascii="Times New Roman" w:hAnsi="Times New Roman"/>
          <w:szCs w:val="24"/>
        </w:rPr>
      </w:pPr>
    </w:p>
    <w:p w:rsidR="005B6ADB" w:rsidRPr="001F2A5D" w:rsidRDefault="005B6ADB" w:rsidP="009938C8">
      <w:pPr>
        <w:rPr>
          <w:rFonts w:ascii="Times New Roman" w:hAnsi="Times New Roman"/>
          <w:szCs w:val="24"/>
        </w:rPr>
      </w:pPr>
      <w:r w:rsidRPr="001F2A5D">
        <w:rPr>
          <w:rFonts w:ascii="Times New Roman" w:hAnsi="Times New Roman"/>
          <w:szCs w:val="24"/>
        </w:rPr>
        <w:t>1.</w:t>
      </w:r>
      <w:r w:rsidRPr="001F2A5D">
        <w:rPr>
          <w:rFonts w:ascii="Times New Roman" w:hAnsi="Times New Roman"/>
          <w:szCs w:val="24"/>
        </w:rPr>
        <w:tab/>
      </w:r>
      <w:r w:rsidR="00B662BE" w:rsidRPr="00B662BE">
        <w:rPr>
          <w:rFonts w:ascii="Times New Roman" w:hAnsi="Times New Roman"/>
          <w:bCs/>
          <w:szCs w:val="24"/>
          <w:u w:val="single"/>
        </w:rPr>
        <w:t>Circumstances that make the collection necessary:</w:t>
      </w:r>
    </w:p>
    <w:p w:rsidR="005B6ADB" w:rsidRPr="001F2A5D" w:rsidRDefault="005B6ADB" w:rsidP="005B6ADB">
      <w:pPr>
        <w:rPr>
          <w:rFonts w:ascii="Times New Roman" w:hAnsi="Times New Roman"/>
          <w:szCs w:val="24"/>
        </w:rPr>
      </w:pPr>
    </w:p>
    <w:p w:rsidR="001F2A5D" w:rsidRPr="001F2A5D" w:rsidRDefault="001F2A5D" w:rsidP="009938C8">
      <w:pPr>
        <w:rPr>
          <w:rFonts w:ascii="Times New Roman" w:hAnsi="Times New Roman"/>
          <w:szCs w:val="24"/>
        </w:rPr>
      </w:pPr>
      <w:r w:rsidRPr="001F2A5D">
        <w:rPr>
          <w:rFonts w:ascii="Times New Roman" w:hAnsi="Times New Roman"/>
          <w:szCs w:val="24"/>
        </w:rPr>
        <w:t xml:space="preserve">Under the FDI Act, the FDIC is responsible for paying deposit insurance “as soon as possible” following the failure of an </w:t>
      </w:r>
      <w:r w:rsidR="004F0C61">
        <w:rPr>
          <w:rFonts w:ascii="Times New Roman" w:hAnsi="Times New Roman"/>
          <w:szCs w:val="24"/>
        </w:rPr>
        <w:t>insured depository institution (“</w:t>
      </w:r>
      <w:r w:rsidRPr="001F2A5D">
        <w:rPr>
          <w:rFonts w:ascii="Times New Roman" w:hAnsi="Times New Roman"/>
          <w:szCs w:val="24"/>
        </w:rPr>
        <w:t>IDI</w:t>
      </w:r>
      <w:r w:rsidR="004F0C61">
        <w:rPr>
          <w:rFonts w:ascii="Times New Roman" w:hAnsi="Times New Roman"/>
          <w:szCs w:val="24"/>
        </w:rPr>
        <w:t>”)</w:t>
      </w:r>
      <w:r w:rsidRPr="001F2A5D">
        <w:rPr>
          <w:rFonts w:ascii="Times New Roman" w:hAnsi="Times New Roman"/>
          <w:szCs w:val="24"/>
        </w:rPr>
        <w:t>.</w:t>
      </w:r>
      <w:r w:rsidRPr="001F2A5D">
        <w:rPr>
          <w:rFonts w:ascii="Times New Roman" w:hAnsi="Times New Roman"/>
          <w:szCs w:val="24"/>
          <w:vertAlign w:val="superscript"/>
        </w:rPr>
        <w:footnoteReference w:id="3"/>
      </w:r>
      <w:r w:rsidRPr="001F2A5D">
        <w:rPr>
          <w:rFonts w:ascii="Times New Roman" w:hAnsi="Times New Roman"/>
          <w:szCs w:val="24"/>
        </w:rPr>
        <w:t xml:space="preserve">  It must also implement the resolution of a failed IDI at the least cost to the </w:t>
      </w:r>
      <w:r w:rsidR="004F0C61">
        <w:rPr>
          <w:rFonts w:ascii="Times New Roman" w:hAnsi="Times New Roman"/>
          <w:szCs w:val="24"/>
        </w:rPr>
        <w:t>Deposit Insurance Fund</w:t>
      </w:r>
      <w:r w:rsidRPr="001F2A5D">
        <w:rPr>
          <w:rFonts w:ascii="Times New Roman" w:hAnsi="Times New Roman"/>
          <w:szCs w:val="24"/>
        </w:rPr>
        <w:t>.</w:t>
      </w:r>
      <w:r w:rsidRPr="001F2A5D">
        <w:rPr>
          <w:rStyle w:val="FootnoteReference"/>
          <w:szCs w:val="24"/>
          <w:vertAlign w:val="superscript"/>
        </w:rPr>
        <w:footnoteReference w:id="4"/>
      </w:r>
      <w:r w:rsidRPr="001F2A5D">
        <w:rPr>
          <w:rFonts w:ascii="Times New Roman" w:hAnsi="Times New Roman"/>
          <w:szCs w:val="24"/>
        </w:rPr>
        <w:t xml:space="preserve">  </w:t>
      </w:r>
      <w:r w:rsidRPr="001F2A5D">
        <w:rPr>
          <w:rFonts w:ascii="Times New Roman" w:hAnsi="Times New Roman"/>
          <w:szCs w:val="24"/>
        </w:rPr>
        <w:lastRenderedPageBreak/>
        <w:t>To pay deposit insurance, the FDIC uses a failed IDI’s records to aggregate the amounts of all deposits that are maintained by a depositor in the same right and capacity and then applies the standard maximum deposit insurance amount (“SMDIA”) of $250,000.</w:t>
      </w:r>
      <w:r w:rsidRPr="001F2A5D">
        <w:rPr>
          <w:rFonts w:ascii="Times New Roman" w:hAnsi="Times New Roman"/>
          <w:szCs w:val="24"/>
          <w:vertAlign w:val="superscript"/>
        </w:rPr>
        <w:footnoteReference w:id="5"/>
      </w:r>
      <w:r w:rsidRPr="001F2A5D">
        <w:rPr>
          <w:rFonts w:ascii="Times New Roman" w:hAnsi="Times New Roman"/>
          <w:szCs w:val="24"/>
        </w:rPr>
        <w:t xml:space="preserve">  As authorized by law, the FDIC generally relies on the failed institution’s deposit account records to identify deposit owners and the right and capacity in which deposits are maintained.</w:t>
      </w:r>
      <w:r w:rsidRPr="001F2A5D">
        <w:rPr>
          <w:rFonts w:ascii="Times New Roman" w:hAnsi="Times New Roman"/>
          <w:szCs w:val="24"/>
          <w:vertAlign w:val="superscript"/>
        </w:rPr>
        <w:footnoteReference w:id="6"/>
      </w:r>
      <w:r w:rsidRPr="001F2A5D">
        <w:rPr>
          <w:rFonts w:ascii="Times New Roman" w:hAnsi="Times New Roman"/>
          <w:szCs w:val="24"/>
        </w:rPr>
        <w:t xml:space="preserve">  The FDIC has a right and a duty under section 7(a)(9) of the FDI Act to “take such action as may be necessary to ensure that each IDI maintains, and the [FDIC] receives on a regular basis from such institution, information on the total amount of all insured deposits, preferred deposits and uninsured deposits at the institution.”</w:t>
      </w:r>
      <w:r w:rsidRPr="001F2A5D">
        <w:rPr>
          <w:rStyle w:val="FootnoteReference"/>
          <w:szCs w:val="24"/>
          <w:vertAlign w:val="superscript"/>
        </w:rPr>
        <w:footnoteReference w:id="7"/>
      </w:r>
      <w:r w:rsidRPr="001F2A5D">
        <w:rPr>
          <w:rFonts w:ascii="Times New Roman" w:hAnsi="Times New Roman"/>
          <w:szCs w:val="24"/>
          <w:vertAlign w:val="superscript"/>
        </w:rPr>
        <w:t xml:space="preserve"> </w:t>
      </w:r>
      <w:r w:rsidRPr="001F2A5D">
        <w:rPr>
          <w:rFonts w:ascii="Times New Roman" w:hAnsi="Times New Roman"/>
          <w:szCs w:val="24"/>
        </w:rPr>
        <w:t xml:space="preserve"> </w:t>
      </w:r>
    </w:p>
    <w:p w:rsidR="001F2A5D" w:rsidRPr="001F2A5D" w:rsidRDefault="001F2A5D" w:rsidP="005B6ADB">
      <w:pPr>
        <w:rPr>
          <w:rFonts w:ascii="Times New Roman" w:hAnsi="Times New Roman"/>
          <w:szCs w:val="24"/>
        </w:rPr>
      </w:pPr>
    </w:p>
    <w:p w:rsidR="005B6ADB" w:rsidRDefault="005B6ADB" w:rsidP="009938C8">
      <w:pPr>
        <w:rPr>
          <w:rFonts w:ascii="Times New Roman" w:hAnsi="Times New Roman"/>
          <w:szCs w:val="24"/>
        </w:rPr>
      </w:pPr>
      <w:r w:rsidRPr="001F2A5D">
        <w:rPr>
          <w:rFonts w:ascii="Times New Roman" w:hAnsi="Times New Roman"/>
          <w:szCs w:val="24"/>
        </w:rPr>
        <w:t xml:space="preserve">Deposits have become more concentrated in large IDIs.  From 2008 through 2014, the largest number of deposit accounts held at a single IDI increased 42 per cent, and the number of deposit accounts at the ten IDIs having the most deposit accounts increased 25 percent.  The increased concentration of deposits is partly a function of the IDIs’ internal growth, but it is also attributable to acquisitions during this time period.  As a result of this concentration, many IDIs are even more complex than before, </w:t>
      </w:r>
      <w:r w:rsidR="00EB35A7" w:rsidRPr="001F2A5D">
        <w:rPr>
          <w:rFonts w:ascii="Times New Roman" w:hAnsi="Times New Roman"/>
          <w:szCs w:val="24"/>
        </w:rPr>
        <w:t xml:space="preserve">resulting in </w:t>
      </w:r>
      <w:r w:rsidRPr="001F2A5D">
        <w:rPr>
          <w:rFonts w:ascii="Times New Roman" w:hAnsi="Times New Roman"/>
          <w:szCs w:val="24"/>
        </w:rPr>
        <w:t xml:space="preserve">greater potential for significant </w:t>
      </w:r>
      <w:r w:rsidR="00EB35A7" w:rsidRPr="001F2A5D">
        <w:rPr>
          <w:rFonts w:ascii="Times New Roman" w:hAnsi="Times New Roman"/>
          <w:szCs w:val="24"/>
        </w:rPr>
        <w:t xml:space="preserve">internal </w:t>
      </w:r>
      <w:r w:rsidRPr="001F2A5D">
        <w:rPr>
          <w:rFonts w:ascii="Times New Roman" w:hAnsi="Times New Roman"/>
          <w:szCs w:val="24"/>
        </w:rPr>
        <w:t xml:space="preserve">IT systems disparities as well as data accuracy and completeness problems.  Larger institutions are generally more complex, have more deposit accounts, greater geographic dispersion, more diverse systems, and more data quality issues.  Because </w:t>
      </w:r>
      <w:r w:rsidR="00EB35A7" w:rsidRPr="001F2A5D">
        <w:rPr>
          <w:rFonts w:ascii="Times New Roman" w:hAnsi="Times New Roman"/>
          <w:szCs w:val="24"/>
        </w:rPr>
        <w:t xml:space="preserve">the perception that FDIC could be delayed </w:t>
      </w:r>
      <w:r w:rsidRPr="001F2A5D">
        <w:rPr>
          <w:rFonts w:ascii="Times New Roman" w:hAnsi="Times New Roman"/>
          <w:szCs w:val="24"/>
        </w:rPr>
        <w:t xml:space="preserve">in </w:t>
      </w:r>
      <w:r w:rsidR="00EB35A7" w:rsidRPr="001F2A5D">
        <w:rPr>
          <w:rFonts w:ascii="Times New Roman" w:hAnsi="Times New Roman"/>
          <w:szCs w:val="24"/>
        </w:rPr>
        <w:t xml:space="preserve">making deposit </w:t>
      </w:r>
      <w:r w:rsidRPr="001F2A5D">
        <w:rPr>
          <w:rFonts w:ascii="Times New Roman" w:hAnsi="Times New Roman"/>
          <w:szCs w:val="24"/>
        </w:rPr>
        <w:t>insurance determinations</w:t>
      </w:r>
      <w:r w:rsidR="00EB35A7" w:rsidRPr="001F2A5D">
        <w:rPr>
          <w:rFonts w:ascii="Times New Roman" w:hAnsi="Times New Roman"/>
          <w:szCs w:val="24"/>
        </w:rPr>
        <w:t xml:space="preserve"> in the event of the failure of an IDI</w:t>
      </w:r>
      <w:r w:rsidRPr="001F2A5D">
        <w:rPr>
          <w:rFonts w:ascii="Times New Roman" w:hAnsi="Times New Roman"/>
          <w:szCs w:val="24"/>
        </w:rPr>
        <w:t xml:space="preserve"> could lead to bank runs or other systemic problems, the FDIC implemented </w:t>
      </w:r>
      <w:r w:rsidR="00D034B3">
        <w:rPr>
          <w:rFonts w:ascii="Times New Roman" w:hAnsi="Times New Roman"/>
          <w:szCs w:val="24"/>
        </w:rPr>
        <w:t xml:space="preserve">improved strategies </w:t>
      </w:r>
      <w:r w:rsidRPr="001F2A5D">
        <w:rPr>
          <w:rFonts w:ascii="Times New Roman" w:hAnsi="Times New Roman"/>
          <w:szCs w:val="24"/>
        </w:rPr>
        <w:t xml:space="preserve">to ensure prompt deposit insurance determinations upon the failure of an IDI with a large number of deposit accounts.  </w:t>
      </w:r>
      <w:r w:rsidR="00D034B3">
        <w:rPr>
          <w:rFonts w:ascii="Times New Roman" w:hAnsi="Times New Roman"/>
          <w:szCs w:val="24"/>
        </w:rPr>
        <w:t>Part 370 requires</w:t>
      </w:r>
      <w:r w:rsidRPr="001F2A5D">
        <w:rPr>
          <w:rFonts w:ascii="Times New Roman" w:hAnsi="Times New Roman"/>
          <w:szCs w:val="24"/>
        </w:rPr>
        <w:t xml:space="preserve"> covered institutions to enhance their deposit account data and upgrade their IT systems </w:t>
      </w:r>
      <w:r w:rsidR="00D034B3">
        <w:rPr>
          <w:rFonts w:ascii="Times New Roman" w:hAnsi="Times New Roman"/>
          <w:szCs w:val="24"/>
        </w:rPr>
        <w:t>to allow the</w:t>
      </w:r>
      <w:r w:rsidRPr="001F2A5D">
        <w:rPr>
          <w:rFonts w:ascii="Times New Roman" w:hAnsi="Times New Roman"/>
          <w:szCs w:val="24"/>
        </w:rPr>
        <w:t xml:space="preserve"> FDIC </w:t>
      </w:r>
      <w:r w:rsidR="0027282C" w:rsidRPr="001F2A5D">
        <w:rPr>
          <w:rFonts w:ascii="Times New Roman" w:hAnsi="Times New Roman"/>
          <w:szCs w:val="24"/>
        </w:rPr>
        <w:t xml:space="preserve">to </w:t>
      </w:r>
      <w:r w:rsidRPr="001F2A5D">
        <w:rPr>
          <w:rFonts w:ascii="Times New Roman" w:hAnsi="Times New Roman"/>
          <w:szCs w:val="24"/>
        </w:rPr>
        <w:t xml:space="preserve">perform the deposit insurance determination on all or a significant subset of those covered institutions’ deposit accounts without </w:t>
      </w:r>
      <w:r w:rsidR="00EB35A7" w:rsidRPr="001F2A5D">
        <w:rPr>
          <w:rFonts w:ascii="Times New Roman" w:hAnsi="Times New Roman"/>
          <w:szCs w:val="24"/>
        </w:rPr>
        <w:t xml:space="preserve">the significant delay that </w:t>
      </w:r>
      <w:r w:rsidR="00DA7624" w:rsidRPr="001F2A5D">
        <w:rPr>
          <w:rFonts w:ascii="Times New Roman" w:hAnsi="Times New Roman"/>
          <w:szCs w:val="24"/>
        </w:rPr>
        <w:t>c</w:t>
      </w:r>
      <w:r w:rsidR="00EB35A7" w:rsidRPr="001F2A5D">
        <w:rPr>
          <w:rFonts w:ascii="Times New Roman" w:hAnsi="Times New Roman"/>
          <w:szCs w:val="24"/>
        </w:rPr>
        <w:t xml:space="preserve">ould be occasioned by </w:t>
      </w:r>
      <w:r w:rsidRPr="001F2A5D">
        <w:rPr>
          <w:rFonts w:ascii="Times New Roman" w:hAnsi="Times New Roman"/>
          <w:szCs w:val="24"/>
        </w:rPr>
        <w:t>transfer</w:t>
      </w:r>
      <w:r w:rsidR="00F91BEA">
        <w:rPr>
          <w:rFonts w:ascii="Times New Roman" w:hAnsi="Times New Roman"/>
          <w:szCs w:val="24"/>
        </w:rPr>
        <w:t>ring data</w:t>
      </w:r>
      <w:r w:rsidRPr="001F2A5D">
        <w:rPr>
          <w:rFonts w:ascii="Times New Roman" w:hAnsi="Times New Roman"/>
          <w:szCs w:val="24"/>
        </w:rPr>
        <w:t xml:space="preserve"> to </w:t>
      </w:r>
      <w:r w:rsidR="00F91BEA">
        <w:rPr>
          <w:rFonts w:ascii="Times New Roman" w:hAnsi="Times New Roman"/>
          <w:szCs w:val="24"/>
        </w:rPr>
        <w:t xml:space="preserve">an </w:t>
      </w:r>
      <w:r w:rsidRPr="001F2A5D">
        <w:rPr>
          <w:rFonts w:ascii="Times New Roman" w:hAnsi="Times New Roman"/>
          <w:szCs w:val="24"/>
        </w:rPr>
        <w:t>FDIC</w:t>
      </w:r>
      <w:r w:rsidR="00F91BEA">
        <w:rPr>
          <w:rFonts w:ascii="Times New Roman" w:hAnsi="Times New Roman"/>
          <w:szCs w:val="24"/>
        </w:rPr>
        <w:t xml:space="preserve"> IT system</w:t>
      </w:r>
      <w:r w:rsidR="0027282C" w:rsidRPr="001F2A5D">
        <w:rPr>
          <w:rFonts w:ascii="Times New Roman" w:hAnsi="Times New Roman"/>
          <w:szCs w:val="24"/>
        </w:rPr>
        <w:t>.</w:t>
      </w:r>
    </w:p>
    <w:p w:rsidR="00555452" w:rsidRDefault="00555452" w:rsidP="001F2A5D">
      <w:pPr>
        <w:ind w:firstLine="720"/>
        <w:rPr>
          <w:rFonts w:ascii="Times New Roman" w:hAnsi="Times New Roman"/>
          <w:szCs w:val="24"/>
        </w:rPr>
      </w:pPr>
    </w:p>
    <w:p w:rsidR="00555452" w:rsidRPr="00555452" w:rsidRDefault="00555452" w:rsidP="001F2A5D">
      <w:pPr>
        <w:ind w:firstLine="720"/>
        <w:rPr>
          <w:rFonts w:ascii="Times New Roman" w:hAnsi="Times New Roman"/>
          <w:szCs w:val="24"/>
        </w:rPr>
      </w:pPr>
      <w:r>
        <w:rPr>
          <w:rFonts w:ascii="Times New Roman" w:hAnsi="Times New Roman"/>
          <w:i/>
          <w:szCs w:val="24"/>
        </w:rPr>
        <w:t xml:space="preserve">Current Action: </w:t>
      </w:r>
    </w:p>
    <w:p w:rsidR="005B6ADB" w:rsidRDefault="005B6ADB" w:rsidP="00DA6652">
      <w:pPr>
        <w:widowControl/>
        <w:rPr>
          <w:rFonts w:ascii="Times New Roman" w:hAnsi="Times New Roman"/>
          <w:szCs w:val="24"/>
        </w:rPr>
      </w:pPr>
    </w:p>
    <w:p w:rsidR="009932B7" w:rsidRDefault="009932B7" w:rsidP="009938C8">
      <w:pPr>
        <w:rPr>
          <w:rFonts w:ascii="Times New Roman" w:hAnsi="Times New Roman"/>
          <w:szCs w:val="24"/>
        </w:rPr>
      </w:pPr>
      <w:r>
        <w:rPr>
          <w:rFonts w:ascii="Times New Roman" w:hAnsi="Times New Roman"/>
          <w:szCs w:val="24"/>
        </w:rPr>
        <w:t>The proposed rule would, among other things: provide</w:t>
      </w:r>
      <w:r w:rsidRPr="007935C0">
        <w:rPr>
          <w:rFonts w:ascii="Times New Roman" w:hAnsi="Times New Roman"/>
          <w:szCs w:val="24"/>
        </w:rPr>
        <w:t xml:space="preserve"> an optional one-year extension of the </w:t>
      </w:r>
      <w:r w:rsidR="004977B6">
        <w:rPr>
          <w:rFonts w:ascii="Times New Roman" w:hAnsi="Times New Roman"/>
          <w:szCs w:val="24"/>
        </w:rPr>
        <w:t xml:space="preserve">Part 370 </w:t>
      </w:r>
      <w:r w:rsidRPr="007935C0">
        <w:rPr>
          <w:rFonts w:ascii="Times New Roman" w:hAnsi="Times New Roman"/>
          <w:szCs w:val="24"/>
        </w:rPr>
        <w:t>compliance date upon notification to the FDIC;</w:t>
      </w:r>
      <w:r>
        <w:rPr>
          <w:rFonts w:ascii="Times New Roman" w:hAnsi="Times New Roman"/>
          <w:szCs w:val="24"/>
        </w:rPr>
        <w:t xml:space="preserve"> </w:t>
      </w:r>
      <w:r w:rsidRPr="007935C0">
        <w:rPr>
          <w:rFonts w:ascii="Times New Roman" w:hAnsi="Times New Roman"/>
          <w:szCs w:val="24"/>
        </w:rPr>
        <w:t xml:space="preserve">provide clarifications regarding certification of compliance under § 370.10, and the effect of a change in law or a merger on compliance; </w:t>
      </w:r>
      <w:r>
        <w:rPr>
          <w:rFonts w:ascii="Times New Roman" w:hAnsi="Times New Roman"/>
          <w:szCs w:val="24"/>
        </w:rPr>
        <w:t>p</w:t>
      </w:r>
      <w:r w:rsidRPr="007935C0">
        <w:rPr>
          <w:rFonts w:ascii="Times New Roman" w:hAnsi="Times New Roman"/>
          <w:szCs w:val="24"/>
        </w:rPr>
        <w:t>rovide for voluntary compliance with Part 370;</w:t>
      </w:r>
      <w:r>
        <w:rPr>
          <w:rFonts w:ascii="Times New Roman" w:hAnsi="Times New Roman"/>
          <w:szCs w:val="24"/>
        </w:rPr>
        <w:t xml:space="preserve"> </w:t>
      </w:r>
      <w:r w:rsidRPr="007935C0">
        <w:rPr>
          <w:rFonts w:ascii="Times New Roman" w:hAnsi="Times New Roman"/>
          <w:szCs w:val="24"/>
        </w:rPr>
        <w:t>revise the actions that must be taken under § 370.5(a) with respect to deposit accounts with transactional features that are insured on a pass-through basis; amend the recordkeeping requirements set forth in § 370.4 for certain types of deposit relationships; clarify the process for exceptions requested pursuant to § 370.8(b)</w:t>
      </w:r>
      <w:r>
        <w:rPr>
          <w:rFonts w:ascii="Times New Roman" w:hAnsi="Times New Roman"/>
          <w:szCs w:val="24"/>
        </w:rPr>
        <w:t>,</w:t>
      </w:r>
      <w:r w:rsidRPr="007935C0">
        <w:rPr>
          <w:rFonts w:ascii="Times New Roman" w:hAnsi="Times New Roman"/>
          <w:szCs w:val="24"/>
        </w:rPr>
        <w:t xml:space="preserve"> provide for published notice of the FDIC’s responses, and provide that certain </w:t>
      </w:r>
      <w:r>
        <w:rPr>
          <w:rFonts w:ascii="Times New Roman" w:hAnsi="Times New Roman"/>
          <w:szCs w:val="24"/>
        </w:rPr>
        <w:t xml:space="preserve">similar </w:t>
      </w:r>
      <w:r w:rsidRPr="007935C0">
        <w:rPr>
          <w:rFonts w:ascii="Times New Roman" w:hAnsi="Times New Roman"/>
          <w:szCs w:val="24"/>
        </w:rPr>
        <w:t>exceptions may be deemed granted; and</w:t>
      </w:r>
      <w:r>
        <w:rPr>
          <w:rFonts w:ascii="Times New Roman" w:hAnsi="Times New Roman"/>
          <w:szCs w:val="24"/>
        </w:rPr>
        <w:t xml:space="preserve"> </w:t>
      </w:r>
      <w:r w:rsidRPr="007935C0">
        <w:rPr>
          <w:rFonts w:ascii="Times New Roman" w:hAnsi="Times New Roman"/>
          <w:szCs w:val="24"/>
        </w:rPr>
        <w:t>make corrections and technical and conforming changes.</w:t>
      </w:r>
    </w:p>
    <w:p w:rsidR="009932B7" w:rsidRPr="001F2A5D" w:rsidRDefault="009932B7" w:rsidP="00DA6652">
      <w:pPr>
        <w:widowControl/>
        <w:rPr>
          <w:rFonts w:ascii="Times New Roman" w:hAnsi="Times New Roman"/>
          <w:szCs w:val="24"/>
        </w:rPr>
      </w:pPr>
    </w:p>
    <w:p w:rsidR="005B6ADB" w:rsidRPr="001F2A5D" w:rsidRDefault="005B6ADB" w:rsidP="009938C8">
      <w:pPr>
        <w:rPr>
          <w:rFonts w:ascii="Times New Roman" w:hAnsi="Times New Roman"/>
          <w:szCs w:val="24"/>
        </w:rPr>
      </w:pPr>
      <w:r w:rsidRPr="001F2A5D">
        <w:rPr>
          <w:rFonts w:ascii="Times New Roman" w:hAnsi="Times New Roman"/>
          <w:szCs w:val="24"/>
        </w:rPr>
        <w:t>2.</w:t>
      </w:r>
      <w:r w:rsidRPr="001F2A5D">
        <w:rPr>
          <w:rFonts w:ascii="Times New Roman" w:hAnsi="Times New Roman"/>
          <w:szCs w:val="24"/>
        </w:rPr>
        <w:tab/>
      </w:r>
      <w:r w:rsidRPr="001F2A5D">
        <w:rPr>
          <w:rFonts w:ascii="Times New Roman" w:hAnsi="Times New Roman"/>
          <w:szCs w:val="24"/>
          <w:u w:val="single"/>
        </w:rPr>
        <w:t xml:space="preserve">Use of </w:t>
      </w:r>
      <w:r w:rsidR="00B662BE">
        <w:rPr>
          <w:rFonts w:ascii="Times New Roman" w:hAnsi="Times New Roman"/>
          <w:szCs w:val="24"/>
          <w:u w:val="single"/>
        </w:rPr>
        <w:t xml:space="preserve">the </w:t>
      </w:r>
      <w:r w:rsidRPr="001F2A5D">
        <w:rPr>
          <w:rFonts w:ascii="Times New Roman" w:hAnsi="Times New Roman"/>
          <w:szCs w:val="24"/>
          <w:u w:val="single"/>
        </w:rPr>
        <w:t>Information</w:t>
      </w:r>
      <w:r w:rsidR="00B662BE">
        <w:rPr>
          <w:rFonts w:ascii="Times New Roman" w:hAnsi="Times New Roman"/>
          <w:szCs w:val="24"/>
          <w:u w:val="single"/>
        </w:rPr>
        <w:t>:</w:t>
      </w:r>
    </w:p>
    <w:p w:rsidR="005B6ADB" w:rsidRPr="001F2A5D" w:rsidRDefault="005B6ADB" w:rsidP="005B6ADB">
      <w:pPr>
        <w:rPr>
          <w:rFonts w:ascii="Times New Roman" w:hAnsi="Times New Roman"/>
          <w:szCs w:val="24"/>
        </w:rPr>
      </w:pPr>
    </w:p>
    <w:p w:rsidR="005B6ADB" w:rsidRPr="001F2A5D" w:rsidRDefault="0027282C" w:rsidP="009938C8">
      <w:pPr>
        <w:pStyle w:val="BodyTextIndent"/>
        <w:ind w:left="0"/>
        <w:rPr>
          <w:szCs w:val="24"/>
        </w:rPr>
      </w:pPr>
      <w:r w:rsidRPr="001F2A5D">
        <w:rPr>
          <w:szCs w:val="24"/>
        </w:rPr>
        <w:t xml:space="preserve">The </w:t>
      </w:r>
      <w:r w:rsidR="00D034B3">
        <w:rPr>
          <w:szCs w:val="24"/>
        </w:rPr>
        <w:t>recordk</w:t>
      </w:r>
      <w:r w:rsidR="008F437E">
        <w:rPr>
          <w:szCs w:val="24"/>
        </w:rPr>
        <w:t>eeping requirements imposed by p</w:t>
      </w:r>
      <w:r w:rsidR="00D034B3">
        <w:rPr>
          <w:szCs w:val="24"/>
        </w:rPr>
        <w:t>art 370 are intended to allow</w:t>
      </w:r>
      <w:r w:rsidR="005B6ADB" w:rsidRPr="001F2A5D">
        <w:rPr>
          <w:szCs w:val="24"/>
        </w:rPr>
        <w:t xml:space="preserve"> the FDIC to determine the amount of deposit insurance available to each depositor for each of </w:t>
      </w:r>
      <w:r w:rsidR="00E032E5">
        <w:rPr>
          <w:szCs w:val="24"/>
        </w:rPr>
        <w:t>its</w:t>
      </w:r>
      <w:r w:rsidR="005B6ADB" w:rsidRPr="001F2A5D">
        <w:rPr>
          <w:szCs w:val="24"/>
        </w:rPr>
        <w:t xml:space="preserve"> deposit accounts in the event of </w:t>
      </w:r>
      <w:r w:rsidRPr="001F2A5D">
        <w:rPr>
          <w:szCs w:val="24"/>
        </w:rPr>
        <w:t xml:space="preserve">a </w:t>
      </w:r>
      <w:r w:rsidR="005B6ADB" w:rsidRPr="001F2A5D">
        <w:rPr>
          <w:szCs w:val="24"/>
        </w:rPr>
        <w:t xml:space="preserve">covered institution’s failure.  Much of this information is already collected by all IDIs under existing statutory or regulatory requirements.  </w:t>
      </w:r>
      <w:r w:rsidR="00D034B3">
        <w:rPr>
          <w:szCs w:val="24"/>
        </w:rPr>
        <w:t>Part 370</w:t>
      </w:r>
      <w:r w:rsidR="005B6ADB" w:rsidRPr="001F2A5D">
        <w:rPr>
          <w:szCs w:val="24"/>
        </w:rPr>
        <w:t xml:space="preserve"> </w:t>
      </w:r>
      <w:r w:rsidR="00D034B3">
        <w:rPr>
          <w:szCs w:val="24"/>
        </w:rPr>
        <w:t>imposed</w:t>
      </w:r>
      <w:r w:rsidR="00D034B3" w:rsidRPr="001F2A5D">
        <w:rPr>
          <w:szCs w:val="24"/>
        </w:rPr>
        <w:t xml:space="preserve"> </w:t>
      </w:r>
      <w:r w:rsidR="005B6ADB" w:rsidRPr="001F2A5D">
        <w:rPr>
          <w:szCs w:val="24"/>
        </w:rPr>
        <w:t>a new information collection requirement to the extent that covered inst</w:t>
      </w:r>
      <w:r w:rsidR="00E032E5">
        <w:rPr>
          <w:szCs w:val="24"/>
        </w:rPr>
        <w:t>itutions must maintain in their deposit account records</w:t>
      </w:r>
      <w:r w:rsidR="005B6ADB" w:rsidRPr="001F2A5D">
        <w:rPr>
          <w:szCs w:val="24"/>
        </w:rPr>
        <w:t xml:space="preserve"> </w:t>
      </w:r>
      <w:r w:rsidR="00E032E5">
        <w:rPr>
          <w:szCs w:val="24"/>
        </w:rPr>
        <w:t xml:space="preserve">the </w:t>
      </w:r>
      <w:r w:rsidR="005B6ADB" w:rsidRPr="001F2A5D">
        <w:rPr>
          <w:szCs w:val="24"/>
        </w:rPr>
        <w:t>information</w:t>
      </w:r>
      <w:r w:rsidR="00485697" w:rsidRPr="001F2A5D">
        <w:rPr>
          <w:szCs w:val="24"/>
        </w:rPr>
        <w:t xml:space="preserve"> that is needed by the FDIC to make a deposit insurance determination, and to the extent that covered institutions would need to keep their deposit </w:t>
      </w:r>
      <w:r w:rsidR="00E032E5">
        <w:rPr>
          <w:szCs w:val="24"/>
        </w:rPr>
        <w:t xml:space="preserve">account </w:t>
      </w:r>
      <w:r w:rsidR="00485697" w:rsidRPr="001F2A5D">
        <w:rPr>
          <w:szCs w:val="24"/>
        </w:rPr>
        <w:t>records in a format that is accessible by the FDIC</w:t>
      </w:r>
      <w:r w:rsidR="00E032E5">
        <w:rPr>
          <w:szCs w:val="24"/>
        </w:rPr>
        <w:t>,</w:t>
      </w:r>
      <w:r w:rsidR="00485697" w:rsidRPr="001F2A5D">
        <w:rPr>
          <w:szCs w:val="24"/>
        </w:rPr>
        <w:t xml:space="preserve"> using a covered institution’s IT system</w:t>
      </w:r>
      <w:r w:rsidR="00E032E5">
        <w:rPr>
          <w:szCs w:val="24"/>
        </w:rPr>
        <w:t>,</w:t>
      </w:r>
      <w:r w:rsidR="00485697" w:rsidRPr="001F2A5D">
        <w:rPr>
          <w:szCs w:val="24"/>
        </w:rPr>
        <w:t xml:space="preserve"> in the event of a covered institution’s failure</w:t>
      </w:r>
      <w:r w:rsidR="005B6ADB" w:rsidRPr="001F2A5D">
        <w:rPr>
          <w:szCs w:val="24"/>
        </w:rPr>
        <w:t xml:space="preserve">. </w:t>
      </w:r>
    </w:p>
    <w:p w:rsidR="005B6ADB" w:rsidRPr="001F2A5D" w:rsidRDefault="005B6ADB" w:rsidP="005B6ADB">
      <w:pPr>
        <w:pStyle w:val="BodyTextIndent"/>
        <w:ind w:left="0" w:firstLine="720"/>
        <w:rPr>
          <w:szCs w:val="24"/>
        </w:rPr>
      </w:pPr>
    </w:p>
    <w:p w:rsidR="009932B7" w:rsidRDefault="008F437E" w:rsidP="009938C8">
      <w:pPr>
        <w:pStyle w:val="BodyTextIndent"/>
        <w:ind w:left="0"/>
        <w:rPr>
          <w:szCs w:val="24"/>
        </w:rPr>
      </w:pPr>
      <w:r>
        <w:rPr>
          <w:szCs w:val="24"/>
        </w:rPr>
        <w:t>Under Part 370, t</w:t>
      </w:r>
      <w:r w:rsidR="005B6ADB" w:rsidRPr="001F2A5D">
        <w:rPr>
          <w:szCs w:val="24"/>
        </w:rPr>
        <w:t xml:space="preserve">he FDIC </w:t>
      </w:r>
      <w:r w:rsidR="009B5E84">
        <w:rPr>
          <w:szCs w:val="24"/>
        </w:rPr>
        <w:t>will</w:t>
      </w:r>
      <w:r w:rsidR="005B6ADB" w:rsidRPr="001F2A5D">
        <w:rPr>
          <w:szCs w:val="24"/>
        </w:rPr>
        <w:t xml:space="preserve"> also collect from each covered institution</w:t>
      </w:r>
      <w:r w:rsidR="00485697" w:rsidRPr="001F2A5D">
        <w:rPr>
          <w:szCs w:val="24"/>
        </w:rPr>
        <w:t>, on an annual basis,</w:t>
      </w:r>
      <w:r w:rsidR="0043292B" w:rsidRPr="001F2A5D">
        <w:rPr>
          <w:szCs w:val="24"/>
        </w:rPr>
        <w:t xml:space="preserve"> a certification</w:t>
      </w:r>
      <w:r w:rsidR="005B6ADB" w:rsidRPr="001F2A5D">
        <w:rPr>
          <w:szCs w:val="24"/>
        </w:rPr>
        <w:t xml:space="preserve"> </w:t>
      </w:r>
      <w:r w:rsidR="0043292B" w:rsidRPr="001F2A5D">
        <w:rPr>
          <w:szCs w:val="24"/>
        </w:rPr>
        <w:t>that the covered institution is in</w:t>
      </w:r>
      <w:r w:rsidR="005B6ADB" w:rsidRPr="001F2A5D">
        <w:rPr>
          <w:szCs w:val="24"/>
        </w:rPr>
        <w:t xml:space="preserve"> complian</w:t>
      </w:r>
      <w:r w:rsidR="0043292B" w:rsidRPr="001F2A5D">
        <w:rPr>
          <w:szCs w:val="24"/>
        </w:rPr>
        <w:t xml:space="preserve">ce with the rule’s requirements as well as </w:t>
      </w:r>
      <w:r w:rsidR="005B6ADB" w:rsidRPr="001F2A5D">
        <w:rPr>
          <w:szCs w:val="24"/>
        </w:rPr>
        <w:t>a summary deposit insurance coverage report</w:t>
      </w:r>
      <w:r w:rsidR="00E032E5">
        <w:rPr>
          <w:szCs w:val="24"/>
        </w:rPr>
        <w:t xml:space="preserve"> that demonstrates the extent to which the covered institutions IT system can be used to calculate deposit insurance coverage for the institution’s deposit accounts</w:t>
      </w:r>
      <w:r w:rsidR="005B6ADB" w:rsidRPr="001F2A5D">
        <w:rPr>
          <w:szCs w:val="24"/>
        </w:rPr>
        <w:t xml:space="preserve">.  </w:t>
      </w:r>
      <w:r w:rsidR="00E032E5">
        <w:rPr>
          <w:szCs w:val="24"/>
        </w:rPr>
        <w:t xml:space="preserve">The FDIC </w:t>
      </w:r>
      <w:r w:rsidR="009B5E84">
        <w:rPr>
          <w:szCs w:val="24"/>
        </w:rPr>
        <w:t>will</w:t>
      </w:r>
      <w:r w:rsidR="00E032E5">
        <w:rPr>
          <w:szCs w:val="24"/>
        </w:rPr>
        <w:t xml:space="preserve"> collect requests</w:t>
      </w:r>
      <w:r w:rsidR="0043292B" w:rsidRPr="001F2A5D">
        <w:rPr>
          <w:szCs w:val="24"/>
        </w:rPr>
        <w:t xml:space="preserve"> for relief from </w:t>
      </w:r>
      <w:r w:rsidR="00E032E5">
        <w:rPr>
          <w:szCs w:val="24"/>
        </w:rPr>
        <w:t>covered institutions</w:t>
      </w:r>
      <w:r w:rsidR="0043292B" w:rsidRPr="001F2A5D">
        <w:rPr>
          <w:szCs w:val="24"/>
        </w:rPr>
        <w:t xml:space="preserve">, which </w:t>
      </w:r>
      <w:r w:rsidR="009B5E84">
        <w:rPr>
          <w:szCs w:val="24"/>
        </w:rPr>
        <w:t>will</w:t>
      </w:r>
      <w:r w:rsidR="0043292B" w:rsidRPr="001F2A5D">
        <w:rPr>
          <w:szCs w:val="24"/>
        </w:rPr>
        <w:t xml:space="preserve"> include </w:t>
      </w:r>
      <w:r w:rsidR="005B6ADB" w:rsidRPr="001F2A5D">
        <w:rPr>
          <w:szCs w:val="24"/>
        </w:rPr>
        <w:t xml:space="preserve">information that substantiates </w:t>
      </w:r>
      <w:r w:rsidR="0043292B" w:rsidRPr="001F2A5D">
        <w:rPr>
          <w:szCs w:val="24"/>
        </w:rPr>
        <w:t>the</w:t>
      </w:r>
      <w:r w:rsidR="005B6ADB" w:rsidRPr="001F2A5D">
        <w:rPr>
          <w:szCs w:val="24"/>
        </w:rPr>
        <w:t xml:space="preserve"> covered institution’s </w:t>
      </w:r>
      <w:r w:rsidR="00EB2629" w:rsidRPr="001F2A5D">
        <w:rPr>
          <w:szCs w:val="24"/>
        </w:rPr>
        <w:t>inability to comply</w:t>
      </w:r>
      <w:r w:rsidR="00E032E5">
        <w:rPr>
          <w:szCs w:val="24"/>
        </w:rPr>
        <w:t xml:space="preserve"> with the final rule’s requirements</w:t>
      </w:r>
      <w:r w:rsidR="005B6ADB" w:rsidRPr="001F2A5D">
        <w:rPr>
          <w:szCs w:val="24"/>
        </w:rPr>
        <w:t>.</w:t>
      </w:r>
      <w:r w:rsidR="009932B7">
        <w:rPr>
          <w:szCs w:val="24"/>
        </w:rPr>
        <w:t xml:space="preserve"> </w:t>
      </w:r>
    </w:p>
    <w:p w:rsidR="009932B7" w:rsidRDefault="009932B7" w:rsidP="005B6ADB">
      <w:pPr>
        <w:pStyle w:val="BodyTextIndent"/>
        <w:ind w:left="0" w:firstLine="720"/>
        <w:rPr>
          <w:szCs w:val="24"/>
        </w:rPr>
      </w:pPr>
    </w:p>
    <w:p w:rsidR="005B6ADB" w:rsidRPr="001F2A5D" w:rsidRDefault="009932B7" w:rsidP="009938C8">
      <w:pPr>
        <w:pStyle w:val="BodyTextIndent"/>
        <w:ind w:left="0"/>
        <w:rPr>
          <w:szCs w:val="24"/>
        </w:rPr>
      </w:pPr>
      <w:r>
        <w:rPr>
          <w:szCs w:val="24"/>
        </w:rPr>
        <w:t xml:space="preserve">The FDIC expects that the proposed rule would reduce the burden associated with these recordkeeping and reporting requirements. </w:t>
      </w:r>
    </w:p>
    <w:p w:rsidR="005B6ADB" w:rsidRPr="001F2A5D" w:rsidRDefault="005B6ADB" w:rsidP="005B6ADB">
      <w:pPr>
        <w:rPr>
          <w:rFonts w:ascii="Times New Roman" w:hAnsi="Times New Roman"/>
          <w:szCs w:val="24"/>
        </w:rPr>
      </w:pPr>
    </w:p>
    <w:p w:rsidR="005B6ADB" w:rsidRPr="001F2A5D" w:rsidRDefault="005B6ADB" w:rsidP="009938C8">
      <w:pPr>
        <w:rPr>
          <w:rFonts w:ascii="Times New Roman" w:hAnsi="Times New Roman"/>
          <w:szCs w:val="24"/>
        </w:rPr>
      </w:pPr>
      <w:r w:rsidRPr="001F2A5D">
        <w:rPr>
          <w:rFonts w:ascii="Times New Roman" w:hAnsi="Times New Roman"/>
          <w:szCs w:val="24"/>
        </w:rPr>
        <w:t>3.</w:t>
      </w:r>
      <w:r w:rsidRPr="001F2A5D">
        <w:rPr>
          <w:rFonts w:ascii="Times New Roman" w:hAnsi="Times New Roman"/>
          <w:szCs w:val="24"/>
        </w:rPr>
        <w:tab/>
      </w:r>
      <w:r w:rsidR="00B662BE" w:rsidRPr="00B662BE">
        <w:rPr>
          <w:rFonts w:ascii="Times New Roman" w:hAnsi="Times New Roman"/>
          <w:bCs/>
          <w:szCs w:val="24"/>
          <w:u w:val="single"/>
        </w:rPr>
        <w:t>Consideration of the use of improved information technology:</w:t>
      </w:r>
    </w:p>
    <w:p w:rsidR="005B6ADB" w:rsidRPr="001F2A5D" w:rsidRDefault="005B6ADB" w:rsidP="005B6ADB">
      <w:pPr>
        <w:rPr>
          <w:rFonts w:ascii="Times New Roman" w:hAnsi="Times New Roman"/>
          <w:szCs w:val="24"/>
        </w:rPr>
      </w:pPr>
    </w:p>
    <w:p w:rsidR="005B6ADB" w:rsidRDefault="004F0C61" w:rsidP="009938C8">
      <w:pPr>
        <w:rPr>
          <w:rFonts w:ascii="Times New Roman" w:hAnsi="Times New Roman"/>
          <w:szCs w:val="24"/>
        </w:rPr>
      </w:pPr>
      <w:r>
        <w:rPr>
          <w:rFonts w:ascii="Times New Roman" w:hAnsi="Times New Roman"/>
          <w:szCs w:val="24"/>
        </w:rPr>
        <w:t xml:space="preserve">The </w:t>
      </w:r>
      <w:r w:rsidR="009932B7">
        <w:rPr>
          <w:rFonts w:ascii="Times New Roman" w:hAnsi="Times New Roman"/>
          <w:szCs w:val="24"/>
        </w:rPr>
        <w:t xml:space="preserve">proposed </w:t>
      </w:r>
      <w:r>
        <w:rPr>
          <w:rFonts w:ascii="Times New Roman" w:hAnsi="Times New Roman"/>
          <w:szCs w:val="24"/>
        </w:rPr>
        <w:t>rule is premised upon covered institutions’</w:t>
      </w:r>
      <w:r w:rsidR="0027282C" w:rsidRPr="001F2A5D">
        <w:rPr>
          <w:rFonts w:ascii="Times New Roman" w:hAnsi="Times New Roman"/>
          <w:szCs w:val="24"/>
        </w:rPr>
        <w:t xml:space="preserve"> use </w:t>
      </w:r>
      <w:r>
        <w:rPr>
          <w:rFonts w:ascii="Times New Roman" w:hAnsi="Times New Roman"/>
          <w:szCs w:val="24"/>
        </w:rPr>
        <w:t>of technology to</w:t>
      </w:r>
      <w:r w:rsidR="0027282C" w:rsidRPr="001F2A5D">
        <w:rPr>
          <w:rFonts w:ascii="Times New Roman" w:hAnsi="Times New Roman"/>
          <w:szCs w:val="24"/>
        </w:rPr>
        <w:t xml:space="preserve"> make the required reports and to maintain the required records</w:t>
      </w:r>
      <w:r w:rsidR="00E032E5">
        <w:rPr>
          <w:rFonts w:ascii="Times New Roman" w:hAnsi="Times New Roman"/>
          <w:szCs w:val="24"/>
        </w:rPr>
        <w:t xml:space="preserve">. </w:t>
      </w:r>
    </w:p>
    <w:p w:rsidR="00E032E5" w:rsidRPr="001F2A5D" w:rsidRDefault="00E032E5" w:rsidP="005B6ADB">
      <w:pPr>
        <w:ind w:firstLine="720"/>
        <w:rPr>
          <w:rFonts w:ascii="Times New Roman" w:hAnsi="Times New Roman"/>
          <w:szCs w:val="24"/>
        </w:rPr>
      </w:pPr>
    </w:p>
    <w:p w:rsidR="005B6ADB" w:rsidRPr="001F2A5D" w:rsidRDefault="005B6ADB" w:rsidP="009938C8">
      <w:pPr>
        <w:rPr>
          <w:rFonts w:ascii="Times New Roman" w:hAnsi="Times New Roman"/>
          <w:szCs w:val="24"/>
        </w:rPr>
      </w:pPr>
      <w:r w:rsidRPr="001F2A5D">
        <w:rPr>
          <w:rFonts w:ascii="Times New Roman" w:hAnsi="Times New Roman"/>
          <w:szCs w:val="24"/>
        </w:rPr>
        <w:t>4.</w:t>
      </w:r>
      <w:r w:rsidRPr="001F2A5D">
        <w:rPr>
          <w:rFonts w:ascii="Times New Roman" w:hAnsi="Times New Roman"/>
          <w:szCs w:val="24"/>
        </w:rPr>
        <w:tab/>
      </w:r>
      <w:r w:rsidR="00B662BE" w:rsidRPr="00B662BE">
        <w:rPr>
          <w:rFonts w:ascii="Times New Roman" w:hAnsi="Times New Roman"/>
          <w:szCs w:val="24"/>
          <w:u w:val="single"/>
        </w:rPr>
        <w:t>Efforts to identify duplication:</w:t>
      </w:r>
    </w:p>
    <w:p w:rsidR="005B6ADB" w:rsidRPr="001F2A5D" w:rsidRDefault="005B6ADB" w:rsidP="005B6ADB">
      <w:pPr>
        <w:pStyle w:val="BodyTextIndent"/>
        <w:rPr>
          <w:szCs w:val="24"/>
        </w:rPr>
      </w:pPr>
    </w:p>
    <w:p w:rsidR="00FF765D" w:rsidRPr="001F2A5D" w:rsidRDefault="005B6ADB" w:rsidP="009938C8">
      <w:pPr>
        <w:widowControl/>
        <w:rPr>
          <w:rFonts w:ascii="Times New Roman" w:hAnsi="Times New Roman"/>
          <w:szCs w:val="24"/>
        </w:rPr>
      </w:pPr>
      <w:r w:rsidRPr="001F2A5D">
        <w:rPr>
          <w:rFonts w:ascii="Times New Roman" w:hAnsi="Times New Roman"/>
          <w:szCs w:val="24"/>
        </w:rPr>
        <w:t>The information that the FDIC collect</w:t>
      </w:r>
      <w:r w:rsidR="008F437E">
        <w:rPr>
          <w:rFonts w:ascii="Times New Roman" w:hAnsi="Times New Roman"/>
          <w:szCs w:val="24"/>
        </w:rPr>
        <w:t>s</w:t>
      </w:r>
      <w:r w:rsidRPr="001F2A5D">
        <w:rPr>
          <w:rFonts w:ascii="Times New Roman" w:hAnsi="Times New Roman"/>
          <w:szCs w:val="24"/>
        </w:rPr>
        <w:t xml:space="preserve"> from covered institutions to verify compliance with </w:t>
      </w:r>
      <w:r w:rsidR="008F437E">
        <w:rPr>
          <w:rFonts w:ascii="Times New Roman" w:hAnsi="Times New Roman"/>
          <w:szCs w:val="24"/>
        </w:rPr>
        <w:t>part 370</w:t>
      </w:r>
      <w:r w:rsidRPr="001F2A5D">
        <w:rPr>
          <w:rFonts w:ascii="Times New Roman" w:hAnsi="Times New Roman"/>
          <w:szCs w:val="24"/>
        </w:rPr>
        <w:t xml:space="preserve">’s requirements, or that substantiates a covered institution’s </w:t>
      </w:r>
      <w:r w:rsidR="004F0C61">
        <w:rPr>
          <w:rFonts w:ascii="Times New Roman" w:hAnsi="Times New Roman"/>
          <w:szCs w:val="24"/>
        </w:rPr>
        <w:t xml:space="preserve">request for </w:t>
      </w:r>
      <w:r w:rsidRPr="001F2A5D">
        <w:rPr>
          <w:rFonts w:ascii="Times New Roman" w:hAnsi="Times New Roman"/>
          <w:szCs w:val="24"/>
        </w:rPr>
        <w:t xml:space="preserve">relief, is not available by other means. </w:t>
      </w:r>
      <w:r w:rsidR="00710E54" w:rsidRPr="001F2A5D">
        <w:rPr>
          <w:rFonts w:ascii="Times New Roman" w:hAnsi="Times New Roman"/>
          <w:szCs w:val="24"/>
        </w:rPr>
        <w:t xml:space="preserve">The reporting and recordkeeping requirements in </w:t>
      </w:r>
      <w:r w:rsidR="009932B7">
        <w:rPr>
          <w:rFonts w:ascii="Times New Roman" w:hAnsi="Times New Roman"/>
          <w:szCs w:val="24"/>
        </w:rPr>
        <w:t>Part 370</w:t>
      </w:r>
      <w:r w:rsidR="00710E54" w:rsidRPr="001F2A5D">
        <w:rPr>
          <w:rFonts w:ascii="Times New Roman" w:hAnsi="Times New Roman"/>
          <w:szCs w:val="24"/>
        </w:rPr>
        <w:t xml:space="preserve"> are </w:t>
      </w:r>
      <w:r w:rsidR="008F437E">
        <w:rPr>
          <w:rFonts w:ascii="Times New Roman" w:hAnsi="Times New Roman"/>
          <w:szCs w:val="24"/>
        </w:rPr>
        <w:t>unique</w:t>
      </w:r>
      <w:r w:rsidR="008F437E" w:rsidRPr="001F2A5D">
        <w:rPr>
          <w:rFonts w:ascii="Times New Roman" w:hAnsi="Times New Roman"/>
          <w:szCs w:val="24"/>
        </w:rPr>
        <w:t xml:space="preserve"> </w:t>
      </w:r>
      <w:r w:rsidR="00710E54" w:rsidRPr="001F2A5D">
        <w:rPr>
          <w:rFonts w:ascii="Times New Roman" w:hAnsi="Times New Roman"/>
          <w:szCs w:val="24"/>
        </w:rPr>
        <w:t xml:space="preserve">and are not </w:t>
      </w:r>
      <w:r w:rsidR="004F0C61">
        <w:rPr>
          <w:rFonts w:ascii="Times New Roman" w:hAnsi="Times New Roman"/>
          <w:szCs w:val="24"/>
        </w:rPr>
        <w:t>unnecessarily</w:t>
      </w:r>
      <w:r w:rsidR="00710E54" w:rsidRPr="001F2A5D">
        <w:rPr>
          <w:rFonts w:ascii="Times New Roman" w:hAnsi="Times New Roman"/>
          <w:szCs w:val="24"/>
        </w:rPr>
        <w:t xml:space="preserve"> duplicat</w:t>
      </w:r>
      <w:r w:rsidR="004F0C61">
        <w:rPr>
          <w:rFonts w:ascii="Times New Roman" w:hAnsi="Times New Roman"/>
          <w:szCs w:val="24"/>
        </w:rPr>
        <w:t>ive</w:t>
      </w:r>
      <w:r w:rsidR="00710E54" w:rsidRPr="001F2A5D">
        <w:rPr>
          <w:rFonts w:ascii="Times New Roman" w:hAnsi="Times New Roman"/>
          <w:szCs w:val="24"/>
        </w:rPr>
        <w:t>.</w:t>
      </w:r>
    </w:p>
    <w:p w:rsidR="00FF765D" w:rsidRPr="001F2A5D" w:rsidRDefault="00FF765D" w:rsidP="00FF765D">
      <w:pPr>
        <w:widowControl/>
        <w:ind w:firstLine="720"/>
        <w:rPr>
          <w:rFonts w:ascii="Times New Roman" w:hAnsi="Times New Roman"/>
          <w:szCs w:val="24"/>
        </w:rPr>
      </w:pPr>
    </w:p>
    <w:p w:rsidR="005B6ADB" w:rsidRPr="001F2A5D" w:rsidRDefault="005B6ADB" w:rsidP="009938C8">
      <w:pPr>
        <w:ind w:left="720" w:hanging="720"/>
        <w:rPr>
          <w:rFonts w:ascii="Times New Roman" w:hAnsi="Times New Roman"/>
          <w:szCs w:val="24"/>
        </w:rPr>
      </w:pPr>
      <w:r w:rsidRPr="001F2A5D">
        <w:rPr>
          <w:rFonts w:ascii="Times New Roman" w:hAnsi="Times New Roman"/>
          <w:szCs w:val="24"/>
        </w:rPr>
        <w:t>5.</w:t>
      </w:r>
      <w:r w:rsidRPr="001F2A5D">
        <w:rPr>
          <w:rFonts w:ascii="Times New Roman" w:hAnsi="Times New Roman"/>
          <w:szCs w:val="24"/>
        </w:rPr>
        <w:tab/>
      </w:r>
      <w:r w:rsidR="008873E8" w:rsidRPr="008873E8">
        <w:rPr>
          <w:rFonts w:ascii="Times New Roman" w:hAnsi="Times New Roman"/>
          <w:bCs/>
          <w:szCs w:val="24"/>
          <w:u w:val="single"/>
        </w:rPr>
        <w:t>Methods used to minimize burden if the collection has a significant impact on a substantial number of small entities:</w:t>
      </w:r>
    </w:p>
    <w:p w:rsidR="005B6ADB" w:rsidRPr="001F2A5D" w:rsidRDefault="005B6ADB" w:rsidP="005B6ADB">
      <w:pPr>
        <w:rPr>
          <w:rFonts w:ascii="Times New Roman" w:hAnsi="Times New Roman"/>
          <w:szCs w:val="24"/>
        </w:rPr>
      </w:pPr>
    </w:p>
    <w:p w:rsidR="005B6ADB" w:rsidRPr="001F2A5D" w:rsidRDefault="006A7DD6" w:rsidP="009938C8">
      <w:pPr>
        <w:pStyle w:val="BodyTextIndent"/>
        <w:ind w:left="0"/>
        <w:rPr>
          <w:szCs w:val="24"/>
        </w:rPr>
      </w:pPr>
      <w:r w:rsidRPr="006A7DD6">
        <w:rPr>
          <w:szCs w:val="24"/>
        </w:rPr>
        <w:t>The proposed rule is not expected to have a significant impact on a substantial number of small entities.</w:t>
      </w:r>
    </w:p>
    <w:p w:rsidR="005B6ADB" w:rsidRPr="001F2A5D" w:rsidRDefault="005B6ADB" w:rsidP="005B6ADB">
      <w:pPr>
        <w:ind w:left="840" w:hanging="600"/>
        <w:rPr>
          <w:rFonts w:ascii="Times New Roman" w:hAnsi="Times New Roman"/>
          <w:szCs w:val="24"/>
        </w:rPr>
      </w:pPr>
    </w:p>
    <w:p w:rsidR="005B6ADB" w:rsidRPr="001F2A5D" w:rsidRDefault="005B6ADB" w:rsidP="009938C8">
      <w:pPr>
        <w:ind w:left="720" w:hanging="720"/>
        <w:rPr>
          <w:rFonts w:ascii="Times New Roman" w:hAnsi="Times New Roman"/>
          <w:szCs w:val="24"/>
        </w:rPr>
      </w:pPr>
      <w:r w:rsidRPr="001F2A5D">
        <w:rPr>
          <w:rFonts w:ascii="Times New Roman" w:hAnsi="Times New Roman"/>
          <w:szCs w:val="24"/>
        </w:rPr>
        <w:t>6.</w:t>
      </w:r>
      <w:r w:rsidRPr="001F2A5D">
        <w:rPr>
          <w:rFonts w:ascii="Times New Roman" w:hAnsi="Times New Roman"/>
          <w:szCs w:val="24"/>
        </w:rPr>
        <w:tab/>
      </w:r>
      <w:r w:rsidR="008873E8" w:rsidRPr="008873E8">
        <w:rPr>
          <w:rFonts w:ascii="Times New Roman" w:hAnsi="Times New Roman"/>
          <w:bCs/>
          <w:szCs w:val="24"/>
          <w:u w:val="single"/>
        </w:rPr>
        <w:t>Consequences to the Federal program if the collection were conducted less frequently:</w:t>
      </w:r>
    </w:p>
    <w:p w:rsidR="005B6ADB" w:rsidRPr="001F2A5D" w:rsidRDefault="005B6ADB" w:rsidP="005B6ADB">
      <w:pPr>
        <w:rPr>
          <w:rFonts w:ascii="Times New Roman" w:hAnsi="Times New Roman"/>
          <w:szCs w:val="24"/>
        </w:rPr>
      </w:pPr>
    </w:p>
    <w:p w:rsidR="00FE2F13" w:rsidRPr="001F2A5D" w:rsidRDefault="005B6ADB" w:rsidP="009938C8">
      <w:pPr>
        <w:pStyle w:val="BodyTextIndent"/>
        <w:ind w:left="0"/>
        <w:rPr>
          <w:szCs w:val="24"/>
        </w:rPr>
      </w:pPr>
      <w:r w:rsidRPr="001F2A5D">
        <w:rPr>
          <w:szCs w:val="24"/>
        </w:rPr>
        <w:t xml:space="preserve">Less frequent collection of such information could result in </w:t>
      </w:r>
      <w:r w:rsidR="004F0C61">
        <w:rPr>
          <w:szCs w:val="24"/>
        </w:rPr>
        <w:t xml:space="preserve">a lesser degree of compliance with </w:t>
      </w:r>
      <w:r w:rsidR="00A148B1">
        <w:rPr>
          <w:szCs w:val="24"/>
        </w:rPr>
        <w:t>P</w:t>
      </w:r>
      <w:r w:rsidR="008F437E">
        <w:rPr>
          <w:szCs w:val="24"/>
        </w:rPr>
        <w:t>art 370</w:t>
      </w:r>
      <w:r w:rsidR="004F0C61">
        <w:rPr>
          <w:szCs w:val="24"/>
        </w:rPr>
        <w:t>’s requirements and would not be as helpful to the FDIC’s preparation</w:t>
      </w:r>
      <w:r w:rsidRPr="001F2A5D">
        <w:rPr>
          <w:szCs w:val="24"/>
        </w:rPr>
        <w:t xml:space="preserve"> to make a </w:t>
      </w:r>
      <w:r w:rsidR="00FE5A21">
        <w:rPr>
          <w:szCs w:val="24"/>
        </w:rPr>
        <w:t xml:space="preserve">prompt </w:t>
      </w:r>
      <w:r w:rsidRPr="001F2A5D">
        <w:rPr>
          <w:szCs w:val="24"/>
        </w:rPr>
        <w:t xml:space="preserve">deposit insurance determination in the event of a covered institution’s failure. </w:t>
      </w:r>
      <w:r w:rsidR="00FE2F13" w:rsidRPr="001F2A5D">
        <w:rPr>
          <w:szCs w:val="24"/>
        </w:rPr>
        <w:t xml:space="preserve">If this information were collected less frequently, then the FDIC would have a lower level of confidence that a covered institution maintains accurate and complete deposit records and </w:t>
      </w:r>
      <w:r w:rsidR="004F0C61">
        <w:rPr>
          <w:szCs w:val="24"/>
        </w:rPr>
        <w:t xml:space="preserve">has </w:t>
      </w:r>
      <w:r w:rsidR="00FE2F13" w:rsidRPr="001F2A5D">
        <w:rPr>
          <w:szCs w:val="24"/>
        </w:rPr>
        <w:t xml:space="preserve">an IT system that would facilitate the FDIC’s timely deposit insurance determination process upon the covered institution’s failure. </w:t>
      </w:r>
      <w:r w:rsidR="008345E9">
        <w:rPr>
          <w:szCs w:val="24"/>
        </w:rPr>
        <w:t>T</w:t>
      </w:r>
      <w:r w:rsidR="008345E9" w:rsidRPr="008345E9">
        <w:rPr>
          <w:szCs w:val="24"/>
        </w:rPr>
        <w:t>he</w:t>
      </w:r>
      <w:r w:rsidR="008345E9">
        <w:rPr>
          <w:szCs w:val="24"/>
        </w:rPr>
        <w:t xml:space="preserve"> public’s</w:t>
      </w:r>
      <w:r w:rsidR="008345E9" w:rsidRPr="008345E9">
        <w:rPr>
          <w:szCs w:val="24"/>
        </w:rPr>
        <w:t xml:space="preserve"> perception that FDIC could be delayed in making deposit insurance determinations in the event of the failure of an IDI could lead to bank runs or other systemic problems</w:t>
      </w:r>
      <w:r w:rsidR="008345E9">
        <w:rPr>
          <w:szCs w:val="24"/>
        </w:rPr>
        <w:t>.</w:t>
      </w:r>
    </w:p>
    <w:p w:rsidR="005B6ADB" w:rsidRPr="001F2A5D" w:rsidRDefault="005B6ADB" w:rsidP="005B6ADB">
      <w:pPr>
        <w:rPr>
          <w:rFonts w:ascii="Times New Roman" w:hAnsi="Times New Roman"/>
          <w:szCs w:val="24"/>
        </w:rPr>
      </w:pPr>
    </w:p>
    <w:p w:rsidR="005B6ADB" w:rsidRPr="001F2A5D" w:rsidRDefault="005B6ADB" w:rsidP="009938C8">
      <w:pPr>
        <w:ind w:left="720" w:hanging="720"/>
        <w:rPr>
          <w:rFonts w:ascii="Times New Roman" w:hAnsi="Times New Roman"/>
          <w:szCs w:val="24"/>
        </w:rPr>
      </w:pPr>
      <w:r w:rsidRPr="001F2A5D">
        <w:rPr>
          <w:rFonts w:ascii="Times New Roman" w:hAnsi="Times New Roman"/>
          <w:szCs w:val="24"/>
        </w:rPr>
        <w:t>7.</w:t>
      </w:r>
      <w:r w:rsidRPr="001F2A5D">
        <w:rPr>
          <w:rFonts w:ascii="Times New Roman" w:hAnsi="Times New Roman"/>
          <w:szCs w:val="24"/>
        </w:rPr>
        <w:tab/>
      </w:r>
      <w:r w:rsidR="008873E8" w:rsidRPr="008873E8">
        <w:rPr>
          <w:rFonts w:ascii="Times New Roman" w:hAnsi="Times New Roman"/>
          <w:bCs/>
          <w:szCs w:val="24"/>
          <w:u w:val="single"/>
        </w:rPr>
        <w:t>Special circumstances necessitating collection inconsistent with 5 CFR Part 1320.5(d)(2):</w:t>
      </w:r>
    </w:p>
    <w:p w:rsidR="005B6ADB" w:rsidRPr="001F2A5D" w:rsidRDefault="005B6ADB" w:rsidP="005B6ADB">
      <w:pPr>
        <w:rPr>
          <w:rFonts w:ascii="Times New Roman" w:hAnsi="Times New Roman"/>
          <w:szCs w:val="24"/>
        </w:rPr>
      </w:pPr>
    </w:p>
    <w:p w:rsidR="005B6ADB" w:rsidRPr="001F2A5D" w:rsidRDefault="008873E8" w:rsidP="009938C8">
      <w:pPr>
        <w:pStyle w:val="BodyTextIndent"/>
        <w:ind w:left="0"/>
        <w:rPr>
          <w:szCs w:val="24"/>
        </w:rPr>
      </w:pPr>
      <w:r w:rsidRPr="008873E8">
        <w:rPr>
          <w:szCs w:val="24"/>
        </w:rPr>
        <w:t>There are no special circumstances. This information collection is conducted in accordance with the guidelines in 5 CFR 1320.5(d)(2).</w:t>
      </w:r>
      <w:r w:rsidR="005B6ADB" w:rsidRPr="001F2A5D">
        <w:rPr>
          <w:szCs w:val="24"/>
        </w:rPr>
        <w:t xml:space="preserve"> </w:t>
      </w:r>
    </w:p>
    <w:p w:rsidR="005B6ADB" w:rsidRPr="001F2A5D" w:rsidRDefault="005B6ADB" w:rsidP="005B6ADB">
      <w:pPr>
        <w:rPr>
          <w:rFonts w:ascii="Times New Roman" w:hAnsi="Times New Roman"/>
          <w:szCs w:val="24"/>
        </w:rPr>
      </w:pPr>
    </w:p>
    <w:p w:rsidR="005B6ADB" w:rsidRPr="001F2A5D" w:rsidRDefault="005B6ADB" w:rsidP="009938C8">
      <w:pPr>
        <w:rPr>
          <w:rFonts w:ascii="Times New Roman" w:hAnsi="Times New Roman"/>
          <w:szCs w:val="24"/>
        </w:rPr>
      </w:pPr>
      <w:r w:rsidRPr="001F2A5D">
        <w:rPr>
          <w:rFonts w:ascii="Times New Roman" w:hAnsi="Times New Roman"/>
          <w:szCs w:val="24"/>
        </w:rPr>
        <w:t>8.</w:t>
      </w:r>
      <w:r w:rsidRPr="001F2A5D">
        <w:rPr>
          <w:rFonts w:ascii="Times New Roman" w:hAnsi="Times New Roman"/>
          <w:szCs w:val="24"/>
        </w:rPr>
        <w:tab/>
      </w:r>
      <w:r w:rsidR="008873E8" w:rsidRPr="008873E8">
        <w:rPr>
          <w:rFonts w:ascii="Times New Roman" w:hAnsi="Times New Roman"/>
          <w:bCs/>
          <w:szCs w:val="24"/>
          <w:u w:val="single"/>
        </w:rPr>
        <w:t>Efforts to consult with persons outside the agency:</w:t>
      </w:r>
    </w:p>
    <w:p w:rsidR="005B6ADB" w:rsidRPr="001F2A5D" w:rsidRDefault="005B6ADB" w:rsidP="005B6ADB">
      <w:pPr>
        <w:rPr>
          <w:rFonts w:ascii="Times New Roman" w:hAnsi="Times New Roman"/>
          <w:szCs w:val="24"/>
        </w:rPr>
      </w:pPr>
    </w:p>
    <w:p w:rsidR="008873E8" w:rsidRDefault="008345E9" w:rsidP="009938C8">
      <w:pPr>
        <w:pStyle w:val="BodyTextIndent"/>
        <w:ind w:left="0"/>
        <w:rPr>
          <w:szCs w:val="24"/>
        </w:rPr>
      </w:pPr>
      <w:r w:rsidRPr="008345E9">
        <w:rPr>
          <w:szCs w:val="24"/>
        </w:rPr>
        <w:t xml:space="preserve">A notice of proposed rulemaking was published in the Federal Register on </w:t>
      </w:r>
      <w:r w:rsidR="003824F6">
        <w:rPr>
          <w:szCs w:val="24"/>
        </w:rPr>
        <w:t>April 11, 2019 (84 FR 14814)</w:t>
      </w:r>
      <w:r w:rsidRPr="008345E9">
        <w:rPr>
          <w:szCs w:val="24"/>
        </w:rPr>
        <w:t xml:space="preserve"> which include</w:t>
      </w:r>
      <w:r>
        <w:rPr>
          <w:szCs w:val="24"/>
        </w:rPr>
        <w:t>s</w:t>
      </w:r>
      <w:r w:rsidRPr="008345E9">
        <w:rPr>
          <w:szCs w:val="24"/>
        </w:rPr>
        <w:t xml:space="preserve"> a request or comments on the Paperwork Reduction Act implications</w:t>
      </w:r>
      <w:r>
        <w:rPr>
          <w:szCs w:val="24"/>
        </w:rPr>
        <w:t xml:space="preserve"> of the proposed rule</w:t>
      </w:r>
      <w:r w:rsidRPr="008345E9">
        <w:rPr>
          <w:szCs w:val="24"/>
        </w:rPr>
        <w:t>.</w:t>
      </w:r>
      <w:r w:rsidR="008873E8" w:rsidRPr="008873E8">
        <w:rPr>
          <w:szCs w:val="24"/>
        </w:rPr>
        <w:t xml:space="preserve">  </w:t>
      </w:r>
      <w:r w:rsidR="008873E8">
        <w:rPr>
          <w:szCs w:val="24"/>
        </w:rPr>
        <w:t>Any comments</w:t>
      </w:r>
      <w:r w:rsidR="008873E8" w:rsidRPr="008873E8">
        <w:rPr>
          <w:szCs w:val="24"/>
        </w:rPr>
        <w:t xml:space="preserve"> received</w:t>
      </w:r>
      <w:r w:rsidR="008873E8">
        <w:rPr>
          <w:szCs w:val="24"/>
        </w:rPr>
        <w:t xml:space="preserve"> will be addressed when the final rule is adopted and</w:t>
      </w:r>
      <w:r>
        <w:rPr>
          <w:szCs w:val="24"/>
        </w:rPr>
        <w:t>, if related to PRA,</w:t>
      </w:r>
      <w:r w:rsidR="008873E8">
        <w:rPr>
          <w:szCs w:val="24"/>
        </w:rPr>
        <w:t xml:space="preserve"> will be reflected and submitted to OMB in a revised Supporting Statement</w:t>
      </w:r>
      <w:r w:rsidR="008873E8" w:rsidRPr="008873E8">
        <w:rPr>
          <w:szCs w:val="24"/>
        </w:rPr>
        <w:t>.</w:t>
      </w:r>
    </w:p>
    <w:p w:rsidR="008345E9" w:rsidRPr="001F2A5D" w:rsidRDefault="008345E9" w:rsidP="009938C8">
      <w:pPr>
        <w:ind w:firstLine="720"/>
        <w:rPr>
          <w:rFonts w:ascii="Times New Roman" w:hAnsi="Times New Roman"/>
          <w:szCs w:val="24"/>
        </w:rPr>
      </w:pPr>
    </w:p>
    <w:p w:rsidR="005B6ADB" w:rsidRPr="001F2A5D" w:rsidRDefault="005B6ADB" w:rsidP="009938C8">
      <w:pPr>
        <w:rPr>
          <w:rFonts w:ascii="Times New Roman" w:hAnsi="Times New Roman"/>
          <w:szCs w:val="24"/>
        </w:rPr>
      </w:pPr>
      <w:r w:rsidRPr="001F2A5D">
        <w:rPr>
          <w:rFonts w:ascii="Times New Roman" w:hAnsi="Times New Roman"/>
          <w:szCs w:val="24"/>
        </w:rPr>
        <w:t>9.</w:t>
      </w:r>
      <w:r w:rsidRPr="001F2A5D">
        <w:rPr>
          <w:rFonts w:ascii="Times New Roman" w:hAnsi="Times New Roman"/>
          <w:szCs w:val="24"/>
        </w:rPr>
        <w:tab/>
      </w:r>
      <w:r w:rsidRPr="001F2A5D">
        <w:rPr>
          <w:rFonts w:ascii="Times New Roman" w:hAnsi="Times New Roman"/>
          <w:szCs w:val="24"/>
          <w:u w:val="single"/>
        </w:rPr>
        <w:t>Payment</w:t>
      </w:r>
      <w:r w:rsidR="009E60FB">
        <w:rPr>
          <w:rFonts w:ascii="Times New Roman" w:hAnsi="Times New Roman"/>
          <w:szCs w:val="24"/>
          <w:u w:val="single"/>
        </w:rPr>
        <w:t>s</w:t>
      </w:r>
      <w:r w:rsidRPr="001F2A5D">
        <w:rPr>
          <w:rFonts w:ascii="Times New Roman" w:hAnsi="Times New Roman"/>
          <w:szCs w:val="24"/>
          <w:u w:val="single"/>
        </w:rPr>
        <w:t xml:space="preserve"> or </w:t>
      </w:r>
      <w:r w:rsidR="009E60FB">
        <w:rPr>
          <w:rFonts w:ascii="Times New Roman" w:hAnsi="Times New Roman"/>
          <w:szCs w:val="24"/>
          <w:u w:val="single"/>
        </w:rPr>
        <w:t>g</w:t>
      </w:r>
      <w:r w:rsidR="009E60FB" w:rsidRPr="001F2A5D">
        <w:rPr>
          <w:rFonts w:ascii="Times New Roman" w:hAnsi="Times New Roman"/>
          <w:szCs w:val="24"/>
          <w:u w:val="single"/>
        </w:rPr>
        <w:t>ift</w:t>
      </w:r>
      <w:r w:rsidR="009E60FB">
        <w:rPr>
          <w:rFonts w:ascii="Times New Roman" w:hAnsi="Times New Roman"/>
          <w:szCs w:val="24"/>
          <w:u w:val="single"/>
        </w:rPr>
        <w:t>s</w:t>
      </w:r>
      <w:r w:rsidR="009E60FB" w:rsidRPr="001F2A5D">
        <w:rPr>
          <w:rFonts w:ascii="Times New Roman" w:hAnsi="Times New Roman"/>
          <w:szCs w:val="24"/>
          <w:u w:val="single"/>
        </w:rPr>
        <w:t xml:space="preserve"> </w:t>
      </w:r>
      <w:r w:rsidRPr="001F2A5D">
        <w:rPr>
          <w:rFonts w:ascii="Times New Roman" w:hAnsi="Times New Roman"/>
          <w:szCs w:val="24"/>
          <w:u w:val="single"/>
        </w:rPr>
        <w:t xml:space="preserve">to </w:t>
      </w:r>
      <w:r w:rsidR="009E60FB">
        <w:rPr>
          <w:rFonts w:ascii="Times New Roman" w:hAnsi="Times New Roman"/>
          <w:szCs w:val="24"/>
          <w:u w:val="single"/>
        </w:rPr>
        <w:t>r</w:t>
      </w:r>
      <w:r w:rsidR="009E60FB" w:rsidRPr="001F2A5D">
        <w:rPr>
          <w:rFonts w:ascii="Times New Roman" w:hAnsi="Times New Roman"/>
          <w:szCs w:val="24"/>
          <w:u w:val="single"/>
        </w:rPr>
        <w:t>espondents</w:t>
      </w:r>
      <w:r w:rsidR="009E60FB">
        <w:rPr>
          <w:rFonts w:ascii="Times New Roman" w:hAnsi="Times New Roman"/>
          <w:szCs w:val="24"/>
          <w:u w:val="single"/>
        </w:rPr>
        <w:t>:</w:t>
      </w:r>
    </w:p>
    <w:p w:rsidR="005B6ADB" w:rsidRPr="001F2A5D" w:rsidRDefault="005B6ADB" w:rsidP="005B6ADB">
      <w:pPr>
        <w:rPr>
          <w:rFonts w:ascii="Times New Roman" w:hAnsi="Times New Roman"/>
          <w:szCs w:val="24"/>
        </w:rPr>
      </w:pPr>
    </w:p>
    <w:p w:rsidR="005B6ADB" w:rsidRPr="001F2A5D" w:rsidRDefault="009E60FB" w:rsidP="009938C8">
      <w:pPr>
        <w:rPr>
          <w:rFonts w:ascii="Times New Roman" w:hAnsi="Times New Roman"/>
          <w:szCs w:val="24"/>
        </w:rPr>
      </w:pPr>
      <w:r>
        <w:rPr>
          <w:rFonts w:ascii="Times New Roman" w:hAnsi="Times New Roman"/>
          <w:szCs w:val="24"/>
        </w:rPr>
        <w:t>None</w:t>
      </w:r>
      <w:r w:rsidR="005B6ADB" w:rsidRPr="001F2A5D">
        <w:rPr>
          <w:rFonts w:ascii="Times New Roman" w:hAnsi="Times New Roman"/>
          <w:szCs w:val="24"/>
        </w:rPr>
        <w:t>.</w:t>
      </w:r>
    </w:p>
    <w:p w:rsidR="005B6ADB" w:rsidRPr="001F2A5D" w:rsidRDefault="005B6ADB" w:rsidP="005B6ADB">
      <w:pPr>
        <w:rPr>
          <w:rFonts w:ascii="Times New Roman" w:hAnsi="Times New Roman"/>
          <w:szCs w:val="24"/>
        </w:rPr>
      </w:pPr>
    </w:p>
    <w:p w:rsidR="005B6ADB" w:rsidRPr="001F2A5D" w:rsidRDefault="005B6ADB" w:rsidP="009938C8">
      <w:pPr>
        <w:rPr>
          <w:rFonts w:ascii="Times New Roman" w:hAnsi="Times New Roman"/>
          <w:szCs w:val="24"/>
        </w:rPr>
      </w:pPr>
      <w:r w:rsidRPr="001F2A5D">
        <w:rPr>
          <w:rFonts w:ascii="Times New Roman" w:hAnsi="Times New Roman"/>
          <w:szCs w:val="24"/>
        </w:rPr>
        <w:t>10.</w:t>
      </w:r>
      <w:r w:rsidRPr="001F2A5D">
        <w:rPr>
          <w:rFonts w:ascii="Times New Roman" w:hAnsi="Times New Roman"/>
          <w:szCs w:val="24"/>
        </w:rPr>
        <w:tab/>
      </w:r>
      <w:r w:rsidR="009E60FB" w:rsidRPr="00647F97">
        <w:rPr>
          <w:rFonts w:ascii="Times New Roman TUR" w:hAnsi="Times New Roman TUR" w:cs="Times New Roman TUR"/>
          <w:bCs/>
          <w:u w:val="single"/>
        </w:rPr>
        <w:t>Any assurance of confidentiality:</w:t>
      </w:r>
    </w:p>
    <w:p w:rsidR="005B6ADB" w:rsidRPr="001F2A5D" w:rsidRDefault="005B6ADB" w:rsidP="005B6ADB">
      <w:pPr>
        <w:rPr>
          <w:rFonts w:ascii="Times New Roman" w:hAnsi="Times New Roman"/>
          <w:szCs w:val="24"/>
        </w:rPr>
      </w:pPr>
    </w:p>
    <w:p w:rsidR="005B6ADB" w:rsidRPr="001F2A5D" w:rsidRDefault="00EB2629" w:rsidP="009938C8">
      <w:pPr>
        <w:pStyle w:val="BodyTextIndent"/>
        <w:ind w:left="0"/>
        <w:rPr>
          <w:szCs w:val="24"/>
        </w:rPr>
      </w:pPr>
      <w:r w:rsidRPr="001F2A5D">
        <w:rPr>
          <w:szCs w:val="24"/>
        </w:rPr>
        <w:t>Information will be kept private to the extent allowed by law</w:t>
      </w:r>
      <w:r w:rsidR="005B6ADB" w:rsidRPr="001F2A5D">
        <w:rPr>
          <w:szCs w:val="24"/>
        </w:rPr>
        <w:t>.</w:t>
      </w:r>
    </w:p>
    <w:p w:rsidR="00EB2629" w:rsidRPr="001F2A5D" w:rsidRDefault="00EB2629" w:rsidP="00EB2629">
      <w:pPr>
        <w:widowControl/>
        <w:rPr>
          <w:rFonts w:ascii="Times New Roman" w:hAnsi="Times New Roman"/>
          <w:szCs w:val="24"/>
        </w:rPr>
      </w:pPr>
    </w:p>
    <w:p w:rsidR="005B6ADB" w:rsidRPr="001F2A5D" w:rsidRDefault="005B6ADB" w:rsidP="009938C8">
      <w:pPr>
        <w:widowControl/>
        <w:rPr>
          <w:rFonts w:ascii="Times New Roman" w:hAnsi="Times New Roman"/>
          <w:szCs w:val="24"/>
        </w:rPr>
      </w:pPr>
      <w:r w:rsidRPr="001F2A5D">
        <w:rPr>
          <w:rFonts w:ascii="Times New Roman" w:hAnsi="Times New Roman"/>
          <w:szCs w:val="24"/>
        </w:rPr>
        <w:t>11.</w:t>
      </w:r>
      <w:r w:rsidRPr="001F2A5D">
        <w:rPr>
          <w:rFonts w:ascii="Times New Roman" w:hAnsi="Times New Roman"/>
          <w:szCs w:val="24"/>
        </w:rPr>
        <w:tab/>
      </w:r>
      <w:r w:rsidR="009E60FB" w:rsidRPr="00647F97">
        <w:rPr>
          <w:rFonts w:ascii="Times New Roman TUR" w:hAnsi="Times New Roman TUR" w:cs="Times New Roman TUR"/>
          <w:bCs/>
          <w:u w:val="single"/>
        </w:rPr>
        <w:t>Justification for questions of a sensitive nature:</w:t>
      </w:r>
    </w:p>
    <w:p w:rsidR="005B6ADB" w:rsidRPr="001F2A5D" w:rsidRDefault="005B6ADB" w:rsidP="005B6ADB">
      <w:pPr>
        <w:rPr>
          <w:rFonts w:ascii="Times New Roman" w:hAnsi="Times New Roman"/>
          <w:szCs w:val="24"/>
        </w:rPr>
      </w:pPr>
    </w:p>
    <w:p w:rsidR="005B6ADB" w:rsidRPr="001F2A5D" w:rsidRDefault="009E60FB" w:rsidP="009938C8">
      <w:pPr>
        <w:pStyle w:val="BodyTextIndent"/>
        <w:ind w:left="0"/>
        <w:rPr>
          <w:szCs w:val="24"/>
        </w:rPr>
      </w:pPr>
      <w:r>
        <w:rPr>
          <w:szCs w:val="24"/>
        </w:rPr>
        <w:t>Part 370</w:t>
      </w:r>
      <w:r w:rsidR="005B6ADB" w:rsidRPr="001F2A5D">
        <w:rPr>
          <w:szCs w:val="24"/>
        </w:rPr>
        <w:t xml:space="preserve"> </w:t>
      </w:r>
      <w:r w:rsidR="00124A29">
        <w:rPr>
          <w:szCs w:val="24"/>
        </w:rPr>
        <w:t xml:space="preserve">generally </w:t>
      </w:r>
      <w:r w:rsidR="005B6ADB" w:rsidRPr="001F2A5D">
        <w:rPr>
          <w:szCs w:val="24"/>
        </w:rPr>
        <w:t>require</w:t>
      </w:r>
      <w:r>
        <w:rPr>
          <w:szCs w:val="24"/>
        </w:rPr>
        <w:t>s</w:t>
      </w:r>
      <w:r w:rsidR="005B6ADB" w:rsidRPr="001F2A5D">
        <w:rPr>
          <w:szCs w:val="24"/>
        </w:rPr>
        <w:t xml:space="preserve"> covered institutions to ensure that their deposit </w:t>
      </w:r>
      <w:r w:rsidR="00124A29">
        <w:rPr>
          <w:szCs w:val="24"/>
        </w:rPr>
        <w:t xml:space="preserve">account </w:t>
      </w:r>
      <w:r w:rsidR="005B6ADB" w:rsidRPr="001F2A5D">
        <w:rPr>
          <w:szCs w:val="24"/>
        </w:rPr>
        <w:t>records contain sufficient information to identify owners of deposits</w:t>
      </w:r>
      <w:r w:rsidR="00124A29">
        <w:rPr>
          <w:szCs w:val="24"/>
        </w:rPr>
        <w:t>, unless they are permitted otherwise in accordance with the FDIC’s deposit insurance rules in 12 CFR part 330</w:t>
      </w:r>
      <w:r w:rsidR="005B6ADB" w:rsidRPr="001F2A5D">
        <w:rPr>
          <w:szCs w:val="24"/>
        </w:rPr>
        <w:t xml:space="preserve">.  Such information would include personal and sensitive information such as the owner’s social security number, among other things.  </w:t>
      </w:r>
      <w:r w:rsidR="00F91BEA" w:rsidRPr="00F91BEA">
        <w:rPr>
          <w:szCs w:val="24"/>
        </w:rPr>
        <w:t>To pay deposit insurance, the FDIC uses a failed IDI’s records to aggregate the amounts of all deposits that are maintained by a depositor in the same right and capacity and then applies the standard maximum deposit insurance amount (“SMDIA”) of $250,000.</w:t>
      </w:r>
      <w:r w:rsidR="00F91BEA">
        <w:rPr>
          <w:szCs w:val="24"/>
        </w:rPr>
        <w:t xml:space="preserve">  All sensitive information included in the information collection is required to enable the FDIC to make a timely deposit insurance determination </w:t>
      </w:r>
      <w:r w:rsidR="00BB2C95">
        <w:rPr>
          <w:szCs w:val="24"/>
        </w:rPr>
        <w:t xml:space="preserve">in </w:t>
      </w:r>
      <w:r w:rsidR="00F91BEA">
        <w:rPr>
          <w:szCs w:val="24"/>
        </w:rPr>
        <w:t>the event of the failure of an IDI.</w:t>
      </w:r>
    </w:p>
    <w:p w:rsidR="005B6ADB" w:rsidRPr="001F2A5D" w:rsidRDefault="005B6ADB" w:rsidP="005B6ADB">
      <w:pPr>
        <w:rPr>
          <w:rFonts w:ascii="Times New Roman" w:hAnsi="Times New Roman"/>
          <w:szCs w:val="24"/>
        </w:rPr>
      </w:pPr>
    </w:p>
    <w:p w:rsidR="005B6ADB" w:rsidRPr="001F2A5D" w:rsidRDefault="005B6ADB" w:rsidP="009938C8">
      <w:pPr>
        <w:rPr>
          <w:rFonts w:ascii="Times New Roman" w:hAnsi="Times New Roman"/>
          <w:szCs w:val="24"/>
        </w:rPr>
      </w:pPr>
      <w:r w:rsidRPr="001F2A5D">
        <w:rPr>
          <w:rFonts w:ascii="Times New Roman" w:hAnsi="Times New Roman"/>
          <w:szCs w:val="24"/>
        </w:rPr>
        <w:t>12.</w:t>
      </w:r>
      <w:r w:rsidRPr="001F2A5D">
        <w:rPr>
          <w:rFonts w:ascii="Times New Roman" w:hAnsi="Times New Roman"/>
          <w:szCs w:val="24"/>
        </w:rPr>
        <w:tab/>
      </w:r>
      <w:r w:rsidR="009E60FB" w:rsidRPr="009E60FB">
        <w:rPr>
          <w:rFonts w:ascii="Times New Roman" w:hAnsi="Times New Roman"/>
          <w:szCs w:val="24"/>
          <w:u w:val="single"/>
        </w:rPr>
        <w:t>Estimate of hour burden including annualized hourly costs:</w:t>
      </w:r>
      <w:r w:rsidRPr="001F2A5D">
        <w:rPr>
          <w:rFonts w:ascii="Times New Roman" w:hAnsi="Times New Roman"/>
          <w:szCs w:val="24"/>
        </w:rPr>
        <w:tab/>
      </w:r>
    </w:p>
    <w:p w:rsidR="009E60FB" w:rsidRDefault="009E60FB" w:rsidP="005B6ADB">
      <w:pPr>
        <w:rPr>
          <w:rFonts w:ascii="Times New Roman" w:hAnsi="Times New Roman"/>
          <w:szCs w:val="24"/>
        </w:rPr>
      </w:pPr>
    </w:p>
    <w:p w:rsidR="005C2F8B" w:rsidRDefault="005C2F8B" w:rsidP="009938C8">
      <w:pPr>
        <w:rPr>
          <w:rFonts w:ascii="Times New Roman" w:hAnsi="Times New Roman"/>
          <w:szCs w:val="24"/>
        </w:rPr>
      </w:pPr>
      <w:r w:rsidRPr="001F2A5D">
        <w:rPr>
          <w:rFonts w:ascii="Times New Roman" w:hAnsi="Times New Roman"/>
          <w:szCs w:val="24"/>
        </w:rPr>
        <w:t xml:space="preserve">The estimated </w:t>
      </w:r>
      <w:r w:rsidR="00FD3DE6">
        <w:rPr>
          <w:rFonts w:ascii="Times New Roman" w:hAnsi="Times New Roman"/>
          <w:szCs w:val="24"/>
        </w:rPr>
        <w:t xml:space="preserve">annual </w:t>
      </w:r>
      <w:r w:rsidRPr="001F2A5D">
        <w:rPr>
          <w:rFonts w:ascii="Times New Roman" w:hAnsi="Times New Roman"/>
          <w:szCs w:val="24"/>
        </w:rPr>
        <w:t xml:space="preserve">burden for implementing the collection of information </w:t>
      </w:r>
      <w:r w:rsidR="002432B2">
        <w:rPr>
          <w:rFonts w:ascii="Times New Roman" w:hAnsi="Times New Roman"/>
          <w:szCs w:val="24"/>
        </w:rPr>
        <w:t xml:space="preserve">under </w:t>
      </w:r>
      <w:r w:rsidR="00A92898">
        <w:rPr>
          <w:rFonts w:ascii="Times New Roman" w:hAnsi="Times New Roman"/>
          <w:szCs w:val="24"/>
        </w:rPr>
        <w:t>Part 370</w:t>
      </w:r>
      <w:r w:rsidR="002432B2">
        <w:rPr>
          <w:rFonts w:ascii="Times New Roman" w:hAnsi="Times New Roman"/>
          <w:szCs w:val="24"/>
        </w:rPr>
        <w:t xml:space="preserve"> </w:t>
      </w:r>
      <w:r w:rsidRPr="001F2A5D">
        <w:rPr>
          <w:rFonts w:ascii="Times New Roman" w:hAnsi="Times New Roman"/>
          <w:szCs w:val="24"/>
        </w:rPr>
        <w:t>i</w:t>
      </w:r>
      <w:r w:rsidRPr="00731EC1">
        <w:rPr>
          <w:rFonts w:ascii="Times New Roman" w:hAnsi="Times New Roman"/>
          <w:szCs w:val="24"/>
        </w:rPr>
        <w:t xml:space="preserve">s </w:t>
      </w:r>
      <w:r w:rsidR="00243127">
        <w:rPr>
          <w:rFonts w:ascii="Times New Roman" w:hAnsi="Times New Roman"/>
          <w:szCs w:val="24"/>
        </w:rPr>
        <w:t xml:space="preserve">approximately </w:t>
      </w:r>
      <w:r w:rsidR="00FD3DE6">
        <w:rPr>
          <w:rFonts w:ascii="Times New Roman" w:hAnsi="Times New Roman"/>
          <w:szCs w:val="24"/>
        </w:rPr>
        <w:t>4, 904,</w:t>
      </w:r>
      <w:r w:rsidR="00295983">
        <w:rPr>
          <w:rFonts w:ascii="Times New Roman" w:hAnsi="Times New Roman"/>
          <w:szCs w:val="24"/>
        </w:rPr>
        <w:t>597</w:t>
      </w:r>
      <w:r w:rsidR="00FD3DE6">
        <w:rPr>
          <w:rFonts w:ascii="Times New Roman" w:hAnsi="Times New Roman"/>
          <w:szCs w:val="24"/>
        </w:rPr>
        <w:t xml:space="preserve"> </w:t>
      </w:r>
      <w:r w:rsidRPr="00731EC1">
        <w:rPr>
          <w:rFonts w:ascii="Times New Roman" w:hAnsi="Times New Roman"/>
          <w:szCs w:val="24"/>
        </w:rPr>
        <w:t>h</w:t>
      </w:r>
      <w:r w:rsidRPr="001F2A5D">
        <w:rPr>
          <w:rFonts w:ascii="Times New Roman" w:hAnsi="Times New Roman"/>
          <w:szCs w:val="24"/>
        </w:rPr>
        <w:t xml:space="preserve">ours. The estimated ongoing annual burden for the respondents is </w:t>
      </w:r>
      <w:r w:rsidR="00243127">
        <w:rPr>
          <w:rFonts w:ascii="Times New Roman" w:hAnsi="Times New Roman"/>
          <w:szCs w:val="24"/>
        </w:rPr>
        <w:t xml:space="preserve">approximately </w:t>
      </w:r>
      <w:r w:rsidR="00FD3DE6">
        <w:rPr>
          <w:rFonts w:ascii="Times New Roman" w:hAnsi="Times New Roman"/>
          <w:szCs w:val="24"/>
        </w:rPr>
        <w:t>18,396</w:t>
      </w:r>
      <w:r w:rsidRPr="001F2A5D">
        <w:rPr>
          <w:rFonts w:ascii="Times New Roman" w:hAnsi="Times New Roman"/>
          <w:szCs w:val="24"/>
        </w:rPr>
        <w:t xml:space="preserve"> hours</w:t>
      </w:r>
      <w:r w:rsidR="00731EC1">
        <w:rPr>
          <w:rFonts w:ascii="Times New Roman" w:hAnsi="Times New Roman"/>
          <w:szCs w:val="24"/>
        </w:rPr>
        <w:t xml:space="preserve"> per year</w:t>
      </w:r>
      <w:r w:rsidRPr="001F2A5D">
        <w:rPr>
          <w:rFonts w:ascii="Times New Roman" w:hAnsi="Times New Roman"/>
          <w:szCs w:val="24"/>
        </w:rPr>
        <w:t xml:space="preserve">. </w:t>
      </w:r>
      <w:r w:rsidR="00FD3DE6">
        <w:rPr>
          <w:rFonts w:ascii="Times New Roman" w:hAnsi="Times New Roman"/>
          <w:szCs w:val="24"/>
        </w:rPr>
        <w:t>The estimated total annual burden for the information collection is 4,92</w:t>
      </w:r>
      <w:r w:rsidR="00295983">
        <w:rPr>
          <w:rFonts w:ascii="Times New Roman" w:hAnsi="Times New Roman"/>
          <w:szCs w:val="24"/>
        </w:rPr>
        <w:t>2</w:t>
      </w:r>
      <w:r w:rsidR="00FD3DE6">
        <w:rPr>
          <w:rFonts w:ascii="Times New Roman" w:hAnsi="Times New Roman"/>
          <w:szCs w:val="24"/>
        </w:rPr>
        <w:t>,</w:t>
      </w:r>
      <w:r w:rsidR="00295983">
        <w:rPr>
          <w:rFonts w:ascii="Times New Roman" w:hAnsi="Times New Roman"/>
          <w:szCs w:val="24"/>
        </w:rPr>
        <w:t>993</w:t>
      </w:r>
      <w:r w:rsidR="00FD3DE6">
        <w:rPr>
          <w:rFonts w:ascii="Times New Roman" w:hAnsi="Times New Roman"/>
          <w:szCs w:val="24"/>
        </w:rPr>
        <w:t xml:space="preserve"> hours.</w:t>
      </w:r>
    </w:p>
    <w:p w:rsidR="00B87BBB" w:rsidRDefault="00B87BBB" w:rsidP="00731EC1">
      <w:pPr>
        <w:ind w:firstLine="720"/>
        <w:rPr>
          <w:rFonts w:ascii="Times New Roman" w:hAnsi="Times New Roman"/>
          <w:szCs w:val="24"/>
        </w:rPr>
      </w:pPr>
    </w:p>
    <w:p w:rsidR="00B87BBB" w:rsidRPr="009938C8" w:rsidRDefault="00B87BBB" w:rsidP="009938C8">
      <w:pPr>
        <w:rPr>
          <w:rFonts w:ascii="Times New Roman" w:eastAsiaTheme="minorHAnsi" w:hAnsi="Times New Roman"/>
          <w:snapToGrid/>
          <w:szCs w:val="24"/>
        </w:rPr>
      </w:pPr>
      <w:r w:rsidRPr="009938C8">
        <w:rPr>
          <w:rFonts w:ascii="Times New Roman" w:eastAsiaTheme="minorHAnsi" w:hAnsi="Times New Roman"/>
          <w:snapToGrid/>
          <w:szCs w:val="24"/>
        </w:rPr>
        <w:t xml:space="preserve">The proposed rule is estimated to reduce recordkeeping and reporting requirements by </w:t>
      </w:r>
      <w:r w:rsidR="0088486B">
        <w:rPr>
          <w:rFonts w:ascii="Times New Roman" w:eastAsiaTheme="minorHAnsi" w:hAnsi="Times New Roman"/>
          <w:snapToGrid/>
          <w:szCs w:val="24"/>
        </w:rPr>
        <w:t>417,991</w:t>
      </w:r>
      <w:r w:rsidRPr="009938C8">
        <w:rPr>
          <w:rFonts w:ascii="Times New Roman" w:eastAsiaTheme="minorHAnsi" w:hAnsi="Times New Roman"/>
          <w:snapToGrid/>
          <w:szCs w:val="24"/>
        </w:rPr>
        <w:t xml:space="preserve"> hours or $20.9 million </w:t>
      </w:r>
      <w:r w:rsidRPr="009938C8">
        <w:rPr>
          <w:rFonts w:ascii="Times New Roman" w:hAnsi="Times New Roman"/>
          <w:szCs w:val="24"/>
        </w:rPr>
        <w:t>dollars</w:t>
      </w:r>
      <w:r w:rsidRPr="009938C8">
        <w:rPr>
          <w:rFonts w:ascii="Times New Roman" w:eastAsiaTheme="minorHAnsi" w:hAnsi="Times New Roman"/>
          <w:snapToGrid/>
          <w:szCs w:val="24"/>
        </w:rPr>
        <w:t xml:space="preserve">. The proposed rule would reduce compliance burdens for covered institutions associated with recordkeeping and reporting in the following ways: </w:t>
      </w:r>
    </w:p>
    <w:p w:rsidR="00B87BBB" w:rsidRPr="009938C8" w:rsidRDefault="00B87BBB" w:rsidP="00B87BBB">
      <w:pPr>
        <w:widowControl/>
        <w:rPr>
          <w:rFonts w:ascii="Times New Roman" w:eastAsiaTheme="minorHAnsi" w:hAnsi="Times New Roman"/>
          <w:snapToGrid/>
          <w:szCs w:val="24"/>
        </w:rPr>
      </w:pPr>
    </w:p>
    <w:p w:rsidR="00B87BBB" w:rsidRPr="009938C8" w:rsidRDefault="00B87BBB" w:rsidP="00B87BBB">
      <w:pPr>
        <w:widowControl/>
        <w:numPr>
          <w:ilvl w:val="0"/>
          <w:numId w:val="5"/>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Removing the certification requirement covered institution’s must make with respect to deposit accounts with transactional features that would be eligible for pass-through deposit insurance coverage;</w:t>
      </w:r>
    </w:p>
    <w:p w:rsidR="00B87BBB" w:rsidRPr="009938C8" w:rsidRDefault="00B87BBB" w:rsidP="00B87BBB">
      <w:pPr>
        <w:widowControl/>
        <w:numPr>
          <w:ilvl w:val="0"/>
          <w:numId w:val="5"/>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Enabling covered institutions to maintain deposit account records for certain trust accounts in accordance with the alternative recordkeeping requirements set forth in § 370.4(b)(2) rather than the general recordkeeping requirements set forth in § 370.4(a);</w:t>
      </w:r>
    </w:p>
    <w:p w:rsidR="00B87BBB" w:rsidRPr="009938C8" w:rsidRDefault="00B87BBB" w:rsidP="00B87BBB">
      <w:pPr>
        <w:widowControl/>
        <w:numPr>
          <w:ilvl w:val="0"/>
          <w:numId w:val="5"/>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Offering a different recordkeeping/reporting method for deposits created as a result of credit balances on accounts for debt owed to a covered institution;</w:t>
      </w:r>
    </w:p>
    <w:p w:rsidR="00B87BBB" w:rsidRPr="009938C8" w:rsidRDefault="00B87BBB" w:rsidP="00B87BBB">
      <w:pPr>
        <w:widowControl/>
        <w:numPr>
          <w:ilvl w:val="0"/>
          <w:numId w:val="5"/>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 xml:space="preserve">Enabling covered institutions to file joint requests for exception pursuant to § 370.8(b); and </w:t>
      </w:r>
    </w:p>
    <w:p w:rsidR="00B87BBB" w:rsidRPr="009938C8" w:rsidRDefault="00B87BBB" w:rsidP="00B87BBB">
      <w:pPr>
        <w:widowControl/>
        <w:numPr>
          <w:ilvl w:val="0"/>
          <w:numId w:val="5"/>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Deeming certain exception requests previously granted by the FDIC pursuant to § 370.8(b) to be deemed granted, on the same conditions, for other covered institutions that would present substantially similar facts and the same circumstances to justify a request for exception.</w:t>
      </w:r>
    </w:p>
    <w:p w:rsidR="00B87BBB" w:rsidRPr="009938C8" w:rsidRDefault="00B87BBB" w:rsidP="00B87BBB">
      <w:pPr>
        <w:widowControl/>
        <w:rPr>
          <w:rFonts w:ascii="Times New Roman" w:eastAsiaTheme="minorHAnsi" w:hAnsi="Times New Roman"/>
          <w:snapToGrid/>
          <w:szCs w:val="24"/>
        </w:rPr>
      </w:pPr>
      <w:r w:rsidRPr="009938C8">
        <w:rPr>
          <w:rFonts w:ascii="Times New Roman" w:eastAsiaTheme="minorHAnsi" w:hAnsi="Times New Roman"/>
          <w:snapToGrid/>
          <w:szCs w:val="24"/>
        </w:rPr>
        <w:t>An analysis of deposit account information at covered institutions suggested that the proposed rule could affect an estimated one to 20 percent of accounts on average, for covered institutions.</w:t>
      </w:r>
      <w:r w:rsidRPr="009938C8">
        <w:rPr>
          <w:rFonts w:ascii="Times New Roman" w:eastAsiaTheme="minorHAnsi" w:hAnsi="Times New Roman"/>
          <w:snapToGrid/>
          <w:szCs w:val="24"/>
          <w:vertAlign w:val="superscript"/>
        </w:rPr>
        <w:footnoteReference w:id="8"/>
      </w:r>
      <w:r w:rsidRPr="009938C8">
        <w:rPr>
          <w:rFonts w:ascii="Times New Roman" w:eastAsiaTheme="minorHAnsi" w:hAnsi="Times New Roman"/>
          <w:snapToGrid/>
          <w:szCs w:val="24"/>
        </w:rPr>
        <w:t xml:space="preserve"> The realized effect would vary depending upon the types of accounts that a covered institution offers. The more deposit accounts covered institution has, the greater the reduction in recordkeeping requirements these proposed amendments would provide. To conservatively estimate the expected benefits of the proposed rule, the FDIC assumed that the reduced recordkeeping and requirements would affect between one and 20 percent of all deposit accounts at covered institutions.</w:t>
      </w:r>
    </w:p>
    <w:p w:rsidR="00B87BBB" w:rsidRPr="009938C8" w:rsidRDefault="00B87BBB" w:rsidP="00B87BBB">
      <w:pPr>
        <w:widowControl/>
        <w:rPr>
          <w:rFonts w:ascii="Times New Roman" w:eastAsiaTheme="minorHAnsi" w:hAnsi="Times New Roman"/>
          <w:snapToGrid/>
          <w:szCs w:val="24"/>
        </w:rPr>
      </w:pPr>
    </w:p>
    <w:p w:rsidR="00B87BBB" w:rsidRPr="009938C8" w:rsidRDefault="00B87BBB" w:rsidP="00B87BBB">
      <w:pPr>
        <w:widowControl/>
        <w:rPr>
          <w:rFonts w:ascii="Times New Roman" w:eastAsiaTheme="minorHAnsi" w:hAnsi="Times New Roman"/>
          <w:snapToGrid/>
          <w:szCs w:val="24"/>
        </w:rPr>
      </w:pPr>
      <w:r w:rsidRPr="009938C8">
        <w:rPr>
          <w:rFonts w:ascii="Times New Roman" w:eastAsiaTheme="minorHAnsi" w:hAnsi="Times New Roman"/>
          <w:snapToGrid/>
          <w:szCs w:val="24"/>
        </w:rPr>
        <w:t>For the purposes of the Paperwork Reduction Act, the FDIC estimates that approximately 10 percent of non-retirement accounts consist of the type of accounts for which the FDIC has granted relief. The number of accounts affects only one of eight components of the burden model for the final rule for Part 370 adopted in 2016 (the “2016 Final Rule”): Legacy Data Clean-up. This component consists of two portions: 1) automated clean-up, and 2) manual clean-up. The number of accounts affects only the manual portion associated with correcting bank records, and thus the proposed rule affects only that estimate.</w:t>
      </w:r>
    </w:p>
    <w:p w:rsidR="00B87BBB" w:rsidRPr="009938C8" w:rsidRDefault="00B87BBB" w:rsidP="00B87BBB">
      <w:pPr>
        <w:widowControl/>
        <w:rPr>
          <w:rFonts w:ascii="Times New Roman" w:eastAsiaTheme="minorHAnsi" w:hAnsi="Times New Roman"/>
          <w:snapToGrid/>
          <w:szCs w:val="24"/>
        </w:rPr>
      </w:pPr>
    </w:p>
    <w:p w:rsidR="00B87BBB" w:rsidRPr="009938C8" w:rsidRDefault="00B87BBB" w:rsidP="00B87BBB">
      <w:pPr>
        <w:widowControl/>
        <w:rPr>
          <w:rFonts w:ascii="Times New Roman" w:eastAsiaTheme="minorHAnsi" w:hAnsi="Times New Roman"/>
          <w:snapToGrid/>
          <w:szCs w:val="24"/>
        </w:rPr>
      </w:pPr>
      <w:r w:rsidRPr="009938C8">
        <w:rPr>
          <w:rFonts w:ascii="Times New Roman" w:eastAsiaTheme="minorHAnsi" w:hAnsi="Times New Roman"/>
          <w:snapToGrid/>
          <w:szCs w:val="24"/>
        </w:rPr>
        <w:t xml:space="preserve">Using this adjusted burden as a baseline for the burden reduction of the proposed rule, we estimate that the proposed rule reduces the implementation burden by </w:t>
      </w:r>
      <w:r w:rsidR="003B5D98">
        <w:rPr>
          <w:rFonts w:ascii="Times New Roman" w:eastAsiaTheme="minorHAnsi" w:hAnsi="Times New Roman"/>
          <w:snapToGrid/>
          <w:szCs w:val="24"/>
        </w:rPr>
        <w:t>417,991</w:t>
      </w:r>
      <w:r w:rsidRPr="009938C8">
        <w:rPr>
          <w:rFonts w:ascii="Times New Roman" w:eastAsiaTheme="minorHAnsi" w:hAnsi="Times New Roman"/>
          <w:snapToGrid/>
          <w:szCs w:val="24"/>
        </w:rPr>
        <w:t xml:space="preserve"> hours. This includes 418,05</w:t>
      </w:r>
      <w:r w:rsidR="003B5D98">
        <w:rPr>
          <w:rFonts w:ascii="Times New Roman" w:eastAsiaTheme="minorHAnsi" w:hAnsi="Times New Roman"/>
          <w:snapToGrid/>
          <w:szCs w:val="24"/>
        </w:rPr>
        <w:t>6</w:t>
      </w:r>
      <w:r w:rsidRPr="009938C8">
        <w:rPr>
          <w:rFonts w:ascii="Times New Roman" w:eastAsiaTheme="minorHAnsi" w:hAnsi="Times New Roman"/>
          <w:snapToGrid/>
          <w:szCs w:val="24"/>
        </w:rPr>
        <w:t xml:space="preserve"> of burden reduction but adds </w:t>
      </w:r>
      <w:r w:rsidR="003B5D98">
        <w:rPr>
          <w:rFonts w:ascii="Times New Roman" w:eastAsiaTheme="minorHAnsi" w:hAnsi="Times New Roman"/>
          <w:snapToGrid/>
          <w:szCs w:val="24"/>
        </w:rPr>
        <w:t>65</w:t>
      </w:r>
      <w:r w:rsidRPr="009938C8">
        <w:rPr>
          <w:rFonts w:ascii="Times New Roman" w:eastAsiaTheme="minorHAnsi" w:hAnsi="Times New Roman"/>
          <w:snapToGrid/>
          <w:szCs w:val="24"/>
        </w:rPr>
        <w:t xml:space="preserve"> hours of additional burden for requests for extensions and exemptions under the proposed rule. The proposed rule does not change the annual ongoing burden.</w:t>
      </w:r>
    </w:p>
    <w:p w:rsidR="00B87BBB" w:rsidRPr="009938C8" w:rsidRDefault="00B87BBB" w:rsidP="00B87BBB">
      <w:pPr>
        <w:widowControl/>
        <w:rPr>
          <w:rFonts w:ascii="Times New Roman" w:eastAsiaTheme="minorHAnsi" w:hAnsi="Times New Roman"/>
          <w:snapToGrid/>
          <w:szCs w:val="24"/>
        </w:rPr>
      </w:pPr>
    </w:p>
    <w:p w:rsidR="00B87BBB" w:rsidRPr="009938C8" w:rsidRDefault="00B87BBB" w:rsidP="00B87BBB">
      <w:pPr>
        <w:widowControl/>
        <w:rPr>
          <w:rFonts w:ascii="Times New Roman" w:eastAsiaTheme="minorHAnsi" w:hAnsi="Times New Roman"/>
          <w:snapToGrid/>
          <w:szCs w:val="24"/>
        </w:rPr>
      </w:pPr>
      <w:r w:rsidRPr="009938C8">
        <w:rPr>
          <w:rFonts w:ascii="Times New Roman" w:eastAsiaTheme="minorHAnsi" w:hAnsi="Times New Roman"/>
          <w:snapToGrid/>
          <w:szCs w:val="24"/>
        </w:rPr>
        <w:t>For the purpose of the 2016 Final Rule, the FDIC estimated that manual data clean-up would involve a 60 percent ratio of internal to external labor, and that this labor would cost $65 per hour and $85 per hour, respectively. The FDIC assumed that 5 percent of deposit accounts had erroneous account information and that manual labor would correct 10 accounts per hour of effort. The FDIC also assumed that for every hour of manual labor used by covered institutions, depositors would also exert one hour toward correcting account information at a national average wage rate of $27 per hour. From this, the FDIC estimated a total implementation cost of manual data clean-up of $207.4 million.</w:t>
      </w:r>
    </w:p>
    <w:p w:rsidR="00B87BBB" w:rsidRPr="009938C8" w:rsidRDefault="00B87BBB" w:rsidP="00B87BBB">
      <w:pPr>
        <w:widowControl/>
        <w:rPr>
          <w:rFonts w:ascii="Times New Roman" w:eastAsiaTheme="minorHAnsi" w:hAnsi="Times New Roman"/>
          <w:snapToGrid/>
          <w:szCs w:val="24"/>
        </w:rPr>
      </w:pPr>
    </w:p>
    <w:p w:rsidR="00B87BBB" w:rsidRPr="009938C8" w:rsidRDefault="00B87BBB" w:rsidP="00B87BBB">
      <w:pPr>
        <w:widowControl/>
        <w:rPr>
          <w:rFonts w:ascii="Times New Roman" w:eastAsiaTheme="minorHAnsi" w:hAnsi="Times New Roman"/>
          <w:snapToGrid/>
          <w:szCs w:val="24"/>
        </w:rPr>
      </w:pPr>
      <w:r w:rsidRPr="009938C8">
        <w:rPr>
          <w:rFonts w:ascii="Times New Roman" w:eastAsiaTheme="minorHAnsi" w:hAnsi="Times New Roman"/>
          <w:snapToGrid/>
          <w:szCs w:val="24"/>
        </w:rPr>
        <w:t>As with the burden hours, the FDIC adjusted the original burden model to account for updated data and included IDIs that were actually covered by the rule as a new baseline. After this adjustment, the FDIC estimates that the cost of manual data clean-up fell to $188.1 million, a decrease of $20.9 million because of the proposed rule.</w:t>
      </w:r>
    </w:p>
    <w:p w:rsidR="00B87BBB" w:rsidRPr="00B87BBB" w:rsidRDefault="00B87BBB" w:rsidP="00B87BBB">
      <w:pPr>
        <w:widowControl/>
        <w:rPr>
          <w:rFonts w:asciiTheme="minorHAnsi" w:eastAsiaTheme="minorHAnsi" w:hAnsiTheme="minorHAnsi" w:cstheme="minorBidi"/>
          <w:snapToGrid/>
          <w:sz w:val="22"/>
          <w:szCs w:val="22"/>
        </w:rPr>
      </w:pPr>
    </w:p>
    <w:p w:rsidR="00B87BBB" w:rsidRPr="009938C8" w:rsidRDefault="00B87BBB" w:rsidP="009938C8">
      <w:pPr>
        <w:ind w:firstLine="720"/>
        <w:rPr>
          <w:rFonts w:ascii="Times New Roman" w:hAnsi="Times New Roman"/>
          <w:i/>
          <w:szCs w:val="24"/>
        </w:rPr>
      </w:pPr>
      <w:r w:rsidRPr="009938C8">
        <w:rPr>
          <w:rFonts w:ascii="Times New Roman" w:hAnsi="Times New Roman"/>
          <w:i/>
          <w:szCs w:val="24"/>
        </w:rPr>
        <w:t>Methodology</w:t>
      </w:r>
    </w:p>
    <w:p w:rsidR="00B87BBB" w:rsidRPr="009938C8" w:rsidRDefault="00B87BBB" w:rsidP="00B87BBB">
      <w:pPr>
        <w:widowControl/>
        <w:rPr>
          <w:rFonts w:ascii="Times New Roman" w:eastAsiaTheme="minorHAnsi" w:hAnsi="Times New Roman"/>
          <w:b/>
          <w:i/>
          <w:snapToGrid/>
          <w:szCs w:val="24"/>
          <w:u w:val="single"/>
        </w:rPr>
      </w:pPr>
    </w:p>
    <w:p w:rsidR="00B87BBB" w:rsidRPr="009938C8" w:rsidRDefault="00B87BBB" w:rsidP="00B87BBB">
      <w:pPr>
        <w:widowControl/>
        <w:rPr>
          <w:rFonts w:ascii="Times New Roman" w:eastAsiaTheme="minorHAnsi" w:hAnsi="Times New Roman"/>
          <w:snapToGrid/>
          <w:szCs w:val="24"/>
        </w:rPr>
      </w:pPr>
      <w:r w:rsidRPr="009938C8">
        <w:rPr>
          <w:rFonts w:ascii="Times New Roman" w:eastAsiaTheme="minorHAnsi" w:hAnsi="Times New Roman"/>
          <w:snapToGrid/>
          <w:szCs w:val="24"/>
        </w:rPr>
        <w:t>In estimating the costs of Part 370, the FDIC engaged the services of an independent consulting firm. Working with the FDIC, the consultant used its extensive knowledge and experience with IT systems at financial institutions to develop a model to provide cost estimates for the following activities:</w:t>
      </w:r>
    </w:p>
    <w:p w:rsidR="00B87BBB" w:rsidRPr="009938C8" w:rsidRDefault="00B87BBB" w:rsidP="00B87BBB">
      <w:pPr>
        <w:widowControl/>
        <w:rPr>
          <w:rFonts w:ascii="Times New Roman" w:eastAsiaTheme="minorHAnsi" w:hAnsi="Times New Roman"/>
          <w:snapToGrid/>
          <w:szCs w:val="24"/>
        </w:rPr>
      </w:pPr>
    </w:p>
    <w:p w:rsidR="00B87BBB" w:rsidRPr="009938C8" w:rsidRDefault="00B87BBB" w:rsidP="00B87BBB">
      <w:pPr>
        <w:widowControl/>
        <w:numPr>
          <w:ilvl w:val="0"/>
          <w:numId w:val="2"/>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Implementing the deposit insurance calculation</w:t>
      </w:r>
    </w:p>
    <w:p w:rsidR="00B87BBB" w:rsidRPr="009938C8" w:rsidRDefault="00B87BBB" w:rsidP="00B87BBB">
      <w:pPr>
        <w:widowControl/>
        <w:numPr>
          <w:ilvl w:val="0"/>
          <w:numId w:val="2"/>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Legacy data clean-up</w:t>
      </w:r>
    </w:p>
    <w:p w:rsidR="00B87BBB" w:rsidRPr="009938C8" w:rsidRDefault="00B87BBB" w:rsidP="00B87BBB">
      <w:pPr>
        <w:widowControl/>
        <w:numPr>
          <w:ilvl w:val="0"/>
          <w:numId w:val="2"/>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Data extraction</w:t>
      </w:r>
    </w:p>
    <w:p w:rsidR="00B87BBB" w:rsidRPr="009938C8" w:rsidRDefault="00B87BBB" w:rsidP="00B87BBB">
      <w:pPr>
        <w:widowControl/>
        <w:numPr>
          <w:ilvl w:val="0"/>
          <w:numId w:val="2"/>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Data aggregation</w:t>
      </w:r>
    </w:p>
    <w:p w:rsidR="00B87BBB" w:rsidRPr="009938C8" w:rsidRDefault="00B87BBB" w:rsidP="00B87BBB">
      <w:pPr>
        <w:widowControl/>
        <w:numPr>
          <w:ilvl w:val="0"/>
          <w:numId w:val="2"/>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Data standardization</w:t>
      </w:r>
    </w:p>
    <w:p w:rsidR="00B87BBB" w:rsidRPr="009938C8" w:rsidRDefault="00B87BBB" w:rsidP="00B87BBB">
      <w:pPr>
        <w:widowControl/>
        <w:numPr>
          <w:ilvl w:val="0"/>
          <w:numId w:val="2"/>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Data quality control and compliance</w:t>
      </w:r>
    </w:p>
    <w:p w:rsidR="00B87BBB" w:rsidRPr="009938C8" w:rsidRDefault="00B87BBB" w:rsidP="00B87BBB">
      <w:pPr>
        <w:widowControl/>
        <w:numPr>
          <w:ilvl w:val="0"/>
          <w:numId w:val="2"/>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Data reporting</w:t>
      </w:r>
    </w:p>
    <w:p w:rsidR="00B87BBB" w:rsidRPr="009938C8" w:rsidRDefault="00B87BBB" w:rsidP="00B87BBB">
      <w:pPr>
        <w:widowControl/>
        <w:numPr>
          <w:ilvl w:val="0"/>
          <w:numId w:val="2"/>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Ongoing operations</w:t>
      </w:r>
    </w:p>
    <w:p w:rsidR="00B87BBB" w:rsidRPr="009938C8" w:rsidRDefault="00B87BBB" w:rsidP="00B87BBB">
      <w:pPr>
        <w:widowControl/>
        <w:rPr>
          <w:rFonts w:ascii="Times New Roman" w:eastAsiaTheme="minorHAnsi" w:hAnsi="Times New Roman"/>
          <w:snapToGrid/>
          <w:szCs w:val="24"/>
        </w:rPr>
      </w:pPr>
    </w:p>
    <w:p w:rsidR="00B87BBB" w:rsidRPr="009938C8" w:rsidRDefault="00B87BBB" w:rsidP="00B87BBB">
      <w:pPr>
        <w:widowControl/>
        <w:rPr>
          <w:rFonts w:ascii="Times New Roman" w:eastAsiaTheme="minorHAnsi" w:hAnsi="Times New Roman"/>
          <w:snapToGrid/>
          <w:szCs w:val="24"/>
        </w:rPr>
      </w:pPr>
      <w:r w:rsidRPr="009938C8">
        <w:rPr>
          <w:rFonts w:ascii="Times New Roman" w:eastAsiaTheme="minorHAnsi" w:hAnsi="Times New Roman"/>
          <w:snapToGrid/>
          <w:szCs w:val="24"/>
        </w:rPr>
        <w:t>Cost estimates for these activities were derived from a projection of the types of workers needed for each task, an estimate of the amount of labor hours required, an estimate of the industry average labor cost (including benefits) for each worker needed, and an estimate of worker productivity. The analysis assumed that manual data clean-up would be needed for 5 percent of deposit accounts, 10 accounts per hour would be resolved, and internal labor would be used for 60 percent of the clean-up. This analysis also projected higher costs for institutions based on the following factors:</w:t>
      </w:r>
    </w:p>
    <w:p w:rsidR="00B87BBB" w:rsidRPr="009938C8" w:rsidRDefault="00B87BBB" w:rsidP="00B87BBB">
      <w:pPr>
        <w:widowControl/>
        <w:rPr>
          <w:rFonts w:ascii="Times New Roman" w:eastAsiaTheme="minorHAnsi" w:hAnsi="Times New Roman"/>
          <w:snapToGrid/>
          <w:szCs w:val="24"/>
        </w:rPr>
      </w:pPr>
    </w:p>
    <w:p w:rsidR="00B87BBB" w:rsidRPr="009938C8" w:rsidRDefault="00B87BBB" w:rsidP="00B87BBB">
      <w:pPr>
        <w:widowControl/>
        <w:numPr>
          <w:ilvl w:val="0"/>
          <w:numId w:val="2"/>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Higher number of deposit accounts</w:t>
      </w:r>
    </w:p>
    <w:p w:rsidR="00B87BBB" w:rsidRPr="009938C8" w:rsidRDefault="00B87BBB" w:rsidP="00B87BBB">
      <w:pPr>
        <w:widowControl/>
        <w:numPr>
          <w:ilvl w:val="0"/>
          <w:numId w:val="2"/>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Higher number of distinct core servicing platforms</w:t>
      </w:r>
    </w:p>
    <w:p w:rsidR="00B87BBB" w:rsidRPr="009938C8" w:rsidRDefault="00B87BBB" w:rsidP="00B87BBB">
      <w:pPr>
        <w:widowControl/>
        <w:numPr>
          <w:ilvl w:val="0"/>
          <w:numId w:val="2"/>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Higher number of depository legal entities or separate organizational units</w:t>
      </w:r>
    </w:p>
    <w:p w:rsidR="00B87BBB" w:rsidRPr="009938C8" w:rsidRDefault="00B87BBB" w:rsidP="00B87BBB">
      <w:pPr>
        <w:widowControl/>
        <w:numPr>
          <w:ilvl w:val="0"/>
          <w:numId w:val="2"/>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Broader geographic dispersal of accounts and customers</w:t>
      </w:r>
    </w:p>
    <w:p w:rsidR="00B87BBB" w:rsidRPr="009938C8" w:rsidRDefault="00B87BBB" w:rsidP="00B87BBB">
      <w:pPr>
        <w:widowControl/>
        <w:numPr>
          <w:ilvl w:val="0"/>
          <w:numId w:val="2"/>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Use of sweep accounts</w:t>
      </w:r>
    </w:p>
    <w:p w:rsidR="00B87BBB" w:rsidRPr="009938C8" w:rsidRDefault="00B87BBB" w:rsidP="00B87BBB">
      <w:pPr>
        <w:widowControl/>
        <w:numPr>
          <w:ilvl w:val="0"/>
          <w:numId w:val="2"/>
        </w:numPr>
        <w:spacing w:after="200" w:line="276" w:lineRule="auto"/>
        <w:rPr>
          <w:rFonts w:ascii="Times New Roman" w:eastAsiaTheme="minorHAnsi" w:hAnsi="Times New Roman"/>
          <w:snapToGrid/>
          <w:szCs w:val="24"/>
        </w:rPr>
      </w:pPr>
      <w:r w:rsidRPr="009938C8">
        <w:rPr>
          <w:rFonts w:ascii="Times New Roman" w:eastAsiaTheme="minorHAnsi" w:hAnsi="Times New Roman"/>
          <w:snapToGrid/>
          <w:szCs w:val="24"/>
        </w:rPr>
        <w:t>Greater degree of complexity in business lines, accounts, and operations.</w:t>
      </w:r>
    </w:p>
    <w:p w:rsidR="00B87BBB" w:rsidRPr="009938C8" w:rsidRDefault="00B87BBB" w:rsidP="00B87BBB">
      <w:pPr>
        <w:widowControl/>
        <w:rPr>
          <w:rFonts w:ascii="Times New Roman" w:eastAsiaTheme="minorHAnsi" w:hAnsi="Times New Roman"/>
          <w:snapToGrid/>
          <w:szCs w:val="24"/>
        </w:rPr>
      </w:pPr>
    </w:p>
    <w:p w:rsidR="00B87BBB" w:rsidRPr="009938C8" w:rsidRDefault="00B87BBB" w:rsidP="00B87BBB">
      <w:pPr>
        <w:widowControl/>
        <w:rPr>
          <w:rFonts w:ascii="Times New Roman" w:eastAsiaTheme="minorHAnsi" w:hAnsi="Times New Roman"/>
          <w:snapToGrid/>
          <w:szCs w:val="24"/>
        </w:rPr>
      </w:pPr>
      <w:r w:rsidRPr="009938C8">
        <w:rPr>
          <w:rFonts w:ascii="Times New Roman" w:eastAsiaTheme="minorHAnsi" w:hAnsi="Times New Roman"/>
          <w:snapToGrid/>
          <w:szCs w:val="24"/>
        </w:rPr>
        <w:t>Approximately half of Part 370’s estimated total costs are attributable to legacy data clean-up. These legacy data clean-up cost estimates are sensitive to both the number of deposit accounts and the number of deposit IT systems. More than 90 percent of the legacy data clean-up costs are associated with manually collecting account information from customers and entering it into the covered institution’s IT systems. Data aggregation, which is sensitive to the number of deposit IT systems, makes up about 13 percent of the rule’s estimated costs.</w:t>
      </w:r>
    </w:p>
    <w:p w:rsidR="00B87BBB" w:rsidRPr="009938C8" w:rsidRDefault="00B87BBB" w:rsidP="00B87BBB">
      <w:pPr>
        <w:widowControl/>
        <w:rPr>
          <w:rFonts w:ascii="Times New Roman" w:eastAsiaTheme="minorHAnsi" w:hAnsi="Times New Roman"/>
          <w:snapToGrid/>
          <w:szCs w:val="24"/>
        </w:rPr>
      </w:pPr>
    </w:p>
    <w:p w:rsidR="00B87BBB" w:rsidRPr="009938C8" w:rsidRDefault="00B87BBB" w:rsidP="00B87BBB">
      <w:pPr>
        <w:widowControl/>
        <w:rPr>
          <w:rFonts w:ascii="Times New Roman" w:eastAsiaTheme="minorHAnsi" w:hAnsi="Times New Roman"/>
          <w:snapToGrid/>
          <w:szCs w:val="24"/>
        </w:rPr>
      </w:pPr>
      <w:r w:rsidRPr="009938C8">
        <w:rPr>
          <w:rFonts w:ascii="Times New Roman" w:eastAsiaTheme="minorHAnsi" w:hAnsi="Times New Roman"/>
          <w:snapToGrid/>
          <w:szCs w:val="24"/>
        </w:rPr>
        <w:t>The 2016 Final Rule estimated total costs of $478 million, with $386 million of those costs to 38 covered financial institutions and the remainder borne by the FDIC and account holders.</w:t>
      </w:r>
      <w:r w:rsidRPr="009938C8">
        <w:rPr>
          <w:rFonts w:ascii="Times New Roman" w:eastAsiaTheme="minorHAnsi" w:hAnsi="Times New Roman"/>
          <w:snapToGrid/>
          <w:szCs w:val="24"/>
          <w:vertAlign w:val="superscript"/>
        </w:rPr>
        <w:footnoteReference w:id="9"/>
      </w:r>
      <w:r w:rsidRPr="009938C8">
        <w:rPr>
          <w:rFonts w:ascii="Times New Roman" w:eastAsiaTheme="minorHAnsi" w:hAnsi="Times New Roman"/>
          <w:snapToGrid/>
          <w:szCs w:val="24"/>
        </w:rPr>
        <w:t xml:space="preserve">  For this proposed rule, the FDIC updated the list of covered institutions to 36 as of the effective date of the 2016 Final Rule and the types of accounts covered. The FDIC also updated the data in the model to December 31, 2018.</w:t>
      </w:r>
    </w:p>
    <w:p w:rsidR="00B87BBB" w:rsidRDefault="00B87BBB" w:rsidP="00B87BBB">
      <w:pPr>
        <w:widowControl/>
        <w:rPr>
          <w:rFonts w:asciiTheme="minorHAnsi" w:eastAsiaTheme="minorHAnsi" w:hAnsiTheme="minorHAnsi" w:cstheme="minorBidi"/>
          <w:snapToGrid/>
          <w:sz w:val="22"/>
          <w:szCs w:val="22"/>
        </w:rPr>
      </w:pPr>
    </w:p>
    <w:p w:rsidR="00ED2862" w:rsidRDefault="00ED2862" w:rsidP="00B87BBB">
      <w:pPr>
        <w:widowControl/>
        <w:rPr>
          <w:rFonts w:asciiTheme="minorHAnsi" w:eastAsiaTheme="minorHAnsi" w:hAnsiTheme="minorHAnsi" w:cstheme="minorBidi"/>
          <w:snapToGrid/>
          <w:sz w:val="22"/>
          <w:szCs w:val="22"/>
        </w:rPr>
      </w:pPr>
    </w:p>
    <w:p w:rsidR="00ED2862" w:rsidRDefault="00ED2862" w:rsidP="00B87BBB">
      <w:pPr>
        <w:widowControl/>
        <w:rPr>
          <w:rFonts w:asciiTheme="minorHAnsi" w:eastAsiaTheme="minorHAnsi" w:hAnsiTheme="minorHAnsi" w:cstheme="minorBidi"/>
          <w:snapToGrid/>
          <w:sz w:val="22"/>
          <w:szCs w:val="22"/>
        </w:rPr>
      </w:pPr>
    </w:p>
    <w:p w:rsidR="00ED2862" w:rsidRDefault="00ED2862" w:rsidP="00B87BBB">
      <w:pPr>
        <w:widowControl/>
        <w:rPr>
          <w:rFonts w:asciiTheme="minorHAnsi" w:eastAsiaTheme="minorHAnsi" w:hAnsiTheme="minorHAnsi" w:cstheme="minorBidi"/>
          <w:snapToGrid/>
          <w:sz w:val="22"/>
          <w:szCs w:val="22"/>
        </w:rPr>
      </w:pPr>
    </w:p>
    <w:p w:rsidR="00ED2862" w:rsidRDefault="00ED2862" w:rsidP="00B87BBB">
      <w:pPr>
        <w:widowControl/>
        <w:rPr>
          <w:rFonts w:asciiTheme="minorHAnsi" w:eastAsiaTheme="minorHAnsi" w:hAnsiTheme="minorHAnsi" w:cstheme="minorBidi"/>
          <w:snapToGrid/>
          <w:sz w:val="22"/>
          <w:szCs w:val="22"/>
        </w:rPr>
      </w:pPr>
    </w:p>
    <w:p w:rsidR="00ED2862" w:rsidRPr="00B87BBB" w:rsidRDefault="00ED2862" w:rsidP="00B87BBB">
      <w:pPr>
        <w:widowControl/>
        <w:rPr>
          <w:rFonts w:asciiTheme="minorHAnsi" w:eastAsiaTheme="minorHAnsi" w:hAnsiTheme="minorHAnsi" w:cstheme="minorBidi"/>
          <w:snapToGrid/>
          <w:sz w:val="22"/>
          <w:szCs w:val="22"/>
        </w:rPr>
      </w:pPr>
    </w:p>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b/>
          <w:i/>
          <w:snapToGrid/>
          <w:sz w:val="22"/>
          <w:szCs w:val="22"/>
        </w:rPr>
        <w:t>Implementation Burden</w:t>
      </w:r>
      <w:r w:rsidRPr="00B87BBB">
        <w:rPr>
          <w:rFonts w:asciiTheme="minorHAnsi" w:eastAsiaTheme="minorHAnsi" w:hAnsiTheme="minorHAnsi" w:cstheme="minorBidi"/>
          <w:i/>
          <w:snapToGrid/>
          <w:sz w:val="22"/>
          <w:szCs w:val="22"/>
        </w:rPr>
        <w:t xml:space="preserve">: </w:t>
      </w:r>
      <w:r w:rsidRPr="00B87BBB">
        <w:rPr>
          <w:rFonts w:asciiTheme="minorHAnsi" w:eastAsiaTheme="minorHAnsi" w:hAnsiTheme="minorHAnsi" w:cstheme="minorBidi"/>
          <w:snapToGrid/>
          <w:sz w:val="22"/>
          <w:szCs w:val="22"/>
          <w:vertAlign w:val="superscript"/>
        </w:rPr>
        <w:footnoteReference w:id="10"/>
      </w:r>
    </w:p>
    <w:tbl>
      <w:tblPr>
        <w:tblStyle w:val="TableGrid1"/>
        <w:tblW w:w="9576" w:type="dxa"/>
        <w:tblLayout w:type="fixed"/>
        <w:tblLook w:val="04A0" w:firstRow="1" w:lastRow="0" w:firstColumn="1" w:lastColumn="0" w:noHBand="0" w:noVBand="1"/>
      </w:tblPr>
      <w:tblGrid>
        <w:gridCol w:w="3888"/>
        <w:gridCol w:w="1489"/>
        <w:gridCol w:w="1400"/>
        <w:gridCol w:w="1399"/>
        <w:gridCol w:w="1400"/>
      </w:tblGrid>
      <w:tr w:rsidR="00B87BBB" w:rsidRPr="00B87BBB" w:rsidTr="00AF1152">
        <w:trPr>
          <w:trHeight w:val="935"/>
        </w:trPr>
        <w:tc>
          <w:tcPr>
            <w:tcW w:w="3888" w:type="dxa"/>
            <w:vAlign w:val="center"/>
          </w:tcPr>
          <w:p w:rsidR="00B87BBB" w:rsidRPr="00B87BBB" w:rsidRDefault="00B87BBB" w:rsidP="00B87BBB">
            <w:pPr>
              <w:widowControl/>
              <w:rPr>
                <w:rFonts w:asciiTheme="minorHAnsi" w:eastAsiaTheme="minorHAnsi" w:hAnsiTheme="minorHAnsi"/>
                <w:b/>
                <w:szCs w:val="22"/>
              </w:rPr>
            </w:pPr>
            <w:r w:rsidRPr="00B87BBB">
              <w:rPr>
                <w:rFonts w:asciiTheme="minorHAnsi" w:eastAsiaTheme="minorHAnsi" w:hAnsiTheme="minorHAnsi"/>
                <w:szCs w:val="22"/>
              </w:rPr>
              <w:br w:type="page"/>
            </w:r>
            <w:r w:rsidRPr="00B87BBB">
              <w:rPr>
                <w:rFonts w:asciiTheme="minorHAnsi" w:eastAsiaTheme="minorHAnsi" w:hAnsiTheme="minorHAnsi"/>
                <w:szCs w:val="22"/>
              </w:rPr>
              <w:br w:type="page"/>
            </w:r>
            <w:r w:rsidRPr="00B87BBB">
              <w:rPr>
                <w:rFonts w:asciiTheme="minorHAnsi" w:eastAsiaTheme="minorHAnsi" w:hAnsiTheme="minorHAnsi"/>
                <w:szCs w:val="22"/>
              </w:rPr>
              <w:br w:type="page"/>
            </w:r>
          </w:p>
        </w:tc>
        <w:tc>
          <w:tcPr>
            <w:tcW w:w="1489" w:type="dxa"/>
            <w:vAlign w:val="bottom"/>
          </w:tcPr>
          <w:p w:rsidR="00B87BBB" w:rsidRPr="00B87BBB" w:rsidRDefault="00B87BBB" w:rsidP="00B87BBB">
            <w:pPr>
              <w:widowControl/>
              <w:rPr>
                <w:rFonts w:asciiTheme="minorHAnsi" w:eastAsiaTheme="minorHAnsi" w:hAnsiTheme="minorHAnsi"/>
                <w:i/>
                <w:szCs w:val="22"/>
              </w:rPr>
            </w:pPr>
            <w:r w:rsidRPr="00B87BBB">
              <w:rPr>
                <w:rFonts w:asciiTheme="minorHAnsi" w:eastAsiaTheme="minorHAnsi" w:hAnsiTheme="minorHAnsi"/>
                <w:i/>
                <w:szCs w:val="22"/>
              </w:rPr>
              <w:t>Number</w:t>
            </w:r>
          </w:p>
          <w:p w:rsidR="00B87BBB" w:rsidRPr="00B87BBB" w:rsidRDefault="00B87BBB" w:rsidP="00B87BBB">
            <w:pPr>
              <w:widowControl/>
              <w:rPr>
                <w:rFonts w:asciiTheme="minorHAnsi" w:eastAsiaTheme="minorHAnsi" w:hAnsiTheme="minorHAnsi"/>
                <w:i/>
                <w:szCs w:val="22"/>
              </w:rPr>
            </w:pPr>
            <w:r w:rsidRPr="00B87BBB">
              <w:rPr>
                <w:rFonts w:asciiTheme="minorHAnsi" w:eastAsiaTheme="minorHAnsi" w:hAnsiTheme="minorHAnsi"/>
                <w:i/>
                <w:szCs w:val="22"/>
              </w:rPr>
              <w:t>of respondents</w:t>
            </w:r>
            <w:r w:rsidRPr="00B87BBB">
              <w:rPr>
                <w:rFonts w:asciiTheme="minorHAnsi" w:eastAsiaTheme="minorHAnsi" w:hAnsiTheme="minorHAnsi"/>
                <w:i/>
                <w:szCs w:val="22"/>
                <w:vertAlign w:val="superscript"/>
              </w:rPr>
              <w:footnoteReference w:id="11"/>
            </w:r>
          </w:p>
        </w:tc>
        <w:tc>
          <w:tcPr>
            <w:tcW w:w="1400" w:type="dxa"/>
            <w:vAlign w:val="bottom"/>
          </w:tcPr>
          <w:p w:rsidR="00B87BBB" w:rsidRPr="00B87BBB" w:rsidRDefault="00B87BBB" w:rsidP="00B87BBB">
            <w:pPr>
              <w:widowControl/>
              <w:rPr>
                <w:rFonts w:asciiTheme="minorHAnsi" w:eastAsiaTheme="minorHAnsi" w:hAnsiTheme="minorHAnsi"/>
                <w:i/>
                <w:szCs w:val="22"/>
              </w:rPr>
            </w:pPr>
            <w:r w:rsidRPr="00B87BBB">
              <w:rPr>
                <w:rFonts w:asciiTheme="minorHAnsi" w:eastAsiaTheme="minorHAnsi" w:hAnsiTheme="minorHAnsi"/>
                <w:i/>
                <w:szCs w:val="22"/>
              </w:rPr>
              <w:t>Estimated annual frequency</w:t>
            </w:r>
          </w:p>
        </w:tc>
        <w:tc>
          <w:tcPr>
            <w:tcW w:w="1399" w:type="dxa"/>
            <w:vAlign w:val="bottom"/>
          </w:tcPr>
          <w:p w:rsidR="00B87BBB" w:rsidRPr="00B87BBB" w:rsidRDefault="00B87BBB" w:rsidP="00B87BBB">
            <w:pPr>
              <w:widowControl/>
              <w:rPr>
                <w:rFonts w:asciiTheme="minorHAnsi" w:eastAsiaTheme="minorHAnsi" w:hAnsiTheme="minorHAnsi"/>
                <w:i/>
                <w:szCs w:val="22"/>
              </w:rPr>
            </w:pPr>
            <w:r w:rsidRPr="00B87BBB">
              <w:rPr>
                <w:rFonts w:asciiTheme="minorHAnsi" w:eastAsiaTheme="minorHAnsi" w:hAnsiTheme="minorHAnsi"/>
                <w:i/>
                <w:szCs w:val="22"/>
              </w:rPr>
              <w:t>Estimated average hours</w:t>
            </w:r>
          </w:p>
          <w:p w:rsidR="00B87BBB" w:rsidRPr="00B87BBB" w:rsidRDefault="00B87BBB" w:rsidP="00B87BBB">
            <w:pPr>
              <w:widowControl/>
              <w:rPr>
                <w:rFonts w:asciiTheme="minorHAnsi" w:eastAsiaTheme="minorHAnsi" w:hAnsiTheme="minorHAnsi"/>
                <w:i/>
                <w:szCs w:val="22"/>
              </w:rPr>
            </w:pPr>
            <w:r w:rsidRPr="00B87BBB">
              <w:rPr>
                <w:rFonts w:asciiTheme="minorHAnsi" w:eastAsiaTheme="minorHAnsi" w:hAnsiTheme="minorHAnsi"/>
                <w:i/>
                <w:szCs w:val="22"/>
              </w:rPr>
              <w:t xml:space="preserve">per response </w:t>
            </w:r>
            <w:r w:rsidRPr="00B87BBB">
              <w:rPr>
                <w:rFonts w:asciiTheme="minorHAnsi" w:eastAsiaTheme="minorHAnsi" w:hAnsiTheme="minorHAnsi"/>
                <w:i/>
                <w:szCs w:val="22"/>
                <w:vertAlign w:val="superscript"/>
              </w:rPr>
              <w:footnoteReference w:id="12"/>
            </w:r>
          </w:p>
        </w:tc>
        <w:tc>
          <w:tcPr>
            <w:tcW w:w="1400" w:type="dxa"/>
            <w:vAlign w:val="bottom"/>
          </w:tcPr>
          <w:p w:rsidR="00B87BBB" w:rsidRPr="00B87BBB" w:rsidRDefault="00B87BBB" w:rsidP="00B87BBB">
            <w:pPr>
              <w:widowControl/>
              <w:rPr>
                <w:rFonts w:asciiTheme="minorHAnsi" w:eastAsiaTheme="minorHAnsi" w:hAnsiTheme="minorHAnsi"/>
                <w:i/>
                <w:szCs w:val="22"/>
              </w:rPr>
            </w:pPr>
            <w:r w:rsidRPr="00B87BBB">
              <w:rPr>
                <w:rFonts w:asciiTheme="minorHAnsi" w:eastAsiaTheme="minorHAnsi" w:hAnsiTheme="minorHAnsi"/>
                <w:i/>
                <w:szCs w:val="22"/>
              </w:rPr>
              <w:t>Estimated total</w:t>
            </w:r>
          </w:p>
          <w:p w:rsidR="00B87BBB" w:rsidRPr="00B87BBB" w:rsidRDefault="00B87BBB" w:rsidP="00B87BBB">
            <w:pPr>
              <w:widowControl/>
              <w:rPr>
                <w:rFonts w:asciiTheme="minorHAnsi" w:eastAsiaTheme="minorHAnsi" w:hAnsiTheme="minorHAnsi"/>
                <w:i/>
                <w:szCs w:val="22"/>
              </w:rPr>
            </w:pPr>
            <w:r w:rsidRPr="00B87BBB">
              <w:rPr>
                <w:rFonts w:asciiTheme="minorHAnsi" w:eastAsiaTheme="minorHAnsi" w:hAnsiTheme="minorHAnsi"/>
                <w:i/>
                <w:szCs w:val="22"/>
              </w:rPr>
              <w:t>annual burden hours</w:t>
            </w:r>
          </w:p>
        </w:tc>
      </w:tr>
      <w:tr w:rsidR="00B87BBB" w:rsidRPr="00B87BBB" w:rsidTr="00AF1152">
        <w:trPr>
          <w:trHeight w:val="306"/>
        </w:trPr>
        <w:tc>
          <w:tcPr>
            <w:tcW w:w="3888" w:type="dxa"/>
            <w:vAlign w:val="center"/>
          </w:tcPr>
          <w:p w:rsidR="00B87BBB" w:rsidRPr="00B87BBB" w:rsidRDefault="00B87BBB" w:rsidP="00B87BBB">
            <w:pPr>
              <w:widowControl/>
              <w:rPr>
                <w:rFonts w:asciiTheme="minorHAnsi" w:eastAsiaTheme="minorHAnsi" w:hAnsiTheme="minorHAnsi"/>
                <w:b/>
                <w:i/>
                <w:szCs w:val="22"/>
              </w:rPr>
            </w:pPr>
            <w:r w:rsidRPr="00B87BBB">
              <w:rPr>
                <w:rFonts w:asciiTheme="minorHAnsi" w:eastAsiaTheme="minorHAnsi" w:hAnsiTheme="minorHAnsi"/>
                <w:b/>
                <w:i/>
                <w:szCs w:val="22"/>
              </w:rPr>
              <w:t>2016 Final Rule</w:t>
            </w:r>
          </w:p>
        </w:tc>
        <w:tc>
          <w:tcPr>
            <w:tcW w:w="1489" w:type="dxa"/>
            <w:vAlign w:val="center"/>
          </w:tcPr>
          <w:p w:rsidR="00B87BBB" w:rsidRPr="00B87BBB" w:rsidRDefault="00B87BBB" w:rsidP="00B87BBB">
            <w:pPr>
              <w:widowControl/>
              <w:rPr>
                <w:rFonts w:asciiTheme="minorHAnsi" w:eastAsiaTheme="minorHAnsi" w:hAnsiTheme="minorHAnsi"/>
                <w:i/>
                <w:szCs w:val="22"/>
              </w:rPr>
            </w:pPr>
          </w:p>
        </w:tc>
        <w:tc>
          <w:tcPr>
            <w:tcW w:w="1400" w:type="dxa"/>
            <w:vAlign w:val="center"/>
          </w:tcPr>
          <w:p w:rsidR="00B87BBB" w:rsidRPr="00B87BBB" w:rsidRDefault="00B87BBB" w:rsidP="00B87BBB">
            <w:pPr>
              <w:widowControl/>
              <w:rPr>
                <w:rFonts w:asciiTheme="minorHAnsi" w:eastAsiaTheme="minorHAnsi" w:hAnsiTheme="minorHAnsi"/>
                <w:i/>
                <w:szCs w:val="22"/>
              </w:rPr>
            </w:pPr>
          </w:p>
        </w:tc>
        <w:tc>
          <w:tcPr>
            <w:tcW w:w="1399" w:type="dxa"/>
            <w:vAlign w:val="center"/>
          </w:tcPr>
          <w:p w:rsidR="00B87BBB" w:rsidRPr="00B87BBB" w:rsidRDefault="00B87BBB" w:rsidP="00B87BBB">
            <w:pPr>
              <w:widowControl/>
              <w:rPr>
                <w:rFonts w:asciiTheme="minorHAnsi" w:eastAsiaTheme="minorHAnsi" w:hAnsiTheme="minorHAnsi"/>
                <w:i/>
                <w:szCs w:val="22"/>
              </w:rPr>
            </w:pPr>
          </w:p>
        </w:tc>
        <w:tc>
          <w:tcPr>
            <w:tcW w:w="1400" w:type="dxa"/>
            <w:vAlign w:val="center"/>
          </w:tcPr>
          <w:p w:rsidR="00B87BBB" w:rsidRPr="00B87BBB" w:rsidRDefault="00B87BBB" w:rsidP="00B87BBB">
            <w:pPr>
              <w:widowControl/>
              <w:rPr>
                <w:rFonts w:asciiTheme="minorHAnsi" w:eastAsiaTheme="minorHAnsi" w:hAnsiTheme="minorHAnsi"/>
                <w:i/>
                <w:szCs w:val="22"/>
              </w:rPr>
            </w:pP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szCs w:val="22"/>
              </w:rPr>
            </w:pPr>
            <w:r w:rsidRPr="00B87BBB">
              <w:rPr>
                <w:rFonts w:asciiTheme="minorHAnsi" w:eastAsiaTheme="minorHAnsi" w:hAnsiTheme="minorHAnsi"/>
                <w:szCs w:val="22"/>
              </w:rPr>
              <w:t>Lowest Complexity Institutions</w:t>
            </w:r>
          </w:p>
        </w:tc>
        <w:tc>
          <w:tcPr>
            <w:tcW w:w="1489" w:type="dxa"/>
            <w:vAlign w:val="bottom"/>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12</w:t>
            </w:r>
          </w:p>
        </w:tc>
        <w:tc>
          <w:tcPr>
            <w:tcW w:w="1400" w:type="dxa"/>
            <w:vAlign w:val="bottom"/>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w:t>
            </w:r>
          </w:p>
        </w:tc>
        <w:tc>
          <w:tcPr>
            <w:tcW w:w="1399" w:type="dxa"/>
            <w:vAlign w:val="bottom"/>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 xml:space="preserve">31,054 </w:t>
            </w:r>
          </w:p>
        </w:tc>
        <w:tc>
          <w:tcPr>
            <w:tcW w:w="1400" w:type="dxa"/>
            <w:vAlign w:val="bottom"/>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372,648</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szCs w:val="22"/>
              </w:rPr>
            </w:pPr>
            <w:r w:rsidRPr="00B87BBB">
              <w:rPr>
                <w:rFonts w:asciiTheme="minorHAnsi" w:eastAsiaTheme="minorHAnsi" w:hAnsiTheme="minorHAnsi"/>
                <w:szCs w:val="22"/>
              </w:rPr>
              <w:t>Middle Complexity Institutions</w:t>
            </w:r>
          </w:p>
        </w:tc>
        <w:tc>
          <w:tcPr>
            <w:tcW w:w="1489" w:type="dxa"/>
            <w:vAlign w:val="bottom"/>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13</w:t>
            </w:r>
          </w:p>
        </w:tc>
        <w:tc>
          <w:tcPr>
            <w:tcW w:w="1400" w:type="dxa"/>
            <w:vAlign w:val="bottom"/>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w:t>
            </w:r>
          </w:p>
        </w:tc>
        <w:tc>
          <w:tcPr>
            <w:tcW w:w="1399" w:type="dxa"/>
            <w:vAlign w:val="bottom"/>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 xml:space="preserve">46,342 </w:t>
            </w:r>
          </w:p>
        </w:tc>
        <w:tc>
          <w:tcPr>
            <w:tcW w:w="1400" w:type="dxa"/>
            <w:vAlign w:val="bottom"/>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602,446</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szCs w:val="22"/>
              </w:rPr>
            </w:pPr>
            <w:r w:rsidRPr="00B87BBB">
              <w:rPr>
                <w:rFonts w:asciiTheme="minorHAnsi" w:eastAsiaTheme="minorHAnsi" w:hAnsiTheme="minorHAnsi"/>
                <w:szCs w:val="22"/>
              </w:rPr>
              <w:t>Highest Complexity Institutions</w:t>
            </w:r>
          </w:p>
        </w:tc>
        <w:tc>
          <w:tcPr>
            <w:tcW w:w="1489" w:type="dxa"/>
            <w:vAlign w:val="bottom"/>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13</w:t>
            </w:r>
          </w:p>
        </w:tc>
        <w:tc>
          <w:tcPr>
            <w:tcW w:w="1400" w:type="dxa"/>
            <w:vAlign w:val="bottom"/>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w:t>
            </w:r>
          </w:p>
        </w:tc>
        <w:tc>
          <w:tcPr>
            <w:tcW w:w="1399" w:type="dxa"/>
            <w:vAlign w:val="bottom"/>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 xml:space="preserve">325,494 </w:t>
            </w:r>
          </w:p>
        </w:tc>
        <w:tc>
          <w:tcPr>
            <w:tcW w:w="1400" w:type="dxa"/>
            <w:vAlign w:val="bottom"/>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4,231,422</w:t>
            </w:r>
          </w:p>
        </w:tc>
      </w:tr>
      <w:tr w:rsidR="00B87BBB" w:rsidRPr="00B87BBB" w:rsidTr="00AF1152">
        <w:trPr>
          <w:trHeight w:val="252"/>
        </w:trPr>
        <w:tc>
          <w:tcPr>
            <w:tcW w:w="3888" w:type="dxa"/>
            <w:vAlign w:val="bottom"/>
          </w:tcPr>
          <w:p w:rsidR="00B87BBB" w:rsidRPr="00B87BBB" w:rsidRDefault="00B87BBB" w:rsidP="00B87BBB">
            <w:pPr>
              <w:widowControl/>
              <w:rPr>
                <w:rFonts w:asciiTheme="minorHAnsi" w:eastAsiaTheme="minorHAnsi" w:hAnsiTheme="minorHAnsi"/>
                <w:i/>
                <w:szCs w:val="22"/>
              </w:rPr>
            </w:pPr>
            <w:r w:rsidRPr="00B87BBB">
              <w:rPr>
                <w:rFonts w:asciiTheme="minorHAnsi" w:eastAsiaTheme="minorHAnsi" w:hAnsiTheme="minorHAnsi"/>
                <w:i/>
                <w:szCs w:val="22"/>
              </w:rPr>
              <w:t>2016 Final Rule Total</w:t>
            </w:r>
          </w:p>
        </w:tc>
        <w:tc>
          <w:tcPr>
            <w:tcW w:w="1489" w:type="dxa"/>
            <w:vAlign w:val="bottom"/>
          </w:tcPr>
          <w:p w:rsidR="00B87BBB" w:rsidRPr="00B87BBB" w:rsidRDefault="00B87BBB" w:rsidP="009938C8">
            <w:pPr>
              <w:widowControl/>
              <w:jc w:val="center"/>
              <w:rPr>
                <w:rFonts w:asciiTheme="minorHAnsi" w:eastAsiaTheme="minorHAnsi" w:hAnsiTheme="minorHAnsi"/>
                <w:i/>
                <w:szCs w:val="22"/>
              </w:rPr>
            </w:pPr>
            <w:r w:rsidRPr="00B87BBB">
              <w:rPr>
                <w:rFonts w:asciiTheme="minorHAnsi" w:eastAsiaTheme="minorHAnsi" w:hAnsiTheme="minorHAnsi"/>
                <w:bCs/>
                <w:i/>
                <w:szCs w:val="22"/>
              </w:rPr>
              <w:t>38</w:t>
            </w:r>
          </w:p>
        </w:tc>
        <w:tc>
          <w:tcPr>
            <w:tcW w:w="1400" w:type="dxa"/>
            <w:vAlign w:val="bottom"/>
          </w:tcPr>
          <w:p w:rsidR="00B87BBB" w:rsidRPr="00B87BBB" w:rsidRDefault="00B87BBB" w:rsidP="009938C8">
            <w:pPr>
              <w:widowControl/>
              <w:jc w:val="center"/>
              <w:rPr>
                <w:rFonts w:asciiTheme="minorHAnsi" w:eastAsiaTheme="minorHAnsi" w:hAnsiTheme="minorHAnsi"/>
                <w:i/>
                <w:szCs w:val="22"/>
              </w:rPr>
            </w:pPr>
          </w:p>
        </w:tc>
        <w:tc>
          <w:tcPr>
            <w:tcW w:w="1399" w:type="dxa"/>
            <w:vAlign w:val="bottom"/>
          </w:tcPr>
          <w:p w:rsidR="00B87BBB" w:rsidRPr="00B87BBB" w:rsidRDefault="00B87BBB" w:rsidP="009938C8">
            <w:pPr>
              <w:widowControl/>
              <w:jc w:val="right"/>
              <w:rPr>
                <w:rFonts w:asciiTheme="minorHAnsi" w:eastAsiaTheme="minorHAnsi" w:hAnsiTheme="minorHAnsi"/>
                <w:i/>
                <w:szCs w:val="22"/>
              </w:rPr>
            </w:pPr>
            <w:r w:rsidRPr="00B87BBB">
              <w:rPr>
                <w:rFonts w:asciiTheme="minorHAnsi" w:eastAsiaTheme="minorHAnsi" w:hAnsiTheme="minorHAnsi"/>
                <w:bCs/>
                <w:i/>
                <w:szCs w:val="22"/>
              </w:rPr>
              <w:t>137,014</w:t>
            </w:r>
          </w:p>
        </w:tc>
        <w:tc>
          <w:tcPr>
            <w:tcW w:w="1400" w:type="dxa"/>
            <w:vAlign w:val="bottom"/>
          </w:tcPr>
          <w:p w:rsidR="00B87BBB" w:rsidRPr="00B87BBB" w:rsidRDefault="00B87BBB" w:rsidP="009938C8">
            <w:pPr>
              <w:widowControl/>
              <w:jc w:val="right"/>
              <w:rPr>
                <w:rFonts w:asciiTheme="minorHAnsi" w:eastAsiaTheme="minorHAnsi" w:hAnsiTheme="minorHAnsi"/>
                <w:i/>
                <w:szCs w:val="22"/>
              </w:rPr>
            </w:pPr>
            <w:r w:rsidRPr="00B87BBB">
              <w:rPr>
                <w:rFonts w:asciiTheme="minorHAnsi" w:eastAsiaTheme="minorHAnsi" w:hAnsiTheme="minorHAnsi"/>
                <w:bCs/>
                <w:i/>
                <w:szCs w:val="22"/>
              </w:rPr>
              <w:t>5,206,516</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b/>
                <w:i/>
                <w:szCs w:val="22"/>
              </w:rPr>
            </w:pPr>
          </w:p>
        </w:tc>
        <w:tc>
          <w:tcPr>
            <w:tcW w:w="1489" w:type="dxa"/>
            <w:vAlign w:val="bottom"/>
          </w:tcPr>
          <w:p w:rsidR="00B87BBB" w:rsidRPr="00B87BBB" w:rsidRDefault="00B87BBB" w:rsidP="009938C8">
            <w:pPr>
              <w:widowControl/>
              <w:jc w:val="center"/>
              <w:rPr>
                <w:rFonts w:asciiTheme="minorHAnsi" w:eastAsiaTheme="minorHAnsi" w:hAnsiTheme="minorHAnsi"/>
                <w:szCs w:val="22"/>
              </w:rPr>
            </w:pPr>
          </w:p>
        </w:tc>
        <w:tc>
          <w:tcPr>
            <w:tcW w:w="1400" w:type="dxa"/>
            <w:vAlign w:val="bottom"/>
          </w:tcPr>
          <w:p w:rsidR="00B87BBB" w:rsidRPr="00B87BBB" w:rsidRDefault="00B87BBB" w:rsidP="009938C8">
            <w:pPr>
              <w:widowControl/>
              <w:jc w:val="center"/>
              <w:rPr>
                <w:rFonts w:asciiTheme="minorHAnsi" w:eastAsiaTheme="minorHAnsi" w:hAnsiTheme="minorHAnsi"/>
                <w:szCs w:val="22"/>
              </w:rPr>
            </w:pPr>
          </w:p>
        </w:tc>
        <w:tc>
          <w:tcPr>
            <w:tcW w:w="1399" w:type="dxa"/>
            <w:vAlign w:val="bottom"/>
          </w:tcPr>
          <w:p w:rsidR="00B87BBB" w:rsidRPr="00B87BBB" w:rsidRDefault="00B87BBB" w:rsidP="009938C8">
            <w:pPr>
              <w:widowControl/>
              <w:jc w:val="right"/>
              <w:rPr>
                <w:rFonts w:asciiTheme="minorHAnsi" w:eastAsiaTheme="minorHAnsi" w:hAnsiTheme="minorHAnsi"/>
                <w:szCs w:val="22"/>
              </w:rPr>
            </w:pPr>
          </w:p>
        </w:tc>
        <w:tc>
          <w:tcPr>
            <w:tcW w:w="1400" w:type="dxa"/>
            <w:vAlign w:val="bottom"/>
          </w:tcPr>
          <w:p w:rsidR="00B87BBB" w:rsidRPr="00B87BBB" w:rsidRDefault="00B87BBB" w:rsidP="009938C8">
            <w:pPr>
              <w:widowControl/>
              <w:jc w:val="right"/>
              <w:rPr>
                <w:rFonts w:asciiTheme="minorHAnsi" w:eastAsiaTheme="minorHAnsi" w:hAnsiTheme="minorHAnsi"/>
                <w:szCs w:val="22"/>
              </w:rPr>
            </w:pP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b/>
                <w:i/>
                <w:szCs w:val="22"/>
              </w:rPr>
            </w:pPr>
            <w:r w:rsidRPr="00B87BBB">
              <w:rPr>
                <w:rFonts w:asciiTheme="minorHAnsi" w:eastAsiaTheme="minorHAnsi" w:hAnsiTheme="minorHAnsi"/>
                <w:b/>
                <w:i/>
                <w:szCs w:val="22"/>
              </w:rPr>
              <w:t xml:space="preserve">Updated Data and Coverage </w:t>
            </w:r>
            <w:r w:rsidRPr="00B87BBB">
              <w:rPr>
                <w:rFonts w:asciiTheme="minorHAnsi" w:eastAsiaTheme="minorHAnsi" w:hAnsiTheme="minorHAnsi"/>
                <w:szCs w:val="22"/>
                <w:vertAlign w:val="superscript"/>
              </w:rPr>
              <w:footnoteReference w:id="13"/>
            </w:r>
          </w:p>
        </w:tc>
        <w:tc>
          <w:tcPr>
            <w:tcW w:w="1489" w:type="dxa"/>
            <w:vAlign w:val="bottom"/>
          </w:tcPr>
          <w:p w:rsidR="00B87BBB" w:rsidRPr="00B87BBB" w:rsidRDefault="00B87BBB" w:rsidP="009938C8">
            <w:pPr>
              <w:widowControl/>
              <w:jc w:val="center"/>
              <w:rPr>
                <w:rFonts w:asciiTheme="minorHAnsi" w:eastAsiaTheme="minorHAnsi" w:hAnsiTheme="minorHAnsi"/>
                <w:szCs w:val="22"/>
              </w:rPr>
            </w:pPr>
          </w:p>
        </w:tc>
        <w:tc>
          <w:tcPr>
            <w:tcW w:w="1400" w:type="dxa"/>
            <w:vAlign w:val="bottom"/>
          </w:tcPr>
          <w:p w:rsidR="00B87BBB" w:rsidRPr="00B87BBB" w:rsidRDefault="00B87BBB" w:rsidP="009938C8">
            <w:pPr>
              <w:widowControl/>
              <w:jc w:val="center"/>
              <w:rPr>
                <w:rFonts w:asciiTheme="minorHAnsi" w:eastAsiaTheme="minorHAnsi" w:hAnsiTheme="minorHAnsi"/>
                <w:szCs w:val="22"/>
              </w:rPr>
            </w:pPr>
          </w:p>
        </w:tc>
        <w:tc>
          <w:tcPr>
            <w:tcW w:w="1399" w:type="dxa"/>
            <w:vAlign w:val="bottom"/>
          </w:tcPr>
          <w:p w:rsidR="00B87BBB" w:rsidRPr="00B87BBB" w:rsidRDefault="00B87BBB" w:rsidP="009938C8">
            <w:pPr>
              <w:widowControl/>
              <w:jc w:val="right"/>
              <w:rPr>
                <w:rFonts w:asciiTheme="minorHAnsi" w:eastAsiaTheme="minorHAnsi" w:hAnsiTheme="minorHAnsi"/>
                <w:szCs w:val="22"/>
              </w:rPr>
            </w:pPr>
          </w:p>
        </w:tc>
        <w:tc>
          <w:tcPr>
            <w:tcW w:w="1400" w:type="dxa"/>
            <w:vAlign w:val="bottom"/>
          </w:tcPr>
          <w:p w:rsidR="00B87BBB" w:rsidRPr="00B87BBB" w:rsidRDefault="00B87BBB" w:rsidP="009938C8">
            <w:pPr>
              <w:widowControl/>
              <w:jc w:val="right"/>
              <w:rPr>
                <w:rFonts w:asciiTheme="minorHAnsi" w:eastAsiaTheme="minorHAnsi" w:hAnsiTheme="minorHAnsi"/>
                <w:szCs w:val="22"/>
              </w:rPr>
            </w:pP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szCs w:val="22"/>
              </w:rPr>
            </w:pPr>
            <w:r w:rsidRPr="00B87BBB">
              <w:rPr>
                <w:rFonts w:asciiTheme="minorHAnsi" w:eastAsiaTheme="minorHAnsi" w:hAnsiTheme="minorHAnsi"/>
                <w:szCs w:val="22"/>
              </w:rPr>
              <w:t>Lowest Complexity Institutions</w:t>
            </w:r>
          </w:p>
        </w:tc>
        <w:tc>
          <w:tcPr>
            <w:tcW w:w="1489" w:type="dxa"/>
            <w:vAlign w:val="center"/>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12</w:t>
            </w:r>
          </w:p>
        </w:tc>
        <w:tc>
          <w:tcPr>
            <w:tcW w:w="1400" w:type="dxa"/>
            <w:vAlign w:val="center"/>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w:t>
            </w:r>
          </w:p>
        </w:tc>
        <w:tc>
          <w:tcPr>
            <w:tcW w:w="1399" w:type="dxa"/>
            <w:vAlign w:val="center"/>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 xml:space="preserve">30,304 </w:t>
            </w:r>
          </w:p>
        </w:tc>
        <w:tc>
          <w:tcPr>
            <w:tcW w:w="1400" w:type="dxa"/>
            <w:vAlign w:val="center"/>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363,648</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szCs w:val="22"/>
              </w:rPr>
            </w:pPr>
            <w:r w:rsidRPr="00B87BBB">
              <w:rPr>
                <w:rFonts w:asciiTheme="minorHAnsi" w:eastAsiaTheme="minorHAnsi" w:hAnsiTheme="minorHAnsi"/>
                <w:szCs w:val="22"/>
              </w:rPr>
              <w:t>Middle Complexity Institutions</w:t>
            </w:r>
          </w:p>
        </w:tc>
        <w:tc>
          <w:tcPr>
            <w:tcW w:w="1489" w:type="dxa"/>
            <w:vAlign w:val="center"/>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12</w:t>
            </w:r>
          </w:p>
        </w:tc>
        <w:tc>
          <w:tcPr>
            <w:tcW w:w="1400" w:type="dxa"/>
            <w:vAlign w:val="center"/>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w:t>
            </w:r>
          </w:p>
        </w:tc>
        <w:tc>
          <w:tcPr>
            <w:tcW w:w="1399" w:type="dxa"/>
            <w:vAlign w:val="center"/>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 xml:space="preserve">58,113 </w:t>
            </w:r>
          </w:p>
        </w:tc>
        <w:tc>
          <w:tcPr>
            <w:tcW w:w="1400" w:type="dxa"/>
            <w:vAlign w:val="center"/>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697,356</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szCs w:val="22"/>
              </w:rPr>
            </w:pPr>
            <w:r w:rsidRPr="00B87BBB">
              <w:rPr>
                <w:rFonts w:asciiTheme="minorHAnsi" w:eastAsiaTheme="minorHAnsi" w:hAnsiTheme="minorHAnsi"/>
                <w:szCs w:val="22"/>
              </w:rPr>
              <w:t>Highest Complexity Institutions</w:t>
            </w:r>
          </w:p>
        </w:tc>
        <w:tc>
          <w:tcPr>
            <w:tcW w:w="1489" w:type="dxa"/>
            <w:vAlign w:val="center"/>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12</w:t>
            </w:r>
          </w:p>
        </w:tc>
        <w:tc>
          <w:tcPr>
            <w:tcW w:w="1400" w:type="dxa"/>
            <w:vAlign w:val="center"/>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w:t>
            </w:r>
          </w:p>
        </w:tc>
        <w:tc>
          <w:tcPr>
            <w:tcW w:w="1399" w:type="dxa"/>
            <w:vAlign w:val="center"/>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 xml:space="preserve">355,132 </w:t>
            </w:r>
          </w:p>
        </w:tc>
        <w:tc>
          <w:tcPr>
            <w:tcW w:w="1400" w:type="dxa"/>
            <w:vAlign w:val="center"/>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4,261,584</w:t>
            </w:r>
          </w:p>
        </w:tc>
      </w:tr>
      <w:tr w:rsidR="00B87BBB" w:rsidRPr="00B87BBB" w:rsidTr="00AF1152">
        <w:trPr>
          <w:trHeight w:val="252"/>
        </w:trPr>
        <w:tc>
          <w:tcPr>
            <w:tcW w:w="3888" w:type="dxa"/>
            <w:vAlign w:val="bottom"/>
          </w:tcPr>
          <w:p w:rsidR="00B87BBB" w:rsidRPr="00B87BBB" w:rsidRDefault="00B87BBB" w:rsidP="00B87BBB">
            <w:pPr>
              <w:widowControl/>
              <w:rPr>
                <w:rFonts w:asciiTheme="minorHAnsi" w:eastAsiaTheme="minorHAnsi" w:hAnsiTheme="minorHAnsi"/>
                <w:i/>
                <w:szCs w:val="22"/>
              </w:rPr>
            </w:pPr>
            <w:r w:rsidRPr="00B87BBB">
              <w:rPr>
                <w:rFonts w:asciiTheme="minorHAnsi" w:eastAsiaTheme="minorHAnsi" w:hAnsiTheme="minorHAnsi"/>
                <w:i/>
                <w:szCs w:val="22"/>
              </w:rPr>
              <w:t>Updated Data and Coverage Total</w:t>
            </w:r>
          </w:p>
        </w:tc>
        <w:tc>
          <w:tcPr>
            <w:tcW w:w="1489" w:type="dxa"/>
            <w:vAlign w:val="center"/>
          </w:tcPr>
          <w:p w:rsidR="00B87BBB" w:rsidRPr="00B87BBB" w:rsidRDefault="00B87BBB" w:rsidP="009938C8">
            <w:pPr>
              <w:widowControl/>
              <w:jc w:val="center"/>
              <w:rPr>
                <w:rFonts w:asciiTheme="minorHAnsi" w:eastAsiaTheme="minorHAnsi" w:hAnsiTheme="minorHAnsi"/>
                <w:i/>
                <w:szCs w:val="22"/>
              </w:rPr>
            </w:pPr>
            <w:r w:rsidRPr="00B87BBB">
              <w:rPr>
                <w:rFonts w:asciiTheme="minorHAnsi" w:eastAsiaTheme="minorHAnsi" w:hAnsiTheme="minorHAnsi"/>
                <w:i/>
                <w:szCs w:val="22"/>
              </w:rPr>
              <w:t>36</w:t>
            </w:r>
          </w:p>
        </w:tc>
        <w:tc>
          <w:tcPr>
            <w:tcW w:w="1400" w:type="dxa"/>
            <w:vAlign w:val="center"/>
          </w:tcPr>
          <w:p w:rsidR="00B87BBB" w:rsidRPr="00B87BBB" w:rsidRDefault="00B87BBB" w:rsidP="009938C8">
            <w:pPr>
              <w:widowControl/>
              <w:jc w:val="center"/>
              <w:rPr>
                <w:rFonts w:asciiTheme="minorHAnsi" w:eastAsiaTheme="minorHAnsi" w:hAnsiTheme="minorHAnsi"/>
                <w:i/>
                <w:szCs w:val="22"/>
              </w:rPr>
            </w:pPr>
            <w:r w:rsidRPr="00B87BBB">
              <w:rPr>
                <w:rFonts w:asciiTheme="minorHAnsi" w:eastAsiaTheme="minorHAnsi" w:hAnsiTheme="minorHAnsi"/>
                <w:i/>
                <w:szCs w:val="22"/>
              </w:rPr>
              <w:t>1</w:t>
            </w:r>
          </w:p>
        </w:tc>
        <w:tc>
          <w:tcPr>
            <w:tcW w:w="1399" w:type="dxa"/>
            <w:vAlign w:val="center"/>
          </w:tcPr>
          <w:p w:rsidR="00B87BBB" w:rsidRPr="00B87BBB" w:rsidRDefault="00B87BBB" w:rsidP="009938C8">
            <w:pPr>
              <w:widowControl/>
              <w:jc w:val="right"/>
              <w:rPr>
                <w:rFonts w:asciiTheme="minorHAnsi" w:eastAsiaTheme="minorHAnsi" w:hAnsiTheme="minorHAnsi"/>
                <w:i/>
                <w:szCs w:val="22"/>
              </w:rPr>
            </w:pPr>
            <w:r w:rsidRPr="00B87BBB">
              <w:rPr>
                <w:rFonts w:asciiTheme="minorHAnsi" w:eastAsiaTheme="minorHAnsi" w:hAnsiTheme="minorHAnsi"/>
                <w:i/>
                <w:szCs w:val="22"/>
              </w:rPr>
              <w:t>147,850</w:t>
            </w:r>
          </w:p>
        </w:tc>
        <w:tc>
          <w:tcPr>
            <w:tcW w:w="1400" w:type="dxa"/>
            <w:vAlign w:val="center"/>
          </w:tcPr>
          <w:p w:rsidR="00B87BBB" w:rsidRPr="00B87BBB" w:rsidRDefault="00B87BBB" w:rsidP="009938C8">
            <w:pPr>
              <w:widowControl/>
              <w:jc w:val="right"/>
              <w:rPr>
                <w:rFonts w:asciiTheme="minorHAnsi" w:eastAsiaTheme="minorHAnsi" w:hAnsiTheme="minorHAnsi"/>
                <w:i/>
                <w:szCs w:val="22"/>
              </w:rPr>
            </w:pPr>
            <w:r w:rsidRPr="00B87BBB">
              <w:rPr>
                <w:rFonts w:asciiTheme="minorHAnsi" w:eastAsiaTheme="minorHAnsi" w:hAnsiTheme="minorHAnsi"/>
                <w:i/>
                <w:szCs w:val="22"/>
              </w:rPr>
              <w:t>5,322,588</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b/>
                <w:i/>
                <w:szCs w:val="22"/>
              </w:rPr>
            </w:pPr>
          </w:p>
        </w:tc>
        <w:tc>
          <w:tcPr>
            <w:tcW w:w="1489" w:type="dxa"/>
            <w:vAlign w:val="bottom"/>
          </w:tcPr>
          <w:p w:rsidR="00B87BBB" w:rsidRPr="00B87BBB" w:rsidRDefault="00B87BBB" w:rsidP="009938C8">
            <w:pPr>
              <w:widowControl/>
              <w:jc w:val="center"/>
              <w:rPr>
                <w:rFonts w:asciiTheme="minorHAnsi" w:eastAsiaTheme="minorHAnsi" w:hAnsiTheme="minorHAnsi"/>
                <w:szCs w:val="22"/>
              </w:rPr>
            </w:pPr>
          </w:p>
        </w:tc>
        <w:tc>
          <w:tcPr>
            <w:tcW w:w="1400" w:type="dxa"/>
            <w:vAlign w:val="bottom"/>
          </w:tcPr>
          <w:p w:rsidR="00B87BBB" w:rsidRPr="00B87BBB" w:rsidRDefault="00B87BBB" w:rsidP="009938C8">
            <w:pPr>
              <w:widowControl/>
              <w:jc w:val="center"/>
              <w:rPr>
                <w:rFonts w:asciiTheme="minorHAnsi" w:eastAsiaTheme="minorHAnsi" w:hAnsiTheme="minorHAnsi"/>
                <w:szCs w:val="22"/>
              </w:rPr>
            </w:pPr>
          </w:p>
        </w:tc>
        <w:tc>
          <w:tcPr>
            <w:tcW w:w="1399" w:type="dxa"/>
            <w:vAlign w:val="bottom"/>
          </w:tcPr>
          <w:p w:rsidR="00B87BBB" w:rsidRPr="00B87BBB" w:rsidRDefault="00B87BBB" w:rsidP="009938C8">
            <w:pPr>
              <w:widowControl/>
              <w:jc w:val="right"/>
              <w:rPr>
                <w:rFonts w:asciiTheme="minorHAnsi" w:eastAsiaTheme="minorHAnsi" w:hAnsiTheme="minorHAnsi"/>
                <w:szCs w:val="22"/>
              </w:rPr>
            </w:pPr>
          </w:p>
        </w:tc>
        <w:tc>
          <w:tcPr>
            <w:tcW w:w="1400" w:type="dxa"/>
            <w:vAlign w:val="bottom"/>
          </w:tcPr>
          <w:p w:rsidR="00B87BBB" w:rsidRPr="00B87BBB" w:rsidRDefault="00B87BBB" w:rsidP="009938C8">
            <w:pPr>
              <w:widowControl/>
              <w:jc w:val="right"/>
              <w:rPr>
                <w:rFonts w:asciiTheme="minorHAnsi" w:eastAsiaTheme="minorHAnsi" w:hAnsiTheme="minorHAnsi"/>
                <w:szCs w:val="22"/>
              </w:rPr>
            </w:pP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i/>
                <w:szCs w:val="22"/>
              </w:rPr>
            </w:pPr>
            <w:r w:rsidRPr="00B87BBB">
              <w:rPr>
                <w:rFonts w:asciiTheme="minorHAnsi" w:eastAsiaTheme="minorHAnsi" w:hAnsiTheme="minorHAnsi"/>
                <w:i/>
                <w:szCs w:val="22"/>
              </w:rPr>
              <w:t>Change from Updated Data</w:t>
            </w:r>
          </w:p>
        </w:tc>
        <w:tc>
          <w:tcPr>
            <w:tcW w:w="1489" w:type="dxa"/>
            <w:vAlign w:val="bottom"/>
          </w:tcPr>
          <w:p w:rsidR="00B87BBB" w:rsidRPr="00B87BBB" w:rsidRDefault="00B87BBB" w:rsidP="009938C8">
            <w:pPr>
              <w:widowControl/>
              <w:jc w:val="center"/>
              <w:rPr>
                <w:rFonts w:asciiTheme="minorHAnsi" w:eastAsiaTheme="minorHAnsi" w:hAnsiTheme="minorHAnsi"/>
                <w:i/>
                <w:szCs w:val="22"/>
              </w:rPr>
            </w:pPr>
            <w:r w:rsidRPr="00B87BBB">
              <w:rPr>
                <w:rFonts w:asciiTheme="minorHAnsi" w:eastAsiaTheme="minorHAnsi" w:hAnsiTheme="minorHAnsi"/>
                <w:i/>
                <w:szCs w:val="22"/>
              </w:rPr>
              <w:t>-2</w:t>
            </w:r>
          </w:p>
        </w:tc>
        <w:tc>
          <w:tcPr>
            <w:tcW w:w="1400" w:type="dxa"/>
            <w:vAlign w:val="bottom"/>
          </w:tcPr>
          <w:p w:rsidR="00B87BBB" w:rsidRPr="00B87BBB" w:rsidRDefault="00B87BBB" w:rsidP="009938C8">
            <w:pPr>
              <w:widowControl/>
              <w:jc w:val="center"/>
              <w:rPr>
                <w:rFonts w:asciiTheme="minorHAnsi" w:eastAsiaTheme="minorHAnsi" w:hAnsiTheme="minorHAnsi"/>
                <w:i/>
                <w:szCs w:val="22"/>
              </w:rPr>
            </w:pPr>
          </w:p>
        </w:tc>
        <w:tc>
          <w:tcPr>
            <w:tcW w:w="1399" w:type="dxa"/>
            <w:vAlign w:val="bottom"/>
          </w:tcPr>
          <w:p w:rsidR="00B87BBB" w:rsidRPr="00B87BBB" w:rsidRDefault="00B87BBB" w:rsidP="009938C8">
            <w:pPr>
              <w:widowControl/>
              <w:jc w:val="right"/>
              <w:rPr>
                <w:rFonts w:asciiTheme="minorHAnsi" w:eastAsiaTheme="minorHAnsi" w:hAnsiTheme="minorHAnsi"/>
                <w:i/>
                <w:szCs w:val="22"/>
              </w:rPr>
            </w:pPr>
          </w:p>
        </w:tc>
        <w:tc>
          <w:tcPr>
            <w:tcW w:w="1400" w:type="dxa"/>
            <w:vAlign w:val="bottom"/>
          </w:tcPr>
          <w:p w:rsidR="00B87BBB" w:rsidRPr="00B87BBB" w:rsidRDefault="00B87BBB" w:rsidP="009938C8">
            <w:pPr>
              <w:widowControl/>
              <w:jc w:val="right"/>
              <w:rPr>
                <w:rFonts w:asciiTheme="minorHAnsi" w:eastAsiaTheme="minorHAnsi" w:hAnsiTheme="minorHAnsi"/>
                <w:i/>
                <w:szCs w:val="22"/>
              </w:rPr>
            </w:pPr>
            <w:r w:rsidRPr="00B87BBB">
              <w:rPr>
                <w:rFonts w:asciiTheme="minorHAnsi" w:eastAsiaTheme="minorHAnsi" w:hAnsiTheme="minorHAnsi"/>
                <w:i/>
                <w:szCs w:val="22"/>
              </w:rPr>
              <w:t>116,072</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b/>
                <w:i/>
                <w:szCs w:val="22"/>
              </w:rPr>
            </w:pPr>
          </w:p>
        </w:tc>
        <w:tc>
          <w:tcPr>
            <w:tcW w:w="1489" w:type="dxa"/>
            <w:vAlign w:val="bottom"/>
          </w:tcPr>
          <w:p w:rsidR="00B87BBB" w:rsidRPr="00B87BBB" w:rsidRDefault="00B87BBB" w:rsidP="009938C8">
            <w:pPr>
              <w:widowControl/>
              <w:jc w:val="center"/>
              <w:rPr>
                <w:rFonts w:asciiTheme="minorHAnsi" w:eastAsiaTheme="minorHAnsi" w:hAnsiTheme="minorHAnsi"/>
                <w:szCs w:val="22"/>
              </w:rPr>
            </w:pPr>
          </w:p>
        </w:tc>
        <w:tc>
          <w:tcPr>
            <w:tcW w:w="1400" w:type="dxa"/>
            <w:vAlign w:val="bottom"/>
          </w:tcPr>
          <w:p w:rsidR="00B87BBB" w:rsidRPr="00B87BBB" w:rsidRDefault="00B87BBB" w:rsidP="009938C8">
            <w:pPr>
              <w:widowControl/>
              <w:jc w:val="center"/>
              <w:rPr>
                <w:rFonts w:asciiTheme="minorHAnsi" w:eastAsiaTheme="minorHAnsi" w:hAnsiTheme="minorHAnsi"/>
                <w:szCs w:val="22"/>
              </w:rPr>
            </w:pPr>
          </w:p>
        </w:tc>
        <w:tc>
          <w:tcPr>
            <w:tcW w:w="1399" w:type="dxa"/>
            <w:vAlign w:val="bottom"/>
          </w:tcPr>
          <w:p w:rsidR="00B87BBB" w:rsidRPr="00B87BBB" w:rsidRDefault="00B87BBB" w:rsidP="00B87BBB">
            <w:pPr>
              <w:widowControl/>
              <w:rPr>
                <w:rFonts w:asciiTheme="minorHAnsi" w:eastAsiaTheme="minorHAnsi" w:hAnsiTheme="minorHAnsi"/>
                <w:szCs w:val="22"/>
              </w:rPr>
            </w:pPr>
          </w:p>
        </w:tc>
        <w:tc>
          <w:tcPr>
            <w:tcW w:w="1400" w:type="dxa"/>
            <w:vAlign w:val="bottom"/>
          </w:tcPr>
          <w:p w:rsidR="00B87BBB" w:rsidRPr="00B87BBB" w:rsidRDefault="00B87BBB" w:rsidP="00B87BBB">
            <w:pPr>
              <w:widowControl/>
              <w:rPr>
                <w:rFonts w:asciiTheme="minorHAnsi" w:eastAsiaTheme="minorHAnsi" w:hAnsiTheme="minorHAnsi"/>
                <w:szCs w:val="22"/>
              </w:rPr>
            </w:pP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b/>
                <w:i/>
                <w:szCs w:val="22"/>
              </w:rPr>
            </w:pPr>
            <w:r w:rsidRPr="00B87BBB">
              <w:rPr>
                <w:rFonts w:asciiTheme="minorHAnsi" w:eastAsiaTheme="minorHAnsi" w:hAnsiTheme="minorHAnsi"/>
                <w:b/>
                <w:i/>
                <w:szCs w:val="22"/>
              </w:rPr>
              <w:t>Proposed Rule less Exceptions</w:t>
            </w:r>
          </w:p>
        </w:tc>
        <w:tc>
          <w:tcPr>
            <w:tcW w:w="1489" w:type="dxa"/>
            <w:vAlign w:val="bottom"/>
          </w:tcPr>
          <w:p w:rsidR="00B87BBB" w:rsidRPr="00B87BBB" w:rsidRDefault="00B87BBB" w:rsidP="009938C8">
            <w:pPr>
              <w:widowControl/>
              <w:jc w:val="center"/>
              <w:rPr>
                <w:rFonts w:asciiTheme="minorHAnsi" w:eastAsiaTheme="minorHAnsi" w:hAnsiTheme="minorHAnsi"/>
                <w:szCs w:val="22"/>
              </w:rPr>
            </w:pPr>
          </w:p>
        </w:tc>
        <w:tc>
          <w:tcPr>
            <w:tcW w:w="1400" w:type="dxa"/>
            <w:vAlign w:val="bottom"/>
          </w:tcPr>
          <w:p w:rsidR="00B87BBB" w:rsidRPr="00B87BBB" w:rsidRDefault="00B87BBB" w:rsidP="009938C8">
            <w:pPr>
              <w:widowControl/>
              <w:jc w:val="center"/>
              <w:rPr>
                <w:rFonts w:asciiTheme="minorHAnsi" w:eastAsiaTheme="minorHAnsi" w:hAnsiTheme="minorHAnsi"/>
                <w:szCs w:val="22"/>
              </w:rPr>
            </w:pPr>
          </w:p>
        </w:tc>
        <w:tc>
          <w:tcPr>
            <w:tcW w:w="1399" w:type="dxa"/>
            <w:vAlign w:val="bottom"/>
          </w:tcPr>
          <w:p w:rsidR="00B87BBB" w:rsidRPr="00B87BBB" w:rsidRDefault="00B87BBB" w:rsidP="00B87BBB">
            <w:pPr>
              <w:widowControl/>
              <w:rPr>
                <w:rFonts w:asciiTheme="minorHAnsi" w:eastAsiaTheme="minorHAnsi" w:hAnsiTheme="minorHAnsi"/>
                <w:szCs w:val="22"/>
              </w:rPr>
            </w:pPr>
          </w:p>
        </w:tc>
        <w:tc>
          <w:tcPr>
            <w:tcW w:w="1400" w:type="dxa"/>
            <w:vAlign w:val="bottom"/>
          </w:tcPr>
          <w:p w:rsidR="00B87BBB" w:rsidRPr="00B87BBB" w:rsidRDefault="00B87BBB" w:rsidP="00B87BBB">
            <w:pPr>
              <w:widowControl/>
              <w:rPr>
                <w:rFonts w:asciiTheme="minorHAnsi" w:eastAsiaTheme="minorHAnsi" w:hAnsiTheme="minorHAnsi"/>
                <w:szCs w:val="22"/>
              </w:rPr>
            </w:pP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szCs w:val="22"/>
              </w:rPr>
            </w:pPr>
            <w:r w:rsidRPr="00B87BBB">
              <w:rPr>
                <w:rFonts w:asciiTheme="minorHAnsi" w:eastAsiaTheme="minorHAnsi" w:hAnsiTheme="minorHAnsi"/>
                <w:szCs w:val="22"/>
              </w:rPr>
              <w:t>Lowest Complexity Institutions</w:t>
            </w:r>
          </w:p>
        </w:tc>
        <w:tc>
          <w:tcPr>
            <w:tcW w:w="1489" w:type="dxa"/>
            <w:vAlign w:val="center"/>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12</w:t>
            </w:r>
          </w:p>
        </w:tc>
        <w:tc>
          <w:tcPr>
            <w:tcW w:w="1400" w:type="dxa"/>
            <w:vAlign w:val="center"/>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w:t>
            </w:r>
          </w:p>
        </w:tc>
        <w:tc>
          <w:tcPr>
            <w:tcW w:w="1399" w:type="dxa"/>
            <w:vAlign w:val="center"/>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 xml:space="preserve">28,304 </w:t>
            </w:r>
          </w:p>
        </w:tc>
        <w:tc>
          <w:tcPr>
            <w:tcW w:w="1400" w:type="dxa"/>
            <w:vAlign w:val="center"/>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339,648</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szCs w:val="22"/>
              </w:rPr>
            </w:pPr>
            <w:r w:rsidRPr="00B87BBB">
              <w:rPr>
                <w:rFonts w:asciiTheme="minorHAnsi" w:eastAsiaTheme="minorHAnsi" w:hAnsiTheme="minorHAnsi"/>
                <w:szCs w:val="22"/>
              </w:rPr>
              <w:t>Middle Complexity Institutions</w:t>
            </w:r>
          </w:p>
        </w:tc>
        <w:tc>
          <w:tcPr>
            <w:tcW w:w="1489" w:type="dxa"/>
            <w:vAlign w:val="center"/>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12</w:t>
            </w:r>
          </w:p>
        </w:tc>
        <w:tc>
          <w:tcPr>
            <w:tcW w:w="1400" w:type="dxa"/>
            <w:vAlign w:val="center"/>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w:t>
            </w:r>
          </w:p>
        </w:tc>
        <w:tc>
          <w:tcPr>
            <w:tcW w:w="1399" w:type="dxa"/>
            <w:vAlign w:val="center"/>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 xml:space="preserve">53,643 </w:t>
            </w:r>
          </w:p>
        </w:tc>
        <w:tc>
          <w:tcPr>
            <w:tcW w:w="1400" w:type="dxa"/>
            <w:vAlign w:val="center"/>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643,716</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szCs w:val="22"/>
              </w:rPr>
            </w:pPr>
            <w:r w:rsidRPr="00B87BBB">
              <w:rPr>
                <w:rFonts w:asciiTheme="minorHAnsi" w:eastAsiaTheme="minorHAnsi" w:hAnsiTheme="minorHAnsi"/>
                <w:szCs w:val="22"/>
              </w:rPr>
              <w:t>Highest Complexity Institutions</w:t>
            </w:r>
          </w:p>
        </w:tc>
        <w:tc>
          <w:tcPr>
            <w:tcW w:w="1489" w:type="dxa"/>
            <w:vAlign w:val="center"/>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12</w:t>
            </w:r>
          </w:p>
        </w:tc>
        <w:tc>
          <w:tcPr>
            <w:tcW w:w="1400" w:type="dxa"/>
            <w:vAlign w:val="center"/>
          </w:tcPr>
          <w:p w:rsidR="00B87BBB" w:rsidRPr="00B87BBB" w:rsidRDefault="00B87BBB" w:rsidP="009938C8">
            <w:pPr>
              <w:widowControl/>
              <w:jc w:val="center"/>
              <w:rPr>
                <w:rFonts w:asciiTheme="minorHAnsi" w:eastAsiaTheme="minorHAnsi" w:hAnsiTheme="minorHAnsi"/>
                <w:szCs w:val="22"/>
              </w:rPr>
            </w:pPr>
            <w:r w:rsidRPr="00B87BBB">
              <w:rPr>
                <w:rFonts w:asciiTheme="minorHAnsi" w:eastAsiaTheme="minorHAnsi" w:hAnsiTheme="minorHAnsi"/>
                <w:szCs w:val="22"/>
              </w:rPr>
              <w:t>1</w:t>
            </w:r>
          </w:p>
        </w:tc>
        <w:tc>
          <w:tcPr>
            <w:tcW w:w="1399" w:type="dxa"/>
            <w:vAlign w:val="center"/>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 xml:space="preserve">326,764 </w:t>
            </w:r>
          </w:p>
        </w:tc>
        <w:tc>
          <w:tcPr>
            <w:tcW w:w="1400" w:type="dxa"/>
            <w:vAlign w:val="center"/>
          </w:tcPr>
          <w:p w:rsidR="00B87BBB" w:rsidRPr="00B87BBB" w:rsidRDefault="00B87BBB" w:rsidP="009938C8">
            <w:pPr>
              <w:widowControl/>
              <w:jc w:val="right"/>
              <w:rPr>
                <w:rFonts w:asciiTheme="minorHAnsi" w:eastAsiaTheme="minorHAnsi" w:hAnsiTheme="minorHAnsi"/>
                <w:szCs w:val="22"/>
              </w:rPr>
            </w:pPr>
            <w:r w:rsidRPr="00B87BBB">
              <w:rPr>
                <w:rFonts w:asciiTheme="minorHAnsi" w:eastAsiaTheme="minorHAnsi" w:hAnsiTheme="minorHAnsi"/>
                <w:szCs w:val="22"/>
              </w:rPr>
              <w:t>3,921,168</w:t>
            </w:r>
          </w:p>
        </w:tc>
      </w:tr>
      <w:tr w:rsidR="00B87BBB" w:rsidRPr="00B87BBB" w:rsidTr="00AF1152">
        <w:trPr>
          <w:trHeight w:val="252"/>
        </w:trPr>
        <w:tc>
          <w:tcPr>
            <w:tcW w:w="3888" w:type="dxa"/>
            <w:vAlign w:val="bottom"/>
          </w:tcPr>
          <w:p w:rsidR="00B87BBB" w:rsidRPr="00B87BBB" w:rsidRDefault="00B87BBB" w:rsidP="00B87BBB">
            <w:pPr>
              <w:widowControl/>
              <w:rPr>
                <w:rFonts w:asciiTheme="minorHAnsi" w:eastAsiaTheme="minorHAnsi" w:hAnsiTheme="minorHAnsi"/>
                <w:i/>
                <w:szCs w:val="22"/>
              </w:rPr>
            </w:pPr>
            <w:r w:rsidRPr="00B87BBB">
              <w:rPr>
                <w:rFonts w:asciiTheme="minorHAnsi" w:eastAsiaTheme="minorHAnsi" w:hAnsiTheme="minorHAnsi"/>
                <w:i/>
                <w:szCs w:val="22"/>
              </w:rPr>
              <w:t>Proposed Rule Total less Exceptions</w:t>
            </w:r>
          </w:p>
        </w:tc>
        <w:tc>
          <w:tcPr>
            <w:tcW w:w="1489" w:type="dxa"/>
            <w:vAlign w:val="center"/>
          </w:tcPr>
          <w:p w:rsidR="00B87BBB" w:rsidRPr="00B87BBB" w:rsidRDefault="00B87BBB" w:rsidP="009938C8">
            <w:pPr>
              <w:widowControl/>
              <w:jc w:val="center"/>
              <w:rPr>
                <w:rFonts w:asciiTheme="minorHAnsi" w:eastAsiaTheme="minorHAnsi" w:hAnsiTheme="minorHAnsi"/>
                <w:i/>
                <w:szCs w:val="22"/>
              </w:rPr>
            </w:pPr>
            <w:r w:rsidRPr="00B87BBB">
              <w:rPr>
                <w:rFonts w:asciiTheme="minorHAnsi" w:eastAsiaTheme="minorHAnsi" w:hAnsiTheme="minorHAnsi"/>
                <w:i/>
                <w:szCs w:val="22"/>
              </w:rPr>
              <w:t>36</w:t>
            </w:r>
          </w:p>
        </w:tc>
        <w:tc>
          <w:tcPr>
            <w:tcW w:w="1400" w:type="dxa"/>
            <w:vAlign w:val="center"/>
          </w:tcPr>
          <w:p w:rsidR="00B87BBB" w:rsidRPr="00B87BBB" w:rsidRDefault="00B87BBB" w:rsidP="009938C8">
            <w:pPr>
              <w:widowControl/>
              <w:jc w:val="center"/>
              <w:rPr>
                <w:rFonts w:asciiTheme="minorHAnsi" w:eastAsiaTheme="minorHAnsi" w:hAnsiTheme="minorHAnsi"/>
                <w:i/>
                <w:szCs w:val="22"/>
              </w:rPr>
            </w:pPr>
            <w:r w:rsidRPr="00B87BBB">
              <w:rPr>
                <w:rFonts w:asciiTheme="minorHAnsi" w:eastAsiaTheme="minorHAnsi" w:hAnsiTheme="minorHAnsi"/>
                <w:i/>
                <w:szCs w:val="22"/>
              </w:rPr>
              <w:t>1</w:t>
            </w:r>
          </w:p>
        </w:tc>
        <w:tc>
          <w:tcPr>
            <w:tcW w:w="1399" w:type="dxa"/>
            <w:vAlign w:val="center"/>
          </w:tcPr>
          <w:p w:rsidR="00B87BBB" w:rsidRPr="00B87BBB" w:rsidRDefault="00B87BBB" w:rsidP="009938C8">
            <w:pPr>
              <w:widowControl/>
              <w:jc w:val="right"/>
              <w:rPr>
                <w:rFonts w:asciiTheme="minorHAnsi" w:eastAsiaTheme="minorHAnsi" w:hAnsiTheme="minorHAnsi"/>
                <w:i/>
                <w:szCs w:val="22"/>
              </w:rPr>
            </w:pPr>
            <w:r w:rsidRPr="00B87BBB">
              <w:rPr>
                <w:rFonts w:asciiTheme="minorHAnsi" w:eastAsiaTheme="minorHAnsi" w:hAnsiTheme="minorHAnsi"/>
                <w:i/>
                <w:szCs w:val="22"/>
              </w:rPr>
              <w:t>136,237</w:t>
            </w:r>
          </w:p>
        </w:tc>
        <w:tc>
          <w:tcPr>
            <w:tcW w:w="1400" w:type="dxa"/>
            <w:vAlign w:val="center"/>
          </w:tcPr>
          <w:p w:rsidR="00B87BBB" w:rsidRPr="00B87BBB" w:rsidRDefault="00B87BBB" w:rsidP="009938C8">
            <w:pPr>
              <w:widowControl/>
              <w:jc w:val="right"/>
              <w:rPr>
                <w:rFonts w:asciiTheme="minorHAnsi" w:eastAsiaTheme="minorHAnsi" w:hAnsiTheme="minorHAnsi"/>
                <w:i/>
                <w:szCs w:val="22"/>
              </w:rPr>
            </w:pPr>
            <w:r w:rsidRPr="00B87BBB">
              <w:rPr>
                <w:rFonts w:asciiTheme="minorHAnsi" w:eastAsiaTheme="minorHAnsi" w:hAnsiTheme="minorHAnsi"/>
                <w:i/>
                <w:szCs w:val="22"/>
              </w:rPr>
              <w:t>4,904,532</w:t>
            </w:r>
          </w:p>
        </w:tc>
      </w:tr>
      <w:tr w:rsidR="00B87BBB" w:rsidRPr="00B87BBB" w:rsidTr="00AF1152">
        <w:trPr>
          <w:trHeight w:val="252"/>
        </w:trPr>
        <w:tc>
          <w:tcPr>
            <w:tcW w:w="3888" w:type="dxa"/>
            <w:vAlign w:val="bottom"/>
          </w:tcPr>
          <w:p w:rsidR="00B87BBB" w:rsidRPr="00B87BBB" w:rsidRDefault="00B87BBB" w:rsidP="00B87BBB">
            <w:pPr>
              <w:widowControl/>
              <w:rPr>
                <w:rFonts w:asciiTheme="minorHAnsi" w:eastAsiaTheme="minorHAnsi" w:hAnsiTheme="minorHAnsi"/>
                <w:i/>
                <w:szCs w:val="22"/>
              </w:rPr>
            </w:pPr>
          </w:p>
        </w:tc>
        <w:tc>
          <w:tcPr>
            <w:tcW w:w="1489" w:type="dxa"/>
            <w:vAlign w:val="bottom"/>
          </w:tcPr>
          <w:p w:rsidR="00B87BBB" w:rsidRPr="00B87BBB" w:rsidRDefault="00B87BBB" w:rsidP="00B87BBB">
            <w:pPr>
              <w:widowControl/>
              <w:rPr>
                <w:rFonts w:asciiTheme="minorHAnsi" w:eastAsiaTheme="minorHAnsi" w:hAnsiTheme="minorHAnsi"/>
                <w:szCs w:val="22"/>
              </w:rPr>
            </w:pPr>
          </w:p>
        </w:tc>
        <w:tc>
          <w:tcPr>
            <w:tcW w:w="1400" w:type="dxa"/>
            <w:vAlign w:val="bottom"/>
          </w:tcPr>
          <w:p w:rsidR="00B87BBB" w:rsidRPr="00B87BBB" w:rsidRDefault="00B87BBB" w:rsidP="00B87BBB">
            <w:pPr>
              <w:widowControl/>
              <w:rPr>
                <w:rFonts w:asciiTheme="minorHAnsi" w:eastAsiaTheme="minorHAnsi" w:hAnsiTheme="minorHAnsi"/>
                <w:szCs w:val="22"/>
              </w:rPr>
            </w:pPr>
          </w:p>
        </w:tc>
        <w:tc>
          <w:tcPr>
            <w:tcW w:w="1399" w:type="dxa"/>
            <w:vAlign w:val="bottom"/>
          </w:tcPr>
          <w:p w:rsidR="00B87BBB" w:rsidRPr="00B87BBB" w:rsidRDefault="00B87BBB" w:rsidP="00B87BBB">
            <w:pPr>
              <w:widowControl/>
              <w:rPr>
                <w:rFonts w:asciiTheme="minorHAnsi" w:eastAsiaTheme="minorHAnsi" w:hAnsiTheme="minorHAnsi"/>
                <w:szCs w:val="22"/>
              </w:rPr>
            </w:pPr>
          </w:p>
        </w:tc>
        <w:tc>
          <w:tcPr>
            <w:tcW w:w="1400" w:type="dxa"/>
            <w:vAlign w:val="bottom"/>
          </w:tcPr>
          <w:p w:rsidR="00B87BBB" w:rsidRPr="00B87BBB" w:rsidRDefault="00B87BBB" w:rsidP="00B87BBB">
            <w:pPr>
              <w:widowControl/>
              <w:rPr>
                <w:rFonts w:asciiTheme="minorHAnsi" w:eastAsiaTheme="minorHAnsi" w:hAnsiTheme="minorHAnsi"/>
                <w:i/>
                <w:szCs w:val="22"/>
              </w:rPr>
            </w:pPr>
          </w:p>
        </w:tc>
      </w:tr>
      <w:tr w:rsidR="00B87BBB" w:rsidRPr="00B87BBB" w:rsidTr="00AF1152">
        <w:trPr>
          <w:trHeight w:val="252"/>
        </w:trPr>
        <w:tc>
          <w:tcPr>
            <w:tcW w:w="3888" w:type="dxa"/>
            <w:vAlign w:val="bottom"/>
          </w:tcPr>
          <w:p w:rsidR="00B87BBB" w:rsidRPr="00B87BBB" w:rsidRDefault="00B87BBB" w:rsidP="00B87BBB">
            <w:pPr>
              <w:widowControl/>
              <w:rPr>
                <w:rFonts w:asciiTheme="minorHAnsi" w:eastAsiaTheme="minorHAnsi" w:hAnsiTheme="minorHAnsi"/>
                <w:b/>
                <w:i/>
                <w:szCs w:val="22"/>
              </w:rPr>
            </w:pPr>
            <w:r w:rsidRPr="00B87BBB">
              <w:rPr>
                <w:rFonts w:asciiTheme="minorHAnsi" w:eastAsiaTheme="minorHAnsi" w:hAnsiTheme="minorHAnsi"/>
                <w:b/>
                <w:i/>
                <w:szCs w:val="22"/>
              </w:rPr>
              <w:t xml:space="preserve">Exceptions or Release </w:t>
            </w:r>
            <w:r w:rsidRPr="00B87BBB">
              <w:rPr>
                <w:rFonts w:asciiTheme="minorHAnsi" w:eastAsiaTheme="minorHAnsi" w:hAnsiTheme="minorHAnsi"/>
                <w:b/>
                <w:i/>
                <w:szCs w:val="22"/>
                <w:vertAlign w:val="superscript"/>
              </w:rPr>
              <w:footnoteReference w:id="14"/>
            </w:r>
          </w:p>
        </w:tc>
        <w:tc>
          <w:tcPr>
            <w:tcW w:w="1489" w:type="dxa"/>
            <w:vAlign w:val="bottom"/>
          </w:tcPr>
          <w:p w:rsidR="00B87BBB" w:rsidRPr="00B87BBB" w:rsidRDefault="00B87BBB" w:rsidP="00B87BBB">
            <w:pPr>
              <w:widowControl/>
              <w:rPr>
                <w:rFonts w:asciiTheme="minorHAnsi" w:eastAsiaTheme="minorHAnsi" w:hAnsiTheme="minorHAnsi"/>
                <w:b/>
                <w:i/>
                <w:szCs w:val="22"/>
              </w:rPr>
            </w:pPr>
          </w:p>
        </w:tc>
        <w:tc>
          <w:tcPr>
            <w:tcW w:w="1400" w:type="dxa"/>
            <w:vAlign w:val="bottom"/>
          </w:tcPr>
          <w:p w:rsidR="00B87BBB" w:rsidRPr="00B87BBB" w:rsidRDefault="00B87BBB" w:rsidP="00B87BBB">
            <w:pPr>
              <w:widowControl/>
              <w:rPr>
                <w:rFonts w:asciiTheme="minorHAnsi" w:eastAsiaTheme="minorHAnsi" w:hAnsiTheme="minorHAnsi"/>
                <w:b/>
                <w:i/>
                <w:szCs w:val="22"/>
              </w:rPr>
            </w:pPr>
          </w:p>
        </w:tc>
        <w:tc>
          <w:tcPr>
            <w:tcW w:w="1399" w:type="dxa"/>
            <w:vAlign w:val="bottom"/>
          </w:tcPr>
          <w:p w:rsidR="00B87BBB" w:rsidRPr="00B87BBB" w:rsidRDefault="00B87BBB" w:rsidP="00B87BBB">
            <w:pPr>
              <w:widowControl/>
              <w:rPr>
                <w:rFonts w:asciiTheme="minorHAnsi" w:eastAsiaTheme="minorHAnsi" w:hAnsiTheme="minorHAnsi"/>
                <w:b/>
                <w:i/>
                <w:szCs w:val="22"/>
              </w:rPr>
            </w:pPr>
          </w:p>
        </w:tc>
        <w:tc>
          <w:tcPr>
            <w:tcW w:w="1400" w:type="dxa"/>
            <w:vAlign w:val="bottom"/>
          </w:tcPr>
          <w:p w:rsidR="00B87BBB" w:rsidRPr="00B87BBB" w:rsidRDefault="00B87BBB" w:rsidP="00B87BBB">
            <w:pPr>
              <w:widowControl/>
              <w:rPr>
                <w:rFonts w:asciiTheme="minorHAnsi" w:eastAsiaTheme="minorHAnsi" w:hAnsiTheme="minorHAnsi"/>
                <w:b/>
                <w:i/>
                <w:szCs w:val="22"/>
              </w:rPr>
            </w:pPr>
          </w:p>
        </w:tc>
      </w:tr>
      <w:tr w:rsidR="00B87BBB" w:rsidRPr="00B87BBB" w:rsidTr="00AF1152">
        <w:trPr>
          <w:trHeight w:val="252"/>
        </w:trPr>
        <w:tc>
          <w:tcPr>
            <w:tcW w:w="3888" w:type="dxa"/>
            <w:vAlign w:val="bottom"/>
          </w:tcPr>
          <w:p w:rsidR="00B87BBB" w:rsidRPr="00B87BBB" w:rsidRDefault="00B87BBB" w:rsidP="00B87BBB">
            <w:pPr>
              <w:widowControl/>
              <w:rPr>
                <w:rFonts w:asciiTheme="minorHAnsi" w:eastAsiaTheme="minorHAnsi" w:hAnsiTheme="minorHAnsi"/>
                <w:i/>
                <w:szCs w:val="22"/>
              </w:rPr>
            </w:pPr>
            <w:r w:rsidRPr="00B87BBB">
              <w:rPr>
                <w:rFonts w:asciiTheme="minorHAnsi" w:eastAsiaTheme="minorHAnsi" w:hAnsiTheme="minorHAnsi"/>
                <w:i/>
                <w:szCs w:val="22"/>
              </w:rPr>
              <w:t>Requests for Release of Requirements</w:t>
            </w:r>
          </w:p>
        </w:tc>
        <w:tc>
          <w:tcPr>
            <w:tcW w:w="1489" w:type="dxa"/>
            <w:vAlign w:val="bottom"/>
          </w:tcPr>
          <w:p w:rsidR="00B87BBB" w:rsidRPr="00B87BBB" w:rsidRDefault="00B87BBB" w:rsidP="009938C8">
            <w:pPr>
              <w:widowControl/>
              <w:jc w:val="center"/>
              <w:rPr>
                <w:rFonts w:asciiTheme="minorHAnsi" w:eastAsiaTheme="minorHAnsi" w:hAnsiTheme="minorHAnsi"/>
                <w:i/>
                <w:szCs w:val="22"/>
              </w:rPr>
            </w:pPr>
            <w:r w:rsidRPr="00B87BBB">
              <w:rPr>
                <w:rFonts w:asciiTheme="minorHAnsi" w:eastAsiaTheme="minorHAnsi" w:hAnsiTheme="minorHAnsi"/>
                <w:i/>
                <w:szCs w:val="22"/>
              </w:rPr>
              <w:t>1</w:t>
            </w:r>
          </w:p>
        </w:tc>
        <w:tc>
          <w:tcPr>
            <w:tcW w:w="1400" w:type="dxa"/>
            <w:vAlign w:val="bottom"/>
          </w:tcPr>
          <w:p w:rsidR="00B87BBB" w:rsidRPr="00B87BBB" w:rsidRDefault="00B87BBB" w:rsidP="009938C8">
            <w:pPr>
              <w:widowControl/>
              <w:jc w:val="center"/>
              <w:rPr>
                <w:rFonts w:asciiTheme="minorHAnsi" w:eastAsiaTheme="minorHAnsi" w:hAnsiTheme="minorHAnsi"/>
                <w:i/>
                <w:szCs w:val="22"/>
              </w:rPr>
            </w:pPr>
            <w:r w:rsidRPr="00B87BBB">
              <w:rPr>
                <w:rFonts w:asciiTheme="minorHAnsi" w:eastAsiaTheme="minorHAnsi" w:hAnsiTheme="minorHAnsi"/>
                <w:i/>
                <w:szCs w:val="22"/>
              </w:rPr>
              <w:t>1</w:t>
            </w:r>
          </w:p>
        </w:tc>
        <w:tc>
          <w:tcPr>
            <w:tcW w:w="1399" w:type="dxa"/>
            <w:vAlign w:val="bottom"/>
          </w:tcPr>
          <w:p w:rsidR="00B87BBB" w:rsidRPr="00B87BBB" w:rsidRDefault="00B87BBB" w:rsidP="009938C8">
            <w:pPr>
              <w:widowControl/>
              <w:jc w:val="right"/>
              <w:rPr>
                <w:rFonts w:asciiTheme="minorHAnsi" w:eastAsiaTheme="minorHAnsi" w:hAnsiTheme="minorHAnsi"/>
                <w:i/>
                <w:szCs w:val="22"/>
              </w:rPr>
            </w:pPr>
            <w:r w:rsidRPr="00B87BBB">
              <w:rPr>
                <w:rFonts w:asciiTheme="minorHAnsi" w:eastAsiaTheme="minorHAnsi" w:hAnsiTheme="minorHAnsi"/>
                <w:i/>
                <w:szCs w:val="22"/>
              </w:rPr>
              <w:t>5</w:t>
            </w:r>
          </w:p>
        </w:tc>
        <w:tc>
          <w:tcPr>
            <w:tcW w:w="1400" w:type="dxa"/>
            <w:vAlign w:val="bottom"/>
          </w:tcPr>
          <w:p w:rsidR="00B87BBB" w:rsidRPr="00B87BBB" w:rsidRDefault="00B87BBB" w:rsidP="009938C8">
            <w:pPr>
              <w:widowControl/>
              <w:jc w:val="right"/>
              <w:rPr>
                <w:rFonts w:asciiTheme="minorHAnsi" w:eastAsiaTheme="minorHAnsi" w:hAnsiTheme="minorHAnsi"/>
                <w:i/>
                <w:szCs w:val="22"/>
              </w:rPr>
            </w:pPr>
            <w:r w:rsidRPr="00B87BBB">
              <w:rPr>
                <w:rFonts w:asciiTheme="minorHAnsi" w:eastAsiaTheme="minorHAnsi" w:hAnsiTheme="minorHAnsi"/>
                <w:i/>
                <w:szCs w:val="22"/>
              </w:rPr>
              <w:t>5</w:t>
            </w:r>
          </w:p>
        </w:tc>
      </w:tr>
      <w:tr w:rsidR="00B87BBB" w:rsidRPr="00B87BBB" w:rsidTr="00AF1152">
        <w:trPr>
          <w:trHeight w:val="252"/>
        </w:trPr>
        <w:tc>
          <w:tcPr>
            <w:tcW w:w="3888" w:type="dxa"/>
            <w:vAlign w:val="bottom"/>
          </w:tcPr>
          <w:p w:rsidR="00B87BBB" w:rsidRPr="00B87BBB" w:rsidRDefault="00B87BBB" w:rsidP="00B87BBB">
            <w:pPr>
              <w:widowControl/>
              <w:rPr>
                <w:rFonts w:asciiTheme="minorHAnsi" w:eastAsiaTheme="minorHAnsi" w:hAnsiTheme="minorHAnsi"/>
                <w:i/>
                <w:szCs w:val="22"/>
              </w:rPr>
            </w:pPr>
            <w:r w:rsidRPr="00B87BBB">
              <w:rPr>
                <w:rFonts w:asciiTheme="minorHAnsi" w:eastAsiaTheme="minorHAnsi" w:hAnsiTheme="minorHAnsi"/>
                <w:i/>
                <w:szCs w:val="22"/>
              </w:rPr>
              <w:t>Requests for Exception</w:t>
            </w:r>
          </w:p>
        </w:tc>
        <w:tc>
          <w:tcPr>
            <w:tcW w:w="1489" w:type="dxa"/>
            <w:vAlign w:val="bottom"/>
          </w:tcPr>
          <w:p w:rsidR="00B87BBB" w:rsidRPr="00B87BBB" w:rsidRDefault="00B87BBB" w:rsidP="009938C8">
            <w:pPr>
              <w:widowControl/>
              <w:jc w:val="center"/>
              <w:rPr>
                <w:rFonts w:asciiTheme="minorHAnsi" w:eastAsiaTheme="minorHAnsi" w:hAnsiTheme="minorHAnsi"/>
                <w:i/>
                <w:szCs w:val="22"/>
              </w:rPr>
            </w:pPr>
            <w:r w:rsidRPr="00B87BBB">
              <w:rPr>
                <w:rFonts w:asciiTheme="minorHAnsi" w:eastAsiaTheme="minorHAnsi" w:hAnsiTheme="minorHAnsi"/>
                <w:i/>
                <w:szCs w:val="22"/>
              </w:rPr>
              <w:t>1</w:t>
            </w:r>
          </w:p>
        </w:tc>
        <w:tc>
          <w:tcPr>
            <w:tcW w:w="1400" w:type="dxa"/>
            <w:vAlign w:val="bottom"/>
          </w:tcPr>
          <w:p w:rsidR="00B87BBB" w:rsidRPr="00B87BBB" w:rsidRDefault="00B87BBB" w:rsidP="009938C8">
            <w:pPr>
              <w:widowControl/>
              <w:jc w:val="center"/>
              <w:rPr>
                <w:rFonts w:asciiTheme="minorHAnsi" w:eastAsiaTheme="minorHAnsi" w:hAnsiTheme="minorHAnsi"/>
                <w:i/>
                <w:szCs w:val="22"/>
              </w:rPr>
            </w:pPr>
            <w:r w:rsidRPr="00B87BBB">
              <w:rPr>
                <w:rFonts w:asciiTheme="minorHAnsi" w:eastAsiaTheme="minorHAnsi" w:hAnsiTheme="minorHAnsi"/>
                <w:i/>
                <w:szCs w:val="22"/>
              </w:rPr>
              <w:t>1</w:t>
            </w:r>
          </w:p>
        </w:tc>
        <w:tc>
          <w:tcPr>
            <w:tcW w:w="1399" w:type="dxa"/>
            <w:vAlign w:val="bottom"/>
          </w:tcPr>
          <w:p w:rsidR="00B87BBB" w:rsidRPr="00B87BBB" w:rsidRDefault="00B87BBB" w:rsidP="009938C8">
            <w:pPr>
              <w:widowControl/>
              <w:jc w:val="right"/>
              <w:rPr>
                <w:rFonts w:asciiTheme="minorHAnsi" w:eastAsiaTheme="minorHAnsi" w:hAnsiTheme="minorHAnsi"/>
                <w:i/>
                <w:szCs w:val="22"/>
              </w:rPr>
            </w:pPr>
            <w:r w:rsidRPr="00B87BBB">
              <w:rPr>
                <w:rFonts w:asciiTheme="minorHAnsi" w:eastAsiaTheme="minorHAnsi" w:hAnsiTheme="minorHAnsi"/>
                <w:i/>
                <w:szCs w:val="22"/>
              </w:rPr>
              <w:t>60</w:t>
            </w:r>
          </w:p>
        </w:tc>
        <w:tc>
          <w:tcPr>
            <w:tcW w:w="1400" w:type="dxa"/>
            <w:vAlign w:val="bottom"/>
          </w:tcPr>
          <w:p w:rsidR="00B87BBB" w:rsidRPr="00B87BBB" w:rsidRDefault="00B87BBB" w:rsidP="009938C8">
            <w:pPr>
              <w:widowControl/>
              <w:jc w:val="right"/>
              <w:rPr>
                <w:rFonts w:asciiTheme="minorHAnsi" w:eastAsiaTheme="minorHAnsi" w:hAnsiTheme="minorHAnsi"/>
                <w:i/>
                <w:szCs w:val="22"/>
              </w:rPr>
            </w:pPr>
            <w:r w:rsidRPr="00B87BBB">
              <w:rPr>
                <w:rFonts w:asciiTheme="minorHAnsi" w:eastAsiaTheme="minorHAnsi" w:hAnsiTheme="minorHAnsi"/>
                <w:i/>
                <w:szCs w:val="22"/>
              </w:rPr>
              <w:t>60</w:t>
            </w:r>
          </w:p>
        </w:tc>
      </w:tr>
      <w:tr w:rsidR="00B87BBB" w:rsidRPr="00B87BBB" w:rsidTr="00AF1152">
        <w:trPr>
          <w:trHeight w:val="252"/>
        </w:trPr>
        <w:tc>
          <w:tcPr>
            <w:tcW w:w="3888" w:type="dxa"/>
            <w:vAlign w:val="bottom"/>
          </w:tcPr>
          <w:p w:rsidR="00B87BBB" w:rsidRPr="00B87BBB" w:rsidRDefault="00B87BBB" w:rsidP="00B87BBB">
            <w:pPr>
              <w:widowControl/>
              <w:rPr>
                <w:rFonts w:asciiTheme="minorHAnsi" w:eastAsiaTheme="minorHAnsi" w:hAnsiTheme="minorHAnsi"/>
                <w:b/>
                <w:i/>
                <w:szCs w:val="22"/>
              </w:rPr>
            </w:pPr>
          </w:p>
        </w:tc>
        <w:tc>
          <w:tcPr>
            <w:tcW w:w="1489" w:type="dxa"/>
            <w:vAlign w:val="bottom"/>
          </w:tcPr>
          <w:p w:rsidR="00B87BBB" w:rsidRPr="00B87BBB" w:rsidRDefault="00B87BBB" w:rsidP="00B87BBB">
            <w:pPr>
              <w:widowControl/>
              <w:rPr>
                <w:rFonts w:asciiTheme="minorHAnsi" w:eastAsiaTheme="minorHAnsi" w:hAnsiTheme="minorHAnsi"/>
                <w:b/>
                <w:i/>
                <w:szCs w:val="22"/>
              </w:rPr>
            </w:pPr>
          </w:p>
        </w:tc>
        <w:tc>
          <w:tcPr>
            <w:tcW w:w="1400" w:type="dxa"/>
            <w:vAlign w:val="bottom"/>
          </w:tcPr>
          <w:p w:rsidR="00B87BBB" w:rsidRPr="00B87BBB" w:rsidRDefault="00B87BBB" w:rsidP="00B87BBB">
            <w:pPr>
              <w:widowControl/>
              <w:rPr>
                <w:rFonts w:asciiTheme="minorHAnsi" w:eastAsiaTheme="minorHAnsi" w:hAnsiTheme="minorHAnsi"/>
                <w:b/>
                <w:i/>
                <w:szCs w:val="22"/>
              </w:rPr>
            </w:pPr>
          </w:p>
        </w:tc>
        <w:tc>
          <w:tcPr>
            <w:tcW w:w="1399" w:type="dxa"/>
            <w:vAlign w:val="bottom"/>
          </w:tcPr>
          <w:p w:rsidR="00B87BBB" w:rsidRPr="00B87BBB" w:rsidRDefault="00B87BBB" w:rsidP="00B87BBB">
            <w:pPr>
              <w:widowControl/>
              <w:rPr>
                <w:rFonts w:asciiTheme="minorHAnsi" w:eastAsiaTheme="minorHAnsi" w:hAnsiTheme="minorHAnsi"/>
                <w:b/>
                <w:i/>
                <w:szCs w:val="22"/>
              </w:rPr>
            </w:pPr>
          </w:p>
        </w:tc>
        <w:tc>
          <w:tcPr>
            <w:tcW w:w="1400" w:type="dxa"/>
            <w:vAlign w:val="bottom"/>
          </w:tcPr>
          <w:p w:rsidR="00B87BBB" w:rsidRPr="00B87BBB" w:rsidRDefault="00B87BBB" w:rsidP="009938C8">
            <w:pPr>
              <w:widowControl/>
              <w:jc w:val="right"/>
              <w:rPr>
                <w:rFonts w:asciiTheme="minorHAnsi" w:eastAsiaTheme="minorHAnsi" w:hAnsiTheme="minorHAnsi"/>
                <w:b/>
                <w:i/>
                <w:szCs w:val="22"/>
              </w:rPr>
            </w:pPr>
            <w:r w:rsidRPr="00B87BBB">
              <w:rPr>
                <w:rFonts w:asciiTheme="minorHAnsi" w:eastAsiaTheme="minorHAnsi" w:hAnsiTheme="minorHAnsi"/>
                <w:b/>
                <w:i/>
                <w:szCs w:val="22"/>
              </w:rPr>
              <w:t>4,904,</w:t>
            </w:r>
            <w:r w:rsidR="00C91012">
              <w:rPr>
                <w:rFonts w:asciiTheme="minorHAnsi" w:eastAsiaTheme="minorHAnsi" w:hAnsiTheme="minorHAnsi"/>
                <w:b/>
                <w:i/>
                <w:szCs w:val="22"/>
              </w:rPr>
              <w:t>597</w:t>
            </w:r>
          </w:p>
        </w:tc>
      </w:tr>
      <w:tr w:rsidR="00B87BBB" w:rsidRPr="00B87BBB" w:rsidTr="00AF1152">
        <w:trPr>
          <w:trHeight w:val="252"/>
        </w:trPr>
        <w:tc>
          <w:tcPr>
            <w:tcW w:w="3888" w:type="dxa"/>
            <w:vAlign w:val="bottom"/>
          </w:tcPr>
          <w:p w:rsidR="00B87BBB" w:rsidRPr="00B87BBB" w:rsidRDefault="00B87BBB" w:rsidP="00B87BBB">
            <w:pPr>
              <w:widowControl/>
              <w:rPr>
                <w:rFonts w:asciiTheme="minorHAnsi" w:eastAsiaTheme="minorHAnsi" w:hAnsiTheme="minorHAnsi"/>
                <w:b/>
                <w:i/>
                <w:szCs w:val="22"/>
              </w:rPr>
            </w:pPr>
          </w:p>
        </w:tc>
        <w:tc>
          <w:tcPr>
            <w:tcW w:w="1489" w:type="dxa"/>
            <w:vAlign w:val="bottom"/>
          </w:tcPr>
          <w:p w:rsidR="00B87BBB" w:rsidRPr="00B87BBB" w:rsidRDefault="00B87BBB" w:rsidP="00B87BBB">
            <w:pPr>
              <w:widowControl/>
              <w:rPr>
                <w:rFonts w:asciiTheme="minorHAnsi" w:eastAsiaTheme="minorHAnsi" w:hAnsiTheme="minorHAnsi"/>
                <w:b/>
                <w:i/>
                <w:szCs w:val="22"/>
              </w:rPr>
            </w:pPr>
          </w:p>
        </w:tc>
        <w:tc>
          <w:tcPr>
            <w:tcW w:w="1400" w:type="dxa"/>
            <w:vAlign w:val="bottom"/>
          </w:tcPr>
          <w:p w:rsidR="00B87BBB" w:rsidRPr="00B87BBB" w:rsidRDefault="00B87BBB" w:rsidP="00B87BBB">
            <w:pPr>
              <w:widowControl/>
              <w:rPr>
                <w:rFonts w:asciiTheme="minorHAnsi" w:eastAsiaTheme="minorHAnsi" w:hAnsiTheme="minorHAnsi"/>
                <w:b/>
                <w:i/>
                <w:szCs w:val="22"/>
              </w:rPr>
            </w:pPr>
          </w:p>
        </w:tc>
        <w:tc>
          <w:tcPr>
            <w:tcW w:w="1399" w:type="dxa"/>
            <w:vAlign w:val="bottom"/>
          </w:tcPr>
          <w:p w:rsidR="00B87BBB" w:rsidRPr="00B87BBB" w:rsidRDefault="00B87BBB" w:rsidP="00B87BBB">
            <w:pPr>
              <w:widowControl/>
              <w:rPr>
                <w:rFonts w:asciiTheme="minorHAnsi" w:eastAsiaTheme="minorHAnsi" w:hAnsiTheme="minorHAnsi"/>
                <w:b/>
                <w:i/>
                <w:szCs w:val="22"/>
              </w:rPr>
            </w:pPr>
          </w:p>
        </w:tc>
        <w:tc>
          <w:tcPr>
            <w:tcW w:w="1400" w:type="dxa"/>
            <w:vAlign w:val="bottom"/>
          </w:tcPr>
          <w:p w:rsidR="00B87BBB" w:rsidRPr="00B87BBB" w:rsidRDefault="00B87BBB" w:rsidP="009938C8">
            <w:pPr>
              <w:widowControl/>
              <w:jc w:val="right"/>
              <w:rPr>
                <w:rFonts w:asciiTheme="minorHAnsi" w:eastAsiaTheme="minorHAnsi" w:hAnsiTheme="minorHAnsi"/>
                <w:b/>
                <w:i/>
                <w:szCs w:val="22"/>
              </w:rPr>
            </w:pPr>
          </w:p>
        </w:tc>
      </w:tr>
      <w:tr w:rsidR="00B87BBB" w:rsidRPr="00B87BBB" w:rsidTr="00AF1152">
        <w:trPr>
          <w:trHeight w:val="252"/>
        </w:trPr>
        <w:tc>
          <w:tcPr>
            <w:tcW w:w="3888" w:type="dxa"/>
            <w:vAlign w:val="bottom"/>
          </w:tcPr>
          <w:p w:rsidR="00B87BBB" w:rsidRPr="00B87BBB" w:rsidRDefault="00B87BBB" w:rsidP="00B87BBB">
            <w:pPr>
              <w:widowControl/>
              <w:rPr>
                <w:rFonts w:asciiTheme="minorHAnsi" w:eastAsiaTheme="minorHAnsi" w:hAnsiTheme="minorHAnsi"/>
                <w:b/>
                <w:i/>
                <w:szCs w:val="22"/>
              </w:rPr>
            </w:pPr>
            <w:r w:rsidRPr="00B87BBB">
              <w:rPr>
                <w:rFonts w:asciiTheme="minorHAnsi" w:eastAsiaTheme="minorHAnsi" w:hAnsiTheme="minorHAnsi"/>
                <w:b/>
                <w:i/>
                <w:szCs w:val="22"/>
              </w:rPr>
              <w:t>Change from Proposed Rule</w:t>
            </w:r>
          </w:p>
        </w:tc>
        <w:tc>
          <w:tcPr>
            <w:tcW w:w="1489" w:type="dxa"/>
            <w:vAlign w:val="bottom"/>
          </w:tcPr>
          <w:p w:rsidR="00B87BBB" w:rsidRPr="00B87BBB" w:rsidRDefault="00B87BBB" w:rsidP="00B87BBB">
            <w:pPr>
              <w:widowControl/>
              <w:rPr>
                <w:rFonts w:asciiTheme="minorHAnsi" w:eastAsiaTheme="minorHAnsi" w:hAnsiTheme="minorHAnsi"/>
                <w:b/>
                <w:i/>
                <w:szCs w:val="22"/>
              </w:rPr>
            </w:pPr>
          </w:p>
        </w:tc>
        <w:tc>
          <w:tcPr>
            <w:tcW w:w="1400" w:type="dxa"/>
            <w:vAlign w:val="bottom"/>
          </w:tcPr>
          <w:p w:rsidR="00B87BBB" w:rsidRPr="00B87BBB" w:rsidRDefault="00B87BBB" w:rsidP="00B87BBB">
            <w:pPr>
              <w:widowControl/>
              <w:rPr>
                <w:rFonts w:asciiTheme="minorHAnsi" w:eastAsiaTheme="minorHAnsi" w:hAnsiTheme="minorHAnsi"/>
                <w:b/>
                <w:i/>
                <w:szCs w:val="22"/>
              </w:rPr>
            </w:pPr>
          </w:p>
        </w:tc>
        <w:tc>
          <w:tcPr>
            <w:tcW w:w="1399" w:type="dxa"/>
            <w:vAlign w:val="bottom"/>
          </w:tcPr>
          <w:p w:rsidR="00B87BBB" w:rsidRPr="00B87BBB" w:rsidRDefault="00B87BBB" w:rsidP="00B87BBB">
            <w:pPr>
              <w:widowControl/>
              <w:rPr>
                <w:rFonts w:asciiTheme="minorHAnsi" w:eastAsiaTheme="minorHAnsi" w:hAnsiTheme="minorHAnsi"/>
                <w:b/>
                <w:i/>
                <w:szCs w:val="22"/>
              </w:rPr>
            </w:pPr>
          </w:p>
        </w:tc>
        <w:tc>
          <w:tcPr>
            <w:tcW w:w="1400" w:type="dxa"/>
            <w:vAlign w:val="bottom"/>
          </w:tcPr>
          <w:p w:rsidR="00B87BBB" w:rsidRPr="00B87BBB" w:rsidRDefault="00B87BBB" w:rsidP="009938C8">
            <w:pPr>
              <w:widowControl/>
              <w:jc w:val="right"/>
              <w:rPr>
                <w:rFonts w:asciiTheme="minorHAnsi" w:eastAsiaTheme="minorHAnsi" w:hAnsiTheme="minorHAnsi"/>
                <w:b/>
                <w:i/>
                <w:szCs w:val="22"/>
              </w:rPr>
            </w:pPr>
            <w:r w:rsidRPr="00B87BBB">
              <w:rPr>
                <w:rFonts w:asciiTheme="minorHAnsi" w:eastAsiaTheme="minorHAnsi" w:hAnsiTheme="minorHAnsi"/>
                <w:b/>
                <w:i/>
                <w:szCs w:val="22"/>
              </w:rPr>
              <w:t>(417,9</w:t>
            </w:r>
            <w:r w:rsidR="00C91012">
              <w:rPr>
                <w:rFonts w:asciiTheme="minorHAnsi" w:eastAsiaTheme="minorHAnsi" w:hAnsiTheme="minorHAnsi"/>
                <w:b/>
                <w:i/>
                <w:szCs w:val="22"/>
              </w:rPr>
              <w:t>91</w:t>
            </w:r>
            <w:r w:rsidRPr="00B87BBB">
              <w:rPr>
                <w:rFonts w:asciiTheme="minorHAnsi" w:eastAsiaTheme="minorHAnsi" w:hAnsiTheme="minorHAnsi"/>
                <w:b/>
                <w:i/>
                <w:szCs w:val="22"/>
              </w:rPr>
              <w:t>)</w:t>
            </w:r>
          </w:p>
        </w:tc>
      </w:tr>
    </w:tbl>
    <w:p w:rsidR="00B87BBB" w:rsidRPr="00B87BBB" w:rsidRDefault="00B87BBB" w:rsidP="00B87BBB">
      <w:pPr>
        <w:widowControl/>
        <w:rPr>
          <w:rFonts w:asciiTheme="minorHAnsi" w:eastAsiaTheme="minorHAnsi" w:hAnsiTheme="minorHAnsi" w:cstheme="minorBidi"/>
          <w:snapToGrid/>
          <w:sz w:val="22"/>
          <w:szCs w:val="22"/>
        </w:rPr>
      </w:pPr>
    </w:p>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b/>
          <w:i/>
          <w:snapToGrid/>
          <w:sz w:val="22"/>
          <w:szCs w:val="22"/>
        </w:rPr>
        <w:t>Ongoing Burden</w:t>
      </w:r>
      <w:r w:rsidRPr="00B87BBB">
        <w:rPr>
          <w:rFonts w:asciiTheme="minorHAnsi" w:eastAsiaTheme="minorHAnsi" w:hAnsiTheme="minorHAnsi" w:cstheme="minorBidi"/>
          <w:i/>
          <w:snapToGrid/>
          <w:sz w:val="22"/>
          <w:szCs w:val="22"/>
        </w:rPr>
        <w:t>:</w:t>
      </w:r>
    </w:p>
    <w:tbl>
      <w:tblPr>
        <w:tblW w:w="9576" w:type="dxa"/>
        <w:tblLayout w:type="fixed"/>
        <w:tblLook w:val="04A0" w:firstRow="1" w:lastRow="0" w:firstColumn="1" w:lastColumn="0" w:noHBand="0" w:noVBand="1"/>
      </w:tblPr>
      <w:tblGrid>
        <w:gridCol w:w="3888"/>
        <w:gridCol w:w="1489"/>
        <w:gridCol w:w="1400"/>
        <w:gridCol w:w="1399"/>
        <w:gridCol w:w="1400"/>
      </w:tblGrid>
      <w:tr w:rsidR="00B87BBB" w:rsidRPr="00B87BBB" w:rsidTr="00AF1152">
        <w:trPr>
          <w:trHeight w:val="935"/>
        </w:trPr>
        <w:tc>
          <w:tcPr>
            <w:tcW w:w="3888" w:type="dxa"/>
            <w:vAlign w:val="center"/>
          </w:tcPr>
          <w:p w:rsidR="00B87BBB" w:rsidRPr="00B87BBB" w:rsidRDefault="00B87BBB" w:rsidP="00B87BBB">
            <w:pPr>
              <w:widowControl/>
              <w:rPr>
                <w:rFonts w:asciiTheme="minorHAnsi" w:eastAsiaTheme="minorHAnsi" w:hAnsiTheme="minorHAnsi" w:cstheme="minorBidi"/>
                <w:b/>
                <w:snapToGrid/>
                <w:sz w:val="22"/>
                <w:szCs w:val="22"/>
              </w:rPr>
            </w:pPr>
            <w:r w:rsidRPr="00B87BBB">
              <w:rPr>
                <w:rFonts w:asciiTheme="minorHAnsi" w:eastAsiaTheme="minorHAnsi" w:hAnsiTheme="minorHAnsi" w:cstheme="minorBidi"/>
                <w:snapToGrid/>
                <w:sz w:val="22"/>
                <w:szCs w:val="22"/>
              </w:rPr>
              <w:br w:type="page"/>
            </w:r>
            <w:r w:rsidRPr="00B87BBB">
              <w:rPr>
                <w:rFonts w:asciiTheme="minorHAnsi" w:eastAsiaTheme="minorHAnsi" w:hAnsiTheme="minorHAnsi" w:cstheme="minorBidi"/>
                <w:snapToGrid/>
                <w:sz w:val="22"/>
                <w:szCs w:val="22"/>
              </w:rPr>
              <w:br w:type="page"/>
            </w:r>
            <w:r w:rsidRPr="00B87BBB">
              <w:rPr>
                <w:rFonts w:asciiTheme="minorHAnsi" w:eastAsiaTheme="minorHAnsi" w:hAnsiTheme="minorHAnsi" w:cstheme="minorBidi"/>
                <w:snapToGrid/>
                <w:sz w:val="22"/>
                <w:szCs w:val="22"/>
              </w:rPr>
              <w:br w:type="page"/>
            </w:r>
          </w:p>
        </w:tc>
        <w:tc>
          <w:tcPr>
            <w:tcW w:w="1489" w:type="dxa"/>
            <w:vAlign w:val="bottom"/>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Number</w:t>
            </w:r>
          </w:p>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of respondents</w:t>
            </w:r>
          </w:p>
        </w:tc>
        <w:tc>
          <w:tcPr>
            <w:tcW w:w="1400" w:type="dxa"/>
            <w:vAlign w:val="bottom"/>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Estimated annual frequency</w:t>
            </w:r>
          </w:p>
        </w:tc>
        <w:tc>
          <w:tcPr>
            <w:tcW w:w="1399" w:type="dxa"/>
            <w:vAlign w:val="bottom"/>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Estimated average hours</w:t>
            </w:r>
          </w:p>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per response</w:t>
            </w:r>
          </w:p>
        </w:tc>
        <w:tc>
          <w:tcPr>
            <w:tcW w:w="1400" w:type="dxa"/>
            <w:vAlign w:val="bottom"/>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Estimated total</w:t>
            </w:r>
          </w:p>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annual burden hours</w:t>
            </w:r>
          </w:p>
        </w:tc>
      </w:tr>
      <w:tr w:rsidR="00B87BBB" w:rsidRPr="00B87BBB" w:rsidTr="00AF1152">
        <w:trPr>
          <w:trHeight w:val="306"/>
        </w:trPr>
        <w:tc>
          <w:tcPr>
            <w:tcW w:w="3888" w:type="dxa"/>
            <w:vAlign w:val="center"/>
          </w:tcPr>
          <w:p w:rsidR="00B87BBB" w:rsidRPr="00B87BBB" w:rsidRDefault="00B87BBB" w:rsidP="00B87BBB">
            <w:pPr>
              <w:widowControl/>
              <w:rPr>
                <w:rFonts w:asciiTheme="minorHAnsi" w:eastAsiaTheme="minorHAnsi" w:hAnsiTheme="minorHAnsi" w:cstheme="minorBidi"/>
                <w:b/>
                <w:i/>
                <w:snapToGrid/>
                <w:sz w:val="22"/>
                <w:szCs w:val="22"/>
              </w:rPr>
            </w:pPr>
            <w:r w:rsidRPr="00B87BBB">
              <w:rPr>
                <w:rFonts w:asciiTheme="minorHAnsi" w:eastAsiaTheme="minorHAnsi" w:hAnsiTheme="minorHAnsi" w:cstheme="minorBidi"/>
                <w:b/>
                <w:i/>
                <w:snapToGrid/>
                <w:sz w:val="22"/>
                <w:szCs w:val="22"/>
              </w:rPr>
              <w:t>2016 Final Rule</w:t>
            </w:r>
          </w:p>
        </w:tc>
        <w:tc>
          <w:tcPr>
            <w:tcW w:w="1489" w:type="dxa"/>
            <w:vAlign w:val="center"/>
          </w:tcPr>
          <w:p w:rsidR="00B87BBB" w:rsidRPr="00B87BBB" w:rsidRDefault="00B87BBB" w:rsidP="00B87BBB">
            <w:pPr>
              <w:widowControl/>
              <w:rPr>
                <w:rFonts w:asciiTheme="minorHAnsi" w:eastAsiaTheme="minorHAnsi" w:hAnsiTheme="minorHAnsi" w:cstheme="minorBidi"/>
                <w:i/>
                <w:snapToGrid/>
                <w:sz w:val="22"/>
                <w:szCs w:val="22"/>
              </w:rPr>
            </w:pPr>
          </w:p>
        </w:tc>
        <w:tc>
          <w:tcPr>
            <w:tcW w:w="1400" w:type="dxa"/>
            <w:vAlign w:val="center"/>
          </w:tcPr>
          <w:p w:rsidR="00B87BBB" w:rsidRPr="00B87BBB" w:rsidRDefault="00B87BBB" w:rsidP="00B87BBB">
            <w:pPr>
              <w:widowControl/>
              <w:rPr>
                <w:rFonts w:asciiTheme="minorHAnsi" w:eastAsiaTheme="minorHAnsi" w:hAnsiTheme="minorHAnsi" w:cstheme="minorBidi"/>
                <w:i/>
                <w:snapToGrid/>
                <w:sz w:val="22"/>
                <w:szCs w:val="22"/>
              </w:rPr>
            </w:pPr>
          </w:p>
        </w:tc>
        <w:tc>
          <w:tcPr>
            <w:tcW w:w="1399" w:type="dxa"/>
            <w:vAlign w:val="center"/>
          </w:tcPr>
          <w:p w:rsidR="00B87BBB" w:rsidRPr="00B87BBB" w:rsidRDefault="00B87BBB" w:rsidP="00B87BBB">
            <w:pPr>
              <w:widowControl/>
              <w:rPr>
                <w:rFonts w:asciiTheme="minorHAnsi" w:eastAsiaTheme="minorHAnsi" w:hAnsiTheme="minorHAnsi" w:cstheme="minorBidi"/>
                <w:i/>
                <w:snapToGrid/>
                <w:sz w:val="22"/>
                <w:szCs w:val="22"/>
              </w:rPr>
            </w:pPr>
          </w:p>
        </w:tc>
        <w:tc>
          <w:tcPr>
            <w:tcW w:w="1400" w:type="dxa"/>
            <w:vAlign w:val="center"/>
          </w:tcPr>
          <w:p w:rsidR="00B87BBB" w:rsidRPr="00B87BBB" w:rsidRDefault="00B87BBB" w:rsidP="00B87BBB">
            <w:pPr>
              <w:widowControl/>
              <w:rPr>
                <w:rFonts w:asciiTheme="minorHAnsi" w:eastAsiaTheme="minorHAnsi" w:hAnsiTheme="minorHAnsi" w:cstheme="minorBidi"/>
                <w:i/>
                <w:snapToGrid/>
                <w:sz w:val="22"/>
                <w:szCs w:val="22"/>
              </w:rPr>
            </w:pP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Lowest Complexity Institutions</w:t>
            </w:r>
          </w:p>
        </w:tc>
        <w:tc>
          <w:tcPr>
            <w:tcW w:w="148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12</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w:t>
            </w:r>
          </w:p>
        </w:tc>
        <w:tc>
          <w:tcPr>
            <w:tcW w:w="139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 xml:space="preserve">493.1 </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5,917</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Middle Complexity Institutions</w:t>
            </w:r>
          </w:p>
        </w:tc>
        <w:tc>
          <w:tcPr>
            <w:tcW w:w="148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13</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w:t>
            </w:r>
          </w:p>
        </w:tc>
        <w:tc>
          <w:tcPr>
            <w:tcW w:w="139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 xml:space="preserve">516.7 </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6,718</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Highest Complexity Institutions</w:t>
            </w:r>
          </w:p>
        </w:tc>
        <w:tc>
          <w:tcPr>
            <w:tcW w:w="148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13</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w:t>
            </w:r>
          </w:p>
        </w:tc>
        <w:tc>
          <w:tcPr>
            <w:tcW w:w="139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 xml:space="preserve">566.6 </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7,365</w:t>
            </w:r>
          </w:p>
        </w:tc>
      </w:tr>
      <w:tr w:rsidR="00B87BBB" w:rsidRPr="00B87BBB" w:rsidTr="00AF1152">
        <w:trPr>
          <w:trHeight w:val="252"/>
        </w:trPr>
        <w:tc>
          <w:tcPr>
            <w:tcW w:w="3888" w:type="dxa"/>
            <w:vAlign w:val="bottom"/>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Proposed Rule Total</w:t>
            </w:r>
          </w:p>
        </w:tc>
        <w:tc>
          <w:tcPr>
            <w:tcW w:w="1489" w:type="dxa"/>
            <w:vAlign w:val="center"/>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38</w:t>
            </w:r>
          </w:p>
        </w:tc>
        <w:tc>
          <w:tcPr>
            <w:tcW w:w="1400" w:type="dxa"/>
            <w:vAlign w:val="center"/>
          </w:tcPr>
          <w:p w:rsidR="00B87BBB" w:rsidRPr="00B87BBB" w:rsidRDefault="00B87BBB" w:rsidP="00B87BBB">
            <w:pPr>
              <w:widowControl/>
              <w:rPr>
                <w:rFonts w:asciiTheme="minorHAnsi" w:eastAsiaTheme="minorHAnsi" w:hAnsiTheme="minorHAnsi" w:cstheme="minorBidi"/>
                <w:i/>
                <w:snapToGrid/>
                <w:sz w:val="22"/>
                <w:szCs w:val="22"/>
              </w:rPr>
            </w:pPr>
          </w:p>
        </w:tc>
        <w:tc>
          <w:tcPr>
            <w:tcW w:w="1399" w:type="dxa"/>
            <w:vAlign w:val="center"/>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526</w:t>
            </w:r>
          </w:p>
        </w:tc>
        <w:tc>
          <w:tcPr>
            <w:tcW w:w="1400" w:type="dxa"/>
            <w:vAlign w:val="center"/>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20,000</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489"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400"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399"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400"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b/>
                <w:i/>
                <w:snapToGrid/>
                <w:sz w:val="22"/>
                <w:szCs w:val="22"/>
              </w:rPr>
            </w:pPr>
            <w:r w:rsidRPr="00B87BBB">
              <w:rPr>
                <w:rFonts w:asciiTheme="minorHAnsi" w:eastAsiaTheme="minorHAnsi" w:hAnsiTheme="minorHAnsi" w:cstheme="minorBidi"/>
                <w:b/>
                <w:i/>
                <w:snapToGrid/>
                <w:sz w:val="22"/>
                <w:szCs w:val="22"/>
              </w:rPr>
              <w:t>Updated Data and Coverage</w:t>
            </w:r>
          </w:p>
        </w:tc>
        <w:tc>
          <w:tcPr>
            <w:tcW w:w="1489"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400"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399"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400"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Lowest Complexity Institutions</w:t>
            </w:r>
          </w:p>
        </w:tc>
        <w:tc>
          <w:tcPr>
            <w:tcW w:w="148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12</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w:t>
            </w:r>
          </w:p>
        </w:tc>
        <w:tc>
          <w:tcPr>
            <w:tcW w:w="139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 xml:space="preserve">487 </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5,844</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Middle Complexity Institutions</w:t>
            </w:r>
          </w:p>
        </w:tc>
        <w:tc>
          <w:tcPr>
            <w:tcW w:w="148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12</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w:t>
            </w:r>
          </w:p>
        </w:tc>
        <w:tc>
          <w:tcPr>
            <w:tcW w:w="139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 xml:space="preserve">488 </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5,856</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Highest Complexity Institutions</w:t>
            </w:r>
          </w:p>
        </w:tc>
        <w:tc>
          <w:tcPr>
            <w:tcW w:w="148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12</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w:t>
            </w:r>
          </w:p>
        </w:tc>
        <w:tc>
          <w:tcPr>
            <w:tcW w:w="139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 xml:space="preserve">558 </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6,696</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i/>
                <w:snapToGrid/>
                <w:sz w:val="22"/>
                <w:szCs w:val="22"/>
              </w:rPr>
              <w:t>Updated Data and Coverage Total</w:t>
            </w:r>
          </w:p>
        </w:tc>
        <w:tc>
          <w:tcPr>
            <w:tcW w:w="1489" w:type="dxa"/>
            <w:vAlign w:val="center"/>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36</w:t>
            </w:r>
          </w:p>
        </w:tc>
        <w:tc>
          <w:tcPr>
            <w:tcW w:w="1400" w:type="dxa"/>
            <w:vAlign w:val="center"/>
          </w:tcPr>
          <w:p w:rsidR="00B87BBB" w:rsidRPr="00B87BBB" w:rsidRDefault="00B87BBB" w:rsidP="00B87BBB">
            <w:pPr>
              <w:widowControl/>
              <w:rPr>
                <w:rFonts w:asciiTheme="minorHAnsi" w:eastAsiaTheme="minorHAnsi" w:hAnsiTheme="minorHAnsi" w:cstheme="minorBidi"/>
                <w:i/>
                <w:snapToGrid/>
                <w:sz w:val="22"/>
                <w:szCs w:val="22"/>
              </w:rPr>
            </w:pPr>
          </w:p>
        </w:tc>
        <w:tc>
          <w:tcPr>
            <w:tcW w:w="1399" w:type="dxa"/>
            <w:vAlign w:val="center"/>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 xml:space="preserve">511 </w:t>
            </w:r>
          </w:p>
        </w:tc>
        <w:tc>
          <w:tcPr>
            <w:tcW w:w="1400" w:type="dxa"/>
            <w:vAlign w:val="center"/>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18,396</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489"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400"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399"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400"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r>
      <w:tr w:rsidR="00B87BBB" w:rsidRPr="00B87BBB" w:rsidTr="00AF1152">
        <w:trPr>
          <w:trHeight w:val="278"/>
        </w:trPr>
        <w:tc>
          <w:tcPr>
            <w:tcW w:w="3888" w:type="dxa"/>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Change</w:t>
            </w:r>
          </w:p>
        </w:tc>
        <w:tc>
          <w:tcPr>
            <w:tcW w:w="1489" w:type="dxa"/>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-2</w:t>
            </w:r>
          </w:p>
        </w:tc>
        <w:tc>
          <w:tcPr>
            <w:tcW w:w="1400" w:type="dxa"/>
          </w:tcPr>
          <w:p w:rsidR="00B87BBB" w:rsidRPr="00B87BBB" w:rsidRDefault="00B87BBB" w:rsidP="00B87BBB">
            <w:pPr>
              <w:widowControl/>
              <w:rPr>
                <w:rFonts w:asciiTheme="minorHAnsi" w:eastAsiaTheme="minorHAnsi" w:hAnsiTheme="minorHAnsi" w:cstheme="minorBidi"/>
                <w:i/>
                <w:snapToGrid/>
                <w:sz w:val="22"/>
                <w:szCs w:val="22"/>
              </w:rPr>
            </w:pPr>
          </w:p>
        </w:tc>
        <w:tc>
          <w:tcPr>
            <w:tcW w:w="1399" w:type="dxa"/>
          </w:tcPr>
          <w:p w:rsidR="00B87BBB" w:rsidRPr="00B87BBB" w:rsidRDefault="00B87BBB" w:rsidP="00B87BBB">
            <w:pPr>
              <w:widowControl/>
              <w:rPr>
                <w:rFonts w:asciiTheme="minorHAnsi" w:eastAsiaTheme="minorHAnsi" w:hAnsiTheme="minorHAnsi" w:cstheme="minorBidi"/>
                <w:i/>
                <w:snapToGrid/>
                <w:sz w:val="22"/>
                <w:szCs w:val="22"/>
              </w:rPr>
            </w:pPr>
          </w:p>
        </w:tc>
        <w:tc>
          <w:tcPr>
            <w:tcW w:w="1400" w:type="dxa"/>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(1,604)</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489"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400"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399"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400"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b/>
                <w:i/>
                <w:snapToGrid/>
                <w:sz w:val="22"/>
                <w:szCs w:val="22"/>
              </w:rPr>
            </w:pPr>
            <w:r w:rsidRPr="00B87BBB">
              <w:rPr>
                <w:rFonts w:asciiTheme="minorHAnsi" w:eastAsiaTheme="minorHAnsi" w:hAnsiTheme="minorHAnsi" w:cstheme="minorBidi"/>
                <w:b/>
                <w:i/>
                <w:snapToGrid/>
                <w:sz w:val="22"/>
                <w:szCs w:val="22"/>
              </w:rPr>
              <w:t>Proposed Rule</w:t>
            </w:r>
          </w:p>
        </w:tc>
        <w:tc>
          <w:tcPr>
            <w:tcW w:w="1489"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400"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399"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400"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Lowest Complexity Institutions</w:t>
            </w:r>
          </w:p>
        </w:tc>
        <w:tc>
          <w:tcPr>
            <w:tcW w:w="148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12</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w:t>
            </w:r>
          </w:p>
        </w:tc>
        <w:tc>
          <w:tcPr>
            <w:tcW w:w="139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 xml:space="preserve">487 </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5,844</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Middle Complexity Institutions</w:t>
            </w:r>
          </w:p>
        </w:tc>
        <w:tc>
          <w:tcPr>
            <w:tcW w:w="148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12</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w:t>
            </w:r>
          </w:p>
        </w:tc>
        <w:tc>
          <w:tcPr>
            <w:tcW w:w="139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 xml:space="preserve">488 </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5,856</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Highest Complexity Institutions</w:t>
            </w:r>
          </w:p>
        </w:tc>
        <w:tc>
          <w:tcPr>
            <w:tcW w:w="148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12</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1</w:t>
            </w:r>
          </w:p>
        </w:tc>
        <w:tc>
          <w:tcPr>
            <w:tcW w:w="1399"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 xml:space="preserve">558 </w:t>
            </w:r>
          </w:p>
        </w:tc>
        <w:tc>
          <w:tcPr>
            <w:tcW w:w="1400" w:type="dxa"/>
            <w:vAlign w:val="center"/>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snapToGrid/>
                <w:sz w:val="22"/>
                <w:szCs w:val="22"/>
              </w:rPr>
              <w:t>6,696</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snapToGrid/>
                <w:sz w:val="22"/>
                <w:szCs w:val="22"/>
              </w:rPr>
            </w:pPr>
            <w:r w:rsidRPr="00B87BBB">
              <w:rPr>
                <w:rFonts w:asciiTheme="minorHAnsi" w:eastAsiaTheme="minorHAnsi" w:hAnsiTheme="minorHAnsi" w:cstheme="minorBidi"/>
                <w:i/>
                <w:snapToGrid/>
                <w:sz w:val="22"/>
                <w:szCs w:val="22"/>
              </w:rPr>
              <w:t>Updated Data and Coverage Total</w:t>
            </w:r>
          </w:p>
        </w:tc>
        <w:tc>
          <w:tcPr>
            <w:tcW w:w="1489" w:type="dxa"/>
            <w:vAlign w:val="center"/>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36</w:t>
            </w:r>
          </w:p>
        </w:tc>
        <w:tc>
          <w:tcPr>
            <w:tcW w:w="1400" w:type="dxa"/>
            <w:vAlign w:val="center"/>
          </w:tcPr>
          <w:p w:rsidR="00B87BBB" w:rsidRPr="00B87BBB" w:rsidRDefault="00B87BBB" w:rsidP="00B87BBB">
            <w:pPr>
              <w:widowControl/>
              <w:rPr>
                <w:rFonts w:asciiTheme="minorHAnsi" w:eastAsiaTheme="minorHAnsi" w:hAnsiTheme="minorHAnsi" w:cstheme="minorBidi"/>
                <w:i/>
                <w:snapToGrid/>
                <w:sz w:val="22"/>
                <w:szCs w:val="22"/>
              </w:rPr>
            </w:pPr>
          </w:p>
        </w:tc>
        <w:tc>
          <w:tcPr>
            <w:tcW w:w="1399" w:type="dxa"/>
            <w:vAlign w:val="center"/>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 xml:space="preserve">511 </w:t>
            </w:r>
          </w:p>
        </w:tc>
        <w:tc>
          <w:tcPr>
            <w:tcW w:w="1400" w:type="dxa"/>
            <w:vAlign w:val="center"/>
          </w:tcPr>
          <w:p w:rsidR="00B87BBB" w:rsidRPr="00B87BBB" w:rsidRDefault="00B87BBB" w:rsidP="00B87BBB">
            <w:pPr>
              <w:widowControl/>
              <w:rPr>
                <w:rFonts w:asciiTheme="minorHAnsi" w:eastAsiaTheme="minorHAnsi" w:hAnsiTheme="minorHAnsi" w:cstheme="minorBidi"/>
                <w:i/>
                <w:snapToGrid/>
                <w:sz w:val="22"/>
                <w:szCs w:val="22"/>
              </w:rPr>
            </w:pPr>
            <w:r w:rsidRPr="00B87BBB">
              <w:rPr>
                <w:rFonts w:asciiTheme="minorHAnsi" w:eastAsiaTheme="minorHAnsi" w:hAnsiTheme="minorHAnsi" w:cstheme="minorBidi"/>
                <w:i/>
                <w:snapToGrid/>
                <w:sz w:val="22"/>
                <w:szCs w:val="22"/>
              </w:rPr>
              <w:t>18,396</w:t>
            </w:r>
          </w:p>
        </w:tc>
      </w:tr>
      <w:tr w:rsidR="00B87BBB" w:rsidRPr="00B87BBB" w:rsidTr="00AF1152">
        <w:trPr>
          <w:trHeight w:val="278"/>
        </w:trPr>
        <w:tc>
          <w:tcPr>
            <w:tcW w:w="3888"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489"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400"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399"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c>
          <w:tcPr>
            <w:tcW w:w="1400" w:type="dxa"/>
            <w:vAlign w:val="bottom"/>
          </w:tcPr>
          <w:p w:rsidR="00B87BBB" w:rsidRPr="00B87BBB" w:rsidRDefault="00B87BBB" w:rsidP="00B87BBB">
            <w:pPr>
              <w:widowControl/>
              <w:rPr>
                <w:rFonts w:asciiTheme="minorHAnsi" w:eastAsiaTheme="minorHAnsi" w:hAnsiTheme="minorHAnsi" w:cstheme="minorBidi"/>
                <w:snapToGrid/>
                <w:sz w:val="22"/>
                <w:szCs w:val="22"/>
              </w:rPr>
            </w:pPr>
          </w:p>
        </w:tc>
      </w:tr>
      <w:tr w:rsidR="00B87BBB" w:rsidRPr="00B87BBB" w:rsidTr="00AF1152">
        <w:trPr>
          <w:trHeight w:val="278"/>
        </w:trPr>
        <w:tc>
          <w:tcPr>
            <w:tcW w:w="3888" w:type="dxa"/>
          </w:tcPr>
          <w:p w:rsidR="00B87BBB" w:rsidRPr="00B87BBB" w:rsidRDefault="00B87BBB" w:rsidP="00B87BBB">
            <w:pPr>
              <w:widowControl/>
              <w:rPr>
                <w:rFonts w:asciiTheme="minorHAnsi" w:eastAsiaTheme="minorHAnsi" w:hAnsiTheme="minorHAnsi" w:cstheme="minorBidi"/>
                <w:b/>
                <w:i/>
                <w:snapToGrid/>
                <w:sz w:val="22"/>
                <w:szCs w:val="22"/>
              </w:rPr>
            </w:pPr>
            <w:r w:rsidRPr="00B87BBB">
              <w:rPr>
                <w:rFonts w:asciiTheme="minorHAnsi" w:eastAsiaTheme="minorHAnsi" w:hAnsiTheme="minorHAnsi" w:cstheme="minorBidi"/>
                <w:b/>
                <w:i/>
                <w:snapToGrid/>
                <w:sz w:val="22"/>
                <w:szCs w:val="22"/>
              </w:rPr>
              <w:t>Change from Proposed Rule</w:t>
            </w:r>
          </w:p>
        </w:tc>
        <w:tc>
          <w:tcPr>
            <w:tcW w:w="1489" w:type="dxa"/>
            <w:vAlign w:val="center"/>
          </w:tcPr>
          <w:p w:rsidR="00B87BBB" w:rsidRPr="00B87BBB" w:rsidRDefault="00B87BBB" w:rsidP="00B87BBB">
            <w:pPr>
              <w:widowControl/>
              <w:rPr>
                <w:rFonts w:asciiTheme="minorHAnsi" w:eastAsiaTheme="minorHAnsi" w:hAnsiTheme="minorHAnsi" w:cstheme="minorBidi"/>
                <w:b/>
                <w:i/>
                <w:snapToGrid/>
                <w:sz w:val="22"/>
                <w:szCs w:val="22"/>
              </w:rPr>
            </w:pPr>
            <w:r w:rsidRPr="00B87BBB">
              <w:rPr>
                <w:rFonts w:asciiTheme="minorHAnsi" w:eastAsiaTheme="minorHAnsi" w:hAnsiTheme="minorHAnsi" w:cstheme="minorBidi"/>
                <w:b/>
                <w:i/>
                <w:snapToGrid/>
                <w:sz w:val="22"/>
                <w:szCs w:val="22"/>
              </w:rPr>
              <w:t>0</w:t>
            </w:r>
          </w:p>
        </w:tc>
        <w:tc>
          <w:tcPr>
            <w:tcW w:w="1400" w:type="dxa"/>
            <w:vAlign w:val="center"/>
          </w:tcPr>
          <w:p w:rsidR="00B87BBB" w:rsidRPr="00B87BBB" w:rsidRDefault="00B87BBB" w:rsidP="00B87BBB">
            <w:pPr>
              <w:widowControl/>
              <w:rPr>
                <w:rFonts w:asciiTheme="minorHAnsi" w:eastAsiaTheme="minorHAnsi" w:hAnsiTheme="minorHAnsi" w:cstheme="minorBidi"/>
                <w:b/>
                <w:i/>
                <w:snapToGrid/>
                <w:sz w:val="22"/>
                <w:szCs w:val="22"/>
              </w:rPr>
            </w:pPr>
          </w:p>
        </w:tc>
        <w:tc>
          <w:tcPr>
            <w:tcW w:w="1399" w:type="dxa"/>
            <w:vAlign w:val="center"/>
          </w:tcPr>
          <w:p w:rsidR="00B87BBB" w:rsidRPr="00B87BBB" w:rsidRDefault="00B87BBB" w:rsidP="00B87BBB">
            <w:pPr>
              <w:widowControl/>
              <w:rPr>
                <w:rFonts w:asciiTheme="minorHAnsi" w:eastAsiaTheme="minorHAnsi" w:hAnsiTheme="minorHAnsi" w:cstheme="minorBidi"/>
                <w:b/>
                <w:i/>
                <w:snapToGrid/>
                <w:sz w:val="22"/>
                <w:szCs w:val="22"/>
              </w:rPr>
            </w:pPr>
          </w:p>
        </w:tc>
        <w:tc>
          <w:tcPr>
            <w:tcW w:w="1400" w:type="dxa"/>
            <w:vAlign w:val="center"/>
          </w:tcPr>
          <w:p w:rsidR="00B87BBB" w:rsidRPr="00B87BBB" w:rsidRDefault="00B87BBB" w:rsidP="00B87BBB">
            <w:pPr>
              <w:widowControl/>
              <w:rPr>
                <w:rFonts w:asciiTheme="minorHAnsi" w:eastAsiaTheme="minorHAnsi" w:hAnsiTheme="minorHAnsi" w:cstheme="minorBidi"/>
                <w:b/>
                <w:i/>
                <w:snapToGrid/>
                <w:sz w:val="22"/>
                <w:szCs w:val="22"/>
              </w:rPr>
            </w:pPr>
            <w:r w:rsidRPr="00B87BBB">
              <w:rPr>
                <w:rFonts w:asciiTheme="minorHAnsi" w:eastAsiaTheme="minorHAnsi" w:hAnsiTheme="minorHAnsi" w:cstheme="minorBidi"/>
                <w:b/>
                <w:i/>
                <w:snapToGrid/>
                <w:sz w:val="22"/>
                <w:szCs w:val="22"/>
              </w:rPr>
              <w:t>0</w:t>
            </w:r>
          </w:p>
        </w:tc>
      </w:tr>
    </w:tbl>
    <w:p w:rsidR="00B87BBB" w:rsidRPr="00B87BBB" w:rsidRDefault="00B87BBB" w:rsidP="00B87BBB">
      <w:pPr>
        <w:widowControl/>
        <w:rPr>
          <w:rFonts w:asciiTheme="minorHAnsi" w:eastAsiaTheme="minorHAnsi" w:hAnsiTheme="minorHAnsi" w:cstheme="minorBidi"/>
          <w:snapToGrid/>
          <w:sz w:val="22"/>
          <w:szCs w:val="22"/>
        </w:rPr>
      </w:pPr>
    </w:p>
    <w:p w:rsidR="00B87BBB" w:rsidRPr="009938C8" w:rsidRDefault="00B87BBB" w:rsidP="00B87BBB">
      <w:pPr>
        <w:widowControl/>
        <w:rPr>
          <w:rFonts w:ascii="Times New Roman" w:eastAsiaTheme="minorHAnsi" w:hAnsi="Times New Roman"/>
          <w:snapToGrid/>
          <w:szCs w:val="24"/>
        </w:rPr>
      </w:pPr>
      <w:r w:rsidRPr="009938C8">
        <w:rPr>
          <w:rFonts w:ascii="Times New Roman" w:eastAsiaTheme="minorHAnsi" w:hAnsi="Times New Roman"/>
          <w:snapToGrid/>
          <w:szCs w:val="24"/>
        </w:rPr>
        <w:t>The implementation costs for all covered institutions are estimated to total $362.4 million and require approximately 4.9 million labor hours. This represents a decline of $20.9 million and 417,980 labor hours for covered institutions due to the proposed rule. The implementation costs cover (1) making the deposit insurance calculation, (2) legacy data cleanup, (3) data extraction, (4) data aggregation, (5) data standardization, (6) data quality control and compliance, and (7) data reporting.</w:t>
      </w:r>
    </w:p>
    <w:p w:rsidR="00B87BBB" w:rsidRPr="009938C8" w:rsidRDefault="00B87BBB" w:rsidP="00B87BBB">
      <w:pPr>
        <w:widowControl/>
        <w:rPr>
          <w:rFonts w:ascii="Times New Roman" w:eastAsiaTheme="minorHAnsi" w:hAnsi="Times New Roman"/>
          <w:snapToGrid/>
          <w:szCs w:val="24"/>
        </w:rPr>
      </w:pPr>
    </w:p>
    <w:p w:rsidR="00B87BBB" w:rsidRPr="009938C8" w:rsidRDefault="00B87BBB" w:rsidP="00B87BBB">
      <w:pPr>
        <w:widowControl/>
        <w:rPr>
          <w:rFonts w:ascii="Times New Roman" w:eastAsiaTheme="minorHAnsi" w:hAnsi="Times New Roman"/>
          <w:snapToGrid/>
          <w:szCs w:val="24"/>
        </w:rPr>
      </w:pPr>
      <w:r w:rsidRPr="009938C8">
        <w:rPr>
          <w:rFonts w:ascii="Times New Roman" w:eastAsiaTheme="minorHAnsi" w:hAnsi="Times New Roman"/>
          <w:snapToGrid/>
          <w:szCs w:val="24"/>
        </w:rPr>
        <w:t>In terms of initial implementation, the estimated PRA burden for individual covered institutions after enacting the proposed rule will require between 9,056 and 275,112 burden hours, and these burden hours are monetized to range from $757,851 to $31.0 million. This represents a decline for covered institutions of 675 and 29,007 burden hours and $33,787 to $532,873 million, respectively.</w:t>
      </w:r>
    </w:p>
    <w:p w:rsidR="00B87BBB" w:rsidRPr="009938C8" w:rsidRDefault="00B87BBB" w:rsidP="00B87BBB">
      <w:pPr>
        <w:widowControl/>
        <w:rPr>
          <w:rFonts w:ascii="Times New Roman" w:eastAsiaTheme="minorHAnsi" w:hAnsi="Times New Roman"/>
          <w:snapToGrid/>
          <w:szCs w:val="24"/>
        </w:rPr>
      </w:pPr>
    </w:p>
    <w:p w:rsidR="00B87BBB" w:rsidRPr="00B87BBB" w:rsidRDefault="00B87BBB" w:rsidP="00B87BBB">
      <w:pPr>
        <w:widowControl/>
        <w:rPr>
          <w:rFonts w:asciiTheme="minorHAnsi" w:eastAsiaTheme="minorHAnsi" w:hAnsiTheme="minorHAnsi" w:cstheme="minorBidi"/>
          <w:snapToGrid/>
          <w:sz w:val="22"/>
          <w:szCs w:val="22"/>
        </w:rPr>
      </w:pPr>
      <w:r w:rsidRPr="009938C8">
        <w:rPr>
          <w:rFonts w:ascii="Times New Roman" w:eastAsiaTheme="minorHAnsi" w:hAnsi="Times New Roman"/>
          <w:snapToGrid/>
          <w:szCs w:val="24"/>
        </w:rPr>
        <w:t>The estimated ongoing burden on individual covered institutions for reporting, testing, maintenance, and other periodic items is estimated to range between 481 and 666 labor hours, and these ongoing burden hours are monetized to be $72,146 and $99,865 annually. The ongoing cost burdens remain the same.</w:t>
      </w:r>
    </w:p>
    <w:p w:rsidR="00B87BBB" w:rsidRDefault="00B87BBB" w:rsidP="00B87BBB">
      <w:pPr>
        <w:widowControl/>
        <w:rPr>
          <w:rFonts w:asciiTheme="minorHAnsi" w:eastAsiaTheme="minorHAnsi" w:hAnsiTheme="minorHAnsi" w:cstheme="minorBidi"/>
          <w:snapToGrid/>
          <w:sz w:val="22"/>
          <w:szCs w:val="22"/>
        </w:rPr>
      </w:pPr>
    </w:p>
    <w:p w:rsidR="00C87859" w:rsidRPr="00B87BBB" w:rsidRDefault="00C87859" w:rsidP="00B87BBB">
      <w:pPr>
        <w:widowControl/>
        <w:rPr>
          <w:rFonts w:asciiTheme="minorHAnsi" w:eastAsiaTheme="minorHAnsi" w:hAnsiTheme="minorHAnsi" w:cstheme="minorBidi"/>
          <w:snapToGrid/>
          <w:sz w:val="22"/>
          <w:szCs w:val="22"/>
        </w:rPr>
      </w:pPr>
    </w:p>
    <w:p w:rsidR="00B87BBB" w:rsidRPr="00B87BBB" w:rsidRDefault="00B87BBB" w:rsidP="00B87BBB">
      <w:pPr>
        <w:widowControl/>
        <w:rPr>
          <w:rFonts w:asciiTheme="minorHAnsi" w:eastAsiaTheme="minorHAnsi" w:hAnsiTheme="minorHAnsi" w:cstheme="minorBidi"/>
          <w:b/>
          <w:bCs/>
          <w:snapToGrid/>
          <w:sz w:val="22"/>
          <w:szCs w:val="22"/>
        </w:rPr>
      </w:pPr>
      <w:r w:rsidRPr="00B87BBB">
        <w:rPr>
          <w:rFonts w:asciiTheme="minorHAnsi" w:eastAsiaTheme="minorHAnsi" w:hAnsiTheme="minorHAnsi" w:cstheme="minorBidi"/>
          <w:b/>
          <w:bCs/>
          <w:snapToGrid/>
          <w:sz w:val="22"/>
          <w:szCs w:val="22"/>
        </w:rPr>
        <w:t>ESTIMATED MONETIZED COSTS BY COMPONENT</w:t>
      </w:r>
    </w:p>
    <w:tbl>
      <w:tblPr>
        <w:tblW w:w="8470" w:type="dxa"/>
        <w:jc w:val="center"/>
        <w:tblLayout w:type="fixed"/>
        <w:tblLook w:val="04A0" w:firstRow="1" w:lastRow="0" w:firstColumn="1" w:lastColumn="0" w:noHBand="0" w:noVBand="1"/>
      </w:tblPr>
      <w:tblGrid>
        <w:gridCol w:w="2800"/>
        <w:gridCol w:w="1448"/>
        <w:gridCol w:w="1440"/>
        <w:gridCol w:w="1391"/>
        <w:gridCol w:w="1391"/>
      </w:tblGrid>
      <w:tr w:rsidR="00B87BBB" w:rsidRPr="00163A46" w:rsidTr="00AF1152">
        <w:trPr>
          <w:cantSplit/>
          <w:trHeight w:hRule="exact" w:val="667"/>
          <w:jc w:val="center"/>
        </w:trPr>
        <w:tc>
          <w:tcPr>
            <w:tcW w:w="2800" w:type="dxa"/>
            <w:tcBorders>
              <w:top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bCs/>
                <w:snapToGrid/>
                <w:sz w:val="20"/>
              </w:rPr>
            </w:pPr>
          </w:p>
        </w:tc>
        <w:tc>
          <w:tcPr>
            <w:tcW w:w="1448" w:type="dxa"/>
            <w:tcBorders>
              <w:top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b/>
                <w:bCs/>
                <w:i/>
                <w:snapToGrid/>
                <w:sz w:val="20"/>
              </w:rPr>
            </w:pPr>
            <w:r w:rsidRPr="009938C8">
              <w:rPr>
                <w:rFonts w:asciiTheme="minorHAnsi" w:eastAsiaTheme="minorHAnsi" w:hAnsiTheme="minorHAnsi" w:cstheme="minorBidi"/>
                <w:b/>
                <w:bCs/>
                <w:i/>
                <w:snapToGrid/>
                <w:sz w:val="20"/>
              </w:rPr>
              <w:t>2016 Final Rule</w:t>
            </w:r>
          </w:p>
        </w:tc>
        <w:tc>
          <w:tcPr>
            <w:tcW w:w="1440" w:type="dxa"/>
            <w:tcBorders>
              <w:top w:val="single" w:sz="4" w:space="0" w:color="auto"/>
            </w:tcBorders>
            <w:vAlign w:val="center"/>
          </w:tcPr>
          <w:p w:rsidR="00B87BBB" w:rsidRPr="009938C8" w:rsidRDefault="00B87BBB" w:rsidP="00B87BBB">
            <w:pPr>
              <w:widowControl/>
              <w:rPr>
                <w:rFonts w:asciiTheme="minorHAnsi" w:eastAsiaTheme="minorHAnsi" w:hAnsiTheme="minorHAnsi" w:cstheme="minorBidi"/>
                <w:bCs/>
                <w:snapToGrid/>
                <w:sz w:val="20"/>
              </w:rPr>
            </w:pPr>
            <w:r w:rsidRPr="009938C8">
              <w:rPr>
                <w:rFonts w:asciiTheme="minorHAnsi" w:eastAsiaTheme="minorHAnsi" w:hAnsiTheme="minorHAnsi" w:cstheme="minorBidi"/>
                <w:b/>
                <w:i/>
                <w:snapToGrid/>
                <w:sz w:val="20"/>
              </w:rPr>
              <w:t>Updated Data and Coverage</w:t>
            </w:r>
          </w:p>
        </w:tc>
        <w:tc>
          <w:tcPr>
            <w:tcW w:w="1391" w:type="dxa"/>
            <w:tcBorders>
              <w:top w:val="single" w:sz="4" w:space="0" w:color="auto"/>
            </w:tcBorders>
            <w:vAlign w:val="center"/>
          </w:tcPr>
          <w:p w:rsidR="00B87BBB" w:rsidRPr="009938C8" w:rsidRDefault="00B87BBB" w:rsidP="00B87BBB">
            <w:pPr>
              <w:widowControl/>
              <w:rPr>
                <w:rFonts w:asciiTheme="minorHAnsi" w:eastAsiaTheme="minorHAnsi" w:hAnsiTheme="minorHAnsi" w:cstheme="minorBidi"/>
                <w:b/>
                <w:i/>
                <w:snapToGrid/>
                <w:sz w:val="20"/>
              </w:rPr>
            </w:pPr>
            <w:r w:rsidRPr="009938C8">
              <w:rPr>
                <w:rFonts w:asciiTheme="minorHAnsi" w:eastAsiaTheme="minorHAnsi" w:hAnsiTheme="minorHAnsi" w:cstheme="minorBidi"/>
                <w:b/>
                <w:i/>
                <w:snapToGrid/>
                <w:sz w:val="20"/>
              </w:rPr>
              <w:t>Proposed Rule</w:t>
            </w:r>
          </w:p>
        </w:tc>
        <w:tc>
          <w:tcPr>
            <w:tcW w:w="1391" w:type="dxa"/>
            <w:vMerge w:val="restart"/>
            <w:tcBorders>
              <w:top w:val="single" w:sz="4" w:space="0" w:color="auto"/>
            </w:tcBorders>
            <w:vAlign w:val="bottom"/>
          </w:tcPr>
          <w:p w:rsidR="00B87BBB" w:rsidRPr="009938C8" w:rsidRDefault="00B87BBB" w:rsidP="00B87BBB">
            <w:pPr>
              <w:widowControl/>
              <w:rPr>
                <w:rFonts w:asciiTheme="minorHAnsi" w:eastAsiaTheme="minorHAnsi" w:hAnsiTheme="minorHAnsi" w:cstheme="minorBidi"/>
                <w:b/>
                <w:i/>
                <w:snapToGrid/>
                <w:sz w:val="20"/>
              </w:rPr>
            </w:pPr>
            <w:r w:rsidRPr="009938C8">
              <w:rPr>
                <w:rFonts w:asciiTheme="minorHAnsi" w:eastAsiaTheme="minorHAnsi" w:hAnsiTheme="minorHAnsi" w:cstheme="minorBidi"/>
                <w:b/>
                <w:bCs/>
                <w:snapToGrid/>
                <w:sz w:val="20"/>
              </w:rPr>
              <w:t>Change in Cost from Proposed Rule</w:t>
            </w:r>
          </w:p>
        </w:tc>
      </w:tr>
      <w:tr w:rsidR="00B87BBB" w:rsidRPr="00163A46" w:rsidTr="00AF1152">
        <w:trPr>
          <w:cantSplit/>
          <w:trHeight w:hRule="exact" w:val="783"/>
          <w:jc w:val="center"/>
        </w:trPr>
        <w:tc>
          <w:tcPr>
            <w:tcW w:w="2800" w:type="dxa"/>
            <w:tcBorders>
              <w:bottom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b/>
                <w:bCs/>
                <w:snapToGrid/>
                <w:sz w:val="20"/>
              </w:rPr>
            </w:pPr>
            <w:r w:rsidRPr="009938C8">
              <w:rPr>
                <w:rFonts w:asciiTheme="minorHAnsi" w:eastAsiaTheme="minorHAnsi" w:hAnsiTheme="minorHAnsi" w:cstheme="minorBidi"/>
                <w:b/>
                <w:bCs/>
                <w:snapToGrid/>
                <w:sz w:val="20"/>
              </w:rPr>
              <w:t>Components</w:t>
            </w:r>
          </w:p>
        </w:tc>
        <w:tc>
          <w:tcPr>
            <w:tcW w:w="1448" w:type="dxa"/>
            <w:tcBorders>
              <w:bottom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b/>
                <w:bCs/>
                <w:snapToGrid/>
                <w:sz w:val="20"/>
              </w:rPr>
            </w:pPr>
            <w:r w:rsidRPr="009938C8">
              <w:rPr>
                <w:rFonts w:asciiTheme="minorHAnsi" w:eastAsiaTheme="minorHAnsi" w:hAnsiTheme="minorHAnsi" w:cstheme="minorBidi"/>
                <w:b/>
                <w:bCs/>
                <w:snapToGrid/>
                <w:sz w:val="20"/>
              </w:rPr>
              <w:t>Component Cost**</w:t>
            </w:r>
          </w:p>
        </w:tc>
        <w:tc>
          <w:tcPr>
            <w:tcW w:w="1440" w:type="dxa"/>
            <w:tcBorders>
              <w:bottom w:val="single" w:sz="4" w:space="0" w:color="auto"/>
            </w:tcBorders>
            <w:vAlign w:val="center"/>
          </w:tcPr>
          <w:p w:rsidR="00B87BBB" w:rsidRPr="009938C8" w:rsidRDefault="00B87BBB" w:rsidP="00B87BBB">
            <w:pPr>
              <w:widowControl/>
              <w:rPr>
                <w:rFonts w:asciiTheme="minorHAnsi" w:eastAsiaTheme="minorHAnsi" w:hAnsiTheme="minorHAnsi" w:cstheme="minorBidi"/>
                <w:b/>
                <w:bCs/>
                <w:snapToGrid/>
                <w:sz w:val="20"/>
              </w:rPr>
            </w:pPr>
            <w:r w:rsidRPr="009938C8">
              <w:rPr>
                <w:rFonts w:asciiTheme="minorHAnsi" w:eastAsiaTheme="minorHAnsi" w:hAnsiTheme="minorHAnsi" w:cstheme="minorBidi"/>
                <w:b/>
                <w:bCs/>
                <w:snapToGrid/>
                <w:sz w:val="20"/>
              </w:rPr>
              <w:t>Component Cost**</w:t>
            </w:r>
          </w:p>
        </w:tc>
        <w:tc>
          <w:tcPr>
            <w:tcW w:w="1391" w:type="dxa"/>
            <w:tcBorders>
              <w:bottom w:val="single" w:sz="4" w:space="0" w:color="auto"/>
            </w:tcBorders>
            <w:vAlign w:val="center"/>
          </w:tcPr>
          <w:p w:rsidR="00B87BBB" w:rsidRPr="009938C8" w:rsidRDefault="00B87BBB" w:rsidP="00B87BBB">
            <w:pPr>
              <w:widowControl/>
              <w:rPr>
                <w:rFonts w:asciiTheme="minorHAnsi" w:eastAsiaTheme="minorHAnsi" w:hAnsiTheme="minorHAnsi" w:cstheme="minorBidi"/>
                <w:b/>
                <w:bCs/>
                <w:snapToGrid/>
                <w:sz w:val="20"/>
              </w:rPr>
            </w:pPr>
            <w:r w:rsidRPr="009938C8">
              <w:rPr>
                <w:rFonts w:asciiTheme="minorHAnsi" w:eastAsiaTheme="minorHAnsi" w:hAnsiTheme="minorHAnsi" w:cstheme="minorBidi"/>
                <w:b/>
                <w:bCs/>
                <w:snapToGrid/>
                <w:sz w:val="20"/>
              </w:rPr>
              <w:t>Component Cost**</w:t>
            </w:r>
          </w:p>
        </w:tc>
        <w:tc>
          <w:tcPr>
            <w:tcW w:w="1391" w:type="dxa"/>
            <w:vMerge/>
            <w:tcBorders>
              <w:bottom w:val="single" w:sz="4" w:space="0" w:color="auto"/>
            </w:tcBorders>
          </w:tcPr>
          <w:p w:rsidR="00B87BBB" w:rsidRPr="009938C8" w:rsidRDefault="00B87BBB" w:rsidP="00B87BBB">
            <w:pPr>
              <w:widowControl/>
              <w:rPr>
                <w:rFonts w:asciiTheme="minorHAnsi" w:eastAsiaTheme="minorHAnsi" w:hAnsiTheme="minorHAnsi" w:cstheme="minorBidi"/>
                <w:b/>
                <w:bCs/>
                <w:snapToGrid/>
                <w:sz w:val="20"/>
              </w:rPr>
            </w:pPr>
          </w:p>
        </w:tc>
      </w:tr>
      <w:tr w:rsidR="00B87BBB" w:rsidRPr="00163A46" w:rsidTr="00AF1152">
        <w:trPr>
          <w:cantSplit/>
          <w:trHeight w:val="651"/>
          <w:jc w:val="center"/>
        </w:trPr>
        <w:tc>
          <w:tcPr>
            <w:tcW w:w="2800" w:type="dxa"/>
            <w:tcBorders>
              <w:top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Legacy Data Cleanup</w:t>
            </w:r>
          </w:p>
        </w:tc>
        <w:tc>
          <w:tcPr>
            <w:tcW w:w="1448" w:type="dxa"/>
            <w:tcBorders>
              <w:top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$226,482,333</w:t>
            </w:r>
          </w:p>
        </w:tc>
        <w:tc>
          <w:tcPr>
            <w:tcW w:w="1440" w:type="dxa"/>
            <w:tcBorders>
              <w:top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$227,449,750</w:t>
            </w:r>
          </w:p>
        </w:tc>
        <w:tc>
          <w:tcPr>
            <w:tcW w:w="1391" w:type="dxa"/>
            <w:tcBorders>
              <w:top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$206,547,385</w:t>
            </w:r>
          </w:p>
        </w:tc>
        <w:tc>
          <w:tcPr>
            <w:tcW w:w="1391" w:type="dxa"/>
            <w:tcBorders>
              <w:top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($20,902,365)</w:t>
            </w:r>
          </w:p>
        </w:tc>
      </w:tr>
      <w:tr w:rsidR="00B87BBB" w:rsidRPr="00163A46" w:rsidTr="00AF1152">
        <w:trPr>
          <w:cantSplit/>
          <w:trHeight w:val="651"/>
          <w:jc w:val="center"/>
        </w:trPr>
        <w:tc>
          <w:tcPr>
            <w:tcW w:w="2800" w:type="dxa"/>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Data Aggregation</w:t>
            </w:r>
          </w:p>
        </w:tc>
        <w:tc>
          <w:tcPr>
            <w:tcW w:w="1448" w:type="dxa"/>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64,015,373</w:t>
            </w:r>
          </w:p>
        </w:tc>
        <w:tc>
          <w:tcPr>
            <w:tcW w:w="1440" w:type="dxa"/>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62,707,618</w:t>
            </w:r>
          </w:p>
        </w:tc>
        <w:tc>
          <w:tcPr>
            <w:tcW w:w="1391" w:type="dxa"/>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62,707,618</w:t>
            </w:r>
          </w:p>
        </w:tc>
        <w:tc>
          <w:tcPr>
            <w:tcW w:w="1391" w:type="dxa"/>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0</w:t>
            </w:r>
          </w:p>
        </w:tc>
      </w:tr>
      <w:tr w:rsidR="00B87BBB" w:rsidRPr="00163A46" w:rsidTr="00AF1152">
        <w:trPr>
          <w:cantSplit/>
          <w:trHeight w:val="651"/>
          <w:jc w:val="center"/>
        </w:trPr>
        <w:tc>
          <w:tcPr>
            <w:tcW w:w="2800" w:type="dxa"/>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Data Standardization</w:t>
            </w:r>
          </w:p>
        </w:tc>
        <w:tc>
          <w:tcPr>
            <w:tcW w:w="1448" w:type="dxa"/>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36,573,894</w:t>
            </w:r>
          </w:p>
        </w:tc>
        <w:tc>
          <w:tcPr>
            <w:tcW w:w="1440" w:type="dxa"/>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35,811,558</w:t>
            </w:r>
          </w:p>
        </w:tc>
        <w:tc>
          <w:tcPr>
            <w:tcW w:w="1391" w:type="dxa"/>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35,811,558</w:t>
            </w:r>
          </w:p>
        </w:tc>
        <w:tc>
          <w:tcPr>
            <w:tcW w:w="1391" w:type="dxa"/>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0</w:t>
            </w:r>
          </w:p>
        </w:tc>
      </w:tr>
      <w:tr w:rsidR="00B87BBB" w:rsidRPr="00163A46" w:rsidTr="00AF1152">
        <w:trPr>
          <w:cantSplit/>
          <w:trHeight w:val="651"/>
          <w:jc w:val="center"/>
        </w:trPr>
        <w:tc>
          <w:tcPr>
            <w:tcW w:w="2800" w:type="dxa"/>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Data Extraction</w:t>
            </w:r>
          </w:p>
        </w:tc>
        <w:tc>
          <w:tcPr>
            <w:tcW w:w="1448" w:type="dxa"/>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25,397,761</w:t>
            </w:r>
          </w:p>
        </w:tc>
        <w:tc>
          <w:tcPr>
            <w:tcW w:w="1440" w:type="dxa"/>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25,073,291</w:t>
            </w:r>
          </w:p>
        </w:tc>
        <w:tc>
          <w:tcPr>
            <w:tcW w:w="1391" w:type="dxa"/>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25,073,291</w:t>
            </w:r>
          </w:p>
        </w:tc>
        <w:tc>
          <w:tcPr>
            <w:tcW w:w="1391" w:type="dxa"/>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0</w:t>
            </w:r>
          </w:p>
        </w:tc>
      </w:tr>
      <w:tr w:rsidR="00B87BBB" w:rsidRPr="00163A46" w:rsidTr="00AF1152">
        <w:trPr>
          <w:cantSplit/>
          <w:trHeight w:val="651"/>
          <w:jc w:val="center"/>
        </w:trPr>
        <w:tc>
          <w:tcPr>
            <w:tcW w:w="2800" w:type="dxa"/>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Quality Control &amp; Compliance</w:t>
            </w:r>
          </w:p>
        </w:tc>
        <w:tc>
          <w:tcPr>
            <w:tcW w:w="1448" w:type="dxa"/>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18,403,006</w:t>
            </w:r>
          </w:p>
        </w:tc>
        <w:tc>
          <w:tcPr>
            <w:tcW w:w="1440" w:type="dxa"/>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18,024,478</w:t>
            </w:r>
          </w:p>
        </w:tc>
        <w:tc>
          <w:tcPr>
            <w:tcW w:w="1391" w:type="dxa"/>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18,024,478</w:t>
            </w:r>
          </w:p>
        </w:tc>
        <w:tc>
          <w:tcPr>
            <w:tcW w:w="1391" w:type="dxa"/>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0</w:t>
            </w:r>
          </w:p>
        </w:tc>
      </w:tr>
      <w:tr w:rsidR="00B87BBB" w:rsidRPr="00163A46" w:rsidTr="00AF1152">
        <w:trPr>
          <w:cantSplit/>
          <w:trHeight w:val="651"/>
          <w:jc w:val="center"/>
        </w:trPr>
        <w:tc>
          <w:tcPr>
            <w:tcW w:w="2800" w:type="dxa"/>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Insurance Calculation</w:t>
            </w:r>
          </w:p>
        </w:tc>
        <w:tc>
          <w:tcPr>
            <w:tcW w:w="1448" w:type="dxa"/>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9,500,400</w:t>
            </w:r>
          </w:p>
        </w:tc>
        <w:tc>
          <w:tcPr>
            <w:tcW w:w="1440" w:type="dxa"/>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8,584,000</w:t>
            </w:r>
          </w:p>
        </w:tc>
        <w:tc>
          <w:tcPr>
            <w:tcW w:w="1391" w:type="dxa"/>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8,548,000</w:t>
            </w:r>
          </w:p>
        </w:tc>
        <w:tc>
          <w:tcPr>
            <w:tcW w:w="1391" w:type="dxa"/>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0</w:t>
            </w:r>
          </w:p>
        </w:tc>
      </w:tr>
      <w:tr w:rsidR="00B87BBB" w:rsidRPr="00163A46" w:rsidTr="00AF1152">
        <w:trPr>
          <w:cantSplit/>
          <w:trHeight w:val="651"/>
          <w:jc w:val="center"/>
        </w:trPr>
        <w:tc>
          <w:tcPr>
            <w:tcW w:w="2800" w:type="dxa"/>
            <w:tcBorders>
              <w:bottom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Reporting</w:t>
            </w:r>
          </w:p>
        </w:tc>
        <w:tc>
          <w:tcPr>
            <w:tcW w:w="1448" w:type="dxa"/>
            <w:tcBorders>
              <w:bottom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5,971,800</w:t>
            </w:r>
          </w:p>
        </w:tc>
        <w:tc>
          <w:tcPr>
            <w:tcW w:w="1440" w:type="dxa"/>
            <w:tcBorders>
              <w:bottom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5,661,000</w:t>
            </w:r>
          </w:p>
        </w:tc>
        <w:tc>
          <w:tcPr>
            <w:tcW w:w="1391" w:type="dxa"/>
            <w:tcBorders>
              <w:bottom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5,661,000</w:t>
            </w:r>
          </w:p>
        </w:tc>
        <w:tc>
          <w:tcPr>
            <w:tcW w:w="1391" w:type="dxa"/>
            <w:tcBorders>
              <w:bottom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0</w:t>
            </w:r>
          </w:p>
        </w:tc>
      </w:tr>
      <w:tr w:rsidR="00B87BBB" w:rsidRPr="00163A46" w:rsidTr="00AF1152">
        <w:trPr>
          <w:cantSplit/>
          <w:trHeight w:val="651"/>
          <w:jc w:val="center"/>
        </w:trPr>
        <w:tc>
          <w:tcPr>
            <w:tcW w:w="2800" w:type="dxa"/>
            <w:tcBorders>
              <w:top w:val="single" w:sz="4" w:space="0" w:color="auto"/>
              <w:bottom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Implementation Costs</w:t>
            </w:r>
          </w:p>
        </w:tc>
        <w:tc>
          <w:tcPr>
            <w:tcW w:w="1448" w:type="dxa"/>
            <w:tcBorders>
              <w:top w:val="single" w:sz="4" w:space="0" w:color="auto"/>
              <w:bottom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$367,936,888</w:t>
            </w:r>
          </w:p>
        </w:tc>
        <w:tc>
          <w:tcPr>
            <w:tcW w:w="1440" w:type="dxa"/>
            <w:tcBorders>
              <w:top w:val="single" w:sz="4" w:space="0" w:color="auto"/>
              <w:bottom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$383,311,695</w:t>
            </w:r>
          </w:p>
        </w:tc>
        <w:tc>
          <w:tcPr>
            <w:tcW w:w="1391" w:type="dxa"/>
            <w:tcBorders>
              <w:top w:val="single" w:sz="4" w:space="0" w:color="auto"/>
              <w:bottom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$362,409,330</w:t>
            </w:r>
          </w:p>
        </w:tc>
        <w:tc>
          <w:tcPr>
            <w:tcW w:w="1391" w:type="dxa"/>
            <w:tcBorders>
              <w:top w:val="single" w:sz="4" w:space="0" w:color="auto"/>
              <w:bottom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($20,902,365)</w:t>
            </w:r>
          </w:p>
        </w:tc>
      </w:tr>
      <w:tr w:rsidR="00B87BBB" w:rsidRPr="00163A46" w:rsidTr="00AF1152">
        <w:trPr>
          <w:cantSplit/>
          <w:trHeight w:val="651"/>
          <w:jc w:val="center"/>
        </w:trPr>
        <w:tc>
          <w:tcPr>
            <w:tcW w:w="2800" w:type="dxa"/>
            <w:tcBorders>
              <w:top w:val="single" w:sz="4" w:space="0" w:color="auto"/>
              <w:bottom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Ongoing Operations</w:t>
            </w:r>
          </w:p>
        </w:tc>
        <w:tc>
          <w:tcPr>
            <w:tcW w:w="1448" w:type="dxa"/>
            <w:tcBorders>
              <w:top w:val="single" w:sz="4" w:space="0" w:color="auto"/>
              <w:bottom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2,999,963</w:t>
            </w:r>
          </w:p>
        </w:tc>
        <w:tc>
          <w:tcPr>
            <w:tcW w:w="1440" w:type="dxa"/>
            <w:tcBorders>
              <w:top w:val="single" w:sz="4" w:space="0" w:color="auto"/>
              <w:bottom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2,758,899</w:t>
            </w:r>
          </w:p>
        </w:tc>
        <w:tc>
          <w:tcPr>
            <w:tcW w:w="1391" w:type="dxa"/>
            <w:tcBorders>
              <w:top w:val="single" w:sz="4" w:space="0" w:color="auto"/>
              <w:bottom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2,758,899</w:t>
            </w:r>
          </w:p>
        </w:tc>
        <w:tc>
          <w:tcPr>
            <w:tcW w:w="1391" w:type="dxa"/>
            <w:tcBorders>
              <w:top w:val="single" w:sz="4" w:space="0" w:color="auto"/>
              <w:bottom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0</w:t>
            </w:r>
          </w:p>
        </w:tc>
      </w:tr>
      <w:tr w:rsidR="00B87BBB" w:rsidRPr="00163A46" w:rsidTr="00AF1152">
        <w:trPr>
          <w:cantSplit/>
          <w:trHeight w:hRule="exact" w:val="690"/>
          <w:jc w:val="center"/>
        </w:trPr>
        <w:tc>
          <w:tcPr>
            <w:tcW w:w="2800" w:type="dxa"/>
            <w:tcBorders>
              <w:top w:val="single" w:sz="4" w:space="0" w:color="auto"/>
              <w:bottom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TOTAL COST</w:t>
            </w:r>
          </w:p>
        </w:tc>
        <w:tc>
          <w:tcPr>
            <w:tcW w:w="1448" w:type="dxa"/>
            <w:tcBorders>
              <w:top w:val="single" w:sz="4" w:space="0" w:color="auto"/>
              <w:bottom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$389,344,530</w:t>
            </w:r>
          </w:p>
        </w:tc>
        <w:tc>
          <w:tcPr>
            <w:tcW w:w="1440" w:type="dxa"/>
            <w:tcBorders>
              <w:top w:val="single" w:sz="4" w:space="0" w:color="auto"/>
              <w:bottom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$386,070,594</w:t>
            </w:r>
          </w:p>
        </w:tc>
        <w:tc>
          <w:tcPr>
            <w:tcW w:w="1391" w:type="dxa"/>
            <w:tcBorders>
              <w:top w:val="single" w:sz="4" w:space="0" w:color="auto"/>
              <w:bottom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$365,168,229</w:t>
            </w:r>
          </w:p>
        </w:tc>
        <w:tc>
          <w:tcPr>
            <w:tcW w:w="1391" w:type="dxa"/>
            <w:tcBorders>
              <w:top w:val="single" w:sz="4" w:space="0" w:color="auto"/>
              <w:bottom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0</w:t>
            </w:r>
          </w:p>
        </w:tc>
      </w:tr>
      <w:tr w:rsidR="00B87BBB" w:rsidRPr="00163A46" w:rsidTr="00AF1152">
        <w:trPr>
          <w:cantSplit/>
          <w:trHeight w:hRule="exact" w:val="690"/>
          <w:jc w:val="center"/>
        </w:trPr>
        <w:tc>
          <w:tcPr>
            <w:tcW w:w="2800" w:type="dxa"/>
            <w:tcBorders>
              <w:top w:val="single" w:sz="4" w:space="0" w:color="auto"/>
              <w:bottom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Change from Updating Data</w:t>
            </w:r>
          </w:p>
        </w:tc>
        <w:tc>
          <w:tcPr>
            <w:tcW w:w="1448" w:type="dxa"/>
            <w:tcBorders>
              <w:top w:val="single" w:sz="4" w:space="0" w:color="auto"/>
              <w:bottom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p>
        </w:tc>
        <w:tc>
          <w:tcPr>
            <w:tcW w:w="1440" w:type="dxa"/>
            <w:tcBorders>
              <w:top w:val="single" w:sz="4" w:space="0" w:color="auto"/>
              <w:bottom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($3,273,936)</w:t>
            </w:r>
          </w:p>
        </w:tc>
        <w:tc>
          <w:tcPr>
            <w:tcW w:w="1391" w:type="dxa"/>
            <w:tcBorders>
              <w:top w:val="single" w:sz="4" w:space="0" w:color="auto"/>
              <w:bottom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p>
        </w:tc>
        <w:tc>
          <w:tcPr>
            <w:tcW w:w="1391" w:type="dxa"/>
            <w:tcBorders>
              <w:top w:val="single" w:sz="4" w:space="0" w:color="auto"/>
              <w:bottom w:val="single" w:sz="4" w:space="0" w:color="auto"/>
            </w:tcBorders>
          </w:tcPr>
          <w:p w:rsidR="00B87BBB" w:rsidRPr="009938C8" w:rsidRDefault="00B87BBB" w:rsidP="00B87BBB">
            <w:pPr>
              <w:widowControl/>
              <w:rPr>
                <w:rFonts w:asciiTheme="minorHAnsi" w:eastAsiaTheme="minorHAnsi" w:hAnsiTheme="minorHAnsi" w:cstheme="minorBidi"/>
                <w:snapToGrid/>
                <w:sz w:val="20"/>
              </w:rPr>
            </w:pPr>
          </w:p>
        </w:tc>
      </w:tr>
      <w:tr w:rsidR="00B87BBB" w:rsidRPr="00163A46" w:rsidTr="00AF1152">
        <w:trPr>
          <w:cantSplit/>
          <w:trHeight w:hRule="exact" w:val="690"/>
          <w:jc w:val="center"/>
        </w:trPr>
        <w:tc>
          <w:tcPr>
            <w:tcW w:w="2800" w:type="dxa"/>
            <w:tcBorders>
              <w:top w:val="single" w:sz="4" w:space="0" w:color="auto"/>
              <w:bottom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Change from Proposed Rule</w:t>
            </w:r>
          </w:p>
        </w:tc>
        <w:tc>
          <w:tcPr>
            <w:tcW w:w="1448" w:type="dxa"/>
            <w:tcBorders>
              <w:top w:val="single" w:sz="4" w:space="0" w:color="auto"/>
              <w:bottom w:val="single" w:sz="4" w:space="0" w:color="auto"/>
            </w:tcBorders>
            <w:shd w:val="clear" w:color="auto" w:fill="auto"/>
            <w:noWrap/>
            <w:vAlign w:val="center"/>
          </w:tcPr>
          <w:p w:rsidR="00B87BBB" w:rsidRPr="009938C8" w:rsidRDefault="00B87BBB" w:rsidP="00B87BBB">
            <w:pPr>
              <w:widowControl/>
              <w:rPr>
                <w:rFonts w:asciiTheme="minorHAnsi" w:eastAsiaTheme="minorHAnsi" w:hAnsiTheme="minorHAnsi" w:cstheme="minorBidi"/>
                <w:snapToGrid/>
                <w:sz w:val="20"/>
              </w:rPr>
            </w:pPr>
          </w:p>
        </w:tc>
        <w:tc>
          <w:tcPr>
            <w:tcW w:w="1440" w:type="dxa"/>
            <w:tcBorders>
              <w:top w:val="single" w:sz="4" w:space="0" w:color="auto"/>
              <w:bottom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p>
        </w:tc>
        <w:tc>
          <w:tcPr>
            <w:tcW w:w="1391" w:type="dxa"/>
            <w:tcBorders>
              <w:top w:val="single" w:sz="4" w:space="0" w:color="auto"/>
              <w:bottom w:val="single" w:sz="4" w:space="0" w:color="auto"/>
            </w:tcBorders>
            <w:vAlign w:val="center"/>
          </w:tcPr>
          <w:p w:rsidR="00B87BBB" w:rsidRPr="009938C8" w:rsidRDefault="00B87BBB" w:rsidP="00B87BBB">
            <w:pPr>
              <w:widowControl/>
              <w:rPr>
                <w:rFonts w:asciiTheme="minorHAnsi" w:eastAsiaTheme="minorHAnsi" w:hAnsiTheme="minorHAnsi" w:cstheme="minorBidi"/>
                <w:snapToGrid/>
                <w:sz w:val="20"/>
              </w:rPr>
            </w:pPr>
            <w:r w:rsidRPr="009938C8">
              <w:rPr>
                <w:rFonts w:asciiTheme="minorHAnsi" w:eastAsiaTheme="minorHAnsi" w:hAnsiTheme="minorHAnsi" w:cstheme="minorBidi"/>
                <w:snapToGrid/>
                <w:sz w:val="20"/>
              </w:rPr>
              <w:t>($20,902,365)</w:t>
            </w:r>
          </w:p>
        </w:tc>
        <w:tc>
          <w:tcPr>
            <w:tcW w:w="1391" w:type="dxa"/>
            <w:tcBorders>
              <w:top w:val="single" w:sz="4" w:space="0" w:color="auto"/>
              <w:bottom w:val="single" w:sz="4" w:space="0" w:color="auto"/>
            </w:tcBorders>
          </w:tcPr>
          <w:p w:rsidR="00B87BBB" w:rsidRPr="009938C8" w:rsidRDefault="00B87BBB" w:rsidP="00B87BBB">
            <w:pPr>
              <w:widowControl/>
              <w:rPr>
                <w:rFonts w:asciiTheme="minorHAnsi" w:eastAsiaTheme="minorHAnsi" w:hAnsiTheme="minorHAnsi" w:cstheme="minorBidi"/>
                <w:snapToGrid/>
                <w:sz w:val="20"/>
              </w:rPr>
            </w:pPr>
          </w:p>
        </w:tc>
      </w:tr>
    </w:tbl>
    <w:p w:rsidR="00B87BBB" w:rsidRPr="00B87BBB" w:rsidRDefault="00B87BBB" w:rsidP="00B87BBB">
      <w:pPr>
        <w:widowControl/>
        <w:rPr>
          <w:rFonts w:asciiTheme="minorHAnsi" w:eastAsiaTheme="minorHAnsi" w:hAnsiTheme="minorHAnsi" w:cstheme="minorBidi"/>
          <w:snapToGrid/>
          <w:sz w:val="22"/>
          <w:szCs w:val="22"/>
        </w:rPr>
      </w:pPr>
    </w:p>
    <w:p w:rsidR="00B87BBB" w:rsidRPr="009938C8" w:rsidRDefault="00B87BBB" w:rsidP="00B87BBB">
      <w:pPr>
        <w:widowControl/>
        <w:rPr>
          <w:rFonts w:ascii="Times New Roman" w:eastAsiaTheme="minorHAnsi" w:hAnsi="Times New Roman"/>
          <w:snapToGrid/>
          <w:szCs w:val="24"/>
        </w:rPr>
      </w:pPr>
      <w:r w:rsidRPr="009938C8">
        <w:rPr>
          <w:rFonts w:ascii="Times New Roman" w:eastAsiaTheme="minorHAnsi" w:hAnsi="Times New Roman"/>
          <w:snapToGrid/>
          <w:szCs w:val="24"/>
        </w:rPr>
        <w:t>The estimated annual burden for the “Recordkeeping for Timely Deposit Insurance Determination” information collection (OMB Control Number 3064-0202) if the proposed rule is adopted would be as follows:</w:t>
      </w:r>
    </w:p>
    <w:p w:rsidR="00B87BBB" w:rsidRPr="009938C8" w:rsidRDefault="00B87BBB" w:rsidP="00B87BBB">
      <w:pPr>
        <w:widowControl/>
        <w:rPr>
          <w:rFonts w:ascii="Times New Roman" w:eastAsiaTheme="minorHAnsi" w:hAnsi="Times New Roman"/>
          <w:snapToGrid/>
          <w:szCs w:val="24"/>
        </w:rPr>
      </w:pPr>
    </w:p>
    <w:p w:rsidR="00B87BBB" w:rsidRPr="009938C8" w:rsidRDefault="00B87BBB" w:rsidP="00B87BBB">
      <w:pPr>
        <w:widowControl/>
        <w:rPr>
          <w:rFonts w:ascii="Times New Roman" w:eastAsiaTheme="minorHAnsi" w:hAnsi="Times New Roman"/>
          <w:snapToGrid/>
          <w:szCs w:val="24"/>
        </w:rPr>
      </w:pPr>
      <w:r w:rsidRPr="009938C8">
        <w:rPr>
          <w:rFonts w:ascii="Times New Roman" w:eastAsiaTheme="minorHAnsi" w:hAnsi="Times New Roman"/>
          <w:snapToGrid/>
          <w:szCs w:val="24"/>
        </w:rPr>
        <w:t>Implementation Burden:</w:t>
      </w:r>
      <w:r w:rsidRPr="009938C8">
        <w:rPr>
          <w:rFonts w:ascii="Times New Roman" w:eastAsiaTheme="minorHAnsi" w:hAnsi="Times New Roman"/>
          <w:snapToGrid/>
          <w:szCs w:val="24"/>
          <w:vertAlign w:val="superscript"/>
        </w:rPr>
        <w:footnoteReference w:id="15"/>
      </w:r>
    </w:p>
    <w:p w:rsidR="00B87BBB" w:rsidRPr="009938C8" w:rsidRDefault="00B87BBB" w:rsidP="00B87BBB">
      <w:pPr>
        <w:widowControl/>
        <w:rPr>
          <w:rFonts w:ascii="Times New Roman" w:eastAsiaTheme="minorHAnsi" w:hAnsi="Times New Roman"/>
          <w:snapToGrid/>
          <w:szCs w:val="24"/>
        </w:rPr>
      </w:pPr>
    </w:p>
    <w:p w:rsidR="00B87BBB" w:rsidRPr="009938C8" w:rsidRDefault="00B87BBB" w:rsidP="00B87BBB">
      <w:pPr>
        <w:widowControl/>
        <w:spacing w:after="120"/>
        <w:rPr>
          <w:rFonts w:ascii="Times New Roman" w:eastAsiaTheme="minorHAnsi" w:hAnsi="Times New Roman"/>
          <w:snapToGrid/>
          <w:szCs w:val="24"/>
        </w:rPr>
      </w:pPr>
      <w:r w:rsidRPr="009938C8">
        <w:rPr>
          <w:rFonts w:ascii="Times New Roman" w:eastAsiaTheme="minorHAnsi" w:hAnsi="Times New Roman"/>
          <w:i/>
          <w:snapToGrid/>
          <w:szCs w:val="24"/>
        </w:rPr>
        <w:t>Estimated number of respondents:</w:t>
      </w:r>
      <w:r w:rsidRPr="009938C8">
        <w:rPr>
          <w:rFonts w:ascii="Times New Roman" w:eastAsiaTheme="minorHAnsi" w:hAnsi="Times New Roman"/>
          <w:snapToGrid/>
          <w:szCs w:val="24"/>
        </w:rPr>
        <w:t xml:space="preserve"> 36 covered institutions and their depositors.</w:t>
      </w:r>
    </w:p>
    <w:p w:rsidR="00B87BBB" w:rsidRPr="009938C8" w:rsidRDefault="00B87BBB" w:rsidP="00B87BBB">
      <w:pPr>
        <w:widowControl/>
        <w:spacing w:after="120"/>
        <w:rPr>
          <w:rFonts w:ascii="Times New Roman" w:eastAsiaTheme="minorHAnsi" w:hAnsi="Times New Roman"/>
          <w:snapToGrid/>
          <w:szCs w:val="24"/>
        </w:rPr>
      </w:pPr>
      <w:r w:rsidRPr="009938C8">
        <w:rPr>
          <w:rFonts w:ascii="Times New Roman" w:eastAsiaTheme="minorHAnsi" w:hAnsi="Times New Roman"/>
          <w:i/>
          <w:snapToGrid/>
          <w:szCs w:val="24"/>
        </w:rPr>
        <w:t>Estimated time per response:</w:t>
      </w:r>
      <w:r w:rsidRPr="009938C8">
        <w:rPr>
          <w:rFonts w:ascii="Times New Roman" w:eastAsiaTheme="minorHAnsi" w:hAnsi="Times New Roman"/>
          <w:i/>
          <w:snapToGrid/>
          <w:szCs w:val="24"/>
          <w:vertAlign w:val="superscript"/>
        </w:rPr>
        <w:footnoteReference w:id="16"/>
      </w:r>
      <w:r w:rsidRPr="009938C8">
        <w:rPr>
          <w:rFonts w:ascii="Times New Roman" w:eastAsiaTheme="minorHAnsi" w:hAnsi="Times New Roman"/>
          <w:snapToGrid/>
          <w:szCs w:val="24"/>
        </w:rPr>
        <w:t xml:space="preserve"> 136,237 hours (average).</w:t>
      </w:r>
    </w:p>
    <w:p w:rsidR="00B87BBB" w:rsidRPr="009938C8" w:rsidRDefault="00B87BBB" w:rsidP="00B87BBB">
      <w:pPr>
        <w:widowControl/>
        <w:spacing w:after="120"/>
        <w:rPr>
          <w:rFonts w:ascii="Times New Roman" w:eastAsiaTheme="minorHAnsi" w:hAnsi="Times New Roman"/>
          <w:snapToGrid/>
          <w:szCs w:val="24"/>
        </w:rPr>
      </w:pPr>
      <w:r w:rsidRPr="009938C8">
        <w:rPr>
          <w:rFonts w:ascii="Times New Roman" w:eastAsiaTheme="minorHAnsi" w:hAnsi="Times New Roman"/>
          <w:snapToGrid/>
          <w:szCs w:val="24"/>
        </w:rPr>
        <w:t>Low complexity: 11,946–41,406 hours.</w:t>
      </w:r>
    </w:p>
    <w:p w:rsidR="00B87BBB" w:rsidRPr="009938C8" w:rsidRDefault="00B87BBB" w:rsidP="00B87BBB">
      <w:pPr>
        <w:widowControl/>
        <w:spacing w:after="120"/>
        <w:rPr>
          <w:rFonts w:ascii="Times New Roman" w:eastAsiaTheme="minorHAnsi" w:hAnsi="Times New Roman"/>
          <w:snapToGrid/>
          <w:szCs w:val="24"/>
        </w:rPr>
      </w:pPr>
      <w:r w:rsidRPr="009938C8">
        <w:rPr>
          <w:rFonts w:ascii="Times New Roman" w:eastAsiaTheme="minorHAnsi" w:hAnsi="Times New Roman"/>
          <w:snapToGrid/>
          <w:szCs w:val="24"/>
        </w:rPr>
        <w:t>Medium complexity: 41,947–74,980 hours.</w:t>
      </w:r>
    </w:p>
    <w:p w:rsidR="00B87BBB" w:rsidRPr="009938C8" w:rsidRDefault="00B87BBB" w:rsidP="00B87BBB">
      <w:pPr>
        <w:widowControl/>
        <w:spacing w:after="120"/>
        <w:rPr>
          <w:rFonts w:ascii="Times New Roman" w:eastAsiaTheme="minorHAnsi" w:hAnsi="Times New Roman"/>
          <w:snapToGrid/>
          <w:szCs w:val="24"/>
        </w:rPr>
      </w:pPr>
      <w:r w:rsidRPr="009938C8">
        <w:rPr>
          <w:rFonts w:ascii="Times New Roman" w:eastAsiaTheme="minorHAnsi" w:hAnsi="Times New Roman"/>
          <w:snapToGrid/>
          <w:szCs w:val="24"/>
        </w:rPr>
        <w:t>High complexity: 75,404–762,185 hours.</w:t>
      </w:r>
    </w:p>
    <w:p w:rsidR="00B87BBB" w:rsidRPr="009938C8" w:rsidRDefault="00B87BBB" w:rsidP="00B87BBB">
      <w:pPr>
        <w:widowControl/>
        <w:spacing w:after="120"/>
        <w:rPr>
          <w:rFonts w:ascii="Times New Roman" w:eastAsiaTheme="minorHAnsi" w:hAnsi="Times New Roman"/>
          <w:snapToGrid/>
          <w:szCs w:val="24"/>
        </w:rPr>
      </w:pPr>
      <w:r w:rsidRPr="009938C8">
        <w:rPr>
          <w:rFonts w:ascii="Times New Roman" w:eastAsiaTheme="minorHAnsi" w:hAnsi="Times New Roman"/>
          <w:i/>
          <w:snapToGrid/>
          <w:szCs w:val="24"/>
        </w:rPr>
        <w:t>Estimated total implementation burden:</w:t>
      </w:r>
      <w:r w:rsidRPr="009938C8">
        <w:rPr>
          <w:rFonts w:ascii="Times New Roman" w:eastAsiaTheme="minorHAnsi" w:hAnsi="Times New Roman"/>
          <w:snapToGrid/>
          <w:szCs w:val="24"/>
        </w:rPr>
        <w:t xml:space="preserve"> </w:t>
      </w:r>
      <w:r w:rsidR="008F6E17" w:rsidRPr="009938C8">
        <w:rPr>
          <w:rFonts w:ascii="Times New Roman" w:eastAsiaTheme="minorHAnsi" w:hAnsi="Times New Roman"/>
          <w:i/>
          <w:szCs w:val="22"/>
        </w:rPr>
        <w:t>4,904,597</w:t>
      </w:r>
      <w:r w:rsidRPr="009938C8">
        <w:rPr>
          <w:rFonts w:ascii="Times New Roman" w:eastAsiaTheme="minorHAnsi" w:hAnsi="Times New Roman"/>
          <w:snapToGrid/>
          <w:szCs w:val="24"/>
        </w:rPr>
        <w:t xml:space="preserve"> hours.</w:t>
      </w:r>
    </w:p>
    <w:p w:rsidR="00B87BBB" w:rsidRPr="009938C8" w:rsidRDefault="00B87BBB" w:rsidP="00B87BBB">
      <w:pPr>
        <w:widowControl/>
        <w:rPr>
          <w:rFonts w:ascii="Times New Roman" w:eastAsiaTheme="minorHAnsi" w:hAnsi="Times New Roman"/>
          <w:snapToGrid/>
          <w:szCs w:val="24"/>
        </w:rPr>
      </w:pPr>
    </w:p>
    <w:p w:rsidR="00B87BBB" w:rsidRDefault="00B87BBB" w:rsidP="00B87BBB">
      <w:pPr>
        <w:widowControl/>
        <w:rPr>
          <w:rFonts w:ascii="Times New Roman" w:eastAsiaTheme="minorHAnsi" w:hAnsi="Times New Roman"/>
          <w:snapToGrid/>
          <w:szCs w:val="24"/>
        </w:rPr>
      </w:pPr>
      <w:r w:rsidRPr="009938C8">
        <w:rPr>
          <w:rFonts w:ascii="Times New Roman" w:eastAsiaTheme="minorHAnsi" w:hAnsi="Times New Roman"/>
          <w:snapToGrid/>
          <w:szCs w:val="24"/>
        </w:rPr>
        <w:t xml:space="preserve">Ongoing Burden: </w:t>
      </w:r>
    </w:p>
    <w:p w:rsidR="007611C9" w:rsidRPr="009938C8" w:rsidRDefault="007611C9" w:rsidP="00B87BBB">
      <w:pPr>
        <w:widowControl/>
        <w:rPr>
          <w:rFonts w:ascii="Times New Roman" w:eastAsiaTheme="minorHAnsi" w:hAnsi="Times New Roman"/>
          <w:snapToGrid/>
          <w:szCs w:val="24"/>
        </w:rPr>
      </w:pPr>
    </w:p>
    <w:p w:rsidR="00B87BBB" w:rsidRPr="009938C8" w:rsidRDefault="00B87BBB" w:rsidP="00B87BBB">
      <w:pPr>
        <w:widowControl/>
        <w:spacing w:after="120"/>
        <w:rPr>
          <w:rFonts w:ascii="Times New Roman" w:eastAsiaTheme="minorHAnsi" w:hAnsi="Times New Roman"/>
          <w:snapToGrid/>
          <w:szCs w:val="24"/>
        </w:rPr>
      </w:pPr>
      <w:r w:rsidRPr="009938C8">
        <w:rPr>
          <w:rFonts w:ascii="Times New Roman" w:eastAsiaTheme="minorHAnsi" w:hAnsi="Times New Roman"/>
          <w:i/>
          <w:snapToGrid/>
          <w:szCs w:val="24"/>
        </w:rPr>
        <w:t>Estimated number of respondents:</w:t>
      </w:r>
      <w:r w:rsidRPr="009938C8">
        <w:rPr>
          <w:rFonts w:ascii="Times New Roman" w:eastAsiaTheme="minorHAnsi" w:hAnsi="Times New Roman"/>
          <w:snapToGrid/>
          <w:szCs w:val="24"/>
        </w:rPr>
        <w:t xml:space="preserve"> 36 covered institutions and their depositors.</w:t>
      </w:r>
    </w:p>
    <w:p w:rsidR="00B87BBB" w:rsidRPr="009938C8" w:rsidRDefault="00B87BBB" w:rsidP="00B87BBB">
      <w:pPr>
        <w:widowControl/>
        <w:spacing w:after="120"/>
        <w:rPr>
          <w:rFonts w:ascii="Times New Roman" w:eastAsiaTheme="minorHAnsi" w:hAnsi="Times New Roman"/>
          <w:snapToGrid/>
          <w:szCs w:val="24"/>
        </w:rPr>
      </w:pPr>
      <w:r w:rsidRPr="009938C8">
        <w:rPr>
          <w:rFonts w:ascii="Times New Roman" w:eastAsiaTheme="minorHAnsi" w:hAnsi="Times New Roman"/>
          <w:i/>
          <w:snapToGrid/>
          <w:szCs w:val="24"/>
        </w:rPr>
        <w:t>Estimated time per response:</w:t>
      </w:r>
      <w:r w:rsidRPr="009938C8">
        <w:rPr>
          <w:rFonts w:ascii="Times New Roman" w:eastAsiaTheme="minorHAnsi" w:hAnsi="Times New Roman"/>
          <w:snapToGrid/>
          <w:szCs w:val="24"/>
        </w:rPr>
        <w:t xml:space="preserve"> 511 hours (average) per year.</w:t>
      </w:r>
    </w:p>
    <w:p w:rsidR="00B87BBB" w:rsidRPr="009938C8" w:rsidRDefault="00B87BBB" w:rsidP="00B87BBB">
      <w:pPr>
        <w:widowControl/>
        <w:spacing w:after="120"/>
        <w:rPr>
          <w:rFonts w:ascii="Times New Roman" w:eastAsiaTheme="minorHAnsi" w:hAnsi="Times New Roman"/>
          <w:snapToGrid/>
          <w:szCs w:val="24"/>
        </w:rPr>
      </w:pPr>
      <w:r w:rsidRPr="009938C8">
        <w:rPr>
          <w:rFonts w:ascii="Times New Roman" w:eastAsiaTheme="minorHAnsi" w:hAnsi="Times New Roman"/>
          <w:snapToGrid/>
          <w:szCs w:val="24"/>
        </w:rPr>
        <w:t>Low complexity: 433–530 hours.</w:t>
      </w:r>
    </w:p>
    <w:p w:rsidR="00B87BBB" w:rsidRPr="009938C8" w:rsidRDefault="00B87BBB" w:rsidP="00B87BBB">
      <w:pPr>
        <w:widowControl/>
        <w:spacing w:after="120"/>
        <w:rPr>
          <w:rFonts w:ascii="Times New Roman" w:eastAsiaTheme="minorHAnsi" w:hAnsi="Times New Roman"/>
          <w:snapToGrid/>
          <w:szCs w:val="24"/>
        </w:rPr>
      </w:pPr>
      <w:r w:rsidRPr="009938C8">
        <w:rPr>
          <w:rFonts w:ascii="Times New Roman" w:eastAsiaTheme="minorHAnsi" w:hAnsi="Times New Roman"/>
          <w:snapToGrid/>
          <w:szCs w:val="24"/>
        </w:rPr>
        <w:t>Medium complexity: 434–530 hours.</w:t>
      </w:r>
    </w:p>
    <w:p w:rsidR="00B87BBB" w:rsidRPr="009938C8" w:rsidRDefault="00B87BBB" w:rsidP="00B87BBB">
      <w:pPr>
        <w:widowControl/>
        <w:spacing w:after="120"/>
        <w:rPr>
          <w:rFonts w:ascii="Times New Roman" w:eastAsiaTheme="minorHAnsi" w:hAnsi="Times New Roman"/>
          <w:snapToGrid/>
          <w:szCs w:val="24"/>
        </w:rPr>
      </w:pPr>
      <w:r w:rsidRPr="009938C8">
        <w:rPr>
          <w:rFonts w:ascii="Times New Roman" w:eastAsiaTheme="minorHAnsi" w:hAnsi="Times New Roman"/>
          <w:snapToGrid/>
          <w:szCs w:val="24"/>
        </w:rPr>
        <w:t>High complexity: 435–661 hours.</w:t>
      </w:r>
    </w:p>
    <w:p w:rsidR="00B87BBB" w:rsidRPr="009938C8" w:rsidRDefault="00B87BBB" w:rsidP="00B87BBB">
      <w:pPr>
        <w:widowControl/>
        <w:spacing w:after="120"/>
        <w:rPr>
          <w:rFonts w:ascii="Times New Roman" w:eastAsiaTheme="minorHAnsi" w:hAnsi="Times New Roman"/>
          <w:snapToGrid/>
          <w:szCs w:val="24"/>
        </w:rPr>
      </w:pPr>
      <w:r w:rsidRPr="009938C8">
        <w:rPr>
          <w:rFonts w:ascii="Times New Roman" w:eastAsiaTheme="minorHAnsi" w:hAnsi="Times New Roman"/>
          <w:i/>
          <w:snapToGrid/>
          <w:szCs w:val="24"/>
        </w:rPr>
        <w:t>Estimated total ongoing annual burden:</w:t>
      </w:r>
      <w:r w:rsidRPr="009938C8">
        <w:rPr>
          <w:rFonts w:ascii="Times New Roman" w:eastAsiaTheme="minorHAnsi" w:hAnsi="Times New Roman"/>
          <w:snapToGrid/>
          <w:szCs w:val="24"/>
        </w:rPr>
        <w:t xml:space="preserve"> 18,396 hours per year.</w:t>
      </w:r>
    </w:p>
    <w:p w:rsidR="00243127" w:rsidRDefault="00243127">
      <w:pPr>
        <w:widowControl/>
        <w:rPr>
          <w:rFonts w:ascii="Times New Roman" w:hAnsi="Times New Roman"/>
          <w:szCs w:val="24"/>
        </w:rPr>
      </w:pPr>
    </w:p>
    <w:p w:rsidR="005B6ADB" w:rsidRPr="001F2A5D" w:rsidRDefault="005B6ADB" w:rsidP="009938C8">
      <w:pPr>
        <w:outlineLvl w:val="0"/>
        <w:rPr>
          <w:rFonts w:ascii="Times New Roman" w:hAnsi="Times New Roman"/>
          <w:szCs w:val="24"/>
          <w:u w:val="single"/>
        </w:rPr>
      </w:pPr>
      <w:r w:rsidRPr="001F2A5D">
        <w:rPr>
          <w:rFonts w:ascii="Times New Roman" w:hAnsi="Times New Roman"/>
          <w:szCs w:val="24"/>
        </w:rPr>
        <w:t>13.</w:t>
      </w:r>
      <w:r w:rsidRPr="001F2A5D">
        <w:rPr>
          <w:rFonts w:ascii="Times New Roman" w:hAnsi="Times New Roman"/>
          <w:szCs w:val="24"/>
        </w:rPr>
        <w:tab/>
      </w:r>
      <w:r w:rsidR="009E60FB" w:rsidRPr="009E60FB">
        <w:rPr>
          <w:rFonts w:ascii="Times New Roman" w:hAnsi="Times New Roman"/>
          <w:bCs/>
          <w:szCs w:val="24"/>
          <w:u w:val="single"/>
        </w:rPr>
        <w:t>Estimate of start-up costs to respondents:</w:t>
      </w:r>
    </w:p>
    <w:p w:rsidR="00FF765D" w:rsidRPr="001F2A5D" w:rsidRDefault="00FF765D" w:rsidP="00FF765D">
      <w:pPr>
        <w:widowControl/>
        <w:ind w:firstLine="600"/>
        <w:rPr>
          <w:rFonts w:ascii="Times New Roman" w:hAnsi="Times New Roman"/>
          <w:szCs w:val="24"/>
        </w:rPr>
      </w:pPr>
    </w:p>
    <w:p w:rsidR="005B6ADB" w:rsidRDefault="002C257F" w:rsidP="009938C8">
      <w:pPr>
        <w:rPr>
          <w:rFonts w:ascii="Times New Roman" w:hAnsi="Times New Roman"/>
          <w:szCs w:val="24"/>
        </w:rPr>
      </w:pPr>
      <w:r w:rsidRPr="002C257F">
        <w:rPr>
          <w:rFonts w:ascii="Times New Roman" w:hAnsi="Times New Roman"/>
          <w:szCs w:val="24"/>
        </w:rPr>
        <w:t xml:space="preserve">None.  FDIC estimates that the existing computer systems and equipment currently used by respondent institutions will be sufficient to make the calculations and maintain the records required by the </w:t>
      </w:r>
      <w:r w:rsidR="009E60FB">
        <w:rPr>
          <w:rFonts w:ascii="Times New Roman" w:hAnsi="Times New Roman"/>
          <w:szCs w:val="24"/>
        </w:rPr>
        <w:t xml:space="preserve">proposed </w:t>
      </w:r>
      <w:r w:rsidRPr="002C257F">
        <w:rPr>
          <w:rFonts w:ascii="Times New Roman" w:hAnsi="Times New Roman"/>
          <w:szCs w:val="24"/>
        </w:rPr>
        <w:t>rule.</w:t>
      </w:r>
    </w:p>
    <w:p w:rsidR="00731EC1" w:rsidRPr="001F2A5D" w:rsidRDefault="00731EC1" w:rsidP="005B6ADB">
      <w:pPr>
        <w:rPr>
          <w:rFonts w:ascii="Times New Roman" w:hAnsi="Times New Roman"/>
          <w:szCs w:val="24"/>
        </w:rPr>
      </w:pPr>
    </w:p>
    <w:p w:rsidR="005B6ADB" w:rsidRPr="001F2A5D" w:rsidRDefault="005B6ADB" w:rsidP="009938C8">
      <w:pPr>
        <w:outlineLvl w:val="0"/>
        <w:rPr>
          <w:rFonts w:ascii="Times New Roman" w:hAnsi="Times New Roman"/>
          <w:szCs w:val="24"/>
        </w:rPr>
      </w:pPr>
      <w:r w:rsidRPr="001F2A5D">
        <w:rPr>
          <w:rFonts w:ascii="Times New Roman" w:hAnsi="Times New Roman"/>
          <w:szCs w:val="24"/>
        </w:rPr>
        <w:t>14.</w:t>
      </w:r>
      <w:r w:rsidRPr="001F2A5D">
        <w:rPr>
          <w:rFonts w:ascii="Times New Roman" w:hAnsi="Times New Roman"/>
          <w:szCs w:val="24"/>
        </w:rPr>
        <w:tab/>
      </w:r>
      <w:r w:rsidR="009E60FB" w:rsidRPr="009E60FB">
        <w:rPr>
          <w:rFonts w:ascii="Times New Roman" w:hAnsi="Times New Roman"/>
          <w:bCs/>
          <w:szCs w:val="24"/>
          <w:u w:val="single"/>
        </w:rPr>
        <w:t>Estimate of annualized costs to the government:</w:t>
      </w:r>
    </w:p>
    <w:p w:rsidR="005B6ADB" w:rsidRPr="001F2A5D" w:rsidRDefault="005B6ADB" w:rsidP="005B6ADB">
      <w:pPr>
        <w:rPr>
          <w:rFonts w:ascii="Times New Roman" w:hAnsi="Times New Roman"/>
          <w:szCs w:val="24"/>
        </w:rPr>
      </w:pPr>
    </w:p>
    <w:p w:rsidR="00731EC1" w:rsidRPr="001F2A5D" w:rsidRDefault="00387E2C" w:rsidP="002432B2">
      <w:pPr>
        <w:outlineLvl w:val="0"/>
        <w:rPr>
          <w:rFonts w:ascii="Times New Roman" w:hAnsi="Times New Roman"/>
          <w:szCs w:val="24"/>
        </w:rPr>
      </w:pPr>
      <w:r>
        <w:rPr>
          <w:rFonts w:ascii="Times New Roman" w:hAnsi="Times New Roman"/>
          <w:szCs w:val="24"/>
        </w:rPr>
        <w:t xml:space="preserve">None.  </w:t>
      </w:r>
    </w:p>
    <w:p w:rsidR="00430992" w:rsidRPr="001F2A5D" w:rsidRDefault="00430992" w:rsidP="005B6ADB">
      <w:pPr>
        <w:rPr>
          <w:rFonts w:ascii="Times New Roman" w:hAnsi="Times New Roman"/>
          <w:szCs w:val="24"/>
        </w:rPr>
      </w:pPr>
    </w:p>
    <w:p w:rsidR="005B6ADB" w:rsidRPr="001F2A5D" w:rsidRDefault="005B6ADB" w:rsidP="009938C8">
      <w:pPr>
        <w:outlineLvl w:val="0"/>
        <w:rPr>
          <w:rFonts w:ascii="Times New Roman" w:hAnsi="Times New Roman"/>
          <w:szCs w:val="24"/>
        </w:rPr>
      </w:pPr>
      <w:r w:rsidRPr="001F2A5D">
        <w:rPr>
          <w:rFonts w:ascii="Times New Roman" w:hAnsi="Times New Roman"/>
          <w:szCs w:val="24"/>
        </w:rPr>
        <w:t>15.</w:t>
      </w:r>
      <w:r w:rsidRPr="001F2A5D">
        <w:rPr>
          <w:rFonts w:ascii="Times New Roman" w:hAnsi="Times New Roman"/>
          <w:szCs w:val="24"/>
        </w:rPr>
        <w:tab/>
      </w:r>
      <w:r w:rsidR="009E60FB" w:rsidRPr="009E60FB">
        <w:rPr>
          <w:rFonts w:ascii="Times New Roman" w:hAnsi="Times New Roman"/>
          <w:szCs w:val="24"/>
          <w:u w:val="single"/>
        </w:rPr>
        <w:t>Analysis of change in burden:</w:t>
      </w:r>
    </w:p>
    <w:p w:rsidR="009E60FB" w:rsidRDefault="005B6ADB" w:rsidP="005B6ADB">
      <w:pPr>
        <w:rPr>
          <w:rFonts w:ascii="Times New Roman" w:hAnsi="Times New Roman"/>
          <w:szCs w:val="24"/>
        </w:rPr>
      </w:pPr>
      <w:r w:rsidRPr="001F2A5D">
        <w:rPr>
          <w:rFonts w:ascii="Times New Roman" w:hAnsi="Times New Roman"/>
          <w:szCs w:val="24"/>
        </w:rPr>
        <w:tab/>
      </w:r>
    </w:p>
    <w:p w:rsidR="006A7DD6" w:rsidRPr="006A7DD6" w:rsidRDefault="007E6056" w:rsidP="007E6056">
      <w:pPr>
        <w:rPr>
          <w:rFonts w:ascii="Times New Roman" w:hAnsi="Times New Roman"/>
          <w:szCs w:val="24"/>
        </w:rPr>
      </w:pPr>
      <w:r>
        <w:rPr>
          <w:rFonts w:ascii="Times New Roman" w:hAnsi="Times New Roman"/>
          <w:szCs w:val="24"/>
        </w:rPr>
        <w:t xml:space="preserve">The estimated total annual burden for the information collection under the proposed rule is 4,922,993 hours.  This represents a reduction in estimated total annual burden of </w:t>
      </w:r>
      <w:r w:rsidRPr="007E6056">
        <w:rPr>
          <w:rFonts w:ascii="Times New Roman" w:hAnsi="Times New Roman"/>
          <w:szCs w:val="24"/>
        </w:rPr>
        <w:t>303,527</w:t>
      </w:r>
      <w:r>
        <w:rPr>
          <w:rFonts w:ascii="Times New Roman" w:hAnsi="Times New Roman"/>
          <w:szCs w:val="24"/>
        </w:rPr>
        <w:t xml:space="preserve"> hours. The reduction in burden is due in part to </w:t>
      </w:r>
      <w:r w:rsidR="006A7DD6" w:rsidRPr="006A7DD6">
        <w:rPr>
          <w:rFonts w:ascii="Times New Roman" w:hAnsi="Times New Roman"/>
          <w:szCs w:val="24"/>
        </w:rPr>
        <w:t>reduce</w:t>
      </w:r>
      <w:r>
        <w:rPr>
          <w:rFonts w:ascii="Times New Roman" w:hAnsi="Times New Roman"/>
          <w:szCs w:val="24"/>
        </w:rPr>
        <w:t>d</w:t>
      </w:r>
      <w:r w:rsidR="006A7DD6" w:rsidRPr="006A7DD6">
        <w:rPr>
          <w:rFonts w:ascii="Times New Roman" w:hAnsi="Times New Roman"/>
          <w:szCs w:val="24"/>
        </w:rPr>
        <w:t xml:space="preserve"> </w:t>
      </w:r>
      <w:r w:rsidRPr="006A7DD6">
        <w:rPr>
          <w:rFonts w:ascii="Times New Roman" w:hAnsi="Times New Roman"/>
          <w:szCs w:val="24"/>
        </w:rPr>
        <w:t xml:space="preserve">recordkeeping and reporting </w:t>
      </w:r>
      <w:r w:rsidR="006A7DD6" w:rsidRPr="006A7DD6">
        <w:rPr>
          <w:rFonts w:ascii="Times New Roman" w:hAnsi="Times New Roman"/>
          <w:szCs w:val="24"/>
        </w:rPr>
        <w:t>burden</w:t>
      </w:r>
      <w:r>
        <w:rPr>
          <w:rFonts w:ascii="Times New Roman" w:hAnsi="Times New Roman"/>
          <w:szCs w:val="24"/>
        </w:rPr>
        <w:t xml:space="preserve"> and in part to a reduction in the estimated number of respondents from 38 to 36 institutions.</w:t>
      </w:r>
    </w:p>
    <w:p w:rsidR="006A7DD6" w:rsidRPr="006A7DD6" w:rsidRDefault="006A7DD6" w:rsidP="006A7DD6">
      <w:pPr>
        <w:rPr>
          <w:rFonts w:ascii="Times New Roman" w:hAnsi="Times New Roman"/>
          <w:szCs w:val="24"/>
        </w:rPr>
      </w:pPr>
    </w:p>
    <w:p w:rsidR="006A7DD6" w:rsidRPr="006A7DD6" w:rsidRDefault="006A7DD6" w:rsidP="006A7DD6">
      <w:pPr>
        <w:rPr>
          <w:rFonts w:ascii="Times New Roman" w:hAnsi="Times New Roman"/>
          <w:szCs w:val="24"/>
        </w:rPr>
      </w:pPr>
      <w:r w:rsidRPr="006A7DD6">
        <w:rPr>
          <w:rFonts w:ascii="Times New Roman" w:hAnsi="Times New Roman"/>
          <w:szCs w:val="24"/>
        </w:rPr>
        <w:t>An analysis of deposit account information at covered institutions suggested that the proposed rule could affect an estimated one to 20 percent of accounts on average, for covered institutions.</w:t>
      </w:r>
      <w:r w:rsidRPr="006A7DD6">
        <w:rPr>
          <w:rFonts w:ascii="Times New Roman" w:hAnsi="Times New Roman"/>
          <w:szCs w:val="24"/>
          <w:vertAlign w:val="superscript"/>
        </w:rPr>
        <w:footnoteReference w:id="17"/>
      </w:r>
      <w:r w:rsidRPr="006A7DD6">
        <w:rPr>
          <w:rFonts w:ascii="Times New Roman" w:hAnsi="Times New Roman"/>
          <w:szCs w:val="24"/>
        </w:rPr>
        <w:t xml:space="preserve"> The realized effect would vary depending upon the types of accounts that a covered institution offers. The more deposit accounts a covered institution has, the greater the reduction in recordkeeping requirements these proposed amendments would provide. To conservatively estimate the expected benefits of the proposed rule, the FDIC assumed that the reduced recordkeeping and requirements would affect between one and 20 percent of all deposit accounts at covered institutions.</w:t>
      </w:r>
    </w:p>
    <w:p w:rsidR="006A7DD6" w:rsidRPr="006A7DD6" w:rsidRDefault="006A7DD6" w:rsidP="006A7DD6">
      <w:pPr>
        <w:rPr>
          <w:rFonts w:ascii="Times New Roman" w:hAnsi="Times New Roman"/>
          <w:szCs w:val="24"/>
        </w:rPr>
      </w:pPr>
    </w:p>
    <w:p w:rsidR="006A7DD6" w:rsidRPr="006A7DD6" w:rsidRDefault="006A7DD6" w:rsidP="006A7DD6">
      <w:pPr>
        <w:rPr>
          <w:rFonts w:ascii="Times New Roman" w:hAnsi="Times New Roman"/>
          <w:szCs w:val="24"/>
        </w:rPr>
      </w:pPr>
      <w:r w:rsidRPr="006A7DD6">
        <w:rPr>
          <w:rFonts w:ascii="Times New Roman" w:hAnsi="Times New Roman"/>
          <w:szCs w:val="24"/>
        </w:rPr>
        <w:t xml:space="preserve">For the purposes of the Paperwork Reduction Act, the FDIC estimates that approximately 10 percent of non-retirement accounts consist of the type of accounts for which the FDIC </w:t>
      </w:r>
      <w:r w:rsidR="007E6056">
        <w:rPr>
          <w:rFonts w:ascii="Times New Roman" w:hAnsi="Times New Roman"/>
          <w:szCs w:val="24"/>
        </w:rPr>
        <w:t>proposes to</w:t>
      </w:r>
      <w:r w:rsidRPr="006A7DD6">
        <w:rPr>
          <w:rFonts w:ascii="Times New Roman" w:hAnsi="Times New Roman"/>
          <w:szCs w:val="24"/>
        </w:rPr>
        <w:t xml:space="preserve"> grant relief. The number of accounts affects only one of eight components of the burden model for the final rule for Part 370 adopted in 2016 (the “2016 Final Rule”): Legacy Data Clean-up. This component consists of two portions: 1) automated clean-up, and 2) manual clean-up. The number of accounts affects only the manual portion associated with correcting bank records, and thus the proposed rule affects only that estimate.</w:t>
      </w:r>
    </w:p>
    <w:p w:rsidR="006A7DD6" w:rsidRPr="006A7DD6" w:rsidRDefault="006A7DD6" w:rsidP="006A7DD6">
      <w:pPr>
        <w:rPr>
          <w:rFonts w:ascii="Times New Roman" w:hAnsi="Times New Roman"/>
          <w:szCs w:val="24"/>
        </w:rPr>
      </w:pPr>
    </w:p>
    <w:p w:rsidR="006A7DD6" w:rsidRPr="006A7DD6" w:rsidRDefault="006A7DD6" w:rsidP="006A7DD6">
      <w:pPr>
        <w:rPr>
          <w:rFonts w:ascii="Times New Roman" w:hAnsi="Times New Roman"/>
          <w:szCs w:val="24"/>
        </w:rPr>
      </w:pPr>
      <w:r w:rsidRPr="006A7DD6">
        <w:rPr>
          <w:rFonts w:ascii="Times New Roman" w:hAnsi="Times New Roman"/>
          <w:szCs w:val="24"/>
        </w:rPr>
        <w:t>Using this adjusted burden as a baseline for the burden reduction of the proposed rule, we estimate that the proposed rule reduces the implementation burden by 417,980 hours. This includes 418,056 of burden reduction but adds 65 hours of additional burden for requests for extensions and exemptions under the proposed rule. The proposed rule does not change the annual ongoing burden.</w:t>
      </w:r>
    </w:p>
    <w:p w:rsidR="006A7DD6" w:rsidRPr="006A7DD6" w:rsidRDefault="006A7DD6" w:rsidP="006A7DD6">
      <w:pPr>
        <w:rPr>
          <w:rFonts w:ascii="Times New Roman" w:hAnsi="Times New Roman"/>
          <w:szCs w:val="24"/>
        </w:rPr>
      </w:pPr>
    </w:p>
    <w:p w:rsidR="005B6ADB" w:rsidRPr="001F2A5D" w:rsidRDefault="006A7DD6" w:rsidP="005B6ADB">
      <w:pPr>
        <w:rPr>
          <w:rFonts w:ascii="Times New Roman" w:hAnsi="Times New Roman"/>
          <w:szCs w:val="24"/>
        </w:rPr>
      </w:pPr>
      <w:r w:rsidRPr="006A7DD6">
        <w:rPr>
          <w:rFonts w:ascii="Times New Roman" w:hAnsi="Times New Roman"/>
          <w:szCs w:val="24"/>
        </w:rPr>
        <w:t xml:space="preserve">Finally, the 2016 Final Rule estimated 38 banks would be covered. As of April 1, 2017, the effective date of the rule, only 32 banks were covered by the rule. Four additional banks became covered by the rule in later quarters for a total of 36 covered banks. </w:t>
      </w:r>
      <w:r w:rsidR="004B7EC8">
        <w:rPr>
          <w:rFonts w:ascii="Times New Roman" w:hAnsi="Times New Roman"/>
          <w:szCs w:val="24"/>
        </w:rPr>
        <w:t>FDIC’s burden estimate</w:t>
      </w:r>
      <w:r w:rsidRPr="006A7DD6">
        <w:rPr>
          <w:rFonts w:ascii="Times New Roman" w:hAnsi="Times New Roman"/>
          <w:szCs w:val="24"/>
        </w:rPr>
        <w:t xml:space="preserve"> uses bank-level data from December 31, 2018, updating the original burden estimate based on December 31, 2016 data.</w:t>
      </w:r>
      <w:r w:rsidR="005B6ADB" w:rsidRPr="001F2A5D">
        <w:rPr>
          <w:rFonts w:ascii="Times New Roman" w:hAnsi="Times New Roman"/>
          <w:szCs w:val="24"/>
        </w:rPr>
        <w:tab/>
      </w:r>
    </w:p>
    <w:p w:rsidR="005B6ADB" w:rsidRPr="001F2A5D" w:rsidRDefault="005B6ADB" w:rsidP="009938C8">
      <w:pPr>
        <w:ind w:firstLine="720"/>
        <w:outlineLvl w:val="0"/>
        <w:rPr>
          <w:rFonts w:ascii="Times New Roman" w:hAnsi="Times New Roman"/>
          <w:szCs w:val="24"/>
        </w:rPr>
      </w:pPr>
    </w:p>
    <w:p w:rsidR="005B6ADB" w:rsidRPr="001F2A5D" w:rsidRDefault="005B6ADB" w:rsidP="009938C8">
      <w:pPr>
        <w:ind w:left="720" w:hanging="720"/>
        <w:outlineLvl w:val="0"/>
        <w:rPr>
          <w:rFonts w:ascii="Times New Roman" w:hAnsi="Times New Roman"/>
          <w:szCs w:val="24"/>
        </w:rPr>
      </w:pPr>
      <w:r w:rsidRPr="001F2A5D">
        <w:rPr>
          <w:rFonts w:ascii="Times New Roman" w:hAnsi="Times New Roman"/>
          <w:szCs w:val="24"/>
        </w:rPr>
        <w:t>16.</w:t>
      </w:r>
      <w:r w:rsidRPr="001F2A5D">
        <w:rPr>
          <w:rFonts w:ascii="Times New Roman" w:hAnsi="Times New Roman"/>
          <w:szCs w:val="24"/>
        </w:rPr>
        <w:tab/>
      </w:r>
      <w:r w:rsidR="009E60FB" w:rsidRPr="00E47BDF">
        <w:rPr>
          <w:rFonts w:ascii="Times New Roman" w:hAnsi="Times New Roman"/>
          <w:szCs w:val="24"/>
          <w:u w:val="single"/>
        </w:rPr>
        <w:t>Information regarding collections whose results</w:t>
      </w:r>
      <w:r w:rsidR="009E60FB" w:rsidRPr="006A7DD6">
        <w:rPr>
          <w:rFonts w:ascii="Times New Roman" w:hAnsi="Times New Roman"/>
          <w:szCs w:val="24"/>
          <w:u w:val="single"/>
        </w:rPr>
        <w:t xml:space="preserve"> are planned to be published for statistical use:</w:t>
      </w:r>
    </w:p>
    <w:p w:rsidR="005B6ADB" w:rsidRPr="001F2A5D" w:rsidRDefault="005B6ADB" w:rsidP="005B6ADB">
      <w:pPr>
        <w:ind w:left="240"/>
        <w:rPr>
          <w:rFonts w:ascii="Times New Roman" w:hAnsi="Times New Roman"/>
          <w:szCs w:val="24"/>
        </w:rPr>
      </w:pPr>
    </w:p>
    <w:p w:rsidR="005B6ADB" w:rsidRPr="001F2A5D" w:rsidRDefault="009E60FB" w:rsidP="009938C8">
      <w:pPr>
        <w:outlineLvl w:val="0"/>
        <w:rPr>
          <w:rFonts w:ascii="Times New Roman" w:hAnsi="Times New Roman"/>
          <w:szCs w:val="24"/>
        </w:rPr>
      </w:pPr>
      <w:r w:rsidRPr="009E60FB">
        <w:rPr>
          <w:rFonts w:ascii="Times New Roman" w:hAnsi="Times New Roman"/>
          <w:szCs w:val="24"/>
        </w:rPr>
        <w:t>The results of this collection will not be published for statistical use.</w:t>
      </w:r>
    </w:p>
    <w:p w:rsidR="005B6ADB" w:rsidRPr="001F2A5D" w:rsidRDefault="005B6ADB" w:rsidP="005B6ADB">
      <w:pPr>
        <w:rPr>
          <w:rFonts w:ascii="Times New Roman" w:hAnsi="Times New Roman"/>
          <w:szCs w:val="24"/>
        </w:rPr>
      </w:pPr>
    </w:p>
    <w:p w:rsidR="005B6ADB" w:rsidRPr="001F2A5D" w:rsidRDefault="007611C9" w:rsidP="005B6ADB">
      <w:pPr>
        <w:outlineLvl w:val="0"/>
        <w:rPr>
          <w:rFonts w:ascii="Times New Roman" w:hAnsi="Times New Roman"/>
          <w:szCs w:val="24"/>
        </w:rPr>
      </w:pPr>
      <w:r>
        <w:rPr>
          <w:rFonts w:ascii="Times New Roman" w:hAnsi="Times New Roman"/>
          <w:szCs w:val="24"/>
        </w:rPr>
        <w:t>1</w:t>
      </w:r>
      <w:r w:rsidR="005B6ADB" w:rsidRPr="001F2A5D">
        <w:rPr>
          <w:rFonts w:ascii="Times New Roman" w:hAnsi="Times New Roman"/>
          <w:szCs w:val="24"/>
        </w:rPr>
        <w:t>7.</w:t>
      </w:r>
      <w:r w:rsidR="005B6ADB" w:rsidRPr="001F2A5D">
        <w:rPr>
          <w:rFonts w:ascii="Times New Roman" w:hAnsi="Times New Roman"/>
          <w:szCs w:val="24"/>
        </w:rPr>
        <w:tab/>
      </w:r>
      <w:r w:rsidR="009E60FB" w:rsidRPr="009E60FB">
        <w:rPr>
          <w:rFonts w:ascii="Times New Roman" w:hAnsi="Times New Roman"/>
          <w:szCs w:val="24"/>
          <w:u w:val="single"/>
        </w:rPr>
        <w:t>Display of expiration date</w:t>
      </w:r>
      <w:r>
        <w:rPr>
          <w:rFonts w:ascii="Times New Roman" w:hAnsi="Times New Roman"/>
          <w:szCs w:val="24"/>
          <w:u w:val="single"/>
        </w:rPr>
        <w:t>:</w:t>
      </w:r>
    </w:p>
    <w:p w:rsidR="005B6ADB" w:rsidRPr="001F2A5D" w:rsidRDefault="005B6ADB" w:rsidP="005B6ADB">
      <w:pPr>
        <w:rPr>
          <w:rFonts w:ascii="Times New Roman" w:hAnsi="Times New Roman"/>
          <w:szCs w:val="24"/>
        </w:rPr>
      </w:pPr>
    </w:p>
    <w:p w:rsidR="005B6ADB" w:rsidRPr="001F2A5D" w:rsidRDefault="00890D39" w:rsidP="009938C8">
      <w:pPr>
        <w:outlineLvl w:val="0"/>
        <w:rPr>
          <w:rFonts w:ascii="Times New Roman" w:hAnsi="Times New Roman"/>
          <w:szCs w:val="24"/>
        </w:rPr>
      </w:pPr>
      <w:r w:rsidRPr="001F2A5D">
        <w:rPr>
          <w:rFonts w:ascii="Times New Roman" w:hAnsi="Times New Roman"/>
          <w:szCs w:val="24"/>
        </w:rPr>
        <w:t xml:space="preserve">The OMB Control Number and </w:t>
      </w:r>
      <w:r w:rsidR="00B36B8D" w:rsidRPr="001F2A5D">
        <w:rPr>
          <w:rFonts w:ascii="Times New Roman" w:hAnsi="Times New Roman"/>
          <w:szCs w:val="24"/>
        </w:rPr>
        <w:t xml:space="preserve">expiration date for this collection of information </w:t>
      </w:r>
      <w:r w:rsidR="009E60FB">
        <w:rPr>
          <w:rFonts w:ascii="Times New Roman" w:hAnsi="Times New Roman"/>
          <w:szCs w:val="24"/>
        </w:rPr>
        <w:t>is</w:t>
      </w:r>
      <w:r w:rsidR="00B36B8D" w:rsidRPr="001F2A5D">
        <w:rPr>
          <w:rFonts w:ascii="Times New Roman" w:hAnsi="Times New Roman"/>
          <w:szCs w:val="24"/>
        </w:rPr>
        <w:t xml:space="preserve"> displayed </w:t>
      </w:r>
      <w:r w:rsidR="009E60FB">
        <w:rPr>
          <w:rFonts w:ascii="Times New Roman" w:hAnsi="Times New Roman"/>
          <w:szCs w:val="24"/>
        </w:rPr>
        <w:t>in</w:t>
      </w:r>
      <w:r w:rsidR="009E60FB" w:rsidRPr="001F2A5D">
        <w:rPr>
          <w:rFonts w:ascii="Times New Roman" w:hAnsi="Times New Roman"/>
          <w:szCs w:val="24"/>
        </w:rPr>
        <w:t xml:space="preserve"> </w:t>
      </w:r>
      <w:r w:rsidR="0026339B">
        <w:rPr>
          <w:rFonts w:ascii="Times New Roman" w:hAnsi="Times New Roman"/>
          <w:szCs w:val="24"/>
        </w:rPr>
        <w:t>the</w:t>
      </w:r>
      <w:r w:rsidR="009E60FB">
        <w:rPr>
          <w:rFonts w:ascii="Times New Roman" w:hAnsi="Times New Roman"/>
          <w:szCs w:val="24"/>
        </w:rPr>
        <w:t xml:space="preserve"> Noticed of Proposed </w:t>
      </w:r>
      <w:r w:rsidR="0026339B">
        <w:rPr>
          <w:rFonts w:ascii="Times New Roman" w:hAnsi="Times New Roman"/>
          <w:szCs w:val="24"/>
        </w:rPr>
        <w:t xml:space="preserve">Rulemaking </w:t>
      </w:r>
      <w:r w:rsidR="0026339B" w:rsidRPr="001F2A5D">
        <w:rPr>
          <w:rFonts w:ascii="Times New Roman" w:hAnsi="Times New Roman"/>
          <w:szCs w:val="24"/>
        </w:rPr>
        <w:t>published</w:t>
      </w:r>
      <w:r w:rsidR="00B36B8D" w:rsidRPr="001F2A5D">
        <w:rPr>
          <w:rFonts w:ascii="Times New Roman" w:hAnsi="Times New Roman"/>
          <w:szCs w:val="24"/>
        </w:rPr>
        <w:t xml:space="preserve"> in the </w:t>
      </w:r>
      <w:r w:rsidR="00B36B8D" w:rsidRPr="001F2A5D">
        <w:rPr>
          <w:rFonts w:ascii="Times New Roman" w:hAnsi="Times New Roman"/>
          <w:i/>
          <w:szCs w:val="24"/>
        </w:rPr>
        <w:t>Federal Register</w:t>
      </w:r>
      <w:r w:rsidR="005B6ADB" w:rsidRPr="001F2A5D">
        <w:rPr>
          <w:rFonts w:ascii="Times New Roman" w:hAnsi="Times New Roman"/>
          <w:szCs w:val="24"/>
        </w:rPr>
        <w:t>.</w:t>
      </w:r>
    </w:p>
    <w:p w:rsidR="005B6ADB" w:rsidRPr="001F2A5D" w:rsidRDefault="005B6ADB" w:rsidP="005B6ADB">
      <w:pPr>
        <w:rPr>
          <w:rFonts w:ascii="Times New Roman" w:hAnsi="Times New Roman"/>
          <w:szCs w:val="24"/>
        </w:rPr>
      </w:pPr>
    </w:p>
    <w:p w:rsidR="005B6ADB" w:rsidRPr="001F2A5D" w:rsidRDefault="005B6ADB" w:rsidP="005B6ADB">
      <w:pPr>
        <w:ind w:left="600" w:firstLine="840"/>
        <w:rPr>
          <w:rFonts w:ascii="Times New Roman" w:hAnsi="Times New Roman"/>
          <w:szCs w:val="24"/>
        </w:rPr>
      </w:pPr>
    </w:p>
    <w:p w:rsidR="005B6ADB" w:rsidRPr="001F2A5D" w:rsidRDefault="005B6ADB" w:rsidP="005B6ADB">
      <w:pPr>
        <w:rPr>
          <w:rFonts w:ascii="Times New Roman" w:hAnsi="Times New Roman"/>
          <w:szCs w:val="24"/>
        </w:rPr>
      </w:pPr>
      <w:r w:rsidRPr="001F2A5D">
        <w:rPr>
          <w:rFonts w:ascii="Times New Roman" w:hAnsi="Times New Roman"/>
          <w:szCs w:val="24"/>
        </w:rPr>
        <w:t>B.</w:t>
      </w:r>
      <w:r w:rsidRPr="001F2A5D">
        <w:rPr>
          <w:rFonts w:ascii="Times New Roman" w:hAnsi="Times New Roman"/>
          <w:szCs w:val="24"/>
        </w:rPr>
        <w:tab/>
      </w:r>
      <w:r w:rsidR="00BB14E4" w:rsidRPr="001F2A5D">
        <w:rPr>
          <w:rFonts w:ascii="Times New Roman" w:hAnsi="Times New Roman"/>
          <w:szCs w:val="24"/>
          <w:u w:val="single"/>
        </w:rPr>
        <w:t xml:space="preserve">Collection of Information Employing </w:t>
      </w:r>
      <w:r w:rsidRPr="001F2A5D">
        <w:rPr>
          <w:rFonts w:ascii="Times New Roman" w:hAnsi="Times New Roman"/>
          <w:szCs w:val="24"/>
          <w:u w:val="single"/>
        </w:rPr>
        <w:t>Statistical Methods</w:t>
      </w:r>
    </w:p>
    <w:p w:rsidR="005B6ADB" w:rsidRPr="001F2A5D" w:rsidRDefault="005B6ADB" w:rsidP="005B6ADB">
      <w:pPr>
        <w:rPr>
          <w:rFonts w:ascii="Times New Roman" w:hAnsi="Times New Roman"/>
          <w:szCs w:val="24"/>
        </w:rPr>
      </w:pPr>
    </w:p>
    <w:p w:rsidR="00BB14E4" w:rsidRPr="001F2A5D" w:rsidRDefault="00BB14E4" w:rsidP="005B6ADB">
      <w:pPr>
        <w:rPr>
          <w:rFonts w:ascii="Times New Roman" w:hAnsi="Times New Roman"/>
          <w:szCs w:val="24"/>
        </w:rPr>
      </w:pPr>
      <w:r w:rsidRPr="001F2A5D">
        <w:rPr>
          <w:rFonts w:ascii="Times New Roman" w:hAnsi="Times New Roman"/>
          <w:szCs w:val="24"/>
        </w:rPr>
        <w:t>Not applicable.</w:t>
      </w:r>
    </w:p>
    <w:p w:rsidR="004A290C" w:rsidRPr="001F2A5D" w:rsidRDefault="004A290C">
      <w:pPr>
        <w:rPr>
          <w:rFonts w:ascii="Times New Roman" w:hAnsi="Times New Roman"/>
          <w:szCs w:val="24"/>
        </w:rPr>
      </w:pPr>
    </w:p>
    <w:sectPr w:rsidR="004A290C" w:rsidRPr="001F2A5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E7F682" w15:done="0"/>
  <w15:commentEx w15:paraId="334A34ED" w15:done="0"/>
  <w15:commentEx w15:paraId="52CC230F" w15:done="0"/>
  <w15:commentEx w15:paraId="16C5C000" w15:done="0"/>
  <w15:commentEx w15:paraId="7F8433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8FE" w:rsidRDefault="00C528FE" w:rsidP="0043292B">
      <w:r>
        <w:separator/>
      </w:r>
    </w:p>
  </w:endnote>
  <w:endnote w:type="continuationSeparator" w:id="0">
    <w:p w:rsidR="00C528FE" w:rsidRDefault="00C528FE" w:rsidP="0043292B">
      <w:r>
        <w:continuationSeparator/>
      </w:r>
    </w:p>
  </w:endnote>
  <w:endnote w:type="continuationNotice" w:id="1">
    <w:p w:rsidR="00C528FE" w:rsidRDefault="00C52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70F" w:rsidRDefault="00C437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75688"/>
      <w:docPartObj>
        <w:docPartGallery w:val="Page Numbers (Bottom of Page)"/>
        <w:docPartUnique/>
      </w:docPartObj>
    </w:sdtPr>
    <w:sdtEndPr>
      <w:rPr>
        <w:rFonts w:ascii="Times New Roman" w:hAnsi="Times New Roman"/>
        <w:noProof/>
      </w:rPr>
    </w:sdtEndPr>
    <w:sdtContent>
      <w:p w:rsidR="0088486B" w:rsidRPr="0043292B" w:rsidRDefault="0088486B">
        <w:pPr>
          <w:pStyle w:val="Footer"/>
          <w:jc w:val="center"/>
          <w:rPr>
            <w:rFonts w:ascii="Times New Roman" w:hAnsi="Times New Roman"/>
          </w:rPr>
        </w:pPr>
        <w:r w:rsidRPr="0043292B">
          <w:rPr>
            <w:rFonts w:ascii="Times New Roman" w:hAnsi="Times New Roman"/>
          </w:rPr>
          <w:fldChar w:fldCharType="begin"/>
        </w:r>
        <w:r w:rsidRPr="0043292B">
          <w:rPr>
            <w:rFonts w:ascii="Times New Roman" w:hAnsi="Times New Roman"/>
          </w:rPr>
          <w:instrText xml:space="preserve"> PAGE   \* MERGEFORMAT </w:instrText>
        </w:r>
        <w:r w:rsidRPr="0043292B">
          <w:rPr>
            <w:rFonts w:ascii="Times New Roman" w:hAnsi="Times New Roman"/>
          </w:rPr>
          <w:fldChar w:fldCharType="separate"/>
        </w:r>
        <w:r w:rsidR="00852C70">
          <w:rPr>
            <w:rFonts w:ascii="Times New Roman" w:hAnsi="Times New Roman"/>
            <w:noProof/>
          </w:rPr>
          <w:t>1</w:t>
        </w:r>
        <w:r w:rsidRPr="0043292B">
          <w:rPr>
            <w:rFonts w:ascii="Times New Roman" w:hAnsi="Times New Roman"/>
            <w:noProof/>
          </w:rPr>
          <w:fldChar w:fldCharType="end"/>
        </w:r>
      </w:p>
    </w:sdtContent>
  </w:sdt>
  <w:p w:rsidR="0088486B" w:rsidRDefault="008848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70F" w:rsidRDefault="00C43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8FE" w:rsidRDefault="00C528FE" w:rsidP="0043292B">
      <w:r>
        <w:separator/>
      </w:r>
    </w:p>
  </w:footnote>
  <w:footnote w:type="continuationSeparator" w:id="0">
    <w:p w:rsidR="00C528FE" w:rsidRDefault="00C528FE" w:rsidP="0043292B">
      <w:r>
        <w:continuationSeparator/>
      </w:r>
    </w:p>
  </w:footnote>
  <w:footnote w:type="continuationNotice" w:id="1">
    <w:p w:rsidR="00C528FE" w:rsidRDefault="00C528FE"/>
  </w:footnote>
  <w:footnote w:id="2">
    <w:p w:rsidR="0088486B" w:rsidRDefault="0088486B" w:rsidP="007935C0">
      <w:pPr>
        <w:pStyle w:val="FootnoteText"/>
      </w:pPr>
      <w:r w:rsidRPr="009938C8">
        <w:rPr>
          <w:rStyle w:val="FootnoteReference"/>
          <w:vertAlign w:val="superscript"/>
        </w:rPr>
        <w:footnoteRef/>
      </w:r>
      <w:r>
        <w:rPr>
          <w:rFonts w:ascii="Times New Roman" w:hAnsi="Times New Roman"/>
          <w:szCs w:val="24"/>
        </w:rPr>
        <w:t xml:space="preserve"> 12 C.F.R. part 370 (“Part 370”).</w:t>
      </w:r>
    </w:p>
  </w:footnote>
  <w:footnote w:id="3">
    <w:p w:rsidR="0088486B" w:rsidRPr="00F11084" w:rsidRDefault="0088486B" w:rsidP="001F2A5D">
      <w:pPr>
        <w:pStyle w:val="FootnoteText"/>
        <w:rPr>
          <w:rFonts w:ascii="Times New Roman" w:hAnsi="Times New Roman"/>
        </w:rPr>
      </w:pPr>
      <w:r w:rsidRPr="009938C8">
        <w:rPr>
          <w:rStyle w:val="FootnoteReference"/>
          <w:vertAlign w:val="superscript"/>
        </w:rPr>
        <w:footnoteRef/>
      </w:r>
      <w:r w:rsidRPr="009938C8">
        <w:rPr>
          <w:rFonts w:ascii="Times New Roman" w:hAnsi="Times New Roman"/>
          <w:vertAlign w:val="superscript"/>
        </w:rPr>
        <w:t xml:space="preserve"> </w:t>
      </w:r>
      <w:r w:rsidRPr="00F11084">
        <w:rPr>
          <w:rFonts w:ascii="Times New Roman" w:hAnsi="Times New Roman"/>
        </w:rPr>
        <w:t>12 U.S.C. 1821(f)(1).</w:t>
      </w:r>
    </w:p>
  </w:footnote>
  <w:footnote w:id="4">
    <w:p w:rsidR="0088486B" w:rsidRPr="00F11084" w:rsidRDefault="0088486B" w:rsidP="001F2A5D">
      <w:pPr>
        <w:pStyle w:val="FootnoteText"/>
        <w:rPr>
          <w:rFonts w:ascii="Times New Roman" w:hAnsi="Times New Roman"/>
        </w:rPr>
      </w:pPr>
      <w:r w:rsidRPr="009938C8">
        <w:rPr>
          <w:rStyle w:val="FootnoteReference"/>
          <w:vertAlign w:val="superscript"/>
        </w:rPr>
        <w:footnoteRef/>
      </w:r>
      <w:r w:rsidRPr="00F11084">
        <w:rPr>
          <w:rFonts w:ascii="Times New Roman" w:hAnsi="Times New Roman"/>
        </w:rPr>
        <w:t xml:space="preserve"> 12 U.S.C. 1823(c)(4).</w:t>
      </w:r>
    </w:p>
  </w:footnote>
  <w:footnote w:id="5">
    <w:p w:rsidR="0088486B" w:rsidRPr="00F11084" w:rsidRDefault="0088486B" w:rsidP="001F2A5D">
      <w:pPr>
        <w:pStyle w:val="FootnoteText"/>
        <w:rPr>
          <w:rFonts w:ascii="Times New Roman" w:hAnsi="Times New Roman"/>
        </w:rPr>
      </w:pPr>
      <w:r w:rsidRPr="009938C8">
        <w:rPr>
          <w:rStyle w:val="FootnoteReference"/>
          <w:vertAlign w:val="superscript"/>
        </w:rPr>
        <w:footnoteRef/>
      </w:r>
      <w:r w:rsidRPr="009938C8">
        <w:rPr>
          <w:rStyle w:val="FootnoteReference"/>
          <w:vertAlign w:val="superscript"/>
        </w:rPr>
        <w:t xml:space="preserve"> </w:t>
      </w:r>
      <w:r w:rsidRPr="00F11084">
        <w:rPr>
          <w:rFonts w:ascii="Times New Roman" w:hAnsi="Times New Roman"/>
        </w:rPr>
        <w:t>12 U.S.C. 1821(a)(1)(C), 12 U.S.C. 1821(a)(1)(E).</w:t>
      </w:r>
    </w:p>
  </w:footnote>
  <w:footnote w:id="6">
    <w:p w:rsidR="0088486B" w:rsidRPr="00F11084" w:rsidRDefault="0088486B" w:rsidP="001F2A5D">
      <w:pPr>
        <w:pStyle w:val="FootnoteText"/>
        <w:rPr>
          <w:rFonts w:ascii="Times New Roman" w:hAnsi="Times New Roman"/>
        </w:rPr>
      </w:pPr>
      <w:r w:rsidRPr="009938C8">
        <w:rPr>
          <w:rStyle w:val="FootnoteReference"/>
          <w:vertAlign w:val="superscript"/>
        </w:rPr>
        <w:footnoteRef/>
      </w:r>
      <w:r w:rsidRPr="00F11084">
        <w:rPr>
          <w:rFonts w:ascii="Times New Roman" w:hAnsi="Times New Roman"/>
        </w:rPr>
        <w:t xml:space="preserve"> 12 U.S.C. 1822(c); 12 CFR 330.5.</w:t>
      </w:r>
    </w:p>
  </w:footnote>
  <w:footnote w:id="7">
    <w:p w:rsidR="0088486B" w:rsidRPr="00F11084" w:rsidRDefault="0088486B" w:rsidP="001F2A5D">
      <w:pPr>
        <w:pStyle w:val="FootnoteText"/>
        <w:rPr>
          <w:rFonts w:ascii="Times New Roman" w:hAnsi="Times New Roman"/>
        </w:rPr>
      </w:pPr>
      <w:r w:rsidRPr="009938C8">
        <w:rPr>
          <w:rStyle w:val="FootnoteReference"/>
          <w:vertAlign w:val="superscript"/>
        </w:rPr>
        <w:footnoteRef/>
      </w:r>
      <w:r w:rsidRPr="00F11084">
        <w:rPr>
          <w:rFonts w:ascii="Times New Roman" w:hAnsi="Times New Roman"/>
        </w:rPr>
        <w:t xml:space="preserve"> 12 U.S.C. 1817(a)(9).  </w:t>
      </w:r>
    </w:p>
  </w:footnote>
  <w:footnote w:id="8">
    <w:p w:rsidR="0088486B" w:rsidRPr="00551F40" w:rsidRDefault="0088486B" w:rsidP="00B87BBB">
      <w:pPr>
        <w:pStyle w:val="FootnoteText"/>
      </w:pPr>
      <w:r w:rsidRPr="009938C8">
        <w:rPr>
          <w:rStyle w:val="FootnoteReference"/>
          <w:vertAlign w:val="superscript"/>
        </w:rPr>
        <w:footnoteRef/>
      </w:r>
      <w:r w:rsidRPr="00551F40">
        <w:t xml:space="preserve"> </w:t>
      </w:r>
      <w:r w:rsidRPr="009938C8">
        <w:rPr>
          <w:rFonts w:ascii="Times New Roman" w:hAnsi="Times New Roman"/>
        </w:rPr>
        <w:t>The FDIC analyzed the dollar volume of retirement, mortgage servicing, and trust accounts as reported on the December 31, 2018 Call Reports for covered institutions</w:t>
      </w:r>
      <w:r w:rsidRPr="00551F40">
        <w:t xml:space="preserve">. </w:t>
      </w:r>
    </w:p>
  </w:footnote>
  <w:footnote w:id="9">
    <w:p w:rsidR="0088486B" w:rsidRPr="00C94F5E" w:rsidRDefault="0088486B" w:rsidP="00B87BBB">
      <w:pPr>
        <w:pStyle w:val="FootnoteText"/>
      </w:pPr>
      <w:r w:rsidRPr="009938C8">
        <w:rPr>
          <w:rStyle w:val="FootnoteReference"/>
          <w:vertAlign w:val="superscript"/>
        </w:rPr>
        <w:footnoteRef/>
      </w:r>
      <w:r w:rsidRPr="00C94F5E">
        <w:t xml:space="preserve"> </w:t>
      </w:r>
      <w:r w:rsidRPr="009938C8">
        <w:rPr>
          <w:rFonts w:ascii="Times New Roman" w:hAnsi="Times New Roman"/>
        </w:rPr>
        <w:t>See 81 FR 87734 (December 5, 2016) for further discussion of the cost estimation model.</w:t>
      </w:r>
    </w:p>
  </w:footnote>
  <w:footnote w:id="10">
    <w:p w:rsidR="0088486B" w:rsidRPr="00551F40" w:rsidRDefault="0088486B" w:rsidP="00B87BBB">
      <w:pPr>
        <w:pStyle w:val="FootnoteText"/>
      </w:pPr>
      <w:r w:rsidRPr="009938C8">
        <w:rPr>
          <w:rStyle w:val="FootnoteReference"/>
          <w:vertAlign w:val="superscript"/>
        </w:rPr>
        <w:footnoteRef/>
      </w:r>
      <w:r w:rsidRPr="00551F40">
        <w:t xml:space="preserve"> </w:t>
      </w:r>
      <w:r w:rsidRPr="009938C8">
        <w:rPr>
          <w:rFonts w:ascii="Times New Roman" w:hAnsi="Times New Roman"/>
        </w:rPr>
        <w:t>Implementation costs and hours are spread over a three-year period.</w:t>
      </w:r>
    </w:p>
  </w:footnote>
  <w:footnote w:id="11">
    <w:p w:rsidR="0088486B" w:rsidRPr="00551F40" w:rsidRDefault="0088486B" w:rsidP="00B87BBB">
      <w:pPr>
        <w:autoSpaceDE w:val="0"/>
        <w:autoSpaceDN w:val="0"/>
        <w:adjustRightInd w:val="0"/>
        <w:spacing w:after="120"/>
        <w:rPr>
          <w:rFonts w:ascii="Times New Roman" w:hAnsi="Times New Roman"/>
          <w:sz w:val="20"/>
        </w:rPr>
      </w:pPr>
      <w:r w:rsidRPr="009938C8">
        <w:rPr>
          <w:rStyle w:val="FootnoteReference"/>
          <w:sz w:val="20"/>
          <w:vertAlign w:val="superscript"/>
        </w:rPr>
        <w:footnoteRef/>
      </w:r>
      <w:r w:rsidRPr="009938C8">
        <w:rPr>
          <w:rStyle w:val="FootnoteReference"/>
          <w:vertAlign w:val="superscript"/>
        </w:rPr>
        <w:t xml:space="preserve"> </w:t>
      </w:r>
      <w:r w:rsidRPr="00551F40">
        <w:rPr>
          <w:rFonts w:ascii="Times New Roman" w:hAnsi="Times New Roman"/>
          <w:sz w:val="20"/>
        </w:rPr>
        <w:t>None of the respondents required to comply with the rule are small entities as defined by the Small Business Administration (i.e., entities with less than $550 million in total assets).</w:t>
      </w:r>
    </w:p>
  </w:footnote>
  <w:footnote w:id="12">
    <w:p w:rsidR="0088486B" w:rsidRPr="009938C8" w:rsidRDefault="0088486B" w:rsidP="00B87BBB">
      <w:pPr>
        <w:pStyle w:val="FootnoteText"/>
        <w:rPr>
          <w:rFonts w:ascii="Times New Roman" w:hAnsi="Times New Roman"/>
        </w:rPr>
      </w:pPr>
      <w:r w:rsidRPr="009938C8">
        <w:rPr>
          <w:rStyle w:val="FootnoteReference"/>
          <w:vertAlign w:val="superscript"/>
        </w:rPr>
        <w:footnoteRef/>
      </w:r>
      <w:r w:rsidRPr="00551F40">
        <w:rPr>
          <w:rStyle w:val="FootnoteReference"/>
        </w:rPr>
        <w:t xml:space="preserve"> </w:t>
      </w:r>
      <w:r w:rsidRPr="009938C8">
        <w:rPr>
          <w:rFonts w:ascii="Times New Roman" w:hAnsi="Times New Roman"/>
        </w:rPr>
        <w:t>Weighted average rounded to the nearest hour. For PRA purposes, covered institutions are presented in roughly equal-sized low, medium and high complexity tranches ranked by their PRA implementation hours.</w:t>
      </w:r>
    </w:p>
  </w:footnote>
  <w:footnote w:id="13">
    <w:p w:rsidR="0088486B" w:rsidRPr="009938C8" w:rsidRDefault="0088486B" w:rsidP="00B87BBB">
      <w:pPr>
        <w:pStyle w:val="FootnoteText"/>
        <w:rPr>
          <w:rFonts w:ascii="Times New Roman" w:hAnsi="Times New Roman"/>
        </w:rPr>
      </w:pPr>
      <w:r w:rsidRPr="009938C8">
        <w:rPr>
          <w:rStyle w:val="FootnoteReference"/>
          <w:vertAlign w:val="superscript"/>
        </w:rPr>
        <w:footnoteRef/>
      </w:r>
      <w:r w:rsidRPr="009938C8">
        <w:t xml:space="preserve"> </w:t>
      </w:r>
      <w:r w:rsidRPr="009938C8">
        <w:rPr>
          <w:rFonts w:ascii="Times New Roman" w:hAnsi="Times New Roman"/>
        </w:rPr>
        <w:t>This section incorporates changes to the baseline estimate of rule burden based on changes in the number of covered institutions as well as changes to the data inputs for the burden model. The 2016 Final Rule estimated 38 banks would be covered. As of April 1, 2017, the effective date of the rule, only 32 banks were covered by the rule. Four additional banks became covered by the rule in later quarters for a total of 36 covered banks. This section uses bank-level data from December 31, 2018, updating the original burden estimate based on December 31, 2016 data.</w:t>
      </w:r>
    </w:p>
  </w:footnote>
  <w:footnote w:id="14">
    <w:p w:rsidR="0088486B" w:rsidRPr="009938C8" w:rsidRDefault="0088486B" w:rsidP="00B87BBB">
      <w:pPr>
        <w:pStyle w:val="FootnoteText"/>
        <w:rPr>
          <w:rFonts w:ascii="Times New Roman" w:hAnsi="Times New Roman"/>
        </w:rPr>
      </w:pPr>
      <w:r w:rsidRPr="009938C8">
        <w:rPr>
          <w:rStyle w:val="FootnoteReference"/>
          <w:vertAlign w:val="superscript"/>
        </w:rPr>
        <w:footnoteRef/>
      </w:r>
      <w:r w:rsidRPr="00551F40">
        <w:t xml:space="preserve"> </w:t>
      </w:r>
      <w:r w:rsidRPr="009938C8">
        <w:rPr>
          <w:rFonts w:ascii="Times New Roman" w:hAnsi="Times New Roman"/>
        </w:rPr>
        <w:t>The proposed rule allows for banks to request exemptions from rule requirements or extensions of time to comply. The FDIC cannot estimate how many banks will request such exemptions or extensions</w:t>
      </w:r>
      <w:r w:rsidR="006A7DD6">
        <w:rPr>
          <w:rFonts w:ascii="Times New Roman" w:hAnsi="Times New Roman"/>
        </w:rPr>
        <w:t xml:space="preserve"> but estimates that any such requests would be made during the implementation phase.</w:t>
      </w:r>
    </w:p>
  </w:footnote>
  <w:footnote w:id="15">
    <w:p w:rsidR="0088486B" w:rsidRPr="009938C8" w:rsidRDefault="0088486B" w:rsidP="00B87BBB">
      <w:pPr>
        <w:pStyle w:val="FootnoteText"/>
        <w:rPr>
          <w:rFonts w:ascii="Times New Roman" w:hAnsi="Times New Roman"/>
        </w:rPr>
      </w:pPr>
      <w:r w:rsidRPr="009938C8">
        <w:rPr>
          <w:rStyle w:val="FootnoteReference"/>
          <w:vertAlign w:val="superscript"/>
        </w:rPr>
        <w:footnoteRef/>
      </w:r>
      <w:r w:rsidRPr="009938C8">
        <w:rPr>
          <w:rStyle w:val="FootnoteReference"/>
          <w:vertAlign w:val="superscript"/>
        </w:rPr>
        <w:t xml:space="preserve"> </w:t>
      </w:r>
      <w:r w:rsidRPr="009938C8">
        <w:rPr>
          <w:rFonts w:ascii="Times New Roman" w:hAnsi="Times New Roman"/>
        </w:rPr>
        <w:t>Implementation costs and hours are spread over a three-year period.</w:t>
      </w:r>
    </w:p>
  </w:footnote>
  <w:footnote w:id="16">
    <w:p w:rsidR="0088486B" w:rsidRPr="009938C8" w:rsidRDefault="0088486B" w:rsidP="00B87BBB">
      <w:pPr>
        <w:pStyle w:val="FootnoteText"/>
        <w:rPr>
          <w:rFonts w:ascii="Times New Roman" w:hAnsi="Times New Roman"/>
        </w:rPr>
      </w:pPr>
      <w:r w:rsidRPr="009938C8">
        <w:rPr>
          <w:rStyle w:val="FootnoteReference"/>
          <w:vertAlign w:val="superscript"/>
        </w:rPr>
        <w:footnoteRef/>
      </w:r>
      <w:r w:rsidRPr="00551F40">
        <w:t xml:space="preserve"> </w:t>
      </w:r>
      <w:r w:rsidRPr="009938C8">
        <w:rPr>
          <w:rFonts w:ascii="Times New Roman" w:hAnsi="Times New Roman"/>
        </w:rPr>
        <w:t>For PRA purposes, covered institutions are presented in roughly equal-sized low, medium and high complexity tranches ranked by their PRA implementation hours.</w:t>
      </w:r>
    </w:p>
  </w:footnote>
  <w:footnote w:id="17">
    <w:p w:rsidR="006A7DD6" w:rsidRPr="00551F40" w:rsidRDefault="006A7DD6" w:rsidP="006A7DD6">
      <w:pPr>
        <w:pStyle w:val="FootnoteText"/>
      </w:pPr>
      <w:r w:rsidRPr="00941F09">
        <w:rPr>
          <w:rStyle w:val="FootnoteReference"/>
          <w:vertAlign w:val="superscript"/>
        </w:rPr>
        <w:footnoteRef/>
      </w:r>
      <w:r w:rsidRPr="00551F40">
        <w:t xml:space="preserve"> </w:t>
      </w:r>
      <w:r w:rsidRPr="00941F09">
        <w:rPr>
          <w:rFonts w:ascii="Times New Roman" w:hAnsi="Times New Roman"/>
        </w:rPr>
        <w:t>The FDIC analyzed the dollar volume of retirement, mortgage servicing, and trust accounts as reported on the December 31, 2018 Call Reports for covered institutions</w:t>
      </w:r>
      <w:r w:rsidRPr="00551F4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70F" w:rsidRDefault="00C437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6B" w:rsidRPr="000C08D1" w:rsidRDefault="0088486B" w:rsidP="000C08D1">
    <w:pPr>
      <w:pStyle w:val="Header"/>
      <w:jc w:val="center"/>
      <w:rPr>
        <w:b/>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70F" w:rsidRDefault="00C437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071B"/>
    <w:multiLevelType w:val="hybridMultilevel"/>
    <w:tmpl w:val="CF84B4D4"/>
    <w:lvl w:ilvl="0" w:tplc="04090013">
      <w:start w:val="1"/>
      <w:numFmt w:val="upperRoman"/>
      <w:lvlText w:val="%1."/>
      <w:lvlJc w:val="right"/>
      <w:pPr>
        <w:ind w:left="720" w:hanging="360"/>
      </w:pPr>
    </w:lvl>
    <w:lvl w:ilvl="1" w:tplc="AF64354C">
      <w:start w:val="1"/>
      <w:numFmt w:val="upperLetter"/>
      <w:lvlText w:val="%2."/>
      <w:lvlJc w:val="left"/>
      <w:pPr>
        <w:ind w:left="1440" w:hanging="360"/>
      </w:pPr>
      <w:rPr>
        <w:i/>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B7E0B"/>
    <w:multiLevelType w:val="hybridMultilevel"/>
    <w:tmpl w:val="7B04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E9475A"/>
    <w:multiLevelType w:val="hybridMultilevel"/>
    <w:tmpl w:val="1BB2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1F1D0E"/>
    <w:multiLevelType w:val="hybridMultilevel"/>
    <w:tmpl w:val="C302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115C43"/>
    <w:multiLevelType w:val="hybridMultilevel"/>
    <w:tmpl w:val="7852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DB"/>
    <w:rsid w:val="0001233C"/>
    <w:rsid w:val="00014D30"/>
    <w:rsid w:val="00016ADD"/>
    <w:rsid w:val="00072165"/>
    <w:rsid w:val="000C08D1"/>
    <w:rsid w:val="000C4C4C"/>
    <w:rsid w:val="000E3D3B"/>
    <w:rsid w:val="000E7130"/>
    <w:rsid w:val="00113F5B"/>
    <w:rsid w:val="00123DE3"/>
    <w:rsid w:val="00124A29"/>
    <w:rsid w:val="0013561C"/>
    <w:rsid w:val="00140BE0"/>
    <w:rsid w:val="00156EE3"/>
    <w:rsid w:val="00160B86"/>
    <w:rsid w:val="0016381D"/>
    <w:rsid w:val="00163A46"/>
    <w:rsid w:val="00175B53"/>
    <w:rsid w:val="001A3ACE"/>
    <w:rsid w:val="001A7FA5"/>
    <w:rsid w:val="001C5243"/>
    <w:rsid w:val="001C74C8"/>
    <w:rsid w:val="001D4BF9"/>
    <w:rsid w:val="001D6D22"/>
    <w:rsid w:val="001E5D60"/>
    <w:rsid w:val="001F2A5D"/>
    <w:rsid w:val="00204A6C"/>
    <w:rsid w:val="00243127"/>
    <w:rsid w:val="002432B2"/>
    <w:rsid w:val="00243FB8"/>
    <w:rsid w:val="0026339B"/>
    <w:rsid w:val="00264A3B"/>
    <w:rsid w:val="0027282C"/>
    <w:rsid w:val="0027402E"/>
    <w:rsid w:val="002818B0"/>
    <w:rsid w:val="00282096"/>
    <w:rsid w:val="00295983"/>
    <w:rsid w:val="002C257F"/>
    <w:rsid w:val="002D369B"/>
    <w:rsid w:val="002F7E1D"/>
    <w:rsid w:val="00314396"/>
    <w:rsid w:val="00331638"/>
    <w:rsid w:val="0034279B"/>
    <w:rsid w:val="00351584"/>
    <w:rsid w:val="00372255"/>
    <w:rsid w:val="003824F6"/>
    <w:rsid w:val="003852A3"/>
    <w:rsid w:val="0038582D"/>
    <w:rsid w:val="00387E2C"/>
    <w:rsid w:val="003B0728"/>
    <w:rsid w:val="003B3BF5"/>
    <w:rsid w:val="003B5D98"/>
    <w:rsid w:val="003D78ED"/>
    <w:rsid w:val="004061A7"/>
    <w:rsid w:val="00430992"/>
    <w:rsid w:val="0043292B"/>
    <w:rsid w:val="00453D9F"/>
    <w:rsid w:val="0046039D"/>
    <w:rsid w:val="004748AB"/>
    <w:rsid w:val="00476C13"/>
    <w:rsid w:val="00485697"/>
    <w:rsid w:val="004977B6"/>
    <w:rsid w:val="004A290C"/>
    <w:rsid w:val="004B7EC8"/>
    <w:rsid w:val="004C7A92"/>
    <w:rsid w:val="004E4DD4"/>
    <w:rsid w:val="004F0C61"/>
    <w:rsid w:val="0053701C"/>
    <w:rsid w:val="005454FB"/>
    <w:rsid w:val="00545FFC"/>
    <w:rsid w:val="00555452"/>
    <w:rsid w:val="005739F4"/>
    <w:rsid w:val="00580133"/>
    <w:rsid w:val="005A117B"/>
    <w:rsid w:val="005A3718"/>
    <w:rsid w:val="005A620B"/>
    <w:rsid w:val="005A74B3"/>
    <w:rsid w:val="005B6ADB"/>
    <w:rsid w:val="005C2F8B"/>
    <w:rsid w:val="005D65C7"/>
    <w:rsid w:val="005E6DF2"/>
    <w:rsid w:val="00640494"/>
    <w:rsid w:val="00650392"/>
    <w:rsid w:val="00657208"/>
    <w:rsid w:val="006803E7"/>
    <w:rsid w:val="006A7DD6"/>
    <w:rsid w:val="006B6DAA"/>
    <w:rsid w:val="006F1722"/>
    <w:rsid w:val="00710E54"/>
    <w:rsid w:val="00731AEF"/>
    <w:rsid w:val="00731EC1"/>
    <w:rsid w:val="00745A89"/>
    <w:rsid w:val="007611C9"/>
    <w:rsid w:val="00780FEA"/>
    <w:rsid w:val="007935C0"/>
    <w:rsid w:val="00797FCC"/>
    <w:rsid w:val="007B719B"/>
    <w:rsid w:val="007E6056"/>
    <w:rsid w:val="00801FF2"/>
    <w:rsid w:val="008313A7"/>
    <w:rsid w:val="008345E9"/>
    <w:rsid w:val="00846FAE"/>
    <w:rsid w:val="00852C70"/>
    <w:rsid w:val="00862321"/>
    <w:rsid w:val="0088486B"/>
    <w:rsid w:val="008873E8"/>
    <w:rsid w:val="00890D39"/>
    <w:rsid w:val="008C29DB"/>
    <w:rsid w:val="008D51BB"/>
    <w:rsid w:val="008E7508"/>
    <w:rsid w:val="008F437E"/>
    <w:rsid w:val="008F6E17"/>
    <w:rsid w:val="00952AFF"/>
    <w:rsid w:val="0099214F"/>
    <w:rsid w:val="009932B7"/>
    <w:rsid w:val="009938C8"/>
    <w:rsid w:val="009B5E84"/>
    <w:rsid w:val="009E60FB"/>
    <w:rsid w:val="009F14EB"/>
    <w:rsid w:val="00A07788"/>
    <w:rsid w:val="00A148B1"/>
    <w:rsid w:val="00A23009"/>
    <w:rsid w:val="00A3239E"/>
    <w:rsid w:val="00A51807"/>
    <w:rsid w:val="00A61881"/>
    <w:rsid w:val="00A92898"/>
    <w:rsid w:val="00AD4D7F"/>
    <w:rsid w:val="00AE4822"/>
    <w:rsid w:val="00AF1152"/>
    <w:rsid w:val="00AF7363"/>
    <w:rsid w:val="00AF7FF0"/>
    <w:rsid w:val="00B36B8D"/>
    <w:rsid w:val="00B41388"/>
    <w:rsid w:val="00B4595D"/>
    <w:rsid w:val="00B5544B"/>
    <w:rsid w:val="00B662BE"/>
    <w:rsid w:val="00B87BBB"/>
    <w:rsid w:val="00BA1B40"/>
    <w:rsid w:val="00BB14E4"/>
    <w:rsid w:val="00BB2BDF"/>
    <w:rsid w:val="00BB2C95"/>
    <w:rsid w:val="00BC0B58"/>
    <w:rsid w:val="00BD3B51"/>
    <w:rsid w:val="00BE16DB"/>
    <w:rsid w:val="00BF2183"/>
    <w:rsid w:val="00C00193"/>
    <w:rsid w:val="00C10D2A"/>
    <w:rsid w:val="00C26713"/>
    <w:rsid w:val="00C33139"/>
    <w:rsid w:val="00C4370F"/>
    <w:rsid w:val="00C521DA"/>
    <w:rsid w:val="00C525DA"/>
    <w:rsid w:val="00C528FE"/>
    <w:rsid w:val="00C5500B"/>
    <w:rsid w:val="00C71B42"/>
    <w:rsid w:val="00C742CA"/>
    <w:rsid w:val="00C87859"/>
    <w:rsid w:val="00C91012"/>
    <w:rsid w:val="00CB02E4"/>
    <w:rsid w:val="00CC6AF6"/>
    <w:rsid w:val="00D015F1"/>
    <w:rsid w:val="00D034B3"/>
    <w:rsid w:val="00D03CBC"/>
    <w:rsid w:val="00D4499E"/>
    <w:rsid w:val="00D718A7"/>
    <w:rsid w:val="00D71FFA"/>
    <w:rsid w:val="00D84E83"/>
    <w:rsid w:val="00DA6652"/>
    <w:rsid w:val="00DA7624"/>
    <w:rsid w:val="00DB04E0"/>
    <w:rsid w:val="00DB770C"/>
    <w:rsid w:val="00DC4AAE"/>
    <w:rsid w:val="00DE6EF6"/>
    <w:rsid w:val="00DE788C"/>
    <w:rsid w:val="00E0062A"/>
    <w:rsid w:val="00E032E5"/>
    <w:rsid w:val="00E12441"/>
    <w:rsid w:val="00E47A76"/>
    <w:rsid w:val="00E47BDF"/>
    <w:rsid w:val="00E63A29"/>
    <w:rsid w:val="00E74F73"/>
    <w:rsid w:val="00E96FB5"/>
    <w:rsid w:val="00EB2629"/>
    <w:rsid w:val="00EB35A7"/>
    <w:rsid w:val="00EC21C7"/>
    <w:rsid w:val="00EC3773"/>
    <w:rsid w:val="00EC61DE"/>
    <w:rsid w:val="00ED2862"/>
    <w:rsid w:val="00EF4BAD"/>
    <w:rsid w:val="00EF5392"/>
    <w:rsid w:val="00F24268"/>
    <w:rsid w:val="00F30061"/>
    <w:rsid w:val="00F501F9"/>
    <w:rsid w:val="00F64E83"/>
    <w:rsid w:val="00F7382F"/>
    <w:rsid w:val="00F91BEA"/>
    <w:rsid w:val="00FB45D5"/>
    <w:rsid w:val="00FC335E"/>
    <w:rsid w:val="00FD3DE6"/>
    <w:rsid w:val="00FE2F13"/>
    <w:rsid w:val="00FE5A21"/>
    <w:rsid w:val="00FF0945"/>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DB"/>
    <w:pPr>
      <w:widowControl w:val="0"/>
    </w:pPr>
    <w:rPr>
      <w:rFonts w:ascii="Courier" w:eastAsia="Times New Roman" w:hAnsi="Courie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6ADB"/>
    <w:pPr>
      <w:ind w:left="720"/>
    </w:pPr>
    <w:rPr>
      <w:rFonts w:ascii="Times New Roman" w:hAnsi="Times New Roman"/>
    </w:rPr>
  </w:style>
  <w:style w:type="character" w:customStyle="1" w:styleId="BodyTextIndentChar">
    <w:name w:val="Body Text Indent Char"/>
    <w:basedOn w:val="DefaultParagraphFont"/>
    <w:link w:val="BodyTextIndent"/>
    <w:rsid w:val="005B6ADB"/>
    <w:rPr>
      <w:rFonts w:eastAsia="Times New Roman"/>
      <w:snapToGrid w:val="0"/>
      <w:szCs w:val="20"/>
    </w:rPr>
  </w:style>
  <w:style w:type="paragraph" w:styleId="Header">
    <w:name w:val="header"/>
    <w:basedOn w:val="Normal"/>
    <w:link w:val="HeaderChar"/>
    <w:uiPriority w:val="99"/>
    <w:unhideWhenUsed/>
    <w:rsid w:val="0043292B"/>
    <w:pPr>
      <w:tabs>
        <w:tab w:val="center" w:pos="4680"/>
        <w:tab w:val="right" w:pos="9360"/>
      </w:tabs>
    </w:pPr>
  </w:style>
  <w:style w:type="character" w:customStyle="1" w:styleId="HeaderChar">
    <w:name w:val="Header Char"/>
    <w:basedOn w:val="DefaultParagraphFont"/>
    <w:link w:val="Header"/>
    <w:uiPriority w:val="99"/>
    <w:rsid w:val="0043292B"/>
    <w:rPr>
      <w:rFonts w:ascii="Courier" w:eastAsia="Times New Roman" w:hAnsi="Courier"/>
      <w:snapToGrid w:val="0"/>
      <w:szCs w:val="20"/>
    </w:rPr>
  </w:style>
  <w:style w:type="paragraph" w:styleId="Footer">
    <w:name w:val="footer"/>
    <w:basedOn w:val="Normal"/>
    <w:link w:val="FooterChar"/>
    <w:uiPriority w:val="99"/>
    <w:unhideWhenUsed/>
    <w:rsid w:val="0043292B"/>
    <w:pPr>
      <w:tabs>
        <w:tab w:val="center" w:pos="4680"/>
        <w:tab w:val="right" w:pos="9360"/>
      </w:tabs>
    </w:pPr>
  </w:style>
  <w:style w:type="character" w:customStyle="1" w:styleId="FooterChar">
    <w:name w:val="Footer Char"/>
    <w:basedOn w:val="DefaultParagraphFont"/>
    <w:link w:val="Footer"/>
    <w:uiPriority w:val="99"/>
    <w:rsid w:val="0043292B"/>
    <w:rPr>
      <w:rFonts w:ascii="Courier" w:eastAsia="Times New Roman" w:hAnsi="Courier"/>
      <w:snapToGrid w:val="0"/>
      <w:szCs w:val="20"/>
    </w:rPr>
  </w:style>
  <w:style w:type="character" w:styleId="CommentReference">
    <w:name w:val="annotation reference"/>
    <w:basedOn w:val="DefaultParagraphFont"/>
    <w:uiPriority w:val="99"/>
    <w:semiHidden/>
    <w:unhideWhenUsed/>
    <w:rsid w:val="00430992"/>
    <w:rPr>
      <w:sz w:val="16"/>
      <w:szCs w:val="16"/>
    </w:rPr>
  </w:style>
  <w:style w:type="paragraph" w:styleId="CommentText">
    <w:name w:val="annotation text"/>
    <w:basedOn w:val="Normal"/>
    <w:link w:val="CommentTextChar"/>
    <w:uiPriority w:val="99"/>
    <w:semiHidden/>
    <w:unhideWhenUsed/>
    <w:rsid w:val="00430992"/>
    <w:rPr>
      <w:sz w:val="20"/>
    </w:rPr>
  </w:style>
  <w:style w:type="character" w:customStyle="1" w:styleId="CommentTextChar">
    <w:name w:val="Comment Text Char"/>
    <w:basedOn w:val="DefaultParagraphFont"/>
    <w:link w:val="CommentText"/>
    <w:uiPriority w:val="99"/>
    <w:semiHidden/>
    <w:rsid w:val="00430992"/>
    <w:rPr>
      <w:rFonts w:ascii="Courier" w:eastAsia="Times New Roman" w:hAnsi="Courier"/>
      <w:snapToGrid w:val="0"/>
      <w:sz w:val="20"/>
      <w:szCs w:val="20"/>
    </w:rPr>
  </w:style>
  <w:style w:type="paragraph" w:styleId="CommentSubject">
    <w:name w:val="annotation subject"/>
    <w:basedOn w:val="CommentText"/>
    <w:next w:val="CommentText"/>
    <w:link w:val="CommentSubjectChar"/>
    <w:uiPriority w:val="99"/>
    <w:semiHidden/>
    <w:unhideWhenUsed/>
    <w:rsid w:val="00430992"/>
    <w:rPr>
      <w:b/>
      <w:bCs/>
    </w:rPr>
  </w:style>
  <w:style w:type="character" w:customStyle="1" w:styleId="CommentSubjectChar">
    <w:name w:val="Comment Subject Char"/>
    <w:basedOn w:val="CommentTextChar"/>
    <w:link w:val="CommentSubject"/>
    <w:uiPriority w:val="99"/>
    <w:semiHidden/>
    <w:rsid w:val="00430992"/>
    <w:rPr>
      <w:rFonts w:ascii="Courier" w:eastAsia="Times New Roman" w:hAnsi="Courier"/>
      <w:b/>
      <w:bCs/>
      <w:snapToGrid w:val="0"/>
      <w:sz w:val="20"/>
      <w:szCs w:val="20"/>
    </w:rPr>
  </w:style>
  <w:style w:type="paragraph" w:styleId="BalloonText">
    <w:name w:val="Balloon Text"/>
    <w:basedOn w:val="Normal"/>
    <w:link w:val="BalloonTextChar"/>
    <w:uiPriority w:val="99"/>
    <w:semiHidden/>
    <w:unhideWhenUsed/>
    <w:rsid w:val="00430992"/>
    <w:rPr>
      <w:rFonts w:ascii="Tahoma" w:hAnsi="Tahoma" w:cs="Tahoma"/>
      <w:sz w:val="16"/>
      <w:szCs w:val="16"/>
    </w:rPr>
  </w:style>
  <w:style w:type="character" w:customStyle="1" w:styleId="BalloonTextChar">
    <w:name w:val="Balloon Text Char"/>
    <w:basedOn w:val="DefaultParagraphFont"/>
    <w:link w:val="BalloonText"/>
    <w:uiPriority w:val="99"/>
    <w:semiHidden/>
    <w:rsid w:val="00430992"/>
    <w:rPr>
      <w:rFonts w:ascii="Tahoma" w:eastAsia="Times New Roman" w:hAnsi="Tahoma" w:cs="Tahoma"/>
      <w:snapToGrid w:val="0"/>
      <w:sz w:val="16"/>
      <w:szCs w:val="16"/>
    </w:rPr>
  </w:style>
  <w:style w:type="paragraph" w:styleId="Revision">
    <w:name w:val="Revision"/>
    <w:hidden/>
    <w:uiPriority w:val="99"/>
    <w:semiHidden/>
    <w:rsid w:val="00072165"/>
    <w:rPr>
      <w:rFonts w:ascii="Courier" w:eastAsia="Times New Roman" w:hAnsi="Courier"/>
      <w:snapToGrid w:val="0"/>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uiPriority w:val="99"/>
    <w:rsid w:val="00B41388"/>
    <w:rPr>
      <w:rFonts w:ascii="Times New Roman" w:hAnsi="Times New Roman"/>
    </w:rPr>
  </w:style>
  <w:style w:type="paragraph" w:styleId="FootnoteText">
    <w:name w:val="footnote text"/>
    <w:aliases w:val="ft,Footnote Text Char Char,fn,Footnote Text Char Char Char Char Char Char Char Char Char Char Char Char Char Char Char Char Char,Footnote Text Char1 Char Char,Footnote Text Char Char Char Char,Style 15,Car,ALTS FOOTNOTE,Char,Fußnote"/>
    <w:basedOn w:val="Normal"/>
    <w:link w:val="FootnoteTextChar"/>
    <w:uiPriority w:val="99"/>
    <w:rsid w:val="00B41388"/>
    <w:rPr>
      <w:sz w:val="20"/>
    </w:rPr>
  </w:style>
  <w:style w:type="character" w:customStyle="1" w:styleId="FootnoteTextChar">
    <w:name w:val="Footnote Text Char"/>
    <w:aliases w:val="ft Char,Footnote Text Char Char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B41388"/>
    <w:rPr>
      <w:rFonts w:ascii="Courier" w:eastAsia="Times New Roman" w:hAnsi="Courier"/>
      <w:snapToGrid w:val="0"/>
      <w:sz w:val="20"/>
      <w:szCs w:val="20"/>
    </w:rPr>
  </w:style>
  <w:style w:type="table" w:styleId="TableGrid">
    <w:name w:val="Table Grid"/>
    <w:basedOn w:val="TableNormal"/>
    <w:rsid w:val="00B41388"/>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392"/>
    <w:rPr>
      <w:color w:val="0000FF" w:themeColor="hyperlink"/>
      <w:u w:val="single"/>
    </w:rPr>
  </w:style>
  <w:style w:type="paragraph" w:styleId="ListParagraph">
    <w:name w:val="List Paragraph"/>
    <w:basedOn w:val="Normal"/>
    <w:uiPriority w:val="34"/>
    <w:qFormat/>
    <w:rsid w:val="007935C0"/>
    <w:pPr>
      <w:widowControl/>
      <w:spacing w:after="200" w:line="276" w:lineRule="auto"/>
      <w:ind w:left="720"/>
      <w:contextualSpacing/>
    </w:pPr>
    <w:rPr>
      <w:rFonts w:asciiTheme="minorHAnsi" w:eastAsiaTheme="minorHAnsi" w:hAnsiTheme="minorHAnsi" w:cstheme="minorBidi"/>
      <w:snapToGrid/>
      <w:sz w:val="22"/>
      <w:szCs w:val="22"/>
    </w:rPr>
  </w:style>
  <w:style w:type="table" w:customStyle="1" w:styleId="TableGrid1">
    <w:name w:val="Table Grid1"/>
    <w:basedOn w:val="TableNormal"/>
    <w:next w:val="TableGrid"/>
    <w:uiPriority w:val="59"/>
    <w:rsid w:val="00B87BBB"/>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DB"/>
    <w:pPr>
      <w:widowControl w:val="0"/>
    </w:pPr>
    <w:rPr>
      <w:rFonts w:ascii="Courier" w:eastAsia="Times New Roman" w:hAnsi="Courie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6ADB"/>
    <w:pPr>
      <w:ind w:left="720"/>
    </w:pPr>
    <w:rPr>
      <w:rFonts w:ascii="Times New Roman" w:hAnsi="Times New Roman"/>
    </w:rPr>
  </w:style>
  <w:style w:type="character" w:customStyle="1" w:styleId="BodyTextIndentChar">
    <w:name w:val="Body Text Indent Char"/>
    <w:basedOn w:val="DefaultParagraphFont"/>
    <w:link w:val="BodyTextIndent"/>
    <w:rsid w:val="005B6ADB"/>
    <w:rPr>
      <w:rFonts w:eastAsia="Times New Roman"/>
      <w:snapToGrid w:val="0"/>
      <w:szCs w:val="20"/>
    </w:rPr>
  </w:style>
  <w:style w:type="paragraph" w:styleId="Header">
    <w:name w:val="header"/>
    <w:basedOn w:val="Normal"/>
    <w:link w:val="HeaderChar"/>
    <w:uiPriority w:val="99"/>
    <w:unhideWhenUsed/>
    <w:rsid w:val="0043292B"/>
    <w:pPr>
      <w:tabs>
        <w:tab w:val="center" w:pos="4680"/>
        <w:tab w:val="right" w:pos="9360"/>
      </w:tabs>
    </w:pPr>
  </w:style>
  <w:style w:type="character" w:customStyle="1" w:styleId="HeaderChar">
    <w:name w:val="Header Char"/>
    <w:basedOn w:val="DefaultParagraphFont"/>
    <w:link w:val="Header"/>
    <w:uiPriority w:val="99"/>
    <w:rsid w:val="0043292B"/>
    <w:rPr>
      <w:rFonts w:ascii="Courier" w:eastAsia="Times New Roman" w:hAnsi="Courier"/>
      <w:snapToGrid w:val="0"/>
      <w:szCs w:val="20"/>
    </w:rPr>
  </w:style>
  <w:style w:type="paragraph" w:styleId="Footer">
    <w:name w:val="footer"/>
    <w:basedOn w:val="Normal"/>
    <w:link w:val="FooterChar"/>
    <w:uiPriority w:val="99"/>
    <w:unhideWhenUsed/>
    <w:rsid w:val="0043292B"/>
    <w:pPr>
      <w:tabs>
        <w:tab w:val="center" w:pos="4680"/>
        <w:tab w:val="right" w:pos="9360"/>
      </w:tabs>
    </w:pPr>
  </w:style>
  <w:style w:type="character" w:customStyle="1" w:styleId="FooterChar">
    <w:name w:val="Footer Char"/>
    <w:basedOn w:val="DefaultParagraphFont"/>
    <w:link w:val="Footer"/>
    <w:uiPriority w:val="99"/>
    <w:rsid w:val="0043292B"/>
    <w:rPr>
      <w:rFonts w:ascii="Courier" w:eastAsia="Times New Roman" w:hAnsi="Courier"/>
      <w:snapToGrid w:val="0"/>
      <w:szCs w:val="20"/>
    </w:rPr>
  </w:style>
  <w:style w:type="character" w:styleId="CommentReference">
    <w:name w:val="annotation reference"/>
    <w:basedOn w:val="DefaultParagraphFont"/>
    <w:uiPriority w:val="99"/>
    <w:semiHidden/>
    <w:unhideWhenUsed/>
    <w:rsid w:val="00430992"/>
    <w:rPr>
      <w:sz w:val="16"/>
      <w:szCs w:val="16"/>
    </w:rPr>
  </w:style>
  <w:style w:type="paragraph" w:styleId="CommentText">
    <w:name w:val="annotation text"/>
    <w:basedOn w:val="Normal"/>
    <w:link w:val="CommentTextChar"/>
    <w:uiPriority w:val="99"/>
    <w:semiHidden/>
    <w:unhideWhenUsed/>
    <w:rsid w:val="00430992"/>
    <w:rPr>
      <w:sz w:val="20"/>
    </w:rPr>
  </w:style>
  <w:style w:type="character" w:customStyle="1" w:styleId="CommentTextChar">
    <w:name w:val="Comment Text Char"/>
    <w:basedOn w:val="DefaultParagraphFont"/>
    <w:link w:val="CommentText"/>
    <w:uiPriority w:val="99"/>
    <w:semiHidden/>
    <w:rsid w:val="00430992"/>
    <w:rPr>
      <w:rFonts w:ascii="Courier" w:eastAsia="Times New Roman" w:hAnsi="Courier"/>
      <w:snapToGrid w:val="0"/>
      <w:sz w:val="20"/>
      <w:szCs w:val="20"/>
    </w:rPr>
  </w:style>
  <w:style w:type="paragraph" w:styleId="CommentSubject">
    <w:name w:val="annotation subject"/>
    <w:basedOn w:val="CommentText"/>
    <w:next w:val="CommentText"/>
    <w:link w:val="CommentSubjectChar"/>
    <w:uiPriority w:val="99"/>
    <w:semiHidden/>
    <w:unhideWhenUsed/>
    <w:rsid w:val="00430992"/>
    <w:rPr>
      <w:b/>
      <w:bCs/>
    </w:rPr>
  </w:style>
  <w:style w:type="character" w:customStyle="1" w:styleId="CommentSubjectChar">
    <w:name w:val="Comment Subject Char"/>
    <w:basedOn w:val="CommentTextChar"/>
    <w:link w:val="CommentSubject"/>
    <w:uiPriority w:val="99"/>
    <w:semiHidden/>
    <w:rsid w:val="00430992"/>
    <w:rPr>
      <w:rFonts w:ascii="Courier" w:eastAsia="Times New Roman" w:hAnsi="Courier"/>
      <w:b/>
      <w:bCs/>
      <w:snapToGrid w:val="0"/>
      <w:sz w:val="20"/>
      <w:szCs w:val="20"/>
    </w:rPr>
  </w:style>
  <w:style w:type="paragraph" w:styleId="BalloonText">
    <w:name w:val="Balloon Text"/>
    <w:basedOn w:val="Normal"/>
    <w:link w:val="BalloonTextChar"/>
    <w:uiPriority w:val="99"/>
    <w:semiHidden/>
    <w:unhideWhenUsed/>
    <w:rsid w:val="00430992"/>
    <w:rPr>
      <w:rFonts w:ascii="Tahoma" w:hAnsi="Tahoma" w:cs="Tahoma"/>
      <w:sz w:val="16"/>
      <w:szCs w:val="16"/>
    </w:rPr>
  </w:style>
  <w:style w:type="character" w:customStyle="1" w:styleId="BalloonTextChar">
    <w:name w:val="Balloon Text Char"/>
    <w:basedOn w:val="DefaultParagraphFont"/>
    <w:link w:val="BalloonText"/>
    <w:uiPriority w:val="99"/>
    <w:semiHidden/>
    <w:rsid w:val="00430992"/>
    <w:rPr>
      <w:rFonts w:ascii="Tahoma" w:eastAsia="Times New Roman" w:hAnsi="Tahoma" w:cs="Tahoma"/>
      <w:snapToGrid w:val="0"/>
      <w:sz w:val="16"/>
      <w:szCs w:val="16"/>
    </w:rPr>
  </w:style>
  <w:style w:type="paragraph" w:styleId="Revision">
    <w:name w:val="Revision"/>
    <w:hidden/>
    <w:uiPriority w:val="99"/>
    <w:semiHidden/>
    <w:rsid w:val="00072165"/>
    <w:rPr>
      <w:rFonts w:ascii="Courier" w:eastAsia="Times New Roman" w:hAnsi="Courier"/>
      <w:snapToGrid w:val="0"/>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uiPriority w:val="99"/>
    <w:rsid w:val="00B41388"/>
    <w:rPr>
      <w:rFonts w:ascii="Times New Roman" w:hAnsi="Times New Roman"/>
    </w:rPr>
  </w:style>
  <w:style w:type="paragraph" w:styleId="FootnoteText">
    <w:name w:val="footnote text"/>
    <w:aliases w:val="ft,Footnote Text Char Char,fn,Footnote Text Char Char Char Char Char Char Char Char Char Char Char Char Char Char Char Char Char,Footnote Text Char1 Char Char,Footnote Text Char Char Char Char,Style 15,Car,ALTS FOOTNOTE,Char,Fußnote"/>
    <w:basedOn w:val="Normal"/>
    <w:link w:val="FootnoteTextChar"/>
    <w:uiPriority w:val="99"/>
    <w:rsid w:val="00B41388"/>
    <w:rPr>
      <w:sz w:val="20"/>
    </w:rPr>
  </w:style>
  <w:style w:type="character" w:customStyle="1" w:styleId="FootnoteTextChar">
    <w:name w:val="Footnote Text Char"/>
    <w:aliases w:val="ft Char,Footnote Text Char Char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B41388"/>
    <w:rPr>
      <w:rFonts w:ascii="Courier" w:eastAsia="Times New Roman" w:hAnsi="Courier"/>
      <w:snapToGrid w:val="0"/>
      <w:sz w:val="20"/>
      <w:szCs w:val="20"/>
    </w:rPr>
  </w:style>
  <w:style w:type="table" w:styleId="TableGrid">
    <w:name w:val="Table Grid"/>
    <w:basedOn w:val="TableNormal"/>
    <w:rsid w:val="00B41388"/>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392"/>
    <w:rPr>
      <w:color w:val="0000FF" w:themeColor="hyperlink"/>
      <w:u w:val="single"/>
    </w:rPr>
  </w:style>
  <w:style w:type="paragraph" w:styleId="ListParagraph">
    <w:name w:val="List Paragraph"/>
    <w:basedOn w:val="Normal"/>
    <w:uiPriority w:val="34"/>
    <w:qFormat/>
    <w:rsid w:val="007935C0"/>
    <w:pPr>
      <w:widowControl/>
      <w:spacing w:after="200" w:line="276" w:lineRule="auto"/>
      <w:ind w:left="720"/>
      <w:contextualSpacing/>
    </w:pPr>
    <w:rPr>
      <w:rFonts w:asciiTheme="minorHAnsi" w:eastAsiaTheme="minorHAnsi" w:hAnsiTheme="minorHAnsi" w:cstheme="minorBidi"/>
      <w:snapToGrid/>
      <w:sz w:val="22"/>
      <w:szCs w:val="22"/>
    </w:rPr>
  </w:style>
  <w:style w:type="table" w:customStyle="1" w:styleId="TableGrid1">
    <w:name w:val="Table Grid1"/>
    <w:basedOn w:val="TableNormal"/>
    <w:next w:val="TableGrid"/>
    <w:uiPriority w:val="59"/>
    <w:rsid w:val="00B87BBB"/>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BD991-B7D0-4E76-BC51-0B6271F1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3802</Words>
  <Characters>21676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2019-04-11T13:24:00Z</dcterms:created>
  <dcterms:modified xsi:type="dcterms:W3CDTF">2019-04-11T13:24:00Z</dcterms:modified>
</cp:coreProperties>
</file>