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D2851" w14:textId="77777777" w:rsidR="00C26695" w:rsidRPr="00DF765B" w:rsidRDefault="00C26695" w:rsidP="00C26695">
      <w:pPr>
        <w:pStyle w:val="Heading1"/>
        <w:numPr>
          <w:ilvl w:val="0"/>
          <w:numId w:val="2"/>
        </w:numPr>
        <w:tabs>
          <w:tab w:val="left" w:pos="720"/>
        </w:tabs>
        <w:ind w:left="720" w:hanging="720"/>
        <w:rPr>
          <w:rFonts w:ascii="Times New Roman" w:hAnsi="Times New Roman"/>
          <w:bCs/>
          <w:color w:val="auto"/>
          <w:sz w:val="24"/>
        </w:rPr>
      </w:pPr>
      <w:bookmarkStart w:id="0" w:name="_Toc339621302"/>
      <w:bookmarkStart w:id="1" w:name="_Toc282506041"/>
      <w:bookmarkStart w:id="2" w:name="_Toc5007129"/>
      <w:bookmarkStart w:id="3" w:name="_GoBack"/>
      <w:bookmarkEnd w:id="3"/>
      <w:r w:rsidRPr="00DF765B">
        <w:rPr>
          <w:rFonts w:ascii="Times New Roman" w:hAnsi="Times New Roman"/>
          <w:bCs/>
          <w:color w:val="auto"/>
          <w:sz w:val="24"/>
        </w:rPr>
        <w:t>COLLECTIONS OF INFORMATION EMPLOYING STATISTICAL METHODS</w:t>
      </w:r>
      <w:bookmarkEnd w:id="0"/>
      <w:bookmarkEnd w:id="1"/>
      <w:bookmarkEnd w:id="2"/>
    </w:p>
    <w:p w14:paraId="0D108485" w14:textId="77777777" w:rsidR="00C26695" w:rsidRDefault="00C26695" w:rsidP="00C26695">
      <w:pPr>
        <w:pStyle w:val="Heading2"/>
        <w:tabs>
          <w:tab w:val="left" w:pos="720"/>
        </w:tabs>
        <w:spacing w:line="240" w:lineRule="auto"/>
        <w:ind w:left="720" w:hanging="720"/>
        <w:rPr>
          <w:rFonts w:ascii="Times New Roman" w:hAnsi="Times New Roman"/>
          <w:color w:val="auto"/>
          <w:sz w:val="24"/>
          <w:szCs w:val="24"/>
        </w:rPr>
      </w:pPr>
      <w:bookmarkStart w:id="4" w:name="_Toc282506042"/>
      <w:bookmarkStart w:id="5" w:name="_Toc5007130"/>
      <w:r w:rsidRPr="00DF765B">
        <w:rPr>
          <w:rFonts w:ascii="Times New Roman" w:hAnsi="Times New Roman"/>
          <w:color w:val="auto"/>
          <w:sz w:val="24"/>
          <w:szCs w:val="24"/>
        </w:rPr>
        <w:t>B.1</w:t>
      </w:r>
      <w:r w:rsidRPr="00DF765B">
        <w:rPr>
          <w:rFonts w:ascii="Times New Roman" w:hAnsi="Times New Roman"/>
          <w:color w:val="auto"/>
          <w:sz w:val="24"/>
          <w:szCs w:val="24"/>
        </w:rPr>
        <w:tab/>
      </w:r>
      <w:bookmarkEnd w:id="4"/>
      <w:r w:rsidRPr="00DF765B">
        <w:rPr>
          <w:rFonts w:ascii="Times New Roman" w:hAnsi="Times New Roman"/>
          <w:color w:val="auto"/>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5"/>
    </w:p>
    <w:p w14:paraId="4DB894AB" w14:textId="2385B088" w:rsidR="00C26695" w:rsidRDefault="00C26695" w:rsidP="00C26695">
      <w:pPr>
        <w:spacing w:after="240" w:line="276" w:lineRule="auto"/>
        <w:ind w:firstLine="720"/>
        <w:jc w:val="both"/>
      </w:pPr>
      <w:r w:rsidRPr="001625A9">
        <w:t>A national survey of WBC clients</w:t>
      </w:r>
      <w:r w:rsidR="00B77782">
        <w:t xml:space="preserve"> (WBCs are currently operating in 46 states, Washington D.C. and Puerto Rico)</w:t>
      </w:r>
      <w:r w:rsidRPr="001625A9">
        <w:t xml:space="preserve"> will be conducted to assess the short- and long-term changes in behavior and performance after centers provide services. </w:t>
      </w:r>
      <w:r>
        <w:t>S</w:t>
      </w:r>
      <w:r w:rsidRPr="001625A9">
        <w:t xml:space="preserve">urveys will be completed by a sample of clients who received services </w:t>
      </w:r>
      <w:r>
        <w:t>in the previous year,</w:t>
      </w:r>
      <w:r w:rsidRPr="001625A9">
        <w:t xml:space="preserve"> </w:t>
      </w:r>
      <w:r>
        <w:t>thereby</w:t>
      </w:r>
      <w:r w:rsidRPr="001625A9">
        <w:t xml:space="preserve"> providing a minimum </w:t>
      </w:r>
      <w:r>
        <w:t xml:space="preserve">12- to </w:t>
      </w:r>
      <w:r w:rsidRPr="001625A9">
        <w:t xml:space="preserve">18-month lag to measure business changes. </w:t>
      </w:r>
    </w:p>
    <w:p w14:paraId="3D2C405C" w14:textId="0FCE1C02" w:rsidR="00C26695" w:rsidRDefault="00C26695" w:rsidP="00C26695">
      <w:pPr>
        <w:spacing w:after="240" w:line="276" w:lineRule="auto"/>
        <w:ind w:firstLine="720"/>
        <w:jc w:val="both"/>
      </w:pPr>
      <w:r w:rsidRPr="001625A9">
        <w:t xml:space="preserve">A </w:t>
      </w:r>
      <w:r>
        <w:t>single-</w:t>
      </w:r>
      <w:r w:rsidRPr="001625A9">
        <w:t>stage, stratified sampling design will be used</w:t>
      </w:r>
      <w:r>
        <w:t xml:space="preserve"> to select WBC clients</w:t>
      </w:r>
      <w:r w:rsidRPr="001625A9">
        <w:t xml:space="preserve">. </w:t>
      </w:r>
      <w:r>
        <w:t xml:space="preserve">The universe includes clients from 115 WBCs; each WBC is managed by a WBC administrator. </w:t>
      </w:r>
      <w:r w:rsidRPr="001625A9">
        <w:t xml:space="preserve">First, </w:t>
      </w:r>
      <w:r>
        <w:t>each of the eligible</w:t>
      </w:r>
      <w:r w:rsidRPr="001625A9">
        <w:t xml:space="preserve"> WBCs </w:t>
      </w:r>
      <w:r>
        <w:t xml:space="preserve">(approximately 92 WBCs based on previous data collection efforts) will be sent a request and, of the 92 WBCs, approximately 95 percent (87) of WBCs are expected to </w:t>
      </w:r>
      <w:r w:rsidRPr="001625A9">
        <w:t xml:space="preserve">provide a full list of clients who received counseling or training </w:t>
      </w:r>
      <w:r>
        <w:t>at least 1 year ago.</w:t>
      </w:r>
      <w:r>
        <w:rPr>
          <w:rStyle w:val="FootnoteReference"/>
        </w:rPr>
        <w:footnoteReference w:id="1"/>
      </w:r>
      <w:r>
        <w:t xml:space="preserve"> </w:t>
      </w:r>
      <w:r w:rsidR="000273E7">
        <w:t xml:space="preserve">The WBCs that did not provide their clients lists were unable to; </w:t>
      </w:r>
      <w:r w:rsidR="0004757E">
        <w:t xml:space="preserve">they used </w:t>
      </w:r>
      <w:r w:rsidR="000273E7">
        <w:t>sign</w:t>
      </w:r>
      <w:r w:rsidR="0004757E">
        <w:t>-</w:t>
      </w:r>
      <w:r w:rsidR="000273E7">
        <w:t>in sheets</w:t>
      </w:r>
      <w:r w:rsidR="0004757E">
        <w:t xml:space="preserve"> for training which </w:t>
      </w:r>
      <w:r w:rsidR="00193993">
        <w:t>did not contain the required individual client contact information</w:t>
      </w:r>
      <w:r w:rsidR="000273E7">
        <w:t xml:space="preserve">. </w:t>
      </w:r>
      <w:r w:rsidR="0019158D">
        <w:t xml:space="preserve">It is expected that approximately 53,546 client names will be provided by the </w:t>
      </w:r>
      <w:r w:rsidR="00C65B4B">
        <w:t xml:space="preserve">eligible and responding WBCs. </w:t>
      </w:r>
      <w:r w:rsidRPr="001625A9">
        <w:t>Second, a stratified sample</w:t>
      </w:r>
      <w:r w:rsidR="008D0D47">
        <w:t xml:space="preserve"> </w:t>
      </w:r>
      <w:r w:rsidRPr="001625A9">
        <w:t>of 4,</w:t>
      </w:r>
      <w:r>
        <w:t>000</w:t>
      </w:r>
      <w:r w:rsidRPr="001625A9">
        <w:t xml:space="preserve"> clients</w:t>
      </w:r>
      <w:r w:rsidR="00741258">
        <w:t>,</w:t>
      </w:r>
      <w:r w:rsidR="008D0D47">
        <w:t xml:space="preserve"> drawn from the full list of clients,</w:t>
      </w:r>
      <w:r w:rsidRPr="001625A9">
        <w:t xml:space="preserve"> will be selected according to </w:t>
      </w:r>
      <w:r w:rsidR="00471981">
        <w:t>WBC and</w:t>
      </w:r>
      <w:r w:rsidRPr="001625A9">
        <w:t xml:space="preserve"> pre-venture and in-business </w:t>
      </w:r>
      <w:r w:rsidR="00471981">
        <w:t>status</w:t>
      </w:r>
      <w:r w:rsidRPr="001625A9">
        <w:t xml:space="preserve"> across the </w:t>
      </w:r>
      <w:r>
        <w:t>estimated 87 WBC administrators who are expected to provide data</w:t>
      </w:r>
      <w:r w:rsidRPr="001625A9">
        <w:t>.</w:t>
      </w:r>
      <w:r>
        <w:rPr>
          <w:rStyle w:val="FootnoteReference"/>
        </w:rPr>
        <w:footnoteReference w:id="2"/>
      </w:r>
      <w:r>
        <w:t xml:space="preserve"> </w:t>
      </w:r>
    </w:p>
    <w:p w14:paraId="65ADD3E6" w14:textId="77777777" w:rsidR="00C26695" w:rsidRDefault="00C26695" w:rsidP="00C26695">
      <w:pPr>
        <w:spacing w:after="240" w:line="276" w:lineRule="auto"/>
        <w:ind w:firstLine="720"/>
        <w:jc w:val="both"/>
      </w:pPr>
      <w:r w:rsidRPr="00DE63B7">
        <w:t>The full list of WBCs that delivered counseling or training services</w:t>
      </w:r>
      <w:r>
        <w:t xml:space="preserve"> </w:t>
      </w:r>
      <w:r w:rsidRPr="00DE63B7">
        <w:t>and an estimate of the number of clients served were obtained from SBA’s Entrepreneurial Development Information Management System (EDMIS). The system contains information from all</w:t>
      </w:r>
      <w:r>
        <w:t xml:space="preserve"> WBCs</w:t>
      </w:r>
      <w:r w:rsidRPr="00DE63B7">
        <w:t xml:space="preserve"> and associated clients. However, the number of training clients served by each </w:t>
      </w:r>
      <w:r>
        <w:t>WBC</w:t>
      </w:r>
      <w:r w:rsidRPr="00DE63B7">
        <w:t xml:space="preserve"> is only reported in aggregate per training session; clients can attend multiple trainings. Thus, these initial client counts from EDMIS do not provide an unduplicated count of clients served per </w:t>
      </w:r>
      <w:r>
        <w:t>WBC</w:t>
      </w:r>
      <w:r w:rsidRPr="00DE63B7">
        <w:t xml:space="preserve"> and will be refined using the data provided by the </w:t>
      </w:r>
      <w:r>
        <w:t>approximately 87 WBCs</w:t>
      </w:r>
      <w:r w:rsidRPr="00DE63B7">
        <w:t xml:space="preserve">. For the purpose of deriving a </w:t>
      </w:r>
      <w:r w:rsidRPr="00DE63B7">
        <w:lastRenderedPageBreak/>
        <w:t xml:space="preserve">conservative sample size estimate, it was assumed that the </w:t>
      </w:r>
      <w:r w:rsidRPr="003F486E">
        <w:t>26,</w:t>
      </w:r>
      <w:r w:rsidRPr="007A57DC">
        <w:t>773 counseling</w:t>
      </w:r>
      <w:r w:rsidRPr="00DE63B7">
        <w:t xml:space="preserve"> clients are equal to the number of unduplicated training clients, with no overlap between the services</w:t>
      </w:r>
      <w:r>
        <w:t xml:space="preserve">. </w:t>
      </w:r>
      <w:r w:rsidRPr="00DE63B7">
        <w:t xml:space="preserve">Precise figures will be calculated once data are received from the </w:t>
      </w:r>
      <w:r>
        <w:t>approximately 87 WBC administrators</w:t>
      </w:r>
      <w:r w:rsidRPr="00DE63B7">
        <w:t>.</w:t>
      </w:r>
    </w:p>
    <w:p w14:paraId="58A70D86" w14:textId="77777777" w:rsidR="00C26695" w:rsidRDefault="00C26695" w:rsidP="00C26695">
      <w:pPr>
        <w:pStyle w:val="Heading3"/>
        <w:ind w:left="0" w:firstLine="0"/>
      </w:pPr>
      <w:bookmarkStart w:id="6" w:name="_Toc5007131"/>
      <w:r w:rsidRPr="00047F5E">
        <w:rPr>
          <w:rFonts w:ascii="Times New Roman" w:hAnsi="Times New Roman"/>
        </w:rPr>
        <w:t xml:space="preserve">Table </w:t>
      </w:r>
      <w:r>
        <w:rPr>
          <w:rFonts w:ascii="Times New Roman" w:hAnsi="Times New Roman"/>
        </w:rPr>
        <w:t>3</w:t>
      </w:r>
      <w:r w:rsidRPr="00047F5E">
        <w:rPr>
          <w:rFonts w:ascii="Times New Roman" w:hAnsi="Times New Roman"/>
        </w:rPr>
        <w:t>.</w:t>
      </w:r>
      <w:r w:rsidRPr="00047F5E">
        <w:rPr>
          <w:rFonts w:ascii="Times New Roman" w:hAnsi="Times New Roman"/>
        </w:rPr>
        <w:tab/>
        <w:t>WBC Client Universe, Sample, and Expected Response Rates</w:t>
      </w:r>
      <w:bookmarkEnd w:id="6"/>
    </w:p>
    <w:p w14:paraId="1BBEA7E5" w14:textId="77777777" w:rsidR="00C26695" w:rsidRDefault="00C26695" w:rsidP="00C26695">
      <w:pPr>
        <w:spacing w:line="240" w:lineRule="auto"/>
        <w:jc w:val="both"/>
        <w:rPr>
          <w:color w:val="FF0000"/>
        </w:rPr>
      </w:pPr>
    </w:p>
    <w:tbl>
      <w:tblPr>
        <w:tblStyle w:val="TableWestatStandardFormat"/>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268"/>
        <w:gridCol w:w="1708"/>
        <w:gridCol w:w="1652"/>
        <w:gridCol w:w="1097"/>
        <w:gridCol w:w="2626"/>
      </w:tblGrid>
      <w:tr w:rsidR="00C26695" w14:paraId="212459E0" w14:textId="77777777" w:rsidTr="00930A4C">
        <w:trPr>
          <w:cnfStyle w:val="100000000000" w:firstRow="1" w:lastRow="0" w:firstColumn="0" w:lastColumn="0" w:oddVBand="0" w:evenVBand="0" w:oddHBand="0" w:evenHBand="0" w:firstRowFirstColumn="0" w:firstRowLastColumn="0" w:lastRowFirstColumn="0" w:lastRowLastColumn="0"/>
        </w:trPr>
        <w:tc>
          <w:tcPr>
            <w:tcW w:w="999" w:type="dxa"/>
            <w:tcBorders>
              <w:left w:val="single" w:sz="4" w:space="0" w:color="auto"/>
              <w:right w:val="single" w:sz="4" w:space="0" w:color="auto"/>
            </w:tcBorders>
            <w:vAlign w:val="center"/>
          </w:tcPr>
          <w:p w14:paraId="7C3BCA57" w14:textId="77777777" w:rsidR="00C26695" w:rsidRPr="00796060" w:rsidRDefault="00C26695" w:rsidP="00930A4C">
            <w:pPr>
              <w:spacing w:line="240" w:lineRule="auto"/>
              <w:rPr>
                <w:color w:val="FF0000"/>
                <w:sz w:val="22"/>
                <w:szCs w:val="22"/>
              </w:rPr>
            </w:pPr>
            <w:r w:rsidRPr="00796060">
              <w:rPr>
                <w:b/>
                <w:sz w:val="22"/>
                <w:szCs w:val="22"/>
              </w:rPr>
              <w:t>Strata</w:t>
            </w:r>
          </w:p>
        </w:tc>
        <w:tc>
          <w:tcPr>
            <w:tcW w:w="1268" w:type="dxa"/>
            <w:tcBorders>
              <w:left w:val="single" w:sz="4" w:space="0" w:color="auto"/>
              <w:right w:val="single" w:sz="4" w:space="0" w:color="auto"/>
            </w:tcBorders>
            <w:vAlign w:val="center"/>
          </w:tcPr>
          <w:p w14:paraId="1CCE56C1" w14:textId="77777777" w:rsidR="00C26695" w:rsidRPr="00796060" w:rsidRDefault="00C26695" w:rsidP="00930A4C">
            <w:pPr>
              <w:spacing w:line="240" w:lineRule="auto"/>
              <w:rPr>
                <w:color w:val="FF0000"/>
                <w:sz w:val="22"/>
                <w:szCs w:val="22"/>
              </w:rPr>
            </w:pPr>
            <w:r w:rsidRPr="00796060">
              <w:rPr>
                <w:b/>
                <w:sz w:val="22"/>
                <w:szCs w:val="22"/>
              </w:rPr>
              <w:t xml:space="preserve">Counseling </w:t>
            </w:r>
            <w:r>
              <w:rPr>
                <w:b/>
                <w:sz w:val="22"/>
                <w:szCs w:val="22"/>
              </w:rPr>
              <w:t>C</w:t>
            </w:r>
            <w:r w:rsidRPr="00796060">
              <w:rPr>
                <w:b/>
                <w:sz w:val="22"/>
                <w:szCs w:val="22"/>
              </w:rPr>
              <w:t>lients</w:t>
            </w:r>
            <w:r>
              <w:rPr>
                <w:b/>
                <w:sz w:val="22"/>
                <w:szCs w:val="22"/>
              </w:rPr>
              <w:t xml:space="preserve"> in 2017</w:t>
            </w:r>
          </w:p>
        </w:tc>
        <w:tc>
          <w:tcPr>
            <w:tcW w:w="1708" w:type="dxa"/>
            <w:tcBorders>
              <w:left w:val="single" w:sz="4" w:space="0" w:color="auto"/>
              <w:right w:val="single" w:sz="4" w:space="0" w:color="auto"/>
            </w:tcBorders>
            <w:vAlign w:val="center"/>
          </w:tcPr>
          <w:p w14:paraId="32E2FA5D" w14:textId="77777777" w:rsidR="00C26695" w:rsidRPr="00796060" w:rsidRDefault="00C26695" w:rsidP="00930A4C">
            <w:pPr>
              <w:spacing w:line="240" w:lineRule="auto"/>
              <w:rPr>
                <w:color w:val="FF0000"/>
                <w:sz w:val="22"/>
                <w:szCs w:val="22"/>
              </w:rPr>
            </w:pPr>
            <w:r w:rsidRPr="00796060">
              <w:rPr>
                <w:b/>
                <w:sz w:val="22"/>
                <w:szCs w:val="22"/>
              </w:rPr>
              <w:t xml:space="preserve">Counseling+ </w:t>
            </w:r>
            <w:r>
              <w:rPr>
                <w:b/>
                <w:sz w:val="22"/>
                <w:szCs w:val="22"/>
              </w:rPr>
              <w:t>T</w:t>
            </w:r>
            <w:r w:rsidRPr="00796060">
              <w:rPr>
                <w:b/>
                <w:sz w:val="22"/>
                <w:szCs w:val="22"/>
              </w:rPr>
              <w:t xml:space="preserve">raining </w:t>
            </w:r>
            <w:r>
              <w:rPr>
                <w:b/>
                <w:sz w:val="22"/>
                <w:szCs w:val="22"/>
              </w:rPr>
              <w:t>C</w:t>
            </w:r>
            <w:r w:rsidRPr="00796060">
              <w:rPr>
                <w:b/>
                <w:sz w:val="22"/>
                <w:szCs w:val="22"/>
              </w:rPr>
              <w:t>lients (approx.)</w:t>
            </w:r>
            <w:r>
              <w:rPr>
                <w:b/>
                <w:sz w:val="22"/>
                <w:szCs w:val="22"/>
              </w:rPr>
              <w:t xml:space="preserve"> in 2017</w:t>
            </w:r>
          </w:p>
        </w:tc>
        <w:tc>
          <w:tcPr>
            <w:tcW w:w="1652" w:type="dxa"/>
            <w:tcBorders>
              <w:left w:val="single" w:sz="4" w:space="0" w:color="auto"/>
              <w:right w:val="single" w:sz="4" w:space="0" w:color="auto"/>
            </w:tcBorders>
            <w:vAlign w:val="center"/>
          </w:tcPr>
          <w:p w14:paraId="48AB89DE" w14:textId="77777777" w:rsidR="00C26695" w:rsidRPr="00796060" w:rsidRDefault="00C26695" w:rsidP="00930A4C">
            <w:pPr>
              <w:spacing w:line="240" w:lineRule="auto"/>
              <w:rPr>
                <w:color w:val="FF0000"/>
                <w:sz w:val="22"/>
                <w:szCs w:val="22"/>
              </w:rPr>
            </w:pPr>
            <w:r w:rsidRPr="00796060">
              <w:rPr>
                <w:b/>
                <w:sz w:val="22"/>
                <w:szCs w:val="22"/>
              </w:rPr>
              <w:t>Sample</w:t>
            </w:r>
            <w:r w:rsidRPr="00796060">
              <w:rPr>
                <w:rStyle w:val="FootnoteReference"/>
                <w:b/>
                <w:sz w:val="22"/>
                <w:szCs w:val="22"/>
              </w:rPr>
              <w:footnoteReference w:id="3"/>
            </w:r>
          </w:p>
        </w:tc>
        <w:tc>
          <w:tcPr>
            <w:tcW w:w="1097" w:type="dxa"/>
            <w:tcBorders>
              <w:left w:val="single" w:sz="4" w:space="0" w:color="auto"/>
              <w:right w:val="single" w:sz="4" w:space="0" w:color="auto"/>
            </w:tcBorders>
            <w:vAlign w:val="center"/>
          </w:tcPr>
          <w:p w14:paraId="77D4D972" w14:textId="77777777" w:rsidR="00C26695" w:rsidRPr="00796060" w:rsidRDefault="00C26695" w:rsidP="00930A4C">
            <w:pPr>
              <w:spacing w:line="240" w:lineRule="auto"/>
              <w:rPr>
                <w:color w:val="FF0000"/>
                <w:sz w:val="22"/>
                <w:szCs w:val="22"/>
              </w:rPr>
            </w:pPr>
            <w:r w:rsidRPr="00796060">
              <w:rPr>
                <w:b/>
                <w:sz w:val="22"/>
                <w:szCs w:val="22"/>
              </w:rPr>
              <w:t xml:space="preserve">Expected </w:t>
            </w:r>
            <w:r>
              <w:rPr>
                <w:b/>
                <w:sz w:val="22"/>
                <w:szCs w:val="22"/>
              </w:rPr>
              <w:t>R</w:t>
            </w:r>
            <w:r w:rsidRPr="00796060">
              <w:rPr>
                <w:b/>
                <w:sz w:val="22"/>
                <w:szCs w:val="22"/>
              </w:rPr>
              <w:t xml:space="preserve">esponse </w:t>
            </w:r>
            <w:r>
              <w:rPr>
                <w:b/>
                <w:sz w:val="22"/>
                <w:szCs w:val="22"/>
              </w:rPr>
              <w:t>R</w:t>
            </w:r>
            <w:r w:rsidRPr="00796060">
              <w:rPr>
                <w:b/>
                <w:sz w:val="22"/>
                <w:szCs w:val="22"/>
              </w:rPr>
              <w:t>ate</w:t>
            </w:r>
          </w:p>
        </w:tc>
        <w:tc>
          <w:tcPr>
            <w:tcW w:w="2626" w:type="dxa"/>
            <w:tcBorders>
              <w:left w:val="single" w:sz="4" w:space="0" w:color="auto"/>
              <w:right w:val="single" w:sz="4" w:space="0" w:color="auto"/>
            </w:tcBorders>
            <w:vAlign w:val="center"/>
          </w:tcPr>
          <w:p w14:paraId="3BA6D56A" w14:textId="77777777" w:rsidR="00C26695" w:rsidRPr="00796060" w:rsidRDefault="00C26695" w:rsidP="00930A4C">
            <w:pPr>
              <w:spacing w:line="240" w:lineRule="auto"/>
              <w:rPr>
                <w:color w:val="FF0000"/>
                <w:sz w:val="22"/>
                <w:szCs w:val="22"/>
              </w:rPr>
            </w:pPr>
          </w:p>
          <w:p w14:paraId="0A5605AC" w14:textId="77777777" w:rsidR="00C26695" w:rsidRPr="00796060" w:rsidRDefault="00C26695" w:rsidP="00930A4C">
            <w:pPr>
              <w:spacing w:line="240" w:lineRule="auto"/>
              <w:rPr>
                <w:color w:val="FF0000"/>
                <w:sz w:val="22"/>
                <w:szCs w:val="22"/>
              </w:rPr>
            </w:pPr>
            <w:r w:rsidRPr="00796060">
              <w:rPr>
                <w:b/>
                <w:sz w:val="22"/>
                <w:szCs w:val="22"/>
              </w:rPr>
              <w:t xml:space="preserve">Expected </w:t>
            </w:r>
            <w:r>
              <w:rPr>
                <w:b/>
                <w:sz w:val="22"/>
                <w:szCs w:val="22"/>
              </w:rPr>
              <w:t>R</w:t>
            </w:r>
            <w:r w:rsidRPr="00796060">
              <w:rPr>
                <w:b/>
                <w:sz w:val="22"/>
                <w:szCs w:val="22"/>
              </w:rPr>
              <w:t>espondents</w:t>
            </w:r>
          </w:p>
        </w:tc>
      </w:tr>
      <w:tr w:rsidR="00C26695" w14:paraId="7F3BA948" w14:textId="77777777" w:rsidTr="00930A4C">
        <w:tc>
          <w:tcPr>
            <w:tcW w:w="999" w:type="dxa"/>
            <w:vAlign w:val="center"/>
          </w:tcPr>
          <w:p w14:paraId="0A98974F" w14:textId="77777777" w:rsidR="00C26695" w:rsidRPr="00796060" w:rsidRDefault="00C26695" w:rsidP="00930A4C">
            <w:pPr>
              <w:spacing w:line="240" w:lineRule="auto"/>
              <w:jc w:val="both"/>
              <w:rPr>
                <w:color w:val="FF0000"/>
                <w:sz w:val="22"/>
                <w:szCs w:val="22"/>
              </w:rPr>
            </w:pPr>
            <w:r w:rsidRPr="00796060">
              <w:rPr>
                <w:b/>
                <w:sz w:val="22"/>
                <w:szCs w:val="22"/>
              </w:rPr>
              <w:t xml:space="preserve">Pre-venture clients </w:t>
            </w:r>
          </w:p>
        </w:tc>
        <w:tc>
          <w:tcPr>
            <w:tcW w:w="1268" w:type="dxa"/>
            <w:vMerge w:val="restart"/>
            <w:vAlign w:val="center"/>
          </w:tcPr>
          <w:p w14:paraId="1AF15644" w14:textId="77777777" w:rsidR="00C26695" w:rsidRPr="00762F9D" w:rsidRDefault="00C26695" w:rsidP="00930A4C">
            <w:pPr>
              <w:spacing w:line="240" w:lineRule="auto"/>
              <w:jc w:val="center"/>
              <w:rPr>
                <w:color w:val="FF0000"/>
                <w:sz w:val="22"/>
                <w:szCs w:val="22"/>
                <w:highlight w:val="yellow"/>
              </w:rPr>
            </w:pPr>
            <w:r w:rsidRPr="00CD6E0C">
              <w:rPr>
                <w:sz w:val="22"/>
                <w:szCs w:val="22"/>
              </w:rPr>
              <w:t>26,773</w:t>
            </w:r>
          </w:p>
        </w:tc>
        <w:tc>
          <w:tcPr>
            <w:tcW w:w="1708" w:type="dxa"/>
            <w:vMerge w:val="restart"/>
            <w:vAlign w:val="center"/>
          </w:tcPr>
          <w:p w14:paraId="37873AC2" w14:textId="77777777" w:rsidR="00C26695" w:rsidRPr="00762F9D" w:rsidRDefault="00C26695" w:rsidP="00930A4C">
            <w:pPr>
              <w:spacing w:line="240" w:lineRule="auto"/>
              <w:jc w:val="center"/>
              <w:rPr>
                <w:color w:val="FF0000"/>
                <w:sz w:val="22"/>
                <w:szCs w:val="22"/>
                <w:highlight w:val="yellow"/>
              </w:rPr>
            </w:pPr>
            <w:r>
              <w:rPr>
                <w:sz w:val="22"/>
                <w:szCs w:val="22"/>
              </w:rPr>
              <w:t>53,546</w:t>
            </w:r>
          </w:p>
        </w:tc>
        <w:tc>
          <w:tcPr>
            <w:tcW w:w="1652" w:type="dxa"/>
            <w:vAlign w:val="center"/>
          </w:tcPr>
          <w:p w14:paraId="59E5E5F6" w14:textId="77777777" w:rsidR="00C26695" w:rsidRPr="00796060" w:rsidRDefault="00C26695" w:rsidP="00930A4C">
            <w:pPr>
              <w:spacing w:line="240" w:lineRule="auto"/>
              <w:jc w:val="center"/>
              <w:rPr>
                <w:color w:val="FF0000"/>
                <w:sz w:val="22"/>
                <w:szCs w:val="22"/>
              </w:rPr>
            </w:pPr>
            <w:r w:rsidRPr="00796060">
              <w:rPr>
                <w:sz w:val="22"/>
                <w:szCs w:val="22"/>
              </w:rPr>
              <w:t>2,000</w:t>
            </w:r>
          </w:p>
        </w:tc>
        <w:tc>
          <w:tcPr>
            <w:tcW w:w="1097" w:type="dxa"/>
            <w:vAlign w:val="center"/>
          </w:tcPr>
          <w:p w14:paraId="63B40520" w14:textId="77777777" w:rsidR="00C26695" w:rsidRPr="00796060" w:rsidRDefault="00C26695" w:rsidP="00930A4C">
            <w:pPr>
              <w:spacing w:line="240" w:lineRule="auto"/>
              <w:jc w:val="center"/>
              <w:rPr>
                <w:color w:val="FF0000"/>
                <w:sz w:val="22"/>
                <w:szCs w:val="22"/>
              </w:rPr>
            </w:pPr>
            <w:r w:rsidRPr="00796060">
              <w:rPr>
                <w:sz w:val="22"/>
                <w:szCs w:val="22"/>
              </w:rPr>
              <w:t>50%</w:t>
            </w:r>
          </w:p>
        </w:tc>
        <w:tc>
          <w:tcPr>
            <w:tcW w:w="2626" w:type="dxa"/>
            <w:vAlign w:val="center"/>
          </w:tcPr>
          <w:p w14:paraId="0C359902" w14:textId="77777777" w:rsidR="00C26695" w:rsidRPr="00796060" w:rsidRDefault="00C26695" w:rsidP="00930A4C">
            <w:pPr>
              <w:spacing w:line="240" w:lineRule="auto"/>
              <w:jc w:val="center"/>
              <w:rPr>
                <w:color w:val="FF0000"/>
                <w:sz w:val="22"/>
                <w:szCs w:val="22"/>
              </w:rPr>
            </w:pPr>
            <w:r w:rsidRPr="00796060">
              <w:rPr>
                <w:sz w:val="22"/>
                <w:szCs w:val="22"/>
              </w:rPr>
              <w:t>1,000</w:t>
            </w:r>
          </w:p>
        </w:tc>
      </w:tr>
      <w:tr w:rsidR="00C26695" w14:paraId="74E36EE1" w14:textId="77777777" w:rsidTr="00930A4C">
        <w:tc>
          <w:tcPr>
            <w:tcW w:w="999" w:type="dxa"/>
            <w:vAlign w:val="center"/>
          </w:tcPr>
          <w:p w14:paraId="2EDA1AE8" w14:textId="77777777" w:rsidR="00C26695" w:rsidRPr="00796060" w:rsidRDefault="00C26695" w:rsidP="00930A4C">
            <w:pPr>
              <w:spacing w:line="240" w:lineRule="auto"/>
              <w:jc w:val="both"/>
              <w:rPr>
                <w:color w:val="FF0000"/>
                <w:sz w:val="22"/>
                <w:szCs w:val="22"/>
              </w:rPr>
            </w:pPr>
            <w:r w:rsidRPr="00796060">
              <w:rPr>
                <w:b/>
                <w:sz w:val="22"/>
                <w:szCs w:val="22"/>
              </w:rPr>
              <w:t>In-business clients</w:t>
            </w:r>
          </w:p>
        </w:tc>
        <w:tc>
          <w:tcPr>
            <w:tcW w:w="1268" w:type="dxa"/>
            <w:vMerge/>
            <w:vAlign w:val="center"/>
          </w:tcPr>
          <w:p w14:paraId="0046F18E" w14:textId="77777777" w:rsidR="00C26695" w:rsidRPr="00762F9D" w:rsidRDefault="00C26695" w:rsidP="00930A4C">
            <w:pPr>
              <w:spacing w:line="240" w:lineRule="auto"/>
              <w:jc w:val="center"/>
              <w:rPr>
                <w:color w:val="FF0000"/>
                <w:sz w:val="22"/>
                <w:szCs w:val="22"/>
                <w:highlight w:val="yellow"/>
              </w:rPr>
            </w:pPr>
          </w:p>
        </w:tc>
        <w:tc>
          <w:tcPr>
            <w:tcW w:w="1708" w:type="dxa"/>
            <w:vMerge/>
            <w:vAlign w:val="center"/>
          </w:tcPr>
          <w:p w14:paraId="3CAD7BB3" w14:textId="77777777" w:rsidR="00C26695" w:rsidRPr="00762F9D" w:rsidRDefault="00C26695" w:rsidP="00930A4C">
            <w:pPr>
              <w:spacing w:line="240" w:lineRule="auto"/>
              <w:jc w:val="center"/>
              <w:rPr>
                <w:color w:val="FF0000"/>
                <w:sz w:val="22"/>
                <w:szCs w:val="22"/>
                <w:highlight w:val="yellow"/>
              </w:rPr>
            </w:pPr>
          </w:p>
        </w:tc>
        <w:tc>
          <w:tcPr>
            <w:tcW w:w="1652" w:type="dxa"/>
            <w:vAlign w:val="center"/>
          </w:tcPr>
          <w:p w14:paraId="666F54D3" w14:textId="77777777" w:rsidR="00C26695" w:rsidRPr="00796060" w:rsidRDefault="00C26695" w:rsidP="00930A4C">
            <w:pPr>
              <w:spacing w:line="240" w:lineRule="auto"/>
              <w:jc w:val="center"/>
              <w:rPr>
                <w:color w:val="FF0000"/>
                <w:sz w:val="22"/>
                <w:szCs w:val="22"/>
              </w:rPr>
            </w:pPr>
            <w:r w:rsidRPr="00796060">
              <w:rPr>
                <w:sz w:val="22"/>
                <w:szCs w:val="22"/>
              </w:rPr>
              <w:t>2,000</w:t>
            </w:r>
          </w:p>
        </w:tc>
        <w:tc>
          <w:tcPr>
            <w:tcW w:w="1097" w:type="dxa"/>
            <w:vAlign w:val="center"/>
          </w:tcPr>
          <w:p w14:paraId="5815FFDD" w14:textId="77777777" w:rsidR="00C26695" w:rsidRPr="00796060" w:rsidRDefault="00C26695" w:rsidP="00930A4C">
            <w:pPr>
              <w:spacing w:line="240" w:lineRule="auto"/>
              <w:jc w:val="center"/>
              <w:rPr>
                <w:color w:val="FF0000"/>
                <w:sz w:val="22"/>
                <w:szCs w:val="22"/>
              </w:rPr>
            </w:pPr>
            <w:r w:rsidRPr="00796060">
              <w:rPr>
                <w:sz w:val="22"/>
                <w:szCs w:val="22"/>
              </w:rPr>
              <w:t>50%</w:t>
            </w:r>
          </w:p>
        </w:tc>
        <w:tc>
          <w:tcPr>
            <w:tcW w:w="2626" w:type="dxa"/>
            <w:vAlign w:val="center"/>
          </w:tcPr>
          <w:p w14:paraId="5F0599A0" w14:textId="77777777" w:rsidR="00C26695" w:rsidRPr="00796060" w:rsidRDefault="00C26695" w:rsidP="00930A4C">
            <w:pPr>
              <w:spacing w:line="240" w:lineRule="auto"/>
              <w:jc w:val="center"/>
              <w:rPr>
                <w:color w:val="FF0000"/>
                <w:sz w:val="22"/>
                <w:szCs w:val="22"/>
              </w:rPr>
            </w:pPr>
            <w:r w:rsidRPr="00796060">
              <w:rPr>
                <w:sz w:val="22"/>
                <w:szCs w:val="22"/>
              </w:rPr>
              <w:t>1,000</w:t>
            </w:r>
          </w:p>
        </w:tc>
      </w:tr>
      <w:tr w:rsidR="00C26695" w14:paraId="1AB8A294" w14:textId="77777777" w:rsidTr="00930A4C">
        <w:tc>
          <w:tcPr>
            <w:tcW w:w="999" w:type="dxa"/>
            <w:vAlign w:val="center"/>
          </w:tcPr>
          <w:p w14:paraId="5421B32F" w14:textId="77777777" w:rsidR="00C26695" w:rsidRPr="00796060" w:rsidRDefault="00C26695" w:rsidP="00930A4C">
            <w:pPr>
              <w:spacing w:line="240" w:lineRule="auto"/>
              <w:jc w:val="both"/>
              <w:rPr>
                <w:color w:val="FF0000"/>
                <w:sz w:val="22"/>
                <w:szCs w:val="22"/>
              </w:rPr>
            </w:pPr>
            <w:r w:rsidRPr="00796060">
              <w:rPr>
                <w:b/>
                <w:sz w:val="22"/>
                <w:szCs w:val="22"/>
              </w:rPr>
              <w:t>Total</w:t>
            </w:r>
          </w:p>
        </w:tc>
        <w:tc>
          <w:tcPr>
            <w:tcW w:w="1268" w:type="dxa"/>
            <w:vAlign w:val="center"/>
          </w:tcPr>
          <w:p w14:paraId="2BE3FF3F" w14:textId="77777777" w:rsidR="00C26695" w:rsidRPr="00762F9D" w:rsidRDefault="00C26695" w:rsidP="00930A4C">
            <w:pPr>
              <w:spacing w:line="240" w:lineRule="auto"/>
              <w:jc w:val="center"/>
              <w:rPr>
                <w:b/>
                <w:color w:val="FF0000"/>
                <w:sz w:val="22"/>
                <w:szCs w:val="22"/>
                <w:highlight w:val="yellow"/>
              </w:rPr>
            </w:pPr>
            <w:r w:rsidRPr="00CD6E0C">
              <w:rPr>
                <w:b/>
                <w:sz w:val="22"/>
                <w:szCs w:val="22"/>
              </w:rPr>
              <w:t>26,773</w:t>
            </w:r>
          </w:p>
        </w:tc>
        <w:tc>
          <w:tcPr>
            <w:tcW w:w="1708" w:type="dxa"/>
            <w:vAlign w:val="center"/>
          </w:tcPr>
          <w:p w14:paraId="64C3E050" w14:textId="77777777" w:rsidR="00C26695" w:rsidRPr="00762F9D" w:rsidRDefault="00C26695" w:rsidP="00930A4C">
            <w:pPr>
              <w:spacing w:line="240" w:lineRule="auto"/>
              <w:jc w:val="center"/>
              <w:rPr>
                <w:b/>
                <w:color w:val="FF0000"/>
                <w:sz w:val="22"/>
                <w:szCs w:val="22"/>
                <w:highlight w:val="yellow"/>
              </w:rPr>
            </w:pPr>
            <w:r>
              <w:rPr>
                <w:b/>
                <w:sz w:val="22"/>
                <w:szCs w:val="22"/>
              </w:rPr>
              <w:t>53,546</w:t>
            </w:r>
          </w:p>
        </w:tc>
        <w:tc>
          <w:tcPr>
            <w:tcW w:w="1652" w:type="dxa"/>
            <w:vAlign w:val="center"/>
          </w:tcPr>
          <w:p w14:paraId="49814164" w14:textId="77777777" w:rsidR="00C26695" w:rsidRPr="00DE63B7" w:rsidRDefault="00C26695" w:rsidP="00930A4C">
            <w:pPr>
              <w:spacing w:line="240" w:lineRule="auto"/>
              <w:jc w:val="center"/>
              <w:rPr>
                <w:b/>
                <w:color w:val="FF0000"/>
                <w:sz w:val="22"/>
                <w:szCs w:val="22"/>
              </w:rPr>
            </w:pPr>
            <w:r w:rsidRPr="00DE63B7">
              <w:rPr>
                <w:b/>
                <w:sz w:val="22"/>
                <w:szCs w:val="22"/>
              </w:rPr>
              <w:t>4,000</w:t>
            </w:r>
          </w:p>
        </w:tc>
        <w:tc>
          <w:tcPr>
            <w:tcW w:w="1097" w:type="dxa"/>
            <w:vAlign w:val="center"/>
          </w:tcPr>
          <w:p w14:paraId="7EB67B7B" w14:textId="77777777" w:rsidR="00C26695" w:rsidRPr="00DE63B7" w:rsidRDefault="00C26695" w:rsidP="00930A4C">
            <w:pPr>
              <w:spacing w:line="240" w:lineRule="auto"/>
              <w:jc w:val="center"/>
              <w:rPr>
                <w:b/>
                <w:color w:val="FF0000"/>
                <w:sz w:val="22"/>
                <w:szCs w:val="22"/>
              </w:rPr>
            </w:pPr>
            <w:r>
              <w:rPr>
                <w:b/>
                <w:sz w:val="22"/>
                <w:szCs w:val="22"/>
              </w:rPr>
              <w:t>--</w:t>
            </w:r>
          </w:p>
        </w:tc>
        <w:tc>
          <w:tcPr>
            <w:tcW w:w="2626" w:type="dxa"/>
            <w:vAlign w:val="center"/>
          </w:tcPr>
          <w:p w14:paraId="39AC1BF0" w14:textId="77777777" w:rsidR="00C26695" w:rsidRPr="00796060" w:rsidRDefault="00C26695" w:rsidP="00930A4C">
            <w:pPr>
              <w:spacing w:line="240" w:lineRule="auto"/>
              <w:jc w:val="center"/>
              <w:rPr>
                <w:color w:val="FF0000"/>
                <w:sz w:val="22"/>
                <w:szCs w:val="22"/>
              </w:rPr>
            </w:pPr>
            <w:r w:rsidRPr="00796060">
              <w:rPr>
                <w:b/>
                <w:sz w:val="22"/>
                <w:szCs w:val="22"/>
              </w:rPr>
              <w:t>2,000</w:t>
            </w:r>
          </w:p>
        </w:tc>
      </w:tr>
    </w:tbl>
    <w:p w14:paraId="3841B9D2" w14:textId="77777777" w:rsidR="00C26695" w:rsidRDefault="00C26695" w:rsidP="00C26695">
      <w:pPr>
        <w:spacing w:line="240" w:lineRule="auto"/>
        <w:jc w:val="both"/>
        <w:rPr>
          <w:color w:val="FF0000"/>
        </w:rPr>
      </w:pPr>
    </w:p>
    <w:p w14:paraId="4C826DA7" w14:textId="77777777" w:rsidR="00C26695" w:rsidRDefault="00C26695" w:rsidP="00C26695">
      <w:pPr>
        <w:spacing w:line="240" w:lineRule="auto"/>
        <w:jc w:val="both"/>
        <w:rPr>
          <w:color w:val="FF0000"/>
        </w:rPr>
      </w:pPr>
    </w:p>
    <w:p w14:paraId="42B57AA2" w14:textId="370A500B" w:rsidR="00C26695" w:rsidRPr="00DF765B" w:rsidRDefault="00C26695" w:rsidP="00C26695">
      <w:pPr>
        <w:spacing w:after="240" w:line="276" w:lineRule="auto"/>
        <w:ind w:firstLine="720"/>
        <w:jc w:val="both"/>
      </w:pPr>
      <w:r w:rsidRPr="00DE63B7">
        <w:t xml:space="preserve">Previous OMB-approved WBC client surveys achieved response rates </w:t>
      </w:r>
      <w:r>
        <w:t>that varied each year</w:t>
      </w:r>
      <w:r w:rsidRPr="00DE63B7">
        <w:t>.</w:t>
      </w:r>
      <w:r>
        <w:t xml:space="preserve"> The response rate to the 2018 WBC Client Outcome Survey (which collected information about client services received in 2016) was </w:t>
      </w:r>
      <w:r w:rsidRPr="000424B2">
        <w:t>9 percent.</w:t>
      </w:r>
      <w:r w:rsidRPr="00DE63B7">
        <w:t xml:space="preserve"> A</w:t>
      </w:r>
      <w:r>
        <w:t xml:space="preserve"> 50</w:t>
      </w:r>
      <w:r w:rsidRPr="00DE63B7">
        <w:t xml:space="preserve"> percent response rate is estimated for this collection because, unlike the previous studies, a targeted sample of clients will be surveye</w:t>
      </w:r>
      <w:r>
        <w:t>d,</w:t>
      </w:r>
      <w:r w:rsidRPr="00DE63B7">
        <w:t xml:space="preserve"> and additional follow-up activities </w:t>
      </w:r>
      <w:r>
        <w:t>will</w:t>
      </w:r>
      <w:r w:rsidRPr="00DE63B7">
        <w:t xml:space="preserve"> be undertaken (see </w:t>
      </w:r>
      <w:r>
        <w:t>B</w:t>
      </w:r>
      <w:r w:rsidRPr="00DE63B7">
        <w:t>3 below).</w:t>
      </w:r>
      <w:r w:rsidR="008C3503">
        <w:t xml:space="preserve">A nonresponse bias analysis was performed </w:t>
      </w:r>
      <w:r w:rsidR="00CD5A2E">
        <w:t>for the 2018 WBC Client Outcome Survey. A summary of the</w:t>
      </w:r>
      <w:r w:rsidR="00DB2B31">
        <w:t xml:space="preserve"> analysis is included in Appendix </w:t>
      </w:r>
      <w:r w:rsidR="005E571B">
        <w:t>B10</w:t>
      </w:r>
      <w:r w:rsidR="00DB2B31">
        <w:t xml:space="preserve">. A significant contributing factor </w:t>
      </w:r>
      <w:r w:rsidR="007F0BE3">
        <w:t>w</w:t>
      </w:r>
      <w:r w:rsidR="009122E7">
        <w:t>as</w:t>
      </w:r>
      <w:r w:rsidR="007F0BE3">
        <w:t xml:space="preserve"> that training clients were over-represented in the sample and were less likely than counseling clients to respond. </w:t>
      </w:r>
      <w:r w:rsidR="009122E7">
        <w:t xml:space="preserve">These results informed the current approach. </w:t>
      </w:r>
      <w:r w:rsidR="000D7B03">
        <w:t>Changes have also been made to the data collection methodology to help improve the response rate.</w:t>
      </w:r>
    </w:p>
    <w:p w14:paraId="472E5FF5" w14:textId="77777777" w:rsidR="00C26695" w:rsidRPr="007564D0" w:rsidRDefault="00C26695" w:rsidP="00C26695">
      <w:pPr>
        <w:pStyle w:val="Heading2"/>
        <w:tabs>
          <w:tab w:val="left" w:pos="720"/>
        </w:tabs>
        <w:spacing w:after="0"/>
        <w:ind w:left="720" w:hanging="720"/>
        <w:rPr>
          <w:rFonts w:ascii="Times New Roman" w:hAnsi="Times New Roman"/>
          <w:color w:val="auto"/>
          <w:sz w:val="24"/>
          <w:szCs w:val="24"/>
        </w:rPr>
      </w:pPr>
      <w:bookmarkStart w:id="7" w:name="_Toc282506043"/>
      <w:bookmarkStart w:id="8" w:name="_Toc5007132"/>
      <w:r w:rsidRPr="007564D0">
        <w:rPr>
          <w:rFonts w:ascii="Times New Roman" w:hAnsi="Times New Roman"/>
          <w:color w:val="auto"/>
          <w:sz w:val="24"/>
          <w:szCs w:val="24"/>
        </w:rPr>
        <w:t>B.2</w:t>
      </w:r>
      <w:r w:rsidRPr="007564D0">
        <w:rPr>
          <w:rFonts w:ascii="Times New Roman" w:hAnsi="Times New Roman"/>
          <w:color w:val="auto"/>
          <w:sz w:val="24"/>
          <w:szCs w:val="24"/>
        </w:rPr>
        <w:tab/>
      </w:r>
      <w:bookmarkEnd w:id="7"/>
      <w:r w:rsidRPr="007564D0">
        <w:rPr>
          <w:rFonts w:ascii="Times New Roman" w:hAnsi="Times New Roman"/>
          <w:color w:val="auto"/>
          <w:sz w:val="24"/>
          <w:szCs w:val="24"/>
        </w:rPr>
        <w:t>Describe the procedures for the collection of information including:</w:t>
      </w:r>
      <w:bookmarkEnd w:id="8"/>
    </w:p>
    <w:p w14:paraId="5924224E" w14:textId="77777777" w:rsidR="00C26695" w:rsidRPr="007564D0" w:rsidRDefault="00C26695" w:rsidP="00C26695">
      <w:pPr>
        <w:pStyle w:val="Normalcontinued"/>
        <w:spacing w:after="240" w:line="240" w:lineRule="auto"/>
        <w:ind w:firstLine="720"/>
        <w:rPr>
          <w:b/>
          <w:szCs w:val="24"/>
        </w:rPr>
      </w:pPr>
      <w:r w:rsidRPr="007564D0">
        <w:rPr>
          <w:b/>
          <w:szCs w:val="24"/>
        </w:rPr>
        <w:t>B.2.a Statistical methodology for stratification and sample selection</w:t>
      </w:r>
    </w:p>
    <w:p w14:paraId="5A44DE2E" w14:textId="77777777" w:rsidR="00C26695" w:rsidRPr="005C06F0" w:rsidRDefault="00C26695" w:rsidP="00C26695">
      <w:pPr>
        <w:spacing w:line="276" w:lineRule="auto"/>
        <w:ind w:firstLine="720"/>
        <w:jc w:val="both"/>
      </w:pPr>
      <w:r w:rsidRPr="005C06F0">
        <w:t xml:space="preserve">A </w:t>
      </w:r>
      <w:r>
        <w:t>single</w:t>
      </w:r>
      <w:r w:rsidRPr="005C06F0">
        <w:t>-stage, stratified sampling strategy</w:t>
      </w:r>
      <w:r>
        <w:t xml:space="preserve"> at the WBC-client level</w:t>
      </w:r>
      <w:r w:rsidRPr="005C06F0">
        <w:t xml:space="preserve"> is used to minimize cost, enhance the response rate, and maximize precision. </w:t>
      </w:r>
      <w:r>
        <w:t>A</w:t>
      </w:r>
      <w:r w:rsidRPr="005C06F0">
        <w:t xml:space="preserve"> full list of </w:t>
      </w:r>
      <w:r>
        <w:t xml:space="preserve">operational </w:t>
      </w:r>
      <w:r w:rsidRPr="005C06F0">
        <w:t>WBCs in</w:t>
      </w:r>
      <w:r>
        <w:t xml:space="preserve"> each year</w:t>
      </w:r>
      <w:r w:rsidRPr="005C06F0">
        <w:t xml:space="preserve"> is available from the EDMIS data. </w:t>
      </w:r>
      <w:r>
        <w:t>All eligible</w:t>
      </w:r>
      <w:r w:rsidRPr="005C06F0">
        <w:t xml:space="preserve"> WBCs</w:t>
      </w:r>
      <w:r>
        <w:t xml:space="preserve"> (approximately 92)</w:t>
      </w:r>
      <w:r w:rsidRPr="005C06F0">
        <w:t xml:space="preserve"> will be selected</w:t>
      </w:r>
      <w:r>
        <w:t>,</w:t>
      </w:r>
      <w:r w:rsidRPr="005C06F0">
        <w:t xml:space="preserve"> </w:t>
      </w:r>
      <w:r>
        <w:t>and an estimated 87 WBC administrators will provide administrative data necessary to administer the WBC Client Outcome Survey</w:t>
      </w:r>
      <w:r w:rsidRPr="005C06F0">
        <w:t xml:space="preserve">. </w:t>
      </w:r>
    </w:p>
    <w:p w14:paraId="1F0C6E5E" w14:textId="711526BB" w:rsidR="00C26695" w:rsidRPr="005C06F0" w:rsidRDefault="00C26695" w:rsidP="00C26695">
      <w:pPr>
        <w:spacing w:before="240" w:line="276" w:lineRule="auto"/>
        <w:ind w:firstLine="720"/>
        <w:jc w:val="both"/>
      </w:pPr>
      <w:r w:rsidRPr="005C06F0">
        <w:lastRenderedPageBreak/>
        <w:t xml:space="preserve">Across the </w:t>
      </w:r>
      <w:r>
        <w:t>87</w:t>
      </w:r>
      <w:r w:rsidRPr="005C06F0">
        <w:t xml:space="preserve"> client lists</w:t>
      </w:r>
      <w:r>
        <w:t xml:space="preserve"> provided by WBC administrators</w:t>
      </w:r>
      <w:r w:rsidRPr="005C06F0">
        <w:t>, 4,</w:t>
      </w:r>
      <w:r>
        <w:t>000</w:t>
      </w:r>
      <w:r w:rsidRPr="005C06F0">
        <w:t xml:space="preserve"> clients will be randomly selected by strata</w:t>
      </w:r>
      <w:r w:rsidR="00655ECA">
        <w:t xml:space="preserve"> (pre-venture and in-business </w:t>
      </w:r>
      <w:r w:rsidR="003158B2">
        <w:t>and WBC)</w:t>
      </w:r>
      <w:r w:rsidRPr="005C06F0">
        <w:t xml:space="preserve"> based on a universe of </w:t>
      </w:r>
      <w:r>
        <w:t xml:space="preserve">53,546 </w:t>
      </w:r>
      <w:r w:rsidRPr="003350C6">
        <w:t>and</w:t>
      </w:r>
      <w:r w:rsidRPr="005C06F0">
        <w:t xml:space="preserve"> surveyed. </w:t>
      </w:r>
      <w:r w:rsidR="00C13279">
        <w:t xml:space="preserve">There will likely be some strata that are very small (only one or two clients) and others that are much larger. If we encounter many very small strata, we may consider collapsing some strata to ensure that there are enough clients in all strata prior to sample selection. Alternatively, we may define the strata according to just one variable (only WBC or only client type) and control for the other variable using systematic selection of clients within strata. These alternative approaches will help reduce standard errors in the survey estimates if the strata sizes are highly variable. </w:t>
      </w:r>
      <w:r>
        <w:t>This sample includes the 4,000 WBC clients in the primary sample and 500 WBC clients in the back-up sample,</w:t>
      </w:r>
      <w:r w:rsidR="00C66530">
        <w:t xml:space="preserve"> </w:t>
      </w:r>
      <w:r>
        <w:t xml:space="preserve">which will only be released if response counts are lower than expected. </w:t>
      </w:r>
      <w:r w:rsidR="00C66530">
        <w:t xml:space="preserve">The back-up sample of 500 will be drawn </w:t>
      </w:r>
      <w:r w:rsidR="00BF5ABD">
        <w:t xml:space="preserve">at the same time as the initial sample. </w:t>
      </w:r>
      <w:r w:rsidR="00B55E37">
        <w:t>We</w:t>
      </w:r>
      <w:r w:rsidR="002107FA">
        <w:t xml:space="preserve"> will </w:t>
      </w:r>
      <w:r w:rsidR="00F20CB6">
        <w:t xml:space="preserve">continuously monitor response </w:t>
      </w:r>
      <w:r w:rsidR="001B52B8">
        <w:t>counts</w:t>
      </w:r>
      <w:r w:rsidR="00F20CB6">
        <w:t xml:space="preserve"> during data collection and </w:t>
      </w:r>
      <w:r w:rsidR="00B31768">
        <w:t xml:space="preserve">propose utilizing the back-up sample at the mid-point of data collection (week 4) if </w:t>
      </w:r>
      <w:r w:rsidR="00FC7B44">
        <w:t>the response patterns suggest</w:t>
      </w:r>
      <w:r w:rsidR="003E517F">
        <w:t xml:space="preserve"> we </w:t>
      </w:r>
      <w:r w:rsidR="00FC7B44">
        <w:t xml:space="preserve">will </w:t>
      </w:r>
      <w:r w:rsidR="003E517F">
        <w:t xml:space="preserve">not meet the goal of 2000 completed cases. </w:t>
      </w:r>
      <w:r w:rsidRPr="005C06F0">
        <w:t xml:space="preserve">The sample size was calculated using </w:t>
      </w:r>
      <w:r>
        <w:t>(</w:t>
      </w:r>
      <w:r w:rsidRPr="005C06F0">
        <w:t xml:space="preserve">1) a 95 percent confidence level, </w:t>
      </w:r>
      <w:r>
        <w:t>(</w:t>
      </w:r>
      <w:r w:rsidRPr="005C06F0">
        <w:t xml:space="preserve">2) a 5 percent margin of error, </w:t>
      </w:r>
      <w:r>
        <w:t>(</w:t>
      </w:r>
      <w:r w:rsidRPr="005C06F0">
        <w:t>3) an approximated design effect of 1.</w:t>
      </w:r>
      <w:r>
        <w:t>25</w:t>
      </w:r>
      <w:r w:rsidRPr="005C06F0">
        <w:t xml:space="preserve"> </w:t>
      </w:r>
      <w:r>
        <w:t>to account for weighting adjustments due to nonresponse, and (4) an</w:t>
      </w:r>
      <w:r w:rsidRPr="005C06F0">
        <w:t xml:space="preserve"> estimated nonresponse rate of </w:t>
      </w:r>
      <w:r>
        <w:t>50</w:t>
      </w:r>
      <w:r w:rsidRPr="005C06F0">
        <w:t xml:space="preserve"> percent. </w:t>
      </w:r>
      <w:r>
        <w:t>T</w:t>
      </w:r>
      <w:r w:rsidRPr="005C06F0">
        <w:t xml:space="preserve">he level of precision is adequate for the purpose of performance monitoring. Once client data are received from the </w:t>
      </w:r>
      <w:r>
        <w:t>87</w:t>
      </w:r>
      <w:r w:rsidRPr="005C06F0">
        <w:t xml:space="preserve"> </w:t>
      </w:r>
      <w:r>
        <w:t>WBCs</w:t>
      </w:r>
      <w:r w:rsidRPr="005C06F0">
        <w:t xml:space="preserve">, these statistics will be recalculated based on the actual population size and distribution between </w:t>
      </w:r>
      <w:r>
        <w:t xml:space="preserve">pre-venture and </w:t>
      </w:r>
      <w:r w:rsidRPr="005C06F0">
        <w:t xml:space="preserve">in-business clients. </w:t>
      </w:r>
      <w:r>
        <w:t>Prior to sampling, the sample frame will be reviewed for</w:t>
      </w:r>
      <w:r w:rsidRPr="00284706">
        <w:t xml:space="preserve"> duplicate cases</w:t>
      </w:r>
      <w:r>
        <w:t xml:space="preserve">; </w:t>
      </w:r>
      <w:r w:rsidRPr="00284706">
        <w:t>duplicate client</w:t>
      </w:r>
      <w:r>
        <w:t>s</w:t>
      </w:r>
      <w:r w:rsidRPr="00284706">
        <w:t xml:space="preserve"> </w:t>
      </w:r>
      <w:r>
        <w:t>will be</w:t>
      </w:r>
      <w:r w:rsidRPr="00284706">
        <w:t xml:space="preserve"> determined within each center using the client name, email address, and WBC name. </w:t>
      </w:r>
      <w:r>
        <w:t>Duplicates will be excluded from the final sample frame prior to sampling.</w:t>
      </w:r>
    </w:p>
    <w:p w14:paraId="3AF2D5F4" w14:textId="77777777" w:rsidR="00C26695" w:rsidRPr="005C06F0" w:rsidRDefault="00C26695" w:rsidP="00C26695">
      <w:pPr>
        <w:spacing w:line="276" w:lineRule="auto"/>
        <w:jc w:val="both"/>
      </w:pPr>
    </w:p>
    <w:p w14:paraId="1106C843" w14:textId="77777777" w:rsidR="00C26695" w:rsidRPr="00AD13D1" w:rsidRDefault="00C26695" w:rsidP="00C26695">
      <w:pPr>
        <w:pStyle w:val="Normalcontinued"/>
        <w:spacing w:line="240" w:lineRule="auto"/>
        <w:ind w:firstLine="720"/>
        <w:rPr>
          <w:b/>
          <w:szCs w:val="24"/>
          <w:highlight w:val="yellow"/>
        </w:rPr>
      </w:pPr>
      <w:r w:rsidRPr="00331424">
        <w:rPr>
          <w:b/>
          <w:szCs w:val="24"/>
        </w:rPr>
        <w:t>B.2.b Estimation procedure</w:t>
      </w:r>
      <w:r w:rsidRPr="00C777FE">
        <w:rPr>
          <w:b/>
          <w:szCs w:val="24"/>
        </w:rPr>
        <w:t xml:space="preserve"> and </w:t>
      </w:r>
      <w:r w:rsidRPr="00331424">
        <w:rPr>
          <w:b/>
          <w:szCs w:val="24"/>
        </w:rPr>
        <w:t>degree of accuracy needed for the purpose described in the justification</w:t>
      </w:r>
    </w:p>
    <w:p w14:paraId="4C3D64EB" w14:textId="77777777" w:rsidR="00C26695" w:rsidRPr="00AD13D1" w:rsidRDefault="00C26695" w:rsidP="00C26695">
      <w:pPr>
        <w:pStyle w:val="Normalcontinued"/>
        <w:spacing w:line="240" w:lineRule="auto"/>
        <w:ind w:firstLine="720"/>
        <w:rPr>
          <w:b/>
          <w:szCs w:val="24"/>
          <w:highlight w:val="yellow"/>
        </w:rPr>
      </w:pPr>
    </w:p>
    <w:p w14:paraId="6A555626" w14:textId="537BC201" w:rsidR="00C26695" w:rsidRDefault="00C26695" w:rsidP="00C26695">
      <w:pPr>
        <w:spacing w:line="276" w:lineRule="auto"/>
        <w:ind w:firstLine="720"/>
        <w:jc w:val="both"/>
      </w:pPr>
      <w:r w:rsidRPr="005C06F0">
        <w:t>The survey estimates</w:t>
      </w:r>
      <w:r w:rsidR="00DD1EF2">
        <w:t>, which are descriptive statistics,</w:t>
      </w:r>
      <w:r w:rsidRPr="005C06F0">
        <w:t xml:space="preserve"> will be derived by weighting responses to account for nonresponse and the adjusted probability of selection into the sample. The data will be weighted to adjust for client and business characteristics that influence outcomes provided with the client frame data, such as industry</w:t>
      </w:r>
      <w:r w:rsidR="000B1376">
        <w:t xml:space="preserve">, </w:t>
      </w:r>
      <w:r w:rsidRPr="005C06F0">
        <w:t>race</w:t>
      </w:r>
      <w:r w:rsidR="000B1376">
        <w:t xml:space="preserve"> and gender</w:t>
      </w:r>
      <w:r w:rsidRPr="005C06F0">
        <w:t xml:space="preserve">. </w:t>
      </w:r>
      <w:r w:rsidR="000B1376">
        <w:t>These characteristics were used in the past</w:t>
      </w:r>
      <w:r w:rsidR="002006E5">
        <w:t xml:space="preserve"> and determined to be the most appropriate. </w:t>
      </w:r>
      <w:r>
        <w:t>The data</w:t>
      </w:r>
      <w:r w:rsidRPr="005C06F0">
        <w:t xml:space="preserve"> will also be weighted to adjust for the actual proportions of pre-venture and in-business clients in the universe. Ultimately, the above methodology will allow adequate population estimates and adequate estimates within the designated strata. </w:t>
      </w:r>
      <w:r w:rsidR="00B3749F">
        <w:t>Our design should provide us with 95% confidence intervals of +/- 3 percentage points or better for binary outcomes overall and +/- 7 percentage points or better for binary outcomes for strata with 250 or more completes.</w:t>
      </w:r>
    </w:p>
    <w:p w14:paraId="66D6D448" w14:textId="77777777" w:rsidR="00C26695" w:rsidRPr="005C06F0" w:rsidRDefault="00C26695" w:rsidP="00C26695">
      <w:pPr>
        <w:spacing w:line="276" w:lineRule="auto"/>
        <w:ind w:firstLine="720"/>
        <w:jc w:val="both"/>
      </w:pPr>
    </w:p>
    <w:p w14:paraId="5A9ABE3F" w14:textId="77777777" w:rsidR="00C26695" w:rsidRPr="00331424" w:rsidRDefault="00C26695" w:rsidP="00C26695">
      <w:pPr>
        <w:pStyle w:val="Normalcontinued"/>
        <w:spacing w:line="240" w:lineRule="auto"/>
        <w:ind w:firstLine="720"/>
      </w:pPr>
      <w:r w:rsidRPr="00331424">
        <w:rPr>
          <w:b/>
          <w:szCs w:val="24"/>
        </w:rPr>
        <w:t>B.2.</w:t>
      </w:r>
      <w:r>
        <w:rPr>
          <w:b/>
          <w:szCs w:val="24"/>
        </w:rPr>
        <w:t>c</w:t>
      </w:r>
      <w:r w:rsidRPr="00331424">
        <w:rPr>
          <w:b/>
          <w:szCs w:val="24"/>
        </w:rPr>
        <w:t xml:space="preserve"> Unusual problems requiring specialized sampling procedures</w:t>
      </w:r>
    </w:p>
    <w:p w14:paraId="7D816CE5" w14:textId="77777777" w:rsidR="00C26695" w:rsidRPr="00331424" w:rsidRDefault="00C26695" w:rsidP="00C26695">
      <w:pPr>
        <w:spacing w:before="240" w:after="240" w:line="276" w:lineRule="auto"/>
        <w:ind w:firstLine="720"/>
        <w:jc w:val="both"/>
        <w:rPr>
          <w:b/>
          <w:szCs w:val="24"/>
        </w:rPr>
      </w:pPr>
      <w:r w:rsidRPr="00331424">
        <w:rPr>
          <w:szCs w:val="24"/>
        </w:rPr>
        <w:t>SBA does not anticipate unusual problems that require the usage of specialized sampling procedures.</w:t>
      </w:r>
    </w:p>
    <w:p w14:paraId="693B909D" w14:textId="77777777" w:rsidR="00C26695" w:rsidRPr="00331424" w:rsidRDefault="00C26695" w:rsidP="00C26695">
      <w:pPr>
        <w:pStyle w:val="Normalcontinued"/>
        <w:spacing w:line="240" w:lineRule="auto"/>
        <w:ind w:left="720"/>
        <w:rPr>
          <w:b/>
          <w:szCs w:val="24"/>
        </w:rPr>
      </w:pPr>
      <w:r w:rsidRPr="00331424">
        <w:rPr>
          <w:b/>
          <w:szCs w:val="24"/>
        </w:rPr>
        <w:t>B.2.</w:t>
      </w:r>
      <w:r>
        <w:rPr>
          <w:b/>
          <w:szCs w:val="24"/>
        </w:rPr>
        <w:t>d</w:t>
      </w:r>
      <w:r w:rsidRPr="00331424">
        <w:rPr>
          <w:b/>
          <w:szCs w:val="24"/>
        </w:rPr>
        <w:t xml:space="preserve"> Any use of periodic (less frequent than annual) data collection cycles to reduce burden</w:t>
      </w:r>
      <w:r w:rsidRPr="00331424">
        <w:rPr>
          <w:b/>
          <w:szCs w:val="24"/>
        </w:rPr>
        <w:br/>
      </w:r>
    </w:p>
    <w:p w14:paraId="2D27C7F4" w14:textId="77777777" w:rsidR="00C26695" w:rsidRDefault="00C26695" w:rsidP="00C26695">
      <w:pPr>
        <w:pStyle w:val="Normalcontinued"/>
        <w:spacing w:after="240" w:line="276" w:lineRule="auto"/>
        <w:ind w:firstLine="720"/>
        <w:jc w:val="both"/>
        <w:rPr>
          <w:szCs w:val="24"/>
        </w:rPr>
      </w:pPr>
      <w:r w:rsidRPr="003C390D">
        <w:rPr>
          <w:szCs w:val="24"/>
        </w:rPr>
        <w:t>SBA does not plan to use data collection cycles that are less frequent than annual. Data collection will be conducted annually.</w:t>
      </w:r>
      <w:r>
        <w:rPr>
          <w:szCs w:val="24"/>
        </w:rPr>
        <w:t xml:space="preserve"> </w:t>
      </w:r>
    </w:p>
    <w:p w14:paraId="6A2EAB36" w14:textId="77777777" w:rsidR="00C26695" w:rsidRPr="00331424" w:rsidRDefault="00C26695" w:rsidP="00C26695">
      <w:pPr>
        <w:ind w:firstLine="720"/>
        <w:rPr>
          <w:b/>
          <w:szCs w:val="24"/>
        </w:rPr>
      </w:pPr>
      <w:r w:rsidRPr="00331424">
        <w:rPr>
          <w:b/>
          <w:szCs w:val="24"/>
        </w:rPr>
        <w:t>B.2.e General data collection procedures</w:t>
      </w:r>
    </w:p>
    <w:p w14:paraId="1B6B3313" w14:textId="4DCE73C2" w:rsidR="00C26695" w:rsidRDefault="00C26695" w:rsidP="00C26695">
      <w:pPr>
        <w:spacing w:after="240" w:line="276" w:lineRule="auto"/>
        <w:ind w:firstLine="720"/>
        <w:jc w:val="both"/>
        <w:rPr>
          <w:szCs w:val="24"/>
        </w:rPr>
      </w:pPr>
      <w:r w:rsidRPr="00D368BA">
        <w:rPr>
          <w:szCs w:val="24"/>
        </w:rPr>
        <w:t xml:space="preserve">A new sample </w:t>
      </w:r>
      <w:r>
        <w:rPr>
          <w:szCs w:val="24"/>
        </w:rPr>
        <w:t xml:space="preserve">will be </w:t>
      </w:r>
      <w:r w:rsidRPr="00D368BA">
        <w:rPr>
          <w:szCs w:val="24"/>
        </w:rPr>
        <w:t>drawn in each survey cycle</w:t>
      </w:r>
      <w:r>
        <w:rPr>
          <w:szCs w:val="24"/>
        </w:rPr>
        <w:t>.</w:t>
      </w:r>
      <w:r w:rsidRPr="00D368BA">
        <w:rPr>
          <w:szCs w:val="24"/>
        </w:rPr>
        <w:t xml:space="preserve"> </w:t>
      </w:r>
      <w:r>
        <w:rPr>
          <w:szCs w:val="24"/>
        </w:rPr>
        <w:t>WBC clients</w:t>
      </w:r>
      <w:r w:rsidRPr="00D368BA">
        <w:rPr>
          <w:szCs w:val="24"/>
        </w:rPr>
        <w:t xml:space="preserve"> may be randomly selected. A stratified random sample based on the </w:t>
      </w:r>
      <w:r>
        <w:rPr>
          <w:szCs w:val="24"/>
        </w:rPr>
        <w:t xml:space="preserve">factors </w:t>
      </w:r>
      <w:r w:rsidRPr="00D368BA">
        <w:rPr>
          <w:szCs w:val="24"/>
        </w:rPr>
        <w:t>identified above</w:t>
      </w:r>
      <w:r>
        <w:rPr>
          <w:szCs w:val="24"/>
        </w:rPr>
        <w:t xml:space="preserve"> (WBC and business status) </w:t>
      </w:r>
      <w:r w:rsidRPr="00D368BA">
        <w:rPr>
          <w:szCs w:val="24"/>
        </w:rPr>
        <w:t>is used to obtain the most representative data possible.</w:t>
      </w:r>
    </w:p>
    <w:p w14:paraId="1125B026" w14:textId="42550A18" w:rsidR="00FC4533" w:rsidRDefault="00FC4533" w:rsidP="00FC4533">
      <w:pPr>
        <w:spacing w:after="240" w:line="276" w:lineRule="auto"/>
        <w:jc w:val="both"/>
        <w:rPr>
          <w:szCs w:val="24"/>
        </w:rPr>
      </w:pPr>
      <w:r>
        <w:rPr>
          <w:szCs w:val="24"/>
        </w:rPr>
        <w:t>Below is the proposed schedule for this study:</w:t>
      </w:r>
    </w:p>
    <w:tbl>
      <w:tblPr>
        <w:tblStyle w:val="TableGrid"/>
        <w:tblW w:w="7215" w:type="dxa"/>
        <w:jc w:val="center"/>
        <w:tblLayout w:type="fixed"/>
        <w:tblLook w:val="04A0" w:firstRow="1" w:lastRow="0" w:firstColumn="1" w:lastColumn="0" w:noHBand="0" w:noVBand="1"/>
      </w:tblPr>
      <w:tblGrid>
        <w:gridCol w:w="5279"/>
        <w:gridCol w:w="1936"/>
      </w:tblGrid>
      <w:tr w:rsidR="00C42EDB" w:rsidRPr="00F85B3E" w14:paraId="19D28045" w14:textId="77777777" w:rsidTr="005669A6">
        <w:trPr>
          <w:jc w:val="center"/>
        </w:trPr>
        <w:tc>
          <w:tcPr>
            <w:tcW w:w="5279" w:type="dxa"/>
            <w:shd w:val="clear" w:color="auto" w:fill="ACB9CA" w:themeFill="text2" w:themeFillTint="66"/>
          </w:tcPr>
          <w:p w14:paraId="6072F396" w14:textId="77777777" w:rsidR="00C42EDB" w:rsidRPr="00F85B3E" w:rsidRDefault="00C42EDB" w:rsidP="005669A6">
            <w:pPr>
              <w:spacing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Task: Study and Survey Design</w:t>
            </w:r>
          </w:p>
        </w:tc>
        <w:tc>
          <w:tcPr>
            <w:tcW w:w="1936" w:type="dxa"/>
            <w:shd w:val="clear" w:color="auto" w:fill="ACB9CA" w:themeFill="text2" w:themeFillTint="66"/>
          </w:tcPr>
          <w:p w14:paraId="34F799C2"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Date</w:t>
            </w:r>
          </w:p>
        </w:tc>
      </w:tr>
      <w:tr w:rsidR="00C42EDB" w:rsidRPr="00F85B3E" w14:paraId="7FE7A757" w14:textId="77777777" w:rsidTr="005669A6">
        <w:trPr>
          <w:jc w:val="center"/>
        </w:trPr>
        <w:tc>
          <w:tcPr>
            <w:tcW w:w="5279" w:type="dxa"/>
          </w:tcPr>
          <w:p w14:paraId="3B8F93E9"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60-day notice in Federal Register</w:t>
            </w:r>
          </w:p>
        </w:tc>
        <w:tc>
          <w:tcPr>
            <w:tcW w:w="1936" w:type="dxa"/>
          </w:tcPr>
          <w:p w14:paraId="0E2A1801"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10/29/2018</w:t>
            </w:r>
          </w:p>
        </w:tc>
      </w:tr>
      <w:tr w:rsidR="00C42EDB" w:rsidRPr="00F85B3E" w14:paraId="3A68D6F1" w14:textId="77777777" w:rsidTr="005669A6">
        <w:trPr>
          <w:jc w:val="center"/>
        </w:trPr>
        <w:tc>
          <w:tcPr>
            <w:tcW w:w="5279" w:type="dxa"/>
          </w:tcPr>
          <w:p w14:paraId="750BB1A8"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Draft OMB Materials </w:t>
            </w:r>
          </w:p>
        </w:tc>
        <w:tc>
          <w:tcPr>
            <w:tcW w:w="1936" w:type="dxa"/>
          </w:tcPr>
          <w:p w14:paraId="5CAB8060"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11/16/2018</w:t>
            </w:r>
          </w:p>
        </w:tc>
      </w:tr>
      <w:tr w:rsidR="00C42EDB" w:rsidRPr="00F85B3E" w14:paraId="6ED28A24" w14:textId="77777777" w:rsidTr="005669A6">
        <w:trPr>
          <w:jc w:val="center"/>
        </w:trPr>
        <w:tc>
          <w:tcPr>
            <w:tcW w:w="5279" w:type="dxa"/>
          </w:tcPr>
          <w:p w14:paraId="630A9CE3"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Final OMB Materials </w:t>
            </w:r>
          </w:p>
        </w:tc>
        <w:tc>
          <w:tcPr>
            <w:tcW w:w="1936" w:type="dxa"/>
          </w:tcPr>
          <w:p w14:paraId="2931994B"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2/8/2019</w:t>
            </w:r>
          </w:p>
        </w:tc>
      </w:tr>
      <w:tr w:rsidR="00C42EDB" w:rsidRPr="00F85B3E" w14:paraId="1ED6BC0D" w14:textId="77777777" w:rsidTr="005669A6">
        <w:trPr>
          <w:jc w:val="center"/>
        </w:trPr>
        <w:tc>
          <w:tcPr>
            <w:tcW w:w="5279" w:type="dxa"/>
          </w:tcPr>
          <w:p w14:paraId="1E0A7440"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SBA sends OMB materials for approval</w:t>
            </w:r>
          </w:p>
        </w:tc>
        <w:tc>
          <w:tcPr>
            <w:tcW w:w="1936" w:type="dxa"/>
          </w:tcPr>
          <w:p w14:paraId="121A87C1"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4/16/2019</w:t>
            </w:r>
          </w:p>
        </w:tc>
      </w:tr>
      <w:tr w:rsidR="00C42EDB" w:rsidRPr="00F85B3E" w14:paraId="548E87CB" w14:textId="77777777" w:rsidTr="005669A6">
        <w:trPr>
          <w:jc w:val="center"/>
        </w:trPr>
        <w:tc>
          <w:tcPr>
            <w:tcW w:w="5279" w:type="dxa"/>
          </w:tcPr>
          <w:p w14:paraId="2EF8F665"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30-day notice in Federal Register</w:t>
            </w:r>
          </w:p>
        </w:tc>
        <w:tc>
          <w:tcPr>
            <w:tcW w:w="1936" w:type="dxa"/>
          </w:tcPr>
          <w:p w14:paraId="201158F6"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4/16/2019</w:t>
            </w:r>
          </w:p>
        </w:tc>
      </w:tr>
      <w:tr w:rsidR="00C42EDB" w:rsidRPr="00F85B3E" w14:paraId="13BA450F" w14:textId="77777777" w:rsidTr="005669A6">
        <w:trPr>
          <w:jc w:val="center"/>
        </w:trPr>
        <w:tc>
          <w:tcPr>
            <w:tcW w:w="5279" w:type="dxa"/>
          </w:tcPr>
          <w:p w14:paraId="7AFC59F3"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OMB notifies SBA of approval </w:t>
            </w:r>
          </w:p>
        </w:tc>
        <w:tc>
          <w:tcPr>
            <w:tcW w:w="1936" w:type="dxa"/>
          </w:tcPr>
          <w:p w14:paraId="3E13AC00"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9/27</w:t>
            </w:r>
            <w:r w:rsidRPr="00F85B3E">
              <w:rPr>
                <w:rFonts w:asciiTheme="majorBidi" w:eastAsiaTheme="minorHAnsi" w:hAnsiTheme="majorBidi" w:cstheme="majorBidi"/>
                <w:sz w:val="22"/>
                <w:szCs w:val="22"/>
              </w:rPr>
              <w:t>/2019</w:t>
            </w:r>
          </w:p>
        </w:tc>
      </w:tr>
      <w:tr w:rsidR="00C42EDB" w:rsidRPr="00F85B3E" w14:paraId="3D4FB375" w14:textId="77777777" w:rsidTr="005669A6">
        <w:trPr>
          <w:jc w:val="center"/>
        </w:trPr>
        <w:tc>
          <w:tcPr>
            <w:tcW w:w="5279" w:type="dxa"/>
            <w:shd w:val="clear" w:color="auto" w:fill="ACB9CA" w:themeFill="text2" w:themeFillTint="66"/>
          </w:tcPr>
          <w:p w14:paraId="6BF807BE"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bookmarkStart w:id="9" w:name="_Hlk528580875"/>
            <w:r w:rsidRPr="00F85B3E">
              <w:rPr>
                <w:rFonts w:asciiTheme="majorBidi" w:eastAsiaTheme="minorHAnsi" w:hAnsiTheme="majorBidi" w:cstheme="majorBidi"/>
                <w:sz w:val="22"/>
                <w:szCs w:val="22"/>
              </w:rPr>
              <w:t>Task: Build Sample Frame</w:t>
            </w:r>
          </w:p>
        </w:tc>
        <w:tc>
          <w:tcPr>
            <w:tcW w:w="1936" w:type="dxa"/>
            <w:shd w:val="clear" w:color="auto" w:fill="ACB9CA" w:themeFill="text2" w:themeFillTint="66"/>
          </w:tcPr>
          <w:p w14:paraId="254E062D"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p>
        </w:tc>
      </w:tr>
      <w:bookmarkEnd w:id="9"/>
      <w:tr w:rsidR="00C42EDB" w:rsidRPr="00F85B3E" w14:paraId="3C9B47D9" w14:textId="77777777" w:rsidTr="005669A6">
        <w:trPr>
          <w:jc w:val="center"/>
        </w:trPr>
        <w:tc>
          <w:tcPr>
            <w:tcW w:w="5279" w:type="dxa"/>
          </w:tcPr>
          <w:p w14:paraId="35A45171"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Letter and template to WBCs </w:t>
            </w:r>
          </w:p>
        </w:tc>
        <w:tc>
          <w:tcPr>
            <w:tcW w:w="1936" w:type="dxa"/>
          </w:tcPr>
          <w:p w14:paraId="7BD52FE4"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10/1</w:t>
            </w:r>
            <w:r w:rsidRPr="00F85B3E">
              <w:rPr>
                <w:rFonts w:asciiTheme="majorBidi" w:eastAsiaTheme="minorHAnsi" w:hAnsiTheme="majorBidi" w:cstheme="majorBidi"/>
                <w:sz w:val="22"/>
                <w:szCs w:val="22"/>
              </w:rPr>
              <w:t>/2019</w:t>
            </w:r>
          </w:p>
        </w:tc>
      </w:tr>
      <w:tr w:rsidR="00C42EDB" w:rsidRPr="00F85B3E" w14:paraId="5ADD9019" w14:textId="77777777" w:rsidTr="005669A6">
        <w:trPr>
          <w:jc w:val="center"/>
        </w:trPr>
        <w:tc>
          <w:tcPr>
            <w:tcW w:w="5279" w:type="dxa"/>
          </w:tcPr>
          <w:p w14:paraId="2C2019CA"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Reminder email to WBCs</w:t>
            </w:r>
          </w:p>
        </w:tc>
        <w:tc>
          <w:tcPr>
            <w:tcW w:w="1936" w:type="dxa"/>
          </w:tcPr>
          <w:p w14:paraId="668A1892"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10/8</w:t>
            </w:r>
            <w:r w:rsidRPr="00F85B3E">
              <w:rPr>
                <w:rFonts w:asciiTheme="majorBidi" w:eastAsiaTheme="minorHAnsi" w:hAnsiTheme="majorBidi" w:cstheme="majorBidi"/>
                <w:sz w:val="22"/>
                <w:szCs w:val="22"/>
              </w:rPr>
              <w:t>/2019</w:t>
            </w:r>
          </w:p>
        </w:tc>
      </w:tr>
      <w:tr w:rsidR="00C42EDB" w:rsidRPr="00F85B3E" w14:paraId="5FF57113" w14:textId="77777777" w:rsidTr="005669A6">
        <w:trPr>
          <w:jc w:val="center"/>
        </w:trPr>
        <w:tc>
          <w:tcPr>
            <w:tcW w:w="5279" w:type="dxa"/>
          </w:tcPr>
          <w:p w14:paraId="00EE00FA"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SBA sends 2M completed templates for sample frame</w:t>
            </w:r>
          </w:p>
        </w:tc>
        <w:tc>
          <w:tcPr>
            <w:tcW w:w="1936" w:type="dxa"/>
          </w:tcPr>
          <w:p w14:paraId="45A82DE5"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10/29</w:t>
            </w:r>
            <w:r w:rsidRPr="00F85B3E">
              <w:rPr>
                <w:rFonts w:asciiTheme="majorBidi" w:eastAsiaTheme="minorHAnsi" w:hAnsiTheme="majorBidi" w:cstheme="majorBidi"/>
                <w:sz w:val="22"/>
                <w:szCs w:val="22"/>
              </w:rPr>
              <w:t>/2019</w:t>
            </w:r>
          </w:p>
        </w:tc>
      </w:tr>
      <w:tr w:rsidR="00C42EDB" w:rsidRPr="00F85B3E" w14:paraId="5D6115BA" w14:textId="77777777" w:rsidTr="005669A6">
        <w:trPr>
          <w:jc w:val="center"/>
        </w:trPr>
        <w:tc>
          <w:tcPr>
            <w:tcW w:w="5279" w:type="dxa"/>
          </w:tcPr>
          <w:p w14:paraId="65FFC4C2"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Select sample</w:t>
            </w:r>
          </w:p>
        </w:tc>
        <w:tc>
          <w:tcPr>
            <w:tcW w:w="1936" w:type="dxa"/>
          </w:tcPr>
          <w:p w14:paraId="202C4508"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11/4</w:t>
            </w:r>
            <w:r w:rsidRPr="00F85B3E">
              <w:rPr>
                <w:rFonts w:asciiTheme="majorBidi" w:eastAsiaTheme="minorHAnsi" w:hAnsiTheme="majorBidi" w:cstheme="majorBidi"/>
                <w:sz w:val="22"/>
                <w:szCs w:val="22"/>
              </w:rPr>
              <w:t>/2019</w:t>
            </w:r>
          </w:p>
        </w:tc>
      </w:tr>
      <w:tr w:rsidR="00C42EDB" w:rsidRPr="00F85B3E" w14:paraId="1FD782C9" w14:textId="77777777" w:rsidTr="005669A6">
        <w:trPr>
          <w:jc w:val="center"/>
        </w:trPr>
        <w:tc>
          <w:tcPr>
            <w:tcW w:w="5279" w:type="dxa"/>
            <w:shd w:val="clear" w:color="auto" w:fill="ACB9CA" w:themeFill="text2" w:themeFillTint="66"/>
          </w:tcPr>
          <w:p w14:paraId="708B67E5"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bookmarkStart w:id="10" w:name="_Hlk528581065"/>
            <w:r w:rsidRPr="00F85B3E">
              <w:rPr>
                <w:rFonts w:asciiTheme="majorBidi" w:eastAsiaTheme="minorHAnsi" w:hAnsiTheme="majorBidi" w:cstheme="majorBidi"/>
                <w:sz w:val="22"/>
                <w:szCs w:val="22"/>
              </w:rPr>
              <w:t>Task: Data Collection</w:t>
            </w:r>
          </w:p>
        </w:tc>
        <w:tc>
          <w:tcPr>
            <w:tcW w:w="1936" w:type="dxa"/>
            <w:shd w:val="clear" w:color="auto" w:fill="ACB9CA" w:themeFill="text2" w:themeFillTint="66"/>
          </w:tcPr>
          <w:p w14:paraId="2F1DA88A"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p>
        </w:tc>
      </w:tr>
      <w:bookmarkEnd w:id="10"/>
      <w:tr w:rsidR="00C42EDB" w:rsidRPr="00F85B3E" w14:paraId="6FA16FC6" w14:textId="77777777" w:rsidTr="005669A6">
        <w:trPr>
          <w:jc w:val="center"/>
        </w:trPr>
        <w:tc>
          <w:tcPr>
            <w:tcW w:w="5279" w:type="dxa"/>
            <w:tcBorders>
              <w:bottom w:val="single" w:sz="4" w:space="0" w:color="auto"/>
            </w:tcBorders>
          </w:tcPr>
          <w:p w14:paraId="29C12BE4"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Introductory letter to sampled clients</w:t>
            </w:r>
          </w:p>
        </w:tc>
        <w:tc>
          <w:tcPr>
            <w:tcW w:w="1936" w:type="dxa"/>
            <w:tcBorders>
              <w:bottom w:val="single" w:sz="4" w:space="0" w:color="auto"/>
            </w:tcBorders>
          </w:tcPr>
          <w:p w14:paraId="72BD9F9E"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11/6</w:t>
            </w:r>
            <w:r w:rsidRPr="00F85B3E">
              <w:rPr>
                <w:rFonts w:asciiTheme="majorBidi" w:eastAsiaTheme="minorHAnsi" w:hAnsiTheme="majorBidi" w:cstheme="majorBidi"/>
                <w:sz w:val="22"/>
                <w:szCs w:val="22"/>
              </w:rPr>
              <w:t>/2019</w:t>
            </w:r>
          </w:p>
        </w:tc>
      </w:tr>
      <w:tr w:rsidR="00C42EDB" w:rsidRPr="00F85B3E" w14:paraId="06F62C41" w14:textId="77777777" w:rsidTr="005669A6">
        <w:trPr>
          <w:jc w:val="center"/>
        </w:trPr>
        <w:tc>
          <w:tcPr>
            <w:tcW w:w="5279" w:type="dxa"/>
            <w:shd w:val="clear" w:color="auto" w:fill="auto"/>
          </w:tcPr>
          <w:p w14:paraId="1F49F70B"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Email invitation with web link</w:t>
            </w:r>
          </w:p>
        </w:tc>
        <w:tc>
          <w:tcPr>
            <w:tcW w:w="1936" w:type="dxa"/>
          </w:tcPr>
          <w:p w14:paraId="73971B10"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11/11</w:t>
            </w:r>
            <w:r w:rsidRPr="00F85B3E">
              <w:rPr>
                <w:rFonts w:asciiTheme="majorBidi" w:eastAsiaTheme="minorHAnsi" w:hAnsiTheme="majorBidi" w:cstheme="majorBidi"/>
                <w:sz w:val="22"/>
                <w:szCs w:val="22"/>
              </w:rPr>
              <w:t>/2019</w:t>
            </w:r>
          </w:p>
        </w:tc>
      </w:tr>
      <w:tr w:rsidR="00C42EDB" w:rsidRPr="00F85B3E" w14:paraId="0F5F90BD" w14:textId="77777777" w:rsidTr="005669A6">
        <w:trPr>
          <w:jc w:val="center"/>
        </w:trPr>
        <w:tc>
          <w:tcPr>
            <w:tcW w:w="5279" w:type="dxa"/>
            <w:shd w:val="clear" w:color="auto" w:fill="auto"/>
          </w:tcPr>
          <w:p w14:paraId="2D0C5B68"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1</w:t>
            </w:r>
            <w:r w:rsidRPr="00F85B3E">
              <w:rPr>
                <w:rFonts w:asciiTheme="majorBidi" w:eastAsiaTheme="minorHAnsi" w:hAnsiTheme="majorBidi" w:cstheme="majorBidi"/>
                <w:sz w:val="22"/>
                <w:szCs w:val="22"/>
                <w:vertAlign w:val="superscript"/>
              </w:rPr>
              <w:t>st</w:t>
            </w:r>
            <w:r w:rsidRPr="00F85B3E">
              <w:rPr>
                <w:rFonts w:asciiTheme="majorBidi" w:eastAsiaTheme="minorHAnsi" w:hAnsiTheme="majorBidi" w:cstheme="majorBidi"/>
                <w:sz w:val="22"/>
                <w:szCs w:val="22"/>
              </w:rPr>
              <w:t xml:space="preserve"> email prompt</w:t>
            </w:r>
          </w:p>
        </w:tc>
        <w:tc>
          <w:tcPr>
            <w:tcW w:w="1936" w:type="dxa"/>
          </w:tcPr>
          <w:p w14:paraId="4E1B7B8C"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11/18</w:t>
            </w:r>
            <w:r w:rsidRPr="00F85B3E">
              <w:rPr>
                <w:rFonts w:asciiTheme="majorBidi" w:eastAsiaTheme="minorHAnsi" w:hAnsiTheme="majorBidi" w:cstheme="majorBidi"/>
                <w:sz w:val="22"/>
                <w:szCs w:val="22"/>
              </w:rPr>
              <w:t>/2019</w:t>
            </w:r>
          </w:p>
        </w:tc>
      </w:tr>
      <w:tr w:rsidR="00C42EDB" w:rsidRPr="00F85B3E" w14:paraId="70562960" w14:textId="77777777" w:rsidTr="005669A6">
        <w:trPr>
          <w:jc w:val="center"/>
        </w:trPr>
        <w:tc>
          <w:tcPr>
            <w:tcW w:w="5279" w:type="dxa"/>
            <w:shd w:val="clear" w:color="auto" w:fill="auto"/>
          </w:tcPr>
          <w:p w14:paraId="60406532"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2</w:t>
            </w:r>
            <w:r w:rsidRPr="00F85B3E">
              <w:rPr>
                <w:rFonts w:asciiTheme="majorBidi" w:eastAsiaTheme="minorHAnsi" w:hAnsiTheme="majorBidi" w:cstheme="majorBidi"/>
                <w:sz w:val="22"/>
                <w:szCs w:val="22"/>
                <w:vertAlign w:val="superscript"/>
              </w:rPr>
              <w:t>nd</w:t>
            </w:r>
            <w:r w:rsidRPr="00F85B3E">
              <w:rPr>
                <w:rFonts w:asciiTheme="majorBidi" w:eastAsiaTheme="minorHAnsi" w:hAnsiTheme="majorBidi" w:cstheme="majorBidi"/>
                <w:sz w:val="22"/>
                <w:szCs w:val="22"/>
              </w:rPr>
              <w:t xml:space="preserve"> email prompt</w:t>
            </w:r>
          </w:p>
        </w:tc>
        <w:tc>
          <w:tcPr>
            <w:tcW w:w="1936" w:type="dxa"/>
          </w:tcPr>
          <w:p w14:paraId="21771465"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11/25</w:t>
            </w:r>
            <w:r w:rsidRPr="00F85B3E">
              <w:rPr>
                <w:rFonts w:asciiTheme="majorBidi" w:eastAsiaTheme="minorHAnsi" w:hAnsiTheme="majorBidi" w:cstheme="majorBidi"/>
                <w:sz w:val="22"/>
                <w:szCs w:val="22"/>
              </w:rPr>
              <w:t>/2019</w:t>
            </w:r>
          </w:p>
        </w:tc>
      </w:tr>
      <w:tr w:rsidR="00C42EDB" w:rsidRPr="00F85B3E" w14:paraId="7F44CF78" w14:textId="77777777" w:rsidTr="005669A6">
        <w:trPr>
          <w:jc w:val="center"/>
        </w:trPr>
        <w:tc>
          <w:tcPr>
            <w:tcW w:w="5279" w:type="dxa"/>
            <w:shd w:val="clear" w:color="auto" w:fill="auto"/>
          </w:tcPr>
          <w:p w14:paraId="347E3B0A"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3</w:t>
            </w:r>
            <w:r w:rsidRPr="00F85B3E">
              <w:rPr>
                <w:rFonts w:asciiTheme="majorBidi" w:eastAsiaTheme="minorHAnsi" w:hAnsiTheme="majorBidi" w:cstheme="majorBidi"/>
                <w:sz w:val="22"/>
                <w:szCs w:val="22"/>
                <w:vertAlign w:val="superscript"/>
              </w:rPr>
              <w:t>rd</w:t>
            </w:r>
            <w:r w:rsidRPr="00F85B3E">
              <w:rPr>
                <w:rFonts w:asciiTheme="majorBidi" w:eastAsiaTheme="minorHAnsi" w:hAnsiTheme="majorBidi" w:cstheme="majorBidi"/>
                <w:sz w:val="22"/>
                <w:szCs w:val="22"/>
              </w:rPr>
              <w:t xml:space="preserve"> email prompt</w:t>
            </w:r>
          </w:p>
        </w:tc>
        <w:tc>
          <w:tcPr>
            <w:tcW w:w="1936" w:type="dxa"/>
          </w:tcPr>
          <w:p w14:paraId="69ABCF83"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12/2</w:t>
            </w:r>
            <w:r w:rsidRPr="00F85B3E">
              <w:rPr>
                <w:rFonts w:asciiTheme="majorBidi" w:eastAsiaTheme="minorHAnsi" w:hAnsiTheme="majorBidi" w:cstheme="majorBidi"/>
                <w:sz w:val="22"/>
                <w:szCs w:val="22"/>
              </w:rPr>
              <w:t>/2019</w:t>
            </w:r>
          </w:p>
        </w:tc>
      </w:tr>
      <w:tr w:rsidR="00C42EDB" w:rsidRPr="00F85B3E" w14:paraId="15ED9D0B" w14:textId="77777777" w:rsidTr="005669A6">
        <w:trPr>
          <w:jc w:val="center"/>
        </w:trPr>
        <w:tc>
          <w:tcPr>
            <w:tcW w:w="5279" w:type="dxa"/>
            <w:shd w:val="clear" w:color="auto" w:fill="auto"/>
          </w:tcPr>
          <w:p w14:paraId="0DD82A9A"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Start telephone prompts</w:t>
            </w:r>
          </w:p>
        </w:tc>
        <w:tc>
          <w:tcPr>
            <w:tcW w:w="1936" w:type="dxa"/>
          </w:tcPr>
          <w:p w14:paraId="38E72119"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12/9</w:t>
            </w:r>
            <w:r w:rsidRPr="00F85B3E">
              <w:rPr>
                <w:rFonts w:asciiTheme="majorBidi" w:eastAsiaTheme="minorHAnsi" w:hAnsiTheme="majorBidi" w:cstheme="majorBidi"/>
                <w:sz w:val="22"/>
                <w:szCs w:val="22"/>
              </w:rPr>
              <w:t>/2019</w:t>
            </w:r>
          </w:p>
        </w:tc>
      </w:tr>
      <w:tr w:rsidR="00C42EDB" w:rsidRPr="00F85B3E" w14:paraId="3BC74C79" w14:textId="77777777" w:rsidTr="005669A6">
        <w:trPr>
          <w:jc w:val="center"/>
        </w:trPr>
        <w:tc>
          <w:tcPr>
            <w:tcW w:w="5279" w:type="dxa"/>
            <w:shd w:val="clear" w:color="auto" w:fill="auto"/>
          </w:tcPr>
          <w:p w14:paraId="57AE641E"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4</w:t>
            </w:r>
            <w:r w:rsidRPr="00F85B3E">
              <w:rPr>
                <w:rFonts w:asciiTheme="majorBidi" w:eastAsiaTheme="minorHAnsi" w:hAnsiTheme="majorBidi" w:cstheme="majorBidi"/>
                <w:sz w:val="22"/>
                <w:szCs w:val="22"/>
                <w:vertAlign w:val="superscript"/>
              </w:rPr>
              <w:t>th</w:t>
            </w:r>
            <w:r w:rsidRPr="00F85B3E">
              <w:rPr>
                <w:rFonts w:asciiTheme="majorBidi" w:eastAsiaTheme="minorHAnsi" w:hAnsiTheme="majorBidi" w:cstheme="majorBidi"/>
                <w:sz w:val="22"/>
                <w:szCs w:val="22"/>
              </w:rPr>
              <w:t xml:space="preserve"> email prompt</w:t>
            </w:r>
          </w:p>
        </w:tc>
        <w:tc>
          <w:tcPr>
            <w:tcW w:w="1936" w:type="dxa"/>
          </w:tcPr>
          <w:p w14:paraId="5843CAC8"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12/16</w:t>
            </w:r>
            <w:r w:rsidRPr="00F85B3E">
              <w:rPr>
                <w:rFonts w:asciiTheme="majorBidi" w:eastAsiaTheme="minorHAnsi" w:hAnsiTheme="majorBidi" w:cstheme="majorBidi"/>
                <w:sz w:val="22"/>
                <w:szCs w:val="22"/>
              </w:rPr>
              <w:t>/2019</w:t>
            </w:r>
          </w:p>
        </w:tc>
      </w:tr>
      <w:tr w:rsidR="00C42EDB" w:rsidRPr="00F85B3E" w14:paraId="7A25BAF6" w14:textId="77777777" w:rsidTr="005669A6">
        <w:trPr>
          <w:jc w:val="center"/>
        </w:trPr>
        <w:tc>
          <w:tcPr>
            <w:tcW w:w="5279" w:type="dxa"/>
            <w:shd w:val="clear" w:color="auto" w:fill="auto"/>
          </w:tcPr>
          <w:p w14:paraId="67CD946C"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Last email prompt</w:t>
            </w:r>
          </w:p>
        </w:tc>
        <w:tc>
          <w:tcPr>
            <w:tcW w:w="1936" w:type="dxa"/>
            <w:shd w:val="clear" w:color="auto" w:fill="auto"/>
          </w:tcPr>
          <w:p w14:paraId="54C3E49A"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12/23</w:t>
            </w:r>
            <w:r w:rsidRPr="00F85B3E">
              <w:rPr>
                <w:rFonts w:asciiTheme="majorBidi" w:eastAsiaTheme="minorHAnsi" w:hAnsiTheme="majorBidi" w:cstheme="majorBidi"/>
                <w:sz w:val="22"/>
                <w:szCs w:val="22"/>
              </w:rPr>
              <w:t>/2019</w:t>
            </w:r>
          </w:p>
        </w:tc>
      </w:tr>
      <w:tr w:rsidR="00C42EDB" w:rsidRPr="00F85B3E" w14:paraId="30DC69F2" w14:textId="77777777" w:rsidTr="005669A6">
        <w:trPr>
          <w:jc w:val="center"/>
        </w:trPr>
        <w:tc>
          <w:tcPr>
            <w:tcW w:w="5279" w:type="dxa"/>
            <w:shd w:val="clear" w:color="auto" w:fill="auto"/>
          </w:tcPr>
          <w:p w14:paraId="14827977"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Data collection ends</w:t>
            </w:r>
          </w:p>
        </w:tc>
        <w:tc>
          <w:tcPr>
            <w:tcW w:w="1936" w:type="dxa"/>
            <w:shd w:val="clear" w:color="auto" w:fill="auto"/>
          </w:tcPr>
          <w:p w14:paraId="6C7A74B6"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12/31</w:t>
            </w:r>
            <w:r w:rsidRPr="00F85B3E">
              <w:rPr>
                <w:rFonts w:asciiTheme="majorBidi" w:eastAsiaTheme="minorHAnsi" w:hAnsiTheme="majorBidi" w:cstheme="majorBidi"/>
                <w:sz w:val="22"/>
                <w:szCs w:val="22"/>
              </w:rPr>
              <w:t>/2019</w:t>
            </w:r>
          </w:p>
        </w:tc>
      </w:tr>
      <w:tr w:rsidR="00C42EDB" w:rsidRPr="00F85B3E" w14:paraId="4330A1F8" w14:textId="77777777" w:rsidTr="005669A6">
        <w:trPr>
          <w:jc w:val="center"/>
        </w:trPr>
        <w:tc>
          <w:tcPr>
            <w:tcW w:w="5279" w:type="dxa"/>
            <w:shd w:val="clear" w:color="auto" w:fill="ACB9CA" w:themeFill="text2" w:themeFillTint="66"/>
          </w:tcPr>
          <w:p w14:paraId="12D93E43"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Task: Data Delivery and Report</w:t>
            </w:r>
          </w:p>
        </w:tc>
        <w:tc>
          <w:tcPr>
            <w:tcW w:w="1936" w:type="dxa"/>
            <w:shd w:val="clear" w:color="auto" w:fill="ACB9CA" w:themeFill="text2" w:themeFillTint="66"/>
          </w:tcPr>
          <w:p w14:paraId="33363F8C"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p>
        </w:tc>
      </w:tr>
      <w:tr w:rsidR="00C42EDB" w:rsidRPr="00F85B3E" w14:paraId="45BACF4B" w14:textId="77777777" w:rsidTr="005669A6">
        <w:trPr>
          <w:jc w:val="center"/>
        </w:trPr>
        <w:tc>
          <w:tcPr>
            <w:tcW w:w="5279" w:type="dxa"/>
          </w:tcPr>
          <w:p w14:paraId="3BC28534"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Clean data and derive estimates</w:t>
            </w:r>
          </w:p>
        </w:tc>
        <w:tc>
          <w:tcPr>
            <w:tcW w:w="1936" w:type="dxa"/>
          </w:tcPr>
          <w:p w14:paraId="307CFB20"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2/7/2020</w:t>
            </w:r>
          </w:p>
        </w:tc>
      </w:tr>
      <w:tr w:rsidR="00C42EDB" w:rsidRPr="00F85B3E" w14:paraId="7753BBEE" w14:textId="77777777" w:rsidTr="005669A6">
        <w:trPr>
          <w:jc w:val="center"/>
        </w:trPr>
        <w:tc>
          <w:tcPr>
            <w:tcW w:w="5279" w:type="dxa"/>
          </w:tcPr>
          <w:p w14:paraId="2AAF53D4"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Draft report</w:t>
            </w:r>
          </w:p>
        </w:tc>
        <w:tc>
          <w:tcPr>
            <w:tcW w:w="1936" w:type="dxa"/>
          </w:tcPr>
          <w:p w14:paraId="232FAEDB"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2/28</w:t>
            </w:r>
            <w:r w:rsidRPr="00F85B3E">
              <w:rPr>
                <w:rFonts w:asciiTheme="majorBidi" w:eastAsiaTheme="minorHAnsi" w:hAnsiTheme="majorBidi" w:cstheme="majorBidi"/>
                <w:sz w:val="22"/>
                <w:szCs w:val="22"/>
              </w:rPr>
              <w:t>/2020</w:t>
            </w:r>
          </w:p>
        </w:tc>
      </w:tr>
      <w:tr w:rsidR="00C42EDB" w:rsidRPr="00F85B3E" w14:paraId="50F36CF3" w14:textId="77777777" w:rsidTr="005669A6">
        <w:trPr>
          <w:jc w:val="center"/>
        </w:trPr>
        <w:tc>
          <w:tcPr>
            <w:tcW w:w="5279" w:type="dxa"/>
          </w:tcPr>
          <w:p w14:paraId="625D9863"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 xml:space="preserve">Final report </w:t>
            </w:r>
          </w:p>
        </w:tc>
        <w:tc>
          <w:tcPr>
            <w:tcW w:w="1936" w:type="dxa"/>
          </w:tcPr>
          <w:p w14:paraId="3BAC02C7"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3/23</w:t>
            </w:r>
            <w:r w:rsidRPr="00F85B3E">
              <w:rPr>
                <w:rFonts w:asciiTheme="majorBidi" w:eastAsiaTheme="minorHAnsi" w:hAnsiTheme="majorBidi" w:cstheme="majorBidi"/>
                <w:sz w:val="22"/>
                <w:szCs w:val="22"/>
              </w:rPr>
              <w:t>/2020</w:t>
            </w:r>
          </w:p>
        </w:tc>
      </w:tr>
      <w:tr w:rsidR="00C42EDB" w:rsidRPr="00F85B3E" w14:paraId="04DF4CB8" w14:textId="77777777" w:rsidTr="005669A6">
        <w:trPr>
          <w:jc w:val="center"/>
        </w:trPr>
        <w:tc>
          <w:tcPr>
            <w:tcW w:w="5279" w:type="dxa"/>
          </w:tcPr>
          <w:p w14:paraId="25A78C42" w14:textId="77777777" w:rsidR="00C42EDB" w:rsidRPr="00F85B3E" w:rsidRDefault="00C42EDB" w:rsidP="005669A6">
            <w:pPr>
              <w:spacing w:after="200" w:line="240" w:lineRule="auto"/>
              <w:jc w:val="both"/>
              <w:rPr>
                <w:rFonts w:asciiTheme="majorBidi" w:eastAsiaTheme="minorHAnsi" w:hAnsiTheme="majorBidi" w:cstheme="majorBidi"/>
                <w:sz w:val="22"/>
                <w:szCs w:val="22"/>
              </w:rPr>
            </w:pPr>
            <w:r w:rsidRPr="00F85B3E">
              <w:rPr>
                <w:rFonts w:asciiTheme="majorBidi" w:eastAsiaTheme="minorHAnsi" w:hAnsiTheme="majorBidi" w:cstheme="majorBidi"/>
                <w:sz w:val="22"/>
                <w:szCs w:val="22"/>
              </w:rPr>
              <w:t>Dissemination of Final Report</w:t>
            </w:r>
          </w:p>
        </w:tc>
        <w:tc>
          <w:tcPr>
            <w:tcW w:w="1936" w:type="dxa"/>
          </w:tcPr>
          <w:p w14:paraId="27BC7B9F" w14:textId="77777777" w:rsidR="00C42EDB" w:rsidRPr="00F85B3E" w:rsidRDefault="00C42EDB" w:rsidP="005669A6">
            <w:pPr>
              <w:spacing w:after="200" w:line="240" w:lineRule="auto"/>
              <w:jc w:val="center"/>
              <w:rPr>
                <w:rFonts w:asciiTheme="majorBidi" w:eastAsiaTheme="minorHAnsi" w:hAnsiTheme="majorBidi" w:cstheme="majorBidi"/>
                <w:sz w:val="22"/>
                <w:szCs w:val="22"/>
              </w:rPr>
            </w:pPr>
            <w:r>
              <w:rPr>
                <w:rFonts w:asciiTheme="majorBidi" w:eastAsiaTheme="minorHAnsi" w:hAnsiTheme="majorBidi" w:cstheme="majorBidi"/>
                <w:sz w:val="22"/>
                <w:szCs w:val="22"/>
              </w:rPr>
              <w:t>4/13</w:t>
            </w:r>
            <w:r w:rsidRPr="00F85B3E">
              <w:rPr>
                <w:rFonts w:asciiTheme="majorBidi" w:eastAsiaTheme="minorHAnsi" w:hAnsiTheme="majorBidi" w:cstheme="majorBidi"/>
                <w:sz w:val="22"/>
                <w:szCs w:val="22"/>
              </w:rPr>
              <w:t>/2020</w:t>
            </w:r>
          </w:p>
        </w:tc>
      </w:tr>
    </w:tbl>
    <w:p w14:paraId="53711A67" w14:textId="77777777" w:rsidR="00DA1AF3" w:rsidRPr="00D368BA" w:rsidRDefault="00DA1AF3" w:rsidP="00F50C65">
      <w:pPr>
        <w:spacing w:after="240" w:line="276" w:lineRule="auto"/>
        <w:jc w:val="both"/>
        <w:rPr>
          <w:szCs w:val="24"/>
        </w:rPr>
      </w:pPr>
    </w:p>
    <w:p w14:paraId="7A932E6D" w14:textId="77777777" w:rsidR="00C26695" w:rsidRPr="00D368BA" w:rsidRDefault="00C26695" w:rsidP="00C26695">
      <w:pPr>
        <w:spacing w:after="240" w:line="276" w:lineRule="auto"/>
        <w:ind w:firstLine="360"/>
        <w:jc w:val="both"/>
        <w:rPr>
          <w:szCs w:val="24"/>
        </w:rPr>
      </w:pPr>
      <w:bookmarkStart w:id="11" w:name="_Hlk3306010"/>
      <w:r w:rsidRPr="00D368BA">
        <w:rPr>
          <w:szCs w:val="24"/>
        </w:rPr>
        <w:t>The process of collecting data will occur in the following fashion:</w:t>
      </w:r>
    </w:p>
    <w:p w14:paraId="7B68F338" w14:textId="77777777" w:rsidR="00C26695" w:rsidRPr="000174D0" w:rsidRDefault="00C26695" w:rsidP="00C26695">
      <w:pPr>
        <w:pStyle w:val="ListParagraph"/>
        <w:numPr>
          <w:ilvl w:val="0"/>
          <w:numId w:val="3"/>
        </w:numPr>
        <w:spacing w:after="240"/>
        <w:jc w:val="both"/>
        <w:rPr>
          <w:rFonts w:ascii="Times New Roman" w:hAnsi="Times New Roman" w:cs="Times New Roman"/>
          <w:sz w:val="24"/>
          <w:szCs w:val="24"/>
        </w:rPr>
      </w:pPr>
      <w:r w:rsidRPr="000174D0">
        <w:rPr>
          <w:rFonts w:ascii="Times New Roman" w:hAnsi="Times New Roman" w:cs="Times New Roman"/>
          <w:sz w:val="24"/>
          <w:szCs w:val="24"/>
        </w:rPr>
        <w:t>At the beginning of each survey cycle, SBA obtains a list</w:t>
      </w:r>
      <w:r>
        <w:rPr>
          <w:rFonts w:ascii="Times New Roman" w:hAnsi="Times New Roman" w:cs="Times New Roman"/>
          <w:sz w:val="24"/>
          <w:szCs w:val="24"/>
        </w:rPr>
        <w:t xml:space="preserve"> from all eligible WBCs</w:t>
      </w:r>
      <w:r w:rsidRPr="000174D0">
        <w:rPr>
          <w:rFonts w:ascii="Times New Roman" w:hAnsi="Times New Roman" w:cs="Times New Roman"/>
          <w:sz w:val="24"/>
          <w:szCs w:val="24"/>
        </w:rPr>
        <w:t xml:space="preserve"> of all WBC clients who have received at least one training or counseling service at least </w:t>
      </w:r>
      <w:r>
        <w:rPr>
          <w:rFonts w:ascii="Times New Roman" w:hAnsi="Times New Roman" w:cs="Times New Roman"/>
          <w:sz w:val="24"/>
          <w:szCs w:val="24"/>
        </w:rPr>
        <w:t>1</w:t>
      </w:r>
      <w:r w:rsidRPr="000174D0">
        <w:rPr>
          <w:rFonts w:ascii="Times New Roman" w:hAnsi="Times New Roman" w:cs="Times New Roman"/>
          <w:sz w:val="24"/>
          <w:szCs w:val="24"/>
        </w:rPr>
        <w:t xml:space="preserve"> year ago.</w:t>
      </w:r>
      <w:r>
        <w:rPr>
          <w:rFonts w:ascii="Times New Roman" w:hAnsi="Times New Roman" w:cs="Times New Roman"/>
          <w:sz w:val="24"/>
          <w:szCs w:val="24"/>
        </w:rPr>
        <w:t xml:space="preserve"> SBA may contact WBC administrators in an effort to obtain this list by email (Appendices B2, B3, and B4). </w:t>
      </w:r>
      <w:r w:rsidRPr="000174D0">
        <w:rPr>
          <w:rFonts w:ascii="Times New Roman" w:hAnsi="Times New Roman" w:cs="Times New Roman"/>
          <w:sz w:val="24"/>
          <w:szCs w:val="24"/>
        </w:rPr>
        <w:t xml:space="preserve">The sample will be stratified by </w:t>
      </w:r>
      <w:r>
        <w:rPr>
          <w:rFonts w:ascii="Times New Roman" w:hAnsi="Times New Roman" w:cs="Times New Roman"/>
          <w:sz w:val="24"/>
          <w:szCs w:val="24"/>
        </w:rPr>
        <w:t>business status</w:t>
      </w:r>
      <w:r w:rsidRPr="000174D0">
        <w:rPr>
          <w:rFonts w:ascii="Times New Roman" w:hAnsi="Times New Roman" w:cs="Times New Roman"/>
          <w:sz w:val="24"/>
          <w:szCs w:val="24"/>
        </w:rPr>
        <w:t xml:space="preserve"> (</w:t>
      </w:r>
      <w:r>
        <w:rPr>
          <w:rFonts w:ascii="Times New Roman" w:hAnsi="Times New Roman" w:cs="Times New Roman"/>
          <w:sz w:val="24"/>
          <w:szCs w:val="24"/>
        </w:rPr>
        <w:t>pre-venture or in-business</w:t>
      </w:r>
      <w:r w:rsidRPr="000174D0">
        <w:rPr>
          <w:rFonts w:ascii="Times New Roman" w:hAnsi="Times New Roman" w:cs="Times New Roman"/>
          <w:sz w:val="24"/>
          <w:szCs w:val="24"/>
        </w:rPr>
        <w:t xml:space="preserve">). A </w:t>
      </w:r>
      <w:r>
        <w:rPr>
          <w:rFonts w:ascii="Times New Roman" w:hAnsi="Times New Roman" w:cs="Times New Roman"/>
          <w:sz w:val="24"/>
          <w:szCs w:val="24"/>
        </w:rPr>
        <w:t xml:space="preserve">primary </w:t>
      </w:r>
      <w:r w:rsidRPr="000174D0">
        <w:rPr>
          <w:rFonts w:ascii="Times New Roman" w:hAnsi="Times New Roman" w:cs="Times New Roman"/>
          <w:sz w:val="24"/>
          <w:szCs w:val="24"/>
        </w:rPr>
        <w:t xml:space="preserve">sample size of </w:t>
      </w:r>
      <w:r>
        <w:rPr>
          <w:rFonts w:ascii="Times New Roman" w:hAnsi="Times New Roman" w:cs="Times New Roman"/>
          <w:sz w:val="24"/>
          <w:szCs w:val="24"/>
        </w:rPr>
        <w:t>4,000</w:t>
      </w:r>
      <w:r w:rsidRPr="000174D0">
        <w:rPr>
          <w:rFonts w:ascii="Times New Roman" w:hAnsi="Times New Roman" w:cs="Times New Roman"/>
          <w:sz w:val="24"/>
          <w:szCs w:val="24"/>
        </w:rPr>
        <w:t xml:space="preserve"> will be randomly selected, including estimated sample sizes of 2</w:t>
      </w:r>
      <w:r>
        <w:rPr>
          <w:rFonts w:ascii="Times New Roman" w:hAnsi="Times New Roman" w:cs="Times New Roman"/>
          <w:sz w:val="24"/>
          <w:szCs w:val="24"/>
        </w:rPr>
        <w:t>,00</w:t>
      </w:r>
      <w:r w:rsidRPr="000174D0">
        <w:rPr>
          <w:rFonts w:ascii="Times New Roman" w:hAnsi="Times New Roman" w:cs="Times New Roman"/>
          <w:sz w:val="24"/>
          <w:szCs w:val="24"/>
        </w:rPr>
        <w:t xml:space="preserve">0 </w:t>
      </w:r>
      <w:r>
        <w:rPr>
          <w:rFonts w:ascii="Times New Roman" w:hAnsi="Times New Roman" w:cs="Times New Roman"/>
          <w:sz w:val="24"/>
          <w:szCs w:val="24"/>
        </w:rPr>
        <w:t>pre-venture WBC clients</w:t>
      </w:r>
      <w:r w:rsidRPr="000174D0">
        <w:rPr>
          <w:rFonts w:ascii="Times New Roman" w:hAnsi="Times New Roman" w:cs="Times New Roman"/>
          <w:sz w:val="24"/>
          <w:szCs w:val="24"/>
        </w:rPr>
        <w:t xml:space="preserve"> and 2</w:t>
      </w:r>
      <w:r>
        <w:rPr>
          <w:rFonts w:ascii="Times New Roman" w:hAnsi="Times New Roman" w:cs="Times New Roman"/>
          <w:sz w:val="24"/>
          <w:szCs w:val="24"/>
        </w:rPr>
        <w:t>,00</w:t>
      </w:r>
      <w:r w:rsidRPr="000174D0">
        <w:rPr>
          <w:rFonts w:ascii="Times New Roman" w:hAnsi="Times New Roman" w:cs="Times New Roman"/>
          <w:sz w:val="24"/>
          <w:szCs w:val="24"/>
        </w:rPr>
        <w:t>0</w:t>
      </w:r>
      <w:r>
        <w:rPr>
          <w:rFonts w:ascii="Times New Roman" w:hAnsi="Times New Roman" w:cs="Times New Roman"/>
          <w:sz w:val="24"/>
          <w:szCs w:val="24"/>
        </w:rPr>
        <w:t xml:space="preserve"> in-business WBC clients</w:t>
      </w:r>
      <w:r w:rsidRPr="000174D0">
        <w:rPr>
          <w:rFonts w:ascii="Times New Roman" w:hAnsi="Times New Roman" w:cs="Times New Roman"/>
          <w:sz w:val="24"/>
          <w:szCs w:val="24"/>
        </w:rPr>
        <w:t xml:space="preserve">. </w:t>
      </w:r>
    </w:p>
    <w:bookmarkEnd w:id="11"/>
    <w:p w14:paraId="0447B3A4" w14:textId="77777777" w:rsidR="00C26695" w:rsidRPr="00D368BA" w:rsidRDefault="00C26695" w:rsidP="00C26695">
      <w:pPr>
        <w:pStyle w:val="ListParagraph"/>
        <w:numPr>
          <w:ilvl w:val="0"/>
          <w:numId w:val="3"/>
        </w:numPr>
        <w:spacing w:after="240"/>
        <w:jc w:val="both"/>
        <w:rPr>
          <w:rFonts w:ascii="Times New Roman" w:hAnsi="Times New Roman" w:cs="Times New Roman"/>
          <w:sz w:val="24"/>
          <w:szCs w:val="24"/>
        </w:rPr>
      </w:pPr>
      <w:r>
        <w:rPr>
          <w:rFonts w:ascii="Times New Roman" w:hAnsi="Times New Roman" w:cs="Times New Roman"/>
          <w:sz w:val="24"/>
          <w:szCs w:val="24"/>
        </w:rPr>
        <w:t xml:space="preserve">WBC clients </w:t>
      </w:r>
      <w:r w:rsidRPr="00D368BA">
        <w:rPr>
          <w:rFonts w:ascii="Times New Roman" w:hAnsi="Times New Roman" w:cs="Times New Roman"/>
          <w:sz w:val="24"/>
          <w:szCs w:val="24"/>
        </w:rPr>
        <w:t xml:space="preserve">selected for participation in the </w:t>
      </w:r>
      <w:r>
        <w:rPr>
          <w:rFonts w:ascii="Times New Roman" w:hAnsi="Times New Roman" w:cs="Times New Roman"/>
          <w:sz w:val="24"/>
          <w:szCs w:val="24"/>
        </w:rPr>
        <w:t>WBC Client Outcome</w:t>
      </w:r>
      <w:r w:rsidRPr="00D368BA">
        <w:rPr>
          <w:rFonts w:ascii="Times New Roman" w:hAnsi="Times New Roman" w:cs="Times New Roman"/>
          <w:sz w:val="24"/>
          <w:szCs w:val="24"/>
        </w:rPr>
        <w:t xml:space="preserve"> Survey will be notified of the study by mail (Appendi</w:t>
      </w:r>
      <w:r>
        <w:rPr>
          <w:rFonts w:ascii="Times New Roman" w:hAnsi="Times New Roman" w:cs="Times New Roman"/>
          <w:sz w:val="24"/>
          <w:szCs w:val="24"/>
        </w:rPr>
        <w:t>x B5</w:t>
      </w:r>
      <w:r w:rsidRPr="00D368BA">
        <w:rPr>
          <w:rFonts w:ascii="Times New Roman" w:hAnsi="Times New Roman" w:cs="Times New Roman"/>
          <w:sz w:val="24"/>
          <w:szCs w:val="24"/>
        </w:rPr>
        <w:t xml:space="preserve">) and </w:t>
      </w:r>
      <w:r>
        <w:rPr>
          <w:rFonts w:ascii="Times New Roman" w:hAnsi="Times New Roman" w:cs="Times New Roman"/>
          <w:sz w:val="24"/>
          <w:szCs w:val="24"/>
        </w:rPr>
        <w:t>will be emailed</w:t>
      </w:r>
      <w:r w:rsidRPr="00D368BA">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D368BA">
        <w:rPr>
          <w:rFonts w:ascii="Times New Roman" w:hAnsi="Times New Roman" w:cs="Times New Roman"/>
          <w:sz w:val="24"/>
          <w:szCs w:val="24"/>
        </w:rPr>
        <w:t>information necessary to complete the web survey</w:t>
      </w:r>
      <w:r>
        <w:rPr>
          <w:rFonts w:ascii="Times New Roman" w:hAnsi="Times New Roman" w:cs="Times New Roman"/>
          <w:sz w:val="24"/>
          <w:szCs w:val="24"/>
        </w:rPr>
        <w:t xml:space="preserve"> (Appendix B6)</w:t>
      </w:r>
      <w:r w:rsidRPr="00D368BA">
        <w:rPr>
          <w:rFonts w:ascii="Times New Roman" w:hAnsi="Times New Roman" w:cs="Times New Roman"/>
          <w:sz w:val="24"/>
          <w:szCs w:val="24"/>
        </w:rPr>
        <w:t xml:space="preserve">. </w:t>
      </w:r>
      <w:bookmarkStart w:id="12" w:name="_Hlk485198313"/>
      <w:r w:rsidRPr="00D368BA">
        <w:rPr>
          <w:rFonts w:ascii="Times New Roman" w:hAnsi="Times New Roman" w:cs="Times New Roman"/>
          <w:sz w:val="24"/>
          <w:szCs w:val="24"/>
        </w:rPr>
        <w:t>These letters contain official labels to verify the organization’s intent and professionalism.</w:t>
      </w:r>
      <w:r w:rsidRPr="00D368BA">
        <w:rPr>
          <w:szCs w:val="24"/>
        </w:rPr>
        <w:t xml:space="preserve"> </w:t>
      </w:r>
    </w:p>
    <w:p w14:paraId="4DC35DA3" w14:textId="5F25C9FE" w:rsidR="00C26695" w:rsidRPr="00D368BA" w:rsidRDefault="00C26695" w:rsidP="00C26695">
      <w:pPr>
        <w:pStyle w:val="ListParagraph"/>
        <w:numPr>
          <w:ilvl w:val="0"/>
          <w:numId w:val="3"/>
        </w:numPr>
        <w:spacing w:after="240"/>
        <w:jc w:val="both"/>
        <w:rPr>
          <w:rFonts w:ascii="Times New Roman" w:hAnsi="Times New Roman" w:cs="Times New Roman"/>
          <w:sz w:val="24"/>
          <w:szCs w:val="24"/>
        </w:rPr>
      </w:pPr>
      <w:r w:rsidRPr="00D368BA">
        <w:rPr>
          <w:rFonts w:ascii="Times New Roman" w:hAnsi="Times New Roman" w:cs="Times New Roman"/>
          <w:sz w:val="24"/>
          <w:szCs w:val="24"/>
        </w:rPr>
        <w:t xml:space="preserve">If the </w:t>
      </w:r>
      <w:r>
        <w:rPr>
          <w:rFonts w:ascii="Times New Roman" w:hAnsi="Times New Roman" w:cs="Times New Roman"/>
          <w:sz w:val="24"/>
          <w:szCs w:val="24"/>
        </w:rPr>
        <w:t>WBC client</w:t>
      </w:r>
      <w:r w:rsidRPr="00D368BA">
        <w:rPr>
          <w:rFonts w:ascii="Times New Roman" w:hAnsi="Times New Roman" w:cs="Times New Roman"/>
          <w:sz w:val="24"/>
          <w:szCs w:val="24"/>
        </w:rPr>
        <w:t xml:space="preserve"> does not complete the web survey within </w:t>
      </w:r>
      <w:r>
        <w:rPr>
          <w:rFonts w:ascii="Times New Roman" w:hAnsi="Times New Roman" w:cs="Times New Roman"/>
          <w:sz w:val="24"/>
          <w:szCs w:val="24"/>
        </w:rPr>
        <w:t>1</w:t>
      </w:r>
      <w:r w:rsidRPr="00D368BA">
        <w:rPr>
          <w:rFonts w:ascii="Times New Roman" w:hAnsi="Times New Roman" w:cs="Times New Roman"/>
          <w:sz w:val="24"/>
          <w:szCs w:val="24"/>
        </w:rPr>
        <w:t xml:space="preserve"> week, </w:t>
      </w:r>
      <w:r>
        <w:rPr>
          <w:rFonts w:ascii="Times New Roman" w:hAnsi="Times New Roman" w:cs="Times New Roman"/>
          <w:sz w:val="24"/>
          <w:szCs w:val="24"/>
        </w:rPr>
        <w:t>WBC clients</w:t>
      </w:r>
      <w:r w:rsidRPr="00D368BA">
        <w:rPr>
          <w:rFonts w:ascii="Times New Roman" w:hAnsi="Times New Roman" w:cs="Times New Roman"/>
          <w:sz w:val="24"/>
          <w:szCs w:val="24"/>
        </w:rPr>
        <w:t xml:space="preserve"> may be contacted </w:t>
      </w:r>
      <w:r>
        <w:rPr>
          <w:rFonts w:ascii="Times New Roman" w:hAnsi="Times New Roman" w:cs="Times New Roman"/>
          <w:sz w:val="24"/>
          <w:szCs w:val="24"/>
        </w:rPr>
        <w:t>throughout the duration of the data collection period (</w:t>
      </w:r>
      <w:r w:rsidRPr="00D368BA">
        <w:rPr>
          <w:rFonts w:ascii="Times New Roman" w:hAnsi="Times New Roman" w:cs="Times New Roman"/>
          <w:sz w:val="24"/>
          <w:szCs w:val="24"/>
        </w:rPr>
        <w:t xml:space="preserve">up to </w:t>
      </w:r>
      <w:r>
        <w:rPr>
          <w:rFonts w:ascii="Times New Roman" w:hAnsi="Times New Roman" w:cs="Times New Roman"/>
          <w:sz w:val="24"/>
          <w:szCs w:val="24"/>
        </w:rPr>
        <w:t>five</w:t>
      </w:r>
      <w:r w:rsidRPr="00D368BA">
        <w:rPr>
          <w:rFonts w:ascii="Times New Roman" w:hAnsi="Times New Roman" w:cs="Times New Roman"/>
          <w:sz w:val="24"/>
          <w:szCs w:val="24"/>
        </w:rPr>
        <w:t xml:space="preserve"> times by </w:t>
      </w:r>
      <w:r>
        <w:rPr>
          <w:rFonts w:ascii="Times New Roman" w:hAnsi="Times New Roman" w:cs="Times New Roman"/>
          <w:sz w:val="24"/>
          <w:szCs w:val="24"/>
        </w:rPr>
        <w:t>email [Appendix B7] and once by telephone</w:t>
      </w:r>
      <w:r w:rsidRPr="00D368BA">
        <w:rPr>
          <w:rFonts w:ascii="Times New Roman" w:hAnsi="Times New Roman" w:cs="Times New Roman"/>
          <w:sz w:val="24"/>
          <w:szCs w:val="24"/>
        </w:rPr>
        <w:t xml:space="preserve"> </w:t>
      </w:r>
      <w:r>
        <w:rPr>
          <w:rFonts w:ascii="Times New Roman" w:hAnsi="Times New Roman" w:cs="Times New Roman"/>
          <w:sz w:val="24"/>
          <w:szCs w:val="24"/>
        </w:rPr>
        <w:t>[</w:t>
      </w:r>
      <w:r w:rsidRPr="00D368BA">
        <w:rPr>
          <w:rFonts w:ascii="Times New Roman" w:hAnsi="Times New Roman" w:cs="Times New Roman"/>
          <w:sz w:val="24"/>
          <w:szCs w:val="24"/>
        </w:rPr>
        <w:t>Appendi</w:t>
      </w:r>
      <w:r>
        <w:rPr>
          <w:rFonts w:ascii="Times New Roman" w:hAnsi="Times New Roman" w:cs="Times New Roman"/>
          <w:sz w:val="24"/>
          <w:szCs w:val="24"/>
        </w:rPr>
        <w:t>x B8]</w:t>
      </w:r>
      <w:r w:rsidRPr="00D368BA">
        <w:rPr>
          <w:rFonts w:ascii="Times New Roman" w:hAnsi="Times New Roman" w:cs="Times New Roman"/>
          <w:sz w:val="24"/>
          <w:szCs w:val="24"/>
        </w:rPr>
        <w:t>)</w:t>
      </w:r>
      <w:r>
        <w:rPr>
          <w:rFonts w:ascii="Times New Roman" w:hAnsi="Times New Roman" w:cs="Times New Roman"/>
          <w:sz w:val="24"/>
          <w:szCs w:val="24"/>
        </w:rPr>
        <w:t xml:space="preserve"> </w:t>
      </w:r>
      <w:r w:rsidRPr="00D368BA">
        <w:rPr>
          <w:rFonts w:ascii="Times New Roman" w:hAnsi="Times New Roman" w:cs="Times New Roman"/>
          <w:sz w:val="24"/>
          <w:szCs w:val="24"/>
        </w:rPr>
        <w:t xml:space="preserve">as reminders and encouragement to complete the </w:t>
      </w:r>
      <w:r>
        <w:rPr>
          <w:rFonts w:ascii="Times New Roman" w:hAnsi="Times New Roman" w:cs="Times New Roman"/>
          <w:sz w:val="24"/>
          <w:szCs w:val="24"/>
        </w:rPr>
        <w:t>WBC Client Outcome Survey</w:t>
      </w:r>
      <w:r w:rsidRPr="00D368BA">
        <w:rPr>
          <w:rFonts w:ascii="Times New Roman" w:hAnsi="Times New Roman" w:cs="Times New Roman"/>
          <w:sz w:val="24"/>
          <w:szCs w:val="24"/>
        </w:rPr>
        <w:t xml:space="preserve"> via the web. </w:t>
      </w:r>
      <w:r w:rsidR="002360CA">
        <w:rPr>
          <w:rFonts w:ascii="Times New Roman" w:hAnsi="Times New Roman" w:cs="Times New Roman"/>
          <w:sz w:val="24"/>
          <w:szCs w:val="24"/>
        </w:rPr>
        <w:t xml:space="preserve">The respondent will be provided a toll-free number to contact the study team at any point during data collection. </w:t>
      </w:r>
      <w:r w:rsidRPr="00D368BA">
        <w:rPr>
          <w:rFonts w:ascii="Times New Roman" w:hAnsi="Times New Roman" w:cs="Times New Roman"/>
          <w:sz w:val="24"/>
          <w:szCs w:val="24"/>
        </w:rPr>
        <w:t xml:space="preserve">The </w:t>
      </w:r>
      <w:r w:rsidR="00435CC2">
        <w:rPr>
          <w:rFonts w:ascii="Times New Roman" w:hAnsi="Times New Roman" w:cs="Times New Roman"/>
          <w:sz w:val="24"/>
          <w:szCs w:val="24"/>
        </w:rPr>
        <w:t xml:space="preserve">telephone interviewer will </w:t>
      </w:r>
      <w:r w:rsidR="00AA7711">
        <w:rPr>
          <w:rFonts w:ascii="Times New Roman" w:hAnsi="Times New Roman" w:cs="Times New Roman"/>
          <w:sz w:val="24"/>
          <w:szCs w:val="24"/>
        </w:rPr>
        <w:t xml:space="preserve">read a prepared script to the WBC client </w:t>
      </w:r>
      <w:r w:rsidR="00466992">
        <w:rPr>
          <w:rFonts w:ascii="Times New Roman" w:hAnsi="Times New Roman" w:cs="Times New Roman"/>
          <w:sz w:val="24"/>
          <w:szCs w:val="24"/>
        </w:rPr>
        <w:t xml:space="preserve">and in addition to encouraging participation, will </w:t>
      </w:r>
      <w:r w:rsidR="00135ADF">
        <w:rPr>
          <w:rFonts w:ascii="Times New Roman" w:hAnsi="Times New Roman" w:cs="Times New Roman"/>
          <w:sz w:val="24"/>
          <w:szCs w:val="24"/>
        </w:rPr>
        <w:t xml:space="preserve">verify the email address to ensure the web survey is being delivered </w:t>
      </w:r>
      <w:r w:rsidR="00ED0346">
        <w:rPr>
          <w:rFonts w:ascii="Times New Roman" w:hAnsi="Times New Roman" w:cs="Times New Roman"/>
          <w:sz w:val="24"/>
          <w:szCs w:val="24"/>
        </w:rPr>
        <w:t>to the appropriate person.</w:t>
      </w:r>
      <w:r w:rsidRPr="00D368BA">
        <w:rPr>
          <w:rFonts w:ascii="Times New Roman" w:hAnsi="Times New Roman" w:cs="Times New Roman"/>
          <w:sz w:val="24"/>
          <w:szCs w:val="24"/>
        </w:rPr>
        <w:t xml:space="preserve">  depending on the </w:t>
      </w:r>
      <w:r>
        <w:rPr>
          <w:rFonts w:ascii="Times New Roman" w:hAnsi="Times New Roman" w:cs="Times New Roman"/>
          <w:sz w:val="24"/>
          <w:szCs w:val="24"/>
        </w:rPr>
        <w:t>client’s</w:t>
      </w:r>
      <w:r w:rsidRPr="00D368BA">
        <w:rPr>
          <w:rFonts w:ascii="Times New Roman" w:hAnsi="Times New Roman" w:cs="Times New Roman"/>
          <w:sz w:val="24"/>
          <w:szCs w:val="24"/>
        </w:rPr>
        <w:t xml:space="preserve"> preference and availability. </w:t>
      </w:r>
    </w:p>
    <w:bookmarkEnd w:id="12"/>
    <w:p w14:paraId="5AEC25DB" w14:textId="5B3742C3" w:rsidR="00C26695" w:rsidRPr="00D368BA" w:rsidRDefault="00C26695" w:rsidP="00C26695">
      <w:pPr>
        <w:pStyle w:val="ListParagraph"/>
        <w:numPr>
          <w:ilvl w:val="0"/>
          <w:numId w:val="3"/>
        </w:numPr>
        <w:spacing w:after="240"/>
        <w:jc w:val="both"/>
        <w:rPr>
          <w:rFonts w:ascii="Times New Roman" w:hAnsi="Times New Roman" w:cs="Times New Roman"/>
          <w:sz w:val="24"/>
          <w:szCs w:val="24"/>
        </w:rPr>
      </w:pPr>
      <w:r>
        <w:rPr>
          <w:rFonts w:ascii="Times New Roman" w:hAnsi="Times New Roman" w:cs="Times New Roman"/>
          <w:sz w:val="24"/>
          <w:szCs w:val="24"/>
        </w:rPr>
        <w:t xml:space="preserve">Throughout the duration of the data collection period, </w:t>
      </w:r>
      <w:r w:rsidRPr="00D368BA">
        <w:rPr>
          <w:rFonts w:ascii="Times New Roman" w:hAnsi="Times New Roman" w:cs="Times New Roman"/>
          <w:sz w:val="24"/>
          <w:szCs w:val="24"/>
        </w:rPr>
        <w:t>web-based responses will be stored electronically and downloaded</w:t>
      </w:r>
      <w:r w:rsidR="00ED0346">
        <w:rPr>
          <w:rFonts w:ascii="Times New Roman" w:hAnsi="Times New Roman" w:cs="Times New Roman"/>
          <w:sz w:val="24"/>
          <w:szCs w:val="24"/>
        </w:rPr>
        <w:t xml:space="preserve"> to a secure folder on the contractor</w:t>
      </w:r>
      <w:r w:rsidR="00234387">
        <w:rPr>
          <w:rFonts w:ascii="Times New Roman" w:hAnsi="Times New Roman" w:cs="Times New Roman"/>
          <w:sz w:val="24"/>
          <w:szCs w:val="24"/>
        </w:rPr>
        <w:t>’</w:t>
      </w:r>
      <w:r w:rsidR="00ED0346">
        <w:rPr>
          <w:rFonts w:ascii="Times New Roman" w:hAnsi="Times New Roman" w:cs="Times New Roman"/>
          <w:sz w:val="24"/>
          <w:szCs w:val="24"/>
        </w:rPr>
        <w:t>s internal project directory</w:t>
      </w:r>
    </w:p>
    <w:p w14:paraId="30753520" w14:textId="77777777" w:rsidR="00C26695" w:rsidRPr="00332FC1" w:rsidRDefault="00C26695" w:rsidP="00C26695">
      <w:pPr>
        <w:pStyle w:val="Heading2"/>
        <w:tabs>
          <w:tab w:val="left" w:pos="720"/>
        </w:tabs>
        <w:spacing w:after="0" w:line="240" w:lineRule="auto"/>
        <w:ind w:left="720" w:hanging="720"/>
        <w:rPr>
          <w:rFonts w:ascii="Times New Roman" w:hAnsi="Times New Roman"/>
          <w:color w:val="auto"/>
          <w:sz w:val="24"/>
          <w:szCs w:val="24"/>
        </w:rPr>
      </w:pPr>
      <w:bookmarkStart w:id="13" w:name="_Toc282506044"/>
      <w:bookmarkStart w:id="14" w:name="_Toc5007133"/>
      <w:r w:rsidRPr="00332FC1">
        <w:rPr>
          <w:rFonts w:ascii="Times New Roman" w:hAnsi="Times New Roman"/>
          <w:color w:val="auto"/>
          <w:sz w:val="24"/>
          <w:szCs w:val="24"/>
        </w:rPr>
        <w:t>B.3</w:t>
      </w:r>
      <w:r w:rsidRPr="00332FC1">
        <w:rPr>
          <w:rFonts w:ascii="Times New Roman" w:hAnsi="Times New Roman"/>
          <w:color w:val="auto"/>
          <w:sz w:val="24"/>
          <w:szCs w:val="24"/>
        </w:rPr>
        <w:tab/>
      </w:r>
      <w:bookmarkEnd w:id="13"/>
      <w:r w:rsidRPr="00332FC1">
        <w:rPr>
          <w:rFonts w:ascii="Times New Roman" w:hAnsi="Times New Roman"/>
          <w:color w:val="auto"/>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14"/>
    </w:p>
    <w:p w14:paraId="1B83DC0D" w14:textId="77777777" w:rsidR="00C26695" w:rsidRDefault="00C26695" w:rsidP="00C26695">
      <w:pPr>
        <w:pStyle w:val="L1-FlLSp12"/>
        <w:rPr>
          <w:highlight w:val="yellow"/>
        </w:rPr>
      </w:pPr>
    </w:p>
    <w:p w14:paraId="6896F0D0" w14:textId="48DACCC9" w:rsidR="00D16F2D" w:rsidRPr="006032A9" w:rsidRDefault="00C26695" w:rsidP="004D22BC">
      <w:pPr>
        <w:pStyle w:val="CommentText"/>
        <w:rPr>
          <w:sz w:val="24"/>
          <w:szCs w:val="24"/>
        </w:rPr>
      </w:pPr>
      <w:r w:rsidRPr="006032A9">
        <w:rPr>
          <w:sz w:val="24"/>
          <w:szCs w:val="24"/>
        </w:rPr>
        <w:t>Overall response rate projections are presented above in section B.1. Achieving the specified response rates involves using procedures described below to secure participation once the potential respondents have been identified. The WBC Client Outcome Survey is designed to achieve the highest practical rates of response, commensurate with the importance of survey uses, time constraints, respondent burden, and data collection costs. Efforts to minimize cost include the convenience of responding on an online platform, the short length of the survey (6 minutes), easy-to-answer question formats (close-ended, multiple-choice questions), the limited number of sensitive questions, and the requests for approximations or estimates of business growth (thereby minimizing time respondents spend searching records for answers). In the event that an 80 percent response rate is not obtained, a nonresponse bias analysis will be conducted</w:t>
      </w:r>
      <w:r w:rsidR="00DA27A4">
        <w:rPr>
          <w:sz w:val="24"/>
          <w:szCs w:val="24"/>
        </w:rPr>
        <w:t xml:space="preserve"> </w:t>
      </w:r>
      <w:r w:rsidRPr="006032A9">
        <w:rPr>
          <w:sz w:val="24"/>
          <w:szCs w:val="24"/>
        </w:rPr>
        <w:t>.</w:t>
      </w:r>
      <w:r w:rsidR="00D16F2D" w:rsidRPr="006032A9">
        <w:rPr>
          <w:sz w:val="24"/>
          <w:szCs w:val="24"/>
        </w:rPr>
        <w:t>Nonresponse bias will be conducted prior to estimates being released. It will be a part of the data cleaning, processing, and analysis. The nonresponse bias analysis will involve looking at</w:t>
      </w:r>
      <w:r w:rsidR="006032A9">
        <w:rPr>
          <w:sz w:val="24"/>
          <w:szCs w:val="24"/>
        </w:rPr>
        <w:t xml:space="preserve"> </w:t>
      </w:r>
      <w:r w:rsidR="00D16F2D" w:rsidRPr="006032A9">
        <w:rPr>
          <w:sz w:val="24"/>
          <w:szCs w:val="24"/>
        </w:rPr>
        <w:t xml:space="preserve">relationships (correlations) between response status and key demographic, sampling frame, and outcome variables to see if there are any patterns that would potentially influence outcome estimates. </w:t>
      </w:r>
    </w:p>
    <w:p w14:paraId="2C9DA6E1" w14:textId="01A14956" w:rsidR="00C26695" w:rsidRDefault="00D16F2D" w:rsidP="00D16F2D">
      <w:pPr>
        <w:pStyle w:val="N1-1stBullet"/>
        <w:numPr>
          <w:ilvl w:val="0"/>
          <w:numId w:val="0"/>
        </w:numPr>
        <w:spacing w:line="276" w:lineRule="auto"/>
        <w:ind w:firstLine="720"/>
        <w:jc w:val="both"/>
      </w:pPr>
      <w:r w:rsidDel="00D16F2D">
        <w:rPr>
          <w:rStyle w:val="CommentReference"/>
        </w:rPr>
        <w:t xml:space="preserve"> </w:t>
      </w:r>
    </w:p>
    <w:p w14:paraId="3717DC82" w14:textId="77777777" w:rsidR="00C26695" w:rsidRDefault="00C26695" w:rsidP="00D16F2D">
      <w:pPr>
        <w:pStyle w:val="N1-1stBullet"/>
        <w:numPr>
          <w:ilvl w:val="0"/>
          <w:numId w:val="0"/>
        </w:numPr>
        <w:spacing w:line="276" w:lineRule="auto"/>
        <w:ind w:firstLine="576"/>
        <w:jc w:val="both"/>
      </w:pPr>
      <w:r>
        <w:t>Below, we describe t</w:t>
      </w:r>
      <w:r w:rsidRPr="00D368BA">
        <w:t xml:space="preserve">he recruitment procedures designed to maximize the number of </w:t>
      </w:r>
      <w:r>
        <w:t xml:space="preserve">WBC administrators who provide administrative data needed to develop the sample frame for </w:t>
      </w:r>
      <w:r w:rsidRPr="00D368BA">
        <w:t xml:space="preserve">the </w:t>
      </w:r>
      <w:r>
        <w:t>WBC Client Outcome Survey</w:t>
      </w:r>
      <w:r w:rsidRPr="00D368BA">
        <w:t>.</w:t>
      </w:r>
    </w:p>
    <w:p w14:paraId="297327BE" w14:textId="23871FB1" w:rsidR="00C26695" w:rsidRPr="00F51D0C" w:rsidRDefault="00C26695" w:rsidP="00D16F2D">
      <w:pPr>
        <w:pStyle w:val="N1-1stBullet"/>
        <w:tabs>
          <w:tab w:val="clear" w:pos="1152"/>
          <w:tab w:val="num" w:pos="1080"/>
        </w:tabs>
        <w:spacing w:after="0" w:line="276" w:lineRule="auto"/>
        <w:ind w:left="1080" w:hanging="540"/>
        <w:jc w:val="both"/>
        <w:rPr>
          <w:szCs w:val="24"/>
        </w:rPr>
      </w:pPr>
      <w:r>
        <w:rPr>
          <w:szCs w:val="24"/>
        </w:rPr>
        <w:t xml:space="preserve">The </w:t>
      </w:r>
      <w:r w:rsidRPr="00F51D0C">
        <w:rPr>
          <w:szCs w:val="24"/>
        </w:rPr>
        <w:t>introduct</w:t>
      </w:r>
      <w:r>
        <w:rPr>
          <w:szCs w:val="24"/>
        </w:rPr>
        <w:t>ory</w:t>
      </w:r>
      <w:r w:rsidRPr="00F51D0C">
        <w:rPr>
          <w:szCs w:val="24"/>
        </w:rPr>
        <w:t xml:space="preserve"> letter</w:t>
      </w:r>
      <w:r>
        <w:rPr>
          <w:szCs w:val="24"/>
        </w:rPr>
        <w:t>s and emails</w:t>
      </w:r>
      <w:r w:rsidRPr="00F51D0C">
        <w:rPr>
          <w:szCs w:val="24"/>
        </w:rPr>
        <w:t xml:space="preserve"> to the selected WBC</w:t>
      </w:r>
      <w:r>
        <w:rPr>
          <w:szCs w:val="24"/>
        </w:rPr>
        <w:t xml:space="preserve">s will be carefully developed </w:t>
      </w:r>
      <w:r w:rsidRPr="00F51D0C">
        <w:rPr>
          <w:szCs w:val="24"/>
        </w:rPr>
        <w:t xml:space="preserve">to establish the legitimacy of the study and its connection to the larger SBA goal, </w:t>
      </w:r>
      <w:r>
        <w:rPr>
          <w:szCs w:val="24"/>
        </w:rPr>
        <w:t xml:space="preserve">to </w:t>
      </w:r>
      <w:r w:rsidRPr="00F51D0C">
        <w:rPr>
          <w:szCs w:val="24"/>
        </w:rPr>
        <w:t>inform the</w:t>
      </w:r>
      <w:r>
        <w:rPr>
          <w:szCs w:val="24"/>
        </w:rPr>
        <w:t xml:space="preserve"> W</w:t>
      </w:r>
      <w:r w:rsidR="00D16F2D">
        <w:rPr>
          <w:szCs w:val="24"/>
        </w:rPr>
        <w:t xml:space="preserve"> </w:t>
      </w:r>
      <w:r>
        <w:rPr>
          <w:szCs w:val="24"/>
        </w:rPr>
        <w:t>BC administrators</w:t>
      </w:r>
      <w:r w:rsidRPr="00F51D0C">
        <w:rPr>
          <w:szCs w:val="24"/>
        </w:rPr>
        <w:t xml:space="preserve"> that the final report will be provided to them, and </w:t>
      </w:r>
      <w:r>
        <w:rPr>
          <w:szCs w:val="24"/>
        </w:rPr>
        <w:t xml:space="preserve">to </w:t>
      </w:r>
      <w:r w:rsidRPr="00F51D0C">
        <w:rPr>
          <w:szCs w:val="24"/>
        </w:rPr>
        <w:t xml:space="preserve">request </w:t>
      </w:r>
      <w:r>
        <w:rPr>
          <w:szCs w:val="24"/>
        </w:rPr>
        <w:t>the</w:t>
      </w:r>
      <w:r w:rsidRPr="00F51D0C">
        <w:rPr>
          <w:szCs w:val="24"/>
        </w:rPr>
        <w:t xml:space="preserve"> </w:t>
      </w:r>
      <w:r>
        <w:rPr>
          <w:szCs w:val="24"/>
        </w:rPr>
        <w:t>WBC</w:t>
      </w:r>
      <w:r w:rsidRPr="00F51D0C">
        <w:rPr>
          <w:szCs w:val="24"/>
        </w:rPr>
        <w:t xml:space="preserve"> client list</w:t>
      </w:r>
      <w:r>
        <w:rPr>
          <w:szCs w:val="24"/>
        </w:rPr>
        <w:t xml:space="preserve">. </w:t>
      </w:r>
      <w:r w:rsidRPr="00F51D0C">
        <w:rPr>
          <w:szCs w:val="24"/>
        </w:rPr>
        <w:t>These procedures help increase participation by increasing the perceived benefits of the data collection.</w:t>
      </w:r>
    </w:p>
    <w:p w14:paraId="41C8668F" w14:textId="77777777" w:rsidR="00C26695" w:rsidRDefault="00C26695" w:rsidP="00C26695">
      <w:pPr>
        <w:pStyle w:val="N1-1stBullet"/>
        <w:tabs>
          <w:tab w:val="clear" w:pos="1152"/>
          <w:tab w:val="num" w:pos="1080"/>
        </w:tabs>
        <w:spacing w:after="0" w:line="276" w:lineRule="auto"/>
        <w:ind w:left="1080" w:hanging="504"/>
        <w:jc w:val="both"/>
        <w:rPr>
          <w:szCs w:val="24"/>
        </w:rPr>
      </w:pPr>
      <w:r>
        <w:rPr>
          <w:szCs w:val="24"/>
        </w:rPr>
        <w:t>Emailed f</w:t>
      </w:r>
      <w:r w:rsidRPr="00D368BA">
        <w:rPr>
          <w:szCs w:val="24"/>
        </w:rPr>
        <w:t>ollow</w:t>
      </w:r>
      <w:r>
        <w:rPr>
          <w:szCs w:val="24"/>
        </w:rPr>
        <w:t>-</w:t>
      </w:r>
      <w:r w:rsidRPr="00D368BA">
        <w:rPr>
          <w:szCs w:val="24"/>
        </w:rPr>
        <w:t xml:space="preserve">up attempts will be made with all </w:t>
      </w:r>
      <w:r>
        <w:rPr>
          <w:szCs w:val="24"/>
        </w:rPr>
        <w:t>WBC administrators</w:t>
      </w:r>
      <w:r w:rsidRPr="00D368BA">
        <w:rPr>
          <w:szCs w:val="24"/>
        </w:rPr>
        <w:t xml:space="preserve"> who do not </w:t>
      </w:r>
      <w:r>
        <w:rPr>
          <w:szCs w:val="24"/>
        </w:rPr>
        <w:t>submit the administrative data request by the due date cited in the introductory letter</w:t>
      </w:r>
      <w:r w:rsidRPr="00D368BA">
        <w:rPr>
          <w:szCs w:val="24"/>
        </w:rPr>
        <w:t xml:space="preserve">. The primary purpose of the </w:t>
      </w:r>
      <w:r>
        <w:rPr>
          <w:szCs w:val="24"/>
        </w:rPr>
        <w:t>contact attempts</w:t>
      </w:r>
      <w:r w:rsidRPr="00D368BA">
        <w:rPr>
          <w:szCs w:val="24"/>
        </w:rPr>
        <w:t xml:space="preserve"> will be to urge </w:t>
      </w:r>
      <w:r>
        <w:rPr>
          <w:szCs w:val="24"/>
        </w:rPr>
        <w:t>WBC administrators</w:t>
      </w:r>
      <w:r w:rsidRPr="00D368BA">
        <w:rPr>
          <w:szCs w:val="24"/>
        </w:rPr>
        <w:t xml:space="preserve"> to </w:t>
      </w:r>
      <w:r>
        <w:rPr>
          <w:szCs w:val="24"/>
        </w:rPr>
        <w:t>submit the information as soon as possible</w:t>
      </w:r>
      <w:r w:rsidRPr="00D368BA">
        <w:rPr>
          <w:szCs w:val="24"/>
        </w:rPr>
        <w:t xml:space="preserve">. </w:t>
      </w:r>
    </w:p>
    <w:p w14:paraId="4013612D" w14:textId="77777777" w:rsidR="00C26695" w:rsidRPr="00EC6596" w:rsidRDefault="00C26695" w:rsidP="00C26695">
      <w:pPr>
        <w:pStyle w:val="N1-1stBullet"/>
        <w:numPr>
          <w:ilvl w:val="0"/>
          <w:numId w:val="0"/>
        </w:numPr>
        <w:spacing w:after="0" w:line="276" w:lineRule="auto"/>
        <w:ind w:left="1080"/>
        <w:jc w:val="both"/>
        <w:rPr>
          <w:szCs w:val="24"/>
        </w:rPr>
      </w:pPr>
    </w:p>
    <w:p w14:paraId="4283E466" w14:textId="77777777" w:rsidR="00C26695" w:rsidRDefault="00C26695" w:rsidP="00C26695">
      <w:pPr>
        <w:pStyle w:val="N1-1stBullet"/>
        <w:numPr>
          <w:ilvl w:val="0"/>
          <w:numId w:val="0"/>
        </w:numPr>
        <w:spacing w:line="276" w:lineRule="auto"/>
        <w:ind w:firstLine="576"/>
        <w:jc w:val="both"/>
      </w:pPr>
      <w:r>
        <w:t>Below, we describe t</w:t>
      </w:r>
      <w:r w:rsidRPr="00D368BA">
        <w:t xml:space="preserve">he recruitment procedures designed to maximize the number of </w:t>
      </w:r>
      <w:r>
        <w:t>WBC clients</w:t>
      </w:r>
      <w:r w:rsidRPr="00D368BA">
        <w:t xml:space="preserve"> who complete the </w:t>
      </w:r>
      <w:r>
        <w:t>WBC Client Outcome Survey</w:t>
      </w:r>
      <w:r w:rsidRPr="00D368BA">
        <w:t>.</w:t>
      </w:r>
    </w:p>
    <w:p w14:paraId="58DDE9DB" w14:textId="77777777" w:rsidR="00C26695" w:rsidRPr="00D368BA" w:rsidRDefault="00C26695" w:rsidP="00C26695">
      <w:pPr>
        <w:pStyle w:val="N1-1stBullet"/>
        <w:tabs>
          <w:tab w:val="clear" w:pos="1152"/>
          <w:tab w:val="num" w:pos="1080"/>
        </w:tabs>
        <w:spacing w:after="0" w:line="240" w:lineRule="atLeast"/>
        <w:ind w:left="1080" w:hanging="540"/>
        <w:jc w:val="both"/>
      </w:pPr>
      <w:r w:rsidRPr="00D368BA">
        <w:t xml:space="preserve">The introductory letters inviting </w:t>
      </w:r>
      <w:r>
        <w:t>WBC clients</w:t>
      </w:r>
      <w:r w:rsidRPr="00D368BA">
        <w:t xml:space="preserve"> to participate in the </w:t>
      </w:r>
      <w:r>
        <w:t>WBC Client Outcome</w:t>
      </w:r>
      <w:r w:rsidRPr="00D368BA">
        <w:t xml:space="preserve"> Survey will be carefully developed to emphasize the importance of this study and how the information will help </w:t>
      </w:r>
      <w:r>
        <w:t>SBA</w:t>
      </w:r>
      <w:r w:rsidRPr="00D368BA">
        <w:t xml:space="preserve"> improve the </w:t>
      </w:r>
      <w:r>
        <w:t>WBC program</w:t>
      </w:r>
      <w:r w:rsidRPr="00D368BA">
        <w:t xml:space="preserve">, </w:t>
      </w:r>
      <w:r>
        <w:t>as well as</w:t>
      </w:r>
      <w:r w:rsidRPr="00D368BA">
        <w:t xml:space="preserve"> </w:t>
      </w:r>
      <w:r>
        <w:t>maximizing</w:t>
      </w:r>
      <w:r w:rsidRPr="00D368BA">
        <w:t xml:space="preserve"> cooperation through advance </w:t>
      </w:r>
      <w:r>
        <w:t>notice.</w:t>
      </w:r>
      <w:r w:rsidRPr="00D368BA">
        <w:t xml:space="preserve"> All letters will include </w:t>
      </w:r>
      <w:r w:rsidRPr="00D368BA">
        <w:rPr>
          <w:szCs w:val="24"/>
        </w:rPr>
        <w:t xml:space="preserve">official </w:t>
      </w:r>
      <w:r>
        <w:rPr>
          <w:szCs w:val="24"/>
        </w:rPr>
        <w:t>SBA</w:t>
      </w:r>
      <w:r w:rsidRPr="00D368BA">
        <w:rPr>
          <w:szCs w:val="24"/>
        </w:rPr>
        <w:t xml:space="preserve"> letterhead</w:t>
      </w:r>
      <w:r>
        <w:rPr>
          <w:szCs w:val="24"/>
        </w:rPr>
        <w:t>.</w:t>
      </w:r>
    </w:p>
    <w:p w14:paraId="5461575D" w14:textId="77777777" w:rsidR="00C26695" w:rsidRPr="00EC6596" w:rsidRDefault="00C26695" w:rsidP="00C26695">
      <w:pPr>
        <w:pStyle w:val="N1-1stBullet"/>
        <w:tabs>
          <w:tab w:val="clear" w:pos="1152"/>
          <w:tab w:val="num" w:pos="1080"/>
        </w:tabs>
        <w:spacing w:after="0" w:line="240" w:lineRule="auto"/>
        <w:ind w:left="1080" w:hanging="504"/>
        <w:jc w:val="both"/>
        <w:rPr>
          <w:szCs w:val="24"/>
        </w:rPr>
      </w:pPr>
      <w:r w:rsidRPr="00EC6596">
        <w:rPr>
          <w:szCs w:val="24"/>
        </w:rPr>
        <w:t xml:space="preserve">A toll-free number and email address </w:t>
      </w:r>
      <w:r>
        <w:rPr>
          <w:szCs w:val="24"/>
        </w:rPr>
        <w:t xml:space="preserve">for the study </w:t>
      </w:r>
      <w:r w:rsidRPr="00EC6596">
        <w:rPr>
          <w:szCs w:val="24"/>
        </w:rPr>
        <w:t xml:space="preserve">will be provided so </w:t>
      </w:r>
      <w:r>
        <w:rPr>
          <w:szCs w:val="24"/>
        </w:rPr>
        <w:t>respondents</w:t>
      </w:r>
      <w:r w:rsidRPr="00EC6596">
        <w:rPr>
          <w:szCs w:val="24"/>
        </w:rPr>
        <w:t xml:space="preserve"> can receive assistance with the survey. </w:t>
      </w:r>
    </w:p>
    <w:p w14:paraId="35617EB3" w14:textId="77777777" w:rsidR="00C26695" w:rsidRPr="00D368BA" w:rsidRDefault="00C26695" w:rsidP="00C26695">
      <w:pPr>
        <w:pStyle w:val="N1-1stBullet"/>
        <w:tabs>
          <w:tab w:val="clear" w:pos="1152"/>
          <w:tab w:val="num" w:pos="1080"/>
        </w:tabs>
        <w:spacing w:after="0" w:line="240" w:lineRule="auto"/>
        <w:ind w:left="1080" w:hanging="504"/>
        <w:jc w:val="both"/>
        <w:rPr>
          <w:szCs w:val="24"/>
        </w:rPr>
      </w:pPr>
      <w:r w:rsidRPr="00D368BA">
        <w:rPr>
          <w:szCs w:val="24"/>
        </w:rPr>
        <w:t xml:space="preserve">Sampled </w:t>
      </w:r>
      <w:r>
        <w:rPr>
          <w:szCs w:val="24"/>
        </w:rPr>
        <w:t>WBC clients</w:t>
      </w:r>
      <w:r w:rsidRPr="00D368BA">
        <w:rPr>
          <w:szCs w:val="24"/>
        </w:rPr>
        <w:t xml:space="preserve"> will have the option of completing the </w:t>
      </w:r>
      <w:r>
        <w:rPr>
          <w:szCs w:val="24"/>
        </w:rPr>
        <w:t xml:space="preserve">WBC Client Outcome Survey on the web or by </w:t>
      </w:r>
      <w:r w:rsidRPr="00D368BA">
        <w:rPr>
          <w:szCs w:val="24"/>
        </w:rPr>
        <w:t xml:space="preserve">telephone. </w:t>
      </w:r>
    </w:p>
    <w:p w14:paraId="784672CA" w14:textId="77777777" w:rsidR="00C26695" w:rsidRPr="00D368BA" w:rsidRDefault="00C26695" w:rsidP="00C26695">
      <w:pPr>
        <w:pStyle w:val="N1-1stBullet"/>
        <w:tabs>
          <w:tab w:val="clear" w:pos="1152"/>
          <w:tab w:val="num" w:pos="1080"/>
        </w:tabs>
        <w:spacing w:after="0" w:line="240" w:lineRule="atLeast"/>
        <w:ind w:left="1080" w:hanging="504"/>
        <w:jc w:val="both"/>
      </w:pPr>
      <w:r w:rsidRPr="00D368BA">
        <w:rPr>
          <w:szCs w:val="24"/>
        </w:rPr>
        <w:t>A training for telephone interviewers will be conducted. The training, specific to this study, will include an overview of the project, a primer on interviewing practices and procedures, techniques for encouraging respondent candor</w:t>
      </w:r>
      <w:r>
        <w:rPr>
          <w:szCs w:val="24"/>
        </w:rPr>
        <w:t xml:space="preserve">, and </w:t>
      </w:r>
      <w:r w:rsidRPr="00D368BA">
        <w:rPr>
          <w:szCs w:val="24"/>
        </w:rPr>
        <w:t xml:space="preserve">a review of the </w:t>
      </w:r>
      <w:r>
        <w:rPr>
          <w:szCs w:val="24"/>
        </w:rPr>
        <w:t xml:space="preserve">survey </w:t>
      </w:r>
      <w:r w:rsidRPr="00D368BA">
        <w:rPr>
          <w:szCs w:val="24"/>
        </w:rPr>
        <w:t>questions</w:t>
      </w:r>
      <w:r>
        <w:rPr>
          <w:szCs w:val="24"/>
        </w:rPr>
        <w:t xml:space="preserve"> in case the interviewer needs to conduct the survey over the telephone. </w:t>
      </w:r>
    </w:p>
    <w:p w14:paraId="41AEA073" w14:textId="77777777" w:rsidR="00C26695" w:rsidRPr="00D368BA" w:rsidRDefault="00C26695" w:rsidP="00C26695">
      <w:pPr>
        <w:pStyle w:val="N1-1stBullet"/>
        <w:tabs>
          <w:tab w:val="clear" w:pos="1152"/>
          <w:tab w:val="num" w:pos="1080"/>
        </w:tabs>
        <w:spacing w:after="0" w:line="240" w:lineRule="auto"/>
        <w:ind w:left="1080" w:hanging="504"/>
        <w:jc w:val="both"/>
        <w:rPr>
          <w:szCs w:val="24"/>
        </w:rPr>
      </w:pPr>
      <w:r w:rsidRPr="00D368BA">
        <w:rPr>
          <w:szCs w:val="24"/>
        </w:rPr>
        <w:t xml:space="preserve">A core set of interviewers who have proven their ability to obtain cooperation from a high proportion of sample members will be </w:t>
      </w:r>
      <w:r>
        <w:rPr>
          <w:szCs w:val="24"/>
        </w:rPr>
        <w:t>assigned to the study</w:t>
      </w:r>
      <w:r w:rsidRPr="00D368BA">
        <w:rPr>
          <w:szCs w:val="24"/>
        </w:rPr>
        <w:t>.</w:t>
      </w:r>
    </w:p>
    <w:p w14:paraId="634E395C" w14:textId="77777777" w:rsidR="00C26695" w:rsidRPr="00D368BA" w:rsidRDefault="00C26695" w:rsidP="00C26695">
      <w:pPr>
        <w:pStyle w:val="N1-1stBullet"/>
        <w:tabs>
          <w:tab w:val="clear" w:pos="1152"/>
          <w:tab w:val="num" w:pos="1080"/>
        </w:tabs>
        <w:spacing w:after="0" w:line="240" w:lineRule="auto"/>
        <w:ind w:left="1080" w:hanging="504"/>
        <w:jc w:val="both"/>
        <w:rPr>
          <w:szCs w:val="24"/>
        </w:rPr>
      </w:pPr>
      <w:r>
        <w:rPr>
          <w:szCs w:val="24"/>
        </w:rPr>
        <w:t>F</w:t>
      </w:r>
      <w:r w:rsidRPr="00D368BA">
        <w:rPr>
          <w:szCs w:val="24"/>
        </w:rPr>
        <w:t>ollow</w:t>
      </w:r>
      <w:r>
        <w:rPr>
          <w:szCs w:val="24"/>
        </w:rPr>
        <w:t>-</w:t>
      </w:r>
      <w:r w:rsidRPr="00D368BA">
        <w:rPr>
          <w:szCs w:val="24"/>
        </w:rPr>
        <w:t xml:space="preserve">up attempts will be </w:t>
      </w:r>
      <w:r>
        <w:rPr>
          <w:szCs w:val="24"/>
        </w:rPr>
        <w:t>emailed</w:t>
      </w:r>
      <w:r w:rsidRPr="00D368BA">
        <w:rPr>
          <w:szCs w:val="24"/>
        </w:rPr>
        <w:t xml:space="preserve"> </w:t>
      </w:r>
      <w:r>
        <w:rPr>
          <w:szCs w:val="24"/>
        </w:rPr>
        <w:t>to</w:t>
      </w:r>
      <w:r w:rsidRPr="00D368BA">
        <w:rPr>
          <w:szCs w:val="24"/>
        </w:rPr>
        <w:t xml:space="preserve"> all sampled </w:t>
      </w:r>
      <w:r>
        <w:rPr>
          <w:szCs w:val="24"/>
        </w:rPr>
        <w:t>WBC clients</w:t>
      </w:r>
      <w:r w:rsidRPr="00D368BA">
        <w:rPr>
          <w:szCs w:val="24"/>
        </w:rPr>
        <w:t xml:space="preserve"> who do not complete the survey </w:t>
      </w:r>
      <w:r>
        <w:rPr>
          <w:szCs w:val="24"/>
        </w:rPr>
        <w:t>1</w:t>
      </w:r>
      <w:r w:rsidRPr="00D368BA">
        <w:rPr>
          <w:szCs w:val="24"/>
        </w:rPr>
        <w:t xml:space="preserve"> week after the start of data collection. </w:t>
      </w:r>
      <w:r>
        <w:rPr>
          <w:szCs w:val="24"/>
        </w:rPr>
        <w:t xml:space="preserve">During the last 4 weeks of data collection, telephone follow-up attempts will be initiated. </w:t>
      </w:r>
      <w:r w:rsidRPr="00D368BA">
        <w:rPr>
          <w:szCs w:val="24"/>
        </w:rPr>
        <w:t xml:space="preserve">The primary purpose of the </w:t>
      </w:r>
      <w:r>
        <w:rPr>
          <w:szCs w:val="24"/>
        </w:rPr>
        <w:t>contact attempt</w:t>
      </w:r>
      <w:r w:rsidRPr="00D368BA">
        <w:rPr>
          <w:szCs w:val="24"/>
        </w:rPr>
        <w:t xml:space="preserve"> will be to urge </w:t>
      </w:r>
      <w:r>
        <w:rPr>
          <w:szCs w:val="24"/>
        </w:rPr>
        <w:t>WBC clients</w:t>
      </w:r>
      <w:r w:rsidRPr="00D368BA">
        <w:rPr>
          <w:szCs w:val="24"/>
        </w:rPr>
        <w:t xml:space="preserve"> to complete the survey. At that point, if the </w:t>
      </w:r>
      <w:r>
        <w:rPr>
          <w:szCs w:val="24"/>
        </w:rPr>
        <w:t>WBC client</w:t>
      </w:r>
      <w:r w:rsidRPr="00D368BA">
        <w:rPr>
          <w:szCs w:val="24"/>
        </w:rPr>
        <w:t xml:space="preserve"> </w:t>
      </w:r>
      <w:r>
        <w:rPr>
          <w:szCs w:val="24"/>
        </w:rPr>
        <w:t>chooses</w:t>
      </w:r>
      <w:r w:rsidRPr="00D368BA">
        <w:rPr>
          <w:szCs w:val="24"/>
        </w:rPr>
        <w:t xml:space="preserve"> to complete the survey</w:t>
      </w:r>
      <w:r>
        <w:rPr>
          <w:szCs w:val="24"/>
        </w:rPr>
        <w:t>,</w:t>
      </w:r>
      <w:r w:rsidRPr="00D368BA">
        <w:rPr>
          <w:szCs w:val="24"/>
        </w:rPr>
        <w:t xml:space="preserve"> an interviewer will administer the full survey or any remaining parts of the survey over the telephone. </w:t>
      </w:r>
    </w:p>
    <w:p w14:paraId="4AFB799B" w14:textId="77777777" w:rsidR="00C26695" w:rsidRPr="007564D0" w:rsidRDefault="00C26695" w:rsidP="00C26695">
      <w:pPr>
        <w:pStyle w:val="N1-1stBullet"/>
        <w:tabs>
          <w:tab w:val="clear" w:pos="1152"/>
          <w:tab w:val="num" w:pos="1080"/>
        </w:tabs>
        <w:spacing w:after="0" w:line="240" w:lineRule="auto"/>
        <w:ind w:left="1080" w:hanging="504"/>
        <w:jc w:val="both"/>
        <w:rPr>
          <w:szCs w:val="24"/>
        </w:rPr>
      </w:pPr>
      <w:r w:rsidRPr="00D368BA">
        <w:rPr>
          <w:szCs w:val="24"/>
        </w:rPr>
        <w:t>Call</w:t>
      </w:r>
      <w:r>
        <w:rPr>
          <w:szCs w:val="24"/>
        </w:rPr>
        <w:t>-</w:t>
      </w:r>
      <w:r w:rsidRPr="00D368BA">
        <w:rPr>
          <w:szCs w:val="24"/>
        </w:rPr>
        <w:t>scheduling procedures that are designed to call numbers at different times of the day (between 8</w:t>
      </w:r>
      <w:r>
        <w:rPr>
          <w:szCs w:val="24"/>
        </w:rPr>
        <w:t>:00</w:t>
      </w:r>
      <w:r w:rsidRPr="00D368BA">
        <w:rPr>
          <w:szCs w:val="24"/>
        </w:rPr>
        <w:t xml:space="preserve"> a.m. and </w:t>
      </w:r>
      <w:r>
        <w:rPr>
          <w:szCs w:val="24"/>
        </w:rPr>
        <w:t>9:00</w:t>
      </w:r>
      <w:r w:rsidRPr="00D368BA">
        <w:rPr>
          <w:szCs w:val="24"/>
        </w:rPr>
        <w:t xml:space="preserve"> p.m.</w:t>
      </w:r>
      <w:r>
        <w:rPr>
          <w:szCs w:val="24"/>
        </w:rPr>
        <w:t>, local time for WBC clients</w:t>
      </w:r>
      <w:r w:rsidRPr="00D368BA">
        <w:rPr>
          <w:szCs w:val="24"/>
        </w:rPr>
        <w:t xml:space="preserve">) and </w:t>
      </w:r>
      <w:r>
        <w:rPr>
          <w:szCs w:val="24"/>
        </w:rPr>
        <w:t xml:space="preserve">different </w:t>
      </w:r>
      <w:r w:rsidRPr="00D368BA">
        <w:rPr>
          <w:szCs w:val="24"/>
        </w:rPr>
        <w:t xml:space="preserve">days of the week (Monday through </w:t>
      </w:r>
      <w:r>
        <w:rPr>
          <w:szCs w:val="24"/>
        </w:rPr>
        <w:t>Saturday</w:t>
      </w:r>
      <w:r w:rsidRPr="00D368BA">
        <w:rPr>
          <w:szCs w:val="24"/>
        </w:rPr>
        <w:t xml:space="preserve">) will be used to improve response rates. </w:t>
      </w:r>
    </w:p>
    <w:p w14:paraId="2C74FA77" w14:textId="77777777" w:rsidR="00C26695" w:rsidRDefault="00C26695" w:rsidP="00C26695">
      <w:pPr>
        <w:pStyle w:val="Heading2"/>
        <w:tabs>
          <w:tab w:val="left" w:pos="720"/>
        </w:tabs>
        <w:spacing w:before="240" w:line="240" w:lineRule="auto"/>
        <w:ind w:left="720" w:hanging="720"/>
        <w:rPr>
          <w:rFonts w:ascii="Times New Roman" w:hAnsi="Times New Roman"/>
          <w:color w:val="auto"/>
          <w:sz w:val="24"/>
          <w:szCs w:val="24"/>
        </w:rPr>
      </w:pPr>
      <w:bookmarkStart w:id="15" w:name="_Toc282506045"/>
      <w:bookmarkStart w:id="16" w:name="_Toc5007134"/>
      <w:r w:rsidRPr="00663692">
        <w:rPr>
          <w:rFonts w:ascii="Times New Roman" w:hAnsi="Times New Roman"/>
          <w:color w:val="auto"/>
          <w:sz w:val="24"/>
          <w:szCs w:val="24"/>
        </w:rPr>
        <w:t>B.4</w:t>
      </w:r>
      <w:r w:rsidRPr="00663692">
        <w:rPr>
          <w:rFonts w:ascii="Times New Roman" w:hAnsi="Times New Roman"/>
          <w:color w:val="auto"/>
          <w:sz w:val="24"/>
          <w:szCs w:val="24"/>
        </w:rPr>
        <w:tab/>
      </w:r>
      <w:bookmarkEnd w:id="15"/>
      <w:r w:rsidRPr="00663692">
        <w:rPr>
          <w:rFonts w:ascii="Times New Roman" w:hAnsi="Times New Roman"/>
          <w:color w:val="auto"/>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16"/>
    </w:p>
    <w:p w14:paraId="1EB961D4" w14:textId="115E29FE" w:rsidR="00C26695" w:rsidRPr="00FE3A74" w:rsidRDefault="00C26695" w:rsidP="00C26695">
      <w:pPr>
        <w:spacing w:line="276" w:lineRule="auto"/>
        <w:ind w:firstLine="720"/>
        <w:jc w:val="both"/>
        <w:rPr>
          <w:sz w:val="22"/>
        </w:rPr>
      </w:pPr>
      <w:r>
        <w:t xml:space="preserve">The </w:t>
      </w:r>
      <w:r w:rsidRPr="0002614F">
        <w:t>WBC Client Outcome Survey</w:t>
      </w:r>
      <w:r>
        <w:t xml:space="preserve"> (</w:t>
      </w:r>
      <w:r w:rsidRPr="0002614F">
        <w:t>English</w:t>
      </w:r>
      <w:r>
        <w:t>)</w:t>
      </w:r>
      <w:r w:rsidRPr="0002614F">
        <w:t xml:space="preserve"> </w:t>
      </w:r>
      <w:r>
        <w:t xml:space="preserve">was </w:t>
      </w:r>
      <w:r w:rsidRPr="00FE3A74">
        <w:t xml:space="preserve">pretested with </w:t>
      </w:r>
      <w:r>
        <w:t xml:space="preserve">four </w:t>
      </w:r>
      <w:r w:rsidRPr="00FE3A74">
        <w:t xml:space="preserve">respondents for understandability (confusing wording or layout, failure to </w:t>
      </w:r>
      <w:r>
        <w:t>comprehend</w:t>
      </w:r>
      <w:r w:rsidRPr="00FE3A74">
        <w:t xml:space="preserve"> </w:t>
      </w:r>
      <w:r>
        <w:t>the question,</w:t>
      </w:r>
      <w:r w:rsidRPr="00FE3A74">
        <w:t xml:space="preserve"> etc.) and length of time to answer. </w:t>
      </w:r>
      <w:r>
        <w:t xml:space="preserve">The </w:t>
      </w:r>
      <w:r w:rsidRPr="0002614F">
        <w:t>WBC Client Outcome Survey</w:t>
      </w:r>
      <w:r>
        <w:t xml:space="preserve"> was revised to incorporate pretest results. Revisions included adding definitions to some terms in the survey and modifying the wording of the introduction email for clarity purposes. Burden estimates did not change. The final version of the English survey is included in Appendix A1, and the Spanish version was revised accordingly (Appendix A2).</w:t>
      </w:r>
      <w:r w:rsidR="00256B9E">
        <w:t xml:space="preserve">At this time, there are no </w:t>
      </w:r>
      <w:r w:rsidR="00C41179">
        <w:t xml:space="preserve">future plans for testing. </w:t>
      </w:r>
    </w:p>
    <w:p w14:paraId="48EAB724" w14:textId="77777777" w:rsidR="00C26695" w:rsidRDefault="00C26695" w:rsidP="00C26695">
      <w:pPr>
        <w:spacing w:line="240" w:lineRule="auto"/>
        <w:ind w:left="720"/>
        <w:jc w:val="both"/>
        <w:rPr>
          <w:color w:val="FF0000"/>
        </w:rPr>
      </w:pPr>
    </w:p>
    <w:p w14:paraId="6F80B199" w14:textId="77777777" w:rsidR="00C26695" w:rsidRDefault="00C26695" w:rsidP="00C26695">
      <w:pPr>
        <w:spacing w:line="240" w:lineRule="auto"/>
        <w:ind w:left="720"/>
        <w:jc w:val="both"/>
        <w:rPr>
          <w:color w:val="FF0000"/>
        </w:rPr>
      </w:pPr>
    </w:p>
    <w:p w14:paraId="372A2C66" w14:textId="77777777" w:rsidR="00C26695" w:rsidRDefault="00C26695" w:rsidP="00C26695">
      <w:pPr>
        <w:spacing w:line="240" w:lineRule="auto"/>
        <w:ind w:left="720"/>
        <w:jc w:val="both"/>
        <w:rPr>
          <w:color w:val="FF0000"/>
        </w:rPr>
      </w:pPr>
    </w:p>
    <w:p w14:paraId="67F61B98" w14:textId="77777777" w:rsidR="00C26695" w:rsidRDefault="00C26695" w:rsidP="00C26695">
      <w:pPr>
        <w:spacing w:line="240" w:lineRule="auto"/>
        <w:ind w:left="720"/>
        <w:jc w:val="both"/>
        <w:rPr>
          <w:color w:val="FF0000"/>
        </w:rPr>
      </w:pPr>
    </w:p>
    <w:p w14:paraId="678D8E8D" w14:textId="77777777" w:rsidR="00C26695" w:rsidRPr="00331424" w:rsidRDefault="00C26695" w:rsidP="00C26695">
      <w:pPr>
        <w:pStyle w:val="Heading2"/>
        <w:tabs>
          <w:tab w:val="left" w:pos="720"/>
        </w:tabs>
        <w:spacing w:line="240" w:lineRule="auto"/>
        <w:ind w:left="720" w:hanging="720"/>
        <w:rPr>
          <w:rFonts w:ascii="Times New Roman" w:hAnsi="Times New Roman"/>
          <w:color w:val="auto"/>
          <w:sz w:val="24"/>
          <w:szCs w:val="24"/>
        </w:rPr>
      </w:pPr>
      <w:bookmarkStart w:id="17" w:name="_Toc282506046"/>
      <w:bookmarkStart w:id="18" w:name="_Toc339621325"/>
      <w:bookmarkStart w:id="19" w:name="_Toc5007135"/>
      <w:r w:rsidRPr="00331424">
        <w:rPr>
          <w:rFonts w:ascii="Times New Roman" w:hAnsi="Times New Roman"/>
          <w:color w:val="auto"/>
          <w:sz w:val="24"/>
          <w:szCs w:val="24"/>
        </w:rPr>
        <w:t>B.5</w:t>
      </w:r>
      <w:r w:rsidRPr="00331424">
        <w:rPr>
          <w:rFonts w:ascii="Times New Roman" w:hAnsi="Times New Roman"/>
          <w:color w:val="auto"/>
          <w:sz w:val="24"/>
          <w:szCs w:val="24"/>
        </w:rPr>
        <w:tab/>
      </w:r>
      <w:bookmarkEnd w:id="17"/>
      <w:r w:rsidRPr="00331424">
        <w:rPr>
          <w:rFonts w:ascii="Times New Roman" w:hAnsi="Times New Roman"/>
          <w:color w:val="auto"/>
          <w:sz w:val="24"/>
          <w:szCs w:val="24"/>
        </w:rPr>
        <w:t>Provide the name and telephone number of individuals consulted on statistical aspects of the design and the name of the agency unit, contractor(s), grantee(s), or other person(s) who will actually collect and/or analyze the information for the agency.</w:t>
      </w:r>
      <w:bookmarkEnd w:id="18"/>
      <w:bookmarkEnd w:id="19"/>
    </w:p>
    <w:p w14:paraId="3CA2AC7C" w14:textId="720911D9" w:rsidR="00C26695" w:rsidRDefault="00C26695" w:rsidP="00C26695">
      <w:pPr>
        <w:spacing w:after="240" w:line="276" w:lineRule="auto"/>
        <w:ind w:firstLine="720"/>
        <w:jc w:val="both"/>
        <w:rPr>
          <w:rStyle w:val="Heading3Char"/>
          <w:rFonts w:ascii="Times New Roman" w:hAnsi="Times New Roman"/>
        </w:rPr>
      </w:pPr>
      <w:r w:rsidRPr="006E10CB">
        <w:t xml:space="preserve">The Contractor, 2M Research, will conduct this study. See Table </w:t>
      </w:r>
      <w:r w:rsidR="00013590">
        <w:t>4</w:t>
      </w:r>
      <w:r w:rsidRPr="006E10CB">
        <w:t xml:space="preserve"> for contact information. </w:t>
      </w:r>
    </w:p>
    <w:p w14:paraId="47BFF527" w14:textId="77777777" w:rsidR="00C26695" w:rsidRPr="00B5665D" w:rsidRDefault="00C26695" w:rsidP="00C26695">
      <w:pPr>
        <w:spacing w:after="240" w:line="276" w:lineRule="auto"/>
        <w:jc w:val="both"/>
        <w:rPr>
          <w:rFonts w:eastAsiaTheme="minorHAnsi"/>
          <w:szCs w:val="24"/>
        </w:rPr>
      </w:pPr>
      <w:bookmarkStart w:id="20" w:name="_Toc5007136"/>
      <w:r w:rsidRPr="00AD5D0F">
        <w:rPr>
          <w:rStyle w:val="Heading3Char"/>
          <w:rFonts w:ascii="Times New Roman" w:hAnsi="Times New Roman"/>
        </w:rPr>
        <w:t xml:space="preserve">Table </w:t>
      </w:r>
      <w:r>
        <w:rPr>
          <w:rStyle w:val="Heading3Char"/>
          <w:rFonts w:ascii="Times New Roman" w:hAnsi="Times New Roman"/>
        </w:rPr>
        <w:t>4</w:t>
      </w:r>
      <w:r w:rsidRPr="00AD5D0F">
        <w:rPr>
          <w:rStyle w:val="Heading3Char"/>
          <w:rFonts w:ascii="Times New Roman" w:hAnsi="Times New Roman"/>
        </w:rPr>
        <w:t xml:space="preserve">. </w:t>
      </w:r>
      <w:r>
        <w:rPr>
          <w:rStyle w:val="Heading3Char"/>
          <w:rFonts w:ascii="Times New Roman" w:hAnsi="Times New Roman"/>
        </w:rPr>
        <w:t>Study</w:t>
      </w:r>
      <w:r w:rsidRPr="00AD5D0F">
        <w:rPr>
          <w:rStyle w:val="Heading3Char"/>
          <w:rFonts w:ascii="Times New Roman" w:hAnsi="Times New Roman"/>
        </w:rPr>
        <w:t xml:space="preserve"> Team Contact Information</w:t>
      </w:r>
      <w:bookmarkEnd w:id="20"/>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2232"/>
        <w:gridCol w:w="2094"/>
        <w:gridCol w:w="3510"/>
      </w:tblGrid>
      <w:tr w:rsidR="00C26695" w:rsidRPr="00B5665D" w14:paraId="428AEB57" w14:textId="77777777" w:rsidTr="00930A4C">
        <w:tc>
          <w:tcPr>
            <w:tcW w:w="1969" w:type="dxa"/>
            <w:tcBorders>
              <w:top w:val="single" w:sz="4" w:space="0" w:color="auto"/>
              <w:left w:val="single" w:sz="4" w:space="0" w:color="auto"/>
              <w:bottom w:val="single" w:sz="4" w:space="0" w:color="auto"/>
              <w:right w:val="single" w:sz="4" w:space="0" w:color="auto"/>
            </w:tcBorders>
            <w:shd w:val="clear" w:color="auto" w:fill="AFBED7"/>
            <w:vAlign w:val="bottom"/>
            <w:hideMark/>
          </w:tcPr>
          <w:p w14:paraId="2A2CA66C" w14:textId="77777777" w:rsidR="00C26695" w:rsidRPr="00B5665D" w:rsidRDefault="00C26695" w:rsidP="00930A4C">
            <w:pPr>
              <w:pStyle w:val="TH-TableHeading"/>
              <w:rPr>
                <w:rFonts w:ascii="Times New Roman" w:hAnsi="Times New Roman"/>
                <w:sz w:val="22"/>
                <w:szCs w:val="22"/>
              </w:rPr>
            </w:pPr>
            <w:bookmarkStart w:id="21" w:name="_Toc5007137"/>
            <w:r w:rsidRPr="00B5665D">
              <w:rPr>
                <w:rFonts w:ascii="Times New Roman" w:hAnsi="Times New Roman"/>
                <w:sz w:val="22"/>
                <w:szCs w:val="22"/>
              </w:rPr>
              <w:t>Name</w:t>
            </w:r>
            <w:bookmarkEnd w:id="21"/>
          </w:p>
        </w:tc>
        <w:tc>
          <w:tcPr>
            <w:tcW w:w="2232" w:type="dxa"/>
            <w:tcBorders>
              <w:top w:val="single" w:sz="4" w:space="0" w:color="auto"/>
              <w:left w:val="single" w:sz="4" w:space="0" w:color="auto"/>
              <w:bottom w:val="single" w:sz="4" w:space="0" w:color="auto"/>
              <w:right w:val="single" w:sz="4" w:space="0" w:color="auto"/>
            </w:tcBorders>
            <w:shd w:val="clear" w:color="auto" w:fill="AFBED7"/>
            <w:vAlign w:val="bottom"/>
            <w:hideMark/>
          </w:tcPr>
          <w:p w14:paraId="0DF93B21" w14:textId="77777777" w:rsidR="00C26695" w:rsidRPr="00B5665D" w:rsidRDefault="00C26695" w:rsidP="00930A4C">
            <w:pPr>
              <w:pStyle w:val="TH-TableHeading"/>
              <w:rPr>
                <w:rFonts w:ascii="Times New Roman" w:hAnsi="Times New Roman"/>
                <w:sz w:val="22"/>
                <w:szCs w:val="22"/>
              </w:rPr>
            </w:pPr>
            <w:bookmarkStart w:id="22" w:name="_Toc339621327"/>
            <w:bookmarkStart w:id="23" w:name="_Toc5007138"/>
            <w:r w:rsidRPr="00B5665D">
              <w:rPr>
                <w:rFonts w:ascii="Times New Roman" w:hAnsi="Times New Roman"/>
                <w:sz w:val="22"/>
                <w:szCs w:val="22"/>
              </w:rPr>
              <w:t>Affiliation</w:t>
            </w:r>
            <w:bookmarkEnd w:id="22"/>
            <w:bookmarkEnd w:id="23"/>
          </w:p>
        </w:tc>
        <w:tc>
          <w:tcPr>
            <w:tcW w:w="2094" w:type="dxa"/>
            <w:tcBorders>
              <w:top w:val="single" w:sz="4" w:space="0" w:color="auto"/>
              <w:left w:val="single" w:sz="4" w:space="0" w:color="auto"/>
              <w:bottom w:val="single" w:sz="4" w:space="0" w:color="auto"/>
              <w:right w:val="single" w:sz="4" w:space="0" w:color="auto"/>
            </w:tcBorders>
            <w:shd w:val="clear" w:color="auto" w:fill="AFBED7"/>
            <w:vAlign w:val="bottom"/>
            <w:hideMark/>
          </w:tcPr>
          <w:p w14:paraId="2D5E15D0" w14:textId="77777777" w:rsidR="00C26695" w:rsidRPr="00B5665D" w:rsidRDefault="00C26695" w:rsidP="00930A4C">
            <w:pPr>
              <w:pStyle w:val="TH-TableHeading"/>
              <w:rPr>
                <w:rFonts w:ascii="Times New Roman" w:hAnsi="Times New Roman"/>
                <w:sz w:val="22"/>
                <w:szCs w:val="22"/>
              </w:rPr>
            </w:pPr>
            <w:bookmarkStart w:id="24" w:name="_Toc5007139"/>
            <w:r w:rsidRPr="00B5665D">
              <w:rPr>
                <w:rFonts w:ascii="Times New Roman" w:hAnsi="Times New Roman"/>
                <w:sz w:val="22"/>
                <w:szCs w:val="22"/>
              </w:rPr>
              <w:t>Telephone Number</w:t>
            </w:r>
            <w:bookmarkEnd w:id="24"/>
          </w:p>
        </w:tc>
        <w:tc>
          <w:tcPr>
            <w:tcW w:w="3510" w:type="dxa"/>
            <w:tcBorders>
              <w:top w:val="single" w:sz="4" w:space="0" w:color="auto"/>
              <w:left w:val="single" w:sz="4" w:space="0" w:color="auto"/>
              <w:bottom w:val="single" w:sz="4" w:space="0" w:color="auto"/>
              <w:right w:val="single" w:sz="4" w:space="0" w:color="auto"/>
            </w:tcBorders>
            <w:shd w:val="clear" w:color="auto" w:fill="AFBED7"/>
            <w:vAlign w:val="bottom"/>
            <w:hideMark/>
          </w:tcPr>
          <w:p w14:paraId="0D77A894" w14:textId="77777777" w:rsidR="00C26695" w:rsidRPr="00B5665D" w:rsidRDefault="00C26695" w:rsidP="00930A4C">
            <w:pPr>
              <w:pStyle w:val="TH-TableHeading"/>
              <w:rPr>
                <w:rFonts w:ascii="Times New Roman" w:hAnsi="Times New Roman"/>
                <w:sz w:val="22"/>
                <w:szCs w:val="22"/>
              </w:rPr>
            </w:pPr>
            <w:bookmarkStart w:id="25" w:name="_Toc339621329"/>
            <w:bookmarkStart w:id="26" w:name="_Toc5007140"/>
            <w:r w:rsidRPr="00B5665D">
              <w:rPr>
                <w:rFonts w:ascii="Times New Roman" w:hAnsi="Times New Roman"/>
                <w:sz w:val="22"/>
                <w:szCs w:val="22"/>
              </w:rPr>
              <w:t>Email</w:t>
            </w:r>
            <w:bookmarkEnd w:id="25"/>
            <w:bookmarkEnd w:id="26"/>
          </w:p>
        </w:tc>
      </w:tr>
      <w:tr w:rsidR="00C26695" w:rsidRPr="00B5665D" w14:paraId="2C92BCC9" w14:textId="77777777" w:rsidTr="00930A4C">
        <w:tc>
          <w:tcPr>
            <w:tcW w:w="1969" w:type="dxa"/>
            <w:tcBorders>
              <w:top w:val="single" w:sz="4" w:space="0" w:color="auto"/>
              <w:left w:val="single" w:sz="4" w:space="0" w:color="auto"/>
              <w:bottom w:val="single" w:sz="4" w:space="0" w:color="auto"/>
              <w:right w:val="single" w:sz="4" w:space="0" w:color="auto"/>
            </w:tcBorders>
          </w:tcPr>
          <w:p w14:paraId="66733D92" w14:textId="77777777" w:rsidR="00C26695" w:rsidRPr="00B5665D" w:rsidRDefault="00C26695" w:rsidP="00930A4C">
            <w:pPr>
              <w:pStyle w:val="TX-TableText"/>
              <w:spacing w:before="60" w:after="60" w:line="276" w:lineRule="auto"/>
              <w:rPr>
                <w:rFonts w:ascii="Times New Roman" w:hAnsi="Times New Roman"/>
                <w:sz w:val="22"/>
                <w:szCs w:val="22"/>
              </w:rPr>
            </w:pPr>
            <w:r>
              <w:rPr>
                <w:rFonts w:ascii="Times New Roman" w:hAnsi="Times New Roman"/>
                <w:sz w:val="22"/>
                <w:szCs w:val="22"/>
              </w:rPr>
              <w:t>Dena Moglia</w:t>
            </w:r>
          </w:p>
        </w:tc>
        <w:tc>
          <w:tcPr>
            <w:tcW w:w="2232" w:type="dxa"/>
            <w:tcBorders>
              <w:top w:val="single" w:sz="4" w:space="0" w:color="auto"/>
              <w:left w:val="single" w:sz="4" w:space="0" w:color="auto"/>
              <w:bottom w:val="single" w:sz="4" w:space="0" w:color="auto"/>
              <w:right w:val="single" w:sz="4" w:space="0" w:color="auto"/>
            </w:tcBorders>
          </w:tcPr>
          <w:p w14:paraId="6E0E097D" w14:textId="77777777" w:rsidR="00C26695" w:rsidRPr="00B5665D" w:rsidRDefault="00C26695" w:rsidP="00930A4C">
            <w:pPr>
              <w:pStyle w:val="TX-TableText"/>
              <w:spacing w:before="60" w:after="60" w:line="276" w:lineRule="auto"/>
              <w:rPr>
                <w:rFonts w:ascii="Times New Roman" w:hAnsi="Times New Roman"/>
                <w:sz w:val="22"/>
                <w:szCs w:val="22"/>
              </w:rPr>
            </w:pPr>
            <w:r w:rsidRPr="006E10CB">
              <w:rPr>
                <w:rFonts w:ascii="Times New Roman" w:hAnsi="Times New Roman"/>
                <w:sz w:val="22"/>
                <w:szCs w:val="22"/>
              </w:rPr>
              <w:t xml:space="preserve">Senior Management </w:t>
            </w:r>
            <w:r>
              <w:rPr>
                <w:rFonts w:ascii="Times New Roman" w:hAnsi="Times New Roman"/>
                <w:sz w:val="22"/>
                <w:szCs w:val="22"/>
              </w:rPr>
              <w:t>and</w:t>
            </w:r>
            <w:r w:rsidRPr="006E10CB">
              <w:rPr>
                <w:rFonts w:ascii="Times New Roman" w:hAnsi="Times New Roman"/>
                <w:sz w:val="22"/>
                <w:szCs w:val="22"/>
              </w:rPr>
              <w:t xml:space="preserve"> Program Analyst</w:t>
            </w:r>
            <w:r>
              <w:rPr>
                <w:rFonts w:ascii="Times New Roman" w:hAnsi="Times New Roman"/>
                <w:sz w:val="22"/>
                <w:szCs w:val="22"/>
              </w:rPr>
              <w:t>, SBA</w:t>
            </w:r>
          </w:p>
        </w:tc>
        <w:tc>
          <w:tcPr>
            <w:tcW w:w="2094" w:type="dxa"/>
            <w:tcBorders>
              <w:top w:val="single" w:sz="4" w:space="0" w:color="auto"/>
              <w:left w:val="single" w:sz="4" w:space="0" w:color="auto"/>
              <w:bottom w:val="single" w:sz="4" w:space="0" w:color="auto"/>
              <w:right w:val="single" w:sz="4" w:space="0" w:color="auto"/>
            </w:tcBorders>
          </w:tcPr>
          <w:p w14:paraId="2B8EFF7D" w14:textId="77777777" w:rsidR="00C26695" w:rsidRPr="00B5665D" w:rsidRDefault="00C26695" w:rsidP="00930A4C">
            <w:pPr>
              <w:pStyle w:val="TX-TableText"/>
              <w:spacing w:before="60" w:after="60" w:line="276" w:lineRule="auto"/>
              <w:rPr>
                <w:rFonts w:ascii="Times New Roman" w:hAnsi="Times New Roman"/>
                <w:sz w:val="22"/>
                <w:szCs w:val="22"/>
              </w:rPr>
            </w:pPr>
            <w:r w:rsidRPr="006E10CB">
              <w:rPr>
                <w:rFonts w:ascii="Times New Roman" w:hAnsi="Times New Roman"/>
                <w:sz w:val="22"/>
                <w:szCs w:val="22"/>
              </w:rPr>
              <w:t>202</w:t>
            </w:r>
            <w:r>
              <w:rPr>
                <w:rFonts w:ascii="Times New Roman" w:hAnsi="Times New Roman"/>
                <w:sz w:val="22"/>
                <w:szCs w:val="22"/>
              </w:rPr>
              <w:t>-</w:t>
            </w:r>
            <w:r w:rsidRPr="006E10CB">
              <w:rPr>
                <w:rFonts w:ascii="Times New Roman" w:hAnsi="Times New Roman"/>
                <w:sz w:val="22"/>
                <w:szCs w:val="22"/>
              </w:rPr>
              <w:t>205</w:t>
            </w:r>
            <w:r>
              <w:rPr>
                <w:rFonts w:ascii="Times New Roman" w:hAnsi="Times New Roman"/>
                <w:sz w:val="22"/>
                <w:szCs w:val="22"/>
              </w:rPr>
              <w:t>-</w:t>
            </w:r>
            <w:r w:rsidRPr="006E10CB">
              <w:rPr>
                <w:rFonts w:ascii="Times New Roman" w:hAnsi="Times New Roman"/>
                <w:sz w:val="22"/>
                <w:szCs w:val="22"/>
              </w:rPr>
              <w:t>7034</w:t>
            </w:r>
          </w:p>
        </w:tc>
        <w:tc>
          <w:tcPr>
            <w:tcW w:w="3510" w:type="dxa"/>
            <w:tcBorders>
              <w:top w:val="single" w:sz="4" w:space="0" w:color="auto"/>
              <w:left w:val="single" w:sz="4" w:space="0" w:color="auto"/>
              <w:bottom w:val="single" w:sz="4" w:space="0" w:color="auto"/>
              <w:right w:val="single" w:sz="4" w:space="0" w:color="auto"/>
            </w:tcBorders>
          </w:tcPr>
          <w:p w14:paraId="27EC3AA6" w14:textId="77777777" w:rsidR="00C26695" w:rsidRPr="00B5665D" w:rsidRDefault="00C26695" w:rsidP="00930A4C">
            <w:pPr>
              <w:pStyle w:val="TX-TableText"/>
              <w:spacing w:before="60" w:after="60" w:line="276" w:lineRule="auto"/>
              <w:rPr>
                <w:rFonts w:ascii="Times New Roman" w:hAnsi="Times New Roman"/>
                <w:sz w:val="22"/>
                <w:szCs w:val="22"/>
              </w:rPr>
            </w:pPr>
            <w:r>
              <w:rPr>
                <w:rFonts w:ascii="Times New Roman" w:hAnsi="Times New Roman"/>
                <w:sz w:val="22"/>
                <w:szCs w:val="22"/>
              </w:rPr>
              <w:t>dena.moglia@sba.gov</w:t>
            </w:r>
          </w:p>
        </w:tc>
      </w:tr>
      <w:tr w:rsidR="00C26695" w:rsidRPr="00B5665D" w14:paraId="1B736B50" w14:textId="77777777" w:rsidTr="00930A4C">
        <w:tc>
          <w:tcPr>
            <w:tcW w:w="1969" w:type="dxa"/>
            <w:tcBorders>
              <w:top w:val="single" w:sz="4" w:space="0" w:color="auto"/>
              <w:left w:val="single" w:sz="4" w:space="0" w:color="auto"/>
              <w:bottom w:val="single" w:sz="4" w:space="0" w:color="auto"/>
              <w:right w:val="single" w:sz="4" w:space="0" w:color="auto"/>
            </w:tcBorders>
          </w:tcPr>
          <w:p w14:paraId="146133A1" w14:textId="77777777" w:rsidR="00C26695" w:rsidRPr="00B5665D" w:rsidRDefault="00C26695" w:rsidP="00930A4C">
            <w:pPr>
              <w:pStyle w:val="TX-TableText"/>
              <w:spacing w:before="60" w:after="60" w:line="276" w:lineRule="auto"/>
              <w:rPr>
                <w:rFonts w:ascii="Times New Roman" w:hAnsi="Times New Roman"/>
                <w:sz w:val="22"/>
                <w:szCs w:val="22"/>
              </w:rPr>
            </w:pPr>
            <w:r>
              <w:rPr>
                <w:rFonts w:ascii="Times New Roman" w:hAnsi="Times New Roman"/>
                <w:sz w:val="22"/>
                <w:szCs w:val="22"/>
              </w:rPr>
              <w:t>Laura Maas</w:t>
            </w:r>
          </w:p>
        </w:tc>
        <w:tc>
          <w:tcPr>
            <w:tcW w:w="2232" w:type="dxa"/>
            <w:tcBorders>
              <w:top w:val="single" w:sz="4" w:space="0" w:color="auto"/>
              <w:left w:val="single" w:sz="4" w:space="0" w:color="auto"/>
              <w:bottom w:val="single" w:sz="4" w:space="0" w:color="auto"/>
              <w:right w:val="single" w:sz="4" w:space="0" w:color="auto"/>
            </w:tcBorders>
          </w:tcPr>
          <w:p w14:paraId="70065B56" w14:textId="77777777" w:rsidR="00C26695" w:rsidRPr="00B5665D" w:rsidRDefault="00C26695" w:rsidP="00930A4C">
            <w:pPr>
              <w:pStyle w:val="TX-TableText"/>
              <w:spacing w:before="60" w:after="60" w:line="276" w:lineRule="auto"/>
              <w:rPr>
                <w:rFonts w:ascii="Times New Roman" w:hAnsi="Times New Roman"/>
                <w:sz w:val="22"/>
                <w:szCs w:val="22"/>
              </w:rPr>
            </w:pPr>
            <w:r w:rsidRPr="006E10CB">
              <w:rPr>
                <w:rFonts w:ascii="Times New Roman" w:hAnsi="Times New Roman"/>
                <w:sz w:val="22"/>
                <w:szCs w:val="22"/>
              </w:rPr>
              <w:t>Program Manager</w:t>
            </w:r>
            <w:r>
              <w:rPr>
                <w:rFonts w:ascii="Times New Roman" w:hAnsi="Times New Roman"/>
                <w:sz w:val="22"/>
                <w:szCs w:val="22"/>
              </w:rPr>
              <w:t>, SBA</w:t>
            </w:r>
          </w:p>
        </w:tc>
        <w:tc>
          <w:tcPr>
            <w:tcW w:w="2094" w:type="dxa"/>
            <w:tcBorders>
              <w:top w:val="single" w:sz="4" w:space="0" w:color="auto"/>
              <w:left w:val="single" w:sz="4" w:space="0" w:color="auto"/>
              <w:bottom w:val="single" w:sz="4" w:space="0" w:color="auto"/>
              <w:right w:val="single" w:sz="4" w:space="0" w:color="auto"/>
            </w:tcBorders>
          </w:tcPr>
          <w:p w14:paraId="3EEAE6C2" w14:textId="77777777" w:rsidR="00C26695" w:rsidRPr="00B5665D" w:rsidRDefault="00C26695" w:rsidP="00930A4C">
            <w:pPr>
              <w:pStyle w:val="TX-TableText"/>
              <w:spacing w:before="60" w:after="60" w:line="276" w:lineRule="auto"/>
              <w:rPr>
                <w:rFonts w:ascii="Times New Roman" w:hAnsi="Times New Roman"/>
                <w:sz w:val="22"/>
                <w:szCs w:val="22"/>
              </w:rPr>
            </w:pPr>
            <w:r w:rsidRPr="006E10CB">
              <w:rPr>
                <w:rFonts w:ascii="Times New Roman" w:hAnsi="Times New Roman"/>
                <w:sz w:val="22"/>
                <w:szCs w:val="22"/>
              </w:rPr>
              <w:t>202</w:t>
            </w:r>
            <w:r>
              <w:rPr>
                <w:rFonts w:ascii="Times New Roman" w:hAnsi="Times New Roman"/>
                <w:sz w:val="22"/>
                <w:szCs w:val="22"/>
              </w:rPr>
              <w:t>-</w:t>
            </w:r>
            <w:r w:rsidRPr="006E10CB">
              <w:rPr>
                <w:rFonts w:ascii="Times New Roman" w:hAnsi="Times New Roman"/>
                <w:sz w:val="22"/>
                <w:szCs w:val="22"/>
              </w:rPr>
              <w:t>205-7341</w:t>
            </w:r>
          </w:p>
        </w:tc>
        <w:tc>
          <w:tcPr>
            <w:tcW w:w="3510" w:type="dxa"/>
            <w:tcBorders>
              <w:top w:val="single" w:sz="4" w:space="0" w:color="auto"/>
              <w:left w:val="single" w:sz="4" w:space="0" w:color="auto"/>
              <w:bottom w:val="single" w:sz="4" w:space="0" w:color="auto"/>
              <w:right w:val="single" w:sz="4" w:space="0" w:color="auto"/>
            </w:tcBorders>
          </w:tcPr>
          <w:p w14:paraId="54A36556" w14:textId="77777777" w:rsidR="00C26695" w:rsidRPr="00B5665D" w:rsidRDefault="00C26695" w:rsidP="00930A4C">
            <w:pPr>
              <w:pStyle w:val="TX-TableText"/>
              <w:spacing w:before="60" w:after="60" w:line="276" w:lineRule="auto"/>
              <w:rPr>
                <w:rFonts w:ascii="Times New Roman" w:hAnsi="Times New Roman"/>
                <w:sz w:val="22"/>
                <w:szCs w:val="22"/>
              </w:rPr>
            </w:pPr>
            <w:r>
              <w:rPr>
                <w:rFonts w:ascii="Times New Roman" w:hAnsi="Times New Roman"/>
                <w:sz w:val="22"/>
                <w:szCs w:val="22"/>
              </w:rPr>
              <w:t>laura.maas@sba.gov</w:t>
            </w:r>
          </w:p>
        </w:tc>
      </w:tr>
      <w:tr w:rsidR="00C26695" w:rsidRPr="00B5665D" w14:paraId="3C8E9EE9" w14:textId="77777777" w:rsidTr="00930A4C">
        <w:tc>
          <w:tcPr>
            <w:tcW w:w="1969" w:type="dxa"/>
            <w:tcBorders>
              <w:top w:val="single" w:sz="4" w:space="0" w:color="auto"/>
              <w:left w:val="single" w:sz="4" w:space="0" w:color="auto"/>
              <w:bottom w:val="single" w:sz="4" w:space="0" w:color="auto"/>
              <w:right w:val="single" w:sz="4" w:space="0" w:color="auto"/>
            </w:tcBorders>
            <w:hideMark/>
          </w:tcPr>
          <w:p w14:paraId="35E89216" w14:textId="77777777" w:rsidR="00C26695" w:rsidRPr="00B5665D" w:rsidRDefault="00C26695" w:rsidP="00930A4C">
            <w:pPr>
              <w:pStyle w:val="TX-TableText"/>
              <w:spacing w:before="60" w:after="60" w:line="276" w:lineRule="auto"/>
              <w:rPr>
                <w:rFonts w:ascii="Times New Roman" w:hAnsi="Times New Roman"/>
                <w:sz w:val="22"/>
                <w:szCs w:val="22"/>
              </w:rPr>
            </w:pPr>
            <w:r>
              <w:rPr>
                <w:rFonts w:ascii="Times New Roman" w:hAnsi="Times New Roman"/>
                <w:sz w:val="22"/>
                <w:szCs w:val="22"/>
              </w:rPr>
              <w:t>Nicholas Beyler</w:t>
            </w:r>
          </w:p>
        </w:tc>
        <w:tc>
          <w:tcPr>
            <w:tcW w:w="2232" w:type="dxa"/>
            <w:tcBorders>
              <w:top w:val="single" w:sz="4" w:space="0" w:color="auto"/>
              <w:left w:val="single" w:sz="4" w:space="0" w:color="auto"/>
              <w:bottom w:val="single" w:sz="4" w:space="0" w:color="auto"/>
              <w:right w:val="single" w:sz="4" w:space="0" w:color="auto"/>
            </w:tcBorders>
            <w:hideMark/>
          </w:tcPr>
          <w:p w14:paraId="36392E69" w14:textId="77777777" w:rsidR="00C26695" w:rsidRPr="00B5665D" w:rsidRDefault="00C26695" w:rsidP="00930A4C">
            <w:pPr>
              <w:pStyle w:val="TX-TableText"/>
              <w:spacing w:before="60" w:after="60" w:line="276" w:lineRule="auto"/>
              <w:rPr>
                <w:rFonts w:ascii="Times New Roman" w:hAnsi="Times New Roman"/>
                <w:sz w:val="22"/>
                <w:szCs w:val="22"/>
              </w:rPr>
            </w:pPr>
            <w:r w:rsidRPr="00B5665D">
              <w:rPr>
                <w:rFonts w:ascii="Times New Roman" w:hAnsi="Times New Roman"/>
                <w:sz w:val="22"/>
                <w:szCs w:val="22"/>
              </w:rPr>
              <w:t xml:space="preserve">Project Director, </w:t>
            </w:r>
            <w:r w:rsidRPr="00B5665D">
              <w:rPr>
                <w:rFonts w:ascii="Times New Roman" w:hAnsi="Times New Roman"/>
                <w:sz w:val="22"/>
                <w:szCs w:val="22"/>
              </w:rPr>
              <w:br/>
              <w:t>2M Research Services</w:t>
            </w:r>
          </w:p>
        </w:tc>
        <w:tc>
          <w:tcPr>
            <w:tcW w:w="2094" w:type="dxa"/>
            <w:tcBorders>
              <w:top w:val="single" w:sz="4" w:space="0" w:color="auto"/>
              <w:left w:val="single" w:sz="4" w:space="0" w:color="auto"/>
              <w:bottom w:val="single" w:sz="4" w:space="0" w:color="auto"/>
              <w:right w:val="single" w:sz="4" w:space="0" w:color="auto"/>
            </w:tcBorders>
            <w:hideMark/>
          </w:tcPr>
          <w:p w14:paraId="4AB63282" w14:textId="77777777" w:rsidR="00C26695" w:rsidRPr="00B5665D" w:rsidRDefault="00C26695" w:rsidP="00930A4C">
            <w:pPr>
              <w:pStyle w:val="TX-TableText"/>
              <w:spacing w:before="60" w:after="60" w:line="276" w:lineRule="auto"/>
              <w:rPr>
                <w:rFonts w:ascii="Times New Roman" w:hAnsi="Times New Roman"/>
                <w:sz w:val="22"/>
                <w:szCs w:val="22"/>
              </w:rPr>
            </w:pPr>
            <w:r w:rsidRPr="006E10CB">
              <w:rPr>
                <w:rFonts w:ascii="Times New Roman" w:hAnsi="Times New Roman"/>
                <w:sz w:val="22"/>
                <w:szCs w:val="22"/>
              </w:rPr>
              <w:t>703</w:t>
            </w:r>
            <w:r>
              <w:rPr>
                <w:rFonts w:ascii="Times New Roman" w:hAnsi="Times New Roman"/>
                <w:sz w:val="22"/>
                <w:szCs w:val="22"/>
              </w:rPr>
              <w:t>-</w:t>
            </w:r>
            <w:r w:rsidRPr="006E10CB">
              <w:rPr>
                <w:rFonts w:ascii="Times New Roman" w:hAnsi="Times New Roman"/>
                <w:sz w:val="22"/>
                <w:szCs w:val="22"/>
              </w:rPr>
              <w:t>214-0931</w:t>
            </w:r>
          </w:p>
        </w:tc>
        <w:tc>
          <w:tcPr>
            <w:tcW w:w="3510" w:type="dxa"/>
            <w:tcBorders>
              <w:top w:val="single" w:sz="4" w:space="0" w:color="auto"/>
              <w:left w:val="single" w:sz="4" w:space="0" w:color="auto"/>
              <w:bottom w:val="single" w:sz="4" w:space="0" w:color="auto"/>
              <w:right w:val="single" w:sz="4" w:space="0" w:color="auto"/>
            </w:tcBorders>
            <w:hideMark/>
          </w:tcPr>
          <w:p w14:paraId="4ABC8030" w14:textId="77777777" w:rsidR="00C26695" w:rsidRPr="00B5665D" w:rsidRDefault="00C26695" w:rsidP="00930A4C">
            <w:pPr>
              <w:pStyle w:val="TX-TableText"/>
              <w:spacing w:before="60" w:after="60" w:line="276" w:lineRule="auto"/>
              <w:rPr>
                <w:rFonts w:ascii="Times New Roman" w:hAnsi="Times New Roman"/>
                <w:sz w:val="22"/>
                <w:szCs w:val="22"/>
              </w:rPr>
            </w:pPr>
            <w:r w:rsidRPr="006E10CB">
              <w:rPr>
                <w:rFonts w:ascii="Times New Roman" w:hAnsi="Times New Roman"/>
                <w:sz w:val="22"/>
                <w:szCs w:val="22"/>
              </w:rPr>
              <w:t>nbeyler@2mresearch.com</w:t>
            </w:r>
          </w:p>
        </w:tc>
      </w:tr>
      <w:tr w:rsidR="00C26695" w:rsidRPr="00B5665D" w14:paraId="65858338" w14:textId="77777777" w:rsidTr="00930A4C">
        <w:tc>
          <w:tcPr>
            <w:tcW w:w="1969" w:type="dxa"/>
            <w:tcBorders>
              <w:top w:val="single" w:sz="4" w:space="0" w:color="auto"/>
              <w:left w:val="single" w:sz="4" w:space="0" w:color="auto"/>
              <w:bottom w:val="single" w:sz="4" w:space="0" w:color="auto"/>
              <w:right w:val="single" w:sz="4" w:space="0" w:color="auto"/>
            </w:tcBorders>
            <w:hideMark/>
          </w:tcPr>
          <w:p w14:paraId="46731295" w14:textId="77777777" w:rsidR="00C26695" w:rsidRPr="00B5665D" w:rsidRDefault="00C26695" w:rsidP="00930A4C">
            <w:pPr>
              <w:pStyle w:val="TX-TableText"/>
              <w:spacing w:before="60" w:after="60" w:line="276" w:lineRule="auto"/>
              <w:rPr>
                <w:rFonts w:ascii="Times New Roman" w:hAnsi="Times New Roman"/>
                <w:sz w:val="22"/>
                <w:szCs w:val="22"/>
              </w:rPr>
            </w:pPr>
            <w:r>
              <w:rPr>
                <w:rFonts w:ascii="Times New Roman" w:hAnsi="Times New Roman"/>
                <w:sz w:val="22"/>
                <w:szCs w:val="22"/>
              </w:rPr>
              <w:t>Mary Ann Latter</w:t>
            </w:r>
          </w:p>
        </w:tc>
        <w:tc>
          <w:tcPr>
            <w:tcW w:w="2232" w:type="dxa"/>
            <w:tcBorders>
              <w:top w:val="single" w:sz="4" w:space="0" w:color="auto"/>
              <w:left w:val="single" w:sz="4" w:space="0" w:color="auto"/>
              <w:bottom w:val="single" w:sz="4" w:space="0" w:color="auto"/>
              <w:right w:val="single" w:sz="4" w:space="0" w:color="auto"/>
            </w:tcBorders>
            <w:hideMark/>
          </w:tcPr>
          <w:p w14:paraId="479CB1F9" w14:textId="77777777" w:rsidR="00C26695" w:rsidRPr="00B5665D" w:rsidRDefault="00C26695" w:rsidP="00930A4C">
            <w:pPr>
              <w:pStyle w:val="TX-TableText"/>
              <w:spacing w:before="60" w:after="60" w:line="276" w:lineRule="auto"/>
              <w:rPr>
                <w:rFonts w:ascii="Times New Roman" w:hAnsi="Times New Roman"/>
                <w:sz w:val="22"/>
                <w:szCs w:val="22"/>
              </w:rPr>
            </w:pPr>
            <w:r w:rsidRPr="00B5665D">
              <w:rPr>
                <w:rFonts w:ascii="Times New Roman" w:hAnsi="Times New Roman"/>
                <w:sz w:val="22"/>
                <w:szCs w:val="22"/>
              </w:rPr>
              <w:t>Lead Project Manager, 2M Research Services</w:t>
            </w:r>
          </w:p>
        </w:tc>
        <w:tc>
          <w:tcPr>
            <w:tcW w:w="2094" w:type="dxa"/>
            <w:tcBorders>
              <w:top w:val="single" w:sz="4" w:space="0" w:color="auto"/>
              <w:left w:val="single" w:sz="4" w:space="0" w:color="auto"/>
              <w:bottom w:val="single" w:sz="4" w:space="0" w:color="auto"/>
              <w:right w:val="single" w:sz="4" w:space="0" w:color="auto"/>
            </w:tcBorders>
            <w:hideMark/>
          </w:tcPr>
          <w:p w14:paraId="6164811C" w14:textId="77777777" w:rsidR="00C26695" w:rsidRPr="00B5665D" w:rsidRDefault="00C26695" w:rsidP="00930A4C">
            <w:pPr>
              <w:pStyle w:val="TX-TableText"/>
              <w:spacing w:before="60" w:after="60" w:line="276" w:lineRule="auto"/>
              <w:rPr>
                <w:rFonts w:ascii="Times New Roman" w:hAnsi="Times New Roman"/>
                <w:sz w:val="22"/>
                <w:szCs w:val="22"/>
              </w:rPr>
            </w:pPr>
            <w:r w:rsidRPr="006E10CB">
              <w:rPr>
                <w:rFonts w:ascii="Times New Roman" w:hAnsi="Times New Roman"/>
                <w:sz w:val="22"/>
                <w:szCs w:val="22"/>
              </w:rPr>
              <w:t>703</w:t>
            </w:r>
            <w:r>
              <w:rPr>
                <w:rFonts w:ascii="Times New Roman" w:hAnsi="Times New Roman"/>
                <w:sz w:val="22"/>
                <w:szCs w:val="22"/>
              </w:rPr>
              <w:t>-</w:t>
            </w:r>
            <w:r w:rsidRPr="006E10CB">
              <w:rPr>
                <w:rFonts w:ascii="Times New Roman" w:hAnsi="Times New Roman"/>
                <w:sz w:val="22"/>
                <w:szCs w:val="22"/>
              </w:rPr>
              <w:t>214-1200</w:t>
            </w:r>
          </w:p>
        </w:tc>
        <w:tc>
          <w:tcPr>
            <w:tcW w:w="3510" w:type="dxa"/>
            <w:tcBorders>
              <w:top w:val="single" w:sz="4" w:space="0" w:color="auto"/>
              <w:left w:val="single" w:sz="4" w:space="0" w:color="auto"/>
              <w:bottom w:val="single" w:sz="4" w:space="0" w:color="auto"/>
              <w:right w:val="single" w:sz="4" w:space="0" w:color="auto"/>
            </w:tcBorders>
            <w:hideMark/>
          </w:tcPr>
          <w:p w14:paraId="67B9FF56" w14:textId="77777777" w:rsidR="00C26695" w:rsidRPr="00B5665D" w:rsidRDefault="00C26695" w:rsidP="00930A4C">
            <w:pPr>
              <w:pStyle w:val="TX-TableText"/>
              <w:spacing w:before="60" w:after="60" w:line="276" w:lineRule="auto"/>
              <w:rPr>
                <w:rFonts w:ascii="Times New Roman" w:hAnsi="Times New Roman"/>
                <w:sz w:val="22"/>
                <w:szCs w:val="22"/>
              </w:rPr>
            </w:pPr>
            <w:r w:rsidRPr="00B5665D">
              <w:rPr>
                <w:rFonts w:ascii="Times New Roman" w:hAnsi="Times New Roman"/>
                <w:sz w:val="22"/>
                <w:szCs w:val="22"/>
              </w:rPr>
              <w:t>m</w:t>
            </w:r>
            <w:r>
              <w:rPr>
                <w:rFonts w:ascii="Times New Roman" w:hAnsi="Times New Roman"/>
                <w:sz w:val="22"/>
                <w:szCs w:val="22"/>
              </w:rPr>
              <w:t>latter</w:t>
            </w:r>
            <w:r w:rsidRPr="00B5665D">
              <w:rPr>
                <w:rFonts w:ascii="Times New Roman" w:hAnsi="Times New Roman"/>
                <w:sz w:val="22"/>
                <w:szCs w:val="22"/>
              </w:rPr>
              <w:t>@2mresearch.com</w:t>
            </w:r>
          </w:p>
        </w:tc>
      </w:tr>
      <w:tr w:rsidR="00C26695" w:rsidRPr="00AD13D1" w14:paraId="1303E792" w14:textId="77777777" w:rsidTr="00930A4C">
        <w:tc>
          <w:tcPr>
            <w:tcW w:w="1969" w:type="dxa"/>
            <w:tcBorders>
              <w:top w:val="single" w:sz="4" w:space="0" w:color="auto"/>
              <w:left w:val="single" w:sz="4" w:space="0" w:color="auto"/>
              <w:bottom w:val="single" w:sz="4" w:space="0" w:color="auto"/>
              <w:right w:val="single" w:sz="4" w:space="0" w:color="auto"/>
            </w:tcBorders>
            <w:hideMark/>
          </w:tcPr>
          <w:p w14:paraId="4E07FAA5" w14:textId="77777777" w:rsidR="00C26695" w:rsidRPr="00B5665D" w:rsidRDefault="00C26695" w:rsidP="00930A4C">
            <w:pPr>
              <w:pStyle w:val="TX-TableText"/>
              <w:spacing w:before="60" w:after="60" w:line="276" w:lineRule="auto"/>
              <w:rPr>
                <w:rFonts w:ascii="Times New Roman" w:hAnsi="Times New Roman"/>
                <w:sz w:val="22"/>
                <w:szCs w:val="22"/>
              </w:rPr>
            </w:pPr>
            <w:r w:rsidRPr="00B5665D">
              <w:rPr>
                <w:rFonts w:ascii="Times New Roman" w:hAnsi="Times New Roman"/>
                <w:sz w:val="22"/>
                <w:szCs w:val="22"/>
              </w:rPr>
              <w:t>Amy Wieczorek</w:t>
            </w:r>
          </w:p>
        </w:tc>
        <w:tc>
          <w:tcPr>
            <w:tcW w:w="2232" w:type="dxa"/>
            <w:tcBorders>
              <w:top w:val="single" w:sz="4" w:space="0" w:color="auto"/>
              <w:left w:val="single" w:sz="4" w:space="0" w:color="auto"/>
              <w:bottom w:val="single" w:sz="4" w:space="0" w:color="auto"/>
              <w:right w:val="single" w:sz="4" w:space="0" w:color="auto"/>
            </w:tcBorders>
            <w:hideMark/>
          </w:tcPr>
          <w:p w14:paraId="23277D16" w14:textId="77777777" w:rsidR="00C26695" w:rsidRPr="00B5665D" w:rsidRDefault="00C26695" w:rsidP="00930A4C">
            <w:pPr>
              <w:pStyle w:val="TX-TableText"/>
              <w:spacing w:before="60" w:after="60" w:line="276" w:lineRule="auto"/>
              <w:rPr>
                <w:rFonts w:ascii="Times New Roman" w:hAnsi="Times New Roman"/>
                <w:sz w:val="22"/>
                <w:szCs w:val="22"/>
              </w:rPr>
            </w:pPr>
            <w:r w:rsidRPr="00B5665D">
              <w:rPr>
                <w:rFonts w:ascii="Times New Roman" w:hAnsi="Times New Roman"/>
                <w:sz w:val="22"/>
                <w:szCs w:val="22"/>
              </w:rPr>
              <w:t xml:space="preserve">Research Analyst, </w:t>
            </w:r>
            <w:r w:rsidRPr="00B5665D">
              <w:rPr>
                <w:rFonts w:ascii="Times New Roman" w:hAnsi="Times New Roman"/>
                <w:sz w:val="22"/>
                <w:szCs w:val="22"/>
              </w:rPr>
              <w:br/>
              <w:t>2M Research Services</w:t>
            </w:r>
          </w:p>
        </w:tc>
        <w:tc>
          <w:tcPr>
            <w:tcW w:w="2094" w:type="dxa"/>
            <w:tcBorders>
              <w:top w:val="single" w:sz="4" w:space="0" w:color="auto"/>
              <w:left w:val="single" w:sz="4" w:space="0" w:color="auto"/>
              <w:bottom w:val="single" w:sz="4" w:space="0" w:color="auto"/>
              <w:right w:val="single" w:sz="4" w:space="0" w:color="auto"/>
            </w:tcBorders>
            <w:hideMark/>
          </w:tcPr>
          <w:p w14:paraId="3CF6731C" w14:textId="77777777" w:rsidR="00C26695" w:rsidRPr="00B5665D" w:rsidRDefault="00C26695" w:rsidP="00930A4C">
            <w:pPr>
              <w:pStyle w:val="TX-TableText"/>
              <w:spacing w:before="60" w:after="60" w:line="276" w:lineRule="auto"/>
              <w:rPr>
                <w:rFonts w:ascii="Times New Roman" w:hAnsi="Times New Roman"/>
                <w:sz w:val="22"/>
                <w:szCs w:val="22"/>
              </w:rPr>
            </w:pPr>
            <w:r w:rsidRPr="00B5665D">
              <w:rPr>
                <w:rFonts w:ascii="Times New Roman" w:hAnsi="Times New Roman"/>
                <w:sz w:val="22"/>
                <w:szCs w:val="22"/>
              </w:rPr>
              <w:t>817</w:t>
            </w:r>
            <w:r>
              <w:rPr>
                <w:rFonts w:ascii="Times New Roman" w:hAnsi="Times New Roman"/>
                <w:sz w:val="22"/>
                <w:szCs w:val="22"/>
              </w:rPr>
              <w:t>-856-0866</w:t>
            </w:r>
          </w:p>
        </w:tc>
        <w:tc>
          <w:tcPr>
            <w:tcW w:w="3510" w:type="dxa"/>
            <w:tcBorders>
              <w:top w:val="single" w:sz="4" w:space="0" w:color="auto"/>
              <w:left w:val="single" w:sz="4" w:space="0" w:color="auto"/>
              <w:bottom w:val="single" w:sz="4" w:space="0" w:color="auto"/>
              <w:right w:val="single" w:sz="4" w:space="0" w:color="auto"/>
            </w:tcBorders>
            <w:hideMark/>
          </w:tcPr>
          <w:p w14:paraId="55AAC2E6" w14:textId="77777777" w:rsidR="00C26695" w:rsidRPr="00B5665D" w:rsidRDefault="00C26695" w:rsidP="00930A4C">
            <w:pPr>
              <w:pStyle w:val="TX-TableText"/>
              <w:spacing w:before="60" w:after="60" w:line="276" w:lineRule="auto"/>
              <w:rPr>
                <w:rFonts w:ascii="Times New Roman" w:hAnsi="Times New Roman"/>
                <w:sz w:val="22"/>
                <w:szCs w:val="22"/>
              </w:rPr>
            </w:pPr>
            <w:r w:rsidRPr="00B5665D">
              <w:rPr>
                <w:rFonts w:ascii="Times New Roman" w:hAnsi="Times New Roman"/>
                <w:sz w:val="22"/>
                <w:szCs w:val="22"/>
              </w:rPr>
              <w:t>awieczorek@2mresearch.com</w:t>
            </w:r>
          </w:p>
        </w:tc>
      </w:tr>
    </w:tbl>
    <w:p w14:paraId="17D782BD" w14:textId="77777777" w:rsidR="00C26695" w:rsidRDefault="00C26695" w:rsidP="00C26695">
      <w:pPr>
        <w:pStyle w:val="BodyTextIndent3"/>
        <w:widowControl/>
        <w:tabs>
          <w:tab w:val="clear" w:pos="0"/>
          <w:tab w:val="left" w:pos="720"/>
        </w:tabs>
        <w:suppressAutoHyphens w:val="0"/>
        <w:autoSpaceDE/>
        <w:adjustRightInd/>
        <w:spacing w:line="240" w:lineRule="auto"/>
        <w:ind w:firstLine="0"/>
        <w:jc w:val="both"/>
        <w:rPr>
          <w:bCs/>
          <w:szCs w:val="24"/>
        </w:rPr>
      </w:pPr>
    </w:p>
    <w:p w14:paraId="41BF5710" w14:textId="77777777" w:rsidR="00C26695" w:rsidRDefault="00C26695" w:rsidP="00C26695">
      <w:pPr>
        <w:pStyle w:val="BodyTextIndent3"/>
        <w:widowControl/>
        <w:tabs>
          <w:tab w:val="clear" w:pos="0"/>
          <w:tab w:val="left" w:pos="720"/>
        </w:tabs>
        <w:suppressAutoHyphens w:val="0"/>
        <w:autoSpaceDE/>
        <w:adjustRightInd/>
        <w:spacing w:line="240" w:lineRule="auto"/>
        <w:ind w:firstLine="0"/>
        <w:jc w:val="both"/>
        <w:rPr>
          <w:bCs/>
          <w:szCs w:val="24"/>
        </w:rPr>
      </w:pPr>
    </w:p>
    <w:p w14:paraId="647BE8D0" w14:textId="77777777" w:rsidR="00C26695" w:rsidRDefault="00C26695" w:rsidP="00C26695">
      <w:pPr>
        <w:rPr>
          <w:szCs w:val="24"/>
        </w:rPr>
      </w:pPr>
    </w:p>
    <w:p w14:paraId="009F51E7" w14:textId="77777777" w:rsidR="00C26695" w:rsidRDefault="00C26695" w:rsidP="00C26695">
      <w:pPr>
        <w:rPr>
          <w:szCs w:val="24"/>
        </w:rPr>
      </w:pPr>
    </w:p>
    <w:p w14:paraId="7B15B254" w14:textId="77777777" w:rsidR="00C26695" w:rsidRDefault="00C26695" w:rsidP="00C26695">
      <w:pPr>
        <w:rPr>
          <w:szCs w:val="24"/>
        </w:rPr>
      </w:pPr>
    </w:p>
    <w:p w14:paraId="0A672F31" w14:textId="77777777" w:rsidR="00C26695" w:rsidRPr="00616403" w:rsidRDefault="00C26695" w:rsidP="00C26695">
      <w:pPr>
        <w:rPr>
          <w:bCs/>
          <w:szCs w:val="24"/>
        </w:rPr>
      </w:pPr>
    </w:p>
    <w:p w14:paraId="338A0E65" w14:textId="77777777" w:rsidR="00C26695" w:rsidRDefault="00C26695"/>
    <w:sectPr w:rsidR="00C26695" w:rsidSect="00CC204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2C6E8" w14:textId="77777777" w:rsidR="00924656" w:rsidRDefault="00924656" w:rsidP="00C26695">
      <w:pPr>
        <w:spacing w:line="240" w:lineRule="auto"/>
      </w:pPr>
      <w:r>
        <w:separator/>
      </w:r>
    </w:p>
  </w:endnote>
  <w:endnote w:type="continuationSeparator" w:id="0">
    <w:p w14:paraId="4A0AA4B9" w14:textId="77777777" w:rsidR="00924656" w:rsidRDefault="00924656" w:rsidP="00C26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95A8C" w14:textId="77777777" w:rsidR="00924656" w:rsidRDefault="00924656" w:rsidP="00C26695">
      <w:pPr>
        <w:spacing w:line="240" w:lineRule="auto"/>
      </w:pPr>
      <w:r>
        <w:separator/>
      </w:r>
    </w:p>
  </w:footnote>
  <w:footnote w:type="continuationSeparator" w:id="0">
    <w:p w14:paraId="7FBDC49E" w14:textId="77777777" w:rsidR="00924656" w:rsidRDefault="00924656" w:rsidP="00C26695">
      <w:pPr>
        <w:spacing w:line="240" w:lineRule="auto"/>
      </w:pPr>
      <w:r>
        <w:continuationSeparator/>
      </w:r>
    </w:p>
  </w:footnote>
  <w:footnote w:id="1">
    <w:p w14:paraId="57FCD5E1" w14:textId="2FE3413A" w:rsidR="00C26695" w:rsidRPr="00002F55" w:rsidRDefault="00C26695" w:rsidP="00C26695">
      <w:pPr>
        <w:pStyle w:val="FootnoteText"/>
        <w:tabs>
          <w:tab w:val="clear" w:pos="120"/>
          <w:tab w:val="left" w:pos="180"/>
        </w:tabs>
        <w:ind w:left="216" w:hanging="216"/>
        <w:rPr>
          <w:rFonts w:ascii="Times New Roman" w:hAnsi="Times New Roman"/>
          <w:sz w:val="20"/>
        </w:rPr>
      </w:pPr>
      <w:r w:rsidRPr="00002F55">
        <w:rPr>
          <w:rStyle w:val="FootnoteReference"/>
          <w:sz w:val="20"/>
        </w:rPr>
        <w:footnoteRef/>
      </w:r>
      <w:r w:rsidRPr="00002F55">
        <w:rPr>
          <w:sz w:val="20"/>
        </w:rPr>
        <w:t xml:space="preserve"> </w:t>
      </w:r>
      <w:r w:rsidRPr="00002F55">
        <w:rPr>
          <w:rFonts w:ascii="Times New Roman" w:hAnsi="Times New Roman"/>
          <w:sz w:val="20"/>
        </w:rPr>
        <w:t xml:space="preserve">The estimated number of eligible, participating WBCs </w:t>
      </w:r>
      <w:r>
        <w:rPr>
          <w:rFonts w:ascii="Times New Roman" w:hAnsi="Times New Roman"/>
          <w:sz w:val="20"/>
        </w:rPr>
        <w:t>is</w:t>
      </w:r>
      <w:r w:rsidRPr="00002F55">
        <w:rPr>
          <w:rFonts w:ascii="Times New Roman" w:hAnsi="Times New Roman"/>
          <w:sz w:val="20"/>
        </w:rPr>
        <w:t xml:space="preserve"> based on SBA</w:t>
      </w:r>
      <w:r>
        <w:rPr>
          <w:rFonts w:ascii="Times New Roman" w:hAnsi="Times New Roman"/>
          <w:sz w:val="20"/>
        </w:rPr>
        <w:t xml:space="preserve">’s prior experience with </w:t>
      </w:r>
      <w:r w:rsidRPr="00002F55">
        <w:rPr>
          <w:rFonts w:ascii="Times New Roman" w:hAnsi="Times New Roman"/>
          <w:sz w:val="20"/>
        </w:rPr>
        <w:t xml:space="preserve"> </w:t>
      </w:r>
      <w:r>
        <w:rPr>
          <w:rFonts w:ascii="Times New Roman" w:hAnsi="Times New Roman"/>
          <w:sz w:val="20"/>
        </w:rPr>
        <w:t xml:space="preserve">this survey. </w:t>
      </w:r>
      <w:r w:rsidRPr="00002F55">
        <w:rPr>
          <w:rFonts w:ascii="Times New Roman" w:hAnsi="Times New Roman"/>
          <w:sz w:val="20"/>
        </w:rPr>
        <w:t xml:space="preserve"> </w:t>
      </w:r>
      <w:r w:rsidR="00705BA1">
        <w:rPr>
          <w:rFonts w:ascii="Times New Roman" w:hAnsi="Times New Roman"/>
          <w:sz w:val="20"/>
        </w:rPr>
        <w:t>The number of eligible WBCs is less than the universe of WBCs because not all WBCs are eligible to participate in the survey. To be eligible a WBC must meet two criteria (1)</w:t>
      </w:r>
      <w:r w:rsidR="00E64322">
        <w:rPr>
          <w:rFonts w:ascii="Times New Roman" w:hAnsi="Times New Roman"/>
          <w:sz w:val="20"/>
        </w:rPr>
        <w:t xml:space="preserve"> in operation for at least 3 years prior to year of observation and (</w:t>
      </w:r>
      <w:r w:rsidR="000A1599">
        <w:rPr>
          <w:rFonts w:ascii="Times New Roman" w:hAnsi="Times New Roman"/>
          <w:sz w:val="20"/>
        </w:rPr>
        <w:t>2)</w:t>
      </w:r>
      <w:r w:rsidR="001A17D1">
        <w:rPr>
          <w:rFonts w:ascii="Times New Roman" w:hAnsi="Times New Roman"/>
          <w:sz w:val="20"/>
        </w:rPr>
        <w:t xml:space="preserve"> the WBC must still be in operation.</w:t>
      </w:r>
    </w:p>
  </w:footnote>
  <w:footnote w:id="2">
    <w:p w14:paraId="19A60DDB" w14:textId="77777777" w:rsidR="00C26695" w:rsidRPr="00002F55" w:rsidRDefault="00C26695" w:rsidP="00C26695">
      <w:pPr>
        <w:pStyle w:val="FootnoteText"/>
        <w:spacing w:before="0"/>
        <w:ind w:left="216" w:hanging="216"/>
        <w:rPr>
          <w:rFonts w:ascii="Times New Roman" w:hAnsi="Times New Roman"/>
          <w:sz w:val="20"/>
        </w:rPr>
      </w:pPr>
      <w:r w:rsidRPr="00002F55">
        <w:rPr>
          <w:rStyle w:val="FootnoteReference"/>
          <w:rFonts w:ascii="Times New Roman" w:hAnsi="Times New Roman"/>
          <w:sz w:val="20"/>
        </w:rPr>
        <w:footnoteRef/>
      </w:r>
      <w:r w:rsidRPr="00002F55">
        <w:rPr>
          <w:rFonts w:ascii="Times New Roman" w:hAnsi="Times New Roman"/>
          <w:sz w:val="20"/>
        </w:rPr>
        <w:t xml:space="preserve"> This number includes 4,000 WBC clients in the primary sample frame. An additional sample of 500 WBC clients will only be added if response counts are lower than expected.</w:t>
      </w:r>
    </w:p>
  </w:footnote>
  <w:footnote w:id="3">
    <w:p w14:paraId="126E3A5E" w14:textId="77777777" w:rsidR="00C26695" w:rsidRPr="00002F55" w:rsidRDefault="00C26695" w:rsidP="00C26695">
      <w:pPr>
        <w:pStyle w:val="FootnoteText"/>
        <w:spacing w:before="0"/>
        <w:rPr>
          <w:sz w:val="20"/>
        </w:rPr>
      </w:pPr>
      <w:r w:rsidRPr="00002F55">
        <w:rPr>
          <w:rStyle w:val="FootnoteReference"/>
          <w:rFonts w:ascii="Times New Roman" w:hAnsi="Times New Roman"/>
          <w:sz w:val="20"/>
        </w:rPr>
        <w:footnoteRef/>
      </w:r>
      <w:r w:rsidRPr="00002F55">
        <w:rPr>
          <w:sz w:val="20"/>
        </w:rPr>
        <w:t xml:space="preserve"> </w:t>
      </w:r>
      <w:r w:rsidRPr="00002F55">
        <w:rPr>
          <w:rFonts w:ascii="Times New Roman" w:hAnsi="Times New Roman"/>
          <w:sz w:val="20"/>
        </w:rPr>
        <w:t>This number includes 4,000 WBC clients in the primary sample frame. An additional sample of 500 WBC clients will only be added if response counts are lower than expected.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3DAF6" w14:textId="77777777" w:rsidR="00C11909" w:rsidRPr="000A2512" w:rsidRDefault="00057EF4" w:rsidP="000A2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0DE18" w14:textId="77777777" w:rsidR="00C11909" w:rsidRPr="000A2512" w:rsidRDefault="00057EF4" w:rsidP="000A2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666B50BC"/>
    <w:multiLevelType w:val="hybridMultilevel"/>
    <w:tmpl w:val="DA84B4A2"/>
    <w:lvl w:ilvl="0" w:tplc="9D2650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695"/>
    <w:rsid w:val="00005F7C"/>
    <w:rsid w:val="00010B31"/>
    <w:rsid w:val="00013590"/>
    <w:rsid w:val="00023CF9"/>
    <w:rsid w:val="000273E7"/>
    <w:rsid w:val="0004757E"/>
    <w:rsid w:val="00057EF4"/>
    <w:rsid w:val="000602A6"/>
    <w:rsid w:val="0006071F"/>
    <w:rsid w:val="00073DE7"/>
    <w:rsid w:val="00087AD1"/>
    <w:rsid w:val="00091610"/>
    <w:rsid w:val="000A1599"/>
    <w:rsid w:val="000B1376"/>
    <w:rsid w:val="000C32B8"/>
    <w:rsid w:val="000D7B03"/>
    <w:rsid w:val="0011746F"/>
    <w:rsid w:val="0012578D"/>
    <w:rsid w:val="00135ADF"/>
    <w:rsid w:val="0019158D"/>
    <w:rsid w:val="00193993"/>
    <w:rsid w:val="001A17D1"/>
    <w:rsid w:val="001B52B8"/>
    <w:rsid w:val="001C47AC"/>
    <w:rsid w:val="001D02A9"/>
    <w:rsid w:val="002006E5"/>
    <w:rsid w:val="00203253"/>
    <w:rsid w:val="0020634E"/>
    <w:rsid w:val="00206437"/>
    <w:rsid w:val="002107FA"/>
    <w:rsid w:val="00224B82"/>
    <w:rsid w:val="00234211"/>
    <w:rsid w:val="00234387"/>
    <w:rsid w:val="002360CA"/>
    <w:rsid w:val="00237183"/>
    <w:rsid w:val="0024044E"/>
    <w:rsid w:val="00251FA7"/>
    <w:rsid w:val="00256B9E"/>
    <w:rsid w:val="00277165"/>
    <w:rsid w:val="002C3A52"/>
    <w:rsid w:val="002C7F4F"/>
    <w:rsid w:val="002D25FE"/>
    <w:rsid w:val="00300115"/>
    <w:rsid w:val="003140BD"/>
    <w:rsid w:val="003158B2"/>
    <w:rsid w:val="003167A5"/>
    <w:rsid w:val="00330008"/>
    <w:rsid w:val="0034619C"/>
    <w:rsid w:val="00353962"/>
    <w:rsid w:val="00356CC2"/>
    <w:rsid w:val="003748E2"/>
    <w:rsid w:val="00385477"/>
    <w:rsid w:val="00394CB7"/>
    <w:rsid w:val="003A0C7A"/>
    <w:rsid w:val="003D23BB"/>
    <w:rsid w:val="003E1990"/>
    <w:rsid w:val="003E517F"/>
    <w:rsid w:val="00435CC2"/>
    <w:rsid w:val="00451349"/>
    <w:rsid w:val="00466992"/>
    <w:rsid w:val="00471981"/>
    <w:rsid w:val="0047740C"/>
    <w:rsid w:val="00480E7D"/>
    <w:rsid w:val="004A2826"/>
    <w:rsid w:val="004A5C9A"/>
    <w:rsid w:val="004B07C6"/>
    <w:rsid w:val="004B273A"/>
    <w:rsid w:val="004D50B3"/>
    <w:rsid w:val="005170B7"/>
    <w:rsid w:val="00546C1E"/>
    <w:rsid w:val="005505B8"/>
    <w:rsid w:val="00564B42"/>
    <w:rsid w:val="005768E0"/>
    <w:rsid w:val="005A5900"/>
    <w:rsid w:val="005B0AA7"/>
    <w:rsid w:val="005B28E1"/>
    <w:rsid w:val="005C61BB"/>
    <w:rsid w:val="005D12FC"/>
    <w:rsid w:val="005E571B"/>
    <w:rsid w:val="005E6280"/>
    <w:rsid w:val="005F32D9"/>
    <w:rsid w:val="005F5D02"/>
    <w:rsid w:val="006032A9"/>
    <w:rsid w:val="00605047"/>
    <w:rsid w:val="00606519"/>
    <w:rsid w:val="00613CE0"/>
    <w:rsid w:val="006160FB"/>
    <w:rsid w:val="006279DD"/>
    <w:rsid w:val="00631289"/>
    <w:rsid w:val="00637FCB"/>
    <w:rsid w:val="00652E3A"/>
    <w:rsid w:val="0065592F"/>
    <w:rsid w:val="00655ECA"/>
    <w:rsid w:val="00665302"/>
    <w:rsid w:val="00667099"/>
    <w:rsid w:val="006C14D1"/>
    <w:rsid w:val="006D0A24"/>
    <w:rsid w:val="006D1213"/>
    <w:rsid w:val="006D2BAA"/>
    <w:rsid w:val="006D3B9E"/>
    <w:rsid w:val="006E59E0"/>
    <w:rsid w:val="006F2280"/>
    <w:rsid w:val="006F4BE3"/>
    <w:rsid w:val="007011AB"/>
    <w:rsid w:val="00705BA1"/>
    <w:rsid w:val="00741258"/>
    <w:rsid w:val="00763D6D"/>
    <w:rsid w:val="007749C8"/>
    <w:rsid w:val="00781FEF"/>
    <w:rsid w:val="007B73F9"/>
    <w:rsid w:val="007C105C"/>
    <w:rsid w:val="007C257F"/>
    <w:rsid w:val="007F0BE3"/>
    <w:rsid w:val="0082583E"/>
    <w:rsid w:val="00826CB5"/>
    <w:rsid w:val="00876DF9"/>
    <w:rsid w:val="00880CFD"/>
    <w:rsid w:val="008831B6"/>
    <w:rsid w:val="00892E68"/>
    <w:rsid w:val="008952F9"/>
    <w:rsid w:val="008A0048"/>
    <w:rsid w:val="008C3503"/>
    <w:rsid w:val="008C7748"/>
    <w:rsid w:val="008D0D47"/>
    <w:rsid w:val="008D17AE"/>
    <w:rsid w:val="008D6A21"/>
    <w:rsid w:val="008E16DC"/>
    <w:rsid w:val="009122E7"/>
    <w:rsid w:val="00913831"/>
    <w:rsid w:val="00924656"/>
    <w:rsid w:val="0096763A"/>
    <w:rsid w:val="00983418"/>
    <w:rsid w:val="00984753"/>
    <w:rsid w:val="009B4F80"/>
    <w:rsid w:val="009B63FF"/>
    <w:rsid w:val="009F1118"/>
    <w:rsid w:val="009F1F7C"/>
    <w:rsid w:val="00A15684"/>
    <w:rsid w:val="00A234CE"/>
    <w:rsid w:val="00A37147"/>
    <w:rsid w:val="00A43DEE"/>
    <w:rsid w:val="00A5128C"/>
    <w:rsid w:val="00A53466"/>
    <w:rsid w:val="00A83E68"/>
    <w:rsid w:val="00A84181"/>
    <w:rsid w:val="00A902E1"/>
    <w:rsid w:val="00A96BAC"/>
    <w:rsid w:val="00AA7711"/>
    <w:rsid w:val="00AB72C0"/>
    <w:rsid w:val="00AC6F8B"/>
    <w:rsid w:val="00AF05AB"/>
    <w:rsid w:val="00AF2ECA"/>
    <w:rsid w:val="00B02648"/>
    <w:rsid w:val="00B043F8"/>
    <w:rsid w:val="00B07B44"/>
    <w:rsid w:val="00B31768"/>
    <w:rsid w:val="00B320E9"/>
    <w:rsid w:val="00B3749F"/>
    <w:rsid w:val="00B45B58"/>
    <w:rsid w:val="00B55E37"/>
    <w:rsid w:val="00B77782"/>
    <w:rsid w:val="00B842C3"/>
    <w:rsid w:val="00B87F00"/>
    <w:rsid w:val="00B954CA"/>
    <w:rsid w:val="00BC0174"/>
    <w:rsid w:val="00BC5CB1"/>
    <w:rsid w:val="00BD1306"/>
    <w:rsid w:val="00BD3153"/>
    <w:rsid w:val="00BE08DF"/>
    <w:rsid w:val="00BF1471"/>
    <w:rsid w:val="00BF5ABD"/>
    <w:rsid w:val="00C13279"/>
    <w:rsid w:val="00C17F28"/>
    <w:rsid w:val="00C26695"/>
    <w:rsid w:val="00C266D1"/>
    <w:rsid w:val="00C40D19"/>
    <w:rsid w:val="00C41179"/>
    <w:rsid w:val="00C42EDB"/>
    <w:rsid w:val="00C43350"/>
    <w:rsid w:val="00C47D7B"/>
    <w:rsid w:val="00C65B4B"/>
    <w:rsid w:val="00C66530"/>
    <w:rsid w:val="00C81099"/>
    <w:rsid w:val="00C907CB"/>
    <w:rsid w:val="00C909AF"/>
    <w:rsid w:val="00C91D13"/>
    <w:rsid w:val="00C96A29"/>
    <w:rsid w:val="00CB1EC0"/>
    <w:rsid w:val="00CB57B7"/>
    <w:rsid w:val="00CC23BC"/>
    <w:rsid w:val="00CD5A2E"/>
    <w:rsid w:val="00CE32CB"/>
    <w:rsid w:val="00CE466A"/>
    <w:rsid w:val="00CE567B"/>
    <w:rsid w:val="00D16F2D"/>
    <w:rsid w:val="00D30714"/>
    <w:rsid w:val="00D666EA"/>
    <w:rsid w:val="00D901D8"/>
    <w:rsid w:val="00DA1AF3"/>
    <w:rsid w:val="00DA27A4"/>
    <w:rsid w:val="00DB2B31"/>
    <w:rsid w:val="00DC605E"/>
    <w:rsid w:val="00DD1EF2"/>
    <w:rsid w:val="00DD6AC7"/>
    <w:rsid w:val="00DE1FE6"/>
    <w:rsid w:val="00E17A08"/>
    <w:rsid w:val="00E24DCF"/>
    <w:rsid w:val="00E3720D"/>
    <w:rsid w:val="00E469C5"/>
    <w:rsid w:val="00E63953"/>
    <w:rsid w:val="00E64322"/>
    <w:rsid w:val="00E714A5"/>
    <w:rsid w:val="00E731C4"/>
    <w:rsid w:val="00E90D47"/>
    <w:rsid w:val="00E94BDB"/>
    <w:rsid w:val="00E9710A"/>
    <w:rsid w:val="00EB2B9E"/>
    <w:rsid w:val="00EB42AF"/>
    <w:rsid w:val="00EB67C0"/>
    <w:rsid w:val="00EC461C"/>
    <w:rsid w:val="00EC62BF"/>
    <w:rsid w:val="00ED0346"/>
    <w:rsid w:val="00EE0B50"/>
    <w:rsid w:val="00EE65FF"/>
    <w:rsid w:val="00EE7259"/>
    <w:rsid w:val="00EF7B47"/>
    <w:rsid w:val="00F0529C"/>
    <w:rsid w:val="00F079DE"/>
    <w:rsid w:val="00F20CB6"/>
    <w:rsid w:val="00F2491C"/>
    <w:rsid w:val="00F2707F"/>
    <w:rsid w:val="00F3056D"/>
    <w:rsid w:val="00F425E0"/>
    <w:rsid w:val="00F45E4C"/>
    <w:rsid w:val="00F50C65"/>
    <w:rsid w:val="00F62ED6"/>
    <w:rsid w:val="00F80AB6"/>
    <w:rsid w:val="00F9140D"/>
    <w:rsid w:val="00F921C7"/>
    <w:rsid w:val="00FB0217"/>
    <w:rsid w:val="00FC41B1"/>
    <w:rsid w:val="00FC4533"/>
    <w:rsid w:val="00FC7B44"/>
    <w:rsid w:val="00FE087C"/>
    <w:rsid w:val="00FF7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95"/>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C26695"/>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C26695"/>
    <w:pPr>
      <w:outlineLvl w:val="1"/>
    </w:pPr>
    <w:rPr>
      <w:sz w:val="28"/>
    </w:rPr>
  </w:style>
  <w:style w:type="paragraph" w:styleId="Heading3">
    <w:name w:val="heading 3"/>
    <w:aliases w:val="H3-Sec. Head"/>
    <w:basedOn w:val="Heading1"/>
    <w:next w:val="L1-FlLSp12"/>
    <w:link w:val="Heading3Char"/>
    <w:qFormat/>
    <w:rsid w:val="00C26695"/>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26695"/>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C26695"/>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C26695"/>
    <w:rPr>
      <w:rFonts w:ascii="Franklin Gothic Medium" w:eastAsia="Times New Roman" w:hAnsi="Franklin Gothic Medium" w:cs="Times New Roman"/>
      <w:b/>
      <w:sz w:val="24"/>
      <w:szCs w:val="20"/>
    </w:rPr>
  </w:style>
  <w:style w:type="paragraph" w:styleId="FootnoteText">
    <w:name w:val="footnote text"/>
    <w:aliases w:val="F1,Footnote Text2,F"/>
    <w:link w:val="FootnoteTextChar"/>
    <w:uiPriority w:val="99"/>
    <w:rsid w:val="00C26695"/>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C26695"/>
    <w:rPr>
      <w:rFonts w:ascii="Garamond" w:eastAsia="Times New Roman" w:hAnsi="Garamond" w:cs="Times New Roman"/>
      <w:sz w:val="16"/>
      <w:szCs w:val="20"/>
    </w:rPr>
  </w:style>
  <w:style w:type="paragraph" w:styleId="Header">
    <w:name w:val="header"/>
    <w:basedOn w:val="Normal"/>
    <w:link w:val="HeaderChar"/>
    <w:uiPriority w:val="99"/>
    <w:qFormat/>
    <w:rsid w:val="00C26695"/>
    <w:pPr>
      <w:tabs>
        <w:tab w:val="center" w:pos="4320"/>
        <w:tab w:val="right" w:pos="8640"/>
      </w:tabs>
    </w:pPr>
    <w:rPr>
      <w:sz w:val="16"/>
    </w:rPr>
  </w:style>
  <w:style w:type="character" w:customStyle="1" w:styleId="HeaderChar">
    <w:name w:val="Header Char"/>
    <w:basedOn w:val="DefaultParagraphFont"/>
    <w:link w:val="Header"/>
    <w:uiPriority w:val="99"/>
    <w:rsid w:val="00C26695"/>
    <w:rPr>
      <w:rFonts w:ascii="Times New Roman" w:eastAsia="Times New Roman" w:hAnsi="Times New Roman" w:cs="Times New Roman"/>
      <w:sz w:val="16"/>
      <w:szCs w:val="20"/>
    </w:rPr>
  </w:style>
  <w:style w:type="paragraph" w:customStyle="1" w:styleId="L1-FlLSp12">
    <w:name w:val="L1-FlL Sp&amp;1/2"/>
    <w:basedOn w:val="Normal"/>
    <w:rsid w:val="00C26695"/>
    <w:pPr>
      <w:tabs>
        <w:tab w:val="left" w:pos="1152"/>
      </w:tabs>
      <w:spacing w:line="360" w:lineRule="atLeast"/>
    </w:pPr>
  </w:style>
  <w:style w:type="paragraph" w:customStyle="1" w:styleId="N1-1stBullet">
    <w:name w:val="N1-1st Bullet"/>
    <w:basedOn w:val="Normal"/>
    <w:link w:val="N1-1stBulletChar"/>
    <w:rsid w:val="00C26695"/>
    <w:pPr>
      <w:numPr>
        <w:numId w:val="1"/>
      </w:numPr>
      <w:spacing w:after="240"/>
    </w:pPr>
  </w:style>
  <w:style w:type="table" w:customStyle="1" w:styleId="TableWestatStandardFormat">
    <w:name w:val="Table Westat Standard Format"/>
    <w:basedOn w:val="TableNormal"/>
    <w:rsid w:val="00C2669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uiPriority w:val="99"/>
    <w:rsid w:val="00C26695"/>
    <w:pPr>
      <w:spacing w:after="0" w:line="240" w:lineRule="atLeast"/>
      <w:ind w:left="0" w:firstLine="0"/>
      <w:jc w:val="center"/>
    </w:pPr>
    <w:rPr>
      <w:color w:val="auto"/>
      <w:sz w:val="20"/>
    </w:rPr>
  </w:style>
  <w:style w:type="paragraph" w:customStyle="1" w:styleId="TX-TableText">
    <w:name w:val="TX-Table Text"/>
    <w:basedOn w:val="Normal"/>
    <w:uiPriority w:val="99"/>
    <w:rsid w:val="00C26695"/>
    <w:rPr>
      <w:rFonts w:ascii="Franklin Gothic Medium" w:hAnsi="Franklin Gothic Medium"/>
      <w:sz w:val="20"/>
    </w:rPr>
  </w:style>
  <w:style w:type="paragraph" w:styleId="ListParagraph">
    <w:name w:val="List Paragraph"/>
    <w:basedOn w:val="Normal"/>
    <w:link w:val="ListParagraphChar"/>
    <w:uiPriority w:val="34"/>
    <w:qFormat/>
    <w:rsid w:val="00C26695"/>
    <w:pPr>
      <w:spacing w:after="200" w:line="276" w:lineRule="auto"/>
      <w:ind w:left="720"/>
      <w:contextualSpacing/>
    </w:pPr>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rsid w:val="00C2669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uiPriority w:val="99"/>
    <w:rsid w:val="00C26695"/>
    <w:rPr>
      <w:rFonts w:ascii="Times New Roman" w:eastAsia="Times New Roman" w:hAnsi="Times New Roman" w:cs="Times New Roman"/>
    </w:rPr>
  </w:style>
  <w:style w:type="character" w:customStyle="1" w:styleId="N1-1stBulletChar">
    <w:name w:val="N1-1st Bullet Char"/>
    <w:basedOn w:val="DefaultParagraphFont"/>
    <w:link w:val="N1-1stBullet"/>
    <w:locked/>
    <w:rsid w:val="00C26695"/>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qFormat/>
    <w:rsid w:val="00C26695"/>
    <w:rPr>
      <w:vertAlign w:val="superscript"/>
    </w:rPr>
  </w:style>
  <w:style w:type="paragraph" w:customStyle="1" w:styleId="Normalcontinued">
    <w:name w:val="Normal (continued)"/>
    <w:basedOn w:val="Normal"/>
    <w:next w:val="Normal"/>
    <w:qFormat/>
    <w:rsid w:val="00C26695"/>
  </w:style>
  <w:style w:type="character" w:customStyle="1" w:styleId="ListParagraphChar">
    <w:name w:val="List Paragraph Char"/>
    <w:link w:val="ListParagraph"/>
    <w:uiPriority w:val="34"/>
    <w:locked/>
    <w:rsid w:val="00C26695"/>
  </w:style>
  <w:style w:type="character" w:styleId="CommentReference">
    <w:name w:val="annotation reference"/>
    <w:basedOn w:val="DefaultParagraphFont"/>
    <w:uiPriority w:val="99"/>
    <w:semiHidden/>
    <w:unhideWhenUsed/>
    <w:rsid w:val="00A83E68"/>
    <w:rPr>
      <w:sz w:val="16"/>
      <w:szCs w:val="16"/>
    </w:rPr>
  </w:style>
  <w:style w:type="paragraph" w:styleId="CommentText">
    <w:name w:val="annotation text"/>
    <w:basedOn w:val="Normal"/>
    <w:link w:val="CommentTextChar"/>
    <w:uiPriority w:val="99"/>
    <w:unhideWhenUsed/>
    <w:rsid w:val="00A83E68"/>
    <w:pPr>
      <w:spacing w:line="240" w:lineRule="auto"/>
    </w:pPr>
    <w:rPr>
      <w:sz w:val="20"/>
    </w:rPr>
  </w:style>
  <w:style w:type="character" w:customStyle="1" w:styleId="CommentTextChar">
    <w:name w:val="Comment Text Char"/>
    <w:basedOn w:val="DefaultParagraphFont"/>
    <w:link w:val="CommentText"/>
    <w:uiPriority w:val="99"/>
    <w:rsid w:val="00A83E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3E68"/>
    <w:rPr>
      <w:b/>
      <w:bCs/>
    </w:rPr>
  </w:style>
  <w:style w:type="character" w:customStyle="1" w:styleId="CommentSubjectChar">
    <w:name w:val="Comment Subject Char"/>
    <w:basedOn w:val="CommentTextChar"/>
    <w:link w:val="CommentSubject"/>
    <w:uiPriority w:val="99"/>
    <w:semiHidden/>
    <w:rsid w:val="00A83E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3E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E68"/>
    <w:rPr>
      <w:rFonts w:ascii="Segoe UI" w:eastAsia="Times New Roman" w:hAnsi="Segoe UI" w:cs="Segoe UI"/>
      <w:sz w:val="18"/>
      <w:szCs w:val="18"/>
    </w:rPr>
  </w:style>
  <w:style w:type="table" w:styleId="TableGrid">
    <w:name w:val="Table Grid"/>
    <w:basedOn w:val="TableNormal"/>
    <w:uiPriority w:val="39"/>
    <w:rsid w:val="00DA1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95"/>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C26695"/>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C26695"/>
    <w:pPr>
      <w:outlineLvl w:val="1"/>
    </w:pPr>
    <w:rPr>
      <w:sz w:val="28"/>
    </w:rPr>
  </w:style>
  <w:style w:type="paragraph" w:styleId="Heading3">
    <w:name w:val="heading 3"/>
    <w:aliases w:val="H3-Sec. Head"/>
    <w:basedOn w:val="Heading1"/>
    <w:next w:val="L1-FlLSp12"/>
    <w:link w:val="Heading3Char"/>
    <w:qFormat/>
    <w:rsid w:val="00C26695"/>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C26695"/>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C26695"/>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C26695"/>
    <w:rPr>
      <w:rFonts w:ascii="Franklin Gothic Medium" w:eastAsia="Times New Roman" w:hAnsi="Franklin Gothic Medium" w:cs="Times New Roman"/>
      <w:b/>
      <w:sz w:val="24"/>
      <w:szCs w:val="20"/>
    </w:rPr>
  </w:style>
  <w:style w:type="paragraph" w:styleId="FootnoteText">
    <w:name w:val="footnote text"/>
    <w:aliases w:val="F1,Footnote Text2,F"/>
    <w:link w:val="FootnoteTextChar"/>
    <w:uiPriority w:val="99"/>
    <w:rsid w:val="00C26695"/>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C26695"/>
    <w:rPr>
      <w:rFonts w:ascii="Garamond" w:eastAsia="Times New Roman" w:hAnsi="Garamond" w:cs="Times New Roman"/>
      <w:sz w:val="16"/>
      <w:szCs w:val="20"/>
    </w:rPr>
  </w:style>
  <w:style w:type="paragraph" w:styleId="Header">
    <w:name w:val="header"/>
    <w:basedOn w:val="Normal"/>
    <w:link w:val="HeaderChar"/>
    <w:uiPriority w:val="99"/>
    <w:qFormat/>
    <w:rsid w:val="00C26695"/>
    <w:pPr>
      <w:tabs>
        <w:tab w:val="center" w:pos="4320"/>
        <w:tab w:val="right" w:pos="8640"/>
      </w:tabs>
    </w:pPr>
    <w:rPr>
      <w:sz w:val="16"/>
    </w:rPr>
  </w:style>
  <w:style w:type="character" w:customStyle="1" w:styleId="HeaderChar">
    <w:name w:val="Header Char"/>
    <w:basedOn w:val="DefaultParagraphFont"/>
    <w:link w:val="Header"/>
    <w:uiPriority w:val="99"/>
    <w:rsid w:val="00C26695"/>
    <w:rPr>
      <w:rFonts w:ascii="Times New Roman" w:eastAsia="Times New Roman" w:hAnsi="Times New Roman" w:cs="Times New Roman"/>
      <w:sz w:val="16"/>
      <w:szCs w:val="20"/>
    </w:rPr>
  </w:style>
  <w:style w:type="paragraph" w:customStyle="1" w:styleId="L1-FlLSp12">
    <w:name w:val="L1-FlL Sp&amp;1/2"/>
    <w:basedOn w:val="Normal"/>
    <w:rsid w:val="00C26695"/>
    <w:pPr>
      <w:tabs>
        <w:tab w:val="left" w:pos="1152"/>
      </w:tabs>
      <w:spacing w:line="360" w:lineRule="atLeast"/>
    </w:pPr>
  </w:style>
  <w:style w:type="paragraph" w:customStyle="1" w:styleId="N1-1stBullet">
    <w:name w:val="N1-1st Bullet"/>
    <w:basedOn w:val="Normal"/>
    <w:link w:val="N1-1stBulletChar"/>
    <w:rsid w:val="00C26695"/>
    <w:pPr>
      <w:numPr>
        <w:numId w:val="1"/>
      </w:numPr>
      <w:spacing w:after="240"/>
    </w:pPr>
  </w:style>
  <w:style w:type="table" w:customStyle="1" w:styleId="TableWestatStandardFormat">
    <w:name w:val="Table Westat Standard Format"/>
    <w:basedOn w:val="TableNormal"/>
    <w:rsid w:val="00C2669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H-TableHeading">
    <w:name w:val="TH-Table Heading"/>
    <w:basedOn w:val="Heading1"/>
    <w:uiPriority w:val="99"/>
    <w:rsid w:val="00C26695"/>
    <w:pPr>
      <w:spacing w:after="0" w:line="240" w:lineRule="atLeast"/>
      <w:ind w:left="0" w:firstLine="0"/>
      <w:jc w:val="center"/>
    </w:pPr>
    <w:rPr>
      <w:color w:val="auto"/>
      <w:sz w:val="20"/>
    </w:rPr>
  </w:style>
  <w:style w:type="paragraph" w:customStyle="1" w:styleId="TX-TableText">
    <w:name w:val="TX-Table Text"/>
    <w:basedOn w:val="Normal"/>
    <w:uiPriority w:val="99"/>
    <w:rsid w:val="00C26695"/>
    <w:rPr>
      <w:rFonts w:ascii="Franklin Gothic Medium" w:hAnsi="Franklin Gothic Medium"/>
      <w:sz w:val="20"/>
    </w:rPr>
  </w:style>
  <w:style w:type="paragraph" w:styleId="ListParagraph">
    <w:name w:val="List Paragraph"/>
    <w:basedOn w:val="Normal"/>
    <w:link w:val="ListParagraphChar"/>
    <w:uiPriority w:val="34"/>
    <w:qFormat/>
    <w:rsid w:val="00C26695"/>
    <w:pPr>
      <w:spacing w:after="200" w:line="276" w:lineRule="auto"/>
      <w:ind w:left="720"/>
      <w:contextualSpacing/>
    </w:pPr>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rsid w:val="00C26695"/>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uiPriority w:val="99"/>
    <w:rsid w:val="00C26695"/>
    <w:rPr>
      <w:rFonts w:ascii="Times New Roman" w:eastAsia="Times New Roman" w:hAnsi="Times New Roman" w:cs="Times New Roman"/>
    </w:rPr>
  </w:style>
  <w:style w:type="character" w:customStyle="1" w:styleId="N1-1stBulletChar">
    <w:name w:val="N1-1st Bullet Char"/>
    <w:basedOn w:val="DefaultParagraphFont"/>
    <w:link w:val="N1-1stBullet"/>
    <w:locked/>
    <w:rsid w:val="00C26695"/>
    <w:rPr>
      <w:rFonts w:ascii="Times New Roman" w:eastAsia="Times New Roman" w:hAnsi="Times New Roman" w:cs="Times New Roman"/>
      <w:sz w:val="24"/>
      <w:szCs w:val="20"/>
    </w:rPr>
  </w:style>
  <w:style w:type="character" w:styleId="FootnoteReference">
    <w:name w:val="footnote reference"/>
    <w:basedOn w:val="DefaultParagraphFont"/>
    <w:uiPriority w:val="99"/>
    <w:unhideWhenUsed/>
    <w:qFormat/>
    <w:rsid w:val="00C26695"/>
    <w:rPr>
      <w:vertAlign w:val="superscript"/>
    </w:rPr>
  </w:style>
  <w:style w:type="paragraph" w:customStyle="1" w:styleId="Normalcontinued">
    <w:name w:val="Normal (continued)"/>
    <w:basedOn w:val="Normal"/>
    <w:next w:val="Normal"/>
    <w:qFormat/>
    <w:rsid w:val="00C26695"/>
  </w:style>
  <w:style w:type="character" w:customStyle="1" w:styleId="ListParagraphChar">
    <w:name w:val="List Paragraph Char"/>
    <w:link w:val="ListParagraph"/>
    <w:uiPriority w:val="34"/>
    <w:locked/>
    <w:rsid w:val="00C26695"/>
  </w:style>
  <w:style w:type="character" w:styleId="CommentReference">
    <w:name w:val="annotation reference"/>
    <w:basedOn w:val="DefaultParagraphFont"/>
    <w:uiPriority w:val="99"/>
    <w:semiHidden/>
    <w:unhideWhenUsed/>
    <w:rsid w:val="00A83E68"/>
    <w:rPr>
      <w:sz w:val="16"/>
      <w:szCs w:val="16"/>
    </w:rPr>
  </w:style>
  <w:style w:type="paragraph" w:styleId="CommentText">
    <w:name w:val="annotation text"/>
    <w:basedOn w:val="Normal"/>
    <w:link w:val="CommentTextChar"/>
    <w:uiPriority w:val="99"/>
    <w:unhideWhenUsed/>
    <w:rsid w:val="00A83E68"/>
    <w:pPr>
      <w:spacing w:line="240" w:lineRule="auto"/>
    </w:pPr>
    <w:rPr>
      <w:sz w:val="20"/>
    </w:rPr>
  </w:style>
  <w:style w:type="character" w:customStyle="1" w:styleId="CommentTextChar">
    <w:name w:val="Comment Text Char"/>
    <w:basedOn w:val="DefaultParagraphFont"/>
    <w:link w:val="CommentText"/>
    <w:uiPriority w:val="99"/>
    <w:rsid w:val="00A83E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3E68"/>
    <w:rPr>
      <w:b/>
      <w:bCs/>
    </w:rPr>
  </w:style>
  <w:style w:type="character" w:customStyle="1" w:styleId="CommentSubjectChar">
    <w:name w:val="Comment Subject Char"/>
    <w:basedOn w:val="CommentTextChar"/>
    <w:link w:val="CommentSubject"/>
    <w:uiPriority w:val="99"/>
    <w:semiHidden/>
    <w:rsid w:val="00A83E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3E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E68"/>
    <w:rPr>
      <w:rFonts w:ascii="Segoe UI" w:eastAsia="Times New Roman" w:hAnsi="Segoe UI" w:cs="Segoe UI"/>
      <w:sz w:val="18"/>
      <w:szCs w:val="18"/>
    </w:rPr>
  </w:style>
  <w:style w:type="table" w:styleId="TableGrid">
    <w:name w:val="Table Grid"/>
    <w:basedOn w:val="TableNormal"/>
    <w:uiPriority w:val="39"/>
    <w:rsid w:val="00DA1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Nicholas Beyler, PhD</DisplayName>
        <AccountId>161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DEF7F0AD7DCC47A4F3B8A2501854FA" ma:contentTypeVersion="6" ma:contentTypeDescription="Create a new document." ma:contentTypeScope="" ma:versionID="58fc9e63d229564f8ee2a64652ff7da9">
  <xsd:schema xmlns:xsd="http://www.w3.org/2001/XMLSchema" xmlns:xs="http://www.w3.org/2001/XMLSchema" xmlns:p="http://schemas.microsoft.com/office/2006/metadata/properties" xmlns:ns2="e2d10d76-83db-4f6d-80b3-962178d38af8" xmlns:ns3="22088e7c-88fa-40f6-88eb-a8b754a964ae" targetNamespace="http://schemas.microsoft.com/office/2006/metadata/properties" ma:root="true" ma:fieldsID="d809fa445b0dbb5a456b70a412149ee2" ns2:_="" ns3:_="">
    <xsd:import namespace="e2d10d76-83db-4f6d-80b3-962178d38af8"/>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10d76-83db-4f6d-80b3-962178d38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57D20-54E4-43CB-AC63-23CA3D6CC336}">
  <ds:schemaRefs>
    <ds:schemaRef ds:uri="http://schemas.microsoft.com/sharepoint/v3/contenttype/forms"/>
  </ds:schemaRefs>
</ds:datastoreItem>
</file>

<file path=customXml/itemProps2.xml><?xml version="1.0" encoding="utf-8"?>
<ds:datastoreItem xmlns:ds="http://schemas.openxmlformats.org/officeDocument/2006/customXml" ds:itemID="{A9466F15-CFFA-43AE-907B-632BCC00A8D3}">
  <ds:schemaRefs>
    <ds:schemaRef ds:uri="http://schemas.microsoft.com/office/infopath/2007/PartnerControls"/>
    <ds:schemaRef ds:uri="e2d10d76-83db-4f6d-80b3-962178d38af8"/>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2006/metadata/properties"/>
    <ds:schemaRef ds:uri="22088e7c-88fa-40f6-88eb-a8b754a964ae"/>
    <ds:schemaRef ds:uri="http://purl.org/dc/terms/"/>
  </ds:schemaRefs>
</ds:datastoreItem>
</file>

<file path=customXml/itemProps3.xml><?xml version="1.0" encoding="utf-8"?>
<ds:datastoreItem xmlns:ds="http://schemas.openxmlformats.org/officeDocument/2006/customXml" ds:itemID="{1A4FD9B8-28A7-4362-9539-31DA050AC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10d76-83db-4f6d-80b3-962178d38af8"/>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Curtis B.</dc:creator>
  <cp:keywords/>
  <dc:description/>
  <cp:lastModifiedBy>SYSTEM</cp:lastModifiedBy>
  <cp:revision>2</cp:revision>
  <dcterms:created xsi:type="dcterms:W3CDTF">2019-10-09T18:32:00Z</dcterms:created>
  <dcterms:modified xsi:type="dcterms:W3CDTF">2019-10-09T18:32:00Z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0x01010026DEF7F0AD7DCC47A4F3B8A2501854FA</vt:lpwstr>
  </property>
</Properties>
</file>