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9B741" w14:textId="77777777" w:rsidR="00361122" w:rsidRPr="00D81DDA" w:rsidRDefault="00361122" w:rsidP="000211C2">
      <w:pPr>
        <w:spacing w:line="240" w:lineRule="auto"/>
        <w:jc w:val="center"/>
        <w:rPr>
          <w:rFonts w:asciiTheme="majorBidi" w:hAnsiTheme="majorBidi" w:cstheme="majorBidi"/>
        </w:rPr>
      </w:pPr>
      <w:bookmarkStart w:id="0" w:name="_GoBack"/>
      <w:bookmarkEnd w:id="0"/>
    </w:p>
    <w:p w14:paraId="2653469A" w14:textId="77777777" w:rsidR="00E7582B" w:rsidRPr="00E7582B" w:rsidRDefault="00E7582B" w:rsidP="000211C2">
      <w:pPr>
        <w:spacing w:line="240" w:lineRule="auto"/>
        <w:rPr>
          <w:rStyle w:val="apple-style-span"/>
          <w:rFonts w:cs="Times New Roman"/>
          <w:szCs w:val="24"/>
          <w:shd w:val="clear" w:color="auto" w:fill="FFFFFF"/>
        </w:rPr>
      </w:pPr>
    </w:p>
    <w:p w14:paraId="63C852B7" w14:textId="77777777" w:rsidR="000F7E49" w:rsidRDefault="000F7E49">
      <w:pPr>
        <w:rPr>
          <w:rFonts w:asciiTheme="majorBidi" w:eastAsiaTheme="majorEastAsia" w:hAnsiTheme="majorBidi" w:cstheme="majorBidi"/>
          <w:b/>
          <w:color w:val="2E74B5" w:themeColor="accent1" w:themeShade="BF"/>
          <w:szCs w:val="32"/>
        </w:rPr>
      </w:pPr>
      <w:bookmarkStart w:id="1" w:name="_Toc440449644"/>
      <w:r>
        <w:rPr>
          <w:rFonts w:asciiTheme="majorBidi" w:hAnsiTheme="majorBidi"/>
          <w:b/>
        </w:rPr>
        <w:br w:type="page"/>
      </w:r>
    </w:p>
    <w:p w14:paraId="171A2F58" w14:textId="77777777" w:rsidR="000F7E49" w:rsidRPr="002778BA" w:rsidRDefault="000F7E49" w:rsidP="000F7E49">
      <w:pPr>
        <w:pStyle w:val="Heading1"/>
        <w:spacing w:line="240" w:lineRule="auto"/>
        <w:rPr>
          <w:rFonts w:asciiTheme="majorBidi" w:hAnsiTheme="majorBidi"/>
          <w:b/>
          <w:sz w:val="22"/>
        </w:rPr>
      </w:pPr>
      <w:bookmarkStart w:id="2" w:name="_Toc7520593"/>
      <w:r>
        <w:rPr>
          <w:rFonts w:asciiTheme="majorBidi" w:hAnsiTheme="majorBidi"/>
          <w:b/>
          <w:sz w:val="24"/>
        </w:rPr>
        <w:lastRenderedPageBreak/>
        <w:t>PART B</w:t>
      </w:r>
      <w:r w:rsidRPr="002778BA">
        <w:rPr>
          <w:rFonts w:asciiTheme="majorBidi" w:hAnsiTheme="majorBidi"/>
          <w:b/>
          <w:sz w:val="24"/>
        </w:rPr>
        <w:t xml:space="preserve">. </w:t>
      </w:r>
      <w:r>
        <w:rPr>
          <w:rFonts w:asciiTheme="majorBidi" w:hAnsiTheme="majorBidi"/>
          <w:b/>
          <w:sz w:val="24"/>
        </w:rPr>
        <w:t>Collections of Information Employing Statistical Methods</w:t>
      </w:r>
      <w:bookmarkEnd w:id="1"/>
      <w:bookmarkEnd w:id="2"/>
    </w:p>
    <w:p w14:paraId="6296F5EB" w14:textId="77777777" w:rsidR="000F7E49" w:rsidRPr="00D81DDA" w:rsidRDefault="000F7E49" w:rsidP="000F7E49">
      <w:pPr>
        <w:spacing w:after="0" w:line="240" w:lineRule="auto"/>
        <w:rPr>
          <w:rFonts w:asciiTheme="majorBidi" w:hAnsiTheme="majorBidi" w:cstheme="majorBidi"/>
          <w:b/>
          <w:bCs/>
        </w:rPr>
      </w:pPr>
    </w:p>
    <w:p w14:paraId="546525FE" w14:textId="77777777" w:rsidR="000F7E49" w:rsidRPr="00364341" w:rsidRDefault="000F7E49" w:rsidP="00364341">
      <w:pPr>
        <w:pStyle w:val="Heading2"/>
        <w:numPr>
          <w:ilvl w:val="0"/>
          <w:numId w:val="45"/>
        </w:numPr>
        <w:rPr>
          <w:rFonts w:asciiTheme="majorBidi" w:hAnsiTheme="majorBidi" w:cstheme="majorBidi"/>
        </w:rPr>
      </w:pPr>
      <w:bookmarkStart w:id="3" w:name="_Toc440449645"/>
      <w:bookmarkStart w:id="4" w:name="_Toc7520594"/>
      <w:r w:rsidRPr="00364341">
        <w:rPr>
          <w:rFonts w:asciiTheme="majorBidi" w:eastAsiaTheme="majorBidi" w:hAnsiTheme="majorBidi" w:cstheme="majorBidi"/>
        </w:rPr>
        <w:t>Universe of Sampling Respondent Selection</w:t>
      </w:r>
      <w:bookmarkEnd w:id="3"/>
      <w:bookmarkEnd w:id="4"/>
    </w:p>
    <w:p w14:paraId="476F5126" w14:textId="77777777" w:rsidR="000F7E49" w:rsidRDefault="000F7E49" w:rsidP="000F7E49">
      <w:pPr>
        <w:spacing w:line="240" w:lineRule="auto"/>
        <w:rPr>
          <w:rFonts w:asciiTheme="majorBidi" w:hAnsiTheme="majorBidi" w:cstheme="majorBidi"/>
          <w:b/>
          <w:bCs/>
          <w:szCs w:val="24"/>
        </w:rPr>
      </w:pPr>
      <w:r w:rsidRPr="00630508">
        <w:rPr>
          <w:rFonts w:asciiTheme="majorBidi" w:hAnsiTheme="majorBidi" w:cstheme="majorBidi"/>
          <w:b/>
          <w:bCs/>
          <w:szCs w:val="24"/>
        </w:rPr>
        <w:t xml:space="preserve">Describe (including a numerical estimate) the potential respondent universe and any sampling or other respondent selection method to be used. Data on the number of entities (e.g., establishments, </w:t>
      </w:r>
      <w:r>
        <w:rPr>
          <w:rFonts w:asciiTheme="majorBidi" w:hAnsiTheme="majorBidi" w:cstheme="majorBidi"/>
          <w:b/>
          <w:bCs/>
          <w:szCs w:val="24"/>
        </w:rPr>
        <w:t>s</w:t>
      </w:r>
      <w:r w:rsidRPr="00630508">
        <w:rPr>
          <w:rFonts w:asciiTheme="majorBidi" w:hAnsiTheme="majorBidi" w:cstheme="majorBidi"/>
          <w:b/>
          <w:bCs/>
          <w:szCs w:val="24"/>
        </w:rPr>
        <w:t>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w:t>
      </w:r>
      <w:r>
        <w:rPr>
          <w:rFonts w:asciiTheme="majorBidi" w:hAnsiTheme="majorBidi" w:cstheme="majorBidi"/>
          <w:b/>
          <w:bCs/>
          <w:szCs w:val="24"/>
        </w:rPr>
        <w:t>eved during the last collection</w:t>
      </w:r>
      <w:r w:rsidRPr="000A49EE">
        <w:rPr>
          <w:rFonts w:asciiTheme="majorBidi" w:hAnsiTheme="majorBidi" w:cstheme="majorBidi"/>
          <w:b/>
          <w:bCs/>
          <w:szCs w:val="24"/>
        </w:rPr>
        <w:t>.</w:t>
      </w:r>
    </w:p>
    <w:p w14:paraId="1488EA69" w14:textId="77777777" w:rsidR="000F7E49" w:rsidRDefault="000F7E49" w:rsidP="000F7E4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The U.S. Small Business Administration (SBA) is interested in deriving estimates of satisfaction and outcomes at the level of each cluster. Due to the relatively small size of each cluster’s small business and large organization participation levels, a census survey of each group will be conducted.</w:t>
      </w:r>
    </w:p>
    <w:p w14:paraId="63957C2F" w14:textId="77777777" w:rsidR="000F7E49" w:rsidRDefault="000F7E49" w:rsidP="000F7E4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A small business participant is defined as one that received services from its cluster in the past fiscal year and thus excludes “inactive” participants in the clusters. A large organization stakeholder in the cluster is defined by the administrator of the cluster but must have participated in some way in the cluster during the previous fiscal year.</w:t>
      </w:r>
    </w:p>
    <w:p w14:paraId="78CA0032" w14:textId="77777777" w:rsidR="000F7E49" w:rsidRDefault="000F7E49" w:rsidP="000F7E4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 xml:space="preserve">Exhibit </w:t>
      </w:r>
      <w:r w:rsidR="003C3270">
        <w:rPr>
          <w:rFonts w:asciiTheme="majorBidi" w:eastAsiaTheme="majorBidi" w:hAnsiTheme="majorBidi" w:cstheme="majorBidi"/>
          <w:bCs/>
          <w:szCs w:val="24"/>
        </w:rPr>
        <w:t>B</w:t>
      </w:r>
      <w:r>
        <w:rPr>
          <w:rFonts w:asciiTheme="majorBidi" w:eastAsiaTheme="majorBidi" w:hAnsiTheme="majorBidi" w:cstheme="majorBidi"/>
          <w:bCs/>
          <w:szCs w:val="24"/>
        </w:rPr>
        <w:t xml:space="preserve">1 details the expected small business and large organization survey population size and response rate for each site and overall. Exhibit </w:t>
      </w:r>
      <w:r w:rsidR="003C3270">
        <w:rPr>
          <w:rFonts w:asciiTheme="majorBidi" w:eastAsiaTheme="majorBidi" w:hAnsiTheme="majorBidi" w:cstheme="majorBidi"/>
          <w:bCs/>
          <w:szCs w:val="24"/>
        </w:rPr>
        <w:t>B</w:t>
      </w:r>
      <w:r>
        <w:rPr>
          <w:rFonts w:asciiTheme="majorBidi" w:eastAsiaTheme="majorBidi" w:hAnsiTheme="majorBidi" w:cstheme="majorBidi"/>
          <w:bCs/>
          <w:szCs w:val="24"/>
        </w:rPr>
        <w:t xml:space="preserve">1 uses participant data from previous instances of survey implementation for the first seven clusters (which were already involved in the initiative) and uses the average number of participants across the original seven clusters to extrapolate the participant counts of the </w:t>
      </w:r>
      <w:r w:rsidR="005146E4">
        <w:rPr>
          <w:rFonts w:asciiTheme="majorBidi" w:eastAsiaTheme="majorBidi" w:hAnsiTheme="majorBidi" w:cstheme="majorBidi"/>
          <w:bCs/>
          <w:szCs w:val="24"/>
        </w:rPr>
        <w:t>seven</w:t>
      </w:r>
      <w:r>
        <w:rPr>
          <w:rFonts w:asciiTheme="majorBidi" w:eastAsiaTheme="majorBidi" w:hAnsiTheme="majorBidi" w:cstheme="majorBidi"/>
          <w:bCs/>
          <w:szCs w:val="24"/>
        </w:rPr>
        <w:t xml:space="preserve"> clusters that are new to this initiative and will be surveyed for the first time under this request. The response rates used in </w:t>
      </w:r>
      <w:r w:rsidR="005F5697">
        <w:rPr>
          <w:rFonts w:asciiTheme="majorBidi" w:eastAsiaTheme="majorBidi" w:hAnsiTheme="majorBidi" w:cstheme="majorBidi"/>
          <w:bCs/>
          <w:szCs w:val="24"/>
        </w:rPr>
        <w:t xml:space="preserve">Exhibit </w:t>
      </w:r>
      <w:r w:rsidR="003C3270">
        <w:rPr>
          <w:rFonts w:asciiTheme="majorBidi" w:eastAsiaTheme="majorBidi" w:hAnsiTheme="majorBidi" w:cstheme="majorBidi"/>
          <w:bCs/>
          <w:szCs w:val="24"/>
        </w:rPr>
        <w:t>B</w:t>
      </w:r>
      <w:r>
        <w:rPr>
          <w:rFonts w:asciiTheme="majorBidi" w:eastAsiaTheme="majorBidi" w:hAnsiTheme="majorBidi" w:cstheme="majorBidi"/>
          <w:bCs/>
          <w:szCs w:val="24"/>
        </w:rPr>
        <w:t xml:space="preserve">1 have been derived in a similar fashion (known figures from previous year for the first seven clusters and extrapolation for the remaining </w:t>
      </w:r>
      <w:r w:rsidR="00306935">
        <w:rPr>
          <w:rFonts w:asciiTheme="majorBidi" w:eastAsiaTheme="majorBidi" w:hAnsiTheme="majorBidi" w:cstheme="majorBidi"/>
          <w:bCs/>
          <w:szCs w:val="24"/>
        </w:rPr>
        <w:t>seven)</w:t>
      </w:r>
      <w:r>
        <w:rPr>
          <w:rFonts w:asciiTheme="majorBidi" w:eastAsiaTheme="majorBidi" w:hAnsiTheme="majorBidi" w:cstheme="majorBidi"/>
          <w:bCs/>
          <w:szCs w:val="24"/>
        </w:rPr>
        <w:t xml:space="preserve"> and the estimated number of surveys completed is the product of each cluster’s estimated number of participants and estimated response rate.</w:t>
      </w:r>
    </w:p>
    <w:p w14:paraId="7876784B" w14:textId="77777777" w:rsidR="000F7E49" w:rsidRDefault="000F7E49" w:rsidP="000F7E49">
      <w:pPr>
        <w:spacing w:line="240" w:lineRule="auto"/>
        <w:rPr>
          <w:rFonts w:eastAsiaTheme="majorBidi" w:cs="Times New Roman"/>
          <w:b/>
          <w:bCs/>
          <w:szCs w:val="24"/>
        </w:rPr>
      </w:pPr>
    </w:p>
    <w:p w14:paraId="73F1D871" w14:textId="77777777" w:rsidR="000F7E49" w:rsidRDefault="000F7E49" w:rsidP="000F7E49">
      <w:pPr>
        <w:spacing w:line="240" w:lineRule="auto"/>
        <w:rPr>
          <w:rFonts w:eastAsiaTheme="majorBidi" w:cs="Times New Roman"/>
          <w:b/>
          <w:bCs/>
          <w:szCs w:val="24"/>
        </w:rPr>
      </w:pPr>
    </w:p>
    <w:p w14:paraId="2009695A" w14:textId="77777777" w:rsidR="000F7E49" w:rsidRDefault="000F7E49" w:rsidP="000F7E49">
      <w:pPr>
        <w:spacing w:line="240" w:lineRule="auto"/>
        <w:rPr>
          <w:rFonts w:eastAsiaTheme="majorBidi" w:cs="Times New Roman"/>
          <w:b/>
          <w:bCs/>
          <w:szCs w:val="24"/>
        </w:rPr>
      </w:pPr>
    </w:p>
    <w:p w14:paraId="241B76BE" w14:textId="77777777" w:rsidR="000F7E49" w:rsidRDefault="000F7E49" w:rsidP="000F7E49">
      <w:pPr>
        <w:spacing w:line="240" w:lineRule="auto"/>
        <w:rPr>
          <w:rFonts w:eastAsiaTheme="majorBidi" w:cs="Times New Roman"/>
          <w:b/>
          <w:bCs/>
          <w:szCs w:val="24"/>
        </w:rPr>
      </w:pPr>
    </w:p>
    <w:p w14:paraId="4CA710B8" w14:textId="77777777" w:rsidR="000F7E49" w:rsidRDefault="000F7E49" w:rsidP="000F7E49">
      <w:pPr>
        <w:spacing w:line="240" w:lineRule="auto"/>
        <w:rPr>
          <w:rFonts w:eastAsiaTheme="majorBidi" w:cs="Times New Roman"/>
          <w:b/>
          <w:bCs/>
          <w:szCs w:val="24"/>
        </w:rPr>
      </w:pPr>
    </w:p>
    <w:p w14:paraId="40393770" w14:textId="77777777" w:rsidR="000F7E49" w:rsidRDefault="000F7E49" w:rsidP="000F7E49">
      <w:pPr>
        <w:spacing w:line="240" w:lineRule="auto"/>
        <w:rPr>
          <w:rFonts w:eastAsiaTheme="majorBidi" w:cs="Times New Roman"/>
          <w:b/>
          <w:bCs/>
          <w:szCs w:val="24"/>
        </w:rPr>
      </w:pPr>
    </w:p>
    <w:p w14:paraId="6E10A04C" w14:textId="77777777" w:rsidR="00850CD5" w:rsidRDefault="00850CD5" w:rsidP="000F7E49">
      <w:pPr>
        <w:spacing w:line="240" w:lineRule="auto"/>
        <w:rPr>
          <w:rFonts w:eastAsiaTheme="majorBidi" w:cs="Times New Roman"/>
          <w:b/>
          <w:bCs/>
          <w:szCs w:val="24"/>
        </w:rPr>
      </w:pPr>
    </w:p>
    <w:p w14:paraId="0EE270EF" w14:textId="77777777" w:rsidR="00850CD5" w:rsidRDefault="00850CD5" w:rsidP="000F7E49">
      <w:pPr>
        <w:spacing w:line="240" w:lineRule="auto"/>
        <w:rPr>
          <w:rFonts w:eastAsiaTheme="majorBidi" w:cs="Times New Roman"/>
          <w:b/>
          <w:bCs/>
          <w:szCs w:val="24"/>
        </w:rPr>
      </w:pPr>
    </w:p>
    <w:p w14:paraId="201334E7" w14:textId="77777777" w:rsidR="000F7E49" w:rsidRDefault="000F7E49" w:rsidP="000F7E49">
      <w:pPr>
        <w:spacing w:line="240" w:lineRule="auto"/>
        <w:rPr>
          <w:rFonts w:eastAsiaTheme="majorBidi" w:cs="Times New Roman"/>
          <w:b/>
          <w:bCs/>
          <w:szCs w:val="24"/>
        </w:rPr>
      </w:pPr>
    </w:p>
    <w:p w14:paraId="1BE13E9D" w14:textId="77777777" w:rsidR="000F7E49" w:rsidRDefault="000F7E49" w:rsidP="000F7E49">
      <w:pPr>
        <w:spacing w:line="240" w:lineRule="auto"/>
        <w:rPr>
          <w:rFonts w:eastAsiaTheme="majorBidi" w:cs="Times New Roman"/>
          <w:b/>
          <w:bCs/>
          <w:szCs w:val="24"/>
        </w:rPr>
      </w:pPr>
    </w:p>
    <w:p w14:paraId="2B2BC575" w14:textId="77777777" w:rsidR="000F7E49" w:rsidRPr="00D26B89" w:rsidRDefault="000F7E49" w:rsidP="000F7E49">
      <w:pPr>
        <w:spacing w:line="240" w:lineRule="auto"/>
        <w:rPr>
          <w:rFonts w:eastAsiaTheme="majorBidi" w:cs="Times New Roman"/>
          <w:b/>
          <w:bCs/>
          <w:szCs w:val="24"/>
        </w:rPr>
      </w:pPr>
      <w:r w:rsidRPr="00D26B89">
        <w:rPr>
          <w:rFonts w:eastAsiaTheme="majorBidi" w:cs="Times New Roman"/>
          <w:b/>
          <w:bCs/>
          <w:szCs w:val="24"/>
        </w:rPr>
        <w:lastRenderedPageBreak/>
        <w:t xml:space="preserve">Exhibit </w:t>
      </w:r>
      <w:r w:rsidR="00432D32">
        <w:rPr>
          <w:rFonts w:eastAsiaTheme="majorBidi" w:cs="Times New Roman"/>
          <w:b/>
          <w:bCs/>
          <w:szCs w:val="24"/>
        </w:rPr>
        <w:t>B</w:t>
      </w:r>
      <w:r w:rsidRPr="00D26B89">
        <w:rPr>
          <w:rFonts w:eastAsiaTheme="majorBidi" w:cs="Times New Roman"/>
          <w:b/>
          <w:bCs/>
          <w:szCs w:val="24"/>
        </w:rPr>
        <w:t xml:space="preserve">1. Expected </w:t>
      </w:r>
      <w:r>
        <w:rPr>
          <w:rFonts w:eastAsiaTheme="majorBidi" w:cs="Times New Roman"/>
          <w:b/>
          <w:bCs/>
          <w:szCs w:val="24"/>
        </w:rPr>
        <w:t xml:space="preserve">small business and large organization </w:t>
      </w:r>
      <w:r w:rsidRPr="00D26B89">
        <w:rPr>
          <w:rFonts w:eastAsiaTheme="majorBidi" w:cs="Times New Roman"/>
          <w:b/>
          <w:bCs/>
          <w:szCs w:val="24"/>
        </w:rPr>
        <w:t>survey population size and response rate</w:t>
      </w:r>
      <w:r>
        <w:rPr>
          <w:rFonts w:eastAsiaTheme="majorBidi" w:cs="Times New Roman"/>
          <w:b/>
          <w:bCs/>
          <w:szCs w:val="24"/>
        </w:rPr>
        <w:t>,</w:t>
      </w:r>
      <w:r w:rsidRPr="00D26B89">
        <w:rPr>
          <w:rFonts w:eastAsiaTheme="majorBidi" w:cs="Times New Roman"/>
          <w:b/>
          <w:bCs/>
          <w:szCs w:val="24"/>
        </w:rPr>
        <w:t xml:space="preserve"> per site and overall</w:t>
      </w:r>
    </w:p>
    <w:tbl>
      <w:tblPr>
        <w:tblW w:w="0" w:type="auto"/>
        <w:tblInd w:w="93" w:type="dxa"/>
        <w:tblLook w:val="04A0" w:firstRow="1" w:lastRow="0" w:firstColumn="1" w:lastColumn="0" w:noHBand="0" w:noVBand="1"/>
      </w:tblPr>
      <w:tblGrid>
        <w:gridCol w:w="1086"/>
        <w:gridCol w:w="1384"/>
        <w:gridCol w:w="1219"/>
        <w:gridCol w:w="1289"/>
        <w:gridCol w:w="1445"/>
        <w:gridCol w:w="1495"/>
        <w:gridCol w:w="1565"/>
      </w:tblGrid>
      <w:tr w:rsidR="000F7E49" w:rsidRPr="000A78E2" w14:paraId="117B9D79" w14:textId="77777777" w:rsidTr="00A0393E">
        <w:trPr>
          <w:trHeight w:val="780"/>
          <w:tblHeader/>
        </w:trPr>
        <w:tc>
          <w:tcPr>
            <w:tcW w:w="0" w:type="auto"/>
            <w:tcBorders>
              <w:top w:val="single" w:sz="8" w:space="0" w:color="000000"/>
              <w:left w:val="single" w:sz="8" w:space="0" w:color="auto"/>
              <w:bottom w:val="single" w:sz="8" w:space="0" w:color="000000"/>
              <w:right w:val="single" w:sz="8" w:space="0" w:color="auto"/>
            </w:tcBorders>
            <w:shd w:val="clear" w:color="auto" w:fill="auto"/>
            <w:noWrap/>
            <w:vAlign w:val="center"/>
            <w:hideMark/>
          </w:tcPr>
          <w:p w14:paraId="4942EABA" w14:textId="77777777" w:rsidR="000F7E49" w:rsidRPr="000A78E2" w:rsidRDefault="000F7E49" w:rsidP="00A0393E">
            <w:pPr>
              <w:spacing w:after="0" w:line="240" w:lineRule="auto"/>
              <w:rPr>
                <w:rFonts w:eastAsia="Times New Roman" w:cs="Times New Roman"/>
                <w:b/>
                <w:bCs/>
                <w:color w:val="000000"/>
                <w:sz w:val="20"/>
                <w:szCs w:val="20"/>
              </w:rPr>
            </w:pPr>
            <w:r w:rsidRPr="000A78E2">
              <w:rPr>
                <w:rFonts w:eastAsia="Times New Roman" w:cs="Times New Roman"/>
                <w:b/>
                <w:bCs/>
                <w:color w:val="000000"/>
                <w:sz w:val="20"/>
                <w:szCs w:val="20"/>
              </w:rPr>
              <w:t>Cluster</w:t>
            </w:r>
          </w:p>
        </w:tc>
        <w:tc>
          <w:tcPr>
            <w:tcW w:w="0" w:type="auto"/>
            <w:tcBorders>
              <w:top w:val="single" w:sz="8" w:space="0" w:color="000000"/>
              <w:left w:val="nil"/>
              <w:bottom w:val="nil"/>
              <w:right w:val="nil"/>
            </w:tcBorders>
            <w:shd w:val="clear" w:color="auto" w:fill="auto"/>
            <w:vAlign w:val="center"/>
            <w:hideMark/>
          </w:tcPr>
          <w:p w14:paraId="2733B784"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small business participants</w:t>
            </w:r>
          </w:p>
        </w:tc>
        <w:tc>
          <w:tcPr>
            <w:tcW w:w="0" w:type="auto"/>
            <w:tcBorders>
              <w:top w:val="single" w:sz="8" w:space="0" w:color="000000"/>
              <w:left w:val="nil"/>
              <w:bottom w:val="nil"/>
              <w:right w:val="nil"/>
            </w:tcBorders>
            <w:shd w:val="clear" w:color="auto" w:fill="auto"/>
            <w:vAlign w:val="center"/>
            <w:hideMark/>
          </w:tcPr>
          <w:p w14:paraId="0614038C"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response rate for small businesses</w:t>
            </w:r>
          </w:p>
        </w:tc>
        <w:tc>
          <w:tcPr>
            <w:tcW w:w="0" w:type="auto"/>
            <w:tcBorders>
              <w:top w:val="single" w:sz="8" w:space="0" w:color="000000"/>
              <w:left w:val="nil"/>
              <w:bottom w:val="nil"/>
              <w:right w:val="single" w:sz="8" w:space="0" w:color="auto"/>
            </w:tcBorders>
            <w:shd w:val="clear" w:color="auto" w:fill="auto"/>
            <w:vAlign w:val="center"/>
            <w:hideMark/>
          </w:tcPr>
          <w:p w14:paraId="48D8B500"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surveys completed by small businesses</w:t>
            </w:r>
          </w:p>
        </w:tc>
        <w:tc>
          <w:tcPr>
            <w:tcW w:w="0" w:type="auto"/>
            <w:tcBorders>
              <w:top w:val="single" w:sz="8" w:space="0" w:color="000000"/>
              <w:left w:val="nil"/>
              <w:bottom w:val="nil"/>
              <w:right w:val="nil"/>
            </w:tcBorders>
            <w:shd w:val="clear" w:color="auto" w:fill="auto"/>
            <w:vAlign w:val="center"/>
            <w:hideMark/>
          </w:tcPr>
          <w:p w14:paraId="3CA4A21C"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large organization participants</w:t>
            </w:r>
          </w:p>
        </w:tc>
        <w:tc>
          <w:tcPr>
            <w:tcW w:w="0" w:type="auto"/>
            <w:tcBorders>
              <w:top w:val="single" w:sz="8" w:space="0" w:color="000000"/>
              <w:left w:val="nil"/>
              <w:bottom w:val="nil"/>
              <w:right w:val="nil"/>
            </w:tcBorders>
            <w:shd w:val="clear" w:color="auto" w:fill="auto"/>
            <w:vAlign w:val="center"/>
            <w:hideMark/>
          </w:tcPr>
          <w:p w14:paraId="12EBCF3C"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response rate for large organizations</w:t>
            </w:r>
          </w:p>
        </w:tc>
        <w:tc>
          <w:tcPr>
            <w:tcW w:w="0" w:type="auto"/>
            <w:tcBorders>
              <w:top w:val="single" w:sz="8" w:space="0" w:color="000000"/>
              <w:left w:val="nil"/>
              <w:bottom w:val="nil"/>
              <w:right w:val="single" w:sz="8" w:space="0" w:color="auto"/>
            </w:tcBorders>
            <w:shd w:val="clear" w:color="auto" w:fill="auto"/>
            <w:vAlign w:val="center"/>
            <w:hideMark/>
          </w:tcPr>
          <w:p w14:paraId="7B79FA13" w14:textId="77777777" w:rsidR="000F7E49" w:rsidRPr="000A78E2" w:rsidRDefault="000F7E49" w:rsidP="00A0393E">
            <w:pPr>
              <w:spacing w:after="0" w:line="240" w:lineRule="auto"/>
              <w:jc w:val="center"/>
              <w:rPr>
                <w:rFonts w:eastAsia="Times New Roman" w:cs="Times New Roman"/>
                <w:b/>
                <w:bCs/>
                <w:color w:val="000000"/>
                <w:sz w:val="20"/>
                <w:szCs w:val="20"/>
              </w:rPr>
            </w:pPr>
            <w:r w:rsidRPr="000A78E2">
              <w:rPr>
                <w:rFonts w:eastAsia="Times New Roman" w:cs="Times New Roman"/>
                <w:b/>
                <w:bCs/>
                <w:color w:val="000000"/>
                <w:sz w:val="20"/>
                <w:szCs w:val="20"/>
              </w:rPr>
              <w:t>Est. number of surveys completed by large organizations</w:t>
            </w:r>
          </w:p>
        </w:tc>
      </w:tr>
      <w:tr w:rsidR="000F7E49" w:rsidRPr="000A78E2" w14:paraId="6DDDE003" w14:textId="77777777" w:rsidTr="00A0393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14:paraId="4E54D418"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w:t>
            </w:r>
          </w:p>
        </w:tc>
        <w:tc>
          <w:tcPr>
            <w:tcW w:w="0" w:type="auto"/>
            <w:tcBorders>
              <w:top w:val="single" w:sz="8" w:space="0" w:color="auto"/>
              <w:left w:val="nil"/>
              <w:bottom w:val="nil"/>
              <w:right w:val="nil"/>
            </w:tcBorders>
            <w:shd w:val="clear" w:color="000000" w:fill="D9D9D9"/>
            <w:noWrap/>
            <w:vAlign w:val="center"/>
            <w:hideMark/>
          </w:tcPr>
          <w:p w14:paraId="27596BD8"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68</w:t>
            </w:r>
          </w:p>
        </w:tc>
        <w:tc>
          <w:tcPr>
            <w:tcW w:w="0" w:type="auto"/>
            <w:tcBorders>
              <w:top w:val="single" w:sz="8" w:space="0" w:color="auto"/>
              <w:left w:val="nil"/>
              <w:bottom w:val="nil"/>
              <w:right w:val="nil"/>
            </w:tcBorders>
            <w:shd w:val="clear" w:color="000000" w:fill="D9D9D9"/>
            <w:noWrap/>
            <w:vAlign w:val="center"/>
            <w:hideMark/>
          </w:tcPr>
          <w:p w14:paraId="2C8B101E"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40%</w:t>
            </w:r>
          </w:p>
        </w:tc>
        <w:tc>
          <w:tcPr>
            <w:tcW w:w="0" w:type="auto"/>
            <w:tcBorders>
              <w:top w:val="single" w:sz="8" w:space="0" w:color="auto"/>
              <w:left w:val="nil"/>
              <w:bottom w:val="nil"/>
              <w:right w:val="single" w:sz="8" w:space="0" w:color="auto"/>
            </w:tcBorders>
            <w:shd w:val="clear" w:color="000000" w:fill="D9D9D9"/>
            <w:noWrap/>
            <w:vAlign w:val="center"/>
            <w:hideMark/>
          </w:tcPr>
          <w:p w14:paraId="6DF60FC9"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27</w:t>
            </w:r>
          </w:p>
        </w:tc>
        <w:tc>
          <w:tcPr>
            <w:tcW w:w="0" w:type="auto"/>
            <w:tcBorders>
              <w:top w:val="single" w:sz="8" w:space="0" w:color="auto"/>
              <w:left w:val="nil"/>
              <w:bottom w:val="nil"/>
              <w:right w:val="nil"/>
            </w:tcBorders>
            <w:shd w:val="clear" w:color="000000" w:fill="D9D9D9"/>
            <w:noWrap/>
            <w:vAlign w:val="center"/>
            <w:hideMark/>
          </w:tcPr>
          <w:p w14:paraId="13C87767"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w:t>
            </w:r>
          </w:p>
        </w:tc>
        <w:tc>
          <w:tcPr>
            <w:tcW w:w="0" w:type="auto"/>
            <w:tcBorders>
              <w:top w:val="single" w:sz="8" w:space="0" w:color="auto"/>
              <w:left w:val="nil"/>
              <w:bottom w:val="nil"/>
              <w:right w:val="nil"/>
            </w:tcBorders>
            <w:shd w:val="clear" w:color="000000" w:fill="D9D9D9"/>
            <w:noWrap/>
            <w:vAlign w:val="center"/>
            <w:hideMark/>
          </w:tcPr>
          <w:p w14:paraId="0C9954C2"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38%</w:t>
            </w:r>
          </w:p>
        </w:tc>
        <w:tc>
          <w:tcPr>
            <w:tcW w:w="0" w:type="auto"/>
            <w:tcBorders>
              <w:top w:val="single" w:sz="8" w:space="0" w:color="auto"/>
              <w:left w:val="nil"/>
              <w:bottom w:val="nil"/>
              <w:right w:val="single" w:sz="8" w:space="0" w:color="auto"/>
            </w:tcBorders>
            <w:shd w:val="clear" w:color="000000" w:fill="D9D9D9"/>
            <w:noWrap/>
            <w:vAlign w:val="center"/>
            <w:hideMark/>
          </w:tcPr>
          <w:p w14:paraId="71553BA3"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p>
        </w:tc>
      </w:tr>
      <w:tr w:rsidR="000F7E49" w:rsidRPr="000A78E2" w14:paraId="6EB571FF" w14:textId="77777777" w:rsidTr="00A0393E">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73E7C068"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2</w:t>
            </w:r>
          </w:p>
        </w:tc>
        <w:tc>
          <w:tcPr>
            <w:tcW w:w="0" w:type="auto"/>
            <w:tcBorders>
              <w:top w:val="nil"/>
              <w:left w:val="nil"/>
              <w:bottom w:val="nil"/>
              <w:right w:val="nil"/>
            </w:tcBorders>
            <w:shd w:val="clear" w:color="auto" w:fill="auto"/>
            <w:noWrap/>
            <w:vAlign w:val="center"/>
            <w:hideMark/>
          </w:tcPr>
          <w:p w14:paraId="1CCD569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34</w:t>
            </w:r>
          </w:p>
        </w:tc>
        <w:tc>
          <w:tcPr>
            <w:tcW w:w="0" w:type="auto"/>
            <w:tcBorders>
              <w:top w:val="nil"/>
              <w:left w:val="nil"/>
              <w:bottom w:val="nil"/>
              <w:right w:val="nil"/>
            </w:tcBorders>
            <w:shd w:val="clear" w:color="auto" w:fill="auto"/>
            <w:noWrap/>
            <w:vAlign w:val="center"/>
            <w:hideMark/>
          </w:tcPr>
          <w:p w14:paraId="0C7F7543"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91%</w:t>
            </w:r>
          </w:p>
        </w:tc>
        <w:tc>
          <w:tcPr>
            <w:tcW w:w="0" w:type="auto"/>
            <w:tcBorders>
              <w:top w:val="nil"/>
              <w:left w:val="nil"/>
              <w:bottom w:val="nil"/>
              <w:right w:val="single" w:sz="8" w:space="0" w:color="auto"/>
            </w:tcBorders>
            <w:shd w:val="clear" w:color="auto" w:fill="auto"/>
            <w:noWrap/>
            <w:vAlign w:val="center"/>
            <w:hideMark/>
          </w:tcPr>
          <w:p w14:paraId="10C24ABB"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32</w:t>
            </w:r>
          </w:p>
        </w:tc>
        <w:tc>
          <w:tcPr>
            <w:tcW w:w="0" w:type="auto"/>
            <w:tcBorders>
              <w:top w:val="nil"/>
              <w:left w:val="nil"/>
              <w:bottom w:val="nil"/>
              <w:right w:val="nil"/>
            </w:tcBorders>
            <w:shd w:val="clear" w:color="auto" w:fill="auto"/>
            <w:noWrap/>
            <w:vAlign w:val="center"/>
            <w:hideMark/>
          </w:tcPr>
          <w:p w14:paraId="08B9B50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19</w:t>
            </w:r>
          </w:p>
        </w:tc>
        <w:tc>
          <w:tcPr>
            <w:tcW w:w="0" w:type="auto"/>
            <w:tcBorders>
              <w:top w:val="nil"/>
              <w:left w:val="nil"/>
              <w:bottom w:val="nil"/>
              <w:right w:val="nil"/>
            </w:tcBorders>
            <w:shd w:val="clear" w:color="auto" w:fill="auto"/>
            <w:noWrap/>
            <w:vAlign w:val="center"/>
            <w:hideMark/>
          </w:tcPr>
          <w:p w14:paraId="5762F09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90%</w:t>
            </w:r>
          </w:p>
        </w:tc>
        <w:tc>
          <w:tcPr>
            <w:tcW w:w="0" w:type="auto"/>
            <w:tcBorders>
              <w:top w:val="nil"/>
              <w:left w:val="nil"/>
              <w:bottom w:val="nil"/>
              <w:right w:val="single" w:sz="8" w:space="0" w:color="auto"/>
            </w:tcBorders>
            <w:shd w:val="clear" w:color="auto" w:fill="auto"/>
            <w:noWrap/>
            <w:vAlign w:val="center"/>
            <w:hideMark/>
          </w:tcPr>
          <w:p w14:paraId="09B48DED"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18</w:t>
            </w:r>
          </w:p>
        </w:tc>
      </w:tr>
      <w:tr w:rsidR="000F7E49" w:rsidRPr="000A78E2" w14:paraId="5F37672F" w14:textId="77777777" w:rsidTr="00A0393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14:paraId="41E3269E"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3</w:t>
            </w:r>
          </w:p>
        </w:tc>
        <w:tc>
          <w:tcPr>
            <w:tcW w:w="0" w:type="auto"/>
            <w:tcBorders>
              <w:top w:val="nil"/>
              <w:left w:val="nil"/>
              <w:bottom w:val="nil"/>
              <w:right w:val="nil"/>
            </w:tcBorders>
            <w:shd w:val="clear" w:color="000000" w:fill="D9D9D9"/>
            <w:noWrap/>
            <w:vAlign w:val="center"/>
            <w:hideMark/>
          </w:tcPr>
          <w:p w14:paraId="424D534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38</w:t>
            </w:r>
          </w:p>
        </w:tc>
        <w:tc>
          <w:tcPr>
            <w:tcW w:w="0" w:type="auto"/>
            <w:tcBorders>
              <w:top w:val="nil"/>
              <w:left w:val="nil"/>
              <w:bottom w:val="nil"/>
              <w:right w:val="nil"/>
            </w:tcBorders>
            <w:shd w:val="clear" w:color="000000" w:fill="D9D9D9"/>
            <w:noWrap/>
            <w:vAlign w:val="center"/>
            <w:hideMark/>
          </w:tcPr>
          <w:p w14:paraId="2B811A32"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55%</w:t>
            </w:r>
          </w:p>
        </w:tc>
        <w:tc>
          <w:tcPr>
            <w:tcW w:w="0" w:type="auto"/>
            <w:tcBorders>
              <w:top w:val="nil"/>
              <w:left w:val="nil"/>
              <w:bottom w:val="nil"/>
              <w:right w:val="single" w:sz="8" w:space="0" w:color="auto"/>
            </w:tcBorders>
            <w:shd w:val="clear" w:color="000000" w:fill="D9D9D9"/>
            <w:noWrap/>
            <w:vAlign w:val="center"/>
            <w:hideMark/>
          </w:tcPr>
          <w:p w14:paraId="12D6C19D"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14:paraId="53CE6885"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w:t>
            </w:r>
          </w:p>
        </w:tc>
        <w:tc>
          <w:tcPr>
            <w:tcW w:w="0" w:type="auto"/>
            <w:tcBorders>
              <w:top w:val="nil"/>
              <w:left w:val="nil"/>
              <w:bottom w:val="nil"/>
              <w:right w:val="nil"/>
            </w:tcBorders>
            <w:shd w:val="clear" w:color="000000" w:fill="D9D9D9"/>
            <w:noWrap/>
            <w:vAlign w:val="center"/>
            <w:hideMark/>
          </w:tcPr>
          <w:p w14:paraId="308C90E8"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33%</w:t>
            </w:r>
          </w:p>
        </w:tc>
        <w:tc>
          <w:tcPr>
            <w:tcW w:w="0" w:type="auto"/>
            <w:tcBorders>
              <w:top w:val="nil"/>
              <w:left w:val="nil"/>
              <w:bottom w:val="nil"/>
              <w:right w:val="single" w:sz="8" w:space="0" w:color="auto"/>
            </w:tcBorders>
            <w:shd w:val="clear" w:color="000000" w:fill="D9D9D9"/>
            <w:noWrap/>
            <w:vAlign w:val="center"/>
            <w:hideMark/>
          </w:tcPr>
          <w:p w14:paraId="1B9FDEE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p>
        </w:tc>
      </w:tr>
      <w:tr w:rsidR="000F7E49" w:rsidRPr="000A78E2" w14:paraId="592175D5" w14:textId="77777777" w:rsidTr="00A0393E">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6B7E6E68"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4</w:t>
            </w:r>
          </w:p>
        </w:tc>
        <w:tc>
          <w:tcPr>
            <w:tcW w:w="0" w:type="auto"/>
            <w:tcBorders>
              <w:top w:val="nil"/>
              <w:left w:val="nil"/>
              <w:bottom w:val="nil"/>
              <w:right w:val="nil"/>
            </w:tcBorders>
            <w:shd w:val="clear" w:color="auto" w:fill="auto"/>
            <w:noWrap/>
            <w:vAlign w:val="center"/>
            <w:hideMark/>
          </w:tcPr>
          <w:p w14:paraId="6C5E810B"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267</w:t>
            </w:r>
          </w:p>
        </w:tc>
        <w:tc>
          <w:tcPr>
            <w:tcW w:w="0" w:type="auto"/>
            <w:tcBorders>
              <w:top w:val="nil"/>
              <w:left w:val="nil"/>
              <w:bottom w:val="nil"/>
              <w:right w:val="nil"/>
            </w:tcBorders>
            <w:shd w:val="clear" w:color="auto" w:fill="auto"/>
            <w:noWrap/>
            <w:vAlign w:val="center"/>
            <w:hideMark/>
          </w:tcPr>
          <w:p w14:paraId="0089672E"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12%</w:t>
            </w:r>
          </w:p>
        </w:tc>
        <w:tc>
          <w:tcPr>
            <w:tcW w:w="0" w:type="auto"/>
            <w:tcBorders>
              <w:top w:val="nil"/>
              <w:left w:val="nil"/>
              <w:bottom w:val="nil"/>
              <w:right w:val="single" w:sz="8" w:space="0" w:color="auto"/>
            </w:tcBorders>
            <w:shd w:val="clear" w:color="auto" w:fill="auto"/>
            <w:noWrap/>
            <w:vAlign w:val="center"/>
            <w:hideMark/>
          </w:tcPr>
          <w:p w14:paraId="3247FDA5"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31</w:t>
            </w:r>
          </w:p>
        </w:tc>
        <w:tc>
          <w:tcPr>
            <w:tcW w:w="0" w:type="auto"/>
            <w:tcBorders>
              <w:top w:val="nil"/>
              <w:left w:val="nil"/>
              <w:bottom w:val="nil"/>
              <w:right w:val="nil"/>
            </w:tcBorders>
            <w:shd w:val="clear" w:color="auto" w:fill="auto"/>
            <w:noWrap/>
            <w:vAlign w:val="center"/>
            <w:hideMark/>
          </w:tcPr>
          <w:p w14:paraId="0EDA63A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152</w:t>
            </w:r>
          </w:p>
        </w:tc>
        <w:tc>
          <w:tcPr>
            <w:tcW w:w="0" w:type="auto"/>
            <w:tcBorders>
              <w:top w:val="nil"/>
              <w:left w:val="nil"/>
              <w:bottom w:val="nil"/>
              <w:right w:val="nil"/>
            </w:tcBorders>
            <w:shd w:val="clear" w:color="auto" w:fill="auto"/>
            <w:noWrap/>
            <w:vAlign w:val="center"/>
            <w:hideMark/>
          </w:tcPr>
          <w:p w14:paraId="6B2EED27"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9%</w:t>
            </w:r>
          </w:p>
        </w:tc>
        <w:tc>
          <w:tcPr>
            <w:tcW w:w="0" w:type="auto"/>
            <w:tcBorders>
              <w:top w:val="nil"/>
              <w:left w:val="nil"/>
              <w:bottom w:val="nil"/>
              <w:right w:val="single" w:sz="8" w:space="0" w:color="auto"/>
            </w:tcBorders>
            <w:shd w:val="clear" w:color="auto" w:fill="auto"/>
            <w:noWrap/>
            <w:vAlign w:val="center"/>
            <w:hideMark/>
          </w:tcPr>
          <w:p w14:paraId="024CD8A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14</w:t>
            </w:r>
          </w:p>
        </w:tc>
      </w:tr>
      <w:tr w:rsidR="000F7E49" w:rsidRPr="000A78E2" w14:paraId="4F976C24" w14:textId="77777777" w:rsidTr="00A0393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14:paraId="73B2586D"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5</w:t>
            </w:r>
          </w:p>
        </w:tc>
        <w:tc>
          <w:tcPr>
            <w:tcW w:w="0" w:type="auto"/>
            <w:tcBorders>
              <w:top w:val="nil"/>
              <w:left w:val="nil"/>
              <w:bottom w:val="nil"/>
              <w:right w:val="nil"/>
            </w:tcBorders>
            <w:shd w:val="clear" w:color="000000" w:fill="D9D9D9"/>
            <w:noWrap/>
            <w:vAlign w:val="center"/>
            <w:hideMark/>
          </w:tcPr>
          <w:p w14:paraId="1BF73B98"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34</w:t>
            </w:r>
          </w:p>
        </w:tc>
        <w:tc>
          <w:tcPr>
            <w:tcW w:w="0" w:type="auto"/>
            <w:tcBorders>
              <w:top w:val="nil"/>
              <w:left w:val="nil"/>
              <w:bottom w:val="nil"/>
              <w:right w:val="nil"/>
            </w:tcBorders>
            <w:shd w:val="clear" w:color="000000" w:fill="D9D9D9"/>
            <w:noWrap/>
            <w:vAlign w:val="center"/>
            <w:hideMark/>
          </w:tcPr>
          <w:p w14:paraId="76B60291"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62%</w:t>
            </w:r>
          </w:p>
        </w:tc>
        <w:tc>
          <w:tcPr>
            <w:tcW w:w="0" w:type="auto"/>
            <w:tcBorders>
              <w:top w:val="nil"/>
              <w:left w:val="nil"/>
              <w:bottom w:val="nil"/>
              <w:right w:val="single" w:sz="8" w:space="0" w:color="auto"/>
            </w:tcBorders>
            <w:shd w:val="clear" w:color="000000" w:fill="D9D9D9"/>
            <w:noWrap/>
            <w:vAlign w:val="center"/>
            <w:hideMark/>
          </w:tcPr>
          <w:p w14:paraId="3F8D786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14:paraId="3150C77C"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22</w:t>
            </w:r>
          </w:p>
        </w:tc>
        <w:tc>
          <w:tcPr>
            <w:tcW w:w="0" w:type="auto"/>
            <w:tcBorders>
              <w:top w:val="nil"/>
              <w:left w:val="nil"/>
              <w:bottom w:val="nil"/>
              <w:right w:val="nil"/>
            </w:tcBorders>
            <w:shd w:val="clear" w:color="000000" w:fill="D9D9D9"/>
            <w:noWrap/>
            <w:vAlign w:val="center"/>
            <w:hideMark/>
          </w:tcPr>
          <w:p w14:paraId="03019F24"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46%</w:t>
            </w:r>
          </w:p>
        </w:tc>
        <w:tc>
          <w:tcPr>
            <w:tcW w:w="0" w:type="auto"/>
            <w:tcBorders>
              <w:top w:val="nil"/>
              <w:left w:val="nil"/>
              <w:bottom w:val="nil"/>
              <w:right w:val="single" w:sz="8" w:space="0" w:color="auto"/>
            </w:tcBorders>
            <w:shd w:val="clear" w:color="000000" w:fill="D9D9D9"/>
            <w:noWrap/>
            <w:vAlign w:val="center"/>
            <w:hideMark/>
          </w:tcPr>
          <w:p w14:paraId="7042D94E"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0F7E49" w:rsidRPr="000A78E2" w14:paraId="4EE28C01" w14:textId="77777777" w:rsidTr="00A0393E">
        <w:trPr>
          <w:trHeight w:val="300"/>
        </w:trPr>
        <w:tc>
          <w:tcPr>
            <w:tcW w:w="0" w:type="auto"/>
            <w:tcBorders>
              <w:left w:val="single" w:sz="8" w:space="0" w:color="auto"/>
              <w:bottom w:val="nil"/>
              <w:right w:val="single" w:sz="8" w:space="0" w:color="auto"/>
            </w:tcBorders>
            <w:shd w:val="clear" w:color="auto" w:fill="auto"/>
            <w:noWrap/>
            <w:vAlign w:val="center"/>
            <w:hideMark/>
          </w:tcPr>
          <w:p w14:paraId="7F1C73B8"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6</w:t>
            </w:r>
          </w:p>
        </w:tc>
        <w:tc>
          <w:tcPr>
            <w:tcW w:w="0" w:type="auto"/>
            <w:tcBorders>
              <w:left w:val="nil"/>
              <w:bottom w:val="nil"/>
              <w:right w:val="nil"/>
            </w:tcBorders>
            <w:shd w:val="clear" w:color="auto" w:fill="auto"/>
            <w:noWrap/>
            <w:vAlign w:val="center"/>
            <w:hideMark/>
          </w:tcPr>
          <w:p w14:paraId="0190677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52</w:t>
            </w:r>
          </w:p>
        </w:tc>
        <w:tc>
          <w:tcPr>
            <w:tcW w:w="0" w:type="auto"/>
            <w:tcBorders>
              <w:left w:val="nil"/>
              <w:bottom w:val="nil"/>
              <w:right w:val="nil"/>
            </w:tcBorders>
            <w:shd w:val="clear" w:color="auto" w:fill="auto"/>
            <w:noWrap/>
            <w:vAlign w:val="center"/>
            <w:hideMark/>
          </w:tcPr>
          <w:p w14:paraId="1BDDD909"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69%</w:t>
            </w:r>
          </w:p>
        </w:tc>
        <w:tc>
          <w:tcPr>
            <w:tcW w:w="0" w:type="auto"/>
            <w:tcBorders>
              <w:left w:val="nil"/>
              <w:bottom w:val="nil"/>
              <w:right w:val="single" w:sz="8" w:space="0" w:color="auto"/>
            </w:tcBorders>
            <w:shd w:val="clear" w:color="auto" w:fill="auto"/>
            <w:noWrap/>
            <w:vAlign w:val="center"/>
            <w:hideMark/>
          </w:tcPr>
          <w:p w14:paraId="28DBE678"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36</w:t>
            </w:r>
          </w:p>
        </w:tc>
        <w:tc>
          <w:tcPr>
            <w:tcW w:w="0" w:type="auto"/>
            <w:tcBorders>
              <w:left w:val="nil"/>
              <w:bottom w:val="nil"/>
              <w:right w:val="nil"/>
            </w:tcBorders>
            <w:shd w:val="clear" w:color="auto" w:fill="auto"/>
            <w:noWrap/>
            <w:vAlign w:val="center"/>
            <w:hideMark/>
          </w:tcPr>
          <w:p w14:paraId="1725516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26</w:t>
            </w:r>
          </w:p>
        </w:tc>
        <w:tc>
          <w:tcPr>
            <w:tcW w:w="0" w:type="auto"/>
            <w:tcBorders>
              <w:left w:val="nil"/>
              <w:bottom w:val="nil"/>
              <w:right w:val="nil"/>
            </w:tcBorders>
            <w:shd w:val="clear" w:color="auto" w:fill="auto"/>
            <w:noWrap/>
            <w:vAlign w:val="center"/>
            <w:hideMark/>
          </w:tcPr>
          <w:p w14:paraId="0DB11A1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77%</w:t>
            </w:r>
          </w:p>
        </w:tc>
        <w:tc>
          <w:tcPr>
            <w:tcW w:w="0" w:type="auto"/>
            <w:tcBorders>
              <w:left w:val="nil"/>
              <w:bottom w:val="nil"/>
              <w:right w:val="single" w:sz="8" w:space="0" w:color="auto"/>
            </w:tcBorders>
            <w:shd w:val="clear" w:color="auto" w:fill="auto"/>
            <w:noWrap/>
            <w:vAlign w:val="center"/>
            <w:hideMark/>
          </w:tcPr>
          <w:p w14:paraId="5E431752"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20</w:t>
            </w:r>
          </w:p>
        </w:tc>
      </w:tr>
      <w:tr w:rsidR="000F7E49" w:rsidRPr="000A78E2" w14:paraId="3586517C" w14:textId="77777777" w:rsidTr="00A0393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14:paraId="6421D109"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7</w:t>
            </w:r>
          </w:p>
        </w:tc>
        <w:tc>
          <w:tcPr>
            <w:tcW w:w="0" w:type="auto"/>
            <w:tcBorders>
              <w:top w:val="single" w:sz="4" w:space="0" w:color="auto"/>
              <w:left w:val="nil"/>
              <w:bottom w:val="nil"/>
              <w:right w:val="nil"/>
            </w:tcBorders>
            <w:shd w:val="clear" w:color="000000" w:fill="D9D9D9"/>
            <w:noWrap/>
            <w:vAlign w:val="center"/>
            <w:hideMark/>
          </w:tcPr>
          <w:p w14:paraId="005D3BD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28</w:t>
            </w:r>
          </w:p>
        </w:tc>
        <w:tc>
          <w:tcPr>
            <w:tcW w:w="0" w:type="auto"/>
            <w:tcBorders>
              <w:top w:val="single" w:sz="4" w:space="0" w:color="auto"/>
              <w:left w:val="nil"/>
              <w:bottom w:val="nil"/>
              <w:right w:val="nil"/>
            </w:tcBorders>
            <w:shd w:val="clear" w:color="000000" w:fill="D9D9D9"/>
            <w:noWrap/>
            <w:vAlign w:val="center"/>
            <w:hideMark/>
          </w:tcPr>
          <w:p w14:paraId="13CD33F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82%</w:t>
            </w:r>
          </w:p>
        </w:tc>
        <w:tc>
          <w:tcPr>
            <w:tcW w:w="0" w:type="auto"/>
            <w:tcBorders>
              <w:top w:val="single" w:sz="4" w:space="0" w:color="auto"/>
              <w:left w:val="nil"/>
              <w:bottom w:val="nil"/>
              <w:right w:val="single" w:sz="8" w:space="0" w:color="auto"/>
            </w:tcBorders>
            <w:shd w:val="clear" w:color="000000" w:fill="D9D9D9"/>
            <w:noWrap/>
            <w:vAlign w:val="center"/>
            <w:hideMark/>
          </w:tcPr>
          <w:p w14:paraId="42507A68"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23</w:t>
            </w:r>
          </w:p>
        </w:tc>
        <w:tc>
          <w:tcPr>
            <w:tcW w:w="0" w:type="auto"/>
            <w:tcBorders>
              <w:top w:val="single" w:sz="4" w:space="0" w:color="auto"/>
              <w:left w:val="nil"/>
              <w:bottom w:val="nil"/>
              <w:right w:val="nil"/>
            </w:tcBorders>
            <w:shd w:val="clear" w:color="000000" w:fill="D9D9D9"/>
            <w:noWrap/>
            <w:vAlign w:val="center"/>
            <w:hideMark/>
          </w:tcPr>
          <w:p w14:paraId="2474B58A"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10</w:t>
            </w:r>
          </w:p>
        </w:tc>
        <w:tc>
          <w:tcPr>
            <w:tcW w:w="0" w:type="auto"/>
            <w:tcBorders>
              <w:top w:val="single" w:sz="4" w:space="0" w:color="auto"/>
              <w:left w:val="nil"/>
              <w:bottom w:val="nil"/>
              <w:right w:val="nil"/>
            </w:tcBorders>
            <w:shd w:val="clear" w:color="000000" w:fill="D9D9D9"/>
            <w:noWrap/>
            <w:vAlign w:val="center"/>
            <w:hideMark/>
          </w:tcPr>
          <w:p w14:paraId="2C653F4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80%</w:t>
            </w:r>
          </w:p>
        </w:tc>
        <w:tc>
          <w:tcPr>
            <w:tcW w:w="0" w:type="auto"/>
            <w:tcBorders>
              <w:top w:val="single" w:sz="4" w:space="0" w:color="auto"/>
              <w:left w:val="nil"/>
              <w:bottom w:val="nil"/>
              <w:right w:val="single" w:sz="8" w:space="0" w:color="auto"/>
            </w:tcBorders>
            <w:shd w:val="clear" w:color="000000" w:fill="D9D9D9"/>
            <w:noWrap/>
            <w:vAlign w:val="center"/>
            <w:hideMark/>
          </w:tcPr>
          <w:p w14:paraId="433A7AD0"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8</w:t>
            </w:r>
          </w:p>
        </w:tc>
      </w:tr>
      <w:tr w:rsidR="000F7E49" w:rsidRPr="000A78E2" w14:paraId="59373FFC" w14:textId="77777777" w:rsidTr="00A0393E">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7CF0C64E"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8</w:t>
            </w:r>
          </w:p>
        </w:tc>
        <w:tc>
          <w:tcPr>
            <w:tcW w:w="0" w:type="auto"/>
            <w:tcBorders>
              <w:top w:val="nil"/>
              <w:left w:val="nil"/>
              <w:bottom w:val="nil"/>
              <w:right w:val="nil"/>
            </w:tcBorders>
            <w:shd w:val="clear" w:color="auto" w:fill="auto"/>
            <w:noWrap/>
            <w:vAlign w:val="center"/>
            <w:hideMark/>
          </w:tcPr>
          <w:p w14:paraId="3BF48A62"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auto" w:fill="auto"/>
            <w:noWrap/>
            <w:vAlign w:val="center"/>
            <w:hideMark/>
          </w:tcPr>
          <w:p w14:paraId="2F6DA8B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14:paraId="1CEF6461"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auto" w:fill="auto"/>
            <w:noWrap/>
            <w:vAlign w:val="center"/>
            <w:hideMark/>
          </w:tcPr>
          <w:p w14:paraId="26EAB189"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auto" w:fill="auto"/>
            <w:noWrap/>
            <w:vAlign w:val="center"/>
            <w:hideMark/>
          </w:tcPr>
          <w:p w14:paraId="14A99583"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14:paraId="48D973AB" w14:textId="77777777" w:rsidR="000F7E49" w:rsidRPr="000A78E2" w:rsidRDefault="00DF023C" w:rsidP="00A0393E">
            <w:pPr>
              <w:spacing w:after="0" w:line="240" w:lineRule="auto"/>
              <w:jc w:val="center"/>
              <w:rPr>
                <w:rFonts w:eastAsia="Times New Roman" w:cs="Times New Roman"/>
                <w:color w:val="000000"/>
                <w:sz w:val="21"/>
                <w:szCs w:val="21"/>
              </w:rPr>
            </w:pPr>
            <w:r>
              <w:rPr>
                <w:rFonts w:eastAsia="Times New Roman" w:cs="Times New Roman"/>
                <w:color w:val="000000"/>
                <w:sz w:val="21"/>
                <w:szCs w:val="21"/>
              </w:rPr>
              <w:t>11</w:t>
            </w:r>
          </w:p>
        </w:tc>
      </w:tr>
      <w:tr w:rsidR="000F7E49" w:rsidRPr="000A78E2" w14:paraId="4B6883C3" w14:textId="77777777" w:rsidTr="00A0393E">
        <w:trPr>
          <w:trHeight w:val="300"/>
        </w:trPr>
        <w:tc>
          <w:tcPr>
            <w:tcW w:w="0" w:type="auto"/>
            <w:tcBorders>
              <w:top w:val="nil"/>
              <w:left w:val="single" w:sz="8" w:space="0" w:color="auto"/>
              <w:bottom w:val="nil"/>
              <w:right w:val="single" w:sz="8" w:space="0" w:color="auto"/>
            </w:tcBorders>
            <w:shd w:val="clear" w:color="000000" w:fill="D9D9D9"/>
            <w:noWrap/>
            <w:vAlign w:val="center"/>
            <w:hideMark/>
          </w:tcPr>
          <w:p w14:paraId="379E90B9"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9</w:t>
            </w:r>
          </w:p>
        </w:tc>
        <w:tc>
          <w:tcPr>
            <w:tcW w:w="0" w:type="auto"/>
            <w:tcBorders>
              <w:top w:val="nil"/>
              <w:left w:val="nil"/>
              <w:bottom w:val="nil"/>
              <w:right w:val="nil"/>
            </w:tcBorders>
            <w:shd w:val="clear" w:color="000000" w:fill="D9D9D9"/>
            <w:noWrap/>
            <w:vAlign w:val="center"/>
            <w:hideMark/>
          </w:tcPr>
          <w:p w14:paraId="5922CB71"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000000" w:fill="D9D9D9"/>
            <w:noWrap/>
            <w:vAlign w:val="center"/>
            <w:hideMark/>
          </w:tcPr>
          <w:p w14:paraId="26E39DC5"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000000" w:fill="D9D9D9"/>
            <w:noWrap/>
            <w:vAlign w:val="center"/>
            <w:hideMark/>
          </w:tcPr>
          <w:p w14:paraId="052861BE"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000000" w:fill="D9D9D9"/>
            <w:noWrap/>
            <w:vAlign w:val="center"/>
            <w:hideMark/>
          </w:tcPr>
          <w:p w14:paraId="793A5AF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000000" w:fill="D9D9D9"/>
            <w:noWrap/>
            <w:vAlign w:val="center"/>
            <w:hideMark/>
          </w:tcPr>
          <w:p w14:paraId="4EC07E43"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000000" w:fill="D9D9D9"/>
            <w:noWrap/>
            <w:vAlign w:val="center"/>
            <w:hideMark/>
          </w:tcPr>
          <w:p w14:paraId="49B8A39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0F7E49" w:rsidRPr="000A78E2" w14:paraId="6DB16FBB" w14:textId="77777777" w:rsidTr="00A0393E">
        <w:trPr>
          <w:trHeight w:val="300"/>
        </w:trPr>
        <w:tc>
          <w:tcPr>
            <w:tcW w:w="0" w:type="auto"/>
            <w:tcBorders>
              <w:top w:val="nil"/>
              <w:left w:val="single" w:sz="8" w:space="0" w:color="auto"/>
              <w:bottom w:val="nil"/>
              <w:right w:val="single" w:sz="8" w:space="0" w:color="auto"/>
            </w:tcBorders>
            <w:shd w:val="clear" w:color="auto" w:fill="auto"/>
            <w:noWrap/>
            <w:vAlign w:val="center"/>
            <w:hideMark/>
          </w:tcPr>
          <w:p w14:paraId="0393BA9E"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10</w:t>
            </w:r>
          </w:p>
        </w:tc>
        <w:tc>
          <w:tcPr>
            <w:tcW w:w="0" w:type="auto"/>
            <w:tcBorders>
              <w:top w:val="nil"/>
              <w:left w:val="nil"/>
              <w:bottom w:val="nil"/>
              <w:right w:val="nil"/>
            </w:tcBorders>
            <w:shd w:val="clear" w:color="auto" w:fill="auto"/>
            <w:noWrap/>
            <w:vAlign w:val="center"/>
            <w:hideMark/>
          </w:tcPr>
          <w:p w14:paraId="556AECA7"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nil"/>
              <w:right w:val="nil"/>
            </w:tcBorders>
            <w:shd w:val="clear" w:color="auto" w:fill="auto"/>
            <w:noWrap/>
            <w:vAlign w:val="center"/>
            <w:hideMark/>
          </w:tcPr>
          <w:p w14:paraId="0205B7C9"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14:paraId="306849D3"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nil"/>
              <w:right w:val="nil"/>
            </w:tcBorders>
            <w:shd w:val="clear" w:color="auto" w:fill="auto"/>
            <w:noWrap/>
            <w:vAlign w:val="center"/>
            <w:hideMark/>
          </w:tcPr>
          <w:p w14:paraId="2BE4F926"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nil"/>
              <w:right w:val="nil"/>
            </w:tcBorders>
            <w:shd w:val="clear" w:color="auto" w:fill="auto"/>
            <w:noWrap/>
            <w:vAlign w:val="center"/>
            <w:hideMark/>
          </w:tcPr>
          <w:p w14:paraId="0A36FAF4"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nil"/>
              <w:right w:val="single" w:sz="8" w:space="0" w:color="auto"/>
            </w:tcBorders>
            <w:shd w:val="clear" w:color="auto" w:fill="auto"/>
            <w:noWrap/>
            <w:vAlign w:val="center"/>
            <w:hideMark/>
          </w:tcPr>
          <w:p w14:paraId="7A461570"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0F7E49" w:rsidRPr="000A78E2" w14:paraId="3DF97E54" w14:textId="77777777" w:rsidTr="00A0393E">
        <w:trPr>
          <w:trHeight w:val="315"/>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14:paraId="4B18577D" w14:textId="77777777" w:rsidR="000F7E49" w:rsidRPr="000A78E2" w:rsidRDefault="000F7E49" w:rsidP="00A0393E">
            <w:pPr>
              <w:spacing w:after="0" w:line="240" w:lineRule="auto"/>
              <w:rPr>
                <w:rFonts w:eastAsia="Times New Roman" w:cs="Times New Roman"/>
                <w:color w:val="000000"/>
                <w:sz w:val="21"/>
                <w:szCs w:val="21"/>
              </w:rPr>
            </w:pPr>
            <w:r w:rsidRPr="000A78E2">
              <w:rPr>
                <w:rFonts w:eastAsia="Times New Roman" w:cs="Times New Roman"/>
                <w:color w:val="000000"/>
                <w:sz w:val="21"/>
                <w:szCs w:val="21"/>
              </w:rPr>
              <w:t>Cluster 11</w:t>
            </w:r>
          </w:p>
        </w:tc>
        <w:tc>
          <w:tcPr>
            <w:tcW w:w="0" w:type="auto"/>
            <w:tcBorders>
              <w:top w:val="nil"/>
              <w:left w:val="nil"/>
              <w:bottom w:val="single" w:sz="8" w:space="0" w:color="auto"/>
              <w:right w:val="nil"/>
            </w:tcBorders>
            <w:shd w:val="clear" w:color="000000" w:fill="D9D9D9"/>
            <w:noWrap/>
            <w:vAlign w:val="center"/>
            <w:hideMark/>
          </w:tcPr>
          <w:p w14:paraId="7FE1284E"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75</w:t>
            </w:r>
          </w:p>
        </w:tc>
        <w:tc>
          <w:tcPr>
            <w:tcW w:w="0" w:type="auto"/>
            <w:tcBorders>
              <w:top w:val="nil"/>
              <w:left w:val="nil"/>
              <w:bottom w:val="single" w:sz="8" w:space="0" w:color="auto"/>
              <w:right w:val="nil"/>
            </w:tcBorders>
            <w:shd w:val="clear" w:color="000000" w:fill="D9D9D9"/>
            <w:noWrap/>
            <w:vAlign w:val="center"/>
            <w:hideMark/>
          </w:tcPr>
          <w:p w14:paraId="7BD426A1"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hideMark/>
          </w:tcPr>
          <w:p w14:paraId="14DAD6B7"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single" w:sz="8" w:space="0" w:color="auto"/>
              <w:right w:val="nil"/>
            </w:tcBorders>
            <w:shd w:val="clear" w:color="000000" w:fill="D9D9D9"/>
            <w:noWrap/>
            <w:vAlign w:val="center"/>
            <w:hideMark/>
          </w:tcPr>
          <w:p w14:paraId="2A6BF76F"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single" w:sz="8" w:space="0" w:color="auto"/>
              <w:right w:val="nil"/>
            </w:tcBorders>
            <w:shd w:val="clear" w:color="000000" w:fill="D9D9D9"/>
            <w:noWrap/>
            <w:vAlign w:val="center"/>
            <w:hideMark/>
          </w:tcPr>
          <w:p w14:paraId="0B0025B5"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hideMark/>
          </w:tcPr>
          <w:p w14:paraId="1FB35611" w14:textId="77777777" w:rsidR="000F7E49" w:rsidRPr="000A78E2" w:rsidRDefault="000F7E49" w:rsidP="00A0393E">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31672D" w:rsidRPr="000A78E2" w14:paraId="2D4AC6A2" w14:textId="77777777" w:rsidTr="006B603F">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2770202D" w14:textId="77777777" w:rsidR="0031672D" w:rsidRPr="000A78E2" w:rsidRDefault="0031672D" w:rsidP="0031672D">
            <w:pPr>
              <w:spacing w:after="0" w:line="240" w:lineRule="auto"/>
              <w:rPr>
                <w:rFonts w:eastAsia="Times New Roman" w:cs="Times New Roman"/>
                <w:color w:val="000000"/>
                <w:sz w:val="21"/>
                <w:szCs w:val="21"/>
              </w:rPr>
            </w:pPr>
            <w:r>
              <w:rPr>
                <w:rFonts w:eastAsia="Times New Roman" w:cs="Times New Roman"/>
                <w:color w:val="000000"/>
                <w:sz w:val="21"/>
                <w:szCs w:val="21"/>
              </w:rPr>
              <w:t>Cluster 12</w:t>
            </w:r>
          </w:p>
        </w:tc>
        <w:tc>
          <w:tcPr>
            <w:tcW w:w="0" w:type="auto"/>
            <w:tcBorders>
              <w:top w:val="nil"/>
              <w:left w:val="nil"/>
              <w:bottom w:val="single" w:sz="8" w:space="0" w:color="auto"/>
              <w:right w:val="nil"/>
            </w:tcBorders>
            <w:shd w:val="clear" w:color="auto" w:fill="auto"/>
            <w:noWrap/>
            <w:vAlign w:val="center"/>
          </w:tcPr>
          <w:p w14:paraId="138F3904" w14:textId="77777777" w:rsidR="0031672D" w:rsidRPr="000A78E2" w:rsidRDefault="0031672D" w:rsidP="0031672D">
            <w:pPr>
              <w:spacing w:after="0" w:line="240" w:lineRule="auto"/>
              <w:jc w:val="center"/>
              <w:rPr>
                <w:rFonts w:eastAsia="Times New Roman" w:cs="Times New Roman"/>
                <w:color w:val="000000"/>
                <w:sz w:val="21"/>
                <w:szCs w:val="21"/>
              </w:rPr>
            </w:pPr>
            <w:r>
              <w:rPr>
                <w:rFonts w:eastAsia="Times New Roman" w:cs="Times New Roman"/>
                <w:color w:val="000000"/>
                <w:sz w:val="21"/>
                <w:szCs w:val="21"/>
              </w:rPr>
              <w:t>75</w:t>
            </w:r>
          </w:p>
        </w:tc>
        <w:tc>
          <w:tcPr>
            <w:tcW w:w="0" w:type="auto"/>
            <w:tcBorders>
              <w:top w:val="nil"/>
              <w:left w:val="nil"/>
              <w:bottom w:val="single" w:sz="8" w:space="0" w:color="auto"/>
              <w:right w:val="nil"/>
            </w:tcBorders>
            <w:shd w:val="clear" w:color="auto" w:fill="auto"/>
            <w:noWrap/>
            <w:vAlign w:val="center"/>
          </w:tcPr>
          <w:p w14:paraId="788AF9AF"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auto" w:fill="auto"/>
            <w:noWrap/>
            <w:vAlign w:val="center"/>
          </w:tcPr>
          <w:p w14:paraId="0699A75D"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single" w:sz="8" w:space="0" w:color="auto"/>
              <w:right w:val="nil"/>
            </w:tcBorders>
            <w:shd w:val="clear" w:color="auto" w:fill="auto"/>
            <w:noWrap/>
            <w:vAlign w:val="center"/>
          </w:tcPr>
          <w:p w14:paraId="4FB646C4"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single" w:sz="8" w:space="0" w:color="auto"/>
              <w:right w:val="nil"/>
            </w:tcBorders>
            <w:shd w:val="clear" w:color="auto" w:fill="auto"/>
            <w:noWrap/>
            <w:vAlign w:val="center"/>
          </w:tcPr>
          <w:p w14:paraId="1EC5BEF2"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auto" w:fill="auto"/>
            <w:noWrap/>
            <w:vAlign w:val="center"/>
          </w:tcPr>
          <w:p w14:paraId="233B196A"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31672D" w:rsidRPr="000A78E2" w14:paraId="0468FFAE" w14:textId="77777777" w:rsidTr="00A0393E">
        <w:trPr>
          <w:trHeight w:val="315"/>
        </w:trPr>
        <w:tc>
          <w:tcPr>
            <w:tcW w:w="0" w:type="auto"/>
            <w:tcBorders>
              <w:top w:val="nil"/>
              <w:left w:val="single" w:sz="8" w:space="0" w:color="auto"/>
              <w:bottom w:val="single" w:sz="8" w:space="0" w:color="auto"/>
              <w:right w:val="single" w:sz="8" w:space="0" w:color="auto"/>
            </w:tcBorders>
            <w:shd w:val="clear" w:color="000000" w:fill="D9D9D9"/>
            <w:noWrap/>
            <w:vAlign w:val="center"/>
          </w:tcPr>
          <w:p w14:paraId="28B30780" w14:textId="77777777" w:rsidR="0031672D" w:rsidRPr="000A78E2" w:rsidRDefault="0031672D" w:rsidP="0031672D">
            <w:pPr>
              <w:spacing w:after="0" w:line="240" w:lineRule="auto"/>
              <w:rPr>
                <w:rFonts w:eastAsia="Times New Roman" w:cs="Times New Roman"/>
                <w:color w:val="000000"/>
                <w:sz w:val="21"/>
                <w:szCs w:val="21"/>
              </w:rPr>
            </w:pPr>
            <w:r>
              <w:rPr>
                <w:rFonts w:eastAsia="Times New Roman" w:cs="Times New Roman"/>
                <w:color w:val="000000"/>
                <w:sz w:val="21"/>
                <w:szCs w:val="21"/>
              </w:rPr>
              <w:t>Cluster 13</w:t>
            </w:r>
          </w:p>
        </w:tc>
        <w:tc>
          <w:tcPr>
            <w:tcW w:w="0" w:type="auto"/>
            <w:tcBorders>
              <w:top w:val="nil"/>
              <w:left w:val="nil"/>
              <w:bottom w:val="single" w:sz="8" w:space="0" w:color="auto"/>
              <w:right w:val="nil"/>
            </w:tcBorders>
            <w:shd w:val="clear" w:color="000000" w:fill="D9D9D9"/>
            <w:noWrap/>
            <w:vAlign w:val="center"/>
          </w:tcPr>
          <w:p w14:paraId="77337A63" w14:textId="77777777" w:rsidR="0031672D" w:rsidRPr="000A78E2" w:rsidRDefault="0031672D" w:rsidP="0031672D">
            <w:pPr>
              <w:spacing w:after="0" w:line="240" w:lineRule="auto"/>
              <w:jc w:val="center"/>
              <w:rPr>
                <w:rFonts w:eastAsia="Times New Roman" w:cs="Times New Roman"/>
                <w:color w:val="000000"/>
                <w:sz w:val="21"/>
                <w:szCs w:val="21"/>
              </w:rPr>
            </w:pPr>
            <w:r>
              <w:rPr>
                <w:rFonts w:eastAsia="Times New Roman" w:cs="Times New Roman"/>
                <w:color w:val="000000"/>
                <w:sz w:val="21"/>
                <w:szCs w:val="21"/>
              </w:rPr>
              <w:t>75</w:t>
            </w:r>
          </w:p>
        </w:tc>
        <w:tc>
          <w:tcPr>
            <w:tcW w:w="0" w:type="auto"/>
            <w:tcBorders>
              <w:top w:val="nil"/>
              <w:left w:val="nil"/>
              <w:bottom w:val="single" w:sz="8" w:space="0" w:color="auto"/>
              <w:right w:val="nil"/>
            </w:tcBorders>
            <w:shd w:val="clear" w:color="000000" w:fill="D9D9D9"/>
            <w:noWrap/>
            <w:vAlign w:val="center"/>
          </w:tcPr>
          <w:p w14:paraId="0CEB0D59"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tcPr>
          <w:p w14:paraId="306BB9AB"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single" w:sz="8" w:space="0" w:color="auto"/>
              <w:right w:val="nil"/>
            </w:tcBorders>
            <w:shd w:val="clear" w:color="000000" w:fill="D9D9D9"/>
            <w:noWrap/>
            <w:vAlign w:val="center"/>
          </w:tcPr>
          <w:p w14:paraId="2FBEA0A6"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single" w:sz="8" w:space="0" w:color="auto"/>
              <w:right w:val="nil"/>
            </w:tcBorders>
            <w:shd w:val="clear" w:color="000000" w:fill="D9D9D9"/>
            <w:noWrap/>
            <w:vAlign w:val="center"/>
          </w:tcPr>
          <w:p w14:paraId="3F25DDBE"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000000" w:fill="D9D9D9"/>
            <w:noWrap/>
            <w:vAlign w:val="center"/>
          </w:tcPr>
          <w:p w14:paraId="2AB888E8"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31672D" w:rsidRPr="000A78E2" w14:paraId="6DA215D3" w14:textId="77777777" w:rsidTr="006B603F">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tcPr>
          <w:p w14:paraId="4B25700E" w14:textId="77777777" w:rsidR="0031672D" w:rsidRPr="000A78E2" w:rsidRDefault="0031672D" w:rsidP="0031672D">
            <w:pPr>
              <w:spacing w:after="0" w:line="240" w:lineRule="auto"/>
              <w:rPr>
                <w:rFonts w:eastAsia="Times New Roman" w:cs="Times New Roman"/>
                <w:color w:val="000000"/>
                <w:sz w:val="21"/>
                <w:szCs w:val="21"/>
              </w:rPr>
            </w:pPr>
            <w:r>
              <w:rPr>
                <w:rFonts w:eastAsia="Times New Roman" w:cs="Times New Roman"/>
                <w:color w:val="000000"/>
                <w:sz w:val="21"/>
                <w:szCs w:val="21"/>
              </w:rPr>
              <w:t>Cluster 14</w:t>
            </w:r>
          </w:p>
        </w:tc>
        <w:tc>
          <w:tcPr>
            <w:tcW w:w="0" w:type="auto"/>
            <w:tcBorders>
              <w:top w:val="nil"/>
              <w:left w:val="nil"/>
              <w:bottom w:val="single" w:sz="8" w:space="0" w:color="auto"/>
              <w:right w:val="nil"/>
            </w:tcBorders>
            <w:shd w:val="clear" w:color="auto" w:fill="auto"/>
            <w:noWrap/>
            <w:vAlign w:val="center"/>
          </w:tcPr>
          <w:p w14:paraId="7648AB9D" w14:textId="77777777" w:rsidR="0031672D" w:rsidRPr="000A78E2" w:rsidRDefault="0031672D" w:rsidP="0031672D">
            <w:pPr>
              <w:spacing w:after="0" w:line="240" w:lineRule="auto"/>
              <w:jc w:val="center"/>
              <w:rPr>
                <w:rFonts w:eastAsia="Times New Roman" w:cs="Times New Roman"/>
                <w:color w:val="000000"/>
                <w:sz w:val="21"/>
                <w:szCs w:val="21"/>
              </w:rPr>
            </w:pPr>
            <w:r>
              <w:rPr>
                <w:rFonts w:eastAsia="Times New Roman" w:cs="Times New Roman"/>
                <w:color w:val="000000"/>
                <w:sz w:val="21"/>
                <w:szCs w:val="21"/>
              </w:rPr>
              <w:t>75</w:t>
            </w:r>
          </w:p>
        </w:tc>
        <w:tc>
          <w:tcPr>
            <w:tcW w:w="0" w:type="auto"/>
            <w:tcBorders>
              <w:top w:val="nil"/>
              <w:left w:val="nil"/>
              <w:bottom w:val="single" w:sz="8" w:space="0" w:color="auto"/>
              <w:right w:val="nil"/>
            </w:tcBorders>
            <w:shd w:val="clear" w:color="auto" w:fill="auto"/>
            <w:noWrap/>
            <w:vAlign w:val="center"/>
          </w:tcPr>
          <w:p w14:paraId="5CECA0C4"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7</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auto" w:fill="auto"/>
            <w:noWrap/>
            <w:vAlign w:val="center"/>
          </w:tcPr>
          <w:p w14:paraId="7CE06D6B"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2</w:t>
            </w:r>
            <w:r>
              <w:rPr>
                <w:rFonts w:eastAsia="Times New Roman" w:cs="Times New Roman"/>
                <w:color w:val="000000"/>
                <w:sz w:val="21"/>
                <w:szCs w:val="21"/>
              </w:rPr>
              <w:t>8</w:t>
            </w:r>
          </w:p>
        </w:tc>
        <w:tc>
          <w:tcPr>
            <w:tcW w:w="0" w:type="auto"/>
            <w:tcBorders>
              <w:top w:val="nil"/>
              <w:left w:val="nil"/>
              <w:bottom w:val="single" w:sz="8" w:space="0" w:color="auto"/>
              <w:right w:val="nil"/>
            </w:tcBorders>
            <w:shd w:val="clear" w:color="auto" w:fill="auto"/>
            <w:noWrap/>
            <w:vAlign w:val="center"/>
          </w:tcPr>
          <w:p w14:paraId="48D2A97E"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35</w:t>
            </w:r>
          </w:p>
        </w:tc>
        <w:tc>
          <w:tcPr>
            <w:tcW w:w="0" w:type="auto"/>
            <w:tcBorders>
              <w:top w:val="nil"/>
              <w:left w:val="nil"/>
              <w:bottom w:val="single" w:sz="8" w:space="0" w:color="auto"/>
              <w:right w:val="nil"/>
            </w:tcBorders>
            <w:shd w:val="clear" w:color="auto" w:fill="auto"/>
            <w:noWrap/>
            <w:vAlign w:val="center"/>
          </w:tcPr>
          <w:p w14:paraId="54BD17EB"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3</w:t>
            </w:r>
            <w:r>
              <w:rPr>
                <w:rFonts w:eastAsia="Times New Roman" w:cs="Times New Roman"/>
                <w:color w:val="000000"/>
                <w:sz w:val="21"/>
                <w:szCs w:val="21"/>
              </w:rPr>
              <w:t>1</w:t>
            </w:r>
            <w:r w:rsidRPr="000A78E2">
              <w:rPr>
                <w:rFonts w:eastAsia="Times New Roman" w:cs="Times New Roman"/>
                <w:color w:val="000000"/>
                <w:sz w:val="21"/>
                <w:szCs w:val="21"/>
              </w:rPr>
              <w:t>%</w:t>
            </w:r>
          </w:p>
        </w:tc>
        <w:tc>
          <w:tcPr>
            <w:tcW w:w="0" w:type="auto"/>
            <w:tcBorders>
              <w:top w:val="nil"/>
              <w:left w:val="nil"/>
              <w:bottom w:val="single" w:sz="8" w:space="0" w:color="auto"/>
              <w:right w:val="single" w:sz="8" w:space="0" w:color="auto"/>
            </w:tcBorders>
            <w:shd w:val="clear" w:color="auto" w:fill="auto"/>
            <w:noWrap/>
            <w:vAlign w:val="center"/>
          </w:tcPr>
          <w:p w14:paraId="754B87B5" w14:textId="77777777" w:rsidR="0031672D" w:rsidRPr="000A78E2" w:rsidRDefault="0031672D" w:rsidP="0031672D">
            <w:pPr>
              <w:spacing w:after="0" w:line="240" w:lineRule="auto"/>
              <w:jc w:val="center"/>
              <w:rPr>
                <w:rFonts w:eastAsia="Times New Roman" w:cs="Times New Roman"/>
                <w:color w:val="000000"/>
                <w:sz w:val="21"/>
                <w:szCs w:val="21"/>
              </w:rPr>
            </w:pPr>
            <w:r w:rsidRPr="000A78E2">
              <w:rPr>
                <w:rFonts w:eastAsia="Times New Roman" w:cs="Times New Roman"/>
                <w:color w:val="000000"/>
                <w:sz w:val="21"/>
                <w:szCs w:val="21"/>
              </w:rPr>
              <w:t>11</w:t>
            </w:r>
          </w:p>
        </w:tc>
      </w:tr>
      <w:tr w:rsidR="0031672D" w:rsidRPr="000A78E2" w14:paraId="00E53483" w14:textId="77777777" w:rsidTr="00A0393E">
        <w:trPr>
          <w:trHeight w:val="315"/>
        </w:trPr>
        <w:tc>
          <w:tcPr>
            <w:tcW w:w="0" w:type="auto"/>
            <w:tcBorders>
              <w:top w:val="nil"/>
              <w:left w:val="single" w:sz="8" w:space="0" w:color="auto"/>
              <w:bottom w:val="single" w:sz="8" w:space="0" w:color="000000"/>
              <w:right w:val="single" w:sz="8" w:space="0" w:color="auto"/>
            </w:tcBorders>
            <w:shd w:val="clear" w:color="auto" w:fill="auto"/>
            <w:noWrap/>
            <w:vAlign w:val="center"/>
            <w:hideMark/>
          </w:tcPr>
          <w:p w14:paraId="7E2C2F38" w14:textId="77777777" w:rsidR="0031672D" w:rsidRPr="000A78E2" w:rsidRDefault="0031672D" w:rsidP="0031672D">
            <w:pPr>
              <w:spacing w:after="0" w:line="240" w:lineRule="auto"/>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Total</w:t>
            </w:r>
          </w:p>
        </w:tc>
        <w:tc>
          <w:tcPr>
            <w:tcW w:w="0" w:type="auto"/>
            <w:tcBorders>
              <w:top w:val="nil"/>
              <w:left w:val="nil"/>
              <w:bottom w:val="single" w:sz="8" w:space="0" w:color="auto"/>
              <w:right w:val="nil"/>
            </w:tcBorders>
            <w:shd w:val="clear" w:color="auto" w:fill="auto"/>
            <w:noWrap/>
            <w:vAlign w:val="center"/>
            <w:hideMark/>
          </w:tcPr>
          <w:p w14:paraId="001C6305" w14:textId="77777777" w:rsidR="0031672D" w:rsidRPr="000A78E2" w:rsidRDefault="00676ECE" w:rsidP="0031672D">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1046</w:t>
            </w:r>
          </w:p>
        </w:tc>
        <w:tc>
          <w:tcPr>
            <w:tcW w:w="0" w:type="auto"/>
            <w:tcBorders>
              <w:top w:val="nil"/>
              <w:left w:val="nil"/>
              <w:bottom w:val="single" w:sz="8" w:space="0" w:color="auto"/>
              <w:right w:val="nil"/>
            </w:tcBorders>
            <w:shd w:val="clear" w:color="auto" w:fill="auto"/>
            <w:noWrap/>
            <w:vAlign w:val="center"/>
            <w:hideMark/>
          </w:tcPr>
          <w:p w14:paraId="5C0F6B0A" w14:textId="77777777" w:rsidR="0031672D" w:rsidRPr="000A78E2" w:rsidRDefault="0031672D" w:rsidP="0031672D">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37</w:t>
            </w:r>
            <w:r w:rsidRPr="000A78E2">
              <w:rPr>
                <w:rFonts w:eastAsia="Times New Roman" w:cs="Times New Roman"/>
                <w:b/>
                <w:bCs/>
                <w:color w:val="000000"/>
                <w:sz w:val="21"/>
                <w:szCs w:val="21"/>
                <w:u w:val="single"/>
              </w:rPr>
              <w:t>%</w:t>
            </w:r>
          </w:p>
        </w:tc>
        <w:tc>
          <w:tcPr>
            <w:tcW w:w="0" w:type="auto"/>
            <w:tcBorders>
              <w:top w:val="nil"/>
              <w:left w:val="nil"/>
              <w:bottom w:val="single" w:sz="8" w:space="0" w:color="auto"/>
              <w:right w:val="single" w:sz="8" w:space="0" w:color="auto"/>
            </w:tcBorders>
            <w:shd w:val="clear" w:color="auto" w:fill="auto"/>
            <w:noWrap/>
            <w:vAlign w:val="center"/>
            <w:hideMark/>
          </w:tcPr>
          <w:p w14:paraId="568A4FA0" w14:textId="77777777" w:rsidR="0031672D" w:rsidRPr="000A78E2" w:rsidRDefault="009C709E" w:rsidP="0031672D">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389</w:t>
            </w:r>
          </w:p>
        </w:tc>
        <w:tc>
          <w:tcPr>
            <w:tcW w:w="0" w:type="auto"/>
            <w:tcBorders>
              <w:top w:val="nil"/>
              <w:left w:val="nil"/>
              <w:bottom w:val="single" w:sz="8" w:space="0" w:color="auto"/>
              <w:right w:val="nil"/>
            </w:tcBorders>
            <w:shd w:val="clear" w:color="auto" w:fill="auto"/>
            <w:noWrap/>
            <w:vAlign w:val="center"/>
            <w:hideMark/>
          </w:tcPr>
          <w:p w14:paraId="131D920E" w14:textId="77777777" w:rsidR="0031672D" w:rsidRPr="000A78E2" w:rsidRDefault="00676ECE" w:rsidP="0031672D">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491</w:t>
            </w:r>
          </w:p>
        </w:tc>
        <w:tc>
          <w:tcPr>
            <w:tcW w:w="0" w:type="auto"/>
            <w:tcBorders>
              <w:top w:val="nil"/>
              <w:left w:val="nil"/>
              <w:bottom w:val="single" w:sz="8" w:space="0" w:color="auto"/>
              <w:right w:val="nil"/>
            </w:tcBorders>
            <w:shd w:val="clear" w:color="auto" w:fill="auto"/>
            <w:noWrap/>
            <w:vAlign w:val="center"/>
            <w:hideMark/>
          </w:tcPr>
          <w:p w14:paraId="7078F042" w14:textId="77777777" w:rsidR="0031672D" w:rsidRPr="000A78E2" w:rsidRDefault="0031672D" w:rsidP="0031672D">
            <w:pPr>
              <w:spacing w:after="0" w:line="240" w:lineRule="auto"/>
              <w:jc w:val="center"/>
              <w:rPr>
                <w:rFonts w:eastAsia="Times New Roman" w:cs="Times New Roman"/>
                <w:b/>
                <w:bCs/>
                <w:color w:val="000000"/>
                <w:sz w:val="21"/>
                <w:szCs w:val="21"/>
                <w:u w:val="single"/>
              </w:rPr>
            </w:pPr>
            <w:r w:rsidRPr="000A78E2">
              <w:rPr>
                <w:rFonts w:eastAsia="Times New Roman" w:cs="Times New Roman"/>
                <w:b/>
                <w:bCs/>
                <w:color w:val="000000"/>
                <w:sz w:val="21"/>
                <w:szCs w:val="21"/>
                <w:u w:val="single"/>
              </w:rPr>
              <w:t>3</w:t>
            </w:r>
            <w:r>
              <w:rPr>
                <w:rFonts w:eastAsia="Times New Roman" w:cs="Times New Roman"/>
                <w:b/>
                <w:bCs/>
                <w:color w:val="000000"/>
                <w:sz w:val="21"/>
                <w:szCs w:val="21"/>
                <w:u w:val="single"/>
              </w:rPr>
              <w:t>1</w:t>
            </w:r>
            <w:r w:rsidRPr="000A78E2">
              <w:rPr>
                <w:rFonts w:eastAsia="Times New Roman" w:cs="Times New Roman"/>
                <w:b/>
                <w:bCs/>
                <w:color w:val="000000"/>
                <w:sz w:val="21"/>
                <w:szCs w:val="21"/>
                <w:u w:val="single"/>
              </w:rPr>
              <w:t>%</w:t>
            </w:r>
          </w:p>
        </w:tc>
        <w:tc>
          <w:tcPr>
            <w:tcW w:w="0" w:type="auto"/>
            <w:tcBorders>
              <w:top w:val="nil"/>
              <w:left w:val="nil"/>
              <w:bottom w:val="single" w:sz="8" w:space="0" w:color="auto"/>
              <w:right w:val="single" w:sz="8" w:space="0" w:color="auto"/>
            </w:tcBorders>
            <w:shd w:val="clear" w:color="auto" w:fill="auto"/>
            <w:noWrap/>
            <w:vAlign w:val="center"/>
            <w:hideMark/>
          </w:tcPr>
          <w:p w14:paraId="6AA617A0" w14:textId="77777777" w:rsidR="0031672D" w:rsidRPr="000A78E2" w:rsidRDefault="009C709E" w:rsidP="0031672D">
            <w:pPr>
              <w:spacing w:after="0" w:line="240" w:lineRule="auto"/>
              <w:jc w:val="center"/>
              <w:rPr>
                <w:rFonts w:eastAsia="Times New Roman" w:cs="Times New Roman"/>
                <w:b/>
                <w:bCs/>
                <w:color w:val="000000"/>
                <w:sz w:val="21"/>
                <w:szCs w:val="21"/>
                <w:u w:val="single"/>
              </w:rPr>
            </w:pPr>
            <w:r>
              <w:rPr>
                <w:rFonts w:eastAsia="Times New Roman" w:cs="Times New Roman"/>
                <w:b/>
                <w:bCs/>
                <w:color w:val="000000"/>
                <w:sz w:val="21"/>
                <w:szCs w:val="21"/>
                <w:u w:val="single"/>
              </w:rPr>
              <w:t>154</w:t>
            </w:r>
          </w:p>
        </w:tc>
      </w:tr>
    </w:tbl>
    <w:p w14:paraId="741C41D4" w14:textId="77777777" w:rsidR="000F7E49" w:rsidRDefault="000F7E49" w:rsidP="000F7E49">
      <w:pPr>
        <w:spacing w:after="120" w:line="240" w:lineRule="auto"/>
        <w:rPr>
          <w:rFonts w:asciiTheme="majorBidi" w:eastAsiaTheme="majorBidi" w:hAnsiTheme="majorBidi" w:cstheme="majorBidi"/>
          <w:bCs/>
          <w:szCs w:val="24"/>
        </w:rPr>
      </w:pPr>
    </w:p>
    <w:p w14:paraId="7B1663B7" w14:textId="77777777" w:rsidR="000F7E49" w:rsidRDefault="000F7E49" w:rsidP="000F7E49">
      <w:p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 xml:space="preserve">Exhibit </w:t>
      </w:r>
      <w:r w:rsidR="003C3270">
        <w:rPr>
          <w:rFonts w:asciiTheme="majorBidi" w:eastAsiaTheme="majorBidi" w:hAnsiTheme="majorBidi" w:cstheme="majorBidi"/>
          <w:bCs/>
          <w:szCs w:val="24"/>
        </w:rPr>
        <w:t>B</w:t>
      </w:r>
      <w:r>
        <w:rPr>
          <w:rFonts w:asciiTheme="majorBidi" w:eastAsiaTheme="majorBidi" w:hAnsiTheme="majorBidi" w:cstheme="majorBidi"/>
          <w:bCs/>
          <w:szCs w:val="24"/>
        </w:rPr>
        <w:t>1 does not discuss another source of data utilized in this evaluation: the cluster administrators. They are asked to provide data about services provided</w:t>
      </w:r>
      <w:r w:rsidRPr="009A3E60">
        <w:rPr>
          <w:rFonts w:asciiTheme="majorBidi" w:eastAsiaTheme="majorBidi" w:hAnsiTheme="majorBidi" w:cstheme="majorBidi"/>
          <w:bCs/>
          <w:szCs w:val="24"/>
        </w:rPr>
        <w:t xml:space="preserve"> </w:t>
      </w:r>
      <w:r>
        <w:rPr>
          <w:rFonts w:asciiTheme="majorBidi" w:eastAsiaTheme="majorBidi" w:hAnsiTheme="majorBidi" w:cstheme="majorBidi"/>
          <w:bCs/>
          <w:szCs w:val="24"/>
        </w:rPr>
        <w:t xml:space="preserve">via an annual survey, and are interviewed twice a year to obtain qualitative information about the evolution of their organization and operations, etc. Again, there is no sampling, and all eleven cluster administrators will be asked to participate. In past years, all of them have submitted a survey and participated in the two annual interviews, leading to a 100% response rate (see </w:t>
      </w:r>
      <w:r w:rsidR="003C3270">
        <w:rPr>
          <w:rFonts w:asciiTheme="majorBidi" w:eastAsiaTheme="majorBidi" w:hAnsiTheme="majorBidi" w:cstheme="majorBidi"/>
          <w:bCs/>
          <w:szCs w:val="24"/>
        </w:rPr>
        <w:t>Exhibit B</w:t>
      </w:r>
      <w:r>
        <w:rPr>
          <w:rFonts w:asciiTheme="majorBidi" w:eastAsiaTheme="majorBidi" w:hAnsiTheme="majorBidi" w:cstheme="majorBidi"/>
          <w:bCs/>
          <w:szCs w:val="24"/>
        </w:rPr>
        <w:t>2, below). This pattern is expected to hold moving forward.</w:t>
      </w:r>
    </w:p>
    <w:p w14:paraId="24FC590C" w14:textId="77777777" w:rsidR="000F7E49" w:rsidRPr="001C6EB6" w:rsidRDefault="000F7E49" w:rsidP="000F7E49">
      <w:pPr>
        <w:spacing w:line="240" w:lineRule="auto"/>
        <w:rPr>
          <w:rFonts w:eastAsiaTheme="majorBidi" w:cs="Times New Roman"/>
          <w:b/>
          <w:bCs/>
          <w:szCs w:val="24"/>
        </w:rPr>
      </w:pPr>
      <w:r w:rsidRPr="00D26B89">
        <w:rPr>
          <w:rFonts w:eastAsiaTheme="majorBidi" w:cs="Times New Roman"/>
          <w:b/>
          <w:bCs/>
          <w:szCs w:val="24"/>
        </w:rPr>
        <w:t xml:space="preserve">Exhibit </w:t>
      </w:r>
      <w:r w:rsidR="003C3270">
        <w:rPr>
          <w:rFonts w:eastAsiaTheme="majorBidi" w:cs="Times New Roman"/>
          <w:b/>
          <w:bCs/>
          <w:szCs w:val="24"/>
        </w:rPr>
        <w:t>B</w:t>
      </w:r>
      <w:r>
        <w:rPr>
          <w:rFonts w:eastAsiaTheme="majorBidi" w:cs="Times New Roman"/>
          <w:b/>
          <w:bCs/>
          <w:szCs w:val="24"/>
        </w:rPr>
        <w:t>2</w:t>
      </w:r>
      <w:r w:rsidRPr="00D26B89">
        <w:rPr>
          <w:rFonts w:eastAsiaTheme="majorBidi" w:cs="Times New Roman"/>
          <w:b/>
          <w:bCs/>
          <w:szCs w:val="24"/>
        </w:rPr>
        <w:t xml:space="preserve">. Expected </w:t>
      </w:r>
      <w:r>
        <w:rPr>
          <w:rFonts w:eastAsiaTheme="majorBidi" w:cs="Times New Roman"/>
          <w:b/>
          <w:bCs/>
          <w:szCs w:val="24"/>
        </w:rPr>
        <w:t xml:space="preserve">cluster administrators </w:t>
      </w:r>
      <w:r w:rsidRPr="00D26B89">
        <w:rPr>
          <w:rFonts w:eastAsiaTheme="majorBidi" w:cs="Times New Roman"/>
          <w:b/>
          <w:bCs/>
          <w:szCs w:val="24"/>
        </w:rPr>
        <w:t>survey population size and response rate</w:t>
      </w:r>
      <w:r>
        <w:rPr>
          <w:rFonts w:eastAsiaTheme="majorBidi" w:cs="Times New Roman"/>
          <w:b/>
          <w:bCs/>
          <w:szCs w:val="24"/>
        </w:rPr>
        <w:t>,</w:t>
      </w:r>
      <w:r w:rsidRPr="00D26B89">
        <w:rPr>
          <w:rFonts w:eastAsiaTheme="majorBidi" w:cs="Times New Roman"/>
          <w:b/>
          <w:bCs/>
          <w:szCs w:val="24"/>
        </w:rPr>
        <w:t xml:space="preserve"> per </w:t>
      </w:r>
      <w:r>
        <w:rPr>
          <w:rFonts w:eastAsiaTheme="majorBidi" w:cs="Times New Roman"/>
          <w:b/>
          <w:bCs/>
          <w:szCs w:val="24"/>
        </w:rPr>
        <w:t>data collection instrument</w:t>
      </w:r>
    </w:p>
    <w:tbl>
      <w:tblPr>
        <w:tblStyle w:val="LightShading"/>
        <w:tblW w:w="9465" w:type="dxa"/>
        <w:tblInd w:w="93" w:type="dxa"/>
        <w:tblLook w:val="04A0" w:firstRow="1" w:lastRow="0" w:firstColumn="1" w:lastColumn="0" w:noHBand="0" w:noVBand="1"/>
      </w:tblPr>
      <w:tblGrid>
        <w:gridCol w:w="3500"/>
        <w:gridCol w:w="2275"/>
        <w:gridCol w:w="2340"/>
        <w:gridCol w:w="1350"/>
      </w:tblGrid>
      <w:tr w:rsidR="000F7E49" w:rsidRPr="001C6EB6" w14:paraId="02127CAD" w14:textId="77777777" w:rsidTr="00A0393E">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3500" w:type="dxa"/>
            <w:hideMark/>
          </w:tcPr>
          <w:p w14:paraId="7FF0D4AF" w14:textId="77777777" w:rsidR="000F7E49" w:rsidRPr="001C6EB6" w:rsidRDefault="000F7E49" w:rsidP="00A0393E">
            <w:pPr>
              <w:rPr>
                <w:color w:val="000000"/>
                <w:sz w:val="21"/>
                <w:szCs w:val="21"/>
              </w:rPr>
            </w:pPr>
            <w:r w:rsidRPr="001C6EB6">
              <w:rPr>
                <w:color w:val="000000"/>
                <w:sz w:val="21"/>
                <w:szCs w:val="21"/>
              </w:rPr>
              <w:t>Data collection instrument</w:t>
            </w:r>
          </w:p>
        </w:tc>
        <w:tc>
          <w:tcPr>
            <w:tcW w:w="2275" w:type="dxa"/>
            <w:hideMark/>
          </w:tcPr>
          <w:p w14:paraId="551C27AC" w14:textId="77777777" w:rsidR="000F7E49" w:rsidRPr="001C6EB6" w:rsidRDefault="000F7E49" w:rsidP="00A0393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Total number of cluster administrators</w:t>
            </w:r>
          </w:p>
        </w:tc>
        <w:tc>
          <w:tcPr>
            <w:tcW w:w="2340" w:type="dxa"/>
            <w:hideMark/>
          </w:tcPr>
          <w:p w14:paraId="342AD31E" w14:textId="77777777" w:rsidR="000F7E49" w:rsidRPr="001C6EB6" w:rsidRDefault="000F7E49" w:rsidP="00A0393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Est. response rate for cluster administrators</w:t>
            </w:r>
          </w:p>
        </w:tc>
        <w:tc>
          <w:tcPr>
            <w:tcW w:w="1350" w:type="dxa"/>
            <w:hideMark/>
          </w:tcPr>
          <w:p w14:paraId="69F1F35F" w14:textId="77777777" w:rsidR="000F7E49" w:rsidRPr="001C6EB6" w:rsidRDefault="000F7E49" w:rsidP="00A0393E">
            <w:pPr>
              <w:jc w:val="center"/>
              <w:cnfStyle w:val="100000000000" w:firstRow="1"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Est. number of responses</w:t>
            </w:r>
          </w:p>
        </w:tc>
      </w:tr>
      <w:tr w:rsidR="000F7E49" w:rsidRPr="001C6EB6" w14:paraId="07839486" w14:textId="77777777" w:rsidTr="00A03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0" w:type="dxa"/>
            <w:noWrap/>
            <w:hideMark/>
          </w:tcPr>
          <w:p w14:paraId="1A45A150" w14:textId="77777777" w:rsidR="000F7E49" w:rsidRPr="001C6EB6" w:rsidRDefault="000F7E49" w:rsidP="00A0393E">
            <w:pPr>
              <w:rPr>
                <w:color w:val="000000"/>
                <w:sz w:val="21"/>
                <w:szCs w:val="21"/>
              </w:rPr>
            </w:pPr>
            <w:r w:rsidRPr="001C6EB6">
              <w:rPr>
                <w:color w:val="000000"/>
                <w:sz w:val="21"/>
                <w:szCs w:val="21"/>
              </w:rPr>
              <w:t>Cluster Administrator Survey</w:t>
            </w:r>
          </w:p>
        </w:tc>
        <w:tc>
          <w:tcPr>
            <w:tcW w:w="2275" w:type="dxa"/>
            <w:noWrap/>
            <w:vAlign w:val="center"/>
            <w:hideMark/>
          </w:tcPr>
          <w:p w14:paraId="7C4A30D6"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c>
          <w:tcPr>
            <w:tcW w:w="2340" w:type="dxa"/>
            <w:noWrap/>
            <w:vAlign w:val="center"/>
            <w:hideMark/>
          </w:tcPr>
          <w:p w14:paraId="45406A1E"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14:paraId="5333DBC9"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r>
      <w:tr w:rsidR="000F7E49" w:rsidRPr="001C6EB6" w14:paraId="68F076DD" w14:textId="77777777" w:rsidTr="00A0393E">
        <w:trPr>
          <w:trHeight w:val="300"/>
        </w:trPr>
        <w:tc>
          <w:tcPr>
            <w:cnfStyle w:val="001000000000" w:firstRow="0" w:lastRow="0" w:firstColumn="1" w:lastColumn="0" w:oddVBand="0" w:evenVBand="0" w:oddHBand="0" w:evenHBand="0" w:firstRowFirstColumn="0" w:firstRowLastColumn="0" w:lastRowFirstColumn="0" w:lastRowLastColumn="0"/>
            <w:tcW w:w="3500" w:type="dxa"/>
            <w:noWrap/>
            <w:hideMark/>
          </w:tcPr>
          <w:p w14:paraId="5DE59EBC" w14:textId="77777777" w:rsidR="000F7E49" w:rsidRPr="001C6EB6" w:rsidRDefault="000F7E49" w:rsidP="00A0393E">
            <w:pPr>
              <w:rPr>
                <w:color w:val="000000"/>
                <w:sz w:val="21"/>
                <w:szCs w:val="21"/>
              </w:rPr>
            </w:pPr>
            <w:r w:rsidRPr="001C6EB6">
              <w:rPr>
                <w:color w:val="000000"/>
                <w:sz w:val="21"/>
                <w:szCs w:val="21"/>
              </w:rPr>
              <w:t>Mid-term cluster administrator calls</w:t>
            </w:r>
          </w:p>
        </w:tc>
        <w:tc>
          <w:tcPr>
            <w:tcW w:w="2275" w:type="dxa"/>
            <w:noWrap/>
            <w:vAlign w:val="center"/>
            <w:hideMark/>
          </w:tcPr>
          <w:p w14:paraId="4D078C21" w14:textId="77777777" w:rsidR="000F7E49" w:rsidRPr="001C6EB6" w:rsidRDefault="000F7E49" w:rsidP="00A0393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c>
          <w:tcPr>
            <w:tcW w:w="2340" w:type="dxa"/>
            <w:noWrap/>
            <w:vAlign w:val="center"/>
            <w:hideMark/>
          </w:tcPr>
          <w:p w14:paraId="3597B52A" w14:textId="77777777" w:rsidR="000F7E49" w:rsidRPr="001C6EB6" w:rsidRDefault="000F7E49" w:rsidP="00A0393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14:paraId="180DEAAC" w14:textId="77777777" w:rsidR="000F7E49" w:rsidRPr="001C6EB6" w:rsidRDefault="000F7E49" w:rsidP="00A0393E">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r>
      <w:tr w:rsidR="000F7E49" w:rsidRPr="001C6EB6" w14:paraId="09580401" w14:textId="77777777" w:rsidTr="00A03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00" w:type="dxa"/>
            <w:noWrap/>
            <w:hideMark/>
          </w:tcPr>
          <w:p w14:paraId="6C0CE6D5" w14:textId="77777777" w:rsidR="000F7E49" w:rsidRPr="001C6EB6" w:rsidRDefault="000F7E49" w:rsidP="00A0393E">
            <w:pPr>
              <w:rPr>
                <w:color w:val="000000"/>
                <w:sz w:val="21"/>
                <w:szCs w:val="21"/>
              </w:rPr>
            </w:pPr>
            <w:r w:rsidRPr="001C6EB6">
              <w:rPr>
                <w:color w:val="000000"/>
                <w:sz w:val="21"/>
                <w:szCs w:val="21"/>
              </w:rPr>
              <w:t>Annual cluster administrator calls</w:t>
            </w:r>
          </w:p>
        </w:tc>
        <w:tc>
          <w:tcPr>
            <w:tcW w:w="2275" w:type="dxa"/>
            <w:noWrap/>
            <w:vAlign w:val="center"/>
            <w:hideMark/>
          </w:tcPr>
          <w:p w14:paraId="46005E75"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c>
          <w:tcPr>
            <w:tcW w:w="2340" w:type="dxa"/>
            <w:noWrap/>
            <w:vAlign w:val="center"/>
            <w:hideMark/>
          </w:tcPr>
          <w:p w14:paraId="173489B2"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100%</w:t>
            </w:r>
          </w:p>
        </w:tc>
        <w:tc>
          <w:tcPr>
            <w:tcW w:w="1350" w:type="dxa"/>
            <w:noWrap/>
            <w:vAlign w:val="center"/>
            <w:hideMark/>
          </w:tcPr>
          <w:p w14:paraId="55932750" w14:textId="77777777" w:rsidR="000F7E49" w:rsidRPr="001C6EB6" w:rsidRDefault="000F7E49" w:rsidP="00A0393E">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1C6EB6">
              <w:rPr>
                <w:color w:val="000000"/>
                <w:sz w:val="21"/>
                <w:szCs w:val="21"/>
              </w:rPr>
              <w:t>1</w:t>
            </w:r>
            <w:r w:rsidR="00A3778B">
              <w:rPr>
                <w:color w:val="000000"/>
                <w:sz w:val="21"/>
                <w:szCs w:val="21"/>
              </w:rPr>
              <w:t>4</w:t>
            </w:r>
          </w:p>
        </w:tc>
      </w:tr>
    </w:tbl>
    <w:p w14:paraId="109E48F9" w14:textId="77777777" w:rsidR="000F7E49" w:rsidRPr="000211C2" w:rsidRDefault="000F7E49" w:rsidP="000F7E49">
      <w:pPr>
        <w:spacing w:line="240" w:lineRule="auto"/>
        <w:rPr>
          <w:rFonts w:asciiTheme="majorBidi" w:eastAsiaTheme="majorBidi" w:hAnsiTheme="majorBidi" w:cstheme="majorBidi"/>
          <w:bCs/>
          <w:szCs w:val="24"/>
        </w:rPr>
      </w:pPr>
    </w:p>
    <w:p w14:paraId="23622B30" w14:textId="77777777" w:rsidR="000F7E49" w:rsidRPr="00922184" w:rsidRDefault="000F7E49" w:rsidP="000F7E49">
      <w:pPr>
        <w:pStyle w:val="Heading2"/>
        <w:rPr>
          <w:rFonts w:asciiTheme="majorBidi" w:hAnsiTheme="majorBidi" w:cstheme="majorBidi"/>
          <w:u w:val="single"/>
        </w:rPr>
      </w:pPr>
      <w:bookmarkStart w:id="5" w:name="_Toc440449646"/>
      <w:bookmarkStart w:id="6" w:name="_Toc7520595"/>
      <w:r w:rsidRPr="00922184">
        <w:rPr>
          <w:rFonts w:asciiTheme="majorBidi" w:eastAsiaTheme="majorBidi" w:hAnsiTheme="majorBidi" w:cstheme="majorBidi"/>
          <w:u w:val="single"/>
        </w:rPr>
        <w:t>Describe the Procedures for the Collection of Information</w:t>
      </w:r>
      <w:r>
        <w:rPr>
          <w:rFonts w:asciiTheme="majorBidi" w:eastAsiaTheme="majorBidi" w:hAnsiTheme="majorBidi" w:cstheme="majorBidi"/>
          <w:u w:val="single"/>
        </w:rPr>
        <w:t xml:space="preserve"> including:</w:t>
      </w:r>
      <w:bookmarkEnd w:id="5"/>
      <w:bookmarkEnd w:id="6"/>
      <w:r w:rsidRPr="00922184">
        <w:rPr>
          <w:rFonts w:asciiTheme="majorBidi" w:eastAsiaTheme="majorBidi" w:hAnsiTheme="majorBidi" w:cstheme="majorBidi"/>
          <w:u w:val="single"/>
        </w:rPr>
        <w:t xml:space="preserve"> </w:t>
      </w:r>
    </w:p>
    <w:p w14:paraId="081F82CB" w14:textId="77777777" w:rsidR="000F7E49" w:rsidRPr="000A49EE" w:rsidRDefault="000F7E49" w:rsidP="000F7E49">
      <w:pPr>
        <w:spacing w:line="240" w:lineRule="auto"/>
        <w:rPr>
          <w:rFonts w:asciiTheme="majorBidi" w:hAnsiTheme="majorBidi" w:cstheme="majorBidi"/>
          <w:b/>
          <w:bCs/>
          <w:szCs w:val="24"/>
        </w:rPr>
      </w:pPr>
      <w:r w:rsidRPr="00630508">
        <w:rPr>
          <w:rFonts w:asciiTheme="majorBidi" w:hAnsiTheme="majorBidi" w:cstheme="majorBidi"/>
          <w:b/>
          <w:bCs/>
          <w:szCs w:val="24"/>
        </w:rPr>
        <w:t>Statistical methodology for stratification and sample selection</w:t>
      </w:r>
      <w:r>
        <w:rPr>
          <w:rFonts w:asciiTheme="majorBidi" w:hAnsiTheme="majorBidi" w:cstheme="majorBidi"/>
          <w:b/>
          <w:bCs/>
          <w:szCs w:val="24"/>
        </w:rPr>
        <w:t>;</w:t>
      </w:r>
      <w:r w:rsidRPr="00630508">
        <w:rPr>
          <w:rFonts w:asciiTheme="majorBidi" w:hAnsiTheme="majorBidi" w:cstheme="majorBidi"/>
          <w:b/>
          <w:bCs/>
          <w:szCs w:val="24"/>
        </w:rPr>
        <w:t xml:space="preserve"> estimation procedure</w:t>
      </w:r>
      <w:r>
        <w:rPr>
          <w:rFonts w:asciiTheme="majorBidi" w:hAnsiTheme="majorBidi" w:cstheme="majorBidi"/>
          <w:b/>
          <w:bCs/>
          <w:szCs w:val="24"/>
        </w:rPr>
        <w:t>;</w:t>
      </w:r>
      <w:r w:rsidRPr="00630508">
        <w:rPr>
          <w:rFonts w:asciiTheme="majorBidi" w:hAnsiTheme="majorBidi" w:cstheme="majorBidi"/>
          <w:b/>
          <w:bCs/>
          <w:szCs w:val="24"/>
        </w:rPr>
        <w:t xml:space="preserve"> degree of accuracy needed for the purpose described in the justification</w:t>
      </w:r>
      <w:r>
        <w:rPr>
          <w:rFonts w:asciiTheme="majorBidi" w:hAnsiTheme="majorBidi" w:cstheme="majorBidi"/>
          <w:b/>
          <w:bCs/>
          <w:szCs w:val="24"/>
        </w:rPr>
        <w:t>;</w:t>
      </w:r>
      <w:r w:rsidRPr="00630508">
        <w:rPr>
          <w:rFonts w:asciiTheme="majorBidi" w:hAnsiTheme="majorBidi" w:cstheme="majorBidi"/>
          <w:b/>
          <w:bCs/>
          <w:szCs w:val="24"/>
        </w:rPr>
        <w:t xml:space="preserve"> unusual problems </w:t>
      </w:r>
      <w:r w:rsidRPr="00630508">
        <w:rPr>
          <w:rFonts w:asciiTheme="majorBidi" w:hAnsiTheme="majorBidi" w:cstheme="majorBidi"/>
          <w:b/>
          <w:bCs/>
          <w:szCs w:val="24"/>
        </w:rPr>
        <w:lastRenderedPageBreak/>
        <w:t>requiring specialized sampling procedures</w:t>
      </w:r>
      <w:r>
        <w:rPr>
          <w:rFonts w:asciiTheme="majorBidi" w:hAnsiTheme="majorBidi" w:cstheme="majorBidi"/>
          <w:b/>
          <w:bCs/>
          <w:szCs w:val="24"/>
        </w:rPr>
        <w:t>;</w:t>
      </w:r>
      <w:r w:rsidRPr="00630508">
        <w:rPr>
          <w:rFonts w:asciiTheme="majorBidi" w:hAnsiTheme="majorBidi" w:cstheme="majorBidi"/>
          <w:b/>
          <w:bCs/>
          <w:szCs w:val="24"/>
        </w:rPr>
        <w:t>, and any use of periodic (less frequent than annual) data</w:t>
      </w:r>
      <w:r>
        <w:rPr>
          <w:rFonts w:asciiTheme="majorBidi" w:hAnsiTheme="majorBidi" w:cstheme="majorBidi"/>
          <w:b/>
          <w:bCs/>
          <w:szCs w:val="24"/>
        </w:rPr>
        <w:t>-</w:t>
      </w:r>
      <w:r w:rsidRPr="00630508">
        <w:rPr>
          <w:rFonts w:asciiTheme="majorBidi" w:hAnsiTheme="majorBidi" w:cstheme="majorBidi"/>
          <w:b/>
          <w:bCs/>
          <w:szCs w:val="24"/>
        </w:rPr>
        <w:t>collection cycles to reduce burden.</w:t>
      </w:r>
    </w:p>
    <w:p w14:paraId="3BE95B9F" w14:textId="77777777" w:rsidR="00850CD5" w:rsidRDefault="00850CD5" w:rsidP="00850CD5">
      <w:pPr>
        <w:spacing w:after="0" w:line="240" w:lineRule="auto"/>
      </w:pPr>
      <w:r>
        <w:rPr>
          <w:rFonts w:eastAsia="Times New Roman" w:cs="Times New Roman"/>
          <w:szCs w:val="24"/>
        </w:rPr>
        <w:t xml:space="preserve">As noted in question 1, no sampling strategy is used in this data collection. Data will be collected from all </w:t>
      </w:r>
      <w:r w:rsidRPr="00D26B89">
        <w:t>Regional Innovation Cluster</w:t>
      </w:r>
      <w:r>
        <w:rPr>
          <w:rFonts w:eastAsia="Times New Roman" w:cs="Times New Roman"/>
          <w:szCs w:val="24"/>
        </w:rPr>
        <w:t xml:space="preserve"> (RIC) Initiative participants. </w:t>
      </w:r>
      <w:r>
        <w:t xml:space="preserve">The estimates are intended to be generalizable to the </w:t>
      </w:r>
      <w:r w:rsidR="00CC122F">
        <w:t xml:space="preserve">14 </w:t>
      </w:r>
      <w:r>
        <w:t xml:space="preserve">RIC sites, which were selected to fulfill predefined SBA contract criteria but will not necessarily be representative of other regions of the United States or other locations in which the initiative may be deployed in the future. If the response rate falls below the 80 percent threshold included in the Office of Management and Budget (OMB) guidance, nonresponse bias analysis will be conducted and reported using business information collected in the Cluster Administrator Survey, which serves as the survey frame. </w:t>
      </w:r>
    </w:p>
    <w:p w14:paraId="026CAD3F" w14:textId="77777777" w:rsidR="00850CD5" w:rsidRDefault="00850CD5" w:rsidP="00850CD5">
      <w:pPr>
        <w:spacing w:after="0" w:line="240" w:lineRule="auto"/>
      </w:pPr>
    </w:p>
    <w:p w14:paraId="1E3EEC22" w14:textId="77777777" w:rsidR="00850CD5" w:rsidRDefault="00850CD5" w:rsidP="00850CD5">
      <w:pPr>
        <w:spacing w:after="0" w:line="240" w:lineRule="auto"/>
      </w:pPr>
      <w:r>
        <w:t xml:space="preserve">One objective of the study is to provide statistically valid estimates of the incremental change in key business outcomes of participants, including revenue and employment growth, as compared to the benchmark sample. To measure these differences, inferential statistics, such as the Student-T test, are used to compare the average difference between the two groups. The study will </w:t>
      </w:r>
      <w:r>
        <w:rPr>
          <w:rFonts w:cs="Times New Roman"/>
          <w:szCs w:val="24"/>
        </w:rPr>
        <w:t>use a standard threshold of a 5 percent significance level to reject the null hypothesis of no difference.</w:t>
      </w:r>
      <w:r>
        <w:t xml:space="preserve"> The benchmarking data come from the following sources:</w:t>
      </w:r>
    </w:p>
    <w:p w14:paraId="6EF58834" w14:textId="77777777" w:rsidR="00850CD5" w:rsidRDefault="00850CD5" w:rsidP="00850CD5">
      <w:pPr>
        <w:pStyle w:val="ListParagraph"/>
        <w:numPr>
          <w:ilvl w:val="0"/>
          <w:numId w:val="42"/>
        </w:numPr>
        <w:spacing w:after="0" w:line="240" w:lineRule="auto"/>
      </w:pPr>
      <w:r>
        <w:t xml:space="preserve">The Quarterly Census of Employment and Wages (from the Bureau of Labor Statistics), which provides data on the number of employees </w:t>
      </w:r>
    </w:p>
    <w:p w14:paraId="5C77180B" w14:textId="77777777" w:rsidR="00850CD5" w:rsidRDefault="00850CD5" w:rsidP="00850CD5">
      <w:pPr>
        <w:pStyle w:val="ListParagraph"/>
        <w:numPr>
          <w:ilvl w:val="0"/>
          <w:numId w:val="42"/>
        </w:numPr>
        <w:spacing w:after="0" w:line="240" w:lineRule="auto"/>
      </w:pPr>
      <w:r>
        <w:t>The Dun and Bradstreet (D&amp;B) Business Database, which provides data on both revenue and number of employees</w:t>
      </w:r>
    </w:p>
    <w:p w14:paraId="5FE2403A" w14:textId="77777777" w:rsidR="00850CD5" w:rsidRDefault="00850CD5" w:rsidP="00850CD5">
      <w:pPr>
        <w:spacing w:after="0" w:line="240" w:lineRule="auto"/>
      </w:pPr>
    </w:p>
    <w:p w14:paraId="05C6CFEF" w14:textId="77777777" w:rsidR="00850CD5" w:rsidRDefault="00850CD5" w:rsidP="00850CD5">
      <w:pPr>
        <w:spacing w:after="0" w:line="240" w:lineRule="auto"/>
        <w:rPr>
          <w:rFonts w:cs="Times New Roman"/>
          <w:szCs w:val="24"/>
        </w:rPr>
      </w:pPr>
      <w:r>
        <w:t>These data sources vary with respect to the frequency with which they are updated, the time periods covered, types of respondents, geographic and industrial granularity, and units of observation. However, the maximum amount of data and the closest match in time period will be used for the dataset.</w:t>
      </w:r>
      <w:r>
        <w:rPr>
          <w:rFonts w:cs="Times New Roman"/>
          <w:szCs w:val="24"/>
        </w:rPr>
        <w:t xml:space="preserve"> </w:t>
      </w:r>
    </w:p>
    <w:p w14:paraId="3723B5A7" w14:textId="77777777" w:rsidR="00850CD5" w:rsidRDefault="00850CD5" w:rsidP="00850CD5">
      <w:pPr>
        <w:spacing w:after="0" w:line="240" w:lineRule="auto"/>
        <w:rPr>
          <w:rFonts w:cs="Times New Roman"/>
          <w:szCs w:val="24"/>
        </w:rPr>
      </w:pPr>
    </w:p>
    <w:p w14:paraId="6FFC997D" w14:textId="77777777" w:rsidR="00850CD5" w:rsidRPr="001D3B91" w:rsidRDefault="00850CD5" w:rsidP="00850CD5">
      <w:pPr>
        <w:spacing w:after="0" w:line="240" w:lineRule="auto"/>
      </w:pPr>
      <w:r w:rsidRPr="00D13B5C">
        <w:rPr>
          <w:rFonts w:cs="Times New Roman"/>
          <w:szCs w:val="24"/>
        </w:rPr>
        <w:t>The analysis does not allow for causal claims regarding the relationship between the outcome estimates and the services provided through the Initiative</w:t>
      </w:r>
      <w:r w:rsidR="00CE04E7" w:rsidRPr="00D13B5C">
        <w:rPr>
          <w:rFonts w:cs="Times New Roman"/>
          <w:szCs w:val="24"/>
        </w:rPr>
        <w:t>.</w:t>
      </w:r>
    </w:p>
    <w:p w14:paraId="489937BC" w14:textId="77777777" w:rsidR="000F7E49" w:rsidRPr="002A7D11" w:rsidRDefault="000F7E49" w:rsidP="000F7E49">
      <w:pPr>
        <w:spacing w:after="0" w:line="240" w:lineRule="auto"/>
        <w:rPr>
          <w:rFonts w:eastAsia="Times New Roman" w:cs="Times New Roman"/>
          <w:szCs w:val="24"/>
        </w:rPr>
      </w:pPr>
    </w:p>
    <w:p w14:paraId="38FC13B8" w14:textId="77777777" w:rsidR="000F7E49" w:rsidRPr="00294958" w:rsidRDefault="000F7E49" w:rsidP="000F7E49">
      <w:pPr>
        <w:pStyle w:val="Heading2"/>
        <w:rPr>
          <w:rFonts w:asciiTheme="majorBidi" w:eastAsiaTheme="minorHAnsi" w:hAnsiTheme="majorBidi" w:cstheme="majorBidi"/>
          <w:bCs/>
        </w:rPr>
      </w:pPr>
      <w:bookmarkStart w:id="7" w:name="_Toc440449647"/>
      <w:bookmarkStart w:id="8" w:name="_Toc7520596"/>
      <w:r w:rsidRPr="00294958">
        <w:rPr>
          <w:rFonts w:eastAsiaTheme="majorBidi"/>
        </w:rPr>
        <w:t>Describe Methods to Maximize Response Rates and Methods to Deal with Issues of Nonresponse</w:t>
      </w:r>
      <w:r>
        <w:rPr>
          <w:rFonts w:eastAsiaTheme="majorBidi"/>
        </w:rPr>
        <w:t xml:space="preserve">.   </w:t>
      </w:r>
      <w:r w:rsidRPr="00294958">
        <w:rPr>
          <w:rFonts w:eastAsiaTheme="majorBidi"/>
        </w:rPr>
        <w:t>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bookmarkEnd w:id="7"/>
      <w:bookmarkEnd w:id="8"/>
    </w:p>
    <w:p w14:paraId="398D4D51" w14:textId="77777777" w:rsidR="000F7E49" w:rsidRDefault="000F7E49" w:rsidP="000F7E49">
      <w:pPr>
        <w:spacing w:line="240" w:lineRule="auto"/>
      </w:pPr>
    </w:p>
    <w:p w14:paraId="7CDBDD3C" w14:textId="77777777" w:rsidR="000F7E49" w:rsidRDefault="000F7E49" w:rsidP="000F7E49">
      <w:pPr>
        <w:spacing w:line="240" w:lineRule="auto"/>
      </w:pPr>
      <w:r w:rsidRPr="00EA7577">
        <w:t>To maximize the survey response rate and minimize respondent burden, the following data</w:t>
      </w:r>
      <w:r>
        <w:t>-</w:t>
      </w:r>
      <w:r w:rsidRPr="00EA7577">
        <w:t>collection techniques will be used</w:t>
      </w:r>
      <w:r>
        <w:t>:</w:t>
      </w:r>
    </w:p>
    <w:p w14:paraId="19C34B93" w14:textId="77777777" w:rsidR="000F7E49" w:rsidRDefault="000F7E49" w:rsidP="000F7E49">
      <w:pPr>
        <w:pStyle w:val="ListParagraph"/>
        <w:numPr>
          <w:ilvl w:val="0"/>
          <w:numId w:val="43"/>
        </w:numPr>
        <w:spacing w:line="240" w:lineRule="auto"/>
      </w:pPr>
      <w:r w:rsidRPr="00D26B89">
        <w:t xml:space="preserve">Surveys will be introduced to the </w:t>
      </w:r>
      <w:r>
        <w:t>cluster</w:t>
      </w:r>
      <w:r w:rsidRPr="00D26B89">
        <w:t xml:space="preserve"> participant</w:t>
      </w:r>
      <w:r>
        <w:t>s</w:t>
      </w:r>
      <w:r w:rsidRPr="00D26B89">
        <w:t xml:space="preserve"> via an official introduction e-mail from </w:t>
      </w:r>
      <w:r>
        <w:t>their respective cluster</w:t>
      </w:r>
      <w:r w:rsidRPr="00D26B89">
        <w:t xml:space="preserve"> admin</w:t>
      </w:r>
      <w:r w:rsidRPr="00EA7577">
        <w:t>istrator</w:t>
      </w:r>
      <w:r>
        <w:t>s</w:t>
      </w:r>
      <w:r w:rsidRPr="00D26B89">
        <w:t xml:space="preserve">. This will help legitimize the survey and highlight its importance. The introduction outlines potential benefits to the business community resulting from the evaluation. After the introduction letters, </w:t>
      </w:r>
      <w:r w:rsidR="00A445D0">
        <w:t>The Contractor</w:t>
      </w:r>
      <w:r w:rsidRPr="00D26B89">
        <w:t xml:space="preserve"> will send an e-mail to cluster participants with the direct survey link embedded.</w:t>
      </w:r>
    </w:p>
    <w:p w14:paraId="7436F4C8" w14:textId="77777777" w:rsidR="000F7E49" w:rsidRDefault="003C3270" w:rsidP="000F7E49">
      <w:pPr>
        <w:pStyle w:val="ListParagraph"/>
        <w:numPr>
          <w:ilvl w:val="0"/>
          <w:numId w:val="43"/>
        </w:numPr>
        <w:spacing w:line="240" w:lineRule="auto"/>
      </w:pPr>
      <w:r>
        <w:t>The</w:t>
      </w:r>
      <w:r w:rsidR="00304F1F">
        <w:t xml:space="preserve"> contractor</w:t>
      </w:r>
      <w:r w:rsidR="000F7E49" w:rsidRPr="00103D75">
        <w:t xml:space="preserve"> will also send up to </w:t>
      </w:r>
      <w:r w:rsidR="000F7E49">
        <w:t>four</w:t>
      </w:r>
      <w:r w:rsidR="000F7E49" w:rsidRPr="00103D75">
        <w:t xml:space="preserve"> reminder e-mails</w:t>
      </w:r>
      <w:r w:rsidR="000F7E49">
        <w:t xml:space="preserve"> over a period of approximately one month to</w:t>
      </w:r>
      <w:r w:rsidR="000F7E49" w:rsidRPr="00103D75">
        <w:t xml:space="preserve"> encourag</w:t>
      </w:r>
      <w:r w:rsidR="000F7E49">
        <w:t>e</w:t>
      </w:r>
      <w:r w:rsidR="000F7E49" w:rsidRPr="00103D75">
        <w:t xml:space="preserve"> potential survey respondents to complete the survey before the deadline. The reminders will be sent at different times of the day to increase the probability of reaching respondents at an opportune time.</w:t>
      </w:r>
    </w:p>
    <w:p w14:paraId="7B598733" w14:textId="77777777" w:rsidR="000F7E49" w:rsidRDefault="00A445D0" w:rsidP="000F7E49">
      <w:pPr>
        <w:pStyle w:val="ListParagraph"/>
        <w:numPr>
          <w:ilvl w:val="0"/>
          <w:numId w:val="43"/>
        </w:numPr>
        <w:spacing w:line="240" w:lineRule="auto"/>
      </w:pPr>
      <w:r>
        <w:t>The Contractor</w:t>
      </w:r>
      <w:r w:rsidR="000F7E49" w:rsidRPr="00103D75">
        <w:t xml:space="preserve"> will work with the cluster administrators to replace e-mail addresses on their respective rosters that are invalid or generate a bounce. This will ensure that </w:t>
      </w:r>
      <w:r w:rsidR="000F7E49">
        <w:t>as much of the</w:t>
      </w:r>
      <w:r w:rsidR="000F7E49" w:rsidRPr="00103D75">
        <w:t xml:space="preserve"> </w:t>
      </w:r>
      <w:r w:rsidR="000F7E49">
        <w:t xml:space="preserve">survey </w:t>
      </w:r>
      <w:r w:rsidR="000F7E49" w:rsidRPr="00103D75">
        <w:t>frame</w:t>
      </w:r>
      <w:r w:rsidR="000F7E49">
        <w:t xml:space="preserve"> as possible</w:t>
      </w:r>
      <w:r w:rsidR="000F7E49" w:rsidRPr="00103D75">
        <w:t xml:space="preserve"> is given the opportunity to respond to the survey.</w:t>
      </w:r>
    </w:p>
    <w:p w14:paraId="34A4BB1F" w14:textId="77777777" w:rsidR="000F7E49" w:rsidRDefault="000F7E49" w:rsidP="000F7E49">
      <w:pPr>
        <w:pStyle w:val="ListParagraph"/>
        <w:numPr>
          <w:ilvl w:val="0"/>
          <w:numId w:val="43"/>
        </w:numPr>
        <w:spacing w:line="240" w:lineRule="auto"/>
      </w:pPr>
      <w:r w:rsidRPr="00D26B89">
        <w:t>The surveys are designed to use skip patterns and simple, often multiple-choice answer options to facilitate the ease with which the</w:t>
      </w:r>
      <w:r>
        <w:t>y</w:t>
      </w:r>
      <w:r w:rsidRPr="00D26B89">
        <w:t xml:space="preserve"> can be completed. Surveys can be halted and resumed by participants to provide greater flexibility</w:t>
      </w:r>
      <w:r>
        <w:t>, and participants are free to skip question(s) that they may not know how to answer or do not want to answer</w:t>
      </w:r>
      <w:r w:rsidRPr="00D26B89">
        <w:t>.</w:t>
      </w:r>
    </w:p>
    <w:p w14:paraId="2EAB5706" w14:textId="77777777" w:rsidR="000F7E49" w:rsidRPr="003B1EC8" w:rsidRDefault="000F7E49" w:rsidP="000F7E49">
      <w:pPr>
        <w:pStyle w:val="ListParagraph"/>
        <w:numPr>
          <w:ilvl w:val="0"/>
          <w:numId w:val="43"/>
        </w:numPr>
        <w:spacing w:line="240" w:lineRule="auto"/>
      </w:pPr>
      <w:r>
        <w:t xml:space="preserve">To further maximize the response rate, </w:t>
      </w:r>
      <w:r w:rsidR="00A445D0">
        <w:t>The Contractor</w:t>
      </w:r>
      <w:r>
        <w:t xml:space="preserve"> plans to provide cluster administrators with a PDF smart form of the survey instruments. These smart forms are electronic, fillable versions of the survey that can be used if participants encounter technical difficulty or do not feel comfortable submitting information online. The clusters can also use these smart forms at their events or in the context of one-on-one counseling to capture data from a greater share of the cluster participants.</w:t>
      </w:r>
    </w:p>
    <w:p w14:paraId="7E3654F2" w14:textId="77777777" w:rsidR="000F7E49" w:rsidRDefault="000F7E49" w:rsidP="000F7E49">
      <w:pPr>
        <w:pStyle w:val="Heading2"/>
        <w:rPr>
          <w:rFonts w:asciiTheme="majorBidi" w:eastAsiaTheme="majorBidi" w:hAnsiTheme="majorBidi" w:cstheme="majorBidi"/>
          <w:bCs/>
        </w:rPr>
      </w:pPr>
      <w:bookmarkStart w:id="9" w:name="_Toc440449648"/>
      <w:bookmarkStart w:id="10" w:name="_Toc7520597"/>
      <w:r w:rsidRPr="004F5301">
        <w:rPr>
          <w:rFonts w:asciiTheme="majorBidi" w:eastAsiaTheme="majorBidi" w:hAnsiTheme="majorBidi" w:cstheme="majorBidi"/>
        </w:rPr>
        <w:t>Describe Any Tests of Procedures of Methods to Be Undertaken. Testing is encouraged</w:t>
      </w:r>
      <w:r w:rsidRPr="004F5301">
        <w:rPr>
          <w:rFonts w:asciiTheme="majorBidi" w:eastAsiaTheme="majorBidi" w:hAnsiTheme="majorBidi" w:cstheme="majorBidi"/>
          <w:bCs/>
        </w:rPr>
        <w:t xml:space="preserve">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bookmarkEnd w:id="9"/>
      <w:bookmarkEnd w:id="10"/>
    </w:p>
    <w:p w14:paraId="0565CAF8" w14:textId="77777777" w:rsidR="000F7E49" w:rsidRPr="00D65C37" w:rsidRDefault="000F7E49" w:rsidP="000F7E49"/>
    <w:p w14:paraId="2D2833BB" w14:textId="77777777" w:rsidR="00CC1B3D" w:rsidRPr="00F81B2F" w:rsidRDefault="00CC1B3D" w:rsidP="00CC1B3D">
      <w:pPr>
        <w:spacing w:line="240" w:lineRule="auto"/>
        <w:rPr>
          <w:rFonts w:asciiTheme="majorBidi" w:eastAsiaTheme="majorBidi" w:hAnsiTheme="majorBidi" w:cstheme="majorBidi"/>
          <w:szCs w:val="24"/>
        </w:rPr>
      </w:pPr>
      <w:r w:rsidRPr="00F81B2F">
        <w:rPr>
          <w:rFonts w:asciiTheme="majorBidi" w:eastAsiaTheme="majorBidi" w:hAnsiTheme="majorBidi" w:cstheme="majorBidi"/>
          <w:szCs w:val="24"/>
        </w:rPr>
        <w:t>The small business and large organization surveys were pretested</w:t>
      </w:r>
      <w:r>
        <w:rPr>
          <w:rFonts w:asciiTheme="majorBidi" w:eastAsiaTheme="majorBidi" w:hAnsiTheme="majorBidi" w:cstheme="majorBidi"/>
          <w:szCs w:val="24"/>
        </w:rPr>
        <w:t xml:space="preserve"> internally by four</w:t>
      </w:r>
      <w:r w:rsidRPr="00F81B2F">
        <w:rPr>
          <w:rFonts w:asciiTheme="majorBidi" w:eastAsiaTheme="majorBidi" w:hAnsiTheme="majorBidi" w:cstheme="majorBidi"/>
          <w:szCs w:val="24"/>
        </w:rPr>
        <w:t xml:space="preserve"> </w:t>
      </w:r>
      <w:r>
        <w:rPr>
          <w:rFonts w:asciiTheme="majorBidi" w:eastAsiaTheme="majorBidi" w:hAnsiTheme="majorBidi" w:cstheme="majorBidi"/>
          <w:szCs w:val="24"/>
        </w:rPr>
        <w:t xml:space="preserve">individuals </w:t>
      </w:r>
      <w:r w:rsidRPr="00F81B2F">
        <w:rPr>
          <w:rFonts w:asciiTheme="majorBidi" w:eastAsiaTheme="majorBidi" w:hAnsiTheme="majorBidi" w:cstheme="majorBidi"/>
          <w:szCs w:val="24"/>
        </w:rPr>
        <w:t xml:space="preserve">to ensure reliability, minimize measurement error, and minimize respondent burden. </w:t>
      </w:r>
      <w:r w:rsidRPr="00D26B89">
        <w:rPr>
          <w:rFonts w:asciiTheme="majorBidi" w:eastAsiaTheme="majorBidi" w:hAnsiTheme="majorBidi" w:cstheme="majorBidi"/>
          <w:szCs w:val="24"/>
        </w:rPr>
        <w:t xml:space="preserve">Feedback from these pretests was also used to identify problematic, difficult, or time-consuming questions and to revise or clarify them. </w:t>
      </w:r>
      <w:r w:rsidRPr="00F81B2F">
        <w:rPr>
          <w:rFonts w:asciiTheme="majorBidi" w:eastAsiaTheme="majorBidi" w:hAnsiTheme="majorBidi" w:cstheme="majorBidi"/>
          <w:szCs w:val="24"/>
        </w:rPr>
        <w:t>The surveys were also revised based on the feedback received from the cluster administrators. In addition, once the surveys have been impl</w:t>
      </w:r>
      <w:r w:rsidRPr="008F7066">
        <w:rPr>
          <w:rFonts w:asciiTheme="majorBidi" w:eastAsiaTheme="majorBidi" w:hAnsiTheme="majorBidi" w:cstheme="majorBidi"/>
          <w:szCs w:val="24"/>
        </w:rPr>
        <w:t>emented on the web and as PDF smart</w:t>
      </w:r>
      <w:r>
        <w:rPr>
          <w:rFonts w:asciiTheme="majorBidi" w:eastAsiaTheme="majorBidi" w:hAnsiTheme="majorBidi" w:cstheme="majorBidi"/>
          <w:szCs w:val="24"/>
        </w:rPr>
        <w:t xml:space="preserve"> </w:t>
      </w:r>
      <w:r w:rsidRPr="008F7066">
        <w:rPr>
          <w:rFonts w:asciiTheme="majorBidi" w:eastAsiaTheme="majorBidi" w:hAnsiTheme="majorBidi" w:cstheme="majorBidi"/>
          <w:szCs w:val="24"/>
        </w:rPr>
        <w:t>forms, they will be tested by internal research staff for usability and to identify any error</w:t>
      </w:r>
      <w:r>
        <w:rPr>
          <w:rFonts w:asciiTheme="majorBidi" w:eastAsiaTheme="majorBidi" w:hAnsiTheme="majorBidi" w:cstheme="majorBidi"/>
          <w:szCs w:val="24"/>
        </w:rPr>
        <w:t>s</w:t>
      </w:r>
      <w:r w:rsidRPr="008F7066">
        <w:rPr>
          <w:rFonts w:asciiTheme="majorBidi" w:eastAsiaTheme="majorBidi" w:hAnsiTheme="majorBidi" w:cstheme="majorBidi"/>
          <w:szCs w:val="24"/>
        </w:rPr>
        <w:t xml:space="preserve"> related to their transfer to different mediums.</w:t>
      </w:r>
    </w:p>
    <w:p w14:paraId="7A556A24" w14:textId="77777777" w:rsidR="00CC1B3D" w:rsidRPr="00326EB8" w:rsidRDefault="00CC1B3D" w:rsidP="00CC1B3D">
      <w:pPr>
        <w:spacing w:line="240" w:lineRule="auto"/>
        <w:rPr>
          <w:rFonts w:asciiTheme="majorBidi" w:eastAsiaTheme="majorBidi" w:hAnsiTheme="majorBidi" w:cstheme="majorBidi"/>
          <w:szCs w:val="24"/>
        </w:rPr>
      </w:pPr>
      <w:r w:rsidRPr="00D26B89">
        <w:rPr>
          <w:rFonts w:asciiTheme="majorBidi" w:eastAsiaTheme="majorBidi" w:hAnsiTheme="majorBidi" w:cstheme="majorBidi"/>
          <w:szCs w:val="24"/>
        </w:rPr>
        <w:t xml:space="preserve">Pretests on internal research staff were completed to provide a burden estimate for the final </w:t>
      </w:r>
      <w:r>
        <w:rPr>
          <w:rFonts w:asciiTheme="majorBidi" w:eastAsiaTheme="majorBidi" w:hAnsiTheme="majorBidi" w:cstheme="majorBidi"/>
          <w:szCs w:val="24"/>
        </w:rPr>
        <w:t xml:space="preserve">small business and large organization survey </w:t>
      </w:r>
      <w:r w:rsidRPr="00D26B89">
        <w:rPr>
          <w:rFonts w:asciiTheme="majorBidi" w:eastAsiaTheme="majorBidi" w:hAnsiTheme="majorBidi" w:cstheme="majorBidi"/>
          <w:szCs w:val="24"/>
        </w:rPr>
        <w:t>instruments. Staff were instructed to complete the survey in one sitting, at a time and place with minimal distractions</w:t>
      </w:r>
      <w:r w:rsidRPr="00D13B5C">
        <w:rPr>
          <w:rFonts w:asciiTheme="majorBidi" w:eastAsiaTheme="majorBidi" w:hAnsiTheme="majorBidi" w:cstheme="majorBidi"/>
          <w:szCs w:val="24"/>
        </w:rPr>
        <w:t xml:space="preserve">. </w:t>
      </w:r>
      <w:r w:rsidR="003818B1" w:rsidRPr="00D13B5C">
        <w:rPr>
          <w:rFonts w:asciiTheme="majorBidi" w:eastAsiaTheme="majorBidi" w:hAnsiTheme="majorBidi" w:cstheme="majorBidi"/>
          <w:szCs w:val="24"/>
        </w:rPr>
        <w:t>A</w:t>
      </w:r>
      <w:r w:rsidRPr="00D13B5C">
        <w:rPr>
          <w:rFonts w:asciiTheme="majorBidi" w:eastAsiaTheme="majorBidi" w:hAnsiTheme="majorBidi" w:cstheme="majorBidi"/>
          <w:szCs w:val="24"/>
        </w:rPr>
        <w:t xml:space="preserve"> pretest of the cluster administrator survey </w:t>
      </w:r>
      <w:r w:rsidR="003818B1" w:rsidRPr="00D13B5C">
        <w:rPr>
          <w:rFonts w:asciiTheme="majorBidi" w:eastAsiaTheme="majorBidi" w:hAnsiTheme="majorBidi" w:cstheme="majorBidi"/>
          <w:szCs w:val="24"/>
        </w:rPr>
        <w:t>was</w:t>
      </w:r>
      <w:r w:rsidRPr="00D13B5C">
        <w:rPr>
          <w:rFonts w:asciiTheme="majorBidi" w:eastAsiaTheme="majorBidi" w:hAnsiTheme="majorBidi" w:cstheme="majorBidi"/>
          <w:szCs w:val="24"/>
        </w:rPr>
        <w:t xml:space="preserve"> not possible, as the ability to answer the questions is influenced by the service tracking system the cluster employs and/or the frequency and variation in services provided to each participant business over the year. Discussions with administrators in seven clusters indicate that it requires approximately two hours on average. The average burden for each instrument is detailed in </w:t>
      </w:r>
      <w:r w:rsidR="003C3270">
        <w:rPr>
          <w:rFonts w:asciiTheme="majorBidi" w:eastAsiaTheme="majorBidi" w:hAnsiTheme="majorBidi" w:cstheme="majorBidi"/>
          <w:szCs w:val="24"/>
        </w:rPr>
        <w:t>E</w:t>
      </w:r>
      <w:r w:rsidR="003C3270" w:rsidRPr="00D13B5C">
        <w:rPr>
          <w:rFonts w:asciiTheme="majorBidi" w:eastAsiaTheme="majorBidi" w:hAnsiTheme="majorBidi" w:cstheme="majorBidi"/>
          <w:szCs w:val="24"/>
        </w:rPr>
        <w:t xml:space="preserve">xhibit </w:t>
      </w:r>
      <w:r w:rsidR="003C3270">
        <w:rPr>
          <w:rFonts w:asciiTheme="majorBidi" w:eastAsiaTheme="majorBidi" w:hAnsiTheme="majorBidi" w:cstheme="majorBidi"/>
          <w:szCs w:val="24"/>
        </w:rPr>
        <w:t>B</w:t>
      </w:r>
      <w:r w:rsidRPr="00D13B5C">
        <w:rPr>
          <w:rFonts w:asciiTheme="majorBidi" w:eastAsiaTheme="majorBidi" w:hAnsiTheme="majorBidi" w:cstheme="majorBidi"/>
          <w:szCs w:val="24"/>
        </w:rPr>
        <w:t>3.</w:t>
      </w:r>
      <w:r w:rsidR="007A31B2">
        <w:rPr>
          <w:rFonts w:asciiTheme="majorBidi" w:eastAsiaTheme="majorBidi" w:hAnsiTheme="majorBidi" w:cstheme="majorBidi"/>
          <w:szCs w:val="24"/>
        </w:rPr>
        <w:t xml:space="preserve">  This testing was conducted in 201</w:t>
      </w:r>
      <w:r w:rsidR="00210709">
        <w:rPr>
          <w:rFonts w:asciiTheme="majorBidi" w:eastAsiaTheme="majorBidi" w:hAnsiTheme="majorBidi" w:cstheme="majorBidi"/>
          <w:szCs w:val="24"/>
        </w:rPr>
        <w:t>5 for the initial approval.</w:t>
      </w:r>
    </w:p>
    <w:p w14:paraId="39D5E5C8" w14:textId="77777777" w:rsidR="003D1958" w:rsidRDefault="003D1958">
      <w:pPr>
        <w:rPr>
          <w:rFonts w:eastAsiaTheme="majorBidi" w:cs="Times New Roman"/>
          <w:b/>
          <w:bCs/>
          <w:szCs w:val="24"/>
        </w:rPr>
      </w:pPr>
      <w:r>
        <w:rPr>
          <w:rFonts w:eastAsiaTheme="majorBidi" w:cs="Times New Roman"/>
          <w:b/>
          <w:bCs/>
          <w:szCs w:val="24"/>
        </w:rPr>
        <w:br w:type="page"/>
      </w:r>
    </w:p>
    <w:p w14:paraId="5DDD097D" w14:textId="77777777" w:rsidR="000F7E49" w:rsidRDefault="000F7E49" w:rsidP="000F7E49">
      <w:pPr>
        <w:spacing w:after="0" w:line="240" w:lineRule="auto"/>
        <w:rPr>
          <w:rFonts w:eastAsiaTheme="majorBidi" w:cs="Times New Roman"/>
          <w:b/>
          <w:bCs/>
          <w:szCs w:val="24"/>
        </w:rPr>
      </w:pPr>
    </w:p>
    <w:p w14:paraId="03C1E677" w14:textId="77777777" w:rsidR="00236D6F" w:rsidRDefault="00236D6F" w:rsidP="00236D6F">
      <w:pPr>
        <w:spacing w:after="0" w:line="240" w:lineRule="auto"/>
        <w:rPr>
          <w:rFonts w:eastAsiaTheme="majorBidi" w:cs="Times New Roman"/>
          <w:b/>
          <w:bCs/>
          <w:szCs w:val="24"/>
        </w:rPr>
      </w:pPr>
      <w:bookmarkStart w:id="11" w:name="_Toc440449649"/>
      <w:r>
        <w:rPr>
          <w:rFonts w:eastAsiaTheme="majorBidi" w:cs="Times New Roman"/>
          <w:b/>
          <w:bCs/>
          <w:szCs w:val="24"/>
        </w:rPr>
        <w:t xml:space="preserve">Exhibit </w:t>
      </w:r>
      <w:r w:rsidR="003C3270">
        <w:rPr>
          <w:rFonts w:eastAsiaTheme="majorBidi" w:cs="Times New Roman"/>
          <w:b/>
          <w:bCs/>
          <w:szCs w:val="24"/>
        </w:rPr>
        <w:t>B</w:t>
      </w:r>
      <w:r>
        <w:rPr>
          <w:rFonts w:eastAsiaTheme="majorBidi" w:cs="Times New Roman"/>
          <w:b/>
          <w:bCs/>
          <w:szCs w:val="24"/>
        </w:rPr>
        <w:t>3. Burden estimates of survey instruments</w:t>
      </w:r>
    </w:p>
    <w:p w14:paraId="40B325D8" w14:textId="77777777" w:rsidR="00236D6F" w:rsidRDefault="00236D6F" w:rsidP="00236D6F">
      <w:pPr>
        <w:spacing w:after="0" w:line="240" w:lineRule="auto"/>
        <w:rPr>
          <w:rFonts w:cs="Times New Roman"/>
          <w:b/>
          <w:bCs/>
          <w:szCs w:val="24"/>
        </w:rPr>
      </w:pPr>
    </w:p>
    <w:tbl>
      <w:tblPr>
        <w:tblStyle w:val="LightShading"/>
        <w:tblW w:w="0" w:type="auto"/>
        <w:tblInd w:w="0" w:type="dxa"/>
        <w:tblLook w:val="04A0" w:firstRow="1" w:lastRow="0" w:firstColumn="1" w:lastColumn="0" w:noHBand="0" w:noVBand="1"/>
      </w:tblPr>
      <w:tblGrid>
        <w:gridCol w:w="3708"/>
        <w:gridCol w:w="3240"/>
      </w:tblGrid>
      <w:tr w:rsidR="00236D6F" w14:paraId="50D05E18" w14:textId="77777777" w:rsidTr="00A0393E">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708" w:type="dxa"/>
            <w:vAlign w:val="center"/>
            <w:hideMark/>
          </w:tcPr>
          <w:p w14:paraId="33BF954E" w14:textId="77777777" w:rsidR="00236D6F" w:rsidRDefault="00236D6F" w:rsidP="00A0393E">
            <w:pPr>
              <w:rPr>
                <w:rFonts w:asciiTheme="minorHAnsi" w:eastAsiaTheme="minorHAnsi" w:hAnsiTheme="minorHAnsi" w:cstheme="minorBidi"/>
                <w:sz w:val="22"/>
                <w:szCs w:val="22"/>
              </w:rPr>
            </w:pPr>
            <w:r>
              <w:t>Instrument</w:t>
            </w:r>
          </w:p>
        </w:tc>
        <w:tc>
          <w:tcPr>
            <w:tcW w:w="3240" w:type="dxa"/>
            <w:vAlign w:val="center"/>
            <w:hideMark/>
          </w:tcPr>
          <w:p w14:paraId="57CF8FE6" w14:textId="77777777" w:rsidR="00236D6F" w:rsidRDefault="00236D6F" w:rsidP="00A039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t>Average burden in minutes</w:t>
            </w:r>
          </w:p>
        </w:tc>
      </w:tr>
      <w:tr w:rsidR="00236D6F" w14:paraId="262BEF20" w14:textId="77777777" w:rsidTr="00A0393E">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708" w:type="dxa"/>
            <w:tcBorders>
              <w:top w:val="nil"/>
              <w:bottom w:val="nil"/>
            </w:tcBorders>
            <w:vAlign w:val="center"/>
            <w:hideMark/>
          </w:tcPr>
          <w:p w14:paraId="64B69C01" w14:textId="77777777" w:rsidR="00236D6F" w:rsidRPr="008F59E1" w:rsidRDefault="00236D6F" w:rsidP="00A0393E">
            <w:pPr>
              <w:rPr>
                <w:rFonts w:asciiTheme="minorHAnsi" w:eastAsiaTheme="minorHAnsi" w:hAnsiTheme="minorHAnsi" w:cstheme="minorBidi"/>
                <w:b w:val="0"/>
                <w:sz w:val="22"/>
                <w:szCs w:val="22"/>
              </w:rPr>
            </w:pPr>
            <w:r w:rsidRPr="00653D09">
              <w:t>Large organization survey</w:t>
            </w:r>
          </w:p>
        </w:tc>
        <w:tc>
          <w:tcPr>
            <w:tcW w:w="3240" w:type="dxa"/>
            <w:tcBorders>
              <w:top w:val="nil"/>
              <w:bottom w:val="nil"/>
            </w:tcBorders>
            <w:vAlign w:val="center"/>
            <w:hideMark/>
          </w:tcPr>
          <w:p w14:paraId="4C8BB1AC" w14:textId="77777777" w:rsidR="00236D6F" w:rsidRDefault="00236D6F" w:rsidP="00A0393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2"/>
                <w:szCs w:val="22"/>
              </w:rPr>
            </w:pPr>
            <w:r>
              <w:t>10</w:t>
            </w:r>
          </w:p>
        </w:tc>
      </w:tr>
      <w:tr w:rsidR="00236D6F" w14:paraId="35023B2A" w14:textId="77777777" w:rsidTr="00A0393E">
        <w:trPr>
          <w:trHeight w:val="540"/>
        </w:trPr>
        <w:tc>
          <w:tcPr>
            <w:cnfStyle w:val="001000000000" w:firstRow="0" w:lastRow="0" w:firstColumn="1" w:lastColumn="0" w:oddVBand="0" w:evenVBand="0" w:oddHBand="0" w:evenHBand="0" w:firstRowFirstColumn="0" w:firstRowLastColumn="0" w:lastRowFirstColumn="0" w:lastRowLastColumn="0"/>
            <w:tcW w:w="3708" w:type="dxa"/>
            <w:tcBorders>
              <w:top w:val="nil"/>
              <w:left w:val="nil"/>
              <w:bottom w:val="nil"/>
              <w:right w:val="nil"/>
            </w:tcBorders>
            <w:vAlign w:val="center"/>
          </w:tcPr>
          <w:p w14:paraId="7E8157B8" w14:textId="77777777" w:rsidR="00236D6F" w:rsidRPr="008F59E1" w:rsidRDefault="00236D6F" w:rsidP="00A0393E">
            <w:pPr>
              <w:rPr>
                <w:b w:val="0"/>
              </w:rPr>
            </w:pPr>
            <w:r w:rsidRPr="00653D09">
              <w:t>Small business survey</w:t>
            </w:r>
          </w:p>
        </w:tc>
        <w:tc>
          <w:tcPr>
            <w:tcW w:w="3240" w:type="dxa"/>
            <w:tcBorders>
              <w:top w:val="nil"/>
              <w:left w:val="nil"/>
              <w:bottom w:val="nil"/>
              <w:right w:val="nil"/>
            </w:tcBorders>
            <w:vAlign w:val="center"/>
          </w:tcPr>
          <w:p w14:paraId="430F176B" w14:textId="77777777" w:rsidR="00236D6F" w:rsidRDefault="00236D6F" w:rsidP="00A0393E">
            <w:pPr>
              <w:jc w:val="center"/>
              <w:cnfStyle w:val="000000000000" w:firstRow="0" w:lastRow="0" w:firstColumn="0" w:lastColumn="0" w:oddVBand="0" w:evenVBand="0" w:oddHBand="0" w:evenHBand="0" w:firstRowFirstColumn="0" w:firstRowLastColumn="0" w:lastRowFirstColumn="0" w:lastRowLastColumn="0"/>
            </w:pPr>
            <w:r>
              <w:t>20</w:t>
            </w:r>
          </w:p>
        </w:tc>
      </w:tr>
      <w:tr w:rsidR="00236D6F" w14:paraId="144DF944" w14:textId="77777777" w:rsidTr="00A0393E">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708" w:type="dxa"/>
            <w:tcBorders>
              <w:top w:val="nil"/>
              <w:bottom w:val="single" w:sz="8" w:space="0" w:color="000000" w:themeColor="text1"/>
            </w:tcBorders>
            <w:vAlign w:val="center"/>
          </w:tcPr>
          <w:p w14:paraId="31A48530" w14:textId="77777777" w:rsidR="00236D6F" w:rsidRPr="00D13B5C" w:rsidRDefault="00236D6F" w:rsidP="00A0393E">
            <w:r w:rsidRPr="00D13B5C">
              <w:t>Cluster administrator survey</w:t>
            </w:r>
          </w:p>
        </w:tc>
        <w:tc>
          <w:tcPr>
            <w:tcW w:w="3240" w:type="dxa"/>
            <w:tcBorders>
              <w:top w:val="nil"/>
              <w:bottom w:val="single" w:sz="8" w:space="0" w:color="000000" w:themeColor="text1"/>
            </w:tcBorders>
            <w:vAlign w:val="center"/>
          </w:tcPr>
          <w:p w14:paraId="0F964E7E" w14:textId="77777777" w:rsidR="00236D6F" w:rsidRPr="00D13B5C" w:rsidRDefault="00236D6F" w:rsidP="00A0393E">
            <w:pPr>
              <w:jc w:val="center"/>
              <w:cnfStyle w:val="000000100000" w:firstRow="0" w:lastRow="0" w:firstColumn="0" w:lastColumn="0" w:oddVBand="0" w:evenVBand="0" w:oddHBand="1" w:evenHBand="0" w:firstRowFirstColumn="0" w:firstRowLastColumn="0" w:lastRowFirstColumn="0" w:lastRowLastColumn="0"/>
            </w:pPr>
            <w:r w:rsidRPr="00D13B5C">
              <w:t>120</w:t>
            </w:r>
          </w:p>
        </w:tc>
      </w:tr>
    </w:tbl>
    <w:p w14:paraId="0E604FBE" w14:textId="77777777" w:rsidR="00236D6F" w:rsidRPr="00326EB8" w:rsidRDefault="00236D6F" w:rsidP="00236D6F">
      <w:pPr>
        <w:spacing w:line="240" w:lineRule="auto"/>
        <w:rPr>
          <w:rFonts w:asciiTheme="majorBidi" w:eastAsiaTheme="majorBidi" w:hAnsiTheme="majorBidi" w:cstheme="majorBidi"/>
          <w:szCs w:val="24"/>
        </w:rPr>
      </w:pPr>
    </w:p>
    <w:p w14:paraId="1FDFDBAE" w14:textId="77777777" w:rsidR="000F7E49" w:rsidRPr="000A49EE" w:rsidRDefault="000F7E49" w:rsidP="000F7E49">
      <w:pPr>
        <w:pStyle w:val="Heading2"/>
        <w:rPr>
          <w:rFonts w:asciiTheme="majorBidi" w:hAnsiTheme="majorBidi" w:cstheme="majorBidi"/>
        </w:rPr>
      </w:pPr>
      <w:bookmarkStart w:id="12" w:name="_Toc7520598"/>
      <w:r>
        <w:rPr>
          <w:rFonts w:asciiTheme="majorBidi" w:eastAsiaTheme="majorBidi" w:hAnsiTheme="majorBidi" w:cstheme="majorBidi"/>
        </w:rPr>
        <w:t>Expert Contact Information</w:t>
      </w:r>
      <w:bookmarkEnd w:id="11"/>
      <w:bookmarkEnd w:id="12"/>
      <w:r>
        <w:rPr>
          <w:rFonts w:asciiTheme="majorBidi" w:eastAsiaTheme="majorBidi" w:hAnsiTheme="majorBidi" w:cstheme="majorBidi"/>
        </w:rPr>
        <w:t xml:space="preserve"> </w:t>
      </w:r>
    </w:p>
    <w:p w14:paraId="69FB69C4" w14:textId="77777777" w:rsidR="000F7E49" w:rsidRPr="000A49EE" w:rsidRDefault="000F7E49" w:rsidP="000F7E49">
      <w:pPr>
        <w:spacing w:line="240" w:lineRule="auto"/>
        <w:rPr>
          <w:rFonts w:asciiTheme="majorBidi" w:hAnsiTheme="majorBidi" w:cstheme="majorBidi"/>
          <w:b/>
          <w:bCs/>
          <w:szCs w:val="24"/>
        </w:rPr>
      </w:pPr>
      <w:r w:rsidRPr="00630508">
        <w:rPr>
          <w:rFonts w:asciiTheme="majorBidi" w:hAnsiTheme="majorBidi" w:cstheme="majorBidi"/>
          <w:b/>
          <w:bCs/>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6D156FF3" w14:textId="77777777" w:rsidR="000F7E49" w:rsidRPr="0040788D" w:rsidRDefault="000F7E49" w:rsidP="000F7E49">
      <w:pPr>
        <w:spacing w:line="240" w:lineRule="auto"/>
        <w:rPr>
          <w:rFonts w:asciiTheme="majorBidi" w:eastAsiaTheme="majorBidi" w:hAnsiTheme="majorBidi" w:cstheme="majorBidi"/>
          <w:szCs w:val="24"/>
        </w:rPr>
      </w:pPr>
      <w:r w:rsidRPr="0040788D">
        <w:rPr>
          <w:rFonts w:asciiTheme="majorBidi" w:eastAsiaTheme="majorBidi" w:hAnsiTheme="majorBidi" w:cstheme="majorBidi"/>
          <w:szCs w:val="24"/>
        </w:rPr>
        <w:t>The consultants used to design, collect</w:t>
      </w:r>
      <w:r>
        <w:rPr>
          <w:rFonts w:asciiTheme="majorBidi" w:eastAsiaTheme="majorBidi" w:hAnsiTheme="majorBidi" w:cstheme="majorBidi"/>
          <w:szCs w:val="24"/>
        </w:rPr>
        <w:t>,</w:t>
      </w:r>
      <w:r w:rsidRPr="0040788D">
        <w:rPr>
          <w:rFonts w:asciiTheme="majorBidi" w:eastAsiaTheme="majorBidi" w:hAnsiTheme="majorBidi" w:cstheme="majorBidi"/>
          <w:szCs w:val="24"/>
        </w:rPr>
        <w:t xml:space="preserve"> and/or analyze the information for the agency</w:t>
      </w:r>
      <w:r w:rsidR="0061127B">
        <w:rPr>
          <w:rFonts w:asciiTheme="majorBidi" w:eastAsiaTheme="majorBidi" w:hAnsiTheme="majorBidi" w:cstheme="majorBidi"/>
          <w:szCs w:val="24"/>
        </w:rPr>
        <w:t xml:space="preserve"> in the original sur</w:t>
      </w:r>
      <w:r w:rsidR="00A00E74">
        <w:rPr>
          <w:rFonts w:asciiTheme="majorBidi" w:eastAsiaTheme="majorBidi" w:hAnsiTheme="majorBidi" w:cstheme="majorBidi"/>
          <w:szCs w:val="24"/>
        </w:rPr>
        <w:t>vey,</w:t>
      </w:r>
      <w:r w:rsidRPr="0040788D">
        <w:rPr>
          <w:rFonts w:asciiTheme="majorBidi" w:eastAsiaTheme="majorBidi" w:hAnsiTheme="majorBidi" w:cstheme="majorBidi"/>
          <w:szCs w:val="24"/>
        </w:rPr>
        <w:t xml:space="preserve"> </w:t>
      </w:r>
      <w:r w:rsidR="00DE7385">
        <w:rPr>
          <w:rFonts w:asciiTheme="majorBidi" w:eastAsiaTheme="majorBidi" w:hAnsiTheme="majorBidi" w:cstheme="majorBidi"/>
          <w:szCs w:val="24"/>
        </w:rPr>
        <w:t>wer</w:t>
      </w:r>
      <w:r w:rsidRPr="0040788D">
        <w:rPr>
          <w:rFonts w:asciiTheme="majorBidi" w:eastAsiaTheme="majorBidi" w:hAnsiTheme="majorBidi" w:cstheme="majorBidi"/>
          <w:szCs w:val="24"/>
        </w:rPr>
        <w:t xml:space="preserve">e from Optimal Solutions Group, LLC. </w:t>
      </w:r>
      <w:r w:rsidR="00DE7385">
        <w:rPr>
          <w:rFonts w:asciiTheme="majorBidi" w:eastAsiaTheme="majorBidi" w:hAnsiTheme="majorBidi" w:cstheme="majorBidi"/>
          <w:szCs w:val="24"/>
        </w:rPr>
        <w:t>The contractor for this collection is to be determined.</w:t>
      </w:r>
    </w:p>
    <w:p w14:paraId="6A749EC2" w14:textId="77777777" w:rsidR="000F7E49" w:rsidRDefault="000F7E49" w:rsidP="000F7E49">
      <w:pPr>
        <w:spacing w:line="240" w:lineRule="auto"/>
        <w:rPr>
          <w:rFonts w:asciiTheme="majorBidi" w:eastAsiaTheme="majorBidi" w:hAnsiTheme="majorBidi" w:cstheme="majorBid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635"/>
        <w:gridCol w:w="1280"/>
        <w:gridCol w:w="1670"/>
        <w:gridCol w:w="3348"/>
      </w:tblGrid>
      <w:tr w:rsidR="000F7E49" w:rsidRPr="00451E56" w14:paraId="093EFCD7" w14:textId="77777777" w:rsidTr="00A0393E">
        <w:trPr>
          <w:cantSplit/>
          <w:trHeight w:val="300"/>
          <w:tblHeader/>
        </w:trPr>
        <w:tc>
          <w:tcPr>
            <w:tcW w:w="0" w:type="auto"/>
            <w:shd w:val="clear" w:color="auto" w:fill="auto"/>
            <w:vAlign w:val="center"/>
          </w:tcPr>
          <w:p w14:paraId="16FB5E75" w14:textId="77777777" w:rsidR="000F7E49" w:rsidRPr="0040788D" w:rsidRDefault="000F7E49" w:rsidP="00A0393E">
            <w:pPr>
              <w:spacing w:after="0" w:line="240" w:lineRule="auto"/>
              <w:rPr>
                <w:rFonts w:eastAsia="Times New Roman" w:cs="Times New Roman"/>
                <w:b/>
                <w:color w:val="000000"/>
                <w:szCs w:val="24"/>
              </w:rPr>
            </w:pPr>
            <w:r w:rsidRPr="0040788D">
              <w:rPr>
                <w:rFonts w:eastAsia="Times New Roman" w:cs="Times New Roman"/>
                <w:b/>
                <w:color w:val="000000"/>
                <w:szCs w:val="24"/>
              </w:rPr>
              <w:t>Specialization</w:t>
            </w:r>
          </w:p>
        </w:tc>
        <w:tc>
          <w:tcPr>
            <w:tcW w:w="1299" w:type="dxa"/>
            <w:shd w:val="clear" w:color="auto" w:fill="auto"/>
            <w:vAlign w:val="center"/>
          </w:tcPr>
          <w:p w14:paraId="44636A26" w14:textId="77777777" w:rsidR="000F7E49" w:rsidRPr="0040788D" w:rsidRDefault="000F7E49" w:rsidP="00A0393E">
            <w:pPr>
              <w:spacing w:after="0" w:line="240" w:lineRule="auto"/>
              <w:rPr>
                <w:rFonts w:eastAsia="Times New Roman" w:cs="Times New Roman"/>
                <w:b/>
                <w:color w:val="000000"/>
                <w:szCs w:val="24"/>
              </w:rPr>
            </w:pPr>
            <w:r w:rsidRPr="0040788D">
              <w:rPr>
                <w:rFonts w:eastAsia="Times New Roman" w:cs="Times New Roman"/>
                <w:b/>
                <w:color w:val="000000"/>
                <w:szCs w:val="24"/>
              </w:rPr>
              <w:t>Name</w:t>
            </w:r>
          </w:p>
        </w:tc>
        <w:tc>
          <w:tcPr>
            <w:tcW w:w="1134" w:type="dxa"/>
            <w:shd w:val="clear" w:color="auto" w:fill="auto"/>
            <w:vAlign w:val="center"/>
          </w:tcPr>
          <w:p w14:paraId="34EBFDC3" w14:textId="77777777" w:rsidR="000F7E49" w:rsidRPr="0040788D" w:rsidRDefault="000F7E49" w:rsidP="00A0393E">
            <w:pPr>
              <w:spacing w:after="0" w:line="240" w:lineRule="auto"/>
              <w:rPr>
                <w:rFonts w:eastAsia="Times New Roman" w:cs="Times New Roman"/>
                <w:b/>
                <w:color w:val="000000"/>
                <w:szCs w:val="24"/>
              </w:rPr>
            </w:pPr>
            <w:r w:rsidRPr="0040788D">
              <w:rPr>
                <w:rFonts w:eastAsia="Times New Roman" w:cs="Times New Roman"/>
                <w:b/>
                <w:color w:val="000000"/>
                <w:szCs w:val="24"/>
              </w:rPr>
              <w:t>Title</w:t>
            </w:r>
          </w:p>
        </w:tc>
        <w:tc>
          <w:tcPr>
            <w:tcW w:w="0" w:type="auto"/>
            <w:shd w:val="clear" w:color="auto" w:fill="auto"/>
            <w:vAlign w:val="center"/>
          </w:tcPr>
          <w:p w14:paraId="5C72E007" w14:textId="77777777" w:rsidR="000F7E49" w:rsidRPr="0040788D" w:rsidRDefault="000F7E49" w:rsidP="00A0393E">
            <w:pPr>
              <w:spacing w:after="0" w:line="240" w:lineRule="auto"/>
              <w:rPr>
                <w:rFonts w:eastAsia="Times New Roman" w:cs="Times New Roman"/>
                <w:b/>
                <w:color w:val="000000"/>
                <w:szCs w:val="24"/>
              </w:rPr>
            </w:pPr>
            <w:r w:rsidRPr="0040788D">
              <w:rPr>
                <w:rFonts w:eastAsia="Times New Roman" w:cs="Times New Roman"/>
                <w:b/>
                <w:color w:val="000000"/>
                <w:szCs w:val="24"/>
              </w:rPr>
              <w:t>Organization</w:t>
            </w:r>
          </w:p>
        </w:tc>
        <w:tc>
          <w:tcPr>
            <w:tcW w:w="3830" w:type="dxa"/>
            <w:shd w:val="clear" w:color="auto" w:fill="auto"/>
            <w:vAlign w:val="center"/>
          </w:tcPr>
          <w:p w14:paraId="3E09639B" w14:textId="77777777" w:rsidR="000F7E49" w:rsidRPr="0040788D" w:rsidRDefault="000F7E49" w:rsidP="00A0393E">
            <w:pPr>
              <w:spacing w:after="0" w:line="240" w:lineRule="auto"/>
              <w:rPr>
                <w:rFonts w:eastAsia="Times New Roman" w:cs="Times New Roman"/>
                <w:b/>
                <w:color w:val="000000"/>
                <w:szCs w:val="24"/>
              </w:rPr>
            </w:pPr>
            <w:r w:rsidRPr="0040788D">
              <w:rPr>
                <w:rFonts w:eastAsia="Times New Roman" w:cs="Times New Roman"/>
                <w:b/>
                <w:color w:val="000000"/>
                <w:szCs w:val="24"/>
              </w:rPr>
              <w:t>E-</w:t>
            </w:r>
            <w:r>
              <w:rPr>
                <w:rFonts w:eastAsia="Times New Roman" w:cs="Times New Roman"/>
                <w:b/>
                <w:color w:val="000000"/>
                <w:szCs w:val="24"/>
              </w:rPr>
              <w:t>m</w:t>
            </w:r>
            <w:r w:rsidRPr="0040788D">
              <w:rPr>
                <w:rFonts w:eastAsia="Times New Roman" w:cs="Times New Roman"/>
                <w:b/>
                <w:color w:val="000000"/>
                <w:szCs w:val="24"/>
              </w:rPr>
              <w:t xml:space="preserve">ail </w:t>
            </w:r>
            <w:r>
              <w:rPr>
                <w:rFonts w:eastAsia="Times New Roman" w:cs="Times New Roman"/>
                <w:b/>
                <w:color w:val="000000"/>
                <w:szCs w:val="24"/>
              </w:rPr>
              <w:t>a</w:t>
            </w:r>
            <w:r w:rsidRPr="0040788D">
              <w:rPr>
                <w:rFonts w:eastAsia="Times New Roman" w:cs="Times New Roman"/>
                <w:b/>
                <w:color w:val="000000"/>
                <w:szCs w:val="24"/>
              </w:rPr>
              <w:t>ddress</w:t>
            </w:r>
          </w:p>
        </w:tc>
      </w:tr>
      <w:tr w:rsidR="000F7E49" w:rsidRPr="00451E56" w14:paraId="78930B58" w14:textId="77777777" w:rsidTr="00A0393E">
        <w:trPr>
          <w:cantSplit/>
          <w:trHeight w:val="300"/>
          <w:tblHeader/>
        </w:trPr>
        <w:tc>
          <w:tcPr>
            <w:tcW w:w="0" w:type="auto"/>
            <w:shd w:val="clear" w:color="auto" w:fill="auto"/>
            <w:vAlign w:val="center"/>
          </w:tcPr>
          <w:p w14:paraId="50767B2D" w14:textId="77777777" w:rsidR="000F7E49" w:rsidRPr="00847D6B" w:rsidRDefault="000F7E49" w:rsidP="00A0393E">
            <w:pPr>
              <w:spacing w:after="0" w:line="240" w:lineRule="auto"/>
              <w:rPr>
                <w:rFonts w:eastAsia="Times New Roman" w:cs="Times New Roman"/>
                <w:color w:val="000000"/>
                <w:szCs w:val="24"/>
              </w:rPr>
            </w:pPr>
            <w:r w:rsidRPr="00847D6B">
              <w:rPr>
                <w:rFonts w:eastAsia="Times New Roman" w:cs="Times New Roman"/>
                <w:color w:val="000000"/>
                <w:szCs w:val="24"/>
              </w:rPr>
              <w:t xml:space="preserve">Program </w:t>
            </w:r>
            <w:r w:rsidR="00797DC9">
              <w:rPr>
                <w:rFonts w:eastAsia="Times New Roman" w:cs="Times New Roman"/>
                <w:color w:val="000000"/>
                <w:szCs w:val="24"/>
              </w:rPr>
              <w:t>Director</w:t>
            </w:r>
          </w:p>
        </w:tc>
        <w:tc>
          <w:tcPr>
            <w:tcW w:w="2065" w:type="dxa"/>
            <w:shd w:val="clear" w:color="auto" w:fill="auto"/>
            <w:vAlign w:val="center"/>
          </w:tcPr>
          <w:p w14:paraId="6C605A97" w14:textId="77777777" w:rsidR="000F7E49" w:rsidRPr="00847D6B" w:rsidRDefault="00797DC9" w:rsidP="00A0393E">
            <w:pPr>
              <w:spacing w:after="0" w:line="240" w:lineRule="auto"/>
              <w:rPr>
                <w:rFonts w:eastAsia="Times New Roman" w:cs="Times New Roman"/>
                <w:color w:val="000000"/>
                <w:szCs w:val="24"/>
              </w:rPr>
            </w:pPr>
            <w:r>
              <w:rPr>
                <w:rFonts w:eastAsia="Times New Roman" w:cs="Times New Roman"/>
                <w:color w:val="000000"/>
                <w:szCs w:val="24"/>
              </w:rPr>
              <w:t xml:space="preserve">Victoria </w:t>
            </w:r>
            <w:r w:rsidR="00A00E74">
              <w:rPr>
                <w:rFonts w:eastAsia="Times New Roman" w:cs="Times New Roman"/>
                <w:color w:val="000000"/>
                <w:szCs w:val="24"/>
              </w:rPr>
              <w:t>Mundt</w:t>
            </w:r>
          </w:p>
        </w:tc>
        <w:tc>
          <w:tcPr>
            <w:tcW w:w="1440" w:type="dxa"/>
            <w:shd w:val="clear" w:color="auto" w:fill="auto"/>
            <w:vAlign w:val="center"/>
          </w:tcPr>
          <w:p w14:paraId="47804C9D" w14:textId="77777777" w:rsidR="000F7E49" w:rsidRPr="00847D6B" w:rsidRDefault="000F7E49" w:rsidP="00A0393E">
            <w:pPr>
              <w:spacing w:after="0" w:line="240" w:lineRule="auto"/>
              <w:rPr>
                <w:rFonts w:eastAsia="Times New Roman" w:cs="Times New Roman"/>
                <w:color w:val="000000"/>
                <w:szCs w:val="24"/>
              </w:rPr>
            </w:pPr>
            <w:r w:rsidRPr="00847D6B">
              <w:rPr>
                <w:rFonts w:eastAsia="Times New Roman" w:cs="Times New Roman"/>
                <w:color w:val="000000"/>
                <w:szCs w:val="24"/>
              </w:rPr>
              <w:t>Program Analyst</w:t>
            </w:r>
          </w:p>
        </w:tc>
        <w:tc>
          <w:tcPr>
            <w:tcW w:w="0" w:type="auto"/>
            <w:shd w:val="clear" w:color="auto" w:fill="auto"/>
            <w:vAlign w:val="center"/>
          </w:tcPr>
          <w:p w14:paraId="20080352" w14:textId="77777777" w:rsidR="000F7E49" w:rsidRPr="00847D6B" w:rsidRDefault="000F7E49" w:rsidP="00A0393E">
            <w:pPr>
              <w:spacing w:after="0" w:line="240" w:lineRule="auto"/>
              <w:rPr>
                <w:rFonts w:eastAsia="Times New Roman" w:cs="Times New Roman"/>
                <w:color w:val="000000"/>
                <w:szCs w:val="24"/>
              </w:rPr>
            </w:pPr>
            <w:r w:rsidRPr="00847D6B">
              <w:rPr>
                <w:rFonts w:eastAsia="Times New Roman" w:cs="Times New Roman"/>
                <w:color w:val="000000"/>
                <w:szCs w:val="24"/>
              </w:rPr>
              <w:t>Small Business Administration</w:t>
            </w:r>
          </w:p>
        </w:tc>
        <w:tc>
          <w:tcPr>
            <w:tcW w:w="2654" w:type="dxa"/>
            <w:shd w:val="clear" w:color="auto" w:fill="auto"/>
            <w:vAlign w:val="center"/>
          </w:tcPr>
          <w:p w14:paraId="6E7423EC" w14:textId="77777777" w:rsidR="000F7E49" w:rsidRPr="00847D6B" w:rsidRDefault="00797DC9" w:rsidP="00A0393E">
            <w:pPr>
              <w:spacing w:after="0" w:line="240" w:lineRule="auto"/>
              <w:rPr>
                <w:rFonts w:eastAsia="Times New Roman" w:cs="Times New Roman"/>
                <w:color w:val="000000"/>
                <w:szCs w:val="24"/>
              </w:rPr>
            </w:pPr>
            <w:r>
              <w:rPr>
                <w:rFonts w:eastAsia="Times New Roman" w:cs="Times New Roman"/>
                <w:color w:val="000000"/>
                <w:szCs w:val="24"/>
              </w:rPr>
              <w:t>Victoria.mundt@sba.gov</w:t>
            </w:r>
          </w:p>
        </w:tc>
      </w:tr>
      <w:tr w:rsidR="000F7E49" w:rsidRPr="00451E56" w14:paraId="588A1A30" w14:textId="77777777" w:rsidTr="00A0393E">
        <w:trPr>
          <w:cantSplit/>
          <w:trHeight w:val="300"/>
        </w:trPr>
        <w:tc>
          <w:tcPr>
            <w:tcW w:w="0" w:type="auto"/>
            <w:shd w:val="clear" w:color="auto" w:fill="auto"/>
            <w:vAlign w:val="center"/>
          </w:tcPr>
          <w:p w14:paraId="3C271D7D" w14:textId="77777777" w:rsidR="000F7E49" w:rsidRPr="00847D6B" w:rsidRDefault="000F7E49" w:rsidP="00A0393E">
            <w:pPr>
              <w:spacing w:after="0" w:line="240" w:lineRule="auto"/>
              <w:rPr>
                <w:rFonts w:eastAsia="Times New Roman" w:cs="Times New Roman"/>
                <w:color w:val="000000"/>
                <w:szCs w:val="24"/>
              </w:rPr>
            </w:pPr>
          </w:p>
        </w:tc>
        <w:tc>
          <w:tcPr>
            <w:tcW w:w="2065" w:type="dxa"/>
            <w:shd w:val="clear" w:color="auto" w:fill="auto"/>
            <w:vAlign w:val="center"/>
          </w:tcPr>
          <w:p w14:paraId="43A31B41" w14:textId="77777777" w:rsidR="000F7E49" w:rsidRPr="00847D6B" w:rsidRDefault="000F7E49" w:rsidP="00A0393E">
            <w:pPr>
              <w:spacing w:after="0" w:line="240" w:lineRule="auto"/>
              <w:rPr>
                <w:rFonts w:eastAsia="Times New Roman" w:cs="Times New Roman"/>
                <w:color w:val="000000"/>
                <w:szCs w:val="24"/>
              </w:rPr>
            </w:pPr>
          </w:p>
        </w:tc>
        <w:tc>
          <w:tcPr>
            <w:tcW w:w="1440" w:type="dxa"/>
            <w:shd w:val="clear" w:color="auto" w:fill="auto"/>
            <w:vAlign w:val="center"/>
          </w:tcPr>
          <w:p w14:paraId="63595418" w14:textId="77777777" w:rsidR="000F7E49" w:rsidRPr="00847D6B" w:rsidRDefault="000F7E49" w:rsidP="00A0393E">
            <w:pPr>
              <w:spacing w:after="0" w:line="240" w:lineRule="auto"/>
              <w:rPr>
                <w:rFonts w:eastAsia="Times New Roman" w:cs="Times New Roman"/>
                <w:color w:val="000000"/>
                <w:szCs w:val="24"/>
              </w:rPr>
            </w:pPr>
          </w:p>
        </w:tc>
        <w:tc>
          <w:tcPr>
            <w:tcW w:w="0" w:type="auto"/>
            <w:shd w:val="clear" w:color="auto" w:fill="auto"/>
            <w:vAlign w:val="center"/>
          </w:tcPr>
          <w:p w14:paraId="74FC017F" w14:textId="77777777" w:rsidR="000F7E49" w:rsidRPr="00847D6B" w:rsidRDefault="000F7E49" w:rsidP="00A0393E">
            <w:pPr>
              <w:spacing w:after="0" w:line="240" w:lineRule="auto"/>
              <w:rPr>
                <w:rFonts w:eastAsia="Times New Roman" w:cs="Times New Roman"/>
                <w:color w:val="000000"/>
                <w:szCs w:val="24"/>
              </w:rPr>
            </w:pPr>
          </w:p>
        </w:tc>
        <w:tc>
          <w:tcPr>
            <w:tcW w:w="2654" w:type="dxa"/>
            <w:shd w:val="clear" w:color="auto" w:fill="auto"/>
            <w:vAlign w:val="center"/>
          </w:tcPr>
          <w:p w14:paraId="02D24ABE" w14:textId="77777777" w:rsidR="000F7E49" w:rsidRPr="00847D6B" w:rsidRDefault="000F7E49" w:rsidP="00A0393E">
            <w:pPr>
              <w:spacing w:after="0" w:line="240" w:lineRule="auto"/>
              <w:rPr>
                <w:rFonts w:eastAsia="Times New Roman" w:cs="Times New Roman"/>
                <w:color w:val="000000"/>
                <w:szCs w:val="24"/>
              </w:rPr>
            </w:pPr>
          </w:p>
        </w:tc>
      </w:tr>
      <w:tr w:rsidR="000F7E49" w:rsidRPr="00451E56" w14:paraId="791DD11F" w14:textId="77777777" w:rsidTr="00A0393E">
        <w:trPr>
          <w:cantSplit/>
          <w:trHeight w:val="300"/>
        </w:trPr>
        <w:tc>
          <w:tcPr>
            <w:tcW w:w="0" w:type="auto"/>
            <w:shd w:val="clear" w:color="auto" w:fill="auto"/>
            <w:vAlign w:val="center"/>
          </w:tcPr>
          <w:p w14:paraId="451B8200" w14:textId="77777777" w:rsidR="000F7E49" w:rsidRPr="00847D6B" w:rsidRDefault="000F7E49" w:rsidP="00A0393E">
            <w:pPr>
              <w:spacing w:after="0" w:line="240" w:lineRule="auto"/>
              <w:rPr>
                <w:rFonts w:eastAsia="Times New Roman" w:cs="Times New Roman"/>
                <w:color w:val="000000"/>
                <w:szCs w:val="24"/>
              </w:rPr>
            </w:pPr>
          </w:p>
        </w:tc>
        <w:tc>
          <w:tcPr>
            <w:tcW w:w="1299" w:type="dxa"/>
            <w:shd w:val="clear" w:color="auto" w:fill="auto"/>
            <w:vAlign w:val="center"/>
          </w:tcPr>
          <w:p w14:paraId="4B570D52" w14:textId="77777777" w:rsidR="000F7E49" w:rsidRPr="00847D6B" w:rsidRDefault="000F7E49" w:rsidP="00A0393E">
            <w:pPr>
              <w:spacing w:after="0" w:line="240" w:lineRule="auto"/>
              <w:rPr>
                <w:rFonts w:cs="Times New Roman"/>
                <w:szCs w:val="24"/>
              </w:rPr>
            </w:pPr>
          </w:p>
        </w:tc>
        <w:tc>
          <w:tcPr>
            <w:tcW w:w="1134" w:type="dxa"/>
            <w:shd w:val="clear" w:color="auto" w:fill="auto"/>
            <w:vAlign w:val="center"/>
          </w:tcPr>
          <w:p w14:paraId="65A6DC07" w14:textId="77777777" w:rsidR="000F7E49" w:rsidRPr="00847D6B" w:rsidRDefault="000F7E49" w:rsidP="00A0393E">
            <w:pPr>
              <w:spacing w:after="0" w:line="240" w:lineRule="auto"/>
              <w:rPr>
                <w:rFonts w:eastAsia="Times New Roman" w:cs="Times New Roman"/>
                <w:color w:val="000000"/>
                <w:szCs w:val="24"/>
              </w:rPr>
            </w:pPr>
          </w:p>
        </w:tc>
        <w:tc>
          <w:tcPr>
            <w:tcW w:w="0" w:type="auto"/>
            <w:shd w:val="clear" w:color="auto" w:fill="auto"/>
            <w:vAlign w:val="center"/>
          </w:tcPr>
          <w:p w14:paraId="4D53DF32" w14:textId="77777777" w:rsidR="000F7E49" w:rsidRPr="00847D6B" w:rsidRDefault="000F7E49" w:rsidP="00A0393E">
            <w:pPr>
              <w:spacing w:after="0" w:line="240" w:lineRule="auto"/>
              <w:rPr>
                <w:rFonts w:eastAsia="Times New Roman" w:cs="Times New Roman"/>
                <w:color w:val="000000"/>
                <w:szCs w:val="24"/>
              </w:rPr>
            </w:pPr>
          </w:p>
        </w:tc>
        <w:tc>
          <w:tcPr>
            <w:tcW w:w="3830" w:type="dxa"/>
            <w:shd w:val="clear" w:color="auto" w:fill="auto"/>
            <w:vAlign w:val="center"/>
          </w:tcPr>
          <w:p w14:paraId="25A65529" w14:textId="77777777" w:rsidR="000F7E49" w:rsidRPr="00847D6B" w:rsidRDefault="000F7E49" w:rsidP="00A0393E">
            <w:pPr>
              <w:spacing w:after="0" w:line="240" w:lineRule="auto"/>
              <w:rPr>
                <w:rFonts w:eastAsia="Times New Roman" w:cs="Times New Roman"/>
                <w:color w:val="000000"/>
                <w:szCs w:val="24"/>
              </w:rPr>
            </w:pPr>
          </w:p>
        </w:tc>
      </w:tr>
    </w:tbl>
    <w:p w14:paraId="07EC7A31" w14:textId="77777777" w:rsidR="000F7E49" w:rsidRPr="00315B20" w:rsidRDefault="000F7E49" w:rsidP="000F7E49">
      <w:pPr>
        <w:spacing w:line="240" w:lineRule="auto"/>
      </w:pPr>
    </w:p>
    <w:p w14:paraId="16185AE2" w14:textId="77777777" w:rsidR="00EC7322" w:rsidRPr="00E7582B" w:rsidRDefault="00EC7322" w:rsidP="000211C2">
      <w:pPr>
        <w:spacing w:line="240" w:lineRule="auto"/>
        <w:rPr>
          <w:rFonts w:cs="Times New Roman"/>
          <w:bCs/>
        </w:rPr>
      </w:pPr>
    </w:p>
    <w:sectPr w:rsidR="00EC7322" w:rsidRPr="00E7582B" w:rsidSect="00A7598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97922" w14:textId="77777777" w:rsidR="00284C01" w:rsidRDefault="00284C01" w:rsidP="006A34D8">
      <w:pPr>
        <w:spacing w:after="0" w:line="240" w:lineRule="auto"/>
      </w:pPr>
      <w:r>
        <w:separator/>
      </w:r>
    </w:p>
  </w:endnote>
  <w:endnote w:type="continuationSeparator" w:id="0">
    <w:p w14:paraId="03C3F977" w14:textId="77777777" w:rsidR="00284C01" w:rsidRDefault="00284C01" w:rsidP="006A34D8">
      <w:pPr>
        <w:spacing w:after="0" w:line="240" w:lineRule="auto"/>
      </w:pPr>
      <w:r>
        <w:continuationSeparator/>
      </w:r>
    </w:p>
  </w:endnote>
  <w:endnote w:type="continuationNotice" w:id="1">
    <w:p w14:paraId="66796D90" w14:textId="77777777" w:rsidR="00284C01" w:rsidRDefault="00284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16964"/>
      <w:docPartObj>
        <w:docPartGallery w:val="Page Numbers (Bottom of Page)"/>
        <w:docPartUnique/>
      </w:docPartObj>
    </w:sdtPr>
    <w:sdtEndPr>
      <w:rPr>
        <w:rFonts w:asciiTheme="majorBidi" w:hAnsiTheme="majorBidi" w:cstheme="majorBidi"/>
        <w:noProof/>
      </w:rPr>
    </w:sdtEndPr>
    <w:sdtContent>
      <w:p w14:paraId="4158312E" w14:textId="77777777" w:rsidR="00901A8E" w:rsidRPr="00865C45" w:rsidRDefault="00901A8E">
        <w:pPr>
          <w:pStyle w:val="Footer"/>
          <w:jc w:val="center"/>
          <w:rPr>
            <w:rFonts w:asciiTheme="majorBidi" w:hAnsiTheme="majorBidi" w:cstheme="majorBidi"/>
          </w:rPr>
        </w:pPr>
        <w:r w:rsidRPr="00865C45">
          <w:rPr>
            <w:rFonts w:asciiTheme="majorBidi" w:hAnsiTheme="majorBidi" w:cstheme="majorBidi"/>
          </w:rPr>
          <w:fldChar w:fldCharType="begin"/>
        </w:r>
        <w:r w:rsidRPr="00865C45">
          <w:rPr>
            <w:rFonts w:asciiTheme="majorBidi" w:hAnsiTheme="majorBidi" w:cstheme="majorBidi"/>
          </w:rPr>
          <w:instrText xml:space="preserve"> PAGE   \* MERGEFORMAT </w:instrText>
        </w:r>
        <w:r w:rsidRPr="00865C45">
          <w:rPr>
            <w:rFonts w:asciiTheme="majorBidi" w:hAnsiTheme="majorBidi" w:cstheme="majorBidi"/>
          </w:rPr>
          <w:fldChar w:fldCharType="separate"/>
        </w:r>
        <w:r w:rsidR="00663310">
          <w:rPr>
            <w:rFonts w:asciiTheme="majorBidi" w:hAnsiTheme="majorBidi" w:cstheme="majorBidi"/>
            <w:noProof/>
          </w:rPr>
          <w:t>3</w:t>
        </w:r>
        <w:r w:rsidRPr="00865C45">
          <w:rPr>
            <w:rFonts w:asciiTheme="majorBidi" w:hAnsiTheme="majorBidi" w:cstheme="majorBidi"/>
            <w:noProof/>
          </w:rPr>
          <w:fldChar w:fldCharType="end"/>
        </w:r>
      </w:p>
    </w:sdtContent>
  </w:sdt>
  <w:p w14:paraId="6F6377B1" w14:textId="77777777" w:rsidR="00901A8E" w:rsidRDefault="00901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17F80" w14:textId="77777777" w:rsidR="00284C01" w:rsidRDefault="00284C01" w:rsidP="006A34D8">
      <w:pPr>
        <w:spacing w:after="0" w:line="240" w:lineRule="auto"/>
      </w:pPr>
      <w:r>
        <w:separator/>
      </w:r>
    </w:p>
  </w:footnote>
  <w:footnote w:type="continuationSeparator" w:id="0">
    <w:p w14:paraId="16E416BB" w14:textId="77777777" w:rsidR="00284C01" w:rsidRDefault="00284C01" w:rsidP="006A34D8">
      <w:pPr>
        <w:spacing w:after="0" w:line="240" w:lineRule="auto"/>
      </w:pPr>
      <w:r>
        <w:continuationSeparator/>
      </w:r>
    </w:p>
  </w:footnote>
  <w:footnote w:type="continuationNotice" w:id="1">
    <w:p w14:paraId="4F431FB1" w14:textId="77777777" w:rsidR="00284C01" w:rsidRDefault="00284C0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B19"/>
    <w:multiLevelType w:val="hybridMultilevel"/>
    <w:tmpl w:val="59BCD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B0CFC"/>
    <w:multiLevelType w:val="hybridMultilevel"/>
    <w:tmpl w:val="D1786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D3871"/>
    <w:multiLevelType w:val="hybridMultilevel"/>
    <w:tmpl w:val="CEF07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25BEB"/>
    <w:multiLevelType w:val="hybridMultilevel"/>
    <w:tmpl w:val="2020F61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03987E3D"/>
    <w:multiLevelType w:val="hybridMultilevel"/>
    <w:tmpl w:val="E006F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1D5"/>
    <w:multiLevelType w:val="hybridMultilevel"/>
    <w:tmpl w:val="7ED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D3CCB"/>
    <w:multiLevelType w:val="hybridMultilevel"/>
    <w:tmpl w:val="1722FB84"/>
    <w:lvl w:ilvl="0" w:tplc="909675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B255E4"/>
    <w:multiLevelType w:val="hybridMultilevel"/>
    <w:tmpl w:val="5C468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93BC5"/>
    <w:multiLevelType w:val="hybridMultilevel"/>
    <w:tmpl w:val="B07C0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E0E96"/>
    <w:multiLevelType w:val="hybridMultilevel"/>
    <w:tmpl w:val="09B819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FD30A4"/>
    <w:multiLevelType w:val="hybridMultilevel"/>
    <w:tmpl w:val="975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04DDA"/>
    <w:multiLevelType w:val="hybridMultilevel"/>
    <w:tmpl w:val="E06E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46706D"/>
    <w:multiLevelType w:val="hybridMultilevel"/>
    <w:tmpl w:val="EE0AA65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46A5BF2"/>
    <w:multiLevelType w:val="hybridMultilevel"/>
    <w:tmpl w:val="270EA3A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4C6CF7"/>
    <w:multiLevelType w:val="hybridMultilevel"/>
    <w:tmpl w:val="C69CED2E"/>
    <w:lvl w:ilvl="0" w:tplc="C4DE06D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404C29"/>
    <w:multiLevelType w:val="hybridMultilevel"/>
    <w:tmpl w:val="6EAEA7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4C0989"/>
    <w:multiLevelType w:val="hybridMultilevel"/>
    <w:tmpl w:val="4998B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FE565A"/>
    <w:multiLevelType w:val="hybridMultilevel"/>
    <w:tmpl w:val="F32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8678D"/>
    <w:multiLevelType w:val="hybridMultilevel"/>
    <w:tmpl w:val="4A2E492E"/>
    <w:lvl w:ilvl="0" w:tplc="C1903D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1A0F3E"/>
    <w:multiLevelType w:val="hybridMultilevel"/>
    <w:tmpl w:val="FD6A9610"/>
    <w:lvl w:ilvl="0" w:tplc="04090001">
      <w:start w:val="1"/>
      <w:numFmt w:val="bullet"/>
      <w:lvlText w:val=""/>
      <w:lvlJc w:val="left"/>
      <w:pPr>
        <w:ind w:left="420" w:hanging="360"/>
      </w:pPr>
      <w:rPr>
        <w:rFonts w:ascii="Symbol" w:hAnsi="Symbol"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2F1E5BAF"/>
    <w:multiLevelType w:val="hybridMultilevel"/>
    <w:tmpl w:val="30C0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86671A"/>
    <w:multiLevelType w:val="hybridMultilevel"/>
    <w:tmpl w:val="E07CA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BD1C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D53764"/>
    <w:multiLevelType w:val="hybridMultilevel"/>
    <w:tmpl w:val="8000F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F64302"/>
    <w:multiLevelType w:val="hybridMultilevel"/>
    <w:tmpl w:val="3B12AA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845015"/>
    <w:multiLevelType w:val="hybridMultilevel"/>
    <w:tmpl w:val="F8B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7776CF"/>
    <w:multiLevelType w:val="hybridMultilevel"/>
    <w:tmpl w:val="CDA6CE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9628E4"/>
    <w:multiLevelType w:val="hybridMultilevel"/>
    <w:tmpl w:val="64020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721E3"/>
    <w:multiLevelType w:val="hybridMultilevel"/>
    <w:tmpl w:val="8CA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825897"/>
    <w:multiLevelType w:val="hybridMultilevel"/>
    <w:tmpl w:val="1FD8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BB42C6"/>
    <w:multiLevelType w:val="hybridMultilevel"/>
    <w:tmpl w:val="D8EA46B6"/>
    <w:lvl w:ilvl="0" w:tplc="E3A0F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B649B"/>
    <w:multiLevelType w:val="hybridMultilevel"/>
    <w:tmpl w:val="9486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91C94"/>
    <w:multiLevelType w:val="hybridMultilevel"/>
    <w:tmpl w:val="AE544E0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5E9774C"/>
    <w:multiLevelType w:val="hybridMultilevel"/>
    <w:tmpl w:val="D13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671C9C"/>
    <w:multiLevelType w:val="hybridMultilevel"/>
    <w:tmpl w:val="8FD2EB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68443DDE"/>
    <w:multiLevelType w:val="hybridMultilevel"/>
    <w:tmpl w:val="9BD858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61497F"/>
    <w:multiLevelType w:val="hybridMultilevel"/>
    <w:tmpl w:val="AD4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12705"/>
    <w:multiLevelType w:val="hybridMultilevel"/>
    <w:tmpl w:val="987E8B96"/>
    <w:lvl w:ilvl="0" w:tplc="9DD47556">
      <w:start w:val="1"/>
      <w:numFmt w:val="decimal"/>
      <w:pStyle w:val="Heading2"/>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03C7E62"/>
    <w:multiLevelType w:val="hybridMultilevel"/>
    <w:tmpl w:val="7FA68DA2"/>
    <w:lvl w:ilvl="0" w:tplc="139A5B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265DA"/>
    <w:multiLevelType w:val="hybridMultilevel"/>
    <w:tmpl w:val="484E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4A76CB"/>
    <w:multiLevelType w:val="hybridMultilevel"/>
    <w:tmpl w:val="1D84B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EA0550"/>
    <w:multiLevelType w:val="hybridMultilevel"/>
    <w:tmpl w:val="6A141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7C5B5B"/>
    <w:multiLevelType w:val="hybridMultilevel"/>
    <w:tmpl w:val="7194D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8"/>
  </w:num>
  <w:num w:numId="3">
    <w:abstractNumId w:val="14"/>
  </w:num>
  <w:num w:numId="4">
    <w:abstractNumId w:val="11"/>
  </w:num>
  <w:num w:numId="5">
    <w:abstractNumId w:val="34"/>
  </w:num>
  <w:num w:numId="6">
    <w:abstractNumId w:val="20"/>
  </w:num>
  <w:num w:numId="7">
    <w:abstractNumId w:val="26"/>
  </w:num>
  <w:num w:numId="8">
    <w:abstractNumId w:val="21"/>
  </w:num>
  <w:num w:numId="9">
    <w:abstractNumId w:val="16"/>
  </w:num>
  <w:num w:numId="10">
    <w:abstractNumId w:val="23"/>
  </w:num>
  <w:num w:numId="11">
    <w:abstractNumId w:val="22"/>
  </w:num>
  <w:num w:numId="12">
    <w:abstractNumId w:val="8"/>
  </w:num>
  <w:num w:numId="13">
    <w:abstractNumId w:val="43"/>
  </w:num>
  <w:num w:numId="14">
    <w:abstractNumId w:val="17"/>
  </w:num>
  <w:num w:numId="15">
    <w:abstractNumId w:val="36"/>
  </w:num>
  <w:num w:numId="16">
    <w:abstractNumId w:val="28"/>
  </w:num>
  <w:num w:numId="17">
    <w:abstractNumId w:val="25"/>
  </w:num>
  <w:num w:numId="18">
    <w:abstractNumId w:val="4"/>
  </w:num>
  <w:num w:numId="19">
    <w:abstractNumId w:val="15"/>
  </w:num>
  <w:num w:numId="20">
    <w:abstractNumId w:val="2"/>
  </w:num>
  <w:num w:numId="21">
    <w:abstractNumId w:val="39"/>
  </w:num>
  <w:num w:numId="22">
    <w:abstractNumId w:val="19"/>
  </w:num>
  <w:num w:numId="23">
    <w:abstractNumId w:val="6"/>
  </w:num>
  <w:num w:numId="24">
    <w:abstractNumId w:val="13"/>
  </w:num>
  <w:num w:numId="25">
    <w:abstractNumId w:val="1"/>
  </w:num>
  <w:num w:numId="26">
    <w:abstractNumId w:val="27"/>
  </w:num>
  <w:num w:numId="27">
    <w:abstractNumId w:val="30"/>
  </w:num>
  <w:num w:numId="28">
    <w:abstractNumId w:val="7"/>
  </w:num>
  <w:num w:numId="29">
    <w:abstractNumId w:val="41"/>
  </w:num>
  <w:num w:numId="30">
    <w:abstractNumId w:val="0"/>
  </w:num>
  <w:num w:numId="31">
    <w:abstractNumId w:val="9"/>
  </w:num>
  <w:num w:numId="32">
    <w:abstractNumId w:val="42"/>
  </w:num>
  <w:num w:numId="33">
    <w:abstractNumId w:val="12"/>
  </w:num>
  <w:num w:numId="34">
    <w:abstractNumId w:val="32"/>
  </w:num>
  <w:num w:numId="35">
    <w:abstractNumId w:val="33"/>
  </w:num>
  <w:num w:numId="36">
    <w:abstractNumId w:val="24"/>
  </w:num>
  <w:num w:numId="37">
    <w:abstractNumId w:val="37"/>
  </w:num>
  <w:num w:numId="38">
    <w:abstractNumId w:val="3"/>
  </w:num>
  <w:num w:numId="39">
    <w:abstractNumId w:val="18"/>
  </w:num>
  <w:num w:numId="40">
    <w:abstractNumId w:val="1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9"/>
  </w:num>
  <w:num w:numId="44">
    <w:abstractNumId w:val="40"/>
  </w:num>
  <w:num w:numId="45">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D8"/>
    <w:rsid w:val="000036E5"/>
    <w:rsid w:val="0000540C"/>
    <w:rsid w:val="0000704C"/>
    <w:rsid w:val="0000727A"/>
    <w:rsid w:val="00007506"/>
    <w:rsid w:val="000101AD"/>
    <w:rsid w:val="000106E5"/>
    <w:rsid w:val="00011C31"/>
    <w:rsid w:val="00012BEC"/>
    <w:rsid w:val="000201F5"/>
    <w:rsid w:val="000211C2"/>
    <w:rsid w:val="00021EF0"/>
    <w:rsid w:val="00022B2F"/>
    <w:rsid w:val="00023FFD"/>
    <w:rsid w:val="00027900"/>
    <w:rsid w:val="00030DD9"/>
    <w:rsid w:val="00033D06"/>
    <w:rsid w:val="00035C09"/>
    <w:rsid w:val="00042107"/>
    <w:rsid w:val="00042F11"/>
    <w:rsid w:val="00044EF3"/>
    <w:rsid w:val="00045419"/>
    <w:rsid w:val="00045503"/>
    <w:rsid w:val="00050CC5"/>
    <w:rsid w:val="000511C5"/>
    <w:rsid w:val="0005270E"/>
    <w:rsid w:val="00052B46"/>
    <w:rsid w:val="00053186"/>
    <w:rsid w:val="0005422A"/>
    <w:rsid w:val="0005537F"/>
    <w:rsid w:val="000562ED"/>
    <w:rsid w:val="00060100"/>
    <w:rsid w:val="00060901"/>
    <w:rsid w:val="0006117A"/>
    <w:rsid w:val="000613B4"/>
    <w:rsid w:val="00063831"/>
    <w:rsid w:val="00066A42"/>
    <w:rsid w:val="00072A35"/>
    <w:rsid w:val="00072E3B"/>
    <w:rsid w:val="00076AA1"/>
    <w:rsid w:val="00076AAF"/>
    <w:rsid w:val="00076DA3"/>
    <w:rsid w:val="00082211"/>
    <w:rsid w:val="00082A13"/>
    <w:rsid w:val="00085786"/>
    <w:rsid w:val="000865C8"/>
    <w:rsid w:val="0009017A"/>
    <w:rsid w:val="000906B8"/>
    <w:rsid w:val="000913B7"/>
    <w:rsid w:val="00091AE5"/>
    <w:rsid w:val="0009380B"/>
    <w:rsid w:val="0009448D"/>
    <w:rsid w:val="00096372"/>
    <w:rsid w:val="00096431"/>
    <w:rsid w:val="00096B65"/>
    <w:rsid w:val="00097DAB"/>
    <w:rsid w:val="000A2C1A"/>
    <w:rsid w:val="000A3191"/>
    <w:rsid w:val="000A3405"/>
    <w:rsid w:val="000A49EE"/>
    <w:rsid w:val="000A537F"/>
    <w:rsid w:val="000B1471"/>
    <w:rsid w:val="000B1B5C"/>
    <w:rsid w:val="000B26F8"/>
    <w:rsid w:val="000B4C53"/>
    <w:rsid w:val="000B50D8"/>
    <w:rsid w:val="000B7AF7"/>
    <w:rsid w:val="000C02D4"/>
    <w:rsid w:val="000C06FE"/>
    <w:rsid w:val="000C12DF"/>
    <w:rsid w:val="000C3D60"/>
    <w:rsid w:val="000C4403"/>
    <w:rsid w:val="000C7429"/>
    <w:rsid w:val="000D1F14"/>
    <w:rsid w:val="000D7E8C"/>
    <w:rsid w:val="000D7F8E"/>
    <w:rsid w:val="000E2245"/>
    <w:rsid w:val="000E26F1"/>
    <w:rsid w:val="000E6710"/>
    <w:rsid w:val="000E77A4"/>
    <w:rsid w:val="000F276F"/>
    <w:rsid w:val="000F2A9E"/>
    <w:rsid w:val="000F3233"/>
    <w:rsid w:val="000F3BB1"/>
    <w:rsid w:val="000F4CD1"/>
    <w:rsid w:val="000F51B0"/>
    <w:rsid w:val="000F54B4"/>
    <w:rsid w:val="000F7E49"/>
    <w:rsid w:val="00101251"/>
    <w:rsid w:val="00101A1E"/>
    <w:rsid w:val="001039E9"/>
    <w:rsid w:val="0010428B"/>
    <w:rsid w:val="00104C86"/>
    <w:rsid w:val="00106394"/>
    <w:rsid w:val="001108D2"/>
    <w:rsid w:val="001115E5"/>
    <w:rsid w:val="001126E1"/>
    <w:rsid w:val="00113E74"/>
    <w:rsid w:val="0011606A"/>
    <w:rsid w:val="00117C06"/>
    <w:rsid w:val="00120943"/>
    <w:rsid w:val="001231A0"/>
    <w:rsid w:val="00123950"/>
    <w:rsid w:val="00123ADA"/>
    <w:rsid w:val="00124B14"/>
    <w:rsid w:val="00124CDF"/>
    <w:rsid w:val="001251ED"/>
    <w:rsid w:val="00126324"/>
    <w:rsid w:val="0012696A"/>
    <w:rsid w:val="0013017A"/>
    <w:rsid w:val="00131542"/>
    <w:rsid w:val="001341E7"/>
    <w:rsid w:val="00134C80"/>
    <w:rsid w:val="00134D8D"/>
    <w:rsid w:val="00135AA5"/>
    <w:rsid w:val="0013693D"/>
    <w:rsid w:val="00137E63"/>
    <w:rsid w:val="0014104D"/>
    <w:rsid w:val="001415D0"/>
    <w:rsid w:val="0014371E"/>
    <w:rsid w:val="00145919"/>
    <w:rsid w:val="00145DB2"/>
    <w:rsid w:val="00153605"/>
    <w:rsid w:val="001543E2"/>
    <w:rsid w:val="00155226"/>
    <w:rsid w:val="001560FF"/>
    <w:rsid w:val="0015619C"/>
    <w:rsid w:val="0015621B"/>
    <w:rsid w:val="001579A7"/>
    <w:rsid w:val="00160485"/>
    <w:rsid w:val="001652ED"/>
    <w:rsid w:val="00165621"/>
    <w:rsid w:val="00165C4A"/>
    <w:rsid w:val="001731D0"/>
    <w:rsid w:val="00174259"/>
    <w:rsid w:val="00174AD9"/>
    <w:rsid w:val="00175A38"/>
    <w:rsid w:val="0018169A"/>
    <w:rsid w:val="00183AA1"/>
    <w:rsid w:val="00183DD6"/>
    <w:rsid w:val="0018526B"/>
    <w:rsid w:val="00186998"/>
    <w:rsid w:val="00187BF4"/>
    <w:rsid w:val="001912FC"/>
    <w:rsid w:val="0019236E"/>
    <w:rsid w:val="001946AE"/>
    <w:rsid w:val="001971F6"/>
    <w:rsid w:val="0019755C"/>
    <w:rsid w:val="001A1DE7"/>
    <w:rsid w:val="001A2D3D"/>
    <w:rsid w:val="001A4FD7"/>
    <w:rsid w:val="001A5A5F"/>
    <w:rsid w:val="001A60A5"/>
    <w:rsid w:val="001B054F"/>
    <w:rsid w:val="001B168D"/>
    <w:rsid w:val="001B23C2"/>
    <w:rsid w:val="001B37AD"/>
    <w:rsid w:val="001B46B9"/>
    <w:rsid w:val="001B5249"/>
    <w:rsid w:val="001B6946"/>
    <w:rsid w:val="001B6A65"/>
    <w:rsid w:val="001B7A87"/>
    <w:rsid w:val="001C1EDE"/>
    <w:rsid w:val="001C3147"/>
    <w:rsid w:val="001C3149"/>
    <w:rsid w:val="001C3AA6"/>
    <w:rsid w:val="001C413E"/>
    <w:rsid w:val="001D1836"/>
    <w:rsid w:val="001D5D28"/>
    <w:rsid w:val="001E2FFF"/>
    <w:rsid w:val="001E53F6"/>
    <w:rsid w:val="001E748D"/>
    <w:rsid w:val="001F0003"/>
    <w:rsid w:val="001F31EC"/>
    <w:rsid w:val="001F3528"/>
    <w:rsid w:val="001F760C"/>
    <w:rsid w:val="001F7CFD"/>
    <w:rsid w:val="00200379"/>
    <w:rsid w:val="0020067C"/>
    <w:rsid w:val="00201004"/>
    <w:rsid w:val="0020202C"/>
    <w:rsid w:val="00206AF2"/>
    <w:rsid w:val="00210709"/>
    <w:rsid w:val="002136DB"/>
    <w:rsid w:val="00215CF1"/>
    <w:rsid w:val="00215CF8"/>
    <w:rsid w:val="002174E9"/>
    <w:rsid w:val="00217D24"/>
    <w:rsid w:val="0022094B"/>
    <w:rsid w:val="00222073"/>
    <w:rsid w:val="002248B6"/>
    <w:rsid w:val="00224CB2"/>
    <w:rsid w:val="00224FDD"/>
    <w:rsid w:val="002266C0"/>
    <w:rsid w:val="0022740A"/>
    <w:rsid w:val="0022764E"/>
    <w:rsid w:val="0023217E"/>
    <w:rsid w:val="00232E74"/>
    <w:rsid w:val="00233248"/>
    <w:rsid w:val="002339F3"/>
    <w:rsid w:val="00234081"/>
    <w:rsid w:val="00235066"/>
    <w:rsid w:val="00235952"/>
    <w:rsid w:val="00236D6F"/>
    <w:rsid w:val="00242888"/>
    <w:rsid w:val="00245332"/>
    <w:rsid w:val="00246289"/>
    <w:rsid w:val="00250DB5"/>
    <w:rsid w:val="00252215"/>
    <w:rsid w:val="00254668"/>
    <w:rsid w:val="00255416"/>
    <w:rsid w:val="00257253"/>
    <w:rsid w:val="00260C53"/>
    <w:rsid w:val="0026546F"/>
    <w:rsid w:val="002729FD"/>
    <w:rsid w:val="0027329C"/>
    <w:rsid w:val="002744DB"/>
    <w:rsid w:val="002778BA"/>
    <w:rsid w:val="00280CEC"/>
    <w:rsid w:val="00281A8F"/>
    <w:rsid w:val="00284649"/>
    <w:rsid w:val="00284C01"/>
    <w:rsid w:val="00286340"/>
    <w:rsid w:val="00286751"/>
    <w:rsid w:val="002871F2"/>
    <w:rsid w:val="00287EFA"/>
    <w:rsid w:val="00291013"/>
    <w:rsid w:val="002921A1"/>
    <w:rsid w:val="00293C78"/>
    <w:rsid w:val="002943F9"/>
    <w:rsid w:val="00295201"/>
    <w:rsid w:val="00296D70"/>
    <w:rsid w:val="00297E59"/>
    <w:rsid w:val="002A1630"/>
    <w:rsid w:val="002A18BE"/>
    <w:rsid w:val="002A1BEF"/>
    <w:rsid w:val="002A3933"/>
    <w:rsid w:val="002A3F17"/>
    <w:rsid w:val="002A51DE"/>
    <w:rsid w:val="002B24A5"/>
    <w:rsid w:val="002B2D03"/>
    <w:rsid w:val="002B2FD2"/>
    <w:rsid w:val="002B35EB"/>
    <w:rsid w:val="002B3C82"/>
    <w:rsid w:val="002B67D8"/>
    <w:rsid w:val="002D055F"/>
    <w:rsid w:val="002D0B83"/>
    <w:rsid w:val="002D2457"/>
    <w:rsid w:val="002D4F0D"/>
    <w:rsid w:val="002D509E"/>
    <w:rsid w:val="002D65BA"/>
    <w:rsid w:val="002D720A"/>
    <w:rsid w:val="002E1B6E"/>
    <w:rsid w:val="002E204A"/>
    <w:rsid w:val="002E3691"/>
    <w:rsid w:val="002E559C"/>
    <w:rsid w:val="002E6519"/>
    <w:rsid w:val="002E6E62"/>
    <w:rsid w:val="002E700F"/>
    <w:rsid w:val="002F0033"/>
    <w:rsid w:val="002F4A26"/>
    <w:rsid w:val="002F5A11"/>
    <w:rsid w:val="002F5BE3"/>
    <w:rsid w:val="002F6EA8"/>
    <w:rsid w:val="0030183D"/>
    <w:rsid w:val="00301A90"/>
    <w:rsid w:val="00303EFE"/>
    <w:rsid w:val="003040D5"/>
    <w:rsid w:val="00304F1F"/>
    <w:rsid w:val="00305525"/>
    <w:rsid w:val="00305629"/>
    <w:rsid w:val="00305FD3"/>
    <w:rsid w:val="0030687C"/>
    <w:rsid w:val="00306935"/>
    <w:rsid w:val="0030768F"/>
    <w:rsid w:val="003120FB"/>
    <w:rsid w:val="00314561"/>
    <w:rsid w:val="00315B20"/>
    <w:rsid w:val="00315DE0"/>
    <w:rsid w:val="0031634E"/>
    <w:rsid w:val="0031672D"/>
    <w:rsid w:val="00317968"/>
    <w:rsid w:val="00320019"/>
    <w:rsid w:val="00320DA6"/>
    <w:rsid w:val="003210B7"/>
    <w:rsid w:val="003216F3"/>
    <w:rsid w:val="00321B42"/>
    <w:rsid w:val="00321E9F"/>
    <w:rsid w:val="003250E5"/>
    <w:rsid w:val="003256A7"/>
    <w:rsid w:val="003278F8"/>
    <w:rsid w:val="00330A5C"/>
    <w:rsid w:val="003311E3"/>
    <w:rsid w:val="003320C0"/>
    <w:rsid w:val="00332EE2"/>
    <w:rsid w:val="00336091"/>
    <w:rsid w:val="00336229"/>
    <w:rsid w:val="003373DB"/>
    <w:rsid w:val="00346BF5"/>
    <w:rsid w:val="00350E07"/>
    <w:rsid w:val="00351BE7"/>
    <w:rsid w:val="00353EDE"/>
    <w:rsid w:val="00354881"/>
    <w:rsid w:val="003556B3"/>
    <w:rsid w:val="0035627A"/>
    <w:rsid w:val="00356AAF"/>
    <w:rsid w:val="00357B13"/>
    <w:rsid w:val="00361122"/>
    <w:rsid w:val="003620AF"/>
    <w:rsid w:val="00362443"/>
    <w:rsid w:val="003635CB"/>
    <w:rsid w:val="00363BEE"/>
    <w:rsid w:val="00364341"/>
    <w:rsid w:val="00366D1C"/>
    <w:rsid w:val="00366DBC"/>
    <w:rsid w:val="00367370"/>
    <w:rsid w:val="00367F3C"/>
    <w:rsid w:val="003717E9"/>
    <w:rsid w:val="00372049"/>
    <w:rsid w:val="00372399"/>
    <w:rsid w:val="003724D4"/>
    <w:rsid w:val="003818B1"/>
    <w:rsid w:val="00381C75"/>
    <w:rsid w:val="00381FEC"/>
    <w:rsid w:val="0038245F"/>
    <w:rsid w:val="00382AA7"/>
    <w:rsid w:val="00382C5B"/>
    <w:rsid w:val="00383FB6"/>
    <w:rsid w:val="0038418C"/>
    <w:rsid w:val="00385819"/>
    <w:rsid w:val="003859E2"/>
    <w:rsid w:val="00385EFC"/>
    <w:rsid w:val="00386C18"/>
    <w:rsid w:val="00387BF1"/>
    <w:rsid w:val="00390142"/>
    <w:rsid w:val="0039311A"/>
    <w:rsid w:val="00397071"/>
    <w:rsid w:val="00397324"/>
    <w:rsid w:val="003976C8"/>
    <w:rsid w:val="00397C73"/>
    <w:rsid w:val="003A04B2"/>
    <w:rsid w:val="003A08A3"/>
    <w:rsid w:val="003A185A"/>
    <w:rsid w:val="003A1FAD"/>
    <w:rsid w:val="003A3A25"/>
    <w:rsid w:val="003A4D58"/>
    <w:rsid w:val="003A5105"/>
    <w:rsid w:val="003A5B6E"/>
    <w:rsid w:val="003A660E"/>
    <w:rsid w:val="003A6B64"/>
    <w:rsid w:val="003A7482"/>
    <w:rsid w:val="003A7D1B"/>
    <w:rsid w:val="003A7D34"/>
    <w:rsid w:val="003B035D"/>
    <w:rsid w:val="003B1EC8"/>
    <w:rsid w:val="003B341B"/>
    <w:rsid w:val="003B40BF"/>
    <w:rsid w:val="003B4CB7"/>
    <w:rsid w:val="003B583D"/>
    <w:rsid w:val="003B629B"/>
    <w:rsid w:val="003C13D0"/>
    <w:rsid w:val="003C2E98"/>
    <w:rsid w:val="003C3270"/>
    <w:rsid w:val="003C54D0"/>
    <w:rsid w:val="003C573D"/>
    <w:rsid w:val="003C5D8C"/>
    <w:rsid w:val="003C5DA7"/>
    <w:rsid w:val="003D0038"/>
    <w:rsid w:val="003D0E59"/>
    <w:rsid w:val="003D11F9"/>
    <w:rsid w:val="003D1958"/>
    <w:rsid w:val="003D261C"/>
    <w:rsid w:val="003D4F1C"/>
    <w:rsid w:val="003D6A0D"/>
    <w:rsid w:val="003D7233"/>
    <w:rsid w:val="003E0617"/>
    <w:rsid w:val="003E098B"/>
    <w:rsid w:val="003E2A3A"/>
    <w:rsid w:val="003E3239"/>
    <w:rsid w:val="003E58B4"/>
    <w:rsid w:val="003E7E64"/>
    <w:rsid w:val="003F5D95"/>
    <w:rsid w:val="003F5F5B"/>
    <w:rsid w:val="003F6470"/>
    <w:rsid w:val="003F7434"/>
    <w:rsid w:val="004016F6"/>
    <w:rsid w:val="004046E6"/>
    <w:rsid w:val="0040548B"/>
    <w:rsid w:val="00406B0C"/>
    <w:rsid w:val="00406FCA"/>
    <w:rsid w:val="0040701F"/>
    <w:rsid w:val="004118E6"/>
    <w:rsid w:val="00412C54"/>
    <w:rsid w:val="00416D46"/>
    <w:rsid w:val="004306CA"/>
    <w:rsid w:val="00431850"/>
    <w:rsid w:val="00432D32"/>
    <w:rsid w:val="004338D0"/>
    <w:rsid w:val="004339A7"/>
    <w:rsid w:val="004341DA"/>
    <w:rsid w:val="00436516"/>
    <w:rsid w:val="00442CAB"/>
    <w:rsid w:val="00445B4C"/>
    <w:rsid w:val="004473EE"/>
    <w:rsid w:val="00450F52"/>
    <w:rsid w:val="0045278B"/>
    <w:rsid w:val="00454400"/>
    <w:rsid w:val="00456959"/>
    <w:rsid w:val="004576B7"/>
    <w:rsid w:val="00461177"/>
    <w:rsid w:val="00462C9A"/>
    <w:rsid w:val="0046713E"/>
    <w:rsid w:val="004725DA"/>
    <w:rsid w:val="00472734"/>
    <w:rsid w:val="00477828"/>
    <w:rsid w:val="004802F6"/>
    <w:rsid w:val="00481245"/>
    <w:rsid w:val="00482D2D"/>
    <w:rsid w:val="00483C7F"/>
    <w:rsid w:val="004850D1"/>
    <w:rsid w:val="00485E56"/>
    <w:rsid w:val="004864C5"/>
    <w:rsid w:val="00486F1D"/>
    <w:rsid w:val="00487327"/>
    <w:rsid w:val="004907C8"/>
    <w:rsid w:val="0049097F"/>
    <w:rsid w:val="004922EA"/>
    <w:rsid w:val="00494E37"/>
    <w:rsid w:val="00497510"/>
    <w:rsid w:val="004A1C5F"/>
    <w:rsid w:val="004A1F06"/>
    <w:rsid w:val="004A2E73"/>
    <w:rsid w:val="004B063C"/>
    <w:rsid w:val="004B066C"/>
    <w:rsid w:val="004B1391"/>
    <w:rsid w:val="004B1560"/>
    <w:rsid w:val="004B5655"/>
    <w:rsid w:val="004B765D"/>
    <w:rsid w:val="004B7D2A"/>
    <w:rsid w:val="004C03AD"/>
    <w:rsid w:val="004C47A8"/>
    <w:rsid w:val="004C650A"/>
    <w:rsid w:val="004D008C"/>
    <w:rsid w:val="004D1DA2"/>
    <w:rsid w:val="004D2B1A"/>
    <w:rsid w:val="004D3AD8"/>
    <w:rsid w:val="004D606D"/>
    <w:rsid w:val="004D67F1"/>
    <w:rsid w:val="004D7CCC"/>
    <w:rsid w:val="004E0F1A"/>
    <w:rsid w:val="004E29D2"/>
    <w:rsid w:val="004E35A2"/>
    <w:rsid w:val="004E4E18"/>
    <w:rsid w:val="004E5460"/>
    <w:rsid w:val="004F0408"/>
    <w:rsid w:val="004F11E2"/>
    <w:rsid w:val="004F1721"/>
    <w:rsid w:val="004F3ED3"/>
    <w:rsid w:val="004F3FF9"/>
    <w:rsid w:val="004F72F1"/>
    <w:rsid w:val="00502AF6"/>
    <w:rsid w:val="00503329"/>
    <w:rsid w:val="00503C0D"/>
    <w:rsid w:val="005040E8"/>
    <w:rsid w:val="005051D6"/>
    <w:rsid w:val="00510628"/>
    <w:rsid w:val="005146E4"/>
    <w:rsid w:val="00515A1D"/>
    <w:rsid w:val="00516447"/>
    <w:rsid w:val="0051658B"/>
    <w:rsid w:val="0052095A"/>
    <w:rsid w:val="00520EE2"/>
    <w:rsid w:val="00521EED"/>
    <w:rsid w:val="00523DD0"/>
    <w:rsid w:val="00524829"/>
    <w:rsid w:val="005252B6"/>
    <w:rsid w:val="0053531E"/>
    <w:rsid w:val="00535688"/>
    <w:rsid w:val="0053717D"/>
    <w:rsid w:val="0054089D"/>
    <w:rsid w:val="005425EB"/>
    <w:rsid w:val="0054453B"/>
    <w:rsid w:val="00544F8A"/>
    <w:rsid w:val="0054521D"/>
    <w:rsid w:val="00545DA4"/>
    <w:rsid w:val="005546E6"/>
    <w:rsid w:val="00554AF6"/>
    <w:rsid w:val="0055514B"/>
    <w:rsid w:val="00556271"/>
    <w:rsid w:val="00557776"/>
    <w:rsid w:val="005611E9"/>
    <w:rsid w:val="0056197E"/>
    <w:rsid w:val="00563570"/>
    <w:rsid w:val="00566A68"/>
    <w:rsid w:val="00572F3E"/>
    <w:rsid w:val="005744C3"/>
    <w:rsid w:val="00576206"/>
    <w:rsid w:val="0057635C"/>
    <w:rsid w:val="005763CE"/>
    <w:rsid w:val="00580E5A"/>
    <w:rsid w:val="00581FB8"/>
    <w:rsid w:val="00582173"/>
    <w:rsid w:val="005841CB"/>
    <w:rsid w:val="005900C8"/>
    <w:rsid w:val="0059208E"/>
    <w:rsid w:val="0059250D"/>
    <w:rsid w:val="005931AD"/>
    <w:rsid w:val="00594408"/>
    <w:rsid w:val="005958E3"/>
    <w:rsid w:val="00597D91"/>
    <w:rsid w:val="005A1CC3"/>
    <w:rsid w:val="005A1F79"/>
    <w:rsid w:val="005A5CD4"/>
    <w:rsid w:val="005A7F37"/>
    <w:rsid w:val="005B321B"/>
    <w:rsid w:val="005B6338"/>
    <w:rsid w:val="005B6C74"/>
    <w:rsid w:val="005B6FD6"/>
    <w:rsid w:val="005C074C"/>
    <w:rsid w:val="005C141F"/>
    <w:rsid w:val="005C27C0"/>
    <w:rsid w:val="005C2916"/>
    <w:rsid w:val="005C2AF1"/>
    <w:rsid w:val="005C31B0"/>
    <w:rsid w:val="005C529D"/>
    <w:rsid w:val="005C6A36"/>
    <w:rsid w:val="005C6BAC"/>
    <w:rsid w:val="005C72C2"/>
    <w:rsid w:val="005C73DE"/>
    <w:rsid w:val="005D1208"/>
    <w:rsid w:val="005D1A6D"/>
    <w:rsid w:val="005D21F0"/>
    <w:rsid w:val="005D2678"/>
    <w:rsid w:val="005D2C86"/>
    <w:rsid w:val="005D33E1"/>
    <w:rsid w:val="005D4C8F"/>
    <w:rsid w:val="005D5087"/>
    <w:rsid w:val="005D5431"/>
    <w:rsid w:val="005D5827"/>
    <w:rsid w:val="005D719A"/>
    <w:rsid w:val="005E04E9"/>
    <w:rsid w:val="005E3CF3"/>
    <w:rsid w:val="005E42C3"/>
    <w:rsid w:val="005E6DED"/>
    <w:rsid w:val="005E7551"/>
    <w:rsid w:val="005F1A22"/>
    <w:rsid w:val="005F29A8"/>
    <w:rsid w:val="005F35BA"/>
    <w:rsid w:val="005F420E"/>
    <w:rsid w:val="005F4A3A"/>
    <w:rsid w:val="005F5697"/>
    <w:rsid w:val="005F5C7C"/>
    <w:rsid w:val="005F7195"/>
    <w:rsid w:val="006011D9"/>
    <w:rsid w:val="00603CB0"/>
    <w:rsid w:val="00605DC4"/>
    <w:rsid w:val="00606029"/>
    <w:rsid w:val="0060639C"/>
    <w:rsid w:val="0061127B"/>
    <w:rsid w:val="0061157B"/>
    <w:rsid w:val="00612097"/>
    <w:rsid w:val="00613526"/>
    <w:rsid w:val="0062088F"/>
    <w:rsid w:val="00621E00"/>
    <w:rsid w:val="00624B32"/>
    <w:rsid w:val="00626E43"/>
    <w:rsid w:val="0063069E"/>
    <w:rsid w:val="00632CD6"/>
    <w:rsid w:val="006336CF"/>
    <w:rsid w:val="00641A95"/>
    <w:rsid w:val="0064273D"/>
    <w:rsid w:val="00645631"/>
    <w:rsid w:val="0064648C"/>
    <w:rsid w:val="006472C3"/>
    <w:rsid w:val="0065247A"/>
    <w:rsid w:val="00652C79"/>
    <w:rsid w:val="00653676"/>
    <w:rsid w:val="0065383C"/>
    <w:rsid w:val="00654778"/>
    <w:rsid w:val="0065503F"/>
    <w:rsid w:val="0065505F"/>
    <w:rsid w:val="0065740D"/>
    <w:rsid w:val="006601AB"/>
    <w:rsid w:val="00663310"/>
    <w:rsid w:val="006638CD"/>
    <w:rsid w:val="00663BC6"/>
    <w:rsid w:val="00665A76"/>
    <w:rsid w:val="00665CC7"/>
    <w:rsid w:val="00665D58"/>
    <w:rsid w:val="00667067"/>
    <w:rsid w:val="0067098C"/>
    <w:rsid w:val="0067171F"/>
    <w:rsid w:val="00673815"/>
    <w:rsid w:val="00675AAD"/>
    <w:rsid w:val="00676ECE"/>
    <w:rsid w:val="0067719A"/>
    <w:rsid w:val="00677827"/>
    <w:rsid w:val="00680076"/>
    <w:rsid w:val="0068023D"/>
    <w:rsid w:val="00680D6E"/>
    <w:rsid w:val="006824E4"/>
    <w:rsid w:val="00682852"/>
    <w:rsid w:val="006838AD"/>
    <w:rsid w:val="00684C90"/>
    <w:rsid w:val="00687EFA"/>
    <w:rsid w:val="00691CB6"/>
    <w:rsid w:val="0069418F"/>
    <w:rsid w:val="00695404"/>
    <w:rsid w:val="00695E24"/>
    <w:rsid w:val="00696CF5"/>
    <w:rsid w:val="006A03FB"/>
    <w:rsid w:val="006A2DC4"/>
    <w:rsid w:val="006A34D8"/>
    <w:rsid w:val="006A4FF4"/>
    <w:rsid w:val="006B0C46"/>
    <w:rsid w:val="006B1C0B"/>
    <w:rsid w:val="006B54E0"/>
    <w:rsid w:val="006B5999"/>
    <w:rsid w:val="006B603F"/>
    <w:rsid w:val="006B6239"/>
    <w:rsid w:val="006C1035"/>
    <w:rsid w:val="006C3287"/>
    <w:rsid w:val="006C3633"/>
    <w:rsid w:val="006D1213"/>
    <w:rsid w:val="006D1419"/>
    <w:rsid w:val="006D1701"/>
    <w:rsid w:val="006D387D"/>
    <w:rsid w:val="006D3CF2"/>
    <w:rsid w:val="006D468E"/>
    <w:rsid w:val="006D6D7A"/>
    <w:rsid w:val="006E4D2C"/>
    <w:rsid w:val="006E5C1B"/>
    <w:rsid w:val="006F01FB"/>
    <w:rsid w:val="006F0BBA"/>
    <w:rsid w:val="006F78BC"/>
    <w:rsid w:val="007002EC"/>
    <w:rsid w:val="007035E9"/>
    <w:rsid w:val="00704204"/>
    <w:rsid w:val="00704946"/>
    <w:rsid w:val="007057B4"/>
    <w:rsid w:val="00707609"/>
    <w:rsid w:val="00710362"/>
    <w:rsid w:val="00712537"/>
    <w:rsid w:val="00713A8E"/>
    <w:rsid w:val="00713E98"/>
    <w:rsid w:val="00714DED"/>
    <w:rsid w:val="007157FC"/>
    <w:rsid w:val="00715821"/>
    <w:rsid w:val="0072071B"/>
    <w:rsid w:val="0072170B"/>
    <w:rsid w:val="0072378C"/>
    <w:rsid w:val="00723DAA"/>
    <w:rsid w:val="0072736E"/>
    <w:rsid w:val="00735433"/>
    <w:rsid w:val="0074050D"/>
    <w:rsid w:val="00742999"/>
    <w:rsid w:val="00744B1D"/>
    <w:rsid w:val="00744EC9"/>
    <w:rsid w:val="00745205"/>
    <w:rsid w:val="007510A6"/>
    <w:rsid w:val="0075421E"/>
    <w:rsid w:val="00754CCA"/>
    <w:rsid w:val="00754DBD"/>
    <w:rsid w:val="00756F44"/>
    <w:rsid w:val="007606C4"/>
    <w:rsid w:val="00760E73"/>
    <w:rsid w:val="00761223"/>
    <w:rsid w:val="007631EB"/>
    <w:rsid w:val="00764E71"/>
    <w:rsid w:val="00765EA7"/>
    <w:rsid w:val="00766EA4"/>
    <w:rsid w:val="00773C80"/>
    <w:rsid w:val="00774E49"/>
    <w:rsid w:val="00776325"/>
    <w:rsid w:val="00777373"/>
    <w:rsid w:val="00777C62"/>
    <w:rsid w:val="00783580"/>
    <w:rsid w:val="00792142"/>
    <w:rsid w:val="00792520"/>
    <w:rsid w:val="007927A1"/>
    <w:rsid w:val="00792950"/>
    <w:rsid w:val="0079487B"/>
    <w:rsid w:val="007953AA"/>
    <w:rsid w:val="0079592D"/>
    <w:rsid w:val="0079679C"/>
    <w:rsid w:val="0079792A"/>
    <w:rsid w:val="00797DC9"/>
    <w:rsid w:val="007A05B2"/>
    <w:rsid w:val="007A098C"/>
    <w:rsid w:val="007A09AA"/>
    <w:rsid w:val="007A15FD"/>
    <w:rsid w:val="007A1626"/>
    <w:rsid w:val="007A1A27"/>
    <w:rsid w:val="007A20DE"/>
    <w:rsid w:val="007A31B2"/>
    <w:rsid w:val="007B35EE"/>
    <w:rsid w:val="007B3637"/>
    <w:rsid w:val="007B65A4"/>
    <w:rsid w:val="007B7986"/>
    <w:rsid w:val="007C23C5"/>
    <w:rsid w:val="007D104B"/>
    <w:rsid w:val="007D1CA6"/>
    <w:rsid w:val="007D1EF3"/>
    <w:rsid w:val="007D3226"/>
    <w:rsid w:val="007D39ED"/>
    <w:rsid w:val="007D44AC"/>
    <w:rsid w:val="007D68DB"/>
    <w:rsid w:val="007D6ADF"/>
    <w:rsid w:val="007D753D"/>
    <w:rsid w:val="007D7B2A"/>
    <w:rsid w:val="007E0748"/>
    <w:rsid w:val="007E2C3E"/>
    <w:rsid w:val="007E37C1"/>
    <w:rsid w:val="007E3EE5"/>
    <w:rsid w:val="007E4385"/>
    <w:rsid w:val="007E6BCF"/>
    <w:rsid w:val="007F427C"/>
    <w:rsid w:val="007F785E"/>
    <w:rsid w:val="00800180"/>
    <w:rsid w:val="00801DC9"/>
    <w:rsid w:val="00803BF3"/>
    <w:rsid w:val="008042BA"/>
    <w:rsid w:val="008042ED"/>
    <w:rsid w:val="00805194"/>
    <w:rsid w:val="00807D36"/>
    <w:rsid w:val="00815071"/>
    <w:rsid w:val="00817C54"/>
    <w:rsid w:val="00820131"/>
    <w:rsid w:val="00820818"/>
    <w:rsid w:val="00822226"/>
    <w:rsid w:val="00823E82"/>
    <w:rsid w:val="00824AF8"/>
    <w:rsid w:val="00831E74"/>
    <w:rsid w:val="00833A58"/>
    <w:rsid w:val="00833BAC"/>
    <w:rsid w:val="008343A0"/>
    <w:rsid w:val="0083452B"/>
    <w:rsid w:val="008437F4"/>
    <w:rsid w:val="00845F8D"/>
    <w:rsid w:val="0084650C"/>
    <w:rsid w:val="008478AA"/>
    <w:rsid w:val="00847D6B"/>
    <w:rsid w:val="00850B3B"/>
    <w:rsid w:val="00850CD5"/>
    <w:rsid w:val="0085122F"/>
    <w:rsid w:val="0085225C"/>
    <w:rsid w:val="00854D31"/>
    <w:rsid w:val="0085616C"/>
    <w:rsid w:val="0085683E"/>
    <w:rsid w:val="00860A6D"/>
    <w:rsid w:val="00861018"/>
    <w:rsid w:val="008613A7"/>
    <w:rsid w:val="00862230"/>
    <w:rsid w:val="00862981"/>
    <w:rsid w:val="008636CB"/>
    <w:rsid w:val="00864AA1"/>
    <w:rsid w:val="008650FE"/>
    <w:rsid w:val="00865399"/>
    <w:rsid w:val="0086548C"/>
    <w:rsid w:val="00865C45"/>
    <w:rsid w:val="00876D56"/>
    <w:rsid w:val="008774E0"/>
    <w:rsid w:val="00877E42"/>
    <w:rsid w:val="00880AD9"/>
    <w:rsid w:val="008841DC"/>
    <w:rsid w:val="00884504"/>
    <w:rsid w:val="0088538D"/>
    <w:rsid w:val="0088645B"/>
    <w:rsid w:val="00887506"/>
    <w:rsid w:val="00887653"/>
    <w:rsid w:val="00890C4D"/>
    <w:rsid w:val="00891C32"/>
    <w:rsid w:val="00894208"/>
    <w:rsid w:val="008943AF"/>
    <w:rsid w:val="00894A7E"/>
    <w:rsid w:val="00895834"/>
    <w:rsid w:val="00897479"/>
    <w:rsid w:val="008A1401"/>
    <w:rsid w:val="008A3AF6"/>
    <w:rsid w:val="008A448C"/>
    <w:rsid w:val="008A4AA9"/>
    <w:rsid w:val="008A69C7"/>
    <w:rsid w:val="008A7D50"/>
    <w:rsid w:val="008B2198"/>
    <w:rsid w:val="008B63E7"/>
    <w:rsid w:val="008B6F36"/>
    <w:rsid w:val="008C1741"/>
    <w:rsid w:val="008C27F6"/>
    <w:rsid w:val="008C4C6D"/>
    <w:rsid w:val="008D06BF"/>
    <w:rsid w:val="008D338E"/>
    <w:rsid w:val="008D5E4C"/>
    <w:rsid w:val="008D6FFD"/>
    <w:rsid w:val="008D74AD"/>
    <w:rsid w:val="008D74F3"/>
    <w:rsid w:val="008E05C5"/>
    <w:rsid w:val="008E0E0D"/>
    <w:rsid w:val="008E0EDA"/>
    <w:rsid w:val="008E2DDD"/>
    <w:rsid w:val="008E6BF8"/>
    <w:rsid w:val="008E6C3A"/>
    <w:rsid w:val="008E6C70"/>
    <w:rsid w:val="008E71EA"/>
    <w:rsid w:val="008F2DD4"/>
    <w:rsid w:val="008F360C"/>
    <w:rsid w:val="008F422C"/>
    <w:rsid w:val="008F43D5"/>
    <w:rsid w:val="008F5A27"/>
    <w:rsid w:val="00900597"/>
    <w:rsid w:val="00900639"/>
    <w:rsid w:val="00901A8E"/>
    <w:rsid w:val="00901E40"/>
    <w:rsid w:val="00902C4B"/>
    <w:rsid w:val="00902F3E"/>
    <w:rsid w:val="00904228"/>
    <w:rsid w:val="00907C07"/>
    <w:rsid w:val="00910905"/>
    <w:rsid w:val="00911353"/>
    <w:rsid w:val="0091421A"/>
    <w:rsid w:val="0091450F"/>
    <w:rsid w:val="00920D63"/>
    <w:rsid w:val="0092425C"/>
    <w:rsid w:val="0092710F"/>
    <w:rsid w:val="00931734"/>
    <w:rsid w:val="00932B15"/>
    <w:rsid w:val="009331F0"/>
    <w:rsid w:val="009337A2"/>
    <w:rsid w:val="00933812"/>
    <w:rsid w:val="00933ABF"/>
    <w:rsid w:val="0093486B"/>
    <w:rsid w:val="009355CF"/>
    <w:rsid w:val="0093563A"/>
    <w:rsid w:val="0093723B"/>
    <w:rsid w:val="00937943"/>
    <w:rsid w:val="00940E8D"/>
    <w:rsid w:val="0094136E"/>
    <w:rsid w:val="009454FC"/>
    <w:rsid w:val="0094627C"/>
    <w:rsid w:val="00947C15"/>
    <w:rsid w:val="0095019A"/>
    <w:rsid w:val="0095249B"/>
    <w:rsid w:val="00953C97"/>
    <w:rsid w:val="00957212"/>
    <w:rsid w:val="00965F96"/>
    <w:rsid w:val="00966596"/>
    <w:rsid w:val="009718B3"/>
    <w:rsid w:val="009723D0"/>
    <w:rsid w:val="00976046"/>
    <w:rsid w:val="00977170"/>
    <w:rsid w:val="00977F7D"/>
    <w:rsid w:val="00980175"/>
    <w:rsid w:val="00986828"/>
    <w:rsid w:val="00990C6B"/>
    <w:rsid w:val="009919BB"/>
    <w:rsid w:val="00993F29"/>
    <w:rsid w:val="009941A4"/>
    <w:rsid w:val="00994203"/>
    <w:rsid w:val="00996188"/>
    <w:rsid w:val="0099746D"/>
    <w:rsid w:val="00997A34"/>
    <w:rsid w:val="009A0F44"/>
    <w:rsid w:val="009A32AA"/>
    <w:rsid w:val="009A3CED"/>
    <w:rsid w:val="009A4E22"/>
    <w:rsid w:val="009A6D46"/>
    <w:rsid w:val="009A7166"/>
    <w:rsid w:val="009B1F5A"/>
    <w:rsid w:val="009B32C5"/>
    <w:rsid w:val="009B3CFF"/>
    <w:rsid w:val="009B4770"/>
    <w:rsid w:val="009B61FB"/>
    <w:rsid w:val="009B6F0F"/>
    <w:rsid w:val="009C1AD7"/>
    <w:rsid w:val="009C610A"/>
    <w:rsid w:val="009C61DB"/>
    <w:rsid w:val="009C709E"/>
    <w:rsid w:val="009D2C31"/>
    <w:rsid w:val="009D3634"/>
    <w:rsid w:val="009D4122"/>
    <w:rsid w:val="009D5051"/>
    <w:rsid w:val="009D5E0E"/>
    <w:rsid w:val="009E39F2"/>
    <w:rsid w:val="009E4BA7"/>
    <w:rsid w:val="009E5131"/>
    <w:rsid w:val="009E7348"/>
    <w:rsid w:val="009F6D41"/>
    <w:rsid w:val="009F7538"/>
    <w:rsid w:val="00A00E74"/>
    <w:rsid w:val="00A0393E"/>
    <w:rsid w:val="00A05148"/>
    <w:rsid w:val="00A07D36"/>
    <w:rsid w:val="00A07F1C"/>
    <w:rsid w:val="00A12562"/>
    <w:rsid w:val="00A15653"/>
    <w:rsid w:val="00A15A90"/>
    <w:rsid w:val="00A1646C"/>
    <w:rsid w:val="00A16616"/>
    <w:rsid w:val="00A23268"/>
    <w:rsid w:val="00A27862"/>
    <w:rsid w:val="00A30B2E"/>
    <w:rsid w:val="00A31166"/>
    <w:rsid w:val="00A317A6"/>
    <w:rsid w:val="00A3246B"/>
    <w:rsid w:val="00A32FC3"/>
    <w:rsid w:val="00A344E0"/>
    <w:rsid w:val="00A35477"/>
    <w:rsid w:val="00A357F9"/>
    <w:rsid w:val="00A37622"/>
    <w:rsid w:val="00A3778B"/>
    <w:rsid w:val="00A4398A"/>
    <w:rsid w:val="00A445D0"/>
    <w:rsid w:val="00A464CF"/>
    <w:rsid w:val="00A467A8"/>
    <w:rsid w:val="00A535BA"/>
    <w:rsid w:val="00A5382F"/>
    <w:rsid w:val="00A548D1"/>
    <w:rsid w:val="00A54C7B"/>
    <w:rsid w:val="00A55162"/>
    <w:rsid w:val="00A6022E"/>
    <w:rsid w:val="00A6121A"/>
    <w:rsid w:val="00A63CD7"/>
    <w:rsid w:val="00A64647"/>
    <w:rsid w:val="00A64D7F"/>
    <w:rsid w:val="00A651C4"/>
    <w:rsid w:val="00A66027"/>
    <w:rsid w:val="00A6703F"/>
    <w:rsid w:val="00A6715F"/>
    <w:rsid w:val="00A671A0"/>
    <w:rsid w:val="00A675D7"/>
    <w:rsid w:val="00A7598C"/>
    <w:rsid w:val="00A77931"/>
    <w:rsid w:val="00A82A97"/>
    <w:rsid w:val="00A851F4"/>
    <w:rsid w:val="00A857A9"/>
    <w:rsid w:val="00A87738"/>
    <w:rsid w:val="00A91217"/>
    <w:rsid w:val="00A914D3"/>
    <w:rsid w:val="00A92A28"/>
    <w:rsid w:val="00A935F7"/>
    <w:rsid w:val="00AA791D"/>
    <w:rsid w:val="00AB18D8"/>
    <w:rsid w:val="00AB1994"/>
    <w:rsid w:val="00AB226D"/>
    <w:rsid w:val="00AB2961"/>
    <w:rsid w:val="00AB2ACB"/>
    <w:rsid w:val="00AB5BBA"/>
    <w:rsid w:val="00AB6710"/>
    <w:rsid w:val="00AC1683"/>
    <w:rsid w:val="00AC1BE6"/>
    <w:rsid w:val="00AD0B3A"/>
    <w:rsid w:val="00AD206D"/>
    <w:rsid w:val="00AD3EDD"/>
    <w:rsid w:val="00AD5291"/>
    <w:rsid w:val="00AD5E42"/>
    <w:rsid w:val="00AD6948"/>
    <w:rsid w:val="00AE0257"/>
    <w:rsid w:val="00AE1AB2"/>
    <w:rsid w:val="00AE41B8"/>
    <w:rsid w:val="00AE5143"/>
    <w:rsid w:val="00AE5DFF"/>
    <w:rsid w:val="00AF127A"/>
    <w:rsid w:val="00AF16F8"/>
    <w:rsid w:val="00AF7ECD"/>
    <w:rsid w:val="00AF7FA6"/>
    <w:rsid w:val="00B00C3F"/>
    <w:rsid w:val="00B01B6D"/>
    <w:rsid w:val="00B03830"/>
    <w:rsid w:val="00B04555"/>
    <w:rsid w:val="00B04969"/>
    <w:rsid w:val="00B05D39"/>
    <w:rsid w:val="00B07777"/>
    <w:rsid w:val="00B10523"/>
    <w:rsid w:val="00B12D58"/>
    <w:rsid w:val="00B13172"/>
    <w:rsid w:val="00B1402B"/>
    <w:rsid w:val="00B14CA7"/>
    <w:rsid w:val="00B20092"/>
    <w:rsid w:val="00B239E6"/>
    <w:rsid w:val="00B24421"/>
    <w:rsid w:val="00B26C81"/>
    <w:rsid w:val="00B27563"/>
    <w:rsid w:val="00B27A03"/>
    <w:rsid w:val="00B27D07"/>
    <w:rsid w:val="00B3034C"/>
    <w:rsid w:val="00B310E3"/>
    <w:rsid w:val="00B3180F"/>
    <w:rsid w:val="00B33FC5"/>
    <w:rsid w:val="00B340DE"/>
    <w:rsid w:val="00B35A67"/>
    <w:rsid w:val="00B37001"/>
    <w:rsid w:val="00B40057"/>
    <w:rsid w:val="00B402A3"/>
    <w:rsid w:val="00B42106"/>
    <w:rsid w:val="00B425D0"/>
    <w:rsid w:val="00B43BC1"/>
    <w:rsid w:val="00B44298"/>
    <w:rsid w:val="00B44405"/>
    <w:rsid w:val="00B50340"/>
    <w:rsid w:val="00B579E0"/>
    <w:rsid w:val="00B6035B"/>
    <w:rsid w:val="00B6266C"/>
    <w:rsid w:val="00B626D3"/>
    <w:rsid w:val="00B62763"/>
    <w:rsid w:val="00B6333D"/>
    <w:rsid w:val="00B635D6"/>
    <w:rsid w:val="00B6480C"/>
    <w:rsid w:val="00B67428"/>
    <w:rsid w:val="00B7122A"/>
    <w:rsid w:val="00B720B6"/>
    <w:rsid w:val="00B75AA4"/>
    <w:rsid w:val="00B76A7A"/>
    <w:rsid w:val="00B76BC2"/>
    <w:rsid w:val="00B8230C"/>
    <w:rsid w:val="00B853B6"/>
    <w:rsid w:val="00B8571F"/>
    <w:rsid w:val="00B86690"/>
    <w:rsid w:val="00B92C85"/>
    <w:rsid w:val="00B955AA"/>
    <w:rsid w:val="00B9598A"/>
    <w:rsid w:val="00B95C19"/>
    <w:rsid w:val="00BA123E"/>
    <w:rsid w:val="00BA3723"/>
    <w:rsid w:val="00BA3EBB"/>
    <w:rsid w:val="00BA4E61"/>
    <w:rsid w:val="00BA67E7"/>
    <w:rsid w:val="00BA6DBB"/>
    <w:rsid w:val="00BB24BD"/>
    <w:rsid w:val="00BB2B1C"/>
    <w:rsid w:val="00BB538B"/>
    <w:rsid w:val="00BB5C68"/>
    <w:rsid w:val="00BB66E7"/>
    <w:rsid w:val="00BB684B"/>
    <w:rsid w:val="00BC0A02"/>
    <w:rsid w:val="00BC0C00"/>
    <w:rsid w:val="00BC3E4E"/>
    <w:rsid w:val="00BC4E32"/>
    <w:rsid w:val="00BD0244"/>
    <w:rsid w:val="00BD22BC"/>
    <w:rsid w:val="00BD55B5"/>
    <w:rsid w:val="00BD5CF4"/>
    <w:rsid w:val="00BD69B9"/>
    <w:rsid w:val="00BD759C"/>
    <w:rsid w:val="00BE0C1A"/>
    <w:rsid w:val="00BE0CA3"/>
    <w:rsid w:val="00BE14D9"/>
    <w:rsid w:val="00BE38A2"/>
    <w:rsid w:val="00BE449F"/>
    <w:rsid w:val="00BE61C8"/>
    <w:rsid w:val="00BE783B"/>
    <w:rsid w:val="00BF0E85"/>
    <w:rsid w:val="00BF20C9"/>
    <w:rsid w:val="00BF4104"/>
    <w:rsid w:val="00BF4148"/>
    <w:rsid w:val="00BF60A5"/>
    <w:rsid w:val="00BF6BA5"/>
    <w:rsid w:val="00C014D4"/>
    <w:rsid w:val="00C046D5"/>
    <w:rsid w:val="00C0510B"/>
    <w:rsid w:val="00C0758A"/>
    <w:rsid w:val="00C12DC5"/>
    <w:rsid w:val="00C145C3"/>
    <w:rsid w:val="00C14EA9"/>
    <w:rsid w:val="00C1672A"/>
    <w:rsid w:val="00C216D4"/>
    <w:rsid w:val="00C21C4C"/>
    <w:rsid w:val="00C21E63"/>
    <w:rsid w:val="00C22181"/>
    <w:rsid w:val="00C2372F"/>
    <w:rsid w:val="00C23D4B"/>
    <w:rsid w:val="00C24BD0"/>
    <w:rsid w:val="00C25D05"/>
    <w:rsid w:val="00C27395"/>
    <w:rsid w:val="00C31845"/>
    <w:rsid w:val="00C33D68"/>
    <w:rsid w:val="00C34C05"/>
    <w:rsid w:val="00C35BB3"/>
    <w:rsid w:val="00C378C7"/>
    <w:rsid w:val="00C42AB7"/>
    <w:rsid w:val="00C4387F"/>
    <w:rsid w:val="00C457BB"/>
    <w:rsid w:val="00C513A2"/>
    <w:rsid w:val="00C51831"/>
    <w:rsid w:val="00C53502"/>
    <w:rsid w:val="00C54BA6"/>
    <w:rsid w:val="00C56F50"/>
    <w:rsid w:val="00C57AFB"/>
    <w:rsid w:val="00C623F6"/>
    <w:rsid w:val="00C62761"/>
    <w:rsid w:val="00C66CF6"/>
    <w:rsid w:val="00C66D3D"/>
    <w:rsid w:val="00C70779"/>
    <w:rsid w:val="00C722DA"/>
    <w:rsid w:val="00C72A66"/>
    <w:rsid w:val="00C73E1C"/>
    <w:rsid w:val="00C7446E"/>
    <w:rsid w:val="00C814F8"/>
    <w:rsid w:val="00C824B6"/>
    <w:rsid w:val="00C82A49"/>
    <w:rsid w:val="00C833FF"/>
    <w:rsid w:val="00C84098"/>
    <w:rsid w:val="00C84937"/>
    <w:rsid w:val="00C8493F"/>
    <w:rsid w:val="00C84F18"/>
    <w:rsid w:val="00C86DAB"/>
    <w:rsid w:val="00C87F23"/>
    <w:rsid w:val="00C9038E"/>
    <w:rsid w:val="00C915AE"/>
    <w:rsid w:val="00C92EE8"/>
    <w:rsid w:val="00C93DFC"/>
    <w:rsid w:val="00C9623B"/>
    <w:rsid w:val="00C96AE9"/>
    <w:rsid w:val="00CA4978"/>
    <w:rsid w:val="00CA569C"/>
    <w:rsid w:val="00CA5CCA"/>
    <w:rsid w:val="00CB1C5A"/>
    <w:rsid w:val="00CB215D"/>
    <w:rsid w:val="00CB3FD0"/>
    <w:rsid w:val="00CB7DFD"/>
    <w:rsid w:val="00CC122F"/>
    <w:rsid w:val="00CC139C"/>
    <w:rsid w:val="00CC1B3D"/>
    <w:rsid w:val="00CC2649"/>
    <w:rsid w:val="00CC72FE"/>
    <w:rsid w:val="00CC7788"/>
    <w:rsid w:val="00CD1D7A"/>
    <w:rsid w:val="00CD2590"/>
    <w:rsid w:val="00CD2710"/>
    <w:rsid w:val="00CE04E7"/>
    <w:rsid w:val="00CE159B"/>
    <w:rsid w:val="00CE21D9"/>
    <w:rsid w:val="00CE2506"/>
    <w:rsid w:val="00CE306D"/>
    <w:rsid w:val="00CE325D"/>
    <w:rsid w:val="00CF1729"/>
    <w:rsid w:val="00CF3E57"/>
    <w:rsid w:val="00CF4AE4"/>
    <w:rsid w:val="00CF554A"/>
    <w:rsid w:val="00CF59C5"/>
    <w:rsid w:val="00CF7395"/>
    <w:rsid w:val="00CF7580"/>
    <w:rsid w:val="00CF7A01"/>
    <w:rsid w:val="00CF7C29"/>
    <w:rsid w:val="00D00620"/>
    <w:rsid w:val="00D00E03"/>
    <w:rsid w:val="00D0109B"/>
    <w:rsid w:val="00D01D8B"/>
    <w:rsid w:val="00D02750"/>
    <w:rsid w:val="00D029C0"/>
    <w:rsid w:val="00D02A25"/>
    <w:rsid w:val="00D038A8"/>
    <w:rsid w:val="00D12FE6"/>
    <w:rsid w:val="00D13B5C"/>
    <w:rsid w:val="00D13F48"/>
    <w:rsid w:val="00D21F6E"/>
    <w:rsid w:val="00D2320B"/>
    <w:rsid w:val="00D3017F"/>
    <w:rsid w:val="00D32443"/>
    <w:rsid w:val="00D32779"/>
    <w:rsid w:val="00D34990"/>
    <w:rsid w:val="00D34C63"/>
    <w:rsid w:val="00D34E68"/>
    <w:rsid w:val="00D42704"/>
    <w:rsid w:val="00D4649E"/>
    <w:rsid w:val="00D47795"/>
    <w:rsid w:val="00D5144D"/>
    <w:rsid w:val="00D52626"/>
    <w:rsid w:val="00D53A16"/>
    <w:rsid w:val="00D53E1A"/>
    <w:rsid w:val="00D5438C"/>
    <w:rsid w:val="00D608FE"/>
    <w:rsid w:val="00D62112"/>
    <w:rsid w:val="00D630F9"/>
    <w:rsid w:val="00D66943"/>
    <w:rsid w:val="00D7012A"/>
    <w:rsid w:val="00D70B75"/>
    <w:rsid w:val="00D72900"/>
    <w:rsid w:val="00D73628"/>
    <w:rsid w:val="00D75A8E"/>
    <w:rsid w:val="00D81DDA"/>
    <w:rsid w:val="00D829A1"/>
    <w:rsid w:val="00D85171"/>
    <w:rsid w:val="00D85DAA"/>
    <w:rsid w:val="00D86D3A"/>
    <w:rsid w:val="00D90E32"/>
    <w:rsid w:val="00D927D9"/>
    <w:rsid w:val="00D92F1F"/>
    <w:rsid w:val="00D960A7"/>
    <w:rsid w:val="00D96DD6"/>
    <w:rsid w:val="00DA1D1E"/>
    <w:rsid w:val="00DA3169"/>
    <w:rsid w:val="00DA67E8"/>
    <w:rsid w:val="00DA6CA3"/>
    <w:rsid w:val="00DB0000"/>
    <w:rsid w:val="00DB09AC"/>
    <w:rsid w:val="00DB4807"/>
    <w:rsid w:val="00DB7983"/>
    <w:rsid w:val="00DC1F94"/>
    <w:rsid w:val="00DC2699"/>
    <w:rsid w:val="00DC4687"/>
    <w:rsid w:val="00DC4EB5"/>
    <w:rsid w:val="00DC509B"/>
    <w:rsid w:val="00DC52E6"/>
    <w:rsid w:val="00DC5F2F"/>
    <w:rsid w:val="00DC7ACB"/>
    <w:rsid w:val="00DD02A6"/>
    <w:rsid w:val="00DD11C8"/>
    <w:rsid w:val="00DD1AD9"/>
    <w:rsid w:val="00DD2A6F"/>
    <w:rsid w:val="00DD3373"/>
    <w:rsid w:val="00DD6176"/>
    <w:rsid w:val="00DD6DEF"/>
    <w:rsid w:val="00DD77EA"/>
    <w:rsid w:val="00DE22FB"/>
    <w:rsid w:val="00DE27B5"/>
    <w:rsid w:val="00DE310F"/>
    <w:rsid w:val="00DE3307"/>
    <w:rsid w:val="00DE4274"/>
    <w:rsid w:val="00DE5885"/>
    <w:rsid w:val="00DE6530"/>
    <w:rsid w:val="00DE6F37"/>
    <w:rsid w:val="00DE7385"/>
    <w:rsid w:val="00DE7BD7"/>
    <w:rsid w:val="00DF023C"/>
    <w:rsid w:val="00DF1695"/>
    <w:rsid w:val="00DF4301"/>
    <w:rsid w:val="00DF6482"/>
    <w:rsid w:val="00DF7DF7"/>
    <w:rsid w:val="00E0094C"/>
    <w:rsid w:val="00E1132F"/>
    <w:rsid w:val="00E11E0B"/>
    <w:rsid w:val="00E1279D"/>
    <w:rsid w:val="00E13738"/>
    <w:rsid w:val="00E179CF"/>
    <w:rsid w:val="00E21BEF"/>
    <w:rsid w:val="00E23C55"/>
    <w:rsid w:val="00E253A4"/>
    <w:rsid w:val="00E26FBD"/>
    <w:rsid w:val="00E301F1"/>
    <w:rsid w:val="00E30E93"/>
    <w:rsid w:val="00E3194E"/>
    <w:rsid w:val="00E33A06"/>
    <w:rsid w:val="00E3460A"/>
    <w:rsid w:val="00E355AD"/>
    <w:rsid w:val="00E369DA"/>
    <w:rsid w:val="00E36AD8"/>
    <w:rsid w:val="00E37C6B"/>
    <w:rsid w:val="00E40D96"/>
    <w:rsid w:val="00E4354F"/>
    <w:rsid w:val="00E43F86"/>
    <w:rsid w:val="00E51733"/>
    <w:rsid w:val="00E52918"/>
    <w:rsid w:val="00E538DF"/>
    <w:rsid w:val="00E54A78"/>
    <w:rsid w:val="00E55BCF"/>
    <w:rsid w:val="00E60104"/>
    <w:rsid w:val="00E604AB"/>
    <w:rsid w:val="00E61587"/>
    <w:rsid w:val="00E61C94"/>
    <w:rsid w:val="00E651B1"/>
    <w:rsid w:val="00E668FB"/>
    <w:rsid w:val="00E7050E"/>
    <w:rsid w:val="00E706CE"/>
    <w:rsid w:val="00E72276"/>
    <w:rsid w:val="00E72A6C"/>
    <w:rsid w:val="00E73A1A"/>
    <w:rsid w:val="00E7582B"/>
    <w:rsid w:val="00E75A8F"/>
    <w:rsid w:val="00E76D42"/>
    <w:rsid w:val="00E81662"/>
    <w:rsid w:val="00E83CEC"/>
    <w:rsid w:val="00E8518A"/>
    <w:rsid w:val="00E91A14"/>
    <w:rsid w:val="00E93FC2"/>
    <w:rsid w:val="00E96BCF"/>
    <w:rsid w:val="00E96E39"/>
    <w:rsid w:val="00E97B63"/>
    <w:rsid w:val="00E97CC6"/>
    <w:rsid w:val="00EA0EE7"/>
    <w:rsid w:val="00EA21E4"/>
    <w:rsid w:val="00EA4BDE"/>
    <w:rsid w:val="00EB0E28"/>
    <w:rsid w:val="00EB3C29"/>
    <w:rsid w:val="00EB4169"/>
    <w:rsid w:val="00EB4279"/>
    <w:rsid w:val="00EB4EDC"/>
    <w:rsid w:val="00EB53F0"/>
    <w:rsid w:val="00EC00A0"/>
    <w:rsid w:val="00EC19D4"/>
    <w:rsid w:val="00EC2E7E"/>
    <w:rsid w:val="00EC4284"/>
    <w:rsid w:val="00EC6725"/>
    <w:rsid w:val="00EC7322"/>
    <w:rsid w:val="00ED085B"/>
    <w:rsid w:val="00ED4E41"/>
    <w:rsid w:val="00ED5752"/>
    <w:rsid w:val="00ED5E8D"/>
    <w:rsid w:val="00ED6162"/>
    <w:rsid w:val="00ED6822"/>
    <w:rsid w:val="00ED7207"/>
    <w:rsid w:val="00EE00D1"/>
    <w:rsid w:val="00EE198C"/>
    <w:rsid w:val="00EE2E07"/>
    <w:rsid w:val="00EE5629"/>
    <w:rsid w:val="00EE7605"/>
    <w:rsid w:val="00EF191E"/>
    <w:rsid w:val="00EF6FCB"/>
    <w:rsid w:val="00EF7A6D"/>
    <w:rsid w:val="00F00101"/>
    <w:rsid w:val="00F014FF"/>
    <w:rsid w:val="00F0262B"/>
    <w:rsid w:val="00F04A36"/>
    <w:rsid w:val="00F05311"/>
    <w:rsid w:val="00F06DAC"/>
    <w:rsid w:val="00F074C3"/>
    <w:rsid w:val="00F07C08"/>
    <w:rsid w:val="00F10222"/>
    <w:rsid w:val="00F13CA8"/>
    <w:rsid w:val="00F16130"/>
    <w:rsid w:val="00F16CF2"/>
    <w:rsid w:val="00F20935"/>
    <w:rsid w:val="00F22327"/>
    <w:rsid w:val="00F22B83"/>
    <w:rsid w:val="00F243A3"/>
    <w:rsid w:val="00F31474"/>
    <w:rsid w:val="00F314AC"/>
    <w:rsid w:val="00F315A1"/>
    <w:rsid w:val="00F33A50"/>
    <w:rsid w:val="00F34768"/>
    <w:rsid w:val="00F36865"/>
    <w:rsid w:val="00F409E6"/>
    <w:rsid w:val="00F41CAC"/>
    <w:rsid w:val="00F432AB"/>
    <w:rsid w:val="00F466CE"/>
    <w:rsid w:val="00F50023"/>
    <w:rsid w:val="00F516D3"/>
    <w:rsid w:val="00F545F0"/>
    <w:rsid w:val="00F54965"/>
    <w:rsid w:val="00F562B4"/>
    <w:rsid w:val="00F60045"/>
    <w:rsid w:val="00F60965"/>
    <w:rsid w:val="00F62126"/>
    <w:rsid w:val="00F6213C"/>
    <w:rsid w:val="00F621DC"/>
    <w:rsid w:val="00F65FEB"/>
    <w:rsid w:val="00F66FB1"/>
    <w:rsid w:val="00F6750B"/>
    <w:rsid w:val="00F70507"/>
    <w:rsid w:val="00F716AC"/>
    <w:rsid w:val="00F725CA"/>
    <w:rsid w:val="00F7273B"/>
    <w:rsid w:val="00F72E18"/>
    <w:rsid w:val="00F73282"/>
    <w:rsid w:val="00F740E3"/>
    <w:rsid w:val="00F77D64"/>
    <w:rsid w:val="00F848E3"/>
    <w:rsid w:val="00F84D62"/>
    <w:rsid w:val="00F84EEC"/>
    <w:rsid w:val="00F876FC"/>
    <w:rsid w:val="00F94726"/>
    <w:rsid w:val="00F94754"/>
    <w:rsid w:val="00F94AB5"/>
    <w:rsid w:val="00FA0FDD"/>
    <w:rsid w:val="00FA1442"/>
    <w:rsid w:val="00FA2521"/>
    <w:rsid w:val="00FA30E0"/>
    <w:rsid w:val="00FA5E84"/>
    <w:rsid w:val="00FA6B80"/>
    <w:rsid w:val="00FA6F3A"/>
    <w:rsid w:val="00FB120C"/>
    <w:rsid w:val="00FB1AA0"/>
    <w:rsid w:val="00FB1D25"/>
    <w:rsid w:val="00FB1EC8"/>
    <w:rsid w:val="00FB5064"/>
    <w:rsid w:val="00FB50D8"/>
    <w:rsid w:val="00FB5507"/>
    <w:rsid w:val="00FB56B2"/>
    <w:rsid w:val="00FB6611"/>
    <w:rsid w:val="00FB7889"/>
    <w:rsid w:val="00FC088A"/>
    <w:rsid w:val="00FC403B"/>
    <w:rsid w:val="00FC5A34"/>
    <w:rsid w:val="00FC6C6E"/>
    <w:rsid w:val="00FD31F7"/>
    <w:rsid w:val="00FD39F8"/>
    <w:rsid w:val="00FD48B2"/>
    <w:rsid w:val="00FE394C"/>
    <w:rsid w:val="00FF0DA4"/>
    <w:rsid w:val="00FF1A26"/>
    <w:rsid w:val="00FF2BA6"/>
    <w:rsid w:val="00FF2F35"/>
    <w:rsid w:val="00FF2F9C"/>
    <w:rsid w:val="00FF3D0F"/>
    <w:rsid w:val="00FF431F"/>
    <w:rsid w:val="00FF43B2"/>
    <w:rsid w:val="00FF6F60"/>
    <w:rsid w:val="00FF76F6"/>
    <w:rsid w:val="00FF7D78"/>
    <w:rsid w:val="08987214"/>
    <w:rsid w:val="092EE55A"/>
    <w:rsid w:val="36792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9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2F"/>
    <w:rPr>
      <w:rFonts w:ascii="Times New Roman" w:hAnsi="Times New Roman"/>
      <w:sz w:val="24"/>
    </w:rPr>
  </w:style>
  <w:style w:type="paragraph" w:styleId="Heading1">
    <w:name w:val="heading 1"/>
    <w:basedOn w:val="Normal"/>
    <w:next w:val="Normal"/>
    <w:link w:val="Heading1Char"/>
    <w:uiPriority w:val="9"/>
    <w:qFormat/>
    <w:rsid w:val="00BD5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C66D3D"/>
    <w:pPr>
      <w:numPr>
        <w:numId w:val="2"/>
      </w:numPr>
      <w:spacing w:after="0" w:line="240" w:lineRule="auto"/>
      <w:ind w:left="0" w:firstLine="0"/>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0A49E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D8"/>
  </w:style>
  <w:style w:type="paragraph" w:styleId="Footer">
    <w:name w:val="footer"/>
    <w:basedOn w:val="Normal"/>
    <w:link w:val="FooterChar"/>
    <w:uiPriority w:val="99"/>
    <w:unhideWhenUsed/>
    <w:rsid w:val="006A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D8"/>
  </w:style>
  <w:style w:type="character" w:styleId="Hyperlink">
    <w:name w:val="Hyperlink"/>
    <w:basedOn w:val="DefaultParagraphFont"/>
    <w:uiPriority w:val="99"/>
    <w:unhideWhenUsed/>
    <w:rsid w:val="00865C45"/>
    <w:rPr>
      <w:color w:val="0563C1" w:themeColor="hyperlink"/>
      <w:u w:val="single"/>
    </w:rPr>
  </w:style>
  <w:style w:type="paragraph" w:styleId="ListParagraph">
    <w:name w:val="List Paragraph"/>
    <w:basedOn w:val="Normal"/>
    <w:link w:val="ListParagraphChar"/>
    <w:uiPriority w:val="34"/>
    <w:qFormat/>
    <w:rsid w:val="00C66D3D"/>
    <w:pPr>
      <w:ind w:left="720"/>
      <w:contextualSpacing/>
    </w:pPr>
  </w:style>
  <w:style w:type="character" w:customStyle="1" w:styleId="Heading2Char">
    <w:name w:val="Heading 2 Char"/>
    <w:basedOn w:val="DefaultParagraphFont"/>
    <w:link w:val="Heading2"/>
    <w:rsid w:val="00C66D3D"/>
    <w:rPr>
      <w:rFonts w:ascii="Times New Roman" w:eastAsia="Times New Roman" w:hAnsi="Times New Roman" w:cs="Times New Roman"/>
      <w:b/>
      <w:sz w:val="24"/>
      <w:szCs w:val="24"/>
    </w:rPr>
  </w:style>
  <w:style w:type="paragraph" w:styleId="BodyText">
    <w:name w:val="Body Text"/>
    <w:basedOn w:val="Normal"/>
    <w:link w:val="BodyTextChar"/>
    <w:uiPriority w:val="99"/>
    <w:rsid w:val="00C66D3D"/>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66D3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66D3D"/>
  </w:style>
  <w:style w:type="paragraph" w:styleId="BodyTextIndent2">
    <w:name w:val="Body Text Indent 2"/>
    <w:basedOn w:val="Normal"/>
    <w:link w:val="BodyTextIndent2Char"/>
    <w:rsid w:val="00C66D3D"/>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C66D3D"/>
    <w:rPr>
      <w:rFonts w:ascii="Arial" w:eastAsia="Times New Roman" w:hAnsi="Arial" w:cs="Courier New"/>
      <w:sz w:val="24"/>
      <w:szCs w:val="20"/>
    </w:rPr>
  </w:style>
  <w:style w:type="character" w:customStyle="1" w:styleId="Heading1Char">
    <w:name w:val="Heading 1 Char"/>
    <w:basedOn w:val="DefaultParagraphFont"/>
    <w:link w:val="Heading1"/>
    <w:uiPriority w:val="9"/>
    <w:rsid w:val="00BD5C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CF4"/>
    <w:pPr>
      <w:outlineLvl w:val="9"/>
    </w:pPr>
  </w:style>
  <w:style w:type="paragraph" w:styleId="TOC2">
    <w:name w:val="toc 2"/>
    <w:basedOn w:val="Normal"/>
    <w:next w:val="Normal"/>
    <w:autoRedefine/>
    <w:uiPriority w:val="39"/>
    <w:unhideWhenUsed/>
    <w:rsid w:val="000F3BB1"/>
    <w:pPr>
      <w:tabs>
        <w:tab w:val="left" w:pos="63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D5CF4"/>
    <w:pPr>
      <w:spacing w:after="100"/>
    </w:pPr>
    <w:rPr>
      <w:rFonts w:eastAsiaTheme="minorEastAsia" w:cs="Times New Roman"/>
    </w:rPr>
  </w:style>
  <w:style w:type="paragraph" w:styleId="TOC3">
    <w:name w:val="toc 3"/>
    <w:basedOn w:val="Normal"/>
    <w:next w:val="Normal"/>
    <w:autoRedefine/>
    <w:uiPriority w:val="39"/>
    <w:unhideWhenUsed/>
    <w:rsid w:val="00BD5CF4"/>
    <w:pPr>
      <w:spacing w:after="100"/>
      <w:ind w:left="440"/>
    </w:pPr>
    <w:rPr>
      <w:rFonts w:eastAsiaTheme="minorEastAsia" w:cs="Times New Roman"/>
    </w:rPr>
  </w:style>
  <w:style w:type="character" w:customStyle="1" w:styleId="Heading3Char">
    <w:name w:val="Heading 3 Char"/>
    <w:basedOn w:val="DefaultParagraphFont"/>
    <w:link w:val="Heading3"/>
    <w:rsid w:val="000A49EE"/>
    <w:rPr>
      <w:rFonts w:ascii="Times New Roman" w:eastAsiaTheme="majorEastAsia" w:hAnsi="Times New Roman" w:cstheme="majorBidi"/>
      <w:b/>
      <w:sz w:val="24"/>
      <w:szCs w:val="24"/>
    </w:rPr>
  </w:style>
  <w:style w:type="paragraph" w:customStyle="1" w:styleId="OptimalNormal">
    <w:name w:val="Optimal Normal"/>
    <w:basedOn w:val="MessageHeader"/>
    <w:link w:val="OptimalNormalChar"/>
    <w:qFormat/>
    <w:rsid w:val="006C3287"/>
    <w:pPr>
      <w:keepLines/>
      <w:pBdr>
        <w:top w:val="none" w:sz="0" w:space="0" w:color="auto"/>
        <w:left w:val="none" w:sz="0" w:space="0" w:color="auto"/>
        <w:bottom w:val="none" w:sz="0" w:space="0" w:color="auto"/>
        <w:right w:val="none" w:sz="0" w:space="0" w:color="auto"/>
      </w:pBdr>
      <w:shd w:val="clear" w:color="auto" w:fill="auto"/>
      <w:tabs>
        <w:tab w:val="left" w:pos="2160"/>
      </w:tabs>
      <w:ind w:left="0" w:firstLine="0"/>
      <w:jc w:val="both"/>
    </w:pPr>
    <w:rPr>
      <w:rFonts w:ascii="Times New Roman" w:eastAsia="Times New Roman" w:hAnsi="Times New Roman" w:cs="Times New Roman"/>
      <w:spacing w:val="-5"/>
    </w:rPr>
  </w:style>
  <w:style w:type="character" w:customStyle="1" w:styleId="OptimalNormalChar">
    <w:name w:val="Optimal Normal Char"/>
    <w:link w:val="OptimalNormal"/>
    <w:rsid w:val="006C3287"/>
    <w:rPr>
      <w:rFonts w:ascii="Times New Roman" w:eastAsia="Times New Roman" w:hAnsi="Times New Roman" w:cs="Times New Roman"/>
      <w:spacing w:val="-5"/>
      <w:sz w:val="24"/>
      <w:szCs w:val="24"/>
    </w:rPr>
  </w:style>
  <w:style w:type="paragraph" w:styleId="MessageHeader">
    <w:name w:val="Message Header"/>
    <w:basedOn w:val="Normal"/>
    <w:link w:val="MessageHeaderChar"/>
    <w:uiPriority w:val="99"/>
    <w:semiHidden/>
    <w:unhideWhenUsed/>
    <w:rsid w:val="006C32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3287"/>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uiPriority w:val="99"/>
    <w:unhideWhenUsed/>
    <w:rsid w:val="007E2C3E"/>
    <w:pPr>
      <w:spacing w:after="0" w:line="240" w:lineRule="auto"/>
    </w:pPr>
    <w:rPr>
      <w:sz w:val="20"/>
      <w:szCs w:val="20"/>
    </w:rPr>
  </w:style>
  <w:style w:type="character" w:customStyle="1" w:styleId="FootnoteTextChar">
    <w:name w:val="Footnote Text Char"/>
    <w:basedOn w:val="DefaultParagraphFont"/>
    <w:link w:val="FootnoteText"/>
    <w:uiPriority w:val="99"/>
    <w:rsid w:val="007E2C3E"/>
    <w:rPr>
      <w:sz w:val="20"/>
      <w:szCs w:val="20"/>
    </w:rPr>
  </w:style>
  <w:style w:type="character" w:styleId="FootnoteReference">
    <w:name w:val="footnote reference"/>
    <w:basedOn w:val="DefaultParagraphFont"/>
    <w:uiPriority w:val="99"/>
    <w:unhideWhenUsed/>
    <w:rsid w:val="007E2C3E"/>
    <w:rPr>
      <w:vertAlign w:val="superscript"/>
    </w:rPr>
  </w:style>
  <w:style w:type="paragraph" w:styleId="BalloonText">
    <w:name w:val="Balloon Text"/>
    <w:basedOn w:val="Normal"/>
    <w:link w:val="BalloonTextChar"/>
    <w:uiPriority w:val="99"/>
    <w:semiHidden/>
    <w:unhideWhenUsed/>
    <w:rsid w:val="00D6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F9"/>
    <w:rPr>
      <w:rFonts w:ascii="Tahoma" w:hAnsi="Tahoma" w:cs="Tahoma"/>
      <w:sz w:val="16"/>
      <w:szCs w:val="16"/>
    </w:rPr>
  </w:style>
  <w:style w:type="character" w:styleId="CommentReference">
    <w:name w:val="annotation reference"/>
    <w:basedOn w:val="DefaultParagraphFont"/>
    <w:uiPriority w:val="99"/>
    <w:unhideWhenUsed/>
    <w:rsid w:val="00D630F9"/>
    <w:rPr>
      <w:sz w:val="16"/>
      <w:szCs w:val="16"/>
    </w:rPr>
  </w:style>
  <w:style w:type="paragraph" w:styleId="CommentText">
    <w:name w:val="annotation text"/>
    <w:basedOn w:val="Normal"/>
    <w:link w:val="CommentTextChar"/>
    <w:uiPriority w:val="99"/>
    <w:unhideWhenUsed/>
    <w:rsid w:val="00D630F9"/>
    <w:pPr>
      <w:spacing w:line="240" w:lineRule="auto"/>
    </w:pPr>
    <w:rPr>
      <w:sz w:val="20"/>
      <w:szCs w:val="20"/>
    </w:rPr>
  </w:style>
  <w:style w:type="character" w:customStyle="1" w:styleId="CommentTextChar">
    <w:name w:val="Comment Text Char"/>
    <w:basedOn w:val="DefaultParagraphFont"/>
    <w:link w:val="CommentText"/>
    <w:uiPriority w:val="99"/>
    <w:rsid w:val="00D630F9"/>
    <w:rPr>
      <w:sz w:val="20"/>
      <w:szCs w:val="20"/>
    </w:rPr>
  </w:style>
  <w:style w:type="paragraph" w:styleId="CommentSubject">
    <w:name w:val="annotation subject"/>
    <w:basedOn w:val="CommentText"/>
    <w:next w:val="CommentText"/>
    <w:link w:val="CommentSubjectChar"/>
    <w:uiPriority w:val="99"/>
    <w:semiHidden/>
    <w:unhideWhenUsed/>
    <w:rsid w:val="00D630F9"/>
    <w:rPr>
      <w:b/>
      <w:bCs/>
    </w:rPr>
  </w:style>
  <w:style w:type="character" w:customStyle="1" w:styleId="CommentSubjectChar">
    <w:name w:val="Comment Subject Char"/>
    <w:basedOn w:val="CommentTextChar"/>
    <w:link w:val="CommentSubject"/>
    <w:uiPriority w:val="99"/>
    <w:semiHidden/>
    <w:rsid w:val="00D630F9"/>
    <w:rPr>
      <w:b/>
      <w:bCs/>
      <w:sz w:val="20"/>
      <w:szCs w:val="20"/>
    </w:rPr>
  </w:style>
  <w:style w:type="paragraph" w:customStyle="1" w:styleId="Default">
    <w:name w:val="Default"/>
    <w:uiPriority w:val="99"/>
    <w:rsid w:val="005C6A36"/>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B7122A"/>
    <w:pPr>
      <w:spacing w:after="0" w:line="240" w:lineRule="auto"/>
    </w:pPr>
  </w:style>
  <w:style w:type="table" w:styleId="TableGrid">
    <w:name w:val="Table Grid"/>
    <w:basedOn w:val="TableNormal"/>
    <w:uiPriority w:val="39"/>
    <w:rsid w:val="00D9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AC"/>
  </w:style>
  <w:style w:type="paragraph" w:styleId="HTMLPreformatted">
    <w:name w:val="HTML Preformatted"/>
    <w:basedOn w:val="Normal"/>
    <w:link w:val="HTMLPreformattedChar"/>
    <w:uiPriority w:val="99"/>
    <w:unhideWhenUsed/>
    <w:rsid w:val="008042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042ED"/>
    <w:rPr>
      <w:rFonts w:ascii="Consolas" w:hAnsi="Consolas" w:cs="Consolas"/>
      <w:sz w:val="20"/>
      <w:szCs w:val="20"/>
    </w:rPr>
  </w:style>
  <w:style w:type="character" w:customStyle="1" w:styleId="st">
    <w:name w:val="st"/>
    <w:basedOn w:val="DefaultParagraphFont"/>
    <w:rsid w:val="00902F3E"/>
  </w:style>
  <w:style w:type="paragraph" w:customStyle="1" w:styleId="LastParagraph">
    <w:name w:val="Last Paragraph"/>
    <w:basedOn w:val="Normal"/>
    <w:next w:val="Normal"/>
    <w:uiPriority w:val="99"/>
    <w:rsid w:val="004E5460"/>
    <w:pPr>
      <w:tabs>
        <w:tab w:val="left" w:pos="432"/>
      </w:tabs>
      <w:spacing w:after="240" w:line="480" w:lineRule="auto"/>
      <w:ind w:firstLine="432"/>
      <w:jc w:val="both"/>
    </w:pPr>
    <w:rPr>
      <w:rFonts w:eastAsia="Times New Roman" w:cs="Times New Roman"/>
      <w:szCs w:val="20"/>
    </w:rPr>
  </w:style>
  <w:style w:type="character" w:customStyle="1" w:styleId="apple-style-span">
    <w:name w:val="apple-style-span"/>
    <w:basedOn w:val="DefaultParagraphFont"/>
    <w:rsid w:val="00EC7322"/>
  </w:style>
  <w:style w:type="paragraph" w:styleId="Caption">
    <w:name w:val="caption"/>
    <w:basedOn w:val="Normal"/>
    <w:next w:val="Normal"/>
    <w:uiPriority w:val="35"/>
    <w:unhideWhenUsed/>
    <w:qFormat/>
    <w:rsid w:val="002B2FD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54400"/>
    <w:rPr>
      <w:color w:val="954F72" w:themeColor="followedHyperlink"/>
      <w:u w:val="single"/>
    </w:rPr>
  </w:style>
  <w:style w:type="table" w:styleId="LightShading">
    <w:name w:val="Light Shading"/>
    <w:basedOn w:val="TableNormal"/>
    <w:uiPriority w:val="60"/>
    <w:rsid w:val="000F7E49"/>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2F"/>
    <w:rPr>
      <w:rFonts w:ascii="Times New Roman" w:hAnsi="Times New Roman"/>
      <w:sz w:val="24"/>
    </w:rPr>
  </w:style>
  <w:style w:type="paragraph" w:styleId="Heading1">
    <w:name w:val="heading 1"/>
    <w:basedOn w:val="Normal"/>
    <w:next w:val="Normal"/>
    <w:link w:val="Heading1Char"/>
    <w:uiPriority w:val="9"/>
    <w:qFormat/>
    <w:rsid w:val="00BD5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C66D3D"/>
    <w:pPr>
      <w:numPr>
        <w:numId w:val="2"/>
      </w:numPr>
      <w:spacing w:after="0" w:line="240" w:lineRule="auto"/>
      <w:ind w:left="0" w:firstLine="0"/>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0A49E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D8"/>
  </w:style>
  <w:style w:type="paragraph" w:styleId="Footer">
    <w:name w:val="footer"/>
    <w:basedOn w:val="Normal"/>
    <w:link w:val="FooterChar"/>
    <w:uiPriority w:val="99"/>
    <w:unhideWhenUsed/>
    <w:rsid w:val="006A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D8"/>
  </w:style>
  <w:style w:type="character" w:styleId="Hyperlink">
    <w:name w:val="Hyperlink"/>
    <w:basedOn w:val="DefaultParagraphFont"/>
    <w:uiPriority w:val="99"/>
    <w:unhideWhenUsed/>
    <w:rsid w:val="00865C45"/>
    <w:rPr>
      <w:color w:val="0563C1" w:themeColor="hyperlink"/>
      <w:u w:val="single"/>
    </w:rPr>
  </w:style>
  <w:style w:type="paragraph" w:styleId="ListParagraph">
    <w:name w:val="List Paragraph"/>
    <w:basedOn w:val="Normal"/>
    <w:link w:val="ListParagraphChar"/>
    <w:uiPriority w:val="34"/>
    <w:qFormat/>
    <w:rsid w:val="00C66D3D"/>
    <w:pPr>
      <w:ind w:left="720"/>
      <w:contextualSpacing/>
    </w:pPr>
  </w:style>
  <w:style w:type="character" w:customStyle="1" w:styleId="Heading2Char">
    <w:name w:val="Heading 2 Char"/>
    <w:basedOn w:val="DefaultParagraphFont"/>
    <w:link w:val="Heading2"/>
    <w:rsid w:val="00C66D3D"/>
    <w:rPr>
      <w:rFonts w:ascii="Times New Roman" w:eastAsia="Times New Roman" w:hAnsi="Times New Roman" w:cs="Times New Roman"/>
      <w:b/>
      <w:sz w:val="24"/>
      <w:szCs w:val="24"/>
    </w:rPr>
  </w:style>
  <w:style w:type="paragraph" w:styleId="BodyText">
    <w:name w:val="Body Text"/>
    <w:basedOn w:val="Normal"/>
    <w:link w:val="BodyTextChar"/>
    <w:uiPriority w:val="99"/>
    <w:rsid w:val="00C66D3D"/>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66D3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66D3D"/>
  </w:style>
  <w:style w:type="paragraph" w:styleId="BodyTextIndent2">
    <w:name w:val="Body Text Indent 2"/>
    <w:basedOn w:val="Normal"/>
    <w:link w:val="BodyTextIndent2Char"/>
    <w:rsid w:val="00C66D3D"/>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C66D3D"/>
    <w:rPr>
      <w:rFonts w:ascii="Arial" w:eastAsia="Times New Roman" w:hAnsi="Arial" w:cs="Courier New"/>
      <w:sz w:val="24"/>
      <w:szCs w:val="20"/>
    </w:rPr>
  </w:style>
  <w:style w:type="character" w:customStyle="1" w:styleId="Heading1Char">
    <w:name w:val="Heading 1 Char"/>
    <w:basedOn w:val="DefaultParagraphFont"/>
    <w:link w:val="Heading1"/>
    <w:uiPriority w:val="9"/>
    <w:rsid w:val="00BD5C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CF4"/>
    <w:pPr>
      <w:outlineLvl w:val="9"/>
    </w:pPr>
  </w:style>
  <w:style w:type="paragraph" w:styleId="TOC2">
    <w:name w:val="toc 2"/>
    <w:basedOn w:val="Normal"/>
    <w:next w:val="Normal"/>
    <w:autoRedefine/>
    <w:uiPriority w:val="39"/>
    <w:unhideWhenUsed/>
    <w:rsid w:val="000F3BB1"/>
    <w:pPr>
      <w:tabs>
        <w:tab w:val="left" w:pos="63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D5CF4"/>
    <w:pPr>
      <w:spacing w:after="100"/>
    </w:pPr>
    <w:rPr>
      <w:rFonts w:eastAsiaTheme="minorEastAsia" w:cs="Times New Roman"/>
    </w:rPr>
  </w:style>
  <w:style w:type="paragraph" w:styleId="TOC3">
    <w:name w:val="toc 3"/>
    <w:basedOn w:val="Normal"/>
    <w:next w:val="Normal"/>
    <w:autoRedefine/>
    <w:uiPriority w:val="39"/>
    <w:unhideWhenUsed/>
    <w:rsid w:val="00BD5CF4"/>
    <w:pPr>
      <w:spacing w:after="100"/>
      <w:ind w:left="440"/>
    </w:pPr>
    <w:rPr>
      <w:rFonts w:eastAsiaTheme="minorEastAsia" w:cs="Times New Roman"/>
    </w:rPr>
  </w:style>
  <w:style w:type="character" w:customStyle="1" w:styleId="Heading3Char">
    <w:name w:val="Heading 3 Char"/>
    <w:basedOn w:val="DefaultParagraphFont"/>
    <w:link w:val="Heading3"/>
    <w:rsid w:val="000A49EE"/>
    <w:rPr>
      <w:rFonts w:ascii="Times New Roman" w:eastAsiaTheme="majorEastAsia" w:hAnsi="Times New Roman" w:cstheme="majorBidi"/>
      <w:b/>
      <w:sz w:val="24"/>
      <w:szCs w:val="24"/>
    </w:rPr>
  </w:style>
  <w:style w:type="paragraph" w:customStyle="1" w:styleId="OptimalNormal">
    <w:name w:val="Optimal Normal"/>
    <w:basedOn w:val="MessageHeader"/>
    <w:link w:val="OptimalNormalChar"/>
    <w:qFormat/>
    <w:rsid w:val="006C3287"/>
    <w:pPr>
      <w:keepLines/>
      <w:pBdr>
        <w:top w:val="none" w:sz="0" w:space="0" w:color="auto"/>
        <w:left w:val="none" w:sz="0" w:space="0" w:color="auto"/>
        <w:bottom w:val="none" w:sz="0" w:space="0" w:color="auto"/>
        <w:right w:val="none" w:sz="0" w:space="0" w:color="auto"/>
      </w:pBdr>
      <w:shd w:val="clear" w:color="auto" w:fill="auto"/>
      <w:tabs>
        <w:tab w:val="left" w:pos="2160"/>
      </w:tabs>
      <w:ind w:left="0" w:firstLine="0"/>
      <w:jc w:val="both"/>
    </w:pPr>
    <w:rPr>
      <w:rFonts w:ascii="Times New Roman" w:eastAsia="Times New Roman" w:hAnsi="Times New Roman" w:cs="Times New Roman"/>
      <w:spacing w:val="-5"/>
    </w:rPr>
  </w:style>
  <w:style w:type="character" w:customStyle="1" w:styleId="OptimalNormalChar">
    <w:name w:val="Optimal Normal Char"/>
    <w:link w:val="OptimalNormal"/>
    <w:rsid w:val="006C3287"/>
    <w:rPr>
      <w:rFonts w:ascii="Times New Roman" w:eastAsia="Times New Roman" w:hAnsi="Times New Roman" w:cs="Times New Roman"/>
      <w:spacing w:val="-5"/>
      <w:sz w:val="24"/>
      <w:szCs w:val="24"/>
    </w:rPr>
  </w:style>
  <w:style w:type="paragraph" w:styleId="MessageHeader">
    <w:name w:val="Message Header"/>
    <w:basedOn w:val="Normal"/>
    <w:link w:val="MessageHeaderChar"/>
    <w:uiPriority w:val="99"/>
    <w:semiHidden/>
    <w:unhideWhenUsed/>
    <w:rsid w:val="006C32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3287"/>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uiPriority w:val="99"/>
    <w:unhideWhenUsed/>
    <w:rsid w:val="007E2C3E"/>
    <w:pPr>
      <w:spacing w:after="0" w:line="240" w:lineRule="auto"/>
    </w:pPr>
    <w:rPr>
      <w:sz w:val="20"/>
      <w:szCs w:val="20"/>
    </w:rPr>
  </w:style>
  <w:style w:type="character" w:customStyle="1" w:styleId="FootnoteTextChar">
    <w:name w:val="Footnote Text Char"/>
    <w:basedOn w:val="DefaultParagraphFont"/>
    <w:link w:val="FootnoteText"/>
    <w:uiPriority w:val="99"/>
    <w:rsid w:val="007E2C3E"/>
    <w:rPr>
      <w:sz w:val="20"/>
      <w:szCs w:val="20"/>
    </w:rPr>
  </w:style>
  <w:style w:type="character" w:styleId="FootnoteReference">
    <w:name w:val="footnote reference"/>
    <w:basedOn w:val="DefaultParagraphFont"/>
    <w:uiPriority w:val="99"/>
    <w:unhideWhenUsed/>
    <w:rsid w:val="007E2C3E"/>
    <w:rPr>
      <w:vertAlign w:val="superscript"/>
    </w:rPr>
  </w:style>
  <w:style w:type="paragraph" w:styleId="BalloonText">
    <w:name w:val="Balloon Text"/>
    <w:basedOn w:val="Normal"/>
    <w:link w:val="BalloonTextChar"/>
    <w:uiPriority w:val="99"/>
    <w:semiHidden/>
    <w:unhideWhenUsed/>
    <w:rsid w:val="00D6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F9"/>
    <w:rPr>
      <w:rFonts w:ascii="Tahoma" w:hAnsi="Tahoma" w:cs="Tahoma"/>
      <w:sz w:val="16"/>
      <w:szCs w:val="16"/>
    </w:rPr>
  </w:style>
  <w:style w:type="character" w:styleId="CommentReference">
    <w:name w:val="annotation reference"/>
    <w:basedOn w:val="DefaultParagraphFont"/>
    <w:uiPriority w:val="99"/>
    <w:unhideWhenUsed/>
    <w:rsid w:val="00D630F9"/>
    <w:rPr>
      <w:sz w:val="16"/>
      <w:szCs w:val="16"/>
    </w:rPr>
  </w:style>
  <w:style w:type="paragraph" w:styleId="CommentText">
    <w:name w:val="annotation text"/>
    <w:basedOn w:val="Normal"/>
    <w:link w:val="CommentTextChar"/>
    <w:uiPriority w:val="99"/>
    <w:unhideWhenUsed/>
    <w:rsid w:val="00D630F9"/>
    <w:pPr>
      <w:spacing w:line="240" w:lineRule="auto"/>
    </w:pPr>
    <w:rPr>
      <w:sz w:val="20"/>
      <w:szCs w:val="20"/>
    </w:rPr>
  </w:style>
  <w:style w:type="character" w:customStyle="1" w:styleId="CommentTextChar">
    <w:name w:val="Comment Text Char"/>
    <w:basedOn w:val="DefaultParagraphFont"/>
    <w:link w:val="CommentText"/>
    <w:uiPriority w:val="99"/>
    <w:rsid w:val="00D630F9"/>
    <w:rPr>
      <w:sz w:val="20"/>
      <w:szCs w:val="20"/>
    </w:rPr>
  </w:style>
  <w:style w:type="paragraph" w:styleId="CommentSubject">
    <w:name w:val="annotation subject"/>
    <w:basedOn w:val="CommentText"/>
    <w:next w:val="CommentText"/>
    <w:link w:val="CommentSubjectChar"/>
    <w:uiPriority w:val="99"/>
    <w:semiHidden/>
    <w:unhideWhenUsed/>
    <w:rsid w:val="00D630F9"/>
    <w:rPr>
      <w:b/>
      <w:bCs/>
    </w:rPr>
  </w:style>
  <w:style w:type="character" w:customStyle="1" w:styleId="CommentSubjectChar">
    <w:name w:val="Comment Subject Char"/>
    <w:basedOn w:val="CommentTextChar"/>
    <w:link w:val="CommentSubject"/>
    <w:uiPriority w:val="99"/>
    <w:semiHidden/>
    <w:rsid w:val="00D630F9"/>
    <w:rPr>
      <w:b/>
      <w:bCs/>
      <w:sz w:val="20"/>
      <w:szCs w:val="20"/>
    </w:rPr>
  </w:style>
  <w:style w:type="paragraph" w:customStyle="1" w:styleId="Default">
    <w:name w:val="Default"/>
    <w:uiPriority w:val="99"/>
    <w:rsid w:val="005C6A36"/>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B7122A"/>
    <w:pPr>
      <w:spacing w:after="0" w:line="240" w:lineRule="auto"/>
    </w:pPr>
  </w:style>
  <w:style w:type="table" w:styleId="TableGrid">
    <w:name w:val="Table Grid"/>
    <w:basedOn w:val="TableNormal"/>
    <w:uiPriority w:val="39"/>
    <w:rsid w:val="00D9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AC"/>
  </w:style>
  <w:style w:type="paragraph" w:styleId="HTMLPreformatted">
    <w:name w:val="HTML Preformatted"/>
    <w:basedOn w:val="Normal"/>
    <w:link w:val="HTMLPreformattedChar"/>
    <w:uiPriority w:val="99"/>
    <w:unhideWhenUsed/>
    <w:rsid w:val="008042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042ED"/>
    <w:rPr>
      <w:rFonts w:ascii="Consolas" w:hAnsi="Consolas" w:cs="Consolas"/>
      <w:sz w:val="20"/>
      <w:szCs w:val="20"/>
    </w:rPr>
  </w:style>
  <w:style w:type="character" w:customStyle="1" w:styleId="st">
    <w:name w:val="st"/>
    <w:basedOn w:val="DefaultParagraphFont"/>
    <w:rsid w:val="00902F3E"/>
  </w:style>
  <w:style w:type="paragraph" w:customStyle="1" w:styleId="LastParagraph">
    <w:name w:val="Last Paragraph"/>
    <w:basedOn w:val="Normal"/>
    <w:next w:val="Normal"/>
    <w:uiPriority w:val="99"/>
    <w:rsid w:val="004E5460"/>
    <w:pPr>
      <w:tabs>
        <w:tab w:val="left" w:pos="432"/>
      </w:tabs>
      <w:spacing w:after="240" w:line="480" w:lineRule="auto"/>
      <w:ind w:firstLine="432"/>
      <w:jc w:val="both"/>
    </w:pPr>
    <w:rPr>
      <w:rFonts w:eastAsia="Times New Roman" w:cs="Times New Roman"/>
      <w:szCs w:val="20"/>
    </w:rPr>
  </w:style>
  <w:style w:type="character" w:customStyle="1" w:styleId="apple-style-span">
    <w:name w:val="apple-style-span"/>
    <w:basedOn w:val="DefaultParagraphFont"/>
    <w:rsid w:val="00EC7322"/>
  </w:style>
  <w:style w:type="paragraph" w:styleId="Caption">
    <w:name w:val="caption"/>
    <w:basedOn w:val="Normal"/>
    <w:next w:val="Normal"/>
    <w:uiPriority w:val="35"/>
    <w:unhideWhenUsed/>
    <w:qFormat/>
    <w:rsid w:val="002B2FD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54400"/>
    <w:rPr>
      <w:color w:val="954F72" w:themeColor="followedHyperlink"/>
      <w:u w:val="single"/>
    </w:rPr>
  </w:style>
  <w:style w:type="table" w:styleId="LightShading">
    <w:name w:val="Light Shading"/>
    <w:basedOn w:val="TableNormal"/>
    <w:uiPriority w:val="60"/>
    <w:rsid w:val="000F7E49"/>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192">
      <w:bodyDiv w:val="1"/>
      <w:marLeft w:val="0"/>
      <w:marRight w:val="0"/>
      <w:marTop w:val="0"/>
      <w:marBottom w:val="0"/>
      <w:divBdr>
        <w:top w:val="none" w:sz="0" w:space="0" w:color="auto"/>
        <w:left w:val="none" w:sz="0" w:space="0" w:color="auto"/>
        <w:bottom w:val="none" w:sz="0" w:space="0" w:color="auto"/>
        <w:right w:val="none" w:sz="0" w:space="0" w:color="auto"/>
      </w:divBdr>
    </w:div>
    <w:div w:id="54008713">
      <w:bodyDiv w:val="1"/>
      <w:marLeft w:val="0"/>
      <w:marRight w:val="0"/>
      <w:marTop w:val="0"/>
      <w:marBottom w:val="0"/>
      <w:divBdr>
        <w:top w:val="none" w:sz="0" w:space="0" w:color="auto"/>
        <w:left w:val="none" w:sz="0" w:space="0" w:color="auto"/>
        <w:bottom w:val="none" w:sz="0" w:space="0" w:color="auto"/>
        <w:right w:val="none" w:sz="0" w:space="0" w:color="auto"/>
      </w:divBdr>
    </w:div>
    <w:div w:id="133722868">
      <w:bodyDiv w:val="1"/>
      <w:marLeft w:val="0"/>
      <w:marRight w:val="0"/>
      <w:marTop w:val="0"/>
      <w:marBottom w:val="0"/>
      <w:divBdr>
        <w:top w:val="none" w:sz="0" w:space="0" w:color="auto"/>
        <w:left w:val="none" w:sz="0" w:space="0" w:color="auto"/>
        <w:bottom w:val="none" w:sz="0" w:space="0" w:color="auto"/>
        <w:right w:val="none" w:sz="0" w:space="0" w:color="auto"/>
      </w:divBdr>
    </w:div>
    <w:div w:id="145325157">
      <w:bodyDiv w:val="1"/>
      <w:marLeft w:val="0"/>
      <w:marRight w:val="0"/>
      <w:marTop w:val="0"/>
      <w:marBottom w:val="0"/>
      <w:divBdr>
        <w:top w:val="none" w:sz="0" w:space="0" w:color="auto"/>
        <w:left w:val="none" w:sz="0" w:space="0" w:color="auto"/>
        <w:bottom w:val="none" w:sz="0" w:space="0" w:color="auto"/>
        <w:right w:val="none" w:sz="0" w:space="0" w:color="auto"/>
      </w:divBdr>
    </w:div>
    <w:div w:id="285896334">
      <w:bodyDiv w:val="1"/>
      <w:marLeft w:val="0"/>
      <w:marRight w:val="0"/>
      <w:marTop w:val="0"/>
      <w:marBottom w:val="0"/>
      <w:divBdr>
        <w:top w:val="none" w:sz="0" w:space="0" w:color="auto"/>
        <w:left w:val="none" w:sz="0" w:space="0" w:color="auto"/>
        <w:bottom w:val="none" w:sz="0" w:space="0" w:color="auto"/>
        <w:right w:val="none" w:sz="0" w:space="0" w:color="auto"/>
      </w:divBdr>
    </w:div>
    <w:div w:id="288704307">
      <w:bodyDiv w:val="1"/>
      <w:marLeft w:val="0"/>
      <w:marRight w:val="0"/>
      <w:marTop w:val="0"/>
      <w:marBottom w:val="0"/>
      <w:divBdr>
        <w:top w:val="none" w:sz="0" w:space="0" w:color="auto"/>
        <w:left w:val="none" w:sz="0" w:space="0" w:color="auto"/>
        <w:bottom w:val="none" w:sz="0" w:space="0" w:color="auto"/>
        <w:right w:val="none" w:sz="0" w:space="0" w:color="auto"/>
      </w:divBdr>
    </w:div>
    <w:div w:id="295263806">
      <w:bodyDiv w:val="1"/>
      <w:marLeft w:val="0"/>
      <w:marRight w:val="0"/>
      <w:marTop w:val="0"/>
      <w:marBottom w:val="0"/>
      <w:divBdr>
        <w:top w:val="none" w:sz="0" w:space="0" w:color="auto"/>
        <w:left w:val="none" w:sz="0" w:space="0" w:color="auto"/>
        <w:bottom w:val="none" w:sz="0" w:space="0" w:color="auto"/>
        <w:right w:val="none" w:sz="0" w:space="0" w:color="auto"/>
      </w:divBdr>
    </w:div>
    <w:div w:id="516777399">
      <w:bodyDiv w:val="1"/>
      <w:marLeft w:val="0"/>
      <w:marRight w:val="0"/>
      <w:marTop w:val="0"/>
      <w:marBottom w:val="0"/>
      <w:divBdr>
        <w:top w:val="none" w:sz="0" w:space="0" w:color="auto"/>
        <w:left w:val="none" w:sz="0" w:space="0" w:color="auto"/>
        <w:bottom w:val="none" w:sz="0" w:space="0" w:color="auto"/>
        <w:right w:val="none" w:sz="0" w:space="0" w:color="auto"/>
      </w:divBdr>
    </w:div>
    <w:div w:id="522402809">
      <w:bodyDiv w:val="1"/>
      <w:marLeft w:val="0"/>
      <w:marRight w:val="0"/>
      <w:marTop w:val="0"/>
      <w:marBottom w:val="0"/>
      <w:divBdr>
        <w:top w:val="none" w:sz="0" w:space="0" w:color="auto"/>
        <w:left w:val="none" w:sz="0" w:space="0" w:color="auto"/>
        <w:bottom w:val="none" w:sz="0" w:space="0" w:color="auto"/>
        <w:right w:val="none" w:sz="0" w:space="0" w:color="auto"/>
      </w:divBdr>
    </w:div>
    <w:div w:id="552733937">
      <w:bodyDiv w:val="1"/>
      <w:marLeft w:val="0"/>
      <w:marRight w:val="0"/>
      <w:marTop w:val="0"/>
      <w:marBottom w:val="0"/>
      <w:divBdr>
        <w:top w:val="none" w:sz="0" w:space="0" w:color="auto"/>
        <w:left w:val="none" w:sz="0" w:space="0" w:color="auto"/>
        <w:bottom w:val="none" w:sz="0" w:space="0" w:color="auto"/>
        <w:right w:val="none" w:sz="0" w:space="0" w:color="auto"/>
      </w:divBdr>
    </w:div>
    <w:div w:id="614286647">
      <w:bodyDiv w:val="1"/>
      <w:marLeft w:val="0"/>
      <w:marRight w:val="0"/>
      <w:marTop w:val="0"/>
      <w:marBottom w:val="0"/>
      <w:divBdr>
        <w:top w:val="none" w:sz="0" w:space="0" w:color="auto"/>
        <w:left w:val="none" w:sz="0" w:space="0" w:color="auto"/>
        <w:bottom w:val="none" w:sz="0" w:space="0" w:color="auto"/>
        <w:right w:val="none" w:sz="0" w:space="0" w:color="auto"/>
      </w:divBdr>
    </w:div>
    <w:div w:id="640308970">
      <w:bodyDiv w:val="1"/>
      <w:marLeft w:val="0"/>
      <w:marRight w:val="0"/>
      <w:marTop w:val="0"/>
      <w:marBottom w:val="0"/>
      <w:divBdr>
        <w:top w:val="none" w:sz="0" w:space="0" w:color="auto"/>
        <w:left w:val="none" w:sz="0" w:space="0" w:color="auto"/>
        <w:bottom w:val="none" w:sz="0" w:space="0" w:color="auto"/>
        <w:right w:val="none" w:sz="0" w:space="0" w:color="auto"/>
      </w:divBdr>
    </w:div>
    <w:div w:id="762652550">
      <w:bodyDiv w:val="1"/>
      <w:marLeft w:val="0"/>
      <w:marRight w:val="0"/>
      <w:marTop w:val="0"/>
      <w:marBottom w:val="0"/>
      <w:divBdr>
        <w:top w:val="none" w:sz="0" w:space="0" w:color="auto"/>
        <w:left w:val="none" w:sz="0" w:space="0" w:color="auto"/>
        <w:bottom w:val="none" w:sz="0" w:space="0" w:color="auto"/>
        <w:right w:val="none" w:sz="0" w:space="0" w:color="auto"/>
      </w:divBdr>
    </w:div>
    <w:div w:id="859512740">
      <w:bodyDiv w:val="1"/>
      <w:marLeft w:val="0"/>
      <w:marRight w:val="0"/>
      <w:marTop w:val="0"/>
      <w:marBottom w:val="0"/>
      <w:divBdr>
        <w:top w:val="none" w:sz="0" w:space="0" w:color="auto"/>
        <w:left w:val="none" w:sz="0" w:space="0" w:color="auto"/>
        <w:bottom w:val="none" w:sz="0" w:space="0" w:color="auto"/>
        <w:right w:val="none" w:sz="0" w:space="0" w:color="auto"/>
      </w:divBdr>
    </w:div>
    <w:div w:id="948897247">
      <w:bodyDiv w:val="1"/>
      <w:marLeft w:val="0"/>
      <w:marRight w:val="0"/>
      <w:marTop w:val="0"/>
      <w:marBottom w:val="0"/>
      <w:divBdr>
        <w:top w:val="none" w:sz="0" w:space="0" w:color="auto"/>
        <w:left w:val="none" w:sz="0" w:space="0" w:color="auto"/>
        <w:bottom w:val="none" w:sz="0" w:space="0" w:color="auto"/>
        <w:right w:val="none" w:sz="0" w:space="0" w:color="auto"/>
      </w:divBdr>
    </w:div>
    <w:div w:id="959847434">
      <w:bodyDiv w:val="1"/>
      <w:marLeft w:val="0"/>
      <w:marRight w:val="0"/>
      <w:marTop w:val="0"/>
      <w:marBottom w:val="0"/>
      <w:divBdr>
        <w:top w:val="none" w:sz="0" w:space="0" w:color="auto"/>
        <w:left w:val="none" w:sz="0" w:space="0" w:color="auto"/>
        <w:bottom w:val="none" w:sz="0" w:space="0" w:color="auto"/>
        <w:right w:val="none" w:sz="0" w:space="0" w:color="auto"/>
      </w:divBdr>
    </w:div>
    <w:div w:id="977224976">
      <w:bodyDiv w:val="1"/>
      <w:marLeft w:val="0"/>
      <w:marRight w:val="0"/>
      <w:marTop w:val="0"/>
      <w:marBottom w:val="0"/>
      <w:divBdr>
        <w:top w:val="none" w:sz="0" w:space="0" w:color="auto"/>
        <w:left w:val="none" w:sz="0" w:space="0" w:color="auto"/>
        <w:bottom w:val="none" w:sz="0" w:space="0" w:color="auto"/>
        <w:right w:val="none" w:sz="0" w:space="0" w:color="auto"/>
      </w:divBdr>
    </w:div>
    <w:div w:id="1057244593">
      <w:bodyDiv w:val="1"/>
      <w:marLeft w:val="0"/>
      <w:marRight w:val="0"/>
      <w:marTop w:val="0"/>
      <w:marBottom w:val="0"/>
      <w:divBdr>
        <w:top w:val="none" w:sz="0" w:space="0" w:color="auto"/>
        <w:left w:val="none" w:sz="0" w:space="0" w:color="auto"/>
        <w:bottom w:val="none" w:sz="0" w:space="0" w:color="auto"/>
        <w:right w:val="none" w:sz="0" w:space="0" w:color="auto"/>
      </w:divBdr>
    </w:div>
    <w:div w:id="1205748331">
      <w:bodyDiv w:val="1"/>
      <w:marLeft w:val="0"/>
      <w:marRight w:val="0"/>
      <w:marTop w:val="0"/>
      <w:marBottom w:val="0"/>
      <w:divBdr>
        <w:top w:val="none" w:sz="0" w:space="0" w:color="auto"/>
        <w:left w:val="none" w:sz="0" w:space="0" w:color="auto"/>
        <w:bottom w:val="none" w:sz="0" w:space="0" w:color="auto"/>
        <w:right w:val="none" w:sz="0" w:space="0" w:color="auto"/>
      </w:divBdr>
    </w:div>
    <w:div w:id="1239708829">
      <w:bodyDiv w:val="1"/>
      <w:marLeft w:val="0"/>
      <w:marRight w:val="0"/>
      <w:marTop w:val="0"/>
      <w:marBottom w:val="0"/>
      <w:divBdr>
        <w:top w:val="none" w:sz="0" w:space="0" w:color="auto"/>
        <w:left w:val="none" w:sz="0" w:space="0" w:color="auto"/>
        <w:bottom w:val="none" w:sz="0" w:space="0" w:color="auto"/>
        <w:right w:val="none" w:sz="0" w:space="0" w:color="auto"/>
      </w:divBdr>
    </w:div>
    <w:div w:id="1327321313">
      <w:bodyDiv w:val="1"/>
      <w:marLeft w:val="0"/>
      <w:marRight w:val="0"/>
      <w:marTop w:val="0"/>
      <w:marBottom w:val="0"/>
      <w:divBdr>
        <w:top w:val="none" w:sz="0" w:space="0" w:color="auto"/>
        <w:left w:val="none" w:sz="0" w:space="0" w:color="auto"/>
        <w:bottom w:val="none" w:sz="0" w:space="0" w:color="auto"/>
        <w:right w:val="none" w:sz="0" w:space="0" w:color="auto"/>
      </w:divBdr>
    </w:div>
    <w:div w:id="1372151483">
      <w:bodyDiv w:val="1"/>
      <w:marLeft w:val="0"/>
      <w:marRight w:val="0"/>
      <w:marTop w:val="0"/>
      <w:marBottom w:val="0"/>
      <w:divBdr>
        <w:top w:val="none" w:sz="0" w:space="0" w:color="auto"/>
        <w:left w:val="none" w:sz="0" w:space="0" w:color="auto"/>
        <w:bottom w:val="none" w:sz="0" w:space="0" w:color="auto"/>
        <w:right w:val="none" w:sz="0" w:space="0" w:color="auto"/>
      </w:divBdr>
    </w:div>
    <w:div w:id="1393384198">
      <w:bodyDiv w:val="1"/>
      <w:marLeft w:val="0"/>
      <w:marRight w:val="0"/>
      <w:marTop w:val="0"/>
      <w:marBottom w:val="0"/>
      <w:divBdr>
        <w:top w:val="none" w:sz="0" w:space="0" w:color="auto"/>
        <w:left w:val="none" w:sz="0" w:space="0" w:color="auto"/>
        <w:bottom w:val="none" w:sz="0" w:space="0" w:color="auto"/>
        <w:right w:val="none" w:sz="0" w:space="0" w:color="auto"/>
      </w:divBdr>
    </w:div>
    <w:div w:id="1399129181">
      <w:bodyDiv w:val="1"/>
      <w:marLeft w:val="0"/>
      <w:marRight w:val="0"/>
      <w:marTop w:val="0"/>
      <w:marBottom w:val="0"/>
      <w:divBdr>
        <w:top w:val="none" w:sz="0" w:space="0" w:color="auto"/>
        <w:left w:val="none" w:sz="0" w:space="0" w:color="auto"/>
        <w:bottom w:val="none" w:sz="0" w:space="0" w:color="auto"/>
        <w:right w:val="none" w:sz="0" w:space="0" w:color="auto"/>
      </w:divBdr>
    </w:div>
    <w:div w:id="1428768218">
      <w:bodyDiv w:val="1"/>
      <w:marLeft w:val="0"/>
      <w:marRight w:val="0"/>
      <w:marTop w:val="0"/>
      <w:marBottom w:val="0"/>
      <w:divBdr>
        <w:top w:val="none" w:sz="0" w:space="0" w:color="auto"/>
        <w:left w:val="none" w:sz="0" w:space="0" w:color="auto"/>
        <w:bottom w:val="none" w:sz="0" w:space="0" w:color="auto"/>
        <w:right w:val="none" w:sz="0" w:space="0" w:color="auto"/>
      </w:divBdr>
    </w:div>
    <w:div w:id="1455900589">
      <w:bodyDiv w:val="1"/>
      <w:marLeft w:val="0"/>
      <w:marRight w:val="0"/>
      <w:marTop w:val="0"/>
      <w:marBottom w:val="0"/>
      <w:divBdr>
        <w:top w:val="none" w:sz="0" w:space="0" w:color="auto"/>
        <w:left w:val="none" w:sz="0" w:space="0" w:color="auto"/>
        <w:bottom w:val="none" w:sz="0" w:space="0" w:color="auto"/>
        <w:right w:val="none" w:sz="0" w:space="0" w:color="auto"/>
      </w:divBdr>
    </w:div>
    <w:div w:id="1458404114">
      <w:bodyDiv w:val="1"/>
      <w:marLeft w:val="0"/>
      <w:marRight w:val="0"/>
      <w:marTop w:val="0"/>
      <w:marBottom w:val="0"/>
      <w:divBdr>
        <w:top w:val="none" w:sz="0" w:space="0" w:color="auto"/>
        <w:left w:val="none" w:sz="0" w:space="0" w:color="auto"/>
        <w:bottom w:val="none" w:sz="0" w:space="0" w:color="auto"/>
        <w:right w:val="none" w:sz="0" w:space="0" w:color="auto"/>
      </w:divBdr>
    </w:div>
    <w:div w:id="1465999230">
      <w:bodyDiv w:val="1"/>
      <w:marLeft w:val="0"/>
      <w:marRight w:val="0"/>
      <w:marTop w:val="0"/>
      <w:marBottom w:val="0"/>
      <w:divBdr>
        <w:top w:val="none" w:sz="0" w:space="0" w:color="auto"/>
        <w:left w:val="none" w:sz="0" w:space="0" w:color="auto"/>
        <w:bottom w:val="none" w:sz="0" w:space="0" w:color="auto"/>
        <w:right w:val="none" w:sz="0" w:space="0" w:color="auto"/>
      </w:divBdr>
    </w:div>
    <w:div w:id="1477913761">
      <w:bodyDiv w:val="1"/>
      <w:marLeft w:val="0"/>
      <w:marRight w:val="0"/>
      <w:marTop w:val="0"/>
      <w:marBottom w:val="0"/>
      <w:divBdr>
        <w:top w:val="none" w:sz="0" w:space="0" w:color="auto"/>
        <w:left w:val="none" w:sz="0" w:space="0" w:color="auto"/>
        <w:bottom w:val="none" w:sz="0" w:space="0" w:color="auto"/>
        <w:right w:val="none" w:sz="0" w:space="0" w:color="auto"/>
      </w:divBdr>
    </w:div>
    <w:div w:id="1507288004">
      <w:bodyDiv w:val="1"/>
      <w:marLeft w:val="0"/>
      <w:marRight w:val="0"/>
      <w:marTop w:val="0"/>
      <w:marBottom w:val="0"/>
      <w:divBdr>
        <w:top w:val="none" w:sz="0" w:space="0" w:color="auto"/>
        <w:left w:val="none" w:sz="0" w:space="0" w:color="auto"/>
        <w:bottom w:val="none" w:sz="0" w:space="0" w:color="auto"/>
        <w:right w:val="none" w:sz="0" w:space="0" w:color="auto"/>
      </w:divBdr>
    </w:div>
    <w:div w:id="1509639762">
      <w:bodyDiv w:val="1"/>
      <w:marLeft w:val="0"/>
      <w:marRight w:val="0"/>
      <w:marTop w:val="0"/>
      <w:marBottom w:val="0"/>
      <w:divBdr>
        <w:top w:val="none" w:sz="0" w:space="0" w:color="auto"/>
        <w:left w:val="none" w:sz="0" w:space="0" w:color="auto"/>
        <w:bottom w:val="none" w:sz="0" w:space="0" w:color="auto"/>
        <w:right w:val="none" w:sz="0" w:space="0" w:color="auto"/>
      </w:divBdr>
    </w:div>
    <w:div w:id="1522933984">
      <w:bodyDiv w:val="1"/>
      <w:marLeft w:val="0"/>
      <w:marRight w:val="0"/>
      <w:marTop w:val="0"/>
      <w:marBottom w:val="0"/>
      <w:divBdr>
        <w:top w:val="none" w:sz="0" w:space="0" w:color="auto"/>
        <w:left w:val="none" w:sz="0" w:space="0" w:color="auto"/>
        <w:bottom w:val="none" w:sz="0" w:space="0" w:color="auto"/>
        <w:right w:val="none" w:sz="0" w:space="0" w:color="auto"/>
      </w:divBdr>
    </w:div>
    <w:div w:id="1615283267">
      <w:bodyDiv w:val="1"/>
      <w:marLeft w:val="0"/>
      <w:marRight w:val="0"/>
      <w:marTop w:val="0"/>
      <w:marBottom w:val="0"/>
      <w:divBdr>
        <w:top w:val="none" w:sz="0" w:space="0" w:color="auto"/>
        <w:left w:val="none" w:sz="0" w:space="0" w:color="auto"/>
        <w:bottom w:val="none" w:sz="0" w:space="0" w:color="auto"/>
        <w:right w:val="none" w:sz="0" w:space="0" w:color="auto"/>
      </w:divBdr>
    </w:div>
    <w:div w:id="1769109146">
      <w:bodyDiv w:val="1"/>
      <w:marLeft w:val="0"/>
      <w:marRight w:val="0"/>
      <w:marTop w:val="0"/>
      <w:marBottom w:val="0"/>
      <w:divBdr>
        <w:top w:val="none" w:sz="0" w:space="0" w:color="auto"/>
        <w:left w:val="none" w:sz="0" w:space="0" w:color="auto"/>
        <w:bottom w:val="none" w:sz="0" w:space="0" w:color="auto"/>
        <w:right w:val="none" w:sz="0" w:space="0" w:color="auto"/>
      </w:divBdr>
    </w:div>
    <w:div w:id="1781338659">
      <w:bodyDiv w:val="1"/>
      <w:marLeft w:val="0"/>
      <w:marRight w:val="0"/>
      <w:marTop w:val="0"/>
      <w:marBottom w:val="0"/>
      <w:divBdr>
        <w:top w:val="none" w:sz="0" w:space="0" w:color="auto"/>
        <w:left w:val="none" w:sz="0" w:space="0" w:color="auto"/>
        <w:bottom w:val="none" w:sz="0" w:space="0" w:color="auto"/>
        <w:right w:val="none" w:sz="0" w:space="0" w:color="auto"/>
      </w:divBdr>
    </w:div>
    <w:div w:id="1961254477">
      <w:bodyDiv w:val="1"/>
      <w:marLeft w:val="0"/>
      <w:marRight w:val="0"/>
      <w:marTop w:val="0"/>
      <w:marBottom w:val="0"/>
      <w:divBdr>
        <w:top w:val="none" w:sz="0" w:space="0" w:color="auto"/>
        <w:left w:val="none" w:sz="0" w:space="0" w:color="auto"/>
        <w:bottom w:val="none" w:sz="0" w:space="0" w:color="auto"/>
        <w:right w:val="none" w:sz="0" w:space="0" w:color="auto"/>
      </w:divBdr>
    </w:div>
    <w:div w:id="2025400207">
      <w:bodyDiv w:val="1"/>
      <w:marLeft w:val="0"/>
      <w:marRight w:val="0"/>
      <w:marTop w:val="0"/>
      <w:marBottom w:val="0"/>
      <w:divBdr>
        <w:top w:val="none" w:sz="0" w:space="0" w:color="auto"/>
        <w:left w:val="none" w:sz="0" w:space="0" w:color="auto"/>
        <w:bottom w:val="none" w:sz="0" w:space="0" w:color="auto"/>
        <w:right w:val="none" w:sz="0" w:space="0" w:color="auto"/>
      </w:divBdr>
    </w:div>
    <w:div w:id="2050302571">
      <w:bodyDiv w:val="1"/>
      <w:marLeft w:val="0"/>
      <w:marRight w:val="0"/>
      <w:marTop w:val="0"/>
      <w:marBottom w:val="0"/>
      <w:divBdr>
        <w:top w:val="none" w:sz="0" w:space="0" w:color="auto"/>
        <w:left w:val="none" w:sz="0" w:space="0" w:color="auto"/>
        <w:bottom w:val="none" w:sz="0" w:space="0" w:color="auto"/>
        <w:right w:val="none" w:sz="0" w:space="0" w:color="auto"/>
      </w:divBdr>
    </w:div>
    <w:div w:id="21431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67db0e7f2584bf06f9afdde912714319">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ac56a30f2f0cc419812d88252a424888"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80623ba-ccf2-4a18-bfe5-c6df4d14cf8f">
      <UserInfo>
        <DisplayName>Walters, Yvonne A.</DisplayName>
        <AccountId>652</AccountId>
        <AccountType/>
      </UserInfo>
      <UserInfo>
        <DisplayName>Mundt, Victoria L.</DisplayName>
        <AccountId>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A0EF-1D78-40C1-9775-094552DC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D5CE9-9D68-493A-BDA6-68E4FA3F2CED}">
  <ds:schemaRefs>
    <ds:schemaRef ds:uri="http://schemas.microsoft.com/sharepoint/v3/contenttype/forms"/>
  </ds:schemaRefs>
</ds:datastoreItem>
</file>

<file path=customXml/itemProps3.xml><?xml version="1.0" encoding="utf-8"?>
<ds:datastoreItem xmlns:ds="http://schemas.openxmlformats.org/officeDocument/2006/customXml" ds:itemID="{7FB993E0-F1B4-435E-913D-7A9B886B1B4A}">
  <ds:schemaRefs>
    <ds:schemaRef ds:uri="25666c59-469e-497e-8130-9b751741e577"/>
    <ds:schemaRef ds:uri="980623ba-ccf2-4a18-bfe5-c6df4d14cf8f"/>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36a5728a-5963-4636-941c-d99c8b4b163c"/>
  </ds:schemaRefs>
</ds:datastoreItem>
</file>

<file path=customXml/itemProps4.xml><?xml version="1.0" encoding="utf-8"?>
<ds:datastoreItem xmlns:ds="http://schemas.openxmlformats.org/officeDocument/2006/customXml" ds:itemID="{EE672A48-75D6-4206-98A4-106D8F44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Turner;jerry.fernandez@sba.gov;victoria.mundt@sba.gov</dc:creator>
  <cp:lastModifiedBy>SYSTEM</cp:lastModifiedBy>
  <cp:revision>2</cp:revision>
  <cp:lastPrinted>2019-04-16T21:37:00Z</cp:lastPrinted>
  <dcterms:created xsi:type="dcterms:W3CDTF">2019-07-09T14:44:00Z</dcterms:created>
  <dcterms:modified xsi:type="dcterms:W3CDTF">2019-07-09T14:44:00Z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y fmtid="{D5CDD505-2E9C-101B-9397-08002B2CF9AE}" pid="3" name="TaxKeyword">
    <vt:lpwstr/>
  </property>
  <property fmtid="{D5CDD505-2E9C-101B-9397-08002B2CF9AE}" pid="4" name="AuthorIds_UIVersion_1536">
    <vt:lpwstr>83</vt:lpwstr>
  </property>
</Properties>
</file>