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FBD" w:rsidRPr="006452B8" w:rsidRDefault="00C95410" w:rsidP="00C95410">
      <w:pPr>
        <w:pStyle w:val="Heading1"/>
        <w:rPr>
          <w:sz w:val="28"/>
          <w:szCs w:val="28"/>
        </w:rPr>
      </w:pPr>
      <w:bookmarkStart w:id="0" w:name="_GoBack"/>
      <w:bookmarkEnd w:id="0"/>
      <w:r w:rsidRPr="006452B8">
        <w:rPr>
          <w:sz w:val="28"/>
          <w:szCs w:val="28"/>
        </w:rPr>
        <w:t xml:space="preserve">Quarterly Financial Report (QFR) Nonsubstantive Change </w:t>
      </w:r>
      <w:r w:rsidR="006452B8" w:rsidRPr="006452B8">
        <w:rPr>
          <w:sz w:val="28"/>
          <w:szCs w:val="28"/>
        </w:rPr>
        <w:t xml:space="preserve">– Sample Improvement </w:t>
      </w:r>
    </w:p>
    <w:p w:rsidR="009D39E7" w:rsidRDefault="009D39E7" w:rsidP="00AB7A97">
      <w:pPr>
        <w:pStyle w:val="NoSpacing"/>
      </w:pPr>
      <w:r>
        <w:t xml:space="preserve">The Quarterly Financial Report (QFR) plans to implement two changes to </w:t>
      </w:r>
      <w:r w:rsidR="00A46FD9">
        <w:t>the s</w:t>
      </w:r>
      <w:r>
        <w:t xml:space="preserve">ampling </w:t>
      </w:r>
      <w:r w:rsidR="00A46FD9">
        <w:t>m</w:t>
      </w:r>
      <w:r>
        <w:t xml:space="preserve">ethodology. </w:t>
      </w:r>
    </w:p>
    <w:p w:rsidR="009D39E7" w:rsidRDefault="009D39E7" w:rsidP="00AB7A97">
      <w:pPr>
        <w:pStyle w:val="NoSpacing"/>
      </w:pPr>
    </w:p>
    <w:p w:rsidR="00E10367" w:rsidRPr="00E10367" w:rsidRDefault="00E10367" w:rsidP="00AB7A97">
      <w:pPr>
        <w:pStyle w:val="NoSpacing"/>
        <w:rPr>
          <w:rFonts w:asciiTheme="majorHAnsi" w:eastAsiaTheme="majorEastAsia" w:hAnsiTheme="majorHAnsi" w:cstheme="majorBidi"/>
          <w:color w:val="2E74B5" w:themeColor="accent1" w:themeShade="BF"/>
          <w:sz w:val="24"/>
          <w:szCs w:val="24"/>
        </w:rPr>
      </w:pPr>
      <w:r w:rsidRPr="00E10367">
        <w:rPr>
          <w:rFonts w:asciiTheme="majorHAnsi" w:eastAsiaTheme="majorEastAsia" w:hAnsiTheme="majorHAnsi" w:cstheme="majorBidi"/>
          <w:color w:val="2E74B5" w:themeColor="accent1" w:themeShade="BF"/>
          <w:sz w:val="24"/>
          <w:szCs w:val="24"/>
        </w:rPr>
        <w:t xml:space="preserve">Sampling Changes </w:t>
      </w:r>
    </w:p>
    <w:p w:rsidR="009D39E7" w:rsidRPr="00E10367" w:rsidRDefault="009D39E7" w:rsidP="009D39E7">
      <w:pPr>
        <w:pStyle w:val="NoSpacing"/>
      </w:pPr>
      <w:r w:rsidRPr="00E10367">
        <w:t xml:space="preserve">1. </w:t>
      </w:r>
      <w:r w:rsidR="006F5FDE" w:rsidRPr="00E10367">
        <w:t xml:space="preserve">Certainty </w:t>
      </w:r>
      <w:r w:rsidRPr="00E10367">
        <w:t xml:space="preserve">Sample Improvement </w:t>
      </w:r>
    </w:p>
    <w:p w:rsidR="00AB7A97" w:rsidRDefault="00AB7A97" w:rsidP="00AB7A97">
      <w:pPr>
        <w:pStyle w:val="NoSpacing"/>
      </w:pPr>
      <w:r>
        <w:t xml:space="preserve">The QFR sample </w:t>
      </w:r>
      <w:r w:rsidR="00C80161">
        <w:t>increases</w:t>
      </w:r>
      <w:r>
        <w:t xml:space="preserve"> every year. From 2010Q4 to 2015Q4, the total number of active companies in the sample increased by 2,033. Of those 2,033, non-certainties increased by 1,472 and certainties increased by 561.</w:t>
      </w:r>
      <w:r w:rsidR="00BA06C0" w:rsidRPr="00BA06C0">
        <w:t xml:space="preserve"> </w:t>
      </w:r>
      <w:r w:rsidR="0054082C">
        <w:t>T</w:t>
      </w:r>
      <w:r w:rsidR="00BA06C0" w:rsidRPr="00BA06C0">
        <w:t xml:space="preserve">he overall sample size </w:t>
      </w:r>
      <w:r w:rsidR="0054082C">
        <w:t>was</w:t>
      </w:r>
      <w:r w:rsidR="00BA06C0" w:rsidRPr="00BA06C0">
        <w:t xml:space="preserve"> 12,200</w:t>
      </w:r>
      <w:r w:rsidR="0054082C">
        <w:t xml:space="preserve"> by 2018Q1</w:t>
      </w:r>
      <w:r w:rsidR="00BA06C0" w:rsidRPr="00BA06C0">
        <w:t xml:space="preserve">. </w:t>
      </w:r>
      <w:r>
        <w:t xml:space="preserve"> </w:t>
      </w:r>
      <w:r w:rsidR="007F48A0">
        <w:t>T</w:t>
      </w:r>
      <w:r>
        <w:t xml:space="preserve">o limit the continual growth of the QFR sample, QFR plans to implement a new sampling methodology. </w:t>
      </w:r>
      <w:r w:rsidR="007F48A0">
        <w:t>Table 1 presents t</w:t>
      </w:r>
      <w:r>
        <w:t>he current sampl</w:t>
      </w:r>
      <w:r w:rsidR="007F48A0">
        <w:t>e</w:t>
      </w:r>
      <w:r>
        <w:t xml:space="preserve"> strata. </w:t>
      </w:r>
    </w:p>
    <w:p w:rsidR="00AB7A97" w:rsidRDefault="00AB7A97" w:rsidP="00AB7A97">
      <w:pPr>
        <w:pStyle w:val="NoSpacing"/>
      </w:pPr>
    </w:p>
    <w:p w:rsidR="00AB7A97" w:rsidRDefault="00AB7A97" w:rsidP="00AB7A97">
      <w:pPr>
        <w:pStyle w:val="NoSpacing"/>
      </w:pPr>
      <w:r>
        <w:t xml:space="preserve">Table 1 – Current QFR Sampling Strata </w:t>
      </w:r>
    </w:p>
    <w:tbl>
      <w:tblPr>
        <w:tblStyle w:val="TableGrid"/>
        <w:tblW w:w="0" w:type="auto"/>
        <w:tblLook w:val="04A0" w:firstRow="1" w:lastRow="0" w:firstColumn="1" w:lastColumn="0" w:noHBand="0" w:noVBand="1"/>
      </w:tblPr>
      <w:tblGrid>
        <w:gridCol w:w="1165"/>
        <w:gridCol w:w="3150"/>
      </w:tblGrid>
      <w:tr w:rsidR="00AB7A97" w:rsidTr="00B626CA">
        <w:tc>
          <w:tcPr>
            <w:tcW w:w="1165" w:type="dxa"/>
          </w:tcPr>
          <w:p w:rsidR="00AB7A97" w:rsidRDefault="00AB7A97" w:rsidP="00B626CA">
            <w:pPr>
              <w:pStyle w:val="NoSpacing"/>
            </w:pPr>
            <w:r>
              <w:t>Stratum</w:t>
            </w:r>
          </w:p>
        </w:tc>
        <w:tc>
          <w:tcPr>
            <w:tcW w:w="3150" w:type="dxa"/>
          </w:tcPr>
          <w:p w:rsidR="00AB7A97" w:rsidRDefault="00AB7A97" w:rsidP="00B626CA">
            <w:pPr>
              <w:pStyle w:val="NoSpacing"/>
            </w:pPr>
            <w:r>
              <w:t>Sampling Frame Assets</w:t>
            </w:r>
          </w:p>
        </w:tc>
      </w:tr>
      <w:tr w:rsidR="00AB7A97" w:rsidTr="00B626CA">
        <w:tc>
          <w:tcPr>
            <w:tcW w:w="1165" w:type="dxa"/>
          </w:tcPr>
          <w:p w:rsidR="00AB7A97" w:rsidRDefault="00AB7A97" w:rsidP="00B626CA">
            <w:pPr>
              <w:pStyle w:val="NoSpacing"/>
            </w:pPr>
            <w:r>
              <w:t>03</w:t>
            </w:r>
          </w:p>
        </w:tc>
        <w:tc>
          <w:tcPr>
            <w:tcW w:w="3150" w:type="dxa"/>
          </w:tcPr>
          <w:p w:rsidR="00AB7A97" w:rsidRDefault="00AB7A97" w:rsidP="00B626CA">
            <w:pPr>
              <w:pStyle w:val="NoSpacing"/>
            </w:pPr>
            <w:r>
              <w:t>$250,000 - $999,999</w:t>
            </w:r>
          </w:p>
        </w:tc>
      </w:tr>
      <w:tr w:rsidR="00AB7A97" w:rsidTr="00B626CA">
        <w:tc>
          <w:tcPr>
            <w:tcW w:w="1165" w:type="dxa"/>
          </w:tcPr>
          <w:p w:rsidR="00AB7A97" w:rsidRDefault="00AB7A97" w:rsidP="00B626CA">
            <w:pPr>
              <w:pStyle w:val="NoSpacing"/>
            </w:pPr>
            <w:r>
              <w:t>07</w:t>
            </w:r>
          </w:p>
        </w:tc>
        <w:tc>
          <w:tcPr>
            <w:tcW w:w="3150" w:type="dxa"/>
          </w:tcPr>
          <w:p w:rsidR="00AB7A97" w:rsidRDefault="00AB7A97" w:rsidP="00B626CA">
            <w:pPr>
              <w:pStyle w:val="NoSpacing"/>
            </w:pPr>
            <w:r>
              <w:t>$1,000,000 - $4,999,999</w:t>
            </w:r>
          </w:p>
        </w:tc>
      </w:tr>
      <w:tr w:rsidR="00AB7A97" w:rsidTr="00B626CA">
        <w:tc>
          <w:tcPr>
            <w:tcW w:w="1165" w:type="dxa"/>
          </w:tcPr>
          <w:p w:rsidR="00AB7A97" w:rsidRDefault="00AB7A97" w:rsidP="00B626CA">
            <w:pPr>
              <w:pStyle w:val="NoSpacing"/>
            </w:pPr>
            <w:r>
              <w:t>08</w:t>
            </w:r>
          </w:p>
        </w:tc>
        <w:tc>
          <w:tcPr>
            <w:tcW w:w="3150" w:type="dxa"/>
          </w:tcPr>
          <w:p w:rsidR="00AB7A97" w:rsidRDefault="00AB7A97" w:rsidP="00B626CA">
            <w:pPr>
              <w:pStyle w:val="NoSpacing"/>
            </w:pPr>
            <w:r>
              <w:t>$5,000,000 - $9,999,999</w:t>
            </w:r>
          </w:p>
        </w:tc>
      </w:tr>
      <w:tr w:rsidR="00AB7A97" w:rsidTr="00B626CA">
        <w:tc>
          <w:tcPr>
            <w:tcW w:w="1165" w:type="dxa"/>
          </w:tcPr>
          <w:p w:rsidR="00AB7A97" w:rsidRDefault="00AB7A97" w:rsidP="00B626CA">
            <w:pPr>
              <w:pStyle w:val="NoSpacing"/>
            </w:pPr>
            <w:r>
              <w:t>14</w:t>
            </w:r>
          </w:p>
        </w:tc>
        <w:tc>
          <w:tcPr>
            <w:tcW w:w="3150" w:type="dxa"/>
          </w:tcPr>
          <w:p w:rsidR="00AB7A97" w:rsidRDefault="00AB7A97" w:rsidP="00B626CA">
            <w:pPr>
              <w:pStyle w:val="NoSpacing"/>
            </w:pPr>
            <w:r>
              <w:t>$10,000,000 - $49,999,999</w:t>
            </w:r>
          </w:p>
        </w:tc>
      </w:tr>
      <w:tr w:rsidR="00AB7A97" w:rsidTr="00B626CA">
        <w:tc>
          <w:tcPr>
            <w:tcW w:w="1165" w:type="dxa"/>
          </w:tcPr>
          <w:p w:rsidR="00AB7A97" w:rsidRDefault="00AB7A97" w:rsidP="00B626CA">
            <w:pPr>
              <w:pStyle w:val="NoSpacing"/>
            </w:pPr>
            <w:r>
              <w:t>16</w:t>
            </w:r>
          </w:p>
        </w:tc>
        <w:tc>
          <w:tcPr>
            <w:tcW w:w="3150" w:type="dxa"/>
          </w:tcPr>
          <w:p w:rsidR="00AB7A97" w:rsidRDefault="00AB7A97" w:rsidP="00B626CA">
            <w:pPr>
              <w:pStyle w:val="NoSpacing"/>
            </w:pPr>
            <w:r>
              <w:t>$50,000,000 - $249,999,999</w:t>
            </w:r>
          </w:p>
        </w:tc>
      </w:tr>
      <w:tr w:rsidR="00AB7A97" w:rsidTr="00B626CA">
        <w:tc>
          <w:tcPr>
            <w:tcW w:w="1165" w:type="dxa"/>
          </w:tcPr>
          <w:p w:rsidR="00AB7A97" w:rsidRPr="00105F39" w:rsidRDefault="00AB7A97" w:rsidP="00B626CA">
            <w:pPr>
              <w:pStyle w:val="NoSpacing"/>
              <w:rPr>
                <w:b/>
                <w:color w:val="FF0000"/>
              </w:rPr>
            </w:pPr>
            <w:r w:rsidRPr="00105F39">
              <w:rPr>
                <w:b/>
                <w:color w:val="FF0000"/>
              </w:rPr>
              <w:t>18*</w:t>
            </w:r>
          </w:p>
        </w:tc>
        <w:tc>
          <w:tcPr>
            <w:tcW w:w="3150" w:type="dxa"/>
          </w:tcPr>
          <w:p w:rsidR="00AB7A97" w:rsidRPr="00105F39" w:rsidRDefault="00AB7A97" w:rsidP="00B626CA">
            <w:pPr>
              <w:pStyle w:val="NoSpacing"/>
              <w:rPr>
                <w:b/>
                <w:color w:val="FF0000"/>
              </w:rPr>
            </w:pPr>
            <w:r w:rsidRPr="00105F39">
              <w:rPr>
                <w:b/>
                <w:color w:val="FF0000"/>
              </w:rPr>
              <w:t xml:space="preserve">$250,000,000 and over </w:t>
            </w:r>
          </w:p>
        </w:tc>
      </w:tr>
    </w:tbl>
    <w:p w:rsidR="00AB7A97" w:rsidRDefault="00AB7A97" w:rsidP="00AB7A97">
      <w:pPr>
        <w:pStyle w:val="NoSpacing"/>
      </w:pPr>
      <w:r>
        <w:t>* Certainty companies</w:t>
      </w:r>
    </w:p>
    <w:p w:rsidR="00AB7A97" w:rsidRDefault="00AB7A97" w:rsidP="00AB7A97">
      <w:pPr>
        <w:pStyle w:val="NoSpacing"/>
      </w:pPr>
      <w:r>
        <w:t xml:space="preserve">Note: Manufacturing is the only industry that QFR samples below stratum 16. Mining, Wholesale Trade, Retail Trade, and Selected Service Industries only sample stratum 16 and stratum 18. </w:t>
      </w:r>
    </w:p>
    <w:p w:rsidR="00AB7A97" w:rsidRDefault="00AB7A97" w:rsidP="00AB7A97">
      <w:pPr>
        <w:pStyle w:val="NoSpacing"/>
      </w:pPr>
    </w:p>
    <w:p w:rsidR="00AB7A97" w:rsidRDefault="00BA06C0" w:rsidP="00AB7A97">
      <w:pPr>
        <w:pStyle w:val="NoSpacing"/>
      </w:pPr>
      <w:r>
        <w:t>The</w:t>
      </w:r>
      <w:r w:rsidR="00AB7A97">
        <w:t xml:space="preserve"> new sampling methodology introduces noncertainty stratum 17 with assets between $250,000,000 and an amount that varies by industry. The methodology will also raise the asset cutoff for certainties. The certainty asset cutoff will be monitored and could be adjusted </w:t>
      </w:r>
      <w:r w:rsidR="00480B8B">
        <w:t>more easily</w:t>
      </w:r>
      <w:r w:rsidR="00AB7A97">
        <w:t xml:space="preserve"> in the future. </w:t>
      </w:r>
    </w:p>
    <w:p w:rsidR="00AB7A97" w:rsidRDefault="00AB7A97" w:rsidP="00AB7A97">
      <w:pPr>
        <w:pStyle w:val="NoSpacing"/>
      </w:pPr>
    </w:p>
    <w:p w:rsidR="009D39E7" w:rsidRPr="00E10367" w:rsidRDefault="009D39E7" w:rsidP="00AB7A97">
      <w:pPr>
        <w:pStyle w:val="NoSpacing"/>
      </w:pPr>
      <w:r w:rsidRPr="00E10367">
        <w:t>2. Removal of Small Strata</w:t>
      </w:r>
    </w:p>
    <w:p w:rsidR="009D39E7" w:rsidRDefault="009D39E7" w:rsidP="009D39E7">
      <w:pPr>
        <w:pStyle w:val="NoSpacing"/>
      </w:pPr>
      <w:r>
        <w:t xml:space="preserve">QFR also plans to remove the two smallest strata, stratum 03 and stratum 07. The average sample size for stratum 03 is 1,035 and the average sample size for stratum 07 is 1,368 (average of 6 quarters from 2016Q4 to 2018Q1). </w:t>
      </w:r>
      <w:r w:rsidR="00480B8B">
        <w:t>R</w:t>
      </w:r>
      <w:r>
        <w:t>emoving both strata 03 and 07</w:t>
      </w:r>
      <w:r w:rsidR="00480B8B">
        <w:t xml:space="preserve"> reduces</w:t>
      </w:r>
      <w:r>
        <w:t xml:space="preserve"> the overall QFR sample size by an average of 2,403 companies. In addition, removing both strata 03 and 07 could increase the total unit response rate (URR) by approximately 3.0% on average. According to a recent Nonresponse Bias Study, the current URR is approximately 50% for stratum 03 and is approximately 55% for stratum 07. </w:t>
      </w:r>
    </w:p>
    <w:p w:rsidR="00710A3E" w:rsidRPr="00D96982" w:rsidRDefault="00710A3E" w:rsidP="00710A3E">
      <w:pPr>
        <w:pStyle w:val="NoSpacing"/>
      </w:pPr>
    </w:p>
    <w:p w:rsidR="006F5FDE" w:rsidRPr="00DF0DDF" w:rsidRDefault="006F5FDE" w:rsidP="006F5FDE">
      <w:pPr>
        <w:pStyle w:val="Heading3"/>
        <w:rPr>
          <w:color w:val="2E74B5" w:themeColor="accent1" w:themeShade="BF"/>
        </w:rPr>
      </w:pPr>
      <w:r>
        <w:rPr>
          <w:color w:val="2E74B5" w:themeColor="accent1" w:themeShade="BF"/>
        </w:rPr>
        <w:t>Change in Burden Hour estimate</w:t>
      </w:r>
    </w:p>
    <w:p w:rsidR="009D39E7" w:rsidRDefault="006F5FDE" w:rsidP="00AB7A97">
      <w:pPr>
        <w:pStyle w:val="NoSpacing"/>
      </w:pPr>
      <w:r>
        <w:t>The current total burden hour estimate for QFR is 107,462 hours.</w:t>
      </w:r>
      <w:r w:rsidR="0048306A">
        <w:t xml:space="preserve"> Implementing the Certainty Sample Improvement changes </w:t>
      </w:r>
      <w:r w:rsidR="00B46075">
        <w:t xml:space="preserve">and removing stratum 03 and 07 </w:t>
      </w:r>
      <w:r w:rsidR="0048306A">
        <w:t>reduce</w:t>
      </w:r>
      <w:r w:rsidR="00C3688D">
        <w:t>s</w:t>
      </w:r>
      <w:r w:rsidR="0048306A">
        <w:t xml:space="preserve"> the burden hour estimate by</w:t>
      </w:r>
      <w:r w:rsidR="00B46075">
        <w:t xml:space="preserve"> </w:t>
      </w:r>
      <w:r w:rsidR="00CA79D0">
        <w:t>26,676</w:t>
      </w:r>
      <w:r w:rsidR="00B46075">
        <w:t xml:space="preserve"> hours. This results in a new total burden hour estimate of 80,786 hours</w:t>
      </w:r>
      <w:r w:rsidR="00CA79D0">
        <w:t xml:space="preserve">. Table 2 below shows the new burden. </w:t>
      </w:r>
    </w:p>
    <w:p w:rsidR="00B46075" w:rsidRDefault="00B46075" w:rsidP="00AB7A97">
      <w:pPr>
        <w:pStyle w:val="NoSpacing"/>
      </w:pPr>
    </w:p>
    <w:p w:rsidR="00CA79D0" w:rsidRDefault="00CA79D0" w:rsidP="00AB7A97">
      <w:pPr>
        <w:pStyle w:val="NoSpacing"/>
      </w:pPr>
    </w:p>
    <w:p w:rsidR="00CA79D0" w:rsidRDefault="00CA79D0" w:rsidP="00AB7A97">
      <w:pPr>
        <w:pStyle w:val="NoSpacing"/>
      </w:pPr>
    </w:p>
    <w:p w:rsidR="00CA79D0" w:rsidRDefault="00CA79D0" w:rsidP="00AB7A97">
      <w:pPr>
        <w:pStyle w:val="NoSpacing"/>
      </w:pPr>
    </w:p>
    <w:p w:rsidR="00CA79D0" w:rsidRDefault="00CA79D0" w:rsidP="00AB7A97">
      <w:pPr>
        <w:pStyle w:val="NoSpacing"/>
      </w:pPr>
    </w:p>
    <w:p w:rsidR="00CA79D0" w:rsidRDefault="00CA79D0" w:rsidP="00AB7A97">
      <w:pPr>
        <w:pStyle w:val="NoSpacing"/>
      </w:pPr>
    </w:p>
    <w:p w:rsidR="00CA79D0" w:rsidRDefault="00CA79D0" w:rsidP="00AB7A97">
      <w:pPr>
        <w:pStyle w:val="NoSpacing"/>
      </w:pPr>
      <w:r>
        <w:lastRenderedPageBreak/>
        <w:t xml:space="preserve">Table 2 – QFR new Burden Hour estimate </w:t>
      </w:r>
    </w:p>
    <w:tbl>
      <w:tblPr>
        <w:tblStyle w:val="TableGrid"/>
        <w:tblW w:w="9535" w:type="dxa"/>
        <w:tblLook w:val="04A0" w:firstRow="1" w:lastRow="0" w:firstColumn="1" w:lastColumn="0" w:noHBand="0" w:noVBand="1"/>
      </w:tblPr>
      <w:tblGrid>
        <w:gridCol w:w="3011"/>
        <w:gridCol w:w="1574"/>
        <w:gridCol w:w="1530"/>
        <w:gridCol w:w="1620"/>
        <w:gridCol w:w="1800"/>
      </w:tblGrid>
      <w:tr w:rsidR="00CA79D0" w:rsidRPr="00F105BC" w:rsidTr="00A52033">
        <w:tc>
          <w:tcPr>
            <w:tcW w:w="3011" w:type="dxa"/>
            <w:vMerge w:val="restart"/>
          </w:tcPr>
          <w:p w:rsidR="00CA79D0" w:rsidRPr="00F105BC" w:rsidRDefault="00CA79D0" w:rsidP="00A52033">
            <w:pPr>
              <w:rPr>
                <w:rFonts w:cstheme="minorHAnsi"/>
              </w:rPr>
            </w:pPr>
          </w:p>
        </w:tc>
        <w:tc>
          <w:tcPr>
            <w:tcW w:w="6524" w:type="dxa"/>
            <w:gridSpan w:val="4"/>
          </w:tcPr>
          <w:p w:rsidR="00CA79D0" w:rsidRPr="00F105BC" w:rsidRDefault="00CA79D0" w:rsidP="00A52033">
            <w:pPr>
              <w:jc w:val="center"/>
              <w:rPr>
                <w:rFonts w:cstheme="minorHAnsi"/>
              </w:rPr>
            </w:pPr>
            <w:r>
              <w:rPr>
                <w:rFonts w:cstheme="minorHAnsi"/>
              </w:rPr>
              <w:t>QFR Forms</w:t>
            </w:r>
          </w:p>
        </w:tc>
      </w:tr>
      <w:tr w:rsidR="00CA79D0" w:rsidRPr="00F105BC" w:rsidTr="00A52033">
        <w:tc>
          <w:tcPr>
            <w:tcW w:w="3011" w:type="dxa"/>
            <w:vMerge/>
          </w:tcPr>
          <w:p w:rsidR="00CA79D0" w:rsidRPr="00F105BC" w:rsidRDefault="00CA79D0" w:rsidP="00A52033">
            <w:pPr>
              <w:rPr>
                <w:rFonts w:cstheme="minorHAnsi"/>
              </w:rPr>
            </w:pPr>
          </w:p>
        </w:tc>
        <w:tc>
          <w:tcPr>
            <w:tcW w:w="1574" w:type="dxa"/>
          </w:tcPr>
          <w:p w:rsidR="00CA79D0" w:rsidRDefault="00CA79D0" w:rsidP="00A52033">
            <w:pPr>
              <w:rPr>
                <w:rFonts w:cstheme="minorHAnsi"/>
              </w:rPr>
            </w:pPr>
            <w:r>
              <w:rPr>
                <w:rFonts w:cstheme="minorHAnsi"/>
              </w:rPr>
              <w:t xml:space="preserve">200-MT </w:t>
            </w:r>
          </w:p>
          <w:p w:rsidR="00CA79D0" w:rsidRPr="00F105BC" w:rsidRDefault="00CA79D0" w:rsidP="00A52033">
            <w:pPr>
              <w:rPr>
                <w:rFonts w:cstheme="minorHAnsi"/>
              </w:rPr>
            </w:pPr>
            <w:r>
              <w:rPr>
                <w:rFonts w:cstheme="minorHAnsi"/>
              </w:rPr>
              <w:t>(Long form)</w:t>
            </w:r>
          </w:p>
        </w:tc>
        <w:tc>
          <w:tcPr>
            <w:tcW w:w="1530" w:type="dxa"/>
          </w:tcPr>
          <w:p w:rsidR="00CA79D0" w:rsidRDefault="00CA79D0" w:rsidP="00A52033">
            <w:pPr>
              <w:rPr>
                <w:rFonts w:cstheme="minorHAnsi"/>
              </w:rPr>
            </w:pPr>
            <w:r>
              <w:rPr>
                <w:rFonts w:cstheme="minorHAnsi"/>
              </w:rPr>
              <w:t xml:space="preserve">300-S </w:t>
            </w:r>
          </w:p>
          <w:p w:rsidR="00CA79D0" w:rsidRPr="00F105BC" w:rsidRDefault="00CA79D0" w:rsidP="00A52033">
            <w:pPr>
              <w:rPr>
                <w:rFonts w:cstheme="minorHAnsi"/>
              </w:rPr>
            </w:pPr>
            <w:r>
              <w:rPr>
                <w:rFonts w:cstheme="minorHAnsi"/>
              </w:rPr>
              <w:t>(Long form)</w:t>
            </w:r>
          </w:p>
        </w:tc>
        <w:tc>
          <w:tcPr>
            <w:tcW w:w="1620" w:type="dxa"/>
          </w:tcPr>
          <w:p w:rsidR="00CA79D0" w:rsidRDefault="00CA79D0" w:rsidP="00A52033">
            <w:pPr>
              <w:rPr>
                <w:rFonts w:cstheme="minorHAnsi"/>
              </w:rPr>
            </w:pPr>
            <w:r>
              <w:rPr>
                <w:rFonts w:cstheme="minorHAnsi"/>
              </w:rPr>
              <w:t xml:space="preserve">201-MG </w:t>
            </w:r>
          </w:p>
          <w:p w:rsidR="00CA79D0" w:rsidRPr="00F105BC" w:rsidRDefault="00CA79D0" w:rsidP="00A52033">
            <w:pPr>
              <w:rPr>
                <w:rFonts w:cstheme="minorHAnsi"/>
              </w:rPr>
            </w:pPr>
            <w:r>
              <w:rPr>
                <w:rFonts w:cstheme="minorHAnsi"/>
              </w:rPr>
              <w:t>(Short form)</w:t>
            </w:r>
          </w:p>
        </w:tc>
        <w:tc>
          <w:tcPr>
            <w:tcW w:w="1800" w:type="dxa"/>
          </w:tcPr>
          <w:p w:rsidR="00CA79D0" w:rsidRPr="00F105BC" w:rsidRDefault="0075767B" w:rsidP="0075767B">
            <w:pPr>
              <w:rPr>
                <w:rFonts w:cstheme="minorHAnsi"/>
              </w:rPr>
            </w:pPr>
            <w:r>
              <w:rPr>
                <w:rFonts w:cstheme="minorHAnsi"/>
              </w:rPr>
              <w:t>Total</w:t>
            </w:r>
          </w:p>
        </w:tc>
      </w:tr>
      <w:tr w:rsidR="00CA79D0" w:rsidRPr="00F105BC" w:rsidTr="00A52033">
        <w:tc>
          <w:tcPr>
            <w:tcW w:w="3011" w:type="dxa"/>
          </w:tcPr>
          <w:p w:rsidR="00CA79D0" w:rsidRPr="00F105BC" w:rsidRDefault="00CA79D0" w:rsidP="00A52033">
            <w:pPr>
              <w:rPr>
                <w:rFonts w:cstheme="minorHAnsi"/>
              </w:rPr>
            </w:pPr>
            <w:r w:rsidRPr="00F105BC">
              <w:rPr>
                <w:rFonts w:cstheme="minorHAnsi"/>
              </w:rPr>
              <w:t xml:space="preserve">Number of </w:t>
            </w:r>
            <w:r>
              <w:rPr>
                <w:rFonts w:cstheme="minorHAnsi"/>
              </w:rPr>
              <w:t>respondents</w:t>
            </w:r>
          </w:p>
        </w:tc>
        <w:tc>
          <w:tcPr>
            <w:tcW w:w="1574" w:type="dxa"/>
          </w:tcPr>
          <w:p w:rsidR="00CA79D0" w:rsidRPr="00F105BC" w:rsidRDefault="00CA79D0" w:rsidP="00A52033">
            <w:pPr>
              <w:rPr>
                <w:rFonts w:cstheme="minorHAnsi"/>
              </w:rPr>
            </w:pPr>
            <w:r>
              <w:rPr>
                <w:rFonts w:cstheme="minorHAnsi"/>
              </w:rPr>
              <w:t>4,374</w:t>
            </w:r>
          </w:p>
        </w:tc>
        <w:tc>
          <w:tcPr>
            <w:tcW w:w="1530" w:type="dxa"/>
          </w:tcPr>
          <w:p w:rsidR="00CA79D0" w:rsidRPr="00F105BC" w:rsidRDefault="00CA79D0" w:rsidP="00A52033">
            <w:pPr>
              <w:rPr>
                <w:rFonts w:cstheme="minorHAnsi"/>
              </w:rPr>
            </w:pPr>
            <w:r>
              <w:rPr>
                <w:rFonts w:cstheme="minorHAnsi"/>
              </w:rPr>
              <w:t>1,233</w:t>
            </w:r>
          </w:p>
        </w:tc>
        <w:tc>
          <w:tcPr>
            <w:tcW w:w="1620" w:type="dxa"/>
          </w:tcPr>
          <w:p w:rsidR="00CA79D0" w:rsidRPr="00F105BC" w:rsidRDefault="00CA79D0" w:rsidP="00A52033">
            <w:pPr>
              <w:rPr>
                <w:rFonts w:cstheme="minorHAnsi"/>
              </w:rPr>
            </w:pPr>
            <w:r>
              <w:rPr>
                <w:rFonts w:cstheme="minorHAnsi"/>
              </w:rPr>
              <w:t>2,813</w:t>
            </w:r>
          </w:p>
        </w:tc>
        <w:tc>
          <w:tcPr>
            <w:tcW w:w="1800" w:type="dxa"/>
          </w:tcPr>
          <w:p w:rsidR="00CA79D0" w:rsidRPr="00F105BC" w:rsidRDefault="00CA79D0" w:rsidP="00A52033">
            <w:pPr>
              <w:rPr>
                <w:rFonts w:cstheme="minorHAnsi"/>
              </w:rPr>
            </w:pPr>
            <w:r>
              <w:rPr>
                <w:rFonts w:cstheme="minorHAnsi"/>
              </w:rPr>
              <w:t>8,420</w:t>
            </w:r>
          </w:p>
        </w:tc>
      </w:tr>
      <w:tr w:rsidR="00CA79D0" w:rsidRPr="00F105BC" w:rsidTr="00A52033">
        <w:tc>
          <w:tcPr>
            <w:tcW w:w="3011" w:type="dxa"/>
          </w:tcPr>
          <w:p w:rsidR="00CA79D0" w:rsidRPr="00F105BC" w:rsidRDefault="00CA79D0" w:rsidP="00A52033">
            <w:pPr>
              <w:rPr>
                <w:rFonts w:cstheme="minorHAnsi"/>
              </w:rPr>
            </w:pPr>
            <w:r>
              <w:rPr>
                <w:rFonts w:cstheme="minorHAnsi"/>
              </w:rPr>
              <w:t>Number of responses per respondent/year</w:t>
            </w:r>
          </w:p>
        </w:tc>
        <w:tc>
          <w:tcPr>
            <w:tcW w:w="1574" w:type="dxa"/>
          </w:tcPr>
          <w:p w:rsidR="00CA79D0" w:rsidRPr="00F105BC" w:rsidRDefault="00CA79D0" w:rsidP="00A52033">
            <w:pPr>
              <w:rPr>
                <w:rFonts w:cstheme="minorHAnsi"/>
              </w:rPr>
            </w:pPr>
            <w:r>
              <w:rPr>
                <w:rFonts w:cstheme="minorHAnsi"/>
              </w:rPr>
              <w:t>4</w:t>
            </w:r>
          </w:p>
        </w:tc>
        <w:tc>
          <w:tcPr>
            <w:tcW w:w="1530" w:type="dxa"/>
          </w:tcPr>
          <w:p w:rsidR="00CA79D0" w:rsidRPr="00F105BC" w:rsidRDefault="00CA79D0" w:rsidP="00A52033">
            <w:pPr>
              <w:rPr>
                <w:rFonts w:cstheme="minorHAnsi"/>
              </w:rPr>
            </w:pPr>
            <w:r>
              <w:rPr>
                <w:rFonts w:cstheme="minorHAnsi"/>
              </w:rPr>
              <w:t>4</w:t>
            </w:r>
          </w:p>
        </w:tc>
        <w:tc>
          <w:tcPr>
            <w:tcW w:w="1620" w:type="dxa"/>
          </w:tcPr>
          <w:p w:rsidR="00CA79D0" w:rsidRPr="00F105BC" w:rsidRDefault="00CA79D0" w:rsidP="00A52033">
            <w:pPr>
              <w:rPr>
                <w:rFonts w:cstheme="minorHAnsi"/>
              </w:rPr>
            </w:pPr>
            <w:r>
              <w:rPr>
                <w:rFonts w:cstheme="minorHAnsi"/>
              </w:rPr>
              <w:t>4</w:t>
            </w:r>
          </w:p>
        </w:tc>
        <w:tc>
          <w:tcPr>
            <w:tcW w:w="1800" w:type="dxa"/>
          </w:tcPr>
          <w:p w:rsidR="00CA79D0" w:rsidRPr="00F105BC" w:rsidRDefault="00CA79D0" w:rsidP="00A52033">
            <w:pPr>
              <w:rPr>
                <w:rFonts w:cstheme="minorHAnsi"/>
              </w:rPr>
            </w:pPr>
            <w:r>
              <w:rPr>
                <w:rFonts w:cstheme="minorHAnsi"/>
              </w:rPr>
              <w:t>4</w:t>
            </w:r>
          </w:p>
        </w:tc>
      </w:tr>
      <w:tr w:rsidR="00CA79D0" w:rsidRPr="00F105BC" w:rsidTr="00A52033">
        <w:tc>
          <w:tcPr>
            <w:tcW w:w="3011" w:type="dxa"/>
          </w:tcPr>
          <w:p w:rsidR="00CA79D0" w:rsidRDefault="00CA79D0" w:rsidP="00A52033">
            <w:pPr>
              <w:rPr>
                <w:rFonts w:cstheme="minorHAnsi"/>
              </w:rPr>
            </w:pPr>
            <w:r>
              <w:rPr>
                <w:rFonts w:cstheme="minorHAnsi"/>
              </w:rPr>
              <w:t xml:space="preserve">Total annual response </w:t>
            </w:r>
          </w:p>
          <w:p w:rsidR="00CA79D0" w:rsidRPr="00F105BC" w:rsidRDefault="00CA79D0" w:rsidP="00A52033">
            <w:pPr>
              <w:rPr>
                <w:rFonts w:cstheme="minorHAnsi"/>
              </w:rPr>
            </w:pPr>
            <w:r>
              <w:rPr>
                <w:rFonts w:cstheme="minorHAnsi"/>
              </w:rPr>
              <w:t>(line 1 times line 2)</w:t>
            </w:r>
          </w:p>
        </w:tc>
        <w:tc>
          <w:tcPr>
            <w:tcW w:w="1574" w:type="dxa"/>
          </w:tcPr>
          <w:p w:rsidR="00CA79D0" w:rsidRPr="00F105BC" w:rsidRDefault="00CA79D0" w:rsidP="00A52033">
            <w:pPr>
              <w:rPr>
                <w:rFonts w:cstheme="minorHAnsi"/>
              </w:rPr>
            </w:pPr>
            <w:r>
              <w:rPr>
                <w:rFonts w:cstheme="minorHAnsi"/>
              </w:rPr>
              <w:t>17,496</w:t>
            </w:r>
          </w:p>
        </w:tc>
        <w:tc>
          <w:tcPr>
            <w:tcW w:w="1530" w:type="dxa"/>
          </w:tcPr>
          <w:p w:rsidR="00CA79D0" w:rsidRPr="00F105BC" w:rsidRDefault="00CA79D0" w:rsidP="00A52033">
            <w:pPr>
              <w:rPr>
                <w:rFonts w:cstheme="minorHAnsi"/>
              </w:rPr>
            </w:pPr>
            <w:r>
              <w:rPr>
                <w:rFonts w:cstheme="minorHAnsi"/>
              </w:rPr>
              <w:t>4,932</w:t>
            </w:r>
          </w:p>
        </w:tc>
        <w:tc>
          <w:tcPr>
            <w:tcW w:w="1620" w:type="dxa"/>
          </w:tcPr>
          <w:p w:rsidR="00CA79D0" w:rsidRPr="00F105BC" w:rsidRDefault="00CA79D0" w:rsidP="00A52033">
            <w:pPr>
              <w:rPr>
                <w:rFonts w:cstheme="minorHAnsi"/>
              </w:rPr>
            </w:pPr>
            <w:r>
              <w:rPr>
                <w:rFonts w:cstheme="minorHAnsi"/>
              </w:rPr>
              <w:t>11,252</w:t>
            </w:r>
          </w:p>
        </w:tc>
        <w:tc>
          <w:tcPr>
            <w:tcW w:w="1800" w:type="dxa"/>
          </w:tcPr>
          <w:p w:rsidR="00CA79D0" w:rsidRPr="00F105BC" w:rsidRDefault="00CA79D0" w:rsidP="00A52033">
            <w:pPr>
              <w:rPr>
                <w:rFonts w:cstheme="minorHAnsi"/>
              </w:rPr>
            </w:pPr>
            <w:r>
              <w:rPr>
                <w:rFonts w:cstheme="minorHAnsi"/>
              </w:rPr>
              <w:t>33,680</w:t>
            </w:r>
          </w:p>
        </w:tc>
      </w:tr>
      <w:tr w:rsidR="00CA79D0" w:rsidRPr="00F105BC" w:rsidTr="00A52033">
        <w:tc>
          <w:tcPr>
            <w:tcW w:w="3011" w:type="dxa"/>
          </w:tcPr>
          <w:p w:rsidR="00CA79D0" w:rsidRPr="00F105BC" w:rsidRDefault="00CA79D0" w:rsidP="00A52033">
            <w:pPr>
              <w:rPr>
                <w:rFonts w:cstheme="minorHAnsi"/>
              </w:rPr>
            </w:pPr>
            <w:r>
              <w:rPr>
                <w:rFonts w:cstheme="minorHAnsi"/>
              </w:rPr>
              <w:t>Hours per response</w:t>
            </w:r>
          </w:p>
        </w:tc>
        <w:tc>
          <w:tcPr>
            <w:tcW w:w="1574" w:type="dxa"/>
          </w:tcPr>
          <w:p w:rsidR="00CA79D0" w:rsidRPr="00F105BC" w:rsidRDefault="00CA79D0" w:rsidP="00A52033">
            <w:pPr>
              <w:rPr>
                <w:rFonts w:cstheme="minorHAnsi"/>
              </w:rPr>
            </w:pPr>
            <w:r>
              <w:rPr>
                <w:rFonts w:cstheme="minorHAnsi"/>
              </w:rPr>
              <w:t>3.0000</w:t>
            </w:r>
          </w:p>
        </w:tc>
        <w:tc>
          <w:tcPr>
            <w:tcW w:w="1530" w:type="dxa"/>
          </w:tcPr>
          <w:p w:rsidR="00CA79D0" w:rsidRPr="00F105BC" w:rsidRDefault="00CA79D0" w:rsidP="00A52033">
            <w:pPr>
              <w:rPr>
                <w:rFonts w:cstheme="minorHAnsi"/>
              </w:rPr>
            </w:pPr>
            <w:r>
              <w:rPr>
                <w:rFonts w:cstheme="minorHAnsi"/>
              </w:rPr>
              <w:t>3.0000</w:t>
            </w:r>
          </w:p>
        </w:tc>
        <w:tc>
          <w:tcPr>
            <w:tcW w:w="1620" w:type="dxa"/>
          </w:tcPr>
          <w:p w:rsidR="00CA79D0" w:rsidRPr="00F105BC" w:rsidRDefault="00CA79D0" w:rsidP="00A52033">
            <w:pPr>
              <w:rPr>
                <w:rFonts w:cstheme="minorHAnsi"/>
              </w:rPr>
            </w:pPr>
            <w:r>
              <w:rPr>
                <w:rFonts w:cstheme="minorHAnsi"/>
              </w:rPr>
              <w:t>1.2000</w:t>
            </w:r>
          </w:p>
        </w:tc>
        <w:tc>
          <w:tcPr>
            <w:tcW w:w="1800" w:type="dxa"/>
          </w:tcPr>
          <w:p w:rsidR="00CA79D0" w:rsidRPr="00F105BC" w:rsidRDefault="00CA79D0" w:rsidP="00A52033">
            <w:pPr>
              <w:rPr>
                <w:rFonts w:cstheme="minorHAnsi"/>
              </w:rPr>
            </w:pPr>
            <w:r>
              <w:rPr>
                <w:rFonts w:cstheme="minorHAnsi"/>
              </w:rPr>
              <w:t>2.39865</w:t>
            </w:r>
          </w:p>
        </w:tc>
      </w:tr>
      <w:tr w:rsidR="00CA79D0" w:rsidRPr="00F105BC" w:rsidTr="00A52033">
        <w:tc>
          <w:tcPr>
            <w:tcW w:w="3011" w:type="dxa"/>
          </w:tcPr>
          <w:p w:rsidR="00CA79D0" w:rsidRPr="00F105BC" w:rsidRDefault="00CA79D0" w:rsidP="00A52033">
            <w:pPr>
              <w:rPr>
                <w:rFonts w:cstheme="minorHAnsi"/>
              </w:rPr>
            </w:pPr>
            <w:r>
              <w:rPr>
                <w:rFonts w:cstheme="minorHAnsi"/>
              </w:rPr>
              <w:t>Total hours (line 3 times line 4)</w:t>
            </w:r>
          </w:p>
        </w:tc>
        <w:tc>
          <w:tcPr>
            <w:tcW w:w="1574" w:type="dxa"/>
          </w:tcPr>
          <w:p w:rsidR="00CA79D0" w:rsidRPr="00F105BC" w:rsidRDefault="00CA79D0" w:rsidP="00A52033">
            <w:pPr>
              <w:rPr>
                <w:rFonts w:cstheme="minorHAnsi"/>
              </w:rPr>
            </w:pPr>
            <w:r>
              <w:rPr>
                <w:rFonts w:cstheme="minorHAnsi"/>
              </w:rPr>
              <w:t>52,488</w:t>
            </w:r>
          </w:p>
        </w:tc>
        <w:tc>
          <w:tcPr>
            <w:tcW w:w="1530" w:type="dxa"/>
          </w:tcPr>
          <w:p w:rsidR="00CA79D0" w:rsidRPr="00F105BC" w:rsidRDefault="00CA79D0" w:rsidP="00A52033">
            <w:pPr>
              <w:rPr>
                <w:rFonts w:cstheme="minorHAnsi"/>
              </w:rPr>
            </w:pPr>
            <w:r>
              <w:rPr>
                <w:rFonts w:cstheme="minorHAnsi"/>
              </w:rPr>
              <w:t>14,796</w:t>
            </w:r>
          </w:p>
        </w:tc>
        <w:tc>
          <w:tcPr>
            <w:tcW w:w="1620" w:type="dxa"/>
          </w:tcPr>
          <w:p w:rsidR="00CA79D0" w:rsidRPr="00F105BC" w:rsidRDefault="00CA79D0" w:rsidP="00A52033">
            <w:pPr>
              <w:rPr>
                <w:rFonts w:cstheme="minorHAnsi"/>
              </w:rPr>
            </w:pPr>
            <w:r>
              <w:rPr>
                <w:rFonts w:cstheme="minorHAnsi"/>
              </w:rPr>
              <w:t>13,502</w:t>
            </w:r>
          </w:p>
        </w:tc>
        <w:tc>
          <w:tcPr>
            <w:tcW w:w="1800" w:type="dxa"/>
          </w:tcPr>
          <w:p w:rsidR="00CA79D0" w:rsidRPr="00F105BC" w:rsidRDefault="00CA79D0" w:rsidP="00A52033">
            <w:pPr>
              <w:rPr>
                <w:rFonts w:cstheme="minorHAnsi"/>
              </w:rPr>
            </w:pPr>
            <w:r>
              <w:rPr>
                <w:rFonts w:cstheme="minorHAnsi"/>
              </w:rPr>
              <w:t>80,786</w:t>
            </w:r>
          </w:p>
        </w:tc>
      </w:tr>
    </w:tbl>
    <w:p w:rsidR="00CA79D0" w:rsidRDefault="00CA79D0" w:rsidP="00AB7A97">
      <w:pPr>
        <w:pStyle w:val="NoSpacing"/>
      </w:pPr>
    </w:p>
    <w:p w:rsidR="009D39E7" w:rsidRPr="00B7405A" w:rsidRDefault="00B7405A" w:rsidP="00AB7A97">
      <w:pPr>
        <w:pStyle w:val="NoSpacing"/>
        <w:rPr>
          <w:rFonts w:asciiTheme="majorHAnsi" w:eastAsiaTheme="majorEastAsia" w:hAnsiTheme="majorHAnsi" w:cstheme="majorBidi"/>
          <w:color w:val="2E74B5" w:themeColor="accent1" w:themeShade="BF"/>
          <w:sz w:val="24"/>
          <w:szCs w:val="24"/>
        </w:rPr>
      </w:pPr>
      <w:r w:rsidRPr="00B7405A">
        <w:rPr>
          <w:rFonts w:asciiTheme="majorHAnsi" w:eastAsiaTheme="majorEastAsia" w:hAnsiTheme="majorHAnsi" w:cstheme="majorBidi"/>
          <w:color w:val="2E74B5" w:themeColor="accent1" w:themeShade="BF"/>
          <w:sz w:val="24"/>
          <w:szCs w:val="24"/>
        </w:rPr>
        <w:t xml:space="preserve">Summary </w:t>
      </w:r>
    </w:p>
    <w:p w:rsidR="00AB7A97" w:rsidRDefault="00AB7A97" w:rsidP="00AB7A97">
      <w:pPr>
        <w:pStyle w:val="NoSpacing"/>
      </w:pPr>
      <w:r>
        <w:t xml:space="preserve">The QFR plans to raise the certainty asset cutoff to limit the increasing sample size. In addition, QFR will remove the two smallest strata, 03 and 07, which means the survey will sample companies with assets of $5,000,000 and over instead of $250,000 and over. These changes are necessary because while the economy has continued to grow, the asset and receipt levels used to determine stratum classification </w:t>
      </w:r>
      <w:r w:rsidR="00480B8B">
        <w:t xml:space="preserve">have </w:t>
      </w:r>
      <w:r>
        <w:t>remained fixed. In addition, budget constraints have made the increasing number of companies difficult for staff to review.</w:t>
      </w:r>
      <w:r w:rsidR="00B219CF">
        <w:t xml:space="preserve"> Implementing the Certainty Sample Improvement will also reduce respondent burden.</w:t>
      </w:r>
      <w:r>
        <w:t xml:space="preserve"> Removing the smaller strata will reduce respondent burden</w:t>
      </w:r>
      <w:r w:rsidR="00B219CF">
        <w:t xml:space="preserve"> as well</w:t>
      </w:r>
      <w:r>
        <w:t xml:space="preserve"> and could improve the overall Unit Respon</w:t>
      </w:r>
      <w:r w:rsidR="00EA091C">
        <w:t xml:space="preserve">se Rate (URR) for QFR. </w:t>
      </w:r>
    </w:p>
    <w:p w:rsidR="00AB7A97" w:rsidRDefault="00AB7A97" w:rsidP="00AB7A97">
      <w:pPr>
        <w:pStyle w:val="NoSpacing"/>
        <w:rPr>
          <w:rStyle w:val="Hyperlink"/>
        </w:rPr>
      </w:pPr>
    </w:p>
    <w:p w:rsidR="006452B8" w:rsidRDefault="006452B8" w:rsidP="006452B8">
      <w:pPr>
        <w:pStyle w:val="Heading3"/>
        <w:rPr>
          <w:color w:val="2E74B5" w:themeColor="accent1" w:themeShade="BF"/>
        </w:rPr>
      </w:pPr>
      <w:r>
        <w:rPr>
          <w:color w:val="2E74B5" w:themeColor="accent1" w:themeShade="BF"/>
        </w:rPr>
        <w:t>High Level Milestones</w:t>
      </w:r>
    </w:p>
    <w:p w:rsidR="006452B8" w:rsidRDefault="006452B8" w:rsidP="006452B8">
      <w:pPr>
        <w:pStyle w:val="NoSpacing"/>
      </w:pPr>
      <w:r>
        <w:t>June 2019: Publish an announcement about the new Sampling Methodology with the 2019Q1 release.</w:t>
      </w:r>
    </w:p>
    <w:p w:rsidR="006452B8" w:rsidRDefault="006452B8" w:rsidP="006452B8">
      <w:pPr>
        <w:pStyle w:val="NoSpacing"/>
      </w:pPr>
      <w:r>
        <w:t>December 2019: First production mailout with the new Sampling Methodology will occur with the 2019Q4 mailout.</w:t>
      </w:r>
    </w:p>
    <w:p w:rsidR="006452B8" w:rsidRDefault="006452B8" w:rsidP="006452B8">
      <w:pPr>
        <w:pStyle w:val="NoSpacing"/>
      </w:pPr>
      <w:r>
        <w:t xml:space="preserve">March 2020: First </w:t>
      </w:r>
      <w:r w:rsidR="001A1FAC">
        <w:t xml:space="preserve">publication of </w:t>
      </w:r>
      <w:r>
        <w:t xml:space="preserve">data with the new Sampling Methodology </w:t>
      </w:r>
      <w:r w:rsidR="001A1FAC">
        <w:t xml:space="preserve">in </w:t>
      </w:r>
      <w:r>
        <w:t>the 2019Q4 release. Re-release 2018q4 to 2019q3 estimates using the new methodology.</w:t>
      </w:r>
    </w:p>
    <w:sectPr w:rsidR="006452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E25F8E"/>
    <w:multiLevelType w:val="hybridMultilevel"/>
    <w:tmpl w:val="235E59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9E9"/>
    <w:rsid w:val="000C143D"/>
    <w:rsid w:val="001A1FAC"/>
    <w:rsid w:val="001E57F1"/>
    <w:rsid w:val="001E5C53"/>
    <w:rsid w:val="0029394F"/>
    <w:rsid w:val="003A64DE"/>
    <w:rsid w:val="003F0A6B"/>
    <w:rsid w:val="00480B8B"/>
    <w:rsid w:val="0048306A"/>
    <w:rsid w:val="004B29E9"/>
    <w:rsid w:val="00531A3D"/>
    <w:rsid w:val="0054082C"/>
    <w:rsid w:val="006452B8"/>
    <w:rsid w:val="006F5FDE"/>
    <w:rsid w:val="00710A3E"/>
    <w:rsid w:val="00725CC4"/>
    <w:rsid w:val="0075767B"/>
    <w:rsid w:val="007C1AD5"/>
    <w:rsid w:val="007F48A0"/>
    <w:rsid w:val="009D39E7"/>
    <w:rsid w:val="00A46FD9"/>
    <w:rsid w:val="00A84B57"/>
    <w:rsid w:val="00AB7A97"/>
    <w:rsid w:val="00B143F9"/>
    <w:rsid w:val="00B219CF"/>
    <w:rsid w:val="00B46075"/>
    <w:rsid w:val="00B53362"/>
    <w:rsid w:val="00B7405A"/>
    <w:rsid w:val="00BA06C0"/>
    <w:rsid w:val="00C3688D"/>
    <w:rsid w:val="00C80161"/>
    <w:rsid w:val="00C838C3"/>
    <w:rsid w:val="00C95410"/>
    <w:rsid w:val="00CA79D0"/>
    <w:rsid w:val="00CD624F"/>
    <w:rsid w:val="00E10367"/>
    <w:rsid w:val="00E479FE"/>
    <w:rsid w:val="00EA091C"/>
    <w:rsid w:val="00ED51E7"/>
    <w:rsid w:val="00F226A7"/>
    <w:rsid w:val="00FD0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954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C9541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95410"/>
    <w:pPr>
      <w:spacing w:after="0" w:line="240" w:lineRule="auto"/>
    </w:pPr>
  </w:style>
  <w:style w:type="character" w:customStyle="1" w:styleId="Heading3Char">
    <w:name w:val="Heading 3 Char"/>
    <w:basedOn w:val="DefaultParagraphFont"/>
    <w:link w:val="Heading3"/>
    <w:uiPriority w:val="9"/>
    <w:rsid w:val="00C9541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C95410"/>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6452B8"/>
    <w:rPr>
      <w:color w:val="0563C1" w:themeColor="hyperlink"/>
      <w:u w:val="single"/>
    </w:rPr>
  </w:style>
  <w:style w:type="table" w:styleId="TableGrid">
    <w:name w:val="Table Grid"/>
    <w:basedOn w:val="TableNormal"/>
    <w:uiPriority w:val="39"/>
    <w:rsid w:val="00AB7A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A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A3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954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C9541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95410"/>
    <w:pPr>
      <w:spacing w:after="0" w:line="240" w:lineRule="auto"/>
    </w:pPr>
  </w:style>
  <w:style w:type="character" w:customStyle="1" w:styleId="Heading3Char">
    <w:name w:val="Heading 3 Char"/>
    <w:basedOn w:val="DefaultParagraphFont"/>
    <w:link w:val="Heading3"/>
    <w:uiPriority w:val="9"/>
    <w:rsid w:val="00C9541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C95410"/>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6452B8"/>
    <w:rPr>
      <w:color w:val="0563C1" w:themeColor="hyperlink"/>
      <w:u w:val="single"/>
    </w:rPr>
  </w:style>
  <w:style w:type="table" w:styleId="TableGrid">
    <w:name w:val="Table Grid"/>
    <w:basedOn w:val="TableNormal"/>
    <w:uiPriority w:val="39"/>
    <w:rsid w:val="00AB7A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A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A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581</Words>
  <Characters>3313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3887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Brandi Maxson (CENSUS/EID FED)</dc:creator>
  <cp:keywords/>
  <dc:description/>
  <cp:lastModifiedBy>SYSTEM</cp:lastModifiedBy>
  <cp:revision>2</cp:revision>
  <cp:lastPrinted>2019-04-25T14:55:00Z</cp:lastPrinted>
  <dcterms:created xsi:type="dcterms:W3CDTF">2019-05-03T18:54:00Z</dcterms:created>
  <dcterms:modified xsi:type="dcterms:W3CDTF">2019-05-03T18:54:00Z</dcterms:modified>
</cp:coreProperties>
</file>