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3FFF" w14:textId="77777777"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 xml:space="preserve">SUPPORTING </w:t>
      </w:r>
      <w:r w:rsidR="009547A5" w:rsidRPr="00EA6C04">
        <w:rPr>
          <w:rFonts w:asciiTheme="majorHAnsi" w:hAnsiTheme="majorHAnsi"/>
          <w:sz w:val="28"/>
          <w:u w:val="single"/>
        </w:rPr>
        <w:t>STATEMENT -</w:t>
      </w:r>
      <w:r w:rsidRPr="00EA6C04">
        <w:rPr>
          <w:rFonts w:asciiTheme="majorHAnsi" w:hAnsiTheme="majorHAnsi"/>
          <w:sz w:val="28"/>
          <w:u w:val="single"/>
        </w:rPr>
        <w:t xml:space="preserve"> PART A</w:t>
      </w:r>
    </w:p>
    <w:p w14:paraId="27B2F906" w14:textId="77777777" w:rsidR="00CE7B23" w:rsidRPr="00064270" w:rsidRDefault="00CE7B23" w:rsidP="000C0C7F">
      <w:pPr>
        <w:jc w:val="center"/>
        <w:rPr>
          <w:rFonts w:asciiTheme="majorHAnsi" w:hAnsiTheme="majorHAnsi"/>
          <w:sz w:val="24"/>
          <w:szCs w:val="24"/>
        </w:rPr>
      </w:pPr>
      <w:r w:rsidRPr="00064270">
        <w:rPr>
          <w:rFonts w:asciiTheme="majorHAnsi" w:hAnsiTheme="majorHAnsi"/>
          <w:sz w:val="24"/>
          <w:szCs w:val="24"/>
        </w:rPr>
        <w:t>TRICARE Prime Enrollment, Disenrollment and Primary Care Manager (PCM) Change Form – 0720-0008</w:t>
      </w:r>
    </w:p>
    <w:tbl>
      <w:tblPr>
        <w:tblStyle w:val="TableGrid"/>
        <w:tblW w:w="0" w:type="auto"/>
        <w:tblLook w:val="04A0" w:firstRow="1" w:lastRow="0" w:firstColumn="1" w:lastColumn="0" w:noHBand="0" w:noVBand="1"/>
      </w:tblPr>
      <w:tblGrid>
        <w:gridCol w:w="9576"/>
      </w:tblGrid>
      <w:tr w:rsidR="00410ABF" w14:paraId="240D3D55" w14:textId="77777777" w:rsidTr="00410ABF">
        <w:trPr>
          <w:trHeight w:val="1178"/>
        </w:trPr>
        <w:tc>
          <w:tcPr>
            <w:tcW w:w="9576" w:type="dxa"/>
          </w:tcPr>
          <w:p w14:paraId="5CE08007" w14:textId="77777777" w:rsidR="00410ABF" w:rsidRDefault="00410ABF" w:rsidP="006E563D">
            <w:pPr>
              <w:rPr>
                <w:rFonts w:asciiTheme="majorHAnsi" w:hAnsiTheme="majorHAnsi"/>
                <w:sz w:val="24"/>
              </w:rPr>
            </w:pPr>
            <w:r>
              <w:rPr>
                <w:rFonts w:asciiTheme="majorHAnsi" w:hAnsiTheme="majorHAnsi"/>
                <w:sz w:val="24"/>
              </w:rPr>
              <w:t>Summary of Changes from Previously Approved Collections</w:t>
            </w:r>
          </w:p>
          <w:p w14:paraId="287ED063" w14:textId="480DB856" w:rsidR="00410ABF" w:rsidRPr="00410ABF" w:rsidRDefault="00410ABF" w:rsidP="00BC66E9">
            <w:pPr>
              <w:pStyle w:val="ListParagraph"/>
              <w:numPr>
                <w:ilvl w:val="0"/>
                <w:numId w:val="13"/>
              </w:numPr>
              <w:rPr>
                <w:rFonts w:asciiTheme="majorHAnsi" w:hAnsiTheme="majorHAnsi"/>
                <w:sz w:val="24"/>
              </w:rPr>
            </w:pPr>
            <w:r w:rsidRPr="00410ABF">
              <w:rPr>
                <w:rFonts w:asciiTheme="majorHAnsi" w:hAnsiTheme="majorHAnsi"/>
                <w:sz w:val="24"/>
              </w:rPr>
              <w:t>The burden has increased since the previ</w:t>
            </w:r>
            <w:r>
              <w:rPr>
                <w:rFonts w:asciiTheme="majorHAnsi" w:hAnsiTheme="majorHAnsi"/>
                <w:sz w:val="24"/>
              </w:rPr>
              <w:t xml:space="preserve">ous approval due to </w:t>
            </w:r>
            <w:r w:rsidR="00BC66E9" w:rsidRPr="00BC66E9">
              <w:rPr>
                <w:rFonts w:asciiTheme="majorHAnsi" w:hAnsiTheme="majorHAnsi"/>
                <w:sz w:val="24"/>
              </w:rPr>
              <w:t>a variety of reasons. Only paper forms were included as a collection instrument in the past, and the collection of information over the phone is now a significant amount of the burden. In 2015, we changed our enrollment policy to allow telephonic enrollments. In 2018 in response to Section 701 of the National Defense Authorization Act (NDAA) for Fiscal Year (FY) 2017, TRICARE Select and Other TRICARE Reforms, we revised the overall enrollment process which only</w:t>
            </w:r>
            <w:r w:rsidR="00054004">
              <w:rPr>
                <w:rFonts w:asciiTheme="majorHAnsi" w:hAnsiTheme="majorHAnsi"/>
                <w:sz w:val="24"/>
              </w:rPr>
              <w:t xml:space="preserve"> allows plan changes during </w:t>
            </w:r>
            <w:r w:rsidR="00BC66E9" w:rsidRPr="00BC66E9">
              <w:rPr>
                <w:rFonts w:asciiTheme="majorHAnsi" w:hAnsiTheme="majorHAnsi"/>
                <w:sz w:val="24"/>
              </w:rPr>
              <w:t>an annual TRICARE Open Season, or within 90 days of a Qualifying Life Event (QLE).  Ease of the online system and allowance of enrolling via telephone has caused a significant increase from past collections.</w:t>
            </w:r>
          </w:p>
        </w:tc>
      </w:tr>
    </w:tbl>
    <w:p w14:paraId="5D3FA8F8" w14:textId="77777777" w:rsidR="00410ABF" w:rsidRDefault="00410ABF" w:rsidP="006E563D">
      <w:pPr>
        <w:spacing w:after="0" w:line="240" w:lineRule="auto"/>
        <w:rPr>
          <w:rFonts w:asciiTheme="majorHAnsi" w:hAnsiTheme="majorHAnsi"/>
          <w:sz w:val="24"/>
        </w:rPr>
      </w:pPr>
    </w:p>
    <w:p w14:paraId="7971433B" w14:textId="77777777" w:rsidR="00410ABF" w:rsidRDefault="00410ABF" w:rsidP="006E563D">
      <w:pPr>
        <w:spacing w:after="0" w:line="240" w:lineRule="auto"/>
        <w:rPr>
          <w:rFonts w:asciiTheme="majorHAnsi" w:hAnsiTheme="majorHAnsi"/>
          <w:sz w:val="24"/>
        </w:rPr>
      </w:pPr>
    </w:p>
    <w:p w14:paraId="1808176D" w14:textId="6E421D77" w:rsid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09776593" w14:textId="77777777" w:rsidR="000C0C7F" w:rsidRPr="005C7428" w:rsidRDefault="000C0C7F" w:rsidP="006E563D">
      <w:pPr>
        <w:spacing w:after="0" w:line="240" w:lineRule="auto"/>
        <w:rPr>
          <w:rFonts w:asciiTheme="majorHAnsi" w:hAnsiTheme="majorHAnsi"/>
          <w:sz w:val="24"/>
          <w:u w:val="single"/>
        </w:rPr>
      </w:pPr>
    </w:p>
    <w:p w14:paraId="44807BFD" w14:textId="1AFAC221" w:rsidR="00CE7B23" w:rsidRDefault="00CE7B23" w:rsidP="00CE7B23">
      <w:pPr>
        <w:spacing w:after="0" w:line="240" w:lineRule="auto"/>
        <w:rPr>
          <w:rFonts w:asciiTheme="majorHAnsi" w:hAnsiTheme="majorHAnsi"/>
          <w:sz w:val="24"/>
          <w:szCs w:val="24"/>
        </w:rPr>
      </w:pPr>
      <w:r w:rsidRPr="000C0C7F">
        <w:rPr>
          <w:rFonts w:asciiTheme="majorHAnsi" w:hAnsiTheme="majorHAnsi"/>
          <w:sz w:val="24"/>
          <w:szCs w:val="24"/>
        </w:rPr>
        <w:t xml:space="preserve">The information collection requirement is necessary to obtain the TRICARE beneficiary’s personal information needed to: (1) complete his/her enrollment into TRICARE Prime health plan, (2) to change the beneficiary’s enrollment (new Primary Care Manager, enrolled region, add a dependent, etc.), or (3) dis-enroll the beneficiary. All TRICARE beneficiaries have the option of enrolling, changing their enrollment or dis-enrolling using the DD Form 2876, the Beneficiary Web Enrollment (BWE) portal, or by calling their regional Managed Care Support Contractor (MCSC).  Although the telephonic enrollment/change is the preferred method by the large majority of beneficiaries, many beneficiaries </w:t>
      </w:r>
      <w:r w:rsidR="004B5D1F">
        <w:rPr>
          <w:rFonts w:asciiTheme="majorHAnsi" w:hAnsiTheme="majorHAnsi"/>
          <w:sz w:val="24"/>
          <w:szCs w:val="24"/>
        </w:rPr>
        <w:t>use</w:t>
      </w:r>
      <w:r w:rsidRPr="000C0C7F">
        <w:rPr>
          <w:rFonts w:asciiTheme="majorHAnsi" w:hAnsiTheme="majorHAnsi"/>
          <w:sz w:val="24"/>
          <w:szCs w:val="24"/>
        </w:rPr>
        <w:t xml:space="preserve"> the form to document their enrollment date and preferences. The DD Form 2876 allows enrollment per the TRICARE Policy Manual, Chapter 10, Section 2.1.</w:t>
      </w:r>
    </w:p>
    <w:p w14:paraId="20F63EB6" w14:textId="665E7B62" w:rsidR="00D95F5C" w:rsidRPr="000C0C7F" w:rsidRDefault="00D95F5C" w:rsidP="00CE7B23">
      <w:pPr>
        <w:spacing w:after="0" w:line="240" w:lineRule="auto"/>
        <w:rPr>
          <w:rFonts w:asciiTheme="majorHAnsi" w:hAnsiTheme="majorHAnsi"/>
        </w:rPr>
      </w:pPr>
      <w:r>
        <w:rPr>
          <w:rFonts w:asciiTheme="majorHAnsi" w:hAnsiTheme="majorHAnsi"/>
          <w:sz w:val="24"/>
          <w:szCs w:val="24"/>
        </w:rPr>
        <w:t xml:space="preserve">The authority for this collection comes from 10 U.S. Code § 1099, Health Care Enrollment System,” and 32 CFR § 199.17 “TRICARE Program.” </w:t>
      </w:r>
    </w:p>
    <w:p w14:paraId="10216C9C" w14:textId="77777777" w:rsidR="006E563D" w:rsidRPr="00265BA5" w:rsidRDefault="006E563D" w:rsidP="006E563D">
      <w:pPr>
        <w:spacing w:after="0" w:line="240" w:lineRule="auto"/>
        <w:rPr>
          <w:rFonts w:asciiTheme="majorHAnsi" w:hAnsiTheme="majorHAnsi"/>
          <w:sz w:val="24"/>
        </w:rPr>
      </w:pPr>
    </w:p>
    <w:p w14:paraId="6D504C06"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3C817A97" w14:textId="77777777" w:rsidR="00CE7B23" w:rsidRDefault="7D72C9BA" w:rsidP="00CE7B23">
      <w:pPr>
        <w:spacing w:after="0" w:line="240" w:lineRule="auto"/>
        <w:rPr>
          <w:rFonts w:asciiTheme="majorHAnsi" w:eastAsiaTheme="majorEastAsia" w:hAnsiTheme="majorHAnsi" w:cstheme="majorBidi"/>
          <w:sz w:val="24"/>
          <w:szCs w:val="24"/>
        </w:rPr>
      </w:pPr>
      <w:r w:rsidRPr="7D72C9BA">
        <w:rPr>
          <w:rFonts w:asciiTheme="majorHAnsi" w:eastAsiaTheme="majorEastAsia" w:hAnsiTheme="majorHAnsi" w:cstheme="majorBidi"/>
          <w:sz w:val="24"/>
          <w:szCs w:val="24"/>
        </w:rPr>
        <w:t>Respondents are TRICARE beneficiaries choosing to enroll in TRICARE Prime for the first time, change the current enrollment, or disenroll using the DD Form 2876, instead of using the BWE web portal or calling their Managed Care Support contractor.</w:t>
      </w:r>
      <w:r w:rsidR="00CE7B23" w:rsidRPr="7D72C9BA">
        <w:rPr>
          <w:rFonts w:asciiTheme="majorHAnsi" w:eastAsiaTheme="majorEastAsia" w:hAnsiTheme="majorHAnsi" w:cstheme="majorBidi"/>
          <w:sz w:val="24"/>
          <w:szCs w:val="24"/>
        </w:rPr>
        <w:t xml:space="preserve"> The </w:t>
      </w:r>
      <w:r w:rsidRPr="7D72C9BA">
        <w:rPr>
          <w:rFonts w:asciiTheme="majorHAnsi" w:eastAsiaTheme="majorEastAsia" w:hAnsiTheme="majorHAnsi" w:cstheme="majorBidi"/>
          <w:sz w:val="24"/>
          <w:szCs w:val="24"/>
        </w:rPr>
        <w:t xml:space="preserve">DD 2876 </w:t>
      </w:r>
      <w:r w:rsidR="00CE7B23" w:rsidRPr="7D72C9BA">
        <w:rPr>
          <w:rFonts w:asciiTheme="majorHAnsi" w:eastAsiaTheme="majorEastAsia" w:hAnsiTheme="majorHAnsi" w:cstheme="majorBidi"/>
          <w:sz w:val="24"/>
          <w:szCs w:val="24"/>
        </w:rPr>
        <w:t xml:space="preserve">Form is provided to the beneficiary’s TRICARE Managed Care Support Contractor’s enrollment department, who are contractually required to complete all enrollment transactions. The enrollment is stored in the government’s Defense Enrollment Eligibility Reporting System (DEERS) and the Contractor’s system to ensure benefits and claims processing are correctly accomplished. The enrollment is shared only with other TRICARE contractors (i.e., pharmacy, Uniformed Services Health Plan providers). </w:t>
      </w:r>
    </w:p>
    <w:p w14:paraId="4E48C8CC" w14:textId="77777777" w:rsidR="00064270" w:rsidRPr="000C0C7F" w:rsidRDefault="00064270" w:rsidP="00CE7B23">
      <w:pPr>
        <w:spacing w:after="0" w:line="240" w:lineRule="auto"/>
        <w:rPr>
          <w:rFonts w:asciiTheme="majorHAnsi" w:hAnsiTheme="majorHAnsi"/>
          <w:b/>
          <w:sz w:val="24"/>
        </w:rPr>
      </w:pPr>
    </w:p>
    <w:p w14:paraId="594C210F" w14:textId="77777777" w:rsidR="7D72C9BA" w:rsidRDefault="7D72C9BA" w:rsidP="7D72C9BA">
      <w:pPr>
        <w:spacing w:after="0" w:line="240" w:lineRule="auto"/>
      </w:pPr>
      <w:r w:rsidRPr="7D72C9BA">
        <w:rPr>
          <w:rFonts w:asciiTheme="majorHAnsi" w:eastAsiaTheme="majorEastAsia" w:hAnsiTheme="majorHAnsi" w:cstheme="majorBidi"/>
          <w:sz w:val="24"/>
          <w:szCs w:val="24"/>
        </w:rPr>
        <w:lastRenderedPageBreak/>
        <w:t>The beneficiary is notified via email or postcard, which refers them to the MilConnect Website to confirm the enrollment/change, which they can also do by calling their Managed Care Support Contractor.</w:t>
      </w:r>
    </w:p>
    <w:p w14:paraId="589D2C51" w14:textId="77777777" w:rsidR="005C7428" w:rsidRPr="00265BA5" w:rsidRDefault="005C7428" w:rsidP="006E563D">
      <w:pPr>
        <w:spacing w:after="0" w:line="240" w:lineRule="auto"/>
        <w:rPr>
          <w:rFonts w:asciiTheme="majorHAnsi" w:hAnsiTheme="majorHAnsi"/>
          <w:sz w:val="24"/>
        </w:rPr>
      </w:pPr>
    </w:p>
    <w:p w14:paraId="20BA0089"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1AB34AD5" w14:textId="77777777" w:rsidR="00910082" w:rsidRPr="00265BA5" w:rsidRDefault="00910082" w:rsidP="006E563D">
      <w:pPr>
        <w:spacing w:after="0" w:line="240" w:lineRule="auto"/>
        <w:rPr>
          <w:rFonts w:asciiTheme="majorHAnsi" w:hAnsiTheme="majorHAnsi"/>
          <w:sz w:val="24"/>
        </w:rPr>
      </w:pPr>
    </w:p>
    <w:p w14:paraId="6B4A96A8" w14:textId="77777777" w:rsidR="00DE345E" w:rsidRDefault="00626FB9" w:rsidP="006E563D">
      <w:pPr>
        <w:spacing w:after="0" w:line="240" w:lineRule="auto"/>
        <w:rPr>
          <w:rFonts w:asciiTheme="majorHAnsi" w:hAnsiTheme="majorHAnsi"/>
          <w:sz w:val="24"/>
        </w:rPr>
      </w:pPr>
      <w:r w:rsidRPr="00064270">
        <w:rPr>
          <w:rFonts w:asciiTheme="majorHAnsi" w:hAnsiTheme="majorHAnsi"/>
          <w:sz w:val="24"/>
        </w:rPr>
        <w:t>About 92</w:t>
      </w:r>
      <w:r w:rsidR="00DE345E" w:rsidRPr="00064270">
        <w:rPr>
          <w:rFonts w:asciiTheme="majorHAnsi" w:hAnsiTheme="majorHAnsi"/>
          <w:sz w:val="24"/>
        </w:rPr>
        <w:t>% of responses</w:t>
      </w:r>
      <w:r w:rsidRPr="00064270">
        <w:rPr>
          <w:rFonts w:asciiTheme="majorHAnsi" w:hAnsiTheme="majorHAnsi"/>
          <w:sz w:val="24"/>
        </w:rPr>
        <w:t xml:space="preserve"> are collected electronically (</w:t>
      </w:r>
      <w:r w:rsidR="0059535D" w:rsidRPr="00064270">
        <w:rPr>
          <w:rFonts w:asciiTheme="majorHAnsi" w:hAnsiTheme="majorHAnsi"/>
          <w:sz w:val="24"/>
        </w:rPr>
        <w:t xml:space="preserve">online </w:t>
      </w:r>
      <w:r w:rsidRPr="00064270">
        <w:rPr>
          <w:rFonts w:asciiTheme="majorHAnsi" w:hAnsiTheme="majorHAnsi"/>
          <w:sz w:val="24"/>
        </w:rPr>
        <w:t xml:space="preserve">by beneficiary </w:t>
      </w:r>
      <w:r w:rsidR="0059535D" w:rsidRPr="00064270">
        <w:rPr>
          <w:rFonts w:asciiTheme="majorHAnsi" w:hAnsiTheme="majorHAnsi"/>
          <w:sz w:val="24"/>
        </w:rPr>
        <w:t xml:space="preserve">submission </w:t>
      </w:r>
      <w:r w:rsidRPr="00064270">
        <w:rPr>
          <w:rFonts w:asciiTheme="majorHAnsi" w:hAnsiTheme="majorHAnsi"/>
          <w:sz w:val="24"/>
        </w:rPr>
        <w:t xml:space="preserve">combined with electronic submission via the contractor upon telephonic request). </w:t>
      </w:r>
    </w:p>
    <w:p w14:paraId="27829D99" w14:textId="77777777" w:rsidR="00A52B1C" w:rsidRPr="00265BA5" w:rsidRDefault="00A52B1C" w:rsidP="006E563D">
      <w:pPr>
        <w:spacing w:after="0" w:line="240" w:lineRule="auto"/>
        <w:rPr>
          <w:rFonts w:asciiTheme="majorHAnsi" w:hAnsiTheme="majorHAnsi"/>
          <w:sz w:val="24"/>
        </w:rPr>
      </w:pPr>
    </w:p>
    <w:p w14:paraId="58E4C614" w14:textId="77777777" w:rsidR="00CE7B23" w:rsidRPr="00B42903" w:rsidRDefault="00CE7B23" w:rsidP="006E563D">
      <w:pPr>
        <w:spacing w:after="0" w:line="240" w:lineRule="auto"/>
        <w:rPr>
          <w:rFonts w:asciiTheme="majorHAnsi" w:hAnsiTheme="majorHAnsi"/>
          <w:sz w:val="24"/>
        </w:rPr>
      </w:pPr>
      <w:r w:rsidRPr="00B42903">
        <w:rPr>
          <w:rFonts w:asciiTheme="majorHAnsi" w:hAnsiTheme="majorHAnsi"/>
          <w:sz w:val="24"/>
        </w:rPr>
        <w:t>All TRICARE beneficiaries have the option of enrolling, changing their enrollment or disenroll</w:t>
      </w:r>
      <w:r w:rsidR="009A4FC9">
        <w:rPr>
          <w:rFonts w:asciiTheme="majorHAnsi" w:hAnsiTheme="majorHAnsi"/>
          <w:sz w:val="24"/>
        </w:rPr>
        <w:t>i</w:t>
      </w:r>
      <w:r w:rsidRPr="00B42903">
        <w:rPr>
          <w:rFonts w:asciiTheme="majorHAnsi" w:hAnsiTheme="majorHAnsi"/>
          <w:sz w:val="24"/>
        </w:rPr>
        <w:t xml:space="preserve">ng using the DD Form 2876, the Beneficiary Web Enrollment (BWE) portal, or by calling their regional Managed </w:t>
      </w:r>
      <w:r w:rsidR="009A4FC9">
        <w:rPr>
          <w:rFonts w:asciiTheme="majorHAnsi" w:hAnsiTheme="majorHAnsi"/>
          <w:sz w:val="24"/>
        </w:rPr>
        <w:t>Care Support Contractor (MCSC).</w:t>
      </w:r>
      <w:r w:rsidRPr="00B42903">
        <w:rPr>
          <w:rFonts w:asciiTheme="majorHAnsi" w:hAnsiTheme="majorHAnsi"/>
          <w:sz w:val="24"/>
        </w:rPr>
        <w:t xml:space="preserve"> Although the telephonic enrollment/change is the preferred method by the large majority of beneficiaries, many beneficiaries prefer using the form to document their enrollment date and preferences.</w:t>
      </w:r>
    </w:p>
    <w:p w14:paraId="5B8FE2C0" w14:textId="77777777" w:rsidR="00CE7B23" w:rsidRPr="00265BA5" w:rsidRDefault="00CE7B23" w:rsidP="006E563D">
      <w:pPr>
        <w:spacing w:after="0" w:line="240" w:lineRule="auto"/>
        <w:rPr>
          <w:rFonts w:asciiTheme="majorHAnsi" w:hAnsiTheme="majorHAnsi"/>
          <w:sz w:val="24"/>
        </w:rPr>
      </w:pPr>
    </w:p>
    <w:p w14:paraId="39FAD8C3"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675A71BA" w14:textId="77777777" w:rsidR="009547A5" w:rsidRPr="00265BA5" w:rsidRDefault="009547A5" w:rsidP="006E563D">
      <w:pPr>
        <w:spacing w:after="0" w:line="240" w:lineRule="auto"/>
        <w:rPr>
          <w:rFonts w:asciiTheme="majorHAnsi" w:hAnsiTheme="majorHAnsi"/>
          <w:sz w:val="24"/>
        </w:rPr>
      </w:pPr>
    </w:p>
    <w:p w14:paraId="13C9D1F4" w14:textId="77777777" w:rsidR="008635C4" w:rsidRDefault="008635C4" w:rsidP="006E563D">
      <w:pPr>
        <w:spacing w:after="0" w:line="240" w:lineRule="auto"/>
        <w:rPr>
          <w:rFonts w:asciiTheme="majorHAnsi" w:hAnsiTheme="majorHAnsi"/>
          <w:i/>
          <w:sz w:val="24"/>
        </w:rPr>
      </w:pPr>
      <w:r w:rsidRPr="00CE7B23">
        <w:rPr>
          <w:rFonts w:asciiTheme="majorHAnsi" w:hAnsiTheme="majorHAnsi"/>
          <w:sz w:val="24"/>
        </w:rPr>
        <w:t xml:space="preserve">The information obtained through this collection is unique and </w:t>
      </w:r>
      <w:r w:rsidR="00CA15B1" w:rsidRPr="00CE7B23">
        <w:rPr>
          <w:rFonts w:asciiTheme="majorHAnsi" w:hAnsiTheme="majorHAnsi"/>
          <w:sz w:val="24"/>
        </w:rPr>
        <w:t xml:space="preserve">is </w:t>
      </w:r>
      <w:r w:rsidRPr="00CE7B23">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408827E7" w14:textId="77777777" w:rsidR="00CA15B1" w:rsidRPr="00265BA5" w:rsidRDefault="00CA15B1" w:rsidP="006E563D">
      <w:pPr>
        <w:spacing w:after="0" w:line="240" w:lineRule="auto"/>
        <w:rPr>
          <w:rFonts w:asciiTheme="majorHAnsi" w:hAnsiTheme="majorHAnsi"/>
          <w:sz w:val="24"/>
        </w:rPr>
      </w:pPr>
    </w:p>
    <w:p w14:paraId="426F8D7A"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4C9362E0" w14:textId="77777777" w:rsidR="009547A5" w:rsidRDefault="009547A5" w:rsidP="006E563D">
      <w:pPr>
        <w:spacing w:after="0" w:line="240" w:lineRule="auto"/>
        <w:rPr>
          <w:rFonts w:asciiTheme="majorHAnsi" w:hAnsiTheme="majorHAnsi"/>
          <w:sz w:val="24"/>
        </w:rPr>
      </w:pPr>
    </w:p>
    <w:p w14:paraId="4D45183F" w14:textId="77777777" w:rsidR="00CA15B1" w:rsidRDefault="002567F9" w:rsidP="006E563D">
      <w:pPr>
        <w:spacing w:after="0" w:line="240" w:lineRule="auto"/>
        <w:rPr>
          <w:rFonts w:asciiTheme="majorHAnsi" w:hAnsiTheme="majorHAnsi"/>
          <w:i/>
          <w:sz w:val="24"/>
        </w:rPr>
      </w:pPr>
      <w:r w:rsidRPr="00CE7B2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6EBFFFCD" w14:textId="77777777" w:rsidR="002567F9" w:rsidRPr="00265BA5" w:rsidRDefault="002567F9" w:rsidP="006E563D">
      <w:pPr>
        <w:spacing w:after="0" w:line="240" w:lineRule="auto"/>
        <w:rPr>
          <w:rFonts w:asciiTheme="majorHAnsi" w:hAnsiTheme="majorHAnsi"/>
          <w:sz w:val="24"/>
        </w:rPr>
      </w:pPr>
    </w:p>
    <w:p w14:paraId="56C55049"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78BF4131" w14:textId="3E17390F" w:rsidR="00CE7B23" w:rsidRPr="00422767" w:rsidRDefault="00CE7B23" w:rsidP="006E563D">
      <w:pPr>
        <w:spacing w:after="0" w:line="240" w:lineRule="auto"/>
        <w:rPr>
          <w:rFonts w:asciiTheme="majorHAnsi" w:hAnsiTheme="majorHAnsi"/>
          <w:sz w:val="24"/>
        </w:rPr>
      </w:pPr>
      <w:r w:rsidRPr="00B42903">
        <w:rPr>
          <w:rFonts w:asciiTheme="majorHAnsi" w:hAnsiTheme="majorHAnsi"/>
          <w:sz w:val="24"/>
        </w:rPr>
        <w:t>Collection is on an as needed basis. The TRICARE beneficiary submits the DD Form 2876 only when initially enrolling in the TRICARE Prime health plan, changing their enrollment (i.e., primary care manager, location, add/drop a dependent) or dis-enrolling. Less frequent collection would result in beneficiaries not having the appropriate coverage or having coverage when they no longer desire or need it.</w:t>
      </w:r>
    </w:p>
    <w:p w14:paraId="5C34F90C" w14:textId="77777777" w:rsidR="00F86C35" w:rsidRDefault="00F86C35" w:rsidP="006E563D">
      <w:pPr>
        <w:spacing w:after="0" w:line="240" w:lineRule="auto"/>
        <w:rPr>
          <w:rFonts w:asciiTheme="majorHAnsi" w:hAnsiTheme="majorHAnsi"/>
          <w:i/>
          <w:sz w:val="24"/>
        </w:rPr>
      </w:pPr>
    </w:p>
    <w:p w14:paraId="77433220" w14:textId="77777777" w:rsidR="00CE7B23" w:rsidRDefault="00F86C35" w:rsidP="00CE7B23">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67E6DDA0" w14:textId="77777777" w:rsidR="00CE7B23" w:rsidRDefault="00CE7B23" w:rsidP="00CE7B23">
      <w:pPr>
        <w:spacing w:after="0" w:line="240" w:lineRule="auto"/>
        <w:rPr>
          <w:rFonts w:asciiTheme="majorHAnsi" w:hAnsiTheme="majorHAnsi"/>
          <w:sz w:val="24"/>
          <w:u w:val="single"/>
        </w:rPr>
      </w:pPr>
    </w:p>
    <w:p w14:paraId="1ED12176" w14:textId="77777777" w:rsidR="00200261" w:rsidRPr="00064270" w:rsidRDefault="00200261" w:rsidP="00CE7B23">
      <w:pPr>
        <w:spacing w:after="0" w:line="240" w:lineRule="auto"/>
        <w:rPr>
          <w:rFonts w:asciiTheme="majorHAnsi" w:hAnsiTheme="majorHAnsi"/>
          <w:sz w:val="24"/>
        </w:rPr>
      </w:pPr>
      <w:r w:rsidRPr="00064270">
        <w:rPr>
          <w:rFonts w:asciiTheme="majorHAnsi" w:hAnsiTheme="majorHAnsi"/>
          <w:sz w:val="24"/>
        </w:rPr>
        <w:t xml:space="preserve">This collection of information does not require collection to be conducted in a manner inconsistent with the guidelines delineated in 5 CFR 1320.5(d)(2). </w:t>
      </w:r>
    </w:p>
    <w:p w14:paraId="57FD79A4"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32307740"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085B9098"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for the collection published on </w:t>
      </w:r>
      <w:r w:rsidR="7D72C9BA" w:rsidRPr="00345036">
        <w:rPr>
          <w:rFonts w:asciiTheme="majorHAnsi" w:eastAsiaTheme="minorHAnsi" w:hAnsiTheme="majorHAnsi" w:cstheme="minorBidi"/>
          <w:szCs w:val="22"/>
        </w:rPr>
        <w:t>T</w:t>
      </w:r>
      <w:r w:rsidR="00345036">
        <w:rPr>
          <w:rFonts w:asciiTheme="majorHAnsi" w:eastAsiaTheme="minorHAnsi" w:hAnsiTheme="majorHAnsi" w:cstheme="minorBidi"/>
          <w:szCs w:val="22"/>
        </w:rPr>
        <w:t>h</w:t>
      </w:r>
      <w:r w:rsidR="7D72C9BA" w:rsidRPr="00345036">
        <w:rPr>
          <w:rFonts w:asciiTheme="majorHAnsi" w:eastAsiaTheme="minorHAnsi" w:hAnsiTheme="majorHAnsi" w:cstheme="minorBidi"/>
          <w:szCs w:val="22"/>
        </w:rPr>
        <w:t>u</w:t>
      </w:r>
      <w:r w:rsidR="00345036">
        <w:rPr>
          <w:rFonts w:asciiTheme="majorHAnsi" w:eastAsiaTheme="minorHAnsi" w:hAnsiTheme="majorHAnsi" w:cstheme="minorBidi"/>
          <w:szCs w:val="22"/>
        </w:rPr>
        <w:t>r</w:t>
      </w:r>
      <w:r w:rsidR="7D72C9BA" w:rsidRPr="00345036">
        <w:rPr>
          <w:rFonts w:asciiTheme="majorHAnsi" w:eastAsiaTheme="minorHAnsi" w:hAnsiTheme="majorHAnsi" w:cstheme="minorBidi"/>
          <w:szCs w:val="22"/>
        </w:rPr>
        <w:t>sday</w:t>
      </w:r>
      <w:r w:rsidRPr="00345036">
        <w:rPr>
          <w:rFonts w:asciiTheme="majorHAnsi" w:eastAsiaTheme="minorHAnsi" w:hAnsiTheme="majorHAnsi" w:cstheme="minorBidi"/>
          <w:szCs w:val="22"/>
        </w:rPr>
        <w:t xml:space="preserve">, </w:t>
      </w:r>
      <w:r w:rsidR="7D72C9BA" w:rsidRPr="00345036">
        <w:rPr>
          <w:rFonts w:asciiTheme="majorHAnsi" w:eastAsiaTheme="minorHAnsi" w:hAnsiTheme="majorHAnsi" w:cstheme="minorBidi"/>
          <w:szCs w:val="22"/>
        </w:rPr>
        <w:t xml:space="preserve">March </w:t>
      </w:r>
      <w:r w:rsidR="00345036">
        <w:rPr>
          <w:rFonts w:asciiTheme="majorHAnsi" w:eastAsiaTheme="minorHAnsi" w:hAnsiTheme="majorHAnsi" w:cstheme="minorBidi"/>
          <w:szCs w:val="22"/>
        </w:rPr>
        <w:t>2</w:t>
      </w:r>
      <w:r w:rsidR="7D72C9BA" w:rsidRPr="00345036">
        <w:rPr>
          <w:rFonts w:asciiTheme="majorHAnsi" w:eastAsiaTheme="minorHAnsi" w:hAnsiTheme="majorHAnsi" w:cstheme="minorBidi"/>
          <w:szCs w:val="22"/>
        </w:rPr>
        <w:t>1, 2019</w:t>
      </w:r>
      <w:r>
        <w:rPr>
          <w:rFonts w:asciiTheme="majorHAnsi" w:eastAsiaTheme="minorHAnsi" w:hAnsiTheme="majorHAnsi" w:cstheme="minorBidi"/>
          <w:szCs w:val="22"/>
        </w:rPr>
        <w:t xml:space="preserve">.  The 60-Day FRN citation is </w:t>
      </w:r>
      <w:r w:rsidR="00345036">
        <w:rPr>
          <w:rFonts w:asciiTheme="majorHAnsi" w:eastAsiaTheme="minorHAnsi" w:hAnsiTheme="majorHAnsi" w:cstheme="minorBidi"/>
          <w:szCs w:val="22"/>
        </w:rPr>
        <w:t>84</w:t>
      </w:r>
      <w:r>
        <w:rPr>
          <w:rFonts w:asciiTheme="majorHAnsi" w:eastAsiaTheme="minorHAnsi" w:hAnsiTheme="majorHAnsi" w:cstheme="minorBidi"/>
          <w:szCs w:val="22"/>
        </w:rPr>
        <w:t xml:space="preserve"> FRN </w:t>
      </w:r>
      <w:r w:rsidR="00345036" w:rsidRPr="00345036">
        <w:rPr>
          <w:rFonts w:asciiTheme="majorHAnsi" w:eastAsiaTheme="minorHAnsi" w:hAnsiTheme="majorHAnsi" w:cstheme="minorBidi"/>
          <w:szCs w:val="22"/>
        </w:rPr>
        <w:t>10481</w:t>
      </w:r>
      <w:r>
        <w:rPr>
          <w:rFonts w:asciiTheme="majorHAnsi" w:eastAsiaTheme="minorHAnsi" w:hAnsiTheme="majorHAnsi" w:cstheme="minorBidi"/>
          <w:szCs w:val="22"/>
        </w:rPr>
        <w:t xml:space="preserve">. </w:t>
      </w:r>
    </w:p>
    <w:p w14:paraId="3BC6CF7E" w14:textId="27FCA9CB" w:rsidR="00200261" w:rsidRDefault="00200261" w:rsidP="00200261">
      <w:pPr>
        <w:pStyle w:val="NormalWeb"/>
        <w:spacing w:line="288" w:lineRule="atLeast"/>
        <w:rPr>
          <w:rFonts w:asciiTheme="majorHAnsi" w:eastAsiaTheme="minorHAnsi" w:hAnsiTheme="majorHAnsi" w:cstheme="minorBidi"/>
          <w:szCs w:val="22"/>
        </w:rPr>
      </w:pPr>
      <w:r w:rsidRPr="007C058F">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230AA81D" w14:textId="0B404268" w:rsidR="00A02917" w:rsidRDefault="00A02917"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lastRenderedPageBreak/>
        <w:t xml:space="preserve">A 30-Day Federal Register Notice for the </w:t>
      </w:r>
      <w:r w:rsidRPr="00110938">
        <w:rPr>
          <w:rFonts w:asciiTheme="majorHAnsi" w:eastAsiaTheme="minorHAnsi" w:hAnsiTheme="majorHAnsi" w:cstheme="minorBidi"/>
          <w:szCs w:val="22"/>
        </w:rPr>
        <w:t xml:space="preserve">collection published on </w:t>
      </w:r>
      <w:r w:rsidR="00110938" w:rsidRPr="00110938">
        <w:rPr>
          <w:rFonts w:asciiTheme="majorHAnsi" w:eastAsiaTheme="minorHAnsi" w:hAnsiTheme="majorHAnsi" w:cstheme="minorBidi"/>
          <w:szCs w:val="22"/>
        </w:rPr>
        <w:t>Tuesday, May 21, 2019</w:t>
      </w:r>
      <w:r w:rsidRPr="00110938">
        <w:rPr>
          <w:rFonts w:asciiTheme="majorHAnsi" w:eastAsiaTheme="minorHAnsi" w:hAnsiTheme="majorHAnsi" w:cstheme="minorBidi"/>
          <w:szCs w:val="22"/>
        </w:rPr>
        <w:t xml:space="preserve">.  The 30-Day FRN citation is </w:t>
      </w:r>
      <w:r w:rsidR="00110938" w:rsidRPr="00110938">
        <w:rPr>
          <w:rFonts w:asciiTheme="majorHAnsi" w:eastAsiaTheme="minorHAnsi" w:hAnsiTheme="majorHAnsi" w:cstheme="minorBidi"/>
          <w:szCs w:val="22"/>
        </w:rPr>
        <w:t>84</w:t>
      </w:r>
      <w:r w:rsidRPr="00110938">
        <w:rPr>
          <w:rFonts w:asciiTheme="majorHAnsi" w:eastAsiaTheme="minorHAnsi" w:hAnsiTheme="majorHAnsi" w:cstheme="minorBidi"/>
          <w:szCs w:val="22"/>
        </w:rPr>
        <w:t xml:space="preserve"> FRN </w:t>
      </w:r>
      <w:r w:rsidR="00110938" w:rsidRPr="00110938">
        <w:rPr>
          <w:rFonts w:asciiTheme="majorHAnsi" w:eastAsiaTheme="minorHAnsi" w:hAnsiTheme="majorHAnsi" w:cstheme="minorBidi"/>
          <w:szCs w:val="22"/>
        </w:rPr>
        <w:t>23038</w:t>
      </w:r>
      <w:r w:rsidRPr="00110938">
        <w:rPr>
          <w:rFonts w:asciiTheme="majorHAnsi" w:eastAsiaTheme="minorHAnsi" w:hAnsiTheme="majorHAnsi" w:cstheme="minorBidi"/>
          <w:szCs w:val="22"/>
        </w:rPr>
        <w:t>.</w:t>
      </w:r>
    </w:p>
    <w:p w14:paraId="4EF795A2"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0B344E0F" w14:textId="77777777" w:rsidR="00571698" w:rsidRDefault="00571698" w:rsidP="00200261">
      <w:pPr>
        <w:pStyle w:val="NormalWeb"/>
        <w:spacing w:line="288" w:lineRule="atLeast"/>
        <w:rPr>
          <w:rFonts w:asciiTheme="majorHAnsi" w:eastAsiaTheme="minorHAnsi" w:hAnsiTheme="majorHAnsi" w:cstheme="minorBidi"/>
          <w:szCs w:val="22"/>
        </w:rPr>
      </w:pPr>
      <w:r w:rsidRPr="00E97E1C">
        <w:rPr>
          <w:rFonts w:asciiTheme="majorHAnsi" w:eastAsiaTheme="minorHAnsi" w:hAnsiTheme="majorHAnsi" w:cstheme="minorBidi"/>
          <w:szCs w:val="22"/>
        </w:rPr>
        <w:t>No additional consultation apart from soliciting public comments through the 60-Day Federal Register Noticed was conducted for this submission.</w:t>
      </w:r>
      <w:r>
        <w:rPr>
          <w:rFonts w:asciiTheme="majorHAnsi" w:eastAsiaTheme="minorHAnsi" w:hAnsiTheme="majorHAnsi" w:cstheme="minorBidi"/>
          <w:szCs w:val="22"/>
        </w:rPr>
        <w:t xml:space="preserve"> </w:t>
      </w:r>
    </w:p>
    <w:p w14:paraId="70A33FA2"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41CD0DCE" w14:textId="77777777" w:rsidR="00CE7B23" w:rsidRPr="00ED2463" w:rsidRDefault="00CE7B23" w:rsidP="006A13FA">
      <w:pPr>
        <w:spacing w:after="0" w:line="240" w:lineRule="auto"/>
        <w:rPr>
          <w:rFonts w:asciiTheme="majorHAnsi" w:hAnsiTheme="majorHAnsi"/>
          <w:sz w:val="24"/>
        </w:rPr>
      </w:pPr>
    </w:p>
    <w:p w14:paraId="72977DA9" w14:textId="77777777" w:rsidR="006A13FA" w:rsidRPr="00ED2463" w:rsidRDefault="006A13FA" w:rsidP="006A13FA">
      <w:pPr>
        <w:spacing w:after="0" w:line="240" w:lineRule="auto"/>
        <w:rPr>
          <w:rFonts w:asciiTheme="majorHAnsi" w:hAnsiTheme="majorHAnsi"/>
          <w:sz w:val="24"/>
        </w:rPr>
      </w:pPr>
      <w:r w:rsidRPr="00ED2463">
        <w:rPr>
          <w:rFonts w:asciiTheme="majorHAnsi" w:hAnsiTheme="majorHAnsi"/>
          <w:sz w:val="24"/>
        </w:rPr>
        <w:t>No payments or gifts are being offered to respondents as an incentive to participate in the collection.</w:t>
      </w:r>
      <w:r w:rsidRPr="00ED2463">
        <w:rPr>
          <w:rFonts w:asciiTheme="majorHAnsi" w:hAnsiTheme="majorHAnsi"/>
          <w:i/>
          <w:sz w:val="24"/>
        </w:rPr>
        <w:t xml:space="preserve"> </w:t>
      </w:r>
    </w:p>
    <w:p w14:paraId="38BCB6D4" w14:textId="77777777" w:rsidR="006A13FA" w:rsidRDefault="006A13FA" w:rsidP="006A13FA">
      <w:pPr>
        <w:spacing w:after="0" w:line="240" w:lineRule="auto"/>
        <w:rPr>
          <w:rFonts w:asciiTheme="majorHAnsi" w:hAnsiTheme="majorHAnsi"/>
          <w:i/>
          <w:sz w:val="24"/>
        </w:rPr>
      </w:pPr>
    </w:p>
    <w:p w14:paraId="3ABEB55D"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41407C2A" w14:textId="77777777" w:rsidR="00CE7B23" w:rsidRPr="00064270" w:rsidRDefault="00CE7B23" w:rsidP="00CE7B23">
      <w:pPr>
        <w:spacing w:after="0" w:line="240" w:lineRule="auto"/>
        <w:rPr>
          <w:rFonts w:asciiTheme="majorHAnsi" w:hAnsiTheme="majorHAnsi"/>
          <w:sz w:val="24"/>
        </w:rPr>
      </w:pPr>
    </w:p>
    <w:p w14:paraId="55C968B4" w14:textId="77777777" w:rsidR="003F1A79" w:rsidRPr="003F1A79" w:rsidRDefault="003F1A79" w:rsidP="003F1A79">
      <w:pPr>
        <w:spacing w:after="0" w:line="240" w:lineRule="auto"/>
        <w:rPr>
          <w:rFonts w:asciiTheme="majorHAnsi" w:hAnsiTheme="majorHAnsi"/>
          <w:b/>
          <w:sz w:val="24"/>
          <w:u w:val="single"/>
        </w:rPr>
      </w:pPr>
      <w:r w:rsidRPr="003F1A79">
        <w:rPr>
          <w:rFonts w:asciiTheme="majorHAnsi" w:hAnsiTheme="majorHAnsi"/>
          <w:b/>
          <w:sz w:val="24"/>
        </w:rPr>
        <w:t>Applicable SORN</w:t>
      </w:r>
      <w:r w:rsidRPr="003F1A79">
        <w:rPr>
          <w:rFonts w:asciiTheme="majorHAnsi" w:hAnsiTheme="majorHAnsi"/>
          <w:sz w:val="24"/>
        </w:rPr>
        <w:t xml:space="preserve">:  DMDC 02 DoD, Defense Enrollment Eligibility Reporting System (DEERS) (July 27, 2016,  81 FR 49210) is the system of records notice (SORN) best suited for DD Form 2876, TRICARE Prime Enrollment, Disenrollment, and Primary Care Manager (PCM) Change Form (TRICARE Prime Form). </w:t>
      </w:r>
    </w:p>
    <w:p w14:paraId="2AC29BFB" w14:textId="77777777" w:rsidR="003F1A79" w:rsidRPr="003F1A79" w:rsidRDefault="003F1A79" w:rsidP="003F1A79">
      <w:pPr>
        <w:spacing w:after="0" w:line="240" w:lineRule="auto"/>
        <w:rPr>
          <w:rFonts w:asciiTheme="majorHAnsi" w:hAnsiTheme="majorHAnsi"/>
          <w:sz w:val="24"/>
        </w:rPr>
      </w:pPr>
    </w:p>
    <w:p w14:paraId="06E6B6D1" w14:textId="77777777" w:rsidR="003F1A79" w:rsidRPr="003F1A79" w:rsidRDefault="003F1A79" w:rsidP="003F1A79">
      <w:pPr>
        <w:spacing w:after="0" w:line="240" w:lineRule="auto"/>
        <w:rPr>
          <w:rFonts w:asciiTheme="majorHAnsi" w:hAnsiTheme="majorHAnsi"/>
          <w:sz w:val="24"/>
        </w:rPr>
      </w:pPr>
      <w:r w:rsidRPr="003F1A79">
        <w:rPr>
          <w:rFonts w:asciiTheme="majorHAnsi" w:hAnsiTheme="majorHAnsi"/>
          <w:sz w:val="24"/>
        </w:rPr>
        <w:t xml:space="preserve">The TRICARE Prime Form allows eligible individuals to enroll, disenroll, or change their primary care manager (PCM) for health care coverage under TRICARE Prime, TRICARE Prime Remote, TRICARE Overseas Program Prime, and the Uniformed Services Family Health Plan.     </w:t>
      </w:r>
    </w:p>
    <w:p w14:paraId="5C00201A" w14:textId="77777777" w:rsidR="003F1A79" w:rsidRPr="003F1A79" w:rsidRDefault="003F1A79" w:rsidP="003F1A79">
      <w:pPr>
        <w:spacing w:after="0" w:line="240" w:lineRule="auto"/>
        <w:rPr>
          <w:rFonts w:asciiTheme="majorHAnsi" w:hAnsiTheme="majorHAnsi"/>
          <w:sz w:val="24"/>
        </w:rPr>
      </w:pPr>
    </w:p>
    <w:p w14:paraId="0BDC7DC9" w14:textId="77777777" w:rsidR="003F1A79" w:rsidRPr="003F1A79" w:rsidRDefault="003F1A79" w:rsidP="003F1A79">
      <w:pPr>
        <w:spacing w:after="0" w:line="240" w:lineRule="auto"/>
        <w:rPr>
          <w:rFonts w:asciiTheme="majorHAnsi" w:hAnsiTheme="majorHAnsi"/>
          <w:sz w:val="24"/>
        </w:rPr>
      </w:pPr>
      <w:r w:rsidRPr="003F1A79">
        <w:rPr>
          <w:rFonts w:asciiTheme="majorHAnsi" w:hAnsiTheme="majorHAnsi"/>
          <w:sz w:val="24"/>
        </w:rPr>
        <w:t xml:space="preserve">The TRICARE Prime Form requests the personally identifiable information (PII) of the sponsor and any family member(s) covered by the TRICARE Prime health plan.  Both sponsors and their family members are asked to provide their name, date of birth, address, email address, and telephone number.  The form also requests PCM preferences, financial information for payments, and the Social Security Number or DoD Benefits Number of the sponsor. </w:t>
      </w:r>
    </w:p>
    <w:p w14:paraId="24D2308F" w14:textId="77777777" w:rsidR="003F1A79" w:rsidRPr="003F1A79" w:rsidRDefault="003F1A79" w:rsidP="003F1A79">
      <w:pPr>
        <w:spacing w:after="0" w:line="240" w:lineRule="auto"/>
        <w:rPr>
          <w:rFonts w:asciiTheme="majorHAnsi" w:hAnsiTheme="majorHAnsi"/>
          <w:sz w:val="24"/>
        </w:rPr>
      </w:pPr>
    </w:p>
    <w:p w14:paraId="2E9D9BB1" w14:textId="77777777" w:rsidR="003F1A79" w:rsidRPr="003F1A79" w:rsidRDefault="003F1A79" w:rsidP="003F1A79">
      <w:pPr>
        <w:spacing w:after="0" w:line="240" w:lineRule="auto"/>
        <w:rPr>
          <w:rFonts w:asciiTheme="majorHAnsi" w:hAnsiTheme="majorHAnsi"/>
          <w:sz w:val="24"/>
        </w:rPr>
      </w:pPr>
      <w:r w:rsidRPr="003F1A79">
        <w:rPr>
          <w:rFonts w:asciiTheme="majorHAnsi" w:hAnsiTheme="majorHAnsi"/>
          <w:sz w:val="24"/>
        </w:rPr>
        <w:t xml:space="preserve">The DHA Privacy Office notes that the specific authorities authorizing TRICARE are not listed in DMDC 02 DoD.  However, one of the SORN's purposes: </w:t>
      </w:r>
    </w:p>
    <w:p w14:paraId="6F6AA28D" w14:textId="77777777" w:rsidR="003F1A79" w:rsidRPr="003F1A79" w:rsidRDefault="003F1A79" w:rsidP="003F1A79">
      <w:pPr>
        <w:spacing w:after="0" w:line="240" w:lineRule="auto"/>
        <w:rPr>
          <w:rFonts w:asciiTheme="majorHAnsi" w:hAnsiTheme="majorHAnsi"/>
          <w:sz w:val="24"/>
        </w:rPr>
      </w:pPr>
    </w:p>
    <w:p w14:paraId="68EADF79" w14:textId="77777777" w:rsidR="003F1A79" w:rsidRPr="003F1A79" w:rsidRDefault="003F1A79" w:rsidP="003F1A79">
      <w:pPr>
        <w:spacing w:after="0" w:line="240" w:lineRule="auto"/>
        <w:rPr>
          <w:rFonts w:asciiTheme="majorHAnsi" w:hAnsiTheme="majorHAnsi"/>
          <w:sz w:val="24"/>
        </w:rPr>
      </w:pPr>
      <w:r w:rsidRPr="003F1A79">
        <w:rPr>
          <w:rFonts w:asciiTheme="majorHAnsi" w:hAnsiTheme="majorHAnsi"/>
          <w:sz w:val="24"/>
        </w:rPr>
        <w:t xml:space="preserve">“To support DoD health care management programs, to include research and analytical projects, through Defense Health Agency (previously the TRICARE Management Activity); to support benefit administration for those beneficiaries that have granted permission for use of their personal email address for notification purposes relating to their benefits; to register current DoD civilian and military personnel and their authorized dependents for purposes of obtaining medical examination, treatment or other benefits to which they are entitled; to provide identification of deceased members."  </w:t>
      </w:r>
    </w:p>
    <w:p w14:paraId="158C26A9" w14:textId="77777777" w:rsidR="003F1A79" w:rsidRPr="003F1A79" w:rsidRDefault="003F1A79" w:rsidP="003F1A79">
      <w:pPr>
        <w:spacing w:after="0" w:line="240" w:lineRule="auto"/>
        <w:rPr>
          <w:rFonts w:asciiTheme="majorHAnsi" w:hAnsiTheme="majorHAnsi"/>
          <w:sz w:val="24"/>
        </w:rPr>
      </w:pPr>
    </w:p>
    <w:p w14:paraId="3CB3E4FB" w14:textId="0E5DB310" w:rsidR="003F1A79" w:rsidRPr="003F1A79" w:rsidRDefault="003F1A79" w:rsidP="003F1A79">
      <w:pPr>
        <w:spacing w:after="0" w:line="240" w:lineRule="auto"/>
        <w:rPr>
          <w:rFonts w:asciiTheme="majorHAnsi" w:hAnsiTheme="majorHAnsi"/>
          <w:sz w:val="24"/>
        </w:rPr>
      </w:pPr>
      <w:r w:rsidRPr="003F1A79">
        <w:rPr>
          <w:rFonts w:asciiTheme="majorHAnsi" w:hAnsiTheme="majorHAnsi"/>
          <w:sz w:val="24"/>
        </w:rPr>
        <w:t xml:space="preserve">Therefore, the system of records described in DMDC 02 DoD is consistent with the use of information collected through the TRICARE Prime Form. </w:t>
      </w:r>
      <w:r w:rsidR="00B623C1">
        <w:rPr>
          <w:rFonts w:asciiTheme="majorHAnsi" w:hAnsiTheme="majorHAnsi"/>
          <w:sz w:val="24"/>
        </w:rPr>
        <w:t xml:space="preserve">A copy of the SORN can be found at </w:t>
      </w:r>
      <w:hyperlink r:id="rId12" w:history="1">
        <w:r w:rsidR="00B623C1" w:rsidRPr="00B623C1">
          <w:rPr>
            <w:rStyle w:val="Hyperlink"/>
            <w:rFonts w:asciiTheme="majorHAnsi" w:hAnsiTheme="majorHAnsi"/>
            <w:sz w:val="24"/>
          </w:rPr>
          <w:t>https://dpcld.defense.gov/Privacy/SORNsIndex/DOD-wide-SORN-Article-View/Article/627618/dmdc-02-dod/</w:t>
        </w:r>
      </w:hyperlink>
    </w:p>
    <w:p w14:paraId="5C6444E1" w14:textId="77777777" w:rsidR="003F1A79" w:rsidRPr="003F1A79" w:rsidRDefault="003F1A79" w:rsidP="003F1A79">
      <w:pPr>
        <w:spacing w:after="0" w:line="240" w:lineRule="auto"/>
        <w:rPr>
          <w:rFonts w:asciiTheme="majorHAnsi" w:hAnsiTheme="majorHAnsi"/>
          <w:sz w:val="24"/>
        </w:rPr>
      </w:pPr>
    </w:p>
    <w:p w14:paraId="0DB34176" w14:textId="77777777" w:rsidR="003F1A79" w:rsidRPr="003F1A79" w:rsidRDefault="003F1A79" w:rsidP="003F1A79">
      <w:pPr>
        <w:spacing w:after="0" w:line="240" w:lineRule="auto"/>
        <w:rPr>
          <w:rFonts w:asciiTheme="majorHAnsi" w:hAnsiTheme="majorHAnsi"/>
          <w:b/>
          <w:sz w:val="24"/>
        </w:rPr>
      </w:pPr>
      <w:r w:rsidRPr="003F1A79">
        <w:rPr>
          <w:rFonts w:asciiTheme="majorHAnsi" w:hAnsiTheme="majorHAnsi"/>
          <w:b/>
          <w:sz w:val="24"/>
        </w:rPr>
        <w:t>Authorities</w:t>
      </w:r>
      <w:r w:rsidRPr="003F1A79">
        <w:rPr>
          <w:rFonts w:asciiTheme="majorHAnsi" w:hAnsiTheme="majorHAnsi"/>
          <w:sz w:val="24"/>
        </w:rPr>
        <w:t xml:space="preserve">:  </w:t>
      </w:r>
      <w:r w:rsidRPr="003F1A79">
        <w:rPr>
          <w:rFonts w:asciiTheme="majorHAnsi" w:hAnsiTheme="majorHAnsi"/>
          <w:bCs/>
          <w:sz w:val="24"/>
        </w:rPr>
        <w:t xml:space="preserve">10 U.S.C. Chapter 55, Medical and Dental Care; </w:t>
      </w:r>
      <w:r w:rsidRPr="003F1A79">
        <w:rPr>
          <w:rFonts w:asciiTheme="majorHAnsi" w:hAnsiTheme="majorHAnsi"/>
          <w:sz w:val="24"/>
        </w:rPr>
        <w:t xml:space="preserve">32 CFR Part 199, Civilian Health and Medical Program of the Uniformed Services (CHAMPUS); </w:t>
      </w:r>
      <w:r w:rsidRPr="003F1A79">
        <w:rPr>
          <w:rFonts w:asciiTheme="majorHAnsi" w:hAnsiTheme="majorHAnsi"/>
          <w:bCs/>
          <w:sz w:val="24"/>
        </w:rPr>
        <w:t xml:space="preserve">DoD Instruction 1341.2, </w:t>
      </w:r>
      <w:r w:rsidRPr="003F1A79">
        <w:rPr>
          <w:rFonts w:asciiTheme="majorHAnsi" w:hAnsiTheme="majorHAnsi"/>
          <w:sz w:val="24"/>
        </w:rPr>
        <w:t>Defense Enrollment Eligibility Reporting System (DEERS) Procedures; and E.O. 9397 (SSN), as amended.</w:t>
      </w:r>
    </w:p>
    <w:p w14:paraId="30E2F78D" w14:textId="77777777" w:rsidR="003F1A79" w:rsidRPr="003F1A79" w:rsidRDefault="003F1A79" w:rsidP="003F1A79">
      <w:pPr>
        <w:spacing w:after="0" w:line="240" w:lineRule="auto"/>
        <w:rPr>
          <w:rFonts w:asciiTheme="majorHAnsi" w:hAnsiTheme="majorHAnsi"/>
          <w:sz w:val="24"/>
        </w:rPr>
      </w:pPr>
    </w:p>
    <w:p w14:paraId="0E3FB218" w14:textId="5F072D07" w:rsidR="003F1A79" w:rsidRPr="00820876" w:rsidRDefault="003F1A79" w:rsidP="003F1A79">
      <w:pPr>
        <w:spacing w:after="0" w:line="240" w:lineRule="auto"/>
        <w:rPr>
          <w:rFonts w:asciiTheme="majorHAnsi" w:hAnsiTheme="majorHAnsi"/>
          <w:sz w:val="24"/>
        </w:rPr>
      </w:pPr>
      <w:r w:rsidRPr="003F1A79">
        <w:rPr>
          <w:rFonts w:asciiTheme="majorHAnsi" w:hAnsiTheme="majorHAnsi"/>
          <w:b/>
          <w:sz w:val="24"/>
        </w:rPr>
        <w:t>Privacy Act Statement Required</w:t>
      </w:r>
      <w:r w:rsidRPr="003F1A79">
        <w:rPr>
          <w:rFonts w:asciiTheme="majorHAnsi" w:hAnsiTheme="majorHAnsi"/>
          <w:sz w:val="24"/>
        </w:rPr>
        <w:t xml:space="preserve">:  DD Form 2876 collects PII directly from individuals for inclusion into a system of records.  The PAS should be provided in a conspicuous manner, at or before the point that PII is collected, regardless of the medium used for collection.  A PAS on a paper or electronic form is generally placed at the beginning of the form, immediately following the title, before the first official heading/section, or immediately prior to where PII is collected.  Therefore, the PAS on the DD Forms 2876-1, 2876-2, and </w:t>
      </w:r>
      <w:r w:rsidRPr="00820876">
        <w:rPr>
          <w:rFonts w:asciiTheme="majorHAnsi" w:hAnsiTheme="majorHAnsi"/>
          <w:sz w:val="24"/>
        </w:rPr>
        <w:t>2876-3 is provided as required.</w:t>
      </w:r>
    </w:p>
    <w:p w14:paraId="31575556" w14:textId="7E719E61" w:rsidR="00820876" w:rsidRPr="00820876" w:rsidRDefault="00820876" w:rsidP="003F1A79">
      <w:pPr>
        <w:spacing w:after="0" w:line="240" w:lineRule="auto"/>
        <w:rPr>
          <w:rFonts w:asciiTheme="majorHAnsi" w:hAnsiTheme="majorHAnsi"/>
          <w:sz w:val="24"/>
        </w:rPr>
      </w:pPr>
    </w:p>
    <w:p w14:paraId="6D9B60AC" w14:textId="332CB4D7" w:rsidR="00820876" w:rsidRPr="00820876" w:rsidRDefault="00820876" w:rsidP="00820876">
      <w:pPr>
        <w:rPr>
          <w:rFonts w:asciiTheme="majorHAnsi" w:hAnsiTheme="majorHAnsi"/>
        </w:rPr>
      </w:pPr>
      <w:r w:rsidRPr="00820876">
        <w:rPr>
          <w:rFonts w:asciiTheme="majorHAnsi" w:hAnsiTheme="majorHAnsi"/>
          <w:sz w:val="24"/>
        </w:rPr>
        <w:t xml:space="preserve">The Privacy Impact Assessment can be found at </w:t>
      </w:r>
      <w:hyperlink r:id="rId13" w:history="1">
        <w:r w:rsidRPr="00820876">
          <w:rPr>
            <w:rStyle w:val="Hyperlink"/>
            <w:rFonts w:asciiTheme="majorHAnsi" w:hAnsiTheme="majorHAnsi"/>
          </w:rPr>
          <w:t>https://www.dmdc.osd.mil/appj/dwp/rest/download?fileName=DEERS_PIA.pdf&amp;groupName=websiteDocuments</w:t>
        </w:r>
      </w:hyperlink>
      <w:r w:rsidRPr="00820876">
        <w:rPr>
          <w:rFonts w:asciiTheme="majorHAnsi" w:hAnsiTheme="majorHAnsi"/>
        </w:rPr>
        <w:t xml:space="preserve"> </w:t>
      </w:r>
    </w:p>
    <w:p w14:paraId="2223AF9A" w14:textId="14AA57BC" w:rsidR="00CE7B23" w:rsidRPr="00064270" w:rsidRDefault="00CE7B23" w:rsidP="00820876">
      <w:pPr>
        <w:spacing w:after="0" w:line="240" w:lineRule="auto"/>
        <w:rPr>
          <w:rFonts w:asciiTheme="majorHAnsi" w:hAnsiTheme="majorHAnsi"/>
          <w:sz w:val="24"/>
        </w:rPr>
      </w:pPr>
    </w:p>
    <w:p w14:paraId="5BF0E168" w14:textId="77777777" w:rsidR="007C058F" w:rsidRDefault="007C058F" w:rsidP="007C058F">
      <w:pPr>
        <w:spacing w:after="0" w:line="240" w:lineRule="auto"/>
        <w:rPr>
          <w:rFonts w:asciiTheme="majorHAnsi" w:hAnsiTheme="majorHAnsi"/>
          <w:sz w:val="24"/>
        </w:rPr>
      </w:pPr>
      <w:r w:rsidRPr="007C058F">
        <w:rPr>
          <w:rFonts w:asciiTheme="majorHAnsi" w:hAnsiTheme="majorHAnsi"/>
          <w:b/>
          <w:sz w:val="24"/>
        </w:rPr>
        <w:t>Records disposition instructions</w:t>
      </w:r>
      <w:r w:rsidRPr="007C058F">
        <w:rPr>
          <w:rFonts w:asciiTheme="majorHAnsi" w:hAnsiTheme="majorHAnsi"/>
          <w:sz w:val="24"/>
        </w:rPr>
        <w:t>:</w:t>
      </w:r>
    </w:p>
    <w:p w14:paraId="66167A6C" w14:textId="74FAFE0B" w:rsidR="007C058F" w:rsidRPr="007C058F" w:rsidRDefault="007C058F" w:rsidP="007C058F">
      <w:pPr>
        <w:spacing w:after="0" w:line="240" w:lineRule="auto"/>
        <w:rPr>
          <w:rFonts w:asciiTheme="majorHAnsi" w:hAnsiTheme="majorHAnsi"/>
          <w:sz w:val="24"/>
        </w:rPr>
      </w:pPr>
      <w:r w:rsidRPr="007C058F">
        <w:rPr>
          <w:rFonts w:asciiTheme="majorHAnsi" w:hAnsiTheme="majorHAnsi"/>
          <w:sz w:val="24"/>
        </w:rPr>
        <w:t>Cutoff Instructions:  Close out at end of the calendar year in which</w:t>
      </w:r>
      <w:r>
        <w:rPr>
          <w:rFonts w:asciiTheme="majorHAnsi" w:hAnsiTheme="majorHAnsi"/>
          <w:sz w:val="24"/>
        </w:rPr>
        <w:t xml:space="preserve"> </w:t>
      </w:r>
      <w:r w:rsidRPr="007C058F">
        <w:rPr>
          <w:rFonts w:asciiTheme="majorHAnsi" w:hAnsiTheme="majorHAnsi"/>
          <w:sz w:val="24"/>
        </w:rPr>
        <w:t xml:space="preserve">received. </w:t>
      </w:r>
    </w:p>
    <w:p w14:paraId="076367AA" w14:textId="77777777" w:rsidR="007C058F" w:rsidRPr="007C058F" w:rsidRDefault="007C058F" w:rsidP="007C058F">
      <w:pPr>
        <w:spacing w:after="0" w:line="240" w:lineRule="auto"/>
        <w:rPr>
          <w:rFonts w:asciiTheme="majorHAnsi" w:hAnsiTheme="majorHAnsi"/>
          <w:sz w:val="24"/>
        </w:rPr>
      </w:pPr>
      <w:r w:rsidRPr="007C058F">
        <w:rPr>
          <w:rFonts w:asciiTheme="majorHAnsi" w:hAnsiTheme="majorHAnsi"/>
          <w:sz w:val="24"/>
        </w:rPr>
        <w:t>Retention Period:  Destroy 10 years after cutoff.</w:t>
      </w:r>
    </w:p>
    <w:p w14:paraId="0B8CA3DA" w14:textId="77777777" w:rsidR="007C058F" w:rsidRPr="007C058F" w:rsidRDefault="007C058F" w:rsidP="007C058F">
      <w:pPr>
        <w:spacing w:after="0" w:line="240" w:lineRule="auto"/>
        <w:rPr>
          <w:rFonts w:asciiTheme="majorHAnsi" w:hAnsiTheme="majorHAnsi"/>
          <w:sz w:val="24"/>
        </w:rPr>
      </w:pPr>
      <w:r w:rsidRPr="007C058F">
        <w:rPr>
          <w:rFonts w:asciiTheme="majorHAnsi" w:hAnsiTheme="majorHAnsi"/>
          <w:sz w:val="24"/>
        </w:rPr>
        <w:t>OSD File Number: 911-01</w:t>
      </w:r>
    </w:p>
    <w:p w14:paraId="420753F2" w14:textId="15D3F789" w:rsidR="007C058F" w:rsidRPr="007C058F" w:rsidRDefault="007C058F" w:rsidP="007C058F">
      <w:pPr>
        <w:spacing w:after="0" w:line="240" w:lineRule="auto"/>
        <w:rPr>
          <w:rFonts w:asciiTheme="majorHAnsi" w:hAnsiTheme="majorHAnsi"/>
          <w:sz w:val="24"/>
        </w:rPr>
      </w:pPr>
      <w:r w:rsidRPr="007C058F">
        <w:rPr>
          <w:rFonts w:asciiTheme="majorHAnsi" w:hAnsiTheme="majorHAnsi"/>
          <w:sz w:val="24"/>
        </w:rPr>
        <w:t>NARA Aut</w:t>
      </w:r>
      <w:r>
        <w:rPr>
          <w:rFonts w:asciiTheme="majorHAnsi" w:hAnsiTheme="majorHAnsi"/>
          <w:sz w:val="24"/>
        </w:rPr>
        <w:t>hority: DAA-0330-2014-0014-0001</w:t>
      </w:r>
    </w:p>
    <w:p w14:paraId="7156C8CD" w14:textId="77777777" w:rsidR="007C058F" w:rsidRDefault="007C058F" w:rsidP="00996894">
      <w:pPr>
        <w:spacing w:after="0" w:line="240" w:lineRule="auto"/>
        <w:rPr>
          <w:rFonts w:asciiTheme="majorHAnsi" w:hAnsiTheme="majorHAnsi"/>
          <w:i/>
          <w:sz w:val="24"/>
        </w:rPr>
      </w:pPr>
    </w:p>
    <w:p w14:paraId="6F915A2F"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363DB410" w14:textId="77777777" w:rsidR="00CE7B23" w:rsidRPr="00064270" w:rsidRDefault="00CE7B23" w:rsidP="00CE7B23">
      <w:pPr>
        <w:pStyle w:val="NormalWeb"/>
        <w:spacing w:line="288" w:lineRule="atLeast"/>
        <w:rPr>
          <w:rFonts w:asciiTheme="majorHAnsi" w:eastAsiaTheme="minorHAnsi" w:hAnsiTheme="majorHAnsi" w:cstheme="minorBidi"/>
          <w:szCs w:val="22"/>
        </w:rPr>
      </w:pPr>
      <w:r w:rsidRPr="00064270">
        <w:rPr>
          <w:rFonts w:asciiTheme="majorHAnsi" w:eastAsiaTheme="minorHAnsi" w:hAnsiTheme="majorHAnsi" w:cstheme="minorBidi"/>
          <w:szCs w:val="22"/>
        </w:rPr>
        <w:t>The form requests the applicant provide a personal identifier number, which may be either the individual’s social security number (SSN) or their DoD Benefit Number (DBN). The DBN has yet to be widely used and known by beneficiari</w:t>
      </w:r>
      <w:r w:rsidR="009547A5" w:rsidRPr="00064270">
        <w:rPr>
          <w:rFonts w:asciiTheme="majorHAnsi" w:eastAsiaTheme="minorHAnsi" w:hAnsiTheme="majorHAnsi" w:cstheme="minorBidi"/>
          <w:szCs w:val="22"/>
        </w:rPr>
        <w:t>es for healthcare transactions.</w:t>
      </w:r>
      <w:r w:rsidRPr="00064270">
        <w:rPr>
          <w:rFonts w:asciiTheme="majorHAnsi" w:eastAsiaTheme="minorHAnsi" w:hAnsiTheme="majorHAnsi" w:cstheme="minorBidi"/>
          <w:szCs w:val="22"/>
        </w:rPr>
        <w:t xml:space="preserve"> Additionally, the main data source to find the DBN is the Uniformed Services</w:t>
      </w:r>
      <w:r w:rsidR="009547A5" w:rsidRPr="00064270">
        <w:rPr>
          <w:rFonts w:asciiTheme="majorHAnsi" w:eastAsiaTheme="minorHAnsi" w:hAnsiTheme="majorHAnsi" w:cstheme="minorBidi"/>
          <w:szCs w:val="22"/>
        </w:rPr>
        <w:t xml:space="preserve"> identification card (ID card).</w:t>
      </w:r>
      <w:r w:rsidRPr="00064270">
        <w:rPr>
          <w:rFonts w:asciiTheme="majorHAnsi" w:eastAsiaTheme="minorHAnsi" w:hAnsiTheme="majorHAnsi" w:cstheme="minorBidi"/>
          <w:szCs w:val="22"/>
        </w:rPr>
        <w:t xml:space="preserve"> Since some applicants are former dependent children, they either never had access to their DBN on an ID card in the first place or no longer have access to their DBN when they turned in their ID card after a</w:t>
      </w:r>
      <w:r w:rsidR="009547A5" w:rsidRPr="00064270">
        <w:rPr>
          <w:rFonts w:asciiTheme="majorHAnsi" w:eastAsiaTheme="minorHAnsi" w:hAnsiTheme="majorHAnsi" w:cstheme="minorBidi"/>
          <w:szCs w:val="22"/>
        </w:rPr>
        <w:t xml:space="preserve">ging out of military benefits. </w:t>
      </w:r>
      <w:r w:rsidRPr="00064270">
        <w:rPr>
          <w:rFonts w:asciiTheme="majorHAnsi" w:eastAsiaTheme="minorHAnsi" w:hAnsiTheme="majorHAnsi" w:cstheme="minorBidi"/>
          <w:szCs w:val="22"/>
        </w:rPr>
        <w:t>For these reasons, DHA has justified the continued use of the SSN until such time the DBN is readily known by beneficiaries through repeated use and through means of knowing the DBN from documents other than the ID card.</w:t>
      </w:r>
    </w:p>
    <w:p w14:paraId="7831A572"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23A50C3D" w14:textId="77777777" w:rsidR="00520B36" w:rsidRDefault="00520B36" w:rsidP="00337EF1">
      <w:pPr>
        <w:spacing w:after="0" w:line="240" w:lineRule="auto"/>
        <w:rPr>
          <w:rFonts w:asciiTheme="majorHAnsi" w:hAnsiTheme="majorHAnsi"/>
          <w:sz w:val="24"/>
          <w:u w:val="single"/>
        </w:rPr>
      </w:pPr>
    </w:p>
    <w:p w14:paraId="0DD34386"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7CD22A77" w14:textId="77777777" w:rsidR="00A76F7E" w:rsidRDefault="00A76F7E" w:rsidP="00337EF1">
      <w:pPr>
        <w:spacing w:after="0" w:line="240" w:lineRule="auto"/>
        <w:rPr>
          <w:rFonts w:asciiTheme="majorHAnsi" w:hAnsiTheme="majorHAnsi"/>
          <w:sz w:val="24"/>
        </w:rPr>
      </w:pPr>
    </w:p>
    <w:p w14:paraId="25B41FAD" w14:textId="77777777" w:rsidR="00A76F7E" w:rsidRPr="00064270" w:rsidRDefault="00A76F7E" w:rsidP="00D3120C">
      <w:pPr>
        <w:spacing w:after="0" w:line="240" w:lineRule="auto"/>
        <w:ind w:left="720" w:hanging="450"/>
        <w:rPr>
          <w:rFonts w:asciiTheme="majorHAnsi" w:hAnsiTheme="majorHAnsi"/>
          <w:sz w:val="24"/>
        </w:rPr>
      </w:pPr>
      <w:r w:rsidRPr="00064270">
        <w:rPr>
          <w:rFonts w:asciiTheme="majorHAnsi" w:hAnsiTheme="majorHAnsi"/>
          <w:sz w:val="24"/>
        </w:rPr>
        <w:t>1.</w:t>
      </w:r>
      <w:r w:rsidRPr="00D3120C">
        <w:rPr>
          <w:rFonts w:asciiTheme="majorHAnsi" w:hAnsiTheme="majorHAnsi"/>
          <w:sz w:val="24"/>
        </w:rPr>
        <w:t xml:space="preserve"> </w:t>
      </w:r>
      <w:r w:rsidR="005069A6" w:rsidRPr="00D3120C">
        <w:rPr>
          <w:rFonts w:asciiTheme="majorHAnsi" w:hAnsiTheme="majorHAnsi"/>
          <w:sz w:val="24"/>
        </w:rPr>
        <w:t xml:space="preserve">TRICARE Prime Enrollment, Disenrollment, and Primary Care Manager (PCM) Change Form </w:t>
      </w:r>
      <w:r w:rsidRPr="00D3120C">
        <w:rPr>
          <w:rFonts w:asciiTheme="majorHAnsi" w:hAnsiTheme="majorHAnsi"/>
          <w:sz w:val="24"/>
        </w:rPr>
        <w:t xml:space="preserve"> </w:t>
      </w:r>
      <w:r w:rsidR="00E97E1C" w:rsidRPr="00D3120C">
        <w:rPr>
          <w:rFonts w:asciiTheme="majorHAnsi" w:hAnsiTheme="majorHAnsi"/>
          <w:sz w:val="24"/>
        </w:rPr>
        <w:t>DD 2876-3</w:t>
      </w:r>
    </w:p>
    <w:p w14:paraId="760392C3" w14:textId="02223A6E" w:rsidR="00707E7E" w:rsidRPr="00707E7E" w:rsidRDefault="00A76F7E" w:rsidP="00707E7E">
      <w:pPr>
        <w:spacing w:after="0" w:line="240" w:lineRule="auto"/>
        <w:rPr>
          <w:rFonts w:asciiTheme="majorHAnsi" w:hAnsiTheme="majorHAnsi"/>
          <w:sz w:val="24"/>
        </w:rPr>
      </w:pPr>
      <w:r w:rsidRPr="00064270">
        <w:rPr>
          <w:rFonts w:asciiTheme="majorHAnsi" w:hAnsiTheme="majorHAnsi"/>
          <w:sz w:val="24"/>
        </w:rPr>
        <w:tab/>
        <w:t xml:space="preserve">a. </w:t>
      </w:r>
      <w:r w:rsidR="00520B36" w:rsidRPr="00064270">
        <w:rPr>
          <w:rFonts w:asciiTheme="majorHAnsi" w:hAnsiTheme="majorHAnsi"/>
          <w:sz w:val="24"/>
        </w:rPr>
        <w:t xml:space="preserve">Number of Respondents: </w:t>
      </w:r>
      <w:r w:rsidR="00707E7E" w:rsidRPr="00707E7E">
        <w:rPr>
          <w:rFonts w:asciiTheme="majorHAnsi" w:hAnsiTheme="majorHAnsi"/>
          <w:sz w:val="24"/>
        </w:rPr>
        <w:t>145,774</w:t>
      </w:r>
    </w:p>
    <w:p w14:paraId="6E9D45DE" w14:textId="67DC0D83" w:rsidR="00A76F7E" w:rsidRPr="00064270" w:rsidRDefault="00A76F7E" w:rsidP="00337EF1">
      <w:pPr>
        <w:spacing w:after="0" w:line="240" w:lineRule="auto"/>
        <w:rPr>
          <w:rFonts w:asciiTheme="majorHAnsi" w:hAnsiTheme="majorHAnsi"/>
          <w:sz w:val="24"/>
        </w:rPr>
      </w:pPr>
      <w:r w:rsidRPr="00064270">
        <w:rPr>
          <w:rFonts w:asciiTheme="majorHAnsi" w:hAnsiTheme="majorHAnsi"/>
          <w:sz w:val="24"/>
        </w:rPr>
        <w:tab/>
        <w:t>b. Number of Responses Per</w:t>
      </w:r>
      <w:r w:rsidR="005069A6" w:rsidRPr="00064270">
        <w:rPr>
          <w:rFonts w:asciiTheme="majorHAnsi" w:hAnsiTheme="majorHAnsi"/>
          <w:sz w:val="24"/>
        </w:rPr>
        <w:t xml:space="preserve"> Respondent: </w:t>
      </w:r>
      <w:r w:rsidR="003328F7">
        <w:rPr>
          <w:rFonts w:asciiTheme="majorHAnsi" w:hAnsiTheme="majorHAnsi"/>
          <w:sz w:val="24"/>
        </w:rPr>
        <w:t>2</w:t>
      </w:r>
    </w:p>
    <w:p w14:paraId="228E48F7" w14:textId="492B08F0" w:rsidR="00A76F7E" w:rsidRPr="00064270" w:rsidRDefault="00A76F7E" w:rsidP="00337EF1">
      <w:pPr>
        <w:spacing w:after="0" w:line="240" w:lineRule="auto"/>
        <w:rPr>
          <w:rFonts w:asciiTheme="majorHAnsi" w:hAnsiTheme="majorHAnsi"/>
          <w:sz w:val="24"/>
        </w:rPr>
      </w:pPr>
      <w:r w:rsidRPr="00064270">
        <w:rPr>
          <w:rFonts w:asciiTheme="majorHAnsi" w:hAnsiTheme="majorHAnsi"/>
          <w:sz w:val="24"/>
        </w:rPr>
        <w:tab/>
        <w:t>c. Num</w:t>
      </w:r>
      <w:r w:rsidR="005069A6" w:rsidRPr="00064270">
        <w:rPr>
          <w:rFonts w:asciiTheme="majorHAnsi" w:hAnsiTheme="majorHAnsi"/>
          <w:sz w:val="24"/>
        </w:rPr>
        <w:t xml:space="preserve">ber of Total Annual Responses: </w:t>
      </w:r>
      <w:r w:rsidR="00707E7E">
        <w:rPr>
          <w:rFonts w:asciiTheme="majorHAnsi" w:hAnsiTheme="majorHAnsi"/>
          <w:sz w:val="24"/>
        </w:rPr>
        <w:t>291,548</w:t>
      </w:r>
    </w:p>
    <w:p w14:paraId="4791F430" w14:textId="0678E69A" w:rsidR="00A76F7E" w:rsidRPr="00064270" w:rsidRDefault="00A76F7E" w:rsidP="00B738CC">
      <w:pPr>
        <w:spacing w:after="0" w:line="240" w:lineRule="auto"/>
        <w:ind w:left="720"/>
        <w:rPr>
          <w:rFonts w:asciiTheme="majorHAnsi" w:hAnsiTheme="majorHAnsi"/>
          <w:sz w:val="24"/>
        </w:rPr>
      </w:pPr>
      <w:r w:rsidRPr="00064270">
        <w:rPr>
          <w:rFonts w:asciiTheme="majorHAnsi" w:hAnsiTheme="majorHAnsi"/>
          <w:sz w:val="24"/>
        </w:rPr>
        <w:t>d. Response Time</w:t>
      </w:r>
      <w:r w:rsidR="00520B36" w:rsidRPr="00064270">
        <w:rPr>
          <w:rFonts w:asciiTheme="majorHAnsi" w:hAnsiTheme="majorHAnsi"/>
          <w:sz w:val="24"/>
        </w:rPr>
        <w:t xml:space="preserve">: </w:t>
      </w:r>
      <w:r w:rsidR="00B738CC" w:rsidRPr="00064270">
        <w:rPr>
          <w:rFonts w:asciiTheme="majorHAnsi" w:hAnsiTheme="majorHAnsi"/>
          <w:sz w:val="24"/>
        </w:rPr>
        <w:t>15 minutes</w:t>
      </w:r>
    </w:p>
    <w:p w14:paraId="4551A1B7" w14:textId="49624AC7" w:rsidR="00A76F7E" w:rsidRPr="00064270" w:rsidRDefault="00EC657D" w:rsidP="00337EF1">
      <w:pPr>
        <w:spacing w:after="0" w:line="240" w:lineRule="auto"/>
        <w:rPr>
          <w:rFonts w:asciiTheme="majorHAnsi" w:hAnsiTheme="majorHAnsi"/>
          <w:sz w:val="24"/>
        </w:rPr>
      </w:pPr>
      <w:r>
        <w:rPr>
          <w:rFonts w:asciiTheme="majorHAnsi" w:hAnsiTheme="majorHAnsi"/>
          <w:sz w:val="24"/>
        </w:rPr>
        <w:tab/>
        <w:t>e. Respondent Burden Hours</w:t>
      </w:r>
      <w:r w:rsidR="00520B36" w:rsidRPr="00064270">
        <w:rPr>
          <w:rFonts w:asciiTheme="majorHAnsi" w:hAnsiTheme="majorHAnsi"/>
          <w:sz w:val="24"/>
        </w:rPr>
        <w:t xml:space="preserve">: </w:t>
      </w:r>
      <w:r w:rsidR="00707E7E">
        <w:rPr>
          <w:rFonts w:asciiTheme="majorHAnsi" w:hAnsiTheme="majorHAnsi"/>
          <w:sz w:val="24"/>
        </w:rPr>
        <w:t>72,887</w:t>
      </w:r>
      <w:r w:rsidR="003328F7">
        <w:rPr>
          <w:rFonts w:asciiTheme="majorHAnsi" w:hAnsiTheme="majorHAnsi"/>
          <w:sz w:val="24"/>
        </w:rPr>
        <w:t xml:space="preserve"> hours</w:t>
      </w:r>
    </w:p>
    <w:p w14:paraId="55D3DADF" w14:textId="77777777" w:rsidR="00A90E7B" w:rsidRDefault="00A90E7B" w:rsidP="00A90E7B">
      <w:pPr>
        <w:spacing w:after="0" w:line="240" w:lineRule="auto"/>
        <w:ind w:left="720" w:hanging="450"/>
        <w:rPr>
          <w:rFonts w:asciiTheme="majorHAnsi" w:hAnsiTheme="majorHAnsi"/>
          <w:sz w:val="24"/>
        </w:rPr>
      </w:pPr>
    </w:p>
    <w:p w14:paraId="2E59545B" w14:textId="0F3673E1" w:rsidR="00A90E7B" w:rsidRPr="00064270" w:rsidRDefault="00A90E7B" w:rsidP="00A90E7B">
      <w:pPr>
        <w:spacing w:after="0" w:line="240" w:lineRule="auto"/>
        <w:ind w:left="720" w:hanging="450"/>
        <w:rPr>
          <w:rFonts w:asciiTheme="majorHAnsi" w:hAnsiTheme="majorHAnsi"/>
          <w:sz w:val="24"/>
        </w:rPr>
      </w:pPr>
      <w:r>
        <w:rPr>
          <w:rFonts w:asciiTheme="majorHAnsi" w:hAnsiTheme="majorHAnsi"/>
          <w:sz w:val="24"/>
        </w:rPr>
        <w:t xml:space="preserve"> </w:t>
      </w:r>
      <w:r w:rsidRPr="00D3120C">
        <w:rPr>
          <w:rFonts w:asciiTheme="majorHAnsi" w:hAnsiTheme="majorHAnsi"/>
          <w:sz w:val="24"/>
        </w:rPr>
        <w:t xml:space="preserve">TRICARE Prime Enrollment, Disenrollment, and Primary Care Manager (PCM) Change </w:t>
      </w:r>
      <w:r>
        <w:rPr>
          <w:rFonts w:asciiTheme="majorHAnsi" w:hAnsiTheme="majorHAnsi"/>
          <w:sz w:val="24"/>
        </w:rPr>
        <w:t>via telephone</w:t>
      </w:r>
    </w:p>
    <w:p w14:paraId="3405EF84" w14:textId="69C8B8DC" w:rsidR="00A90E7B" w:rsidRPr="00064270" w:rsidRDefault="00A90E7B" w:rsidP="00A90E7B">
      <w:pPr>
        <w:spacing w:after="0" w:line="240" w:lineRule="auto"/>
        <w:rPr>
          <w:rFonts w:asciiTheme="majorHAnsi" w:hAnsiTheme="majorHAnsi"/>
          <w:sz w:val="24"/>
        </w:rPr>
      </w:pPr>
      <w:r w:rsidRPr="00064270">
        <w:rPr>
          <w:rFonts w:asciiTheme="majorHAnsi" w:hAnsiTheme="majorHAnsi"/>
          <w:sz w:val="24"/>
        </w:rPr>
        <w:tab/>
        <w:t xml:space="preserve">a. Number of Respondents: </w:t>
      </w:r>
      <w:r w:rsidR="00707E7E">
        <w:rPr>
          <w:rFonts w:asciiTheme="majorHAnsi" w:hAnsiTheme="majorHAnsi"/>
          <w:sz w:val="24"/>
        </w:rPr>
        <w:t>1,261,151</w:t>
      </w:r>
    </w:p>
    <w:p w14:paraId="62C2673A" w14:textId="77777777" w:rsidR="00A90E7B" w:rsidRPr="00064270" w:rsidRDefault="00A90E7B" w:rsidP="00A90E7B">
      <w:pPr>
        <w:spacing w:after="0" w:line="240" w:lineRule="auto"/>
        <w:rPr>
          <w:rFonts w:asciiTheme="majorHAnsi" w:hAnsiTheme="majorHAnsi"/>
          <w:sz w:val="24"/>
        </w:rPr>
      </w:pPr>
      <w:r w:rsidRPr="00064270">
        <w:rPr>
          <w:rFonts w:asciiTheme="majorHAnsi" w:hAnsiTheme="majorHAnsi"/>
          <w:sz w:val="24"/>
        </w:rPr>
        <w:tab/>
        <w:t xml:space="preserve">b. Number of Responses Per Respondent: </w:t>
      </w:r>
      <w:r>
        <w:rPr>
          <w:rFonts w:asciiTheme="majorHAnsi" w:hAnsiTheme="majorHAnsi"/>
          <w:sz w:val="24"/>
        </w:rPr>
        <w:t>2</w:t>
      </w:r>
    </w:p>
    <w:p w14:paraId="56FF18D3" w14:textId="7AD64887" w:rsidR="00A90E7B" w:rsidRPr="00064270" w:rsidRDefault="00A90E7B" w:rsidP="00A90E7B">
      <w:pPr>
        <w:spacing w:after="0" w:line="240" w:lineRule="auto"/>
        <w:rPr>
          <w:rFonts w:asciiTheme="majorHAnsi" w:hAnsiTheme="majorHAnsi"/>
          <w:sz w:val="24"/>
        </w:rPr>
      </w:pPr>
      <w:r w:rsidRPr="00064270">
        <w:rPr>
          <w:rFonts w:asciiTheme="majorHAnsi" w:hAnsiTheme="majorHAnsi"/>
          <w:sz w:val="24"/>
        </w:rPr>
        <w:tab/>
        <w:t xml:space="preserve">c. Number of Total Annual Responses: </w:t>
      </w:r>
      <w:r w:rsidR="00707E7E">
        <w:rPr>
          <w:rFonts w:asciiTheme="majorHAnsi" w:hAnsiTheme="majorHAnsi"/>
          <w:sz w:val="24"/>
        </w:rPr>
        <w:t>2,522,302</w:t>
      </w:r>
    </w:p>
    <w:p w14:paraId="1368410E" w14:textId="6D4333DD" w:rsidR="00A90E7B" w:rsidRPr="00064270" w:rsidRDefault="00EC657D" w:rsidP="00A90E7B">
      <w:pPr>
        <w:spacing w:after="0" w:line="240" w:lineRule="auto"/>
        <w:ind w:left="720"/>
        <w:rPr>
          <w:rFonts w:asciiTheme="majorHAnsi" w:hAnsiTheme="majorHAnsi"/>
          <w:sz w:val="24"/>
        </w:rPr>
      </w:pPr>
      <w:r>
        <w:rPr>
          <w:rFonts w:asciiTheme="majorHAnsi" w:hAnsiTheme="majorHAnsi"/>
          <w:sz w:val="24"/>
        </w:rPr>
        <w:t>d. Response Time</w:t>
      </w:r>
      <w:r w:rsidR="00A90E7B" w:rsidRPr="00064270">
        <w:rPr>
          <w:rFonts w:asciiTheme="majorHAnsi" w:hAnsiTheme="majorHAnsi"/>
          <w:sz w:val="24"/>
        </w:rPr>
        <w:t>: 15 minutes</w:t>
      </w:r>
    </w:p>
    <w:p w14:paraId="219466DE" w14:textId="07D5DE84" w:rsidR="00A90E7B" w:rsidRPr="00064270" w:rsidRDefault="00EC657D" w:rsidP="00A90E7B">
      <w:pPr>
        <w:spacing w:after="0" w:line="240" w:lineRule="auto"/>
        <w:rPr>
          <w:rFonts w:asciiTheme="majorHAnsi" w:hAnsiTheme="majorHAnsi"/>
          <w:sz w:val="24"/>
        </w:rPr>
      </w:pPr>
      <w:r>
        <w:rPr>
          <w:rFonts w:asciiTheme="majorHAnsi" w:hAnsiTheme="majorHAnsi"/>
          <w:sz w:val="24"/>
        </w:rPr>
        <w:tab/>
        <w:t>e. Respondent Burden Hours</w:t>
      </w:r>
      <w:r w:rsidR="00A90E7B" w:rsidRPr="00064270">
        <w:rPr>
          <w:rFonts w:asciiTheme="majorHAnsi" w:hAnsiTheme="majorHAnsi"/>
          <w:sz w:val="24"/>
        </w:rPr>
        <w:t xml:space="preserve">: </w:t>
      </w:r>
      <w:r w:rsidR="00707E7E">
        <w:rPr>
          <w:rFonts w:asciiTheme="majorHAnsi" w:hAnsiTheme="majorHAnsi"/>
          <w:sz w:val="24"/>
        </w:rPr>
        <w:t>630,575.5</w:t>
      </w:r>
      <w:r w:rsidR="003328F7">
        <w:rPr>
          <w:rFonts w:asciiTheme="majorHAnsi" w:hAnsiTheme="majorHAnsi"/>
          <w:sz w:val="24"/>
        </w:rPr>
        <w:t xml:space="preserve"> hours</w:t>
      </w:r>
    </w:p>
    <w:p w14:paraId="67B5BFDF" w14:textId="2EF5CB12" w:rsidR="00A77157" w:rsidRDefault="00A77157" w:rsidP="00337EF1">
      <w:pPr>
        <w:spacing w:after="0" w:line="240" w:lineRule="auto"/>
        <w:rPr>
          <w:rFonts w:asciiTheme="majorHAnsi" w:hAnsiTheme="majorHAnsi"/>
          <w:sz w:val="24"/>
        </w:rPr>
      </w:pPr>
    </w:p>
    <w:p w14:paraId="080029F3" w14:textId="26C3EA08" w:rsidR="00A90E7B" w:rsidRPr="00064270" w:rsidRDefault="00A90E7B" w:rsidP="00A90E7B">
      <w:pPr>
        <w:spacing w:after="0" w:line="240" w:lineRule="auto"/>
        <w:ind w:left="720" w:hanging="450"/>
        <w:rPr>
          <w:rFonts w:asciiTheme="majorHAnsi" w:hAnsiTheme="majorHAnsi"/>
          <w:sz w:val="24"/>
        </w:rPr>
      </w:pPr>
      <w:r w:rsidRPr="00D3120C">
        <w:rPr>
          <w:rFonts w:asciiTheme="majorHAnsi" w:hAnsiTheme="majorHAnsi"/>
          <w:sz w:val="24"/>
        </w:rPr>
        <w:t xml:space="preserve">TRICARE Prime Enrollment, Disenrollment, and Primary Care Manager (PCM) Change </w:t>
      </w:r>
      <w:r>
        <w:rPr>
          <w:rFonts w:asciiTheme="majorHAnsi" w:hAnsiTheme="majorHAnsi"/>
          <w:sz w:val="24"/>
        </w:rPr>
        <w:t>via Beneficiary Web Enrollment</w:t>
      </w:r>
    </w:p>
    <w:p w14:paraId="09560E98" w14:textId="1F7E58B4" w:rsidR="00A90E7B" w:rsidRPr="00064270" w:rsidRDefault="00A90E7B" w:rsidP="00A90E7B">
      <w:pPr>
        <w:spacing w:after="0" w:line="240" w:lineRule="auto"/>
        <w:rPr>
          <w:rFonts w:asciiTheme="majorHAnsi" w:hAnsiTheme="majorHAnsi"/>
          <w:sz w:val="24"/>
        </w:rPr>
      </w:pPr>
      <w:r w:rsidRPr="00064270">
        <w:rPr>
          <w:rFonts w:asciiTheme="majorHAnsi" w:hAnsiTheme="majorHAnsi"/>
          <w:sz w:val="24"/>
        </w:rPr>
        <w:tab/>
        <w:t xml:space="preserve">a. Number of Respondents: </w:t>
      </w:r>
      <w:r w:rsidR="00707E7E">
        <w:rPr>
          <w:rFonts w:asciiTheme="majorHAnsi" w:hAnsiTheme="majorHAnsi"/>
          <w:sz w:val="24"/>
        </w:rPr>
        <w:t>113,125</w:t>
      </w:r>
    </w:p>
    <w:p w14:paraId="457AA35A" w14:textId="18988917" w:rsidR="00A90E7B" w:rsidRPr="00064270" w:rsidRDefault="00A90E7B" w:rsidP="00A90E7B">
      <w:pPr>
        <w:spacing w:after="0" w:line="240" w:lineRule="auto"/>
        <w:rPr>
          <w:rFonts w:asciiTheme="majorHAnsi" w:hAnsiTheme="majorHAnsi"/>
          <w:sz w:val="24"/>
        </w:rPr>
      </w:pPr>
      <w:r w:rsidRPr="00064270">
        <w:rPr>
          <w:rFonts w:asciiTheme="majorHAnsi" w:hAnsiTheme="majorHAnsi"/>
          <w:sz w:val="24"/>
        </w:rPr>
        <w:tab/>
        <w:t xml:space="preserve">b. Number of Responses Per Respondent: </w:t>
      </w:r>
      <w:r w:rsidR="003328F7">
        <w:rPr>
          <w:rFonts w:asciiTheme="majorHAnsi" w:hAnsiTheme="majorHAnsi"/>
          <w:sz w:val="24"/>
        </w:rPr>
        <w:t>2</w:t>
      </w:r>
    </w:p>
    <w:p w14:paraId="0CD98E23" w14:textId="1D8E1465" w:rsidR="00A90E7B" w:rsidRPr="00064270" w:rsidRDefault="00A90E7B" w:rsidP="00A90E7B">
      <w:pPr>
        <w:spacing w:after="0" w:line="240" w:lineRule="auto"/>
        <w:rPr>
          <w:rFonts w:asciiTheme="majorHAnsi" w:hAnsiTheme="majorHAnsi"/>
          <w:sz w:val="24"/>
        </w:rPr>
      </w:pPr>
      <w:r w:rsidRPr="00064270">
        <w:rPr>
          <w:rFonts w:asciiTheme="majorHAnsi" w:hAnsiTheme="majorHAnsi"/>
          <w:sz w:val="24"/>
        </w:rPr>
        <w:tab/>
        <w:t xml:space="preserve">c. Number of Total Annual Responses: </w:t>
      </w:r>
      <w:r w:rsidR="00707E7E">
        <w:rPr>
          <w:rFonts w:asciiTheme="majorHAnsi" w:hAnsiTheme="majorHAnsi"/>
          <w:sz w:val="24"/>
        </w:rPr>
        <w:t>226,250</w:t>
      </w:r>
    </w:p>
    <w:p w14:paraId="112E9169" w14:textId="1AE58EB1" w:rsidR="00A90E7B" w:rsidRPr="00064270" w:rsidRDefault="00EC657D" w:rsidP="00A90E7B">
      <w:pPr>
        <w:spacing w:after="0" w:line="240" w:lineRule="auto"/>
        <w:ind w:left="720"/>
        <w:rPr>
          <w:rFonts w:asciiTheme="majorHAnsi" w:hAnsiTheme="majorHAnsi"/>
          <w:sz w:val="24"/>
        </w:rPr>
      </w:pPr>
      <w:r>
        <w:rPr>
          <w:rFonts w:asciiTheme="majorHAnsi" w:hAnsiTheme="majorHAnsi"/>
          <w:sz w:val="24"/>
        </w:rPr>
        <w:t>d. Response Time</w:t>
      </w:r>
      <w:r w:rsidR="00A90E7B" w:rsidRPr="00064270">
        <w:rPr>
          <w:rFonts w:asciiTheme="majorHAnsi" w:hAnsiTheme="majorHAnsi"/>
          <w:sz w:val="24"/>
        </w:rPr>
        <w:t>: 15 minutes</w:t>
      </w:r>
    </w:p>
    <w:p w14:paraId="267C4217" w14:textId="295AA065" w:rsidR="00A90E7B" w:rsidRDefault="00EC657D" w:rsidP="00A90E7B">
      <w:pPr>
        <w:spacing w:after="0" w:line="240" w:lineRule="auto"/>
        <w:rPr>
          <w:rFonts w:asciiTheme="majorHAnsi" w:hAnsiTheme="majorHAnsi"/>
          <w:sz w:val="24"/>
        </w:rPr>
      </w:pPr>
      <w:r>
        <w:rPr>
          <w:rFonts w:asciiTheme="majorHAnsi" w:hAnsiTheme="majorHAnsi"/>
          <w:sz w:val="24"/>
        </w:rPr>
        <w:tab/>
        <w:t>e. Respondent Burden Hours</w:t>
      </w:r>
      <w:r w:rsidR="00A90E7B" w:rsidRPr="00064270">
        <w:rPr>
          <w:rFonts w:asciiTheme="majorHAnsi" w:hAnsiTheme="majorHAnsi"/>
          <w:sz w:val="24"/>
        </w:rPr>
        <w:t xml:space="preserve">: </w:t>
      </w:r>
      <w:r w:rsidR="00707E7E">
        <w:rPr>
          <w:rFonts w:asciiTheme="majorHAnsi" w:hAnsiTheme="majorHAnsi"/>
          <w:sz w:val="24"/>
        </w:rPr>
        <w:t>56,562.5</w:t>
      </w:r>
      <w:r w:rsidR="003328F7">
        <w:rPr>
          <w:rFonts w:asciiTheme="majorHAnsi" w:hAnsiTheme="majorHAnsi"/>
          <w:sz w:val="24"/>
        </w:rPr>
        <w:t xml:space="preserve"> hours</w:t>
      </w:r>
    </w:p>
    <w:p w14:paraId="2889B580" w14:textId="77777777" w:rsidR="00A90E7B" w:rsidRPr="00064270" w:rsidRDefault="00A90E7B" w:rsidP="00A90E7B">
      <w:pPr>
        <w:spacing w:after="0" w:line="240" w:lineRule="auto"/>
        <w:rPr>
          <w:rFonts w:asciiTheme="majorHAnsi" w:hAnsiTheme="majorHAnsi"/>
          <w:sz w:val="24"/>
        </w:rPr>
      </w:pPr>
    </w:p>
    <w:p w14:paraId="428EB869" w14:textId="56991FF6" w:rsidR="00A77157" w:rsidRPr="00064270" w:rsidRDefault="00A77157" w:rsidP="00D3120C">
      <w:pPr>
        <w:spacing w:after="0" w:line="240" w:lineRule="auto"/>
        <w:ind w:left="720" w:hanging="360"/>
        <w:rPr>
          <w:rFonts w:asciiTheme="majorHAnsi" w:hAnsiTheme="majorHAnsi"/>
          <w:sz w:val="24"/>
        </w:rPr>
      </w:pPr>
      <w:r w:rsidRPr="00064270">
        <w:rPr>
          <w:rFonts w:asciiTheme="majorHAnsi" w:hAnsiTheme="majorHAnsi"/>
          <w:sz w:val="24"/>
        </w:rPr>
        <w:t xml:space="preserve">2. </w:t>
      </w:r>
      <w:r w:rsidR="00105F45" w:rsidRPr="00D3120C">
        <w:rPr>
          <w:rFonts w:asciiTheme="majorHAnsi" w:hAnsiTheme="majorHAnsi"/>
          <w:sz w:val="24"/>
        </w:rPr>
        <w:t>Total Submission Burden</w:t>
      </w:r>
    </w:p>
    <w:p w14:paraId="78456B48" w14:textId="4234DA0F" w:rsidR="00A77157" w:rsidRPr="00064270" w:rsidRDefault="00EC657D" w:rsidP="00DE345E">
      <w:pPr>
        <w:spacing w:after="0" w:line="240" w:lineRule="auto"/>
        <w:ind w:left="720"/>
        <w:rPr>
          <w:rFonts w:asciiTheme="majorHAnsi" w:hAnsiTheme="majorHAnsi"/>
          <w:sz w:val="24"/>
        </w:rPr>
      </w:pPr>
      <w:r>
        <w:rPr>
          <w:rFonts w:asciiTheme="majorHAnsi" w:hAnsiTheme="majorHAnsi"/>
          <w:sz w:val="24"/>
        </w:rPr>
        <w:t>a. Total Number of Respondents</w:t>
      </w:r>
      <w:r w:rsidR="00A77157" w:rsidRPr="00064270">
        <w:rPr>
          <w:rFonts w:asciiTheme="majorHAnsi" w:hAnsiTheme="majorHAnsi"/>
          <w:sz w:val="24"/>
        </w:rPr>
        <w:t xml:space="preserve">: </w:t>
      </w:r>
      <w:r w:rsidR="00707E7E">
        <w:rPr>
          <w:rFonts w:asciiTheme="majorHAnsi" w:hAnsiTheme="majorHAnsi"/>
          <w:sz w:val="24"/>
        </w:rPr>
        <w:t>1,520,050</w:t>
      </w:r>
    </w:p>
    <w:p w14:paraId="1A31B2E1" w14:textId="351101B9" w:rsidR="00254DCF" w:rsidRPr="00064270" w:rsidRDefault="00254DCF" w:rsidP="00DE345E">
      <w:pPr>
        <w:spacing w:after="0" w:line="240" w:lineRule="auto"/>
        <w:ind w:left="720"/>
        <w:rPr>
          <w:rFonts w:asciiTheme="majorHAnsi" w:hAnsiTheme="majorHAnsi"/>
          <w:sz w:val="24"/>
        </w:rPr>
      </w:pPr>
      <w:r w:rsidRPr="00064270">
        <w:rPr>
          <w:rFonts w:asciiTheme="majorHAnsi" w:hAnsiTheme="majorHAnsi"/>
          <w:sz w:val="24"/>
        </w:rPr>
        <w:t>b. To</w:t>
      </w:r>
      <w:r w:rsidR="00EC657D">
        <w:rPr>
          <w:rFonts w:asciiTheme="majorHAnsi" w:hAnsiTheme="majorHAnsi"/>
          <w:sz w:val="24"/>
        </w:rPr>
        <w:t>tal Number of Annual Responses</w:t>
      </w:r>
      <w:r w:rsidR="005069A6" w:rsidRPr="00064270">
        <w:rPr>
          <w:rFonts w:asciiTheme="majorHAnsi" w:hAnsiTheme="majorHAnsi"/>
          <w:sz w:val="24"/>
        </w:rPr>
        <w:t xml:space="preserve">: </w:t>
      </w:r>
      <w:r w:rsidR="00707E7E">
        <w:rPr>
          <w:rFonts w:asciiTheme="majorHAnsi" w:hAnsiTheme="majorHAnsi"/>
          <w:sz w:val="24"/>
        </w:rPr>
        <w:t>3,040,100</w:t>
      </w:r>
    </w:p>
    <w:p w14:paraId="7FA80FD1" w14:textId="2943D8CD" w:rsidR="00A77157" w:rsidRDefault="00254DCF" w:rsidP="00337EF1">
      <w:pPr>
        <w:spacing w:after="0" w:line="240" w:lineRule="auto"/>
        <w:rPr>
          <w:rFonts w:asciiTheme="majorHAnsi" w:hAnsiTheme="majorHAnsi"/>
          <w:sz w:val="24"/>
        </w:rPr>
      </w:pPr>
      <w:r w:rsidRPr="00064270">
        <w:rPr>
          <w:rFonts w:asciiTheme="majorHAnsi" w:hAnsiTheme="majorHAnsi"/>
          <w:sz w:val="24"/>
        </w:rPr>
        <w:tab/>
        <w:t>c</w:t>
      </w:r>
      <w:r w:rsidR="00EC657D">
        <w:rPr>
          <w:rFonts w:asciiTheme="majorHAnsi" w:hAnsiTheme="majorHAnsi"/>
          <w:sz w:val="24"/>
        </w:rPr>
        <w:t>. Total Respondent Burden Hours</w:t>
      </w:r>
      <w:r w:rsidR="00520B36" w:rsidRPr="00064270">
        <w:rPr>
          <w:rFonts w:asciiTheme="majorHAnsi" w:hAnsiTheme="majorHAnsi"/>
          <w:sz w:val="24"/>
        </w:rPr>
        <w:t xml:space="preserve">: </w:t>
      </w:r>
      <w:r w:rsidR="00707E7E" w:rsidRPr="00707E7E">
        <w:rPr>
          <w:rFonts w:asciiTheme="majorHAnsi" w:hAnsiTheme="majorHAnsi"/>
          <w:sz w:val="24"/>
        </w:rPr>
        <w:t>760,025</w:t>
      </w:r>
      <w:r w:rsidR="00707E7E">
        <w:rPr>
          <w:rFonts w:asciiTheme="majorHAnsi" w:hAnsiTheme="majorHAnsi"/>
          <w:sz w:val="24"/>
        </w:rPr>
        <w:t xml:space="preserve"> </w:t>
      </w:r>
      <w:r w:rsidR="0004364F">
        <w:rPr>
          <w:rFonts w:asciiTheme="majorHAnsi" w:hAnsiTheme="majorHAnsi"/>
          <w:sz w:val="24"/>
        </w:rPr>
        <w:t>hours</w:t>
      </w:r>
    </w:p>
    <w:p w14:paraId="6D73B9F6" w14:textId="00EBFE12" w:rsidR="00DE345E" w:rsidRDefault="00DE345E" w:rsidP="00337EF1">
      <w:pPr>
        <w:spacing w:after="0" w:line="240" w:lineRule="auto"/>
        <w:rPr>
          <w:rFonts w:asciiTheme="majorHAnsi" w:hAnsiTheme="majorHAnsi"/>
          <w:sz w:val="24"/>
          <w:u w:val="single"/>
        </w:rPr>
      </w:pPr>
    </w:p>
    <w:p w14:paraId="787EB680" w14:textId="7A29266E" w:rsidR="00A90E7B" w:rsidRPr="00A90E7B" w:rsidRDefault="00A90E7B" w:rsidP="00337EF1">
      <w:pPr>
        <w:spacing w:after="0" w:line="240" w:lineRule="auto"/>
        <w:rPr>
          <w:rFonts w:asciiTheme="majorHAnsi" w:hAnsiTheme="majorHAnsi"/>
          <w:sz w:val="24"/>
        </w:rPr>
      </w:pPr>
      <w:r>
        <w:rPr>
          <w:rFonts w:asciiTheme="majorHAnsi" w:hAnsiTheme="majorHAnsi"/>
          <w:sz w:val="24"/>
        </w:rPr>
        <w:t xml:space="preserve">The forms </w:t>
      </w:r>
      <w:r w:rsidR="003328F7">
        <w:rPr>
          <w:rFonts w:asciiTheme="majorHAnsi" w:hAnsiTheme="majorHAnsi"/>
          <w:sz w:val="24"/>
        </w:rPr>
        <w:t>are</w:t>
      </w:r>
      <w:r>
        <w:rPr>
          <w:rFonts w:asciiTheme="majorHAnsi" w:hAnsiTheme="majorHAnsi"/>
          <w:sz w:val="24"/>
        </w:rPr>
        <w:t xml:space="preserve"> used for multiple purposes</w:t>
      </w:r>
      <w:r w:rsidR="003328F7">
        <w:rPr>
          <w:rFonts w:asciiTheme="majorHAnsi" w:hAnsiTheme="majorHAnsi"/>
          <w:sz w:val="24"/>
        </w:rPr>
        <w:t>;</w:t>
      </w:r>
      <w:r>
        <w:rPr>
          <w:rFonts w:asciiTheme="majorHAnsi" w:hAnsiTheme="majorHAnsi"/>
          <w:sz w:val="24"/>
        </w:rPr>
        <w:t xml:space="preserve"> we estimate that throughout one calendar year, </w:t>
      </w:r>
      <w:r w:rsidR="003328F7">
        <w:rPr>
          <w:rFonts w:asciiTheme="majorHAnsi" w:hAnsiTheme="majorHAnsi"/>
          <w:sz w:val="24"/>
        </w:rPr>
        <w:t>they will be used for enrollment or disenrollment, and a change of the respondent’s primary care manager.</w:t>
      </w:r>
    </w:p>
    <w:p w14:paraId="799915F3" w14:textId="77777777" w:rsidR="00A90E7B" w:rsidRDefault="00A90E7B" w:rsidP="00337EF1">
      <w:pPr>
        <w:spacing w:after="0" w:line="240" w:lineRule="auto"/>
        <w:rPr>
          <w:rFonts w:asciiTheme="majorHAnsi" w:hAnsiTheme="majorHAnsi"/>
          <w:sz w:val="24"/>
          <w:u w:val="single"/>
        </w:rPr>
      </w:pPr>
    </w:p>
    <w:p w14:paraId="0BB20815" w14:textId="77777777"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47ECCEE4" w14:textId="77777777" w:rsidR="00254DCF" w:rsidRDefault="00254DCF" w:rsidP="00337EF1">
      <w:pPr>
        <w:spacing w:after="0" w:line="240" w:lineRule="auto"/>
        <w:rPr>
          <w:rFonts w:asciiTheme="majorHAnsi" w:hAnsiTheme="majorHAnsi"/>
          <w:sz w:val="24"/>
        </w:rPr>
      </w:pPr>
      <w:r>
        <w:rPr>
          <w:rFonts w:asciiTheme="majorHAnsi" w:hAnsiTheme="majorHAnsi"/>
          <w:sz w:val="24"/>
        </w:rPr>
        <w:tab/>
      </w:r>
    </w:p>
    <w:p w14:paraId="62C9E2AF" w14:textId="77777777" w:rsidR="00254DCF" w:rsidRPr="00D3120C" w:rsidRDefault="006F2DF8" w:rsidP="005B1F95">
      <w:pPr>
        <w:spacing w:after="0" w:line="240" w:lineRule="auto"/>
        <w:ind w:left="720" w:hanging="720"/>
        <w:rPr>
          <w:rFonts w:asciiTheme="majorHAnsi" w:hAnsiTheme="majorHAnsi"/>
          <w:sz w:val="24"/>
        </w:rPr>
      </w:pPr>
      <w:r w:rsidRPr="005B1F95">
        <w:rPr>
          <w:rFonts w:asciiTheme="majorHAnsi" w:hAnsiTheme="majorHAnsi"/>
          <w:sz w:val="24"/>
        </w:rPr>
        <w:t>1</w:t>
      </w:r>
      <w:r w:rsidRPr="00D3120C">
        <w:rPr>
          <w:rFonts w:asciiTheme="majorHAnsi" w:hAnsiTheme="majorHAnsi"/>
          <w:sz w:val="24"/>
        </w:rPr>
        <w:t xml:space="preserve">. </w:t>
      </w:r>
      <w:r w:rsidR="005069A6" w:rsidRPr="00D3120C">
        <w:rPr>
          <w:rFonts w:asciiTheme="majorHAnsi" w:hAnsiTheme="majorHAnsi"/>
          <w:sz w:val="24"/>
        </w:rPr>
        <w:t>TRICARE Prime Enrollment, Disenrollment, and Primary Care Manager (PCM) Change Form</w:t>
      </w:r>
      <w:r w:rsidR="00E97E1C" w:rsidRPr="00D3120C">
        <w:rPr>
          <w:rFonts w:asciiTheme="majorHAnsi" w:hAnsiTheme="majorHAnsi"/>
          <w:sz w:val="24"/>
        </w:rPr>
        <w:t xml:space="preserve"> DD 2876-3</w:t>
      </w:r>
    </w:p>
    <w:p w14:paraId="760A35F4" w14:textId="6EBE8216" w:rsidR="006F2DF8" w:rsidRPr="00D3120C" w:rsidRDefault="006F2DF8" w:rsidP="006F2DF8">
      <w:pPr>
        <w:spacing w:after="0" w:line="240" w:lineRule="auto"/>
        <w:rPr>
          <w:rFonts w:asciiTheme="majorHAnsi" w:hAnsiTheme="majorHAnsi"/>
          <w:sz w:val="24"/>
        </w:rPr>
      </w:pPr>
      <w:r w:rsidRPr="00D3120C">
        <w:rPr>
          <w:rFonts w:asciiTheme="majorHAnsi" w:hAnsiTheme="majorHAnsi"/>
          <w:sz w:val="24"/>
        </w:rPr>
        <w:tab/>
        <w:t>a. Num</w:t>
      </w:r>
      <w:r w:rsidR="00520B36" w:rsidRPr="00D3120C">
        <w:rPr>
          <w:rFonts w:asciiTheme="majorHAnsi" w:hAnsiTheme="majorHAnsi"/>
          <w:sz w:val="24"/>
        </w:rPr>
        <w:t xml:space="preserve">ber of Total Annual Responses: </w:t>
      </w:r>
      <w:r w:rsidR="00707E7E">
        <w:rPr>
          <w:rFonts w:asciiTheme="majorHAnsi" w:hAnsiTheme="majorHAnsi"/>
          <w:sz w:val="24"/>
        </w:rPr>
        <w:t>291,548</w:t>
      </w:r>
    </w:p>
    <w:p w14:paraId="00C4BE71" w14:textId="5F7534AE" w:rsidR="00B738CC" w:rsidRPr="00D3120C" w:rsidRDefault="005B1F95" w:rsidP="00B738CC">
      <w:pPr>
        <w:spacing w:after="0" w:line="240" w:lineRule="auto"/>
        <w:ind w:left="720"/>
        <w:rPr>
          <w:rFonts w:asciiTheme="majorHAnsi" w:hAnsiTheme="majorHAnsi"/>
          <w:sz w:val="24"/>
        </w:rPr>
      </w:pPr>
      <w:r w:rsidRPr="00D3120C">
        <w:rPr>
          <w:rFonts w:asciiTheme="majorHAnsi" w:hAnsiTheme="majorHAnsi"/>
          <w:sz w:val="24"/>
        </w:rPr>
        <w:t>b. Response Time</w:t>
      </w:r>
      <w:r w:rsidR="00520B36" w:rsidRPr="00D3120C">
        <w:rPr>
          <w:rFonts w:asciiTheme="majorHAnsi" w:hAnsiTheme="majorHAnsi"/>
          <w:sz w:val="24"/>
        </w:rPr>
        <w:t>:</w:t>
      </w:r>
      <w:r w:rsidR="00BA4337">
        <w:rPr>
          <w:rFonts w:asciiTheme="majorHAnsi" w:hAnsiTheme="majorHAnsi"/>
          <w:sz w:val="24"/>
        </w:rPr>
        <w:t xml:space="preserve"> </w:t>
      </w:r>
      <w:r w:rsidR="00B738CC" w:rsidRPr="00D3120C">
        <w:rPr>
          <w:rFonts w:asciiTheme="majorHAnsi" w:hAnsiTheme="majorHAnsi"/>
          <w:sz w:val="24"/>
        </w:rPr>
        <w:t>15 minutes</w:t>
      </w:r>
    </w:p>
    <w:p w14:paraId="16CA9EA4" w14:textId="77777777" w:rsidR="006F2DF8" w:rsidRPr="00D3120C" w:rsidRDefault="00520B36" w:rsidP="006F2DF8">
      <w:pPr>
        <w:spacing w:after="0" w:line="240" w:lineRule="auto"/>
        <w:rPr>
          <w:rFonts w:asciiTheme="majorHAnsi" w:hAnsiTheme="majorHAnsi"/>
          <w:sz w:val="24"/>
        </w:rPr>
      </w:pPr>
      <w:r w:rsidRPr="00D3120C">
        <w:rPr>
          <w:rFonts w:asciiTheme="majorHAnsi" w:hAnsiTheme="majorHAnsi"/>
          <w:sz w:val="24"/>
        </w:rPr>
        <w:t xml:space="preserve"> </w:t>
      </w:r>
      <w:r w:rsidR="006F2DF8" w:rsidRPr="00D3120C">
        <w:rPr>
          <w:rFonts w:asciiTheme="majorHAnsi" w:hAnsiTheme="majorHAnsi"/>
          <w:sz w:val="24"/>
        </w:rPr>
        <w:tab/>
        <w:t>c. Respondent Hourly Wage: $</w:t>
      </w:r>
      <w:r w:rsidR="00B738CC" w:rsidRPr="00D3120C">
        <w:rPr>
          <w:rFonts w:asciiTheme="majorHAnsi" w:hAnsiTheme="majorHAnsi"/>
          <w:sz w:val="24"/>
        </w:rPr>
        <w:t xml:space="preserve"> 7.25</w:t>
      </w:r>
    </w:p>
    <w:p w14:paraId="7634A5C9" w14:textId="12AAFC24" w:rsidR="006F2DF8" w:rsidRPr="00D3120C" w:rsidRDefault="00EC657D" w:rsidP="006F2DF8">
      <w:pPr>
        <w:spacing w:after="0" w:line="240" w:lineRule="auto"/>
        <w:rPr>
          <w:rFonts w:asciiTheme="majorHAnsi" w:hAnsiTheme="majorHAnsi"/>
          <w:sz w:val="24"/>
        </w:rPr>
      </w:pPr>
      <w:r>
        <w:rPr>
          <w:rFonts w:asciiTheme="majorHAnsi" w:hAnsiTheme="majorHAnsi"/>
          <w:sz w:val="24"/>
        </w:rPr>
        <w:tab/>
        <w:t>d. Labor Burden per Response</w:t>
      </w:r>
      <w:r w:rsidR="006F2DF8" w:rsidRPr="00D3120C">
        <w:rPr>
          <w:rFonts w:asciiTheme="majorHAnsi" w:hAnsiTheme="majorHAnsi"/>
          <w:sz w:val="24"/>
        </w:rPr>
        <w:t>: $</w:t>
      </w:r>
      <w:r w:rsidR="00B738CC" w:rsidRPr="00D3120C">
        <w:rPr>
          <w:rFonts w:asciiTheme="majorHAnsi" w:hAnsiTheme="majorHAnsi"/>
          <w:sz w:val="24"/>
        </w:rPr>
        <w:t xml:space="preserve"> 1.81</w:t>
      </w:r>
    </w:p>
    <w:p w14:paraId="3542A75C" w14:textId="3CC3C24F" w:rsidR="00707E7E" w:rsidRPr="00707E7E" w:rsidRDefault="00EC657D" w:rsidP="00707E7E">
      <w:pPr>
        <w:spacing w:after="0" w:line="240" w:lineRule="auto"/>
        <w:rPr>
          <w:rFonts w:asciiTheme="majorHAnsi" w:hAnsiTheme="majorHAnsi"/>
          <w:sz w:val="24"/>
        </w:rPr>
      </w:pPr>
      <w:r>
        <w:rPr>
          <w:rFonts w:asciiTheme="majorHAnsi" w:hAnsiTheme="majorHAnsi"/>
          <w:sz w:val="24"/>
        </w:rPr>
        <w:tab/>
        <w:t>e. Total Labor Burden:</w:t>
      </w:r>
      <w:r w:rsidR="00520B36" w:rsidRPr="00D3120C">
        <w:rPr>
          <w:rFonts w:asciiTheme="majorHAnsi" w:hAnsiTheme="majorHAnsi"/>
          <w:sz w:val="24"/>
        </w:rPr>
        <w:t xml:space="preserve"> </w:t>
      </w:r>
      <w:r w:rsidR="00707E7E" w:rsidRPr="00707E7E">
        <w:rPr>
          <w:rFonts w:asciiTheme="majorHAnsi" w:hAnsiTheme="majorHAnsi"/>
          <w:sz w:val="24"/>
        </w:rPr>
        <w:t>$528,430.75</w:t>
      </w:r>
    </w:p>
    <w:p w14:paraId="2570DFBC" w14:textId="12263485" w:rsidR="00520B36" w:rsidRDefault="00520B36" w:rsidP="006F2DF8">
      <w:pPr>
        <w:spacing w:after="0" w:line="240" w:lineRule="auto"/>
        <w:rPr>
          <w:rFonts w:asciiTheme="majorHAnsi" w:hAnsiTheme="majorHAnsi"/>
          <w:sz w:val="24"/>
        </w:rPr>
      </w:pPr>
    </w:p>
    <w:p w14:paraId="0E23705C" w14:textId="404D633C" w:rsidR="00173820" w:rsidRPr="00D3120C" w:rsidRDefault="00173820" w:rsidP="00173820">
      <w:pPr>
        <w:spacing w:after="0" w:line="240" w:lineRule="auto"/>
        <w:ind w:left="720" w:hanging="720"/>
        <w:rPr>
          <w:rFonts w:asciiTheme="majorHAnsi" w:hAnsiTheme="majorHAnsi"/>
          <w:sz w:val="24"/>
        </w:rPr>
      </w:pPr>
      <w:r w:rsidRPr="00D3120C">
        <w:rPr>
          <w:rFonts w:asciiTheme="majorHAnsi" w:hAnsiTheme="majorHAnsi"/>
          <w:sz w:val="24"/>
        </w:rPr>
        <w:t xml:space="preserve">TRICARE Prime Enrollment, Disenrollment, and Primary Care Manager (PCM) Change </w:t>
      </w:r>
      <w:r>
        <w:rPr>
          <w:rFonts w:asciiTheme="majorHAnsi" w:hAnsiTheme="majorHAnsi"/>
          <w:sz w:val="24"/>
        </w:rPr>
        <w:t>via telephone</w:t>
      </w:r>
    </w:p>
    <w:p w14:paraId="009A43E8" w14:textId="178E9A90" w:rsidR="00173820" w:rsidRPr="00D3120C" w:rsidRDefault="00173820" w:rsidP="00173820">
      <w:pPr>
        <w:spacing w:after="0" w:line="240" w:lineRule="auto"/>
        <w:rPr>
          <w:rFonts w:asciiTheme="majorHAnsi" w:hAnsiTheme="majorHAnsi"/>
          <w:sz w:val="24"/>
        </w:rPr>
      </w:pPr>
      <w:r w:rsidRPr="00D3120C">
        <w:rPr>
          <w:rFonts w:asciiTheme="majorHAnsi" w:hAnsiTheme="majorHAnsi"/>
          <w:sz w:val="24"/>
        </w:rPr>
        <w:tab/>
        <w:t xml:space="preserve">a. Number of Total Annual Responses: </w:t>
      </w:r>
      <w:r w:rsidR="00707E7E">
        <w:rPr>
          <w:rFonts w:asciiTheme="majorHAnsi" w:hAnsiTheme="majorHAnsi"/>
          <w:sz w:val="24"/>
        </w:rPr>
        <w:t>2,522,302</w:t>
      </w:r>
    </w:p>
    <w:p w14:paraId="392BBD86" w14:textId="2E72CE6E" w:rsidR="00173820" w:rsidRPr="00D3120C" w:rsidRDefault="00173820" w:rsidP="00173820">
      <w:pPr>
        <w:spacing w:after="0" w:line="240" w:lineRule="auto"/>
        <w:ind w:left="720"/>
        <w:rPr>
          <w:rFonts w:asciiTheme="majorHAnsi" w:hAnsiTheme="majorHAnsi"/>
          <w:sz w:val="24"/>
        </w:rPr>
      </w:pPr>
      <w:r w:rsidRPr="00D3120C">
        <w:rPr>
          <w:rFonts w:asciiTheme="majorHAnsi" w:hAnsiTheme="majorHAnsi"/>
          <w:sz w:val="24"/>
        </w:rPr>
        <w:t>b. Response Time:</w:t>
      </w:r>
      <w:r w:rsidR="00BA4337">
        <w:rPr>
          <w:rFonts w:asciiTheme="majorHAnsi" w:hAnsiTheme="majorHAnsi"/>
          <w:sz w:val="24"/>
        </w:rPr>
        <w:t xml:space="preserve"> </w:t>
      </w:r>
      <w:r w:rsidRPr="00D3120C">
        <w:rPr>
          <w:rFonts w:asciiTheme="majorHAnsi" w:hAnsiTheme="majorHAnsi"/>
          <w:sz w:val="24"/>
        </w:rPr>
        <w:t>15 minutes</w:t>
      </w:r>
    </w:p>
    <w:p w14:paraId="5E1297E5" w14:textId="77777777" w:rsidR="00173820" w:rsidRPr="00D3120C" w:rsidRDefault="00173820" w:rsidP="00173820">
      <w:pPr>
        <w:spacing w:after="0" w:line="240" w:lineRule="auto"/>
        <w:rPr>
          <w:rFonts w:asciiTheme="majorHAnsi" w:hAnsiTheme="majorHAnsi"/>
          <w:sz w:val="24"/>
        </w:rPr>
      </w:pPr>
      <w:r w:rsidRPr="00D3120C">
        <w:rPr>
          <w:rFonts w:asciiTheme="majorHAnsi" w:hAnsiTheme="majorHAnsi"/>
          <w:sz w:val="24"/>
        </w:rPr>
        <w:t xml:space="preserve"> </w:t>
      </w:r>
      <w:r w:rsidRPr="00D3120C">
        <w:rPr>
          <w:rFonts w:asciiTheme="majorHAnsi" w:hAnsiTheme="majorHAnsi"/>
          <w:sz w:val="24"/>
        </w:rPr>
        <w:tab/>
        <w:t>c. Respondent Hourly Wage: $ 7.25</w:t>
      </w:r>
    </w:p>
    <w:p w14:paraId="0A5A05CF" w14:textId="4F281A33" w:rsidR="00173820" w:rsidRPr="00D3120C" w:rsidRDefault="00EC657D" w:rsidP="00173820">
      <w:pPr>
        <w:spacing w:after="0" w:line="240" w:lineRule="auto"/>
        <w:rPr>
          <w:rFonts w:asciiTheme="majorHAnsi" w:hAnsiTheme="majorHAnsi"/>
          <w:sz w:val="24"/>
        </w:rPr>
      </w:pPr>
      <w:r>
        <w:rPr>
          <w:rFonts w:asciiTheme="majorHAnsi" w:hAnsiTheme="majorHAnsi"/>
          <w:sz w:val="24"/>
        </w:rPr>
        <w:tab/>
        <w:t>d. Labor Burden per Response</w:t>
      </w:r>
      <w:r w:rsidR="00173820" w:rsidRPr="00D3120C">
        <w:rPr>
          <w:rFonts w:asciiTheme="majorHAnsi" w:hAnsiTheme="majorHAnsi"/>
          <w:sz w:val="24"/>
        </w:rPr>
        <w:t>: $ 1.81</w:t>
      </w:r>
    </w:p>
    <w:p w14:paraId="561847AB" w14:textId="07C81E86" w:rsidR="00707E7E" w:rsidRPr="00707E7E" w:rsidRDefault="00EC657D" w:rsidP="00707E7E">
      <w:pPr>
        <w:spacing w:after="0" w:line="240" w:lineRule="auto"/>
        <w:rPr>
          <w:rFonts w:asciiTheme="majorHAnsi" w:hAnsiTheme="majorHAnsi"/>
          <w:sz w:val="24"/>
        </w:rPr>
      </w:pPr>
      <w:r>
        <w:rPr>
          <w:rFonts w:asciiTheme="majorHAnsi" w:hAnsiTheme="majorHAnsi"/>
          <w:sz w:val="24"/>
        </w:rPr>
        <w:tab/>
        <w:t>e. Total Labor Burden</w:t>
      </w:r>
      <w:r w:rsidR="00853063">
        <w:rPr>
          <w:rFonts w:asciiTheme="majorHAnsi" w:hAnsiTheme="majorHAnsi"/>
          <w:sz w:val="24"/>
        </w:rPr>
        <w:t xml:space="preserve">: </w:t>
      </w:r>
      <w:r w:rsidR="00707E7E" w:rsidRPr="00707E7E">
        <w:rPr>
          <w:rFonts w:asciiTheme="majorHAnsi" w:hAnsiTheme="majorHAnsi"/>
          <w:sz w:val="24"/>
        </w:rPr>
        <w:t>$4,571,672.38</w:t>
      </w:r>
    </w:p>
    <w:p w14:paraId="5EB984AB" w14:textId="4A1BF37C" w:rsidR="00173820" w:rsidRDefault="00173820" w:rsidP="006F2DF8">
      <w:pPr>
        <w:spacing w:after="0" w:line="240" w:lineRule="auto"/>
        <w:rPr>
          <w:rFonts w:asciiTheme="majorHAnsi" w:hAnsiTheme="majorHAnsi"/>
          <w:sz w:val="24"/>
        </w:rPr>
      </w:pPr>
    </w:p>
    <w:p w14:paraId="3D5DED1F" w14:textId="0756E3A3" w:rsidR="00173820" w:rsidRPr="00D3120C" w:rsidRDefault="00173820" w:rsidP="00173820">
      <w:pPr>
        <w:spacing w:after="0" w:line="240" w:lineRule="auto"/>
        <w:ind w:left="720" w:hanging="720"/>
        <w:rPr>
          <w:rFonts w:asciiTheme="majorHAnsi" w:hAnsiTheme="majorHAnsi"/>
          <w:sz w:val="24"/>
        </w:rPr>
      </w:pPr>
      <w:r w:rsidRPr="00D3120C">
        <w:rPr>
          <w:rFonts w:asciiTheme="majorHAnsi" w:hAnsiTheme="majorHAnsi"/>
          <w:sz w:val="24"/>
        </w:rPr>
        <w:t xml:space="preserve">TRICARE Prime Enrollment, Disenrollment, and Primary Care Manager (PCM) Change </w:t>
      </w:r>
      <w:r>
        <w:rPr>
          <w:rFonts w:asciiTheme="majorHAnsi" w:hAnsiTheme="majorHAnsi"/>
          <w:sz w:val="24"/>
        </w:rPr>
        <w:t>via Beneficiary Web Enrollment</w:t>
      </w:r>
    </w:p>
    <w:p w14:paraId="575EA1B1" w14:textId="0B5C4EA5" w:rsidR="00173820" w:rsidRPr="00D3120C" w:rsidRDefault="00173820" w:rsidP="00173820">
      <w:pPr>
        <w:spacing w:after="0" w:line="240" w:lineRule="auto"/>
        <w:rPr>
          <w:rFonts w:asciiTheme="majorHAnsi" w:hAnsiTheme="majorHAnsi"/>
          <w:sz w:val="24"/>
        </w:rPr>
      </w:pPr>
      <w:r w:rsidRPr="00D3120C">
        <w:rPr>
          <w:rFonts w:asciiTheme="majorHAnsi" w:hAnsiTheme="majorHAnsi"/>
          <w:sz w:val="24"/>
        </w:rPr>
        <w:tab/>
        <w:t xml:space="preserve">a. Number of Total Annual Responses: </w:t>
      </w:r>
      <w:r w:rsidR="00707E7E">
        <w:rPr>
          <w:rFonts w:asciiTheme="majorHAnsi" w:hAnsiTheme="majorHAnsi"/>
          <w:sz w:val="24"/>
        </w:rPr>
        <w:t>226,250</w:t>
      </w:r>
    </w:p>
    <w:p w14:paraId="646DDE90" w14:textId="44612FD7" w:rsidR="00173820" w:rsidRPr="00D3120C" w:rsidRDefault="00173820" w:rsidP="00173820">
      <w:pPr>
        <w:spacing w:after="0" w:line="240" w:lineRule="auto"/>
        <w:ind w:left="720"/>
        <w:rPr>
          <w:rFonts w:asciiTheme="majorHAnsi" w:hAnsiTheme="majorHAnsi"/>
          <w:sz w:val="24"/>
        </w:rPr>
      </w:pPr>
      <w:r w:rsidRPr="00D3120C">
        <w:rPr>
          <w:rFonts w:asciiTheme="majorHAnsi" w:hAnsiTheme="majorHAnsi"/>
          <w:sz w:val="24"/>
        </w:rPr>
        <w:t>b. Response Time:</w:t>
      </w:r>
      <w:r w:rsidR="00BA4337">
        <w:rPr>
          <w:rFonts w:asciiTheme="majorHAnsi" w:hAnsiTheme="majorHAnsi"/>
          <w:sz w:val="24"/>
        </w:rPr>
        <w:t xml:space="preserve"> </w:t>
      </w:r>
      <w:r w:rsidRPr="00D3120C">
        <w:rPr>
          <w:rFonts w:asciiTheme="majorHAnsi" w:hAnsiTheme="majorHAnsi"/>
          <w:sz w:val="24"/>
        </w:rPr>
        <w:t>15 minutes</w:t>
      </w:r>
    </w:p>
    <w:p w14:paraId="66001D4A" w14:textId="77777777" w:rsidR="00173820" w:rsidRPr="00D3120C" w:rsidRDefault="00173820" w:rsidP="00173820">
      <w:pPr>
        <w:spacing w:after="0" w:line="240" w:lineRule="auto"/>
        <w:rPr>
          <w:rFonts w:asciiTheme="majorHAnsi" w:hAnsiTheme="majorHAnsi"/>
          <w:sz w:val="24"/>
        </w:rPr>
      </w:pPr>
      <w:r w:rsidRPr="00D3120C">
        <w:rPr>
          <w:rFonts w:asciiTheme="majorHAnsi" w:hAnsiTheme="majorHAnsi"/>
          <w:sz w:val="24"/>
        </w:rPr>
        <w:t xml:space="preserve"> </w:t>
      </w:r>
      <w:r w:rsidRPr="00D3120C">
        <w:rPr>
          <w:rFonts w:asciiTheme="majorHAnsi" w:hAnsiTheme="majorHAnsi"/>
          <w:sz w:val="24"/>
        </w:rPr>
        <w:tab/>
        <w:t>c. Respondent Hourly Wage: $ 7.25</w:t>
      </w:r>
    </w:p>
    <w:p w14:paraId="2D709E10" w14:textId="5E1AA103" w:rsidR="00173820" w:rsidRPr="00D3120C" w:rsidRDefault="00EC657D" w:rsidP="00173820">
      <w:pPr>
        <w:spacing w:after="0" w:line="240" w:lineRule="auto"/>
        <w:rPr>
          <w:rFonts w:asciiTheme="majorHAnsi" w:hAnsiTheme="majorHAnsi"/>
          <w:sz w:val="24"/>
        </w:rPr>
      </w:pPr>
      <w:r>
        <w:rPr>
          <w:rFonts w:asciiTheme="majorHAnsi" w:hAnsiTheme="majorHAnsi"/>
          <w:sz w:val="24"/>
        </w:rPr>
        <w:tab/>
        <w:t>d. Labor Burden per Response</w:t>
      </w:r>
      <w:r w:rsidR="00173820" w:rsidRPr="00D3120C">
        <w:rPr>
          <w:rFonts w:asciiTheme="majorHAnsi" w:hAnsiTheme="majorHAnsi"/>
          <w:sz w:val="24"/>
        </w:rPr>
        <w:t>: $ 1.81</w:t>
      </w:r>
    </w:p>
    <w:p w14:paraId="546CA128" w14:textId="775D889D" w:rsidR="00173820" w:rsidRPr="00D3120C" w:rsidRDefault="00EC657D" w:rsidP="00173820">
      <w:pPr>
        <w:spacing w:after="0" w:line="240" w:lineRule="auto"/>
        <w:rPr>
          <w:rFonts w:asciiTheme="majorHAnsi" w:hAnsiTheme="majorHAnsi"/>
          <w:sz w:val="24"/>
        </w:rPr>
      </w:pPr>
      <w:r>
        <w:rPr>
          <w:rFonts w:asciiTheme="majorHAnsi" w:hAnsiTheme="majorHAnsi"/>
          <w:sz w:val="24"/>
        </w:rPr>
        <w:tab/>
        <w:t>e. Total Labor Burden</w:t>
      </w:r>
      <w:r w:rsidR="00173820" w:rsidRPr="00D3120C">
        <w:rPr>
          <w:rFonts w:asciiTheme="majorHAnsi" w:hAnsiTheme="majorHAnsi"/>
          <w:sz w:val="24"/>
        </w:rPr>
        <w:t>: $</w:t>
      </w:r>
      <w:r w:rsidR="00707E7E">
        <w:rPr>
          <w:rFonts w:asciiTheme="majorHAnsi" w:hAnsiTheme="majorHAnsi"/>
          <w:sz w:val="24"/>
        </w:rPr>
        <w:t>410,078.13</w:t>
      </w:r>
    </w:p>
    <w:p w14:paraId="2D58A926" w14:textId="77777777" w:rsidR="00173820" w:rsidRPr="00D3120C" w:rsidRDefault="00173820" w:rsidP="006F2DF8">
      <w:pPr>
        <w:spacing w:after="0" w:line="240" w:lineRule="auto"/>
        <w:rPr>
          <w:rFonts w:asciiTheme="majorHAnsi" w:hAnsiTheme="majorHAnsi"/>
          <w:sz w:val="24"/>
        </w:rPr>
      </w:pPr>
    </w:p>
    <w:p w14:paraId="7643F73A" w14:textId="77777777" w:rsidR="00520B36" w:rsidRPr="00D3120C" w:rsidRDefault="00520B36" w:rsidP="005B1F95">
      <w:pPr>
        <w:spacing w:after="0" w:line="240" w:lineRule="auto"/>
        <w:rPr>
          <w:rFonts w:asciiTheme="majorHAnsi" w:hAnsiTheme="majorHAnsi"/>
          <w:sz w:val="24"/>
        </w:rPr>
      </w:pPr>
      <w:r w:rsidRPr="00D3120C">
        <w:rPr>
          <w:rFonts w:asciiTheme="majorHAnsi" w:hAnsiTheme="majorHAnsi"/>
          <w:sz w:val="24"/>
        </w:rPr>
        <w:t>2. Overall Labor Burden</w:t>
      </w:r>
    </w:p>
    <w:p w14:paraId="2870544C" w14:textId="1E378BC6" w:rsidR="00520B36" w:rsidRPr="005B1F95" w:rsidRDefault="00520B36" w:rsidP="006F2DF8">
      <w:pPr>
        <w:spacing w:after="0" w:line="240" w:lineRule="auto"/>
        <w:rPr>
          <w:rFonts w:asciiTheme="majorHAnsi" w:hAnsiTheme="majorHAnsi"/>
          <w:sz w:val="24"/>
        </w:rPr>
      </w:pPr>
      <w:r w:rsidRPr="00D3120C">
        <w:rPr>
          <w:rFonts w:asciiTheme="majorHAnsi" w:hAnsiTheme="majorHAnsi"/>
          <w:sz w:val="24"/>
        </w:rPr>
        <w:tab/>
        <w:t>a. Total Number of Annual</w:t>
      </w:r>
      <w:r w:rsidRPr="005B1F95">
        <w:rPr>
          <w:rFonts w:asciiTheme="majorHAnsi" w:hAnsiTheme="majorHAnsi"/>
          <w:sz w:val="24"/>
        </w:rPr>
        <w:t xml:space="preserve"> Responses</w:t>
      </w:r>
      <w:r w:rsidR="005069A6" w:rsidRPr="005B1F95">
        <w:rPr>
          <w:rFonts w:asciiTheme="majorHAnsi" w:hAnsiTheme="majorHAnsi"/>
          <w:sz w:val="24"/>
        </w:rPr>
        <w:t>:</w:t>
      </w:r>
      <w:r w:rsidR="008316A4" w:rsidRPr="005B1F95">
        <w:rPr>
          <w:rFonts w:asciiTheme="majorHAnsi" w:hAnsiTheme="majorHAnsi"/>
          <w:sz w:val="24"/>
        </w:rPr>
        <w:t xml:space="preserve"> </w:t>
      </w:r>
      <w:r w:rsidR="00707E7E">
        <w:rPr>
          <w:rFonts w:asciiTheme="majorHAnsi" w:hAnsiTheme="majorHAnsi"/>
          <w:sz w:val="24"/>
        </w:rPr>
        <w:t>3,040,100</w:t>
      </w:r>
    </w:p>
    <w:p w14:paraId="785EB48F" w14:textId="186E6C69" w:rsidR="00520B36" w:rsidRDefault="00520B36" w:rsidP="006F2DF8">
      <w:pPr>
        <w:spacing w:after="0" w:line="240" w:lineRule="auto"/>
        <w:rPr>
          <w:rFonts w:asciiTheme="majorHAnsi" w:hAnsiTheme="majorHAnsi"/>
          <w:sz w:val="24"/>
        </w:rPr>
      </w:pPr>
      <w:r w:rsidRPr="005B1F95">
        <w:rPr>
          <w:rFonts w:asciiTheme="majorHAnsi" w:hAnsiTheme="majorHAnsi"/>
          <w:sz w:val="24"/>
        </w:rPr>
        <w:tab/>
        <w:t xml:space="preserve">b. </w:t>
      </w:r>
      <w:r w:rsidR="00EC657D">
        <w:rPr>
          <w:rFonts w:asciiTheme="majorHAnsi" w:hAnsiTheme="majorHAnsi"/>
          <w:sz w:val="24"/>
        </w:rPr>
        <w:t>Total Labor Burden</w:t>
      </w:r>
      <w:r w:rsidR="0019309D" w:rsidRPr="005B1F95">
        <w:rPr>
          <w:rFonts w:asciiTheme="majorHAnsi" w:hAnsiTheme="majorHAnsi"/>
          <w:sz w:val="24"/>
        </w:rPr>
        <w:t xml:space="preserve">: </w:t>
      </w:r>
      <w:r w:rsidR="00707E7E">
        <w:rPr>
          <w:rFonts w:asciiTheme="majorHAnsi" w:hAnsiTheme="majorHAnsi"/>
          <w:sz w:val="24"/>
        </w:rPr>
        <w:t>$5,510.181</w:t>
      </w:r>
    </w:p>
    <w:p w14:paraId="6441C0B1" w14:textId="77777777" w:rsidR="00520B36" w:rsidRPr="00337EF1" w:rsidRDefault="00520B36" w:rsidP="006F2DF8">
      <w:pPr>
        <w:spacing w:after="0" w:line="240" w:lineRule="auto"/>
        <w:rPr>
          <w:rFonts w:asciiTheme="majorHAnsi" w:hAnsiTheme="majorHAnsi"/>
          <w:sz w:val="24"/>
        </w:rPr>
      </w:pPr>
    </w:p>
    <w:p w14:paraId="498A321F" w14:textId="632B7C55" w:rsidR="00520B36" w:rsidRPr="0019309D" w:rsidRDefault="0019309D" w:rsidP="0019309D">
      <w:pPr>
        <w:spacing w:after="0" w:line="240" w:lineRule="auto"/>
        <w:rPr>
          <w:rFonts w:asciiTheme="majorHAnsi" w:hAnsiTheme="majorHAnsi"/>
          <w:sz w:val="24"/>
        </w:rPr>
      </w:pPr>
      <w:r w:rsidRPr="00E97E1C">
        <w:rPr>
          <w:rFonts w:asciiTheme="majorHAnsi" w:hAnsiTheme="majorHAnsi"/>
          <w:sz w:val="24"/>
        </w:rPr>
        <w:t xml:space="preserve">The Respondent hourly wage was determined by using the Department of Labor Wage Website </w:t>
      </w:r>
      <w:hyperlink r:id="rId14" w:history="1">
        <w:r w:rsidR="00CE0F51" w:rsidRPr="00CE0F51">
          <w:rPr>
            <w:rStyle w:val="Hyperlink"/>
            <w:rFonts w:asciiTheme="majorHAnsi" w:hAnsiTheme="majorHAnsi"/>
            <w:sz w:val="24"/>
          </w:rPr>
          <w:t>https://www.dol.gov/general/topic/wages</w:t>
        </w:r>
      </w:hyperlink>
      <w:r w:rsidR="00CE0F51">
        <w:rPr>
          <w:rFonts w:asciiTheme="majorHAnsi" w:hAnsiTheme="majorHAnsi"/>
          <w:sz w:val="24"/>
        </w:rPr>
        <w:t xml:space="preserve"> for 2019’s minimum wage.</w:t>
      </w:r>
    </w:p>
    <w:p w14:paraId="55B1B7B6" w14:textId="77777777" w:rsidR="006F2DF8" w:rsidRDefault="006F2DF8" w:rsidP="00337EF1">
      <w:pPr>
        <w:spacing w:after="0" w:line="240" w:lineRule="auto"/>
        <w:rPr>
          <w:rFonts w:asciiTheme="majorHAnsi" w:hAnsiTheme="majorHAnsi"/>
          <w:sz w:val="24"/>
        </w:rPr>
      </w:pPr>
    </w:p>
    <w:p w14:paraId="1DE1A2E7"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74332CF7" w14:textId="77777777" w:rsidR="0019309D" w:rsidRDefault="0019309D" w:rsidP="0019309D">
      <w:pPr>
        <w:spacing w:after="0" w:line="240" w:lineRule="auto"/>
        <w:rPr>
          <w:rFonts w:asciiTheme="majorHAnsi" w:hAnsiTheme="majorHAnsi"/>
          <w:sz w:val="24"/>
        </w:rPr>
      </w:pPr>
      <w:r w:rsidRPr="00E97E1C">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6A50F0A5" w14:textId="77777777" w:rsidR="0019309D" w:rsidRDefault="0019309D" w:rsidP="0019309D">
      <w:pPr>
        <w:spacing w:after="0" w:line="240" w:lineRule="auto"/>
        <w:rPr>
          <w:rFonts w:asciiTheme="majorHAnsi" w:hAnsiTheme="majorHAnsi"/>
          <w:sz w:val="24"/>
        </w:rPr>
      </w:pPr>
    </w:p>
    <w:p w14:paraId="3E2CDFF4"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5A9870B3" w14:textId="77777777" w:rsidR="00F25499" w:rsidRDefault="00F25499" w:rsidP="0019309D">
      <w:pPr>
        <w:spacing w:after="0" w:line="240" w:lineRule="auto"/>
        <w:rPr>
          <w:rFonts w:asciiTheme="majorHAnsi" w:hAnsiTheme="majorHAnsi"/>
          <w:sz w:val="24"/>
        </w:rPr>
      </w:pPr>
    </w:p>
    <w:p w14:paraId="252873CC" w14:textId="77777777" w:rsidR="00722FDB" w:rsidRPr="00064270" w:rsidRDefault="00722FDB" w:rsidP="005B1F95">
      <w:pPr>
        <w:spacing w:after="0" w:line="240" w:lineRule="auto"/>
        <w:rPr>
          <w:rFonts w:asciiTheme="majorHAnsi" w:hAnsiTheme="majorHAnsi"/>
          <w:sz w:val="24"/>
        </w:rPr>
      </w:pPr>
      <w:r w:rsidRPr="00722FDB">
        <w:rPr>
          <w:rFonts w:asciiTheme="majorHAnsi" w:hAnsiTheme="majorHAnsi"/>
          <w:sz w:val="24"/>
          <w:u w:val="single"/>
        </w:rPr>
        <w:t>a. Labor Cost to the Federal Government</w:t>
      </w:r>
      <w:r w:rsidRPr="00722FDB">
        <w:rPr>
          <w:rFonts w:asciiTheme="majorHAnsi" w:hAnsiTheme="majorHAnsi"/>
          <w:sz w:val="24"/>
          <w:u w:val="single"/>
        </w:rPr>
        <w:br/>
      </w:r>
      <w:r w:rsidRPr="00722FDB">
        <w:rPr>
          <w:rFonts w:asciiTheme="majorHAnsi" w:hAnsiTheme="majorHAnsi"/>
          <w:sz w:val="24"/>
        </w:rPr>
        <w:t>1</w:t>
      </w:r>
      <w:r w:rsidRPr="00064270">
        <w:rPr>
          <w:rFonts w:asciiTheme="majorHAnsi" w:hAnsiTheme="majorHAnsi"/>
          <w:sz w:val="24"/>
        </w:rPr>
        <w:t xml:space="preserve">. </w:t>
      </w:r>
      <w:r w:rsidR="005069A6" w:rsidRPr="00D3120C">
        <w:rPr>
          <w:rFonts w:asciiTheme="majorHAnsi" w:hAnsiTheme="majorHAnsi"/>
          <w:sz w:val="24"/>
        </w:rPr>
        <w:t xml:space="preserve">TRICARE Prime Enrollment, Disenrollment, and Primary Care Manager (PCM) Change Form </w:t>
      </w:r>
      <w:r w:rsidR="00E97E1C" w:rsidRPr="00D3120C">
        <w:rPr>
          <w:rFonts w:asciiTheme="majorHAnsi" w:hAnsiTheme="majorHAnsi"/>
          <w:sz w:val="24"/>
        </w:rPr>
        <w:t xml:space="preserve"> DD 2876-3</w:t>
      </w:r>
    </w:p>
    <w:p w14:paraId="1BEF1AC0" w14:textId="608E799E" w:rsidR="00722FDB" w:rsidRPr="00064270" w:rsidRDefault="00722FDB" w:rsidP="00722FDB">
      <w:pPr>
        <w:spacing w:after="0" w:line="240" w:lineRule="auto"/>
        <w:ind w:firstLine="720"/>
        <w:rPr>
          <w:rFonts w:asciiTheme="majorHAnsi" w:hAnsiTheme="majorHAnsi"/>
          <w:sz w:val="24"/>
        </w:rPr>
      </w:pPr>
      <w:r w:rsidRPr="00064270">
        <w:rPr>
          <w:rFonts w:asciiTheme="majorHAnsi" w:hAnsiTheme="majorHAnsi"/>
          <w:sz w:val="24"/>
        </w:rPr>
        <w:t>a. Nu</w:t>
      </w:r>
      <w:r w:rsidR="005069A6" w:rsidRPr="00064270">
        <w:rPr>
          <w:rFonts w:asciiTheme="majorHAnsi" w:hAnsiTheme="majorHAnsi"/>
          <w:sz w:val="24"/>
        </w:rPr>
        <w:t xml:space="preserve">mber of Total Annual Responses: </w:t>
      </w:r>
      <w:r w:rsidR="00CC5757">
        <w:rPr>
          <w:rFonts w:asciiTheme="majorHAnsi" w:hAnsiTheme="majorHAnsi"/>
          <w:sz w:val="24"/>
        </w:rPr>
        <w:t>291,548</w:t>
      </w:r>
    </w:p>
    <w:p w14:paraId="3EE1EFB9" w14:textId="77777777" w:rsidR="00722FDB" w:rsidRPr="00064270" w:rsidRDefault="00722FDB" w:rsidP="00722FDB">
      <w:pPr>
        <w:spacing w:after="0" w:line="240" w:lineRule="auto"/>
        <w:ind w:left="720"/>
        <w:rPr>
          <w:rFonts w:asciiTheme="majorHAnsi" w:hAnsiTheme="majorHAnsi"/>
          <w:sz w:val="24"/>
        </w:rPr>
      </w:pPr>
      <w:r w:rsidRPr="00064270">
        <w:rPr>
          <w:rFonts w:asciiTheme="majorHAnsi" w:hAnsiTheme="majorHAnsi"/>
          <w:sz w:val="24"/>
        </w:rPr>
        <w:t xml:space="preserve">b. Processing Time per Response: </w:t>
      </w:r>
      <w:r w:rsidR="00E97E1C" w:rsidRPr="00064270">
        <w:rPr>
          <w:rFonts w:asciiTheme="majorHAnsi" w:hAnsiTheme="majorHAnsi"/>
          <w:sz w:val="24"/>
        </w:rPr>
        <w:t>15 minutes</w:t>
      </w:r>
      <w:r w:rsidRPr="00064270">
        <w:rPr>
          <w:rFonts w:asciiTheme="majorHAnsi" w:hAnsiTheme="majorHAnsi"/>
          <w:sz w:val="24"/>
        </w:rPr>
        <w:t xml:space="preserve">  </w:t>
      </w:r>
    </w:p>
    <w:p w14:paraId="7CB659FB" w14:textId="21596011" w:rsidR="00722FDB" w:rsidRPr="00064270" w:rsidRDefault="00722FDB" w:rsidP="00722FDB">
      <w:pPr>
        <w:spacing w:after="0" w:line="240" w:lineRule="auto"/>
        <w:rPr>
          <w:rFonts w:asciiTheme="majorHAnsi" w:hAnsiTheme="majorHAnsi"/>
          <w:sz w:val="24"/>
        </w:rPr>
      </w:pPr>
      <w:r w:rsidRPr="00064270">
        <w:rPr>
          <w:rFonts w:asciiTheme="majorHAnsi" w:hAnsiTheme="majorHAnsi"/>
          <w:sz w:val="24"/>
        </w:rPr>
        <w:tab/>
        <w:t>c. Hourly Wage of Worker(s) Processing Responses : $</w:t>
      </w:r>
      <w:r w:rsidR="00E97E1C" w:rsidRPr="00064270">
        <w:rPr>
          <w:rFonts w:asciiTheme="majorHAnsi" w:hAnsiTheme="majorHAnsi"/>
          <w:sz w:val="24"/>
        </w:rPr>
        <w:t>23.06</w:t>
      </w:r>
    </w:p>
    <w:p w14:paraId="7AA6E0D9" w14:textId="475A896D" w:rsidR="00722FDB" w:rsidRPr="00064270" w:rsidRDefault="00722FDB" w:rsidP="00722FDB">
      <w:pPr>
        <w:spacing w:after="0" w:line="240" w:lineRule="auto"/>
        <w:rPr>
          <w:rFonts w:asciiTheme="majorHAnsi" w:hAnsiTheme="majorHAnsi"/>
          <w:sz w:val="24"/>
        </w:rPr>
      </w:pPr>
      <w:r w:rsidRPr="00064270">
        <w:rPr>
          <w:rFonts w:asciiTheme="majorHAnsi" w:hAnsiTheme="majorHAnsi"/>
          <w:sz w:val="24"/>
        </w:rPr>
        <w:tab/>
        <w:t>d</w:t>
      </w:r>
      <w:r w:rsidR="00EC657D">
        <w:rPr>
          <w:rFonts w:asciiTheme="majorHAnsi" w:hAnsiTheme="majorHAnsi"/>
          <w:sz w:val="24"/>
        </w:rPr>
        <w:t>. Cost to Process Each Response</w:t>
      </w:r>
      <w:r w:rsidR="007F28EA">
        <w:rPr>
          <w:rFonts w:asciiTheme="majorHAnsi" w:hAnsiTheme="majorHAnsi"/>
          <w:sz w:val="24"/>
        </w:rPr>
        <w:t>: $</w:t>
      </w:r>
      <w:r w:rsidR="0004364F">
        <w:rPr>
          <w:rFonts w:asciiTheme="majorHAnsi" w:hAnsiTheme="majorHAnsi"/>
          <w:sz w:val="24"/>
        </w:rPr>
        <w:t>5.77</w:t>
      </w:r>
    </w:p>
    <w:p w14:paraId="6F0CEFF9" w14:textId="6BF02154" w:rsidR="008316A4" w:rsidRPr="00064270" w:rsidRDefault="00722FDB" w:rsidP="00722FDB">
      <w:pPr>
        <w:spacing w:after="0" w:line="240" w:lineRule="auto"/>
        <w:ind w:firstLine="720"/>
        <w:rPr>
          <w:rFonts w:asciiTheme="majorHAnsi" w:hAnsiTheme="majorHAnsi"/>
          <w:sz w:val="24"/>
        </w:rPr>
      </w:pPr>
      <w:r w:rsidRPr="00064270">
        <w:rPr>
          <w:rFonts w:asciiTheme="majorHAnsi" w:hAnsiTheme="majorHAnsi"/>
          <w:sz w:val="24"/>
        </w:rPr>
        <w:t xml:space="preserve">e. </w:t>
      </w:r>
      <w:r w:rsidR="00EC657D">
        <w:rPr>
          <w:rFonts w:asciiTheme="majorHAnsi" w:hAnsiTheme="majorHAnsi"/>
          <w:sz w:val="24"/>
        </w:rPr>
        <w:t>Total Cost to Process Responses</w:t>
      </w:r>
      <w:r w:rsidRPr="00064270">
        <w:rPr>
          <w:rFonts w:asciiTheme="majorHAnsi" w:hAnsiTheme="majorHAnsi"/>
          <w:sz w:val="24"/>
        </w:rPr>
        <w:t xml:space="preserve">: </w:t>
      </w:r>
    </w:p>
    <w:p w14:paraId="304D92F5" w14:textId="7828F7A9" w:rsidR="00321E48" w:rsidRPr="00064270" w:rsidRDefault="00722FDB" w:rsidP="00321E48">
      <w:pPr>
        <w:spacing w:after="0" w:line="240" w:lineRule="auto"/>
        <w:ind w:firstLine="720"/>
        <w:rPr>
          <w:rFonts w:asciiTheme="majorHAnsi" w:hAnsiTheme="majorHAnsi"/>
          <w:sz w:val="24"/>
        </w:rPr>
      </w:pPr>
      <w:r w:rsidRPr="00064270">
        <w:rPr>
          <w:rFonts w:asciiTheme="majorHAnsi" w:hAnsiTheme="majorHAnsi"/>
          <w:sz w:val="24"/>
        </w:rPr>
        <w:t>$</w:t>
      </w:r>
      <w:r w:rsidR="00E97E1C" w:rsidRPr="00064270">
        <w:rPr>
          <w:rFonts w:asciiTheme="majorHAnsi" w:hAnsiTheme="majorHAnsi"/>
          <w:sz w:val="24"/>
        </w:rPr>
        <w:t xml:space="preserve"> </w:t>
      </w:r>
      <w:r w:rsidR="00321E48">
        <w:rPr>
          <w:rFonts w:asciiTheme="majorHAnsi" w:hAnsiTheme="majorHAnsi"/>
          <w:sz w:val="24"/>
        </w:rPr>
        <w:t>1,680,774.22</w:t>
      </w:r>
    </w:p>
    <w:p w14:paraId="7EEE49EB" w14:textId="6B2793B1" w:rsidR="00722FDB" w:rsidRDefault="00722FDB" w:rsidP="00722FDB">
      <w:pPr>
        <w:spacing w:after="0" w:line="240" w:lineRule="auto"/>
        <w:ind w:firstLine="720"/>
        <w:rPr>
          <w:rFonts w:asciiTheme="majorHAnsi" w:hAnsiTheme="majorHAnsi"/>
          <w:sz w:val="24"/>
        </w:rPr>
      </w:pPr>
    </w:p>
    <w:p w14:paraId="41933F61" w14:textId="62B3CCA1" w:rsidR="00CC5757" w:rsidRPr="00CC5757" w:rsidRDefault="00422767" w:rsidP="00CC5757">
      <w:pPr>
        <w:spacing w:after="0" w:line="240" w:lineRule="auto"/>
        <w:ind w:firstLine="90"/>
        <w:rPr>
          <w:rFonts w:asciiTheme="majorHAnsi" w:hAnsiTheme="majorHAnsi"/>
          <w:sz w:val="24"/>
        </w:rPr>
      </w:pPr>
      <w:r>
        <w:rPr>
          <w:rFonts w:asciiTheme="majorHAnsi" w:hAnsiTheme="majorHAnsi"/>
          <w:sz w:val="24"/>
        </w:rPr>
        <w:t xml:space="preserve"> </w:t>
      </w:r>
      <w:r w:rsidR="00CC5757" w:rsidRPr="00CC5757">
        <w:rPr>
          <w:rFonts w:asciiTheme="majorHAnsi" w:hAnsiTheme="majorHAnsi"/>
          <w:sz w:val="24"/>
        </w:rPr>
        <w:t xml:space="preserve"> TRICARE Prime Enrollment, Disenrollment, and Primary Care Man</w:t>
      </w:r>
      <w:r w:rsidR="00CC5757">
        <w:rPr>
          <w:rFonts w:asciiTheme="majorHAnsi" w:hAnsiTheme="majorHAnsi"/>
          <w:sz w:val="24"/>
        </w:rPr>
        <w:t>ager (PCM) Change via telephone</w:t>
      </w:r>
    </w:p>
    <w:p w14:paraId="48F344A7" w14:textId="6ED322D0" w:rsidR="00CC5757" w:rsidRP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a.</w:t>
      </w:r>
      <w:r>
        <w:rPr>
          <w:rFonts w:asciiTheme="majorHAnsi" w:hAnsiTheme="majorHAnsi"/>
          <w:sz w:val="24"/>
        </w:rPr>
        <w:t xml:space="preserve"> </w:t>
      </w:r>
      <w:r w:rsidRPr="00CC5757">
        <w:rPr>
          <w:rFonts w:asciiTheme="majorHAnsi" w:hAnsiTheme="majorHAnsi"/>
          <w:sz w:val="24"/>
        </w:rPr>
        <w:t>N</w:t>
      </w:r>
      <w:r>
        <w:rPr>
          <w:rFonts w:asciiTheme="majorHAnsi" w:hAnsiTheme="majorHAnsi"/>
          <w:sz w:val="24"/>
        </w:rPr>
        <w:t xml:space="preserve">umber of Total Annual Responses: </w:t>
      </w:r>
      <w:r w:rsidRPr="00CC5757">
        <w:rPr>
          <w:rFonts w:asciiTheme="majorHAnsi" w:hAnsiTheme="majorHAnsi"/>
          <w:sz w:val="24"/>
        </w:rPr>
        <w:t>2</w:t>
      </w:r>
      <w:r>
        <w:rPr>
          <w:rFonts w:asciiTheme="majorHAnsi" w:hAnsiTheme="majorHAnsi"/>
          <w:sz w:val="24"/>
        </w:rPr>
        <w:t>,</w:t>
      </w:r>
      <w:r w:rsidRPr="00CC5757">
        <w:rPr>
          <w:rFonts w:asciiTheme="majorHAnsi" w:hAnsiTheme="majorHAnsi"/>
          <w:sz w:val="24"/>
        </w:rPr>
        <w:t>522</w:t>
      </w:r>
      <w:r>
        <w:rPr>
          <w:rFonts w:asciiTheme="majorHAnsi" w:hAnsiTheme="majorHAnsi"/>
          <w:sz w:val="24"/>
        </w:rPr>
        <w:t>,</w:t>
      </w:r>
      <w:r w:rsidRPr="00CC5757">
        <w:rPr>
          <w:rFonts w:asciiTheme="majorHAnsi" w:hAnsiTheme="majorHAnsi"/>
          <w:sz w:val="24"/>
        </w:rPr>
        <w:t>302</w:t>
      </w:r>
    </w:p>
    <w:p w14:paraId="379DA165" w14:textId="43923772" w:rsidR="00CC5757" w:rsidRP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b.</w:t>
      </w:r>
      <w:r>
        <w:rPr>
          <w:rFonts w:asciiTheme="majorHAnsi" w:hAnsiTheme="majorHAnsi"/>
          <w:sz w:val="24"/>
        </w:rPr>
        <w:t xml:space="preserve"> Processing Time per Response: </w:t>
      </w:r>
      <w:r w:rsidR="00321E48">
        <w:rPr>
          <w:rFonts w:asciiTheme="majorHAnsi" w:hAnsiTheme="majorHAnsi"/>
          <w:sz w:val="24"/>
        </w:rPr>
        <w:t>15 minutes</w:t>
      </w:r>
    </w:p>
    <w:p w14:paraId="35457AA8" w14:textId="297BA23B" w:rsidR="00CC5757" w:rsidRP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c.</w:t>
      </w:r>
      <w:r>
        <w:rPr>
          <w:rFonts w:asciiTheme="majorHAnsi" w:hAnsiTheme="majorHAnsi"/>
          <w:sz w:val="24"/>
        </w:rPr>
        <w:t xml:space="preserve"> </w:t>
      </w:r>
      <w:r w:rsidRPr="00CC5757">
        <w:rPr>
          <w:rFonts w:asciiTheme="majorHAnsi" w:hAnsiTheme="majorHAnsi"/>
          <w:sz w:val="24"/>
        </w:rPr>
        <w:t>Hourly Wage of Worker(s) Processing Res</w:t>
      </w:r>
      <w:r>
        <w:rPr>
          <w:rFonts w:asciiTheme="majorHAnsi" w:hAnsiTheme="majorHAnsi"/>
          <w:sz w:val="24"/>
        </w:rPr>
        <w:t>p</w:t>
      </w:r>
      <w:r w:rsidRPr="00CC5757">
        <w:rPr>
          <w:rFonts w:asciiTheme="majorHAnsi" w:hAnsiTheme="majorHAnsi"/>
          <w:sz w:val="24"/>
        </w:rPr>
        <w:t>onses: $</w:t>
      </w:r>
      <w:r w:rsidR="00321E48">
        <w:rPr>
          <w:rFonts w:asciiTheme="majorHAnsi" w:hAnsiTheme="majorHAnsi"/>
          <w:sz w:val="24"/>
        </w:rPr>
        <w:t>23.06</w:t>
      </w:r>
    </w:p>
    <w:p w14:paraId="457F4623" w14:textId="20F56C6D" w:rsidR="00CC5757" w:rsidRP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d.</w:t>
      </w:r>
      <w:r>
        <w:rPr>
          <w:rFonts w:asciiTheme="majorHAnsi" w:hAnsiTheme="majorHAnsi"/>
          <w:sz w:val="24"/>
        </w:rPr>
        <w:t xml:space="preserve"> Cost to Process each Response: </w:t>
      </w:r>
      <w:r w:rsidRPr="00CC5757">
        <w:rPr>
          <w:rFonts w:asciiTheme="majorHAnsi" w:hAnsiTheme="majorHAnsi"/>
          <w:sz w:val="24"/>
        </w:rPr>
        <w:t>$</w:t>
      </w:r>
      <w:r w:rsidR="00321E48">
        <w:rPr>
          <w:rFonts w:asciiTheme="majorHAnsi" w:hAnsiTheme="majorHAnsi"/>
          <w:sz w:val="24"/>
        </w:rPr>
        <w:t>5.77</w:t>
      </w:r>
    </w:p>
    <w:p w14:paraId="6859CDA8" w14:textId="55A05105" w:rsid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e.</w:t>
      </w:r>
      <w:r>
        <w:rPr>
          <w:rFonts w:asciiTheme="majorHAnsi" w:hAnsiTheme="majorHAnsi"/>
          <w:sz w:val="24"/>
        </w:rPr>
        <w:t xml:space="preserve"> Total Cost to Process Responses: </w:t>
      </w:r>
      <w:r w:rsidRPr="00CC5757">
        <w:rPr>
          <w:rFonts w:asciiTheme="majorHAnsi" w:hAnsiTheme="majorHAnsi"/>
          <w:sz w:val="24"/>
        </w:rPr>
        <w:t>$</w:t>
      </w:r>
      <w:r w:rsidR="00321E48">
        <w:rPr>
          <w:rFonts w:asciiTheme="majorHAnsi" w:hAnsiTheme="majorHAnsi"/>
          <w:sz w:val="24"/>
        </w:rPr>
        <w:t>14,541,071.03</w:t>
      </w:r>
    </w:p>
    <w:p w14:paraId="4E27385E" w14:textId="738DD882" w:rsidR="00CC5757" w:rsidRDefault="00CC5757" w:rsidP="00722FDB">
      <w:pPr>
        <w:spacing w:after="0" w:line="240" w:lineRule="auto"/>
        <w:ind w:firstLine="720"/>
        <w:rPr>
          <w:rFonts w:asciiTheme="majorHAnsi" w:hAnsiTheme="majorHAnsi"/>
          <w:sz w:val="24"/>
        </w:rPr>
      </w:pPr>
    </w:p>
    <w:p w14:paraId="1110C8B0" w14:textId="694559D4" w:rsidR="00CC5757" w:rsidRPr="00CC5757" w:rsidRDefault="00422767" w:rsidP="00422767">
      <w:pPr>
        <w:spacing w:after="0" w:line="240" w:lineRule="auto"/>
        <w:rPr>
          <w:rFonts w:asciiTheme="majorHAnsi" w:hAnsiTheme="majorHAnsi"/>
          <w:sz w:val="24"/>
        </w:rPr>
      </w:pPr>
      <w:r>
        <w:rPr>
          <w:rFonts w:asciiTheme="majorHAnsi" w:hAnsiTheme="majorHAnsi"/>
          <w:sz w:val="24"/>
        </w:rPr>
        <w:t xml:space="preserve">  T</w:t>
      </w:r>
      <w:r w:rsidR="00CC5757" w:rsidRPr="00CC5757">
        <w:rPr>
          <w:rFonts w:asciiTheme="majorHAnsi" w:hAnsiTheme="majorHAnsi"/>
          <w:sz w:val="24"/>
        </w:rPr>
        <w:t>RICARE Prime Enrollment, Disenrollment, and Primary Care Manager (PCM) Change via Beneficiary Web Enrollment</w:t>
      </w:r>
    </w:p>
    <w:p w14:paraId="4BEFBBDD" w14:textId="6EAEA4BD" w:rsidR="00CC5757" w:rsidRP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a.</w:t>
      </w:r>
      <w:r>
        <w:rPr>
          <w:rFonts w:asciiTheme="majorHAnsi" w:hAnsiTheme="majorHAnsi"/>
          <w:sz w:val="24"/>
        </w:rPr>
        <w:t xml:space="preserve"> </w:t>
      </w:r>
      <w:r w:rsidRPr="00CC5757">
        <w:rPr>
          <w:rFonts w:asciiTheme="majorHAnsi" w:hAnsiTheme="majorHAnsi"/>
          <w:sz w:val="24"/>
        </w:rPr>
        <w:t>N</w:t>
      </w:r>
      <w:r>
        <w:rPr>
          <w:rFonts w:asciiTheme="majorHAnsi" w:hAnsiTheme="majorHAnsi"/>
          <w:sz w:val="24"/>
        </w:rPr>
        <w:t xml:space="preserve">umber of Total Annual Responses: </w:t>
      </w:r>
      <w:r w:rsidRPr="00CC5757">
        <w:rPr>
          <w:rFonts w:asciiTheme="majorHAnsi" w:hAnsiTheme="majorHAnsi"/>
          <w:sz w:val="24"/>
        </w:rPr>
        <w:t>226250</w:t>
      </w:r>
    </w:p>
    <w:p w14:paraId="4706E267" w14:textId="2BAFFDEA" w:rsidR="00CC5757" w:rsidRP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b.</w:t>
      </w:r>
      <w:r>
        <w:rPr>
          <w:rFonts w:asciiTheme="majorHAnsi" w:hAnsiTheme="majorHAnsi"/>
          <w:sz w:val="24"/>
        </w:rPr>
        <w:t xml:space="preserve"> </w:t>
      </w:r>
      <w:r w:rsidRPr="00CC5757">
        <w:rPr>
          <w:rFonts w:asciiTheme="majorHAnsi" w:hAnsiTheme="majorHAnsi"/>
          <w:sz w:val="24"/>
        </w:rPr>
        <w:t>Pr</w:t>
      </w:r>
      <w:r w:rsidR="00321E48">
        <w:rPr>
          <w:rFonts w:asciiTheme="majorHAnsi" w:hAnsiTheme="majorHAnsi"/>
          <w:sz w:val="24"/>
        </w:rPr>
        <w:t xml:space="preserve">ocessing Time per Response: </w:t>
      </w:r>
      <w:r w:rsidR="00542476">
        <w:rPr>
          <w:rFonts w:asciiTheme="majorHAnsi" w:hAnsiTheme="majorHAnsi"/>
          <w:sz w:val="24"/>
        </w:rPr>
        <w:t>N</w:t>
      </w:r>
      <w:r w:rsidR="00F214A9">
        <w:rPr>
          <w:rFonts w:asciiTheme="majorHAnsi" w:hAnsiTheme="majorHAnsi"/>
          <w:sz w:val="24"/>
        </w:rPr>
        <w:t>/</w:t>
      </w:r>
      <w:r w:rsidR="00542476">
        <w:rPr>
          <w:rFonts w:asciiTheme="majorHAnsi" w:hAnsiTheme="majorHAnsi"/>
          <w:sz w:val="24"/>
        </w:rPr>
        <w:t>A</w:t>
      </w:r>
    </w:p>
    <w:p w14:paraId="6E287071" w14:textId="19ACB2BB" w:rsidR="00CC5757" w:rsidRP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c.</w:t>
      </w:r>
      <w:r>
        <w:rPr>
          <w:rFonts w:asciiTheme="majorHAnsi" w:hAnsiTheme="majorHAnsi"/>
          <w:sz w:val="24"/>
        </w:rPr>
        <w:t xml:space="preserve"> </w:t>
      </w:r>
      <w:r w:rsidRPr="00CC5757">
        <w:rPr>
          <w:rFonts w:asciiTheme="majorHAnsi" w:hAnsiTheme="majorHAnsi"/>
          <w:sz w:val="24"/>
        </w:rPr>
        <w:t>Hourly Wage of Worker(s) Processing Res</w:t>
      </w:r>
      <w:r>
        <w:rPr>
          <w:rFonts w:asciiTheme="majorHAnsi" w:hAnsiTheme="majorHAnsi"/>
          <w:sz w:val="24"/>
        </w:rPr>
        <w:t>p</w:t>
      </w:r>
      <w:r w:rsidR="00321E48">
        <w:rPr>
          <w:rFonts w:asciiTheme="majorHAnsi" w:hAnsiTheme="majorHAnsi"/>
          <w:sz w:val="24"/>
        </w:rPr>
        <w:t xml:space="preserve">onses: </w:t>
      </w:r>
      <w:r w:rsidR="00542476">
        <w:rPr>
          <w:rFonts w:asciiTheme="majorHAnsi" w:hAnsiTheme="majorHAnsi"/>
          <w:sz w:val="24"/>
        </w:rPr>
        <w:t>N</w:t>
      </w:r>
      <w:r w:rsidR="00F214A9">
        <w:rPr>
          <w:rFonts w:asciiTheme="majorHAnsi" w:hAnsiTheme="majorHAnsi"/>
          <w:sz w:val="24"/>
        </w:rPr>
        <w:t>/</w:t>
      </w:r>
      <w:r w:rsidR="00542476">
        <w:rPr>
          <w:rFonts w:asciiTheme="majorHAnsi" w:hAnsiTheme="majorHAnsi"/>
          <w:sz w:val="24"/>
        </w:rPr>
        <w:t>A</w:t>
      </w:r>
    </w:p>
    <w:p w14:paraId="206E95E4" w14:textId="626A8653" w:rsidR="00CC5757" w:rsidRP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d.</w:t>
      </w:r>
      <w:r>
        <w:rPr>
          <w:rFonts w:asciiTheme="majorHAnsi" w:hAnsiTheme="majorHAnsi"/>
          <w:sz w:val="24"/>
        </w:rPr>
        <w:t xml:space="preserve"> </w:t>
      </w:r>
      <w:r w:rsidRPr="00CC5757">
        <w:rPr>
          <w:rFonts w:asciiTheme="majorHAnsi" w:hAnsiTheme="majorHAnsi"/>
          <w:sz w:val="24"/>
        </w:rPr>
        <w:t>Cost</w:t>
      </w:r>
      <w:r w:rsidR="00F214A9">
        <w:rPr>
          <w:rFonts w:asciiTheme="majorHAnsi" w:hAnsiTheme="majorHAnsi"/>
          <w:sz w:val="24"/>
        </w:rPr>
        <w:t xml:space="preserve"> to Process each Response: N/A</w:t>
      </w:r>
    </w:p>
    <w:p w14:paraId="23B7E0B3" w14:textId="6D95B8E9" w:rsidR="00CC5757" w:rsidRDefault="00CC5757" w:rsidP="00CC5757">
      <w:pPr>
        <w:spacing w:after="0" w:line="240" w:lineRule="auto"/>
        <w:ind w:firstLine="720"/>
        <w:rPr>
          <w:rFonts w:asciiTheme="majorHAnsi" w:hAnsiTheme="majorHAnsi"/>
          <w:sz w:val="24"/>
        </w:rPr>
      </w:pPr>
      <w:r w:rsidRPr="00CC5757">
        <w:rPr>
          <w:rFonts w:asciiTheme="majorHAnsi" w:hAnsiTheme="majorHAnsi"/>
          <w:sz w:val="24"/>
        </w:rPr>
        <w:t>e.</w:t>
      </w:r>
      <w:r>
        <w:rPr>
          <w:rFonts w:asciiTheme="majorHAnsi" w:hAnsiTheme="majorHAnsi"/>
          <w:sz w:val="24"/>
        </w:rPr>
        <w:t xml:space="preserve"> </w:t>
      </w:r>
      <w:r w:rsidRPr="00CC5757">
        <w:rPr>
          <w:rFonts w:asciiTheme="majorHAnsi" w:hAnsiTheme="majorHAnsi"/>
          <w:sz w:val="24"/>
        </w:rPr>
        <w:t>Total Cost to Process Responses</w:t>
      </w:r>
      <w:r>
        <w:rPr>
          <w:rFonts w:asciiTheme="majorHAnsi" w:hAnsiTheme="majorHAnsi"/>
          <w:sz w:val="24"/>
        </w:rPr>
        <w:t xml:space="preserve">: </w:t>
      </w:r>
      <w:r w:rsidR="00F214A9">
        <w:rPr>
          <w:rFonts w:asciiTheme="majorHAnsi" w:hAnsiTheme="majorHAnsi"/>
          <w:sz w:val="24"/>
        </w:rPr>
        <w:t>N/A</w:t>
      </w:r>
    </w:p>
    <w:p w14:paraId="4A6082FC" w14:textId="13F4F7B0" w:rsidR="00CC5757" w:rsidRDefault="00CC5757" w:rsidP="00722FDB">
      <w:pPr>
        <w:spacing w:after="0" w:line="240" w:lineRule="auto"/>
        <w:ind w:firstLine="720"/>
        <w:rPr>
          <w:rFonts w:asciiTheme="majorHAnsi" w:hAnsiTheme="majorHAnsi"/>
          <w:sz w:val="24"/>
        </w:rPr>
      </w:pPr>
    </w:p>
    <w:p w14:paraId="37CEC5DF" w14:textId="28667C4B" w:rsidR="00542476" w:rsidRDefault="00542476" w:rsidP="00542476">
      <w:pPr>
        <w:spacing w:after="0" w:line="240" w:lineRule="auto"/>
        <w:rPr>
          <w:rFonts w:asciiTheme="majorHAnsi" w:hAnsiTheme="majorHAnsi"/>
          <w:sz w:val="24"/>
        </w:rPr>
      </w:pPr>
      <w:r>
        <w:rPr>
          <w:rFonts w:asciiTheme="majorHAnsi" w:hAnsiTheme="majorHAnsi"/>
          <w:sz w:val="24"/>
        </w:rPr>
        <w:t xml:space="preserve">Hourly wage was provided by </w:t>
      </w:r>
      <w:r w:rsidR="00F214A9">
        <w:rPr>
          <w:rFonts w:asciiTheme="majorHAnsi" w:hAnsiTheme="majorHAnsi"/>
          <w:sz w:val="24"/>
        </w:rPr>
        <w:t>the Program Office as the average wage of contracted individuals in the processing office</w:t>
      </w:r>
      <w:r w:rsidR="008710AF">
        <w:rPr>
          <w:rFonts w:asciiTheme="majorHAnsi" w:hAnsiTheme="majorHAnsi"/>
          <w:sz w:val="24"/>
        </w:rPr>
        <w:t xml:space="preserve"> during 2019</w:t>
      </w:r>
      <w:r w:rsidR="00F214A9">
        <w:rPr>
          <w:rFonts w:asciiTheme="majorHAnsi" w:hAnsiTheme="majorHAnsi"/>
          <w:sz w:val="24"/>
        </w:rPr>
        <w:t>.</w:t>
      </w:r>
    </w:p>
    <w:p w14:paraId="2AEE530E" w14:textId="77777777" w:rsidR="00542476" w:rsidRPr="00064270" w:rsidRDefault="00542476" w:rsidP="00722FDB">
      <w:pPr>
        <w:spacing w:after="0" w:line="240" w:lineRule="auto"/>
        <w:ind w:firstLine="720"/>
        <w:rPr>
          <w:rFonts w:asciiTheme="majorHAnsi" w:hAnsiTheme="majorHAnsi"/>
          <w:sz w:val="24"/>
        </w:rPr>
      </w:pPr>
    </w:p>
    <w:p w14:paraId="1696C425" w14:textId="77777777" w:rsidR="00722FDB" w:rsidRPr="00064270" w:rsidRDefault="00722FDB" w:rsidP="00722FDB">
      <w:pPr>
        <w:spacing w:after="0" w:line="240" w:lineRule="auto"/>
        <w:rPr>
          <w:rFonts w:asciiTheme="majorHAnsi" w:hAnsiTheme="majorHAnsi"/>
          <w:sz w:val="24"/>
        </w:rPr>
      </w:pPr>
      <w:r w:rsidRPr="00064270">
        <w:rPr>
          <w:rFonts w:asciiTheme="majorHAnsi" w:hAnsiTheme="majorHAnsi"/>
          <w:sz w:val="24"/>
        </w:rPr>
        <w:t xml:space="preserve">2. </w:t>
      </w:r>
      <w:r w:rsidRPr="00D3120C">
        <w:rPr>
          <w:rFonts w:asciiTheme="majorHAnsi" w:hAnsiTheme="majorHAnsi"/>
          <w:sz w:val="24"/>
        </w:rPr>
        <w:t>Overall Labor Burden to Federal Government</w:t>
      </w:r>
      <w:r w:rsidRPr="00064270">
        <w:rPr>
          <w:rFonts w:asciiTheme="majorHAnsi" w:hAnsiTheme="majorHAnsi"/>
          <w:sz w:val="24"/>
        </w:rPr>
        <w:t xml:space="preserve"> </w:t>
      </w:r>
    </w:p>
    <w:p w14:paraId="30EF7803" w14:textId="3F4A03E2" w:rsidR="00722FDB" w:rsidRPr="00064270" w:rsidRDefault="00722FDB" w:rsidP="00722FDB">
      <w:pPr>
        <w:spacing w:after="0" w:line="240" w:lineRule="auto"/>
        <w:rPr>
          <w:rFonts w:asciiTheme="majorHAnsi" w:hAnsiTheme="majorHAnsi"/>
          <w:sz w:val="24"/>
        </w:rPr>
      </w:pPr>
      <w:r w:rsidRPr="00064270">
        <w:rPr>
          <w:rFonts w:asciiTheme="majorHAnsi" w:hAnsiTheme="majorHAnsi"/>
          <w:sz w:val="24"/>
        </w:rPr>
        <w:tab/>
        <w:t>a. T</w:t>
      </w:r>
      <w:r w:rsidR="00EC657D">
        <w:rPr>
          <w:rFonts w:asciiTheme="majorHAnsi" w:hAnsiTheme="majorHAnsi"/>
          <w:sz w:val="24"/>
        </w:rPr>
        <w:t>otal Number of Annual Responses</w:t>
      </w:r>
      <w:r w:rsidRPr="00064270">
        <w:rPr>
          <w:rFonts w:asciiTheme="majorHAnsi" w:hAnsiTheme="majorHAnsi"/>
          <w:sz w:val="24"/>
        </w:rPr>
        <w:t xml:space="preserve">: </w:t>
      </w:r>
      <w:r w:rsidR="008316A4" w:rsidRPr="00064270">
        <w:rPr>
          <w:rFonts w:asciiTheme="majorHAnsi" w:hAnsiTheme="majorHAnsi"/>
          <w:sz w:val="24"/>
        </w:rPr>
        <w:t>3,040,100</w:t>
      </w:r>
    </w:p>
    <w:p w14:paraId="7C1408A4" w14:textId="7AA8F5EF" w:rsidR="007846BB" w:rsidRPr="007846BB" w:rsidRDefault="00EC657D" w:rsidP="007846BB">
      <w:pPr>
        <w:spacing w:after="0" w:line="240" w:lineRule="auto"/>
        <w:rPr>
          <w:rFonts w:asciiTheme="majorHAnsi" w:hAnsiTheme="majorHAnsi"/>
          <w:sz w:val="24"/>
        </w:rPr>
      </w:pPr>
      <w:r>
        <w:rPr>
          <w:rFonts w:asciiTheme="majorHAnsi" w:hAnsiTheme="majorHAnsi"/>
          <w:sz w:val="24"/>
        </w:rPr>
        <w:tab/>
        <w:t>b. Total Labor Burden</w:t>
      </w:r>
      <w:r w:rsidR="00722FDB" w:rsidRPr="00064270">
        <w:rPr>
          <w:rFonts w:asciiTheme="majorHAnsi" w:hAnsiTheme="majorHAnsi"/>
          <w:i/>
          <w:sz w:val="24"/>
        </w:rPr>
        <w:t xml:space="preserve">: </w:t>
      </w:r>
      <w:r w:rsidR="00722FDB" w:rsidRPr="00064270">
        <w:rPr>
          <w:rFonts w:asciiTheme="majorHAnsi" w:hAnsiTheme="majorHAnsi"/>
          <w:sz w:val="24"/>
        </w:rPr>
        <w:t>$</w:t>
      </w:r>
      <w:r w:rsidR="00542476" w:rsidRPr="00542476">
        <w:rPr>
          <w:rFonts w:asciiTheme="majorHAnsi" w:hAnsiTheme="majorHAnsi"/>
          <w:sz w:val="24"/>
        </w:rPr>
        <w:t>16,221,845.25</w:t>
      </w:r>
    </w:p>
    <w:p w14:paraId="6DDBEA3F" w14:textId="6D30EAE6" w:rsidR="00722FDB" w:rsidRPr="00064270" w:rsidRDefault="00722FDB" w:rsidP="00722FDB">
      <w:pPr>
        <w:spacing w:after="0" w:line="240" w:lineRule="auto"/>
        <w:rPr>
          <w:rFonts w:asciiTheme="majorHAnsi" w:hAnsiTheme="majorHAnsi"/>
          <w:sz w:val="24"/>
        </w:rPr>
      </w:pPr>
    </w:p>
    <w:p w14:paraId="08A9C285" w14:textId="77777777" w:rsidR="00722FDB" w:rsidRPr="00064270" w:rsidRDefault="00722FDB" w:rsidP="00722FDB">
      <w:pPr>
        <w:spacing w:after="0" w:line="240" w:lineRule="auto"/>
        <w:rPr>
          <w:rFonts w:asciiTheme="majorHAnsi" w:hAnsiTheme="majorHAnsi"/>
          <w:sz w:val="24"/>
          <w:u w:val="single"/>
        </w:rPr>
      </w:pPr>
      <w:r w:rsidRPr="00064270">
        <w:rPr>
          <w:rFonts w:asciiTheme="majorHAnsi" w:hAnsiTheme="majorHAnsi"/>
          <w:sz w:val="24"/>
          <w:u w:val="single"/>
        </w:rPr>
        <w:t>b. Operational and Maintenance Costs</w:t>
      </w:r>
    </w:p>
    <w:p w14:paraId="73981C17" w14:textId="77777777" w:rsidR="00486235" w:rsidRPr="00064270" w:rsidRDefault="00486235" w:rsidP="00486235">
      <w:pPr>
        <w:pStyle w:val="ListParagraph"/>
        <w:numPr>
          <w:ilvl w:val="0"/>
          <w:numId w:val="11"/>
        </w:numPr>
        <w:spacing w:after="0" w:line="240" w:lineRule="auto"/>
        <w:rPr>
          <w:rFonts w:asciiTheme="majorHAnsi" w:hAnsiTheme="majorHAnsi"/>
          <w:sz w:val="24"/>
          <w:u w:val="single"/>
        </w:rPr>
      </w:pPr>
      <w:r w:rsidRPr="00064270">
        <w:rPr>
          <w:rFonts w:asciiTheme="majorHAnsi" w:hAnsiTheme="majorHAnsi"/>
          <w:sz w:val="24"/>
          <w:u w:val="single"/>
        </w:rPr>
        <w:t>Equipment:</w:t>
      </w:r>
      <w:r w:rsidRPr="00064270">
        <w:rPr>
          <w:rFonts w:asciiTheme="majorHAnsi" w:hAnsiTheme="majorHAnsi"/>
          <w:sz w:val="24"/>
        </w:rPr>
        <w:t xml:space="preserve"> $</w:t>
      </w:r>
      <w:r w:rsidR="00E97E1C" w:rsidRPr="00064270">
        <w:rPr>
          <w:rFonts w:asciiTheme="majorHAnsi" w:hAnsiTheme="majorHAnsi"/>
          <w:sz w:val="24"/>
        </w:rPr>
        <w:t>0</w:t>
      </w:r>
    </w:p>
    <w:p w14:paraId="2D7A8BE7" w14:textId="77777777" w:rsidR="00486235" w:rsidRPr="00064270" w:rsidRDefault="00486235" w:rsidP="00486235">
      <w:pPr>
        <w:pStyle w:val="ListParagraph"/>
        <w:numPr>
          <w:ilvl w:val="0"/>
          <w:numId w:val="11"/>
        </w:numPr>
        <w:spacing w:after="0" w:line="240" w:lineRule="auto"/>
        <w:rPr>
          <w:rFonts w:asciiTheme="majorHAnsi" w:hAnsiTheme="majorHAnsi"/>
          <w:sz w:val="24"/>
          <w:u w:val="single"/>
        </w:rPr>
      </w:pPr>
      <w:r w:rsidRPr="00064270">
        <w:rPr>
          <w:rFonts w:asciiTheme="majorHAnsi" w:hAnsiTheme="majorHAnsi"/>
          <w:sz w:val="24"/>
          <w:u w:val="single"/>
        </w:rPr>
        <w:t xml:space="preserve">Printing: </w:t>
      </w:r>
      <w:r w:rsidRPr="00064270">
        <w:rPr>
          <w:rFonts w:asciiTheme="majorHAnsi" w:hAnsiTheme="majorHAnsi"/>
          <w:sz w:val="24"/>
        </w:rPr>
        <w:t>$</w:t>
      </w:r>
      <w:r w:rsidR="00E97E1C" w:rsidRPr="00064270">
        <w:rPr>
          <w:rFonts w:asciiTheme="majorHAnsi" w:hAnsiTheme="majorHAnsi"/>
          <w:sz w:val="24"/>
        </w:rPr>
        <w:t>0</w:t>
      </w:r>
    </w:p>
    <w:p w14:paraId="5155E5F9" w14:textId="77777777" w:rsidR="00486235" w:rsidRPr="00064270" w:rsidRDefault="00486235" w:rsidP="00486235">
      <w:pPr>
        <w:pStyle w:val="ListParagraph"/>
        <w:numPr>
          <w:ilvl w:val="0"/>
          <w:numId w:val="11"/>
        </w:numPr>
        <w:spacing w:after="0" w:line="240" w:lineRule="auto"/>
        <w:rPr>
          <w:rFonts w:asciiTheme="majorHAnsi" w:hAnsiTheme="majorHAnsi"/>
          <w:sz w:val="24"/>
          <w:u w:val="single"/>
        </w:rPr>
      </w:pPr>
      <w:r w:rsidRPr="00064270">
        <w:rPr>
          <w:rFonts w:asciiTheme="majorHAnsi" w:hAnsiTheme="majorHAnsi"/>
          <w:sz w:val="24"/>
          <w:u w:val="single"/>
        </w:rPr>
        <w:t xml:space="preserve">Postage: </w:t>
      </w:r>
      <w:r w:rsidRPr="00064270">
        <w:rPr>
          <w:rFonts w:asciiTheme="majorHAnsi" w:hAnsiTheme="majorHAnsi"/>
          <w:sz w:val="24"/>
        </w:rPr>
        <w:t>$</w:t>
      </w:r>
      <w:r w:rsidR="00E97E1C" w:rsidRPr="00064270">
        <w:rPr>
          <w:rFonts w:asciiTheme="majorHAnsi" w:hAnsiTheme="majorHAnsi"/>
          <w:sz w:val="24"/>
        </w:rPr>
        <w:t>0</w:t>
      </w:r>
    </w:p>
    <w:p w14:paraId="67645F1E" w14:textId="77777777" w:rsidR="00486235" w:rsidRPr="00064270" w:rsidRDefault="00486235" w:rsidP="00486235">
      <w:pPr>
        <w:pStyle w:val="ListParagraph"/>
        <w:numPr>
          <w:ilvl w:val="0"/>
          <w:numId w:val="11"/>
        </w:numPr>
        <w:spacing w:after="0" w:line="240" w:lineRule="auto"/>
        <w:rPr>
          <w:rFonts w:asciiTheme="majorHAnsi" w:hAnsiTheme="majorHAnsi"/>
          <w:sz w:val="24"/>
          <w:u w:val="single"/>
        </w:rPr>
      </w:pPr>
      <w:r w:rsidRPr="00064270">
        <w:rPr>
          <w:rFonts w:asciiTheme="majorHAnsi" w:hAnsiTheme="majorHAnsi"/>
          <w:sz w:val="24"/>
          <w:u w:val="single"/>
        </w:rPr>
        <w:t xml:space="preserve">Software Purchases: </w:t>
      </w:r>
      <w:r w:rsidRPr="00064270">
        <w:rPr>
          <w:rFonts w:asciiTheme="majorHAnsi" w:hAnsiTheme="majorHAnsi"/>
          <w:sz w:val="24"/>
        </w:rPr>
        <w:t>$</w:t>
      </w:r>
      <w:r w:rsidR="00E97E1C" w:rsidRPr="00064270">
        <w:rPr>
          <w:rFonts w:asciiTheme="majorHAnsi" w:hAnsiTheme="majorHAnsi"/>
          <w:sz w:val="24"/>
        </w:rPr>
        <w:t>0</w:t>
      </w:r>
    </w:p>
    <w:p w14:paraId="10A1DDB0" w14:textId="77777777" w:rsidR="00486235" w:rsidRPr="00064270" w:rsidRDefault="00486235" w:rsidP="00486235">
      <w:pPr>
        <w:pStyle w:val="ListParagraph"/>
        <w:numPr>
          <w:ilvl w:val="0"/>
          <w:numId w:val="11"/>
        </w:numPr>
        <w:spacing w:after="0" w:line="240" w:lineRule="auto"/>
        <w:rPr>
          <w:rFonts w:asciiTheme="majorHAnsi" w:hAnsiTheme="majorHAnsi"/>
          <w:sz w:val="24"/>
          <w:u w:val="single"/>
        </w:rPr>
      </w:pPr>
      <w:r w:rsidRPr="00064270">
        <w:rPr>
          <w:rFonts w:asciiTheme="majorHAnsi" w:hAnsiTheme="majorHAnsi"/>
          <w:sz w:val="24"/>
          <w:u w:val="single"/>
        </w:rPr>
        <w:t xml:space="preserve">Licensing Costs: </w:t>
      </w:r>
      <w:r w:rsidRPr="00064270">
        <w:rPr>
          <w:rFonts w:asciiTheme="majorHAnsi" w:hAnsiTheme="majorHAnsi"/>
          <w:sz w:val="24"/>
        </w:rPr>
        <w:t>$</w:t>
      </w:r>
      <w:r w:rsidR="00E97E1C" w:rsidRPr="00064270">
        <w:rPr>
          <w:rFonts w:asciiTheme="majorHAnsi" w:hAnsiTheme="majorHAnsi"/>
          <w:sz w:val="24"/>
        </w:rPr>
        <w:t>0</w:t>
      </w:r>
    </w:p>
    <w:p w14:paraId="2CC26FF9" w14:textId="77777777" w:rsidR="00486235" w:rsidRPr="00064270" w:rsidRDefault="00486235" w:rsidP="00486235">
      <w:pPr>
        <w:pStyle w:val="ListParagraph"/>
        <w:numPr>
          <w:ilvl w:val="0"/>
          <w:numId w:val="11"/>
        </w:numPr>
        <w:spacing w:after="0" w:line="240" w:lineRule="auto"/>
        <w:rPr>
          <w:rFonts w:asciiTheme="majorHAnsi" w:hAnsiTheme="majorHAnsi"/>
          <w:sz w:val="24"/>
          <w:u w:val="single"/>
        </w:rPr>
      </w:pPr>
      <w:r w:rsidRPr="00064270">
        <w:rPr>
          <w:rFonts w:asciiTheme="majorHAnsi" w:hAnsiTheme="majorHAnsi"/>
          <w:sz w:val="24"/>
          <w:u w:val="single"/>
        </w:rPr>
        <w:t xml:space="preserve">Other: </w:t>
      </w:r>
      <w:r w:rsidRPr="00064270">
        <w:rPr>
          <w:rFonts w:asciiTheme="majorHAnsi" w:hAnsiTheme="majorHAnsi"/>
          <w:sz w:val="24"/>
        </w:rPr>
        <w:t>$</w:t>
      </w:r>
      <w:r w:rsidR="00E97E1C" w:rsidRPr="00064270">
        <w:rPr>
          <w:rFonts w:asciiTheme="majorHAnsi" w:hAnsiTheme="majorHAnsi"/>
          <w:sz w:val="24"/>
        </w:rPr>
        <w:t>0</w:t>
      </w:r>
    </w:p>
    <w:p w14:paraId="3A4E5E6D" w14:textId="76720634" w:rsidR="00486235" w:rsidRPr="00064270" w:rsidRDefault="00486235" w:rsidP="00486235">
      <w:pPr>
        <w:spacing w:after="0" w:line="240" w:lineRule="auto"/>
        <w:ind w:left="360"/>
        <w:rPr>
          <w:rFonts w:asciiTheme="majorHAnsi" w:hAnsiTheme="majorHAnsi"/>
          <w:sz w:val="24"/>
        </w:rPr>
      </w:pPr>
      <w:r w:rsidRPr="00064270">
        <w:rPr>
          <w:rFonts w:asciiTheme="majorHAnsi" w:hAnsiTheme="majorHAnsi"/>
          <w:sz w:val="24"/>
        </w:rPr>
        <w:t xml:space="preserve">g. </w:t>
      </w:r>
      <w:r w:rsidRPr="00064270">
        <w:rPr>
          <w:rFonts w:asciiTheme="majorHAnsi" w:hAnsiTheme="majorHAnsi"/>
          <w:sz w:val="24"/>
        </w:rPr>
        <w:tab/>
      </w:r>
      <w:r w:rsidR="00EC657D">
        <w:rPr>
          <w:rFonts w:asciiTheme="majorHAnsi" w:hAnsiTheme="majorHAnsi"/>
          <w:sz w:val="24"/>
          <w:u w:val="single"/>
        </w:rPr>
        <w:t>Total</w:t>
      </w:r>
      <w:r w:rsidRPr="00064270">
        <w:rPr>
          <w:rFonts w:asciiTheme="majorHAnsi" w:hAnsiTheme="majorHAnsi"/>
          <w:sz w:val="24"/>
          <w:u w:val="single"/>
        </w:rPr>
        <w:t xml:space="preserve">: </w:t>
      </w:r>
      <w:r w:rsidRPr="00064270">
        <w:rPr>
          <w:rFonts w:asciiTheme="majorHAnsi" w:hAnsiTheme="majorHAnsi"/>
          <w:sz w:val="24"/>
        </w:rPr>
        <w:t>$</w:t>
      </w:r>
      <w:r w:rsidR="00E97E1C" w:rsidRPr="00064270">
        <w:rPr>
          <w:rFonts w:asciiTheme="majorHAnsi" w:hAnsiTheme="majorHAnsi"/>
          <w:sz w:val="24"/>
        </w:rPr>
        <w:t>0</w:t>
      </w:r>
    </w:p>
    <w:p w14:paraId="6B895390" w14:textId="77777777" w:rsidR="00486235" w:rsidRPr="00064270" w:rsidRDefault="00486235" w:rsidP="00486235">
      <w:pPr>
        <w:spacing w:after="0" w:line="240" w:lineRule="auto"/>
        <w:rPr>
          <w:rFonts w:asciiTheme="majorHAnsi" w:hAnsiTheme="majorHAnsi"/>
          <w:sz w:val="24"/>
        </w:rPr>
      </w:pPr>
    </w:p>
    <w:p w14:paraId="0E579E99" w14:textId="77777777" w:rsidR="00486235" w:rsidRPr="00064270" w:rsidRDefault="00486235" w:rsidP="00486235">
      <w:pPr>
        <w:spacing w:after="0" w:line="240" w:lineRule="auto"/>
        <w:rPr>
          <w:rFonts w:asciiTheme="majorHAnsi" w:hAnsiTheme="majorHAnsi"/>
          <w:sz w:val="24"/>
        </w:rPr>
      </w:pPr>
      <w:r w:rsidRPr="00064270">
        <w:rPr>
          <w:rFonts w:asciiTheme="majorHAnsi" w:hAnsiTheme="majorHAnsi"/>
          <w:sz w:val="24"/>
        </w:rPr>
        <w:t>1. Total Operational and Maintenance Costs: $</w:t>
      </w:r>
      <w:r w:rsidR="00E97E1C" w:rsidRPr="00064270">
        <w:rPr>
          <w:rFonts w:asciiTheme="majorHAnsi" w:hAnsiTheme="majorHAnsi"/>
          <w:sz w:val="24"/>
        </w:rPr>
        <w:t>0</w:t>
      </w:r>
    </w:p>
    <w:p w14:paraId="415EDFC8" w14:textId="2E4A3663" w:rsidR="00ED2816" w:rsidRDefault="00486235" w:rsidP="00486235">
      <w:pPr>
        <w:spacing w:after="0" w:line="240" w:lineRule="auto"/>
        <w:rPr>
          <w:rFonts w:asciiTheme="majorHAnsi" w:hAnsiTheme="majorHAnsi"/>
          <w:sz w:val="24"/>
        </w:rPr>
      </w:pPr>
      <w:r w:rsidRPr="00064270">
        <w:rPr>
          <w:rFonts w:asciiTheme="majorHAnsi" w:hAnsiTheme="majorHAnsi"/>
          <w:sz w:val="24"/>
        </w:rPr>
        <w:t>2. Total Labor Cost to the Federal Government: $</w:t>
      </w:r>
      <w:r w:rsidR="00626F6F" w:rsidRPr="00542476">
        <w:rPr>
          <w:rFonts w:asciiTheme="majorHAnsi" w:hAnsiTheme="majorHAnsi"/>
          <w:sz w:val="24"/>
        </w:rPr>
        <w:t>16,221,845.25</w:t>
      </w:r>
    </w:p>
    <w:p w14:paraId="137A7198" w14:textId="6EB22E26" w:rsidR="00486235" w:rsidRDefault="00486235" w:rsidP="00486235">
      <w:pPr>
        <w:spacing w:after="0" w:line="240" w:lineRule="auto"/>
        <w:rPr>
          <w:rFonts w:asciiTheme="majorHAnsi" w:hAnsiTheme="majorHAnsi"/>
          <w:sz w:val="24"/>
        </w:rPr>
      </w:pPr>
      <w:r w:rsidRPr="00064270">
        <w:rPr>
          <w:rFonts w:asciiTheme="majorHAnsi" w:hAnsiTheme="majorHAnsi"/>
          <w:sz w:val="24"/>
        </w:rPr>
        <w:t>3. Total</w:t>
      </w:r>
      <w:r w:rsidR="00EC657D">
        <w:rPr>
          <w:rFonts w:asciiTheme="majorHAnsi" w:hAnsiTheme="majorHAnsi"/>
          <w:sz w:val="24"/>
        </w:rPr>
        <w:t xml:space="preserve"> Cost to the Federal Government</w:t>
      </w:r>
      <w:r w:rsidRPr="00064270">
        <w:rPr>
          <w:rFonts w:asciiTheme="majorHAnsi" w:hAnsiTheme="majorHAnsi"/>
          <w:sz w:val="24"/>
        </w:rPr>
        <w:t>: $</w:t>
      </w:r>
      <w:r w:rsidR="00626F6F" w:rsidRPr="00542476">
        <w:rPr>
          <w:rFonts w:asciiTheme="majorHAnsi" w:hAnsiTheme="majorHAnsi"/>
          <w:sz w:val="24"/>
        </w:rPr>
        <w:t>16,221,845.25</w:t>
      </w:r>
    </w:p>
    <w:p w14:paraId="5B6480CD" w14:textId="77777777" w:rsidR="00486235" w:rsidRDefault="00486235" w:rsidP="00486235">
      <w:pPr>
        <w:spacing w:after="0" w:line="240" w:lineRule="auto"/>
        <w:rPr>
          <w:rFonts w:asciiTheme="majorHAnsi" w:hAnsiTheme="majorHAnsi"/>
          <w:sz w:val="24"/>
        </w:rPr>
      </w:pPr>
    </w:p>
    <w:p w14:paraId="39AE153C" w14:textId="77777777" w:rsidR="00DA2B37" w:rsidRPr="005B1F95" w:rsidRDefault="00DA2B37" w:rsidP="00486235">
      <w:pPr>
        <w:spacing w:after="0" w:line="240" w:lineRule="auto"/>
        <w:rPr>
          <w:rFonts w:asciiTheme="majorHAnsi" w:hAnsiTheme="majorHAnsi"/>
          <w:sz w:val="24"/>
          <w:u w:val="single"/>
        </w:rPr>
      </w:pPr>
      <w:r w:rsidRPr="005B1F95">
        <w:rPr>
          <w:rFonts w:asciiTheme="majorHAnsi" w:hAnsiTheme="majorHAnsi"/>
          <w:sz w:val="24"/>
        </w:rPr>
        <w:t xml:space="preserve">15. </w:t>
      </w:r>
      <w:r w:rsidRPr="005B1F95">
        <w:rPr>
          <w:rFonts w:asciiTheme="majorHAnsi" w:hAnsiTheme="majorHAnsi"/>
          <w:sz w:val="24"/>
        </w:rPr>
        <w:tab/>
      </w:r>
      <w:r w:rsidRPr="005B1F95">
        <w:rPr>
          <w:rFonts w:asciiTheme="majorHAnsi" w:hAnsiTheme="majorHAnsi"/>
          <w:sz w:val="24"/>
          <w:u w:val="single"/>
        </w:rPr>
        <w:t>Reasons for Change in Burden</w:t>
      </w:r>
    </w:p>
    <w:p w14:paraId="667173B0" w14:textId="77777777" w:rsidR="005B1F95" w:rsidRPr="005B1F95" w:rsidRDefault="005B1F95" w:rsidP="005B1F95">
      <w:pPr>
        <w:spacing w:after="0" w:line="240" w:lineRule="auto"/>
        <w:rPr>
          <w:rFonts w:asciiTheme="majorHAnsi" w:hAnsiTheme="majorHAnsi"/>
          <w:sz w:val="24"/>
        </w:rPr>
      </w:pPr>
    </w:p>
    <w:p w14:paraId="29701F6D" w14:textId="414BB5D8" w:rsidR="00DA2B37" w:rsidRPr="003326E6" w:rsidRDefault="00602C88" w:rsidP="003326E6">
      <w:pPr>
        <w:spacing w:after="0" w:line="240" w:lineRule="auto"/>
        <w:rPr>
          <w:rFonts w:asciiTheme="majorHAnsi" w:hAnsiTheme="majorHAnsi"/>
          <w:sz w:val="24"/>
        </w:rPr>
      </w:pPr>
      <w:r w:rsidRPr="00DB681A">
        <w:rPr>
          <w:rFonts w:asciiTheme="majorHAnsi" w:hAnsiTheme="majorHAnsi"/>
          <w:sz w:val="24"/>
        </w:rPr>
        <w:t>The burden has increased since the previous approval due to</w:t>
      </w:r>
      <w:r>
        <w:rPr>
          <w:rFonts w:asciiTheme="majorHAnsi" w:hAnsiTheme="majorHAnsi"/>
          <w:sz w:val="24"/>
        </w:rPr>
        <w:t xml:space="preserve"> </w:t>
      </w:r>
      <w:r w:rsidR="002E6852">
        <w:rPr>
          <w:rFonts w:asciiTheme="majorHAnsi" w:hAnsiTheme="majorHAnsi"/>
          <w:sz w:val="24"/>
        </w:rPr>
        <w:t xml:space="preserve">a variety of </w:t>
      </w:r>
      <w:r>
        <w:rPr>
          <w:rFonts w:asciiTheme="majorHAnsi" w:hAnsiTheme="majorHAnsi"/>
          <w:sz w:val="24"/>
        </w:rPr>
        <w:t xml:space="preserve">reasons. Only paper forms were </w:t>
      </w:r>
      <w:r w:rsidR="00DB681A">
        <w:rPr>
          <w:rFonts w:asciiTheme="majorHAnsi" w:hAnsiTheme="majorHAnsi"/>
          <w:sz w:val="24"/>
        </w:rPr>
        <w:t>included</w:t>
      </w:r>
      <w:r>
        <w:rPr>
          <w:rFonts w:asciiTheme="majorHAnsi" w:hAnsiTheme="majorHAnsi"/>
          <w:sz w:val="24"/>
        </w:rPr>
        <w:t xml:space="preserve"> as a collection instrument in the past, and</w:t>
      </w:r>
      <w:r w:rsidR="002B5C66">
        <w:rPr>
          <w:rFonts w:asciiTheme="majorHAnsi" w:hAnsiTheme="majorHAnsi"/>
          <w:sz w:val="24"/>
        </w:rPr>
        <w:t xml:space="preserve"> the</w:t>
      </w:r>
      <w:r>
        <w:rPr>
          <w:rFonts w:asciiTheme="majorHAnsi" w:hAnsiTheme="majorHAnsi"/>
          <w:sz w:val="24"/>
        </w:rPr>
        <w:t xml:space="preserve"> collection of information over the phone is </w:t>
      </w:r>
      <w:r w:rsidR="002E6852">
        <w:rPr>
          <w:rFonts w:asciiTheme="majorHAnsi" w:hAnsiTheme="majorHAnsi"/>
          <w:sz w:val="24"/>
        </w:rPr>
        <w:t xml:space="preserve">now </w:t>
      </w:r>
      <w:r>
        <w:rPr>
          <w:rFonts w:asciiTheme="majorHAnsi" w:hAnsiTheme="majorHAnsi"/>
          <w:sz w:val="24"/>
        </w:rPr>
        <w:t xml:space="preserve">a significant amount of the burden. </w:t>
      </w:r>
      <w:r w:rsidR="002E6852">
        <w:rPr>
          <w:rFonts w:asciiTheme="majorHAnsi" w:hAnsiTheme="majorHAnsi"/>
          <w:sz w:val="24"/>
        </w:rPr>
        <w:t>In 2015, we change</w:t>
      </w:r>
      <w:r w:rsidR="00F56B94">
        <w:rPr>
          <w:rFonts w:asciiTheme="majorHAnsi" w:hAnsiTheme="majorHAnsi"/>
          <w:sz w:val="24"/>
        </w:rPr>
        <w:t>d</w:t>
      </w:r>
      <w:r w:rsidR="002E6852">
        <w:rPr>
          <w:rFonts w:asciiTheme="majorHAnsi" w:hAnsiTheme="majorHAnsi"/>
          <w:sz w:val="24"/>
        </w:rPr>
        <w:t xml:space="preserve"> our enrollment policy to allow telephonic enrollments. </w:t>
      </w:r>
      <w:r w:rsidR="00F56B94">
        <w:rPr>
          <w:rFonts w:asciiTheme="majorHAnsi" w:hAnsiTheme="majorHAnsi"/>
          <w:sz w:val="24"/>
        </w:rPr>
        <w:t xml:space="preserve">In 2018 in response to </w:t>
      </w:r>
      <w:r w:rsidR="00F56B94" w:rsidRPr="006513A2">
        <w:rPr>
          <w:rFonts w:ascii="Times New Roman" w:hAnsi="Times New Roman"/>
          <w:sz w:val="24"/>
          <w:szCs w:val="24"/>
        </w:rPr>
        <w:t>Section 701 of the National Defense Authorization Act (NDAA) for Fiscal Year (FY) 2017, TRICARE Se</w:t>
      </w:r>
      <w:r w:rsidR="00F56B94">
        <w:rPr>
          <w:rFonts w:ascii="Times New Roman" w:hAnsi="Times New Roman"/>
          <w:sz w:val="24"/>
          <w:szCs w:val="24"/>
        </w:rPr>
        <w:t xml:space="preserve">lect and Other TRICARE Reforms, we revised the overall enrollment process which only allows plan </w:t>
      </w:r>
      <w:r w:rsidR="00F56B94" w:rsidRPr="006513A2">
        <w:rPr>
          <w:rFonts w:ascii="Times New Roman" w:hAnsi="Times New Roman"/>
          <w:sz w:val="24"/>
          <w:szCs w:val="24"/>
        </w:rPr>
        <w:t>change</w:t>
      </w:r>
      <w:r w:rsidR="00F56B94">
        <w:rPr>
          <w:rFonts w:ascii="Times New Roman" w:hAnsi="Times New Roman"/>
          <w:sz w:val="24"/>
          <w:szCs w:val="24"/>
        </w:rPr>
        <w:t xml:space="preserve">s </w:t>
      </w:r>
      <w:r w:rsidR="00054004">
        <w:rPr>
          <w:rFonts w:ascii="Times New Roman" w:hAnsi="Times New Roman"/>
          <w:sz w:val="24"/>
          <w:szCs w:val="24"/>
        </w:rPr>
        <w:t xml:space="preserve">during </w:t>
      </w:r>
      <w:r w:rsidR="00F56B94">
        <w:rPr>
          <w:rFonts w:ascii="Times New Roman" w:hAnsi="Times New Roman"/>
          <w:sz w:val="24"/>
          <w:szCs w:val="24"/>
        </w:rPr>
        <w:t xml:space="preserve">an </w:t>
      </w:r>
      <w:r w:rsidR="00F56B94" w:rsidRPr="006513A2">
        <w:rPr>
          <w:rFonts w:ascii="Times New Roman" w:hAnsi="Times New Roman"/>
          <w:sz w:val="24"/>
          <w:szCs w:val="24"/>
        </w:rPr>
        <w:t xml:space="preserve">annual TRICARE Open Season, or within 90 days of a Qualifying Life Event (QLE).  </w:t>
      </w:r>
      <w:r w:rsidR="00F56B94">
        <w:rPr>
          <w:rFonts w:asciiTheme="majorHAnsi" w:hAnsiTheme="majorHAnsi"/>
          <w:sz w:val="24"/>
        </w:rPr>
        <w:t>E</w:t>
      </w:r>
      <w:r w:rsidR="002B5C66">
        <w:rPr>
          <w:rFonts w:asciiTheme="majorHAnsi" w:hAnsiTheme="majorHAnsi"/>
          <w:sz w:val="24"/>
        </w:rPr>
        <w:t>ase of the online system and allowance of enrolling via telephone has caused a significant increase from past collections.</w:t>
      </w:r>
      <w:r w:rsidR="005A4876">
        <w:rPr>
          <w:rFonts w:asciiTheme="majorHAnsi" w:hAnsiTheme="majorHAnsi"/>
          <w:sz w:val="24"/>
        </w:rPr>
        <w:t xml:space="preserve">  </w:t>
      </w:r>
      <w:r w:rsidR="003326E6">
        <w:rPr>
          <w:rFonts w:asciiTheme="majorHAnsi" w:hAnsiTheme="majorHAnsi"/>
          <w:sz w:val="24"/>
        </w:rPr>
        <w:t>T</w:t>
      </w:r>
      <w:r w:rsidR="003326E6" w:rsidRPr="003326E6">
        <w:rPr>
          <w:rFonts w:asciiTheme="majorHAnsi" w:hAnsiTheme="majorHAnsi"/>
          <w:sz w:val="24"/>
        </w:rPr>
        <w:t>he number of respondents comes from the monthly Beneficiary Services Report (CDRL M70) which requires the Managed Care Support Contractors (MCSCs) to provide the Government with a count of the number of enrollment transactions processed within the timelines established for contract performance as required in the TRICARE Manuals.  Enrollment calls are estimated to take 15 minutes on average.  There are no phone scripts, the call time estimate came from the contractor</w:t>
      </w:r>
      <w:r w:rsidR="003326E6">
        <w:rPr>
          <w:rFonts w:asciiTheme="majorHAnsi" w:hAnsiTheme="majorHAnsi"/>
          <w:sz w:val="24"/>
        </w:rPr>
        <w:t xml:space="preserve">s who considered </w:t>
      </w:r>
      <w:r w:rsidR="003326E6" w:rsidRPr="003326E6">
        <w:rPr>
          <w:rFonts w:asciiTheme="majorHAnsi" w:hAnsiTheme="majorHAnsi"/>
          <w:sz w:val="24"/>
        </w:rPr>
        <w:t>the time needed to ask f</w:t>
      </w:r>
      <w:r w:rsidR="003326E6">
        <w:rPr>
          <w:rFonts w:asciiTheme="majorHAnsi" w:hAnsiTheme="majorHAnsi"/>
          <w:sz w:val="24"/>
        </w:rPr>
        <w:t xml:space="preserve">or, collect and enter relevant </w:t>
      </w:r>
      <w:r w:rsidR="003326E6" w:rsidRPr="003326E6">
        <w:rPr>
          <w:rFonts w:asciiTheme="majorHAnsi" w:hAnsiTheme="majorHAnsi"/>
          <w:sz w:val="24"/>
        </w:rPr>
        <w:t xml:space="preserve">enrollment request information as if the beneficiary were completing the form manually.  Lastly, the assumption that there will be two responses per respondent on average was based on the transitory nature of our beneficiary and provider population which leads to multiple moves and/or </w:t>
      </w:r>
      <w:r w:rsidR="003326E6">
        <w:rPr>
          <w:rFonts w:asciiTheme="majorHAnsi" w:hAnsiTheme="majorHAnsi"/>
          <w:sz w:val="24"/>
        </w:rPr>
        <w:t xml:space="preserve">voluntary or involuntary </w:t>
      </w:r>
      <w:r w:rsidR="003326E6" w:rsidRPr="003326E6">
        <w:rPr>
          <w:rFonts w:asciiTheme="majorHAnsi" w:hAnsiTheme="majorHAnsi"/>
          <w:sz w:val="24"/>
        </w:rPr>
        <w:t>primary care manager changes.</w:t>
      </w:r>
    </w:p>
    <w:p w14:paraId="4D724F12" w14:textId="77777777" w:rsidR="00B933B0" w:rsidRDefault="00B933B0" w:rsidP="00DA2B37">
      <w:pPr>
        <w:spacing w:after="0" w:line="240" w:lineRule="auto"/>
        <w:ind w:firstLine="720"/>
        <w:rPr>
          <w:rFonts w:asciiTheme="majorHAnsi" w:hAnsiTheme="majorHAnsi"/>
          <w:sz w:val="24"/>
        </w:rPr>
      </w:pPr>
    </w:p>
    <w:p w14:paraId="35504167"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62E9DA6B" w14:textId="77777777" w:rsidR="005C3A95" w:rsidRDefault="005C3A95" w:rsidP="00486235">
      <w:pPr>
        <w:spacing w:after="0" w:line="240" w:lineRule="auto"/>
        <w:rPr>
          <w:rFonts w:asciiTheme="majorHAnsi" w:hAnsiTheme="majorHAnsi"/>
          <w:sz w:val="24"/>
        </w:rPr>
      </w:pPr>
      <w:r w:rsidRPr="00C84564">
        <w:rPr>
          <w:rFonts w:asciiTheme="majorHAnsi" w:hAnsiTheme="majorHAnsi"/>
          <w:sz w:val="24"/>
        </w:rPr>
        <w:t>The results of this information collection will not be published.</w:t>
      </w:r>
      <w:r>
        <w:rPr>
          <w:rFonts w:asciiTheme="majorHAnsi" w:hAnsiTheme="majorHAnsi"/>
          <w:sz w:val="24"/>
        </w:rPr>
        <w:t xml:space="preserve"> </w:t>
      </w:r>
    </w:p>
    <w:p w14:paraId="406D1815" w14:textId="77777777" w:rsidR="00DA2B37" w:rsidRDefault="00DA2B37" w:rsidP="00486235">
      <w:pPr>
        <w:spacing w:after="0" w:line="240" w:lineRule="auto"/>
        <w:rPr>
          <w:rFonts w:asciiTheme="majorHAnsi" w:hAnsiTheme="majorHAnsi"/>
          <w:sz w:val="24"/>
        </w:rPr>
      </w:pPr>
    </w:p>
    <w:p w14:paraId="3441B5F8"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57EECADA" w14:textId="77777777" w:rsidR="00C62D17" w:rsidRDefault="00C62D17" w:rsidP="00486235">
      <w:pPr>
        <w:spacing w:after="0" w:line="240" w:lineRule="auto"/>
        <w:rPr>
          <w:rFonts w:asciiTheme="majorHAnsi" w:hAnsiTheme="majorHAnsi"/>
          <w:sz w:val="24"/>
        </w:rPr>
      </w:pPr>
      <w:r w:rsidRPr="00C84564">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7EE8EC47" w14:textId="77777777" w:rsidR="00C62D17" w:rsidRDefault="00C62D17" w:rsidP="00486235">
      <w:pPr>
        <w:spacing w:after="0" w:line="240" w:lineRule="auto"/>
        <w:rPr>
          <w:rFonts w:asciiTheme="majorHAnsi" w:hAnsiTheme="majorHAnsi"/>
          <w:sz w:val="24"/>
        </w:rPr>
      </w:pPr>
    </w:p>
    <w:p w14:paraId="48BD4CE3"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213B8C4A" w14:textId="77777777" w:rsidR="00A50A0F" w:rsidRPr="00C62D17" w:rsidRDefault="00A50A0F" w:rsidP="00C84564">
      <w:pPr>
        <w:spacing w:after="0" w:line="240" w:lineRule="auto"/>
        <w:rPr>
          <w:rFonts w:asciiTheme="majorHAnsi" w:hAnsiTheme="majorHAnsi"/>
          <w:i/>
          <w:sz w:val="24"/>
        </w:rPr>
      </w:pPr>
      <w:r w:rsidRPr="00C84564">
        <w:rPr>
          <w:rFonts w:asciiTheme="majorHAnsi" w:hAnsiTheme="majorHAnsi"/>
          <w:sz w:val="24"/>
        </w:rPr>
        <w:t>We are not requesting an</w:t>
      </w:r>
      <w:r w:rsidR="00420AE9" w:rsidRPr="00C84564">
        <w:rPr>
          <w:rFonts w:asciiTheme="majorHAnsi" w:hAnsiTheme="majorHAnsi"/>
          <w:sz w:val="24"/>
        </w:rPr>
        <w:t>y</w:t>
      </w:r>
      <w:r w:rsidRPr="00C84564">
        <w:rPr>
          <w:rFonts w:asciiTheme="majorHAnsi" w:hAnsiTheme="majorHAnsi"/>
          <w:sz w:val="24"/>
        </w:rPr>
        <w:t xml:space="preserve"> exemption</w:t>
      </w:r>
      <w:r w:rsidR="00420AE9" w:rsidRPr="00C84564">
        <w:rPr>
          <w:rFonts w:asciiTheme="majorHAnsi" w:hAnsiTheme="majorHAnsi"/>
          <w:sz w:val="24"/>
        </w:rPr>
        <w:t>s</w:t>
      </w:r>
      <w:r w:rsidRPr="00C84564">
        <w:rPr>
          <w:rFonts w:asciiTheme="majorHAnsi" w:hAnsiTheme="majorHAnsi"/>
          <w:sz w:val="24"/>
        </w:rPr>
        <w:t xml:space="preserve"> to the provisions </w:t>
      </w:r>
      <w:r w:rsidR="00420AE9" w:rsidRPr="00C84564">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4A041" w14:textId="77777777" w:rsidR="007A1D09" w:rsidRDefault="007A1D09" w:rsidP="00FB569C">
      <w:pPr>
        <w:spacing w:after="0" w:line="240" w:lineRule="auto"/>
      </w:pPr>
      <w:r>
        <w:separator/>
      </w:r>
    </w:p>
  </w:endnote>
  <w:endnote w:type="continuationSeparator" w:id="0">
    <w:p w14:paraId="484893CD" w14:textId="77777777" w:rsidR="007A1D09" w:rsidRDefault="007A1D09"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462AA" w14:textId="77777777" w:rsidR="007A1D09" w:rsidRDefault="007A1D09" w:rsidP="00FB569C">
      <w:pPr>
        <w:spacing w:after="0" w:line="240" w:lineRule="auto"/>
      </w:pPr>
      <w:r>
        <w:separator/>
      </w:r>
    </w:p>
  </w:footnote>
  <w:footnote w:type="continuationSeparator" w:id="0">
    <w:p w14:paraId="077F3159" w14:textId="77777777" w:rsidR="007A1D09" w:rsidRDefault="007A1D09"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C2A21"/>
    <w:multiLevelType w:val="hybridMultilevel"/>
    <w:tmpl w:val="DBF4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0"/>
  </w:num>
  <w:num w:numId="6">
    <w:abstractNumId w:val="1"/>
  </w:num>
  <w:num w:numId="7">
    <w:abstractNumId w:val="11"/>
  </w:num>
  <w:num w:numId="8">
    <w:abstractNumId w:val="8"/>
  </w:num>
  <w:num w:numId="9">
    <w:abstractNumId w:val="12"/>
  </w:num>
  <w:num w:numId="10">
    <w:abstractNumId w:val="2"/>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655D"/>
    <w:rsid w:val="0003499F"/>
    <w:rsid w:val="0004364F"/>
    <w:rsid w:val="00054004"/>
    <w:rsid w:val="00064270"/>
    <w:rsid w:val="000B0E70"/>
    <w:rsid w:val="000C0C7F"/>
    <w:rsid w:val="00105D57"/>
    <w:rsid w:val="00105F45"/>
    <w:rsid w:val="00110938"/>
    <w:rsid w:val="00153CB2"/>
    <w:rsid w:val="00173820"/>
    <w:rsid w:val="00190887"/>
    <w:rsid w:val="0019309D"/>
    <w:rsid w:val="001E55E8"/>
    <w:rsid w:val="001F526C"/>
    <w:rsid w:val="001F61AD"/>
    <w:rsid w:val="00200261"/>
    <w:rsid w:val="00211832"/>
    <w:rsid w:val="00222D1B"/>
    <w:rsid w:val="002402BA"/>
    <w:rsid w:val="0024335E"/>
    <w:rsid w:val="00251619"/>
    <w:rsid w:val="00254DCF"/>
    <w:rsid w:val="002567F9"/>
    <w:rsid w:val="00265BA5"/>
    <w:rsid w:val="0027743E"/>
    <w:rsid w:val="00285C59"/>
    <w:rsid w:val="00294E92"/>
    <w:rsid w:val="002B5C66"/>
    <w:rsid w:val="002E6852"/>
    <w:rsid w:val="003132E7"/>
    <w:rsid w:val="00321E48"/>
    <w:rsid w:val="00331D7E"/>
    <w:rsid w:val="003326E6"/>
    <w:rsid w:val="003328F7"/>
    <w:rsid w:val="00337EF1"/>
    <w:rsid w:val="00345036"/>
    <w:rsid w:val="00356F77"/>
    <w:rsid w:val="00394A8A"/>
    <w:rsid w:val="003C0540"/>
    <w:rsid w:val="003F1A79"/>
    <w:rsid w:val="00410ABF"/>
    <w:rsid w:val="00420AE9"/>
    <w:rsid w:val="00422767"/>
    <w:rsid w:val="00457268"/>
    <w:rsid w:val="00477745"/>
    <w:rsid w:val="00480AFF"/>
    <w:rsid w:val="00486235"/>
    <w:rsid w:val="00490797"/>
    <w:rsid w:val="004B5D1F"/>
    <w:rsid w:val="004C74D6"/>
    <w:rsid w:val="004F4F5D"/>
    <w:rsid w:val="005069A6"/>
    <w:rsid w:val="00510F0C"/>
    <w:rsid w:val="00520B36"/>
    <w:rsid w:val="00542476"/>
    <w:rsid w:val="00571698"/>
    <w:rsid w:val="00576EDB"/>
    <w:rsid w:val="0059535D"/>
    <w:rsid w:val="00596BBA"/>
    <w:rsid w:val="005A4876"/>
    <w:rsid w:val="005A4E0F"/>
    <w:rsid w:val="005B1F95"/>
    <w:rsid w:val="005C2950"/>
    <w:rsid w:val="005C3A95"/>
    <w:rsid w:val="005C7428"/>
    <w:rsid w:val="005D5C81"/>
    <w:rsid w:val="00602C88"/>
    <w:rsid w:val="00626F6F"/>
    <w:rsid w:val="00626FB9"/>
    <w:rsid w:val="00642741"/>
    <w:rsid w:val="006A13FA"/>
    <w:rsid w:val="006E563D"/>
    <w:rsid w:val="006F2DF8"/>
    <w:rsid w:val="00707E7E"/>
    <w:rsid w:val="00722FDB"/>
    <w:rsid w:val="0077261C"/>
    <w:rsid w:val="007846BB"/>
    <w:rsid w:val="007A1D09"/>
    <w:rsid w:val="007C058F"/>
    <w:rsid w:val="007F28EA"/>
    <w:rsid w:val="00820876"/>
    <w:rsid w:val="00826F83"/>
    <w:rsid w:val="008316A4"/>
    <w:rsid w:val="00853063"/>
    <w:rsid w:val="008635C4"/>
    <w:rsid w:val="008710AF"/>
    <w:rsid w:val="008D1294"/>
    <w:rsid w:val="008E3029"/>
    <w:rsid w:val="00910082"/>
    <w:rsid w:val="00942F2E"/>
    <w:rsid w:val="009547A5"/>
    <w:rsid w:val="0098628F"/>
    <w:rsid w:val="00994FD2"/>
    <w:rsid w:val="00996894"/>
    <w:rsid w:val="009A4FC9"/>
    <w:rsid w:val="009A6246"/>
    <w:rsid w:val="009C19A5"/>
    <w:rsid w:val="009F2544"/>
    <w:rsid w:val="009F316A"/>
    <w:rsid w:val="00A02917"/>
    <w:rsid w:val="00A50A0F"/>
    <w:rsid w:val="00A52B1C"/>
    <w:rsid w:val="00A76F7E"/>
    <w:rsid w:val="00A77157"/>
    <w:rsid w:val="00A90E7B"/>
    <w:rsid w:val="00B42903"/>
    <w:rsid w:val="00B52F4E"/>
    <w:rsid w:val="00B623C1"/>
    <w:rsid w:val="00B738CC"/>
    <w:rsid w:val="00B83767"/>
    <w:rsid w:val="00B933B0"/>
    <w:rsid w:val="00BA163A"/>
    <w:rsid w:val="00BA4337"/>
    <w:rsid w:val="00BB61C5"/>
    <w:rsid w:val="00BC3BF7"/>
    <w:rsid w:val="00BC66E9"/>
    <w:rsid w:val="00C62D17"/>
    <w:rsid w:val="00C808F4"/>
    <w:rsid w:val="00C84564"/>
    <w:rsid w:val="00CA15B1"/>
    <w:rsid w:val="00CC24D5"/>
    <w:rsid w:val="00CC5757"/>
    <w:rsid w:val="00CD500D"/>
    <w:rsid w:val="00CE0F51"/>
    <w:rsid w:val="00CE7B23"/>
    <w:rsid w:val="00D04368"/>
    <w:rsid w:val="00D21AA6"/>
    <w:rsid w:val="00D3120C"/>
    <w:rsid w:val="00D462F7"/>
    <w:rsid w:val="00D95F5C"/>
    <w:rsid w:val="00DA2B37"/>
    <w:rsid w:val="00DB01E4"/>
    <w:rsid w:val="00DB681A"/>
    <w:rsid w:val="00DE345E"/>
    <w:rsid w:val="00E04175"/>
    <w:rsid w:val="00E5409A"/>
    <w:rsid w:val="00E95FFB"/>
    <w:rsid w:val="00E97E1C"/>
    <w:rsid w:val="00EA6C04"/>
    <w:rsid w:val="00EC657D"/>
    <w:rsid w:val="00ED2463"/>
    <w:rsid w:val="00ED2816"/>
    <w:rsid w:val="00F001AD"/>
    <w:rsid w:val="00F214A9"/>
    <w:rsid w:val="00F25499"/>
    <w:rsid w:val="00F56B94"/>
    <w:rsid w:val="00F86C35"/>
    <w:rsid w:val="00F9650D"/>
    <w:rsid w:val="00F97482"/>
    <w:rsid w:val="00FB569C"/>
    <w:rsid w:val="00FF029C"/>
    <w:rsid w:val="7D72C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FF029C"/>
    <w:rPr>
      <w:sz w:val="16"/>
      <w:szCs w:val="16"/>
    </w:rPr>
  </w:style>
  <w:style w:type="paragraph" w:styleId="CommentText">
    <w:name w:val="annotation text"/>
    <w:basedOn w:val="Normal"/>
    <w:link w:val="CommentTextChar"/>
    <w:uiPriority w:val="99"/>
    <w:semiHidden/>
    <w:unhideWhenUsed/>
    <w:rsid w:val="00FF029C"/>
    <w:pPr>
      <w:spacing w:line="240" w:lineRule="auto"/>
    </w:pPr>
    <w:rPr>
      <w:sz w:val="20"/>
      <w:szCs w:val="20"/>
    </w:rPr>
  </w:style>
  <w:style w:type="character" w:customStyle="1" w:styleId="CommentTextChar">
    <w:name w:val="Comment Text Char"/>
    <w:basedOn w:val="DefaultParagraphFont"/>
    <w:link w:val="CommentText"/>
    <w:uiPriority w:val="99"/>
    <w:semiHidden/>
    <w:rsid w:val="00FF029C"/>
    <w:rPr>
      <w:sz w:val="20"/>
      <w:szCs w:val="20"/>
    </w:rPr>
  </w:style>
  <w:style w:type="paragraph" w:styleId="CommentSubject">
    <w:name w:val="annotation subject"/>
    <w:basedOn w:val="CommentText"/>
    <w:next w:val="CommentText"/>
    <w:link w:val="CommentSubjectChar"/>
    <w:uiPriority w:val="99"/>
    <w:semiHidden/>
    <w:unhideWhenUsed/>
    <w:rsid w:val="00FF029C"/>
    <w:rPr>
      <w:b/>
      <w:bCs/>
    </w:rPr>
  </w:style>
  <w:style w:type="character" w:customStyle="1" w:styleId="CommentSubjectChar">
    <w:name w:val="Comment Subject Char"/>
    <w:basedOn w:val="CommentTextChar"/>
    <w:link w:val="CommentSubject"/>
    <w:uiPriority w:val="99"/>
    <w:semiHidden/>
    <w:rsid w:val="00FF029C"/>
    <w:rPr>
      <w:b/>
      <w:bCs/>
      <w:sz w:val="20"/>
      <w:szCs w:val="20"/>
    </w:rPr>
  </w:style>
  <w:style w:type="character" w:styleId="FollowedHyperlink">
    <w:name w:val="FollowedHyperlink"/>
    <w:basedOn w:val="DefaultParagraphFont"/>
    <w:uiPriority w:val="99"/>
    <w:semiHidden/>
    <w:unhideWhenUsed/>
    <w:rsid w:val="0004364F"/>
    <w:rPr>
      <w:color w:val="800080" w:themeColor="followedHyperlink"/>
      <w:u w:val="single"/>
    </w:rPr>
  </w:style>
  <w:style w:type="paragraph" w:styleId="PlainText">
    <w:name w:val="Plain Text"/>
    <w:basedOn w:val="Normal"/>
    <w:link w:val="PlainTextChar"/>
    <w:uiPriority w:val="99"/>
    <w:semiHidden/>
    <w:unhideWhenUsed/>
    <w:rsid w:val="008208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20876"/>
    <w:rPr>
      <w:rFonts w:ascii="Consolas" w:hAnsi="Consolas"/>
      <w:sz w:val="21"/>
      <w:szCs w:val="21"/>
    </w:rPr>
  </w:style>
  <w:style w:type="table" w:styleId="TableGrid">
    <w:name w:val="Table Grid"/>
    <w:basedOn w:val="TableNormal"/>
    <w:uiPriority w:val="59"/>
    <w:rsid w:val="0041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FF029C"/>
    <w:rPr>
      <w:sz w:val="16"/>
      <w:szCs w:val="16"/>
    </w:rPr>
  </w:style>
  <w:style w:type="paragraph" w:styleId="CommentText">
    <w:name w:val="annotation text"/>
    <w:basedOn w:val="Normal"/>
    <w:link w:val="CommentTextChar"/>
    <w:uiPriority w:val="99"/>
    <w:semiHidden/>
    <w:unhideWhenUsed/>
    <w:rsid w:val="00FF029C"/>
    <w:pPr>
      <w:spacing w:line="240" w:lineRule="auto"/>
    </w:pPr>
    <w:rPr>
      <w:sz w:val="20"/>
      <w:szCs w:val="20"/>
    </w:rPr>
  </w:style>
  <w:style w:type="character" w:customStyle="1" w:styleId="CommentTextChar">
    <w:name w:val="Comment Text Char"/>
    <w:basedOn w:val="DefaultParagraphFont"/>
    <w:link w:val="CommentText"/>
    <w:uiPriority w:val="99"/>
    <w:semiHidden/>
    <w:rsid w:val="00FF029C"/>
    <w:rPr>
      <w:sz w:val="20"/>
      <w:szCs w:val="20"/>
    </w:rPr>
  </w:style>
  <w:style w:type="paragraph" w:styleId="CommentSubject">
    <w:name w:val="annotation subject"/>
    <w:basedOn w:val="CommentText"/>
    <w:next w:val="CommentText"/>
    <w:link w:val="CommentSubjectChar"/>
    <w:uiPriority w:val="99"/>
    <w:semiHidden/>
    <w:unhideWhenUsed/>
    <w:rsid w:val="00FF029C"/>
    <w:rPr>
      <w:b/>
      <w:bCs/>
    </w:rPr>
  </w:style>
  <w:style w:type="character" w:customStyle="1" w:styleId="CommentSubjectChar">
    <w:name w:val="Comment Subject Char"/>
    <w:basedOn w:val="CommentTextChar"/>
    <w:link w:val="CommentSubject"/>
    <w:uiPriority w:val="99"/>
    <w:semiHidden/>
    <w:rsid w:val="00FF029C"/>
    <w:rPr>
      <w:b/>
      <w:bCs/>
      <w:sz w:val="20"/>
      <w:szCs w:val="20"/>
    </w:rPr>
  </w:style>
  <w:style w:type="character" w:styleId="FollowedHyperlink">
    <w:name w:val="FollowedHyperlink"/>
    <w:basedOn w:val="DefaultParagraphFont"/>
    <w:uiPriority w:val="99"/>
    <w:semiHidden/>
    <w:unhideWhenUsed/>
    <w:rsid w:val="0004364F"/>
    <w:rPr>
      <w:color w:val="800080" w:themeColor="followedHyperlink"/>
      <w:u w:val="single"/>
    </w:rPr>
  </w:style>
  <w:style w:type="paragraph" w:styleId="PlainText">
    <w:name w:val="Plain Text"/>
    <w:basedOn w:val="Normal"/>
    <w:link w:val="PlainTextChar"/>
    <w:uiPriority w:val="99"/>
    <w:semiHidden/>
    <w:unhideWhenUsed/>
    <w:rsid w:val="008208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20876"/>
    <w:rPr>
      <w:rFonts w:ascii="Consolas" w:hAnsi="Consolas"/>
      <w:sz w:val="21"/>
      <w:szCs w:val="21"/>
    </w:rPr>
  </w:style>
  <w:style w:type="table" w:styleId="TableGrid">
    <w:name w:val="Table Grid"/>
    <w:basedOn w:val="TableNormal"/>
    <w:uiPriority w:val="59"/>
    <w:rsid w:val="0041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3505">
      <w:bodyDiv w:val="1"/>
      <w:marLeft w:val="0"/>
      <w:marRight w:val="0"/>
      <w:marTop w:val="0"/>
      <w:marBottom w:val="0"/>
      <w:divBdr>
        <w:top w:val="none" w:sz="0" w:space="0" w:color="auto"/>
        <w:left w:val="none" w:sz="0" w:space="0" w:color="auto"/>
        <w:bottom w:val="none" w:sz="0" w:space="0" w:color="auto"/>
        <w:right w:val="none" w:sz="0" w:space="0" w:color="auto"/>
      </w:divBdr>
    </w:div>
    <w:div w:id="197595677">
      <w:bodyDiv w:val="1"/>
      <w:marLeft w:val="0"/>
      <w:marRight w:val="0"/>
      <w:marTop w:val="0"/>
      <w:marBottom w:val="0"/>
      <w:divBdr>
        <w:top w:val="none" w:sz="0" w:space="0" w:color="auto"/>
        <w:left w:val="none" w:sz="0" w:space="0" w:color="auto"/>
        <w:bottom w:val="none" w:sz="0" w:space="0" w:color="auto"/>
        <w:right w:val="none" w:sz="0" w:space="0" w:color="auto"/>
      </w:divBdr>
    </w:div>
    <w:div w:id="350618142">
      <w:bodyDiv w:val="1"/>
      <w:marLeft w:val="0"/>
      <w:marRight w:val="0"/>
      <w:marTop w:val="0"/>
      <w:marBottom w:val="0"/>
      <w:divBdr>
        <w:top w:val="none" w:sz="0" w:space="0" w:color="auto"/>
        <w:left w:val="none" w:sz="0" w:space="0" w:color="auto"/>
        <w:bottom w:val="none" w:sz="0" w:space="0" w:color="auto"/>
        <w:right w:val="none" w:sz="0" w:space="0" w:color="auto"/>
      </w:divBdr>
    </w:div>
    <w:div w:id="421948420">
      <w:bodyDiv w:val="1"/>
      <w:marLeft w:val="0"/>
      <w:marRight w:val="0"/>
      <w:marTop w:val="0"/>
      <w:marBottom w:val="0"/>
      <w:divBdr>
        <w:top w:val="none" w:sz="0" w:space="0" w:color="auto"/>
        <w:left w:val="none" w:sz="0" w:space="0" w:color="auto"/>
        <w:bottom w:val="none" w:sz="0" w:space="0" w:color="auto"/>
        <w:right w:val="none" w:sz="0" w:space="0" w:color="auto"/>
      </w:divBdr>
    </w:div>
    <w:div w:id="456143504">
      <w:bodyDiv w:val="1"/>
      <w:marLeft w:val="0"/>
      <w:marRight w:val="0"/>
      <w:marTop w:val="0"/>
      <w:marBottom w:val="0"/>
      <w:divBdr>
        <w:top w:val="none" w:sz="0" w:space="0" w:color="auto"/>
        <w:left w:val="none" w:sz="0" w:space="0" w:color="auto"/>
        <w:bottom w:val="none" w:sz="0" w:space="0" w:color="auto"/>
        <w:right w:val="none" w:sz="0" w:space="0" w:color="auto"/>
      </w:divBdr>
    </w:div>
    <w:div w:id="618683579">
      <w:bodyDiv w:val="1"/>
      <w:marLeft w:val="0"/>
      <w:marRight w:val="0"/>
      <w:marTop w:val="0"/>
      <w:marBottom w:val="0"/>
      <w:divBdr>
        <w:top w:val="none" w:sz="0" w:space="0" w:color="auto"/>
        <w:left w:val="none" w:sz="0" w:space="0" w:color="auto"/>
        <w:bottom w:val="none" w:sz="0" w:space="0" w:color="auto"/>
        <w:right w:val="none" w:sz="0" w:space="0" w:color="auto"/>
      </w:divBdr>
    </w:div>
    <w:div w:id="879782794">
      <w:bodyDiv w:val="1"/>
      <w:marLeft w:val="0"/>
      <w:marRight w:val="0"/>
      <w:marTop w:val="0"/>
      <w:marBottom w:val="0"/>
      <w:divBdr>
        <w:top w:val="none" w:sz="0" w:space="0" w:color="auto"/>
        <w:left w:val="none" w:sz="0" w:space="0" w:color="auto"/>
        <w:bottom w:val="none" w:sz="0" w:space="0" w:color="auto"/>
        <w:right w:val="none" w:sz="0" w:space="0" w:color="auto"/>
      </w:divBdr>
    </w:div>
    <w:div w:id="1317299094">
      <w:bodyDiv w:val="1"/>
      <w:marLeft w:val="0"/>
      <w:marRight w:val="0"/>
      <w:marTop w:val="0"/>
      <w:marBottom w:val="0"/>
      <w:divBdr>
        <w:top w:val="none" w:sz="0" w:space="0" w:color="auto"/>
        <w:left w:val="none" w:sz="0" w:space="0" w:color="auto"/>
        <w:bottom w:val="none" w:sz="0" w:space="0" w:color="auto"/>
        <w:right w:val="none" w:sz="0" w:space="0" w:color="auto"/>
      </w:divBdr>
    </w:div>
    <w:div w:id="1341085393">
      <w:bodyDiv w:val="1"/>
      <w:marLeft w:val="0"/>
      <w:marRight w:val="0"/>
      <w:marTop w:val="0"/>
      <w:marBottom w:val="0"/>
      <w:divBdr>
        <w:top w:val="none" w:sz="0" w:space="0" w:color="auto"/>
        <w:left w:val="none" w:sz="0" w:space="0" w:color="auto"/>
        <w:bottom w:val="none" w:sz="0" w:space="0" w:color="auto"/>
        <w:right w:val="none" w:sz="0" w:space="0" w:color="auto"/>
      </w:divBdr>
    </w:div>
    <w:div w:id="1540706936">
      <w:bodyDiv w:val="1"/>
      <w:marLeft w:val="0"/>
      <w:marRight w:val="0"/>
      <w:marTop w:val="0"/>
      <w:marBottom w:val="0"/>
      <w:divBdr>
        <w:top w:val="none" w:sz="0" w:space="0" w:color="auto"/>
        <w:left w:val="none" w:sz="0" w:space="0" w:color="auto"/>
        <w:bottom w:val="none" w:sz="0" w:space="0" w:color="auto"/>
        <w:right w:val="none" w:sz="0" w:space="0" w:color="auto"/>
      </w:divBdr>
    </w:div>
    <w:div w:id="1644047089">
      <w:bodyDiv w:val="1"/>
      <w:marLeft w:val="0"/>
      <w:marRight w:val="0"/>
      <w:marTop w:val="0"/>
      <w:marBottom w:val="0"/>
      <w:divBdr>
        <w:top w:val="none" w:sz="0" w:space="0" w:color="auto"/>
        <w:left w:val="none" w:sz="0" w:space="0" w:color="auto"/>
        <w:bottom w:val="none" w:sz="0" w:space="0" w:color="auto"/>
        <w:right w:val="none" w:sz="0" w:space="0" w:color="auto"/>
      </w:divBdr>
    </w:div>
    <w:div w:id="1826628027">
      <w:bodyDiv w:val="1"/>
      <w:marLeft w:val="0"/>
      <w:marRight w:val="0"/>
      <w:marTop w:val="0"/>
      <w:marBottom w:val="0"/>
      <w:divBdr>
        <w:top w:val="none" w:sz="0" w:space="0" w:color="auto"/>
        <w:left w:val="none" w:sz="0" w:space="0" w:color="auto"/>
        <w:bottom w:val="none" w:sz="0" w:space="0" w:color="auto"/>
        <w:right w:val="none" w:sz="0" w:space="0" w:color="auto"/>
      </w:divBdr>
    </w:div>
    <w:div w:id="1899516445">
      <w:bodyDiv w:val="1"/>
      <w:marLeft w:val="0"/>
      <w:marRight w:val="0"/>
      <w:marTop w:val="0"/>
      <w:marBottom w:val="0"/>
      <w:divBdr>
        <w:top w:val="none" w:sz="0" w:space="0" w:color="auto"/>
        <w:left w:val="none" w:sz="0" w:space="0" w:color="auto"/>
        <w:bottom w:val="none" w:sz="0" w:space="0" w:color="auto"/>
        <w:right w:val="none" w:sz="0" w:space="0" w:color="auto"/>
      </w:divBdr>
    </w:div>
    <w:div w:id="1901477081">
      <w:bodyDiv w:val="1"/>
      <w:marLeft w:val="0"/>
      <w:marRight w:val="0"/>
      <w:marTop w:val="0"/>
      <w:marBottom w:val="0"/>
      <w:divBdr>
        <w:top w:val="none" w:sz="0" w:space="0" w:color="auto"/>
        <w:left w:val="none" w:sz="0" w:space="0" w:color="auto"/>
        <w:bottom w:val="none" w:sz="0" w:space="0" w:color="auto"/>
        <w:right w:val="none" w:sz="0" w:space="0" w:color="auto"/>
      </w:divBdr>
    </w:div>
    <w:div w:id="1902716463">
      <w:bodyDiv w:val="1"/>
      <w:marLeft w:val="0"/>
      <w:marRight w:val="0"/>
      <w:marTop w:val="0"/>
      <w:marBottom w:val="0"/>
      <w:divBdr>
        <w:top w:val="none" w:sz="0" w:space="0" w:color="auto"/>
        <w:left w:val="none" w:sz="0" w:space="0" w:color="auto"/>
        <w:bottom w:val="none" w:sz="0" w:space="0" w:color="auto"/>
        <w:right w:val="none" w:sz="0" w:space="0" w:color="auto"/>
      </w:divBdr>
    </w:div>
    <w:div w:id="2003197677">
      <w:bodyDiv w:val="1"/>
      <w:marLeft w:val="0"/>
      <w:marRight w:val="0"/>
      <w:marTop w:val="0"/>
      <w:marBottom w:val="0"/>
      <w:divBdr>
        <w:top w:val="none" w:sz="0" w:space="0" w:color="auto"/>
        <w:left w:val="none" w:sz="0" w:space="0" w:color="auto"/>
        <w:bottom w:val="none" w:sz="0" w:space="0" w:color="auto"/>
        <w:right w:val="none" w:sz="0" w:space="0" w:color="auto"/>
      </w:divBdr>
    </w:div>
    <w:div w:id="2075858694">
      <w:bodyDiv w:val="1"/>
      <w:marLeft w:val="0"/>
      <w:marRight w:val="0"/>
      <w:marTop w:val="0"/>
      <w:marBottom w:val="0"/>
      <w:divBdr>
        <w:top w:val="none" w:sz="0" w:space="0" w:color="auto"/>
        <w:left w:val="none" w:sz="0" w:space="0" w:color="auto"/>
        <w:bottom w:val="none" w:sz="0" w:space="0" w:color="auto"/>
        <w:right w:val="none" w:sz="0" w:space="0" w:color="auto"/>
      </w:divBdr>
    </w:div>
    <w:div w:id="214677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mdc.osd.mil/appj/dwp/rest/download?fileName=DEERS_PIA.pdf&amp;groupName=websiteDocument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dpcld.defense.gov/Privacy/SORNsIndex/DOD-wide-SORN-Article-View/Article/627618/dmdc-02-d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general/topic/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TH3QXZ4CCXAT-18-3570</_dlc_DocId>
    <_dlc_DocIdUrl xmlns="4f06cbb4-5319-44a1-b73c-03442379dfaa">
      <Url>https://apps.sp.pentagon.mil/sites/dodiic/_layouts/DocIdRedir.aspx?ID=TH3QXZ4CCXAT-18-3570</Url>
      <Description>TH3QXZ4CCXAT-18-3570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24946-3F3D-4898-A32C-FA46D8D65B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06cbb4-5319-44a1-b73c-03442379dfaa"/>
    <ds:schemaRef ds:uri="http://purl.org/dc/elements/1.1/"/>
    <ds:schemaRef ds:uri="http://schemas.microsoft.com/office/2006/metadata/properties"/>
    <ds:schemaRef ds:uri="456AF0B4-47B6-441D-9D5F-F64341D14F81"/>
    <ds:schemaRef ds:uri="http://www.w3.org/XML/1998/namespace"/>
    <ds:schemaRef ds:uri="http://purl.org/dc/dcmitype/"/>
  </ds:schemaRefs>
</ds:datastoreItem>
</file>

<file path=customXml/itemProps2.xml><?xml version="1.0" encoding="utf-8"?>
<ds:datastoreItem xmlns:ds="http://schemas.openxmlformats.org/officeDocument/2006/customXml" ds:itemID="{A1D5938E-E772-45DD-A76B-3CEC8EBD3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E5ECF-DD09-4E04-A644-E9B63A9AD36F}">
  <ds:schemaRefs>
    <ds:schemaRef ds:uri="http://schemas.microsoft.com/sharepoint/events"/>
  </ds:schemaRefs>
</ds:datastoreItem>
</file>

<file path=customXml/itemProps4.xml><?xml version="1.0" encoding="utf-8"?>
<ds:datastoreItem xmlns:ds="http://schemas.openxmlformats.org/officeDocument/2006/customXml" ds:itemID="{08967AD0-7738-4530-AAAF-B0425701F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0720-0008_SSA</vt:lpstr>
    </vt:vector>
  </TitlesOfParts>
  <Company>EITSD</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0720-0008_SSA</dc:title>
  <dc:creator>Kaitlin Chiarelli</dc:creator>
  <cp:lastModifiedBy>SYSTEM</cp:lastModifiedBy>
  <cp:revision>2</cp:revision>
  <cp:lastPrinted>2019-08-14T14:41:00Z</cp:lastPrinted>
  <dcterms:created xsi:type="dcterms:W3CDTF">2019-08-19T12:32:00Z</dcterms:created>
  <dcterms:modified xsi:type="dcterms:W3CDTF">2019-08-19T12:32:00Z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174a280e-0884-4fb3-a649-3648572593fa</vt:lpwstr>
  </property>
</Properties>
</file>