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DD5D1" w14:textId="77777777" w:rsidR="00355AD7" w:rsidRPr="00913EDB" w:rsidRDefault="00355AD7" w:rsidP="00355AD7">
      <w:pPr>
        <w:autoSpaceDE w:val="0"/>
        <w:autoSpaceDN w:val="0"/>
        <w:adjustRightInd w:val="0"/>
        <w:jc w:val="center"/>
        <w:rPr>
          <w:rFonts w:asciiTheme="minorHAnsi" w:hAnsiTheme="minorHAnsi"/>
          <w:b/>
          <w:bCs/>
          <w:color w:val="FF0000"/>
          <w:sz w:val="22"/>
          <w:szCs w:val="22"/>
        </w:rPr>
      </w:pPr>
      <w:bookmarkStart w:id="0" w:name="_Toc67387400"/>
      <w:bookmarkStart w:id="1" w:name="_GoBack"/>
      <w:bookmarkEnd w:id="1"/>
    </w:p>
    <w:p w14:paraId="1F206E7F" w14:textId="77777777" w:rsidR="00355AD7" w:rsidRPr="00691454" w:rsidRDefault="00355AD7" w:rsidP="00355AD7">
      <w:pPr>
        <w:autoSpaceDE w:val="0"/>
        <w:autoSpaceDN w:val="0"/>
        <w:adjustRightInd w:val="0"/>
        <w:ind w:left="720"/>
        <w:jc w:val="center"/>
        <w:rPr>
          <w:b/>
          <w:bCs/>
        </w:rPr>
      </w:pPr>
    </w:p>
    <w:p w14:paraId="3A3BC120" w14:textId="77777777" w:rsidR="00355AD7" w:rsidRDefault="00355AD7" w:rsidP="00355AD7">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14:paraId="216CB671" w14:textId="77777777" w:rsidR="00355AD7" w:rsidRPr="00EA366E" w:rsidRDefault="00355AD7" w:rsidP="00355AD7">
      <w:pPr>
        <w:keepNext/>
        <w:keepLines/>
        <w:jc w:val="center"/>
        <w:outlineLvl w:val="6"/>
        <w:rPr>
          <w:rFonts w:asciiTheme="majorHAnsi" w:eastAsiaTheme="majorEastAsia" w:hAnsiTheme="majorHAnsi" w:cstheme="majorBidi"/>
          <w:i/>
          <w:iCs/>
          <w:color w:val="404040" w:themeColor="text1" w:themeTint="BF"/>
          <w:sz w:val="28"/>
          <w:szCs w:val="28"/>
        </w:rPr>
      </w:pPr>
    </w:p>
    <w:p w14:paraId="629FC5B2" w14:textId="77777777" w:rsidR="00355AD7" w:rsidRDefault="00355AD7" w:rsidP="00355AD7">
      <w:pPr>
        <w:autoSpaceDE w:val="0"/>
        <w:autoSpaceDN w:val="0"/>
        <w:adjustRightInd w:val="0"/>
        <w:ind w:left="720"/>
        <w:rPr>
          <w:b/>
          <w:color w:val="000000"/>
        </w:rPr>
      </w:pPr>
      <w:r w:rsidRPr="0079183D">
        <w:rPr>
          <w:b/>
          <w:color w:val="000000"/>
        </w:rPr>
        <w:t xml:space="preserve">Medication-Assisted Treatment (MAT) for Opioid </w:t>
      </w:r>
      <w:r w:rsidR="00582F68">
        <w:rPr>
          <w:b/>
          <w:color w:val="000000"/>
        </w:rPr>
        <w:t xml:space="preserve">Use Disorders Study </w:t>
      </w:r>
    </w:p>
    <w:p w14:paraId="267023CB" w14:textId="77777777" w:rsidR="00355AD7" w:rsidRPr="00691454" w:rsidRDefault="00355AD7" w:rsidP="00355AD7">
      <w:pPr>
        <w:autoSpaceDE w:val="0"/>
        <w:autoSpaceDN w:val="0"/>
        <w:adjustRightInd w:val="0"/>
        <w:ind w:left="720"/>
        <w:rPr>
          <w:b/>
          <w:bCs/>
        </w:rPr>
      </w:pPr>
    </w:p>
    <w:p w14:paraId="3719EC54" w14:textId="77777777" w:rsidR="00355AD7" w:rsidRDefault="00355AD7" w:rsidP="00355AD7">
      <w:pPr>
        <w:jc w:val="center"/>
        <w:rPr>
          <w:b/>
        </w:rPr>
      </w:pPr>
    </w:p>
    <w:p w14:paraId="788C143A" w14:textId="77777777" w:rsidR="00355AD7" w:rsidRDefault="00355AD7" w:rsidP="00355AD7">
      <w:pPr>
        <w:jc w:val="center"/>
        <w:rPr>
          <w:b/>
        </w:rPr>
      </w:pPr>
    </w:p>
    <w:p w14:paraId="30F0DA60" w14:textId="77777777" w:rsidR="00355AD7" w:rsidRDefault="00355AD7" w:rsidP="00355AD7">
      <w:pPr>
        <w:jc w:val="center"/>
        <w:rPr>
          <w:b/>
        </w:rPr>
      </w:pPr>
      <w:r>
        <w:rPr>
          <w:b/>
        </w:rPr>
        <w:t>OMB# 0920-XXXX</w:t>
      </w:r>
    </w:p>
    <w:p w14:paraId="22F65E88" w14:textId="77777777" w:rsidR="00355AD7" w:rsidRPr="00691454" w:rsidRDefault="00355AD7" w:rsidP="00355AD7">
      <w:pPr>
        <w:jc w:val="center"/>
        <w:rPr>
          <w:b/>
        </w:rPr>
      </w:pPr>
    </w:p>
    <w:p w14:paraId="60955016" w14:textId="77777777" w:rsidR="00355AD7" w:rsidRPr="00691454" w:rsidRDefault="00355AD7" w:rsidP="00355AD7">
      <w:pPr>
        <w:jc w:val="center"/>
      </w:pPr>
    </w:p>
    <w:p w14:paraId="5B2E3D2C" w14:textId="77777777" w:rsidR="00355AD7" w:rsidRDefault="00DC1F41" w:rsidP="00355AD7">
      <w:pPr>
        <w:jc w:val="center"/>
        <w:rPr>
          <w:b/>
        </w:rPr>
      </w:pPr>
      <w:r>
        <w:rPr>
          <w:b/>
        </w:rPr>
        <w:t xml:space="preserve">October </w:t>
      </w:r>
      <w:r w:rsidR="00771990">
        <w:rPr>
          <w:b/>
        </w:rPr>
        <w:t>31</w:t>
      </w:r>
      <w:r w:rsidR="007D6D5D">
        <w:rPr>
          <w:b/>
        </w:rPr>
        <w:t>, 2017</w:t>
      </w:r>
    </w:p>
    <w:p w14:paraId="17EDB161" w14:textId="77777777" w:rsidR="00355AD7" w:rsidRPr="00691454" w:rsidRDefault="00355AD7" w:rsidP="00355AD7">
      <w:pPr>
        <w:jc w:val="center"/>
        <w:rPr>
          <w:b/>
        </w:rPr>
      </w:pPr>
    </w:p>
    <w:p w14:paraId="14BA9B66" w14:textId="77777777" w:rsidR="00355AD7" w:rsidRPr="00691454" w:rsidRDefault="00355AD7" w:rsidP="00355AD7">
      <w:pPr>
        <w:jc w:val="center"/>
      </w:pPr>
    </w:p>
    <w:p w14:paraId="55E864A1" w14:textId="77777777" w:rsidR="00355AD7" w:rsidRPr="00691454" w:rsidRDefault="00355AD7" w:rsidP="00355AD7">
      <w:pPr>
        <w:jc w:val="center"/>
      </w:pPr>
    </w:p>
    <w:p w14:paraId="4F6966C1" w14:textId="77777777" w:rsidR="00355AD7" w:rsidRPr="00691454" w:rsidRDefault="00355AD7" w:rsidP="00355AD7">
      <w:pPr>
        <w:jc w:val="center"/>
      </w:pPr>
    </w:p>
    <w:p w14:paraId="1997D408" w14:textId="77777777" w:rsidR="00355AD7" w:rsidRPr="00691454" w:rsidRDefault="00355AD7" w:rsidP="00355AD7">
      <w:pPr>
        <w:jc w:val="center"/>
      </w:pPr>
    </w:p>
    <w:p w14:paraId="70ADE92E" w14:textId="77777777" w:rsidR="00355AD7" w:rsidRPr="00691454" w:rsidRDefault="00355AD7" w:rsidP="00355AD7">
      <w:pPr>
        <w:jc w:val="center"/>
      </w:pPr>
    </w:p>
    <w:p w14:paraId="5AD78557" w14:textId="77777777" w:rsidR="00355AD7" w:rsidRPr="00691454" w:rsidRDefault="00355AD7" w:rsidP="00355AD7">
      <w:pPr>
        <w:jc w:val="center"/>
        <w:rPr>
          <w:noProof/>
        </w:rPr>
      </w:pPr>
      <w:r w:rsidRPr="00691454">
        <w:rPr>
          <w:noProof/>
        </w:rPr>
        <w:t>Point of Contact:</w:t>
      </w:r>
    </w:p>
    <w:p w14:paraId="19234FB9" w14:textId="77777777" w:rsidR="00355AD7" w:rsidRPr="009B1505" w:rsidRDefault="00355AD7" w:rsidP="008570EB">
      <w:pPr>
        <w:jc w:val="center"/>
        <w:rPr>
          <w:noProof/>
        </w:rPr>
      </w:pPr>
      <w:r w:rsidRPr="009B1505">
        <w:rPr>
          <w:noProof/>
        </w:rPr>
        <w:t>Marci Hertz</w:t>
      </w:r>
    </w:p>
    <w:p w14:paraId="7AB61C02" w14:textId="77777777" w:rsidR="00355AD7" w:rsidRPr="00691454" w:rsidRDefault="00355AD7" w:rsidP="00355AD7">
      <w:pPr>
        <w:jc w:val="center"/>
        <w:rPr>
          <w:noProof/>
        </w:rPr>
      </w:pPr>
      <w:r w:rsidRPr="00691454">
        <w:rPr>
          <w:noProof/>
        </w:rPr>
        <w:t>Contact Information:</w:t>
      </w:r>
    </w:p>
    <w:p w14:paraId="375D7495" w14:textId="77777777" w:rsidR="00355AD7" w:rsidRPr="00691454" w:rsidRDefault="00355AD7" w:rsidP="00355AD7">
      <w:pPr>
        <w:pStyle w:val="E-mailSignature"/>
        <w:jc w:val="center"/>
        <w:rPr>
          <w:noProof/>
        </w:rPr>
      </w:pPr>
      <w:bookmarkStart w:id="2" w:name="_MailAutoSig"/>
      <w:r w:rsidRPr="00691454">
        <w:rPr>
          <w:noProof/>
        </w:rPr>
        <w:t>Centers for Disease Control and Prevention</w:t>
      </w:r>
    </w:p>
    <w:p w14:paraId="174E5BB6" w14:textId="77777777" w:rsidR="00355AD7" w:rsidRPr="00691454" w:rsidRDefault="00355AD7" w:rsidP="00355AD7">
      <w:pPr>
        <w:pStyle w:val="E-mailSignature"/>
        <w:jc w:val="center"/>
        <w:rPr>
          <w:noProof/>
        </w:rPr>
      </w:pPr>
      <w:r w:rsidRPr="00691454">
        <w:rPr>
          <w:noProof/>
        </w:rPr>
        <w:t>National Center for Injury Prevention and Control</w:t>
      </w:r>
    </w:p>
    <w:p w14:paraId="342117F4" w14:textId="77777777" w:rsidR="00355AD7" w:rsidRPr="00691454" w:rsidRDefault="00FB55C1" w:rsidP="00355AD7">
      <w:pPr>
        <w:pStyle w:val="E-mailSignature"/>
        <w:jc w:val="center"/>
        <w:rPr>
          <w:noProof/>
        </w:rPr>
      </w:pPr>
      <w:r>
        <w:rPr>
          <w:noProof/>
        </w:rPr>
        <w:t xml:space="preserve">4770 Buford Highway NE </w:t>
      </w:r>
    </w:p>
    <w:p w14:paraId="74A0C660" w14:textId="77777777" w:rsidR="00355AD7" w:rsidRPr="00691454" w:rsidRDefault="00355AD7" w:rsidP="00355AD7">
      <w:pPr>
        <w:pStyle w:val="E-mailSignature"/>
        <w:jc w:val="center"/>
        <w:rPr>
          <w:noProof/>
        </w:rPr>
      </w:pPr>
      <w:r w:rsidRPr="00691454">
        <w:rPr>
          <w:noProof/>
        </w:rPr>
        <w:t xml:space="preserve">Atlanta, GA </w:t>
      </w:r>
      <w:r w:rsidR="003C7F5F">
        <w:rPr>
          <w:noProof/>
        </w:rPr>
        <w:t>30341</w:t>
      </w:r>
    </w:p>
    <w:p w14:paraId="56E74FCD" w14:textId="77777777" w:rsidR="00355AD7" w:rsidRPr="00691454" w:rsidRDefault="00355AD7" w:rsidP="00355AD7">
      <w:pPr>
        <w:pStyle w:val="E-mailSignature"/>
        <w:jc w:val="center"/>
        <w:rPr>
          <w:noProof/>
        </w:rPr>
      </w:pPr>
      <w:r>
        <w:rPr>
          <w:noProof/>
        </w:rPr>
        <w:t>P</w:t>
      </w:r>
      <w:r w:rsidRPr="00691454">
        <w:rPr>
          <w:noProof/>
        </w:rPr>
        <w:t>hone:</w:t>
      </w:r>
      <w:r w:rsidR="00FB55C1">
        <w:rPr>
          <w:noProof/>
        </w:rPr>
        <w:t xml:space="preserve"> </w:t>
      </w:r>
      <w:r w:rsidR="006E02BD">
        <w:rPr>
          <w:noProof/>
        </w:rPr>
        <w:t>770-488-2547</w:t>
      </w:r>
    </w:p>
    <w:p w14:paraId="02ED604A" w14:textId="77777777" w:rsidR="00355AD7" w:rsidRPr="00691454" w:rsidRDefault="00355AD7" w:rsidP="00355AD7">
      <w:pPr>
        <w:pStyle w:val="E-mailSignature"/>
        <w:jc w:val="center"/>
        <w:rPr>
          <w:noProof/>
        </w:rPr>
      </w:pPr>
      <w:r>
        <w:rPr>
          <w:noProof/>
        </w:rPr>
        <w:t>E</w:t>
      </w:r>
      <w:r w:rsidRPr="00691454">
        <w:rPr>
          <w:noProof/>
        </w:rPr>
        <w:t>mail:</w:t>
      </w:r>
      <w:r w:rsidR="00FB55C1">
        <w:rPr>
          <w:noProof/>
        </w:rPr>
        <w:t xml:space="preserve"> </w:t>
      </w:r>
      <w:r w:rsidR="004F59BF">
        <w:rPr>
          <w:noProof/>
        </w:rPr>
        <w:t>mvf4@cdc.gov</w:t>
      </w:r>
    </w:p>
    <w:bookmarkEnd w:id="2"/>
    <w:p w14:paraId="6793B12D" w14:textId="77777777" w:rsidR="00355AD7" w:rsidRDefault="00355AD7" w:rsidP="00355AD7">
      <w:pPr>
        <w:jc w:val="center"/>
      </w:pPr>
    </w:p>
    <w:p w14:paraId="2800F154" w14:textId="77777777" w:rsidR="00355AD7" w:rsidRDefault="00355AD7" w:rsidP="00355AD7">
      <w:pPr>
        <w:jc w:val="center"/>
      </w:pPr>
    </w:p>
    <w:p w14:paraId="4736F629" w14:textId="77777777" w:rsidR="00355AD7" w:rsidRDefault="00355AD7" w:rsidP="00355AD7">
      <w:pPr>
        <w:jc w:val="center"/>
      </w:pPr>
    </w:p>
    <w:p w14:paraId="228E6A26" w14:textId="77777777" w:rsidR="00355AD7" w:rsidRDefault="00355AD7" w:rsidP="00355AD7">
      <w:pPr>
        <w:jc w:val="center"/>
      </w:pPr>
    </w:p>
    <w:p w14:paraId="4C8AF2D2" w14:textId="77777777" w:rsidR="00355AD7" w:rsidRDefault="00355AD7" w:rsidP="00355AD7">
      <w:pPr>
        <w:jc w:val="center"/>
      </w:pPr>
    </w:p>
    <w:p w14:paraId="099232EA" w14:textId="77777777" w:rsidR="00355AD7" w:rsidRDefault="00355AD7" w:rsidP="00355AD7">
      <w:pPr>
        <w:jc w:val="center"/>
      </w:pPr>
    </w:p>
    <w:p w14:paraId="48B7FF91" w14:textId="77777777" w:rsidR="00355AD7" w:rsidRDefault="00355AD7" w:rsidP="00355AD7">
      <w:pPr>
        <w:jc w:val="center"/>
      </w:pPr>
    </w:p>
    <w:p w14:paraId="55D43F3B" w14:textId="77777777" w:rsidR="00355AD7" w:rsidRDefault="00355AD7" w:rsidP="00355AD7">
      <w:pPr>
        <w:jc w:val="center"/>
      </w:pPr>
    </w:p>
    <w:p w14:paraId="4A8AA74E" w14:textId="77777777" w:rsidR="00355AD7" w:rsidRDefault="00355AD7" w:rsidP="00355AD7">
      <w:pPr>
        <w:jc w:val="center"/>
      </w:pPr>
    </w:p>
    <w:p w14:paraId="44413241" w14:textId="77777777" w:rsidR="00355AD7" w:rsidRDefault="00355AD7" w:rsidP="00355AD7">
      <w:pPr>
        <w:jc w:val="center"/>
      </w:pPr>
    </w:p>
    <w:p w14:paraId="1431B611" w14:textId="77777777" w:rsidR="00355AD7" w:rsidRDefault="00355AD7" w:rsidP="00355AD7">
      <w:pPr>
        <w:jc w:val="center"/>
      </w:pPr>
    </w:p>
    <w:p w14:paraId="52226478" w14:textId="77777777" w:rsidR="00355AD7" w:rsidRDefault="00355AD7" w:rsidP="00355AD7">
      <w:pPr>
        <w:jc w:val="center"/>
      </w:pPr>
    </w:p>
    <w:p w14:paraId="0C753593" w14:textId="77777777" w:rsidR="00355AD7" w:rsidRDefault="00355AD7" w:rsidP="00355AD7">
      <w:pPr>
        <w:jc w:val="center"/>
      </w:pPr>
    </w:p>
    <w:p w14:paraId="0795040D" w14:textId="77777777" w:rsidR="00355AD7" w:rsidRDefault="00355AD7" w:rsidP="00355AD7">
      <w:pPr>
        <w:jc w:val="center"/>
      </w:pPr>
    </w:p>
    <w:p w14:paraId="7AC90A4F" w14:textId="77777777" w:rsidR="00355AD7" w:rsidRDefault="00355AD7" w:rsidP="00355AD7">
      <w:pPr>
        <w:jc w:val="center"/>
      </w:pPr>
    </w:p>
    <w:p w14:paraId="0D9D839F" w14:textId="77777777" w:rsidR="00355AD7" w:rsidRDefault="00355AD7" w:rsidP="00355AD7">
      <w:pPr>
        <w:jc w:val="center"/>
      </w:pPr>
    </w:p>
    <w:p w14:paraId="6ECF153E" w14:textId="77777777" w:rsidR="00355AD7" w:rsidRDefault="00355AD7" w:rsidP="00355AD7">
      <w:pPr>
        <w:jc w:val="center"/>
      </w:pPr>
    </w:p>
    <w:p w14:paraId="196EEB5B" w14:textId="77777777" w:rsidR="00355AD7" w:rsidRDefault="00355AD7" w:rsidP="00355AD7">
      <w:pPr>
        <w:jc w:val="center"/>
      </w:pPr>
    </w:p>
    <w:p w14:paraId="4F47B10A" w14:textId="77777777" w:rsidR="00495ADF" w:rsidRPr="009B1505" w:rsidRDefault="00495ADF" w:rsidP="00495ADF">
      <w:pPr>
        <w:pStyle w:val="Cov-Address"/>
      </w:pPr>
    </w:p>
    <w:bookmarkEnd w:id="0"/>
    <w:p w14:paraId="73D72867" w14:textId="2FF7CB24" w:rsidR="00C65FD6" w:rsidRPr="009B1505" w:rsidRDefault="00C65FD6" w:rsidP="00F72F56">
      <w:pPr>
        <w:pStyle w:val="TOC0"/>
      </w:pPr>
      <w:r w:rsidRPr="009B1505">
        <w:lastRenderedPageBreak/>
        <w:fldChar w:fldCharType="begin"/>
      </w:r>
      <w:r w:rsidRPr="009B1505">
        <w:instrText xml:space="preserve"> SEQ CHAPTER \h \r 1</w:instrText>
      </w:r>
      <w:r w:rsidRPr="009B1505">
        <w:fldChar w:fldCharType="end"/>
      </w:r>
      <w:r w:rsidRPr="009B1505">
        <w:rPr>
          <w:bCs/>
        </w:rPr>
        <w:t>TABLE OF CONTENTS</w:t>
      </w:r>
    </w:p>
    <w:p w14:paraId="2035F274" w14:textId="77777777" w:rsidR="00C65FD6" w:rsidRDefault="00AC6ACE" w:rsidP="00AC6ACE">
      <w:pPr>
        <w:tabs>
          <w:tab w:val="right" w:pos="9360"/>
        </w:tabs>
        <w:rPr>
          <w:b/>
          <w:color w:val="000000"/>
        </w:rPr>
      </w:pPr>
      <w:r w:rsidRPr="009B1505">
        <w:rPr>
          <w:b/>
          <w:color w:val="000000"/>
        </w:rPr>
        <w:t>Section</w:t>
      </w:r>
      <w:r w:rsidRPr="009B1505">
        <w:rPr>
          <w:color w:val="000000"/>
        </w:rPr>
        <w:tab/>
      </w:r>
      <w:r w:rsidRPr="009B1505">
        <w:rPr>
          <w:b/>
          <w:color w:val="000000"/>
        </w:rPr>
        <w:t>Page</w:t>
      </w:r>
    </w:p>
    <w:p w14:paraId="50A30982" w14:textId="74234EE8" w:rsidR="0066792E" w:rsidRDefault="00512F04">
      <w:pPr>
        <w:pStyle w:val="TOC1"/>
        <w:rPr>
          <w:rFonts w:asciiTheme="minorHAnsi" w:eastAsiaTheme="minorEastAsia" w:hAnsiTheme="minorHAnsi" w:cstheme="minorBidi"/>
          <w:sz w:val="22"/>
          <w:szCs w:val="22"/>
        </w:rPr>
      </w:pPr>
      <w:r w:rsidRPr="009B1505">
        <w:rPr>
          <w:b/>
          <w:bCs/>
          <w:caps/>
          <w:noProof w:val="0"/>
          <w:color w:val="000000"/>
        </w:rPr>
        <w:fldChar w:fldCharType="begin"/>
      </w:r>
      <w:r w:rsidRPr="009B1505">
        <w:rPr>
          <w:b/>
          <w:bCs/>
          <w:caps/>
          <w:noProof w:val="0"/>
          <w:color w:val="000000"/>
        </w:rPr>
        <w:instrText xml:space="preserve"> TOC \o "1-3" \h \z \u </w:instrText>
      </w:r>
      <w:r w:rsidRPr="009B1505">
        <w:rPr>
          <w:b/>
          <w:bCs/>
          <w:caps/>
          <w:noProof w:val="0"/>
          <w:color w:val="000000"/>
        </w:rPr>
        <w:fldChar w:fldCharType="separate"/>
      </w:r>
      <w:hyperlink w:anchor="_Toc497134492" w:history="1">
        <w:r w:rsidR="0066792E" w:rsidRPr="00483D4B">
          <w:rPr>
            <w:rStyle w:val="Hyperlink"/>
          </w:rPr>
          <w:t>A.</w:t>
        </w:r>
        <w:r w:rsidR="0066792E">
          <w:rPr>
            <w:rFonts w:asciiTheme="minorHAnsi" w:eastAsiaTheme="minorEastAsia" w:hAnsiTheme="minorHAnsi" w:cstheme="minorBidi"/>
            <w:sz w:val="22"/>
            <w:szCs w:val="22"/>
          </w:rPr>
          <w:tab/>
        </w:r>
        <w:r w:rsidR="0066792E" w:rsidRPr="00483D4B">
          <w:rPr>
            <w:rStyle w:val="Hyperlink"/>
          </w:rPr>
          <w:t>Justification</w:t>
        </w:r>
        <w:r w:rsidR="0066792E">
          <w:rPr>
            <w:webHidden/>
          </w:rPr>
          <w:tab/>
        </w:r>
        <w:r w:rsidR="0066792E">
          <w:rPr>
            <w:webHidden/>
          </w:rPr>
          <w:fldChar w:fldCharType="begin"/>
        </w:r>
        <w:r w:rsidR="0066792E">
          <w:rPr>
            <w:webHidden/>
          </w:rPr>
          <w:instrText xml:space="preserve"> PAGEREF _Toc497134492 \h </w:instrText>
        </w:r>
        <w:r w:rsidR="0066792E">
          <w:rPr>
            <w:webHidden/>
          </w:rPr>
        </w:r>
        <w:r w:rsidR="0066792E">
          <w:rPr>
            <w:webHidden/>
          </w:rPr>
          <w:fldChar w:fldCharType="separate"/>
        </w:r>
        <w:r w:rsidR="00EC1E02">
          <w:rPr>
            <w:webHidden/>
          </w:rPr>
          <w:t>1</w:t>
        </w:r>
        <w:r w:rsidR="0066792E">
          <w:rPr>
            <w:webHidden/>
          </w:rPr>
          <w:fldChar w:fldCharType="end"/>
        </w:r>
      </w:hyperlink>
    </w:p>
    <w:p w14:paraId="19B09100" w14:textId="0408426C" w:rsidR="0066792E" w:rsidRDefault="006002B3">
      <w:pPr>
        <w:pStyle w:val="TOC2"/>
        <w:rPr>
          <w:rFonts w:asciiTheme="minorHAnsi" w:eastAsiaTheme="minorEastAsia" w:hAnsiTheme="minorHAnsi" w:cstheme="minorBidi"/>
          <w:sz w:val="22"/>
          <w:szCs w:val="22"/>
        </w:rPr>
      </w:pPr>
      <w:hyperlink w:anchor="_Toc497134493" w:history="1">
        <w:r w:rsidR="0066792E" w:rsidRPr="00483D4B">
          <w:rPr>
            <w:rStyle w:val="Hyperlink"/>
          </w:rPr>
          <w:t>Summary Table</w:t>
        </w:r>
        <w:r w:rsidR="0066792E">
          <w:rPr>
            <w:webHidden/>
          </w:rPr>
          <w:tab/>
        </w:r>
        <w:r w:rsidR="0066792E">
          <w:rPr>
            <w:webHidden/>
          </w:rPr>
          <w:fldChar w:fldCharType="begin"/>
        </w:r>
        <w:r w:rsidR="0066792E">
          <w:rPr>
            <w:webHidden/>
          </w:rPr>
          <w:instrText xml:space="preserve"> PAGEREF _Toc497134493 \h </w:instrText>
        </w:r>
        <w:r w:rsidR="0066792E">
          <w:rPr>
            <w:webHidden/>
          </w:rPr>
        </w:r>
        <w:r w:rsidR="0066792E">
          <w:rPr>
            <w:webHidden/>
          </w:rPr>
          <w:fldChar w:fldCharType="separate"/>
        </w:r>
        <w:r w:rsidR="00EC1E02">
          <w:rPr>
            <w:webHidden/>
          </w:rPr>
          <w:t>1</w:t>
        </w:r>
        <w:r w:rsidR="0066792E">
          <w:rPr>
            <w:webHidden/>
          </w:rPr>
          <w:fldChar w:fldCharType="end"/>
        </w:r>
      </w:hyperlink>
    </w:p>
    <w:p w14:paraId="25B77F7F" w14:textId="3FAA20D1" w:rsidR="0066792E" w:rsidRDefault="006002B3">
      <w:pPr>
        <w:pStyle w:val="TOC2"/>
        <w:rPr>
          <w:rFonts w:asciiTheme="minorHAnsi" w:eastAsiaTheme="minorEastAsia" w:hAnsiTheme="minorHAnsi" w:cstheme="minorBidi"/>
          <w:sz w:val="22"/>
          <w:szCs w:val="22"/>
        </w:rPr>
      </w:pPr>
      <w:hyperlink w:anchor="_Toc497134494" w:history="1">
        <w:r w:rsidR="0066792E" w:rsidRPr="00483D4B">
          <w:rPr>
            <w:rStyle w:val="Hyperlink"/>
          </w:rPr>
          <w:t>A.1</w:t>
        </w:r>
        <w:r w:rsidR="0066792E">
          <w:rPr>
            <w:rFonts w:asciiTheme="minorHAnsi" w:eastAsiaTheme="minorEastAsia" w:hAnsiTheme="minorHAnsi" w:cstheme="minorBidi"/>
            <w:sz w:val="22"/>
            <w:szCs w:val="22"/>
          </w:rPr>
          <w:tab/>
        </w:r>
        <w:r w:rsidR="0066792E" w:rsidRPr="00483D4B">
          <w:rPr>
            <w:rStyle w:val="Hyperlink"/>
          </w:rPr>
          <w:t>Circumstances Making the Collection of Information Necessary</w:t>
        </w:r>
        <w:r w:rsidR="0066792E">
          <w:rPr>
            <w:webHidden/>
          </w:rPr>
          <w:tab/>
        </w:r>
        <w:r w:rsidR="0066792E">
          <w:rPr>
            <w:webHidden/>
          </w:rPr>
          <w:fldChar w:fldCharType="begin"/>
        </w:r>
        <w:r w:rsidR="0066792E">
          <w:rPr>
            <w:webHidden/>
          </w:rPr>
          <w:instrText xml:space="preserve"> PAGEREF _Toc497134494 \h </w:instrText>
        </w:r>
        <w:r w:rsidR="0066792E">
          <w:rPr>
            <w:webHidden/>
          </w:rPr>
        </w:r>
        <w:r w:rsidR="0066792E">
          <w:rPr>
            <w:webHidden/>
          </w:rPr>
          <w:fldChar w:fldCharType="separate"/>
        </w:r>
        <w:r w:rsidR="00EC1E02">
          <w:rPr>
            <w:webHidden/>
          </w:rPr>
          <w:t>1</w:t>
        </w:r>
        <w:r w:rsidR="0066792E">
          <w:rPr>
            <w:webHidden/>
          </w:rPr>
          <w:fldChar w:fldCharType="end"/>
        </w:r>
      </w:hyperlink>
    </w:p>
    <w:p w14:paraId="0BA30474" w14:textId="7C04EFD1" w:rsidR="0066792E" w:rsidRDefault="006002B3">
      <w:pPr>
        <w:pStyle w:val="TOC2"/>
        <w:rPr>
          <w:rFonts w:asciiTheme="minorHAnsi" w:eastAsiaTheme="minorEastAsia" w:hAnsiTheme="minorHAnsi" w:cstheme="minorBidi"/>
          <w:sz w:val="22"/>
          <w:szCs w:val="22"/>
        </w:rPr>
      </w:pPr>
      <w:hyperlink w:anchor="_Toc497134495" w:history="1">
        <w:r w:rsidR="0066792E" w:rsidRPr="00483D4B">
          <w:rPr>
            <w:rStyle w:val="Hyperlink"/>
          </w:rPr>
          <w:t>A.2</w:t>
        </w:r>
        <w:r w:rsidR="0066792E">
          <w:rPr>
            <w:rFonts w:asciiTheme="minorHAnsi" w:eastAsiaTheme="minorEastAsia" w:hAnsiTheme="minorHAnsi" w:cstheme="minorBidi"/>
            <w:sz w:val="22"/>
            <w:szCs w:val="22"/>
          </w:rPr>
          <w:tab/>
        </w:r>
        <w:r w:rsidR="0066792E" w:rsidRPr="00483D4B">
          <w:rPr>
            <w:rStyle w:val="Hyperlink"/>
          </w:rPr>
          <w:t>Purposes and Use of the Information Collection</w:t>
        </w:r>
        <w:r w:rsidR="0066792E">
          <w:rPr>
            <w:webHidden/>
          </w:rPr>
          <w:tab/>
        </w:r>
        <w:r w:rsidR="0066792E">
          <w:rPr>
            <w:webHidden/>
          </w:rPr>
          <w:fldChar w:fldCharType="begin"/>
        </w:r>
        <w:r w:rsidR="0066792E">
          <w:rPr>
            <w:webHidden/>
          </w:rPr>
          <w:instrText xml:space="preserve"> PAGEREF _Toc497134495 \h </w:instrText>
        </w:r>
        <w:r w:rsidR="0066792E">
          <w:rPr>
            <w:webHidden/>
          </w:rPr>
        </w:r>
        <w:r w:rsidR="0066792E">
          <w:rPr>
            <w:webHidden/>
          </w:rPr>
          <w:fldChar w:fldCharType="separate"/>
        </w:r>
        <w:r w:rsidR="00EC1E02">
          <w:rPr>
            <w:webHidden/>
          </w:rPr>
          <w:t>4</w:t>
        </w:r>
        <w:r w:rsidR="0066792E">
          <w:rPr>
            <w:webHidden/>
          </w:rPr>
          <w:fldChar w:fldCharType="end"/>
        </w:r>
      </w:hyperlink>
    </w:p>
    <w:p w14:paraId="07EE9D67" w14:textId="60ECD44A" w:rsidR="0066792E" w:rsidRDefault="006002B3">
      <w:pPr>
        <w:pStyle w:val="TOC2"/>
        <w:rPr>
          <w:rFonts w:asciiTheme="minorHAnsi" w:eastAsiaTheme="minorEastAsia" w:hAnsiTheme="minorHAnsi" w:cstheme="minorBidi"/>
          <w:sz w:val="22"/>
          <w:szCs w:val="22"/>
        </w:rPr>
      </w:pPr>
      <w:hyperlink w:anchor="_Toc497134496" w:history="1">
        <w:r w:rsidR="0066792E" w:rsidRPr="00483D4B">
          <w:rPr>
            <w:rStyle w:val="Hyperlink"/>
          </w:rPr>
          <w:t>A.3</w:t>
        </w:r>
        <w:r w:rsidR="0066792E">
          <w:rPr>
            <w:rFonts w:asciiTheme="minorHAnsi" w:eastAsiaTheme="minorEastAsia" w:hAnsiTheme="minorHAnsi" w:cstheme="minorBidi"/>
            <w:sz w:val="22"/>
            <w:szCs w:val="22"/>
          </w:rPr>
          <w:tab/>
        </w:r>
        <w:r w:rsidR="0066792E" w:rsidRPr="00483D4B">
          <w:rPr>
            <w:rStyle w:val="Hyperlink"/>
          </w:rPr>
          <w:t>Use of Improved Information Technology and Burden Reduction</w:t>
        </w:r>
        <w:r w:rsidR="0066792E">
          <w:rPr>
            <w:webHidden/>
          </w:rPr>
          <w:tab/>
        </w:r>
        <w:r w:rsidR="0066792E">
          <w:rPr>
            <w:webHidden/>
          </w:rPr>
          <w:fldChar w:fldCharType="begin"/>
        </w:r>
        <w:r w:rsidR="0066792E">
          <w:rPr>
            <w:webHidden/>
          </w:rPr>
          <w:instrText xml:space="preserve"> PAGEREF _Toc497134496 \h </w:instrText>
        </w:r>
        <w:r w:rsidR="0066792E">
          <w:rPr>
            <w:webHidden/>
          </w:rPr>
        </w:r>
        <w:r w:rsidR="0066792E">
          <w:rPr>
            <w:webHidden/>
          </w:rPr>
          <w:fldChar w:fldCharType="separate"/>
        </w:r>
        <w:r w:rsidR="00EC1E02">
          <w:rPr>
            <w:webHidden/>
          </w:rPr>
          <w:t>11</w:t>
        </w:r>
        <w:r w:rsidR="0066792E">
          <w:rPr>
            <w:webHidden/>
          </w:rPr>
          <w:fldChar w:fldCharType="end"/>
        </w:r>
      </w:hyperlink>
    </w:p>
    <w:p w14:paraId="681921ED" w14:textId="2121B5AA" w:rsidR="0066792E" w:rsidRDefault="006002B3">
      <w:pPr>
        <w:pStyle w:val="TOC2"/>
        <w:rPr>
          <w:rFonts w:asciiTheme="minorHAnsi" w:eastAsiaTheme="minorEastAsia" w:hAnsiTheme="minorHAnsi" w:cstheme="minorBidi"/>
          <w:sz w:val="22"/>
          <w:szCs w:val="22"/>
        </w:rPr>
      </w:pPr>
      <w:hyperlink w:anchor="_Toc497134497" w:history="1">
        <w:r w:rsidR="0066792E" w:rsidRPr="00483D4B">
          <w:rPr>
            <w:rStyle w:val="Hyperlink"/>
          </w:rPr>
          <w:t>A.4</w:t>
        </w:r>
        <w:r w:rsidR="0066792E">
          <w:rPr>
            <w:rFonts w:asciiTheme="minorHAnsi" w:eastAsiaTheme="minorEastAsia" w:hAnsiTheme="minorHAnsi" w:cstheme="minorBidi"/>
            <w:sz w:val="22"/>
            <w:szCs w:val="22"/>
          </w:rPr>
          <w:tab/>
        </w:r>
        <w:r w:rsidR="0066792E" w:rsidRPr="00483D4B">
          <w:rPr>
            <w:rStyle w:val="Hyperlink"/>
          </w:rPr>
          <w:t>Efforts to Identify Duplication and Use of Similar Information</w:t>
        </w:r>
        <w:r w:rsidR="0066792E">
          <w:rPr>
            <w:webHidden/>
          </w:rPr>
          <w:tab/>
        </w:r>
        <w:r w:rsidR="0066792E">
          <w:rPr>
            <w:webHidden/>
          </w:rPr>
          <w:fldChar w:fldCharType="begin"/>
        </w:r>
        <w:r w:rsidR="0066792E">
          <w:rPr>
            <w:webHidden/>
          </w:rPr>
          <w:instrText xml:space="preserve"> PAGEREF _Toc497134497 \h </w:instrText>
        </w:r>
        <w:r w:rsidR="0066792E">
          <w:rPr>
            <w:webHidden/>
          </w:rPr>
        </w:r>
        <w:r w:rsidR="0066792E">
          <w:rPr>
            <w:webHidden/>
          </w:rPr>
          <w:fldChar w:fldCharType="separate"/>
        </w:r>
        <w:r w:rsidR="00EC1E02">
          <w:rPr>
            <w:webHidden/>
          </w:rPr>
          <w:t>12</w:t>
        </w:r>
        <w:r w:rsidR="0066792E">
          <w:rPr>
            <w:webHidden/>
          </w:rPr>
          <w:fldChar w:fldCharType="end"/>
        </w:r>
      </w:hyperlink>
    </w:p>
    <w:p w14:paraId="27377311" w14:textId="13F982A0" w:rsidR="0066792E" w:rsidRDefault="006002B3">
      <w:pPr>
        <w:pStyle w:val="TOC2"/>
        <w:rPr>
          <w:rFonts w:asciiTheme="minorHAnsi" w:eastAsiaTheme="minorEastAsia" w:hAnsiTheme="minorHAnsi" w:cstheme="minorBidi"/>
          <w:sz w:val="22"/>
          <w:szCs w:val="22"/>
        </w:rPr>
      </w:pPr>
      <w:hyperlink w:anchor="_Toc497134498" w:history="1">
        <w:r w:rsidR="0066792E" w:rsidRPr="00483D4B">
          <w:rPr>
            <w:rStyle w:val="Hyperlink"/>
          </w:rPr>
          <w:t>A.5</w:t>
        </w:r>
        <w:r w:rsidR="0066792E">
          <w:rPr>
            <w:rFonts w:asciiTheme="minorHAnsi" w:eastAsiaTheme="minorEastAsia" w:hAnsiTheme="minorHAnsi" w:cstheme="minorBidi"/>
            <w:sz w:val="22"/>
            <w:szCs w:val="22"/>
          </w:rPr>
          <w:tab/>
        </w:r>
        <w:r w:rsidR="0066792E" w:rsidRPr="00483D4B">
          <w:rPr>
            <w:rStyle w:val="Hyperlink"/>
          </w:rPr>
          <w:t>Impact on Small Businesses or Other Small Entities</w:t>
        </w:r>
        <w:r w:rsidR="0066792E">
          <w:rPr>
            <w:webHidden/>
          </w:rPr>
          <w:tab/>
        </w:r>
        <w:r w:rsidR="0066792E">
          <w:rPr>
            <w:webHidden/>
          </w:rPr>
          <w:fldChar w:fldCharType="begin"/>
        </w:r>
        <w:r w:rsidR="0066792E">
          <w:rPr>
            <w:webHidden/>
          </w:rPr>
          <w:instrText xml:space="preserve"> PAGEREF _Toc497134498 \h </w:instrText>
        </w:r>
        <w:r w:rsidR="0066792E">
          <w:rPr>
            <w:webHidden/>
          </w:rPr>
        </w:r>
        <w:r w:rsidR="0066792E">
          <w:rPr>
            <w:webHidden/>
          </w:rPr>
          <w:fldChar w:fldCharType="separate"/>
        </w:r>
        <w:r w:rsidR="00EC1E02">
          <w:rPr>
            <w:webHidden/>
          </w:rPr>
          <w:t>13</w:t>
        </w:r>
        <w:r w:rsidR="0066792E">
          <w:rPr>
            <w:webHidden/>
          </w:rPr>
          <w:fldChar w:fldCharType="end"/>
        </w:r>
      </w:hyperlink>
    </w:p>
    <w:p w14:paraId="15461138" w14:textId="4E9DA73B" w:rsidR="0066792E" w:rsidRDefault="006002B3">
      <w:pPr>
        <w:pStyle w:val="TOC2"/>
        <w:rPr>
          <w:rFonts w:asciiTheme="minorHAnsi" w:eastAsiaTheme="minorEastAsia" w:hAnsiTheme="minorHAnsi" w:cstheme="minorBidi"/>
          <w:sz w:val="22"/>
          <w:szCs w:val="22"/>
        </w:rPr>
      </w:pPr>
      <w:hyperlink w:anchor="_Toc497134499" w:history="1">
        <w:r w:rsidR="0066792E" w:rsidRPr="00483D4B">
          <w:rPr>
            <w:rStyle w:val="Hyperlink"/>
          </w:rPr>
          <w:t>A.6</w:t>
        </w:r>
        <w:r w:rsidR="0066792E">
          <w:rPr>
            <w:rFonts w:asciiTheme="minorHAnsi" w:eastAsiaTheme="minorEastAsia" w:hAnsiTheme="minorHAnsi" w:cstheme="minorBidi"/>
            <w:sz w:val="22"/>
            <w:szCs w:val="22"/>
          </w:rPr>
          <w:tab/>
        </w:r>
        <w:r w:rsidR="0066792E" w:rsidRPr="00483D4B">
          <w:rPr>
            <w:rStyle w:val="Hyperlink"/>
          </w:rPr>
          <w:t>Consequences of Collecting the Information Less Frequently</w:t>
        </w:r>
        <w:r w:rsidR="0066792E">
          <w:rPr>
            <w:webHidden/>
          </w:rPr>
          <w:tab/>
        </w:r>
        <w:r w:rsidR="0066792E">
          <w:rPr>
            <w:webHidden/>
          </w:rPr>
          <w:fldChar w:fldCharType="begin"/>
        </w:r>
        <w:r w:rsidR="0066792E">
          <w:rPr>
            <w:webHidden/>
          </w:rPr>
          <w:instrText xml:space="preserve"> PAGEREF _Toc497134499 \h </w:instrText>
        </w:r>
        <w:r w:rsidR="0066792E">
          <w:rPr>
            <w:webHidden/>
          </w:rPr>
        </w:r>
        <w:r w:rsidR="0066792E">
          <w:rPr>
            <w:webHidden/>
          </w:rPr>
          <w:fldChar w:fldCharType="separate"/>
        </w:r>
        <w:r w:rsidR="00EC1E02">
          <w:rPr>
            <w:webHidden/>
          </w:rPr>
          <w:t>13</w:t>
        </w:r>
        <w:r w:rsidR="0066792E">
          <w:rPr>
            <w:webHidden/>
          </w:rPr>
          <w:fldChar w:fldCharType="end"/>
        </w:r>
      </w:hyperlink>
    </w:p>
    <w:p w14:paraId="3C0F541B" w14:textId="64D8527E" w:rsidR="0066792E" w:rsidRDefault="006002B3">
      <w:pPr>
        <w:pStyle w:val="TOC2"/>
        <w:rPr>
          <w:rFonts w:asciiTheme="minorHAnsi" w:eastAsiaTheme="minorEastAsia" w:hAnsiTheme="minorHAnsi" w:cstheme="minorBidi"/>
          <w:sz w:val="22"/>
          <w:szCs w:val="22"/>
        </w:rPr>
      </w:pPr>
      <w:hyperlink w:anchor="_Toc497134500" w:history="1">
        <w:r w:rsidR="0066792E" w:rsidRPr="00483D4B">
          <w:rPr>
            <w:rStyle w:val="Hyperlink"/>
          </w:rPr>
          <w:t>A.7</w:t>
        </w:r>
        <w:r w:rsidR="0066792E">
          <w:rPr>
            <w:rFonts w:asciiTheme="minorHAnsi" w:eastAsiaTheme="minorEastAsia" w:hAnsiTheme="minorHAnsi" w:cstheme="minorBidi"/>
            <w:sz w:val="22"/>
            <w:szCs w:val="22"/>
          </w:rPr>
          <w:tab/>
        </w:r>
        <w:r w:rsidR="0066792E" w:rsidRPr="00483D4B">
          <w:rPr>
            <w:rStyle w:val="Hyperlink"/>
          </w:rPr>
          <w:t>Special Circumstances Relating to the Guidelines of 5 CFR1320.5</w:t>
        </w:r>
        <w:r w:rsidR="0066792E">
          <w:rPr>
            <w:webHidden/>
          </w:rPr>
          <w:tab/>
        </w:r>
        <w:r w:rsidR="0066792E">
          <w:rPr>
            <w:webHidden/>
          </w:rPr>
          <w:fldChar w:fldCharType="begin"/>
        </w:r>
        <w:r w:rsidR="0066792E">
          <w:rPr>
            <w:webHidden/>
          </w:rPr>
          <w:instrText xml:space="preserve"> PAGEREF _Toc497134500 \h </w:instrText>
        </w:r>
        <w:r w:rsidR="0066792E">
          <w:rPr>
            <w:webHidden/>
          </w:rPr>
        </w:r>
        <w:r w:rsidR="0066792E">
          <w:rPr>
            <w:webHidden/>
          </w:rPr>
          <w:fldChar w:fldCharType="separate"/>
        </w:r>
        <w:r w:rsidR="00EC1E02">
          <w:rPr>
            <w:webHidden/>
          </w:rPr>
          <w:t>14</w:t>
        </w:r>
        <w:r w:rsidR="0066792E">
          <w:rPr>
            <w:webHidden/>
          </w:rPr>
          <w:fldChar w:fldCharType="end"/>
        </w:r>
      </w:hyperlink>
    </w:p>
    <w:p w14:paraId="331A6394" w14:textId="3D4B18A3" w:rsidR="0066792E" w:rsidRDefault="006002B3">
      <w:pPr>
        <w:pStyle w:val="TOC2"/>
        <w:rPr>
          <w:rFonts w:asciiTheme="minorHAnsi" w:eastAsiaTheme="minorEastAsia" w:hAnsiTheme="minorHAnsi" w:cstheme="minorBidi"/>
          <w:sz w:val="22"/>
          <w:szCs w:val="22"/>
        </w:rPr>
      </w:pPr>
      <w:hyperlink w:anchor="_Toc497134501" w:history="1">
        <w:r w:rsidR="0066792E" w:rsidRPr="00483D4B">
          <w:rPr>
            <w:rStyle w:val="Hyperlink"/>
          </w:rPr>
          <w:t>A.8</w:t>
        </w:r>
        <w:r w:rsidR="0066792E">
          <w:rPr>
            <w:rFonts w:asciiTheme="minorHAnsi" w:eastAsiaTheme="minorEastAsia" w:hAnsiTheme="minorHAnsi" w:cstheme="minorBidi"/>
            <w:sz w:val="22"/>
            <w:szCs w:val="22"/>
          </w:rPr>
          <w:tab/>
        </w:r>
        <w:r w:rsidR="0066792E" w:rsidRPr="00483D4B">
          <w:rPr>
            <w:rStyle w:val="Hyperlink"/>
          </w:rPr>
          <w:t>Comments in Response to the Federal Register Notice and Efforts to Consult Outside the Agency</w:t>
        </w:r>
        <w:r w:rsidR="0066792E">
          <w:rPr>
            <w:webHidden/>
          </w:rPr>
          <w:tab/>
        </w:r>
        <w:r w:rsidR="0066792E">
          <w:rPr>
            <w:webHidden/>
          </w:rPr>
          <w:fldChar w:fldCharType="begin"/>
        </w:r>
        <w:r w:rsidR="0066792E">
          <w:rPr>
            <w:webHidden/>
          </w:rPr>
          <w:instrText xml:space="preserve"> PAGEREF _Toc497134501 \h </w:instrText>
        </w:r>
        <w:r w:rsidR="0066792E">
          <w:rPr>
            <w:webHidden/>
          </w:rPr>
        </w:r>
        <w:r w:rsidR="0066792E">
          <w:rPr>
            <w:webHidden/>
          </w:rPr>
          <w:fldChar w:fldCharType="separate"/>
        </w:r>
        <w:r w:rsidR="00EC1E02">
          <w:rPr>
            <w:webHidden/>
          </w:rPr>
          <w:t>14</w:t>
        </w:r>
        <w:r w:rsidR="0066792E">
          <w:rPr>
            <w:webHidden/>
          </w:rPr>
          <w:fldChar w:fldCharType="end"/>
        </w:r>
      </w:hyperlink>
    </w:p>
    <w:p w14:paraId="166B0174" w14:textId="77B7DA6E" w:rsidR="0066792E" w:rsidRDefault="006002B3">
      <w:pPr>
        <w:pStyle w:val="TOC2"/>
        <w:rPr>
          <w:rFonts w:asciiTheme="minorHAnsi" w:eastAsiaTheme="minorEastAsia" w:hAnsiTheme="minorHAnsi" w:cstheme="minorBidi"/>
          <w:sz w:val="22"/>
          <w:szCs w:val="22"/>
        </w:rPr>
      </w:pPr>
      <w:hyperlink w:anchor="_Toc497134502" w:history="1">
        <w:r w:rsidR="0066792E" w:rsidRPr="00483D4B">
          <w:rPr>
            <w:rStyle w:val="Hyperlink"/>
          </w:rPr>
          <w:t xml:space="preserve">A.9. </w:t>
        </w:r>
        <w:r w:rsidR="0066792E">
          <w:rPr>
            <w:rFonts w:asciiTheme="minorHAnsi" w:eastAsiaTheme="minorEastAsia" w:hAnsiTheme="minorHAnsi" w:cstheme="minorBidi"/>
            <w:sz w:val="22"/>
            <w:szCs w:val="22"/>
          </w:rPr>
          <w:tab/>
        </w:r>
        <w:r w:rsidR="0066792E" w:rsidRPr="00483D4B">
          <w:rPr>
            <w:rStyle w:val="Hyperlink"/>
          </w:rPr>
          <w:t>Explanation of Any Payment or Gift to Respondents</w:t>
        </w:r>
        <w:r w:rsidR="0066792E">
          <w:rPr>
            <w:webHidden/>
          </w:rPr>
          <w:tab/>
        </w:r>
        <w:r w:rsidR="0066792E">
          <w:rPr>
            <w:webHidden/>
          </w:rPr>
          <w:fldChar w:fldCharType="begin"/>
        </w:r>
        <w:r w:rsidR="0066792E">
          <w:rPr>
            <w:webHidden/>
          </w:rPr>
          <w:instrText xml:space="preserve"> PAGEREF _Toc497134502 \h </w:instrText>
        </w:r>
        <w:r w:rsidR="0066792E">
          <w:rPr>
            <w:webHidden/>
          </w:rPr>
        </w:r>
        <w:r w:rsidR="0066792E">
          <w:rPr>
            <w:webHidden/>
          </w:rPr>
          <w:fldChar w:fldCharType="separate"/>
        </w:r>
        <w:r w:rsidR="00EC1E02">
          <w:rPr>
            <w:webHidden/>
          </w:rPr>
          <w:t>16</w:t>
        </w:r>
        <w:r w:rsidR="0066792E">
          <w:rPr>
            <w:webHidden/>
          </w:rPr>
          <w:fldChar w:fldCharType="end"/>
        </w:r>
      </w:hyperlink>
    </w:p>
    <w:p w14:paraId="22238D11" w14:textId="33B47314" w:rsidR="0066792E" w:rsidRDefault="006002B3">
      <w:pPr>
        <w:pStyle w:val="TOC2"/>
        <w:rPr>
          <w:rFonts w:asciiTheme="minorHAnsi" w:eastAsiaTheme="minorEastAsia" w:hAnsiTheme="minorHAnsi" w:cstheme="minorBidi"/>
          <w:sz w:val="22"/>
          <w:szCs w:val="22"/>
        </w:rPr>
      </w:pPr>
      <w:hyperlink w:anchor="_Toc497134503" w:history="1">
        <w:r w:rsidR="0066792E" w:rsidRPr="00483D4B">
          <w:rPr>
            <w:rStyle w:val="Hyperlink"/>
          </w:rPr>
          <w:t>A.10</w:t>
        </w:r>
        <w:r w:rsidR="0066792E">
          <w:rPr>
            <w:rFonts w:asciiTheme="minorHAnsi" w:eastAsiaTheme="minorEastAsia" w:hAnsiTheme="minorHAnsi" w:cstheme="minorBidi"/>
            <w:sz w:val="22"/>
            <w:szCs w:val="22"/>
          </w:rPr>
          <w:tab/>
        </w:r>
        <w:r w:rsidR="0066792E" w:rsidRPr="00483D4B">
          <w:rPr>
            <w:rStyle w:val="Hyperlink"/>
          </w:rPr>
          <w:t>Protection of the Privacy and Confidentiality of Information Provided by Respondents</w:t>
        </w:r>
        <w:r w:rsidR="0066792E">
          <w:rPr>
            <w:webHidden/>
          </w:rPr>
          <w:tab/>
        </w:r>
        <w:r w:rsidR="0066792E">
          <w:rPr>
            <w:webHidden/>
          </w:rPr>
          <w:fldChar w:fldCharType="begin"/>
        </w:r>
        <w:r w:rsidR="0066792E">
          <w:rPr>
            <w:webHidden/>
          </w:rPr>
          <w:instrText xml:space="preserve"> PAGEREF _Toc497134503 \h </w:instrText>
        </w:r>
        <w:r w:rsidR="0066792E">
          <w:rPr>
            <w:webHidden/>
          </w:rPr>
        </w:r>
        <w:r w:rsidR="0066792E">
          <w:rPr>
            <w:webHidden/>
          </w:rPr>
          <w:fldChar w:fldCharType="separate"/>
        </w:r>
        <w:r w:rsidR="00EC1E02">
          <w:rPr>
            <w:webHidden/>
          </w:rPr>
          <w:t>18</w:t>
        </w:r>
        <w:r w:rsidR="0066792E">
          <w:rPr>
            <w:webHidden/>
          </w:rPr>
          <w:fldChar w:fldCharType="end"/>
        </w:r>
      </w:hyperlink>
    </w:p>
    <w:p w14:paraId="48E79B6B" w14:textId="67872A06" w:rsidR="0066792E" w:rsidRDefault="006002B3">
      <w:pPr>
        <w:pStyle w:val="TOC2"/>
        <w:rPr>
          <w:rFonts w:asciiTheme="minorHAnsi" w:eastAsiaTheme="minorEastAsia" w:hAnsiTheme="minorHAnsi" w:cstheme="minorBidi"/>
          <w:sz w:val="22"/>
          <w:szCs w:val="22"/>
        </w:rPr>
      </w:pPr>
      <w:hyperlink w:anchor="_Toc497134505" w:history="1">
        <w:r w:rsidR="0066792E" w:rsidRPr="00483D4B">
          <w:rPr>
            <w:rStyle w:val="Hyperlink"/>
          </w:rPr>
          <w:t>A.11</w:t>
        </w:r>
        <w:r w:rsidR="0066792E">
          <w:rPr>
            <w:rFonts w:asciiTheme="minorHAnsi" w:eastAsiaTheme="minorEastAsia" w:hAnsiTheme="minorHAnsi" w:cstheme="minorBidi"/>
            <w:sz w:val="22"/>
            <w:szCs w:val="22"/>
          </w:rPr>
          <w:tab/>
        </w:r>
        <w:r w:rsidR="0066792E" w:rsidRPr="00483D4B">
          <w:rPr>
            <w:rStyle w:val="Hyperlink"/>
          </w:rPr>
          <w:t>Institutional Review Board (IRB) and Justification for Sensitive Questions</w:t>
        </w:r>
        <w:r w:rsidR="0066792E">
          <w:rPr>
            <w:webHidden/>
          </w:rPr>
          <w:tab/>
        </w:r>
        <w:r w:rsidR="0066792E">
          <w:rPr>
            <w:webHidden/>
          </w:rPr>
          <w:fldChar w:fldCharType="begin"/>
        </w:r>
        <w:r w:rsidR="0066792E">
          <w:rPr>
            <w:webHidden/>
          </w:rPr>
          <w:instrText xml:space="preserve"> PAGEREF _Toc497134505 \h </w:instrText>
        </w:r>
        <w:r w:rsidR="0066792E">
          <w:rPr>
            <w:webHidden/>
          </w:rPr>
        </w:r>
        <w:r w:rsidR="0066792E">
          <w:rPr>
            <w:webHidden/>
          </w:rPr>
          <w:fldChar w:fldCharType="separate"/>
        </w:r>
        <w:r w:rsidR="00EC1E02">
          <w:rPr>
            <w:webHidden/>
          </w:rPr>
          <w:t>20</w:t>
        </w:r>
        <w:r w:rsidR="0066792E">
          <w:rPr>
            <w:webHidden/>
          </w:rPr>
          <w:fldChar w:fldCharType="end"/>
        </w:r>
      </w:hyperlink>
    </w:p>
    <w:p w14:paraId="78423454" w14:textId="65071075" w:rsidR="0066792E" w:rsidRDefault="006002B3">
      <w:pPr>
        <w:pStyle w:val="TOC2"/>
        <w:rPr>
          <w:rFonts w:asciiTheme="minorHAnsi" w:eastAsiaTheme="minorEastAsia" w:hAnsiTheme="minorHAnsi" w:cstheme="minorBidi"/>
          <w:sz w:val="22"/>
          <w:szCs w:val="22"/>
        </w:rPr>
      </w:pPr>
      <w:hyperlink w:anchor="_Toc497134506" w:history="1">
        <w:r w:rsidR="0066792E" w:rsidRPr="00483D4B">
          <w:rPr>
            <w:rStyle w:val="Hyperlink"/>
          </w:rPr>
          <w:t>A.12</w:t>
        </w:r>
        <w:r w:rsidR="0066792E">
          <w:rPr>
            <w:rFonts w:asciiTheme="minorHAnsi" w:eastAsiaTheme="minorEastAsia" w:hAnsiTheme="minorHAnsi" w:cstheme="minorBidi"/>
            <w:sz w:val="22"/>
            <w:szCs w:val="22"/>
          </w:rPr>
          <w:tab/>
        </w:r>
        <w:r w:rsidR="0066792E" w:rsidRPr="00483D4B">
          <w:rPr>
            <w:rStyle w:val="Hyperlink"/>
          </w:rPr>
          <w:t>Estimates of Annualized Burden Hours and Costs to Respondents</w:t>
        </w:r>
        <w:r w:rsidR="0066792E">
          <w:rPr>
            <w:webHidden/>
          </w:rPr>
          <w:tab/>
        </w:r>
        <w:r w:rsidR="0066792E">
          <w:rPr>
            <w:webHidden/>
          </w:rPr>
          <w:fldChar w:fldCharType="begin"/>
        </w:r>
        <w:r w:rsidR="0066792E">
          <w:rPr>
            <w:webHidden/>
          </w:rPr>
          <w:instrText xml:space="preserve"> PAGEREF _Toc497134506 \h </w:instrText>
        </w:r>
        <w:r w:rsidR="0066792E">
          <w:rPr>
            <w:webHidden/>
          </w:rPr>
        </w:r>
        <w:r w:rsidR="0066792E">
          <w:rPr>
            <w:webHidden/>
          </w:rPr>
          <w:fldChar w:fldCharType="separate"/>
        </w:r>
        <w:r w:rsidR="00EC1E02">
          <w:rPr>
            <w:webHidden/>
          </w:rPr>
          <w:t>21</w:t>
        </w:r>
        <w:r w:rsidR="0066792E">
          <w:rPr>
            <w:webHidden/>
          </w:rPr>
          <w:fldChar w:fldCharType="end"/>
        </w:r>
      </w:hyperlink>
    </w:p>
    <w:p w14:paraId="1EDE8044" w14:textId="7421A813" w:rsidR="0066792E" w:rsidRDefault="006002B3">
      <w:pPr>
        <w:pStyle w:val="TOC3"/>
        <w:tabs>
          <w:tab w:val="left" w:pos="2340"/>
        </w:tabs>
        <w:rPr>
          <w:rFonts w:asciiTheme="minorHAnsi" w:eastAsiaTheme="minorEastAsia" w:hAnsiTheme="minorHAnsi" w:cstheme="minorBidi"/>
          <w:sz w:val="22"/>
          <w:szCs w:val="22"/>
        </w:rPr>
      </w:pPr>
      <w:hyperlink w:anchor="_Toc497134507" w:history="1">
        <w:r w:rsidR="0066792E" w:rsidRPr="00483D4B">
          <w:rPr>
            <w:rStyle w:val="Hyperlink"/>
          </w:rPr>
          <w:t>A.12.1</w:t>
        </w:r>
        <w:r w:rsidR="0066792E">
          <w:rPr>
            <w:rFonts w:asciiTheme="minorHAnsi" w:eastAsiaTheme="minorEastAsia" w:hAnsiTheme="minorHAnsi" w:cstheme="minorBidi"/>
            <w:sz w:val="22"/>
            <w:szCs w:val="22"/>
          </w:rPr>
          <w:tab/>
        </w:r>
        <w:r w:rsidR="0066792E" w:rsidRPr="00483D4B">
          <w:rPr>
            <w:rStyle w:val="Hyperlink"/>
          </w:rPr>
          <w:t>Estimated Annualized Burden Hours</w:t>
        </w:r>
        <w:r w:rsidR="0066792E">
          <w:rPr>
            <w:webHidden/>
          </w:rPr>
          <w:tab/>
        </w:r>
        <w:r w:rsidR="0066792E">
          <w:rPr>
            <w:webHidden/>
          </w:rPr>
          <w:fldChar w:fldCharType="begin"/>
        </w:r>
        <w:r w:rsidR="0066792E">
          <w:rPr>
            <w:webHidden/>
          </w:rPr>
          <w:instrText xml:space="preserve"> PAGEREF _Toc497134507 \h </w:instrText>
        </w:r>
        <w:r w:rsidR="0066792E">
          <w:rPr>
            <w:webHidden/>
          </w:rPr>
        </w:r>
        <w:r w:rsidR="0066792E">
          <w:rPr>
            <w:webHidden/>
          </w:rPr>
          <w:fldChar w:fldCharType="separate"/>
        </w:r>
        <w:r w:rsidR="00EC1E02">
          <w:rPr>
            <w:webHidden/>
          </w:rPr>
          <w:t>21</w:t>
        </w:r>
        <w:r w:rsidR="0066792E">
          <w:rPr>
            <w:webHidden/>
          </w:rPr>
          <w:fldChar w:fldCharType="end"/>
        </w:r>
      </w:hyperlink>
    </w:p>
    <w:p w14:paraId="58EB6D05" w14:textId="26501F15" w:rsidR="0066792E" w:rsidRDefault="006002B3">
      <w:pPr>
        <w:pStyle w:val="TOC3"/>
        <w:tabs>
          <w:tab w:val="left" w:pos="2340"/>
        </w:tabs>
        <w:rPr>
          <w:rFonts w:asciiTheme="minorHAnsi" w:eastAsiaTheme="minorEastAsia" w:hAnsiTheme="minorHAnsi" w:cstheme="minorBidi"/>
          <w:sz w:val="22"/>
          <w:szCs w:val="22"/>
        </w:rPr>
      </w:pPr>
      <w:hyperlink w:anchor="_Toc497134508" w:history="1">
        <w:r w:rsidR="0066792E" w:rsidRPr="00483D4B">
          <w:rPr>
            <w:rStyle w:val="Hyperlink"/>
          </w:rPr>
          <w:t>A.12.2</w:t>
        </w:r>
        <w:r w:rsidR="0066792E">
          <w:rPr>
            <w:rFonts w:asciiTheme="minorHAnsi" w:eastAsiaTheme="minorEastAsia" w:hAnsiTheme="minorHAnsi" w:cstheme="minorBidi"/>
            <w:sz w:val="22"/>
            <w:szCs w:val="22"/>
          </w:rPr>
          <w:tab/>
        </w:r>
        <w:r w:rsidR="0066792E" w:rsidRPr="00483D4B">
          <w:rPr>
            <w:rStyle w:val="Hyperlink"/>
          </w:rPr>
          <w:t>Estimated Annualized Cost to Respondents</w:t>
        </w:r>
        <w:r w:rsidR="0066792E">
          <w:rPr>
            <w:webHidden/>
          </w:rPr>
          <w:tab/>
        </w:r>
        <w:r w:rsidR="0066792E">
          <w:rPr>
            <w:webHidden/>
          </w:rPr>
          <w:fldChar w:fldCharType="begin"/>
        </w:r>
        <w:r w:rsidR="0066792E">
          <w:rPr>
            <w:webHidden/>
          </w:rPr>
          <w:instrText xml:space="preserve"> PAGEREF _Toc497134508 \h </w:instrText>
        </w:r>
        <w:r w:rsidR="0066792E">
          <w:rPr>
            <w:webHidden/>
          </w:rPr>
        </w:r>
        <w:r w:rsidR="0066792E">
          <w:rPr>
            <w:webHidden/>
          </w:rPr>
          <w:fldChar w:fldCharType="separate"/>
        </w:r>
        <w:r w:rsidR="00EC1E02">
          <w:rPr>
            <w:webHidden/>
          </w:rPr>
          <w:t>23</w:t>
        </w:r>
        <w:r w:rsidR="0066792E">
          <w:rPr>
            <w:webHidden/>
          </w:rPr>
          <w:fldChar w:fldCharType="end"/>
        </w:r>
      </w:hyperlink>
    </w:p>
    <w:p w14:paraId="5AC23B1F" w14:textId="29100FBF" w:rsidR="0066792E" w:rsidRDefault="006002B3">
      <w:pPr>
        <w:pStyle w:val="TOC2"/>
        <w:rPr>
          <w:rFonts w:asciiTheme="minorHAnsi" w:eastAsiaTheme="minorEastAsia" w:hAnsiTheme="minorHAnsi" w:cstheme="minorBidi"/>
          <w:sz w:val="22"/>
          <w:szCs w:val="22"/>
        </w:rPr>
      </w:pPr>
      <w:hyperlink w:anchor="_Toc497134509" w:history="1">
        <w:r w:rsidR="0066792E" w:rsidRPr="00483D4B">
          <w:rPr>
            <w:rStyle w:val="Hyperlink"/>
          </w:rPr>
          <w:t>A.13</w:t>
        </w:r>
        <w:r w:rsidR="0066792E">
          <w:rPr>
            <w:rFonts w:asciiTheme="minorHAnsi" w:eastAsiaTheme="minorEastAsia" w:hAnsiTheme="minorHAnsi" w:cstheme="minorBidi"/>
            <w:sz w:val="22"/>
            <w:szCs w:val="22"/>
          </w:rPr>
          <w:tab/>
        </w:r>
        <w:r w:rsidR="0066792E" w:rsidRPr="00483D4B">
          <w:rPr>
            <w:rStyle w:val="Hyperlink"/>
          </w:rPr>
          <w:t>Estimates of Other Total Annual Cost Burden to Respondents or Record Keepers</w:t>
        </w:r>
        <w:r w:rsidR="0066792E">
          <w:rPr>
            <w:webHidden/>
          </w:rPr>
          <w:tab/>
        </w:r>
        <w:r w:rsidR="0066792E">
          <w:rPr>
            <w:webHidden/>
          </w:rPr>
          <w:fldChar w:fldCharType="begin"/>
        </w:r>
        <w:r w:rsidR="0066792E">
          <w:rPr>
            <w:webHidden/>
          </w:rPr>
          <w:instrText xml:space="preserve"> PAGEREF _Toc497134509 \h </w:instrText>
        </w:r>
        <w:r w:rsidR="0066792E">
          <w:rPr>
            <w:webHidden/>
          </w:rPr>
        </w:r>
        <w:r w:rsidR="0066792E">
          <w:rPr>
            <w:webHidden/>
          </w:rPr>
          <w:fldChar w:fldCharType="separate"/>
        </w:r>
        <w:r w:rsidR="00EC1E02">
          <w:rPr>
            <w:webHidden/>
          </w:rPr>
          <w:t>24</w:t>
        </w:r>
        <w:r w:rsidR="0066792E">
          <w:rPr>
            <w:webHidden/>
          </w:rPr>
          <w:fldChar w:fldCharType="end"/>
        </w:r>
      </w:hyperlink>
    </w:p>
    <w:p w14:paraId="6862FA16" w14:textId="68921859" w:rsidR="0066792E" w:rsidRDefault="006002B3">
      <w:pPr>
        <w:pStyle w:val="TOC2"/>
        <w:rPr>
          <w:rFonts w:asciiTheme="minorHAnsi" w:eastAsiaTheme="minorEastAsia" w:hAnsiTheme="minorHAnsi" w:cstheme="minorBidi"/>
          <w:sz w:val="22"/>
          <w:szCs w:val="22"/>
        </w:rPr>
      </w:pPr>
      <w:hyperlink w:anchor="_Toc497134511" w:history="1">
        <w:r w:rsidR="0066792E" w:rsidRPr="00483D4B">
          <w:rPr>
            <w:rStyle w:val="Hyperlink"/>
          </w:rPr>
          <w:t>A.14</w:t>
        </w:r>
        <w:r w:rsidR="0066792E">
          <w:rPr>
            <w:rFonts w:asciiTheme="minorHAnsi" w:eastAsiaTheme="minorEastAsia" w:hAnsiTheme="minorHAnsi" w:cstheme="minorBidi"/>
            <w:sz w:val="22"/>
            <w:szCs w:val="22"/>
          </w:rPr>
          <w:tab/>
        </w:r>
        <w:r w:rsidR="0066792E" w:rsidRPr="00483D4B">
          <w:rPr>
            <w:rStyle w:val="Hyperlink"/>
          </w:rPr>
          <w:t>Annualized Cost to the Federal Government</w:t>
        </w:r>
        <w:r w:rsidR="0066792E">
          <w:rPr>
            <w:webHidden/>
          </w:rPr>
          <w:tab/>
        </w:r>
        <w:r w:rsidR="0066792E">
          <w:rPr>
            <w:webHidden/>
          </w:rPr>
          <w:fldChar w:fldCharType="begin"/>
        </w:r>
        <w:r w:rsidR="0066792E">
          <w:rPr>
            <w:webHidden/>
          </w:rPr>
          <w:instrText xml:space="preserve"> PAGEREF _Toc497134511 \h </w:instrText>
        </w:r>
        <w:r w:rsidR="0066792E">
          <w:rPr>
            <w:webHidden/>
          </w:rPr>
        </w:r>
        <w:r w:rsidR="0066792E">
          <w:rPr>
            <w:webHidden/>
          </w:rPr>
          <w:fldChar w:fldCharType="separate"/>
        </w:r>
        <w:r w:rsidR="00EC1E02">
          <w:rPr>
            <w:webHidden/>
          </w:rPr>
          <w:t>24</w:t>
        </w:r>
        <w:r w:rsidR="0066792E">
          <w:rPr>
            <w:webHidden/>
          </w:rPr>
          <w:fldChar w:fldCharType="end"/>
        </w:r>
      </w:hyperlink>
    </w:p>
    <w:p w14:paraId="3821186D" w14:textId="369F2096" w:rsidR="0066792E" w:rsidRDefault="006002B3">
      <w:pPr>
        <w:pStyle w:val="TOC2"/>
        <w:rPr>
          <w:rFonts w:asciiTheme="minorHAnsi" w:eastAsiaTheme="minorEastAsia" w:hAnsiTheme="minorHAnsi" w:cstheme="minorBidi"/>
          <w:sz w:val="22"/>
          <w:szCs w:val="22"/>
        </w:rPr>
      </w:pPr>
      <w:hyperlink w:anchor="_Toc497134512" w:history="1">
        <w:r w:rsidR="0066792E" w:rsidRPr="00483D4B">
          <w:rPr>
            <w:rStyle w:val="Hyperlink"/>
          </w:rPr>
          <w:t>A.15</w:t>
        </w:r>
        <w:r w:rsidR="0066792E">
          <w:rPr>
            <w:rFonts w:asciiTheme="minorHAnsi" w:eastAsiaTheme="minorEastAsia" w:hAnsiTheme="minorHAnsi" w:cstheme="minorBidi"/>
            <w:sz w:val="22"/>
            <w:szCs w:val="22"/>
          </w:rPr>
          <w:tab/>
        </w:r>
        <w:r w:rsidR="0066792E" w:rsidRPr="00483D4B">
          <w:rPr>
            <w:rStyle w:val="Hyperlink"/>
          </w:rPr>
          <w:t>Explanation for Program Changes or Adjustments</w:t>
        </w:r>
        <w:r w:rsidR="0066792E">
          <w:rPr>
            <w:webHidden/>
          </w:rPr>
          <w:tab/>
        </w:r>
        <w:r w:rsidR="0066792E">
          <w:rPr>
            <w:webHidden/>
          </w:rPr>
          <w:fldChar w:fldCharType="begin"/>
        </w:r>
        <w:r w:rsidR="0066792E">
          <w:rPr>
            <w:webHidden/>
          </w:rPr>
          <w:instrText xml:space="preserve"> PAGEREF _Toc497134512 \h </w:instrText>
        </w:r>
        <w:r w:rsidR="0066792E">
          <w:rPr>
            <w:webHidden/>
          </w:rPr>
        </w:r>
        <w:r w:rsidR="0066792E">
          <w:rPr>
            <w:webHidden/>
          </w:rPr>
          <w:fldChar w:fldCharType="separate"/>
        </w:r>
        <w:r w:rsidR="00EC1E02">
          <w:rPr>
            <w:webHidden/>
          </w:rPr>
          <w:t>24</w:t>
        </w:r>
        <w:r w:rsidR="0066792E">
          <w:rPr>
            <w:webHidden/>
          </w:rPr>
          <w:fldChar w:fldCharType="end"/>
        </w:r>
      </w:hyperlink>
    </w:p>
    <w:p w14:paraId="68B2DFCB" w14:textId="71DD7F39" w:rsidR="0066792E" w:rsidRDefault="006002B3">
      <w:pPr>
        <w:pStyle w:val="TOC2"/>
        <w:rPr>
          <w:rFonts w:asciiTheme="minorHAnsi" w:eastAsiaTheme="minorEastAsia" w:hAnsiTheme="minorHAnsi" w:cstheme="minorBidi"/>
          <w:sz w:val="22"/>
          <w:szCs w:val="22"/>
        </w:rPr>
      </w:pPr>
      <w:hyperlink w:anchor="_Toc497134513" w:history="1">
        <w:r w:rsidR="0066792E" w:rsidRPr="00483D4B">
          <w:rPr>
            <w:rStyle w:val="Hyperlink"/>
          </w:rPr>
          <w:t>A.16</w:t>
        </w:r>
        <w:r w:rsidR="0066792E">
          <w:rPr>
            <w:rFonts w:asciiTheme="minorHAnsi" w:eastAsiaTheme="minorEastAsia" w:hAnsiTheme="minorHAnsi" w:cstheme="minorBidi"/>
            <w:sz w:val="22"/>
            <w:szCs w:val="22"/>
          </w:rPr>
          <w:tab/>
        </w:r>
        <w:r w:rsidR="0066792E" w:rsidRPr="00483D4B">
          <w:rPr>
            <w:rStyle w:val="Hyperlink"/>
          </w:rPr>
          <w:t>Plans for Tabulation and Publication and Project Time Schedule</w:t>
        </w:r>
        <w:r w:rsidR="0066792E">
          <w:rPr>
            <w:webHidden/>
          </w:rPr>
          <w:tab/>
        </w:r>
        <w:r w:rsidR="0066792E">
          <w:rPr>
            <w:webHidden/>
          </w:rPr>
          <w:fldChar w:fldCharType="begin"/>
        </w:r>
        <w:r w:rsidR="0066792E">
          <w:rPr>
            <w:webHidden/>
          </w:rPr>
          <w:instrText xml:space="preserve"> PAGEREF _Toc497134513 \h </w:instrText>
        </w:r>
        <w:r w:rsidR="0066792E">
          <w:rPr>
            <w:webHidden/>
          </w:rPr>
        </w:r>
        <w:r w:rsidR="0066792E">
          <w:rPr>
            <w:webHidden/>
          </w:rPr>
          <w:fldChar w:fldCharType="separate"/>
        </w:r>
        <w:r w:rsidR="00EC1E02">
          <w:rPr>
            <w:webHidden/>
          </w:rPr>
          <w:t>25</w:t>
        </w:r>
        <w:r w:rsidR="0066792E">
          <w:rPr>
            <w:webHidden/>
          </w:rPr>
          <w:fldChar w:fldCharType="end"/>
        </w:r>
      </w:hyperlink>
    </w:p>
    <w:p w14:paraId="3140528D" w14:textId="5061B577" w:rsidR="0066792E" w:rsidRDefault="006002B3">
      <w:pPr>
        <w:pStyle w:val="TOC2"/>
        <w:rPr>
          <w:rFonts w:asciiTheme="minorHAnsi" w:eastAsiaTheme="minorEastAsia" w:hAnsiTheme="minorHAnsi" w:cstheme="minorBidi"/>
          <w:sz w:val="22"/>
          <w:szCs w:val="22"/>
        </w:rPr>
      </w:pPr>
      <w:hyperlink w:anchor="_Toc497134514" w:history="1">
        <w:r w:rsidR="0066792E" w:rsidRPr="00483D4B">
          <w:rPr>
            <w:rStyle w:val="Hyperlink"/>
          </w:rPr>
          <w:t>A.17</w:t>
        </w:r>
        <w:r w:rsidR="0066792E">
          <w:rPr>
            <w:rFonts w:asciiTheme="minorHAnsi" w:eastAsiaTheme="minorEastAsia" w:hAnsiTheme="minorHAnsi" w:cstheme="minorBidi"/>
            <w:sz w:val="22"/>
            <w:szCs w:val="22"/>
          </w:rPr>
          <w:tab/>
        </w:r>
        <w:r w:rsidR="0066792E" w:rsidRPr="00483D4B">
          <w:rPr>
            <w:rStyle w:val="Hyperlink"/>
          </w:rPr>
          <w:t>Reason(s) Display of OMB Expiration Date Is Inappropriate</w:t>
        </w:r>
        <w:r w:rsidR="0066792E">
          <w:rPr>
            <w:webHidden/>
          </w:rPr>
          <w:tab/>
        </w:r>
        <w:r w:rsidR="0066792E">
          <w:rPr>
            <w:webHidden/>
          </w:rPr>
          <w:fldChar w:fldCharType="begin"/>
        </w:r>
        <w:r w:rsidR="0066792E">
          <w:rPr>
            <w:webHidden/>
          </w:rPr>
          <w:instrText xml:space="preserve"> PAGEREF _Toc497134514 \h </w:instrText>
        </w:r>
        <w:r w:rsidR="0066792E">
          <w:rPr>
            <w:webHidden/>
          </w:rPr>
        </w:r>
        <w:r w:rsidR="0066792E">
          <w:rPr>
            <w:webHidden/>
          </w:rPr>
          <w:fldChar w:fldCharType="separate"/>
        </w:r>
        <w:r w:rsidR="00EC1E02">
          <w:rPr>
            <w:webHidden/>
          </w:rPr>
          <w:t>25</w:t>
        </w:r>
        <w:r w:rsidR="0066792E">
          <w:rPr>
            <w:webHidden/>
          </w:rPr>
          <w:fldChar w:fldCharType="end"/>
        </w:r>
      </w:hyperlink>
    </w:p>
    <w:p w14:paraId="0BABC2F8" w14:textId="4C7060C1" w:rsidR="0066792E" w:rsidRDefault="006002B3">
      <w:pPr>
        <w:pStyle w:val="TOC2"/>
        <w:rPr>
          <w:rFonts w:asciiTheme="minorHAnsi" w:eastAsiaTheme="minorEastAsia" w:hAnsiTheme="minorHAnsi" w:cstheme="minorBidi"/>
          <w:sz w:val="22"/>
          <w:szCs w:val="22"/>
        </w:rPr>
      </w:pPr>
      <w:hyperlink w:anchor="_Toc497134515" w:history="1">
        <w:r w:rsidR="0066792E" w:rsidRPr="00483D4B">
          <w:rPr>
            <w:rStyle w:val="Hyperlink"/>
          </w:rPr>
          <w:t>A.18</w:t>
        </w:r>
        <w:r w:rsidR="0066792E">
          <w:rPr>
            <w:rFonts w:asciiTheme="minorHAnsi" w:eastAsiaTheme="minorEastAsia" w:hAnsiTheme="minorHAnsi" w:cstheme="minorBidi"/>
            <w:sz w:val="22"/>
            <w:szCs w:val="22"/>
          </w:rPr>
          <w:tab/>
        </w:r>
        <w:r w:rsidR="0066792E" w:rsidRPr="00483D4B">
          <w:rPr>
            <w:rStyle w:val="Hyperlink"/>
          </w:rPr>
          <w:t>Exceptions to Certification for Paperwork Reduction Act Submissions</w:t>
        </w:r>
        <w:r w:rsidR="0066792E">
          <w:rPr>
            <w:webHidden/>
          </w:rPr>
          <w:tab/>
        </w:r>
        <w:r w:rsidR="0066792E">
          <w:rPr>
            <w:webHidden/>
          </w:rPr>
          <w:fldChar w:fldCharType="begin"/>
        </w:r>
        <w:r w:rsidR="0066792E">
          <w:rPr>
            <w:webHidden/>
          </w:rPr>
          <w:instrText xml:space="preserve"> PAGEREF _Toc497134515 \h </w:instrText>
        </w:r>
        <w:r w:rsidR="0066792E">
          <w:rPr>
            <w:webHidden/>
          </w:rPr>
        </w:r>
        <w:r w:rsidR="0066792E">
          <w:rPr>
            <w:webHidden/>
          </w:rPr>
          <w:fldChar w:fldCharType="separate"/>
        </w:r>
        <w:r w:rsidR="00EC1E02">
          <w:rPr>
            <w:webHidden/>
          </w:rPr>
          <w:t>25</w:t>
        </w:r>
        <w:r w:rsidR="0066792E">
          <w:rPr>
            <w:webHidden/>
          </w:rPr>
          <w:fldChar w:fldCharType="end"/>
        </w:r>
      </w:hyperlink>
    </w:p>
    <w:p w14:paraId="57634C1B" w14:textId="4A101848" w:rsidR="0066792E" w:rsidRDefault="006002B3">
      <w:pPr>
        <w:pStyle w:val="TOC1"/>
        <w:rPr>
          <w:rFonts w:asciiTheme="minorHAnsi" w:eastAsiaTheme="minorEastAsia" w:hAnsiTheme="minorHAnsi" w:cstheme="minorBidi"/>
          <w:sz w:val="22"/>
          <w:szCs w:val="22"/>
        </w:rPr>
      </w:pPr>
      <w:hyperlink w:anchor="_Toc497134516" w:history="1">
        <w:r w:rsidR="0066792E" w:rsidRPr="00483D4B">
          <w:rPr>
            <w:rStyle w:val="Hyperlink"/>
          </w:rPr>
          <w:t>References</w:t>
        </w:r>
        <w:r w:rsidR="0066792E">
          <w:rPr>
            <w:webHidden/>
          </w:rPr>
          <w:tab/>
        </w:r>
        <w:r w:rsidR="0066792E">
          <w:rPr>
            <w:webHidden/>
          </w:rPr>
          <w:fldChar w:fldCharType="begin"/>
        </w:r>
        <w:r w:rsidR="0066792E">
          <w:rPr>
            <w:webHidden/>
          </w:rPr>
          <w:instrText xml:space="preserve"> PAGEREF _Toc497134516 \h </w:instrText>
        </w:r>
        <w:r w:rsidR="0066792E">
          <w:rPr>
            <w:webHidden/>
          </w:rPr>
        </w:r>
        <w:r w:rsidR="0066792E">
          <w:rPr>
            <w:webHidden/>
          </w:rPr>
          <w:fldChar w:fldCharType="separate"/>
        </w:r>
        <w:r w:rsidR="00EC1E02">
          <w:rPr>
            <w:webHidden/>
          </w:rPr>
          <w:t>26</w:t>
        </w:r>
        <w:r w:rsidR="0066792E">
          <w:rPr>
            <w:webHidden/>
          </w:rPr>
          <w:fldChar w:fldCharType="end"/>
        </w:r>
      </w:hyperlink>
    </w:p>
    <w:p w14:paraId="176B8180" w14:textId="77777777" w:rsidR="00F72F56" w:rsidRPr="009B1505" w:rsidRDefault="00512F04" w:rsidP="00A935D1">
      <w:r w:rsidRPr="009B1505">
        <w:fldChar w:fldCharType="end"/>
      </w:r>
      <w:bookmarkStart w:id="3" w:name="_Toc79980788"/>
    </w:p>
    <w:p w14:paraId="1253CF3D" w14:textId="77777777" w:rsidR="00A935D1" w:rsidRPr="009B1505" w:rsidRDefault="00A935D1" w:rsidP="00A935D1"/>
    <w:p w14:paraId="3442126E" w14:textId="77777777" w:rsidR="00F72F56" w:rsidRPr="009B1505" w:rsidRDefault="00F72F56" w:rsidP="00F72F56"/>
    <w:p w14:paraId="62236B74" w14:textId="77777777" w:rsidR="00E170E6" w:rsidRDefault="00E170E6" w:rsidP="000C405D">
      <w:pPr>
        <w:pStyle w:val="TOC0"/>
      </w:pPr>
    </w:p>
    <w:p w14:paraId="7D364466" w14:textId="77777777" w:rsidR="00E170E6" w:rsidRDefault="00E170E6" w:rsidP="000C405D">
      <w:pPr>
        <w:pStyle w:val="TOC0"/>
      </w:pPr>
    </w:p>
    <w:p w14:paraId="50E39CA0" w14:textId="03DE2B78" w:rsidR="000C405D" w:rsidRPr="009B1505" w:rsidRDefault="000C405D" w:rsidP="000C405D">
      <w:pPr>
        <w:pStyle w:val="TOC0"/>
      </w:pPr>
      <w:r w:rsidRPr="009B1505">
        <w:lastRenderedPageBreak/>
        <w:t>LIST OF ATTACHMENTS</w:t>
      </w:r>
    </w:p>
    <w:p w14:paraId="46FC8D87" w14:textId="77777777" w:rsidR="000C405D" w:rsidRPr="009B1505" w:rsidRDefault="000C405D" w:rsidP="000C405D">
      <w:pPr>
        <w:tabs>
          <w:tab w:val="left" w:pos="-1200"/>
          <w:tab w:val="left" w:pos="-720"/>
        </w:tabs>
        <w:ind w:left="2160" w:hanging="2160"/>
      </w:pPr>
    </w:p>
    <w:p w14:paraId="61CE40FE" w14:textId="77777777" w:rsidR="000C405D" w:rsidRDefault="000C405D" w:rsidP="000C405D">
      <w:pPr>
        <w:pStyle w:val="NoSpacing"/>
        <w:jc w:val="both"/>
        <w:rPr>
          <w:rFonts w:eastAsia="Batang"/>
        </w:rPr>
      </w:pPr>
      <w:r>
        <w:rPr>
          <w:rFonts w:eastAsia="Batang"/>
        </w:rPr>
        <w:t xml:space="preserve">Attachment 1: </w:t>
      </w:r>
      <w:r w:rsidRPr="00CE423D">
        <w:rPr>
          <w:rFonts w:eastAsia="Batang"/>
        </w:rPr>
        <w:t>Authorizing Legislation</w:t>
      </w:r>
    </w:p>
    <w:p w14:paraId="40A03F05" w14:textId="77777777" w:rsidR="000C405D" w:rsidRDefault="000C405D" w:rsidP="000C405D">
      <w:pPr>
        <w:pStyle w:val="NoSpacing"/>
        <w:jc w:val="both"/>
        <w:rPr>
          <w:rFonts w:eastAsia="Batang"/>
        </w:rPr>
      </w:pPr>
      <w:r w:rsidRPr="009B1505">
        <w:rPr>
          <w:rFonts w:eastAsia="Batang"/>
        </w:rPr>
        <w:t xml:space="preserve">Attachment </w:t>
      </w:r>
      <w:r>
        <w:rPr>
          <w:rFonts w:eastAsia="Batang"/>
        </w:rPr>
        <w:t>2</w:t>
      </w:r>
      <w:r w:rsidRPr="009B1505">
        <w:rPr>
          <w:rFonts w:eastAsia="Batang"/>
        </w:rPr>
        <w:t xml:space="preserve">: </w:t>
      </w:r>
      <w:r>
        <w:rPr>
          <w:rFonts w:eastAsia="Batang"/>
        </w:rPr>
        <w:t>60 Day Federal Register Notice</w:t>
      </w:r>
    </w:p>
    <w:p w14:paraId="5E9E6820" w14:textId="77777777" w:rsidR="000C405D" w:rsidRDefault="000C405D" w:rsidP="000C405D">
      <w:pPr>
        <w:pStyle w:val="NoSpacing"/>
        <w:jc w:val="both"/>
        <w:rPr>
          <w:rFonts w:eastAsia="Batang"/>
        </w:rPr>
      </w:pPr>
      <w:r w:rsidRPr="009B1505">
        <w:rPr>
          <w:rFonts w:eastAsia="Batang"/>
        </w:rPr>
        <w:t xml:space="preserve">Attachment </w:t>
      </w:r>
      <w:r>
        <w:rPr>
          <w:rFonts w:eastAsia="Batang"/>
        </w:rPr>
        <w:t>3</w:t>
      </w:r>
      <w:r w:rsidRPr="009B1505">
        <w:rPr>
          <w:rFonts w:eastAsia="Batang"/>
        </w:rPr>
        <w:t xml:space="preserve">: </w:t>
      </w:r>
      <w:r>
        <w:rPr>
          <w:rFonts w:eastAsia="Batang"/>
        </w:rPr>
        <w:t>Public Comments</w:t>
      </w:r>
    </w:p>
    <w:p w14:paraId="7E0D6E23" w14:textId="77777777" w:rsidR="000C405D" w:rsidRDefault="000C405D" w:rsidP="000C405D">
      <w:pPr>
        <w:pStyle w:val="NoSpacing"/>
        <w:jc w:val="both"/>
        <w:rPr>
          <w:rFonts w:eastAsia="Batang"/>
        </w:rPr>
      </w:pPr>
      <w:r w:rsidRPr="009B1505">
        <w:rPr>
          <w:rFonts w:eastAsia="Batang"/>
        </w:rPr>
        <w:t xml:space="preserve">Attachment </w:t>
      </w:r>
      <w:r>
        <w:rPr>
          <w:rFonts w:eastAsia="Batang"/>
        </w:rPr>
        <w:t>4</w:t>
      </w:r>
      <w:r w:rsidRPr="009B1505">
        <w:rPr>
          <w:rFonts w:eastAsia="Batang"/>
        </w:rPr>
        <w:t xml:space="preserve">: Client Screener </w:t>
      </w:r>
      <w:r>
        <w:rPr>
          <w:rFonts w:eastAsia="Batang"/>
        </w:rPr>
        <w:t>Form</w:t>
      </w:r>
    </w:p>
    <w:p w14:paraId="64471EBD" w14:textId="77777777" w:rsidR="000C405D" w:rsidRDefault="000C405D" w:rsidP="000C405D">
      <w:pPr>
        <w:pStyle w:val="NoSpacing"/>
        <w:jc w:val="both"/>
        <w:rPr>
          <w:rFonts w:eastAsia="Batang"/>
        </w:rPr>
      </w:pPr>
      <w:r w:rsidRPr="009B1505">
        <w:rPr>
          <w:rFonts w:eastAsia="Batang"/>
        </w:rPr>
        <w:t>Attachment</w:t>
      </w:r>
      <w:r>
        <w:rPr>
          <w:rFonts w:eastAsia="Batang"/>
        </w:rPr>
        <w:t xml:space="preserve"> 5: </w:t>
      </w:r>
      <w:r w:rsidRPr="009B1505">
        <w:rPr>
          <w:rFonts w:eastAsia="Batang"/>
        </w:rPr>
        <w:t>Client Check-In</w:t>
      </w:r>
      <w:r>
        <w:rPr>
          <w:rFonts w:eastAsia="Batang"/>
        </w:rPr>
        <w:t xml:space="preserve"> Questionnaire</w:t>
      </w:r>
      <w:r w:rsidRPr="009B1505">
        <w:rPr>
          <w:rFonts w:eastAsia="Batang"/>
        </w:rPr>
        <w:t xml:space="preserve"> </w:t>
      </w:r>
    </w:p>
    <w:p w14:paraId="17731367" w14:textId="2F223C68" w:rsidR="000C405D" w:rsidRDefault="000C405D" w:rsidP="000C405D">
      <w:pPr>
        <w:pStyle w:val="NoSpacing"/>
        <w:jc w:val="both"/>
        <w:rPr>
          <w:rFonts w:eastAsia="Batang"/>
        </w:rPr>
      </w:pPr>
      <w:r w:rsidRPr="009B1505">
        <w:rPr>
          <w:rFonts w:eastAsia="Batang"/>
        </w:rPr>
        <w:t>A</w:t>
      </w:r>
      <w:r>
        <w:rPr>
          <w:rFonts w:eastAsia="Batang"/>
        </w:rPr>
        <w:t xml:space="preserve">ttachment 6: </w:t>
      </w:r>
      <w:r w:rsidRPr="009B1505">
        <w:rPr>
          <w:rFonts w:eastAsia="Batang"/>
        </w:rPr>
        <w:t>Client Questionnaire</w:t>
      </w:r>
      <w:r>
        <w:rPr>
          <w:rFonts w:eastAsia="Batang"/>
        </w:rPr>
        <w:t>, Baseline, 12-Month, and 24-Month Follow-up</w:t>
      </w:r>
      <w:r w:rsidRPr="009B1505">
        <w:rPr>
          <w:rFonts w:eastAsia="Batang"/>
        </w:rPr>
        <w:t xml:space="preserve"> </w:t>
      </w:r>
    </w:p>
    <w:p w14:paraId="4F741ED9" w14:textId="5BBC0F89" w:rsidR="00DD4383" w:rsidRPr="009B1505" w:rsidRDefault="00DD4383" w:rsidP="00DD4383">
      <w:pPr>
        <w:pStyle w:val="NoSpacing"/>
        <w:jc w:val="both"/>
        <w:rPr>
          <w:rFonts w:eastAsia="Batang"/>
        </w:rPr>
      </w:pPr>
      <w:r w:rsidRPr="009B1505">
        <w:rPr>
          <w:rFonts w:eastAsia="Batang"/>
        </w:rPr>
        <w:t>A</w:t>
      </w:r>
      <w:r>
        <w:rPr>
          <w:rFonts w:eastAsia="Batang"/>
        </w:rPr>
        <w:t>ttachment 6a:</w:t>
      </w:r>
      <w:r w:rsidR="00006648">
        <w:rPr>
          <w:rFonts w:eastAsia="Batang"/>
        </w:rPr>
        <w:t xml:space="preserve">SSN collection </w:t>
      </w:r>
    </w:p>
    <w:p w14:paraId="34BC089F" w14:textId="77777777" w:rsidR="000C405D" w:rsidRPr="009B1505" w:rsidRDefault="000C405D" w:rsidP="000C405D">
      <w:pPr>
        <w:pStyle w:val="NoSpacing"/>
        <w:jc w:val="both"/>
        <w:rPr>
          <w:rFonts w:eastAsia="Batang"/>
        </w:rPr>
      </w:pPr>
      <w:r>
        <w:rPr>
          <w:rFonts w:eastAsia="Batang"/>
        </w:rPr>
        <w:t>Attachment 7: Client Focus Group Guide</w:t>
      </w:r>
      <w:r w:rsidRPr="009B1505">
        <w:rPr>
          <w:rFonts w:eastAsia="Batang"/>
        </w:rPr>
        <w:t xml:space="preserve"> </w:t>
      </w:r>
    </w:p>
    <w:p w14:paraId="2CA38A10" w14:textId="77777777" w:rsidR="000C405D" w:rsidRDefault="000C405D" w:rsidP="000C405D">
      <w:pPr>
        <w:pStyle w:val="NoSpacing"/>
        <w:jc w:val="both"/>
        <w:rPr>
          <w:rFonts w:eastAsia="Batang"/>
        </w:rPr>
      </w:pPr>
      <w:r>
        <w:rPr>
          <w:rFonts w:eastAsia="Batang"/>
        </w:rPr>
        <w:t>Attachment 8: Staff Focus Group Guide</w:t>
      </w:r>
    </w:p>
    <w:p w14:paraId="18F45A89" w14:textId="77777777" w:rsidR="000C405D" w:rsidRDefault="000C405D" w:rsidP="000C405D">
      <w:pPr>
        <w:pStyle w:val="NoSpacing"/>
        <w:jc w:val="both"/>
        <w:rPr>
          <w:rFonts w:eastAsia="Batang"/>
        </w:rPr>
      </w:pPr>
      <w:r>
        <w:rPr>
          <w:rFonts w:eastAsia="Batang"/>
        </w:rPr>
        <w:t xml:space="preserve">Attachment 9: Privacy Impact Assessment </w:t>
      </w:r>
    </w:p>
    <w:p w14:paraId="714201A0" w14:textId="77777777" w:rsidR="000C405D" w:rsidRDefault="000C405D" w:rsidP="000C405D">
      <w:pPr>
        <w:pStyle w:val="NoSpacing"/>
        <w:jc w:val="both"/>
        <w:rPr>
          <w:rFonts w:eastAsia="Batang"/>
        </w:rPr>
      </w:pPr>
      <w:r>
        <w:rPr>
          <w:rFonts w:eastAsia="Batang"/>
        </w:rPr>
        <w:t>Attachment 10: IRB Documents</w:t>
      </w:r>
    </w:p>
    <w:p w14:paraId="0C453863" w14:textId="77777777" w:rsidR="000C405D" w:rsidRPr="009B1505" w:rsidRDefault="000C405D" w:rsidP="000C405D">
      <w:pPr>
        <w:pStyle w:val="NoSpacing"/>
        <w:jc w:val="both"/>
        <w:rPr>
          <w:rFonts w:eastAsia="Batang"/>
        </w:rPr>
      </w:pPr>
      <w:r>
        <w:rPr>
          <w:rFonts w:eastAsia="Batang"/>
        </w:rPr>
        <w:t>Attachment 11</w:t>
      </w:r>
      <w:r w:rsidRPr="009B1505">
        <w:rPr>
          <w:rFonts w:eastAsia="Batang"/>
        </w:rPr>
        <w:t xml:space="preserve">: Client Supporting Documents </w:t>
      </w:r>
    </w:p>
    <w:p w14:paraId="5690D8BF" w14:textId="77777777" w:rsidR="000C405D" w:rsidRPr="009B1505" w:rsidRDefault="000C405D" w:rsidP="000C405D">
      <w:pPr>
        <w:pStyle w:val="NoSpacing"/>
        <w:jc w:val="both"/>
        <w:rPr>
          <w:rFonts w:eastAsia="Batang"/>
        </w:rPr>
      </w:pPr>
      <w:r>
        <w:rPr>
          <w:rFonts w:eastAsia="Batang"/>
        </w:rPr>
        <w:t>Attachment 12</w:t>
      </w:r>
      <w:r w:rsidRPr="009B1505">
        <w:rPr>
          <w:rFonts w:eastAsia="Batang"/>
        </w:rPr>
        <w:t xml:space="preserve">: Client Informed Consent </w:t>
      </w:r>
    </w:p>
    <w:p w14:paraId="0DD80CBA" w14:textId="17D6B0E0" w:rsidR="000C405D" w:rsidRDefault="000C405D" w:rsidP="000C405D">
      <w:pPr>
        <w:pStyle w:val="NoSpacing"/>
        <w:jc w:val="both"/>
        <w:rPr>
          <w:rFonts w:eastAsia="Batang"/>
        </w:rPr>
      </w:pPr>
      <w:r>
        <w:rPr>
          <w:rFonts w:eastAsia="Batang"/>
        </w:rPr>
        <w:t>Attachment 13</w:t>
      </w:r>
      <w:r w:rsidRPr="009B1505">
        <w:rPr>
          <w:rFonts w:eastAsia="Batang"/>
        </w:rPr>
        <w:t xml:space="preserve">: </w:t>
      </w:r>
      <w:r>
        <w:rPr>
          <w:rFonts w:eastAsia="Batang"/>
        </w:rPr>
        <w:t>Provider Focus Group Consent</w:t>
      </w:r>
    </w:p>
    <w:p w14:paraId="224C35FA" w14:textId="4CF343FD" w:rsidR="00843EC5" w:rsidRPr="009B1505" w:rsidRDefault="00843EC5" w:rsidP="000C405D">
      <w:pPr>
        <w:pStyle w:val="NoSpacing"/>
        <w:jc w:val="both"/>
        <w:rPr>
          <w:rFonts w:eastAsia="Batang"/>
        </w:rPr>
      </w:pPr>
      <w:r>
        <w:rPr>
          <w:rFonts w:eastAsia="Batang"/>
        </w:rPr>
        <w:t>Attachment 14</w:t>
      </w:r>
      <w:r w:rsidRPr="00E170E6">
        <w:rPr>
          <w:rFonts w:eastAsia="Batang"/>
        </w:rPr>
        <w:t xml:space="preserve">: </w:t>
      </w:r>
      <w:r w:rsidRPr="00E170E6">
        <w:t>Certificate of Confidentiality</w:t>
      </w:r>
    </w:p>
    <w:p w14:paraId="65C9D36F" w14:textId="77777777" w:rsidR="00F72F56" w:rsidRPr="009B1505" w:rsidRDefault="00F72F56" w:rsidP="00932612">
      <w:pPr>
        <w:pStyle w:val="Heading1"/>
        <w:rPr>
          <w:color w:val="000000"/>
        </w:rPr>
        <w:sectPr w:rsidR="00F72F56" w:rsidRPr="009B1505" w:rsidSect="00CB0350">
          <w:footerReference w:type="default" r:id="rId9"/>
          <w:pgSz w:w="12240" w:h="15840"/>
          <w:pgMar w:top="1440" w:right="1440" w:bottom="1440" w:left="1440" w:header="720" w:footer="720" w:gutter="0"/>
          <w:pgNumType w:fmt="lowerRoman" w:start="3"/>
          <w:cols w:space="720"/>
        </w:sectPr>
      </w:pPr>
    </w:p>
    <w:p w14:paraId="0AC1427D" w14:textId="77777777" w:rsidR="007D2A22" w:rsidRDefault="007D2A22" w:rsidP="007D2A22">
      <w:pPr>
        <w:pStyle w:val="Heading1"/>
        <w:rPr>
          <w:color w:val="000000"/>
        </w:rPr>
      </w:pPr>
      <w:bookmarkStart w:id="4" w:name="_Toc474237972"/>
      <w:bookmarkStart w:id="5" w:name="_Toc497134492"/>
      <w:bookmarkEnd w:id="3"/>
      <w:r w:rsidRPr="009B1505">
        <w:rPr>
          <w:color w:val="000000"/>
        </w:rPr>
        <w:t>A.</w:t>
      </w:r>
      <w:r w:rsidRPr="009B1505">
        <w:rPr>
          <w:color w:val="000000"/>
        </w:rPr>
        <w:tab/>
        <w:t>Justification</w:t>
      </w:r>
      <w:bookmarkEnd w:id="4"/>
      <w:bookmarkEnd w:id="5"/>
    </w:p>
    <w:p w14:paraId="33205DDF" w14:textId="77777777" w:rsidR="00BF4F2B" w:rsidRPr="009B1505" w:rsidRDefault="00434980" w:rsidP="00BF4F2B">
      <w:pPr>
        <w:pStyle w:val="Heading2"/>
      </w:pPr>
      <w:bookmarkStart w:id="6" w:name="_Toc497134493"/>
      <w:r>
        <w:rPr>
          <w:noProof/>
        </w:rPr>
        <mc:AlternateContent>
          <mc:Choice Requires="wps">
            <w:drawing>
              <wp:anchor distT="45720" distB="45720" distL="114300" distR="114300" simplePos="0" relativeHeight="251659264" behindDoc="0" locked="0" layoutInCell="1" allowOverlap="1" wp14:anchorId="6BDD2FC8" wp14:editId="1F7EF30F">
                <wp:simplePos x="0" y="0"/>
                <wp:positionH relativeFrom="margin">
                  <wp:align>right</wp:align>
                </wp:positionH>
                <wp:positionV relativeFrom="paragraph">
                  <wp:posOffset>548640</wp:posOffset>
                </wp:positionV>
                <wp:extent cx="5878195" cy="53340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5334000"/>
                        </a:xfrm>
                        <a:prstGeom prst="rect">
                          <a:avLst/>
                        </a:prstGeom>
                        <a:solidFill>
                          <a:srgbClr val="FFFFFF"/>
                        </a:solidFill>
                        <a:ln w="9525">
                          <a:solidFill>
                            <a:srgbClr val="000000"/>
                          </a:solidFill>
                          <a:miter lim="800000"/>
                          <a:headEnd/>
                          <a:tailEnd/>
                        </a:ln>
                      </wps:spPr>
                      <wps:txbx>
                        <w:txbxContent>
                          <w:p w14:paraId="37217D07" w14:textId="77777777" w:rsidR="006763B9" w:rsidRPr="00F02429" w:rsidRDefault="006763B9" w:rsidP="00A25D54">
                            <w:pPr>
                              <w:pStyle w:val="ListParagraph"/>
                              <w:numPr>
                                <w:ilvl w:val="0"/>
                                <w:numId w:val="44"/>
                              </w:numPr>
                              <w:spacing w:after="0" w:line="276" w:lineRule="auto"/>
                              <w:contextualSpacing/>
                            </w:pPr>
                            <w:r w:rsidRPr="00F02429">
                              <w:t xml:space="preserve">Goal of the study: </w:t>
                            </w:r>
                          </w:p>
                          <w:p w14:paraId="1AC63B27" w14:textId="77777777" w:rsidR="006763B9" w:rsidRDefault="006763B9" w:rsidP="00A25D54">
                            <w:pPr>
                              <w:spacing w:after="200" w:line="276" w:lineRule="auto"/>
                              <w:ind w:left="360"/>
                              <w:contextualSpacing/>
                            </w:pPr>
                            <w:r>
                              <w:t>Conduct an epidemiologic study t</w:t>
                            </w:r>
                            <w:r w:rsidRPr="00845B97">
                              <w:t>o assess</w:t>
                            </w:r>
                            <w:r>
                              <w:t xml:space="preserve"> the real-world client outcomes of three </w:t>
                            </w:r>
                            <w:r w:rsidRPr="00845B97">
                              <w:t>type</w:t>
                            </w:r>
                            <w:r>
                              <w:t>s</w:t>
                            </w:r>
                            <w:r w:rsidRPr="00845B97">
                              <w:t xml:space="preserve"> of</w:t>
                            </w:r>
                            <w:r>
                              <w:t xml:space="preserve"> Medication-Assisted Treatment (MAT) and counseling without medication for individuals with Opioid Use Disorder (OUD). </w:t>
                            </w:r>
                            <w:r w:rsidRPr="00845B97">
                              <w:t xml:space="preserve"> </w:t>
                            </w:r>
                            <w:r>
                              <w:t>This study will also examine t</w:t>
                            </w:r>
                            <w:r w:rsidRPr="00845B97">
                              <w:t xml:space="preserve">he contextual, provider, and individual factors that influence </w:t>
                            </w:r>
                            <w:r>
                              <w:t xml:space="preserve">treatment </w:t>
                            </w:r>
                            <w:r w:rsidRPr="00845B97">
                              <w:t xml:space="preserve">implementation and </w:t>
                            </w:r>
                            <w:r>
                              <w:t>client outcomes.</w:t>
                            </w:r>
                          </w:p>
                          <w:p w14:paraId="41D81731" w14:textId="77777777" w:rsidR="006763B9" w:rsidRPr="00F02429" w:rsidRDefault="006763B9" w:rsidP="00A25D54">
                            <w:pPr>
                              <w:pStyle w:val="ListParagraph"/>
                              <w:numPr>
                                <w:ilvl w:val="0"/>
                                <w:numId w:val="44"/>
                              </w:numPr>
                              <w:spacing w:after="0"/>
                            </w:pPr>
                            <w:r w:rsidRPr="00F02429">
                              <w:t xml:space="preserve">Intended use of the resulting data: </w:t>
                            </w:r>
                          </w:p>
                          <w:p w14:paraId="19FE8C58" w14:textId="77777777" w:rsidR="006763B9" w:rsidRPr="002D4D9C" w:rsidRDefault="006763B9" w:rsidP="00A25D54">
                            <w:pPr>
                              <w:ind w:left="360"/>
                            </w:pPr>
                            <w:r>
                              <w:t xml:space="preserve">Data collected will be used to assess the impact of MAT or counseling without medication along with the contextual, provider, and individual factors that influence the implementation of four treatments as well as client well-being, across these treatments, over a 2-year period.  </w:t>
                            </w:r>
                          </w:p>
                          <w:p w14:paraId="555AC1C4" w14:textId="77777777" w:rsidR="006763B9" w:rsidRPr="00F02429" w:rsidRDefault="006763B9" w:rsidP="00BF4F2B"/>
                          <w:p w14:paraId="15C86614" w14:textId="77777777" w:rsidR="006763B9" w:rsidRDefault="006763B9" w:rsidP="00BF4F2B">
                            <w:pPr>
                              <w:pStyle w:val="ListParagraph"/>
                              <w:numPr>
                                <w:ilvl w:val="0"/>
                                <w:numId w:val="44"/>
                              </w:numPr>
                              <w:spacing w:after="200" w:line="276" w:lineRule="auto"/>
                              <w:contextualSpacing/>
                            </w:pPr>
                            <w:r w:rsidRPr="00F02429">
                              <w:t xml:space="preserve">Methods to be used to collect: </w:t>
                            </w:r>
                          </w:p>
                          <w:p w14:paraId="4400D9FE" w14:textId="388F164F" w:rsidR="006763B9" w:rsidRPr="00F02429" w:rsidRDefault="006763B9" w:rsidP="00A25D54">
                            <w:pPr>
                              <w:pStyle w:val="ListParagraph"/>
                              <w:ind w:left="360" w:firstLine="0"/>
                            </w:pPr>
                            <w:r>
                              <w:t>This observational study will use longitudinal quantitative surveys and qualitative focus groups to collect data on patients and treatment facility staff.</w:t>
                            </w:r>
                          </w:p>
                          <w:p w14:paraId="6FB7BF1C" w14:textId="77777777" w:rsidR="006763B9" w:rsidRPr="00F02429" w:rsidRDefault="006763B9" w:rsidP="00BF4F2B">
                            <w:pPr>
                              <w:pStyle w:val="ListParagraph"/>
                              <w:numPr>
                                <w:ilvl w:val="0"/>
                                <w:numId w:val="44"/>
                              </w:numPr>
                              <w:spacing w:after="200" w:line="276" w:lineRule="auto"/>
                              <w:contextualSpacing/>
                            </w:pPr>
                            <w:r w:rsidRPr="00F02429">
                              <w:t>The subpopulation</w:t>
                            </w:r>
                            <w:r>
                              <w:t>s</w:t>
                            </w:r>
                            <w:r w:rsidRPr="00F02429">
                              <w:t xml:space="preserve"> to be studied: </w:t>
                            </w:r>
                          </w:p>
                          <w:p w14:paraId="772B8D34" w14:textId="77777777" w:rsidR="006763B9" w:rsidRPr="00F02429" w:rsidRDefault="006763B9" w:rsidP="00A25D54">
                            <w:pPr>
                              <w:pStyle w:val="ListParagraph"/>
                              <w:spacing w:after="200" w:line="276" w:lineRule="auto"/>
                              <w:ind w:left="360" w:firstLine="0"/>
                            </w:pPr>
                            <w:r>
                              <w:t>Individuals starting a new treatment episode for OUD enrolled in MAT (MMT, BUP, or NTX) or counseling without medication (COUN). Staff at</w:t>
                            </w:r>
                            <w:r w:rsidRPr="00811575">
                              <w:t xml:space="preserve"> </w:t>
                            </w:r>
                            <w:r>
                              <w:t>participating treatment facilities such as site administrators, doctors, clinicians, nurses and counselors.</w:t>
                            </w:r>
                          </w:p>
                          <w:p w14:paraId="5CD503CB" w14:textId="77777777" w:rsidR="006763B9" w:rsidRPr="00773A28" w:rsidRDefault="006763B9" w:rsidP="00A25D54">
                            <w:pPr>
                              <w:pStyle w:val="ListParagraph"/>
                              <w:numPr>
                                <w:ilvl w:val="0"/>
                                <w:numId w:val="44"/>
                              </w:numPr>
                              <w:spacing w:after="0" w:line="276" w:lineRule="auto"/>
                              <w:contextualSpacing/>
                              <w:rPr>
                                <w:sz w:val="22"/>
                              </w:rPr>
                            </w:pPr>
                            <w:r w:rsidRPr="00F02429">
                              <w:t xml:space="preserve">How data will be analyzed: </w:t>
                            </w:r>
                          </w:p>
                          <w:p w14:paraId="72FF5EFB" w14:textId="77777777" w:rsidR="006763B9" w:rsidRPr="007B3976" w:rsidRDefault="006763B9" w:rsidP="00A25D54">
                            <w:pPr>
                              <w:spacing w:after="200" w:line="276" w:lineRule="auto"/>
                              <w:ind w:left="360"/>
                              <w:contextualSpacing/>
                            </w:pPr>
                            <w:r w:rsidRPr="007B3976">
                              <w:t xml:space="preserve">The study will use a mixed-methods approach using quantitative methods such as multilevel latent growth models, propensity score matching, latent class analysis and advance mediation analysis and qualitative methods such as interactive coding and analysis for common themes. </w:t>
                            </w:r>
                          </w:p>
                          <w:p w14:paraId="49EBB406" w14:textId="77777777" w:rsidR="006763B9" w:rsidRDefault="006763B9" w:rsidP="00BF4F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65pt;margin-top:43.2pt;width:462.85pt;height:42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">
                <v:textbox>
                  <w:txbxContent>
                    <w:p w14:paraId="37217D07" w14:textId="77777777" w:rsidR="006763B9" w:rsidRPr="00F02429" w:rsidRDefault="006763B9" w:rsidP="00A25D54">
                      <w:pPr>
                        <w:pStyle w:val="ListParagraph"/>
                        <w:numPr>
                          <w:ilvl w:val="0"/>
                          <w:numId w:val="44"/>
                        </w:numPr>
                        <w:spacing w:after="0" w:line="276" w:lineRule="auto"/>
                        <w:contextualSpacing/>
                      </w:pPr>
                      <w:r w:rsidRPr="00F02429">
                        <w:t xml:space="preserve">Goal of the study: </w:t>
                      </w:r>
                    </w:p>
                    <w:p w14:paraId="1AC63B27" w14:textId="77777777" w:rsidR="006763B9" w:rsidRDefault="006763B9" w:rsidP="00A25D54">
                      <w:pPr>
                        <w:spacing w:after="200" w:line="276" w:lineRule="auto"/>
                        <w:ind w:left="360"/>
                        <w:contextualSpacing/>
                      </w:pPr>
                      <w:r>
                        <w:t>Conduct an epidemiologic study t</w:t>
                      </w:r>
                      <w:r w:rsidRPr="00845B97">
                        <w:t>o assess</w:t>
                      </w:r>
                      <w:r>
                        <w:t xml:space="preserve"> the real-world client outcomes of three </w:t>
                      </w:r>
                      <w:r w:rsidRPr="00845B97">
                        <w:t>type</w:t>
                      </w:r>
                      <w:r>
                        <w:t>s</w:t>
                      </w:r>
                      <w:r w:rsidRPr="00845B97">
                        <w:t xml:space="preserve"> of</w:t>
                      </w:r>
                      <w:r>
                        <w:t xml:space="preserve"> Medication-Assisted Treatment (MAT) and counseling without medication for individuals with Opioid Use Disorder (OUD). </w:t>
                      </w:r>
                      <w:r w:rsidRPr="00845B97">
                        <w:t xml:space="preserve"> </w:t>
                      </w:r>
                      <w:r>
                        <w:t>This study will also examine t</w:t>
                      </w:r>
                      <w:r w:rsidRPr="00845B97">
                        <w:t xml:space="preserve">he contextual, provider, and individual factors that influence </w:t>
                      </w:r>
                      <w:r>
                        <w:t xml:space="preserve">treatment </w:t>
                      </w:r>
                      <w:r w:rsidRPr="00845B97">
                        <w:t xml:space="preserve">implementation and </w:t>
                      </w:r>
                      <w:r>
                        <w:t>client outcomes.</w:t>
                      </w:r>
                    </w:p>
                    <w:p w14:paraId="41D81731" w14:textId="77777777" w:rsidR="006763B9" w:rsidRPr="00F02429" w:rsidRDefault="006763B9" w:rsidP="00A25D54">
                      <w:pPr>
                        <w:pStyle w:val="ListParagraph"/>
                        <w:numPr>
                          <w:ilvl w:val="0"/>
                          <w:numId w:val="44"/>
                        </w:numPr>
                        <w:spacing w:after="0"/>
                      </w:pPr>
                      <w:r w:rsidRPr="00F02429">
                        <w:t xml:space="preserve">Intended use of the resulting data: </w:t>
                      </w:r>
                    </w:p>
                    <w:p w14:paraId="19FE8C58" w14:textId="77777777" w:rsidR="006763B9" w:rsidRPr="002D4D9C" w:rsidRDefault="006763B9" w:rsidP="00A25D54">
                      <w:pPr>
                        <w:ind w:left="360"/>
                      </w:pPr>
                      <w:r>
                        <w:t xml:space="preserve">Data collected will be used to assess the impact of MAT or counseling without medication along with the contextual, provider, and individual factors that influence the implementation of four treatments as well as client well-being, across these treatments, over a 2-year period.  </w:t>
                      </w:r>
                    </w:p>
                    <w:p w14:paraId="555AC1C4" w14:textId="77777777" w:rsidR="006763B9" w:rsidRPr="00F02429" w:rsidRDefault="006763B9" w:rsidP="00BF4F2B"/>
                    <w:p w14:paraId="15C86614" w14:textId="77777777" w:rsidR="006763B9" w:rsidRDefault="006763B9" w:rsidP="00BF4F2B">
                      <w:pPr>
                        <w:pStyle w:val="ListParagraph"/>
                        <w:numPr>
                          <w:ilvl w:val="0"/>
                          <w:numId w:val="44"/>
                        </w:numPr>
                        <w:spacing w:after="200" w:line="276" w:lineRule="auto"/>
                        <w:contextualSpacing/>
                      </w:pPr>
                      <w:r w:rsidRPr="00F02429">
                        <w:t xml:space="preserve">Methods to be used to collect: </w:t>
                      </w:r>
                    </w:p>
                    <w:p w14:paraId="4400D9FE" w14:textId="388F164F" w:rsidR="006763B9" w:rsidRPr="00F02429" w:rsidRDefault="006763B9" w:rsidP="00A25D54">
                      <w:pPr>
                        <w:pStyle w:val="ListParagraph"/>
                        <w:ind w:left="360" w:firstLine="0"/>
                      </w:pPr>
                      <w:r>
                        <w:t>This observational study will use longitudinal quantitative surveys and qualitative focus groups to collect data on patients and treatment facility staff.</w:t>
                      </w:r>
                    </w:p>
                    <w:p w14:paraId="6FB7BF1C" w14:textId="77777777" w:rsidR="006763B9" w:rsidRPr="00F02429" w:rsidRDefault="006763B9" w:rsidP="00BF4F2B">
                      <w:pPr>
                        <w:pStyle w:val="ListParagraph"/>
                        <w:numPr>
                          <w:ilvl w:val="0"/>
                          <w:numId w:val="44"/>
                        </w:numPr>
                        <w:spacing w:after="200" w:line="276" w:lineRule="auto"/>
                        <w:contextualSpacing/>
                      </w:pPr>
                      <w:r w:rsidRPr="00F02429">
                        <w:t>The subpopulation</w:t>
                      </w:r>
                      <w:r>
                        <w:t>s</w:t>
                      </w:r>
                      <w:r w:rsidRPr="00F02429">
                        <w:t xml:space="preserve"> to be studied: </w:t>
                      </w:r>
                    </w:p>
                    <w:p w14:paraId="772B8D34" w14:textId="77777777" w:rsidR="006763B9" w:rsidRPr="00F02429" w:rsidRDefault="006763B9" w:rsidP="00A25D54">
                      <w:pPr>
                        <w:pStyle w:val="ListParagraph"/>
                        <w:spacing w:after="200" w:line="276" w:lineRule="auto"/>
                        <w:ind w:left="360" w:firstLine="0"/>
                      </w:pPr>
                      <w:r>
                        <w:t>Individuals starting a new treatment episode for OUD enrolled in MAT (MMT, BUP, or NTX) or counseling without medication (COUN). Staff at</w:t>
                      </w:r>
                      <w:r w:rsidRPr="00811575">
                        <w:t xml:space="preserve"> </w:t>
                      </w:r>
                      <w:r>
                        <w:t>participating treatment facilities such as site administrators, doctors, clinicians, nurses and counselors.</w:t>
                      </w:r>
                    </w:p>
                    <w:p w14:paraId="5CD503CB" w14:textId="77777777" w:rsidR="006763B9" w:rsidRPr="00773A28" w:rsidRDefault="006763B9" w:rsidP="00A25D54">
                      <w:pPr>
                        <w:pStyle w:val="ListParagraph"/>
                        <w:numPr>
                          <w:ilvl w:val="0"/>
                          <w:numId w:val="44"/>
                        </w:numPr>
                        <w:spacing w:after="0" w:line="276" w:lineRule="auto"/>
                        <w:contextualSpacing/>
                        <w:rPr>
                          <w:sz w:val="22"/>
                        </w:rPr>
                      </w:pPr>
                      <w:r w:rsidRPr="00F02429">
                        <w:t xml:space="preserve">How data will be analyzed: </w:t>
                      </w:r>
                    </w:p>
                    <w:p w14:paraId="72FF5EFB" w14:textId="77777777" w:rsidR="006763B9" w:rsidRPr="007B3976" w:rsidRDefault="006763B9" w:rsidP="00A25D54">
                      <w:pPr>
                        <w:spacing w:after="200" w:line="276" w:lineRule="auto"/>
                        <w:ind w:left="360"/>
                        <w:contextualSpacing/>
                      </w:pPr>
                      <w:r w:rsidRPr="007B3976">
                        <w:t xml:space="preserve">The study will use a mixed-methods approach using quantitative methods such as multilevel latent growth models, propensity score matching, latent class analysis and advance mediation analysis and qualitative methods such as interactive coding and analysis for common themes. </w:t>
                      </w:r>
                    </w:p>
                    <w:p w14:paraId="49EBB406" w14:textId="77777777" w:rsidR="006763B9" w:rsidRDefault="006763B9" w:rsidP="00BF4F2B"/>
                  </w:txbxContent>
                </v:textbox>
                <w10:wrap type="square" anchorx="margin"/>
              </v:shape>
            </w:pict>
          </mc:Fallback>
        </mc:AlternateContent>
      </w:r>
      <w:r w:rsidR="00BF4F2B">
        <w:t>Summary Table</w:t>
      </w:r>
      <w:bookmarkEnd w:id="6"/>
    </w:p>
    <w:p w14:paraId="7BBE1125" w14:textId="77777777" w:rsidR="00241F06" w:rsidRDefault="00241F06" w:rsidP="005C47A7"/>
    <w:p w14:paraId="45A4B02D" w14:textId="77777777" w:rsidR="00241F06" w:rsidRDefault="00241F06" w:rsidP="005C47A7"/>
    <w:p w14:paraId="5A079260" w14:textId="77777777" w:rsidR="007D2A22" w:rsidRPr="009B1505" w:rsidRDefault="007D2A22" w:rsidP="007D2A22">
      <w:pPr>
        <w:pStyle w:val="Heading2"/>
      </w:pPr>
      <w:bookmarkStart w:id="7" w:name="_Toc88033459"/>
      <w:bookmarkStart w:id="8" w:name="_Toc474237973"/>
      <w:bookmarkStart w:id="9" w:name="_Toc497134494"/>
      <w:r w:rsidRPr="009B1505">
        <w:t>A.1</w:t>
      </w:r>
      <w:r w:rsidRPr="009B1505">
        <w:tab/>
        <w:t>Circumstances Making the Collection of Information Necessary</w:t>
      </w:r>
      <w:bookmarkEnd w:id="7"/>
      <w:bookmarkEnd w:id="8"/>
      <w:bookmarkEnd w:id="9"/>
    </w:p>
    <w:p w14:paraId="6F875985" w14:textId="77777777" w:rsidR="007D2A22" w:rsidRDefault="007D2A22" w:rsidP="009215FF">
      <w:pPr>
        <w:pStyle w:val="BodyText1"/>
        <w:rPr>
          <w:rFonts w:eastAsia="Batang"/>
        </w:rPr>
      </w:pPr>
      <w:r w:rsidRPr="009B1505">
        <w:rPr>
          <w:rFonts w:eastAsia="Batang"/>
        </w:rPr>
        <w:t xml:space="preserve">This is a new Information Collection Request. </w:t>
      </w:r>
      <w:bookmarkStart w:id="10" w:name="OLE_LINK3"/>
      <w:bookmarkStart w:id="11" w:name="OLE_LINK4"/>
      <w:r w:rsidRPr="009B1505">
        <w:rPr>
          <w:rFonts w:eastAsia="Batang"/>
        </w:rPr>
        <w:t>The Centers for Disease Control and Prevention (CDC) requests Office of Management and Budget (OMB) approval to initiate data collection for the</w:t>
      </w:r>
      <w:r w:rsidR="0079183D">
        <w:rPr>
          <w:rFonts w:eastAsia="Batang"/>
        </w:rPr>
        <w:t xml:space="preserve"> </w:t>
      </w:r>
      <w:r w:rsidR="00582F68">
        <w:rPr>
          <w:rFonts w:eastAsia="Batang"/>
        </w:rPr>
        <w:t>Medication-Assisted Treatment for Opioid Use Disorder</w:t>
      </w:r>
      <w:r w:rsidR="003C7F5F">
        <w:rPr>
          <w:rFonts w:eastAsia="Batang"/>
        </w:rPr>
        <w:t xml:space="preserve"> (OUD)</w:t>
      </w:r>
      <w:r w:rsidR="0079183D">
        <w:rPr>
          <w:rFonts w:eastAsia="Batang"/>
        </w:rPr>
        <w:t xml:space="preserve"> </w:t>
      </w:r>
      <w:r w:rsidR="00CB5AF7">
        <w:rPr>
          <w:rFonts w:eastAsia="Batang"/>
        </w:rPr>
        <w:t>Study</w:t>
      </w:r>
      <w:r w:rsidR="009215FF">
        <w:rPr>
          <w:rFonts w:eastAsia="Batang"/>
        </w:rPr>
        <w:t xml:space="preserve"> (here after, the MAT Study)</w:t>
      </w:r>
      <w:r w:rsidR="009257DC">
        <w:rPr>
          <w:rFonts w:eastAsia="Batang"/>
        </w:rPr>
        <w:t>.</w:t>
      </w:r>
      <w:r w:rsidRPr="009B1505">
        <w:rPr>
          <w:rFonts w:eastAsia="Batang"/>
        </w:rPr>
        <w:t xml:space="preserve"> Approval is requested </w:t>
      </w:r>
      <w:r w:rsidR="006B67E4">
        <w:rPr>
          <w:rFonts w:eastAsia="Batang"/>
        </w:rPr>
        <w:t>for 3 years</w:t>
      </w:r>
      <w:r w:rsidR="009215FF">
        <w:rPr>
          <w:rFonts w:eastAsia="Batang"/>
        </w:rPr>
        <w:t>.</w:t>
      </w:r>
      <w:r w:rsidR="006B67E4">
        <w:rPr>
          <w:rFonts w:eastAsia="Batang"/>
        </w:rPr>
        <w:t xml:space="preserve"> </w:t>
      </w:r>
    </w:p>
    <w:p w14:paraId="36822BB1" w14:textId="2DECD4F1" w:rsidR="005A7BB5" w:rsidRDefault="00454644" w:rsidP="005A7BB5">
      <w:pPr>
        <w:pStyle w:val="BodyText1"/>
        <w:rPr>
          <w:rFonts w:eastAsia="Batang"/>
        </w:rPr>
      </w:pPr>
      <w:r w:rsidRPr="00454644">
        <w:rPr>
          <w:rFonts w:eastAsia="Batang"/>
        </w:rPr>
        <w:t>This data collection effort is authorized under Section 301 of the Public Health Service Act (42 U.S.C. 241)</w:t>
      </w:r>
      <w:r w:rsidR="0071403A">
        <w:rPr>
          <w:rFonts w:eastAsia="Batang"/>
        </w:rPr>
        <w:t xml:space="preserve"> </w:t>
      </w:r>
      <w:r w:rsidRPr="00454644">
        <w:rPr>
          <w:rFonts w:eastAsia="Batang"/>
        </w:rPr>
        <w:t>280-1a</w:t>
      </w:r>
      <w:r w:rsidR="000C405D">
        <w:rPr>
          <w:rFonts w:eastAsia="Batang"/>
        </w:rPr>
        <w:t xml:space="preserve"> (Att. 1)</w:t>
      </w:r>
      <w:r w:rsidRPr="00454644">
        <w:rPr>
          <w:rFonts w:eastAsia="Batang"/>
        </w:rPr>
        <w:t xml:space="preserve">. </w:t>
      </w:r>
      <w:r w:rsidR="009215FF">
        <w:rPr>
          <w:rFonts w:eastAsia="Batang"/>
        </w:rPr>
        <w:t>T</w:t>
      </w:r>
      <w:r w:rsidRPr="00454644">
        <w:rPr>
          <w:rFonts w:eastAsia="Batang"/>
        </w:rPr>
        <w:t>his data collection effort is</w:t>
      </w:r>
      <w:r w:rsidR="009215FF">
        <w:rPr>
          <w:rFonts w:eastAsia="Batang"/>
        </w:rPr>
        <w:t xml:space="preserve"> necessary and</w:t>
      </w:r>
      <w:r w:rsidRPr="00454644">
        <w:rPr>
          <w:rFonts w:eastAsia="Batang"/>
        </w:rPr>
        <w:t xml:space="preserve"> unique</w:t>
      </w:r>
      <w:r w:rsidR="009215FF">
        <w:rPr>
          <w:rFonts w:eastAsia="Batang"/>
        </w:rPr>
        <w:t>. To better address the opioid use epidemic and the increasing public health risk due to opioid</w:t>
      </w:r>
      <w:r w:rsidR="0049000E">
        <w:rPr>
          <w:rFonts w:eastAsia="Batang"/>
        </w:rPr>
        <w:t>-</w:t>
      </w:r>
      <w:r w:rsidR="009215FF">
        <w:rPr>
          <w:rFonts w:eastAsia="Batang"/>
        </w:rPr>
        <w:t xml:space="preserve">related overdoses it is necessary for the CDC to use this data collection to assess </w:t>
      </w:r>
      <w:r w:rsidR="00FE0C4D">
        <w:rPr>
          <w:rFonts w:eastAsia="Batang"/>
        </w:rPr>
        <w:t>MAT</w:t>
      </w:r>
      <w:r w:rsidR="009215FF">
        <w:rPr>
          <w:rFonts w:eastAsia="Batang"/>
        </w:rPr>
        <w:t xml:space="preserve"> treatment</w:t>
      </w:r>
      <w:r w:rsidR="00FE0C4D">
        <w:rPr>
          <w:rFonts w:eastAsia="Batang"/>
        </w:rPr>
        <w:t xml:space="preserve"> and counseling without medication for OUD</w:t>
      </w:r>
      <w:r w:rsidR="009215FF">
        <w:rPr>
          <w:rFonts w:eastAsia="Batang"/>
        </w:rPr>
        <w:t xml:space="preserve"> in real-world setting</w:t>
      </w:r>
      <w:r w:rsidR="0049000E">
        <w:rPr>
          <w:rFonts w:eastAsia="Batang"/>
        </w:rPr>
        <w:t>s</w:t>
      </w:r>
      <w:r w:rsidR="009215FF">
        <w:rPr>
          <w:rFonts w:eastAsia="Batang"/>
        </w:rPr>
        <w:t>.</w:t>
      </w:r>
      <w:r w:rsidR="00FE0C4D">
        <w:rPr>
          <w:rFonts w:eastAsia="Batang"/>
        </w:rPr>
        <w:t xml:space="preserve"> The information gained from this data collection will help inform policy makers, communities</w:t>
      </w:r>
      <w:r w:rsidR="00E761C6">
        <w:rPr>
          <w:rFonts w:eastAsia="Batang"/>
        </w:rPr>
        <w:t>,</w:t>
      </w:r>
      <w:r w:rsidR="00FE0C4D">
        <w:rPr>
          <w:rFonts w:eastAsia="Batang"/>
        </w:rPr>
        <w:t xml:space="preserve"> and providers on how individual</w:t>
      </w:r>
      <w:r w:rsidR="00E761C6">
        <w:rPr>
          <w:rFonts w:eastAsia="Batang"/>
        </w:rPr>
        <w:t xml:space="preserve"> character</w:t>
      </w:r>
      <w:r w:rsidR="0049000E">
        <w:rPr>
          <w:rFonts w:eastAsia="Batang"/>
        </w:rPr>
        <w:t>i</w:t>
      </w:r>
      <w:r w:rsidR="00E761C6">
        <w:rPr>
          <w:rFonts w:eastAsia="Batang"/>
        </w:rPr>
        <w:t>stics</w:t>
      </w:r>
      <w:r w:rsidR="00FE0C4D">
        <w:rPr>
          <w:rFonts w:eastAsia="Batang"/>
        </w:rPr>
        <w:t xml:space="preserve"> and contextual</w:t>
      </w:r>
      <w:r w:rsidR="00E761C6">
        <w:rPr>
          <w:rFonts w:eastAsia="Batang"/>
        </w:rPr>
        <w:t xml:space="preserve"> factors</w:t>
      </w:r>
      <w:r w:rsidR="00FE0C4D">
        <w:rPr>
          <w:rFonts w:eastAsia="Batang"/>
        </w:rPr>
        <w:t xml:space="preserve"> may impact client outcomes.</w:t>
      </w:r>
      <w:r w:rsidR="009215FF">
        <w:rPr>
          <w:rFonts w:eastAsia="Batang"/>
        </w:rPr>
        <w:t xml:space="preserve"> </w:t>
      </w:r>
    </w:p>
    <w:p w14:paraId="3AD30030" w14:textId="414A4DDE" w:rsidR="00E46B92" w:rsidRDefault="00171420" w:rsidP="001C4128">
      <w:pPr>
        <w:pStyle w:val="BodyText1"/>
      </w:pPr>
      <w:r w:rsidRPr="00171420">
        <w:t xml:space="preserve">The </w:t>
      </w:r>
      <w:r w:rsidRPr="00171420">
        <w:rPr>
          <w:lang w:val="en"/>
        </w:rPr>
        <w:t xml:space="preserve">United States is in the midst of a public health emergency, and control of the opioid overdose epidemic is a priority for the White House, the Department of Health and Human Services, </w:t>
      </w:r>
      <w:r>
        <w:rPr>
          <w:lang w:val="en"/>
        </w:rPr>
        <w:t>and the CDC.  On October 26, 2017</w:t>
      </w:r>
      <w:r w:rsidRPr="00171420">
        <w:rPr>
          <w:lang w:val="en"/>
        </w:rPr>
        <w:t xml:space="preserve">, President Donald J. Trump </w:t>
      </w:r>
      <w:r w:rsidR="00D166F9" w:rsidRPr="00171420">
        <w:rPr>
          <w:lang w:val="en"/>
        </w:rPr>
        <w:t>instructed the Administration to use all appropriate emergency and other authorities to respond to the crisis caused by the opioid epidemic</w:t>
      </w:r>
      <w:r w:rsidR="00D166F9">
        <w:rPr>
          <w:lang w:val="en"/>
        </w:rPr>
        <w:t xml:space="preserve"> and the Secretary of HHS </w:t>
      </w:r>
      <w:r>
        <w:rPr>
          <w:lang w:val="en"/>
        </w:rPr>
        <w:t>declared the opioid crisis a public health emergency</w:t>
      </w:r>
      <w:r w:rsidR="00D166F9">
        <w:rPr>
          <w:lang w:val="en"/>
        </w:rPr>
        <w:t xml:space="preserve">. </w:t>
      </w:r>
      <w:r w:rsidRPr="00171420">
        <w:rPr>
          <w:lang w:val="en"/>
        </w:rPr>
        <w:t xml:space="preserve">In 2015, there were over 52,000 drug overdose deaths in the United States. Provisional data from </w:t>
      </w:r>
      <w:r w:rsidR="00E46B92">
        <w:rPr>
          <w:lang w:val="en"/>
        </w:rPr>
        <w:t>CDC’s</w:t>
      </w:r>
      <w:r w:rsidRPr="00171420">
        <w:rPr>
          <w:lang w:val="en"/>
        </w:rPr>
        <w:t xml:space="preserve"> National Center for Health Statistics indicate that deaths will climb to </w:t>
      </w:r>
      <w:r w:rsidR="00E46B92">
        <w:rPr>
          <w:lang w:val="en"/>
        </w:rPr>
        <w:t xml:space="preserve">unprecedented levels </w:t>
      </w:r>
      <w:r w:rsidRPr="00171420">
        <w:rPr>
          <w:lang w:val="en"/>
        </w:rPr>
        <w:t>in 2016</w:t>
      </w:r>
      <w:r w:rsidR="004C4032">
        <w:rPr>
          <w:lang w:val="en"/>
        </w:rPr>
        <w:t xml:space="preserve"> (</w:t>
      </w:r>
      <w:r w:rsidR="00E46B92">
        <w:rPr>
          <w:lang w:val="en"/>
        </w:rPr>
        <w:t>over 64,000</w:t>
      </w:r>
      <w:r w:rsidR="004C4032">
        <w:rPr>
          <w:lang w:val="en"/>
        </w:rPr>
        <w:t>)</w:t>
      </w:r>
      <w:r w:rsidRPr="00171420">
        <w:rPr>
          <w:lang w:val="en"/>
        </w:rPr>
        <w:t>.</w:t>
      </w:r>
      <w:r>
        <w:rPr>
          <w:lang w:val="en"/>
        </w:rPr>
        <w:t xml:space="preserve"> </w:t>
      </w:r>
      <w:r w:rsidRPr="00171420">
        <w:rPr>
          <w:lang w:val="en"/>
        </w:rPr>
        <w:t>O</w:t>
      </w:r>
      <w:r w:rsidRPr="00171420">
        <w:rPr>
          <w:iCs/>
        </w:rPr>
        <w:t>pioids are involved in approximately 60% of fatal drug overdoses, and this is a substantial underestimate because the specific drug causing an overdose is not listed on death certificates for 1 in 5 drug overdose deaths</w:t>
      </w:r>
      <w:r w:rsidR="00803BF8">
        <w:rPr>
          <w:iCs/>
        </w:rPr>
        <w:t xml:space="preserve"> (Rudd</w:t>
      </w:r>
      <w:r w:rsidR="00D56E26">
        <w:rPr>
          <w:iCs/>
        </w:rPr>
        <w:t xml:space="preserve"> et al</w:t>
      </w:r>
      <w:r w:rsidR="00803BF8">
        <w:rPr>
          <w:iCs/>
        </w:rPr>
        <w:t>, 2016)</w:t>
      </w:r>
      <w:r w:rsidRPr="00171420">
        <w:rPr>
          <w:iCs/>
        </w:rPr>
        <w:t>.</w:t>
      </w:r>
      <w:r w:rsidRPr="00171420">
        <w:t xml:space="preserve"> </w:t>
      </w:r>
    </w:p>
    <w:p w14:paraId="4BBB17F0" w14:textId="77777777" w:rsidR="003C7F5F" w:rsidRDefault="00171420" w:rsidP="001C4128">
      <w:pPr>
        <w:pStyle w:val="BodyText1"/>
      </w:pPr>
      <w:r>
        <w:t xml:space="preserve">OUD </w:t>
      </w:r>
      <w:r w:rsidR="00E46B92">
        <w:t xml:space="preserve">has been identified by DHHS as part of the national opioid overdose crisis (ASPE 2015). OUD </w:t>
      </w:r>
      <w:r>
        <w:t xml:space="preserve">is a problematic pattern of opioid use that causes significant impairment or distress characterized by unsuccessful efforts to control use and failure to fulfill family, social, work-related, or school-related obligations. </w:t>
      </w:r>
      <w:r w:rsidR="001C6D4D" w:rsidRPr="00290B47">
        <w:t>A</w:t>
      </w:r>
      <w:r w:rsidR="007D2A22" w:rsidRPr="00290B47">
        <w:t xml:space="preserve">bout </w:t>
      </w:r>
      <w:r w:rsidR="00077285" w:rsidRPr="00290B47">
        <w:t>2</w:t>
      </w:r>
      <w:r w:rsidR="003C7F07" w:rsidRPr="00290B47">
        <w:t xml:space="preserve"> </w:t>
      </w:r>
      <w:r w:rsidR="007D2A22" w:rsidRPr="00290B47">
        <w:t xml:space="preserve">million </w:t>
      </w:r>
      <w:r w:rsidR="001C6D4D" w:rsidRPr="00290B47">
        <w:t xml:space="preserve">people </w:t>
      </w:r>
      <w:r w:rsidR="007D2A22" w:rsidRPr="00290B47">
        <w:t>aged 1</w:t>
      </w:r>
      <w:r w:rsidR="00686FAF" w:rsidRPr="00290B47">
        <w:t>2</w:t>
      </w:r>
      <w:r w:rsidR="007D2A22" w:rsidRPr="009B1505">
        <w:t xml:space="preserve"> or older </w:t>
      </w:r>
      <w:r w:rsidR="00077285">
        <w:t xml:space="preserve">in the United States </w:t>
      </w:r>
      <w:r w:rsidR="001C6D4D">
        <w:t>have</w:t>
      </w:r>
      <w:r w:rsidR="007D2A22" w:rsidRPr="009B1505">
        <w:t xml:space="preserve"> </w:t>
      </w:r>
      <w:r w:rsidR="001975F0">
        <w:t>OUDs</w:t>
      </w:r>
      <w:r w:rsidR="00126205">
        <w:t xml:space="preserve"> </w:t>
      </w:r>
      <w:r w:rsidR="00290B47">
        <w:t>r</w:t>
      </w:r>
      <w:r w:rsidR="00077285">
        <w:t xml:space="preserve">elated to prescription opioids and almost 600,000 have </w:t>
      </w:r>
      <w:r w:rsidR="001975F0">
        <w:t xml:space="preserve">OUDs </w:t>
      </w:r>
      <w:r w:rsidR="00077285">
        <w:t>related to heroin use</w:t>
      </w:r>
      <w:r w:rsidR="001975F0">
        <w:t xml:space="preserve"> </w:t>
      </w:r>
      <w:r w:rsidR="001975F0" w:rsidRPr="009B1505">
        <w:t>(</w:t>
      </w:r>
      <w:r w:rsidR="001B6567">
        <w:t>CBHSQ</w:t>
      </w:r>
      <w:r w:rsidR="001975F0" w:rsidRPr="009B1505">
        <w:t xml:space="preserve">, </w:t>
      </w:r>
      <w:r w:rsidR="001B6567" w:rsidRPr="009B1505">
        <w:t>201</w:t>
      </w:r>
      <w:r w:rsidR="001B6567">
        <w:t>6</w:t>
      </w:r>
      <w:r w:rsidR="001975F0" w:rsidRPr="009B1505">
        <w:t>)</w:t>
      </w:r>
      <w:r w:rsidR="001975F0">
        <w:t>.</w:t>
      </w:r>
      <w:r w:rsidR="00BA7FBD">
        <w:t xml:space="preserve"> </w:t>
      </w:r>
      <w:r w:rsidR="003C7F5F">
        <w:t xml:space="preserve"> M</w:t>
      </w:r>
      <w:r w:rsidR="00293B91">
        <w:t>any</w:t>
      </w:r>
      <w:r w:rsidR="00293B91" w:rsidRPr="009B1505">
        <w:t xml:space="preserve"> </w:t>
      </w:r>
      <w:r w:rsidR="007D2A22" w:rsidRPr="009B1505">
        <w:t xml:space="preserve">of these </w:t>
      </w:r>
      <w:r w:rsidR="001C6D4D">
        <w:t>people</w:t>
      </w:r>
      <w:r w:rsidR="001C6D4D" w:rsidRPr="009B1505">
        <w:t xml:space="preserve"> </w:t>
      </w:r>
      <w:r w:rsidR="00BA7FBD">
        <w:t xml:space="preserve">do not </w:t>
      </w:r>
      <w:r w:rsidR="007D2A22" w:rsidRPr="009B1505">
        <w:t xml:space="preserve">receive </w:t>
      </w:r>
      <w:r w:rsidR="00BA7FBD">
        <w:t xml:space="preserve">OUD </w:t>
      </w:r>
      <w:r w:rsidR="007D2A22" w:rsidRPr="009B1505">
        <w:t>treatment</w:t>
      </w:r>
      <w:r w:rsidR="009215FF">
        <w:t xml:space="preserve"> </w:t>
      </w:r>
      <w:r w:rsidR="009215FF" w:rsidRPr="009B1505">
        <w:t>(</w:t>
      </w:r>
      <w:r w:rsidR="001975F0">
        <w:t xml:space="preserve">CDC, 2017, </w:t>
      </w:r>
      <w:r w:rsidR="001B6567">
        <w:t>CBHSQ</w:t>
      </w:r>
      <w:r w:rsidR="009215FF" w:rsidRPr="009B1505">
        <w:t xml:space="preserve">, </w:t>
      </w:r>
      <w:r w:rsidR="001B6567" w:rsidRPr="009B1505">
        <w:t>201</w:t>
      </w:r>
      <w:r w:rsidR="001B6567">
        <w:t>6</w:t>
      </w:r>
      <w:r w:rsidR="009215FF" w:rsidRPr="009B1505">
        <w:t>)</w:t>
      </w:r>
      <w:r w:rsidR="007D2A22" w:rsidRPr="009B1505">
        <w:t>.</w:t>
      </w:r>
      <w:r w:rsidR="00E46B92">
        <w:t xml:space="preserve"> Further, we </w:t>
      </w:r>
      <w:r w:rsidR="00484806">
        <w:t xml:space="preserve">know </w:t>
      </w:r>
      <w:r w:rsidR="00E46B92">
        <w:t>little about the ideal care regimen for various sub-populations (Pacific Northwest Evidence-Based Practice Center, 2016).</w:t>
      </w:r>
      <w:r w:rsidR="00180609" w:rsidRPr="009B1505">
        <w:t xml:space="preserve"> </w:t>
      </w:r>
    </w:p>
    <w:p w14:paraId="63923E9B" w14:textId="2B7A2949" w:rsidR="00050B05" w:rsidRPr="001C4128" w:rsidRDefault="00180609" w:rsidP="001C4128">
      <w:pPr>
        <w:pStyle w:val="BodyText1"/>
      </w:pPr>
      <w:r>
        <w:t>T</w:t>
      </w:r>
      <w:r w:rsidRPr="009B1505">
        <w:t>he U.S. Food and Drug Administration</w:t>
      </w:r>
      <w:r>
        <w:t xml:space="preserve"> has</w:t>
      </w:r>
      <w:r w:rsidRPr="009B1505">
        <w:t xml:space="preserve"> approve</w:t>
      </w:r>
      <w:r>
        <w:t>d</w:t>
      </w:r>
      <w:r w:rsidRPr="009B1505">
        <w:t xml:space="preserve"> three classes of medications for the treatment of an </w:t>
      </w:r>
      <w:r>
        <w:t>OUD</w:t>
      </w:r>
      <w:r w:rsidRPr="009B1505">
        <w:t>: methadone</w:t>
      </w:r>
      <w:r>
        <w:t xml:space="preserve"> maintenance therapy (MMT)</w:t>
      </w:r>
      <w:r w:rsidRPr="009B1505">
        <w:t>, buprenorphine</w:t>
      </w:r>
      <w:r>
        <w:t xml:space="preserve"> (BUP)</w:t>
      </w:r>
      <w:r w:rsidRPr="009B1505">
        <w:t xml:space="preserve">, and naltrexone </w:t>
      </w:r>
      <w:r>
        <w:t>(N</w:t>
      </w:r>
      <w:r w:rsidR="00771990">
        <w:t>TX</w:t>
      </w:r>
      <w:r>
        <w:t xml:space="preserve">) </w:t>
      </w:r>
      <w:r w:rsidRPr="009B1505">
        <w:t xml:space="preserve">(Dunlap and Cifu, 2016). </w:t>
      </w:r>
      <w:r w:rsidR="00050B05">
        <w:rPr>
          <w:lang w:val="en"/>
        </w:rPr>
        <w:t>F</w:t>
      </w:r>
      <w:r w:rsidR="00050B05" w:rsidRPr="005834F4">
        <w:rPr>
          <w:lang w:val="en"/>
        </w:rPr>
        <w:t xml:space="preserve">ew studies are available to help </w:t>
      </w:r>
      <w:r w:rsidR="00CC4E13">
        <w:rPr>
          <w:lang w:val="en"/>
        </w:rPr>
        <w:t>patients</w:t>
      </w:r>
      <w:r w:rsidR="00050B05" w:rsidRPr="005834F4">
        <w:rPr>
          <w:lang w:val="en"/>
        </w:rPr>
        <w:t xml:space="preserve"> and </w:t>
      </w:r>
      <w:r w:rsidR="00050B05">
        <w:rPr>
          <w:lang w:val="en"/>
        </w:rPr>
        <w:t>providers</w:t>
      </w:r>
      <w:r w:rsidR="00050B05" w:rsidRPr="005834F4">
        <w:rPr>
          <w:lang w:val="en"/>
        </w:rPr>
        <w:t xml:space="preserve"> make informed decisions about the risks and benefits associated with the different MAT</w:t>
      </w:r>
      <w:r w:rsidR="00050B05">
        <w:rPr>
          <w:lang w:val="en"/>
        </w:rPr>
        <w:t>s</w:t>
      </w:r>
      <w:r w:rsidR="00050B05" w:rsidRPr="005834F4">
        <w:rPr>
          <w:lang w:val="en"/>
        </w:rPr>
        <w:t xml:space="preserve"> (Kampman and Jarvis, 2015</w:t>
      </w:r>
      <w:r w:rsidR="00050B05">
        <w:rPr>
          <w:lang w:val="en"/>
        </w:rPr>
        <w:fldChar w:fldCharType="begin"/>
      </w:r>
      <w:r w:rsidR="00050B05">
        <w:instrText xml:space="preserve"> XE “</w:instrText>
      </w:r>
      <w:r w:rsidR="00050B05" w:rsidRPr="00B2131D">
        <w:rPr>
          <w:lang w:val="en"/>
        </w:rPr>
        <w:instrText>Kampman and Jarvis, 2015</w:instrText>
      </w:r>
      <w:r w:rsidR="00050B05">
        <w:instrText xml:space="preserve">” </w:instrText>
      </w:r>
      <w:r w:rsidR="00050B05">
        <w:rPr>
          <w:lang w:val="en"/>
        </w:rPr>
        <w:fldChar w:fldCharType="end"/>
      </w:r>
      <w:r w:rsidR="00050B05" w:rsidRPr="005834F4">
        <w:rPr>
          <w:lang w:val="en"/>
        </w:rPr>
        <w:t xml:space="preserve">). Understanding the </w:t>
      </w:r>
      <w:r w:rsidR="00050B05">
        <w:rPr>
          <w:lang w:val="en"/>
        </w:rPr>
        <w:t xml:space="preserve">outcomes associated with different types of MAT is crucial because </w:t>
      </w:r>
      <w:r w:rsidR="00050B05" w:rsidRPr="005834F4">
        <w:rPr>
          <w:lang w:val="en"/>
        </w:rPr>
        <w:t>differences in pharmacological characteristics and route</w:t>
      </w:r>
      <w:r w:rsidR="00050B05">
        <w:rPr>
          <w:lang w:val="en"/>
        </w:rPr>
        <w:t>s</w:t>
      </w:r>
      <w:r w:rsidR="00050B05" w:rsidRPr="005834F4">
        <w:rPr>
          <w:lang w:val="en"/>
        </w:rPr>
        <w:t xml:space="preserve"> of administration across medications, </w:t>
      </w:r>
      <w:r w:rsidR="00CC4E13">
        <w:rPr>
          <w:lang w:val="en"/>
        </w:rPr>
        <w:t>patients</w:t>
      </w:r>
      <w:r w:rsidR="00050B05">
        <w:rPr>
          <w:lang w:val="en"/>
        </w:rPr>
        <w:t>’</w:t>
      </w:r>
      <w:r w:rsidR="00050B05" w:rsidRPr="005834F4">
        <w:rPr>
          <w:lang w:val="en"/>
        </w:rPr>
        <w:t xml:space="preserve"> physiological responses to medication, </w:t>
      </w:r>
      <w:r w:rsidR="00CC4E13">
        <w:rPr>
          <w:lang w:val="en"/>
        </w:rPr>
        <w:t>patients</w:t>
      </w:r>
      <w:r w:rsidR="00050B05">
        <w:rPr>
          <w:lang w:val="en"/>
        </w:rPr>
        <w:t>’</w:t>
      </w:r>
      <w:r w:rsidR="00050B05" w:rsidRPr="005834F4">
        <w:rPr>
          <w:lang w:val="en"/>
        </w:rPr>
        <w:t xml:space="preserve"> underlying or co-occurring conditions, and provider or site characteristics all influence how </w:t>
      </w:r>
      <w:r w:rsidR="00CC4E13">
        <w:rPr>
          <w:lang w:val="en"/>
        </w:rPr>
        <w:t>patients</w:t>
      </w:r>
      <w:r w:rsidR="00050B05" w:rsidRPr="005834F4">
        <w:rPr>
          <w:lang w:val="en"/>
        </w:rPr>
        <w:t xml:space="preserve"> respond to the treatment</w:t>
      </w:r>
      <w:r w:rsidR="00050B05">
        <w:rPr>
          <w:lang w:val="en"/>
        </w:rPr>
        <w:t xml:space="preserve"> and</w:t>
      </w:r>
      <w:r w:rsidR="00050B05" w:rsidRPr="005834F4">
        <w:rPr>
          <w:lang w:val="en"/>
        </w:rPr>
        <w:t xml:space="preserve">, thus, their long-term treatment success. </w:t>
      </w:r>
    </w:p>
    <w:p w14:paraId="72720570" w14:textId="5A9A0D4C" w:rsidR="002A54AD" w:rsidRDefault="00204059" w:rsidP="001B6567">
      <w:pPr>
        <w:pStyle w:val="BodyText1"/>
      </w:pPr>
      <w:r>
        <w:t xml:space="preserve">Aligned with CDC’s role in advancing public health practice, this </w:t>
      </w:r>
      <w:r w:rsidR="00212E25">
        <w:t xml:space="preserve">observational cohort </w:t>
      </w:r>
      <w:r>
        <w:t>study</w:t>
      </w:r>
      <w:r w:rsidR="00212E25">
        <w:t>,</w:t>
      </w:r>
      <w:r>
        <w:t xml:space="preserve"> will yield important information </w:t>
      </w:r>
      <w:r w:rsidR="00212E25">
        <w:t xml:space="preserve">about MAT implementation and </w:t>
      </w:r>
      <w:r>
        <w:t>th</w:t>
      </w:r>
      <w:r w:rsidR="00C25AB9">
        <w:t xml:space="preserve">e patient, provider, and site factors that can influence MAT outcomes. </w:t>
      </w:r>
      <w:r>
        <w:t>The study is heavily informed by and expands upon the MAT randomized controlled trials conducted by the National Institute on Drug Abuse (NIDA), and builds upon the practice-based efforts of the Substance Abuse and Mental Health Services Administration (SAMHSA</w:t>
      </w:r>
      <w:r w:rsidR="00BD7ADD">
        <w:t>) to evaluate the impact of their programmatic funding.</w:t>
      </w:r>
      <w:r>
        <w:t xml:space="preserve"> </w:t>
      </w:r>
    </w:p>
    <w:p w14:paraId="7C78BA23" w14:textId="1E0305E4" w:rsidR="00555221" w:rsidRDefault="00A63CD4" w:rsidP="001B6567">
      <w:pPr>
        <w:pStyle w:val="BodyText1"/>
      </w:pPr>
      <w:r>
        <w:t xml:space="preserve">To help </w:t>
      </w:r>
      <w:r w:rsidR="003C7F5F">
        <w:t>understand the factors involved in successful treatment</w:t>
      </w:r>
      <w:r w:rsidR="00F97206">
        <w:t>, the</w:t>
      </w:r>
      <w:r>
        <w:t xml:space="preserve"> </w:t>
      </w:r>
      <w:r w:rsidR="00A4556C" w:rsidRPr="009B1505">
        <w:t xml:space="preserve">CDC </w:t>
      </w:r>
      <w:r w:rsidR="00F97206">
        <w:t xml:space="preserve">is </w:t>
      </w:r>
      <w:r w:rsidR="00A4556C">
        <w:t>conduct</w:t>
      </w:r>
      <w:r w:rsidR="00F97206">
        <w:t>ing</w:t>
      </w:r>
      <w:r w:rsidR="0011086D">
        <w:t xml:space="preserve"> a</w:t>
      </w:r>
      <w:r w:rsidR="00A4556C" w:rsidRPr="001F3A53">
        <w:t xml:space="preserve"> study </w:t>
      </w:r>
      <w:r w:rsidR="00F97206" w:rsidRPr="001F3A53">
        <w:t xml:space="preserve">of </w:t>
      </w:r>
      <w:r w:rsidR="00F97206" w:rsidRPr="004E607E">
        <w:t>6</w:t>
      </w:r>
      <w:r w:rsidR="0009497F" w:rsidRPr="004E607E">
        <w:t>0</w:t>
      </w:r>
      <w:r w:rsidR="006B76DC" w:rsidRPr="004E607E">
        <w:t xml:space="preserve"> </w:t>
      </w:r>
      <w:r w:rsidR="004240D8" w:rsidRPr="004E607E">
        <w:t>OUD</w:t>
      </w:r>
      <w:r w:rsidR="00C821AB">
        <w:t xml:space="preserve"> </w:t>
      </w:r>
      <w:r w:rsidR="004240D8" w:rsidRPr="001F3A53">
        <w:t xml:space="preserve">treatment </w:t>
      </w:r>
      <w:r w:rsidR="006B76DC">
        <w:t>facilities</w:t>
      </w:r>
      <w:r w:rsidR="00C821AB">
        <w:t xml:space="preserve"> </w:t>
      </w:r>
      <w:r w:rsidR="00A4556C" w:rsidRPr="001F3A53">
        <w:t xml:space="preserve">and </w:t>
      </w:r>
      <w:r w:rsidR="0009497F">
        <w:t>four</w:t>
      </w:r>
      <w:r w:rsidR="004240D8">
        <w:t xml:space="preserve"> </w:t>
      </w:r>
      <w:r w:rsidR="00A4556C">
        <w:t xml:space="preserve">primary care </w:t>
      </w:r>
      <w:r w:rsidR="006B76DC">
        <w:t>facilities</w:t>
      </w:r>
      <w:r w:rsidR="0043252C">
        <w:t xml:space="preserve"> located in</w:t>
      </w:r>
      <w:r w:rsidR="004942B6">
        <w:t xml:space="preserve"> </w:t>
      </w:r>
      <w:r w:rsidR="00F97206">
        <w:t>11</w:t>
      </w:r>
      <w:r w:rsidR="0043252C">
        <w:t xml:space="preserve"> metropolitan statistical areas (MSAs) across the United States</w:t>
      </w:r>
      <w:r w:rsidR="00A4556C">
        <w:t xml:space="preserve">. The study aims </w:t>
      </w:r>
      <w:r w:rsidR="00F97206">
        <w:t xml:space="preserve">to enroll </w:t>
      </w:r>
      <w:r w:rsidR="00434980">
        <w:t>3,560</w:t>
      </w:r>
      <w:r w:rsidR="00A4556C" w:rsidRPr="009B1505">
        <w:t xml:space="preserve"> </w:t>
      </w:r>
      <w:r w:rsidR="00CC4E13">
        <w:t>patients</w:t>
      </w:r>
      <w:r w:rsidR="00A4556C">
        <w:t xml:space="preserve"> </w:t>
      </w:r>
      <w:r w:rsidR="00A4556C" w:rsidRPr="009B1505">
        <w:t>across all sites</w:t>
      </w:r>
      <w:r w:rsidR="00E761C6">
        <w:t>.</w:t>
      </w:r>
      <w:r w:rsidR="00CD465F">
        <w:t xml:space="preserve"> </w:t>
      </w:r>
      <w:r w:rsidR="00555221">
        <w:t xml:space="preserve">Data will be collected from </w:t>
      </w:r>
      <w:r w:rsidR="00CC4E13">
        <w:t>patients</w:t>
      </w:r>
      <w:r w:rsidR="00555221">
        <w:t xml:space="preserve"> with OUD enrolled in MAT (MMT, BUP, or NTX) or counseling without medication</w:t>
      </w:r>
      <w:r w:rsidR="003C7F5F">
        <w:t xml:space="preserve"> treatment</w:t>
      </w:r>
      <w:r w:rsidR="00204059">
        <w:t xml:space="preserve"> </w:t>
      </w:r>
      <w:r w:rsidR="002A54AD">
        <w:t>over a</w:t>
      </w:r>
      <w:r w:rsidR="00204059">
        <w:t xml:space="preserve"> two-year period, regardless of retention in treatment</w:t>
      </w:r>
      <w:r w:rsidR="00555221">
        <w:t xml:space="preserve">. </w:t>
      </w:r>
      <w:r w:rsidR="003C7F5F">
        <w:t>T</w:t>
      </w:r>
      <w:r w:rsidR="00555221">
        <w:t xml:space="preserve">hese respondents are referred to as </w:t>
      </w:r>
      <w:r w:rsidR="00CC4E13">
        <w:t>patients</w:t>
      </w:r>
      <w:r w:rsidR="00555221">
        <w:t xml:space="preserve"> throughout this document. Data will also be collected from staff at</w:t>
      </w:r>
      <w:r w:rsidR="00555221" w:rsidRPr="00811575">
        <w:t xml:space="preserve"> </w:t>
      </w:r>
      <w:r w:rsidR="00555221">
        <w:t>participating treatment facilities such as site administrators, doctors, clinicians, nurses and counselors; treatment facilities may select the type of staff who participate in data collection activities.</w:t>
      </w:r>
      <w:r w:rsidR="004C4032">
        <w:t xml:space="preserve"> </w:t>
      </w:r>
      <w:r w:rsidR="003C7F5F">
        <w:t>T</w:t>
      </w:r>
      <w:r w:rsidR="00555221">
        <w:t xml:space="preserve">hese respondents are referred to as treatment facility staff throughout this document. </w:t>
      </w:r>
    </w:p>
    <w:p w14:paraId="2963AC80" w14:textId="649DABBD" w:rsidR="00CC4E13" w:rsidRPr="00CC4E13" w:rsidRDefault="00CC4E13" w:rsidP="00CC4E13">
      <w:pPr>
        <w:pStyle w:val="BodyText1"/>
        <w:rPr>
          <w:rFonts w:eastAsia="Batang"/>
        </w:rPr>
      </w:pPr>
      <w:r>
        <w:rPr>
          <w:rFonts w:eastAsia="Batang"/>
        </w:rPr>
        <w:t xml:space="preserve">Prior randomized controlled trials have demonstrated that </w:t>
      </w:r>
      <w:r w:rsidRPr="00CC4E13">
        <w:rPr>
          <w:rFonts w:eastAsia="Batang"/>
        </w:rPr>
        <w:t xml:space="preserve">MAT with methadone, buprenorphine, or naltrexone </w:t>
      </w:r>
      <w:r w:rsidR="00670524">
        <w:rPr>
          <w:rFonts w:eastAsia="Batang"/>
        </w:rPr>
        <w:t xml:space="preserve">with counseling </w:t>
      </w:r>
      <w:r>
        <w:rPr>
          <w:rFonts w:eastAsia="Batang"/>
        </w:rPr>
        <w:t>is</w:t>
      </w:r>
      <w:r w:rsidRPr="00CC4E13">
        <w:rPr>
          <w:rFonts w:eastAsia="Batang"/>
        </w:rPr>
        <w:t xml:space="preserve"> the most effective treatment for opioid use disorder</w:t>
      </w:r>
      <w:r w:rsidR="00B5477B">
        <w:rPr>
          <w:rFonts w:eastAsia="Batang"/>
        </w:rPr>
        <w:t xml:space="preserve"> (Weiss et al., 2015)</w:t>
      </w:r>
      <w:r w:rsidRPr="00CC4E13">
        <w:rPr>
          <w:rFonts w:eastAsia="Batang"/>
        </w:rPr>
        <w:t xml:space="preserve">. MAT </w:t>
      </w:r>
      <w:r>
        <w:rPr>
          <w:rFonts w:eastAsia="Batang"/>
        </w:rPr>
        <w:t xml:space="preserve">is associated with </w:t>
      </w:r>
      <w:r w:rsidRPr="00CC4E13">
        <w:rPr>
          <w:rFonts w:eastAsia="Batang"/>
        </w:rPr>
        <w:t>decreas</w:t>
      </w:r>
      <w:r>
        <w:rPr>
          <w:rFonts w:eastAsia="Batang"/>
        </w:rPr>
        <w:t xml:space="preserve">es in </w:t>
      </w:r>
      <w:r w:rsidRPr="00CC4E13">
        <w:rPr>
          <w:rFonts w:eastAsia="Batang"/>
        </w:rPr>
        <w:t>withdrawal symptoms, reduc</w:t>
      </w:r>
      <w:r>
        <w:rPr>
          <w:rFonts w:eastAsia="Batang"/>
        </w:rPr>
        <w:t>tions in</w:t>
      </w:r>
      <w:r w:rsidRPr="00CC4E13">
        <w:rPr>
          <w:rFonts w:eastAsia="Batang"/>
        </w:rPr>
        <w:t xml:space="preserve"> opioid use, reduc</w:t>
      </w:r>
      <w:r>
        <w:rPr>
          <w:rFonts w:eastAsia="Batang"/>
        </w:rPr>
        <w:t>tions in</w:t>
      </w:r>
      <w:r w:rsidRPr="00CC4E13">
        <w:rPr>
          <w:rFonts w:eastAsia="Batang"/>
        </w:rPr>
        <w:t xml:space="preserve"> risk behaviors that can transmit HIV and HCV, reduc</w:t>
      </w:r>
      <w:r>
        <w:rPr>
          <w:rFonts w:eastAsia="Batang"/>
        </w:rPr>
        <w:t>tions in</w:t>
      </w:r>
      <w:r w:rsidRPr="00CC4E13">
        <w:rPr>
          <w:rFonts w:eastAsia="Batang"/>
        </w:rPr>
        <w:t xml:space="preserve"> crime and recidivism, and decrea</w:t>
      </w:r>
      <w:r>
        <w:rPr>
          <w:rFonts w:eastAsia="Batang"/>
        </w:rPr>
        <w:t>ses in</w:t>
      </w:r>
      <w:r w:rsidRPr="00CC4E13">
        <w:rPr>
          <w:rFonts w:eastAsia="Batang"/>
        </w:rPr>
        <w:t xml:space="preserve"> the likelihood of overdose death</w:t>
      </w:r>
      <w:r w:rsidR="009E325E">
        <w:rPr>
          <w:rFonts w:eastAsia="Batang"/>
        </w:rPr>
        <w:t xml:space="preserve"> (Thomas et al, 2014; Thomas et al, 2014)</w:t>
      </w:r>
      <w:r w:rsidRPr="00CC4E13">
        <w:rPr>
          <w:rFonts w:eastAsia="Batang"/>
        </w:rPr>
        <w:t xml:space="preserve">.  Despite this effectiveness, MAT remains vastly under-utilized. According to SAMHSA’s Treatment Episode Data Set (TEDS), the proportion of heroin admissions with treatment plans that included receiving MAT decreased from 35% in 2002 to 28% in 2010.  HHS estimates that in 2014, 1.2 million people eligible to receive MAT for an opioid use disorder did not receive treatment. </w:t>
      </w:r>
    </w:p>
    <w:p w14:paraId="3E89DE41" w14:textId="4E020D04" w:rsidR="00771990" w:rsidRPr="009B1505" w:rsidRDefault="00CC4E13" w:rsidP="00E170E6">
      <w:pPr>
        <w:pStyle w:val="BodyText1"/>
        <w:rPr>
          <w:rFonts w:eastAsia="Batang"/>
        </w:rPr>
      </w:pPr>
      <w:r w:rsidRPr="00CC4E13">
        <w:rPr>
          <w:rFonts w:eastAsia="Batang"/>
        </w:rPr>
        <w:t xml:space="preserve">Recently, there has been a concerted federal effort to expand use of and access to MAT. This includes expanding the use of MAT within opioid treatment programs, increasing the number of physicians who can prescribe buprenorphine in the office-based setting, and expanding the use of long-acting injectable naltrexone. The purpose of this mixed methods </w:t>
      </w:r>
      <w:r w:rsidR="00AE640D">
        <w:rPr>
          <w:rFonts w:eastAsia="Batang"/>
        </w:rPr>
        <w:t>study</w:t>
      </w:r>
      <w:r w:rsidRPr="00CC4E13">
        <w:rPr>
          <w:rFonts w:eastAsia="Batang"/>
        </w:rPr>
        <w:t xml:space="preserve"> is to follow a cohort of participants receiving MAT over </w:t>
      </w:r>
      <w:r w:rsidR="00223E8C">
        <w:rPr>
          <w:rFonts w:eastAsia="Batang"/>
        </w:rPr>
        <w:t>a two year period to better understand the relationship between MAT implementation and outcomes</w:t>
      </w:r>
      <w:r w:rsidR="00670524">
        <w:rPr>
          <w:rFonts w:eastAsia="Batang"/>
        </w:rPr>
        <w:t xml:space="preserve">. </w:t>
      </w:r>
      <w:r w:rsidR="00771990">
        <w:rPr>
          <w:rFonts w:eastAsia="Batang"/>
        </w:rPr>
        <w:t xml:space="preserve">The MAT Study will extend previous research by 1) assessing the treatment, individual, and </w:t>
      </w:r>
      <w:r w:rsidR="00771990" w:rsidRPr="00EF7E3D">
        <w:rPr>
          <w:rFonts w:eastAsia="Batang"/>
        </w:rPr>
        <w:t xml:space="preserve">contextual factors that influence implementation and </w:t>
      </w:r>
      <w:r w:rsidR="00771990">
        <w:rPr>
          <w:rFonts w:eastAsia="Batang"/>
        </w:rPr>
        <w:t xml:space="preserve">outcomes in real-world settings; 2) targeting a larger sample </w:t>
      </w:r>
      <w:r w:rsidR="00771990" w:rsidRPr="00454644">
        <w:rPr>
          <w:rFonts w:eastAsia="Batang"/>
        </w:rPr>
        <w:t>size</w:t>
      </w:r>
      <w:r w:rsidR="00771990">
        <w:rPr>
          <w:rFonts w:eastAsia="Batang"/>
        </w:rPr>
        <w:t xml:space="preserve"> (n=3,560)</w:t>
      </w:r>
      <w:r w:rsidR="003C7F5F">
        <w:rPr>
          <w:rFonts w:eastAsia="Batang"/>
        </w:rPr>
        <w:t xml:space="preserve"> than previous studies</w:t>
      </w:r>
      <w:r w:rsidR="00771990">
        <w:rPr>
          <w:rFonts w:eastAsia="Batang"/>
        </w:rPr>
        <w:t xml:space="preserve">; </w:t>
      </w:r>
      <w:r w:rsidR="00771990" w:rsidRPr="00454644">
        <w:rPr>
          <w:rFonts w:eastAsia="Batang"/>
        </w:rPr>
        <w:t>and</w:t>
      </w:r>
      <w:r w:rsidR="00771990">
        <w:rPr>
          <w:rFonts w:eastAsia="Batang"/>
        </w:rPr>
        <w:t xml:space="preserve">, 3) providing a </w:t>
      </w:r>
      <w:r w:rsidR="00771990" w:rsidRPr="00454644">
        <w:rPr>
          <w:rFonts w:eastAsia="Batang"/>
        </w:rPr>
        <w:t>longer follow-up window (i.e., 24-</w:t>
      </w:r>
      <w:r w:rsidR="00771990">
        <w:rPr>
          <w:rFonts w:eastAsia="Batang"/>
        </w:rPr>
        <w:t>m</w:t>
      </w:r>
      <w:r w:rsidR="00771990" w:rsidRPr="00454644">
        <w:rPr>
          <w:rFonts w:eastAsia="Batang"/>
        </w:rPr>
        <w:t xml:space="preserve">onth follow-up period with </w:t>
      </w:r>
      <w:r>
        <w:rPr>
          <w:rFonts w:eastAsia="Batang"/>
        </w:rPr>
        <w:t>patients</w:t>
      </w:r>
      <w:r w:rsidR="00771990" w:rsidRPr="00454644">
        <w:rPr>
          <w:rFonts w:eastAsia="Batang"/>
        </w:rPr>
        <w:t>)</w:t>
      </w:r>
      <w:r w:rsidR="003C7F5F">
        <w:rPr>
          <w:rFonts w:eastAsia="Batang"/>
        </w:rPr>
        <w:t xml:space="preserve"> than previous studies</w:t>
      </w:r>
      <w:r w:rsidR="00771990">
        <w:rPr>
          <w:rFonts w:eastAsia="Batang"/>
        </w:rPr>
        <w:t xml:space="preserve"> so that we can collect data on short- and longer-term outcomes and relapses</w:t>
      </w:r>
      <w:r w:rsidR="00771990" w:rsidRPr="00454644">
        <w:rPr>
          <w:rFonts w:eastAsia="Batang"/>
        </w:rPr>
        <w:t xml:space="preserve">. </w:t>
      </w:r>
      <w:r w:rsidR="00F54A46" w:rsidRPr="00F54A46">
        <w:rPr>
          <w:rFonts w:eastAsia="Batang"/>
        </w:rPr>
        <w:t>Outcomes</w:t>
      </w:r>
      <w:r w:rsidR="000C405D" w:rsidRPr="00F54A46">
        <w:rPr>
          <w:rFonts w:eastAsia="Batang"/>
        </w:rPr>
        <w:t xml:space="preserve"> from this study </w:t>
      </w:r>
      <w:r w:rsidR="00F54A46" w:rsidRPr="00F54A46">
        <w:rPr>
          <w:rFonts w:eastAsia="Batang"/>
        </w:rPr>
        <w:t xml:space="preserve">are not design to identify or </w:t>
      </w:r>
      <w:r w:rsidR="000C405D" w:rsidRPr="00F54A46">
        <w:rPr>
          <w:rFonts w:eastAsia="Batang"/>
        </w:rPr>
        <w:t>guid</w:t>
      </w:r>
      <w:r w:rsidR="00F54A46" w:rsidRPr="00F54A46">
        <w:rPr>
          <w:rFonts w:eastAsia="Batang"/>
        </w:rPr>
        <w:t xml:space="preserve">e </w:t>
      </w:r>
      <w:r w:rsidR="000C405D" w:rsidRPr="00F54A46">
        <w:rPr>
          <w:rFonts w:eastAsia="Batang"/>
        </w:rPr>
        <w:t>policy</w:t>
      </w:r>
      <w:r w:rsidR="00F54A46" w:rsidRPr="00F54A46">
        <w:rPr>
          <w:rFonts w:eastAsia="Batang"/>
        </w:rPr>
        <w:t>.</w:t>
      </w:r>
      <w:r w:rsidR="000C405D">
        <w:rPr>
          <w:i/>
          <w:iCs/>
          <w:color w:val="70AD47"/>
        </w:rPr>
        <w:t xml:space="preserve"> </w:t>
      </w:r>
      <w:r w:rsidR="00771990" w:rsidRPr="007F0169">
        <w:rPr>
          <w:rFonts w:eastAsia="Batang"/>
        </w:rPr>
        <w:t>CDC has collaborated with other relevant federal agencies (See Section A.8) to avoid duplication and maximize efficiencies in data collection.</w:t>
      </w:r>
    </w:p>
    <w:p w14:paraId="4A204219" w14:textId="77777777" w:rsidR="007D2A22" w:rsidRPr="009B1505" w:rsidRDefault="007D2A22" w:rsidP="007D2A22">
      <w:pPr>
        <w:pStyle w:val="Heading2"/>
      </w:pPr>
      <w:bookmarkStart w:id="12" w:name="_Toc88033460"/>
      <w:bookmarkStart w:id="13" w:name="_Toc474237974"/>
      <w:bookmarkStart w:id="14" w:name="_Toc497134495"/>
      <w:bookmarkEnd w:id="10"/>
      <w:bookmarkEnd w:id="11"/>
      <w:r w:rsidRPr="009B1505">
        <w:t>A.2</w:t>
      </w:r>
      <w:r w:rsidRPr="009B1505">
        <w:tab/>
        <w:t>Purposes and Use of the Information</w:t>
      </w:r>
      <w:bookmarkEnd w:id="12"/>
      <w:r w:rsidRPr="009B1505">
        <w:t xml:space="preserve"> Collection</w:t>
      </w:r>
      <w:bookmarkEnd w:id="13"/>
      <w:bookmarkEnd w:id="14"/>
    </w:p>
    <w:p w14:paraId="529494CB" w14:textId="77777777" w:rsidR="00421715" w:rsidRDefault="00E761C6" w:rsidP="00421715">
      <w:pPr>
        <w:pStyle w:val="BodyText1"/>
        <w:rPr>
          <w:b/>
        </w:rPr>
      </w:pPr>
      <w:bookmarkStart w:id="15" w:name="_Toc472068047"/>
      <w:bookmarkStart w:id="16" w:name="_Toc474759134"/>
      <w:r>
        <w:t>T</w:t>
      </w:r>
      <w:r w:rsidR="003271B2">
        <w:t>he MAT Study is guided by four overarching evaluation questions</w:t>
      </w:r>
      <w:r w:rsidR="00771990">
        <w:t xml:space="preserve"> listed</w:t>
      </w:r>
      <w:r w:rsidR="003271B2">
        <w:t xml:space="preserve"> </w:t>
      </w:r>
      <w:r w:rsidR="003271B2" w:rsidRPr="004D09BD">
        <w:t xml:space="preserve">in </w:t>
      </w:r>
      <w:r w:rsidR="003271B2">
        <w:rPr>
          <w:b/>
          <w:i/>
        </w:rPr>
        <w:t>Exhibit 1</w:t>
      </w:r>
      <w:r w:rsidR="00421715" w:rsidRPr="004D09BD">
        <w:t xml:space="preserve">. These questions </w:t>
      </w:r>
      <w:r w:rsidR="00421715">
        <w:t>drive</w:t>
      </w:r>
      <w:r w:rsidR="00421715" w:rsidRPr="004D09BD">
        <w:t xml:space="preserve"> the research design</w:t>
      </w:r>
      <w:r w:rsidR="00E949A7">
        <w:t>,</w:t>
      </w:r>
      <w:r>
        <w:t xml:space="preserve"> </w:t>
      </w:r>
      <w:r w:rsidR="003271B2">
        <w:t>and</w:t>
      </w:r>
      <w:r>
        <w:t xml:space="preserve"> this</w:t>
      </w:r>
      <w:r w:rsidR="003271B2">
        <w:t xml:space="preserve"> data collection</w:t>
      </w:r>
      <w:r>
        <w:t xml:space="preserve"> effort was </w:t>
      </w:r>
      <w:r w:rsidR="00421715" w:rsidRPr="004D09BD">
        <w:t xml:space="preserve">developed to </w:t>
      </w:r>
      <w:r w:rsidR="00421715">
        <w:t xml:space="preserve">specifically </w:t>
      </w:r>
      <w:r w:rsidR="00421715" w:rsidRPr="004D09BD">
        <w:t>address these evaluation questions</w:t>
      </w:r>
      <w:r w:rsidR="00421715">
        <w:t>.</w:t>
      </w:r>
      <w:r w:rsidR="003271B2">
        <w:t xml:space="preserve"> </w:t>
      </w:r>
    </w:p>
    <w:p w14:paraId="291D162D" w14:textId="77777777" w:rsidR="00421715" w:rsidRPr="009B1505" w:rsidRDefault="00421715" w:rsidP="00421715">
      <w:pPr>
        <w:pStyle w:val="ExhibitTitle"/>
      </w:pPr>
      <w:r w:rsidRPr="009B1505">
        <w:t xml:space="preserve">Exhibit </w:t>
      </w:r>
      <w:r>
        <w:t>1</w:t>
      </w:r>
      <w:r w:rsidRPr="009B1505">
        <w:t>.</w:t>
      </w:r>
      <w:r w:rsidRPr="009B1505">
        <w:tab/>
        <w:t>Evaluation Questions</w:t>
      </w:r>
    </w:p>
    <w:tbl>
      <w:tblPr>
        <w:tblW w:w="5000" w:type="pct"/>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9590"/>
      </w:tblGrid>
      <w:tr w:rsidR="00421715" w:rsidRPr="009B1505" w14:paraId="00D44F48" w14:textId="77777777" w:rsidTr="001F257A">
        <w:trPr>
          <w:cantSplit/>
          <w:tblHeader/>
        </w:trPr>
        <w:tc>
          <w:tcPr>
            <w:tcW w:w="9350" w:type="dxa"/>
            <w:tcBorders>
              <w:top w:val="single" w:sz="12" w:space="0" w:color="auto"/>
              <w:bottom w:val="single" w:sz="6" w:space="0" w:color="auto"/>
            </w:tcBorders>
            <w:vAlign w:val="bottom"/>
          </w:tcPr>
          <w:p w14:paraId="5BE87B70" w14:textId="77777777" w:rsidR="00421715" w:rsidRPr="009B1505" w:rsidRDefault="00421715" w:rsidP="001F257A">
            <w:pPr>
              <w:pStyle w:val="TableHeaders"/>
              <w:rPr>
                <w:rFonts w:eastAsia="Calibri"/>
                <w:color w:val="4472C4"/>
              </w:rPr>
            </w:pPr>
            <w:r w:rsidRPr="009B1505">
              <w:rPr>
                <w:rFonts w:eastAsia="Calibri"/>
              </w:rPr>
              <w:t>Evaluation Questions</w:t>
            </w:r>
          </w:p>
        </w:tc>
      </w:tr>
      <w:tr w:rsidR="00421715" w:rsidRPr="009B1505" w14:paraId="0732D8D9" w14:textId="77777777" w:rsidTr="001F257A">
        <w:trPr>
          <w:cantSplit/>
        </w:trPr>
        <w:tc>
          <w:tcPr>
            <w:tcW w:w="9350" w:type="dxa"/>
            <w:tcBorders>
              <w:top w:val="single" w:sz="6" w:space="0" w:color="auto"/>
            </w:tcBorders>
          </w:tcPr>
          <w:p w14:paraId="6BF23D98" w14:textId="77777777" w:rsidR="00421715" w:rsidRPr="009B1505" w:rsidRDefault="00421715" w:rsidP="001F257A">
            <w:pPr>
              <w:pStyle w:val="TableText"/>
            </w:pPr>
            <w:r w:rsidRPr="009B1505">
              <w:t>What</w:t>
            </w:r>
            <w:r>
              <w:t xml:space="preserve"> outcomes are associated with participation in </w:t>
            </w:r>
            <w:r w:rsidRPr="009B1505">
              <w:t xml:space="preserve">MAT (BUP, MMT, </w:t>
            </w:r>
            <w:r>
              <w:t>NTX)</w:t>
            </w:r>
            <w:r w:rsidRPr="009B1505">
              <w:t xml:space="preserve"> and </w:t>
            </w:r>
            <w:r>
              <w:t>COUN</w:t>
            </w:r>
            <w:r w:rsidRPr="009B1505">
              <w:t>?</w:t>
            </w:r>
          </w:p>
          <w:p w14:paraId="4731D227" w14:textId="77777777" w:rsidR="00421715" w:rsidRPr="009B1505" w:rsidRDefault="00421715" w:rsidP="001F257A">
            <w:pPr>
              <w:pStyle w:val="TableText"/>
            </w:pPr>
            <w:r w:rsidRPr="009B1505">
              <w:t xml:space="preserve">What are the program factors that are associated with </w:t>
            </w:r>
            <w:r>
              <w:t xml:space="preserve">positive </w:t>
            </w:r>
            <w:r w:rsidRPr="009B1505">
              <w:t xml:space="preserve">MAT </w:t>
            </w:r>
            <w:r>
              <w:t>outcomes</w:t>
            </w:r>
            <w:r w:rsidRPr="009B1505">
              <w:t>?</w:t>
            </w:r>
          </w:p>
          <w:p w14:paraId="5D57F0C4" w14:textId="77777777" w:rsidR="00421715" w:rsidRPr="009B1505" w:rsidRDefault="00421715" w:rsidP="001F257A">
            <w:pPr>
              <w:pStyle w:val="TableText"/>
            </w:pPr>
            <w:r w:rsidRPr="009B1505">
              <w:t xml:space="preserve">What are the characteristics of program participants that are associated with </w:t>
            </w:r>
            <w:r>
              <w:t xml:space="preserve">positive </w:t>
            </w:r>
            <w:r w:rsidRPr="009B1505">
              <w:t xml:space="preserve">MAT </w:t>
            </w:r>
            <w:r>
              <w:t>outcomes</w:t>
            </w:r>
            <w:r w:rsidRPr="009B1505">
              <w:t>?</w:t>
            </w:r>
          </w:p>
          <w:p w14:paraId="11BC7DCD" w14:textId="77777777" w:rsidR="00421715" w:rsidRPr="009B1505" w:rsidRDefault="00421715" w:rsidP="001F257A">
            <w:pPr>
              <w:pStyle w:val="TableText"/>
            </w:pPr>
            <w:r>
              <w:t xml:space="preserve">Does </w:t>
            </w:r>
            <w:r w:rsidRPr="009B1505">
              <w:t>MAT improv</w:t>
            </w:r>
            <w:r>
              <w:t>e</w:t>
            </w:r>
            <w:r w:rsidRPr="009B1505">
              <w:t xml:space="preserve"> the health-related quality of life of people with an OUD?</w:t>
            </w:r>
          </w:p>
        </w:tc>
      </w:tr>
    </w:tbl>
    <w:p w14:paraId="44B5B939" w14:textId="77777777" w:rsidR="00421715" w:rsidRPr="009B1505" w:rsidRDefault="00421715" w:rsidP="00421715">
      <w:pPr>
        <w:pStyle w:val="tabfigsource"/>
      </w:pPr>
      <w:r w:rsidRPr="009B1505">
        <w:t xml:space="preserve">BUP = buprenorphine; </w:t>
      </w:r>
      <w:r>
        <w:t xml:space="preserve">COUN = counseling without medication; </w:t>
      </w:r>
      <w:r w:rsidRPr="009B1505">
        <w:t xml:space="preserve">MAT = medication-assisted treatment; MMT = methadone; </w:t>
      </w:r>
      <w:r>
        <w:t>NTX</w:t>
      </w:r>
      <w:r w:rsidRPr="009B1505">
        <w:t xml:space="preserve"> = naltrexone; OUD = opioid use disorder</w:t>
      </w:r>
      <w:r w:rsidRPr="009D5B95">
        <w:t>.</w:t>
      </w:r>
    </w:p>
    <w:p w14:paraId="0A8FA8FC" w14:textId="77777777" w:rsidR="00E761C6" w:rsidRDefault="00421715" w:rsidP="00655851">
      <w:pPr>
        <w:pStyle w:val="BodyTextIndent1"/>
        <w:ind w:left="0" w:firstLine="720"/>
        <w:rPr>
          <w:lang w:val="en"/>
        </w:rPr>
      </w:pPr>
      <w:r w:rsidRPr="00E761C6">
        <w:t>This data collection</w:t>
      </w:r>
      <w:r w:rsidR="00E761C6" w:rsidRPr="00E761C6">
        <w:t xml:space="preserve"> effort</w:t>
      </w:r>
      <w:r w:rsidRPr="00E761C6">
        <w:rPr>
          <w:lang w:val="en"/>
        </w:rPr>
        <w:t xml:space="preserve"> captures a series of</w:t>
      </w:r>
      <w:r w:rsidRPr="00E761C6">
        <w:t xml:space="preserve"> </w:t>
      </w:r>
      <w:r w:rsidRPr="00E761C6">
        <w:rPr>
          <w:lang w:val="en"/>
        </w:rPr>
        <w:t xml:space="preserve">outcome measures including the associated benefits (e.g., reductions in morbidity, mortality, and drug overdoses; improvements in socioeconomic outcomes and health-related quality of life [HRQOL]) and </w:t>
      </w:r>
      <w:r w:rsidR="00E949A7">
        <w:rPr>
          <w:lang w:val="en"/>
        </w:rPr>
        <w:t xml:space="preserve">potential </w:t>
      </w:r>
      <w:r w:rsidRPr="00E761C6">
        <w:rPr>
          <w:lang w:val="en"/>
        </w:rPr>
        <w:t>risks (e.g., side effects, diversion potential) of each treatment alternative. We will also collect data on antecedents of OUD, client factors that might also affect OUD treatment</w:t>
      </w:r>
      <w:r w:rsidR="00E949A7">
        <w:rPr>
          <w:lang w:val="en"/>
        </w:rPr>
        <w:t xml:space="preserve"> (e.g.,</w:t>
      </w:r>
      <w:r w:rsidRPr="00E761C6">
        <w:rPr>
          <w:lang w:val="en"/>
        </w:rPr>
        <w:t xml:space="preserve"> age, gender</w:t>
      </w:r>
      <w:r w:rsidR="00E949A7">
        <w:rPr>
          <w:lang w:val="en"/>
        </w:rPr>
        <w:t>, substance use history)</w:t>
      </w:r>
      <w:r w:rsidRPr="00E761C6">
        <w:rPr>
          <w:lang w:val="en"/>
        </w:rPr>
        <w:t>, barriers to care</w:t>
      </w:r>
      <w:r w:rsidR="00E949A7">
        <w:rPr>
          <w:lang w:val="en"/>
        </w:rPr>
        <w:t xml:space="preserve"> (e.g., health insurance coverage, provider location)</w:t>
      </w:r>
      <w:r w:rsidRPr="00E761C6">
        <w:rPr>
          <w:lang w:val="en"/>
        </w:rPr>
        <w:t>, and program characteristics that could affect OUD treatment outcomes</w:t>
      </w:r>
      <w:r w:rsidR="001F257A" w:rsidRPr="00E761C6">
        <w:rPr>
          <w:lang w:val="en"/>
        </w:rPr>
        <w:t xml:space="preserve">. </w:t>
      </w:r>
    </w:p>
    <w:p w14:paraId="445286E4" w14:textId="43B8B4AE" w:rsidR="00872E41" w:rsidRPr="00E761C6" w:rsidRDefault="001F257A" w:rsidP="00655851">
      <w:pPr>
        <w:pStyle w:val="BodyTextIndent1"/>
        <w:ind w:left="0" w:firstLine="720"/>
        <w:rPr>
          <w:lang w:val="en"/>
        </w:rPr>
      </w:pPr>
      <w:r w:rsidRPr="00E761C6">
        <w:rPr>
          <w:lang w:val="en"/>
        </w:rPr>
        <w:t>To operationalize</w:t>
      </w:r>
      <w:r w:rsidR="005622D6" w:rsidRPr="00E761C6">
        <w:rPr>
          <w:lang w:val="en"/>
        </w:rPr>
        <w:t xml:space="preserve"> these overall evaluation questions</w:t>
      </w:r>
      <w:r w:rsidR="00872E41" w:rsidRPr="00E761C6">
        <w:rPr>
          <w:lang w:val="en"/>
        </w:rPr>
        <w:t xml:space="preserve">, the CDC has identified 18 essential study measures </w:t>
      </w:r>
      <w:r w:rsidR="00C96E26" w:rsidRPr="00E761C6">
        <w:rPr>
          <w:lang w:val="en"/>
        </w:rPr>
        <w:t>that will be captured by this data collection</w:t>
      </w:r>
      <w:r w:rsidR="007510EF">
        <w:rPr>
          <w:lang w:val="en"/>
        </w:rPr>
        <w:t xml:space="preserve"> as shown in </w:t>
      </w:r>
      <w:r w:rsidR="007510EF" w:rsidRPr="007510EF">
        <w:rPr>
          <w:b/>
          <w:i/>
          <w:lang w:val="en"/>
        </w:rPr>
        <w:t>Exhibit 2</w:t>
      </w:r>
      <w:r w:rsidR="00C96E26" w:rsidRPr="00E761C6">
        <w:rPr>
          <w:lang w:val="en"/>
        </w:rPr>
        <w:t xml:space="preserve">. </w:t>
      </w:r>
      <w:r w:rsidR="006F4870" w:rsidRPr="00E761C6">
        <w:rPr>
          <w:lang w:val="en"/>
        </w:rPr>
        <w:t xml:space="preserve">The </w:t>
      </w:r>
      <w:r w:rsidR="00E949A7">
        <w:rPr>
          <w:lang w:val="en"/>
        </w:rPr>
        <w:t xml:space="preserve">selected </w:t>
      </w:r>
      <w:r w:rsidR="006F4870" w:rsidRPr="00E761C6">
        <w:rPr>
          <w:lang w:val="en"/>
        </w:rPr>
        <w:t xml:space="preserve">outcome measures are necessary as they reflect the outcome measures used by the </w:t>
      </w:r>
      <w:r w:rsidR="005A7BB5" w:rsidRPr="00E761C6">
        <w:rPr>
          <w:lang w:val="en"/>
        </w:rPr>
        <w:t>exi</w:t>
      </w:r>
      <w:r w:rsidR="005A7BB5">
        <w:rPr>
          <w:lang w:val="en"/>
        </w:rPr>
        <w:t>s</w:t>
      </w:r>
      <w:r w:rsidR="005A7BB5" w:rsidRPr="00E761C6">
        <w:rPr>
          <w:lang w:val="en"/>
        </w:rPr>
        <w:t xml:space="preserve">ting </w:t>
      </w:r>
      <w:r w:rsidR="006F4870" w:rsidRPr="00E761C6">
        <w:rPr>
          <w:lang w:val="en"/>
        </w:rPr>
        <w:t xml:space="preserve">literature on MAT and OUD treatment and the outcomes of interest to policy makers, communities, OUD treatment providers and their </w:t>
      </w:r>
      <w:r w:rsidR="00CC4E13">
        <w:rPr>
          <w:lang w:val="en"/>
        </w:rPr>
        <w:t>patients</w:t>
      </w:r>
      <w:r w:rsidR="006F4870" w:rsidRPr="00E761C6">
        <w:rPr>
          <w:lang w:val="en"/>
        </w:rPr>
        <w:t>. Measures related to treatment intensity</w:t>
      </w:r>
      <w:r w:rsidR="00655851">
        <w:rPr>
          <w:lang w:val="en"/>
        </w:rPr>
        <w:t xml:space="preserve">, treatment </w:t>
      </w:r>
      <w:r w:rsidR="007C4BD2" w:rsidRPr="00E761C6">
        <w:rPr>
          <w:lang w:val="en"/>
        </w:rPr>
        <w:t>course and</w:t>
      </w:r>
      <w:r w:rsidR="006F4870" w:rsidRPr="00E761C6">
        <w:rPr>
          <w:lang w:val="en"/>
        </w:rPr>
        <w:t xml:space="preserve"> adverse substance </w:t>
      </w:r>
      <w:r w:rsidR="00E949A7">
        <w:rPr>
          <w:lang w:val="en"/>
        </w:rPr>
        <w:t>use</w:t>
      </w:r>
      <w:r w:rsidR="006F4870" w:rsidRPr="00E761C6">
        <w:rPr>
          <w:lang w:val="en"/>
        </w:rPr>
        <w:t xml:space="preserve"> outcomes provide the basic measures to determine </w:t>
      </w:r>
      <w:r w:rsidR="00243E5D" w:rsidRPr="00E761C6">
        <w:rPr>
          <w:lang w:val="en"/>
        </w:rPr>
        <w:t xml:space="preserve">if </w:t>
      </w:r>
      <w:r w:rsidR="00CC4E13">
        <w:rPr>
          <w:lang w:val="en"/>
        </w:rPr>
        <w:t>patients</w:t>
      </w:r>
      <w:r w:rsidR="00243E5D" w:rsidRPr="00E761C6">
        <w:rPr>
          <w:lang w:val="en"/>
        </w:rPr>
        <w:t xml:space="preserve"> are obtaining and remaining</w:t>
      </w:r>
      <w:r w:rsidR="00771990">
        <w:rPr>
          <w:lang w:val="en"/>
        </w:rPr>
        <w:t xml:space="preserve"> in</w:t>
      </w:r>
      <w:r w:rsidR="00243E5D" w:rsidRPr="00E761C6">
        <w:rPr>
          <w:lang w:val="en"/>
        </w:rPr>
        <w:t xml:space="preserve"> treatment </w:t>
      </w:r>
      <w:r w:rsidR="00655851">
        <w:rPr>
          <w:lang w:val="en"/>
        </w:rPr>
        <w:t xml:space="preserve">while achieving positive outcomes such as reduced drug use and </w:t>
      </w:r>
      <w:r w:rsidR="00BE21C4">
        <w:rPr>
          <w:lang w:val="en"/>
        </w:rPr>
        <w:t xml:space="preserve">averted </w:t>
      </w:r>
      <w:r w:rsidR="00655851">
        <w:rPr>
          <w:lang w:val="en"/>
        </w:rPr>
        <w:t>overdoses</w:t>
      </w:r>
      <w:r w:rsidR="00243E5D" w:rsidRPr="00E761C6">
        <w:rPr>
          <w:lang w:val="en"/>
        </w:rPr>
        <w:t xml:space="preserve">. </w:t>
      </w:r>
      <w:r w:rsidR="007C4BD2" w:rsidRPr="00E761C6">
        <w:rPr>
          <w:lang w:val="en"/>
        </w:rPr>
        <w:t xml:space="preserve">As OUD is best understood as a chronic condition, social, quality of life and medical outcomes </w:t>
      </w:r>
      <w:r w:rsidR="00E949A7">
        <w:rPr>
          <w:lang w:val="en"/>
        </w:rPr>
        <w:t>(</w:t>
      </w:r>
      <w:r w:rsidR="007C4BD2" w:rsidRPr="00E761C6">
        <w:rPr>
          <w:lang w:val="en"/>
        </w:rPr>
        <w:t>such as employment, ability to perform everyday tasks comfortability and negative HIV tests</w:t>
      </w:r>
      <w:r w:rsidR="00E949A7">
        <w:rPr>
          <w:lang w:val="en"/>
        </w:rPr>
        <w:t>)</w:t>
      </w:r>
      <w:r w:rsidR="007C4BD2" w:rsidRPr="00E761C6">
        <w:rPr>
          <w:lang w:val="en"/>
        </w:rPr>
        <w:t xml:space="preserve"> are critical to understanding the medium and long</w:t>
      </w:r>
      <w:r w:rsidR="00180609">
        <w:rPr>
          <w:lang w:val="en"/>
        </w:rPr>
        <w:t>-</w:t>
      </w:r>
      <w:r w:rsidR="007C4BD2" w:rsidRPr="00E761C6">
        <w:rPr>
          <w:lang w:val="en"/>
        </w:rPr>
        <w:t xml:space="preserve">term impacts of treatment. Lastly, measures of </w:t>
      </w:r>
      <w:r w:rsidR="00BE21C4">
        <w:rPr>
          <w:lang w:val="en"/>
        </w:rPr>
        <w:t xml:space="preserve">treatment </w:t>
      </w:r>
      <w:r w:rsidR="007C4BD2" w:rsidRPr="00E761C6">
        <w:rPr>
          <w:lang w:val="en"/>
        </w:rPr>
        <w:t xml:space="preserve">access </w:t>
      </w:r>
      <w:r w:rsidR="007F0169" w:rsidRPr="00E761C6">
        <w:rPr>
          <w:lang w:val="en"/>
        </w:rPr>
        <w:t xml:space="preserve">and </w:t>
      </w:r>
      <w:r w:rsidR="007F0169">
        <w:rPr>
          <w:lang w:val="en"/>
        </w:rPr>
        <w:t>client</w:t>
      </w:r>
      <w:r w:rsidR="00E949A7">
        <w:rPr>
          <w:lang w:val="en"/>
        </w:rPr>
        <w:t xml:space="preserve"> </w:t>
      </w:r>
      <w:r w:rsidR="007C4BD2" w:rsidRPr="00E761C6">
        <w:rPr>
          <w:lang w:val="en"/>
        </w:rPr>
        <w:t xml:space="preserve">treatment </w:t>
      </w:r>
      <w:r w:rsidR="00E949A7">
        <w:rPr>
          <w:lang w:val="en"/>
        </w:rPr>
        <w:t>experiences</w:t>
      </w:r>
      <w:r w:rsidR="007C4BD2" w:rsidRPr="00E761C6">
        <w:rPr>
          <w:lang w:val="en"/>
        </w:rPr>
        <w:t xml:space="preserve"> help </w:t>
      </w:r>
      <w:r w:rsidR="00655851">
        <w:rPr>
          <w:lang w:val="en"/>
        </w:rPr>
        <w:t xml:space="preserve">determine if </w:t>
      </w:r>
      <w:r w:rsidR="00CC4E13">
        <w:rPr>
          <w:lang w:val="en"/>
        </w:rPr>
        <w:t>patients</w:t>
      </w:r>
      <w:r w:rsidR="00655851">
        <w:rPr>
          <w:lang w:val="en"/>
        </w:rPr>
        <w:t xml:space="preserve"> will seek out and stay in </w:t>
      </w:r>
      <w:r w:rsidR="007C4BD2" w:rsidRPr="00E761C6">
        <w:rPr>
          <w:lang w:val="en"/>
        </w:rPr>
        <w:t>treatment.</w:t>
      </w:r>
    </w:p>
    <w:p w14:paraId="2D0DAD46" w14:textId="77777777" w:rsidR="00872E41" w:rsidRPr="009B1505" w:rsidRDefault="00872E41" w:rsidP="00872E41">
      <w:pPr>
        <w:pStyle w:val="ExhibitTitle"/>
      </w:pPr>
      <w:r w:rsidRPr="009B1505">
        <w:t xml:space="preserve">Exhibit </w:t>
      </w:r>
      <w:r w:rsidR="00655851">
        <w:t>2</w:t>
      </w:r>
      <w:r w:rsidRPr="009B1505">
        <w:t>.</w:t>
      </w:r>
      <w:r w:rsidRPr="009B1505">
        <w:tab/>
        <w:t>Study Measure</w:t>
      </w:r>
      <w:r w:rsidR="00BE21C4">
        <w:t>s</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623"/>
        <w:gridCol w:w="8967"/>
      </w:tblGrid>
      <w:tr w:rsidR="00D663C9" w:rsidRPr="009B1505" w14:paraId="4481C258" w14:textId="77777777" w:rsidTr="00655851">
        <w:trPr>
          <w:cantSplit/>
        </w:trPr>
        <w:tc>
          <w:tcPr>
            <w:tcW w:w="325" w:type="pct"/>
            <w:tcBorders>
              <w:top w:val="single" w:sz="12" w:space="0" w:color="auto"/>
              <w:bottom w:val="single" w:sz="4" w:space="0" w:color="auto"/>
            </w:tcBorders>
          </w:tcPr>
          <w:p w14:paraId="00BD251C" w14:textId="77777777" w:rsidR="00D663C9" w:rsidRDefault="00D663C9" w:rsidP="00872E41">
            <w:pPr>
              <w:pStyle w:val="TableHeaders"/>
              <w:keepNext/>
            </w:pPr>
          </w:p>
        </w:tc>
        <w:tc>
          <w:tcPr>
            <w:tcW w:w="4675" w:type="pct"/>
            <w:tcBorders>
              <w:top w:val="single" w:sz="12" w:space="0" w:color="auto"/>
              <w:bottom w:val="single" w:sz="4" w:space="0" w:color="auto"/>
            </w:tcBorders>
            <w:vAlign w:val="bottom"/>
            <w:hideMark/>
          </w:tcPr>
          <w:p w14:paraId="73454C01" w14:textId="77777777" w:rsidR="00D663C9" w:rsidRPr="009B1505" w:rsidRDefault="00D663C9" w:rsidP="00872E41">
            <w:pPr>
              <w:pStyle w:val="TableHeaders"/>
              <w:keepNext/>
            </w:pPr>
            <w:r>
              <w:t xml:space="preserve">Domain / </w:t>
            </w:r>
            <w:r w:rsidRPr="00FA77B5">
              <w:t>Study Measure</w:t>
            </w:r>
          </w:p>
        </w:tc>
      </w:tr>
      <w:tr w:rsidR="00D663C9" w:rsidRPr="009B1505" w14:paraId="02B112FD"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41097246" w14:textId="77777777" w:rsidR="00D663C9" w:rsidRPr="00F543B5" w:rsidRDefault="00D663C9" w:rsidP="00872E41">
            <w:pPr>
              <w:pStyle w:val="TableText"/>
              <w:keepN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hideMark/>
          </w:tcPr>
          <w:p w14:paraId="2271CC23" w14:textId="77777777" w:rsidR="00D663C9" w:rsidRPr="00F543B5" w:rsidRDefault="00D663C9" w:rsidP="00872E41">
            <w:pPr>
              <w:pStyle w:val="TableText"/>
              <w:keepNext/>
              <w:rPr>
                <w:b/>
              </w:rPr>
            </w:pPr>
            <w:r w:rsidRPr="00F543B5">
              <w:rPr>
                <w:b/>
              </w:rPr>
              <w:t>Treatment Intensity</w:t>
            </w:r>
          </w:p>
        </w:tc>
      </w:tr>
      <w:tr w:rsidR="00D663C9" w:rsidRPr="009B1505" w14:paraId="082FEE8A"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5E323732" w14:textId="77777777" w:rsidR="00D663C9" w:rsidRPr="00FA77B5" w:rsidRDefault="00D663C9" w:rsidP="00872E41">
            <w:pPr>
              <w:pStyle w:val="TableText"/>
              <w:keepNext/>
              <w:ind w:left="157"/>
            </w:pPr>
            <w:r>
              <w:t>1</w:t>
            </w:r>
          </w:p>
        </w:tc>
        <w:tc>
          <w:tcPr>
            <w:tcW w:w="4675" w:type="pct"/>
            <w:tcBorders>
              <w:top w:val="single" w:sz="4" w:space="0" w:color="auto"/>
              <w:left w:val="single" w:sz="4" w:space="0" w:color="auto"/>
              <w:bottom w:val="single" w:sz="4" w:space="0" w:color="auto"/>
              <w:right w:val="single" w:sz="4" w:space="0" w:color="auto"/>
            </w:tcBorders>
          </w:tcPr>
          <w:p w14:paraId="477C575A" w14:textId="77777777" w:rsidR="00D663C9" w:rsidRPr="00F543B5" w:rsidRDefault="00D663C9" w:rsidP="00872E41">
            <w:pPr>
              <w:pStyle w:val="TableText"/>
              <w:keepNext/>
              <w:ind w:left="157"/>
              <w:rPr>
                <w:b/>
              </w:rPr>
            </w:pPr>
            <w:r w:rsidRPr="00FA77B5">
              <w:t>Number of days/weeks participating in</w:t>
            </w:r>
            <w:r w:rsidRPr="00FA77B5">
              <w:rPr>
                <w:spacing w:val="-20"/>
              </w:rPr>
              <w:t xml:space="preserve"> </w:t>
            </w:r>
            <w:r w:rsidRPr="00FA77B5">
              <w:t>treatment</w:t>
            </w:r>
          </w:p>
        </w:tc>
      </w:tr>
      <w:tr w:rsidR="00D663C9" w:rsidRPr="009B1505" w14:paraId="6FCE732A"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31DEEB9E" w14:textId="77777777" w:rsidR="00D663C9" w:rsidRPr="00075331" w:rsidRDefault="00D663C9" w:rsidP="00872E41">
            <w:pPr>
              <w:pStyle w:val="TableText"/>
              <w:ind w:left="157"/>
            </w:pPr>
            <w:r>
              <w:t>2</w:t>
            </w:r>
          </w:p>
        </w:tc>
        <w:tc>
          <w:tcPr>
            <w:tcW w:w="4675" w:type="pct"/>
            <w:tcBorders>
              <w:top w:val="single" w:sz="4" w:space="0" w:color="auto"/>
              <w:left w:val="single" w:sz="4" w:space="0" w:color="auto"/>
              <w:bottom w:val="single" w:sz="4" w:space="0" w:color="auto"/>
              <w:right w:val="single" w:sz="4" w:space="0" w:color="auto"/>
            </w:tcBorders>
            <w:hideMark/>
          </w:tcPr>
          <w:p w14:paraId="5001CAD0" w14:textId="77777777" w:rsidR="00D663C9" w:rsidRPr="009B1505" w:rsidRDefault="00D663C9" w:rsidP="00872E41">
            <w:pPr>
              <w:pStyle w:val="TableText"/>
              <w:ind w:left="157"/>
            </w:pPr>
            <w:r w:rsidRPr="00075331">
              <w:t>Number of counseling sessions</w:t>
            </w:r>
            <w:r w:rsidRPr="00075331">
              <w:rPr>
                <w:spacing w:val="-14"/>
              </w:rPr>
              <w:t xml:space="preserve"> </w:t>
            </w:r>
            <w:r w:rsidRPr="00075331">
              <w:t>attended</w:t>
            </w:r>
          </w:p>
        </w:tc>
      </w:tr>
      <w:tr w:rsidR="00D663C9" w:rsidRPr="009B1505" w14:paraId="59B2C851" w14:textId="77777777" w:rsidTr="00655851">
        <w:trPr>
          <w:cantSplit/>
          <w:trHeight w:val="368"/>
        </w:trPr>
        <w:tc>
          <w:tcPr>
            <w:tcW w:w="325" w:type="pct"/>
            <w:tcBorders>
              <w:top w:val="single" w:sz="4" w:space="0" w:color="auto"/>
              <w:left w:val="single" w:sz="4" w:space="0" w:color="auto"/>
              <w:bottom w:val="single" w:sz="4" w:space="0" w:color="auto"/>
              <w:right w:val="single" w:sz="4" w:space="0" w:color="auto"/>
            </w:tcBorders>
            <w:shd w:val="pct10" w:color="auto" w:fill="auto"/>
          </w:tcPr>
          <w:p w14:paraId="5E24F7C9" w14:textId="77777777" w:rsidR="00D663C9" w:rsidRPr="00CC2317"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hideMark/>
          </w:tcPr>
          <w:p w14:paraId="4B42B8A7" w14:textId="77777777" w:rsidR="00D663C9" w:rsidRPr="009B1505" w:rsidRDefault="00D663C9" w:rsidP="00872E41">
            <w:pPr>
              <w:pStyle w:val="TableText"/>
            </w:pPr>
            <w:r w:rsidRPr="00CC2317">
              <w:rPr>
                <w:b/>
              </w:rPr>
              <w:t>Adverse Outcomes from Opioids</w:t>
            </w:r>
          </w:p>
        </w:tc>
      </w:tr>
      <w:tr w:rsidR="00D663C9" w:rsidRPr="009B1505" w14:paraId="19DC80ED"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3ABBA99C" w14:textId="77777777" w:rsidR="00D663C9" w:rsidRPr="00FA77B5" w:rsidRDefault="00D663C9" w:rsidP="00872E41">
            <w:pPr>
              <w:pStyle w:val="TableText"/>
              <w:ind w:left="157"/>
            </w:pPr>
            <w:r>
              <w:t>3</w:t>
            </w:r>
          </w:p>
        </w:tc>
        <w:tc>
          <w:tcPr>
            <w:tcW w:w="4675" w:type="pct"/>
            <w:tcBorders>
              <w:top w:val="single" w:sz="4" w:space="0" w:color="auto"/>
              <w:left w:val="single" w:sz="4" w:space="0" w:color="auto"/>
              <w:bottom w:val="single" w:sz="4" w:space="0" w:color="auto"/>
              <w:right w:val="single" w:sz="4" w:space="0" w:color="auto"/>
            </w:tcBorders>
          </w:tcPr>
          <w:p w14:paraId="4C66ABE0" w14:textId="77777777" w:rsidR="00D663C9" w:rsidRPr="00CC2317" w:rsidRDefault="00D663C9" w:rsidP="004C4032">
            <w:pPr>
              <w:pStyle w:val="TableText"/>
              <w:ind w:left="157"/>
              <w:rPr>
                <w:b/>
              </w:rPr>
            </w:pPr>
            <w:r w:rsidRPr="00FA77B5">
              <w:t>Number of substance use (and opioid)</w:t>
            </w:r>
            <w:r>
              <w:t>–</w:t>
            </w:r>
            <w:r w:rsidRPr="00FA77B5">
              <w:t>related emergency department</w:t>
            </w:r>
            <w:r w:rsidRPr="00FA77B5">
              <w:rPr>
                <w:spacing w:val="-24"/>
              </w:rPr>
              <w:t xml:space="preserve"> </w:t>
            </w:r>
            <w:r>
              <w:t>visits</w:t>
            </w:r>
          </w:p>
        </w:tc>
      </w:tr>
      <w:tr w:rsidR="00D663C9" w:rsidRPr="009B1505" w14:paraId="09D50D89"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3B4AC1B0" w14:textId="77777777" w:rsidR="00D663C9" w:rsidRPr="00FA77B5" w:rsidRDefault="00D663C9" w:rsidP="00872E41">
            <w:pPr>
              <w:pStyle w:val="TableText"/>
              <w:ind w:left="157"/>
            </w:pPr>
            <w:r>
              <w:t>4</w:t>
            </w:r>
          </w:p>
        </w:tc>
        <w:tc>
          <w:tcPr>
            <w:tcW w:w="4675" w:type="pct"/>
            <w:tcBorders>
              <w:top w:val="single" w:sz="4" w:space="0" w:color="auto"/>
              <w:left w:val="single" w:sz="4" w:space="0" w:color="auto"/>
              <w:bottom w:val="single" w:sz="4" w:space="0" w:color="auto"/>
              <w:right w:val="single" w:sz="4" w:space="0" w:color="auto"/>
            </w:tcBorders>
            <w:hideMark/>
          </w:tcPr>
          <w:p w14:paraId="3DF5629E" w14:textId="77777777" w:rsidR="00D663C9" w:rsidRPr="009B1505" w:rsidRDefault="00D663C9" w:rsidP="004C4032">
            <w:pPr>
              <w:pStyle w:val="TableText"/>
              <w:ind w:left="157"/>
            </w:pPr>
            <w:r w:rsidRPr="00FA77B5">
              <w:t>Number of substance use (and opioid)</w:t>
            </w:r>
            <w:r>
              <w:t>–</w:t>
            </w:r>
            <w:r w:rsidRPr="00FA77B5">
              <w:t>related</w:t>
            </w:r>
            <w:r w:rsidRPr="00FA77B5">
              <w:rPr>
                <w:spacing w:val="-20"/>
              </w:rPr>
              <w:t xml:space="preserve"> </w:t>
            </w:r>
            <w:r>
              <w:t xml:space="preserve">hospitalizations </w:t>
            </w:r>
          </w:p>
        </w:tc>
      </w:tr>
      <w:tr w:rsidR="00D663C9" w:rsidRPr="009B1505" w14:paraId="672F2476"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4D74F4D8" w14:textId="77777777" w:rsidR="00D663C9" w:rsidRPr="00FA77B5" w:rsidRDefault="00D663C9" w:rsidP="00872E41">
            <w:pPr>
              <w:pStyle w:val="TableText"/>
              <w:ind w:left="157"/>
            </w:pPr>
            <w:r>
              <w:t>5</w:t>
            </w:r>
          </w:p>
        </w:tc>
        <w:tc>
          <w:tcPr>
            <w:tcW w:w="4675" w:type="pct"/>
            <w:tcBorders>
              <w:top w:val="single" w:sz="4" w:space="0" w:color="auto"/>
              <w:left w:val="single" w:sz="4" w:space="0" w:color="auto"/>
              <w:bottom w:val="single" w:sz="4" w:space="0" w:color="auto"/>
              <w:right w:val="single" w:sz="4" w:space="0" w:color="auto"/>
            </w:tcBorders>
            <w:hideMark/>
          </w:tcPr>
          <w:p w14:paraId="1AE1E587" w14:textId="77777777" w:rsidR="00D663C9" w:rsidRPr="00F543B5" w:rsidRDefault="004C4032" w:rsidP="004C4032">
            <w:pPr>
              <w:pStyle w:val="TableText"/>
              <w:ind w:left="157"/>
              <w:rPr>
                <w:b/>
              </w:rPr>
            </w:pPr>
            <w:r>
              <w:t xml:space="preserve">Number </w:t>
            </w:r>
            <w:r w:rsidR="00D663C9" w:rsidRPr="00FA77B5">
              <w:t xml:space="preserve"> of non-fatal drug (and opioid)</w:t>
            </w:r>
            <w:r w:rsidR="00D663C9" w:rsidRPr="00FA77B5">
              <w:rPr>
                <w:spacing w:val="-16"/>
              </w:rPr>
              <w:t xml:space="preserve"> </w:t>
            </w:r>
            <w:r w:rsidR="00D663C9">
              <w:t>overdose</w:t>
            </w:r>
            <w:r w:rsidR="004F59BF">
              <w:t>s</w:t>
            </w:r>
            <w:r w:rsidR="00D663C9">
              <w:t xml:space="preserve">  </w:t>
            </w:r>
          </w:p>
        </w:tc>
      </w:tr>
      <w:tr w:rsidR="00D663C9" w:rsidRPr="009B1505" w14:paraId="3B046E95"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1696BA75" w14:textId="77777777" w:rsidR="00D663C9" w:rsidRPr="00CC2317"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2F7BCA16" w14:textId="77777777" w:rsidR="00D663C9" w:rsidRPr="00380306" w:rsidRDefault="00D663C9" w:rsidP="00872E41">
            <w:pPr>
              <w:pStyle w:val="TableText"/>
              <w:rPr>
                <w:b/>
              </w:rPr>
            </w:pPr>
            <w:r w:rsidRPr="00CC2317">
              <w:rPr>
                <w:b/>
              </w:rPr>
              <w:t xml:space="preserve">Substance Abuse Outcomes </w:t>
            </w:r>
          </w:p>
        </w:tc>
      </w:tr>
      <w:tr w:rsidR="00D663C9" w:rsidRPr="009B1505" w14:paraId="207BB66E"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341313A2" w14:textId="77777777" w:rsidR="00D663C9" w:rsidRPr="00075331" w:rsidRDefault="00D663C9" w:rsidP="00872E41">
            <w:pPr>
              <w:pStyle w:val="TableText"/>
              <w:ind w:left="157"/>
            </w:pPr>
            <w:r>
              <w:t>6</w:t>
            </w:r>
          </w:p>
        </w:tc>
        <w:tc>
          <w:tcPr>
            <w:tcW w:w="4675" w:type="pct"/>
            <w:tcBorders>
              <w:top w:val="single" w:sz="4" w:space="0" w:color="auto"/>
              <w:left w:val="single" w:sz="4" w:space="0" w:color="auto"/>
              <w:bottom w:val="single" w:sz="4" w:space="0" w:color="auto"/>
              <w:right w:val="single" w:sz="4" w:space="0" w:color="auto"/>
            </w:tcBorders>
            <w:hideMark/>
          </w:tcPr>
          <w:p w14:paraId="5AE50EF5" w14:textId="77777777" w:rsidR="00D663C9" w:rsidRPr="00F543B5" w:rsidRDefault="00D663C9" w:rsidP="00872E41">
            <w:pPr>
              <w:pStyle w:val="TableText"/>
              <w:ind w:left="157"/>
              <w:rPr>
                <w:b/>
              </w:rPr>
            </w:pPr>
            <w:r w:rsidRPr="00075331">
              <w:t xml:space="preserve">Number of calendar months with at least one negative </w:t>
            </w:r>
            <w:r w:rsidR="00E46B92">
              <w:t xml:space="preserve">opioid </w:t>
            </w:r>
            <w:r w:rsidRPr="00075331">
              <w:t>urine test</w:t>
            </w:r>
            <w:r w:rsidR="00E46B92">
              <w:t>,</w:t>
            </w:r>
            <w:r w:rsidRPr="00075331">
              <w:t xml:space="preserve"> and no positive urine tests for other substances (excluding MAT</w:t>
            </w:r>
            <w:r w:rsidRPr="00075331">
              <w:rPr>
                <w:spacing w:val="-18"/>
              </w:rPr>
              <w:t xml:space="preserve"> </w:t>
            </w:r>
            <w:r w:rsidRPr="00075331">
              <w:t>drug</w:t>
            </w:r>
            <w:r>
              <w:t>)</w:t>
            </w:r>
          </w:p>
        </w:tc>
      </w:tr>
      <w:tr w:rsidR="00D663C9" w:rsidRPr="009B1505" w14:paraId="64F967FE"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4512633E" w14:textId="77777777" w:rsidR="00D663C9" w:rsidRPr="00075331" w:rsidRDefault="00D663C9" w:rsidP="00872E41">
            <w:pPr>
              <w:pStyle w:val="TableText"/>
              <w:ind w:left="157"/>
            </w:pPr>
            <w:r>
              <w:t>7</w:t>
            </w:r>
          </w:p>
        </w:tc>
        <w:tc>
          <w:tcPr>
            <w:tcW w:w="4675" w:type="pct"/>
            <w:tcBorders>
              <w:top w:val="single" w:sz="4" w:space="0" w:color="auto"/>
              <w:left w:val="single" w:sz="4" w:space="0" w:color="auto"/>
              <w:bottom w:val="single" w:sz="4" w:space="0" w:color="auto"/>
              <w:right w:val="single" w:sz="4" w:space="0" w:color="auto"/>
            </w:tcBorders>
            <w:hideMark/>
          </w:tcPr>
          <w:p w14:paraId="6D760DB9" w14:textId="77777777" w:rsidR="00D663C9" w:rsidRPr="009B1505" w:rsidRDefault="00D663C9" w:rsidP="00872E41">
            <w:pPr>
              <w:pStyle w:val="TableText"/>
              <w:ind w:left="157"/>
            </w:pPr>
            <w:r w:rsidRPr="00075331">
              <w:t>Number of days/weeks abstinent from opioids (excluding MAT drug),</w:t>
            </w:r>
            <w:r w:rsidRPr="00075331">
              <w:rPr>
                <w:spacing w:val="-31"/>
              </w:rPr>
              <w:t xml:space="preserve"> </w:t>
            </w:r>
            <w:r w:rsidRPr="00075331">
              <w:t>self-report</w:t>
            </w:r>
            <w:r>
              <w:t xml:space="preserve">  </w:t>
            </w:r>
          </w:p>
        </w:tc>
      </w:tr>
      <w:tr w:rsidR="00D663C9" w:rsidRPr="009B1505" w14:paraId="1E89F378"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4F1769CB"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50426783" w14:textId="77777777" w:rsidR="00D663C9" w:rsidRPr="00380306" w:rsidRDefault="00D663C9" w:rsidP="00872E41">
            <w:pPr>
              <w:pStyle w:val="TableText"/>
              <w:rPr>
                <w:b/>
              </w:rPr>
            </w:pPr>
            <w:r w:rsidRPr="00F543B5">
              <w:rPr>
                <w:b/>
              </w:rPr>
              <w:t>Social Outcomes</w:t>
            </w:r>
          </w:p>
        </w:tc>
      </w:tr>
      <w:tr w:rsidR="00D663C9" w:rsidRPr="009B1505" w14:paraId="7D6D2F07"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2D4E0522" w14:textId="77777777" w:rsidR="00D663C9" w:rsidRPr="00075331" w:rsidRDefault="00D663C9" w:rsidP="00872E41">
            <w:pPr>
              <w:pStyle w:val="TableText"/>
              <w:ind w:left="157"/>
            </w:pPr>
            <w:r>
              <w:t>8</w:t>
            </w:r>
          </w:p>
        </w:tc>
        <w:tc>
          <w:tcPr>
            <w:tcW w:w="4675" w:type="pct"/>
            <w:tcBorders>
              <w:top w:val="single" w:sz="4" w:space="0" w:color="auto"/>
              <w:left w:val="single" w:sz="4" w:space="0" w:color="auto"/>
              <w:bottom w:val="single" w:sz="4" w:space="0" w:color="auto"/>
              <w:right w:val="single" w:sz="4" w:space="0" w:color="auto"/>
            </w:tcBorders>
            <w:hideMark/>
          </w:tcPr>
          <w:p w14:paraId="2527A838" w14:textId="77777777" w:rsidR="00D663C9" w:rsidRPr="009B1505" w:rsidRDefault="00D663C9" w:rsidP="00872E41">
            <w:pPr>
              <w:pStyle w:val="TableText"/>
              <w:ind w:left="157"/>
            </w:pPr>
            <w:r w:rsidRPr="00075331">
              <w:t>Employment status (yes/no and length of</w:t>
            </w:r>
            <w:r w:rsidRPr="00075331">
              <w:rPr>
                <w:spacing w:val="-17"/>
              </w:rPr>
              <w:t xml:space="preserve"> </w:t>
            </w:r>
            <w:r w:rsidRPr="00075331">
              <w:t>employment)</w:t>
            </w:r>
            <w:r>
              <w:t xml:space="preserve"> </w:t>
            </w:r>
          </w:p>
        </w:tc>
      </w:tr>
      <w:tr w:rsidR="00D663C9" w:rsidRPr="009B1505" w14:paraId="39C763BC"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60B212B5" w14:textId="77777777" w:rsidR="00D663C9" w:rsidRPr="00075331" w:rsidRDefault="00D663C9" w:rsidP="00872E41">
            <w:pPr>
              <w:pStyle w:val="TableText"/>
              <w:ind w:left="157"/>
            </w:pPr>
            <w:r>
              <w:t>9</w:t>
            </w:r>
          </w:p>
        </w:tc>
        <w:tc>
          <w:tcPr>
            <w:tcW w:w="4675" w:type="pct"/>
            <w:tcBorders>
              <w:top w:val="single" w:sz="4" w:space="0" w:color="auto"/>
              <w:left w:val="single" w:sz="4" w:space="0" w:color="auto"/>
              <w:bottom w:val="single" w:sz="4" w:space="0" w:color="auto"/>
              <w:right w:val="single" w:sz="4" w:space="0" w:color="auto"/>
            </w:tcBorders>
            <w:hideMark/>
          </w:tcPr>
          <w:p w14:paraId="2A848AA3" w14:textId="77777777" w:rsidR="00D663C9" w:rsidRPr="009B1505" w:rsidRDefault="00D663C9" w:rsidP="00872E41">
            <w:pPr>
              <w:pStyle w:val="TableText"/>
              <w:ind w:left="157"/>
            </w:pPr>
            <w:r w:rsidRPr="00075331">
              <w:t>Number of diversion</w:t>
            </w:r>
            <w:r w:rsidRPr="00075331">
              <w:rPr>
                <w:spacing w:val="-11"/>
              </w:rPr>
              <w:t xml:space="preserve"> </w:t>
            </w:r>
            <w:r w:rsidRPr="00075331">
              <w:t>incidents</w:t>
            </w:r>
            <w:r>
              <w:t xml:space="preserve"> </w:t>
            </w:r>
          </w:p>
        </w:tc>
      </w:tr>
      <w:tr w:rsidR="00D663C9" w:rsidRPr="009B1505" w14:paraId="1584FA7B"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3149F8F1"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7DE000A0" w14:textId="77777777" w:rsidR="00D663C9" w:rsidRPr="00380306" w:rsidRDefault="00D663C9" w:rsidP="00872E41">
            <w:pPr>
              <w:pStyle w:val="TableText"/>
              <w:rPr>
                <w:b/>
              </w:rPr>
            </w:pPr>
            <w:r w:rsidRPr="00F543B5">
              <w:rPr>
                <w:b/>
              </w:rPr>
              <w:t xml:space="preserve">Health Related Quality of Life </w:t>
            </w:r>
          </w:p>
        </w:tc>
      </w:tr>
      <w:tr w:rsidR="00D663C9" w:rsidRPr="009B1505" w14:paraId="5D72C989"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2989FA01" w14:textId="77777777" w:rsidR="00D663C9" w:rsidRPr="00C818F6" w:rsidRDefault="00D663C9" w:rsidP="00872E41">
            <w:pPr>
              <w:pStyle w:val="TableText"/>
              <w:ind w:left="157"/>
            </w:pPr>
            <w:r>
              <w:t>10</w:t>
            </w:r>
          </w:p>
        </w:tc>
        <w:tc>
          <w:tcPr>
            <w:tcW w:w="4675" w:type="pct"/>
            <w:tcBorders>
              <w:top w:val="single" w:sz="4" w:space="0" w:color="auto"/>
              <w:left w:val="single" w:sz="4" w:space="0" w:color="auto"/>
              <w:bottom w:val="single" w:sz="4" w:space="0" w:color="auto"/>
              <w:right w:val="single" w:sz="4" w:space="0" w:color="auto"/>
            </w:tcBorders>
            <w:hideMark/>
          </w:tcPr>
          <w:p w14:paraId="2D48D07B" w14:textId="77777777" w:rsidR="00D663C9" w:rsidRPr="00C818F6" w:rsidRDefault="00D663C9" w:rsidP="00872E41">
            <w:pPr>
              <w:pStyle w:val="TableText"/>
              <w:ind w:left="157"/>
            </w:pPr>
            <w:r w:rsidRPr="00C818F6">
              <w:t xml:space="preserve">Number/rate of QALYs or DALYs </w:t>
            </w:r>
          </w:p>
        </w:tc>
      </w:tr>
      <w:tr w:rsidR="00D663C9" w:rsidRPr="009B1505" w14:paraId="0D677DAB"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17AA7838"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01D2C1F5" w14:textId="77777777" w:rsidR="00D663C9" w:rsidRPr="00380306" w:rsidRDefault="00D663C9" w:rsidP="00872E41">
            <w:pPr>
              <w:pStyle w:val="TableText"/>
              <w:rPr>
                <w:b/>
              </w:rPr>
            </w:pPr>
            <w:r w:rsidRPr="00F543B5">
              <w:rPr>
                <w:b/>
              </w:rPr>
              <w:t>Adverse Treatment Outcomes</w:t>
            </w:r>
          </w:p>
        </w:tc>
      </w:tr>
      <w:tr w:rsidR="00D663C9" w:rsidRPr="009B1505" w14:paraId="3CD166BD"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564CBC4C" w14:textId="77777777" w:rsidR="00D663C9" w:rsidRPr="00075331" w:rsidRDefault="00D663C9" w:rsidP="00872E41">
            <w:pPr>
              <w:pStyle w:val="TableText"/>
              <w:ind w:left="157"/>
            </w:pPr>
            <w:r>
              <w:t>11</w:t>
            </w:r>
          </w:p>
        </w:tc>
        <w:tc>
          <w:tcPr>
            <w:tcW w:w="4675" w:type="pct"/>
            <w:tcBorders>
              <w:top w:val="single" w:sz="4" w:space="0" w:color="auto"/>
              <w:left w:val="single" w:sz="4" w:space="0" w:color="auto"/>
              <w:bottom w:val="single" w:sz="4" w:space="0" w:color="auto"/>
              <w:right w:val="single" w:sz="4" w:space="0" w:color="auto"/>
            </w:tcBorders>
            <w:hideMark/>
          </w:tcPr>
          <w:p w14:paraId="58E0A2C6" w14:textId="77777777" w:rsidR="00D663C9" w:rsidRPr="009B1505" w:rsidRDefault="00845F3A" w:rsidP="00845F3A">
            <w:pPr>
              <w:pStyle w:val="TableText"/>
              <w:ind w:left="157"/>
            </w:pPr>
            <w:r>
              <w:t xml:space="preserve">Number </w:t>
            </w:r>
            <w:r w:rsidR="00D663C9" w:rsidRPr="00075331">
              <w:t>adverse events associated with</w:t>
            </w:r>
            <w:r w:rsidR="00D663C9" w:rsidRPr="00075331">
              <w:rPr>
                <w:spacing w:val="-16"/>
              </w:rPr>
              <w:t xml:space="preserve"> </w:t>
            </w:r>
            <w:r w:rsidR="00D663C9" w:rsidRPr="00075331">
              <w:t>medication</w:t>
            </w:r>
          </w:p>
        </w:tc>
      </w:tr>
      <w:tr w:rsidR="00D663C9" w:rsidRPr="009B1505" w14:paraId="772E254D"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485F2E36"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067CA763" w14:textId="77777777" w:rsidR="00D663C9" w:rsidRPr="00F543B5" w:rsidRDefault="00D663C9" w:rsidP="00872E41">
            <w:pPr>
              <w:pStyle w:val="TableText"/>
              <w:rPr>
                <w:b/>
              </w:rPr>
            </w:pPr>
            <w:r w:rsidRPr="00F543B5">
              <w:rPr>
                <w:b/>
              </w:rPr>
              <w:t xml:space="preserve">Medical Outcomes </w:t>
            </w:r>
          </w:p>
        </w:tc>
      </w:tr>
      <w:tr w:rsidR="00D663C9" w:rsidRPr="009B1505" w14:paraId="2DF840DA"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4059FED9" w14:textId="77777777" w:rsidR="00D663C9" w:rsidRPr="00075331" w:rsidRDefault="00D663C9" w:rsidP="00872E41">
            <w:pPr>
              <w:pStyle w:val="TableText"/>
              <w:ind w:left="157"/>
            </w:pPr>
            <w:r>
              <w:t>12</w:t>
            </w:r>
          </w:p>
        </w:tc>
        <w:tc>
          <w:tcPr>
            <w:tcW w:w="4675" w:type="pct"/>
            <w:tcBorders>
              <w:top w:val="single" w:sz="4" w:space="0" w:color="auto"/>
              <w:left w:val="single" w:sz="4" w:space="0" w:color="auto"/>
              <w:bottom w:val="single" w:sz="4" w:space="0" w:color="auto"/>
              <w:right w:val="single" w:sz="4" w:space="0" w:color="auto"/>
            </w:tcBorders>
            <w:hideMark/>
          </w:tcPr>
          <w:p w14:paraId="579298AE" w14:textId="77777777" w:rsidR="00D663C9" w:rsidRPr="009B1505" w:rsidRDefault="0047232F" w:rsidP="0047232F">
            <w:pPr>
              <w:pStyle w:val="TableText"/>
              <w:ind w:left="157"/>
            </w:pPr>
            <w:r>
              <w:t>Number</w:t>
            </w:r>
            <w:r w:rsidR="00D663C9" w:rsidRPr="00075331">
              <w:t xml:space="preserve"> of positive HIV</w:t>
            </w:r>
            <w:r w:rsidR="00D663C9" w:rsidRPr="00075331">
              <w:rPr>
                <w:spacing w:val="-10"/>
              </w:rPr>
              <w:t xml:space="preserve"> </w:t>
            </w:r>
            <w:r w:rsidR="00D663C9" w:rsidRPr="00075331">
              <w:t>test</w:t>
            </w:r>
            <w:r>
              <w:t>s</w:t>
            </w:r>
            <w:r w:rsidR="00D663C9">
              <w:t xml:space="preserve"> </w:t>
            </w:r>
          </w:p>
        </w:tc>
      </w:tr>
      <w:tr w:rsidR="00D663C9" w:rsidRPr="009B1505" w14:paraId="06475816"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27DCA56B" w14:textId="77777777" w:rsidR="00D663C9" w:rsidRPr="00075331" w:rsidRDefault="00D663C9" w:rsidP="00872E41">
            <w:pPr>
              <w:pStyle w:val="TableText"/>
              <w:ind w:left="157"/>
            </w:pPr>
            <w:r>
              <w:t>13</w:t>
            </w:r>
          </w:p>
        </w:tc>
        <w:tc>
          <w:tcPr>
            <w:tcW w:w="4675" w:type="pct"/>
            <w:tcBorders>
              <w:top w:val="single" w:sz="4" w:space="0" w:color="auto"/>
              <w:left w:val="single" w:sz="4" w:space="0" w:color="auto"/>
              <w:bottom w:val="single" w:sz="4" w:space="0" w:color="auto"/>
              <w:right w:val="single" w:sz="4" w:space="0" w:color="auto"/>
            </w:tcBorders>
            <w:hideMark/>
          </w:tcPr>
          <w:p w14:paraId="56C2B284" w14:textId="77777777" w:rsidR="00D663C9" w:rsidRPr="009B1505" w:rsidRDefault="0047232F" w:rsidP="0047232F">
            <w:pPr>
              <w:pStyle w:val="TableText"/>
              <w:ind w:left="157"/>
            </w:pPr>
            <w:r>
              <w:t>Number</w:t>
            </w:r>
            <w:r w:rsidR="00D663C9" w:rsidRPr="00075331">
              <w:t xml:space="preserve"> of positive HCV</w:t>
            </w:r>
            <w:r w:rsidR="00D663C9" w:rsidRPr="00075331">
              <w:rPr>
                <w:spacing w:val="-10"/>
              </w:rPr>
              <w:t xml:space="preserve"> </w:t>
            </w:r>
            <w:r w:rsidR="00D663C9" w:rsidRPr="00075331">
              <w:t>test</w:t>
            </w:r>
            <w:r>
              <w:t>s</w:t>
            </w:r>
            <w:r w:rsidR="00D663C9">
              <w:t xml:space="preserve"> </w:t>
            </w:r>
          </w:p>
        </w:tc>
      </w:tr>
      <w:tr w:rsidR="00D663C9" w:rsidRPr="009B1505" w14:paraId="41FCAFE5"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7A0AE735" w14:textId="77777777" w:rsidR="00D663C9" w:rsidRPr="00FA77B5" w:rsidRDefault="00D663C9" w:rsidP="00872E41">
            <w:pPr>
              <w:pStyle w:val="TableText"/>
              <w:ind w:left="157"/>
            </w:pPr>
            <w:r>
              <w:t>14</w:t>
            </w:r>
          </w:p>
        </w:tc>
        <w:tc>
          <w:tcPr>
            <w:tcW w:w="4675" w:type="pct"/>
            <w:tcBorders>
              <w:top w:val="single" w:sz="4" w:space="0" w:color="auto"/>
              <w:left w:val="single" w:sz="4" w:space="0" w:color="auto"/>
              <w:bottom w:val="single" w:sz="4" w:space="0" w:color="auto"/>
              <w:right w:val="single" w:sz="4" w:space="0" w:color="auto"/>
            </w:tcBorders>
            <w:hideMark/>
          </w:tcPr>
          <w:p w14:paraId="0F54C455" w14:textId="77777777" w:rsidR="00D663C9" w:rsidRPr="009B1505" w:rsidRDefault="0047232F" w:rsidP="0047232F">
            <w:pPr>
              <w:pStyle w:val="TableText"/>
              <w:ind w:left="157"/>
            </w:pPr>
            <w:r>
              <w:t xml:space="preserve">Number </w:t>
            </w:r>
            <w:r w:rsidR="00D663C9" w:rsidRPr="00FA77B5">
              <w:t>of positive birth outcomes among women who have substance use disorders</w:t>
            </w:r>
            <w:r w:rsidR="00D663C9" w:rsidRPr="00FA77B5">
              <w:rPr>
                <w:spacing w:val="-26"/>
              </w:rPr>
              <w:t xml:space="preserve"> </w:t>
            </w:r>
            <w:r w:rsidR="00D663C9" w:rsidRPr="00FA77B5">
              <w:t>and are</w:t>
            </w:r>
            <w:r w:rsidR="00D663C9" w:rsidRPr="00FA77B5">
              <w:rPr>
                <w:spacing w:val="-7"/>
              </w:rPr>
              <w:t xml:space="preserve"> </w:t>
            </w:r>
            <w:r w:rsidR="00D663C9">
              <w:t xml:space="preserve">pregnant </w:t>
            </w:r>
          </w:p>
        </w:tc>
      </w:tr>
      <w:tr w:rsidR="00D663C9" w:rsidRPr="009B1505" w14:paraId="376CC89B"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15F4B4D1" w14:textId="77777777" w:rsidR="00D663C9" w:rsidRPr="00FA77B5" w:rsidRDefault="00D663C9" w:rsidP="00872E41">
            <w:pPr>
              <w:pStyle w:val="TableText"/>
              <w:ind w:left="157"/>
            </w:pPr>
            <w:r>
              <w:t>15</w:t>
            </w:r>
          </w:p>
        </w:tc>
        <w:tc>
          <w:tcPr>
            <w:tcW w:w="4675" w:type="pct"/>
            <w:tcBorders>
              <w:top w:val="single" w:sz="4" w:space="0" w:color="auto"/>
              <w:left w:val="single" w:sz="4" w:space="0" w:color="auto"/>
              <w:bottom w:val="single" w:sz="4" w:space="0" w:color="auto"/>
              <w:right w:val="single" w:sz="4" w:space="0" w:color="auto"/>
            </w:tcBorders>
            <w:hideMark/>
          </w:tcPr>
          <w:p w14:paraId="67C97A7C" w14:textId="77777777" w:rsidR="00D663C9" w:rsidRPr="009B1505" w:rsidRDefault="00D663C9" w:rsidP="00872E41">
            <w:pPr>
              <w:pStyle w:val="TableText"/>
              <w:ind w:left="157"/>
            </w:pPr>
            <w:r w:rsidRPr="00FA77B5">
              <w:t>Number</w:t>
            </w:r>
            <w:r w:rsidR="0047232F">
              <w:t xml:space="preserve"> </w:t>
            </w:r>
            <w:r w:rsidRPr="00FA77B5">
              <w:t>of positive birth outcomes among women who have an opioid use</w:t>
            </w:r>
            <w:r w:rsidRPr="00FA77B5">
              <w:rPr>
                <w:spacing w:val="-27"/>
              </w:rPr>
              <w:t xml:space="preserve"> </w:t>
            </w:r>
            <w:r w:rsidRPr="00FA77B5">
              <w:t>disorder and are</w:t>
            </w:r>
            <w:r w:rsidRPr="00FA77B5">
              <w:rPr>
                <w:spacing w:val="-7"/>
              </w:rPr>
              <w:t xml:space="preserve"> </w:t>
            </w:r>
            <w:r>
              <w:t xml:space="preserve">pregnant </w:t>
            </w:r>
          </w:p>
        </w:tc>
      </w:tr>
      <w:tr w:rsidR="00D663C9" w:rsidRPr="009B1505" w14:paraId="54CB9CEB"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6358A8D0"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5B5130D7" w14:textId="77777777" w:rsidR="00D663C9" w:rsidRPr="00380306" w:rsidRDefault="00D663C9" w:rsidP="00872E41">
            <w:pPr>
              <w:pStyle w:val="TableText"/>
              <w:rPr>
                <w:b/>
              </w:rPr>
            </w:pPr>
            <w:r w:rsidRPr="00F543B5">
              <w:rPr>
                <w:b/>
              </w:rPr>
              <w:t xml:space="preserve">Access to Medical Treatment </w:t>
            </w:r>
          </w:p>
        </w:tc>
      </w:tr>
      <w:tr w:rsidR="00D663C9" w:rsidRPr="009B1505" w14:paraId="11729E53"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224FC408" w14:textId="77777777" w:rsidR="00D663C9" w:rsidRPr="00FA77B5" w:rsidRDefault="00D663C9" w:rsidP="00872E41">
            <w:pPr>
              <w:pStyle w:val="TableText"/>
              <w:ind w:left="157"/>
            </w:pPr>
            <w:r>
              <w:t>16</w:t>
            </w:r>
          </w:p>
        </w:tc>
        <w:tc>
          <w:tcPr>
            <w:tcW w:w="4675" w:type="pct"/>
            <w:tcBorders>
              <w:top w:val="single" w:sz="4" w:space="0" w:color="auto"/>
              <w:left w:val="single" w:sz="4" w:space="0" w:color="auto"/>
              <w:bottom w:val="single" w:sz="4" w:space="0" w:color="auto"/>
              <w:right w:val="single" w:sz="4" w:space="0" w:color="auto"/>
            </w:tcBorders>
            <w:hideMark/>
          </w:tcPr>
          <w:p w14:paraId="69202685" w14:textId="77777777" w:rsidR="00D663C9" w:rsidRPr="009B1505" w:rsidRDefault="00D663C9" w:rsidP="00872E41">
            <w:pPr>
              <w:pStyle w:val="TableText"/>
              <w:ind w:left="157"/>
            </w:pPr>
            <w:r w:rsidRPr="00FA77B5">
              <w:t xml:space="preserve">Access to primary care medical treatment (on </w:t>
            </w:r>
            <w:r>
              <w:t>c</w:t>
            </w:r>
            <w:r w:rsidRPr="00FA77B5">
              <w:t>lient roster with a primary care physician, at least one visit in the past</w:t>
            </w:r>
            <w:r w:rsidRPr="00FA77B5">
              <w:rPr>
                <w:spacing w:val="-16"/>
              </w:rPr>
              <w:t xml:space="preserve"> </w:t>
            </w:r>
            <w:r>
              <w:t xml:space="preserve">year) </w:t>
            </w:r>
          </w:p>
        </w:tc>
      </w:tr>
      <w:tr w:rsidR="00D663C9" w:rsidRPr="009B1505" w14:paraId="3D2F90A2"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7530A01B"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657B105C" w14:textId="77777777" w:rsidR="00D663C9" w:rsidRPr="00380306" w:rsidRDefault="00D663C9" w:rsidP="00872E41">
            <w:pPr>
              <w:pStyle w:val="TableText"/>
              <w:rPr>
                <w:b/>
              </w:rPr>
            </w:pPr>
            <w:r w:rsidRPr="00F543B5">
              <w:rPr>
                <w:b/>
              </w:rPr>
              <w:t>Factors Facilitating Treatment</w:t>
            </w:r>
          </w:p>
        </w:tc>
      </w:tr>
      <w:tr w:rsidR="00D663C9" w:rsidRPr="009B1505" w14:paraId="4B3AA365"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64CC7050" w14:textId="77777777" w:rsidR="00D663C9" w:rsidRPr="00FA77B5" w:rsidRDefault="00D663C9" w:rsidP="00872E41">
            <w:pPr>
              <w:pStyle w:val="TableText"/>
              <w:ind w:left="157"/>
            </w:pPr>
            <w:r>
              <w:t>17</w:t>
            </w:r>
          </w:p>
        </w:tc>
        <w:tc>
          <w:tcPr>
            <w:tcW w:w="4675" w:type="pct"/>
            <w:tcBorders>
              <w:top w:val="single" w:sz="4" w:space="0" w:color="auto"/>
              <w:left w:val="single" w:sz="4" w:space="0" w:color="auto"/>
              <w:bottom w:val="single" w:sz="4" w:space="0" w:color="auto"/>
              <w:right w:val="single" w:sz="4" w:space="0" w:color="auto"/>
            </w:tcBorders>
            <w:hideMark/>
          </w:tcPr>
          <w:p w14:paraId="11FDA89F" w14:textId="77777777" w:rsidR="00D663C9" w:rsidRPr="009B1505" w:rsidRDefault="00D663C9" w:rsidP="00872E41">
            <w:pPr>
              <w:pStyle w:val="TableText"/>
              <w:ind w:left="157"/>
            </w:pPr>
            <w:r w:rsidRPr="00FA77B5">
              <w:t>Access to reliable transportation (</w:t>
            </w:r>
            <w:r>
              <w:t xml:space="preserve">e.g., </w:t>
            </w:r>
            <w:r w:rsidRPr="00FA77B5">
              <w:t>car ownership/leasing, monthly public</w:t>
            </w:r>
            <w:r w:rsidRPr="00FA77B5">
              <w:rPr>
                <w:spacing w:val="-31"/>
              </w:rPr>
              <w:t xml:space="preserve"> </w:t>
            </w:r>
            <w:r>
              <w:t>transportation pass)</w:t>
            </w:r>
          </w:p>
        </w:tc>
      </w:tr>
      <w:tr w:rsidR="00D663C9" w:rsidRPr="009B1505" w14:paraId="70B0F655" w14:textId="77777777" w:rsidTr="00655851">
        <w:trPr>
          <w:cantSplit/>
        </w:trPr>
        <w:tc>
          <w:tcPr>
            <w:tcW w:w="325" w:type="pct"/>
            <w:tcBorders>
              <w:top w:val="single" w:sz="4" w:space="0" w:color="auto"/>
              <w:left w:val="single" w:sz="4" w:space="0" w:color="auto"/>
              <w:bottom w:val="single" w:sz="4" w:space="0" w:color="auto"/>
              <w:right w:val="single" w:sz="4" w:space="0" w:color="auto"/>
            </w:tcBorders>
            <w:shd w:val="pct10" w:color="auto" w:fill="auto"/>
          </w:tcPr>
          <w:p w14:paraId="239B260C" w14:textId="77777777" w:rsidR="00D663C9" w:rsidRPr="00F543B5" w:rsidRDefault="00D663C9" w:rsidP="00872E41">
            <w:pPr>
              <w:pStyle w:val="TableText"/>
              <w:rPr>
                <w:b/>
              </w:rPr>
            </w:pPr>
          </w:p>
        </w:tc>
        <w:tc>
          <w:tcPr>
            <w:tcW w:w="4675" w:type="pct"/>
            <w:tcBorders>
              <w:top w:val="single" w:sz="4" w:space="0" w:color="auto"/>
              <w:left w:val="single" w:sz="4" w:space="0" w:color="auto"/>
              <w:bottom w:val="single" w:sz="4" w:space="0" w:color="auto"/>
              <w:right w:val="single" w:sz="4" w:space="0" w:color="auto"/>
            </w:tcBorders>
            <w:shd w:val="pct10" w:color="auto" w:fill="auto"/>
          </w:tcPr>
          <w:p w14:paraId="120F515C" w14:textId="77777777" w:rsidR="00D663C9" w:rsidRPr="00F543B5" w:rsidRDefault="00D663C9" w:rsidP="00872E41">
            <w:pPr>
              <w:pStyle w:val="TableText"/>
              <w:rPr>
                <w:b/>
              </w:rPr>
            </w:pPr>
            <w:r w:rsidRPr="00F543B5">
              <w:rPr>
                <w:b/>
              </w:rPr>
              <w:t xml:space="preserve">Treatment Course </w:t>
            </w:r>
          </w:p>
        </w:tc>
      </w:tr>
      <w:tr w:rsidR="00D663C9" w:rsidRPr="009B1505" w14:paraId="746B7EC0" w14:textId="77777777" w:rsidTr="00655851">
        <w:trPr>
          <w:cantSplit/>
        </w:trPr>
        <w:tc>
          <w:tcPr>
            <w:tcW w:w="325" w:type="pct"/>
            <w:tcBorders>
              <w:top w:val="single" w:sz="4" w:space="0" w:color="auto"/>
              <w:left w:val="single" w:sz="4" w:space="0" w:color="auto"/>
              <w:bottom w:val="single" w:sz="4" w:space="0" w:color="auto"/>
              <w:right w:val="single" w:sz="4" w:space="0" w:color="auto"/>
            </w:tcBorders>
          </w:tcPr>
          <w:p w14:paraId="4FE718C2" w14:textId="77777777" w:rsidR="00D663C9" w:rsidRPr="00FA77B5" w:rsidRDefault="00D663C9" w:rsidP="00872E41">
            <w:pPr>
              <w:pStyle w:val="TableText"/>
              <w:ind w:left="157"/>
            </w:pPr>
            <w:r>
              <w:t>18</w:t>
            </w:r>
          </w:p>
        </w:tc>
        <w:tc>
          <w:tcPr>
            <w:tcW w:w="4675" w:type="pct"/>
            <w:tcBorders>
              <w:top w:val="single" w:sz="4" w:space="0" w:color="auto"/>
              <w:left w:val="single" w:sz="4" w:space="0" w:color="auto"/>
              <w:bottom w:val="single" w:sz="4" w:space="0" w:color="auto"/>
              <w:right w:val="single" w:sz="4" w:space="0" w:color="auto"/>
            </w:tcBorders>
            <w:hideMark/>
          </w:tcPr>
          <w:p w14:paraId="6FADAA4F" w14:textId="77777777" w:rsidR="00D663C9" w:rsidRPr="009B1505" w:rsidRDefault="00D663C9" w:rsidP="00872E41">
            <w:pPr>
              <w:pStyle w:val="TableText"/>
              <w:ind w:left="157"/>
            </w:pPr>
            <w:r w:rsidRPr="00FA77B5">
              <w:t>Number/rate o</w:t>
            </w:r>
            <w:r>
              <w:t>f subsequent treatment episodes</w:t>
            </w:r>
          </w:p>
        </w:tc>
      </w:tr>
    </w:tbl>
    <w:p w14:paraId="5AEA74E0" w14:textId="77777777" w:rsidR="00872E41" w:rsidRPr="009B1505" w:rsidRDefault="00872E41" w:rsidP="00872E41">
      <w:pPr>
        <w:pStyle w:val="tabfigsource"/>
      </w:pPr>
      <w:r>
        <w:t>DALY = disability-adjusted life-year; HCV = hepatitis C virus; MAT = medication-assisted treatment; QALY = quality-adjusted life</w:t>
      </w:r>
      <w:r w:rsidR="00BE21C4">
        <w:t xml:space="preserve"> </w:t>
      </w:r>
      <w:r>
        <w:t>year.</w:t>
      </w:r>
    </w:p>
    <w:p w14:paraId="63A70CFF" w14:textId="77777777" w:rsidR="006B442E" w:rsidRDefault="00290682" w:rsidP="00290682">
      <w:pPr>
        <w:pStyle w:val="BodyText1"/>
      </w:pPr>
      <w:r>
        <w:t xml:space="preserve">The following section </w:t>
      </w:r>
      <w:r w:rsidR="00F04923">
        <w:t>details the purpose of the information collected, how</w:t>
      </w:r>
      <w:r w:rsidR="00E949A7">
        <w:t xml:space="preserve"> it is collected</w:t>
      </w:r>
      <w:r w:rsidR="00F04923">
        <w:t>, by whom and how frequently</w:t>
      </w:r>
      <w:r w:rsidR="002D4843">
        <w:t>.</w:t>
      </w:r>
    </w:p>
    <w:p w14:paraId="1AAA82F5" w14:textId="47FA0599" w:rsidR="00290682" w:rsidRPr="00474EB9" w:rsidRDefault="00E22C79" w:rsidP="006A0BF2">
      <w:pPr>
        <w:pStyle w:val="BodyText1"/>
        <w:ind w:firstLine="0"/>
        <w:rPr>
          <w:b/>
        </w:rPr>
      </w:pPr>
      <w:r>
        <w:rPr>
          <w:b/>
        </w:rPr>
        <w:t>Patient</w:t>
      </w:r>
      <w:r w:rsidRPr="00474EB9">
        <w:rPr>
          <w:b/>
        </w:rPr>
        <w:t xml:space="preserve"> </w:t>
      </w:r>
      <w:r w:rsidR="00290682" w:rsidRPr="00474EB9">
        <w:rPr>
          <w:b/>
        </w:rPr>
        <w:t>Screener Form</w:t>
      </w:r>
      <w:r w:rsidR="00BC2D6C" w:rsidRPr="00474EB9">
        <w:rPr>
          <w:b/>
        </w:rPr>
        <w:t xml:space="preserve"> </w:t>
      </w:r>
    </w:p>
    <w:p w14:paraId="1A6EAF32" w14:textId="5DB58C95" w:rsidR="00290682" w:rsidRDefault="00290682" w:rsidP="00A25D54">
      <w:pPr>
        <w:pStyle w:val="BodyText1"/>
      </w:pPr>
      <w:r>
        <w:t xml:space="preserve">The </w:t>
      </w:r>
      <w:r w:rsidR="00E22C79">
        <w:t xml:space="preserve">Patient </w:t>
      </w:r>
      <w:r>
        <w:t>Screener Form c</w:t>
      </w:r>
      <w:r w:rsidRPr="00290682">
        <w:t>ollects recent OUD</w:t>
      </w:r>
      <w:r>
        <w:t xml:space="preserve"> treatment initiation and</w:t>
      </w:r>
      <w:r w:rsidRPr="00290682">
        <w:t xml:space="preserve"> </w:t>
      </w:r>
      <w:r w:rsidR="00BE21C4">
        <w:t xml:space="preserve">client </w:t>
      </w:r>
      <w:r w:rsidRPr="00290682">
        <w:t>demographic information. This information</w:t>
      </w:r>
      <w:r>
        <w:t xml:space="preserve"> is necessary </w:t>
      </w:r>
      <w:r w:rsidRPr="00290682">
        <w:t xml:space="preserve">to determine which treatment type </w:t>
      </w:r>
      <w:r w:rsidR="00655851" w:rsidRPr="00290682">
        <w:t>(MMT</w:t>
      </w:r>
      <w:r w:rsidRPr="00290682">
        <w:t xml:space="preserve">, BUP, </w:t>
      </w:r>
      <w:r w:rsidR="00655851" w:rsidRPr="00290682">
        <w:t>NTX, or</w:t>
      </w:r>
      <w:r w:rsidRPr="00290682">
        <w:t xml:space="preserve"> COUN) a client is initiating</w:t>
      </w:r>
      <w:r>
        <w:t>. Demographic information on race, ethnicity</w:t>
      </w:r>
      <w:r w:rsidR="00BC2D6C">
        <w:t xml:space="preserve"> and gender identity </w:t>
      </w:r>
      <w:r>
        <w:t xml:space="preserve">will </w:t>
      </w:r>
      <w:r w:rsidR="004F59BF">
        <w:t xml:space="preserve">be </w:t>
      </w:r>
      <w:r w:rsidR="00BC2D6C">
        <w:t>used to track recruitment diversity</w:t>
      </w:r>
      <w:r w:rsidR="00BE21C4">
        <w:t>.</w:t>
      </w:r>
      <w:r w:rsidR="002C5D98">
        <w:t xml:space="preserve"> </w:t>
      </w:r>
    </w:p>
    <w:p w14:paraId="2343E1DD" w14:textId="400F9AF2" w:rsidR="00474EB9" w:rsidRDefault="00474EB9" w:rsidP="006A0BF2">
      <w:pPr>
        <w:pStyle w:val="BodyText1"/>
      </w:pPr>
      <w:r>
        <w:t xml:space="preserve">The </w:t>
      </w:r>
      <w:r w:rsidR="00E22C79">
        <w:t xml:space="preserve">Patient </w:t>
      </w:r>
      <w:r>
        <w:t xml:space="preserve">Screener Form will be completed once by all </w:t>
      </w:r>
      <w:r w:rsidR="00CC4E13">
        <w:t>patients</w:t>
      </w:r>
      <w:r>
        <w:t xml:space="preserve"> recruited for the study with the assistance of an RTI </w:t>
      </w:r>
      <w:r w:rsidR="004A16AA">
        <w:t xml:space="preserve">International </w:t>
      </w:r>
      <w:r w:rsidR="00D90EC6">
        <w:t>(RTI)</w:t>
      </w:r>
      <w:r w:rsidR="004A16AA">
        <w:t xml:space="preserve"> </w:t>
      </w:r>
      <w:r>
        <w:t xml:space="preserve">Field Interviewer (FI) </w:t>
      </w:r>
      <w:r w:rsidR="004373E7">
        <w:t>through a</w:t>
      </w:r>
      <w:r>
        <w:t xml:space="preserve"> web-based data collection tool.</w:t>
      </w:r>
    </w:p>
    <w:p w14:paraId="7E3CA6CF" w14:textId="31B815AC" w:rsidR="00474EB9" w:rsidRPr="006A0BF2" w:rsidRDefault="00E22C79" w:rsidP="00474EB9">
      <w:pPr>
        <w:pStyle w:val="BodyText1"/>
        <w:ind w:firstLine="0"/>
        <w:rPr>
          <w:b/>
        </w:rPr>
      </w:pPr>
      <w:r>
        <w:rPr>
          <w:b/>
        </w:rPr>
        <w:t>Patient</w:t>
      </w:r>
      <w:r w:rsidRPr="006A0BF2">
        <w:rPr>
          <w:b/>
        </w:rPr>
        <w:t xml:space="preserve"> </w:t>
      </w:r>
      <w:r w:rsidR="00474EB9" w:rsidRPr="006A0BF2">
        <w:rPr>
          <w:b/>
        </w:rPr>
        <w:t>Check-In</w:t>
      </w:r>
      <w:r w:rsidR="00AA4CF2">
        <w:rPr>
          <w:b/>
        </w:rPr>
        <w:t xml:space="preserve"> </w:t>
      </w:r>
    </w:p>
    <w:p w14:paraId="77D856FF" w14:textId="38ADB68A" w:rsidR="002D4843" w:rsidRDefault="00474EB9" w:rsidP="006A0BF2">
      <w:pPr>
        <w:pStyle w:val="BodyText1"/>
      </w:pPr>
      <w:r>
        <w:t xml:space="preserve">The </w:t>
      </w:r>
      <w:r w:rsidR="00E22C79">
        <w:t xml:space="preserve">Patient </w:t>
      </w:r>
      <w:r>
        <w:t xml:space="preserve">Check-In </w:t>
      </w:r>
      <w:r w:rsidR="004F59BF">
        <w:t>Q</w:t>
      </w:r>
      <w:r w:rsidR="006336E7">
        <w:t>uestionnaire</w:t>
      </w:r>
      <w:r>
        <w:t xml:space="preserve"> </w:t>
      </w:r>
      <w:r w:rsidR="00F54A46">
        <w:t xml:space="preserve">(Att.5) </w:t>
      </w:r>
      <w:r>
        <w:t>collects</w:t>
      </w:r>
      <w:r w:rsidRPr="00474EB9">
        <w:t xml:space="preserve"> client outcome measures including current OUD treatment status, substance use, physical health, and criminal behavior</w:t>
      </w:r>
      <w:r w:rsidR="004373E7">
        <w:t>.</w:t>
      </w:r>
      <w:r w:rsidR="00073068">
        <w:t xml:space="preserve"> </w:t>
      </w:r>
      <w:r w:rsidR="004373E7">
        <w:t>T</w:t>
      </w:r>
      <w:r w:rsidR="00073068">
        <w:t>he</w:t>
      </w:r>
      <w:r w:rsidR="00655851">
        <w:t>se</w:t>
      </w:r>
      <w:r w:rsidR="00073068">
        <w:t xml:space="preserve"> questions are a subset of those used in the </w:t>
      </w:r>
      <w:r w:rsidR="00E22C79">
        <w:t xml:space="preserve">Patient </w:t>
      </w:r>
      <w:r w:rsidR="00073068">
        <w:t>Questionnaire</w:t>
      </w:r>
      <w:r w:rsidR="004373E7">
        <w:t xml:space="preserve"> (described below)</w:t>
      </w:r>
      <w:r w:rsidRPr="00474EB9">
        <w:t xml:space="preserve">.  </w:t>
      </w:r>
      <w:r>
        <w:t>This information is necessary</w:t>
      </w:r>
      <w:r w:rsidR="00073068">
        <w:t xml:space="preserve"> as it allows for essential client outcome measures to be collected while </w:t>
      </w:r>
      <w:r w:rsidR="00CC4E13">
        <w:t>patients</w:t>
      </w:r>
      <w:r w:rsidR="00655851">
        <w:t xml:space="preserve"> are expected to be </w:t>
      </w:r>
      <w:r w:rsidR="00073068">
        <w:t>actively engaged in treatment</w:t>
      </w:r>
      <w:r w:rsidR="00655851">
        <w:t xml:space="preserve">. The </w:t>
      </w:r>
      <w:r w:rsidR="00E22C79">
        <w:t xml:space="preserve">Patient </w:t>
      </w:r>
      <w:r w:rsidR="00655851">
        <w:t xml:space="preserve">Check-In </w:t>
      </w:r>
      <w:r w:rsidR="004F59BF">
        <w:t>Q</w:t>
      </w:r>
      <w:r w:rsidR="006336E7">
        <w:t>uestionnaire</w:t>
      </w:r>
      <w:r w:rsidR="00655851">
        <w:t xml:space="preserve"> will also</w:t>
      </w:r>
      <w:r w:rsidR="00073068">
        <w:t xml:space="preserve"> provide critical data points in this study</w:t>
      </w:r>
      <w:r w:rsidR="00F223F4">
        <w:t xml:space="preserve">, which follows </w:t>
      </w:r>
      <w:r w:rsidR="00CC4E13">
        <w:t>patients</w:t>
      </w:r>
      <w:r w:rsidR="00F223F4">
        <w:t xml:space="preserve"> over 2 years, </w:t>
      </w:r>
      <w:r w:rsidR="004A69C9">
        <w:t xml:space="preserve">when combined with the </w:t>
      </w:r>
      <w:r w:rsidR="00E22C79">
        <w:t xml:space="preserve">Patient </w:t>
      </w:r>
      <w:r w:rsidR="004A69C9">
        <w:t>Questionnaire</w:t>
      </w:r>
      <w:r w:rsidR="00655851">
        <w:t xml:space="preserve"> data</w:t>
      </w:r>
      <w:r w:rsidR="00073068">
        <w:t xml:space="preserve">. </w:t>
      </w:r>
    </w:p>
    <w:p w14:paraId="418E61F5" w14:textId="59D6354F" w:rsidR="00073068" w:rsidRDefault="004A69C9" w:rsidP="006A0BF2">
      <w:pPr>
        <w:pStyle w:val="BodyText1"/>
      </w:pPr>
      <w:r>
        <w:t xml:space="preserve">The </w:t>
      </w:r>
      <w:r w:rsidR="00E22C79">
        <w:t xml:space="preserve">Patient </w:t>
      </w:r>
      <w:r>
        <w:t xml:space="preserve">Check-In is completed twice by all </w:t>
      </w:r>
      <w:r w:rsidR="00CC4E13">
        <w:t>patients</w:t>
      </w:r>
      <w:r>
        <w:t xml:space="preserve"> enrolled in the MAT Study</w:t>
      </w:r>
      <w:r w:rsidR="00655851">
        <w:t xml:space="preserve"> at 3 and 6-</w:t>
      </w:r>
      <w:r w:rsidR="002D4843">
        <w:t>months post enrollment</w:t>
      </w:r>
      <w:r w:rsidR="004373E7">
        <w:t>. T</w:t>
      </w:r>
      <w:r>
        <w:t xml:space="preserve">he </w:t>
      </w:r>
      <w:r w:rsidR="006336E7">
        <w:t>questionnaire</w:t>
      </w:r>
      <w:r>
        <w:t xml:space="preserve"> can be completed independently by </w:t>
      </w:r>
      <w:r w:rsidR="00CC4E13">
        <w:t>patients</w:t>
      </w:r>
      <w:r>
        <w:t xml:space="preserve"> through a web-based tool or with the assistance of an RTI FI. </w:t>
      </w:r>
    </w:p>
    <w:p w14:paraId="0E50CE72" w14:textId="77777777" w:rsidR="00E24230" w:rsidRDefault="00E24230" w:rsidP="00E24230">
      <w:pPr>
        <w:pStyle w:val="bullets"/>
        <w:numPr>
          <w:ilvl w:val="0"/>
          <w:numId w:val="0"/>
        </w:numPr>
        <w:ind w:left="720"/>
        <w:rPr>
          <w:rFonts w:eastAsia="Batang"/>
          <w:b/>
        </w:rPr>
      </w:pPr>
    </w:p>
    <w:p w14:paraId="4D0CA81B" w14:textId="09C7F98F" w:rsidR="006B442E" w:rsidRPr="006A0BF2" w:rsidRDefault="00E22C79" w:rsidP="00E24230">
      <w:pPr>
        <w:pStyle w:val="bullets"/>
        <w:numPr>
          <w:ilvl w:val="0"/>
          <w:numId w:val="0"/>
        </w:numPr>
        <w:rPr>
          <w:rFonts w:eastAsia="Batang"/>
          <w:b/>
        </w:rPr>
      </w:pPr>
      <w:r>
        <w:rPr>
          <w:rFonts w:eastAsia="Batang"/>
          <w:b/>
        </w:rPr>
        <w:t>Patient</w:t>
      </w:r>
      <w:r w:rsidRPr="00E24230">
        <w:rPr>
          <w:rFonts w:eastAsia="Batang"/>
          <w:b/>
        </w:rPr>
        <w:t xml:space="preserve"> </w:t>
      </w:r>
      <w:r w:rsidR="006B442E" w:rsidRPr="00E24230">
        <w:rPr>
          <w:rFonts w:eastAsia="Batang"/>
          <w:b/>
        </w:rPr>
        <w:t>Questionnaire: Baseline</w:t>
      </w:r>
      <w:r w:rsidR="003C7F5F">
        <w:rPr>
          <w:rFonts w:eastAsia="Batang"/>
          <w:b/>
        </w:rPr>
        <w:t>,</w:t>
      </w:r>
      <w:r w:rsidR="006B442E" w:rsidRPr="00E24230">
        <w:rPr>
          <w:rFonts w:eastAsia="Batang"/>
          <w:b/>
        </w:rPr>
        <w:t xml:space="preserve"> 12-Month and 24-Month Follow-Ups</w:t>
      </w:r>
      <w:r w:rsidR="006B442E" w:rsidRPr="009B1505">
        <w:rPr>
          <w:rFonts w:eastAsia="Batang"/>
        </w:rPr>
        <w:t xml:space="preserve"> </w:t>
      </w:r>
    </w:p>
    <w:p w14:paraId="7999F297" w14:textId="412AE0B9" w:rsidR="000B0B6F" w:rsidRDefault="00E24230" w:rsidP="00752B18">
      <w:pPr>
        <w:pStyle w:val="BodyText1"/>
      </w:pPr>
      <w:r>
        <w:rPr>
          <w:rFonts w:eastAsia="Batang"/>
        </w:rPr>
        <w:br/>
      </w:r>
      <w:r w:rsidR="00D2669B">
        <w:t xml:space="preserve">               </w:t>
      </w:r>
      <w:r w:rsidRPr="009B1505">
        <w:t xml:space="preserve">The </w:t>
      </w:r>
      <w:r w:rsidR="00E22C79">
        <w:t>Patient</w:t>
      </w:r>
      <w:r w:rsidR="00E22C79" w:rsidRPr="009B1505">
        <w:t xml:space="preserve"> </w:t>
      </w:r>
      <w:r>
        <w:t>Q</w:t>
      </w:r>
      <w:r w:rsidRPr="009B1505">
        <w:t xml:space="preserve">uestionnaire </w:t>
      </w:r>
      <w:r w:rsidR="00781F9C">
        <w:t>will capture detailed information on client characteristics and outcomes</w:t>
      </w:r>
      <w:r w:rsidR="00B858AD">
        <w:t xml:space="preserve"> which allow the study </w:t>
      </w:r>
      <w:r w:rsidR="004373E7">
        <w:t xml:space="preserve">to </w:t>
      </w:r>
      <w:r w:rsidR="00B858AD">
        <w:t>comprehensively measure a wide range of client outcomes over a two-year period</w:t>
      </w:r>
      <w:r w:rsidR="00781F9C">
        <w:t xml:space="preserve">. </w:t>
      </w:r>
      <w:r w:rsidR="00DD57D6">
        <w:t>Q</w:t>
      </w:r>
      <w:r>
        <w:t xml:space="preserve">uestions are </w:t>
      </w:r>
      <w:r w:rsidR="00F87EBC">
        <w:t xml:space="preserve">drawn </w:t>
      </w:r>
      <w:r>
        <w:t xml:space="preserve">from established tools used regularly with individuals seeking and obtaining substance </w:t>
      </w:r>
      <w:r w:rsidR="00771990">
        <w:t xml:space="preserve">use </w:t>
      </w:r>
      <w:r>
        <w:t>treatment</w:t>
      </w:r>
      <w:r w:rsidR="004373E7">
        <w:t>. T</w:t>
      </w:r>
      <w:r w:rsidR="00DD57D6">
        <w:t xml:space="preserve">he majority of the scales and sub-scales included in the questionnaire have demonstrated reliability and validity in prior studies as indicated in </w:t>
      </w:r>
      <w:r w:rsidR="00DD57D6" w:rsidRPr="001B6567">
        <w:rPr>
          <w:b/>
          <w:i/>
        </w:rPr>
        <w:t xml:space="preserve">Exhibit </w:t>
      </w:r>
      <w:r w:rsidR="00752B18" w:rsidRPr="001B6567">
        <w:rPr>
          <w:b/>
          <w:i/>
        </w:rPr>
        <w:t>3</w:t>
      </w:r>
      <w:r w:rsidR="00CC4AFA">
        <w:t xml:space="preserve">. </w:t>
      </w:r>
      <w:r w:rsidR="00E22C79">
        <w:t xml:space="preserve">Patient </w:t>
      </w:r>
      <w:r w:rsidR="00B858AD">
        <w:t>demographics will only be collected at baseline while the remaining measures will be collected at baseline, 12</w:t>
      </w:r>
      <w:r w:rsidR="00752B18">
        <w:t>,</w:t>
      </w:r>
      <w:r w:rsidR="00B858AD">
        <w:t xml:space="preserve"> and 24</w:t>
      </w:r>
      <w:r w:rsidR="004373E7">
        <w:t xml:space="preserve"> </w:t>
      </w:r>
      <w:r w:rsidR="00B858AD">
        <w:t>months. This repeated collection over time is critical to the data collection’s design and will allow the study to more completely answer the evaluations questions. The topic areas</w:t>
      </w:r>
      <w:r w:rsidR="0029788C">
        <w:t xml:space="preserve"> and their associated measures</w:t>
      </w:r>
      <w:r w:rsidR="00B858AD">
        <w:t xml:space="preserve"> listed in </w:t>
      </w:r>
      <w:r w:rsidR="00B858AD" w:rsidRPr="00F20F67">
        <w:t xml:space="preserve">Exhibit </w:t>
      </w:r>
      <w:r w:rsidR="00752B18" w:rsidRPr="00F20F67">
        <w:t>3</w:t>
      </w:r>
      <w:r w:rsidR="00B858AD">
        <w:t xml:space="preserve"> will be used in two ways: 1) as outcome measures to help understand the positive and negative impacts of treatment or the lack of treatment and 2) as control variables to understand </w:t>
      </w:r>
      <w:r w:rsidR="0029788C">
        <w:t>how client characteristic</w:t>
      </w:r>
      <w:r w:rsidR="00752B18">
        <w:t>s</w:t>
      </w:r>
      <w:r w:rsidR="0029788C">
        <w:t xml:space="preserve"> influence client outcomes. The outcome mea</w:t>
      </w:r>
      <w:r w:rsidR="000B0B6F">
        <w:t xml:space="preserve">sures listed in </w:t>
      </w:r>
      <w:r w:rsidR="000B0B6F" w:rsidRPr="00D51363">
        <w:t xml:space="preserve">Exhibit </w:t>
      </w:r>
      <w:r w:rsidR="00BE21C4" w:rsidRPr="00D51363">
        <w:t>2</w:t>
      </w:r>
      <w:r w:rsidR="00BE21C4">
        <w:t xml:space="preserve"> </w:t>
      </w:r>
      <w:r w:rsidR="000B0B6F">
        <w:t xml:space="preserve">are necessary to document both the immediate outcomes </w:t>
      </w:r>
      <w:r w:rsidR="00752B18">
        <w:t xml:space="preserve">such </w:t>
      </w:r>
      <w:r w:rsidR="000B0B6F">
        <w:t xml:space="preserve">as reduced substance use well as longer term outcomes such </w:t>
      </w:r>
      <w:r w:rsidR="004F59BF">
        <w:t xml:space="preserve">as </w:t>
      </w:r>
      <w:r w:rsidR="000B0B6F">
        <w:t xml:space="preserve">employment and quality of life. Collecting the control variables listed in </w:t>
      </w:r>
      <w:r w:rsidR="000B0B6F" w:rsidRPr="00F20F67">
        <w:t xml:space="preserve">Exhibit </w:t>
      </w:r>
      <w:r w:rsidR="00752B18" w:rsidRPr="00F20F67">
        <w:t>3</w:t>
      </w:r>
      <w:r w:rsidR="000B0B6F">
        <w:t xml:space="preserve"> is necessary to better understand how client characteristics such as childhood trauma, mental health disorders</w:t>
      </w:r>
      <w:r w:rsidR="00752B18">
        <w:t>,</w:t>
      </w:r>
      <w:r w:rsidR="000B0B6F">
        <w:t xml:space="preserve"> and physical health mediate or moderate a client’s treatment outcomes.   </w:t>
      </w:r>
      <w:r w:rsidRPr="009B1505">
        <w:t xml:space="preserve"> </w:t>
      </w:r>
    </w:p>
    <w:p w14:paraId="186DC418" w14:textId="7D2CF68E" w:rsidR="00394E9C" w:rsidRPr="00394E9C" w:rsidRDefault="000B0B6F" w:rsidP="00394E9C">
      <w:pPr>
        <w:pStyle w:val="BodyText1"/>
      </w:pPr>
      <w:r>
        <w:t xml:space="preserve">The </w:t>
      </w:r>
      <w:r w:rsidR="00D51363">
        <w:t>B</w:t>
      </w:r>
      <w:r w:rsidR="004373E7">
        <w:t xml:space="preserve">aseline </w:t>
      </w:r>
      <w:r w:rsidR="00E22C79">
        <w:t xml:space="preserve">Patient </w:t>
      </w:r>
      <w:r>
        <w:t xml:space="preserve">Questionnaire will be collected </w:t>
      </w:r>
      <w:r w:rsidR="00AE4A06">
        <w:t>within a month of enrollment in the study</w:t>
      </w:r>
      <w:r w:rsidR="004373E7">
        <w:t xml:space="preserve">. </w:t>
      </w:r>
      <w:r w:rsidR="00CC4E13">
        <w:t>Patients</w:t>
      </w:r>
      <w:r w:rsidR="004373E7">
        <w:t xml:space="preserve"> will complete questions through a web-based tool</w:t>
      </w:r>
      <w:r w:rsidR="00AE4A06">
        <w:t xml:space="preserve"> and collection will be supported by an RTI FI who will help the client complete the questionnaire as needed. </w:t>
      </w:r>
      <w:r w:rsidR="000017F3">
        <w:t xml:space="preserve">Prior to completion of the </w:t>
      </w:r>
      <w:r w:rsidR="00D2669B">
        <w:t xml:space="preserve">Baseline </w:t>
      </w:r>
      <w:r w:rsidR="00D2669B" w:rsidRPr="00290682">
        <w:t>(</w:t>
      </w:r>
      <w:r w:rsidR="001347BC">
        <w:t>Att. 6)</w:t>
      </w:r>
      <w:r w:rsidR="000017F3">
        <w:t xml:space="preserve"> the interviewer requests that a patient enter his/</w:t>
      </w:r>
      <w:r w:rsidR="006763B9">
        <w:t xml:space="preserve">her </w:t>
      </w:r>
      <w:r w:rsidR="006763B9" w:rsidRPr="00290682">
        <w:t>Social</w:t>
      </w:r>
      <w:r w:rsidR="00A25D54" w:rsidRPr="00290682">
        <w:t xml:space="preserve"> Security Number (SSN)</w:t>
      </w:r>
      <w:r w:rsidR="00A25D54">
        <w:t xml:space="preserve"> </w:t>
      </w:r>
      <w:r w:rsidR="00A25D54" w:rsidRPr="00290682">
        <w:t>through a secure web-based tool.</w:t>
      </w:r>
      <w:r w:rsidR="00A25D54">
        <w:t xml:space="preserve"> </w:t>
      </w:r>
      <w:r w:rsidR="000017F3" w:rsidRPr="000017F3">
        <w:t>The SSN query is a short and separate instrument</w:t>
      </w:r>
      <w:r w:rsidR="006763B9">
        <w:t xml:space="preserve"> with a visible note that the collection of SSN is voluntary</w:t>
      </w:r>
      <w:r w:rsidR="002F1394">
        <w:t xml:space="preserve"> (Att.6a)</w:t>
      </w:r>
      <w:r w:rsidR="000017F3" w:rsidRPr="000017F3">
        <w:t>. The patient is clearly informed in the ICF, orally by the Field Interviewer, and again on the query screen that he/she may refuse to provide</w:t>
      </w:r>
      <w:r w:rsidR="000017F3">
        <w:t xml:space="preserve"> SSN</w:t>
      </w:r>
      <w:r w:rsidR="000017F3" w:rsidRPr="000017F3">
        <w:t>.</w:t>
      </w:r>
      <w:r w:rsidR="000017F3">
        <w:t xml:space="preserve"> </w:t>
      </w:r>
      <w:r w:rsidR="00394E9C">
        <w:t xml:space="preserve">There is a precedent for federal agency collection of study participants’ Social Security Number. For example, </w:t>
      </w:r>
      <w:r w:rsidR="00394E9C" w:rsidRPr="00394E9C">
        <w:t>the National Longitudinal Survey of Adolescent Health (Add Health), sponsored by NIH, obtains SSN for follow-up.  The National Health Interview Survey is not a longitudinal follow-up and uses the last 4-digis to match previously obtained records, rather than for tracking participants. </w:t>
      </w:r>
    </w:p>
    <w:p w14:paraId="412F442C" w14:textId="4FCCEB94" w:rsidR="000017F3" w:rsidRPr="000017F3" w:rsidRDefault="000017F3" w:rsidP="000017F3">
      <w:pPr>
        <w:pStyle w:val="BodyText1"/>
      </w:pPr>
    </w:p>
    <w:p w14:paraId="5A63413C" w14:textId="5C6A3FF4" w:rsidR="008D7CCA" w:rsidRDefault="00A25D54" w:rsidP="00AE640D">
      <w:pPr>
        <w:pStyle w:val="BodyText1"/>
      </w:pPr>
      <w:r>
        <w:t xml:space="preserve">The client’s SSN and other contact information is critical to the success of this longitudinal study and without it the two-year client follow-up data collection will not be possible. SSNs will only be used for tracking </w:t>
      </w:r>
      <w:r w:rsidR="00CC4E13">
        <w:t>patients</w:t>
      </w:r>
      <w:r>
        <w:t xml:space="preserve"> in vital records, such as the Social Security Death Index, and using SSNs with an individual’s birthdate is the only means to get this information quickly (without an SSN, death records may not be confirmable for three years) and reliably (Corsi et. al., 2006). More broadly, </w:t>
      </w:r>
      <w:r w:rsidR="00CC4E13">
        <w:t>patients</w:t>
      </w:r>
      <w:r>
        <w:t xml:space="preserve"> with OUD face a chronic disorder and their outcomes must be tracked over time yet tracking </w:t>
      </w:r>
      <w:r w:rsidR="00CC4E13">
        <w:t>patients</w:t>
      </w:r>
      <w:r>
        <w:t xml:space="preserve"> with OUD is especially difficult as the population is often engaged in illegal drug use and lack stable connections to public society (see Section A.9 for additional details). Using SSNs to track these </w:t>
      </w:r>
      <w:r w:rsidR="00CC4E13">
        <w:t>patients</w:t>
      </w:r>
      <w:r>
        <w:t xml:space="preserve"> over time is a vital tool to real-world data collection efforts (Farabee et. al., 2016). </w:t>
      </w:r>
      <w:r w:rsidR="003721B1">
        <w:t xml:space="preserve">One of the significant contributions of this study is the tracking of </w:t>
      </w:r>
      <w:r w:rsidR="00CC4E13">
        <w:t>patients</w:t>
      </w:r>
      <w:r w:rsidR="003721B1">
        <w:t xml:space="preserve"> over a two year period regardless of treatment status. This will increase our understanding of how and why people are retained in, drop out, and often, re-enter treatment. Without the social security numbers, it will be extremely difficult to track this transient population over the two year period and will we jeopardize a key benefit of this study. </w:t>
      </w:r>
      <w:r w:rsidR="008D7CCA">
        <w:t>If FIs lose contact with a client, they will seek to relocate the client and reestablish contact. Methods to relocate clients include emailing, sending a certified letter to their home; reaching out to alternative contacts (e.g., parent, friend) obtained during enrollment; driving by the client’s home; and checking local data sources (e.g., newspapers, court dockets).</w:t>
      </w:r>
      <w:r w:rsidR="008D7CCA">
        <w:rPr>
          <w:rStyle w:val="FootnoteReference"/>
        </w:rPr>
        <w:footnoteReference w:id="1"/>
      </w:r>
      <w:r w:rsidR="008D7CCA">
        <w:t xml:space="preserve"> The client will also be referred to RTI’s Tracing Unit, which conducts online searches (e.g., U.S. Postal Service change-of-address records, DMV records, credit reports, judicial arrest records) as well as checking Vital Statistics for deaths. Tracking and tracing efforts have succeeded in retaining up to 10% of lost subjects on similar studies. </w:t>
      </w:r>
    </w:p>
    <w:p w14:paraId="5D53BBA7" w14:textId="77777777" w:rsidR="008D7CCA" w:rsidRDefault="008D7CCA" w:rsidP="004C6F9A">
      <w:pPr>
        <w:pStyle w:val="BodyText1"/>
        <w:ind w:firstLine="0"/>
      </w:pPr>
    </w:p>
    <w:p w14:paraId="6F24FEFE" w14:textId="32CFB2E1" w:rsidR="00E24230" w:rsidRPr="009B1505" w:rsidRDefault="00AE4A06" w:rsidP="00D2669B">
      <w:pPr>
        <w:pStyle w:val="BodyText1"/>
      </w:pPr>
      <w:r>
        <w:t xml:space="preserve">The </w:t>
      </w:r>
      <w:r w:rsidR="00E22C79">
        <w:t xml:space="preserve">Patient </w:t>
      </w:r>
      <w:r>
        <w:t>Questionnaire</w:t>
      </w:r>
      <w:r w:rsidR="004373E7">
        <w:t>s</w:t>
      </w:r>
      <w:r>
        <w:t xml:space="preserve"> are collected at 12 and 24 months after the </w:t>
      </w:r>
      <w:r w:rsidR="004373E7">
        <w:t>b</w:t>
      </w:r>
      <w:r>
        <w:t>aseline</w:t>
      </w:r>
      <w:r w:rsidR="004373E7">
        <w:t xml:space="preserve"> questionnaire</w:t>
      </w:r>
      <w:r>
        <w:t xml:space="preserve"> is completed. Using a web-based tool, a client can complete the questionnaire independently; if needed an RTI FI will be available to assist the client. </w:t>
      </w:r>
    </w:p>
    <w:p w14:paraId="79573D39" w14:textId="650E32CF" w:rsidR="00E24230" w:rsidRPr="004D09BD" w:rsidRDefault="00E24230" w:rsidP="00E24230">
      <w:pPr>
        <w:pStyle w:val="ExhibitTitle"/>
      </w:pPr>
      <w:r w:rsidRPr="004D09BD">
        <w:t xml:space="preserve">Exhibit </w:t>
      </w:r>
      <w:r w:rsidR="004D7A03">
        <w:t>3</w:t>
      </w:r>
      <w:r w:rsidRPr="004D09BD">
        <w:t>.</w:t>
      </w:r>
      <w:r w:rsidRPr="004D09BD">
        <w:tab/>
      </w:r>
      <w:r w:rsidR="00E22C79">
        <w:t>Patient</w:t>
      </w:r>
      <w:r w:rsidRPr="004D09BD">
        <w:t xml:space="preserve"> Questionnaire Measures</w:t>
      </w:r>
    </w:p>
    <w:tbl>
      <w:tblPr>
        <w:tblW w:w="9900"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2521"/>
        <w:gridCol w:w="7379"/>
      </w:tblGrid>
      <w:tr w:rsidR="00E24230" w:rsidRPr="00EE7D45" w14:paraId="74195B4D" w14:textId="77777777" w:rsidTr="00FF641C">
        <w:trPr>
          <w:tblHeader/>
        </w:trPr>
        <w:tc>
          <w:tcPr>
            <w:tcW w:w="1273" w:type="pct"/>
            <w:tcBorders>
              <w:top w:val="single" w:sz="12" w:space="0" w:color="auto"/>
              <w:bottom w:val="single" w:sz="6" w:space="0" w:color="auto"/>
            </w:tcBorders>
            <w:vAlign w:val="bottom"/>
          </w:tcPr>
          <w:p w14:paraId="22D4A3BA" w14:textId="77777777" w:rsidR="00E24230" w:rsidRPr="00EE7D45" w:rsidRDefault="00E24230" w:rsidP="00FF641C">
            <w:pPr>
              <w:pStyle w:val="TableHeaders"/>
              <w:rPr>
                <w:sz w:val="20"/>
              </w:rPr>
            </w:pPr>
            <w:r w:rsidRPr="00EE7D45">
              <w:rPr>
                <w:sz w:val="20"/>
              </w:rPr>
              <w:t>Topic Area</w:t>
            </w:r>
          </w:p>
        </w:tc>
        <w:tc>
          <w:tcPr>
            <w:tcW w:w="3727" w:type="pct"/>
            <w:tcBorders>
              <w:top w:val="single" w:sz="12" w:space="0" w:color="auto"/>
              <w:bottom w:val="single" w:sz="6" w:space="0" w:color="auto"/>
            </w:tcBorders>
            <w:vAlign w:val="bottom"/>
          </w:tcPr>
          <w:p w14:paraId="5299DF53" w14:textId="77777777" w:rsidR="00E24230" w:rsidRPr="00EB4BD9" w:rsidRDefault="00E24230" w:rsidP="00FF641C">
            <w:pPr>
              <w:pStyle w:val="TableHeaders"/>
              <w:rPr>
                <w:sz w:val="20"/>
              </w:rPr>
            </w:pPr>
            <w:r w:rsidRPr="00EB4BD9">
              <w:rPr>
                <w:sz w:val="20"/>
              </w:rPr>
              <w:t xml:space="preserve">Measures </w:t>
            </w:r>
          </w:p>
        </w:tc>
      </w:tr>
      <w:tr w:rsidR="0029788C" w:rsidRPr="0029788C" w14:paraId="5994877E" w14:textId="77777777" w:rsidTr="0029788C">
        <w:tc>
          <w:tcPr>
            <w:tcW w:w="5000" w:type="pct"/>
            <w:gridSpan w:val="2"/>
            <w:tcBorders>
              <w:top w:val="single" w:sz="6" w:space="0" w:color="auto"/>
            </w:tcBorders>
            <w:shd w:val="clear" w:color="auto" w:fill="D9D9D9" w:themeFill="background1" w:themeFillShade="D9"/>
            <w:vAlign w:val="center"/>
          </w:tcPr>
          <w:p w14:paraId="0BD0853F" w14:textId="77777777" w:rsidR="0029788C" w:rsidRPr="0029788C" w:rsidRDefault="0029788C" w:rsidP="0011086D">
            <w:pPr>
              <w:pStyle w:val="NoSpacing"/>
              <w:rPr>
                <w:b/>
                <w:sz w:val="20"/>
                <w:szCs w:val="20"/>
              </w:rPr>
            </w:pPr>
            <w:r w:rsidRPr="0029788C">
              <w:rPr>
                <w:b/>
                <w:sz w:val="20"/>
              </w:rPr>
              <w:t xml:space="preserve">Outcome Measures </w:t>
            </w:r>
          </w:p>
        </w:tc>
      </w:tr>
      <w:tr w:rsidR="00E24230" w:rsidRPr="00EE7D45" w14:paraId="478EFF7C" w14:textId="77777777" w:rsidTr="00A30BE1">
        <w:tc>
          <w:tcPr>
            <w:tcW w:w="1273" w:type="pct"/>
            <w:tcBorders>
              <w:top w:val="single" w:sz="6" w:space="0" w:color="auto"/>
            </w:tcBorders>
            <w:vAlign w:val="center"/>
          </w:tcPr>
          <w:p w14:paraId="321EE329" w14:textId="77777777" w:rsidR="00E24230" w:rsidRPr="00EE7D45" w:rsidRDefault="00E24230" w:rsidP="00A30BE1">
            <w:pPr>
              <w:pStyle w:val="TableText"/>
              <w:rPr>
                <w:sz w:val="20"/>
              </w:rPr>
            </w:pPr>
            <w:r w:rsidRPr="00EE7D45">
              <w:rPr>
                <w:sz w:val="20"/>
              </w:rPr>
              <w:t>Treatment Status</w:t>
            </w:r>
          </w:p>
        </w:tc>
        <w:tc>
          <w:tcPr>
            <w:tcW w:w="3727" w:type="pct"/>
            <w:tcBorders>
              <w:top w:val="single" w:sz="6" w:space="0" w:color="auto"/>
            </w:tcBorders>
          </w:tcPr>
          <w:p w14:paraId="65FD756F" w14:textId="77777777" w:rsidR="00E24230" w:rsidRPr="00EE7D45" w:rsidRDefault="00E24230" w:rsidP="0011086D">
            <w:pPr>
              <w:pStyle w:val="NoSpacing"/>
              <w:rPr>
                <w:sz w:val="20"/>
                <w:szCs w:val="20"/>
              </w:rPr>
            </w:pPr>
            <w:r w:rsidRPr="00EB4BD9">
              <w:rPr>
                <w:sz w:val="20"/>
                <w:szCs w:val="20"/>
              </w:rPr>
              <w:t>Determines if the respondent is still participating in OUD treatment. Identifies characteristics of the client’s index</w:t>
            </w:r>
            <w:r w:rsidR="00335972" w:rsidRPr="00EB4BD9">
              <w:rPr>
                <w:sz w:val="20"/>
                <w:szCs w:val="20"/>
              </w:rPr>
              <w:t xml:space="preserve"> treatment</w:t>
            </w:r>
            <w:r w:rsidRPr="00EB4BD9">
              <w:rPr>
                <w:sz w:val="20"/>
                <w:szCs w:val="20"/>
              </w:rPr>
              <w:t xml:space="preserve"> (treatment episode during which they enrolled in </w:t>
            </w:r>
            <w:r w:rsidR="00771990">
              <w:rPr>
                <w:sz w:val="20"/>
                <w:szCs w:val="20"/>
              </w:rPr>
              <w:t xml:space="preserve">the </w:t>
            </w:r>
            <w:r w:rsidRPr="00EB4BD9">
              <w:rPr>
                <w:sz w:val="20"/>
                <w:szCs w:val="20"/>
              </w:rPr>
              <w:t>MAT</w:t>
            </w:r>
            <w:r w:rsidR="00335972" w:rsidRPr="006B3FD2">
              <w:rPr>
                <w:sz w:val="20"/>
                <w:szCs w:val="20"/>
              </w:rPr>
              <w:t xml:space="preserve"> </w:t>
            </w:r>
            <w:r w:rsidR="00771990">
              <w:rPr>
                <w:sz w:val="20"/>
                <w:szCs w:val="20"/>
              </w:rPr>
              <w:t>S</w:t>
            </w:r>
            <w:r w:rsidR="00335972" w:rsidRPr="006B3FD2">
              <w:rPr>
                <w:sz w:val="20"/>
                <w:szCs w:val="20"/>
              </w:rPr>
              <w:t>tudy</w:t>
            </w:r>
            <w:r w:rsidRPr="006B3FD2">
              <w:rPr>
                <w:sz w:val="20"/>
                <w:szCs w:val="20"/>
              </w:rPr>
              <w:t>) and</w:t>
            </w:r>
            <w:r w:rsidR="00EE7D45" w:rsidRPr="006B3FD2">
              <w:rPr>
                <w:sz w:val="20"/>
                <w:szCs w:val="20"/>
              </w:rPr>
              <w:t xml:space="preserve"> </w:t>
            </w:r>
            <w:r w:rsidR="00EE7D45" w:rsidRPr="00EE7D45">
              <w:rPr>
                <w:sz w:val="20"/>
                <w:szCs w:val="20"/>
              </w:rPr>
              <w:t>as well as pre- and</w:t>
            </w:r>
            <w:r w:rsidRPr="00EE7D45">
              <w:rPr>
                <w:sz w:val="20"/>
                <w:szCs w:val="20"/>
              </w:rPr>
              <w:t xml:space="preserve"> post-index treatment received. </w:t>
            </w:r>
          </w:p>
        </w:tc>
      </w:tr>
      <w:tr w:rsidR="00E24230" w:rsidRPr="00EE7D45" w14:paraId="799CB3B4" w14:textId="77777777" w:rsidTr="00A30BE1">
        <w:tc>
          <w:tcPr>
            <w:tcW w:w="1273" w:type="pct"/>
            <w:tcBorders>
              <w:top w:val="single" w:sz="6" w:space="0" w:color="auto"/>
              <w:bottom w:val="single" w:sz="6" w:space="0" w:color="auto"/>
            </w:tcBorders>
            <w:vAlign w:val="center"/>
          </w:tcPr>
          <w:p w14:paraId="53EC21EB" w14:textId="77777777" w:rsidR="00E24230" w:rsidRPr="00EE7D45" w:rsidRDefault="00E24230" w:rsidP="00A30BE1">
            <w:pPr>
              <w:pStyle w:val="TableText"/>
              <w:rPr>
                <w:sz w:val="20"/>
              </w:rPr>
            </w:pPr>
            <w:r w:rsidRPr="00EE7D45">
              <w:rPr>
                <w:sz w:val="20"/>
              </w:rPr>
              <w:t>Substance Use</w:t>
            </w:r>
          </w:p>
        </w:tc>
        <w:tc>
          <w:tcPr>
            <w:tcW w:w="3727" w:type="pct"/>
            <w:tcBorders>
              <w:top w:val="single" w:sz="6" w:space="0" w:color="auto"/>
              <w:bottom w:val="single" w:sz="6" w:space="0" w:color="auto"/>
            </w:tcBorders>
          </w:tcPr>
          <w:p w14:paraId="24DE2777" w14:textId="77777777" w:rsidR="00E24230" w:rsidRPr="00EB4BD9" w:rsidRDefault="00E24230" w:rsidP="0011086D">
            <w:pPr>
              <w:pStyle w:val="NoSpacing"/>
              <w:rPr>
                <w:sz w:val="20"/>
                <w:szCs w:val="20"/>
              </w:rPr>
            </w:pPr>
            <w:r w:rsidRPr="00EE7D45">
              <w:rPr>
                <w:sz w:val="20"/>
                <w:szCs w:val="20"/>
              </w:rPr>
              <w:t xml:space="preserve">Questions on substance use </w:t>
            </w:r>
            <w:r w:rsidR="00BE21C4">
              <w:rPr>
                <w:sz w:val="20"/>
                <w:szCs w:val="20"/>
              </w:rPr>
              <w:t xml:space="preserve">are derived </w:t>
            </w:r>
            <w:r w:rsidRPr="00EE7D45">
              <w:rPr>
                <w:sz w:val="20"/>
                <w:szCs w:val="20"/>
              </w:rPr>
              <w:t>from the 2015 National Survey on Drug Use and Health (NSDUH) and ask the respondent about their use of substances (i.e., opioids, heroin,</w:t>
            </w:r>
            <w:r w:rsidR="00EE7D45" w:rsidRPr="00EB4BD9">
              <w:rPr>
                <w:sz w:val="20"/>
                <w:szCs w:val="20"/>
              </w:rPr>
              <w:t xml:space="preserve"> </w:t>
            </w:r>
            <w:r w:rsidR="00EE7D45" w:rsidRPr="00EE7D45">
              <w:rPr>
                <w:sz w:val="20"/>
                <w:szCs w:val="20"/>
              </w:rPr>
              <w:t>illicitly-made fentanyl,</w:t>
            </w:r>
            <w:r w:rsidRPr="00EE7D45">
              <w:rPr>
                <w:sz w:val="20"/>
                <w:szCs w:val="20"/>
              </w:rPr>
              <w:t xml:space="preserve"> stimulants, sedatives, neuropathics, marijuana, cocaine, methamphetamine, krokodil, synthetics, inhalants, alcohol, and tobac</w:t>
            </w:r>
            <w:r w:rsidRPr="00EB4BD9">
              <w:rPr>
                <w:sz w:val="20"/>
                <w:szCs w:val="20"/>
              </w:rPr>
              <w:t>co) over the last 12-months, 90</w:t>
            </w:r>
            <w:r w:rsidR="00BE21C4">
              <w:rPr>
                <w:sz w:val="20"/>
                <w:szCs w:val="20"/>
              </w:rPr>
              <w:t xml:space="preserve"> </w:t>
            </w:r>
            <w:r w:rsidRPr="00EB4BD9">
              <w:rPr>
                <w:sz w:val="20"/>
                <w:szCs w:val="20"/>
              </w:rPr>
              <w:t xml:space="preserve">days, </w:t>
            </w:r>
            <w:r w:rsidR="00EE7D45" w:rsidRPr="00EB4BD9">
              <w:rPr>
                <w:sz w:val="20"/>
                <w:szCs w:val="20"/>
              </w:rPr>
              <w:t xml:space="preserve">30 days, </w:t>
            </w:r>
            <w:r w:rsidRPr="00EB4BD9">
              <w:rPr>
                <w:sz w:val="20"/>
                <w:szCs w:val="20"/>
              </w:rPr>
              <w:t xml:space="preserve">and while in treatment. </w:t>
            </w:r>
          </w:p>
        </w:tc>
      </w:tr>
      <w:tr w:rsidR="00E24230" w:rsidRPr="00EE7D45" w14:paraId="3CD6E5E1" w14:textId="77777777" w:rsidTr="00A30BE1">
        <w:tc>
          <w:tcPr>
            <w:tcW w:w="1273" w:type="pct"/>
            <w:tcBorders>
              <w:top w:val="single" w:sz="6" w:space="0" w:color="auto"/>
              <w:bottom w:val="single" w:sz="2" w:space="0" w:color="auto"/>
            </w:tcBorders>
            <w:vAlign w:val="center"/>
          </w:tcPr>
          <w:p w14:paraId="0BA6F86E" w14:textId="77777777" w:rsidR="00E24230" w:rsidRPr="00EE7D45" w:rsidRDefault="00E24230" w:rsidP="00A30BE1">
            <w:pPr>
              <w:pStyle w:val="TableText"/>
              <w:rPr>
                <w:sz w:val="20"/>
              </w:rPr>
            </w:pPr>
            <w:r w:rsidRPr="00EE7D45">
              <w:rPr>
                <w:sz w:val="20"/>
              </w:rPr>
              <w:t>Opioid Quit Attempts</w:t>
            </w:r>
          </w:p>
        </w:tc>
        <w:tc>
          <w:tcPr>
            <w:tcW w:w="3727" w:type="pct"/>
            <w:tcBorders>
              <w:top w:val="single" w:sz="6" w:space="0" w:color="auto"/>
              <w:bottom w:val="single" w:sz="2" w:space="0" w:color="auto"/>
            </w:tcBorders>
          </w:tcPr>
          <w:p w14:paraId="1F954724" w14:textId="77777777" w:rsidR="00E24230" w:rsidRPr="00EB4BD9" w:rsidRDefault="00E24230" w:rsidP="0011086D">
            <w:pPr>
              <w:pStyle w:val="NoSpacing"/>
              <w:rPr>
                <w:sz w:val="20"/>
                <w:szCs w:val="20"/>
              </w:rPr>
            </w:pPr>
            <w:r w:rsidRPr="00EB4BD9">
              <w:rPr>
                <w:sz w:val="20"/>
                <w:szCs w:val="20"/>
              </w:rPr>
              <w:t xml:space="preserve">Questions on opioid quit attempts are </w:t>
            </w:r>
            <w:r w:rsidR="0094555C" w:rsidRPr="00EB4BD9">
              <w:rPr>
                <w:sz w:val="20"/>
                <w:szCs w:val="20"/>
              </w:rPr>
              <w:t xml:space="preserve">derived </w:t>
            </w:r>
            <w:r w:rsidRPr="00EB4BD9">
              <w:rPr>
                <w:sz w:val="20"/>
                <w:szCs w:val="20"/>
              </w:rPr>
              <w:t xml:space="preserve">from </w:t>
            </w:r>
            <w:r w:rsidR="00454E63">
              <w:rPr>
                <w:sz w:val="20"/>
                <w:szCs w:val="20"/>
              </w:rPr>
              <w:t xml:space="preserve">the </w:t>
            </w:r>
            <w:r w:rsidRPr="00EB4BD9">
              <w:rPr>
                <w:sz w:val="20"/>
                <w:szCs w:val="20"/>
              </w:rPr>
              <w:t>Center for Substance Abuse Treatment (CSAT, 2016)</w:t>
            </w:r>
            <w:r w:rsidR="00454E63">
              <w:rPr>
                <w:sz w:val="20"/>
                <w:szCs w:val="20"/>
              </w:rPr>
              <w:t xml:space="preserve"> measures</w:t>
            </w:r>
            <w:r w:rsidRPr="00EB4BD9">
              <w:rPr>
                <w:sz w:val="20"/>
                <w:szCs w:val="20"/>
              </w:rPr>
              <w:t>. These questions address</w:t>
            </w:r>
            <w:r w:rsidR="00454E63">
              <w:rPr>
                <w:sz w:val="20"/>
                <w:szCs w:val="20"/>
              </w:rPr>
              <w:t xml:space="preserve"> the</w:t>
            </w:r>
            <w:r w:rsidRPr="00EB4BD9">
              <w:rPr>
                <w:sz w:val="20"/>
                <w:szCs w:val="20"/>
              </w:rPr>
              <w:t xml:space="preserve"> number of times the client has attempted to quit using opioids, number of times the client quit using opioids for more than five days, and the longest amount of time the client quit using opioids.</w:t>
            </w:r>
          </w:p>
        </w:tc>
      </w:tr>
      <w:tr w:rsidR="00E24230" w:rsidRPr="00EE7D45" w14:paraId="046E53AA" w14:textId="77777777" w:rsidTr="00A30BE1">
        <w:tc>
          <w:tcPr>
            <w:tcW w:w="1273" w:type="pct"/>
            <w:tcBorders>
              <w:top w:val="single" w:sz="2" w:space="0" w:color="auto"/>
              <w:bottom w:val="single" w:sz="2" w:space="0" w:color="auto"/>
            </w:tcBorders>
            <w:vAlign w:val="center"/>
          </w:tcPr>
          <w:p w14:paraId="1B3DAC40" w14:textId="77777777" w:rsidR="00E24230" w:rsidRPr="00EB4BD9" w:rsidRDefault="00E24230" w:rsidP="00A30BE1">
            <w:pPr>
              <w:pStyle w:val="TableText"/>
              <w:tabs>
                <w:tab w:val="right" w:pos="2291"/>
              </w:tabs>
              <w:rPr>
                <w:sz w:val="20"/>
              </w:rPr>
            </w:pPr>
            <w:r w:rsidRPr="00EE7D45">
              <w:rPr>
                <w:sz w:val="20"/>
              </w:rPr>
              <w:t xml:space="preserve">Crime and criminal behavior </w:t>
            </w:r>
          </w:p>
        </w:tc>
        <w:tc>
          <w:tcPr>
            <w:tcW w:w="3727" w:type="pct"/>
            <w:tcBorders>
              <w:top w:val="single" w:sz="2" w:space="0" w:color="auto"/>
              <w:bottom w:val="single" w:sz="2" w:space="0" w:color="auto"/>
            </w:tcBorders>
          </w:tcPr>
          <w:p w14:paraId="2805DFFA" w14:textId="77777777" w:rsidR="00E24230" w:rsidRPr="00EB4BD9" w:rsidRDefault="00E24230" w:rsidP="00454E63">
            <w:pPr>
              <w:pStyle w:val="NoSpacing"/>
              <w:rPr>
                <w:sz w:val="20"/>
                <w:szCs w:val="20"/>
              </w:rPr>
            </w:pPr>
            <w:r w:rsidRPr="00EB4BD9">
              <w:rPr>
                <w:sz w:val="20"/>
                <w:szCs w:val="20"/>
              </w:rPr>
              <w:t xml:space="preserve">Questions </w:t>
            </w:r>
            <w:r w:rsidR="0094555C" w:rsidRPr="00EB4BD9">
              <w:rPr>
                <w:sz w:val="20"/>
                <w:szCs w:val="20"/>
              </w:rPr>
              <w:t xml:space="preserve">derived </w:t>
            </w:r>
            <w:r w:rsidRPr="00EB4BD9">
              <w:rPr>
                <w:sz w:val="20"/>
                <w:szCs w:val="20"/>
              </w:rPr>
              <w:t>from the CSAT Client Government Performance and Results Act (GPRA) Tool (2016) include items about client</w:t>
            </w:r>
            <w:r w:rsidR="00454E63">
              <w:rPr>
                <w:sz w:val="20"/>
                <w:szCs w:val="20"/>
              </w:rPr>
              <w:t>’</w:t>
            </w:r>
            <w:r w:rsidRPr="00EB4BD9">
              <w:rPr>
                <w:sz w:val="20"/>
                <w:szCs w:val="20"/>
              </w:rPr>
              <w:t xml:space="preserve">s lifetime arrest history, most recent arrest, arrests over the last year, and current legal status. </w:t>
            </w:r>
          </w:p>
        </w:tc>
      </w:tr>
      <w:tr w:rsidR="00E24230" w:rsidRPr="00EE7D45" w14:paraId="7DFBE5E6" w14:textId="77777777" w:rsidTr="00A30BE1">
        <w:tc>
          <w:tcPr>
            <w:tcW w:w="1273" w:type="pct"/>
            <w:tcBorders>
              <w:top w:val="single" w:sz="2" w:space="0" w:color="auto"/>
              <w:bottom w:val="single" w:sz="2" w:space="0" w:color="auto"/>
            </w:tcBorders>
            <w:vAlign w:val="center"/>
          </w:tcPr>
          <w:p w14:paraId="178C4C12" w14:textId="77777777" w:rsidR="00E24230" w:rsidRPr="00EE7D45" w:rsidRDefault="00E24230" w:rsidP="00A30BE1">
            <w:pPr>
              <w:pStyle w:val="TableText"/>
              <w:tabs>
                <w:tab w:val="right" w:pos="2291"/>
              </w:tabs>
              <w:rPr>
                <w:sz w:val="20"/>
              </w:rPr>
            </w:pPr>
            <w:r w:rsidRPr="00EE7D45">
              <w:rPr>
                <w:sz w:val="20"/>
              </w:rPr>
              <w:t>Drug Overdo</w:t>
            </w:r>
            <w:r w:rsidR="004D7A03">
              <w:rPr>
                <w:sz w:val="20"/>
              </w:rPr>
              <w:t>se</w:t>
            </w:r>
          </w:p>
        </w:tc>
        <w:tc>
          <w:tcPr>
            <w:tcW w:w="3727" w:type="pct"/>
            <w:tcBorders>
              <w:top w:val="single" w:sz="2" w:space="0" w:color="auto"/>
              <w:bottom w:val="single" w:sz="2" w:space="0" w:color="auto"/>
            </w:tcBorders>
          </w:tcPr>
          <w:p w14:paraId="7C4F0190" w14:textId="77777777" w:rsidR="00E24230" w:rsidRPr="00EB4BD9" w:rsidRDefault="00E24230" w:rsidP="00454E63">
            <w:pPr>
              <w:pStyle w:val="NoSpacing"/>
              <w:rPr>
                <w:sz w:val="20"/>
                <w:szCs w:val="20"/>
              </w:rPr>
            </w:pPr>
            <w:r w:rsidRPr="00EB4BD9">
              <w:rPr>
                <w:sz w:val="20"/>
                <w:szCs w:val="20"/>
              </w:rPr>
              <w:t xml:space="preserve">Questions from the </w:t>
            </w:r>
            <w:r w:rsidR="004D7A03" w:rsidRPr="00EB4BD9">
              <w:rPr>
                <w:sz w:val="20"/>
                <w:szCs w:val="20"/>
              </w:rPr>
              <w:t>Overdo</w:t>
            </w:r>
            <w:r w:rsidR="004D7A03">
              <w:rPr>
                <w:sz w:val="20"/>
                <w:szCs w:val="20"/>
              </w:rPr>
              <w:t>se</w:t>
            </w:r>
            <w:r w:rsidR="004D7A03" w:rsidRPr="00EB4BD9">
              <w:rPr>
                <w:sz w:val="20"/>
                <w:szCs w:val="20"/>
              </w:rPr>
              <w:t xml:space="preserve"> </w:t>
            </w:r>
            <w:r w:rsidRPr="00EB4BD9">
              <w:rPr>
                <w:sz w:val="20"/>
                <w:szCs w:val="20"/>
              </w:rPr>
              <w:t xml:space="preserve">Baseline Questionnaire (Open Health Foundation, 2013) address the number of drug overdoses, the drugs involved, use of ambulance services, and use of naloxone. These are asked for lifetime, past 12 months, and past 90 days. </w:t>
            </w:r>
          </w:p>
        </w:tc>
      </w:tr>
      <w:tr w:rsidR="00E24230" w:rsidRPr="00EE7D45" w14:paraId="6162639E" w14:textId="77777777" w:rsidTr="00A30BE1">
        <w:tc>
          <w:tcPr>
            <w:tcW w:w="1273" w:type="pct"/>
            <w:tcBorders>
              <w:top w:val="single" w:sz="2" w:space="0" w:color="auto"/>
              <w:bottom w:val="single" w:sz="2" w:space="0" w:color="auto"/>
            </w:tcBorders>
            <w:vAlign w:val="center"/>
          </w:tcPr>
          <w:p w14:paraId="43AF9AAC" w14:textId="77777777" w:rsidR="00E24230" w:rsidRPr="00EB4BD9" w:rsidRDefault="00E24230" w:rsidP="00A30BE1">
            <w:pPr>
              <w:pStyle w:val="TableText"/>
              <w:tabs>
                <w:tab w:val="right" w:pos="2291"/>
              </w:tabs>
              <w:rPr>
                <w:sz w:val="20"/>
              </w:rPr>
            </w:pPr>
            <w:r w:rsidRPr="00EE7D45">
              <w:rPr>
                <w:sz w:val="20"/>
              </w:rPr>
              <w:t xml:space="preserve">Health Outcomes and Quality of </w:t>
            </w:r>
            <w:r w:rsidRPr="00EB4BD9">
              <w:rPr>
                <w:sz w:val="20"/>
              </w:rPr>
              <w:t>Life Years (QALYs)</w:t>
            </w:r>
          </w:p>
        </w:tc>
        <w:tc>
          <w:tcPr>
            <w:tcW w:w="3727" w:type="pct"/>
            <w:tcBorders>
              <w:top w:val="single" w:sz="2" w:space="0" w:color="auto"/>
              <w:bottom w:val="single" w:sz="2" w:space="0" w:color="auto"/>
            </w:tcBorders>
          </w:tcPr>
          <w:p w14:paraId="42CD8489" w14:textId="77777777" w:rsidR="00E24230" w:rsidRPr="006B3FD2" w:rsidRDefault="00925D86" w:rsidP="0011086D">
            <w:pPr>
              <w:pStyle w:val="NoSpacing"/>
              <w:rPr>
                <w:sz w:val="20"/>
                <w:szCs w:val="20"/>
              </w:rPr>
            </w:pPr>
            <w:r w:rsidRPr="006B3FD2">
              <w:rPr>
                <w:sz w:val="20"/>
                <w:szCs w:val="20"/>
              </w:rPr>
              <w:t>Health outcomes are derived from the CDC Healthy Days measures and the EQ-5D (2016). The Healthy Days measures, found within the Behavioral Risk Factor Surveillance System (BRFSS), provide information on participants’ health-related quality of life (HRQOL) through self-reported questions regarding participants’ health behaviors, impairments, and symptoms. The EQ-5D™ is a standardized instrument that was designed by the EuroQol Research Foundation</w:t>
            </w:r>
            <w:r w:rsidR="00BE21C4">
              <w:rPr>
                <w:sz w:val="20"/>
                <w:szCs w:val="20"/>
              </w:rPr>
              <w:t xml:space="preserve"> and allow development of QALYs</w:t>
            </w:r>
            <w:r w:rsidRPr="006B3FD2">
              <w:rPr>
                <w:sz w:val="20"/>
                <w:szCs w:val="20"/>
              </w:rPr>
              <w:t>.</w:t>
            </w:r>
          </w:p>
        </w:tc>
      </w:tr>
      <w:tr w:rsidR="00E24230" w:rsidRPr="00EE7D45" w14:paraId="584D5D90" w14:textId="77777777" w:rsidTr="004C4032">
        <w:tc>
          <w:tcPr>
            <w:tcW w:w="1273" w:type="pct"/>
            <w:tcBorders>
              <w:top w:val="single" w:sz="2" w:space="0" w:color="auto"/>
              <w:bottom w:val="single" w:sz="2" w:space="0" w:color="auto"/>
            </w:tcBorders>
            <w:vAlign w:val="center"/>
          </w:tcPr>
          <w:p w14:paraId="16949B2A" w14:textId="77777777" w:rsidR="00E24230" w:rsidRPr="00EE7D45" w:rsidRDefault="00E24230" w:rsidP="00A30BE1">
            <w:pPr>
              <w:pStyle w:val="TableText"/>
              <w:tabs>
                <w:tab w:val="right" w:pos="2291"/>
              </w:tabs>
              <w:rPr>
                <w:sz w:val="20"/>
              </w:rPr>
            </w:pPr>
            <w:r w:rsidRPr="00EE7D45">
              <w:rPr>
                <w:sz w:val="20"/>
              </w:rPr>
              <w:t xml:space="preserve">Substance </w:t>
            </w:r>
            <w:r w:rsidR="00BE21C4">
              <w:rPr>
                <w:sz w:val="20"/>
              </w:rPr>
              <w:t>Use</w:t>
            </w:r>
            <w:r w:rsidR="00BE21C4" w:rsidRPr="00EE7D45">
              <w:rPr>
                <w:sz w:val="20"/>
              </w:rPr>
              <w:t xml:space="preserve"> </w:t>
            </w:r>
            <w:r w:rsidRPr="00EE7D45">
              <w:rPr>
                <w:sz w:val="20"/>
              </w:rPr>
              <w:t>Treatment</w:t>
            </w:r>
          </w:p>
        </w:tc>
        <w:tc>
          <w:tcPr>
            <w:tcW w:w="3727" w:type="pct"/>
            <w:tcBorders>
              <w:top w:val="single" w:sz="2" w:space="0" w:color="auto"/>
              <w:bottom w:val="single" w:sz="2" w:space="0" w:color="auto"/>
            </w:tcBorders>
          </w:tcPr>
          <w:p w14:paraId="5E1149E9" w14:textId="77777777" w:rsidR="00E24230" w:rsidRPr="006B3FD2" w:rsidRDefault="00E24230" w:rsidP="0011086D">
            <w:pPr>
              <w:pStyle w:val="NoSpacing"/>
              <w:rPr>
                <w:sz w:val="20"/>
                <w:szCs w:val="20"/>
              </w:rPr>
            </w:pPr>
            <w:r w:rsidRPr="00EB4BD9">
              <w:rPr>
                <w:sz w:val="20"/>
                <w:szCs w:val="20"/>
              </w:rPr>
              <w:t xml:space="preserve">Questions </w:t>
            </w:r>
            <w:r w:rsidR="00BE21C4">
              <w:rPr>
                <w:sz w:val="20"/>
                <w:szCs w:val="20"/>
              </w:rPr>
              <w:t xml:space="preserve">derived </w:t>
            </w:r>
            <w:r w:rsidRPr="00EB4BD9">
              <w:rPr>
                <w:sz w:val="20"/>
                <w:szCs w:val="20"/>
              </w:rPr>
              <w:t>from the 2016 CSAT</w:t>
            </w:r>
            <w:r w:rsidR="00BE21C4">
              <w:rPr>
                <w:sz w:val="20"/>
                <w:szCs w:val="20"/>
              </w:rPr>
              <w:t xml:space="preserve"> GPRA Tool and NSDUH</w:t>
            </w:r>
            <w:r w:rsidRPr="00EB4BD9">
              <w:rPr>
                <w:sz w:val="20"/>
                <w:szCs w:val="20"/>
              </w:rPr>
              <w:t xml:space="preserve"> addresses treatment, including detoxi</w:t>
            </w:r>
            <w:r w:rsidR="00673D73" w:rsidRPr="00EB4BD9">
              <w:rPr>
                <w:sz w:val="20"/>
                <w:szCs w:val="20"/>
              </w:rPr>
              <w:t>fi</w:t>
            </w:r>
            <w:r w:rsidRPr="00EB4BD9">
              <w:rPr>
                <w:sz w:val="20"/>
                <w:szCs w:val="20"/>
              </w:rPr>
              <w:t xml:space="preserve">cation, hospital care, emergency department services, self-help meeting services, </w:t>
            </w:r>
            <w:r w:rsidR="00EE7D45" w:rsidRPr="00EB4BD9">
              <w:rPr>
                <w:sz w:val="20"/>
                <w:szCs w:val="20"/>
              </w:rPr>
              <w:t xml:space="preserve">alternative care, </w:t>
            </w:r>
            <w:r w:rsidRPr="00EB4BD9">
              <w:rPr>
                <w:sz w:val="20"/>
                <w:szCs w:val="20"/>
              </w:rPr>
              <w:t>and primary care services. For MAT, specific sets of questions are based on question phrasing used in NSDUH (NSDUH, 20</w:t>
            </w:r>
            <w:r w:rsidRPr="006B3FD2">
              <w:rPr>
                <w:sz w:val="20"/>
                <w:szCs w:val="20"/>
              </w:rPr>
              <w:t xml:space="preserve">15).  </w:t>
            </w:r>
          </w:p>
        </w:tc>
      </w:tr>
      <w:tr w:rsidR="00EE7D45" w:rsidRPr="00EE7D45" w14:paraId="4630815D" w14:textId="77777777" w:rsidTr="00EE7D45">
        <w:tblPrEx>
          <w:tblBorders>
            <w:top w:val="none" w:sz="0" w:space="0" w:color="auto"/>
            <w:bottom w:val="none" w:sz="0" w:space="0" w:color="auto"/>
          </w:tblBorders>
          <w:tblCellMar>
            <w:left w:w="0" w:type="dxa"/>
            <w:right w:w="0" w:type="dxa"/>
          </w:tblCellMar>
        </w:tblPrEx>
        <w:tc>
          <w:tcPr>
            <w:tcW w:w="1273" w:type="pct"/>
            <w:tcBorders>
              <w:top w:val="nil"/>
              <w:left w:val="nil"/>
              <w:bottom w:val="single" w:sz="8" w:space="0" w:color="auto"/>
              <w:right w:val="nil"/>
            </w:tcBorders>
            <w:tcMar>
              <w:top w:w="0" w:type="dxa"/>
              <w:left w:w="115" w:type="dxa"/>
              <w:bottom w:w="0" w:type="dxa"/>
              <w:right w:w="115" w:type="dxa"/>
            </w:tcMar>
            <w:vAlign w:val="center"/>
            <w:hideMark/>
          </w:tcPr>
          <w:p w14:paraId="2B0B4910" w14:textId="77777777" w:rsidR="00EE7D45" w:rsidRPr="00EE7D45" w:rsidRDefault="00EE7D45">
            <w:pPr>
              <w:pStyle w:val="TableText"/>
              <w:rPr>
                <w:sz w:val="20"/>
              </w:rPr>
            </w:pPr>
            <w:r w:rsidRPr="00EE7D45">
              <w:rPr>
                <w:sz w:val="20"/>
              </w:rPr>
              <w:t>Labor Market</w:t>
            </w:r>
          </w:p>
        </w:tc>
        <w:tc>
          <w:tcPr>
            <w:tcW w:w="3727" w:type="pct"/>
            <w:tcBorders>
              <w:top w:val="nil"/>
              <w:left w:val="nil"/>
              <w:bottom w:val="single" w:sz="8" w:space="0" w:color="auto"/>
              <w:right w:val="nil"/>
            </w:tcBorders>
            <w:tcMar>
              <w:top w:w="0" w:type="dxa"/>
              <w:left w:w="115" w:type="dxa"/>
              <w:bottom w:w="0" w:type="dxa"/>
              <w:right w:w="115" w:type="dxa"/>
            </w:tcMar>
            <w:hideMark/>
          </w:tcPr>
          <w:p w14:paraId="6AFEA5EE" w14:textId="77777777" w:rsidR="00EE7D45" w:rsidRPr="00EE7D45" w:rsidRDefault="00EE7D45" w:rsidP="00454E63">
            <w:pPr>
              <w:pStyle w:val="NoSpacing"/>
              <w:rPr>
                <w:sz w:val="20"/>
                <w:szCs w:val="20"/>
              </w:rPr>
            </w:pPr>
            <w:r w:rsidRPr="00EE7D45">
              <w:rPr>
                <w:sz w:val="20"/>
                <w:szCs w:val="20"/>
              </w:rPr>
              <w:t>Questions ask about client</w:t>
            </w:r>
            <w:r w:rsidR="00454E63">
              <w:rPr>
                <w:sz w:val="20"/>
                <w:szCs w:val="20"/>
              </w:rPr>
              <w:t>’</w:t>
            </w:r>
            <w:r w:rsidRPr="00EE7D45">
              <w:rPr>
                <w:sz w:val="20"/>
                <w:szCs w:val="20"/>
              </w:rPr>
              <w:t>s current employment, income</w:t>
            </w:r>
            <w:r w:rsidR="00454E63">
              <w:rPr>
                <w:sz w:val="20"/>
                <w:szCs w:val="20"/>
              </w:rPr>
              <w:t xml:space="preserve"> level</w:t>
            </w:r>
            <w:r w:rsidRPr="00EE7D45">
              <w:rPr>
                <w:sz w:val="20"/>
                <w:szCs w:val="20"/>
              </w:rPr>
              <w:t>, sources of income, absence</w:t>
            </w:r>
            <w:r w:rsidR="00454E63">
              <w:rPr>
                <w:sz w:val="20"/>
                <w:szCs w:val="20"/>
              </w:rPr>
              <w:t>s</w:t>
            </w:r>
            <w:r w:rsidRPr="00EE7D45">
              <w:rPr>
                <w:sz w:val="20"/>
                <w:szCs w:val="20"/>
              </w:rPr>
              <w:t xml:space="preserve"> from work, and absence</w:t>
            </w:r>
            <w:r w:rsidR="00454E63">
              <w:rPr>
                <w:sz w:val="20"/>
                <w:szCs w:val="20"/>
              </w:rPr>
              <w:t>s</w:t>
            </w:r>
            <w:r w:rsidRPr="00EE7D45">
              <w:rPr>
                <w:sz w:val="20"/>
                <w:szCs w:val="20"/>
              </w:rPr>
              <w:t xml:space="preserve"> from work related to opioid use.</w:t>
            </w:r>
          </w:p>
        </w:tc>
      </w:tr>
      <w:tr w:rsidR="0029788C" w:rsidRPr="00EE7D45" w14:paraId="183617BB" w14:textId="77777777" w:rsidTr="0029788C">
        <w:tc>
          <w:tcPr>
            <w:tcW w:w="5000" w:type="pct"/>
            <w:gridSpan w:val="2"/>
            <w:tcBorders>
              <w:top w:val="single" w:sz="2" w:space="0" w:color="auto"/>
              <w:bottom w:val="single" w:sz="2" w:space="0" w:color="auto"/>
            </w:tcBorders>
            <w:vAlign w:val="center"/>
          </w:tcPr>
          <w:p w14:paraId="4DDFA7D3" w14:textId="77777777" w:rsidR="0029788C" w:rsidRPr="0029788C" w:rsidRDefault="0029788C" w:rsidP="0011086D">
            <w:pPr>
              <w:pStyle w:val="NoSpacing"/>
              <w:rPr>
                <w:b/>
                <w:sz w:val="20"/>
                <w:szCs w:val="20"/>
              </w:rPr>
            </w:pPr>
            <w:r w:rsidRPr="0029788C">
              <w:rPr>
                <w:b/>
                <w:sz w:val="20"/>
              </w:rPr>
              <w:t xml:space="preserve">Control Variables </w:t>
            </w:r>
          </w:p>
        </w:tc>
      </w:tr>
      <w:tr w:rsidR="0029788C" w:rsidRPr="00EE7D45" w14:paraId="1AEAE5A3" w14:textId="77777777" w:rsidTr="006A0BF2">
        <w:tc>
          <w:tcPr>
            <w:tcW w:w="1273" w:type="pct"/>
            <w:tcBorders>
              <w:top w:val="single" w:sz="2" w:space="0" w:color="auto"/>
              <w:bottom w:val="single" w:sz="2" w:space="0" w:color="auto"/>
            </w:tcBorders>
            <w:vAlign w:val="center"/>
          </w:tcPr>
          <w:p w14:paraId="6E391EBF" w14:textId="77777777" w:rsidR="0029788C" w:rsidRDefault="0029788C" w:rsidP="006A0BF2">
            <w:pPr>
              <w:pStyle w:val="TableText"/>
              <w:tabs>
                <w:tab w:val="right" w:pos="2291"/>
              </w:tabs>
              <w:rPr>
                <w:sz w:val="20"/>
              </w:rPr>
            </w:pPr>
            <w:r w:rsidRPr="00EE7D45">
              <w:rPr>
                <w:sz w:val="20"/>
              </w:rPr>
              <w:t>Demographics</w:t>
            </w:r>
          </w:p>
          <w:p w14:paraId="205D7FF9" w14:textId="77777777" w:rsidR="0029788C" w:rsidRPr="00EE7D45" w:rsidRDefault="0029788C" w:rsidP="006A0BF2">
            <w:pPr>
              <w:pStyle w:val="TableText"/>
              <w:tabs>
                <w:tab w:val="right" w:pos="2291"/>
              </w:tabs>
              <w:rPr>
                <w:sz w:val="20"/>
              </w:rPr>
            </w:pPr>
            <w:r>
              <w:rPr>
                <w:sz w:val="20"/>
              </w:rPr>
              <w:t>(</w:t>
            </w:r>
            <w:r w:rsidR="00B62DA6">
              <w:rPr>
                <w:sz w:val="20"/>
              </w:rPr>
              <w:t xml:space="preserve">most </w:t>
            </w:r>
            <w:r>
              <w:rPr>
                <w:sz w:val="20"/>
              </w:rPr>
              <w:t>completed at Baseline only)</w:t>
            </w:r>
          </w:p>
        </w:tc>
        <w:tc>
          <w:tcPr>
            <w:tcW w:w="3727" w:type="pct"/>
            <w:tcBorders>
              <w:top w:val="single" w:sz="2" w:space="0" w:color="auto"/>
              <w:bottom w:val="single" w:sz="2" w:space="0" w:color="auto"/>
            </w:tcBorders>
          </w:tcPr>
          <w:p w14:paraId="3E032D3A" w14:textId="11360D36" w:rsidR="0029788C" w:rsidRPr="00EB4BD9" w:rsidRDefault="0029788C" w:rsidP="00454E63">
            <w:pPr>
              <w:pStyle w:val="NoSpacing"/>
              <w:rPr>
                <w:sz w:val="20"/>
                <w:szCs w:val="20"/>
              </w:rPr>
            </w:pPr>
            <w:r w:rsidRPr="00EB4BD9">
              <w:rPr>
                <w:sz w:val="20"/>
                <w:szCs w:val="20"/>
              </w:rPr>
              <w:t>The questions include age, sex, ethnicity, race, sexual orientation, marital status, Z</w:t>
            </w:r>
            <w:r w:rsidR="00454E63">
              <w:rPr>
                <w:sz w:val="20"/>
                <w:szCs w:val="20"/>
              </w:rPr>
              <w:t>ip</w:t>
            </w:r>
            <w:r w:rsidRPr="00EB4BD9">
              <w:rPr>
                <w:sz w:val="20"/>
                <w:szCs w:val="20"/>
              </w:rPr>
              <w:t xml:space="preserve"> Code, living arrangements, type of residence (independent or controlled), education, and military service. </w:t>
            </w:r>
            <w:r w:rsidR="00B62DA6" w:rsidRPr="00B62DA6">
              <w:rPr>
                <w:sz w:val="20"/>
                <w:szCs w:val="20"/>
              </w:rPr>
              <w:t xml:space="preserve">Two questions, derived from the recommendations of The Williams Institute GenIUSS Report (2014), are used to assess gender: the first asks </w:t>
            </w:r>
            <w:r w:rsidR="00CC4E13">
              <w:rPr>
                <w:sz w:val="20"/>
                <w:szCs w:val="20"/>
              </w:rPr>
              <w:t>patients</w:t>
            </w:r>
            <w:r w:rsidR="00B62DA6" w:rsidRPr="00B62DA6">
              <w:rPr>
                <w:sz w:val="20"/>
                <w:szCs w:val="20"/>
              </w:rPr>
              <w:t xml:space="preserve"> for their assigned gender at birth, while the second asks </w:t>
            </w:r>
            <w:r w:rsidR="00CC4E13">
              <w:rPr>
                <w:sz w:val="20"/>
                <w:szCs w:val="20"/>
              </w:rPr>
              <w:t>patients</w:t>
            </w:r>
            <w:r w:rsidR="00B62DA6" w:rsidRPr="00B62DA6">
              <w:rPr>
                <w:sz w:val="20"/>
                <w:szCs w:val="20"/>
              </w:rPr>
              <w:t xml:space="preserve"> for their current gender identity.</w:t>
            </w:r>
          </w:p>
        </w:tc>
      </w:tr>
      <w:tr w:rsidR="00E24230" w:rsidRPr="00EE7D45" w14:paraId="6FB7EBD0" w14:textId="77777777" w:rsidTr="00A30BE1">
        <w:tc>
          <w:tcPr>
            <w:tcW w:w="1273" w:type="pct"/>
            <w:tcBorders>
              <w:top w:val="single" w:sz="2" w:space="0" w:color="auto"/>
              <w:bottom w:val="single" w:sz="2" w:space="0" w:color="auto"/>
            </w:tcBorders>
            <w:vAlign w:val="center"/>
          </w:tcPr>
          <w:p w14:paraId="40785058" w14:textId="77777777" w:rsidR="00E24230" w:rsidRPr="00EE7D45" w:rsidRDefault="00E24230" w:rsidP="00A30BE1">
            <w:pPr>
              <w:pStyle w:val="TableText"/>
              <w:tabs>
                <w:tab w:val="right" w:pos="2291"/>
              </w:tabs>
              <w:rPr>
                <w:sz w:val="20"/>
              </w:rPr>
            </w:pPr>
            <w:r w:rsidRPr="00EE7D45">
              <w:rPr>
                <w:sz w:val="20"/>
              </w:rPr>
              <w:t>Social Support</w:t>
            </w:r>
          </w:p>
        </w:tc>
        <w:tc>
          <w:tcPr>
            <w:tcW w:w="3727" w:type="pct"/>
            <w:tcBorders>
              <w:top w:val="single" w:sz="2" w:space="0" w:color="auto"/>
              <w:bottom w:val="single" w:sz="2" w:space="0" w:color="auto"/>
            </w:tcBorders>
          </w:tcPr>
          <w:p w14:paraId="62AF074C" w14:textId="77777777" w:rsidR="00E24230" w:rsidRPr="00EB4BD9" w:rsidRDefault="00E24230" w:rsidP="0011086D">
            <w:pPr>
              <w:pStyle w:val="NoSpacing"/>
              <w:rPr>
                <w:sz w:val="20"/>
                <w:szCs w:val="20"/>
              </w:rPr>
            </w:pPr>
            <w:r w:rsidRPr="00EB4BD9">
              <w:rPr>
                <w:sz w:val="20"/>
                <w:szCs w:val="20"/>
              </w:rPr>
              <w:t>Social support is measured using the Multi-Dimensional Scale of Perceived Social Support, developed by Zimet, Dahlem, Zimet, and Farley (1988).</w:t>
            </w:r>
          </w:p>
        </w:tc>
      </w:tr>
      <w:tr w:rsidR="00E24230" w:rsidRPr="00EE7D45" w14:paraId="48E09D5E" w14:textId="77777777" w:rsidTr="00A30BE1">
        <w:tc>
          <w:tcPr>
            <w:tcW w:w="1273" w:type="pct"/>
            <w:tcBorders>
              <w:top w:val="single" w:sz="2" w:space="0" w:color="auto"/>
              <w:bottom w:val="single" w:sz="2" w:space="0" w:color="auto"/>
            </w:tcBorders>
            <w:vAlign w:val="center"/>
          </w:tcPr>
          <w:p w14:paraId="7DDE7867" w14:textId="77777777" w:rsidR="00E24230" w:rsidRPr="00EB4BD9" w:rsidRDefault="00E24230" w:rsidP="00A30BE1">
            <w:pPr>
              <w:pStyle w:val="TableText"/>
              <w:tabs>
                <w:tab w:val="right" w:pos="2291"/>
              </w:tabs>
              <w:rPr>
                <w:sz w:val="20"/>
              </w:rPr>
            </w:pPr>
            <w:r w:rsidRPr="00EE7D45">
              <w:rPr>
                <w:sz w:val="20"/>
              </w:rPr>
              <w:t>Substance Abuse Stigma Perceptions</w:t>
            </w:r>
          </w:p>
        </w:tc>
        <w:tc>
          <w:tcPr>
            <w:tcW w:w="3727" w:type="pct"/>
            <w:tcBorders>
              <w:top w:val="single" w:sz="2" w:space="0" w:color="auto"/>
              <w:bottom w:val="single" w:sz="2" w:space="0" w:color="auto"/>
            </w:tcBorders>
          </w:tcPr>
          <w:p w14:paraId="5ABE12B5" w14:textId="77777777" w:rsidR="00E24230" w:rsidRPr="006B3FD2" w:rsidRDefault="00E24230" w:rsidP="0011086D">
            <w:pPr>
              <w:pStyle w:val="NoSpacing"/>
              <w:rPr>
                <w:sz w:val="20"/>
                <w:szCs w:val="20"/>
              </w:rPr>
            </w:pPr>
            <w:r w:rsidRPr="00EB4BD9">
              <w:rPr>
                <w:sz w:val="20"/>
                <w:szCs w:val="20"/>
              </w:rPr>
              <w:t>Questions regarding knowledge, attitudes, and beliefs about substance use come from the Substance Abuse Self-Stigma Scale (SASSS) item pool (Luoma et al., 2013) and inclu</w:t>
            </w:r>
            <w:r w:rsidRPr="006B3FD2">
              <w:rPr>
                <w:sz w:val="20"/>
                <w:szCs w:val="20"/>
              </w:rPr>
              <w:t>de items on self-devaluation, fear of enacted stigma, and stigma avoidance and values disengagement.</w:t>
            </w:r>
          </w:p>
        </w:tc>
      </w:tr>
      <w:tr w:rsidR="00E24230" w:rsidRPr="00EE7D45" w14:paraId="2E325366" w14:textId="77777777" w:rsidTr="00A30BE1">
        <w:tc>
          <w:tcPr>
            <w:tcW w:w="1273" w:type="pct"/>
            <w:tcBorders>
              <w:top w:val="single" w:sz="2" w:space="0" w:color="auto"/>
              <w:bottom w:val="single" w:sz="2" w:space="0" w:color="auto"/>
            </w:tcBorders>
            <w:vAlign w:val="center"/>
          </w:tcPr>
          <w:p w14:paraId="6C020366" w14:textId="77777777" w:rsidR="00E24230" w:rsidRPr="00EE7D45" w:rsidDel="00D21BD2" w:rsidRDefault="00E24230" w:rsidP="00A30BE1">
            <w:pPr>
              <w:pStyle w:val="TableText"/>
              <w:rPr>
                <w:sz w:val="20"/>
              </w:rPr>
            </w:pPr>
            <w:r w:rsidRPr="00EE7D45">
              <w:rPr>
                <w:sz w:val="20"/>
              </w:rPr>
              <w:t>Childhood Trauma</w:t>
            </w:r>
          </w:p>
        </w:tc>
        <w:tc>
          <w:tcPr>
            <w:tcW w:w="3727" w:type="pct"/>
            <w:tcBorders>
              <w:top w:val="single" w:sz="2" w:space="0" w:color="auto"/>
              <w:bottom w:val="single" w:sz="2" w:space="0" w:color="auto"/>
            </w:tcBorders>
          </w:tcPr>
          <w:p w14:paraId="2449619C" w14:textId="77777777" w:rsidR="00E24230" w:rsidRPr="00EB4BD9" w:rsidDel="00D21BD2" w:rsidRDefault="00E24230" w:rsidP="0011086D">
            <w:pPr>
              <w:pStyle w:val="NoSpacing"/>
              <w:rPr>
                <w:sz w:val="20"/>
                <w:szCs w:val="20"/>
              </w:rPr>
            </w:pPr>
            <w:r w:rsidRPr="00EB4BD9">
              <w:rPr>
                <w:sz w:val="20"/>
                <w:szCs w:val="20"/>
              </w:rPr>
              <w:t xml:space="preserve">Questions from the CDC’s BRFSS (CDC, 2015) include questions on potential negative experiences during childhood. </w:t>
            </w:r>
          </w:p>
        </w:tc>
      </w:tr>
      <w:tr w:rsidR="00E24230" w:rsidRPr="00EE7D45" w14:paraId="19D1E76E" w14:textId="77777777" w:rsidTr="00A30BE1">
        <w:tc>
          <w:tcPr>
            <w:tcW w:w="1273" w:type="pct"/>
            <w:tcBorders>
              <w:top w:val="single" w:sz="2" w:space="0" w:color="auto"/>
              <w:bottom w:val="single" w:sz="2" w:space="0" w:color="auto"/>
            </w:tcBorders>
            <w:vAlign w:val="center"/>
          </w:tcPr>
          <w:p w14:paraId="5BB62C98" w14:textId="77777777" w:rsidR="00E24230" w:rsidRPr="00EE7D45" w:rsidRDefault="00E24230" w:rsidP="00A30BE1">
            <w:pPr>
              <w:pStyle w:val="TableText"/>
              <w:rPr>
                <w:sz w:val="20"/>
              </w:rPr>
            </w:pPr>
            <w:r w:rsidRPr="00EE7D45">
              <w:rPr>
                <w:sz w:val="20"/>
              </w:rPr>
              <w:t xml:space="preserve">Physical Health </w:t>
            </w:r>
          </w:p>
        </w:tc>
        <w:tc>
          <w:tcPr>
            <w:tcW w:w="3727" w:type="pct"/>
            <w:tcBorders>
              <w:top w:val="single" w:sz="2" w:space="0" w:color="auto"/>
              <w:bottom w:val="single" w:sz="2" w:space="0" w:color="auto"/>
            </w:tcBorders>
          </w:tcPr>
          <w:p w14:paraId="76D9BA6D" w14:textId="77777777" w:rsidR="00E24230" w:rsidRPr="00EB4BD9" w:rsidRDefault="00E24230" w:rsidP="0011086D">
            <w:pPr>
              <w:pStyle w:val="NoSpacing"/>
              <w:rPr>
                <w:sz w:val="20"/>
                <w:szCs w:val="20"/>
              </w:rPr>
            </w:pPr>
            <w:r w:rsidRPr="00EE7D45">
              <w:rPr>
                <w:sz w:val="20"/>
                <w:szCs w:val="20"/>
              </w:rPr>
              <w:t>Questions from NSDUH (2015) include questions on</w:t>
            </w:r>
            <w:r w:rsidR="00EE7D45" w:rsidRPr="00EE7D45">
              <w:rPr>
                <w:sz w:val="20"/>
                <w:szCs w:val="20"/>
              </w:rPr>
              <w:t xml:space="preserve"> lifetime diagnoses,</w:t>
            </w:r>
            <w:r w:rsidRPr="00EE7D45">
              <w:rPr>
                <w:sz w:val="20"/>
                <w:szCs w:val="20"/>
              </w:rPr>
              <w:t xml:space="preserve"> history of HIV/AIDS</w:t>
            </w:r>
            <w:r w:rsidR="00EE7D45" w:rsidRPr="00EB4BD9">
              <w:rPr>
                <w:sz w:val="20"/>
                <w:szCs w:val="20"/>
              </w:rPr>
              <w:t>,</w:t>
            </w:r>
            <w:r w:rsidRPr="00EB4BD9">
              <w:rPr>
                <w:sz w:val="20"/>
                <w:szCs w:val="20"/>
              </w:rPr>
              <w:t xml:space="preserve"> and HEP-C testing and outcomes.</w:t>
            </w:r>
          </w:p>
        </w:tc>
      </w:tr>
      <w:tr w:rsidR="00E24230" w:rsidRPr="00EE7D45" w14:paraId="4A652D5F" w14:textId="77777777" w:rsidTr="00A30BE1">
        <w:tc>
          <w:tcPr>
            <w:tcW w:w="1273" w:type="pct"/>
            <w:tcBorders>
              <w:top w:val="single" w:sz="2" w:space="0" w:color="auto"/>
              <w:bottom w:val="single" w:sz="2" w:space="0" w:color="auto"/>
            </w:tcBorders>
            <w:vAlign w:val="center"/>
          </w:tcPr>
          <w:p w14:paraId="24A815F1" w14:textId="77777777" w:rsidR="00E24230" w:rsidRPr="00EE7D45" w:rsidRDefault="00E24230" w:rsidP="00A30BE1">
            <w:pPr>
              <w:pStyle w:val="TableText"/>
              <w:rPr>
                <w:sz w:val="20"/>
              </w:rPr>
            </w:pPr>
            <w:r w:rsidRPr="00EE7D45">
              <w:rPr>
                <w:sz w:val="20"/>
              </w:rPr>
              <w:t>Pregnancy</w:t>
            </w:r>
          </w:p>
        </w:tc>
        <w:tc>
          <w:tcPr>
            <w:tcW w:w="3727" w:type="pct"/>
            <w:tcBorders>
              <w:top w:val="single" w:sz="2" w:space="0" w:color="auto"/>
              <w:bottom w:val="single" w:sz="2" w:space="0" w:color="auto"/>
            </w:tcBorders>
          </w:tcPr>
          <w:p w14:paraId="5F5E941E" w14:textId="77777777" w:rsidR="00E24230" w:rsidRPr="00EB4BD9" w:rsidRDefault="00E24230" w:rsidP="00454E63">
            <w:pPr>
              <w:pStyle w:val="NoSpacing"/>
              <w:rPr>
                <w:sz w:val="20"/>
                <w:szCs w:val="20"/>
              </w:rPr>
            </w:pPr>
            <w:r w:rsidRPr="00EB4BD9">
              <w:rPr>
                <w:sz w:val="20"/>
                <w:szCs w:val="20"/>
              </w:rPr>
              <w:t>Questions ask about participant</w:t>
            </w:r>
            <w:r w:rsidR="00454E63">
              <w:rPr>
                <w:sz w:val="20"/>
                <w:szCs w:val="20"/>
              </w:rPr>
              <w:t>’</w:t>
            </w:r>
            <w:r w:rsidRPr="00EB4BD9">
              <w:rPr>
                <w:sz w:val="20"/>
                <w:szCs w:val="20"/>
              </w:rPr>
              <w:t>s history of pregnancy, participant</w:t>
            </w:r>
            <w:r w:rsidR="00454E63">
              <w:rPr>
                <w:sz w:val="20"/>
                <w:szCs w:val="20"/>
              </w:rPr>
              <w:t>’</w:t>
            </w:r>
            <w:r w:rsidRPr="00EB4BD9">
              <w:rPr>
                <w:sz w:val="20"/>
                <w:szCs w:val="20"/>
              </w:rPr>
              <w:t>s opioid use while pregnant, and if the participant’s newborn was diagnosed with neonatal abstinence syndrome.</w:t>
            </w:r>
          </w:p>
        </w:tc>
      </w:tr>
      <w:tr w:rsidR="00E24230" w:rsidRPr="00EE7D45" w14:paraId="308F004F" w14:textId="77777777" w:rsidTr="00EE7D45">
        <w:tc>
          <w:tcPr>
            <w:tcW w:w="1273" w:type="pct"/>
            <w:tcBorders>
              <w:top w:val="single" w:sz="2" w:space="0" w:color="auto"/>
              <w:bottom w:val="single" w:sz="2" w:space="0" w:color="auto"/>
            </w:tcBorders>
            <w:vAlign w:val="center"/>
          </w:tcPr>
          <w:p w14:paraId="268A73A0" w14:textId="77777777" w:rsidR="00E24230" w:rsidRPr="00EE7D45" w:rsidRDefault="00E24230" w:rsidP="00A30BE1">
            <w:pPr>
              <w:pStyle w:val="TableText"/>
              <w:rPr>
                <w:sz w:val="20"/>
              </w:rPr>
            </w:pPr>
            <w:r w:rsidRPr="00EE7D45">
              <w:rPr>
                <w:sz w:val="20"/>
              </w:rPr>
              <w:t>Mental Health Disorders and Mental Health Status</w:t>
            </w:r>
          </w:p>
        </w:tc>
        <w:tc>
          <w:tcPr>
            <w:tcW w:w="3727" w:type="pct"/>
            <w:tcBorders>
              <w:top w:val="single" w:sz="2" w:space="0" w:color="auto"/>
              <w:bottom w:val="single" w:sz="2" w:space="0" w:color="auto"/>
            </w:tcBorders>
          </w:tcPr>
          <w:p w14:paraId="288279FF" w14:textId="77777777" w:rsidR="00E24230" w:rsidRPr="00EE7D45" w:rsidRDefault="00E24230" w:rsidP="0011086D">
            <w:pPr>
              <w:pStyle w:val="NoSpacing"/>
              <w:rPr>
                <w:sz w:val="20"/>
                <w:szCs w:val="20"/>
              </w:rPr>
            </w:pPr>
            <w:r w:rsidRPr="00EE7D45">
              <w:rPr>
                <w:sz w:val="20"/>
                <w:szCs w:val="20"/>
              </w:rPr>
              <w:t>Three scales, the Perceived Stress Scale (Cohen, Kamarck &amp; Mermelstein, 1983), Patient Health Questionnaire (PHQ-</w:t>
            </w:r>
            <w:r w:rsidR="00DD57D6" w:rsidRPr="00EE7D45">
              <w:rPr>
                <w:sz w:val="20"/>
                <w:szCs w:val="20"/>
              </w:rPr>
              <w:t>9</w:t>
            </w:r>
            <w:r w:rsidRPr="00EE7D45">
              <w:rPr>
                <w:sz w:val="20"/>
                <w:szCs w:val="20"/>
              </w:rPr>
              <w:t>) (Kroenke, Spitzer, &amp; Williams, 2001), and PC-PTSD scale (Prins et. al., 2015).</w:t>
            </w:r>
          </w:p>
        </w:tc>
      </w:tr>
      <w:tr w:rsidR="00EE7D45" w14:paraId="5D3C08FE" w14:textId="77777777" w:rsidTr="00EE7D45">
        <w:tblPrEx>
          <w:tblBorders>
            <w:top w:val="none" w:sz="0" w:space="0" w:color="auto"/>
            <w:bottom w:val="none" w:sz="0" w:space="0" w:color="auto"/>
          </w:tblBorders>
          <w:tblCellMar>
            <w:left w:w="0" w:type="dxa"/>
            <w:right w:w="0" w:type="dxa"/>
          </w:tblCellMar>
        </w:tblPrEx>
        <w:tc>
          <w:tcPr>
            <w:tcW w:w="1273" w:type="pct"/>
            <w:tcBorders>
              <w:top w:val="nil"/>
              <w:left w:val="nil"/>
              <w:bottom w:val="single" w:sz="12" w:space="0" w:color="auto"/>
              <w:right w:val="nil"/>
            </w:tcBorders>
            <w:tcMar>
              <w:top w:w="0" w:type="dxa"/>
              <w:left w:w="115" w:type="dxa"/>
              <w:bottom w:w="0" w:type="dxa"/>
              <w:right w:w="115" w:type="dxa"/>
            </w:tcMar>
            <w:vAlign w:val="center"/>
            <w:hideMark/>
          </w:tcPr>
          <w:p w14:paraId="790B93EA" w14:textId="77777777" w:rsidR="00EE7D45" w:rsidRPr="00EE7D45" w:rsidRDefault="00EE7D45">
            <w:pPr>
              <w:pStyle w:val="TableText"/>
              <w:rPr>
                <w:sz w:val="20"/>
              </w:rPr>
            </w:pPr>
            <w:r w:rsidRPr="00EE7D45">
              <w:rPr>
                <w:sz w:val="20"/>
              </w:rPr>
              <w:t>Suicidal Ideation and Attempts</w:t>
            </w:r>
          </w:p>
        </w:tc>
        <w:tc>
          <w:tcPr>
            <w:tcW w:w="3727" w:type="pct"/>
            <w:tcBorders>
              <w:top w:val="nil"/>
              <w:left w:val="nil"/>
              <w:bottom w:val="single" w:sz="12" w:space="0" w:color="auto"/>
              <w:right w:val="nil"/>
            </w:tcBorders>
            <w:tcMar>
              <w:top w:w="0" w:type="dxa"/>
              <w:left w:w="115" w:type="dxa"/>
              <w:bottom w:w="0" w:type="dxa"/>
              <w:right w:w="115" w:type="dxa"/>
            </w:tcMar>
            <w:hideMark/>
          </w:tcPr>
          <w:p w14:paraId="4C366135" w14:textId="77777777" w:rsidR="00EE7D45" w:rsidRPr="00EE7D45" w:rsidRDefault="00EE7D45" w:rsidP="00454E63">
            <w:pPr>
              <w:pStyle w:val="NoSpacing"/>
              <w:rPr>
                <w:sz w:val="20"/>
                <w:szCs w:val="20"/>
              </w:rPr>
            </w:pPr>
            <w:r w:rsidRPr="00EE7D45">
              <w:rPr>
                <w:sz w:val="20"/>
                <w:szCs w:val="20"/>
              </w:rPr>
              <w:t>Questions from the 2015 NSDUH ask the about the client</w:t>
            </w:r>
            <w:r w:rsidR="00454E63">
              <w:rPr>
                <w:sz w:val="20"/>
                <w:szCs w:val="20"/>
              </w:rPr>
              <w:t>’</w:t>
            </w:r>
            <w:r w:rsidRPr="00EE7D45">
              <w:rPr>
                <w:sz w:val="20"/>
                <w:szCs w:val="20"/>
              </w:rPr>
              <w:t xml:space="preserve">s suicide ideation and attempts over the past 12 months. </w:t>
            </w:r>
          </w:p>
        </w:tc>
      </w:tr>
    </w:tbl>
    <w:p w14:paraId="6331D0D6" w14:textId="77777777" w:rsidR="00E24230" w:rsidRDefault="00E24230" w:rsidP="00E24230">
      <w:pPr>
        <w:pStyle w:val="tabfigsource"/>
      </w:pPr>
      <w:r>
        <w:t>PTSD = posttraumatic stress disorder.</w:t>
      </w:r>
    </w:p>
    <w:p w14:paraId="09259669" w14:textId="77777777" w:rsidR="00E24230" w:rsidRDefault="00E24230" w:rsidP="00E24230">
      <w:pPr>
        <w:pStyle w:val="bullets"/>
        <w:numPr>
          <w:ilvl w:val="0"/>
          <w:numId w:val="0"/>
        </w:numPr>
        <w:rPr>
          <w:rFonts w:eastAsia="Batang"/>
          <w:b/>
        </w:rPr>
      </w:pPr>
    </w:p>
    <w:p w14:paraId="0207E682" w14:textId="1229BEA6" w:rsidR="00AE4A06" w:rsidRPr="00B729D2" w:rsidRDefault="00E22C79" w:rsidP="00B729D2">
      <w:pPr>
        <w:pStyle w:val="bullets"/>
        <w:numPr>
          <w:ilvl w:val="0"/>
          <w:numId w:val="0"/>
        </w:numPr>
        <w:rPr>
          <w:rFonts w:eastAsia="Batang"/>
          <w:b/>
        </w:rPr>
      </w:pPr>
      <w:r>
        <w:rPr>
          <w:rFonts w:eastAsia="Batang"/>
          <w:b/>
        </w:rPr>
        <w:t xml:space="preserve">Patient </w:t>
      </w:r>
      <w:r w:rsidR="00AE4A06">
        <w:rPr>
          <w:rFonts w:eastAsia="Batang"/>
          <w:b/>
        </w:rPr>
        <w:t>and Treatment Facility</w:t>
      </w:r>
      <w:r w:rsidR="00752B18">
        <w:rPr>
          <w:rFonts w:eastAsia="Batang"/>
          <w:b/>
        </w:rPr>
        <w:t xml:space="preserve"> Staff</w:t>
      </w:r>
      <w:r w:rsidR="00AE4A06">
        <w:rPr>
          <w:rFonts w:eastAsia="Batang"/>
          <w:b/>
        </w:rPr>
        <w:t xml:space="preserve"> Focus Groups</w:t>
      </w:r>
      <w:r w:rsidR="00AA4CF2">
        <w:rPr>
          <w:rFonts w:eastAsia="Batang"/>
          <w:b/>
        </w:rPr>
        <w:t xml:space="preserve"> </w:t>
      </w:r>
    </w:p>
    <w:p w14:paraId="0422AAB9" w14:textId="6297B448" w:rsidR="00686FAF" w:rsidRDefault="00AE4A06" w:rsidP="00686FAF">
      <w:pPr>
        <w:pStyle w:val="BodyTextIndent1"/>
        <w:ind w:left="0" w:firstLine="720"/>
        <w:rPr>
          <w:rFonts w:eastAsia="Batang"/>
        </w:rPr>
      </w:pPr>
      <w:r>
        <w:rPr>
          <w:rFonts w:eastAsia="Batang"/>
        </w:rPr>
        <w:t xml:space="preserve">To better understand the </w:t>
      </w:r>
      <w:r w:rsidR="007510EF">
        <w:rPr>
          <w:rFonts w:eastAsia="Batang"/>
        </w:rPr>
        <w:t>often-complex</w:t>
      </w:r>
      <w:r w:rsidR="00752B18">
        <w:rPr>
          <w:rFonts w:eastAsia="Batang"/>
        </w:rPr>
        <w:t xml:space="preserve"> facilitators</w:t>
      </w:r>
      <w:r>
        <w:rPr>
          <w:rFonts w:eastAsia="Batang"/>
        </w:rPr>
        <w:t xml:space="preserve"> and barriers to obtaining, remaining in</w:t>
      </w:r>
      <w:r w:rsidR="00752B18">
        <w:rPr>
          <w:rFonts w:eastAsia="Batang"/>
        </w:rPr>
        <w:t>,</w:t>
      </w:r>
      <w:r>
        <w:rPr>
          <w:rFonts w:eastAsia="Batang"/>
        </w:rPr>
        <w:t xml:space="preserve"> and providing MAT and counseling with</w:t>
      </w:r>
      <w:r w:rsidR="004373E7">
        <w:rPr>
          <w:rFonts w:eastAsia="Batang"/>
        </w:rPr>
        <w:t>out</w:t>
      </w:r>
      <w:r>
        <w:rPr>
          <w:rFonts w:eastAsia="Batang"/>
        </w:rPr>
        <w:t xml:space="preserve"> medication, the MAT </w:t>
      </w:r>
      <w:r w:rsidR="00771990">
        <w:rPr>
          <w:rFonts w:eastAsia="Batang"/>
        </w:rPr>
        <w:t>S</w:t>
      </w:r>
      <w:r>
        <w:rPr>
          <w:rFonts w:eastAsia="Batang"/>
        </w:rPr>
        <w:t xml:space="preserve">tudy </w:t>
      </w:r>
      <w:r w:rsidR="00D51363">
        <w:rPr>
          <w:rFonts w:eastAsia="Batang"/>
        </w:rPr>
        <w:t>will also conduct separate Focus G</w:t>
      </w:r>
      <w:r>
        <w:rPr>
          <w:rFonts w:eastAsia="Batang"/>
        </w:rPr>
        <w:t xml:space="preserve">roups with </w:t>
      </w:r>
      <w:r w:rsidR="00CC4E13">
        <w:rPr>
          <w:rFonts w:eastAsia="Batang"/>
        </w:rPr>
        <w:t>patients</w:t>
      </w:r>
      <w:r>
        <w:rPr>
          <w:rFonts w:eastAsia="Batang"/>
        </w:rPr>
        <w:t xml:space="preserve"> </w:t>
      </w:r>
      <w:r w:rsidR="00475148">
        <w:rPr>
          <w:rFonts w:eastAsia="Batang"/>
        </w:rPr>
        <w:t xml:space="preserve">(Att. 7) </w:t>
      </w:r>
      <w:r>
        <w:rPr>
          <w:rFonts w:eastAsia="Batang"/>
        </w:rPr>
        <w:t>and treatment facility staff</w:t>
      </w:r>
      <w:r w:rsidR="00475148">
        <w:rPr>
          <w:rFonts w:eastAsia="Batang"/>
        </w:rPr>
        <w:t xml:space="preserve"> (Att. 8)</w:t>
      </w:r>
      <w:r>
        <w:rPr>
          <w:rFonts w:eastAsia="Batang"/>
        </w:rPr>
        <w:t xml:space="preserve">. </w:t>
      </w:r>
      <w:r w:rsidR="00E22C79">
        <w:rPr>
          <w:rFonts w:eastAsia="Batang"/>
        </w:rPr>
        <w:t xml:space="preserve">Patient </w:t>
      </w:r>
      <w:r>
        <w:rPr>
          <w:rFonts w:eastAsia="Batang"/>
        </w:rPr>
        <w:t xml:space="preserve">Focus Groups will </w:t>
      </w:r>
      <w:r w:rsidR="00FB1B04">
        <w:rPr>
          <w:rFonts w:eastAsia="Batang"/>
        </w:rPr>
        <w:t>collect qualitative information on decisions to enter treatment, treatment access</w:t>
      </w:r>
      <w:r w:rsidR="00752B18">
        <w:rPr>
          <w:rFonts w:eastAsia="Batang"/>
        </w:rPr>
        <w:t xml:space="preserve">, barriers and facilitators </w:t>
      </w:r>
      <w:r w:rsidR="00FB1B04">
        <w:rPr>
          <w:rFonts w:eastAsia="Batang"/>
        </w:rPr>
        <w:t>to treatment, and experience with providers</w:t>
      </w:r>
      <w:r w:rsidR="004A16AA">
        <w:rPr>
          <w:rFonts w:eastAsia="Batang"/>
        </w:rPr>
        <w:t xml:space="preserve">. </w:t>
      </w:r>
      <w:r w:rsidR="002212A8">
        <w:rPr>
          <w:rFonts w:eastAsia="Batang"/>
        </w:rPr>
        <w:t>This information will help provide context to the qua</w:t>
      </w:r>
      <w:r w:rsidR="004373E7">
        <w:rPr>
          <w:rFonts w:eastAsia="Batang"/>
        </w:rPr>
        <w:t>n</w:t>
      </w:r>
      <w:r w:rsidR="002212A8">
        <w:rPr>
          <w:rFonts w:eastAsia="Batang"/>
        </w:rPr>
        <w:t>t</w:t>
      </w:r>
      <w:r w:rsidR="004373E7">
        <w:rPr>
          <w:rFonts w:eastAsia="Batang"/>
        </w:rPr>
        <w:t>it</w:t>
      </w:r>
      <w:r w:rsidR="002212A8">
        <w:rPr>
          <w:rFonts w:eastAsia="Batang"/>
        </w:rPr>
        <w:t xml:space="preserve">ative data on client outcomes. Similarly, the </w:t>
      </w:r>
      <w:r w:rsidR="004373E7">
        <w:rPr>
          <w:rFonts w:eastAsia="Batang"/>
        </w:rPr>
        <w:t xml:space="preserve">Treatment Facility </w:t>
      </w:r>
      <w:r w:rsidR="002212A8">
        <w:rPr>
          <w:rFonts w:eastAsia="Batang"/>
        </w:rPr>
        <w:t xml:space="preserve">Staff Focus Group </w:t>
      </w:r>
      <w:r w:rsidR="00752B18">
        <w:rPr>
          <w:rFonts w:eastAsia="Batang"/>
        </w:rPr>
        <w:t>will collect</w:t>
      </w:r>
      <w:r w:rsidR="002212A8">
        <w:rPr>
          <w:rFonts w:eastAsia="Batang"/>
        </w:rPr>
        <w:t xml:space="preserve"> qualitative information on </w:t>
      </w:r>
      <w:r w:rsidR="004F59BF">
        <w:rPr>
          <w:rFonts w:eastAsia="Batang"/>
        </w:rPr>
        <w:t xml:space="preserve">the </w:t>
      </w:r>
      <w:r w:rsidR="002212A8">
        <w:rPr>
          <w:rFonts w:eastAsia="Batang"/>
        </w:rPr>
        <w:t>treatment facility work environment, staff backgrounds with MAT or counseling</w:t>
      </w:r>
      <w:r w:rsidR="004373E7">
        <w:rPr>
          <w:rFonts w:eastAsia="Batang"/>
        </w:rPr>
        <w:t xml:space="preserve"> without medication</w:t>
      </w:r>
      <w:r w:rsidR="002212A8">
        <w:rPr>
          <w:rFonts w:eastAsia="Batang"/>
        </w:rPr>
        <w:t xml:space="preserve">, barriers and facilitators to treating OUD </w:t>
      </w:r>
      <w:r w:rsidR="00CC4E13">
        <w:rPr>
          <w:rFonts w:eastAsia="Batang"/>
        </w:rPr>
        <w:t>patients</w:t>
      </w:r>
      <w:r w:rsidR="002212A8">
        <w:rPr>
          <w:rFonts w:eastAsia="Batang"/>
        </w:rPr>
        <w:t xml:space="preserve">, and staff opinions on effective OUD treatment. </w:t>
      </w:r>
      <w:r w:rsidR="00335AF1">
        <w:rPr>
          <w:rFonts w:eastAsia="Batang"/>
        </w:rPr>
        <w:t xml:space="preserve">This qualitative data will provide further context to understand the client impressions of MAT and counseling without medication as well as further context through which to better interpret client outcomes. </w:t>
      </w:r>
    </w:p>
    <w:p w14:paraId="3A9E33BF" w14:textId="248A5A67" w:rsidR="00433A2E" w:rsidRDefault="00335AF1" w:rsidP="00686FAF">
      <w:pPr>
        <w:pStyle w:val="BodyTextIndent1"/>
        <w:ind w:left="0" w:firstLine="720"/>
        <w:rPr>
          <w:rFonts w:eastAsia="Batang"/>
        </w:rPr>
      </w:pPr>
      <w:r>
        <w:rPr>
          <w:rFonts w:eastAsia="Batang"/>
        </w:rPr>
        <w:t xml:space="preserve">Both the </w:t>
      </w:r>
      <w:r w:rsidR="00C77ACC">
        <w:rPr>
          <w:rFonts w:eastAsia="Batang"/>
        </w:rPr>
        <w:t>Patient</w:t>
      </w:r>
      <w:r>
        <w:rPr>
          <w:rFonts w:eastAsia="Batang"/>
        </w:rPr>
        <w:t xml:space="preserve"> and Staff Focus Groups will be conducted </w:t>
      </w:r>
      <w:r w:rsidR="00C77ACC">
        <w:rPr>
          <w:rFonts w:eastAsia="Batang"/>
        </w:rPr>
        <w:t xml:space="preserve">annually </w:t>
      </w:r>
      <w:r w:rsidR="00D51363">
        <w:rPr>
          <w:rFonts w:eastAsia="Batang"/>
        </w:rPr>
        <w:t xml:space="preserve">for three years. </w:t>
      </w:r>
      <w:r w:rsidR="00C77ACC">
        <w:rPr>
          <w:rFonts w:eastAsia="Batang"/>
        </w:rPr>
        <w:t xml:space="preserve">There will be three Patient Focus Groups </w:t>
      </w:r>
      <w:r w:rsidR="00C15969">
        <w:rPr>
          <w:rFonts w:eastAsia="Batang"/>
        </w:rPr>
        <w:t xml:space="preserve">(Att. 7) </w:t>
      </w:r>
      <w:r w:rsidR="00C77ACC">
        <w:rPr>
          <w:rFonts w:eastAsia="Batang"/>
        </w:rPr>
        <w:t xml:space="preserve">per year, one for METH/BUP patients, one for NTX patients, and one for counseling only patients. </w:t>
      </w:r>
      <w:r w:rsidR="00D51363">
        <w:rPr>
          <w:rFonts w:eastAsia="Batang"/>
        </w:rPr>
        <w:t xml:space="preserve">Each </w:t>
      </w:r>
      <w:r w:rsidR="00C77ACC">
        <w:rPr>
          <w:rFonts w:eastAsia="Batang"/>
        </w:rPr>
        <w:t>Patient</w:t>
      </w:r>
      <w:r w:rsidR="00D51363">
        <w:rPr>
          <w:rFonts w:eastAsia="Batang"/>
        </w:rPr>
        <w:t xml:space="preserve"> Focus G</w:t>
      </w:r>
      <w:r w:rsidR="004373E7">
        <w:rPr>
          <w:rFonts w:eastAsia="Batang"/>
        </w:rPr>
        <w:t xml:space="preserve">roup </w:t>
      </w:r>
      <w:r w:rsidR="00AA4CF2">
        <w:rPr>
          <w:rFonts w:eastAsia="Batang"/>
        </w:rPr>
        <w:t xml:space="preserve">will consist of </w:t>
      </w:r>
      <w:r>
        <w:rPr>
          <w:rFonts w:eastAsia="Batang"/>
        </w:rPr>
        <w:t xml:space="preserve">up to </w:t>
      </w:r>
      <w:r w:rsidR="00752B18">
        <w:rPr>
          <w:rFonts w:eastAsia="Batang"/>
        </w:rPr>
        <w:t>9</w:t>
      </w:r>
      <w:r>
        <w:rPr>
          <w:rFonts w:eastAsia="Batang"/>
        </w:rPr>
        <w:t xml:space="preserve"> </w:t>
      </w:r>
      <w:r w:rsidR="00CC4E13">
        <w:rPr>
          <w:rFonts w:eastAsia="Batang"/>
        </w:rPr>
        <w:t>patients</w:t>
      </w:r>
      <w:r w:rsidR="00686FAF">
        <w:rPr>
          <w:rFonts w:eastAsia="Batang"/>
        </w:rPr>
        <w:t xml:space="preserve">. </w:t>
      </w:r>
      <w:r w:rsidR="004373E7">
        <w:rPr>
          <w:rFonts w:eastAsia="Batang"/>
        </w:rPr>
        <w:t>Each</w:t>
      </w:r>
      <w:r>
        <w:rPr>
          <w:rFonts w:eastAsia="Batang"/>
        </w:rPr>
        <w:t xml:space="preserve"> staff </w:t>
      </w:r>
      <w:r w:rsidR="00D51363">
        <w:rPr>
          <w:rFonts w:eastAsia="Batang"/>
        </w:rPr>
        <w:t>Focus G</w:t>
      </w:r>
      <w:r w:rsidR="004373E7">
        <w:rPr>
          <w:rFonts w:eastAsia="Batang"/>
        </w:rPr>
        <w:t xml:space="preserve">roup will consist </w:t>
      </w:r>
      <w:r w:rsidR="00D51363">
        <w:rPr>
          <w:rFonts w:eastAsia="Batang"/>
        </w:rPr>
        <w:t>of up to 9 clinical staff. All Focus G</w:t>
      </w:r>
      <w:r w:rsidR="004373E7">
        <w:rPr>
          <w:rFonts w:eastAsia="Batang"/>
        </w:rPr>
        <w:t>roups</w:t>
      </w:r>
      <w:r>
        <w:rPr>
          <w:rFonts w:eastAsia="Batang"/>
        </w:rPr>
        <w:t xml:space="preserve"> will be conducted virtually </w:t>
      </w:r>
      <w:r w:rsidR="00AA4CF2">
        <w:rPr>
          <w:rFonts w:eastAsia="Batang"/>
        </w:rPr>
        <w:t xml:space="preserve">via tele-conference. </w:t>
      </w:r>
    </w:p>
    <w:p w14:paraId="40FC361A" w14:textId="1FFBF1EA" w:rsidR="00335AF1" w:rsidRPr="00AA4CF2" w:rsidRDefault="00433A2E" w:rsidP="00686FAF">
      <w:pPr>
        <w:pStyle w:val="BodyTextIndent1"/>
        <w:ind w:left="0" w:firstLine="720"/>
        <w:rPr>
          <w:rFonts w:eastAsia="Batang"/>
        </w:rPr>
      </w:pPr>
      <w:r w:rsidRPr="005834F4">
        <w:rPr>
          <w:lang w:val="en"/>
        </w:rPr>
        <w:t xml:space="preserve">Participants </w:t>
      </w:r>
      <w:r>
        <w:rPr>
          <w:lang w:val="en"/>
        </w:rPr>
        <w:t xml:space="preserve">for the Patient Focus Groups </w:t>
      </w:r>
      <w:r w:rsidR="00475148">
        <w:rPr>
          <w:lang w:val="en"/>
        </w:rPr>
        <w:t xml:space="preserve">(Att. 7) </w:t>
      </w:r>
      <w:r w:rsidRPr="005834F4">
        <w:rPr>
          <w:lang w:val="en"/>
        </w:rPr>
        <w:t xml:space="preserve">will be selected among those </w:t>
      </w:r>
      <w:r>
        <w:rPr>
          <w:lang w:val="en"/>
        </w:rPr>
        <w:t>patients</w:t>
      </w:r>
      <w:r w:rsidRPr="005834F4">
        <w:rPr>
          <w:lang w:val="en"/>
        </w:rPr>
        <w:t xml:space="preserve"> enrolled in </w:t>
      </w:r>
      <w:r>
        <w:rPr>
          <w:lang w:val="en"/>
        </w:rPr>
        <w:t>the MAT Study</w:t>
      </w:r>
      <w:r w:rsidRPr="005834F4">
        <w:rPr>
          <w:lang w:val="en"/>
        </w:rPr>
        <w:t xml:space="preserve">. </w:t>
      </w:r>
      <w:r>
        <w:rPr>
          <w:lang w:val="en"/>
        </w:rPr>
        <w:t xml:space="preserve">Patients will be asked during the administration of the Client Questionnaire </w:t>
      </w:r>
      <w:r w:rsidR="001347BC">
        <w:rPr>
          <w:lang w:val="en"/>
        </w:rPr>
        <w:t xml:space="preserve">(Att. 6) </w:t>
      </w:r>
      <w:r>
        <w:rPr>
          <w:lang w:val="en"/>
        </w:rPr>
        <w:t xml:space="preserve">if they will consider participating in a telephone focus group. Patients will be selected purposefully to ensure representation by key groups or characteristics. RTI will track who participates in each focus group and each patient will only be eligible to participate once. </w:t>
      </w:r>
      <w:r w:rsidRPr="005834F4">
        <w:rPr>
          <w:lang w:val="en"/>
        </w:rPr>
        <w:t xml:space="preserve">Within each group, the </w:t>
      </w:r>
      <w:r>
        <w:rPr>
          <w:lang w:val="en"/>
        </w:rPr>
        <w:t>patients</w:t>
      </w:r>
      <w:r w:rsidRPr="005834F4">
        <w:rPr>
          <w:lang w:val="en"/>
        </w:rPr>
        <w:t xml:space="preserve"> will be recruited to represent a diverse range of client-level characteristics, namely sex, age, residence (i.e., rural</w:t>
      </w:r>
      <w:r>
        <w:rPr>
          <w:lang w:val="en"/>
        </w:rPr>
        <w:t xml:space="preserve"> or</w:t>
      </w:r>
      <w:r w:rsidRPr="005834F4">
        <w:rPr>
          <w:lang w:val="en"/>
        </w:rPr>
        <w:t xml:space="preserve"> urban), type of opioid (i.e., prescription opioid vs. heroin), and route of administration (i.e., injector vs. non-injector). </w:t>
      </w:r>
      <w:r>
        <w:rPr>
          <w:lang w:val="en"/>
        </w:rPr>
        <w:t xml:space="preserve">RTI will use data on patient characteristics from the baseline client questionnaire to inform our participant selection. Invitations will be sent out via email to a small number of patients from among those who agree to be contacted. </w:t>
      </w:r>
    </w:p>
    <w:bookmarkEnd w:id="15"/>
    <w:bookmarkEnd w:id="16"/>
    <w:p w14:paraId="26B46B70" w14:textId="77777777" w:rsidR="008F765A" w:rsidRPr="009B1505" w:rsidRDefault="00AA4CF2" w:rsidP="00B729D2">
      <w:pPr>
        <w:pStyle w:val="BodyText1"/>
      </w:pPr>
      <w:r>
        <w:t xml:space="preserve">All </w:t>
      </w:r>
      <w:r w:rsidR="00752B18">
        <w:t>data collected</w:t>
      </w:r>
      <w:r w:rsidR="00F04923">
        <w:t xml:space="preserve"> </w:t>
      </w:r>
      <w:r w:rsidR="004373E7">
        <w:t xml:space="preserve">are </w:t>
      </w:r>
      <w:r w:rsidR="00F04923">
        <w:t xml:space="preserve">designed to be disseminated publicly to practitioners, individuals with OUDs, researchers, and lay audiences. The data collection will inform best practices, build the evidence base, and provide de-identified datasets for additional research. Dissemination activities are discussed fully in </w:t>
      </w:r>
      <w:r w:rsidR="00F04923" w:rsidRPr="00752B18">
        <w:t>Section A.16</w:t>
      </w:r>
      <w:r w:rsidR="00F04923">
        <w:t>. Data collection will</w:t>
      </w:r>
      <w:r w:rsidR="00F04923">
        <w:rPr>
          <w:rFonts w:eastAsia="Batang"/>
        </w:rPr>
        <w:t xml:space="preserve"> be conducted by RTI</w:t>
      </w:r>
      <w:r w:rsidR="00752B18">
        <w:rPr>
          <w:rFonts w:eastAsia="Batang"/>
        </w:rPr>
        <w:t xml:space="preserve"> International</w:t>
      </w:r>
      <w:r w:rsidR="00F04923">
        <w:rPr>
          <w:rFonts w:eastAsia="Batang"/>
        </w:rPr>
        <w:t xml:space="preserve"> under contract </w:t>
      </w:r>
      <w:r w:rsidR="00F04923">
        <w:t xml:space="preserve">HHSD20002013M53964B and is funded under a </w:t>
      </w:r>
      <w:r w:rsidR="00F04923" w:rsidRPr="001F3A53">
        <w:t>4.5-year, fixed</w:t>
      </w:r>
      <w:r w:rsidR="00BE36EF">
        <w:t>-</w:t>
      </w:r>
      <w:r w:rsidR="00F04923" w:rsidRPr="001F3A53">
        <w:t>price budget</w:t>
      </w:r>
      <w:r w:rsidR="00F04923">
        <w:t xml:space="preserve"> with payment made for specific project deliverables.  </w:t>
      </w:r>
    </w:p>
    <w:p w14:paraId="728A76BC" w14:textId="77777777" w:rsidR="007D2A22" w:rsidRPr="009B1505" w:rsidRDefault="007D2A22" w:rsidP="007D2A22">
      <w:pPr>
        <w:pStyle w:val="Heading2"/>
      </w:pPr>
      <w:bookmarkStart w:id="17" w:name="_Toc88033467"/>
      <w:bookmarkStart w:id="18" w:name="_Toc474237975"/>
      <w:bookmarkStart w:id="19" w:name="_Toc497134496"/>
      <w:r w:rsidRPr="009B1505">
        <w:t>A.3</w:t>
      </w:r>
      <w:r w:rsidRPr="009B1505">
        <w:tab/>
      </w:r>
      <w:bookmarkEnd w:id="17"/>
      <w:r w:rsidRPr="009B1505">
        <w:t>Use of Improved Information Technology and Burden Reduction</w:t>
      </w:r>
      <w:bookmarkEnd w:id="18"/>
      <w:bookmarkEnd w:id="19"/>
    </w:p>
    <w:p w14:paraId="44F9FC56" w14:textId="346E9869" w:rsidR="007D2A22" w:rsidRPr="009B1505" w:rsidRDefault="007D2A22" w:rsidP="007D2A22">
      <w:pPr>
        <w:pStyle w:val="BodyText1"/>
      </w:pPr>
      <w:r w:rsidRPr="009B1505">
        <w:t>Information technology will be used, as appropriate, across all data collection activities. Its use will reduce respondent burden, increase privacy</w:t>
      </w:r>
      <w:r w:rsidR="00437CBB">
        <w:t>,</w:t>
      </w:r>
      <w:r w:rsidRPr="009B1505">
        <w:t xml:space="preserve"> and streamline data collection and processing across </w:t>
      </w:r>
      <w:r w:rsidR="00BE36EF">
        <w:t xml:space="preserve">the </w:t>
      </w:r>
      <w:r w:rsidR="00AA4CF2">
        <w:t>64</w:t>
      </w:r>
      <w:r w:rsidR="00AA4CF2" w:rsidRPr="009B1505">
        <w:t xml:space="preserve"> </w:t>
      </w:r>
      <w:r w:rsidR="0062507E">
        <w:t>treatment facilities</w:t>
      </w:r>
      <w:r w:rsidRPr="009B1505">
        <w:t xml:space="preserve">. The </w:t>
      </w:r>
      <w:r w:rsidR="00E22C79">
        <w:t>Patient</w:t>
      </w:r>
      <w:r w:rsidR="00E22C79" w:rsidRPr="009B1505">
        <w:t xml:space="preserve"> </w:t>
      </w:r>
      <w:r w:rsidR="0074619A" w:rsidRPr="009B1505">
        <w:t>Screener</w:t>
      </w:r>
      <w:r w:rsidR="00437CBB">
        <w:t xml:space="preserve"> Form</w:t>
      </w:r>
      <w:r w:rsidR="0074619A">
        <w:t>,</w:t>
      </w:r>
      <w:r w:rsidR="0074619A" w:rsidRPr="009B1505">
        <w:t xml:space="preserve"> </w:t>
      </w:r>
      <w:r w:rsidR="00E22C79">
        <w:t xml:space="preserve">Patient </w:t>
      </w:r>
      <w:r w:rsidR="00752B18">
        <w:t xml:space="preserve">Check-In </w:t>
      </w:r>
      <w:r w:rsidRPr="009B1505">
        <w:t xml:space="preserve">and </w:t>
      </w:r>
      <w:r w:rsidR="00E22C79">
        <w:t>Patient</w:t>
      </w:r>
      <w:r w:rsidR="00E22C79" w:rsidRPr="009B1505">
        <w:t xml:space="preserve"> </w:t>
      </w:r>
      <w:r w:rsidR="0074619A" w:rsidRPr="009B1505">
        <w:t>Questionnaire</w:t>
      </w:r>
      <w:r w:rsidR="00752B18">
        <w:t>s</w:t>
      </w:r>
      <w:r w:rsidRPr="009B1505">
        <w:t xml:space="preserve"> will all be administered using a </w:t>
      </w:r>
      <w:r w:rsidR="008850CF">
        <w:t xml:space="preserve">secure </w:t>
      </w:r>
      <w:r w:rsidRPr="009B1505">
        <w:t>laptop computer</w:t>
      </w:r>
      <w:r w:rsidR="0074619A">
        <w:t>,</w:t>
      </w:r>
      <w:r w:rsidRPr="009B1505">
        <w:t xml:space="preserve"> and each tool will be web-based so that </w:t>
      </w:r>
      <w:r w:rsidR="00B71C13">
        <w:t>RTI FIs</w:t>
      </w:r>
      <w:r w:rsidR="006A0BF2">
        <w:t>,</w:t>
      </w:r>
      <w:r w:rsidR="00B71C13">
        <w:t xml:space="preserve"> </w:t>
      </w:r>
      <w:r w:rsidR="00B774C2">
        <w:t>treatment facility</w:t>
      </w:r>
      <w:r w:rsidR="00B774C2" w:rsidRPr="009B1505">
        <w:t xml:space="preserve"> </w:t>
      </w:r>
      <w:r w:rsidRPr="009B1505">
        <w:t>staff</w:t>
      </w:r>
      <w:r w:rsidR="00B71C13">
        <w:t>,</w:t>
      </w:r>
      <w:r w:rsidRPr="009B1505">
        <w:t xml:space="preserve"> and </w:t>
      </w:r>
      <w:r w:rsidR="00CC4E13">
        <w:t>patients</w:t>
      </w:r>
      <w:r w:rsidR="0074619A">
        <w:t xml:space="preserve"> can easily use it</w:t>
      </w:r>
      <w:r w:rsidRPr="009B1505">
        <w:t>. The questionnaires will be programmed with automatic skip patterns, which</w:t>
      </w:r>
      <w:r w:rsidR="00980071">
        <w:t xml:space="preserve"> </w:t>
      </w:r>
      <w:r w:rsidRPr="009B1505">
        <w:t xml:space="preserve">will be critical in allowing </w:t>
      </w:r>
      <w:r w:rsidR="00CC4E13">
        <w:t>patients</w:t>
      </w:r>
      <w:r w:rsidRPr="009B1505">
        <w:t xml:space="preserve"> to quickly answer </w:t>
      </w:r>
      <w:r w:rsidR="00244C0D">
        <w:t xml:space="preserve">only the </w:t>
      </w:r>
      <w:r w:rsidRPr="009B1505">
        <w:t xml:space="preserve">questions </w:t>
      </w:r>
      <w:r w:rsidR="00244C0D">
        <w:t>that are relevant to their experiences</w:t>
      </w:r>
      <w:r w:rsidR="00980071">
        <w:t>;</w:t>
      </w:r>
      <w:r w:rsidR="00BE07CE">
        <w:t xml:space="preserve"> </w:t>
      </w:r>
      <w:r w:rsidR="00980071">
        <w:t>f</w:t>
      </w:r>
      <w:r w:rsidR="00244C0D">
        <w:t xml:space="preserve">or example, only answering questions related to the </w:t>
      </w:r>
      <w:r w:rsidRPr="009B1505">
        <w:t xml:space="preserve">drugs they </w:t>
      </w:r>
      <w:r w:rsidR="00244C0D">
        <w:t>have used</w:t>
      </w:r>
      <w:r w:rsidRPr="009B1505">
        <w:t xml:space="preserve"> instead of </w:t>
      </w:r>
      <w:r w:rsidR="00244C0D">
        <w:t>responding to questions on</w:t>
      </w:r>
      <w:r w:rsidR="00244C0D" w:rsidRPr="009B1505">
        <w:t xml:space="preserve"> </w:t>
      </w:r>
      <w:r w:rsidRPr="009B1505">
        <w:t xml:space="preserve">all drug types. The automated questionnaires will also allow </w:t>
      </w:r>
      <w:r w:rsidR="00CC4E13">
        <w:t>patients</w:t>
      </w:r>
      <w:r w:rsidRPr="009B1505">
        <w:t xml:space="preserve"> </w:t>
      </w:r>
      <w:r w:rsidR="00AE5C0D">
        <w:t>the privacy to</w:t>
      </w:r>
      <w:r w:rsidRPr="009B1505">
        <w:t xml:space="preserve"> complete sensitive questions independent</w:t>
      </w:r>
      <w:r w:rsidR="00AE5C0D">
        <w:t xml:space="preserve"> from the FI</w:t>
      </w:r>
      <w:r w:rsidRPr="009B1505">
        <w:t xml:space="preserve">. </w:t>
      </w:r>
      <w:r w:rsidR="00E22C79">
        <w:t xml:space="preserve">Patient </w:t>
      </w:r>
      <w:r w:rsidR="00092592">
        <w:t xml:space="preserve">and </w:t>
      </w:r>
      <w:r w:rsidR="00475148">
        <w:t xml:space="preserve">Staff  </w:t>
      </w:r>
      <w:r w:rsidR="00092592">
        <w:t xml:space="preserve">Focus Groups </w:t>
      </w:r>
      <w:r w:rsidR="00475148">
        <w:t xml:space="preserve">(Att. 7 and 8) </w:t>
      </w:r>
      <w:r w:rsidR="00092592">
        <w:t xml:space="preserve">will </w:t>
      </w:r>
      <w:r w:rsidR="004B0076">
        <w:t xml:space="preserve">be virtual and </w:t>
      </w:r>
      <w:r w:rsidR="00437CBB">
        <w:t xml:space="preserve">will </w:t>
      </w:r>
      <w:r w:rsidR="00092592">
        <w:t>use telephone-based conference tools to reduce client and site burden and maintain participant privacy</w:t>
      </w:r>
      <w:r w:rsidR="008B785A">
        <w:t>.</w:t>
      </w:r>
      <w:r w:rsidR="000B1786">
        <w:t xml:space="preserve"> </w:t>
      </w:r>
    </w:p>
    <w:p w14:paraId="45525AC4" w14:textId="6EDAAA12" w:rsidR="007D2A22" w:rsidRPr="009B1505" w:rsidRDefault="007D2A22" w:rsidP="007D2A22">
      <w:pPr>
        <w:pStyle w:val="BodyText1"/>
      </w:pPr>
      <w:r w:rsidRPr="009B1505">
        <w:t xml:space="preserve">All data will </w:t>
      </w:r>
      <w:r w:rsidR="0074619A">
        <w:t xml:space="preserve">be </w:t>
      </w:r>
      <w:r w:rsidRPr="009B1505">
        <w:t>securely transmitted with web</w:t>
      </w:r>
      <w:r w:rsidR="00533CCC">
        <w:t>-</w:t>
      </w:r>
      <w:r w:rsidRPr="009B1505">
        <w:t>based tools being hosted on secure RTI servers; further, client</w:t>
      </w:r>
      <w:r w:rsidR="00437CBB">
        <w:t>-</w:t>
      </w:r>
      <w:r w:rsidRPr="009B1505">
        <w:t xml:space="preserve">identifying information will not </w:t>
      </w:r>
      <w:r w:rsidR="00C863CF">
        <w:t xml:space="preserve">be </w:t>
      </w:r>
      <w:r w:rsidRPr="009B1505">
        <w:t xml:space="preserve">collected or stored with client responses. To support </w:t>
      </w:r>
      <w:r w:rsidR="00CC4E13">
        <w:t>patients</w:t>
      </w:r>
      <w:r w:rsidRPr="009B1505">
        <w:t xml:space="preserve"> without access to computers and other devices, RTI </w:t>
      </w:r>
      <w:r w:rsidR="004B0076">
        <w:t xml:space="preserve">FIs </w:t>
      </w:r>
      <w:r w:rsidRPr="009B1505">
        <w:t>will provide all the necessary technology</w:t>
      </w:r>
      <w:r w:rsidR="00AE5C0D">
        <w:t xml:space="preserve"> </w:t>
      </w:r>
      <w:r w:rsidRPr="009B1505">
        <w:t>to complete the questionnaires</w:t>
      </w:r>
      <w:r w:rsidR="00187926">
        <w:t xml:space="preserve"> via in-person administration</w:t>
      </w:r>
      <w:r w:rsidRPr="009B1505">
        <w:t xml:space="preserve">. </w:t>
      </w:r>
    </w:p>
    <w:p w14:paraId="0370DDC9" w14:textId="77777777" w:rsidR="007D2A22" w:rsidRPr="009B1505" w:rsidRDefault="007D2A22" w:rsidP="007D2A22">
      <w:pPr>
        <w:pStyle w:val="Heading2"/>
      </w:pPr>
      <w:bookmarkStart w:id="20" w:name="_Toc88033468"/>
      <w:bookmarkStart w:id="21" w:name="_Toc474237976"/>
      <w:bookmarkStart w:id="22" w:name="_Toc497134497"/>
      <w:r w:rsidRPr="009B1505">
        <w:t>A.4</w:t>
      </w:r>
      <w:r w:rsidRPr="009B1505">
        <w:tab/>
      </w:r>
      <w:bookmarkEnd w:id="20"/>
      <w:r w:rsidRPr="009B1505">
        <w:t>Efforts to Identify Duplication and Use of Similar Information</w:t>
      </w:r>
      <w:bookmarkEnd w:id="21"/>
      <w:bookmarkEnd w:id="22"/>
    </w:p>
    <w:p w14:paraId="1BF90D90" w14:textId="11D9D435" w:rsidR="007A5EFD" w:rsidRDefault="006A0BF2" w:rsidP="007D2A22">
      <w:pPr>
        <w:pStyle w:val="BodyText1"/>
      </w:pPr>
      <w:r>
        <w:t xml:space="preserve">The </w:t>
      </w:r>
      <w:r w:rsidR="002653BD">
        <w:t xml:space="preserve">MAT </w:t>
      </w:r>
      <w:r>
        <w:t>S</w:t>
      </w:r>
      <w:r w:rsidR="002653BD">
        <w:t xml:space="preserve">tudy design and protocols have been reviewed and shared with colleagues from the Substance Abuse and Mental Health Services Administration </w:t>
      </w:r>
      <w:r w:rsidR="00077B46">
        <w:t xml:space="preserve">(SAMHSA) </w:t>
      </w:r>
      <w:r w:rsidR="002653BD">
        <w:t>and the National Institute</w:t>
      </w:r>
      <w:r w:rsidR="003405FD">
        <w:t xml:space="preserve"> on Drug Abuse</w:t>
      </w:r>
      <w:r w:rsidR="00077B46">
        <w:t xml:space="preserve"> (NIDA</w:t>
      </w:r>
      <w:r w:rsidR="00B4763B">
        <w:t>)</w:t>
      </w:r>
      <w:r w:rsidR="003405FD">
        <w:t xml:space="preserve"> to help ensure the data collected by the MAT </w:t>
      </w:r>
      <w:r w:rsidR="00771990">
        <w:t>S</w:t>
      </w:r>
      <w:r w:rsidR="003405FD">
        <w:t>tudy avoids duplication.</w:t>
      </w:r>
      <w:r>
        <w:t xml:space="preserve"> CDC has collaborated across federal agencies through a federal panel</w:t>
      </w:r>
      <w:r w:rsidR="00327640">
        <w:t xml:space="preserve"> (see </w:t>
      </w:r>
      <w:r w:rsidR="00327640" w:rsidRPr="00E70AFB">
        <w:rPr>
          <w:b/>
          <w:i/>
        </w:rPr>
        <w:t>Section A.8</w:t>
      </w:r>
      <w:r w:rsidR="00327640" w:rsidRPr="00327640">
        <w:rPr>
          <w:i/>
        </w:rPr>
        <w:t>)</w:t>
      </w:r>
      <w:r w:rsidR="00327640">
        <w:rPr>
          <w:b/>
          <w:i/>
        </w:rPr>
        <w:t xml:space="preserve"> </w:t>
      </w:r>
      <w:r w:rsidR="00327640">
        <w:t xml:space="preserve">and other </w:t>
      </w:r>
      <w:r w:rsidR="0028558B">
        <w:t>communications</w:t>
      </w:r>
      <w:r w:rsidR="00327640">
        <w:t xml:space="preserve"> with federal staff</w:t>
      </w:r>
      <w:r>
        <w:t xml:space="preserve">, </w:t>
      </w:r>
      <w:r w:rsidR="00DD7BE7">
        <w:t xml:space="preserve">including </w:t>
      </w:r>
      <w:r w:rsidR="00327640" w:rsidRPr="0028558B">
        <w:t>Dr.</w:t>
      </w:r>
      <w:r w:rsidR="00DD7BE7" w:rsidRPr="0028558B">
        <w:t xml:space="preserve"> Jones at the </w:t>
      </w:r>
      <w:r w:rsidR="00DD7BE7" w:rsidRPr="000A76BA">
        <w:t>Office of the Assistant Secretary for Planning and Evaluation</w:t>
      </w:r>
      <w:r w:rsidR="00327640">
        <w:t xml:space="preserve">, Dr. </w:t>
      </w:r>
      <w:r w:rsidR="00327640" w:rsidRPr="00327640">
        <w:t>Campopiano</w:t>
      </w:r>
      <w:r w:rsidR="00327640">
        <w:t xml:space="preserve"> at SAMHSA,</w:t>
      </w:r>
      <w:r w:rsidR="00DD7BE7">
        <w:rPr>
          <w:color w:val="FF0000"/>
        </w:rPr>
        <w:t xml:space="preserve"> </w:t>
      </w:r>
      <w:r w:rsidR="00DD7BE7" w:rsidRPr="0028558B">
        <w:t>and Dr. Tai at NIDA</w:t>
      </w:r>
      <w:r w:rsidR="00327640">
        <w:rPr>
          <w:b/>
          <w:i/>
        </w:rPr>
        <w:t xml:space="preserve">. </w:t>
      </w:r>
      <w:r w:rsidR="00077B46">
        <w:t>SAMHSA’s Opioid State Targeted Response (STR) Evaluation</w:t>
      </w:r>
      <w:r w:rsidR="00DC2E3A">
        <w:t xml:space="preserve"> (</w:t>
      </w:r>
      <w:r w:rsidR="004230E2" w:rsidRPr="004230E2">
        <w:t>(OMB#: 0930-0379)</w:t>
      </w:r>
      <w:r w:rsidR="004230E2">
        <w:t xml:space="preserve"> </w:t>
      </w:r>
      <w:r w:rsidR="00077B46">
        <w:t xml:space="preserve"> will be </w:t>
      </w:r>
      <w:r w:rsidR="003E348B">
        <w:t xml:space="preserve">collecting data from </w:t>
      </w:r>
      <w:r w:rsidR="00077B46">
        <w:t xml:space="preserve">opioid treatment facilities </w:t>
      </w:r>
      <w:r w:rsidR="003E348B">
        <w:t xml:space="preserve">and </w:t>
      </w:r>
      <w:r w:rsidR="00F87EBC">
        <w:t xml:space="preserve">their </w:t>
      </w:r>
      <w:r w:rsidR="00CC4E13">
        <w:t>patients</w:t>
      </w:r>
      <w:r w:rsidR="003E348B">
        <w:t xml:space="preserve"> receiving Opioid STR funding or funded treatment services. The Opioid STR evaluation will focus data collection on better understanding the treatment services provided by treatment facilities before and after Opioid STR funding is received. </w:t>
      </w:r>
      <w:r w:rsidR="00CC4E13">
        <w:t>Patients</w:t>
      </w:r>
      <w:r w:rsidR="003E348B">
        <w:t xml:space="preserve"> receiving Opioid STR funded services will be asked to complete the SAMHSA CSAT’s GPRA tool which collects information on substance use, treatment services and general demographic information at baseline, discharge and 6-month post baseline. </w:t>
      </w:r>
    </w:p>
    <w:p w14:paraId="3C8A00DD" w14:textId="2F9936E1" w:rsidR="004B0076" w:rsidRDefault="007A5EFD" w:rsidP="007D2A22">
      <w:pPr>
        <w:pStyle w:val="BodyText1"/>
      </w:pPr>
      <w:r>
        <w:t xml:space="preserve">While both the Opioid STR evaluation and </w:t>
      </w:r>
      <w:r w:rsidR="00BE36EF">
        <w:t xml:space="preserve">the </w:t>
      </w:r>
      <w:r>
        <w:t xml:space="preserve">MAT </w:t>
      </w:r>
      <w:r w:rsidR="00771990">
        <w:t>S</w:t>
      </w:r>
      <w:r>
        <w:t xml:space="preserve">tudy </w:t>
      </w:r>
      <w:r w:rsidR="00BE36EF">
        <w:t xml:space="preserve">examine </w:t>
      </w:r>
      <w:r>
        <w:t>similar populations and topics</w:t>
      </w:r>
      <w:r w:rsidR="00F87EBC">
        <w:t>,</w:t>
      </w:r>
      <w:r>
        <w:t xml:space="preserve"> the data collected </w:t>
      </w:r>
      <w:r w:rsidR="00F87EBC">
        <w:t>differ</w:t>
      </w:r>
      <w:r>
        <w:t xml:space="preserve"> significantly. </w:t>
      </w:r>
      <w:r w:rsidR="003E348B">
        <w:t xml:space="preserve">The Opioid STR evaluation and the data collected for it </w:t>
      </w:r>
      <w:r w:rsidR="00F87EBC">
        <w:t>are</w:t>
      </w:r>
      <w:r w:rsidR="003E348B">
        <w:t xml:space="preserve"> focused on assessing the impacts of the Opioid STR funding </w:t>
      </w:r>
      <w:r>
        <w:t xml:space="preserve">while the MAT </w:t>
      </w:r>
      <w:r w:rsidR="00771990">
        <w:t>S</w:t>
      </w:r>
      <w:r w:rsidR="00A702ED">
        <w:t xml:space="preserve">tudy </w:t>
      </w:r>
      <w:r>
        <w:t xml:space="preserve">collects data on the current implementation of </w:t>
      </w:r>
      <w:r w:rsidR="009912B7">
        <w:t>OUD</w:t>
      </w:r>
      <w:r>
        <w:t xml:space="preserve"> treatment across the United States. For client level measures, the MAT </w:t>
      </w:r>
      <w:r w:rsidR="00771990">
        <w:t>S</w:t>
      </w:r>
      <w:r>
        <w:t xml:space="preserve">tudy plans to collect data measures specific to individuals obtaining </w:t>
      </w:r>
      <w:r w:rsidR="009912B7">
        <w:t>OUD</w:t>
      </w:r>
      <w:r>
        <w:t xml:space="preserve"> treatment </w:t>
      </w:r>
      <w:r w:rsidR="00CA0025">
        <w:t xml:space="preserve">at </w:t>
      </w:r>
      <w:r w:rsidR="00BE36EF">
        <w:t xml:space="preserve">12- and </w:t>
      </w:r>
      <w:r>
        <w:t>24-month</w:t>
      </w:r>
      <w:r w:rsidR="00C87141">
        <w:t xml:space="preserve"> follow-up</w:t>
      </w:r>
      <w:r>
        <w:t xml:space="preserve"> period</w:t>
      </w:r>
      <w:r w:rsidR="00BE36EF">
        <w:t>s</w:t>
      </w:r>
      <w:r>
        <w:t xml:space="preserve"> which will help capture longer term outcomes not covered by the GPRA data used in the Opioid STR evaluation</w:t>
      </w:r>
      <w:r w:rsidR="004F59BF">
        <w:t xml:space="preserve">. The MAT </w:t>
      </w:r>
      <w:r w:rsidR="00771990">
        <w:t>S</w:t>
      </w:r>
      <w:r w:rsidR="004F59BF">
        <w:t xml:space="preserve">tudy </w:t>
      </w:r>
      <w:r w:rsidR="00A702ED">
        <w:t xml:space="preserve">continues to track </w:t>
      </w:r>
      <w:r w:rsidR="00CC4E13">
        <w:t>patients</w:t>
      </w:r>
      <w:r w:rsidR="00A702ED">
        <w:t xml:space="preserve"> for two years, regardless of whether or not they are retained in MAT</w:t>
      </w:r>
      <w:r w:rsidR="00F3129B">
        <w:t xml:space="preserve"> or counseling without </w:t>
      </w:r>
      <w:r w:rsidR="009912B7">
        <w:t>medication</w:t>
      </w:r>
      <w:r w:rsidR="00A702ED">
        <w:t xml:space="preserve"> to better understand the trajectory of and recovery from OUD</w:t>
      </w:r>
      <w:r>
        <w:t xml:space="preserve">.  </w:t>
      </w:r>
      <w:r w:rsidR="003E348B">
        <w:t xml:space="preserve"> </w:t>
      </w:r>
      <w:r w:rsidR="00077B46">
        <w:t xml:space="preserve"> </w:t>
      </w:r>
    </w:p>
    <w:p w14:paraId="36759BF1" w14:textId="7CB38023" w:rsidR="00433A2E" w:rsidRPr="009B1505" w:rsidRDefault="00433A2E" w:rsidP="007D2A22">
      <w:pPr>
        <w:pStyle w:val="BodyText1"/>
      </w:pPr>
      <w:r>
        <w:t xml:space="preserve">Other studies of people with OUD include Novak et al., 2015 which estimated overall prevalence of misuse and abuse and examined psychosocial characteristics of individuals who inject drugs, including differences among methadone and buprenorphine. However, less than half of the study’s sample were in treatment at baseline and the study was limited to the San Francisco area. Furthermore, the study did not provide extended follow-up of patients and it did not include other OUD treatment options (e.g., NTX, COUN). Novak et al., 2009 examined the </w:t>
      </w:r>
      <w:r w:rsidRPr="005D5D9F">
        <w:rPr>
          <w:szCs w:val="24"/>
        </w:rPr>
        <w:t xml:space="preserve">link between physical pain and non-prescription analgesic use.  This study relied on data from </w:t>
      </w:r>
      <w:r w:rsidR="005D5D9F" w:rsidRPr="004C6F9A">
        <w:rPr>
          <w:color w:val="544F4C"/>
          <w:szCs w:val="24"/>
        </w:rPr>
        <w:t>National Epidemiologic Survey on Alcohol and Related Conditions</w:t>
      </w:r>
      <w:r w:rsidR="005D5D9F" w:rsidRPr="004C6F9A">
        <w:rPr>
          <w:rFonts w:ascii="Arial" w:hAnsi="Arial" w:cs="Arial"/>
          <w:color w:val="544F4C"/>
          <w:szCs w:val="24"/>
        </w:rPr>
        <w:t xml:space="preserve"> (</w:t>
      </w:r>
      <w:r w:rsidRPr="005D5D9F">
        <w:rPr>
          <w:szCs w:val="24"/>
        </w:rPr>
        <w:t>NESARC</w:t>
      </w:r>
      <w:r w:rsidR="005D5D9F" w:rsidRPr="005D5D9F">
        <w:rPr>
          <w:szCs w:val="24"/>
        </w:rPr>
        <w:t>)</w:t>
      </w:r>
      <w:r w:rsidRPr="005D5D9F">
        <w:rPr>
          <w:szCs w:val="24"/>
        </w:rPr>
        <w:t xml:space="preserve"> sample which is a nationally representative sample including</w:t>
      </w:r>
      <w:r>
        <w:t xml:space="preserve"> individuals </w:t>
      </w:r>
      <w:r w:rsidR="005D5D9F">
        <w:t>within and without treatment</w:t>
      </w:r>
      <w:r>
        <w:t>. Although the study examined some of the same factors as in the MAT study, this study was not an examination of OUD treatment.</w:t>
      </w:r>
      <w:r w:rsidR="005D5D9F">
        <w:t xml:space="preserve"> </w:t>
      </w:r>
    </w:p>
    <w:p w14:paraId="154FF6EE" w14:textId="77777777" w:rsidR="007D2A22" w:rsidRPr="009B1505" w:rsidRDefault="007D2A22" w:rsidP="007D2A22">
      <w:pPr>
        <w:pStyle w:val="Heading2"/>
      </w:pPr>
      <w:bookmarkStart w:id="23" w:name="_Toc88033469"/>
      <w:bookmarkStart w:id="24" w:name="_Toc474237977"/>
      <w:bookmarkStart w:id="25" w:name="_Toc497134498"/>
      <w:r w:rsidRPr="009B1505">
        <w:t>A.5</w:t>
      </w:r>
      <w:r w:rsidRPr="009B1505">
        <w:tab/>
      </w:r>
      <w:bookmarkEnd w:id="23"/>
      <w:r w:rsidRPr="009B1505">
        <w:t>Impact on Small Businesses or Other Small Entities</w:t>
      </w:r>
      <w:bookmarkEnd w:id="24"/>
      <w:bookmarkEnd w:id="25"/>
    </w:p>
    <w:p w14:paraId="37C0B75E" w14:textId="77777777" w:rsidR="007D2A22" w:rsidRPr="009B1505" w:rsidRDefault="007D2A22" w:rsidP="007D2A22">
      <w:pPr>
        <w:pStyle w:val="BodyText1"/>
      </w:pPr>
      <w:r w:rsidRPr="009B1505">
        <w:t xml:space="preserve">Data will </w:t>
      </w:r>
      <w:r w:rsidR="00CC4424">
        <w:t xml:space="preserve">not be collected from small entities. </w:t>
      </w:r>
    </w:p>
    <w:p w14:paraId="77475FBF" w14:textId="77777777" w:rsidR="007D2A22" w:rsidRDefault="007D2A22" w:rsidP="007D2A22">
      <w:pPr>
        <w:pStyle w:val="Heading2"/>
        <w:spacing w:line="360" w:lineRule="auto"/>
      </w:pPr>
      <w:bookmarkStart w:id="26" w:name="_Toc88033470"/>
      <w:bookmarkStart w:id="27" w:name="_Toc474237978"/>
      <w:bookmarkStart w:id="28" w:name="_Toc497134499"/>
      <w:r w:rsidRPr="009B1505">
        <w:t>A.6</w:t>
      </w:r>
      <w:r w:rsidRPr="009B1505">
        <w:tab/>
      </w:r>
      <w:bookmarkEnd w:id="26"/>
      <w:r w:rsidRPr="009B1505">
        <w:t>Consequences of Collecting the Information Less Frequently</w:t>
      </w:r>
      <w:bookmarkEnd w:id="27"/>
      <w:bookmarkEnd w:id="28"/>
    </w:p>
    <w:p w14:paraId="083110FC" w14:textId="77777777" w:rsidR="00242DAA" w:rsidRDefault="00A757B2" w:rsidP="004B0076">
      <w:pPr>
        <w:pStyle w:val="BodyText1"/>
      </w:pPr>
      <w:r>
        <w:t xml:space="preserve">This data collection effort is conducted over an expected </w:t>
      </w:r>
      <w:r w:rsidR="00C87141">
        <w:t>3</w:t>
      </w:r>
      <w:r>
        <w:t xml:space="preserve">-year period with multiple points </w:t>
      </w:r>
      <w:r w:rsidR="00242DAA">
        <w:t>of data</w:t>
      </w:r>
      <w:r w:rsidR="00E17B91">
        <w:t xml:space="preserve"> </w:t>
      </w:r>
      <w:r>
        <w:t xml:space="preserve">collection. </w:t>
      </w:r>
      <w:r w:rsidR="00E17B91">
        <w:t xml:space="preserve">The data collection is necessary to help the CDC better understand current efforts to address OUD and the opioid epidemic. Understanding how real-world treatment efforts impact client outcomes and how those outcomes maybe influenced by client characteristics is critical to the agency’s goals of controlling and preventing disease, including behavioral health issues. </w:t>
      </w:r>
    </w:p>
    <w:p w14:paraId="5D654AEB" w14:textId="6CAEA37B" w:rsidR="00A757B2" w:rsidRDefault="00242DAA" w:rsidP="004B0076">
      <w:pPr>
        <w:pStyle w:val="BodyText1"/>
      </w:pPr>
      <w:r>
        <w:t>Data collection includes the client screener</w:t>
      </w:r>
      <w:r w:rsidR="00681A58">
        <w:t xml:space="preserve"> </w:t>
      </w:r>
      <w:r w:rsidR="001347BC">
        <w:t xml:space="preserve">(Att.4) </w:t>
      </w:r>
      <w:r w:rsidR="00681A58">
        <w:t>completed once</w:t>
      </w:r>
      <w:r>
        <w:t xml:space="preserve">, a </w:t>
      </w:r>
      <w:r w:rsidR="00BE36EF">
        <w:t>Baseline Client Q</w:t>
      </w:r>
      <w:r>
        <w:t>uestionnaire</w:t>
      </w:r>
      <w:r w:rsidR="001347BC">
        <w:t xml:space="preserve"> (Att. 6)</w:t>
      </w:r>
      <w:r w:rsidR="009912B7">
        <w:t>,</w:t>
      </w:r>
      <w:r>
        <w:t xml:space="preserve"> a</w:t>
      </w:r>
      <w:r w:rsidR="00A36301">
        <w:t>n abbreviated</w:t>
      </w:r>
      <w:r>
        <w:t xml:space="preserve"> 3</w:t>
      </w:r>
      <w:r w:rsidR="00BE36EF">
        <w:t>-</w:t>
      </w:r>
      <w:r>
        <w:t xml:space="preserve"> and </w:t>
      </w:r>
      <w:r w:rsidR="008F321E">
        <w:t>6-month</w:t>
      </w:r>
      <w:r w:rsidR="00055734">
        <w:t xml:space="preserve"> </w:t>
      </w:r>
      <w:r w:rsidR="00BE36EF">
        <w:t>C</w:t>
      </w:r>
      <w:r w:rsidR="007C48F9">
        <w:t xml:space="preserve">lient </w:t>
      </w:r>
      <w:r w:rsidR="00BE36EF">
        <w:t>C</w:t>
      </w:r>
      <w:r>
        <w:t>heck-</w:t>
      </w:r>
      <w:r w:rsidR="00BE36EF">
        <w:t>I</w:t>
      </w:r>
      <w:r>
        <w:t xml:space="preserve">n </w:t>
      </w:r>
      <w:r w:rsidR="00D51363">
        <w:t>Q</w:t>
      </w:r>
      <w:r w:rsidR="009912B7">
        <w:t>uestionnaire</w:t>
      </w:r>
      <w:r w:rsidR="001347BC">
        <w:t xml:space="preserve"> (Att. 5)</w:t>
      </w:r>
      <w:r w:rsidR="009912B7">
        <w:t>,</w:t>
      </w:r>
      <w:r>
        <w:t xml:space="preserve"> and full 12</w:t>
      </w:r>
      <w:r w:rsidR="009912B7">
        <w:t>-</w:t>
      </w:r>
      <w:r>
        <w:t xml:space="preserve"> and 24</w:t>
      </w:r>
      <w:r w:rsidR="009912B7">
        <w:t>-</w:t>
      </w:r>
      <w:r>
        <w:t xml:space="preserve">month </w:t>
      </w:r>
      <w:r w:rsidR="009912B7">
        <w:t>questionnaires</w:t>
      </w:r>
      <w:r w:rsidR="001347BC">
        <w:t xml:space="preserve"> (Att. 6)</w:t>
      </w:r>
      <w:r>
        <w:t xml:space="preserve">. Client and staff </w:t>
      </w:r>
      <w:r w:rsidR="00BE36EF">
        <w:t>F</w:t>
      </w:r>
      <w:r>
        <w:t xml:space="preserve">ocus </w:t>
      </w:r>
      <w:r w:rsidR="00BE36EF">
        <w:t>G</w:t>
      </w:r>
      <w:r>
        <w:t xml:space="preserve">roups </w:t>
      </w:r>
      <w:r w:rsidR="001347BC">
        <w:t xml:space="preserve">(Att. 7 and 8) </w:t>
      </w:r>
      <w:r>
        <w:t xml:space="preserve">will also be conducted at the beginning, middle, and at the conclusion of the study. </w:t>
      </w:r>
      <w:r w:rsidR="00A757B2">
        <w:t xml:space="preserve">Multiple points of data collection, especially </w:t>
      </w:r>
      <w:r>
        <w:t xml:space="preserve">the </w:t>
      </w:r>
      <w:r w:rsidR="00A757B2">
        <w:t>repeated collections</w:t>
      </w:r>
      <w:r w:rsidR="00D51363">
        <w:t xml:space="preserve"> of the Client Questionnaire </w:t>
      </w:r>
      <w:r w:rsidR="001347BC">
        <w:t xml:space="preserve">(Att. 6) </w:t>
      </w:r>
      <w:r w:rsidR="00D51363">
        <w:t>and Check-I</w:t>
      </w:r>
      <w:r>
        <w:t xml:space="preserve">n </w:t>
      </w:r>
      <w:r w:rsidR="009912B7">
        <w:t>questionnaire</w:t>
      </w:r>
      <w:r w:rsidR="001347BC">
        <w:t xml:space="preserve"> (Att. 5)</w:t>
      </w:r>
      <w:r w:rsidR="00A757B2">
        <w:t>, are essential to collect longitudinal data which will allow the MAT Study to measure client</w:t>
      </w:r>
      <w:r w:rsidR="009912B7">
        <w:t xml:space="preserve"> experiences, health behavior, and</w:t>
      </w:r>
      <w:r w:rsidR="00A757B2">
        <w:t xml:space="preserve"> </w:t>
      </w:r>
      <w:r w:rsidR="009912B7">
        <w:t xml:space="preserve">treatment </w:t>
      </w:r>
      <w:r w:rsidR="00A757B2">
        <w:t xml:space="preserve">outcomes over time. </w:t>
      </w:r>
      <w:r w:rsidR="00681A58">
        <w:t xml:space="preserve">Screening </w:t>
      </w:r>
      <w:r w:rsidR="00CC4E13">
        <w:t>patients</w:t>
      </w:r>
      <w:r w:rsidR="00681A58">
        <w:t xml:space="preserve"> is necessary to ensure </w:t>
      </w:r>
      <w:r w:rsidR="00CC4E13">
        <w:t>patients</w:t>
      </w:r>
      <w:r w:rsidR="00681A58">
        <w:t xml:space="preserve"> are eligible for the study (e.g., starting MAT or counseling without medication); it also allows for detailed contact information to be collected which will be used to contact </w:t>
      </w:r>
      <w:r w:rsidR="00CC4E13">
        <w:t>patients</w:t>
      </w:r>
      <w:r w:rsidR="00681A58">
        <w:t xml:space="preserve"> d</w:t>
      </w:r>
      <w:r w:rsidR="00D51363">
        <w:t>uring follow-ups. The repeated Client Questionnaire and Client Check-I</w:t>
      </w:r>
      <w:r w:rsidR="00681A58">
        <w:t xml:space="preserve">n </w:t>
      </w:r>
      <w:r w:rsidR="00D51363">
        <w:t>Q</w:t>
      </w:r>
      <w:r w:rsidR="009912B7">
        <w:t>uestionnaire</w:t>
      </w:r>
      <w:r w:rsidR="00681A58">
        <w:t xml:space="preserve"> are</w:t>
      </w:r>
      <w:r w:rsidR="00A45F50">
        <w:t xml:space="preserve"> used</w:t>
      </w:r>
      <w:r w:rsidR="00681A58">
        <w:t xml:space="preserve"> to capture both the near-term </w:t>
      </w:r>
      <w:r w:rsidR="009912B7">
        <w:t>measures and factors</w:t>
      </w:r>
      <w:r w:rsidR="00681A58">
        <w:t xml:space="preserve"> related to entering treatment and the longer-term outcomes after a client may have completed treatment, left treatment, or relapsed.</w:t>
      </w:r>
      <w:r w:rsidR="007C48F9">
        <w:t xml:space="preserve"> Less frequent collection will limit the collection of longitudinal data, reduce follow-up rates and reduce data quality due to recall basis.</w:t>
      </w:r>
      <w:r w:rsidR="00681A58">
        <w:t xml:space="preserve"> The 24-month </w:t>
      </w:r>
      <w:r w:rsidR="009912B7">
        <w:t>questionnaire</w:t>
      </w:r>
      <w:r w:rsidR="00681A58">
        <w:t xml:space="preserve"> </w:t>
      </w:r>
      <w:r w:rsidR="00A45F50">
        <w:t>is designed to</w:t>
      </w:r>
      <w:r w:rsidR="00681A58">
        <w:t xml:space="preserve"> provide</w:t>
      </w:r>
      <w:r w:rsidR="009912B7">
        <w:t xml:space="preserve"> data for</w:t>
      </w:r>
      <w:r w:rsidR="00681A58">
        <w:t xml:space="preserve"> a longer follow-up window than the current literature on MAT and counseling without medication and is especially needed to better understand the </w:t>
      </w:r>
      <w:r w:rsidR="0076655E">
        <w:t>longer-term</w:t>
      </w:r>
      <w:r w:rsidR="00681A58">
        <w:t xml:space="preserve"> im</w:t>
      </w:r>
      <w:r w:rsidR="0076655E">
        <w:t xml:space="preserve">pacts of these treatments and the client characteristics that may influence outcomes. </w:t>
      </w:r>
    </w:p>
    <w:p w14:paraId="11F7FC21" w14:textId="0B878EB5" w:rsidR="007D2A22" w:rsidRPr="009B1505" w:rsidRDefault="007D2A22" w:rsidP="005D5D9F">
      <w:pPr>
        <w:pStyle w:val="BodyText1"/>
      </w:pPr>
      <w:r w:rsidRPr="009B1505">
        <w:t xml:space="preserve">Focus </w:t>
      </w:r>
      <w:r w:rsidR="00661E22">
        <w:t>G</w:t>
      </w:r>
      <w:r w:rsidR="00661E22" w:rsidRPr="009B1505">
        <w:t xml:space="preserve">roups </w:t>
      </w:r>
      <w:r w:rsidRPr="009B1505">
        <w:t xml:space="preserve">for both </w:t>
      </w:r>
      <w:r w:rsidR="00CC4E13">
        <w:t>patients</w:t>
      </w:r>
      <w:r w:rsidRPr="009B1505">
        <w:t xml:space="preserve"> </w:t>
      </w:r>
      <w:r w:rsidR="001347BC">
        <w:t xml:space="preserve">(Att. 7) </w:t>
      </w:r>
      <w:r w:rsidRPr="009B1505">
        <w:t xml:space="preserve">and </w:t>
      </w:r>
      <w:r w:rsidR="006B76DC">
        <w:t xml:space="preserve">treatment facility </w:t>
      </w:r>
      <w:r w:rsidR="007C48F9">
        <w:t>staff</w:t>
      </w:r>
      <w:r w:rsidR="007C48F9" w:rsidRPr="009B1505">
        <w:t xml:space="preserve"> </w:t>
      </w:r>
      <w:r w:rsidR="001347BC">
        <w:t xml:space="preserve">(Att. 8) </w:t>
      </w:r>
      <w:r w:rsidR="005D5D9F">
        <w:t xml:space="preserve">will occur annually. </w:t>
      </w:r>
      <w:r w:rsidR="005D5D9F">
        <w:rPr>
          <w:rFonts w:eastAsia="Batang"/>
        </w:rPr>
        <w:t xml:space="preserve">There will be three Patient Focus Groups per year, one for METH/BUP patients, one for NTX patients, and one for counseling only patients. These annual focus groups </w:t>
      </w:r>
      <w:r w:rsidRPr="009B1505">
        <w:t>allow for the perspectives of</w:t>
      </w:r>
      <w:r w:rsidR="000B1786">
        <w:t xml:space="preserve"> </w:t>
      </w:r>
      <w:r w:rsidR="00661E22">
        <w:t xml:space="preserve">different </w:t>
      </w:r>
      <w:r w:rsidR="00CC4E13">
        <w:t>patients</w:t>
      </w:r>
      <w:r w:rsidRPr="009B1505">
        <w:t xml:space="preserve"> and </w:t>
      </w:r>
      <w:r w:rsidR="005652EE">
        <w:t>treatment facility staff</w:t>
      </w:r>
      <w:r w:rsidR="005652EE" w:rsidRPr="009B1505">
        <w:t xml:space="preserve"> </w:t>
      </w:r>
      <w:r w:rsidRPr="009B1505">
        <w:t xml:space="preserve">to be regularly collected while the study is ongoing. </w:t>
      </w:r>
      <w:r w:rsidR="007C48F9">
        <w:t>T</w:t>
      </w:r>
      <w:r w:rsidR="00A36106">
        <w:t>he collection of qualitative information</w:t>
      </w:r>
      <w:r w:rsidR="007C48F9">
        <w:t xml:space="preserve"> is necessary as it</w:t>
      </w:r>
      <w:r w:rsidR="00A36106">
        <w:t xml:space="preserve"> can help researchers to better understand quantitative findings. </w:t>
      </w:r>
      <w:r w:rsidR="007C48F9">
        <w:t>T</w:t>
      </w:r>
      <w:r w:rsidR="00D51363">
        <w:t>he annual Focus G</w:t>
      </w:r>
      <w:r w:rsidR="00A36106">
        <w:t xml:space="preserve">roups provide the opportunity to ask questions that may elucidate client </w:t>
      </w:r>
      <w:r w:rsidR="009912B7">
        <w:t xml:space="preserve">questionnaire </w:t>
      </w:r>
      <w:r w:rsidR="00A36106">
        <w:t xml:space="preserve">data. </w:t>
      </w:r>
      <w:r w:rsidR="00661E22">
        <w:t>For each Focus Group</w:t>
      </w:r>
      <w:r w:rsidR="00913468">
        <w:t>,</w:t>
      </w:r>
      <w:r w:rsidR="00661E22">
        <w:t xml:space="preserve"> new </w:t>
      </w:r>
      <w:r w:rsidR="00CC4E13">
        <w:t>patients</w:t>
      </w:r>
      <w:r w:rsidRPr="009B1505">
        <w:t xml:space="preserve"> and </w:t>
      </w:r>
      <w:r w:rsidR="00401199">
        <w:t>treatment facility</w:t>
      </w:r>
      <w:r w:rsidR="00401199" w:rsidRPr="009B1505">
        <w:t xml:space="preserve"> </w:t>
      </w:r>
      <w:r w:rsidRPr="009B1505">
        <w:t>staff</w:t>
      </w:r>
      <w:r w:rsidR="00661E22">
        <w:t xml:space="preserve"> (</w:t>
      </w:r>
      <w:r w:rsidR="00913468">
        <w:t>i.e.</w:t>
      </w:r>
      <w:r w:rsidR="00661E22">
        <w:t>, a client or staff person will not participate in multiple focus groups)</w:t>
      </w:r>
      <w:r w:rsidRPr="009B1505">
        <w:t xml:space="preserve"> </w:t>
      </w:r>
      <w:r w:rsidR="00661E22">
        <w:t xml:space="preserve">will be recruited to help obtain a wide range of perspectives on </w:t>
      </w:r>
      <w:r w:rsidR="00B71C13">
        <w:t>OUD treatment, including MAT</w:t>
      </w:r>
      <w:r w:rsidR="009912B7">
        <w:t>, over time</w:t>
      </w:r>
      <w:r w:rsidR="00661E22">
        <w:t>.</w:t>
      </w:r>
    </w:p>
    <w:p w14:paraId="719040E6" w14:textId="77777777" w:rsidR="007D2A22" w:rsidRPr="009B1505" w:rsidRDefault="007D2A22" w:rsidP="007D2A22">
      <w:pPr>
        <w:pStyle w:val="Heading2"/>
      </w:pPr>
      <w:bookmarkStart w:id="29" w:name="_Toc88033471"/>
      <w:bookmarkStart w:id="30" w:name="_Toc474237979"/>
      <w:bookmarkStart w:id="31" w:name="_Toc497134500"/>
      <w:r w:rsidRPr="009B1505">
        <w:t>A.7</w:t>
      </w:r>
      <w:r w:rsidRPr="009B1505">
        <w:tab/>
      </w:r>
      <w:bookmarkEnd w:id="29"/>
      <w:r w:rsidRPr="009B1505">
        <w:t>Special Circumstances Relating to the Guidelines of 5 CFR1320.5</w:t>
      </w:r>
      <w:bookmarkEnd w:id="30"/>
      <w:bookmarkEnd w:id="31"/>
    </w:p>
    <w:p w14:paraId="46169943" w14:textId="77777777" w:rsidR="007D2A22" w:rsidRPr="009B1505" w:rsidRDefault="007D2A22" w:rsidP="007D2A22">
      <w:pPr>
        <w:pStyle w:val="BodyText1"/>
      </w:pPr>
      <w:r w:rsidRPr="009B1505">
        <w:t xml:space="preserve">This request fully complies with all guidelines of 5 CFR 1320.5. </w:t>
      </w:r>
      <w:r w:rsidR="00D92167">
        <w:t>N</w:t>
      </w:r>
      <w:r w:rsidRPr="009B1505">
        <w:t xml:space="preserve">o special circumstances </w:t>
      </w:r>
      <w:r w:rsidR="00D92167">
        <w:t xml:space="preserve">are </w:t>
      </w:r>
      <w:r w:rsidRPr="009B1505">
        <w:t>required.</w:t>
      </w:r>
    </w:p>
    <w:p w14:paraId="6C0273C8" w14:textId="77777777" w:rsidR="007D2A22" w:rsidRPr="009B1505" w:rsidRDefault="007D2A22" w:rsidP="007D2A22">
      <w:pPr>
        <w:pStyle w:val="Heading2"/>
        <w:spacing w:line="276" w:lineRule="auto"/>
      </w:pPr>
      <w:bookmarkStart w:id="32" w:name="_Toc88033472"/>
      <w:bookmarkStart w:id="33" w:name="_Toc474237980"/>
      <w:bookmarkStart w:id="34" w:name="_Toc497134501"/>
      <w:r w:rsidRPr="009B1505">
        <w:t>A.8</w:t>
      </w:r>
      <w:r w:rsidRPr="009B1505">
        <w:tab/>
      </w:r>
      <w:bookmarkEnd w:id="32"/>
      <w:r w:rsidRPr="009B1505">
        <w:t>Comments in Response to the Federal Register Notice and Efforts to Consult Outside the Agency</w:t>
      </w:r>
      <w:bookmarkEnd w:id="33"/>
      <w:bookmarkEnd w:id="34"/>
    </w:p>
    <w:p w14:paraId="3520B4B2" w14:textId="77777777" w:rsidR="00B3432B" w:rsidRDefault="00B3432B" w:rsidP="00B3432B">
      <w:pPr>
        <w:rPr>
          <w:noProof/>
        </w:rPr>
      </w:pPr>
      <w:bookmarkStart w:id="35" w:name="_Toc474237981"/>
      <w:r w:rsidRPr="00691454">
        <w:rPr>
          <w:b/>
        </w:rPr>
        <w:t>A.8.a)</w:t>
      </w:r>
      <w:r w:rsidRPr="00691454">
        <w:tab/>
      </w:r>
      <w:r w:rsidRPr="00691454">
        <w:rPr>
          <w:noProof/>
        </w:rPr>
        <w:t>Federal Register Notice</w:t>
      </w:r>
    </w:p>
    <w:p w14:paraId="42C0E003" w14:textId="77777777" w:rsidR="00004C3C" w:rsidRDefault="00004C3C" w:rsidP="00B3432B">
      <w:pPr>
        <w:rPr>
          <w:noProof/>
        </w:rPr>
      </w:pPr>
    </w:p>
    <w:p w14:paraId="7C5EBAA3" w14:textId="775CF47F" w:rsidR="005E1DB8" w:rsidRDefault="00B3432B" w:rsidP="005E1DB8">
      <w:pPr>
        <w:spacing w:line="360" w:lineRule="auto"/>
        <w:ind w:firstLine="720"/>
        <w:rPr>
          <w:szCs w:val="20"/>
        </w:rPr>
      </w:pPr>
      <w:r>
        <w:t>A</w:t>
      </w:r>
      <w:r w:rsidRPr="00BF4F2B">
        <w:rPr>
          <w:szCs w:val="20"/>
        </w:rPr>
        <w:t xml:space="preserve"> 60-day Federal Register Notice was published in the Federal Register on </w:t>
      </w:r>
      <w:r w:rsidR="00B34C3A">
        <w:rPr>
          <w:szCs w:val="20"/>
        </w:rPr>
        <w:t>June</w:t>
      </w:r>
      <w:r w:rsidR="00DE1319">
        <w:rPr>
          <w:szCs w:val="20"/>
        </w:rPr>
        <w:t xml:space="preserve"> 19</w:t>
      </w:r>
      <w:r w:rsidRPr="00BF4F2B">
        <w:rPr>
          <w:szCs w:val="20"/>
        </w:rPr>
        <w:t xml:space="preserve">, 2017, vol. </w:t>
      </w:r>
      <w:r w:rsidR="009906F2">
        <w:rPr>
          <w:szCs w:val="20"/>
        </w:rPr>
        <w:t>82</w:t>
      </w:r>
      <w:r w:rsidRPr="00BF4F2B">
        <w:rPr>
          <w:szCs w:val="20"/>
        </w:rPr>
        <w:t xml:space="preserve">, No. </w:t>
      </w:r>
      <w:r w:rsidR="009906F2">
        <w:rPr>
          <w:szCs w:val="20"/>
        </w:rPr>
        <w:t>116</w:t>
      </w:r>
      <w:r w:rsidRPr="00BF4F2B">
        <w:rPr>
          <w:szCs w:val="20"/>
        </w:rPr>
        <w:t xml:space="preserve">, pp. </w:t>
      </w:r>
      <w:r w:rsidR="009906F2">
        <w:rPr>
          <w:szCs w:val="20"/>
        </w:rPr>
        <w:t>27832-3</w:t>
      </w:r>
      <w:r w:rsidR="00F54A46">
        <w:rPr>
          <w:szCs w:val="20"/>
        </w:rPr>
        <w:t xml:space="preserve"> (Att. 2)</w:t>
      </w:r>
      <w:r w:rsidRPr="00BF4F2B">
        <w:rPr>
          <w:szCs w:val="20"/>
        </w:rPr>
        <w:t xml:space="preserve">. </w:t>
      </w:r>
      <w:r w:rsidR="005E1DB8">
        <w:t>CDC received three comments to the notice.  One comment was outside the scope of the notice and was considered non-substantive.  A second commenter supported the proposed study; CDC did not respond to this commenter.  The third commenter was a global pharmaceutical company that provided comments related to ways to enhance the quality, utility and clarity of the information to be collected</w:t>
      </w:r>
      <w:r w:rsidR="00F54A46">
        <w:t xml:space="preserve"> (Att.3)</w:t>
      </w:r>
      <w:r w:rsidR="005E1DB8">
        <w:t xml:space="preserve">.  </w:t>
      </w:r>
      <w:r w:rsidR="00475148">
        <w:t xml:space="preserve">The proposed collection  is an observational study rather than an intervention, therefore no changes were made to the data collection instruments based on this comment. </w:t>
      </w:r>
    </w:p>
    <w:p w14:paraId="592B0077" w14:textId="77777777" w:rsidR="00004C3C" w:rsidRDefault="00004C3C" w:rsidP="00055734">
      <w:pPr>
        <w:spacing w:line="360" w:lineRule="auto"/>
        <w:ind w:firstLine="720"/>
        <w:rPr>
          <w:szCs w:val="20"/>
        </w:rPr>
      </w:pPr>
    </w:p>
    <w:bookmarkEnd w:id="35"/>
    <w:p w14:paraId="61BDBBCE" w14:textId="77777777" w:rsidR="00B3432B" w:rsidRPr="00A80AAC" w:rsidRDefault="00B3432B" w:rsidP="00B3432B">
      <w:pPr>
        <w:rPr>
          <w:b/>
          <w:noProof/>
        </w:rPr>
      </w:pPr>
      <w:r w:rsidRPr="00691454">
        <w:rPr>
          <w:b/>
        </w:rPr>
        <w:t>A.8.b)</w:t>
      </w:r>
      <w:r w:rsidRPr="00691454">
        <w:t xml:space="preserve"> </w:t>
      </w:r>
      <w:r w:rsidRPr="00A80AAC">
        <w:rPr>
          <w:b/>
          <w:noProof/>
        </w:rPr>
        <w:t>Efforts to Consult Outside the Agency</w:t>
      </w:r>
    </w:p>
    <w:p w14:paraId="46DAC13A" w14:textId="77777777" w:rsidR="007D2A22" w:rsidRPr="009B1505" w:rsidRDefault="007D2A22" w:rsidP="007D2A22">
      <w:pPr>
        <w:pStyle w:val="BodyText1"/>
      </w:pPr>
      <w:r w:rsidRPr="009B1505">
        <w:t xml:space="preserve">The study convened a </w:t>
      </w:r>
      <w:r w:rsidR="00D92167" w:rsidRPr="009B1505">
        <w:t xml:space="preserve">federal panel </w:t>
      </w:r>
      <w:r w:rsidRPr="009B1505">
        <w:t xml:space="preserve">on January 9, 2017, </w:t>
      </w:r>
      <w:r w:rsidR="00D92167">
        <w:t>that</w:t>
      </w:r>
      <w:r w:rsidR="00D92167" w:rsidRPr="009B1505">
        <w:t xml:space="preserve"> </w:t>
      </w:r>
      <w:r w:rsidRPr="009B1505">
        <w:t xml:space="preserve">included eight representatives from relevant federal agencies from outside CDC; </w:t>
      </w:r>
      <w:r w:rsidR="009227EE" w:rsidRPr="009B1505">
        <w:rPr>
          <w:b/>
          <w:i/>
        </w:rPr>
        <w:t>Exhib</w:t>
      </w:r>
      <w:r w:rsidR="009B1505">
        <w:rPr>
          <w:b/>
          <w:i/>
        </w:rPr>
        <w:t>i</w:t>
      </w:r>
      <w:r w:rsidR="009227EE" w:rsidRPr="009B1505">
        <w:rPr>
          <w:b/>
          <w:i/>
        </w:rPr>
        <w:t>t 4</w:t>
      </w:r>
      <w:r w:rsidRPr="009B1505">
        <w:t xml:space="preserve"> lists the panel’s participants. The panel reviewed and provided comment on all the data collection measures and </w:t>
      </w:r>
      <w:r w:rsidR="00D92167">
        <w:t xml:space="preserve">the </w:t>
      </w:r>
      <w:r w:rsidRPr="009B1505">
        <w:t>overall approach to the study.</w:t>
      </w:r>
    </w:p>
    <w:p w14:paraId="51339D6B" w14:textId="77777777" w:rsidR="009227EE" w:rsidRPr="009B1505" w:rsidRDefault="009227EE" w:rsidP="000A76BA">
      <w:pPr>
        <w:pStyle w:val="ExhibitTitle"/>
      </w:pPr>
      <w:bookmarkStart w:id="36" w:name="_Toc474759136"/>
      <w:r w:rsidRPr="009B1505">
        <w:t>Exhibit 4.</w:t>
      </w:r>
      <w:r w:rsidRPr="009B1505">
        <w:tab/>
        <w:t>Federal Panel Members</w:t>
      </w:r>
      <w:bookmarkEnd w:id="36"/>
    </w:p>
    <w:tbl>
      <w:tblPr>
        <w:tblW w:w="0" w:type="auto"/>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4675"/>
        <w:gridCol w:w="4675"/>
      </w:tblGrid>
      <w:tr w:rsidR="007D2A22" w:rsidRPr="009B1505" w14:paraId="4AACAEC3" w14:textId="77777777" w:rsidTr="009227EE">
        <w:tc>
          <w:tcPr>
            <w:tcW w:w="4675" w:type="dxa"/>
          </w:tcPr>
          <w:p w14:paraId="442AF96C" w14:textId="77777777" w:rsidR="007D2A22" w:rsidRPr="000A76BA" w:rsidRDefault="007D2A22" w:rsidP="000A76BA">
            <w:pPr>
              <w:pStyle w:val="TableText"/>
            </w:pPr>
            <w:r w:rsidRPr="000A76BA">
              <w:rPr>
                <w:b/>
              </w:rPr>
              <w:t>Melinda Campopiano, MD</w:t>
            </w:r>
            <w:r w:rsidR="009227EE" w:rsidRPr="000A76BA">
              <w:br/>
            </w:r>
            <w:r w:rsidRPr="000A76BA">
              <w:t>Chief Medical Officer</w:t>
            </w:r>
            <w:r w:rsidR="009227EE" w:rsidRPr="000A76BA">
              <w:br/>
            </w:r>
            <w:r w:rsidRPr="000A76BA">
              <w:t>Center for Substance Abuse Treatment</w:t>
            </w:r>
            <w:r w:rsidR="009227EE" w:rsidRPr="000A76BA">
              <w:br/>
            </w:r>
            <w:r w:rsidRPr="000A76BA">
              <w:t>Substance Abuse and Mental Health Services Administration</w:t>
            </w:r>
            <w:r w:rsidR="009227EE" w:rsidRPr="000A76BA">
              <w:br/>
            </w:r>
            <w:r w:rsidRPr="000A76BA">
              <w:t>Rockville, Maryland</w:t>
            </w:r>
          </w:p>
        </w:tc>
        <w:tc>
          <w:tcPr>
            <w:tcW w:w="4675" w:type="dxa"/>
          </w:tcPr>
          <w:p w14:paraId="3FAF7F1F" w14:textId="77777777" w:rsidR="007D2A22" w:rsidRPr="000A76BA" w:rsidRDefault="007D2A22" w:rsidP="000A76BA">
            <w:pPr>
              <w:pStyle w:val="TableText"/>
            </w:pPr>
            <w:r w:rsidRPr="000A76BA">
              <w:rPr>
                <w:b/>
              </w:rPr>
              <w:t>Peter Lurie, MD, MPD</w:t>
            </w:r>
            <w:r w:rsidR="009227EE" w:rsidRPr="000A76BA">
              <w:br/>
            </w:r>
            <w:r w:rsidRPr="000A76BA">
              <w:t>Associate Commissioner for Public Health Strategy and Analysis</w:t>
            </w:r>
            <w:r w:rsidR="009227EE" w:rsidRPr="000A76BA">
              <w:br/>
            </w:r>
            <w:r w:rsidRPr="000A76BA">
              <w:t>Office of Commissioner</w:t>
            </w:r>
            <w:r w:rsidR="009227EE" w:rsidRPr="000A76BA">
              <w:br/>
            </w:r>
            <w:r w:rsidRPr="000A76BA">
              <w:t>Food and Drug Administration</w:t>
            </w:r>
            <w:r w:rsidR="009227EE" w:rsidRPr="000A76BA">
              <w:br/>
            </w:r>
            <w:r w:rsidRPr="000A76BA">
              <w:t xml:space="preserve">Bethesda, Maryland </w:t>
            </w:r>
          </w:p>
        </w:tc>
      </w:tr>
      <w:tr w:rsidR="007D2A22" w:rsidRPr="009B1505" w14:paraId="2AFFA861" w14:textId="77777777" w:rsidTr="009227EE">
        <w:tc>
          <w:tcPr>
            <w:tcW w:w="4675" w:type="dxa"/>
          </w:tcPr>
          <w:p w14:paraId="5DB95B42" w14:textId="77777777" w:rsidR="007D2A22" w:rsidRPr="000A76BA" w:rsidRDefault="007D2A22" w:rsidP="000A76BA">
            <w:pPr>
              <w:pStyle w:val="TableText"/>
            </w:pPr>
            <w:r w:rsidRPr="000A76BA">
              <w:rPr>
                <w:b/>
              </w:rPr>
              <w:t>Sarah Q. Duffy, PhD</w:t>
            </w:r>
            <w:r w:rsidR="009227EE" w:rsidRPr="000A76BA">
              <w:br/>
            </w:r>
            <w:r w:rsidRPr="000A76BA">
              <w:t>Associate Director for Economic Research</w:t>
            </w:r>
            <w:r w:rsidR="009227EE" w:rsidRPr="000A76BA">
              <w:br/>
            </w:r>
            <w:r w:rsidRPr="000A76BA">
              <w:t>Division of Epidemiology, Services and Prevention Branch</w:t>
            </w:r>
            <w:r w:rsidR="009227EE" w:rsidRPr="000A76BA">
              <w:br/>
            </w:r>
            <w:r w:rsidRPr="000A76BA">
              <w:t>National Institute on Drug Abuse</w:t>
            </w:r>
            <w:r w:rsidR="009227EE" w:rsidRPr="000A76BA">
              <w:br/>
            </w:r>
            <w:r w:rsidRPr="000A76BA">
              <w:t xml:space="preserve">Bethesda, </w:t>
            </w:r>
            <w:r w:rsidR="0056040B" w:rsidRPr="000A76BA">
              <w:t>Maryland</w:t>
            </w:r>
            <w:r w:rsidRPr="000A76BA">
              <w:t xml:space="preserve"> </w:t>
            </w:r>
          </w:p>
        </w:tc>
        <w:tc>
          <w:tcPr>
            <w:tcW w:w="4675" w:type="dxa"/>
          </w:tcPr>
          <w:p w14:paraId="2AEEECD0" w14:textId="77777777" w:rsidR="007D2A22" w:rsidRPr="000A76BA" w:rsidRDefault="007D2A22" w:rsidP="000A76BA">
            <w:pPr>
              <w:pStyle w:val="TableText"/>
            </w:pPr>
            <w:r w:rsidRPr="000A76BA">
              <w:rPr>
                <w:b/>
              </w:rPr>
              <w:t>Richard Ricciardi, PhD, NP</w:t>
            </w:r>
            <w:r w:rsidR="009227EE" w:rsidRPr="000A76BA">
              <w:br/>
            </w:r>
            <w:r w:rsidRPr="000A76BA">
              <w:t>Director, Division of Practice Improvement</w:t>
            </w:r>
            <w:r w:rsidR="009227EE" w:rsidRPr="000A76BA">
              <w:br/>
            </w:r>
            <w:r w:rsidRPr="000A76BA">
              <w:t>Agency for Health</w:t>
            </w:r>
            <w:r w:rsidR="00EE531C" w:rsidRPr="000A76BA">
              <w:t>c</w:t>
            </w:r>
            <w:r w:rsidRPr="000A76BA">
              <w:t>are Research and Quality</w:t>
            </w:r>
            <w:r w:rsidR="009227EE" w:rsidRPr="000A76BA">
              <w:br/>
            </w:r>
            <w:r w:rsidRPr="000A76BA">
              <w:t>Rockville, Maryland</w:t>
            </w:r>
          </w:p>
        </w:tc>
      </w:tr>
      <w:tr w:rsidR="007D2A22" w:rsidRPr="009B1505" w14:paraId="6A98D6E3" w14:textId="77777777" w:rsidTr="009227EE">
        <w:tc>
          <w:tcPr>
            <w:tcW w:w="4675" w:type="dxa"/>
          </w:tcPr>
          <w:p w14:paraId="2CEB4949" w14:textId="77777777" w:rsidR="007D2A22" w:rsidRPr="000A76BA" w:rsidRDefault="007D2A22" w:rsidP="000A76BA">
            <w:pPr>
              <w:pStyle w:val="TableText"/>
            </w:pPr>
            <w:r w:rsidRPr="000A76BA">
              <w:rPr>
                <w:b/>
              </w:rPr>
              <w:t>Kimberly Johnson, PhD, MBA, MA</w:t>
            </w:r>
            <w:r w:rsidR="009227EE" w:rsidRPr="000A76BA">
              <w:br/>
            </w:r>
            <w:r w:rsidRPr="000A76BA">
              <w:t>Director</w:t>
            </w:r>
            <w:r w:rsidR="009227EE" w:rsidRPr="000A76BA">
              <w:br/>
            </w:r>
            <w:r w:rsidRPr="000A76BA">
              <w:t>Center for Substance Abuse Treatment</w:t>
            </w:r>
            <w:r w:rsidR="009227EE" w:rsidRPr="000A76BA">
              <w:br/>
            </w:r>
            <w:r w:rsidRPr="000A76BA">
              <w:t>Substance Abuse and Mental Health Services Administration</w:t>
            </w:r>
            <w:r w:rsidR="009227EE" w:rsidRPr="000A76BA">
              <w:br/>
            </w:r>
            <w:r w:rsidRPr="000A76BA">
              <w:t xml:space="preserve">Rockville, Maryland </w:t>
            </w:r>
          </w:p>
        </w:tc>
        <w:tc>
          <w:tcPr>
            <w:tcW w:w="4675" w:type="dxa"/>
          </w:tcPr>
          <w:p w14:paraId="59674A43" w14:textId="77777777" w:rsidR="007D2A22" w:rsidRPr="000A76BA" w:rsidRDefault="007D2A22" w:rsidP="000A76BA">
            <w:pPr>
              <w:pStyle w:val="TableText"/>
            </w:pPr>
            <w:r w:rsidRPr="000A76BA">
              <w:rPr>
                <w:b/>
              </w:rPr>
              <w:t>Carmen Rosa, MS</w:t>
            </w:r>
            <w:r w:rsidR="009227EE" w:rsidRPr="000A76BA">
              <w:br/>
            </w:r>
            <w:r w:rsidRPr="000A76BA">
              <w:t>Regulatory Affairs Specialist</w:t>
            </w:r>
            <w:r w:rsidR="009227EE" w:rsidRPr="000A76BA">
              <w:br/>
            </w:r>
            <w:r w:rsidRPr="000A76BA">
              <w:t>National Institute on Drug Abuse</w:t>
            </w:r>
            <w:r w:rsidR="009227EE" w:rsidRPr="000A76BA">
              <w:br/>
            </w:r>
            <w:r w:rsidRPr="000A76BA">
              <w:t>Bethesda, Maryland</w:t>
            </w:r>
          </w:p>
        </w:tc>
      </w:tr>
      <w:tr w:rsidR="007D2A22" w:rsidRPr="009B1505" w14:paraId="2560E7B8" w14:textId="77777777" w:rsidTr="009227EE">
        <w:tc>
          <w:tcPr>
            <w:tcW w:w="4675" w:type="dxa"/>
          </w:tcPr>
          <w:p w14:paraId="0478A78C" w14:textId="77777777" w:rsidR="007D2A22" w:rsidRPr="000A76BA" w:rsidRDefault="007D2A22" w:rsidP="000A76BA">
            <w:pPr>
              <w:pStyle w:val="TableText"/>
            </w:pPr>
            <w:r w:rsidRPr="000A76BA">
              <w:rPr>
                <w:b/>
              </w:rPr>
              <w:t>Christopher Jones, PharmD, MPH</w:t>
            </w:r>
            <w:r w:rsidR="009227EE" w:rsidRPr="000A76BA">
              <w:br/>
            </w:r>
            <w:r w:rsidRPr="000A76BA">
              <w:t>Acting Associate Deputy Assistant Secretary and Director of the Division of Science Policy in the Office of the Assistant Secretary for Planning and Evaluation</w:t>
            </w:r>
            <w:r w:rsidR="009227EE" w:rsidRPr="000A76BA">
              <w:br/>
            </w:r>
            <w:r w:rsidRPr="000A76BA">
              <w:t xml:space="preserve">Washington, DC </w:t>
            </w:r>
          </w:p>
        </w:tc>
        <w:tc>
          <w:tcPr>
            <w:tcW w:w="4675" w:type="dxa"/>
          </w:tcPr>
          <w:p w14:paraId="23C05A9C" w14:textId="77777777" w:rsidR="007D2A22" w:rsidRPr="000A76BA" w:rsidRDefault="007D2A22" w:rsidP="000A76BA">
            <w:pPr>
              <w:pStyle w:val="TableText"/>
            </w:pPr>
            <w:r w:rsidRPr="000A76BA">
              <w:rPr>
                <w:b/>
              </w:rPr>
              <w:t>Alexander Ross, ScD</w:t>
            </w:r>
            <w:r w:rsidRPr="000A76BA">
              <w:t xml:space="preserve"> </w:t>
            </w:r>
            <w:r w:rsidR="009227EE" w:rsidRPr="000A76BA">
              <w:br/>
            </w:r>
            <w:r w:rsidRPr="000A76BA">
              <w:t>Senior Advisor on Behavioral Health</w:t>
            </w:r>
            <w:r w:rsidR="009227EE" w:rsidRPr="000A76BA">
              <w:br/>
            </w:r>
            <w:r w:rsidRPr="000A76BA">
              <w:t>Health Resources and Services Administration</w:t>
            </w:r>
            <w:r w:rsidR="009227EE" w:rsidRPr="000A76BA">
              <w:br/>
            </w:r>
            <w:r w:rsidRPr="000A76BA">
              <w:t>Rockville, Maryland</w:t>
            </w:r>
          </w:p>
        </w:tc>
      </w:tr>
      <w:tr w:rsidR="007D2A22" w:rsidRPr="009B1505" w14:paraId="0ABD252F" w14:textId="77777777" w:rsidTr="009227EE">
        <w:tc>
          <w:tcPr>
            <w:tcW w:w="4675" w:type="dxa"/>
          </w:tcPr>
          <w:p w14:paraId="11A6378B" w14:textId="77777777" w:rsidR="007D2A22" w:rsidRPr="000A76BA" w:rsidRDefault="00454E63" w:rsidP="000A76BA">
            <w:pPr>
              <w:pStyle w:val="TableText"/>
            </w:pPr>
            <w:r w:rsidRPr="000A76BA">
              <w:rPr>
                <w:b/>
              </w:rPr>
              <w:t>Betty Tai, PhD</w:t>
            </w:r>
            <w:r w:rsidRPr="000A76BA">
              <w:br/>
              <w:t>Director, Center for the Clinical Trials Network</w:t>
            </w:r>
            <w:r w:rsidRPr="000A76BA">
              <w:br/>
              <w:t>Bethesda, Maryland</w:t>
            </w:r>
          </w:p>
        </w:tc>
        <w:tc>
          <w:tcPr>
            <w:tcW w:w="4675" w:type="dxa"/>
          </w:tcPr>
          <w:p w14:paraId="30AD7DBA" w14:textId="77777777" w:rsidR="007D2A22" w:rsidRPr="000A76BA" w:rsidRDefault="007D2A22" w:rsidP="000A76BA">
            <w:pPr>
              <w:pStyle w:val="TableText"/>
            </w:pPr>
          </w:p>
        </w:tc>
      </w:tr>
    </w:tbl>
    <w:p w14:paraId="15484309" w14:textId="77777777" w:rsidR="007D2A22" w:rsidRPr="009B1505" w:rsidRDefault="007D2A22" w:rsidP="009227EE">
      <w:pPr>
        <w:pStyle w:val="tabfigsource"/>
      </w:pPr>
    </w:p>
    <w:p w14:paraId="10406446" w14:textId="77777777" w:rsidR="00CF4D7B" w:rsidRDefault="00CF4D7B" w:rsidP="007F728D"/>
    <w:p w14:paraId="11538728" w14:textId="77777777" w:rsidR="00CF4D7B" w:rsidRDefault="00CF4D7B" w:rsidP="00E761C6">
      <w:pPr>
        <w:pStyle w:val="Heading2"/>
      </w:pPr>
      <w:bookmarkStart w:id="37" w:name="_Toc497134502"/>
      <w:r w:rsidRPr="00382D02">
        <w:t xml:space="preserve">A.9. </w:t>
      </w:r>
      <w:r w:rsidRPr="00382D02">
        <w:tab/>
        <w:t>Explanation of Any Payment or Gift to Respondents</w:t>
      </w:r>
      <w:bookmarkEnd w:id="37"/>
    </w:p>
    <w:p w14:paraId="4C74C613" w14:textId="1CF9BD73" w:rsidR="00CF4D7B" w:rsidRPr="00382D02" w:rsidRDefault="00CF4D7B" w:rsidP="00F87EBC">
      <w:pPr>
        <w:spacing w:after="120" w:line="360" w:lineRule="auto"/>
        <w:ind w:firstLine="720"/>
      </w:pPr>
      <w:r w:rsidRPr="00382D02">
        <w:t xml:space="preserve">Incentives will be offered to </w:t>
      </w:r>
      <w:r w:rsidR="00CC4E13">
        <w:t>patients</w:t>
      </w:r>
      <w:r w:rsidR="00D509C8">
        <w:t xml:space="preserve"> completing the questionnaires included in this data collection to h</w:t>
      </w:r>
      <w:r w:rsidR="007C48F9">
        <w:t xml:space="preserve">elp ensure that </w:t>
      </w:r>
      <w:r w:rsidR="00CC4E13">
        <w:t>patients</w:t>
      </w:r>
      <w:r w:rsidR="007C48F9">
        <w:t xml:space="preserve"> respond</w:t>
      </w:r>
      <w:r w:rsidR="00D509C8">
        <w:t xml:space="preserve"> at each data collection point. Given the 24-month follow-up window and the desired 80 percent response rate</w:t>
      </w:r>
      <w:r w:rsidR="00BE36EF">
        <w:t>,</w:t>
      </w:r>
      <w:r w:rsidR="00D509C8">
        <w:t xml:space="preserve"> offering incentives is essential to the data collection and the overall </w:t>
      </w:r>
      <w:r w:rsidR="009912B7">
        <w:t>study’s</w:t>
      </w:r>
      <w:r w:rsidR="00D509C8">
        <w:t xml:space="preserve"> success.</w:t>
      </w:r>
      <w:r w:rsidRPr="00382D02">
        <w:t xml:space="preserve"> In general, studies have shown that response rates have decreased</w:t>
      </w:r>
      <w:r w:rsidR="00374CDD">
        <w:t xml:space="preserve"> over time</w:t>
      </w:r>
      <w:r w:rsidRPr="00382D02">
        <w:t xml:space="preserve"> (Brick &amp; Williams 2013; Curtin, Presser, &amp; Singer 2000). This study faces three additional challenges in achieving the needed response rate. First, </w:t>
      </w:r>
      <w:r w:rsidR="00CC4E13">
        <w:t>patients</w:t>
      </w:r>
      <w:r w:rsidRPr="00382D02">
        <w:t xml:space="preserve"> receiving OUD treatment are often hard to find and recruit; only a portion of individuals with OUD seek treatment and many may not want to identify as receiving treatment because of stigma, legal, and social concerns. Second, longitudinal surveys are valuable in tracking </w:t>
      </w:r>
      <w:r w:rsidR="0049000E">
        <w:t>client</w:t>
      </w:r>
      <w:r w:rsidR="0049000E" w:rsidRPr="00382D02">
        <w:t xml:space="preserve"> </w:t>
      </w:r>
      <w:r w:rsidRPr="00382D02">
        <w:t xml:space="preserve">outcomes over time but present challenges in data collection as individuals must be </w:t>
      </w:r>
      <w:r w:rsidR="00BE36EF">
        <w:t>followed</w:t>
      </w:r>
      <w:r w:rsidR="00BE36EF" w:rsidRPr="00382D02">
        <w:t xml:space="preserve"> </w:t>
      </w:r>
      <w:r w:rsidRPr="00382D02">
        <w:t xml:space="preserve">over time and encouraged to participate in the survey multiple times. Third, asking sensitive questions on drug use, criminal justice involvement, pregnancy and childhood trauma is burdensome on respondents but necessary to determine the effectiveness of treatment options for OUDs (James 1997). </w:t>
      </w:r>
    </w:p>
    <w:p w14:paraId="36DF97C0" w14:textId="3DDFE97B" w:rsidR="00CF4D7B" w:rsidRPr="00382D02" w:rsidRDefault="007C5085" w:rsidP="00924BBD">
      <w:pPr>
        <w:spacing w:after="120" w:line="360" w:lineRule="auto"/>
        <w:ind w:firstLine="720"/>
      </w:pPr>
      <w:r>
        <w:t>A</w:t>
      </w:r>
      <w:r w:rsidR="00CF4D7B" w:rsidRPr="00382D02">
        <w:t xml:space="preserve"> recent study of four alcohol and tobacco use studies showed that offering incentives increase</w:t>
      </w:r>
      <w:r w:rsidR="00F87EBC">
        <w:t>d</w:t>
      </w:r>
      <w:r w:rsidR="00CF4D7B" w:rsidRPr="00382D02">
        <w:t xml:space="preserve"> on-time survey completion from 18% to 68% and using incentives achieved </w:t>
      </w:r>
      <w:r w:rsidR="00BE36EF">
        <w:t xml:space="preserve">overall </w:t>
      </w:r>
      <w:r w:rsidR="00CF4D7B" w:rsidRPr="00382D02">
        <w:t xml:space="preserve">response rates </w:t>
      </w:r>
      <w:r w:rsidR="00BE36EF">
        <w:t xml:space="preserve">of </w:t>
      </w:r>
      <w:r w:rsidR="00CF4D7B" w:rsidRPr="00382D02">
        <w:t>over 90% (Smith et</w:t>
      </w:r>
      <w:r w:rsidR="00EB286F">
        <w:t>.</w:t>
      </w:r>
      <w:r w:rsidR="00CF4D7B" w:rsidRPr="00382D02">
        <w:t xml:space="preserve"> al</w:t>
      </w:r>
      <w:r w:rsidR="00EB286F">
        <w:t>.,</w:t>
      </w:r>
      <w:r w:rsidR="00CF4D7B" w:rsidRPr="00382D02">
        <w:t xml:space="preserve"> 2017). A longitudinal health study of individuals impacted by the 9/11 terrorist attacks in New York City found that offering a $10 incentive increased survey returns by 30% and increased the overall response rate by 18% (Yu et</w:t>
      </w:r>
      <w:r w:rsidR="00EB286F">
        <w:t>.</w:t>
      </w:r>
      <w:r w:rsidR="00CF4D7B" w:rsidRPr="00382D02">
        <w:t xml:space="preserve"> al</w:t>
      </w:r>
      <w:r w:rsidR="00EB286F">
        <w:t>.,</w:t>
      </w:r>
      <w:r w:rsidR="00CF4D7B" w:rsidRPr="00382D02">
        <w:t xml:space="preserve"> 2017). </w:t>
      </w:r>
    </w:p>
    <w:p w14:paraId="76F436FA" w14:textId="6703D0A9" w:rsidR="00D509C8" w:rsidRDefault="00CF4D7B" w:rsidP="0062507E">
      <w:pPr>
        <w:spacing w:after="120" w:line="360" w:lineRule="auto"/>
        <w:ind w:firstLine="720"/>
      </w:pPr>
      <w:r w:rsidRPr="00D477EF">
        <w:t xml:space="preserve">We have constructed this study’s incentive structure to be in line with incentives approved by the OMB on similar surveys and supported by the literature. The offering of incentives for these data collection tools is </w:t>
      </w:r>
      <w:r w:rsidR="00BE36EF">
        <w:t>comparable</w:t>
      </w:r>
      <w:r w:rsidR="00BE36EF" w:rsidRPr="00D477EF">
        <w:t xml:space="preserve"> </w:t>
      </w:r>
      <w:r w:rsidRPr="00D477EF">
        <w:t xml:space="preserve">to incentives offered on similar data collections including the National Survey on Drug Use and Health (OMB No. 0930-0110), the National Intimate Partner and Sexual Violence Survey (NISVS) (OMB No. 0920-0822), and the Services Accountability Improvement System (OMB No. 0930-0208).  All incentives provided will consist of physical or digital gift cards to a local or national store (e.g., Wal-Mart, Target, Amazon). </w:t>
      </w:r>
      <w:r w:rsidR="00CC4E13">
        <w:t>Patients</w:t>
      </w:r>
      <w:r w:rsidR="00D51363">
        <w:t xml:space="preserve"> will be offered $</w:t>
      </w:r>
      <w:r w:rsidR="00CE2942">
        <w:t>3</w:t>
      </w:r>
      <w:r w:rsidR="00D51363">
        <w:t>0 for the B</w:t>
      </w:r>
      <w:r w:rsidRPr="00D477EF">
        <w:t>aseline Client Questionnaire, $20 for each Check-In Questionnaire ($40 total), and $</w:t>
      </w:r>
      <w:r w:rsidR="00CE2942">
        <w:t>3</w:t>
      </w:r>
      <w:r w:rsidRPr="00D477EF">
        <w:t>0 each for the 12- and 24-month follow-up Client Questionnaires</w:t>
      </w:r>
      <w:r w:rsidR="00BE36EF">
        <w:t xml:space="preserve"> ($</w:t>
      </w:r>
      <w:r w:rsidR="00CE2942">
        <w:t>60</w:t>
      </w:r>
      <w:r w:rsidR="00BE36EF">
        <w:t xml:space="preserve"> total)</w:t>
      </w:r>
      <w:r w:rsidR="00C15969">
        <w:t>.</w:t>
      </w:r>
    </w:p>
    <w:p w14:paraId="11EE078A" w14:textId="08DC6E2F" w:rsidR="00CF4D7B" w:rsidRPr="00D477EF" w:rsidRDefault="00517287" w:rsidP="0062507E">
      <w:pPr>
        <w:spacing w:after="120" w:line="360" w:lineRule="auto"/>
        <w:ind w:firstLine="720"/>
      </w:pPr>
      <w:r>
        <w:t xml:space="preserve">A $40 incentive will be given to </w:t>
      </w:r>
      <w:r w:rsidR="00BE36EF">
        <w:t xml:space="preserve">a </w:t>
      </w:r>
      <w:r>
        <w:t>client</w:t>
      </w:r>
      <w:r w:rsidR="00BE36EF">
        <w:t xml:space="preserve"> </w:t>
      </w:r>
      <w:r>
        <w:t>participating in the Client Focus Groups</w:t>
      </w:r>
      <w:r w:rsidR="004C7909">
        <w:t xml:space="preserve"> and a $</w:t>
      </w:r>
      <w:r w:rsidR="00005687">
        <w:t xml:space="preserve">75 </w:t>
      </w:r>
      <w:r w:rsidR="004C7909">
        <w:t>incentive will be given to</w:t>
      </w:r>
      <w:r w:rsidR="00BE36EF">
        <w:t xml:space="preserve"> a </w:t>
      </w:r>
      <w:r w:rsidR="004C7909">
        <w:t xml:space="preserve">treatment staff </w:t>
      </w:r>
      <w:r w:rsidR="00BE36EF">
        <w:t xml:space="preserve">person </w:t>
      </w:r>
      <w:r w:rsidR="004C7909">
        <w:t xml:space="preserve">participating </w:t>
      </w:r>
      <w:r w:rsidR="00924BBD">
        <w:t xml:space="preserve">in </w:t>
      </w:r>
      <w:r w:rsidR="004C7909">
        <w:t xml:space="preserve">the </w:t>
      </w:r>
      <w:r w:rsidR="009912B7">
        <w:t xml:space="preserve">Treatment Facility </w:t>
      </w:r>
      <w:r w:rsidR="004C7909">
        <w:t xml:space="preserve">Staff Focus Groups. While the Focus Groups are conducted virtually via conference call; </w:t>
      </w:r>
      <w:r w:rsidR="00CC4E13">
        <w:t>patients</w:t>
      </w:r>
      <w:r w:rsidR="004C7909">
        <w:t xml:space="preserve"> and staff will still need </w:t>
      </w:r>
      <w:r w:rsidR="009912B7">
        <w:t xml:space="preserve">to </w:t>
      </w:r>
      <w:r w:rsidR="004C7909">
        <w:t xml:space="preserve">have access to a telephone </w:t>
      </w:r>
      <w:r w:rsidR="009912B7">
        <w:t xml:space="preserve">located </w:t>
      </w:r>
      <w:r w:rsidR="004C7909">
        <w:t xml:space="preserve">in </w:t>
      </w:r>
      <w:r w:rsidR="00D079F2">
        <w:t xml:space="preserve">a </w:t>
      </w:r>
      <w:r w:rsidR="004C7909">
        <w:t xml:space="preserve">quiet and private setting which may require </w:t>
      </w:r>
      <w:r w:rsidR="00CC4E13">
        <w:t>patients</w:t>
      </w:r>
      <w:r w:rsidR="004C7909">
        <w:t xml:space="preserve"> to travel to a treatment</w:t>
      </w:r>
      <w:r w:rsidR="00F20F67">
        <w:t xml:space="preserve"> facility and staff to remain at</w:t>
      </w:r>
      <w:r w:rsidR="004C7909">
        <w:t xml:space="preserve"> office</w:t>
      </w:r>
      <w:r w:rsidR="00F20F67">
        <w:t>s</w:t>
      </w:r>
      <w:r w:rsidR="004C7909">
        <w:t xml:space="preserve"> after working hours. As </w:t>
      </w:r>
      <w:r w:rsidR="00BE36EF">
        <w:t>Focus G</w:t>
      </w:r>
      <w:r w:rsidR="00F20F67">
        <w:t>roups</w:t>
      </w:r>
      <w:r w:rsidR="004C7909">
        <w:t xml:space="preserve"> may be scheduled outside of normal working hours, additional childcare and commuting costs may be incurred. The Staff Focus Group incentive is set at $</w:t>
      </w:r>
      <w:r w:rsidR="00005687">
        <w:t xml:space="preserve">75 </w:t>
      </w:r>
      <w:r w:rsidR="004C7909">
        <w:t>to help ensure participation from highly paid professional staff such as psychiatrists, physicians, facility administrators and registered nurses</w:t>
      </w:r>
      <w:r w:rsidR="00FF24AE">
        <w:t xml:space="preserve">. </w:t>
      </w:r>
    </w:p>
    <w:p w14:paraId="73A3F034" w14:textId="77777777" w:rsidR="00776F11" w:rsidRDefault="007D2A22" w:rsidP="00A25BA7">
      <w:pPr>
        <w:pStyle w:val="Heading2"/>
      </w:pPr>
      <w:bookmarkStart w:id="38" w:name="_Toc88033474"/>
      <w:bookmarkStart w:id="39" w:name="_Toc497134503"/>
      <w:bookmarkStart w:id="40" w:name="_Toc474237983"/>
      <w:r w:rsidRPr="009B1505">
        <w:t>A.10</w:t>
      </w:r>
      <w:r w:rsidRPr="009B1505">
        <w:tab/>
      </w:r>
      <w:bookmarkEnd w:id="38"/>
      <w:r w:rsidR="00776F11" w:rsidRPr="00053C31">
        <w:t>Protection of t</w:t>
      </w:r>
      <w:r w:rsidR="00B729D2">
        <w:t xml:space="preserve">he Privacy and Confidentiality of Information Provided </w:t>
      </w:r>
      <w:r w:rsidR="00776F11" w:rsidRPr="00053C31">
        <w:t>by Respondents</w:t>
      </w:r>
      <w:bookmarkEnd w:id="39"/>
    </w:p>
    <w:p w14:paraId="7342E822" w14:textId="0B7BAF3C" w:rsidR="00776F11" w:rsidRDefault="00004C3C" w:rsidP="00BF4F2B">
      <w:pPr>
        <w:pStyle w:val="BodyTextIndent2"/>
        <w:tabs>
          <w:tab w:val="left" w:pos="720"/>
        </w:tabs>
        <w:spacing w:line="360" w:lineRule="auto"/>
        <w:ind w:left="0"/>
        <w:rPr>
          <w:szCs w:val="20"/>
        </w:rPr>
      </w:pPr>
      <w:r>
        <w:rPr>
          <w:szCs w:val="20"/>
        </w:rPr>
        <w:tab/>
      </w:r>
      <w:r w:rsidR="00776F11" w:rsidRPr="00BF4F2B">
        <w:rPr>
          <w:szCs w:val="20"/>
        </w:rPr>
        <w:t>This submission has been reviewed by the NCIPC’s Information Systems Security Officer, who has determined that the Privacy Act does apply</w:t>
      </w:r>
      <w:r w:rsidR="008A17B2">
        <w:rPr>
          <w:szCs w:val="20"/>
        </w:rPr>
        <w:t xml:space="preserve"> because</w:t>
      </w:r>
      <w:r w:rsidR="004C6F9A">
        <w:rPr>
          <w:szCs w:val="20"/>
        </w:rPr>
        <w:t xml:space="preserve"> the study collects personal identifiable information (PII) which is protected by the Privacy Act (1974 and 1988)</w:t>
      </w:r>
      <w:r w:rsidR="00776F11" w:rsidRPr="00BF4F2B">
        <w:rPr>
          <w:szCs w:val="20"/>
        </w:rPr>
        <w:t xml:space="preserve">. The </w:t>
      </w:r>
      <w:r w:rsidR="00B74E3F">
        <w:rPr>
          <w:szCs w:val="20"/>
        </w:rPr>
        <w:t xml:space="preserve">pending approval </w:t>
      </w:r>
      <w:r w:rsidR="00776F11" w:rsidRPr="00BF4F2B">
        <w:rPr>
          <w:szCs w:val="20"/>
        </w:rPr>
        <w:t>Privacy Impact Assessment (PIA) is attached</w:t>
      </w:r>
      <w:r w:rsidR="00C15969">
        <w:rPr>
          <w:szCs w:val="20"/>
        </w:rPr>
        <w:t xml:space="preserve"> (Att. 9)</w:t>
      </w:r>
      <w:r w:rsidR="00776F11" w:rsidRPr="00BF4F2B">
        <w:rPr>
          <w:szCs w:val="20"/>
        </w:rPr>
        <w:t>.</w:t>
      </w:r>
      <w:r w:rsidR="00192F9D" w:rsidRPr="00BF4F2B">
        <w:rPr>
          <w:szCs w:val="20"/>
        </w:rPr>
        <w:t xml:space="preserve"> The applicable System of Records Notice (SORN) is 09-20-0136, “Epidemiologic Studies and Surveillance of Disease Problems,” for which records are retrievable by SSN or by name. See Federal Register: December 31, 1992 (Volume 57, Number 252)] [Notices] [Pages 62812–62813].</w:t>
      </w:r>
    </w:p>
    <w:p w14:paraId="68D05A42" w14:textId="22FE4014" w:rsidR="00491B5B" w:rsidRPr="00BF4F2B" w:rsidRDefault="00491B5B" w:rsidP="00491B5B">
      <w:pPr>
        <w:pStyle w:val="BodyTextIndent2"/>
        <w:tabs>
          <w:tab w:val="left" w:pos="720"/>
        </w:tabs>
        <w:spacing w:line="360" w:lineRule="auto"/>
        <w:ind w:left="0"/>
        <w:rPr>
          <w:szCs w:val="20"/>
        </w:rPr>
      </w:pPr>
      <w:r>
        <w:rPr>
          <w:szCs w:val="20"/>
        </w:rPr>
        <w:tab/>
        <w:t>Justification for the collection of SSNs and other identi</w:t>
      </w:r>
      <w:r w:rsidR="004D7A03">
        <w:rPr>
          <w:szCs w:val="20"/>
        </w:rPr>
        <w:t>fiers</w:t>
      </w:r>
      <w:r>
        <w:rPr>
          <w:szCs w:val="20"/>
        </w:rPr>
        <w:t xml:space="preserve"> is provided in Section A.2; all </w:t>
      </w:r>
      <w:r w:rsidR="00CC4E13">
        <w:rPr>
          <w:szCs w:val="20"/>
        </w:rPr>
        <w:t>patients</w:t>
      </w:r>
      <w:r>
        <w:rPr>
          <w:szCs w:val="20"/>
        </w:rPr>
        <w:t xml:space="preserve"> will be informed that SSNs will only be collected for use in tracking and </w:t>
      </w:r>
      <w:r w:rsidR="00F241FA">
        <w:rPr>
          <w:szCs w:val="20"/>
        </w:rPr>
        <w:t>contacting</w:t>
      </w:r>
      <w:r>
        <w:rPr>
          <w:szCs w:val="20"/>
        </w:rPr>
        <w:t xml:space="preserve"> </w:t>
      </w:r>
      <w:r w:rsidR="00CC4E13">
        <w:rPr>
          <w:szCs w:val="20"/>
        </w:rPr>
        <w:t>patients</w:t>
      </w:r>
      <w:r>
        <w:rPr>
          <w:szCs w:val="20"/>
        </w:rPr>
        <w:t xml:space="preserve"> for data collection follow-up and that providing SSN is voluntary</w:t>
      </w:r>
      <w:r w:rsidR="00956F77">
        <w:rPr>
          <w:szCs w:val="20"/>
        </w:rPr>
        <w:t xml:space="preserve"> (Att. 12)</w:t>
      </w:r>
      <w:r>
        <w:rPr>
          <w:szCs w:val="20"/>
        </w:rPr>
        <w:t xml:space="preserve"> </w:t>
      </w:r>
    </w:p>
    <w:p w14:paraId="1C238433" w14:textId="7EA280BF" w:rsidR="004D6C4E" w:rsidRPr="00192F9D" w:rsidRDefault="00004C3C" w:rsidP="00213087">
      <w:pPr>
        <w:pStyle w:val="Heading2"/>
        <w:spacing w:line="360" w:lineRule="auto"/>
        <w:ind w:left="0" w:firstLine="0"/>
        <w:rPr>
          <w:rFonts w:cs="Times New Roman"/>
          <w:b w:val="0"/>
          <w:bCs w:val="0"/>
          <w:iCs w:val="0"/>
          <w:szCs w:val="20"/>
        </w:rPr>
      </w:pPr>
      <w:r>
        <w:tab/>
      </w:r>
      <w:bookmarkStart w:id="41" w:name="_Toc488244905"/>
      <w:bookmarkStart w:id="42" w:name="_Toc491417942"/>
      <w:bookmarkStart w:id="43" w:name="_Toc497134504"/>
      <w:bookmarkEnd w:id="40"/>
      <w:r w:rsidR="007E34C3" w:rsidRPr="00192F9D">
        <w:rPr>
          <w:rFonts w:cs="Times New Roman"/>
          <w:b w:val="0"/>
          <w:bCs w:val="0"/>
          <w:iCs w:val="0"/>
          <w:szCs w:val="20"/>
        </w:rPr>
        <w:t>Concern for privacy and protection of respondents’ rights will play a central part in the implementation of all study components. The study will require the collection of identifying information including birth</w:t>
      </w:r>
      <w:r w:rsidR="00BE36EF">
        <w:rPr>
          <w:rFonts w:cs="Times New Roman"/>
          <w:b w:val="0"/>
          <w:bCs w:val="0"/>
          <w:iCs w:val="0"/>
          <w:szCs w:val="20"/>
        </w:rPr>
        <w:t xml:space="preserve"> </w:t>
      </w:r>
      <w:r w:rsidR="007E34C3" w:rsidRPr="00192F9D">
        <w:rPr>
          <w:rFonts w:cs="Times New Roman"/>
          <w:b w:val="0"/>
          <w:bCs w:val="0"/>
          <w:iCs w:val="0"/>
          <w:szCs w:val="20"/>
        </w:rPr>
        <w:t xml:space="preserve">date, name, contact information (mailing address, telephone numbers, email addresses) and SSN. </w:t>
      </w:r>
      <w:r w:rsidR="004D6C4E" w:rsidRPr="00192F9D">
        <w:rPr>
          <w:rFonts w:cs="Times New Roman"/>
          <w:b w:val="0"/>
          <w:bCs w:val="0"/>
          <w:iCs w:val="0"/>
          <w:szCs w:val="20"/>
        </w:rPr>
        <w:t>CDC will not receive identify</w:t>
      </w:r>
      <w:r w:rsidR="00CE5DDC" w:rsidRPr="00192F9D">
        <w:rPr>
          <w:rFonts w:cs="Times New Roman"/>
          <w:b w:val="0"/>
          <w:bCs w:val="0"/>
          <w:iCs w:val="0"/>
          <w:szCs w:val="20"/>
        </w:rPr>
        <w:t>ing</w:t>
      </w:r>
      <w:r w:rsidR="004D6C4E" w:rsidRPr="00192F9D">
        <w:rPr>
          <w:rFonts w:cs="Times New Roman"/>
          <w:b w:val="0"/>
          <w:bCs w:val="0"/>
          <w:iCs w:val="0"/>
          <w:szCs w:val="20"/>
        </w:rPr>
        <w:t xml:space="preserve"> information; all data provided to CDC will be de-identified by the study contractor, RTI. RTI will collect and store identifying information separately from all other client responses. Client responses will only be identified by a random ID</w:t>
      </w:r>
      <w:r w:rsidR="00D017AE" w:rsidRPr="00192F9D">
        <w:rPr>
          <w:rFonts w:cs="Times New Roman"/>
          <w:b w:val="0"/>
          <w:bCs w:val="0"/>
          <w:iCs w:val="0"/>
          <w:szCs w:val="20"/>
        </w:rPr>
        <w:t>,</w:t>
      </w:r>
      <w:r w:rsidR="004D6C4E" w:rsidRPr="00192F9D">
        <w:rPr>
          <w:rFonts w:cs="Times New Roman"/>
          <w:b w:val="0"/>
          <w:bCs w:val="0"/>
          <w:iCs w:val="0"/>
          <w:szCs w:val="20"/>
        </w:rPr>
        <w:t xml:space="preserve"> and the dataset linking a client’s responses </w:t>
      </w:r>
      <w:r w:rsidR="00B21C8A" w:rsidRPr="00192F9D">
        <w:rPr>
          <w:rFonts w:cs="Times New Roman"/>
          <w:b w:val="0"/>
          <w:bCs w:val="0"/>
          <w:iCs w:val="0"/>
          <w:szCs w:val="20"/>
        </w:rPr>
        <w:t xml:space="preserve">with </w:t>
      </w:r>
      <w:r w:rsidR="004D6C4E" w:rsidRPr="00192F9D">
        <w:rPr>
          <w:rFonts w:cs="Times New Roman"/>
          <w:b w:val="0"/>
          <w:bCs w:val="0"/>
          <w:iCs w:val="0"/>
          <w:szCs w:val="20"/>
        </w:rPr>
        <w:t>the identifying information will only be accessible by the contractor’s study director</w:t>
      </w:r>
      <w:r w:rsidR="00577CF4" w:rsidRPr="00192F9D">
        <w:rPr>
          <w:rFonts w:cs="Times New Roman"/>
          <w:b w:val="0"/>
          <w:bCs w:val="0"/>
          <w:iCs w:val="0"/>
          <w:szCs w:val="20"/>
        </w:rPr>
        <w:t xml:space="preserve"> and managers</w:t>
      </w:r>
      <w:r w:rsidR="004D6C4E" w:rsidRPr="00192F9D">
        <w:rPr>
          <w:rFonts w:cs="Times New Roman"/>
          <w:b w:val="0"/>
          <w:bCs w:val="0"/>
          <w:iCs w:val="0"/>
          <w:szCs w:val="20"/>
        </w:rPr>
        <w:t xml:space="preserve">. RTI FIs will have local access to client’s identifying information but will not have access to responses. </w:t>
      </w:r>
      <w:r w:rsidR="00577CF4" w:rsidRPr="00192F9D">
        <w:rPr>
          <w:rFonts w:cs="Times New Roman"/>
          <w:b w:val="0"/>
          <w:bCs w:val="0"/>
          <w:iCs w:val="0"/>
          <w:szCs w:val="20"/>
        </w:rPr>
        <w:t>Additional details on how data security will be maintained is explained in Section B.2.</w:t>
      </w:r>
      <w:bookmarkEnd w:id="41"/>
      <w:bookmarkEnd w:id="42"/>
      <w:bookmarkEnd w:id="43"/>
    </w:p>
    <w:p w14:paraId="1993536C" w14:textId="1DD76288" w:rsidR="007D2A22" w:rsidRPr="009B1505" w:rsidRDefault="004D6C4E" w:rsidP="00464CF4">
      <w:pPr>
        <w:pStyle w:val="BodyText1"/>
      </w:pPr>
      <w:r w:rsidRPr="009B1505">
        <w:t>Contractor staff have extensive experience protecting and maintaining the privacy of respondent data. All data will be securely stored on a protected server to safeguard all project directories and analysis files containing completed survey data to ensure that no study data</w:t>
      </w:r>
      <w:r>
        <w:t xml:space="preserve"> is inadvertently disclosed</w:t>
      </w:r>
      <w:r w:rsidRPr="009B1505">
        <w:t xml:space="preserve">. In keeping with 45 </w:t>
      </w:r>
      <w:smartTag w:uri="urn:schemas-microsoft-com:office:smarttags" w:element="stockticker">
        <w:r w:rsidRPr="009B1505">
          <w:t>CFR</w:t>
        </w:r>
      </w:smartTag>
      <w:r w:rsidRPr="009B1505">
        <w:t xml:space="preserve"> 46, Protection of Human Subjects, the procedures for data collection, consent, and data maintenance are formulated to protect respondents’ rights and the pr</w:t>
      </w:r>
      <w:r>
        <w:t>ivacy of information collected. I</w:t>
      </w:r>
      <w:r w:rsidR="007E34C3">
        <w:t xml:space="preserve">dentifying information collection is used to track </w:t>
      </w:r>
      <w:r w:rsidR="00CC4E13">
        <w:t>patients</w:t>
      </w:r>
      <w:r w:rsidR="007E34C3">
        <w:t xml:space="preserve"> throughout the study. SSN </w:t>
      </w:r>
      <w:r w:rsidR="00187926">
        <w:t xml:space="preserve">collection is voluntary and </w:t>
      </w:r>
      <w:r w:rsidR="007E34C3">
        <w:t xml:space="preserve">will be used for tracking </w:t>
      </w:r>
      <w:r w:rsidR="00CC4E13">
        <w:t>patients</w:t>
      </w:r>
      <w:r w:rsidR="007E34C3">
        <w:t xml:space="preserve"> and</w:t>
      </w:r>
      <w:r w:rsidR="00D2522D">
        <w:t>,</w:t>
      </w:r>
      <w:r w:rsidR="007E34C3">
        <w:t xml:space="preserve"> in some cases</w:t>
      </w:r>
      <w:r w:rsidR="00D2522D">
        <w:t>,</w:t>
      </w:r>
      <w:r w:rsidR="007E34C3">
        <w:t xml:space="preserve"> used to confirm incarceration or death. </w:t>
      </w:r>
      <w:r w:rsidR="007D2A22" w:rsidRPr="009B1505">
        <w:t>All data collected will also be safeguarded in compliance with the Privacy Act of 1974 (5 USC 552a).</w:t>
      </w:r>
      <w:r w:rsidR="007E34C3">
        <w:t xml:space="preserve"> </w:t>
      </w:r>
      <w:r w:rsidR="004040FC">
        <w:t>Identifiable data</w:t>
      </w:r>
      <w:r w:rsidR="00A5635C">
        <w:t>, include SSN</w:t>
      </w:r>
      <w:r w:rsidR="00D079F2">
        <w:t>s</w:t>
      </w:r>
      <w:r w:rsidR="00A5635C">
        <w:t>,</w:t>
      </w:r>
      <w:r w:rsidR="004040FC">
        <w:t xml:space="preserve"> will be destroyed within 2 years of completion of the study. </w:t>
      </w:r>
      <w:r w:rsidR="00A5635C">
        <w:t>Final de-identified electronic data sets will be stored at the RTI’s data repository/archiving facility in its headquarters in North Carolina for up to 10 years and at CDC facilities in Atlanta, Georgia, indefinitely.</w:t>
      </w:r>
    </w:p>
    <w:p w14:paraId="55D4E801" w14:textId="2EA7413A" w:rsidR="006E1455" w:rsidRDefault="006E1455" w:rsidP="00D2669B">
      <w:pPr>
        <w:spacing w:line="360" w:lineRule="auto"/>
        <w:ind w:firstLine="720"/>
        <w:rPr>
          <w:szCs w:val="20"/>
        </w:rPr>
      </w:pPr>
      <w:r w:rsidRPr="00464CF4">
        <w:rPr>
          <w:szCs w:val="20"/>
        </w:rPr>
        <w:t>Further, to help ensure and guarantee protecting</w:t>
      </w:r>
      <w:r w:rsidRPr="00E170E6">
        <w:rPr>
          <w:szCs w:val="20"/>
        </w:rPr>
        <w:t xml:space="preserve"> the privacy of people enrolled in sensitive, health-related research</w:t>
      </w:r>
      <w:r w:rsidRPr="00464CF4">
        <w:rPr>
          <w:szCs w:val="20"/>
        </w:rPr>
        <w:t>, the study’s contractor has obtained a Certificate of Confidentiality from the CDC</w:t>
      </w:r>
      <w:r w:rsidR="00843EC5" w:rsidRPr="00464CF4">
        <w:rPr>
          <w:szCs w:val="20"/>
        </w:rPr>
        <w:t xml:space="preserve"> (Att. 14)</w:t>
      </w:r>
      <w:r w:rsidRPr="00464CF4">
        <w:rPr>
          <w:szCs w:val="20"/>
        </w:rPr>
        <w:t xml:space="preserve">. </w:t>
      </w:r>
      <w:r w:rsidRPr="00E170E6">
        <w:rPr>
          <w:szCs w:val="20"/>
        </w:rPr>
        <w:t/>
      </w:r>
      <w:r w:rsidRPr="00464CF4">
        <w:rPr>
          <w:szCs w:val="20"/>
        </w:rPr>
        <w:t xml:space="preserve">The Certificate of Confidentiality issued by the CDC protects identifiable research information from forced disclosure. It allows those on the research team who have access to the data to refuse to disclose identifying information on study participant in any civil, criminal, administrative, legislative or other proceeding. Through informed consent process participants are informed of the </w:t>
      </w:r>
      <w:r w:rsidRPr="00E170E6">
        <w:rPr>
          <w:szCs w:val="20"/>
        </w:rPr>
        <w:t xml:space="preserve">Certificate’s </w:t>
      </w:r>
      <w:r w:rsidRPr="00464CF4">
        <w:rPr>
          <w:szCs w:val="20"/>
        </w:rPr>
        <w:t xml:space="preserve">protection of </w:t>
      </w:r>
      <w:r w:rsidRPr="00E170E6">
        <w:rPr>
          <w:szCs w:val="20"/>
        </w:rPr>
        <w:t xml:space="preserve">the privacy of people enrolled in the study </w:t>
      </w:r>
      <w:r w:rsidRPr="00464CF4">
        <w:rPr>
          <w:szCs w:val="20"/>
        </w:rPr>
        <w:t xml:space="preserve">(Att. </w:t>
      </w:r>
      <w:r w:rsidR="00AA6FA9" w:rsidRPr="00E170E6">
        <w:rPr>
          <w:szCs w:val="20"/>
        </w:rPr>
        <w:t>12</w:t>
      </w:r>
      <w:r w:rsidRPr="00464CF4">
        <w:rPr>
          <w:szCs w:val="20"/>
        </w:rPr>
        <w:t>)</w:t>
      </w:r>
      <w:r w:rsidRPr="00E170E6">
        <w:rPr>
          <w:szCs w:val="20"/>
        </w:rPr>
        <w:t xml:space="preserve">. </w:t>
      </w:r>
    </w:p>
    <w:p w14:paraId="0891E9D7" w14:textId="7C853A38" w:rsidR="007D2A22" w:rsidRDefault="007D2A22" w:rsidP="007D2A22">
      <w:pPr>
        <w:pStyle w:val="BodyText1"/>
      </w:pPr>
      <w:r w:rsidRPr="009B1505">
        <w:t xml:space="preserve"> The informed consent will also meet all </w:t>
      </w:r>
      <w:r w:rsidR="00C84074">
        <w:t>f</w:t>
      </w:r>
      <w:r w:rsidRPr="009B1505">
        <w:t xml:space="preserve">ederal requirements and will detail the additional protections provided by the </w:t>
      </w:r>
      <w:r w:rsidR="00C84074">
        <w:t>c</w:t>
      </w:r>
      <w:r w:rsidRPr="009B1505">
        <w:t>ertificate</w:t>
      </w:r>
      <w:r w:rsidR="00144467">
        <w:t xml:space="preserve"> (Att. 12)</w:t>
      </w:r>
      <w:r w:rsidRPr="009B1505">
        <w:t>.</w:t>
      </w:r>
      <w:r w:rsidR="00C60F63">
        <w:t xml:space="preserve"> </w:t>
      </w:r>
      <w:r w:rsidRPr="009B1505">
        <w:t xml:space="preserve">Additionally, </w:t>
      </w:r>
      <w:r w:rsidR="00C84074">
        <w:t>several</w:t>
      </w:r>
      <w:r w:rsidRPr="009B1505">
        <w:t xml:space="preserve"> procedures will be implemented to help ensure privacy and </w:t>
      </w:r>
      <w:r w:rsidR="004D7A03">
        <w:t>c</w:t>
      </w:r>
      <w:r w:rsidR="004D7A03" w:rsidRPr="009B1505">
        <w:t>onfidentiality</w:t>
      </w:r>
      <w:r w:rsidRPr="009B1505">
        <w:t>. First, all study staff will participate in initial confidentiality training and ongoing monitoring and supervision. Second, study staff will collect and store client</w:t>
      </w:r>
      <w:r w:rsidR="00C84074">
        <w:t>-</w:t>
      </w:r>
      <w:r w:rsidRPr="009B1505">
        <w:t>identifying information separately from other data; study staff will review data collection forms and remove any identifying information. Client</w:t>
      </w:r>
      <w:r w:rsidR="00C84074">
        <w:t>-</w:t>
      </w:r>
      <w:r w:rsidRPr="009B1505">
        <w:t>identifying information will be stored in password</w:t>
      </w:r>
      <w:r w:rsidR="00C84074">
        <w:t>-</w:t>
      </w:r>
      <w:r w:rsidRPr="009B1505">
        <w:t>protected files on secure servers to which only select study staff will have access. Identifying information will not be stored with study data</w:t>
      </w:r>
      <w:r w:rsidR="00C84074">
        <w:t>,</w:t>
      </w:r>
      <w:r w:rsidRPr="009B1505">
        <w:t xml:space="preserve"> and all analysis datasets will use a randomly</w:t>
      </w:r>
      <w:r w:rsidR="00D10A92">
        <w:t>-</w:t>
      </w:r>
      <w:r w:rsidRPr="009B1505">
        <w:t xml:space="preserve">generated client </w:t>
      </w:r>
      <w:r w:rsidR="00C84074">
        <w:t>identifier</w:t>
      </w:r>
      <w:r w:rsidRPr="009B1505">
        <w:t xml:space="preserve">. Third, all data will be transmitted and stored securely. All sensitive and identifying information will </w:t>
      </w:r>
      <w:r w:rsidR="00C84074">
        <w:t xml:space="preserve">be </w:t>
      </w:r>
      <w:r w:rsidRPr="009B1505">
        <w:t>stored on secure servers at RTI. The study team will only have access to data as needed through password-protected, encrypted computers.</w:t>
      </w:r>
    </w:p>
    <w:p w14:paraId="6DFD0C0B" w14:textId="77777777" w:rsidR="00192F9D" w:rsidRDefault="007D2A22" w:rsidP="00BF4F2B">
      <w:pPr>
        <w:pStyle w:val="Heading2"/>
      </w:pPr>
      <w:bookmarkStart w:id="44" w:name="_Toc88033477"/>
      <w:bookmarkStart w:id="45" w:name="_Toc474237984"/>
      <w:bookmarkStart w:id="46" w:name="_Toc497134505"/>
      <w:r w:rsidRPr="009B1505">
        <w:t>A.11</w:t>
      </w:r>
      <w:r w:rsidRPr="009B1505">
        <w:tab/>
      </w:r>
      <w:bookmarkEnd w:id="44"/>
      <w:bookmarkEnd w:id="45"/>
      <w:r w:rsidR="00192F9D" w:rsidRPr="00CA5DC1">
        <w:t>Institutional Review Board (IRB) and Justification for Sensitive Questions</w:t>
      </w:r>
      <w:bookmarkEnd w:id="46"/>
      <w:r w:rsidR="00192F9D" w:rsidRPr="00691454">
        <w:tab/>
      </w:r>
    </w:p>
    <w:p w14:paraId="1FC3EDAC" w14:textId="77777777" w:rsidR="00192F9D" w:rsidRDefault="00192F9D" w:rsidP="00192F9D">
      <w:pPr>
        <w:rPr>
          <w:b/>
          <w:bCs/>
        </w:rPr>
      </w:pPr>
    </w:p>
    <w:p w14:paraId="3A8193B6" w14:textId="77777777" w:rsidR="00192F9D" w:rsidRDefault="00192F9D" w:rsidP="00192F9D">
      <w:pPr>
        <w:rPr>
          <w:b/>
        </w:rPr>
      </w:pPr>
      <w:r w:rsidRPr="00691454">
        <w:rPr>
          <w:b/>
        </w:rPr>
        <w:t>IRB Approval</w:t>
      </w:r>
    </w:p>
    <w:p w14:paraId="180C77C0" w14:textId="77777777" w:rsidR="00004C3C" w:rsidRPr="00691454" w:rsidRDefault="00004C3C" w:rsidP="00192F9D">
      <w:pPr>
        <w:rPr>
          <w:b/>
        </w:rPr>
      </w:pPr>
    </w:p>
    <w:p w14:paraId="315AB0EE" w14:textId="0B65C919" w:rsidR="00F241FA" w:rsidRDefault="00144467" w:rsidP="00F241FA">
      <w:pPr>
        <w:pStyle w:val="BodyText1"/>
      </w:pPr>
      <w:r>
        <w:t xml:space="preserve">CDC has received IRB approval through RTI’s independent IRB, Quorum (Att. 10). </w:t>
      </w:r>
      <w:r w:rsidR="00F241FA">
        <w:t>Quorum</w:t>
      </w:r>
      <w:r>
        <w:t>, e</w:t>
      </w:r>
      <w:r w:rsidR="00FE4A8E">
        <w:t xml:space="preserve">stablished in 1991, is </w:t>
      </w:r>
      <w:r w:rsidR="00FE4A8E" w:rsidRPr="00DE10B8">
        <w:rPr>
          <w:rFonts w:cs="Times-Roman"/>
        </w:rPr>
        <w:t>the largest independent IRB in the United States (http://www.quorumreview.com).</w:t>
      </w:r>
      <w:r w:rsidR="004D6C4E" w:rsidRPr="009B1505">
        <w:t xml:space="preserve"> RTI and </w:t>
      </w:r>
      <w:r w:rsidR="00FE4A8E">
        <w:t>Quorum</w:t>
      </w:r>
      <w:r w:rsidR="004D6C4E" w:rsidRPr="009B1505">
        <w:t xml:space="preserve"> will maintain responsibility for ensuring the study’s compliance with </w:t>
      </w:r>
      <w:r w:rsidR="00FE4A8E">
        <w:t>Quorum’s</w:t>
      </w:r>
      <w:r w:rsidR="00FE4A8E" w:rsidRPr="009B1505">
        <w:t xml:space="preserve"> </w:t>
      </w:r>
      <w:r w:rsidR="004D6C4E" w:rsidRPr="009B1505">
        <w:t>IRB.</w:t>
      </w:r>
      <w:r w:rsidR="004D6C4E" w:rsidRPr="00474E42">
        <w:t xml:space="preserve"> </w:t>
      </w:r>
    </w:p>
    <w:p w14:paraId="7F426C6E" w14:textId="77777777" w:rsidR="006B67E4" w:rsidRDefault="006B67E4" w:rsidP="00213087">
      <w:pPr>
        <w:pStyle w:val="BodyText1"/>
        <w:ind w:firstLine="0"/>
      </w:pPr>
      <w:r w:rsidRPr="00CA5DC1">
        <w:rPr>
          <w:b/>
          <w:bCs/>
        </w:rPr>
        <w:t>Sensitive Questions</w:t>
      </w:r>
    </w:p>
    <w:p w14:paraId="3246AD3A" w14:textId="4241885E" w:rsidR="007D2A22" w:rsidRPr="009B1505" w:rsidRDefault="007D2A22" w:rsidP="007D2A22">
      <w:pPr>
        <w:pStyle w:val="BodyText1"/>
      </w:pPr>
      <w:r w:rsidRPr="009B1505">
        <w:t xml:space="preserve">The </w:t>
      </w:r>
      <w:r w:rsidR="00CD7301" w:rsidRPr="009B1505">
        <w:t>Client Screener</w:t>
      </w:r>
      <w:r w:rsidR="008D5D23">
        <w:t xml:space="preserve"> Form</w:t>
      </w:r>
      <w:r w:rsidR="00F54A46">
        <w:t xml:space="preserve"> (Att. 4)</w:t>
      </w:r>
      <w:r w:rsidR="00CD7301" w:rsidRPr="009B1505">
        <w:t>, Client Check-In</w:t>
      </w:r>
      <w:r w:rsidR="00F241FA">
        <w:t xml:space="preserve"> Questionnaire</w:t>
      </w:r>
      <w:r w:rsidR="001347BC">
        <w:t xml:space="preserve"> (Att. 5)</w:t>
      </w:r>
      <w:r w:rsidR="00CD7301" w:rsidRPr="009B1505">
        <w:t>, Client Questionnaire</w:t>
      </w:r>
      <w:r w:rsidR="001347BC">
        <w:t xml:space="preserve"> (At. 6)</w:t>
      </w:r>
      <w:r w:rsidR="004D6C4E">
        <w:t>, and the C</w:t>
      </w:r>
      <w:r w:rsidRPr="009B1505">
        <w:t xml:space="preserve">lient </w:t>
      </w:r>
      <w:r w:rsidR="004D6C4E">
        <w:t>Fo</w:t>
      </w:r>
      <w:r w:rsidRPr="009B1505">
        <w:t xml:space="preserve">cus </w:t>
      </w:r>
      <w:r w:rsidR="004D6C4E">
        <w:t>G</w:t>
      </w:r>
      <w:r w:rsidRPr="009B1505">
        <w:t>roup</w:t>
      </w:r>
      <w:r w:rsidR="00CD7301">
        <w:t>s</w:t>
      </w:r>
      <w:r w:rsidRPr="009B1505">
        <w:t xml:space="preserve"> </w:t>
      </w:r>
      <w:r w:rsidR="001347BC">
        <w:t xml:space="preserve">(Att. 7) </w:t>
      </w:r>
      <w:r w:rsidRPr="009B1505">
        <w:t>will</w:t>
      </w:r>
      <w:r w:rsidR="008D5D23">
        <w:t>, by necessity,</w:t>
      </w:r>
      <w:r w:rsidRPr="009B1505">
        <w:t xml:space="preserve"> collect sensitive information about drug use, mental health</w:t>
      </w:r>
      <w:r w:rsidR="008D5D23">
        <w:t>,</w:t>
      </w:r>
      <w:r w:rsidRPr="009B1505">
        <w:t xml:space="preserve"> and general health as these are all outcomes of interest and </w:t>
      </w:r>
      <w:r w:rsidR="00CD7301">
        <w:t xml:space="preserve">are </w:t>
      </w:r>
      <w:r w:rsidRPr="009B1505">
        <w:t xml:space="preserve">essential to the study. While </w:t>
      </w:r>
      <w:r w:rsidR="00CC4E13">
        <w:t>patients</w:t>
      </w:r>
      <w:r w:rsidRPr="009B1505">
        <w:t xml:space="preserve"> will be asked about their drug use history, they will only be asked general questions to characterize </w:t>
      </w:r>
      <w:r w:rsidR="00CD7301">
        <w:t>whether</w:t>
      </w:r>
      <w:r w:rsidR="00CD7301" w:rsidRPr="009B1505">
        <w:t xml:space="preserve"> </w:t>
      </w:r>
      <w:r w:rsidRPr="009B1505">
        <w:t xml:space="preserve">a client has ever used a particular type of drug in their lifetime, </w:t>
      </w:r>
      <w:r w:rsidR="00CD7301">
        <w:t xml:space="preserve">in </w:t>
      </w:r>
      <w:r w:rsidRPr="009B1505">
        <w:t xml:space="preserve">the last year, and </w:t>
      </w:r>
      <w:r w:rsidR="00CD7301">
        <w:t xml:space="preserve">in </w:t>
      </w:r>
      <w:r w:rsidRPr="009B1505">
        <w:t>the last month. As such, a client’s responses to questions would not link them to any specific crime. Similarly, questions on mental and general health focus on how the client has felt in th</w:t>
      </w:r>
      <w:r w:rsidR="0062507E">
        <w:t>e last year and the last month</w:t>
      </w:r>
      <w:r w:rsidRPr="009B1505">
        <w:t>. If these questions cause any distress for the client, the RTI</w:t>
      </w:r>
      <w:r w:rsidR="00FE4A8E">
        <w:t xml:space="preserve"> FI</w:t>
      </w:r>
      <w:r w:rsidRPr="009B1505">
        <w:t xml:space="preserve"> will </w:t>
      </w:r>
      <w:r w:rsidR="00FE4A8E">
        <w:t>provide a telephone number for a toll-free counseling hotline (1-800-273-TALK). If</w:t>
      </w:r>
      <w:r w:rsidR="00FE4A8E" w:rsidRPr="00ED0371">
        <w:t xml:space="preserve"> </w:t>
      </w:r>
      <w:r w:rsidR="00FE4A8E">
        <w:t xml:space="preserve">a FI becomes aware of an emergency when the FI is present with the client, </w:t>
      </w:r>
      <w:r w:rsidR="00FE4A8E" w:rsidRPr="00ED0371">
        <w:t xml:space="preserve">the RTI staff will call 911. Depending on the </w:t>
      </w:r>
      <w:r w:rsidR="00FE4A8E">
        <w:t>FI</w:t>
      </w:r>
      <w:r w:rsidR="00FE4A8E" w:rsidRPr="00ED0371">
        <w:t>’s assessment of the situation, the</w:t>
      </w:r>
      <w:r w:rsidR="00FE4A8E">
        <w:t>y</w:t>
      </w:r>
      <w:r w:rsidR="00FE4A8E" w:rsidRPr="00ED0371">
        <w:t xml:space="preserve"> may suggest that the client take a break or offer to come back later.  </w:t>
      </w:r>
      <w:r w:rsidR="005652EE">
        <w:t>FIs</w:t>
      </w:r>
      <w:r w:rsidR="00FE4A8E" w:rsidRPr="00ED0371">
        <w:t xml:space="preserve"> are trained to remind </w:t>
      </w:r>
      <w:r w:rsidR="00CC4E13">
        <w:t>patients</w:t>
      </w:r>
      <w:r w:rsidR="00FE4A8E" w:rsidRPr="00ED0371">
        <w:t xml:space="preserve"> that they may skip any question they want to or end their participation at any time</w:t>
      </w:r>
      <w:r w:rsidR="006063E4">
        <w:t xml:space="preserve"> (Att. 11)</w:t>
      </w:r>
      <w:r w:rsidRPr="009B1505">
        <w:t>.</w:t>
      </w:r>
    </w:p>
    <w:p w14:paraId="5C7047E2" w14:textId="1CD3B5D4" w:rsidR="007D2A22" w:rsidRDefault="001A45A2" w:rsidP="007D2A22">
      <w:pPr>
        <w:pStyle w:val="BodyText1"/>
      </w:pPr>
      <w:r>
        <w:t>A</w:t>
      </w:r>
      <w:r w:rsidR="005B3FFC">
        <w:t xml:space="preserve"> </w:t>
      </w:r>
      <w:r w:rsidR="00813E69">
        <w:t>full Informed Client Consent</w:t>
      </w:r>
      <w:r w:rsidR="00956F77">
        <w:t xml:space="preserve"> (Att. 12) </w:t>
      </w:r>
      <w:r w:rsidR="00813E69">
        <w:t xml:space="preserve"> will be provide</w:t>
      </w:r>
      <w:r w:rsidR="008D5D23">
        <w:t>d</w:t>
      </w:r>
      <w:r w:rsidR="00813E69">
        <w:t xml:space="preserve"> </w:t>
      </w:r>
      <w:r>
        <w:t xml:space="preserve">to the client </w:t>
      </w:r>
      <w:r w:rsidR="00813E69">
        <w:t xml:space="preserve">prior to formally enrolling in the study and completing the </w:t>
      </w:r>
      <w:r w:rsidR="00FE4A8E">
        <w:t xml:space="preserve">Baseline </w:t>
      </w:r>
      <w:r w:rsidR="00813E69">
        <w:t xml:space="preserve">Client Questionnaire. </w:t>
      </w:r>
      <w:r w:rsidR="007D2A22" w:rsidRPr="009B1505">
        <w:t xml:space="preserve">The </w:t>
      </w:r>
      <w:r w:rsidR="00CD7301">
        <w:t>informed</w:t>
      </w:r>
      <w:r>
        <w:t xml:space="preserve"> </w:t>
      </w:r>
      <w:r w:rsidR="007D2A22" w:rsidRPr="009B1505">
        <w:t>consent</w:t>
      </w:r>
      <w:r w:rsidR="00CD7301">
        <w:t xml:space="preserve"> form</w:t>
      </w:r>
      <w:r w:rsidR="007D2A22" w:rsidRPr="009B1505">
        <w:t xml:space="preserve"> will clearly outline all risks and benefits to the client</w:t>
      </w:r>
      <w:r w:rsidR="00CD7301">
        <w:t xml:space="preserve"> and</w:t>
      </w:r>
      <w:r w:rsidR="007D2A22" w:rsidRPr="009B1505">
        <w:t xml:space="preserve"> explain what information they will be asked to provide and how that information may be used. Throughout the study, RTI </w:t>
      </w:r>
      <w:r w:rsidR="001B34BF">
        <w:t>FIs</w:t>
      </w:r>
      <w:r w:rsidR="001B34BF" w:rsidRPr="009B1505">
        <w:t xml:space="preserve"> </w:t>
      </w:r>
      <w:r w:rsidR="007D2A22" w:rsidRPr="009B1505">
        <w:t xml:space="preserve">administrating the questionnaires will remind </w:t>
      </w:r>
      <w:r w:rsidR="00CC4E13">
        <w:t>patients</w:t>
      </w:r>
      <w:r w:rsidR="007D2A22" w:rsidRPr="009B1505">
        <w:t xml:space="preserve"> of their rights. To help maintain client privacy, all </w:t>
      </w:r>
      <w:r w:rsidR="001B34BF">
        <w:t>C</w:t>
      </w:r>
      <w:r w:rsidR="001B34BF" w:rsidRPr="009B1505">
        <w:t xml:space="preserve">lient </w:t>
      </w:r>
      <w:r w:rsidR="001B34BF">
        <w:t>C</w:t>
      </w:r>
      <w:r w:rsidR="001B34BF" w:rsidRPr="009B1505">
        <w:t>heck</w:t>
      </w:r>
      <w:r w:rsidR="007D2A22" w:rsidRPr="009B1505">
        <w:t>-</w:t>
      </w:r>
      <w:r w:rsidR="001B34BF">
        <w:t>I</w:t>
      </w:r>
      <w:r w:rsidR="001B34BF" w:rsidRPr="009B1505">
        <w:t xml:space="preserve">ns </w:t>
      </w:r>
      <w:r w:rsidR="007D2A22" w:rsidRPr="009B1505">
        <w:t xml:space="preserve">and </w:t>
      </w:r>
      <w:r w:rsidR="00FE4A8E">
        <w:t xml:space="preserve">Client </w:t>
      </w:r>
      <w:r w:rsidR="001B34BF">
        <w:t>Q</w:t>
      </w:r>
      <w:r w:rsidR="001B34BF" w:rsidRPr="009B1505">
        <w:t xml:space="preserve">uestionnaires </w:t>
      </w:r>
      <w:r w:rsidR="007D2A22" w:rsidRPr="009B1505">
        <w:t>will be conducted in a private space</w:t>
      </w:r>
      <w:r w:rsidR="00CD7301">
        <w:t>,</w:t>
      </w:r>
      <w:r w:rsidR="007D2A22" w:rsidRPr="009B1505">
        <w:t xml:space="preserve"> and when possible, </w:t>
      </w:r>
      <w:r w:rsidR="00CD7301">
        <w:t>the space will be</w:t>
      </w:r>
      <w:r w:rsidR="00CD7301" w:rsidRPr="009B1505">
        <w:t xml:space="preserve"> </w:t>
      </w:r>
      <w:r w:rsidR="007D2A22" w:rsidRPr="009B1505">
        <w:t xml:space="preserve">of the client’s choosing. </w:t>
      </w:r>
      <w:r w:rsidR="00FE4A8E">
        <w:t>If needed, RTI FIs</w:t>
      </w:r>
      <w:r w:rsidR="00FE4A8E" w:rsidRPr="009B1505">
        <w:t xml:space="preserve"> </w:t>
      </w:r>
      <w:r w:rsidR="007D2A22" w:rsidRPr="009B1505">
        <w:t>assisting the client in completing the questionnaires will provide a laptop or other hand-held device</w:t>
      </w:r>
      <w:r w:rsidR="00CD7301">
        <w:t>,</w:t>
      </w:r>
      <w:r w:rsidR="007D2A22" w:rsidRPr="009B1505">
        <w:t xml:space="preserve"> which will allow </w:t>
      </w:r>
      <w:r w:rsidR="00470414" w:rsidRPr="009B1505">
        <w:t>the</w:t>
      </w:r>
      <w:r w:rsidR="00470414">
        <w:t xml:space="preserve"> client</w:t>
      </w:r>
      <w:r w:rsidR="00470414" w:rsidRPr="009B1505">
        <w:t xml:space="preserve"> </w:t>
      </w:r>
      <w:r w:rsidR="007D2A22" w:rsidRPr="009B1505">
        <w:t xml:space="preserve">to complete questions in private. </w:t>
      </w:r>
      <w:r w:rsidR="00CC4E13">
        <w:t>Patients</w:t>
      </w:r>
      <w:r w:rsidR="00C92EE3">
        <w:t xml:space="preserve"> </w:t>
      </w:r>
      <w:r w:rsidR="007D2A22" w:rsidRPr="009B1505">
        <w:t xml:space="preserve">will be assured that they may stop the interview at any time without forfeiting the incentive and without penalty from the </w:t>
      </w:r>
      <w:r w:rsidR="006B76DC">
        <w:t>treatment facility</w:t>
      </w:r>
      <w:r w:rsidR="007D2A22" w:rsidRPr="009B1505">
        <w:t xml:space="preserve">. </w:t>
      </w:r>
      <w:r w:rsidR="00FE4A8E">
        <w:t>RTI staff</w:t>
      </w:r>
      <w:r w:rsidR="00FE4A8E" w:rsidRPr="009B1505">
        <w:t xml:space="preserve"> </w:t>
      </w:r>
      <w:r w:rsidR="007D2A22" w:rsidRPr="009B1505">
        <w:t xml:space="preserve">collecting data will be able to assist </w:t>
      </w:r>
      <w:r w:rsidR="00CC4E13">
        <w:t>patients</w:t>
      </w:r>
      <w:r w:rsidR="007D2A22" w:rsidRPr="009B1505">
        <w:t xml:space="preserve"> in answering questions as needed. </w:t>
      </w:r>
      <w:r w:rsidR="00CC4E13">
        <w:t>Patients</w:t>
      </w:r>
      <w:r w:rsidR="007D2A22" w:rsidRPr="009B1505">
        <w:t xml:space="preserve"> will </w:t>
      </w:r>
      <w:r w:rsidR="00CD7301">
        <w:t xml:space="preserve">be given </w:t>
      </w:r>
      <w:r w:rsidR="007D2A22" w:rsidRPr="009B1505">
        <w:t xml:space="preserve">contact information for the </w:t>
      </w:r>
      <w:r w:rsidR="00CD7301">
        <w:t>study’s</w:t>
      </w:r>
      <w:r w:rsidR="00CD7301" w:rsidRPr="009B1505">
        <w:t xml:space="preserve"> </w:t>
      </w:r>
      <w:r w:rsidR="007D2A22" w:rsidRPr="009B1505">
        <w:t xml:space="preserve">principal investigator and </w:t>
      </w:r>
      <w:r w:rsidR="00FE4A8E">
        <w:t>the study’s</w:t>
      </w:r>
      <w:r w:rsidR="00FE4A8E" w:rsidRPr="009B1505">
        <w:t xml:space="preserve"> </w:t>
      </w:r>
      <w:r w:rsidR="007D2A22" w:rsidRPr="009B1505">
        <w:t>IRB</w:t>
      </w:r>
      <w:r w:rsidR="00FE4A8E">
        <w:t xml:space="preserve"> (Quorum)</w:t>
      </w:r>
      <w:r w:rsidR="007D2A22" w:rsidRPr="009B1505">
        <w:t xml:space="preserve"> should they have any questions or concerns with the study.</w:t>
      </w:r>
    </w:p>
    <w:p w14:paraId="5A82A3AF" w14:textId="34D2D408" w:rsidR="007D2A22" w:rsidRPr="009B1505" w:rsidRDefault="008D09EA" w:rsidP="007D2A22">
      <w:pPr>
        <w:pStyle w:val="BodyText1"/>
      </w:pPr>
      <w:r>
        <w:t xml:space="preserve">Treatment facility staff participating in the </w:t>
      </w:r>
      <w:r w:rsidR="00C92EE3">
        <w:t xml:space="preserve">Staff </w:t>
      </w:r>
      <w:r>
        <w:t>Focus Group will receive an informed consent</w:t>
      </w:r>
      <w:r w:rsidR="00D51363">
        <w:t xml:space="preserve"> form to complete prior to the Focus G</w:t>
      </w:r>
      <w:r>
        <w:t>roup</w:t>
      </w:r>
      <w:r w:rsidR="00956F77">
        <w:t xml:space="preserve"> (Att. 13)</w:t>
      </w:r>
      <w:r>
        <w:t>.</w:t>
      </w:r>
    </w:p>
    <w:p w14:paraId="60CE50B5" w14:textId="77777777" w:rsidR="007D2A22" w:rsidRDefault="007D2A22" w:rsidP="007D2A22">
      <w:pPr>
        <w:pStyle w:val="Heading2"/>
      </w:pPr>
      <w:bookmarkStart w:id="47" w:name="_Toc88033478"/>
      <w:bookmarkStart w:id="48" w:name="_Toc474237985"/>
      <w:bookmarkStart w:id="49" w:name="_Toc497134506"/>
      <w:r w:rsidRPr="009B1505">
        <w:t>A.12</w:t>
      </w:r>
      <w:r w:rsidRPr="009B1505">
        <w:tab/>
      </w:r>
      <w:bookmarkEnd w:id="47"/>
      <w:r w:rsidRPr="009B1505">
        <w:t>Estimates of Annualized Burden Hours and Costs</w:t>
      </w:r>
      <w:bookmarkStart w:id="50" w:name="_Toc273528741"/>
      <w:bookmarkStart w:id="51" w:name="_Toc275433773"/>
      <w:bookmarkStart w:id="52" w:name="_Toc88033479"/>
      <w:r w:rsidRPr="009B1505">
        <w:t xml:space="preserve"> to Respondents</w:t>
      </w:r>
      <w:bookmarkEnd w:id="48"/>
      <w:bookmarkEnd w:id="49"/>
      <w:bookmarkEnd w:id="50"/>
      <w:bookmarkEnd w:id="51"/>
    </w:p>
    <w:p w14:paraId="65FB0B50" w14:textId="77777777" w:rsidR="007D2A22" w:rsidRDefault="007D2A22" w:rsidP="007D2A22">
      <w:pPr>
        <w:pStyle w:val="Heading3"/>
        <w:rPr>
          <w:lang w:val="en-US"/>
        </w:rPr>
      </w:pPr>
      <w:bookmarkStart w:id="53" w:name="_Toc275433774"/>
      <w:bookmarkStart w:id="54" w:name="_Toc474237986"/>
      <w:bookmarkStart w:id="55" w:name="_Toc497134507"/>
      <w:r w:rsidRPr="009B1505">
        <w:rPr>
          <w:lang w:val="en-US"/>
        </w:rPr>
        <w:t>A.12.1</w:t>
      </w:r>
      <w:r w:rsidRPr="009B1505">
        <w:rPr>
          <w:lang w:val="en-US"/>
        </w:rPr>
        <w:tab/>
        <w:t>Estimated Annualized Burden Hours</w:t>
      </w:r>
      <w:bookmarkEnd w:id="53"/>
      <w:bookmarkEnd w:id="54"/>
      <w:bookmarkEnd w:id="55"/>
    </w:p>
    <w:p w14:paraId="6AEDFAEA" w14:textId="77777777" w:rsidR="0038360E" w:rsidRPr="00067285" w:rsidRDefault="0038360E" w:rsidP="005B62BE"/>
    <w:p w14:paraId="46BFD0B4" w14:textId="2BA870AE" w:rsidR="003A5519" w:rsidRDefault="003A5519" w:rsidP="003A5519">
      <w:pPr>
        <w:pStyle w:val="BodyText1"/>
      </w:pPr>
      <w:bookmarkStart w:id="56" w:name="_Toc275433791"/>
      <w:bookmarkStart w:id="57" w:name="_Toc307224724"/>
      <w:bookmarkStart w:id="58" w:name="_Toc474759137"/>
      <w:r>
        <w:t xml:space="preserve">For </w:t>
      </w:r>
      <w:r w:rsidR="00CC4E13">
        <w:t>patients</w:t>
      </w:r>
      <w:r>
        <w:t>, b</w:t>
      </w:r>
      <w:r w:rsidRPr="009B1505">
        <w:t>urden estimates are based on real-world implementation of the data collection tools</w:t>
      </w:r>
      <w:r>
        <w:t xml:space="preserve"> and questionnaires of similar length, topic</w:t>
      </w:r>
      <w:r w:rsidR="00470414">
        <w:t>,</w:t>
      </w:r>
      <w:r>
        <w:t xml:space="preserve"> and respondents</w:t>
      </w:r>
      <w:r w:rsidRPr="009B1505">
        <w:t xml:space="preserve">. Specifically, </w:t>
      </w:r>
      <w:r w:rsidR="00D10A92">
        <w:t xml:space="preserve">similar </w:t>
      </w:r>
      <w:r w:rsidRPr="009B1505">
        <w:t xml:space="preserve">versions of the </w:t>
      </w:r>
      <w:r w:rsidR="00224420">
        <w:t xml:space="preserve">Patient </w:t>
      </w:r>
      <w:r>
        <w:t>C</w:t>
      </w:r>
      <w:r w:rsidRPr="009B1505">
        <w:t>heck-</w:t>
      </w:r>
      <w:r>
        <w:t>I</w:t>
      </w:r>
      <w:r w:rsidRPr="009B1505">
        <w:t xml:space="preserve">n and </w:t>
      </w:r>
      <w:r w:rsidR="00224420">
        <w:t xml:space="preserve">Patient </w:t>
      </w:r>
      <w:r>
        <w:t>Q</w:t>
      </w:r>
      <w:r w:rsidRPr="009B1505">
        <w:t>uestionnaire</w:t>
      </w:r>
      <w:r>
        <w:t>s</w:t>
      </w:r>
      <w:r w:rsidRPr="009B1505">
        <w:t xml:space="preserve"> have been completed with 500 OUD </w:t>
      </w:r>
      <w:r w:rsidR="00CC4E13">
        <w:t>patients</w:t>
      </w:r>
      <w:r>
        <w:t xml:space="preserve"> in a private project conducted by RTI. The </w:t>
      </w:r>
      <w:r w:rsidR="00224420">
        <w:t xml:space="preserve">Patient </w:t>
      </w:r>
      <w:r>
        <w:t>Check-In</w:t>
      </w:r>
      <w:r w:rsidR="00F241FA">
        <w:t xml:space="preserve"> Questionnaire</w:t>
      </w:r>
      <w:r>
        <w:t xml:space="preserve"> takes about 10 to 20 minutes with average response time </w:t>
      </w:r>
      <w:r w:rsidR="00470414">
        <w:t xml:space="preserve">of </w:t>
      </w:r>
      <w:r>
        <w:t xml:space="preserve">15 minutes. The </w:t>
      </w:r>
      <w:r w:rsidR="00FE4A8E">
        <w:t xml:space="preserve">Baseline </w:t>
      </w:r>
      <w:r w:rsidR="00224420">
        <w:t xml:space="preserve">Patient </w:t>
      </w:r>
      <w:r>
        <w:t xml:space="preserve">Questionnaire </w:t>
      </w:r>
      <w:r w:rsidR="00A705D3">
        <w:t>b</w:t>
      </w:r>
      <w:r>
        <w:t>aseline takes 45 to 60 minutes with an average response time of 52 minutes</w:t>
      </w:r>
      <w:r w:rsidR="00F20F67">
        <w:t xml:space="preserve"> includ</w:t>
      </w:r>
      <w:r w:rsidR="004D7A03">
        <w:t>ing</w:t>
      </w:r>
      <w:r w:rsidR="00F20F67">
        <w:t xml:space="preserve"> time to review the consent forms</w:t>
      </w:r>
      <w:r>
        <w:t>. Similarly, the</w:t>
      </w:r>
      <w:r w:rsidR="00224420">
        <w:t xml:space="preserve"> Patient</w:t>
      </w:r>
      <w:r>
        <w:t xml:space="preserve"> Questionnaire</w:t>
      </w:r>
      <w:r w:rsidR="00FE4A8E">
        <w:t>s at</w:t>
      </w:r>
      <w:r>
        <w:t xml:space="preserve"> 12- and 24- month follow-up take 40 to 50 minutes to complete with an average of 45 minutes. The </w:t>
      </w:r>
      <w:r w:rsidR="00224420">
        <w:t xml:space="preserve">Patient </w:t>
      </w:r>
      <w:r>
        <w:t>Screener</w:t>
      </w:r>
      <w:r w:rsidR="00470414">
        <w:t xml:space="preserve"> </w:t>
      </w:r>
      <w:r w:rsidR="004D7A03">
        <w:t>Form is designed</w:t>
      </w:r>
      <w:r>
        <w:t xml:space="preserve"> to quickly obtain basic information about the client and </w:t>
      </w:r>
      <w:r w:rsidR="004D7A03">
        <w:t xml:space="preserve">is </w:t>
      </w:r>
      <w:r>
        <w:t xml:space="preserve">estimated to take </w:t>
      </w:r>
      <w:r w:rsidR="00470414">
        <w:t xml:space="preserve">5 </w:t>
      </w:r>
      <w:r>
        <w:t>minutes to complete. These estimates are based on experience with similar tools and client populations.</w:t>
      </w:r>
      <w:r w:rsidR="00224420">
        <w:t xml:space="preserve"> Patient</w:t>
      </w:r>
      <w:r w:rsidR="00C92EE3">
        <w:t xml:space="preserve"> and Staff</w:t>
      </w:r>
      <w:r>
        <w:t xml:space="preserve"> Focus Groups will be limited to </w:t>
      </w:r>
      <w:r w:rsidR="00FE4A8E">
        <w:t>90 minutes</w:t>
      </w:r>
      <w:r w:rsidR="00F20F67">
        <w:t xml:space="preserve"> </w:t>
      </w:r>
      <w:r w:rsidR="00D10A92">
        <w:t xml:space="preserve">including </w:t>
      </w:r>
      <w:r w:rsidR="00F20F67">
        <w:t>time to review consent forms</w:t>
      </w:r>
      <w:r>
        <w:t xml:space="preserve">. </w:t>
      </w:r>
    </w:p>
    <w:p w14:paraId="47B6603B" w14:textId="42D3661A" w:rsidR="00327640" w:rsidRDefault="003A5519" w:rsidP="00D647CB">
      <w:pPr>
        <w:pStyle w:val="BodyText1"/>
      </w:pPr>
      <w:r w:rsidRPr="001B06F5">
        <w:rPr>
          <w:b/>
          <w:i/>
        </w:rPr>
        <w:t>Exhibit 5</w:t>
      </w:r>
      <w:r>
        <w:t xml:space="preserve"> reports the average number of respondents</w:t>
      </w:r>
      <w:r w:rsidR="00D10A92">
        <w:t xml:space="preserve"> per year</w:t>
      </w:r>
      <w:r>
        <w:t xml:space="preserve"> over the </w:t>
      </w:r>
      <w:r w:rsidR="00470414">
        <w:t xml:space="preserve">3 </w:t>
      </w:r>
      <w:r>
        <w:t xml:space="preserve">years of data collection and requested OMB approval. </w:t>
      </w:r>
      <w:r w:rsidR="00D86B4D">
        <w:t>Four thousand</w:t>
      </w:r>
      <w:r w:rsidR="005A7F38">
        <w:t xml:space="preserve"> seven hundred </w:t>
      </w:r>
      <w:r w:rsidR="004C6F9A">
        <w:t>thirty-two</w:t>
      </w:r>
      <w:r w:rsidR="00D86B4D">
        <w:t xml:space="preserve"> </w:t>
      </w:r>
      <w:r w:rsidR="00CC4E13">
        <w:t>patients</w:t>
      </w:r>
      <w:r>
        <w:t xml:space="preserve"> are expected for the</w:t>
      </w:r>
      <w:r w:rsidR="00224420">
        <w:t xml:space="preserve"> Patient</w:t>
      </w:r>
      <w:r>
        <w:t xml:space="preserve"> Screener Form in the first year; averaging these respondents over </w:t>
      </w:r>
      <w:r w:rsidR="00470414">
        <w:t>3</w:t>
      </w:r>
      <w:r w:rsidR="00D86B4D">
        <w:t xml:space="preserve"> years</w:t>
      </w:r>
      <w:r w:rsidR="00470414">
        <w:t xml:space="preserve"> </w:t>
      </w:r>
      <w:r>
        <w:t>yields</w:t>
      </w:r>
      <w:r w:rsidR="00D10A92">
        <w:t xml:space="preserve"> an average of</w:t>
      </w:r>
      <w:r>
        <w:t xml:space="preserve"> 1,</w:t>
      </w:r>
      <w:r w:rsidR="004C6F9A">
        <w:t xml:space="preserve">577 </w:t>
      </w:r>
      <w:r>
        <w:t>respondents</w:t>
      </w:r>
      <w:r w:rsidR="00D10A92">
        <w:t xml:space="preserve"> per year,</w:t>
      </w:r>
      <w:r w:rsidR="00D86B4D">
        <w:t xml:space="preserve"> each completing the form once</w:t>
      </w:r>
      <w:r>
        <w:t xml:space="preserve">. </w:t>
      </w:r>
      <w:r w:rsidR="00D86B4D">
        <w:t xml:space="preserve">The Client Check In is expected to be completed by </w:t>
      </w:r>
      <w:r w:rsidR="004C6F9A">
        <w:t>2,848</w:t>
      </w:r>
      <w:r w:rsidR="00D86B4D">
        <w:t xml:space="preserve"> respondents and when annualized </w:t>
      </w:r>
      <w:r w:rsidR="00F20F67">
        <w:t>(</w:t>
      </w:r>
      <w:r w:rsidR="00D86B4D">
        <w:t>dividing by 3 years</w:t>
      </w:r>
      <w:r w:rsidR="00F20F67">
        <w:t>)</w:t>
      </w:r>
      <w:r w:rsidR="00D86B4D">
        <w:t xml:space="preserve"> yields </w:t>
      </w:r>
      <w:r w:rsidR="004C6F9A">
        <w:t>949</w:t>
      </w:r>
      <w:r w:rsidR="00D86B4D">
        <w:t xml:space="preserve"> </w:t>
      </w:r>
      <w:r w:rsidR="00CC4E13">
        <w:t>patients</w:t>
      </w:r>
      <w:r w:rsidR="00D10A92">
        <w:t xml:space="preserve"> per year</w:t>
      </w:r>
      <w:r w:rsidR="00F20F67">
        <w:t xml:space="preserve"> </w:t>
      </w:r>
      <w:r w:rsidR="00D86B4D">
        <w:t xml:space="preserve">completing the </w:t>
      </w:r>
      <w:r w:rsidR="006336E7">
        <w:t>questionnaire</w:t>
      </w:r>
      <w:r w:rsidR="00D86B4D">
        <w:t xml:space="preserve"> twice. </w:t>
      </w:r>
      <w:r>
        <w:t xml:space="preserve">Annualized </w:t>
      </w:r>
      <w:r w:rsidR="00224420">
        <w:t xml:space="preserve">Patient </w:t>
      </w:r>
      <w:r>
        <w:t>Questionnaire</w:t>
      </w:r>
      <w:r w:rsidR="00D86B4D">
        <w:t xml:space="preserve"> Baseline </w:t>
      </w:r>
      <w:r>
        <w:t xml:space="preserve">respondents is based on </w:t>
      </w:r>
      <w:r w:rsidR="00434980">
        <w:t>3,560</w:t>
      </w:r>
      <w:r>
        <w:t xml:space="preserve"> </w:t>
      </w:r>
      <w:r w:rsidR="00CC4E13">
        <w:t>patients</w:t>
      </w:r>
      <w:r>
        <w:t xml:space="preserve"> at </w:t>
      </w:r>
      <w:r w:rsidR="00470414">
        <w:t>b</w:t>
      </w:r>
      <w:r>
        <w:t>aseline</w:t>
      </w:r>
      <w:r w:rsidR="00D86B4D">
        <w:t xml:space="preserve"> which annualizes to 1,187 </w:t>
      </w:r>
      <w:r w:rsidR="00CC4E13">
        <w:t>patients</w:t>
      </w:r>
      <w:r w:rsidR="00D10A92">
        <w:t xml:space="preserve"> per year</w:t>
      </w:r>
      <w:r w:rsidR="00D86B4D">
        <w:t xml:space="preserve"> completing the </w:t>
      </w:r>
      <w:r w:rsidR="006336E7">
        <w:t>questionnaire</w:t>
      </w:r>
      <w:r w:rsidR="00D86B4D">
        <w:t xml:space="preserve"> once.</w:t>
      </w:r>
      <w:r w:rsidR="00327640">
        <w:t xml:space="preserve"> For the</w:t>
      </w:r>
      <w:r w:rsidR="004C6F9A">
        <w:t xml:space="preserve"> </w:t>
      </w:r>
      <w:r w:rsidR="00224420">
        <w:t>Patient</w:t>
      </w:r>
      <w:r w:rsidR="00327640">
        <w:t xml:space="preserve"> Questionnaire 12-month follow-up we expect 2,791 respondents which annualizes to 930</w:t>
      </w:r>
      <w:r w:rsidR="00D10A92">
        <w:t xml:space="preserve"> </w:t>
      </w:r>
      <w:r w:rsidR="00CC4E13">
        <w:t>patients</w:t>
      </w:r>
      <w:r w:rsidR="00D10A92">
        <w:t xml:space="preserve"> per year</w:t>
      </w:r>
      <w:r w:rsidR="00AA77C7">
        <w:t xml:space="preserve"> (2,791/3)</w:t>
      </w:r>
      <w:r w:rsidR="00327640">
        <w:t xml:space="preserve">; </w:t>
      </w:r>
      <w:r w:rsidR="00AA77C7">
        <w:t>similarly,</w:t>
      </w:r>
      <w:r w:rsidR="00327640">
        <w:t xml:space="preserve"> for the</w:t>
      </w:r>
      <w:r w:rsidR="004C6F9A">
        <w:t xml:space="preserve"> </w:t>
      </w:r>
      <w:r w:rsidR="00224420">
        <w:t>Patient</w:t>
      </w:r>
      <w:r w:rsidR="00327640">
        <w:t xml:space="preserve"> </w:t>
      </w:r>
      <w:r w:rsidR="00AA77C7">
        <w:t>Questionnaire</w:t>
      </w:r>
      <w:r w:rsidR="00327640">
        <w:t xml:space="preserve"> 24-month follow-up we expect 2,233 respondents which annualizes to </w:t>
      </w:r>
      <w:r w:rsidR="00AA77C7">
        <w:t>744</w:t>
      </w:r>
      <w:r w:rsidR="00D10A92">
        <w:t xml:space="preserve"> </w:t>
      </w:r>
      <w:r w:rsidR="00CC4E13">
        <w:t>patients</w:t>
      </w:r>
      <w:r w:rsidR="00D10A92">
        <w:t xml:space="preserve"> per year</w:t>
      </w:r>
      <w:r w:rsidR="00AA77C7">
        <w:t xml:space="preserve"> (2,233/3).</w:t>
      </w:r>
      <w:r w:rsidR="00327640">
        <w:t xml:space="preserve">  </w:t>
      </w:r>
      <w:r w:rsidR="00AA77C7">
        <w:t>Finally, 27 participants per year, from each type of respondent (</w:t>
      </w:r>
      <w:r w:rsidR="00CC4E13">
        <w:t>patients</w:t>
      </w:r>
      <w:r w:rsidR="00AA77C7">
        <w:t xml:space="preserve"> and facility staff) will participate in </w:t>
      </w:r>
      <w:r w:rsidR="00D10A92">
        <w:t>Focus G</w:t>
      </w:r>
      <w:r w:rsidR="00AA77C7">
        <w:t>roups.</w:t>
      </w:r>
    </w:p>
    <w:p w14:paraId="7AE60875" w14:textId="77777777" w:rsidR="00C60F63" w:rsidRDefault="00C60F63" w:rsidP="00C60F63">
      <w:pPr>
        <w:pStyle w:val="ExhibitTitle"/>
        <w:spacing w:before="0" w:after="0"/>
        <w:rPr>
          <w:rStyle w:val="CommentReference"/>
          <w:b w:val="0"/>
        </w:rPr>
      </w:pPr>
      <w:r w:rsidRPr="009B1505">
        <w:t>Exhibit 5.</w:t>
      </w:r>
      <w:r w:rsidRPr="009B1505">
        <w:tab/>
        <w:t>Estimated Annualized Burden Hours</w:t>
      </w:r>
    </w:p>
    <w:tbl>
      <w:tblPr>
        <w:tblpPr w:leftFromText="180" w:rightFromText="180" w:vertAnchor="page" w:horzAnchor="margin" w:tblpY="6841"/>
        <w:tblW w:w="9249" w:type="dxa"/>
        <w:tblLook w:val="04A0" w:firstRow="1" w:lastRow="0" w:firstColumn="1" w:lastColumn="0" w:noHBand="0" w:noVBand="1"/>
      </w:tblPr>
      <w:tblGrid>
        <w:gridCol w:w="1306"/>
        <w:gridCol w:w="2115"/>
        <w:gridCol w:w="1306"/>
        <w:gridCol w:w="1228"/>
        <w:gridCol w:w="1094"/>
        <w:gridCol w:w="1060"/>
        <w:gridCol w:w="1140"/>
      </w:tblGrid>
      <w:tr w:rsidR="00C60F63" w:rsidRPr="00F1135A" w14:paraId="79A3BC34" w14:textId="77777777" w:rsidTr="00C60F63">
        <w:trPr>
          <w:trHeight w:val="1110"/>
        </w:trPr>
        <w:tc>
          <w:tcPr>
            <w:tcW w:w="1306" w:type="dxa"/>
            <w:tcBorders>
              <w:top w:val="single" w:sz="4" w:space="0" w:color="auto"/>
              <w:left w:val="single" w:sz="4" w:space="0" w:color="auto"/>
              <w:bottom w:val="double" w:sz="6" w:space="0" w:color="auto"/>
              <w:right w:val="single" w:sz="4" w:space="0" w:color="auto"/>
            </w:tcBorders>
            <w:vAlign w:val="center"/>
          </w:tcPr>
          <w:p w14:paraId="16E17A45" w14:textId="77777777" w:rsidR="00C60F63" w:rsidRPr="00F1135A" w:rsidRDefault="00C60F63" w:rsidP="00C60F63">
            <w:pPr>
              <w:jc w:val="center"/>
              <w:rPr>
                <w:b/>
                <w:bCs/>
                <w:color w:val="000000"/>
                <w:sz w:val="20"/>
                <w:szCs w:val="20"/>
              </w:rPr>
            </w:pPr>
            <w:r>
              <w:rPr>
                <w:b/>
                <w:bCs/>
                <w:color w:val="000000"/>
                <w:sz w:val="20"/>
                <w:szCs w:val="20"/>
              </w:rPr>
              <w:t>Type of Respondents</w:t>
            </w:r>
          </w:p>
        </w:tc>
        <w:tc>
          <w:tcPr>
            <w:tcW w:w="2115" w:type="dxa"/>
            <w:tcBorders>
              <w:top w:val="single" w:sz="4" w:space="0" w:color="auto"/>
              <w:left w:val="single" w:sz="4" w:space="0" w:color="auto"/>
              <w:bottom w:val="double" w:sz="6" w:space="0" w:color="auto"/>
              <w:right w:val="single" w:sz="8" w:space="0" w:color="auto"/>
            </w:tcBorders>
            <w:shd w:val="clear" w:color="auto" w:fill="auto"/>
            <w:vAlign w:val="center"/>
            <w:hideMark/>
          </w:tcPr>
          <w:p w14:paraId="631C78DD" w14:textId="77777777" w:rsidR="00C60F63" w:rsidRPr="00F1135A" w:rsidRDefault="00C60F63" w:rsidP="00C60F63">
            <w:pPr>
              <w:jc w:val="center"/>
              <w:rPr>
                <w:b/>
                <w:bCs/>
                <w:color w:val="000000"/>
                <w:sz w:val="20"/>
                <w:szCs w:val="20"/>
              </w:rPr>
            </w:pPr>
            <w:r>
              <w:rPr>
                <w:b/>
                <w:bCs/>
                <w:color w:val="000000"/>
                <w:sz w:val="20"/>
                <w:szCs w:val="20"/>
              </w:rPr>
              <w:t>Form Name</w:t>
            </w:r>
          </w:p>
        </w:tc>
        <w:tc>
          <w:tcPr>
            <w:tcW w:w="1306" w:type="dxa"/>
            <w:tcBorders>
              <w:top w:val="single" w:sz="4" w:space="0" w:color="auto"/>
              <w:left w:val="nil"/>
              <w:bottom w:val="double" w:sz="6" w:space="0" w:color="auto"/>
              <w:right w:val="single" w:sz="4" w:space="0" w:color="auto"/>
            </w:tcBorders>
            <w:vAlign w:val="center"/>
          </w:tcPr>
          <w:p w14:paraId="5655A148" w14:textId="77777777" w:rsidR="00C60F63" w:rsidRDefault="00C60F63" w:rsidP="00C60F63">
            <w:pPr>
              <w:jc w:val="center"/>
              <w:rPr>
                <w:b/>
                <w:bCs/>
                <w:color w:val="000000"/>
                <w:sz w:val="20"/>
                <w:szCs w:val="20"/>
              </w:rPr>
            </w:pPr>
            <w:r w:rsidRPr="00F1135A">
              <w:rPr>
                <w:b/>
                <w:bCs/>
                <w:color w:val="000000"/>
                <w:sz w:val="20"/>
                <w:szCs w:val="20"/>
              </w:rPr>
              <w:t>Number of Respondents</w:t>
            </w:r>
          </w:p>
        </w:tc>
        <w:tc>
          <w:tcPr>
            <w:tcW w:w="1228" w:type="dxa"/>
            <w:tcBorders>
              <w:top w:val="single" w:sz="4" w:space="0" w:color="auto"/>
              <w:left w:val="single" w:sz="4" w:space="0" w:color="auto"/>
              <w:bottom w:val="double" w:sz="6" w:space="0" w:color="auto"/>
              <w:right w:val="single" w:sz="8" w:space="0" w:color="auto"/>
            </w:tcBorders>
            <w:shd w:val="clear" w:color="auto" w:fill="auto"/>
            <w:vAlign w:val="center"/>
            <w:hideMark/>
          </w:tcPr>
          <w:p w14:paraId="2E192FAF" w14:textId="77777777" w:rsidR="00C60F63" w:rsidRPr="00F1135A" w:rsidRDefault="00C60F63" w:rsidP="00C60F63">
            <w:pPr>
              <w:jc w:val="center"/>
              <w:rPr>
                <w:b/>
                <w:bCs/>
                <w:color w:val="000000"/>
                <w:sz w:val="20"/>
                <w:szCs w:val="20"/>
              </w:rPr>
            </w:pPr>
            <w:r>
              <w:rPr>
                <w:b/>
                <w:bCs/>
                <w:color w:val="000000"/>
                <w:sz w:val="20"/>
                <w:szCs w:val="20"/>
              </w:rPr>
              <w:t xml:space="preserve">Number of </w:t>
            </w:r>
            <w:r w:rsidRPr="00F1135A">
              <w:rPr>
                <w:b/>
                <w:bCs/>
                <w:color w:val="000000"/>
                <w:sz w:val="20"/>
                <w:szCs w:val="20"/>
              </w:rPr>
              <w:t>Responses per Respondent</w:t>
            </w:r>
          </w:p>
        </w:tc>
        <w:tc>
          <w:tcPr>
            <w:tcW w:w="1094" w:type="dxa"/>
            <w:tcBorders>
              <w:top w:val="single" w:sz="4" w:space="0" w:color="auto"/>
              <w:left w:val="nil"/>
              <w:bottom w:val="double" w:sz="6" w:space="0" w:color="auto"/>
              <w:right w:val="single" w:sz="8" w:space="0" w:color="auto"/>
            </w:tcBorders>
            <w:shd w:val="clear" w:color="auto" w:fill="auto"/>
            <w:vAlign w:val="center"/>
            <w:hideMark/>
          </w:tcPr>
          <w:p w14:paraId="17470EF7" w14:textId="77777777" w:rsidR="00C60F63" w:rsidRPr="00F1135A" w:rsidRDefault="00C60F63" w:rsidP="00C60F63">
            <w:pPr>
              <w:jc w:val="center"/>
              <w:rPr>
                <w:b/>
                <w:bCs/>
                <w:color w:val="000000"/>
                <w:sz w:val="20"/>
                <w:szCs w:val="20"/>
              </w:rPr>
            </w:pPr>
            <w:r w:rsidRPr="00F1135A">
              <w:rPr>
                <w:b/>
                <w:bCs/>
                <w:color w:val="000000"/>
                <w:sz w:val="20"/>
                <w:szCs w:val="20"/>
              </w:rPr>
              <w:t>Total Number of Responses</w:t>
            </w:r>
          </w:p>
        </w:tc>
        <w:tc>
          <w:tcPr>
            <w:tcW w:w="1060" w:type="dxa"/>
            <w:tcBorders>
              <w:top w:val="single" w:sz="4" w:space="0" w:color="auto"/>
              <w:left w:val="nil"/>
              <w:bottom w:val="double" w:sz="6" w:space="0" w:color="auto"/>
              <w:right w:val="single" w:sz="8" w:space="0" w:color="auto"/>
            </w:tcBorders>
            <w:shd w:val="clear" w:color="auto" w:fill="auto"/>
            <w:vAlign w:val="center"/>
            <w:hideMark/>
          </w:tcPr>
          <w:p w14:paraId="1C15CAA9" w14:textId="77777777" w:rsidR="00C60F63" w:rsidRPr="00F1135A" w:rsidRDefault="00C60F63" w:rsidP="00C60F63">
            <w:pPr>
              <w:jc w:val="center"/>
              <w:rPr>
                <w:b/>
                <w:bCs/>
                <w:color w:val="000000"/>
                <w:sz w:val="20"/>
                <w:szCs w:val="20"/>
              </w:rPr>
            </w:pPr>
            <w:r w:rsidRPr="002F3021">
              <w:rPr>
                <w:b/>
                <w:bCs/>
                <w:color w:val="000000"/>
                <w:sz w:val="20"/>
                <w:szCs w:val="20"/>
              </w:rPr>
              <w:t>Average Burden per Response (hours)</w:t>
            </w:r>
          </w:p>
        </w:tc>
        <w:tc>
          <w:tcPr>
            <w:tcW w:w="1140" w:type="dxa"/>
            <w:tcBorders>
              <w:top w:val="single" w:sz="4" w:space="0" w:color="auto"/>
              <w:left w:val="nil"/>
              <w:bottom w:val="double" w:sz="6" w:space="0" w:color="auto"/>
              <w:right w:val="single" w:sz="4" w:space="0" w:color="auto"/>
            </w:tcBorders>
            <w:shd w:val="clear" w:color="auto" w:fill="auto"/>
            <w:vAlign w:val="center"/>
            <w:hideMark/>
          </w:tcPr>
          <w:p w14:paraId="0B0C8054" w14:textId="77777777" w:rsidR="00C60F63" w:rsidRPr="00F1135A" w:rsidRDefault="00C60F63" w:rsidP="00C60F63">
            <w:pPr>
              <w:jc w:val="center"/>
              <w:rPr>
                <w:b/>
                <w:bCs/>
                <w:color w:val="000000"/>
                <w:sz w:val="20"/>
                <w:szCs w:val="20"/>
              </w:rPr>
            </w:pPr>
            <w:r w:rsidRPr="002F3021">
              <w:rPr>
                <w:b/>
                <w:bCs/>
                <w:color w:val="000000"/>
                <w:sz w:val="20"/>
                <w:szCs w:val="20"/>
              </w:rPr>
              <w:t>Total Burden (hours)</w:t>
            </w:r>
          </w:p>
        </w:tc>
      </w:tr>
      <w:tr w:rsidR="00C60F63" w:rsidRPr="00F1135A" w14:paraId="0F2D72AE" w14:textId="77777777" w:rsidTr="00C60F63">
        <w:trPr>
          <w:trHeight w:val="693"/>
        </w:trPr>
        <w:tc>
          <w:tcPr>
            <w:tcW w:w="1306" w:type="dxa"/>
            <w:tcBorders>
              <w:top w:val="double" w:sz="6" w:space="0" w:color="auto"/>
              <w:left w:val="single" w:sz="4" w:space="0" w:color="auto"/>
              <w:right w:val="single" w:sz="4" w:space="0" w:color="auto"/>
            </w:tcBorders>
          </w:tcPr>
          <w:p w14:paraId="1977FEBE" w14:textId="77777777" w:rsidR="00C60F63" w:rsidRPr="00F1135A" w:rsidRDefault="00C60F63" w:rsidP="00C60F63">
            <w:pPr>
              <w:jc w:val="center"/>
              <w:rPr>
                <w:color w:val="000000"/>
                <w:sz w:val="20"/>
                <w:szCs w:val="20"/>
              </w:rPr>
            </w:pPr>
            <w:r>
              <w:rPr>
                <w:color w:val="000000"/>
                <w:sz w:val="20"/>
                <w:szCs w:val="20"/>
              </w:rPr>
              <w:t>Patients</w:t>
            </w:r>
          </w:p>
        </w:tc>
        <w:tc>
          <w:tcPr>
            <w:tcW w:w="2115"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B748F93" w14:textId="77777777" w:rsidR="00C60F63" w:rsidRPr="00F1135A" w:rsidRDefault="00C60F63" w:rsidP="00C60F63">
            <w:pPr>
              <w:pStyle w:val="TableText"/>
              <w:rPr>
                <w:sz w:val="20"/>
              </w:rPr>
            </w:pPr>
            <w:r w:rsidRPr="00F1135A">
              <w:rPr>
                <w:color w:val="000000"/>
                <w:sz w:val="20"/>
              </w:rPr>
              <w:t>Client Screener (Att. 4)</w:t>
            </w:r>
          </w:p>
        </w:tc>
        <w:tc>
          <w:tcPr>
            <w:tcW w:w="1306" w:type="dxa"/>
            <w:tcBorders>
              <w:top w:val="nil"/>
              <w:left w:val="nil"/>
              <w:bottom w:val="single" w:sz="4" w:space="0" w:color="auto"/>
              <w:right w:val="single" w:sz="4" w:space="0" w:color="auto"/>
            </w:tcBorders>
            <w:vAlign w:val="center"/>
          </w:tcPr>
          <w:p w14:paraId="31B4B7FF" w14:textId="77777777" w:rsidR="00C60F63" w:rsidRDefault="00C60F63" w:rsidP="00C60F63">
            <w:pPr>
              <w:jc w:val="center"/>
              <w:rPr>
                <w:color w:val="000000"/>
                <w:sz w:val="20"/>
                <w:szCs w:val="20"/>
              </w:rPr>
            </w:pPr>
            <w:r w:rsidRPr="00F1135A">
              <w:rPr>
                <w:color w:val="000000"/>
                <w:sz w:val="20"/>
                <w:szCs w:val="20"/>
              </w:rPr>
              <w:t>1,5</w:t>
            </w:r>
            <w:r>
              <w:rPr>
                <w:color w:val="000000"/>
                <w:sz w:val="20"/>
                <w:szCs w:val="20"/>
              </w:rPr>
              <w:t>77</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7D0370F3" w14:textId="77777777" w:rsidR="00C60F63" w:rsidRPr="00F1135A" w:rsidRDefault="00C60F63" w:rsidP="00C60F63">
            <w:pPr>
              <w:jc w:val="center"/>
              <w:rPr>
                <w:color w:val="000000"/>
                <w:sz w:val="20"/>
                <w:szCs w:val="20"/>
              </w:rPr>
            </w:pPr>
            <w:r>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14:paraId="081106C7" w14:textId="77777777" w:rsidR="00C60F63" w:rsidRPr="00F1135A" w:rsidRDefault="00C60F63" w:rsidP="00C60F63">
            <w:pPr>
              <w:jc w:val="center"/>
              <w:rPr>
                <w:color w:val="000000"/>
                <w:sz w:val="20"/>
                <w:szCs w:val="20"/>
              </w:rPr>
            </w:pPr>
            <w:r w:rsidRPr="00F1135A">
              <w:rPr>
                <w:color w:val="000000"/>
                <w:sz w:val="20"/>
                <w:szCs w:val="20"/>
              </w:rPr>
              <w:t>1,5</w:t>
            </w:r>
            <w:r>
              <w:rPr>
                <w:color w:val="000000"/>
                <w:sz w:val="20"/>
                <w:szCs w:val="20"/>
              </w:rPr>
              <w:t>77</w:t>
            </w:r>
          </w:p>
        </w:tc>
        <w:tc>
          <w:tcPr>
            <w:tcW w:w="1060" w:type="dxa"/>
            <w:tcBorders>
              <w:top w:val="nil"/>
              <w:left w:val="nil"/>
              <w:bottom w:val="single" w:sz="4" w:space="0" w:color="auto"/>
              <w:right w:val="single" w:sz="4" w:space="0" w:color="auto"/>
            </w:tcBorders>
            <w:shd w:val="clear" w:color="auto" w:fill="auto"/>
            <w:vAlign w:val="center"/>
            <w:hideMark/>
          </w:tcPr>
          <w:p w14:paraId="103DB45F" w14:textId="77777777" w:rsidR="00C60F63" w:rsidRPr="00F1135A" w:rsidRDefault="00C60F63" w:rsidP="00C60F63">
            <w:pPr>
              <w:pStyle w:val="TableText"/>
              <w:jc w:val="center"/>
              <w:rPr>
                <w:sz w:val="20"/>
              </w:rPr>
            </w:pPr>
            <w:r w:rsidRPr="00F1135A">
              <w:rPr>
                <w:color w:val="000000"/>
                <w:sz w:val="20"/>
              </w:rPr>
              <w:t>5/60</w:t>
            </w:r>
          </w:p>
        </w:tc>
        <w:tc>
          <w:tcPr>
            <w:tcW w:w="1140" w:type="dxa"/>
            <w:tcBorders>
              <w:top w:val="nil"/>
              <w:left w:val="nil"/>
              <w:bottom w:val="single" w:sz="4" w:space="0" w:color="auto"/>
              <w:right w:val="single" w:sz="4" w:space="0" w:color="auto"/>
            </w:tcBorders>
            <w:shd w:val="clear" w:color="auto" w:fill="auto"/>
            <w:noWrap/>
            <w:vAlign w:val="center"/>
            <w:hideMark/>
          </w:tcPr>
          <w:p w14:paraId="2A3D5D35" w14:textId="77777777" w:rsidR="00C60F63" w:rsidRPr="00F1135A" w:rsidRDefault="00C60F63" w:rsidP="00C60F63">
            <w:pPr>
              <w:jc w:val="center"/>
              <w:rPr>
                <w:color w:val="000000"/>
                <w:sz w:val="20"/>
                <w:szCs w:val="20"/>
              </w:rPr>
            </w:pPr>
            <w:r w:rsidRPr="00F1135A">
              <w:rPr>
                <w:color w:val="000000"/>
                <w:sz w:val="20"/>
                <w:szCs w:val="20"/>
              </w:rPr>
              <w:t>13</w:t>
            </w:r>
            <w:r>
              <w:rPr>
                <w:color w:val="000000"/>
                <w:sz w:val="20"/>
                <w:szCs w:val="20"/>
              </w:rPr>
              <w:t>1</w:t>
            </w:r>
          </w:p>
        </w:tc>
      </w:tr>
      <w:tr w:rsidR="00C60F63" w:rsidRPr="00F1135A" w14:paraId="6128D926" w14:textId="77777777" w:rsidTr="00C60F63">
        <w:trPr>
          <w:trHeight w:val="300"/>
        </w:trPr>
        <w:tc>
          <w:tcPr>
            <w:tcW w:w="1306" w:type="dxa"/>
            <w:tcBorders>
              <w:top w:val="nil"/>
              <w:left w:val="single" w:sz="4" w:space="0" w:color="auto"/>
              <w:right w:val="single" w:sz="4" w:space="0" w:color="auto"/>
            </w:tcBorders>
          </w:tcPr>
          <w:p w14:paraId="5D952812" w14:textId="77777777" w:rsidR="00C60F63" w:rsidRPr="00F1135A" w:rsidRDefault="00C60F63" w:rsidP="00C60F63">
            <w:pPr>
              <w:jc w:val="center"/>
              <w:rPr>
                <w:color w:val="000000"/>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F107B" w14:textId="77777777" w:rsidR="00C60F63" w:rsidRPr="00F1135A" w:rsidRDefault="00C60F63" w:rsidP="00C60F63">
            <w:pPr>
              <w:pStyle w:val="TableText"/>
              <w:rPr>
                <w:sz w:val="20"/>
              </w:rPr>
            </w:pPr>
            <w:r w:rsidRPr="00F1135A">
              <w:rPr>
                <w:color w:val="000000"/>
                <w:sz w:val="20"/>
              </w:rPr>
              <w:t>Client Check-In (Att. 5)</w:t>
            </w:r>
          </w:p>
        </w:tc>
        <w:tc>
          <w:tcPr>
            <w:tcW w:w="1306" w:type="dxa"/>
            <w:tcBorders>
              <w:top w:val="nil"/>
              <w:left w:val="nil"/>
              <w:bottom w:val="single" w:sz="4" w:space="0" w:color="auto"/>
              <w:right w:val="single" w:sz="4" w:space="0" w:color="auto"/>
            </w:tcBorders>
            <w:vAlign w:val="center"/>
          </w:tcPr>
          <w:p w14:paraId="2E9825A3" w14:textId="77777777" w:rsidR="00C60F63" w:rsidRPr="00F1135A" w:rsidRDefault="00C60F63" w:rsidP="00C60F63">
            <w:pPr>
              <w:jc w:val="center"/>
              <w:rPr>
                <w:color w:val="000000"/>
                <w:sz w:val="20"/>
                <w:szCs w:val="20"/>
              </w:rPr>
            </w:pPr>
            <w:r>
              <w:rPr>
                <w:color w:val="000000"/>
                <w:sz w:val="20"/>
                <w:szCs w:val="20"/>
              </w:rPr>
              <w:t>949</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14:paraId="1DE8A7B9" w14:textId="77777777" w:rsidR="00C60F63" w:rsidRPr="00F1135A" w:rsidRDefault="00C60F63" w:rsidP="00C60F63">
            <w:pPr>
              <w:jc w:val="center"/>
              <w:rPr>
                <w:color w:val="000000"/>
                <w:sz w:val="20"/>
                <w:szCs w:val="20"/>
              </w:rPr>
            </w:pPr>
            <w:r w:rsidRPr="00F1135A">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center"/>
            <w:hideMark/>
          </w:tcPr>
          <w:p w14:paraId="01771EF4" w14:textId="77777777" w:rsidR="00C60F63" w:rsidRPr="00F1135A" w:rsidRDefault="00C60F63" w:rsidP="00C60F63">
            <w:pPr>
              <w:jc w:val="center"/>
              <w:rPr>
                <w:color w:val="000000"/>
                <w:sz w:val="20"/>
                <w:szCs w:val="20"/>
              </w:rPr>
            </w:pPr>
            <w:r>
              <w:rPr>
                <w:color w:val="000000"/>
                <w:sz w:val="20"/>
                <w:szCs w:val="20"/>
              </w:rPr>
              <w:t>1,898</w:t>
            </w:r>
          </w:p>
        </w:tc>
        <w:tc>
          <w:tcPr>
            <w:tcW w:w="1060" w:type="dxa"/>
            <w:tcBorders>
              <w:top w:val="nil"/>
              <w:left w:val="nil"/>
              <w:bottom w:val="single" w:sz="4" w:space="0" w:color="auto"/>
              <w:right w:val="single" w:sz="4" w:space="0" w:color="auto"/>
            </w:tcBorders>
            <w:shd w:val="clear" w:color="auto" w:fill="auto"/>
            <w:vAlign w:val="center"/>
            <w:hideMark/>
          </w:tcPr>
          <w:p w14:paraId="51EB39B3" w14:textId="77777777" w:rsidR="00C60F63" w:rsidRPr="00F1135A" w:rsidRDefault="00C60F63" w:rsidP="00C60F63">
            <w:pPr>
              <w:pStyle w:val="TableText"/>
              <w:jc w:val="center"/>
              <w:rPr>
                <w:sz w:val="20"/>
              </w:rPr>
            </w:pPr>
            <w:r w:rsidRPr="00F1135A">
              <w:rPr>
                <w:color w:val="000000"/>
                <w:sz w:val="20"/>
              </w:rPr>
              <w:t>15/60</w:t>
            </w:r>
          </w:p>
        </w:tc>
        <w:tc>
          <w:tcPr>
            <w:tcW w:w="1140" w:type="dxa"/>
            <w:tcBorders>
              <w:top w:val="nil"/>
              <w:left w:val="nil"/>
              <w:bottom w:val="single" w:sz="4" w:space="0" w:color="auto"/>
              <w:right w:val="single" w:sz="4" w:space="0" w:color="auto"/>
            </w:tcBorders>
            <w:shd w:val="clear" w:color="auto" w:fill="auto"/>
            <w:noWrap/>
            <w:vAlign w:val="center"/>
            <w:hideMark/>
          </w:tcPr>
          <w:p w14:paraId="481177AC" w14:textId="77777777" w:rsidR="00C60F63" w:rsidRPr="00F1135A" w:rsidRDefault="00C60F63" w:rsidP="00C60F63">
            <w:pPr>
              <w:jc w:val="center"/>
              <w:rPr>
                <w:color w:val="000000"/>
                <w:sz w:val="20"/>
                <w:szCs w:val="20"/>
              </w:rPr>
            </w:pPr>
            <w:r>
              <w:rPr>
                <w:color w:val="000000"/>
                <w:sz w:val="20"/>
                <w:szCs w:val="20"/>
              </w:rPr>
              <w:t>474</w:t>
            </w:r>
          </w:p>
        </w:tc>
      </w:tr>
      <w:tr w:rsidR="00C60F63" w:rsidRPr="00F1135A" w14:paraId="00FEBDF0" w14:textId="77777777" w:rsidTr="00C60F63">
        <w:trPr>
          <w:trHeight w:val="300"/>
        </w:trPr>
        <w:tc>
          <w:tcPr>
            <w:tcW w:w="1306" w:type="dxa"/>
            <w:tcBorders>
              <w:top w:val="nil"/>
              <w:left w:val="single" w:sz="4" w:space="0" w:color="auto"/>
              <w:right w:val="single" w:sz="4" w:space="0" w:color="auto"/>
            </w:tcBorders>
          </w:tcPr>
          <w:p w14:paraId="771F7492" w14:textId="77777777" w:rsidR="00C60F63" w:rsidRPr="00F1135A" w:rsidRDefault="00C60F63" w:rsidP="00C60F63">
            <w:pPr>
              <w:jc w:val="center"/>
              <w:rPr>
                <w:color w:val="000000"/>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0937" w14:textId="77777777" w:rsidR="00C60F63" w:rsidRPr="00F1135A" w:rsidRDefault="00C60F63" w:rsidP="00C60F63">
            <w:pPr>
              <w:pStyle w:val="TableText"/>
              <w:rPr>
                <w:sz w:val="20"/>
              </w:rPr>
            </w:pPr>
            <w:r w:rsidRPr="00F1135A">
              <w:rPr>
                <w:color w:val="000000"/>
                <w:sz w:val="20"/>
              </w:rPr>
              <w:t>Client Questionnaire Baseline (Att. 6)</w:t>
            </w:r>
          </w:p>
        </w:tc>
        <w:tc>
          <w:tcPr>
            <w:tcW w:w="1306" w:type="dxa"/>
            <w:tcBorders>
              <w:top w:val="nil"/>
              <w:left w:val="nil"/>
              <w:bottom w:val="single" w:sz="4" w:space="0" w:color="auto"/>
              <w:right w:val="single" w:sz="4" w:space="0" w:color="auto"/>
            </w:tcBorders>
            <w:vAlign w:val="center"/>
          </w:tcPr>
          <w:p w14:paraId="71164657" w14:textId="77777777" w:rsidR="00C60F63" w:rsidRPr="00F1135A" w:rsidRDefault="00C60F63" w:rsidP="00C60F63">
            <w:pPr>
              <w:jc w:val="center"/>
              <w:rPr>
                <w:color w:val="000000"/>
                <w:sz w:val="20"/>
                <w:szCs w:val="20"/>
              </w:rPr>
            </w:pPr>
            <w:r w:rsidRPr="00F1135A">
              <w:rPr>
                <w:color w:val="000000"/>
                <w:sz w:val="20"/>
                <w:szCs w:val="20"/>
              </w:rPr>
              <w:t>1,187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E955CC1" w14:textId="77777777" w:rsidR="00C60F63" w:rsidRPr="00F1135A" w:rsidRDefault="00C60F63" w:rsidP="00C60F63">
            <w:pPr>
              <w:jc w:val="center"/>
              <w:rPr>
                <w:color w:val="000000"/>
                <w:sz w:val="20"/>
                <w:szCs w:val="20"/>
              </w:rPr>
            </w:pPr>
            <w:r w:rsidRPr="00F1135A">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14:paraId="431460B5" w14:textId="77777777" w:rsidR="00C60F63" w:rsidRPr="00F1135A" w:rsidRDefault="00C60F63" w:rsidP="00C60F63">
            <w:pPr>
              <w:jc w:val="center"/>
              <w:rPr>
                <w:color w:val="000000"/>
                <w:sz w:val="20"/>
                <w:szCs w:val="20"/>
              </w:rPr>
            </w:pPr>
            <w:r w:rsidRPr="00F1135A">
              <w:rPr>
                <w:color w:val="000000"/>
                <w:sz w:val="20"/>
                <w:szCs w:val="20"/>
              </w:rPr>
              <w:t>1,187</w:t>
            </w:r>
          </w:p>
        </w:tc>
        <w:tc>
          <w:tcPr>
            <w:tcW w:w="1060" w:type="dxa"/>
            <w:tcBorders>
              <w:top w:val="nil"/>
              <w:left w:val="nil"/>
              <w:bottom w:val="single" w:sz="4" w:space="0" w:color="auto"/>
              <w:right w:val="single" w:sz="4" w:space="0" w:color="auto"/>
            </w:tcBorders>
            <w:shd w:val="clear" w:color="auto" w:fill="auto"/>
            <w:noWrap/>
            <w:vAlign w:val="center"/>
            <w:hideMark/>
          </w:tcPr>
          <w:p w14:paraId="7FCEDEAF" w14:textId="77777777" w:rsidR="00C60F63" w:rsidRPr="00F1135A" w:rsidRDefault="00C60F63" w:rsidP="00C60F63">
            <w:pPr>
              <w:pStyle w:val="TableText"/>
              <w:jc w:val="center"/>
              <w:rPr>
                <w:sz w:val="20"/>
              </w:rPr>
            </w:pPr>
            <w:r w:rsidRPr="00F1135A">
              <w:rPr>
                <w:color w:val="000000"/>
                <w:sz w:val="20"/>
              </w:rPr>
              <w:t>52/60</w:t>
            </w:r>
          </w:p>
        </w:tc>
        <w:tc>
          <w:tcPr>
            <w:tcW w:w="1140" w:type="dxa"/>
            <w:tcBorders>
              <w:top w:val="nil"/>
              <w:left w:val="nil"/>
              <w:bottom w:val="single" w:sz="4" w:space="0" w:color="auto"/>
              <w:right w:val="single" w:sz="4" w:space="0" w:color="auto"/>
            </w:tcBorders>
            <w:shd w:val="clear" w:color="auto" w:fill="auto"/>
            <w:noWrap/>
            <w:vAlign w:val="center"/>
            <w:hideMark/>
          </w:tcPr>
          <w:p w14:paraId="3E41E519" w14:textId="77777777" w:rsidR="00C60F63" w:rsidRPr="00F1135A" w:rsidRDefault="00C60F63" w:rsidP="00C60F63">
            <w:pPr>
              <w:jc w:val="center"/>
              <w:rPr>
                <w:color w:val="000000"/>
                <w:sz w:val="20"/>
                <w:szCs w:val="20"/>
              </w:rPr>
            </w:pPr>
            <w:r w:rsidRPr="00F1135A">
              <w:rPr>
                <w:color w:val="000000"/>
                <w:sz w:val="20"/>
                <w:szCs w:val="20"/>
              </w:rPr>
              <w:t>1,02</w:t>
            </w:r>
            <w:r>
              <w:rPr>
                <w:color w:val="000000"/>
                <w:sz w:val="20"/>
                <w:szCs w:val="20"/>
              </w:rPr>
              <w:t>9</w:t>
            </w:r>
          </w:p>
        </w:tc>
      </w:tr>
      <w:tr w:rsidR="00C60F63" w:rsidRPr="00F1135A" w14:paraId="5AC13EE1" w14:textId="77777777" w:rsidTr="00C60F63">
        <w:trPr>
          <w:trHeight w:val="510"/>
        </w:trPr>
        <w:tc>
          <w:tcPr>
            <w:tcW w:w="1306" w:type="dxa"/>
            <w:tcBorders>
              <w:top w:val="nil"/>
              <w:left w:val="single" w:sz="4" w:space="0" w:color="auto"/>
              <w:bottom w:val="nil"/>
              <w:right w:val="single" w:sz="4" w:space="0" w:color="auto"/>
            </w:tcBorders>
          </w:tcPr>
          <w:p w14:paraId="47C94919" w14:textId="77777777" w:rsidR="00C60F63" w:rsidRPr="00F1135A" w:rsidRDefault="00C60F63" w:rsidP="00C60F63">
            <w:pPr>
              <w:jc w:val="center"/>
              <w:rPr>
                <w:color w:val="000000"/>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24AB" w14:textId="77777777" w:rsidR="00C60F63" w:rsidRPr="00F1135A" w:rsidRDefault="00C60F63" w:rsidP="00C60F63">
            <w:pPr>
              <w:pStyle w:val="TableText"/>
              <w:rPr>
                <w:color w:val="000000"/>
                <w:sz w:val="20"/>
              </w:rPr>
            </w:pPr>
            <w:r w:rsidRPr="00F1135A">
              <w:rPr>
                <w:color w:val="000000"/>
                <w:sz w:val="20"/>
              </w:rPr>
              <w:t>Client Questionnaire 12-Month Follow-up (Att. 6)</w:t>
            </w:r>
          </w:p>
        </w:tc>
        <w:tc>
          <w:tcPr>
            <w:tcW w:w="1306" w:type="dxa"/>
            <w:tcBorders>
              <w:top w:val="nil"/>
              <w:left w:val="nil"/>
              <w:bottom w:val="nil"/>
              <w:right w:val="single" w:sz="4" w:space="0" w:color="auto"/>
            </w:tcBorders>
            <w:vAlign w:val="center"/>
          </w:tcPr>
          <w:p w14:paraId="56B9783B" w14:textId="77777777" w:rsidR="00C60F63" w:rsidRPr="00F1135A" w:rsidRDefault="00C60F63" w:rsidP="00C60F63">
            <w:pPr>
              <w:jc w:val="center"/>
              <w:rPr>
                <w:color w:val="000000"/>
                <w:sz w:val="20"/>
                <w:szCs w:val="20"/>
              </w:rPr>
            </w:pPr>
            <w:r w:rsidRPr="00F1135A">
              <w:rPr>
                <w:color w:val="000000"/>
                <w:sz w:val="20"/>
                <w:szCs w:val="20"/>
              </w:rPr>
              <w:t>930</w:t>
            </w:r>
          </w:p>
        </w:tc>
        <w:tc>
          <w:tcPr>
            <w:tcW w:w="1228" w:type="dxa"/>
            <w:tcBorders>
              <w:top w:val="nil"/>
              <w:left w:val="single" w:sz="4" w:space="0" w:color="auto"/>
              <w:bottom w:val="nil"/>
              <w:right w:val="single" w:sz="4" w:space="0" w:color="auto"/>
            </w:tcBorders>
            <w:shd w:val="clear" w:color="auto" w:fill="auto"/>
            <w:noWrap/>
            <w:vAlign w:val="center"/>
            <w:hideMark/>
          </w:tcPr>
          <w:p w14:paraId="24464D8C" w14:textId="77777777" w:rsidR="00C60F63" w:rsidRPr="00F1135A" w:rsidRDefault="00C60F63" w:rsidP="00C60F63">
            <w:pPr>
              <w:jc w:val="center"/>
              <w:rPr>
                <w:color w:val="000000"/>
                <w:sz w:val="20"/>
                <w:szCs w:val="20"/>
              </w:rPr>
            </w:pPr>
            <w:r w:rsidRPr="00F1135A">
              <w:rPr>
                <w:color w:val="000000"/>
                <w:sz w:val="20"/>
                <w:szCs w:val="20"/>
              </w:rPr>
              <w:t>1</w:t>
            </w:r>
          </w:p>
        </w:tc>
        <w:tc>
          <w:tcPr>
            <w:tcW w:w="1094" w:type="dxa"/>
            <w:tcBorders>
              <w:top w:val="nil"/>
              <w:left w:val="nil"/>
              <w:bottom w:val="nil"/>
              <w:right w:val="single" w:sz="4" w:space="0" w:color="auto"/>
            </w:tcBorders>
            <w:shd w:val="clear" w:color="auto" w:fill="auto"/>
            <w:noWrap/>
            <w:vAlign w:val="center"/>
            <w:hideMark/>
          </w:tcPr>
          <w:p w14:paraId="3819ACBB" w14:textId="77777777" w:rsidR="00C60F63" w:rsidRPr="00F1135A" w:rsidRDefault="00C60F63" w:rsidP="00C60F63">
            <w:pPr>
              <w:jc w:val="center"/>
              <w:rPr>
                <w:color w:val="000000"/>
                <w:sz w:val="20"/>
                <w:szCs w:val="20"/>
              </w:rPr>
            </w:pPr>
            <w:r w:rsidRPr="00F1135A">
              <w:rPr>
                <w:color w:val="000000"/>
                <w:sz w:val="20"/>
                <w:szCs w:val="20"/>
              </w:rPr>
              <w:t>930</w:t>
            </w:r>
          </w:p>
        </w:tc>
        <w:tc>
          <w:tcPr>
            <w:tcW w:w="1060" w:type="dxa"/>
            <w:tcBorders>
              <w:top w:val="nil"/>
              <w:left w:val="nil"/>
              <w:bottom w:val="nil"/>
              <w:right w:val="single" w:sz="4" w:space="0" w:color="auto"/>
            </w:tcBorders>
            <w:shd w:val="clear" w:color="auto" w:fill="auto"/>
            <w:noWrap/>
            <w:vAlign w:val="center"/>
            <w:hideMark/>
          </w:tcPr>
          <w:p w14:paraId="4C04569A" w14:textId="77777777" w:rsidR="00C60F63" w:rsidRPr="00F1135A" w:rsidRDefault="00C60F63" w:rsidP="00C60F63">
            <w:pPr>
              <w:pStyle w:val="TableText"/>
              <w:jc w:val="center"/>
              <w:rPr>
                <w:color w:val="000000"/>
                <w:sz w:val="20"/>
              </w:rPr>
            </w:pPr>
            <w:r w:rsidRPr="00F1135A">
              <w:rPr>
                <w:color w:val="000000"/>
                <w:sz w:val="20"/>
              </w:rPr>
              <w:t>45/60</w:t>
            </w:r>
          </w:p>
        </w:tc>
        <w:tc>
          <w:tcPr>
            <w:tcW w:w="1140" w:type="dxa"/>
            <w:tcBorders>
              <w:top w:val="nil"/>
              <w:left w:val="nil"/>
              <w:bottom w:val="single" w:sz="4" w:space="0" w:color="auto"/>
              <w:right w:val="single" w:sz="4" w:space="0" w:color="auto"/>
            </w:tcBorders>
            <w:shd w:val="clear" w:color="auto" w:fill="auto"/>
            <w:noWrap/>
            <w:vAlign w:val="center"/>
            <w:hideMark/>
          </w:tcPr>
          <w:p w14:paraId="5D7B3586" w14:textId="77777777" w:rsidR="00C60F63" w:rsidRPr="00F1135A" w:rsidRDefault="00C60F63" w:rsidP="00C60F63">
            <w:pPr>
              <w:jc w:val="center"/>
              <w:rPr>
                <w:color w:val="000000"/>
                <w:sz w:val="20"/>
                <w:szCs w:val="20"/>
              </w:rPr>
            </w:pPr>
            <w:r w:rsidRPr="00F1135A">
              <w:rPr>
                <w:color w:val="000000"/>
                <w:sz w:val="20"/>
                <w:szCs w:val="20"/>
              </w:rPr>
              <w:t>698</w:t>
            </w:r>
          </w:p>
        </w:tc>
      </w:tr>
      <w:tr w:rsidR="00C60F63" w:rsidRPr="00F1135A" w14:paraId="12894D84" w14:textId="77777777" w:rsidTr="00C60F63">
        <w:trPr>
          <w:trHeight w:val="510"/>
        </w:trPr>
        <w:tc>
          <w:tcPr>
            <w:tcW w:w="1306" w:type="dxa"/>
            <w:tcBorders>
              <w:left w:val="single" w:sz="4" w:space="0" w:color="auto"/>
              <w:right w:val="single" w:sz="4" w:space="0" w:color="auto"/>
            </w:tcBorders>
          </w:tcPr>
          <w:p w14:paraId="4296187A" w14:textId="77777777" w:rsidR="00C60F63" w:rsidRPr="00F1135A" w:rsidRDefault="00C60F63" w:rsidP="00C60F63">
            <w:pPr>
              <w:jc w:val="center"/>
              <w:rPr>
                <w:color w:val="000000"/>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D8E3" w14:textId="77777777" w:rsidR="00C60F63" w:rsidRPr="00F1135A" w:rsidRDefault="00C60F63" w:rsidP="00C60F63">
            <w:pPr>
              <w:pStyle w:val="TableText"/>
              <w:rPr>
                <w:rFonts w:eastAsiaTheme="minorHAnsi"/>
                <w:b/>
                <w:bCs/>
                <w:color w:val="000000"/>
                <w:sz w:val="20"/>
              </w:rPr>
            </w:pPr>
            <w:r w:rsidRPr="00F1135A">
              <w:rPr>
                <w:color w:val="000000"/>
                <w:sz w:val="20"/>
              </w:rPr>
              <w:t>Client Questionnaire 24-Month Follow-up (Att. 6)</w:t>
            </w:r>
          </w:p>
        </w:tc>
        <w:tc>
          <w:tcPr>
            <w:tcW w:w="1306" w:type="dxa"/>
            <w:tcBorders>
              <w:top w:val="single" w:sz="4" w:space="0" w:color="auto"/>
              <w:left w:val="nil"/>
              <w:bottom w:val="nil"/>
              <w:right w:val="single" w:sz="4" w:space="0" w:color="auto"/>
            </w:tcBorders>
            <w:vAlign w:val="center"/>
          </w:tcPr>
          <w:p w14:paraId="13CE4AC5" w14:textId="77777777" w:rsidR="00C60F63" w:rsidRPr="00F1135A" w:rsidRDefault="00C60F63" w:rsidP="00C60F63">
            <w:pPr>
              <w:jc w:val="center"/>
              <w:rPr>
                <w:color w:val="000000"/>
                <w:sz w:val="20"/>
                <w:szCs w:val="20"/>
              </w:rPr>
            </w:pPr>
            <w:r w:rsidRPr="00F1135A">
              <w:rPr>
                <w:color w:val="000000"/>
                <w:sz w:val="20"/>
                <w:szCs w:val="20"/>
              </w:rPr>
              <w:t>744</w:t>
            </w:r>
          </w:p>
        </w:tc>
        <w:tc>
          <w:tcPr>
            <w:tcW w:w="1228" w:type="dxa"/>
            <w:tcBorders>
              <w:top w:val="single" w:sz="4" w:space="0" w:color="auto"/>
              <w:left w:val="single" w:sz="4" w:space="0" w:color="auto"/>
              <w:bottom w:val="nil"/>
              <w:right w:val="single" w:sz="4" w:space="0" w:color="auto"/>
            </w:tcBorders>
            <w:shd w:val="clear" w:color="auto" w:fill="auto"/>
            <w:noWrap/>
            <w:vAlign w:val="center"/>
            <w:hideMark/>
          </w:tcPr>
          <w:p w14:paraId="6C1713EC" w14:textId="77777777" w:rsidR="00C60F63" w:rsidRPr="00F1135A" w:rsidRDefault="00C60F63" w:rsidP="00C60F63">
            <w:pPr>
              <w:jc w:val="center"/>
              <w:rPr>
                <w:color w:val="000000"/>
                <w:sz w:val="20"/>
                <w:szCs w:val="20"/>
              </w:rPr>
            </w:pPr>
            <w:r w:rsidRPr="00F1135A">
              <w:rPr>
                <w:color w:val="000000"/>
                <w:sz w:val="20"/>
                <w:szCs w:val="20"/>
              </w:rPr>
              <w:t>1</w:t>
            </w:r>
          </w:p>
        </w:tc>
        <w:tc>
          <w:tcPr>
            <w:tcW w:w="1094" w:type="dxa"/>
            <w:tcBorders>
              <w:top w:val="single" w:sz="4" w:space="0" w:color="auto"/>
              <w:left w:val="nil"/>
              <w:bottom w:val="nil"/>
              <w:right w:val="single" w:sz="4" w:space="0" w:color="auto"/>
            </w:tcBorders>
            <w:shd w:val="clear" w:color="auto" w:fill="auto"/>
            <w:noWrap/>
            <w:vAlign w:val="center"/>
            <w:hideMark/>
          </w:tcPr>
          <w:p w14:paraId="4C6432F4" w14:textId="77777777" w:rsidR="00C60F63" w:rsidRPr="00F1135A" w:rsidRDefault="00C60F63" w:rsidP="00C60F63">
            <w:pPr>
              <w:jc w:val="center"/>
              <w:rPr>
                <w:color w:val="000000"/>
                <w:sz w:val="20"/>
                <w:szCs w:val="20"/>
              </w:rPr>
            </w:pPr>
            <w:r w:rsidRPr="00F1135A">
              <w:rPr>
                <w:color w:val="000000"/>
                <w:sz w:val="20"/>
                <w:szCs w:val="20"/>
              </w:rPr>
              <w:t>744</w:t>
            </w:r>
          </w:p>
        </w:tc>
        <w:tc>
          <w:tcPr>
            <w:tcW w:w="1060" w:type="dxa"/>
            <w:tcBorders>
              <w:top w:val="single" w:sz="4" w:space="0" w:color="auto"/>
              <w:left w:val="nil"/>
              <w:bottom w:val="nil"/>
              <w:right w:val="single" w:sz="4" w:space="0" w:color="auto"/>
            </w:tcBorders>
            <w:shd w:val="clear" w:color="auto" w:fill="auto"/>
            <w:noWrap/>
            <w:vAlign w:val="center"/>
            <w:hideMark/>
          </w:tcPr>
          <w:p w14:paraId="3B039BF9" w14:textId="77777777" w:rsidR="00C60F63" w:rsidRPr="00F1135A" w:rsidRDefault="00C60F63" w:rsidP="00C60F63">
            <w:pPr>
              <w:jc w:val="center"/>
              <w:rPr>
                <w:color w:val="000000"/>
                <w:sz w:val="20"/>
                <w:szCs w:val="20"/>
              </w:rPr>
            </w:pPr>
            <w:r w:rsidRPr="00F1135A">
              <w:rPr>
                <w:color w:val="000000"/>
                <w:sz w:val="20"/>
                <w:szCs w:val="20"/>
              </w:rPr>
              <w:t>45/60</w:t>
            </w:r>
          </w:p>
        </w:tc>
        <w:tc>
          <w:tcPr>
            <w:tcW w:w="1140" w:type="dxa"/>
            <w:tcBorders>
              <w:top w:val="nil"/>
              <w:left w:val="nil"/>
              <w:bottom w:val="single" w:sz="4" w:space="0" w:color="auto"/>
              <w:right w:val="single" w:sz="4" w:space="0" w:color="auto"/>
            </w:tcBorders>
            <w:shd w:val="clear" w:color="auto" w:fill="auto"/>
            <w:noWrap/>
            <w:vAlign w:val="center"/>
            <w:hideMark/>
          </w:tcPr>
          <w:p w14:paraId="1483776D" w14:textId="77777777" w:rsidR="00C60F63" w:rsidRPr="00F1135A" w:rsidRDefault="00C60F63" w:rsidP="00C60F63">
            <w:pPr>
              <w:jc w:val="center"/>
              <w:rPr>
                <w:color w:val="000000"/>
                <w:sz w:val="20"/>
                <w:szCs w:val="20"/>
              </w:rPr>
            </w:pPr>
            <w:r w:rsidRPr="00F1135A">
              <w:rPr>
                <w:color w:val="000000"/>
                <w:sz w:val="20"/>
                <w:szCs w:val="20"/>
              </w:rPr>
              <w:t>558</w:t>
            </w:r>
          </w:p>
        </w:tc>
      </w:tr>
      <w:tr w:rsidR="00C60F63" w:rsidRPr="00F1135A" w14:paraId="5D22B6E6" w14:textId="77777777" w:rsidTr="00C60F63">
        <w:trPr>
          <w:trHeight w:val="315"/>
        </w:trPr>
        <w:tc>
          <w:tcPr>
            <w:tcW w:w="1306" w:type="dxa"/>
            <w:tcBorders>
              <w:left w:val="single" w:sz="4" w:space="0" w:color="auto"/>
              <w:bottom w:val="double" w:sz="6" w:space="0" w:color="auto"/>
              <w:right w:val="single" w:sz="4" w:space="0" w:color="auto"/>
            </w:tcBorders>
          </w:tcPr>
          <w:p w14:paraId="386F8E48" w14:textId="77777777" w:rsidR="00C60F63" w:rsidRPr="00F1135A" w:rsidRDefault="00C60F63" w:rsidP="00C60F63">
            <w:pPr>
              <w:jc w:val="center"/>
              <w:rPr>
                <w:color w:val="000000"/>
                <w:sz w:val="20"/>
                <w:szCs w:val="20"/>
              </w:rPr>
            </w:pPr>
          </w:p>
        </w:tc>
        <w:tc>
          <w:tcPr>
            <w:tcW w:w="2115"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AB22504" w14:textId="77777777" w:rsidR="00C60F63" w:rsidRPr="00F1135A" w:rsidRDefault="00C60F63" w:rsidP="00C60F63">
            <w:pPr>
              <w:rPr>
                <w:sz w:val="20"/>
                <w:szCs w:val="20"/>
              </w:rPr>
            </w:pPr>
            <w:r>
              <w:rPr>
                <w:color w:val="000000"/>
                <w:sz w:val="20"/>
              </w:rPr>
              <w:t xml:space="preserve">Client </w:t>
            </w:r>
            <w:r w:rsidRPr="00F1135A">
              <w:rPr>
                <w:color w:val="000000"/>
                <w:sz w:val="20"/>
              </w:rPr>
              <w:t>Focus Groups (Att. 7)</w:t>
            </w:r>
          </w:p>
        </w:tc>
        <w:tc>
          <w:tcPr>
            <w:tcW w:w="1306" w:type="dxa"/>
            <w:tcBorders>
              <w:top w:val="single" w:sz="4" w:space="0" w:color="auto"/>
              <w:left w:val="single" w:sz="4" w:space="0" w:color="auto"/>
              <w:bottom w:val="double" w:sz="6" w:space="0" w:color="auto"/>
              <w:right w:val="single" w:sz="4" w:space="0" w:color="auto"/>
            </w:tcBorders>
            <w:vAlign w:val="center"/>
          </w:tcPr>
          <w:p w14:paraId="0F42E186" w14:textId="77777777" w:rsidR="00C60F63" w:rsidRPr="00F1135A" w:rsidRDefault="00C60F63" w:rsidP="00C60F63">
            <w:pPr>
              <w:jc w:val="center"/>
              <w:rPr>
                <w:color w:val="000000"/>
                <w:sz w:val="20"/>
                <w:szCs w:val="20"/>
              </w:rPr>
            </w:pPr>
            <w:r w:rsidRPr="00F1135A">
              <w:rPr>
                <w:color w:val="000000"/>
                <w:sz w:val="20"/>
                <w:szCs w:val="20"/>
              </w:rPr>
              <w:t>27</w:t>
            </w:r>
          </w:p>
        </w:tc>
        <w:tc>
          <w:tcPr>
            <w:tcW w:w="122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3D287B5" w14:textId="77777777" w:rsidR="00C60F63" w:rsidRPr="00F1135A" w:rsidRDefault="00C60F63" w:rsidP="00C60F63">
            <w:pPr>
              <w:jc w:val="center"/>
              <w:rPr>
                <w:color w:val="000000"/>
                <w:sz w:val="20"/>
                <w:szCs w:val="20"/>
              </w:rPr>
            </w:pPr>
            <w:r w:rsidRPr="00F1135A">
              <w:rPr>
                <w:color w:val="000000"/>
                <w:sz w:val="20"/>
                <w:szCs w:val="20"/>
              </w:rPr>
              <w:t>1</w:t>
            </w:r>
          </w:p>
        </w:tc>
        <w:tc>
          <w:tcPr>
            <w:tcW w:w="1094" w:type="dxa"/>
            <w:tcBorders>
              <w:top w:val="single" w:sz="4" w:space="0" w:color="auto"/>
              <w:left w:val="nil"/>
              <w:bottom w:val="double" w:sz="6" w:space="0" w:color="auto"/>
              <w:right w:val="single" w:sz="4" w:space="0" w:color="auto"/>
            </w:tcBorders>
            <w:shd w:val="clear" w:color="auto" w:fill="auto"/>
            <w:noWrap/>
            <w:vAlign w:val="center"/>
            <w:hideMark/>
          </w:tcPr>
          <w:p w14:paraId="0EACDCCF" w14:textId="77777777" w:rsidR="00C60F63" w:rsidRPr="00F1135A" w:rsidRDefault="00C60F63" w:rsidP="00C60F63">
            <w:pPr>
              <w:jc w:val="center"/>
              <w:rPr>
                <w:color w:val="000000"/>
                <w:sz w:val="20"/>
                <w:szCs w:val="20"/>
              </w:rPr>
            </w:pPr>
            <w:r w:rsidRPr="00F1135A">
              <w:rPr>
                <w:color w:val="000000"/>
                <w:sz w:val="20"/>
                <w:szCs w:val="20"/>
              </w:rPr>
              <w:t>27</w:t>
            </w:r>
          </w:p>
        </w:tc>
        <w:tc>
          <w:tcPr>
            <w:tcW w:w="1060" w:type="dxa"/>
            <w:tcBorders>
              <w:top w:val="single" w:sz="4" w:space="0" w:color="auto"/>
              <w:left w:val="nil"/>
              <w:bottom w:val="double" w:sz="6" w:space="0" w:color="auto"/>
              <w:right w:val="single" w:sz="4" w:space="0" w:color="auto"/>
            </w:tcBorders>
            <w:shd w:val="clear" w:color="auto" w:fill="auto"/>
            <w:noWrap/>
            <w:vAlign w:val="center"/>
            <w:hideMark/>
          </w:tcPr>
          <w:p w14:paraId="189FB191" w14:textId="77777777" w:rsidR="00C60F63" w:rsidRPr="00F1135A" w:rsidRDefault="00C60F63" w:rsidP="00C60F63">
            <w:pPr>
              <w:pStyle w:val="TableText"/>
              <w:jc w:val="center"/>
              <w:rPr>
                <w:sz w:val="20"/>
              </w:rPr>
            </w:pPr>
            <w:r w:rsidRPr="00F1135A">
              <w:rPr>
                <w:color w:val="000000"/>
                <w:sz w:val="20"/>
              </w:rPr>
              <w:t>90/60</w:t>
            </w:r>
          </w:p>
        </w:tc>
        <w:tc>
          <w:tcPr>
            <w:tcW w:w="1140" w:type="dxa"/>
            <w:tcBorders>
              <w:top w:val="nil"/>
              <w:left w:val="nil"/>
              <w:bottom w:val="double" w:sz="6" w:space="0" w:color="auto"/>
              <w:right w:val="single" w:sz="4" w:space="0" w:color="auto"/>
            </w:tcBorders>
            <w:shd w:val="clear" w:color="auto" w:fill="auto"/>
            <w:noWrap/>
            <w:vAlign w:val="center"/>
            <w:hideMark/>
          </w:tcPr>
          <w:p w14:paraId="416BBC47" w14:textId="77777777" w:rsidR="00C60F63" w:rsidRPr="00F1135A" w:rsidRDefault="00C60F63" w:rsidP="00C60F63">
            <w:pPr>
              <w:jc w:val="center"/>
              <w:rPr>
                <w:color w:val="000000"/>
                <w:sz w:val="20"/>
                <w:szCs w:val="20"/>
              </w:rPr>
            </w:pPr>
            <w:r w:rsidRPr="00F1135A">
              <w:rPr>
                <w:color w:val="000000"/>
                <w:sz w:val="20"/>
                <w:szCs w:val="20"/>
              </w:rPr>
              <w:t>41</w:t>
            </w:r>
          </w:p>
        </w:tc>
      </w:tr>
      <w:tr w:rsidR="00C60F63" w:rsidRPr="00F1135A" w14:paraId="47A5D9DA" w14:textId="77777777" w:rsidTr="00C60F63">
        <w:trPr>
          <w:trHeight w:val="330"/>
        </w:trPr>
        <w:tc>
          <w:tcPr>
            <w:tcW w:w="1306" w:type="dxa"/>
            <w:tcBorders>
              <w:top w:val="double" w:sz="6" w:space="0" w:color="auto"/>
              <w:left w:val="single" w:sz="4" w:space="0" w:color="auto"/>
              <w:bottom w:val="single" w:sz="12" w:space="0" w:color="auto"/>
              <w:right w:val="single" w:sz="4" w:space="0" w:color="auto"/>
            </w:tcBorders>
          </w:tcPr>
          <w:p w14:paraId="17CF7DDC" w14:textId="77777777" w:rsidR="00C60F63" w:rsidRPr="002F3021" w:rsidRDefault="00C60F63" w:rsidP="00C60F63">
            <w:pPr>
              <w:jc w:val="center"/>
              <w:rPr>
                <w:color w:val="000000"/>
                <w:sz w:val="20"/>
                <w:szCs w:val="20"/>
                <w:vertAlign w:val="superscript"/>
              </w:rPr>
            </w:pPr>
            <w:r>
              <w:rPr>
                <w:color w:val="000000"/>
                <w:sz w:val="20"/>
                <w:szCs w:val="20"/>
              </w:rPr>
              <w:t>Treatment facility staff</w:t>
            </w:r>
            <w:r>
              <w:rPr>
                <w:color w:val="000000"/>
                <w:sz w:val="20"/>
                <w:szCs w:val="20"/>
                <w:vertAlign w:val="superscript"/>
              </w:rPr>
              <w:t>+</w:t>
            </w:r>
          </w:p>
        </w:tc>
        <w:tc>
          <w:tcPr>
            <w:tcW w:w="2115" w:type="dxa"/>
            <w:tcBorders>
              <w:top w:val="double" w:sz="6" w:space="0" w:color="auto"/>
              <w:left w:val="single" w:sz="4" w:space="0" w:color="auto"/>
              <w:bottom w:val="single" w:sz="12" w:space="0" w:color="auto"/>
              <w:right w:val="single" w:sz="4" w:space="0" w:color="auto"/>
            </w:tcBorders>
            <w:shd w:val="clear" w:color="auto" w:fill="auto"/>
            <w:vAlign w:val="center"/>
            <w:hideMark/>
          </w:tcPr>
          <w:p w14:paraId="0E1C0E68" w14:textId="77777777" w:rsidR="00C60F63" w:rsidRPr="00F1135A" w:rsidRDefault="00C60F63" w:rsidP="00C60F63">
            <w:pPr>
              <w:pStyle w:val="TableText"/>
              <w:rPr>
                <w:sz w:val="20"/>
              </w:rPr>
            </w:pPr>
            <w:r w:rsidRPr="00F1135A">
              <w:rPr>
                <w:color w:val="000000"/>
                <w:sz w:val="20"/>
              </w:rPr>
              <w:t>Focus Groups (Att. 8)</w:t>
            </w:r>
          </w:p>
        </w:tc>
        <w:tc>
          <w:tcPr>
            <w:tcW w:w="1306" w:type="dxa"/>
            <w:tcBorders>
              <w:top w:val="double" w:sz="6" w:space="0" w:color="auto"/>
              <w:left w:val="nil"/>
              <w:bottom w:val="single" w:sz="12" w:space="0" w:color="auto"/>
              <w:right w:val="single" w:sz="4" w:space="0" w:color="auto"/>
            </w:tcBorders>
            <w:vAlign w:val="center"/>
          </w:tcPr>
          <w:p w14:paraId="65616912" w14:textId="77777777" w:rsidR="00C60F63" w:rsidRPr="00F1135A" w:rsidRDefault="00C60F63" w:rsidP="00C60F63">
            <w:pPr>
              <w:jc w:val="center"/>
              <w:rPr>
                <w:color w:val="000000"/>
                <w:sz w:val="20"/>
                <w:szCs w:val="20"/>
              </w:rPr>
            </w:pPr>
            <w:r w:rsidRPr="00F1135A">
              <w:rPr>
                <w:color w:val="000000"/>
                <w:sz w:val="20"/>
                <w:szCs w:val="20"/>
              </w:rPr>
              <w:t>27</w:t>
            </w:r>
          </w:p>
        </w:tc>
        <w:tc>
          <w:tcPr>
            <w:tcW w:w="1228" w:type="dxa"/>
            <w:tcBorders>
              <w:top w:val="double" w:sz="6" w:space="0" w:color="auto"/>
              <w:left w:val="single" w:sz="4" w:space="0" w:color="auto"/>
              <w:bottom w:val="single" w:sz="12" w:space="0" w:color="auto"/>
              <w:right w:val="single" w:sz="4" w:space="0" w:color="auto"/>
            </w:tcBorders>
            <w:shd w:val="clear" w:color="auto" w:fill="auto"/>
            <w:vAlign w:val="center"/>
            <w:hideMark/>
          </w:tcPr>
          <w:p w14:paraId="6508C7B4" w14:textId="77777777" w:rsidR="00C60F63" w:rsidRPr="00F1135A" w:rsidRDefault="00C60F63" w:rsidP="00C60F63">
            <w:pPr>
              <w:jc w:val="center"/>
              <w:rPr>
                <w:color w:val="000000"/>
                <w:sz w:val="20"/>
                <w:szCs w:val="20"/>
              </w:rPr>
            </w:pPr>
            <w:r w:rsidRPr="00F1135A">
              <w:rPr>
                <w:color w:val="000000"/>
                <w:sz w:val="20"/>
                <w:szCs w:val="20"/>
              </w:rPr>
              <w:t>1</w:t>
            </w:r>
          </w:p>
        </w:tc>
        <w:tc>
          <w:tcPr>
            <w:tcW w:w="1094" w:type="dxa"/>
            <w:tcBorders>
              <w:top w:val="double" w:sz="6" w:space="0" w:color="auto"/>
              <w:left w:val="nil"/>
              <w:bottom w:val="single" w:sz="12" w:space="0" w:color="auto"/>
              <w:right w:val="nil"/>
            </w:tcBorders>
            <w:shd w:val="clear" w:color="auto" w:fill="auto"/>
            <w:vAlign w:val="center"/>
            <w:hideMark/>
          </w:tcPr>
          <w:p w14:paraId="1CE24160" w14:textId="77777777" w:rsidR="00C60F63" w:rsidRPr="00F1135A" w:rsidRDefault="00C60F63" w:rsidP="00C60F63">
            <w:pPr>
              <w:jc w:val="center"/>
              <w:rPr>
                <w:color w:val="000000"/>
                <w:sz w:val="20"/>
                <w:szCs w:val="20"/>
              </w:rPr>
            </w:pPr>
            <w:r w:rsidRPr="00F1135A">
              <w:rPr>
                <w:color w:val="000000"/>
                <w:sz w:val="20"/>
                <w:szCs w:val="20"/>
              </w:rPr>
              <w:t>27</w:t>
            </w:r>
          </w:p>
        </w:tc>
        <w:tc>
          <w:tcPr>
            <w:tcW w:w="1060" w:type="dxa"/>
            <w:tcBorders>
              <w:top w:val="double" w:sz="6" w:space="0" w:color="auto"/>
              <w:left w:val="single" w:sz="4" w:space="0" w:color="auto"/>
              <w:bottom w:val="single" w:sz="12" w:space="0" w:color="auto"/>
              <w:right w:val="single" w:sz="4" w:space="0" w:color="auto"/>
            </w:tcBorders>
            <w:shd w:val="clear" w:color="auto" w:fill="auto"/>
            <w:vAlign w:val="center"/>
            <w:hideMark/>
          </w:tcPr>
          <w:p w14:paraId="2EF2B274" w14:textId="77777777" w:rsidR="00C60F63" w:rsidRPr="00F1135A" w:rsidRDefault="00C60F63" w:rsidP="00C60F63">
            <w:pPr>
              <w:jc w:val="center"/>
              <w:rPr>
                <w:sz w:val="20"/>
                <w:szCs w:val="20"/>
              </w:rPr>
            </w:pPr>
            <w:r w:rsidRPr="00F1135A">
              <w:rPr>
                <w:color w:val="000000"/>
                <w:sz w:val="20"/>
                <w:szCs w:val="20"/>
              </w:rPr>
              <w:t>90/60</w:t>
            </w:r>
          </w:p>
        </w:tc>
        <w:tc>
          <w:tcPr>
            <w:tcW w:w="1140" w:type="dxa"/>
            <w:tcBorders>
              <w:top w:val="double" w:sz="6" w:space="0" w:color="auto"/>
              <w:left w:val="nil"/>
              <w:bottom w:val="single" w:sz="12" w:space="0" w:color="auto"/>
              <w:right w:val="single" w:sz="4" w:space="0" w:color="auto"/>
            </w:tcBorders>
            <w:shd w:val="clear" w:color="auto" w:fill="auto"/>
            <w:vAlign w:val="center"/>
            <w:hideMark/>
          </w:tcPr>
          <w:p w14:paraId="2FB4D6EC" w14:textId="77777777" w:rsidR="00C60F63" w:rsidRPr="00F1135A" w:rsidRDefault="00C60F63" w:rsidP="00C60F63">
            <w:pPr>
              <w:jc w:val="center"/>
              <w:rPr>
                <w:color w:val="000000"/>
                <w:sz w:val="20"/>
                <w:szCs w:val="20"/>
              </w:rPr>
            </w:pPr>
            <w:r w:rsidRPr="00F1135A">
              <w:rPr>
                <w:color w:val="000000"/>
                <w:sz w:val="20"/>
                <w:szCs w:val="20"/>
              </w:rPr>
              <w:t>41</w:t>
            </w:r>
          </w:p>
        </w:tc>
      </w:tr>
      <w:tr w:rsidR="00C60F63" w:rsidRPr="00F1135A" w14:paraId="7EC16CE0" w14:textId="77777777" w:rsidTr="00C60F63">
        <w:trPr>
          <w:trHeight w:val="315"/>
        </w:trPr>
        <w:tc>
          <w:tcPr>
            <w:tcW w:w="1306" w:type="dxa"/>
            <w:tcBorders>
              <w:top w:val="single" w:sz="12" w:space="0" w:color="auto"/>
              <w:left w:val="single" w:sz="4" w:space="0" w:color="auto"/>
              <w:bottom w:val="single" w:sz="4" w:space="0" w:color="auto"/>
              <w:right w:val="single" w:sz="4" w:space="0" w:color="auto"/>
            </w:tcBorders>
            <w:vAlign w:val="center"/>
          </w:tcPr>
          <w:p w14:paraId="40A349ED" w14:textId="77777777" w:rsidR="00C60F63" w:rsidRPr="00F1135A" w:rsidRDefault="00C60F63" w:rsidP="00C60F63">
            <w:pPr>
              <w:jc w:val="center"/>
              <w:rPr>
                <w:b/>
                <w:bCs/>
                <w:color w:val="000000"/>
                <w:sz w:val="20"/>
                <w:szCs w:val="20"/>
              </w:rPr>
            </w:pPr>
            <w:r w:rsidRPr="00F1135A">
              <w:rPr>
                <w:b/>
                <w:bCs/>
                <w:color w:val="000000"/>
                <w:sz w:val="20"/>
                <w:szCs w:val="20"/>
              </w:rPr>
              <w:t>Total</w:t>
            </w:r>
            <w:r>
              <w:rPr>
                <w:b/>
                <w:bCs/>
                <w:color w:val="000000"/>
                <w:sz w:val="20"/>
                <w:szCs w:val="20"/>
              </w:rPr>
              <w:t>s</w:t>
            </w:r>
          </w:p>
        </w:tc>
        <w:tc>
          <w:tcPr>
            <w:tcW w:w="2115" w:type="dxa"/>
            <w:tcBorders>
              <w:top w:val="single" w:sz="12" w:space="0" w:color="auto"/>
              <w:left w:val="single" w:sz="4" w:space="0" w:color="auto"/>
              <w:bottom w:val="single" w:sz="4" w:space="0" w:color="auto"/>
              <w:right w:val="nil"/>
            </w:tcBorders>
            <w:shd w:val="clear" w:color="auto" w:fill="auto"/>
            <w:vAlign w:val="center"/>
            <w:hideMark/>
          </w:tcPr>
          <w:p w14:paraId="5357D8BF" w14:textId="77777777" w:rsidR="00C60F63" w:rsidRPr="00F1135A" w:rsidRDefault="00C60F63" w:rsidP="00C60F63">
            <w:pPr>
              <w:jc w:val="center"/>
              <w:rPr>
                <w:b/>
                <w:bCs/>
                <w:color w:val="000000"/>
                <w:sz w:val="20"/>
                <w:szCs w:val="20"/>
              </w:rPr>
            </w:pPr>
            <w:r>
              <w:rPr>
                <w:b/>
                <w:bCs/>
                <w:color w:val="000000"/>
                <w:sz w:val="20"/>
                <w:szCs w:val="20"/>
              </w:rPr>
              <w:t>--</w:t>
            </w:r>
          </w:p>
        </w:tc>
        <w:tc>
          <w:tcPr>
            <w:tcW w:w="1306" w:type="dxa"/>
            <w:tcBorders>
              <w:top w:val="single" w:sz="12" w:space="0" w:color="auto"/>
              <w:left w:val="nil"/>
              <w:bottom w:val="single" w:sz="4" w:space="0" w:color="auto"/>
              <w:right w:val="single" w:sz="4" w:space="0" w:color="auto"/>
            </w:tcBorders>
            <w:vAlign w:val="center"/>
          </w:tcPr>
          <w:p w14:paraId="6C22F472" w14:textId="77777777" w:rsidR="00C60F63" w:rsidRDefault="00C60F63" w:rsidP="00C60F63">
            <w:pPr>
              <w:jc w:val="center"/>
              <w:rPr>
                <w:b/>
                <w:bCs/>
                <w:color w:val="000000"/>
                <w:sz w:val="20"/>
                <w:szCs w:val="20"/>
              </w:rPr>
            </w:pPr>
            <w:r>
              <w:rPr>
                <w:b/>
                <w:bCs/>
                <w:color w:val="000000"/>
                <w:sz w:val="20"/>
                <w:szCs w:val="20"/>
              </w:rPr>
              <w:t>3,270</w:t>
            </w:r>
            <w:r w:rsidRPr="002F3021">
              <w:rPr>
                <w:b/>
                <w:bCs/>
                <w:color w:val="000000"/>
                <w:sz w:val="20"/>
                <w:szCs w:val="20"/>
                <w:vertAlign w:val="superscript"/>
              </w:rPr>
              <w:t>*</w:t>
            </w:r>
          </w:p>
        </w:tc>
        <w:tc>
          <w:tcPr>
            <w:tcW w:w="122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408AA2F" w14:textId="77777777" w:rsidR="00C60F63" w:rsidRPr="00F1135A" w:rsidRDefault="00C60F63" w:rsidP="00C60F63">
            <w:pPr>
              <w:jc w:val="center"/>
              <w:rPr>
                <w:b/>
                <w:bCs/>
                <w:color w:val="000000"/>
                <w:sz w:val="20"/>
                <w:szCs w:val="20"/>
              </w:rPr>
            </w:pPr>
            <w:r>
              <w:rPr>
                <w:b/>
                <w:bCs/>
                <w:color w:val="000000"/>
                <w:sz w:val="20"/>
                <w:szCs w:val="20"/>
              </w:rPr>
              <w:t>--</w:t>
            </w:r>
          </w:p>
        </w:tc>
        <w:tc>
          <w:tcPr>
            <w:tcW w:w="1094" w:type="dxa"/>
            <w:tcBorders>
              <w:top w:val="single" w:sz="12" w:space="0" w:color="auto"/>
              <w:left w:val="nil"/>
              <w:bottom w:val="single" w:sz="4" w:space="0" w:color="auto"/>
              <w:right w:val="single" w:sz="4" w:space="0" w:color="auto"/>
            </w:tcBorders>
            <w:shd w:val="clear" w:color="auto" w:fill="auto"/>
            <w:noWrap/>
            <w:vAlign w:val="center"/>
            <w:hideMark/>
          </w:tcPr>
          <w:p w14:paraId="2B758ECA" w14:textId="77777777" w:rsidR="00C60F63" w:rsidRPr="00F1135A" w:rsidRDefault="00C60F63" w:rsidP="00C60F63">
            <w:pPr>
              <w:jc w:val="center"/>
              <w:rPr>
                <w:b/>
                <w:bCs/>
                <w:color w:val="000000"/>
                <w:sz w:val="20"/>
                <w:szCs w:val="20"/>
              </w:rPr>
            </w:pPr>
            <w:r>
              <w:rPr>
                <w:b/>
                <w:bCs/>
                <w:color w:val="000000"/>
                <w:sz w:val="20"/>
                <w:szCs w:val="20"/>
              </w:rPr>
              <w:t>6,390</w:t>
            </w:r>
          </w:p>
        </w:tc>
        <w:tc>
          <w:tcPr>
            <w:tcW w:w="1060" w:type="dxa"/>
            <w:tcBorders>
              <w:top w:val="single" w:sz="12" w:space="0" w:color="auto"/>
              <w:left w:val="nil"/>
              <w:bottom w:val="single" w:sz="4" w:space="0" w:color="auto"/>
              <w:right w:val="single" w:sz="4" w:space="0" w:color="auto"/>
            </w:tcBorders>
            <w:shd w:val="clear" w:color="auto" w:fill="auto"/>
            <w:noWrap/>
            <w:vAlign w:val="center"/>
            <w:hideMark/>
          </w:tcPr>
          <w:p w14:paraId="57F39A52" w14:textId="77777777" w:rsidR="00C60F63" w:rsidRPr="00F1135A" w:rsidRDefault="00C60F63" w:rsidP="00C60F63">
            <w:pPr>
              <w:jc w:val="center"/>
              <w:rPr>
                <w:b/>
                <w:bCs/>
                <w:color w:val="000000"/>
                <w:sz w:val="20"/>
                <w:szCs w:val="20"/>
              </w:rPr>
            </w:pPr>
            <w:r>
              <w:rPr>
                <w:b/>
                <w:bCs/>
                <w:color w:val="000000"/>
                <w:sz w:val="20"/>
                <w:szCs w:val="20"/>
              </w:rPr>
              <w:t>--</w:t>
            </w:r>
          </w:p>
        </w:tc>
        <w:tc>
          <w:tcPr>
            <w:tcW w:w="1140" w:type="dxa"/>
            <w:tcBorders>
              <w:top w:val="single" w:sz="12" w:space="0" w:color="auto"/>
              <w:left w:val="nil"/>
              <w:bottom w:val="single" w:sz="4" w:space="0" w:color="auto"/>
              <w:right w:val="single" w:sz="4" w:space="0" w:color="auto"/>
            </w:tcBorders>
            <w:shd w:val="clear" w:color="auto" w:fill="auto"/>
            <w:noWrap/>
            <w:vAlign w:val="center"/>
            <w:hideMark/>
          </w:tcPr>
          <w:p w14:paraId="37742BCF" w14:textId="77777777" w:rsidR="00C60F63" w:rsidRPr="00F1135A" w:rsidRDefault="00C60F63" w:rsidP="00C60F63">
            <w:pPr>
              <w:jc w:val="center"/>
              <w:rPr>
                <w:b/>
                <w:bCs/>
                <w:color w:val="000000"/>
                <w:sz w:val="20"/>
                <w:szCs w:val="20"/>
              </w:rPr>
            </w:pPr>
            <w:r>
              <w:rPr>
                <w:b/>
                <w:bCs/>
                <w:color w:val="000000"/>
                <w:sz w:val="20"/>
                <w:szCs w:val="20"/>
              </w:rPr>
              <w:t>2,972</w:t>
            </w:r>
          </w:p>
        </w:tc>
      </w:tr>
    </w:tbl>
    <w:p w14:paraId="3FEAD45E" w14:textId="77777777" w:rsidR="00AA77C7" w:rsidRPr="00067285" w:rsidRDefault="00AA77C7" w:rsidP="00AA77C7">
      <w:pPr>
        <w:rPr>
          <w:sz w:val="20"/>
          <w:szCs w:val="20"/>
        </w:rPr>
      </w:pPr>
      <w:r w:rsidRPr="00067285">
        <w:rPr>
          <w:sz w:val="20"/>
          <w:szCs w:val="20"/>
          <w:vertAlign w:val="superscript"/>
        </w:rPr>
        <w:t>+</w:t>
      </w:r>
      <w:r w:rsidRPr="00067285">
        <w:rPr>
          <w:sz w:val="20"/>
          <w:szCs w:val="20"/>
        </w:rPr>
        <w:t xml:space="preserve"> Treatment facility staff includes administrators, clinicians, doctors, nurses, and counselors.</w:t>
      </w:r>
      <w:r w:rsidR="00B205E2">
        <w:rPr>
          <w:sz w:val="20"/>
          <w:szCs w:val="20"/>
        </w:rPr>
        <w:t xml:space="preserve"> </w:t>
      </w:r>
    </w:p>
    <w:p w14:paraId="2EE1E5FA" w14:textId="14F40845" w:rsidR="0038360E" w:rsidRPr="00B205E2" w:rsidRDefault="00AA77C7" w:rsidP="00AA77C7">
      <w:pPr>
        <w:rPr>
          <w:sz w:val="20"/>
          <w:szCs w:val="20"/>
        </w:rPr>
      </w:pPr>
      <w:r w:rsidRPr="00067285">
        <w:rPr>
          <w:sz w:val="20"/>
          <w:szCs w:val="20"/>
        </w:rPr>
        <w:t xml:space="preserve">*Number of respondent total is the average unduplicated number of respondents per year. For </w:t>
      </w:r>
      <w:r w:rsidR="00CC4E13">
        <w:rPr>
          <w:sz w:val="20"/>
          <w:szCs w:val="20"/>
        </w:rPr>
        <w:t>patients</w:t>
      </w:r>
      <w:r w:rsidRPr="00113D18">
        <w:rPr>
          <w:sz w:val="20"/>
          <w:szCs w:val="20"/>
        </w:rPr>
        <w:t xml:space="preserve">, </w:t>
      </w:r>
      <w:r w:rsidR="005A44BF" w:rsidRPr="00113D18">
        <w:rPr>
          <w:sz w:val="20"/>
          <w:szCs w:val="20"/>
        </w:rPr>
        <w:t>4,</w:t>
      </w:r>
      <w:r w:rsidR="004C6F9A" w:rsidRPr="00113D18">
        <w:rPr>
          <w:sz w:val="20"/>
          <w:szCs w:val="20"/>
        </w:rPr>
        <w:t>7</w:t>
      </w:r>
      <w:r w:rsidR="004C6F9A">
        <w:rPr>
          <w:sz w:val="20"/>
          <w:szCs w:val="20"/>
        </w:rPr>
        <w:t xml:space="preserve">32 </w:t>
      </w:r>
      <w:r w:rsidR="004C6F9A" w:rsidRPr="00113D18">
        <w:rPr>
          <w:sz w:val="20"/>
          <w:szCs w:val="20"/>
        </w:rPr>
        <w:t>are</w:t>
      </w:r>
      <w:r w:rsidR="004C6F9A" w:rsidRPr="00B205E2">
        <w:rPr>
          <w:sz w:val="20"/>
          <w:szCs w:val="20"/>
        </w:rPr>
        <w:t xml:space="preserve"> </w:t>
      </w:r>
      <w:r w:rsidRPr="00B205E2">
        <w:rPr>
          <w:sz w:val="20"/>
          <w:szCs w:val="20"/>
        </w:rPr>
        <w:t xml:space="preserve">expected to respond in year 1, 2,818 in year 2, and 2,260 in year 3. Each year, 27 treatment facility staff are also </w:t>
      </w:r>
    </w:p>
    <w:p w14:paraId="2B407AC4" w14:textId="3DD43969" w:rsidR="00AA77C7" w:rsidRDefault="00AA77C7" w:rsidP="00AA77C7">
      <w:pPr>
        <w:rPr>
          <w:sz w:val="20"/>
          <w:szCs w:val="20"/>
        </w:rPr>
      </w:pPr>
      <w:r w:rsidRPr="00B205E2">
        <w:rPr>
          <w:sz w:val="20"/>
          <w:szCs w:val="20"/>
        </w:rPr>
        <w:t>expected to respond. On average, 3,</w:t>
      </w:r>
      <w:r w:rsidR="004C6F9A">
        <w:rPr>
          <w:sz w:val="20"/>
          <w:szCs w:val="20"/>
        </w:rPr>
        <w:t>270</w:t>
      </w:r>
      <w:r w:rsidR="004C6F9A" w:rsidRPr="00B205E2">
        <w:rPr>
          <w:sz w:val="20"/>
          <w:szCs w:val="20"/>
        </w:rPr>
        <w:t xml:space="preserve"> </w:t>
      </w:r>
      <w:r w:rsidRPr="00B205E2">
        <w:rPr>
          <w:sz w:val="20"/>
          <w:szCs w:val="20"/>
        </w:rPr>
        <w:t>respondents are expected each year. Our calculations are as follows: [(4,7</w:t>
      </w:r>
      <w:r w:rsidR="004C6F9A">
        <w:rPr>
          <w:sz w:val="20"/>
          <w:szCs w:val="20"/>
        </w:rPr>
        <w:t>32</w:t>
      </w:r>
      <w:r w:rsidRPr="00B205E2">
        <w:rPr>
          <w:sz w:val="20"/>
          <w:szCs w:val="20"/>
        </w:rPr>
        <w:t>+2,818+2,260) + (27x3)]/3 = 3,</w:t>
      </w:r>
      <w:r w:rsidR="004C6F9A">
        <w:rPr>
          <w:sz w:val="20"/>
          <w:szCs w:val="20"/>
        </w:rPr>
        <w:t>270</w:t>
      </w:r>
      <w:r w:rsidRPr="00B205E2">
        <w:rPr>
          <w:sz w:val="20"/>
          <w:szCs w:val="20"/>
        </w:rPr>
        <w:t xml:space="preserve"> respondents per year. </w:t>
      </w:r>
    </w:p>
    <w:p w14:paraId="63B28DF6" w14:textId="77777777" w:rsidR="00B205E2" w:rsidRPr="00067285" w:rsidRDefault="00B205E2" w:rsidP="00AA77C7">
      <w:pPr>
        <w:rPr>
          <w:sz w:val="20"/>
          <w:szCs w:val="20"/>
        </w:rPr>
      </w:pPr>
    </w:p>
    <w:p w14:paraId="53FD11A0" w14:textId="77777777" w:rsidR="007D2A22" w:rsidRPr="009B1505" w:rsidRDefault="007D2A22" w:rsidP="007D2A22">
      <w:pPr>
        <w:pStyle w:val="Heading3"/>
        <w:rPr>
          <w:lang w:val="en-US"/>
        </w:rPr>
      </w:pPr>
      <w:bookmarkStart w:id="59" w:name="_Toc275433775"/>
      <w:bookmarkStart w:id="60" w:name="_Toc474237987"/>
      <w:bookmarkStart w:id="61" w:name="_Toc497134508"/>
      <w:bookmarkEnd w:id="56"/>
      <w:bookmarkEnd w:id="57"/>
      <w:bookmarkEnd w:id="58"/>
      <w:r w:rsidRPr="009B1505">
        <w:rPr>
          <w:lang w:val="en-US"/>
        </w:rPr>
        <w:t>A.12.2</w:t>
      </w:r>
      <w:r w:rsidRPr="009B1505">
        <w:rPr>
          <w:lang w:val="en-US"/>
        </w:rPr>
        <w:tab/>
        <w:t>Estimated Annualized Cost to Respondents</w:t>
      </w:r>
      <w:bookmarkEnd w:id="59"/>
      <w:bookmarkEnd w:id="60"/>
      <w:bookmarkEnd w:id="61"/>
    </w:p>
    <w:p w14:paraId="2E99F93F" w14:textId="77777777" w:rsidR="0069239C" w:rsidRPr="009B1505" w:rsidRDefault="007D2A22" w:rsidP="007D2A22">
      <w:pPr>
        <w:pStyle w:val="BodyText1"/>
      </w:pPr>
      <w:r w:rsidRPr="009B1505">
        <w:t>Costs are estimated using Bureau of Labor Statistics mean hourly wages for substance abuse and mental health counselors</w:t>
      </w:r>
      <w:r w:rsidR="00F20F67">
        <w:t>, physicians</w:t>
      </w:r>
      <w:r w:rsidR="00CD7301">
        <w:t xml:space="preserve"> and</w:t>
      </w:r>
      <w:r w:rsidRPr="009B1505">
        <w:t xml:space="preserve"> social service managers and the federal minimum wage. These</w:t>
      </w:r>
      <w:r w:rsidR="00625E80" w:rsidRPr="009B1505">
        <w:t xml:space="preserve"> </w:t>
      </w:r>
      <w:r w:rsidR="0069239C">
        <w:t>hourly wages</w:t>
      </w:r>
      <w:r w:rsidR="00625E80" w:rsidRPr="009B1505">
        <w:t xml:space="preserve"> are presented in </w:t>
      </w:r>
      <w:r w:rsidR="00625E80" w:rsidRPr="0041000F">
        <w:rPr>
          <w:b/>
          <w:i/>
        </w:rPr>
        <w:t>Exhibit 6</w:t>
      </w:r>
      <w:r w:rsidR="0043485B">
        <w:t>,</w:t>
      </w:r>
      <w:r w:rsidR="0069239C">
        <w:t xml:space="preserve"> along with the annualized costs to respondents. </w:t>
      </w:r>
    </w:p>
    <w:p w14:paraId="63FBC2B9" w14:textId="77777777" w:rsidR="007D2A22" w:rsidRPr="009B1505" w:rsidRDefault="007D2A22" w:rsidP="000A76BA">
      <w:pPr>
        <w:pStyle w:val="ExhibitTitle"/>
      </w:pPr>
      <w:bookmarkStart w:id="62" w:name="_Toc179173311"/>
      <w:bookmarkStart w:id="63" w:name="_Toc275433792"/>
      <w:bookmarkStart w:id="64" w:name="_Toc307224725"/>
      <w:bookmarkStart w:id="65" w:name="_Toc474759138"/>
      <w:r w:rsidRPr="009B1505">
        <w:t xml:space="preserve">Exhibit </w:t>
      </w:r>
      <w:r w:rsidR="00625E80" w:rsidRPr="009B1505">
        <w:t>6</w:t>
      </w:r>
      <w:r w:rsidRPr="009B1505">
        <w:t>.</w:t>
      </w:r>
      <w:r w:rsidRPr="009B1505">
        <w:tab/>
        <w:t>Estimated Annualized Cost to Respondents</w:t>
      </w:r>
      <w:bookmarkEnd w:id="62"/>
      <w:bookmarkEnd w:id="63"/>
      <w:bookmarkEnd w:id="64"/>
      <w:bookmarkEnd w:id="65"/>
    </w:p>
    <w:tbl>
      <w:tblPr>
        <w:tblW w:w="0" w:type="auto"/>
        <w:tblBorders>
          <w:top w:val="single" w:sz="12" w:space="0" w:color="auto"/>
          <w:bottom w:val="single" w:sz="12" w:space="0" w:color="auto"/>
        </w:tblBorders>
        <w:tblLayout w:type="fixed"/>
        <w:tblCellMar>
          <w:left w:w="58" w:type="dxa"/>
          <w:right w:w="58" w:type="dxa"/>
        </w:tblCellMar>
        <w:tblLook w:val="04A0" w:firstRow="1" w:lastRow="0" w:firstColumn="1" w:lastColumn="0" w:noHBand="0" w:noVBand="1"/>
      </w:tblPr>
      <w:tblGrid>
        <w:gridCol w:w="1260"/>
        <w:gridCol w:w="1813"/>
        <w:gridCol w:w="1143"/>
        <w:gridCol w:w="1614"/>
        <w:gridCol w:w="2283"/>
      </w:tblGrid>
      <w:tr w:rsidR="004E7F4A" w:rsidRPr="009B1505" w14:paraId="0A0FE797" w14:textId="77777777" w:rsidTr="00EE621D">
        <w:trPr>
          <w:cantSplit/>
          <w:tblHeader/>
        </w:trPr>
        <w:tc>
          <w:tcPr>
            <w:tcW w:w="1260" w:type="dxa"/>
            <w:tcBorders>
              <w:top w:val="single" w:sz="12" w:space="0" w:color="auto"/>
              <w:bottom w:val="single" w:sz="6" w:space="0" w:color="auto"/>
            </w:tcBorders>
            <w:vAlign w:val="center"/>
          </w:tcPr>
          <w:p w14:paraId="4C6A0F12" w14:textId="77777777" w:rsidR="004E7F4A" w:rsidRPr="00990924" w:rsidRDefault="004E7F4A" w:rsidP="00990924">
            <w:pPr>
              <w:pStyle w:val="TableHeaders"/>
              <w:keepNext/>
              <w:rPr>
                <w:sz w:val="20"/>
              </w:rPr>
            </w:pPr>
            <w:r w:rsidRPr="00990924">
              <w:rPr>
                <w:sz w:val="20"/>
              </w:rPr>
              <w:t>Respondent</w:t>
            </w:r>
          </w:p>
        </w:tc>
        <w:tc>
          <w:tcPr>
            <w:tcW w:w="1813" w:type="dxa"/>
            <w:tcBorders>
              <w:top w:val="single" w:sz="12" w:space="0" w:color="auto"/>
              <w:bottom w:val="single" w:sz="6" w:space="0" w:color="auto"/>
            </w:tcBorders>
            <w:vAlign w:val="bottom"/>
          </w:tcPr>
          <w:p w14:paraId="1BD0F38B" w14:textId="77777777" w:rsidR="004E7F4A" w:rsidRPr="00990924" w:rsidRDefault="004E7F4A" w:rsidP="00990924">
            <w:pPr>
              <w:pStyle w:val="TableHeaders"/>
              <w:keepNext/>
              <w:rPr>
                <w:sz w:val="20"/>
              </w:rPr>
            </w:pPr>
            <w:r w:rsidRPr="00990924">
              <w:rPr>
                <w:sz w:val="20"/>
              </w:rPr>
              <w:t>Instrument</w:t>
            </w:r>
          </w:p>
        </w:tc>
        <w:tc>
          <w:tcPr>
            <w:tcW w:w="1143" w:type="dxa"/>
            <w:tcBorders>
              <w:top w:val="single" w:sz="12" w:space="0" w:color="auto"/>
              <w:bottom w:val="single" w:sz="6" w:space="0" w:color="auto"/>
            </w:tcBorders>
            <w:vAlign w:val="center"/>
          </w:tcPr>
          <w:p w14:paraId="3A1BD258" w14:textId="77777777" w:rsidR="004E7F4A" w:rsidRPr="00990924" w:rsidRDefault="004E7F4A" w:rsidP="00990924">
            <w:pPr>
              <w:pStyle w:val="TableHeaders"/>
              <w:rPr>
                <w:sz w:val="20"/>
              </w:rPr>
            </w:pPr>
            <w:r w:rsidRPr="00990924">
              <w:rPr>
                <w:sz w:val="20"/>
              </w:rPr>
              <w:t>Total Burden Hours</w:t>
            </w:r>
          </w:p>
        </w:tc>
        <w:tc>
          <w:tcPr>
            <w:tcW w:w="1614" w:type="dxa"/>
            <w:tcBorders>
              <w:top w:val="single" w:sz="12" w:space="0" w:color="auto"/>
              <w:bottom w:val="single" w:sz="6" w:space="0" w:color="auto"/>
            </w:tcBorders>
            <w:vAlign w:val="bottom"/>
          </w:tcPr>
          <w:p w14:paraId="5861524F" w14:textId="77777777" w:rsidR="004E7F4A" w:rsidRPr="00990924" w:rsidRDefault="004E7F4A" w:rsidP="00990924">
            <w:pPr>
              <w:pStyle w:val="TableHeaders"/>
              <w:keepNext/>
              <w:rPr>
                <w:sz w:val="20"/>
              </w:rPr>
            </w:pPr>
            <w:r w:rsidRPr="00990924">
              <w:rPr>
                <w:sz w:val="20"/>
              </w:rPr>
              <w:t>Average Hourly Wage</w:t>
            </w:r>
            <w:r>
              <w:rPr>
                <w:sz w:val="20"/>
              </w:rPr>
              <w:t>**</w:t>
            </w:r>
          </w:p>
        </w:tc>
        <w:tc>
          <w:tcPr>
            <w:tcW w:w="2283" w:type="dxa"/>
            <w:tcBorders>
              <w:top w:val="single" w:sz="12" w:space="0" w:color="auto"/>
              <w:bottom w:val="single" w:sz="6" w:space="0" w:color="auto"/>
            </w:tcBorders>
            <w:vAlign w:val="bottom"/>
          </w:tcPr>
          <w:p w14:paraId="289F8076" w14:textId="77777777" w:rsidR="004E7F4A" w:rsidRPr="00990924" w:rsidRDefault="004E7F4A" w:rsidP="00990924">
            <w:pPr>
              <w:pStyle w:val="TableHeaders"/>
              <w:keepNext/>
              <w:rPr>
                <w:sz w:val="20"/>
              </w:rPr>
            </w:pPr>
            <w:r w:rsidRPr="00990924">
              <w:rPr>
                <w:sz w:val="20"/>
              </w:rPr>
              <w:t>Total Respondent Cost ($)</w:t>
            </w:r>
          </w:p>
        </w:tc>
      </w:tr>
      <w:tr w:rsidR="00AA77C7" w:rsidRPr="009B1505" w14:paraId="6EAC2DA6" w14:textId="77777777" w:rsidTr="00460F29">
        <w:trPr>
          <w:cantSplit/>
        </w:trPr>
        <w:tc>
          <w:tcPr>
            <w:tcW w:w="1260" w:type="dxa"/>
            <w:vMerge w:val="restart"/>
            <w:vAlign w:val="center"/>
          </w:tcPr>
          <w:p w14:paraId="1F345297" w14:textId="4A515E35" w:rsidR="00AA77C7" w:rsidRPr="00990924" w:rsidRDefault="00217A1A" w:rsidP="00AA77C7">
            <w:pPr>
              <w:pStyle w:val="TableText"/>
              <w:jc w:val="center"/>
              <w:rPr>
                <w:sz w:val="20"/>
              </w:rPr>
            </w:pPr>
            <w:r>
              <w:rPr>
                <w:color w:val="000000"/>
                <w:sz w:val="20"/>
              </w:rPr>
              <w:t>Patient</w:t>
            </w:r>
            <w:r w:rsidRPr="00990924">
              <w:rPr>
                <w:color w:val="000000"/>
                <w:sz w:val="20"/>
              </w:rPr>
              <w:t xml:space="preserve"> </w:t>
            </w:r>
          </w:p>
        </w:tc>
        <w:tc>
          <w:tcPr>
            <w:tcW w:w="1813" w:type="dxa"/>
            <w:noWrap/>
            <w:vAlign w:val="center"/>
          </w:tcPr>
          <w:p w14:paraId="35513051" w14:textId="4AE433E2" w:rsidR="00AA77C7" w:rsidRPr="00990924" w:rsidRDefault="00217A1A" w:rsidP="00217A1A">
            <w:pPr>
              <w:pStyle w:val="TableText"/>
              <w:rPr>
                <w:sz w:val="20"/>
              </w:rPr>
            </w:pPr>
            <w:r>
              <w:rPr>
                <w:sz w:val="20"/>
              </w:rPr>
              <w:t>Patient</w:t>
            </w:r>
            <w:r w:rsidR="00AA77C7" w:rsidRPr="00990924">
              <w:rPr>
                <w:sz w:val="20"/>
              </w:rPr>
              <w:t xml:space="preserve"> Screener </w:t>
            </w:r>
          </w:p>
        </w:tc>
        <w:tc>
          <w:tcPr>
            <w:tcW w:w="1143" w:type="dxa"/>
            <w:vAlign w:val="center"/>
          </w:tcPr>
          <w:p w14:paraId="06B75584" w14:textId="77777777" w:rsidR="00AA77C7" w:rsidRPr="00990924" w:rsidRDefault="00AA77C7" w:rsidP="00AA77C7">
            <w:pPr>
              <w:pStyle w:val="TableTextDec"/>
              <w:jc w:val="center"/>
            </w:pPr>
            <w:r w:rsidRPr="00F1135A">
              <w:rPr>
                <w:rFonts w:eastAsia="Times New Roman"/>
              </w:rPr>
              <w:t>132</w:t>
            </w:r>
          </w:p>
        </w:tc>
        <w:tc>
          <w:tcPr>
            <w:tcW w:w="1614" w:type="dxa"/>
            <w:noWrap/>
            <w:vAlign w:val="center"/>
          </w:tcPr>
          <w:p w14:paraId="4258645F" w14:textId="77777777" w:rsidR="00AA77C7" w:rsidRPr="00990924" w:rsidRDefault="00AA77C7" w:rsidP="00AA77C7">
            <w:pPr>
              <w:pStyle w:val="TableTextDec"/>
              <w:jc w:val="center"/>
            </w:pPr>
            <w:r w:rsidRPr="00990924">
              <w:t>$7.25</w:t>
            </w:r>
          </w:p>
        </w:tc>
        <w:tc>
          <w:tcPr>
            <w:tcW w:w="2283" w:type="dxa"/>
            <w:noWrap/>
            <w:vAlign w:val="center"/>
          </w:tcPr>
          <w:p w14:paraId="540F6BEC" w14:textId="77777777" w:rsidR="00AA77C7" w:rsidRPr="00990924" w:rsidRDefault="00AA77C7" w:rsidP="00AA77C7">
            <w:pPr>
              <w:pStyle w:val="TableTextDec"/>
              <w:tabs>
                <w:tab w:val="clear" w:pos="842"/>
                <w:tab w:val="decimal" w:pos="1202"/>
              </w:tabs>
              <w:jc w:val="center"/>
            </w:pPr>
            <w:r>
              <w:t>$</w:t>
            </w:r>
            <w:r w:rsidR="00064F45">
              <w:t xml:space="preserve">956 </w:t>
            </w:r>
          </w:p>
        </w:tc>
      </w:tr>
      <w:tr w:rsidR="00AA77C7" w:rsidRPr="009B1505" w14:paraId="4D908AE9" w14:textId="77777777" w:rsidTr="00460F29">
        <w:trPr>
          <w:cantSplit/>
        </w:trPr>
        <w:tc>
          <w:tcPr>
            <w:tcW w:w="1260" w:type="dxa"/>
            <w:vMerge/>
            <w:vAlign w:val="center"/>
          </w:tcPr>
          <w:p w14:paraId="5E602F3E" w14:textId="77777777" w:rsidR="00AA77C7" w:rsidRPr="00990924" w:rsidRDefault="00AA77C7" w:rsidP="00AA77C7">
            <w:pPr>
              <w:pStyle w:val="TableText"/>
              <w:jc w:val="center"/>
              <w:rPr>
                <w:sz w:val="20"/>
              </w:rPr>
            </w:pPr>
          </w:p>
        </w:tc>
        <w:tc>
          <w:tcPr>
            <w:tcW w:w="1813" w:type="dxa"/>
            <w:noWrap/>
            <w:vAlign w:val="center"/>
          </w:tcPr>
          <w:p w14:paraId="2B0133C4" w14:textId="2FA737C0" w:rsidR="00AA77C7" w:rsidRPr="00990924" w:rsidRDefault="00217A1A" w:rsidP="00217A1A">
            <w:pPr>
              <w:pStyle w:val="TableText"/>
              <w:rPr>
                <w:sz w:val="20"/>
              </w:rPr>
            </w:pPr>
            <w:r>
              <w:rPr>
                <w:sz w:val="20"/>
              </w:rPr>
              <w:t>Patient</w:t>
            </w:r>
            <w:r w:rsidR="00AA77C7" w:rsidRPr="00990924">
              <w:rPr>
                <w:sz w:val="20"/>
              </w:rPr>
              <w:t xml:space="preserve"> Check-In</w:t>
            </w:r>
          </w:p>
        </w:tc>
        <w:tc>
          <w:tcPr>
            <w:tcW w:w="1143" w:type="dxa"/>
            <w:vAlign w:val="center"/>
          </w:tcPr>
          <w:p w14:paraId="682BC2AA" w14:textId="77777777" w:rsidR="00AA77C7" w:rsidRPr="00990924" w:rsidRDefault="00AA77C7" w:rsidP="00AA77C7">
            <w:pPr>
              <w:pStyle w:val="TableTextDec"/>
              <w:jc w:val="center"/>
            </w:pPr>
            <w:r w:rsidRPr="00F1135A">
              <w:rPr>
                <w:rFonts w:eastAsia="Times New Roman"/>
              </w:rPr>
              <w:t>59</w:t>
            </w:r>
            <w:r w:rsidR="0028558B">
              <w:t>4</w:t>
            </w:r>
          </w:p>
        </w:tc>
        <w:tc>
          <w:tcPr>
            <w:tcW w:w="1614" w:type="dxa"/>
            <w:noWrap/>
            <w:vAlign w:val="center"/>
          </w:tcPr>
          <w:p w14:paraId="71D7D324" w14:textId="77777777" w:rsidR="00AA77C7" w:rsidRPr="00990924" w:rsidRDefault="00AA77C7" w:rsidP="00AA77C7">
            <w:pPr>
              <w:pStyle w:val="TableTextDec"/>
              <w:jc w:val="center"/>
            </w:pPr>
            <w:r w:rsidRPr="00990924">
              <w:t>$7.25</w:t>
            </w:r>
          </w:p>
        </w:tc>
        <w:tc>
          <w:tcPr>
            <w:tcW w:w="2283" w:type="dxa"/>
            <w:noWrap/>
            <w:vAlign w:val="center"/>
          </w:tcPr>
          <w:p w14:paraId="7FCBEEAE" w14:textId="77777777" w:rsidR="00AA77C7" w:rsidRPr="00990924" w:rsidRDefault="00AA77C7" w:rsidP="00AA77C7">
            <w:pPr>
              <w:pStyle w:val="TableTextDec"/>
              <w:tabs>
                <w:tab w:val="clear" w:pos="842"/>
                <w:tab w:val="decimal" w:pos="1202"/>
              </w:tabs>
              <w:jc w:val="center"/>
            </w:pPr>
            <w:r>
              <w:t>$4,</w:t>
            </w:r>
            <w:r w:rsidR="00064F45">
              <w:t>30</w:t>
            </w:r>
            <w:r w:rsidR="00977FCB">
              <w:t>7</w:t>
            </w:r>
            <w:r w:rsidR="00064F45">
              <w:t xml:space="preserve"> </w:t>
            </w:r>
          </w:p>
        </w:tc>
      </w:tr>
      <w:tr w:rsidR="00AA77C7" w:rsidRPr="009B1505" w14:paraId="70ADD9AA" w14:textId="77777777" w:rsidTr="00460F29">
        <w:trPr>
          <w:cantSplit/>
        </w:trPr>
        <w:tc>
          <w:tcPr>
            <w:tcW w:w="1260" w:type="dxa"/>
            <w:vMerge/>
            <w:vAlign w:val="center"/>
          </w:tcPr>
          <w:p w14:paraId="3D2DF6AB" w14:textId="77777777" w:rsidR="00AA77C7" w:rsidRPr="00990924" w:rsidRDefault="00AA77C7" w:rsidP="00AA77C7">
            <w:pPr>
              <w:pStyle w:val="TableText"/>
              <w:jc w:val="center"/>
              <w:rPr>
                <w:sz w:val="20"/>
              </w:rPr>
            </w:pPr>
          </w:p>
        </w:tc>
        <w:tc>
          <w:tcPr>
            <w:tcW w:w="1813" w:type="dxa"/>
            <w:tcBorders>
              <w:bottom w:val="nil"/>
            </w:tcBorders>
            <w:noWrap/>
            <w:vAlign w:val="center"/>
          </w:tcPr>
          <w:p w14:paraId="275CD8C9" w14:textId="3D1281A3" w:rsidR="00AA77C7" w:rsidRPr="00990924" w:rsidRDefault="00217A1A" w:rsidP="00217A1A">
            <w:pPr>
              <w:pStyle w:val="TableText"/>
              <w:rPr>
                <w:sz w:val="20"/>
              </w:rPr>
            </w:pPr>
            <w:r>
              <w:rPr>
                <w:sz w:val="20"/>
              </w:rPr>
              <w:t>Patient</w:t>
            </w:r>
            <w:r w:rsidR="00AA77C7" w:rsidRPr="00990924">
              <w:rPr>
                <w:sz w:val="20"/>
              </w:rPr>
              <w:t xml:space="preserve"> Questionnaire</w:t>
            </w:r>
            <w:r w:rsidR="00AA77C7">
              <w:rPr>
                <w:sz w:val="20"/>
              </w:rPr>
              <w:t>, Baseline</w:t>
            </w:r>
          </w:p>
        </w:tc>
        <w:tc>
          <w:tcPr>
            <w:tcW w:w="1143" w:type="dxa"/>
            <w:tcBorders>
              <w:bottom w:val="nil"/>
            </w:tcBorders>
            <w:vAlign w:val="center"/>
          </w:tcPr>
          <w:p w14:paraId="2FF5689E" w14:textId="77777777" w:rsidR="00AA77C7" w:rsidRPr="00990924" w:rsidRDefault="00AA77C7" w:rsidP="00AA77C7">
            <w:pPr>
              <w:pStyle w:val="TableTextDec"/>
              <w:jc w:val="center"/>
            </w:pPr>
            <w:r w:rsidRPr="00F1135A">
              <w:rPr>
                <w:rFonts w:eastAsia="Times New Roman"/>
              </w:rPr>
              <w:t>1,02</w:t>
            </w:r>
            <w:r>
              <w:t>9</w:t>
            </w:r>
          </w:p>
        </w:tc>
        <w:tc>
          <w:tcPr>
            <w:tcW w:w="1614" w:type="dxa"/>
            <w:tcBorders>
              <w:bottom w:val="nil"/>
            </w:tcBorders>
            <w:noWrap/>
            <w:vAlign w:val="center"/>
          </w:tcPr>
          <w:p w14:paraId="74BB47D1" w14:textId="77777777" w:rsidR="00AA77C7" w:rsidRPr="00990924" w:rsidRDefault="00AA77C7" w:rsidP="00AA77C7">
            <w:pPr>
              <w:pStyle w:val="TableTextDec"/>
              <w:jc w:val="center"/>
            </w:pPr>
            <w:r w:rsidRPr="00990924">
              <w:t>$7.25</w:t>
            </w:r>
          </w:p>
        </w:tc>
        <w:tc>
          <w:tcPr>
            <w:tcW w:w="2283" w:type="dxa"/>
            <w:tcBorders>
              <w:bottom w:val="nil"/>
            </w:tcBorders>
            <w:noWrap/>
            <w:vAlign w:val="center"/>
          </w:tcPr>
          <w:p w14:paraId="4FBF15A2" w14:textId="77777777" w:rsidR="00AA77C7" w:rsidRPr="00990924" w:rsidRDefault="00AA77C7" w:rsidP="00AA77C7">
            <w:pPr>
              <w:pStyle w:val="TableTextDec"/>
              <w:tabs>
                <w:tab w:val="clear" w:pos="842"/>
                <w:tab w:val="decimal" w:pos="1202"/>
              </w:tabs>
              <w:jc w:val="center"/>
            </w:pPr>
            <w:r>
              <w:t>$7,</w:t>
            </w:r>
            <w:r w:rsidR="00064F45">
              <w:t>460</w:t>
            </w:r>
          </w:p>
        </w:tc>
      </w:tr>
      <w:tr w:rsidR="00AA77C7" w:rsidRPr="009B1505" w14:paraId="6E51A2B1" w14:textId="77777777" w:rsidTr="00460F29">
        <w:trPr>
          <w:cantSplit/>
        </w:trPr>
        <w:tc>
          <w:tcPr>
            <w:tcW w:w="1260" w:type="dxa"/>
            <w:vMerge/>
            <w:vAlign w:val="center"/>
          </w:tcPr>
          <w:p w14:paraId="58844B96" w14:textId="77777777" w:rsidR="00AA77C7" w:rsidRPr="00990924" w:rsidRDefault="00AA77C7" w:rsidP="00AA77C7">
            <w:pPr>
              <w:pStyle w:val="TableText"/>
              <w:jc w:val="center"/>
              <w:rPr>
                <w:color w:val="000000"/>
                <w:sz w:val="20"/>
              </w:rPr>
            </w:pPr>
          </w:p>
        </w:tc>
        <w:tc>
          <w:tcPr>
            <w:tcW w:w="1813" w:type="dxa"/>
            <w:tcBorders>
              <w:bottom w:val="nil"/>
            </w:tcBorders>
            <w:noWrap/>
            <w:vAlign w:val="center"/>
          </w:tcPr>
          <w:p w14:paraId="6654AB02" w14:textId="0A042F99" w:rsidR="00AA77C7" w:rsidRPr="00990924" w:rsidRDefault="00217A1A" w:rsidP="00AA77C7">
            <w:pPr>
              <w:pStyle w:val="TableText"/>
              <w:rPr>
                <w:sz w:val="20"/>
              </w:rPr>
            </w:pPr>
            <w:r>
              <w:rPr>
                <w:sz w:val="20"/>
              </w:rPr>
              <w:t xml:space="preserve">Patient </w:t>
            </w:r>
            <w:r w:rsidR="00AA77C7" w:rsidRPr="00990924">
              <w:rPr>
                <w:sz w:val="20"/>
              </w:rPr>
              <w:t>Questionnaire</w:t>
            </w:r>
            <w:r w:rsidR="00AA77C7">
              <w:rPr>
                <w:sz w:val="20"/>
              </w:rPr>
              <w:t>, 12-month follow-up</w:t>
            </w:r>
          </w:p>
        </w:tc>
        <w:tc>
          <w:tcPr>
            <w:tcW w:w="1143" w:type="dxa"/>
            <w:tcBorders>
              <w:bottom w:val="nil"/>
            </w:tcBorders>
            <w:vAlign w:val="center"/>
          </w:tcPr>
          <w:p w14:paraId="59314CAF" w14:textId="77777777" w:rsidR="00AA77C7" w:rsidRDefault="00AA77C7" w:rsidP="00AA77C7">
            <w:pPr>
              <w:pStyle w:val="TableTextDec"/>
              <w:jc w:val="center"/>
            </w:pPr>
            <w:r w:rsidRPr="00F1135A">
              <w:rPr>
                <w:rFonts w:eastAsia="Times New Roman"/>
              </w:rPr>
              <w:t>698</w:t>
            </w:r>
          </w:p>
        </w:tc>
        <w:tc>
          <w:tcPr>
            <w:tcW w:w="1614" w:type="dxa"/>
            <w:tcBorders>
              <w:bottom w:val="nil"/>
            </w:tcBorders>
            <w:noWrap/>
            <w:vAlign w:val="center"/>
          </w:tcPr>
          <w:p w14:paraId="5357B110" w14:textId="77777777" w:rsidR="00AA77C7" w:rsidRPr="00990924" w:rsidRDefault="00064F45" w:rsidP="00AA77C7">
            <w:pPr>
              <w:pStyle w:val="TableTextDec"/>
              <w:jc w:val="center"/>
            </w:pPr>
            <w:r w:rsidRPr="00990924">
              <w:t>$7.25</w:t>
            </w:r>
          </w:p>
        </w:tc>
        <w:tc>
          <w:tcPr>
            <w:tcW w:w="2283" w:type="dxa"/>
            <w:tcBorders>
              <w:bottom w:val="nil"/>
            </w:tcBorders>
            <w:noWrap/>
            <w:vAlign w:val="center"/>
          </w:tcPr>
          <w:p w14:paraId="66308455" w14:textId="77777777" w:rsidR="00AA77C7" w:rsidRDefault="00064F45" w:rsidP="00AA77C7">
            <w:pPr>
              <w:pStyle w:val="TableTextDec"/>
              <w:tabs>
                <w:tab w:val="clear" w:pos="842"/>
                <w:tab w:val="decimal" w:pos="1202"/>
              </w:tabs>
              <w:jc w:val="center"/>
            </w:pPr>
            <w:r>
              <w:t>$5,061</w:t>
            </w:r>
          </w:p>
        </w:tc>
      </w:tr>
      <w:tr w:rsidR="00AA77C7" w:rsidRPr="009B1505" w14:paraId="4B48F461" w14:textId="77777777" w:rsidTr="00460F29">
        <w:trPr>
          <w:cantSplit/>
        </w:trPr>
        <w:tc>
          <w:tcPr>
            <w:tcW w:w="1260" w:type="dxa"/>
            <w:vMerge/>
            <w:vAlign w:val="center"/>
          </w:tcPr>
          <w:p w14:paraId="4CDB5D22" w14:textId="77777777" w:rsidR="00AA77C7" w:rsidRPr="00990924" w:rsidRDefault="00AA77C7" w:rsidP="00AA77C7">
            <w:pPr>
              <w:pStyle w:val="TableText"/>
              <w:jc w:val="center"/>
              <w:rPr>
                <w:color w:val="000000"/>
                <w:sz w:val="20"/>
              </w:rPr>
            </w:pPr>
          </w:p>
        </w:tc>
        <w:tc>
          <w:tcPr>
            <w:tcW w:w="1813" w:type="dxa"/>
            <w:tcBorders>
              <w:bottom w:val="nil"/>
            </w:tcBorders>
            <w:noWrap/>
            <w:vAlign w:val="center"/>
          </w:tcPr>
          <w:p w14:paraId="1690AC82" w14:textId="5DA2AAD7" w:rsidR="00AA77C7" w:rsidRPr="00990924" w:rsidRDefault="00217A1A" w:rsidP="00AA77C7">
            <w:pPr>
              <w:pStyle w:val="TableText"/>
              <w:rPr>
                <w:sz w:val="20"/>
              </w:rPr>
            </w:pPr>
            <w:r>
              <w:rPr>
                <w:sz w:val="20"/>
              </w:rPr>
              <w:t>Patient</w:t>
            </w:r>
            <w:r w:rsidRPr="00990924">
              <w:rPr>
                <w:sz w:val="20"/>
              </w:rPr>
              <w:t xml:space="preserve"> </w:t>
            </w:r>
            <w:r w:rsidR="00AA77C7" w:rsidRPr="00990924">
              <w:rPr>
                <w:sz w:val="20"/>
              </w:rPr>
              <w:t>Questionnaire</w:t>
            </w:r>
            <w:r w:rsidR="00AA77C7">
              <w:rPr>
                <w:sz w:val="20"/>
              </w:rPr>
              <w:t>, 24-month follow-up</w:t>
            </w:r>
          </w:p>
        </w:tc>
        <w:tc>
          <w:tcPr>
            <w:tcW w:w="1143" w:type="dxa"/>
            <w:tcBorders>
              <w:bottom w:val="nil"/>
            </w:tcBorders>
            <w:vAlign w:val="center"/>
          </w:tcPr>
          <w:p w14:paraId="4736B1D2" w14:textId="77777777" w:rsidR="00AA77C7" w:rsidRDefault="00AA77C7" w:rsidP="00AA77C7">
            <w:pPr>
              <w:pStyle w:val="TableTextDec"/>
              <w:jc w:val="center"/>
            </w:pPr>
            <w:r w:rsidRPr="00F1135A">
              <w:rPr>
                <w:rFonts w:eastAsia="Times New Roman"/>
              </w:rPr>
              <w:t>558</w:t>
            </w:r>
          </w:p>
        </w:tc>
        <w:tc>
          <w:tcPr>
            <w:tcW w:w="1614" w:type="dxa"/>
            <w:tcBorders>
              <w:bottom w:val="nil"/>
            </w:tcBorders>
            <w:noWrap/>
            <w:vAlign w:val="center"/>
          </w:tcPr>
          <w:p w14:paraId="1850A0C7" w14:textId="77777777" w:rsidR="00AA77C7" w:rsidRPr="00990924" w:rsidRDefault="00AA77C7" w:rsidP="00AA77C7">
            <w:pPr>
              <w:pStyle w:val="TableTextDec"/>
              <w:jc w:val="center"/>
            </w:pPr>
            <w:r w:rsidRPr="00990924">
              <w:t>$7.25</w:t>
            </w:r>
          </w:p>
        </w:tc>
        <w:tc>
          <w:tcPr>
            <w:tcW w:w="2283" w:type="dxa"/>
            <w:tcBorders>
              <w:bottom w:val="nil"/>
            </w:tcBorders>
            <w:noWrap/>
            <w:vAlign w:val="center"/>
          </w:tcPr>
          <w:p w14:paraId="6834C3D0" w14:textId="77777777" w:rsidR="00AA77C7" w:rsidRDefault="00AA77C7" w:rsidP="00AA77C7">
            <w:pPr>
              <w:pStyle w:val="TableTextDec"/>
              <w:tabs>
                <w:tab w:val="clear" w:pos="842"/>
                <w:tab w:val="decimal" w:pos="1202"/>
              </w:tabs>
              <w:jc w:val="center"/>
            </w:pPr>
            <w:r>
              <w:t>$</w:t>
            </w:r>
            <w:r w:rsidR="00064F45">
              <w:t>4,046</w:t>
            </w:r>
            <w:r>
              <w:t xml:space="preserve"> </w:t>
            </w:r>
          </w:p>
        </w:tc>
      </w:tr>
      <w:tr w:rsidR="00AA77C7" w:rsidRPr="009B1505" w14:paraId="28776FBB" w14:textId="77777777" w:rsidTr="00460F29">
        <w:trPr>
          <w:cantSplit/>
        </w:trPr>
        <w:tc>
          <w:tcPr>
            <w:tcW w:w="1260" w:type="dxa"/>
            <w:vMerge/>
            <w:tcBorders>
              <w:bottom w:val="single" w:sz="6" w:space="0" w:color="auto"/>
            </w:tcBorders>
            <w:vAlign w:val="center"/>
          </w:tcPr>
          <w:p w14:paraId="48D403B5" w14:textId="77777777" w:rsidR="00AA77C7" w:rsidRPr="00990924" w:rsidRDefault="00AA77C7" w:rsidP="00AA77C7">
            <w:pPr>
              <w:pStyle w:val="TableText"/>
              <w:jc w:val="center"/>
              <w:rPr>
                <w:sz w:val="20"/>
              </w:rPr>
            </w:pPr>
          </w:p>
        </w:tc>
        <w:tc>
          <w:tcPr>
            <w:tcW w:w="1813" w:type="dxa"/>
            <w:tcBorders>
              <w:top w:val="nil"/>
              <w:bottom w:val="single" w:sz="6" w:space="0" w:color="auto"/>
            </w:tcBorders>
            <w:noWrap/>
            <w:vAlign w:val="center"/>
          </w:tcPr>
          <w:p w14:paraId="089F01C3" w14:textId="77777777" w:rsidR="00AA77C7" w:rsidRPr="00990924" w:rsidRDefault="00AA77C7" w:rsidP="00AA77C7">
            <w:pPr>
              <w:pStyle w:val="TableText"/>
              <w:rPr>
                <w:sz w:val="20"/>
              </w:rPr>
            </w:pPr>
            <w:r w:rsidRPr="00990924">
              <w:rPr>
                <w:sz w:val="20"/>
              </w:rPr>
              <w:t>Focus Groups</w:t>
            </w:r>
          </w:p>
        </w:tc>
        <w:tc>
          <w:tcPr>
            <w:tcW w:w="1143" w:type="dxa"/>
            <w:tcBorders>
              <w:top w:val="nil"/>
              <w:bottom w:val="single" w:sz="6" w:space="0" w:color="auto"/>
            </w:tcBorders>
            <w:vAlign w:val="center"/>
          </w:tcPr>
          <w:p w14:paraId="5713427F" w14:textId="77777777" w:rsidR="00AA77C7" w:rsidRPr="00990924" w:rsidRDefault="00AA77C7" w:rsidP="00AA77C7">
            <w:pPr>
              <w:pStyle w:val="TableTextDec"/>
              <w:jc w:val="center"/>
            </w:pPr>
            <w:r>
              <w:t>41</w:t>
            </w:r>
          </w:p>
        </w:tc>
        <w:tc>
          <w:tcPr>
            <w:tcW w:w="1614" w:type="dxa"/>
            <w:tcBorders>
              <w:top w:val="nil"/>
              <w:bottom w:val="single" w:sz="6" w:space="0" w:color="auto"/>
            </w:tcBorders>
            <w:noWrap/>
            <w:vAlign w:val="center"/>
          </w:tcPr>
          <w:p w14:paraId="18EAE5DE" w14:textId="77777777" w:rsidR="00AA77C7" w:rsidRPr="00990924" w:rsidRDefault="00AA77C7" w:rsidP="00AA77C7">
            <w:pPr>
              <w:pStyle w:val="TableTextDec"/>
              <w:jc w:val="center"/>
            </w:pPr>
            <w:r w:rsidRPr="00990924">
              <w:t>$7.25</w:t>
            </w:r>
          </w:p>
        </w:tc>
        <w:tc>
          <w:tcPr>
            <w:tcW w:w="2283" w:type="dxa"/>
            <w:tcBorders>
              <w:top w:val="nil"/>
              <w:bottom w:val="single" w:sz="6" w:space="0" w:color="auto"/>
            </w:tcBorders>
            <w:noWrap/>
            <w:vAlign w:val="center"/>
          </w:tcPr>
          <w:p w14:paraId="0681466D" w14:textId="77777777" w:rsidR="00AA77C7" w:rsidRPr="00990924" w:rsidRDefault="00AA77C7" w:rsidP="00AA77C7">
            <w:pPr>
              <w:pStyle w:val="TableTextDec"/>
              <w:tabs>
                <w:tab w:val="clear" w:pos="842"/>
                <w:tab w:val="decimal" w:pos="1202"/>
              </w:tabs>
              <w:jc w:val="center"/>
            </w:pPr>
            <w:r>
              <w:t xml:space="preserve">$297 </w:t>
            </w:r>
          </w:p>
        </w:tc>
      </w:tr>
      <w:tr w:rsidR="00AA77C7" w:rsidRPr="009B1505" w14:paraId="132A89F8" w14:textId="77777777" w:rsidTr="00EE621D">
        <w:trPr>
          <w:cantSplit/>
        </w:trPr>
        <w:tc>
          <w:tcPr>
            <w:tcW w:w="1260" w:type="dxa"/>
            <w:tcBorders>
              <w:top w:val="nil"/>
              <w:bottom w:val="single" w:sz="6" w:space="0" w:color="auto"/>
            </w:tcBorders>
            <w:vAlign w:val="center"/>
          </w:tcPr>
          <w:p w14:paraId="09063240" w14:textId="77777777" w:rsidR="00AA77C7" w:rsidRPr="00990924" w:rsidRDefault="00AA77C7" w:rsidP="00AA77C7">
            <w:pPr>
              <w:pStyle w:val="TableText"/>
              <w:rPr>
                <w:b/>
                <w:bCs/>
                <w:color w:val="000000"/>
                <w:sz w:val="20"/>
              </w:rPr>
            </w:pPr>
            <w:r>
              <w:rPr>
                <w:color w:val="000000"/>
                <w:sz w:val="20"/>
              </w:rPr>
              <w:t xml:space="preserve">Treatment facility </w:t>
            </w:r>
            <w:r w:rsidRPr="00990924">
              <w:rPr>
                <w:color w:val="000000"/>
                <w:sz w:val="20"/>
              </w:rPr>
              <w:t>staff</w:t>
            </w:r>
            <w:r w:rsidR="00460F29">
              <w:rPr>
                <w:color w:val="000000"/>
                <w:sz w:val="20"/>
                <w:vertAlign w:val="superscript"/>
              </w:rPr>
              <w:t>+</w:t>
            </w:r>
          </w:p>
        </w:tc>
        <w:tc>
          <w:tcPr>
            <w:tcW w:w="1813" w:type="dxa"/>
            <w:tcBorders>
              <w:top w:val="nil"/>
              <w:bottom w:val="single" w:sz="6" w:space="0" w:color="auto"/>
            </w:tcBorders>
            <w:noWrap/>
            <w:vAlign w:val="center"/>
          </w:tcPr>
          <w:p w14:paraId="4DC28882" w14:textId="77777777" w:rsidR="00AA77C7" w:rsidRPr="00990924" w:rsidRDefault="00AA77C7" w:rsidP="00AA77C7">
            <w:pPr>
              <w:pStyle w:val="TableText"/>
              <w:rPr>
                <w:b/>
                <w:sz w:val="20"/>
              </w:rPr>
            </w:pPr>
            <w:r w:rsidRPr="00990924">
              <w:rPr>
                <w:sz w:val="20"/>
              </w:rPr>
              <w:t>Focus Groups</w:t>
            </w:r>
          </w:p>
        </w:tc>
        <w:tc>
          <w:tcPr>
            <w:tcW w:w="1143" w:type="dxa"/>
            <w:tcBorders>
              <w:top w:val="nil"/>
              <w:bottom w:val="single" w:sz="6" w:space="0" w:color="auto"/>
            </w:tcBorders>
            <w:vAlign w:val="center"/>
          </w:tcPr>
          <w:p w14:paraId="3AFBB31A" w14:textId="77777777" w:rsidR="00AA77C7" w:rsidRDefault="00AA77C7" w:rsidP="00AA77C7">
            <w:pPr>
              <w:pStyle w:val="TableTextDec"/>
              <w:jc w:val="center"/>
              <w:rPr>
                <w:b/>
                <w:bCs/>
              </w:rPr>
            </w:pPr>
            <w:r>
              <w:t>41</w:t>
            </w:r>
          </w:p>
        </w:tc>
        <w:tc>
          <w:tcPr>
            <w:tcW w:w="1614" w:type="dxa"/>
            <w:tcBorders>
              <w:top w:val="nil"/>
              <w:bottom w:val="single" w:sz="6" w:space="0" w:color="auto"/>
            </w:tcBorders>
            <w:noWrap/>
            <w:vAlign w:val="center"/>
          </w:tcPr>
          <w:p w14:paraId="6512B80C" w14:textId="77777777" w:rsidR="00AA77C7" w:rsidRPr="00990924" w:rsidRDefault="00AA77C7" w:rsidP="00AA77C7">
            <w:pPr>
              <w:pStyle w:val="TableTextDec"/>
              <w:jc w:val="center"/>
            </w:pPr>
            <w:r>
              <w:t xml:space="preserve"> $       51.26 </w:t>
            </w:r>
          </w:p>
        </w:tc>
        <w:tc>
          <w:tcPr>
            <w:tcW w:w="2283" w:type="dxa"/>
            <w:tcBorders>
              <w:top w:val="nil"/>
              <w:bottom w:val="single" w:sz="6" w:space="0" w:color="auto"/>
            </w:tcBorders>
            <w:noWrap/>
            <w:vAlign w:val="bottom"/>
          </w:tcPr>
          <w:p w14:paraId="1A2B88C4" w14:textId="77777777" w:rsidR="00AA77C7" w:rsidRDefault="00AA77C7" w:rsidP="00AA77C7">
            <w:pPr>
              <w:pStyle w:val="TableTextDec"/>
              <w:tabs>
                <w:tab w:val="clear" w:pos="842"/>
                <w:tab w:val="decimal" w:pos="1202"/>
              </w:tabs>
              <w:jc w:val="center"/>
              <w:rPr>
                <w:b/>
                <w:bCs/>
              </w:rPr>
            </w:pPr>
            <w:r>
              <w:t xml:space="preserve"> $           2,102 </w:t>
            </w:r>
          </w:p>
        </w:tc>
      </w:tr>
      <w:tr w:rsidR="00AA77C7" w:rsidRPr="009B1505" w14:paraId="079582C0" w14:textId="77777777" w:rsidTr="00EE621D">
        <w:trPr>
          <w:cantSplit/>
        </w:trPr>
        <w:tc>
          <w:tcPr>
            <w:tcW w:w="1260" w:type="dxa"/>
            <w:tcBorders>
              <w:top w:val="single" w:sz="6" w:space="0" w:color="auto"/>
            </w:tcBorders>
            <w:vAlign w:val="center"/>
          </w:tcPr>
          <w:p w14:paraId="61FB9C80" w14:textId="77777777" w:rsidR="00AA77C7" w:rsidRPr="00990924" w:rsidRDefault="00AA77C7" w:rsidP="00AA77C7">
            <w:pPr>
              <w:pStyle w:val="TableText"/>
              <w:rPr>
                <w:sz w:val="20"/>
              </w:rPr>
            </w:pPr>
            <w:r w:rsidRPr="00990924">
              <w:rPr>
                <w:sz w:val="20"/>
              </w:rPr>
              <w:t>Total</w:t>
            </w:r>
          </w:p>
        </w:tc>
        <w:tc>
          <w:tcPr>
            <w:tcW w:w="1813" w:type="dxa"/>
            <w:tcBorders>
              <w:top w:val="single" w:sz="6" w:space="0" w:color="auto"/>
            </w:tcBorders>
            <w:noWrap/>
            <w:vAlign w:val="center"/>
          </w:tcPr>
          <w:p w14:paraId="0CAFB731" w14:textId="77777777" w:rsidR="00AA77C7" w:rsidRPr="00990924" w:rsidRDefault="00AA77C7" w:rsidP="00AA77C7">
            <w:pPr>
              <w:pStyle w:val="TableText"/>
              <w:rPr>
                <w:sz w:val="20"/>
              </w:rPr>
            </w:pPr>
          </w:p>
        </w:tc>
        <w:tc>
          <w:tcPr>
            <w:tcW w:w="1143" w:type="dxa"/>
            <w:tcBorders>
              <w:top w:val="single" w:sz="6" w:space="0" w:color="auto"/>
            </w:tcBorders>
            <w:vAlign w:val="bottom"/>
          </w:tcPr>
          <w:p w14:paraId="4C137A5D" w14:textId="77777777" w:rsidR="00AA77C7" w:rsidRPr="00990924" w:rsidRDefault="00064F45" w:rsidP="00AA77C7">
            <w:pPr>
              <w:pStyle w:val="TableTextDec"/>
              <w:jc w:val="center"/>
              <w:rPr>
                <w:b/>
                <w:bCs/>
              </w:rPr>
            </w:pPr>
            <w:r>
              <w:rPr>
                <w:b/>
                <w:bCs/>
              </w:rPr>
              <w:t>3,09</w:t>
            </w:r>
            <w:r w:rsidR="0028558B">
              <w:rPr>
                <w:b/>
                <w:bCs/>
              </w:rPr>
              <w:t>3</w:t>
            </w:r>
          </w:p>
        </w:tc>
        <w:tc>
          <w:tcPr>
            <w:tcW w:w="1614" w:type="dxa"/>
            <w:tcBorders>
              <w:top w:val="single" w:sz="6" w:space="0" w:color="auto"/>
            </w:tcBorders>
            <w:noWrap/>
            <w:vAlign w:val="center"/>
          </w:tcPr>
          <w:p w14:paraId="224A1808" w14:textId="77777777" w:rsidR="00AA77C7" w:rsidRPr="00990924" w:rsidRDefault="00AA77C7" w:rsidP="00AA77C7">
            <w:pPr>
              <w:pStyle w:val="TableTextDec"/>
              <w:jc w:val="center"/>
            </w:pPr>
          </w:p>
        </w:tc>
        <w:tc>
          <w:tcPr>
            <w:tcW w:w="2283" w:type="dxa"/>
            <w:tcBorders>
              <w:top w:val="single" w:sz="6" w:space="0" w:color="auto"/>
            </w:tcBorders>
            <w:noWrap/>
            <w:vAlign w:val="bottom"/>
          </w:tcPr>
          <w:p w14:paraId="0F88A102" w14:textId="77777777" w:rsidR="00AA77C7" w:rsidRPr="00990924" w:rsidRDefault="00AA77C7" w:rsidP="00AA77C7">
            <w:pPr>
              <w:pStyle w:val="TableTextDec"/>
              <w:tabs>
                <w:tab w:val="clear" w:pos="842"/>
                <w:tab w:val="decimal" w:pos="1202"/>
              </w:tabs>
              <w:jc w:val="center"/>
            </w:pPr>
            <w:r>
              <w:rPr>
                <w:b/>
                <w:bCs/>
              </w:rPr>
              <w:t xml:space="preserve"> $        </w:t>
            </w:r>
            <w:r w:rsidR="00064F45">
              <w:rPr>
                <w:b/>
                <w:bCs/>
              </w:rPr>
              <w:t>24,22</w:t>
            </w:r>
            <w:r w:rsidR="00977FCB">
              <w:rPr>
                <w:b/>
                <w:bCs/>
              </w:rPr>
              <w:t>5</w:t>
            </w:r>
            <w:r>
              <w:rPr>
                <w:b/>
                <w:bCs/>
              </w:rPr>
              <w:t xml:space="preserve"> </w:t>
            </w:r>
          </w:p>
        </w:tc>
      </w:tr>
    </w:tbl>
    <w:p w14:paraId="75C9DA9C" w14:textId="6105B3A5" w:rsidR="00E54201" w:rsidRDefault="00460F29" w:rsidP="00990924">
      <w:pPr>
        <w:pStyle w:val="tabfigsource"/>
      </w:pPr>
      <w:r w:rsidRPr="00460F29">
        <w:rPr>
          <w:vertAlign w:val="superscript"/>
        </w:rPr>
        <w:t>+</w:t>
      </w:r>
      <w:r w:rsidR="00486F45">
        <w:t>Treatment facility</w:t>
      </w:r>
      <w:r w:rsidR="00990924">
        <w:t xml:space="preserve"> staff includes administrators, clinicians, doctors, nurses and counselors. </w:t>
      </w:r>
      <w:r w:rsidR="00E54201">
        <w:t>** Wages are obtained from national Bureau of Labor Statistics (BLS) hourly mean wages for the types of treatment facility staff involved</w:t>
      </w:r>
      <w:r w:rsidR="00813903">
        <w:t xml:space="preserve"> including Substance Abuse and Behavioral Disorder Counselors, Registered Nurses, Family and General Practitioners and Medical and Health Services Managers.</w:t>
      </w:r>
      <w:r w:rsidR="00E54201">
        <w:t xml:space="preserve"> Client respondent hourly wages uses the current Federal minimum wage.  </w:t>
      </w:r>
    </w:p>
    <w:p w14:paraId="5BD47C9E" w14:textId="77777777" w:rsidR="00AE182B" w:rsidRPr="009B1505" w:rsidRDefault="00AE182B" w:rsidP="00486F45">
      <w:pPr>
        <w:pStyle w:val="Heading2"/>
      </w:pPr>
      <w:bookmarkStart w:id="66" w:name="_Toc474237988"/>
      <w:bookmarkStart w:id="67" w:name="_Toc497134509"/>
      <w:bookmarkStart w:id="68" w:name="_Toc88033480"/>
      <w:bookmarkStart w:id="69" w:name="_Toc474237989"/>
      <w:bookmarkEnd w:id="52"/>
      <w:r w:rsidRPr="009B1505">
        <w:t>A.13</w:t>
      </w:r>
      <w:r w:rsidRPr="009B1505">
        <w:tab/>
        <w:t>Estimates of Other Total Annual Cost Burden to Respondents or Record Keepers</w:t>
      </w:r>
      <w:bookmarkEnd w:id="66"/>
      <w:bookmarkEnd w:id="67"/>
    </w:p>
    <w:p w14:paraId="01BDB39C" w14:textId="77777777" w:rsidR="004D7C04" w:rsidRPr="00F241FA" w:rsidRDefault="004D7C04" w:rsidP="00AC695A">
      <w:pPr>
        <w:pStyle w:val="Heading2"/>
        <w:spacing w:before="0" w:after="120" w:line="360" w:lineRule="auto"/>
        <w:ind w:left="0" w:firstLine="720"/>
      </w:pPr>
      <w:bookmarkStart w:id="70" w:name="_Toc491417948"/>
      <w:bookmarkStart w:id="71" w:name="_Toc497134510"/>
      <w:r w:rsidRPr="00F241FA">
        <w:rPr>
          <w:b w:val="0"/>
        </w:rPr>
        <w:t>The requested data collection does not impose a financial bur</w:t>
      </w:r>
      <w:r w:rsidR="00F20F67" w:rsidRPr="00F241FA">
        <w:rPr>
          <w:b w:val="0"/>
        </w:rPr>
        <w:t xml:space="preserve">den on respondents, nor will </w:t>
      </w:r>
      <w:r w:rsidRPr="00F241FA">
        <w:rPr>
          <w:b w:val="0"/>
        </w:rPr>
        <w:t>respondents incur any expense other than the time spent completing the surveys.</w:t>
      </w:r>
      <w:bookmarkEnd w:id="70"/>
      <w:bookmarkEnd w:id="71"/>
      <w:r w:rsidRPr="00F241FA">
        <w:t xml:space="preserve"> </w:t>
      </w:r>
    </w:p>
    <w:p w14:paraId="65A024F6" w14:textId="76DA47EB" w:rsidR="007D2A22" w:rsidRPr="009B1505" w:rsidRDefault="007D2A22" w:rsidP="007D2A22">
      <w:pPr>
        <w:pStyle w:val="Heading2"/>
      </w:pPr>
      <w:bookmarkStart w:id="72" w:name="_Toc497134511"/>
      <w:r w:rsidRPr="009B1505">
        <w:t>A.14</w:t>
      </w:r>
      <w:r w:rsidRPr="009B1505">
        <w:tab/>
      </w:r>
      <w:bookmarkEnd w:id="68"/>
      <w:r w:rsidRPr="009B1505">
        <w:t>Annualized Cost to the Federal Government</w:t>
      </w:r>
      <w:bookmarkEnd w:id="69"/>
      <w:bookmarkEnd w:id="72"/>
    </w:p>
    <w:p w14:paraId="4BB6E189" w14:textId="77777777" w:rsidR="007D2A22" w:rsidRPr="009F6455" w:rsidRDefault="007D2A22" w:rsidP="007D2A22">
      <w:pPr>
        <w:pStyle w:val="BodyText1"/>
      </w:pPr>
      <w:r w:rsidRPr="0041000F">
        <w:rPr>
          <w:b/>
          <w:i/>
        </w:rPr>
        <w:t>Exhibit </w:t>
      </w:r>
      <w:r w:rsidR="00625E80" w:rsidRPr="0041000F">
        <w:rPr>
          <w:b/>
          <w:i/>
        </w:rPr>
        <w:t>7</w:t>
      </w:r>
      <w:r w:rsidRPr="009B1505">
        <w:t xml:space="preserve"> presents the two types of costs to the government that will be incurred: (1)</w:t>
      </w:r>
      <w:r w:rsidR="00625E80" w:rsidRPr="009B1505">
        <w:t> </w:t>
      </w:r>
      <w:r w:rsidRPr="009B1505">
        <w:t>external contracted data collection and analyses and (2) </w:t>
      </w:r>
      <w:r w:rsidR="00CD7301">
        <w:t xml:space="preserve">labor for </w:t>
      </w:r>
      <w:r w:rsidRPr="009B1505">
        <w:t xml:space="preserve">government personnel. The project is being conducted under a </w:t>
      </w:r>
      <w:r w:rsidR="0043485B">
        <w:t>4</w:t>
      </w:r>
      <w:r w:rsidR="00C56C6A">
        <w:t>.5</w:t>
      </w:r>
      <w:r w:rsidR="0043485B">
        <w:t xml:space="preserve">-year </w:t>
      </w:r>
      <w:r w:rsidRPr="009B1505">
        <w:t>contract</w:t>
      </w:r>
      <w:r w:rsidR="00CA0025">
        <w:t xml:space="preserve">, </w:t>
      </w:r>
      <w:r w:rsidR="00D10A92">
        <w:t xml:space="preserve">with </w:t>
      </w:r>
      <w:r w:rsidR="00CA0025">
        <w:t xml:space="preserve">3 years of data </w:t>
      </w:r>
      <w:r w:rsidR="00BC0D0C">
        <w:t>collection that</w:t>
      </w:r>
      <w:r w:rsidRPr="009B1505">
        <w:t xml:space="preserve"> was awarded on September 26, 2016. </w:t>
      </w:r>
      <w:r w:rsidRPr="009F6455">
        <w:t>The annualized cost for the data collection task for the data contractor</w:t>
      </w:r>
      <w:r w:rsidR="004040FC">
        <w:t>, including contractual payments to treatment facilities,</w:t>
      </w:r>
      <w:r w:rsidRPr="009F6455">
        <w:t xml:space="preserve"> is estimated at</w:t>
      </w:r>
      <w:r w:rsidR="00D42EA3">
        <w:t xml:space="preserve"> up to</w:t>
      </w:r>
      <w:r w:rsidRPr="009F6455">
        <w:t xml:space="preserve"> </w:t>
      </w:r>
      <w:r w:rsidR="0062507E" w:rsidRPr="009F6455">
        <w:t>$</w:t>
      </w:r>
      <w:r w:rsidR="0062507E">
        <w:t>1,</w:t>
      </w:r>
      <w:r w:rsidR="0028558B">
        <w:t>940</w:t>
      </w:r>
      <w:r w:rsidR="0062507E">
        <w:t>,</w:t>
      </w:r>
      <w:r w:rsidR="0028558B">
        <w:t>535</w:t>
      </w:r>
      <w:r w:rsidR="0062507E" w:rsidRPr="009F6455">
        <w:t>.</w:t>
      </w:r>
    </w:p>
    <w:p w14:paraId="41F73264" w14:textId="77777777" w:rsidR="00990924" w:rsidRPr="009F6455" w:rsidRDefault="00990924" w:rsidP="00990924">
      <w:pPr>
        <w:pStyle w:val="BodyText1"/>
      </w:pPr>
      <w:r w:rsidRPr="009F6455">
        <w:t xml:space="preserve">The government costs include personnel costs for federal staff involved in project oversight and development of this Information Collection Request; these efforts involve approximately 10% of a GS-14 Step 10 ($66.27 hourly rate) public health analyst, 10% of a GS-13 Step 5 ($48.89 hourly rate) program analyst, 10% of a GS-13 Step 1 ($43.14) and 20% of a GS 12’s step 1 ($36.27 hourly rate). The total annualized cost to the federal government </w:t>
      </w:r>
      <w:r w:rsidR="00AC695A">
        <w:t xml:space="preserve">for federal staff </w:t>
      </w:r>
      <w:r w:rsidRPr="009F6455">
        <w:t>for the duration of this data collection is $42,244.</w:t>
      </w:r>
    </w:p>
    <w:p w14:paraId="4354F634" w14:textId="77777777" w:rsidR="00990924" w:rsidRPr="009B1505" w:rsidRDefault="00990924" w:rsidP="00990924">
      <w:pPr>
        <w:pStyle w:val="ExhibitTitle"/>
      </w:pPr>
      <w:r w:rsidRPr="009B1505">
        <w:t>Exhibit 7.</w:t>
      </w:r>
      <w:r w:rsidRPr="009B1505">
        <w:tab/>
        <w:t>Estimated Annualized Federal Government Cost Distribution</w:t>
      </w:r>
    </w:p>
    <w:tbl>
      <w:tblPr>
        <w:tblW w:w="9360" w:type="dxa"/>
        <w:tblLayout w:type="fixed"/>
        <w:tblCellMar>
          <w:left w:w="115" w:type="dxa"/>
          <w:right w:w="115" w:type="dxa"/>
        </w:tblCellMar>
        <w:tblLook w:val="04A0" w:firstRow="1" w:lastRow="0" w:firstColumn="1" w:lastColumn="0" w:noHBand="0" w:noVBand="1"/>
      </w:tblPr>
      <w:tblGrid>
        <w:gridCol w:w="6232"/>
        <w:gridCol w:w="3128"/>
      </w:tblGrid>
      <w:tr w:rsidR="00990924" w:rsidRPr="009B1505" w14:paraId="7FC32978" w14:textId="77777777" w:rsidTr="00B7121D">
        <w:trPr>
          <w:cantSplit/>
        </w:trPr>
        <w:tc>
          <w:tcPr>
            <w:tcW w:w="6232" w:type="dxa"/>
            <w:tcBorders>
              <w:top w:val="single" w:sz="12" w:space="0" w:color="auto"/>
              <w:left w:val="nil"/>
              <w:bottom w:val="single" w:sz="8" w:space="0" w:color="auto"/>
              <w:right w:val="nil"/>
            </w:tcBorders>
            <w:shd w:val="clear" w:color="auto" w:fill="auto"/>
            <w:vAlign w:val="bottom"/>
          </w:tcPr>
          <w:p w14:paraId="2D75F47F" w14:textId="77777777" w:rsidR="00990924" w:rsidRPr="009B1505" w:rsidRDefault="00990924" w:rsidP="00B7121D">
            <w:pPr>
              <w:pStyle w:val="TableHeaders"/>
            </w:pPr>
            <w:r w:rsidRPr="009B1505">
              <w:t>Type of Government Cost</w:t>
            </w:r>
          </w:p>
        </w:tc>
        <w:tc>
          <w:tcPr>
            <w:tcW w:w="3128" w:type="dxa"/>
            <w:tcBorders>
              <w:top w:val="single" w:sz="12" w:space="0" w:color="auto"/>
              <w:left w:val="nil"/>
              <w:bottom w:val="single" w:sz="8" w:space="0" w:color="auto"/>
              <w:right w:val="nil"/>
            </w:tcBorders>
            <w:shd w:val="clear" w:color="auto" w:fill="auto"/>
            <w:vAlign w:val="bottom"/>
          </w:tcPr>
          <w:p w14:paraId="21316A2E" w14:textId="77777777" w:rsidR="00990924" w:rsidRPr="009B1505" w:rsidRDefault="00990924" w:rsidP="00B7121D">
            <w:pPr>
              <w:pStyle w:val="TableHeaders"/>
            </w:pPr>
            <w:r w:rsidRPr="009B1505">
              <w:t>Annualized Cost</w:t>
            </w:r>
          </w:p>
        </w:tc>
      </w:tr>
      <w:tr w:rsidR="00990924" w:rsidRPr="009B1505" w14:paraId="37D7E7B8" w14:textId="77777777" w:rsidTr="00B7121D">
        <w:trPr>
          <w:cantSplit/>
        </w:trPr>
        <w:tc>
          <w:tcPr>
            <w:tcW w:w="6232" w:type="dxa"/>
            <w:tcBorders>
              <w:top w:val="nil"/>
              <w:left w:val="nil"/>
              <w:right w:val="nil"/>
            </w:tcBorders>
            <w:shd w:val="clear" w:color="auto" w:fill="auto"/>
            <w:noWrap/>
          </w:tcPr>
          <w:p w14:paraId="7D1ADAB9" w14:textId="77777777" w:rsidR="00990924" w:rsidRPr="009B1505" w:rsidRDefault="00990924" w:rsidP="00B7121D">
            <w:pPr>
              <w:pStyle w:val="TableText"/>
            </w:pPr>
            <w:r w:rsidRPr="009B1505">
              <w:t>Data Contractor</w:t>
            </w:r>
          </w:p>
        </w:tc>
        <w:tc>
          <w:tcPr>
            <w:tcW w:w="3128" w:type="dxa"/>
            <w:tcBorders>
              <w:top w:val="nil"/>
              <w:left w:val="nil"/>
              <w:right w:val="nil"/>
            </w:tcBorders>
            <w:shd w:val="clear" w:color="auto" w:fill="auto"/>
            <w:noWrap/>
          </w:tcPr>
          <w:p w14:paraId="0A45EE69" w14:textId="77777777" w:rsidR="00990924" w:rsidRPr="009B1505" w:rsidRDefault="00661D6F" w:rsidP="00B7121D">
            <w:pPr>
              <w:pStyle w:val="TableText"/>
            </w:pPr>
            <w:r>
              <w:t>$1,</w:t>
            </w:r>
            <w:r w:rsidR="0028558B">
              <w:t>940</w:t>
            </w:r>
            <w:r>
              <w:t>,</w:t>
            </w:r>
            <w:r w:rsidR="0028558B">
              <w:t>535</w:t>
            </w:r>
          </w:p>
        </w:tc>
      </w:tr>
      <w:tr w:rsidR="00990924" w:rsidRPr="009B1505" w14:paraId="2B2EB576" w14:textId="77777777" w:rsidTr="004C4032">
        <w:trPr>
          <w:cantSplit/>
        </w:trPr>
        <w:tc>
          <w:tcPr>
            <w:tcW w:w="6232" w:type="dxa"/>
            <w:tcBorders>
              <w:left w:val="nil"/>
              <w:right w:val="nil"/>
            </w:tcBorders>
            <w:shd w:val="clear" w:color="auto" w:fill="auto"/>
            <w:noWrap/>
          </w:tcPr>
          <w:p w14:paraId="70E152CF" w14:textId="77777777" w:rsidR="00990924" w:rsidRPr="009B1505" w:rsidRDefault="00990924" w:rsidP="00B7121D">
            <w:pPr>
              <w:pStyle w:val="TableText"/>
            </w:pPr>
            <w:r w:rsidRPr="009B1505">
              <w:t>Federal Staff</w:t>
            </w:r>
          </w:p>
        </w:tc>
        <w:tc>
          <w:tcPr>
            <w:tcW w:w="3128" w:type="dxa"/>
            <w:tcBorders>
              <w:left w:val="nil"/>
              <w:right w:val="nil"/>
            </w:tcBorders>
            <w:shd w:val="clear" w:color="auto" w:fill="auto"/>
            <w:noWrap/>
          </w:tcPr>
          <w:p w14:paraId="0F32CEA8" w14:textId="77777777" w:rsidR="00990924" w:rsidRPr="009B1505" w:rsidRDefault="00990924" w:rsidP="00B7121D">
            <w:pPr>
              <w:pStyle w:val="TableText"/>
            </w:pPr>
          </w:p>
        </w:tc>
      </w:tr>
      <w:tr w:rsidR="00990924" w:rsidRPr="009B1505" w14:paraId="03A5F94E" w14:textId="77777777" w:rsidTr="004C4032">
        <w:trPr>
          <w:cantSplit/>
        </w:trPr>
        <w:tc>
          <w:tcPr>
            <w:tcW w:w="6232" w:type="dxa"/>
            <w:tcBorders>
              <w:left w:val="nil"/>
              <w:bottom w:val="single" w:sz="4" w:space="0" w:color="auto"/>
              <w:right w:val="nil"/>
            </w:tcBorders>
            <w:shd w:val="clear" w:color="auto" w:fill="auto"/>
            <w:noWrap/>
          </w:tcPr>
          <w:p w14:paraId="39F42CB6" w14:textId="77777777" w:rsidR="00990924" w:rsidRPr="009B1505" w:rsidRDefault="00990924" w:rsidP="00B7121D">
            <w:pPr>
              <w:pStyle w:val="TableText"/>
              <w:ind w:left="288"/>
            </w:pPr>
            <w:r w:rsidRPr="009B1505">
              <w:t>GS-14 public health analyst at 10% FTE</w:t>
            </w:r>
          </w:p>
        </w:tc>
        <w:tc>
          <w:tcPr>
            <w:tcW w:w="3128" w:type="dxa"/>
            <w:tcBorders>
              <w:left w:val="nil"/>
              <w:bottom w:val="single" w:sz="4" w:space="0" w:color="auto"/>
              <w:right w:val="nil"/>
            </w:tcBorders>
            <w:shd w:val="clear" w:color="auto" w:fill="auto"/>
            <w:noWrap/>
            <w:vAlign w:val="bottom"/>
          </w:tcPr>
          <w:p w14:paraId="67640879" w14:textId="77777777" w:rsidR="00990924" w:rsidRPr="0086376C" w:rsidRDefault="00990924" w:rsidP="00B7121D">
            <w:pPr>
              <w:pStyle w:val="TableText"/>
            </w:pPr>
            <w:r w:rsidRPr="0086376C">
              <w:rPr>
                <w:color w:val="000000"/>
                <w:szCs w:val="22"/>
              </w:rPr>
              <w:t>$12,127</w:t>
            </w:r>
          </w:p>
        </w:tc>
      </w:tr>
      <w:tr w:rsidR="00990924" w:rsidRPr="009B1505" w14:paraId="0613F8C8" w14:textId="77777777" w:rsidTr="004C4032">
        <w:trPr>
          <w:cantSplit/>
        </w:trPr>
        <w:tc>
          <w:tcPr>
            <w:tcW w:w="6232" w:type="dxa"/>
            <w:tcBorders>
              <w:top w:val="single" w:sz="4" w:space="0" w:color="auto"/>
              <w:left w:val="nil"/>
              <w:bottom w:val="single" w:sz="4" w:space="0" w:color="auto"/>
              <w:right w:val="nil"/>
            </w:tcBorders>
            <w:shd w:val="clear" w:color="auto" w:fill="auto"/>
            <w:noWrap/>
          </w:tcPr>
          <w:p w14:paraId="1159D5AB" w14:textId="77777777" w:rsidR="00990924" w:rsidRPr="009B1505" w:rsidRDefault="00990924" w:rsidP="00B7121D">
            <w:pPr>
              <w:pStyle w:val="TableText"/>
              <w:ind w:left="288"/>
            </w:pPr>
            <w:r w:rsidRPr="009B1505">
              <w:t>GS-13 program analyst at 10% FTE</w:t>
            </w:r>
          </w:p>
        </w:tc>
        <w:tc>
          <w:tcPr>
            <w:tcW w:w="3128" w:type="dxa"/>
            <w:tcBorders>
              <w:top w:val="single" w:sz="4" w:space="0" w:color="auto"/>
              <w:left w:val="nil"/>
              <w:bottom w:val="single" w:sz="4" w:space="0" w:color="auto"/>
              <w:right w:val="nil"/>
            </w:tcBorders>
            <w:shd w:val="clear" w:color="auto" w:fill="auto"/>
            <w:noWrap/>
            <w:vAlign w:val="bottom"/>
          </w:tcPr>
          <w:p w14:paraId="3E66BAAB" w14:textId="77777777" w:rsidR="00990924" w:rsidRPr="0086376C" w:rsidRDefault="00990924" w:rsidP="00B7121D">
            <w:pPr>
              <w:pStyle w:val="TableText"/>
            </w:pPr>
            <w:r w:rsidRPr="0086376C">
              <w:rPr>
                <w:color w:val="000000"/>
                <w:szCs w:val="22"/>
              </w:rPr>
              <w:t>$8,947</w:t>
            </w:r>
          </w:p>
        </w:tc>
      </w:tr>
      <w:tr w:rsidR="00990924" w:rsidRPr="009B1505" w14:paraId="355B737F" w14:textId="77777777" w:rsidTr="00B7121D">
        <w:trPr>
          <w:cantSplit/>
        </w:trPr>
        <w:tc>
          <w:tcPr>
            <w:tcW w:w="6232" w:type="dxa"/>
            <w:tcBorders>
              <w:left w:val="nil"/>
              <w:bottom w:val="single" w:sz="4" w:space="0" w:color="auto"/>
              <w:right w:val="nil"/>
            </w:tcBorders>
            <w:shd w:val="clear" w:color="auto" w:fill="auto"/>
            <w:noWrap/>
          </w:tcPr>
          <w:p w14:paraId="473BCF25" w14:textId="77777777" w:rsidR="00990924" w:rsidRPr="009B1505" w:rsidRDefault="00990924" w:rsidP="00B7121D">
            <w:pPr>
              <w:pStyle w:val="TableText"/>
              <w:ind w:left="288"/>
            </w:pPr>
            <w:r w:rsidRPr="009B1505">
              <w:t>GS-13 program analyst at 10% FTE</w:t>
            </w:r>
          </w:p>
        </w:tc>
        <w:tc>
          <w:tcPr>
            <w:tcW w:w="3128" w:type="dxa"/>
            <w:tcBorders>
              <w:left w:val="nil"/>
              <w:bottom w:val="single" w:sz="4" w:space="0" w:color="auto"/>
              <w:right w:val="nil"/>
            </w:tcBorders>
            <w:shd w:val="clear" w:color="auto" w:fill="auto"/>
            <w:noWrap/>
            <w:vAlign w:val="bottom"/>
          </w:tcPr>
          <w:p w14:paraId="5C86AB03" w14:textId="77777777" w:rsidR="00990924" w:rsidRPr="0086376C" w:rsidRDefault="00990924" w:rsidP="00B7121D">
            <w:pPr>
              <w:pStyle w:val="TableText"/>
            </w:pPr>
            <w:r w:rsidRPr="0086376C">
              <w:rPr>
                <w:color w:val="000000"/>
                <w:szCs w:val="22"/>
              </w:rPr>
              <w:t>$7,895</w:t>
            </w:r>
          </w:p>
        </w:tc>
      </w:tr>
      <w:tr w:rsidR="00990924" w:rsidRPr="009B1505" w14:paraId="378DEBBB" w14:textId="77777777" w:rsidTr="00B7121D">
        <w:trPr>
          <w:cantSplit/>
        </w:trPr>
        <w:tc>
          <w:tcPr>
            <w:tcW w:w="6232" w:type="dxa"/>
            <w:tcBorders>
              <w:left w:val="nil"/>
              <w:bottom w:val="single" w:sz="4" w:space="0" w:color="auto"/>
              <w:right w:val="nil"/>
            </w:tcBorders>
            <w:shd w:val="clear" w:color="auto" w:fill="auto"/>
            <w:noWrap/>
          </w:tcPr>
          <w:p w14:paraId="106AAE13" w14:textId="77777777" w:rsidR="00990924" w:rsidRPr="009B1505" w:rsidRDefault="00990924" w:rsidP="00B7121D">
            <w:pPr>
              <w:pStyle w:val="TableText"/>
              <w:ind w:left="288"/>
            </w:pPr>
            <w:r>
              <w:t xml:space="preserve">GS-12 contractors at </w:t>
            </w:r>
            <w:r w:rsidR="00F87EBC">
              <w:t>20</w:t>
            </w:r>
            <w:r>
              <w:t>% FTE</w:t>
            </w:r>
          </w:p>
        </w:tc>
        <w:tc>
          <w:tcPr>
            <w:tcW w:w="3128" w:type="dxa"/>
            <w:tcBorders>
              <w:left w:val="nil"/>
              <w:bottom w:val="single" w:sz="4" w:space="0" w:color="auto"/>
              <w:right w:val="nil"/>
            </w:tcBorders>
            <w:shd w:val="clear" w:color="auto" w:fill="auto"/>
            <w:noWrap/>
            <w:vAlign w:val="bottom"/>
          </w:tcPr>
          <w:p w14:paraId="67A4C7B2" w14:textId="77777777" w:rsidR="00990924" w:rsidRPr="0086376C" w:rsidRDefault="00990924" w:rsidP="00B7121D">
            <w:pPr>
              <w:pStyle w:val="TableText"/>
            </w:pPr>
            <w:r w:rsidRPr="0086376C">
              <w:rPr>
                <w:color w:val="000000"/>
                <w:szCs w:val="22"/>
              </w:rPr>
              <w:t>$13,275</w:t>
            </w:r>
          </w:p>
        </w:tc>
      </w:tr>
      <w:tr w:rsidR="00990924" w:rsidRPr="009B1505" w14:paraId="7347C216" w14:textId="77777777" w:rsidTr="00B7121D">
        <w:trPr>
          <w:cantSplit/>
        </w:trPr>
        <w:tc>
          <w:tcPr>
            <w:tcW w:w="6232" w:type="dxa"/>
            <w:tcBorders>
              <w:top w:val="single" w:sz="4" w:space="0" w:color="auto"/>
              <w:left w:val="nil"/>
              <w:bottom w:val="single" w:sz="12" w:space="0" w:color="auto"/>
              <w:right w:val="nil"/>
            </w:tcBorders>
            <w:shd w:val="clear" w:color="auto" w:fill="auto"/>
          </w:tcPr>
          <w:p w14:paraId="5A992645" w14:textId="77777777" w:rsidR="00990924" w:rsidRPr="009B1505" w:rsidRDefault="00990924" w:rsidP="00B7121D">
            <w:pPr>
              <w:pStyle w:val="TableText"/>
            </w:pPr>
            <w:r w:rsidRPr="009B1505">
              <w:t>Total</w:t>
            </w:r>
          </w:p>
        </w:tc>
        <w:tc>
          <w:tcPr>
            <w:tcW w:w="3128" w:type="dxa"/>
            <w:tcBorders>
              <w:top w:val="single" w:sz="4" w:space="0" w:color="auto"/>
              <w:left w:val="nil"/>
              <w:bottom w:val="single" w:sz="12" w:space="0" w:color="auto"/>
              <w:right w:val="nil"/>
            </w:tcBorders>
            <w:shd w:val="clear" w:color="auto" w:fill="auto"/>
            <w:noWrap/>
            <w:vAlign w:val="bottom"/>
          </w:tcPr>
          <w:p w14:paraId="405E0DE4" w14:textId="77777777" w:rsidR="00990924" w:rsidRPr="0086376C" w:rsidRDefault="00A30BE1" w:rsidP="00B7121D">
            <w:pPr>
              <w:pStyle w:val="TableText"/>
            </w:pPr>
            <w:r>
              <w:rPr>
                <w:color w:val="000000"/>
                <w:szCs w:val="22"/>
              </w:rPr>
              <w:t>$1,</w:t>
            </w:r>
            <w:r w:rsidR="0028558B">
              <w:rPr>
                <w:color w:val="000000"/>
                <w:szCs w:val="22"/>
              </w:rPr>
              <w:t>982,779</w:t>
            </w:r>
          </w:p>
        </w:tc>
      </w:tr>
    </w:tbl>
    <w:p w14:paraId="22EDB32A" w14:textId="77777777" w:rsidR="00990924" w:rsidRPr="009B1505" w:rsidRDefault="00990924" w:rsidP="00990924">
      <w:pPr>
        <w:pStyle w:val="tabfigsource"/>
      </w:pPr>
      <w:r>
        <w:t>FTE = full time equivalent</w:t>
      </w:r>
    </w:p>
    <w:p w14:paraId="13FF1EC3" w14:textId="77777777" w:rsidR="007D2A22" w:rsidRPr="009B1505" w:rsidRDefault="007D2A22" w:rsidP="007D2A22">
      <w:pPr>
        <w:pStyle w:val="Heading2"/>
      </w:pPr>
      <w:bookmarkStart w:id="73" w:name="_Toc88033481"/>
      <w:bookmarkStart w:id="74" w:name="_Toc474237990"/>
      <w:bookmarkStart w:id="75" w:name="_Toc497134512"/>
      <w:r w:rsidRPr="009B1505">
        <w:t>A.15</w:t>
      </w:r>
      <w:r w:rsidRPr="009B1505">
        <w:tab/>
      </w:r>
      <w:bookmarkEnd w:id="73"/>
      <w:r w:rsidRPr="009B1505">
        <w:t>Explanation for Program Changes or Adjustments</w:t>
      </w:r>
      <w:bookmarkEnd w:id="74"/>
      <w:bookmarkEnd w:id="75"/>
    </w:p>
    <w:p w14:paraId="3D4BE3C6" w14:textId="77777777" w:rsidR="007D2A22" w:rsidRPr="009B1505" w:rsidRDefault="007D2A22" w:rsidP="007D2A22">
      <w:pPr>
        <w:pStyle w:val="BodyText1"/>
      </w:pPr>
      <w:r w:rsidRPr="009B1505">
        <w:t>This is a new data collection.</w:t>
      </w:r>
    </w:p>
    <w:p w14:paraId="236E00F7" w14:textId="77777777" w:rsidR="007D2A22" w:rsidRPr="009B1505" w:rsidRDefault="007D2A22" w:rsidP="007D2A22">
      <w:pPr>
        <w:pStyle w:val="Heading2"/>
      </w:pPr>
      <w:bookmarkStart w:id="76" w:name="_Toc88033482"/>
      <w:bookmarkStart w:id="77" w:name="_Toc474237991"/>
      <w:bookmarkStart w:id="78" w:name="_Toc497134513"/>
      <w:r w:rsidRPr="009B1505">
        <w:t>A.16</w:t>
      </w:r>
      <w:r w:rsidRPr="009B1505">
        <w:tab/>
      </w:r>
      <w:bookmarkEnd w:id="76"/>
      <w:r w:rsidRPr="009B1505">
        <w:t>Plans for Tabulation and Publication and Project Time Schedule</w:t>
      </w:r>
      <w:bookmarkEnd w:id="77"/>
      <w:bookmarkEnd w:id="78"/>
    </w:p>
    <w:p w14:paraId="4E27DBFF" w14:textId="77777777" w:rsidR="001F4FC5" w:rsidRPr="009B1505" w:rsidRDefault="001F4FC5" w:rsidP="001F4FC5">
      <w:pPr>
        <w:pStyle w:val="BodyText1"/>
      </w:pPr>
      <w:bookmarkStart w:id="79" w:name="_Toc275433781"/>
      <w:bookmarkStart w:id="80" w:name="_Toc474237993"/>
      <w:bookmarkStart w:id="81" w:name="_Toc88033483"/>
      <w:r>
        <w:t>CDC</w:t>
      </w:r>
      <w:r w:rsidRPr="009B1505">
        <w:t xml:space="preserve"> </w:t>
      </w:r>
      <w:r>
        <w:t>expects</w:t>
      </w:r>
      <w:r w:rsidRPr="009B1505">
        <w:t xml:space="preserve"> an assortment of reporting and d</w:t>
      </w:r>
      <w:r>
        <w:t>issemination deliverables under the MAT</w:t>
      </w:r>
      <w:r w:rsidR="00BE07CE">
        <w:t xml:space="preserve"> </w:t>
      </w:r>
      <w:r w:rsidR="00771990">
        <w:t>S</w:t>
      </w:r>
      <w:r w:rsidR="00BE07CE">
        <w:t>tudy</w:t>
      </w:r>
      <w:r>
        <w:t xml:space="preserve"> fixed</w:t>
      </w:r>
      <w:r w:rsidR="00A705D3">
        <w:t>-</w:t>
      </w:r>
      <w:r>
        <w:t>price contract. These include contractually</w:t>
      </w:r>
      <w:r w:rsidR="00D10A92">
        <w:t>-</w:t>
      </w:r>
      <w:r>
        <w:t xml:space="preserve">required deliverables such as </w:t>
      </w:r>
      <w:r w:rsidRPr="009B1505">
        <w:t xml:space="preserve">annual and final merged databases, annual site reports, and annual CDC reports. In addition, the </w:t>
      </w:r>
      <w:r>
        <w:t>contractor is expected</w:t>
      </w:r>
      <w:r w:rsidRPr="009B1505">
        <w:t xml:space="preserve"> to assist CDC with </w:t>
      </w:r>
      <w:r w:rsidR="00105ED8">
        <w:t>specified</w:t>
      </w:r>
      <w:r w:rsidR="00105ED8" w:rsidRPr="009B1505">
        <w:t xml:space="preserve"> </w:t>
      </w:r>
      <w:r w:rsidRPr="009B1505">
        <w:t>reporting needs that may arise, including short and long analytic reports, peer-reviewed journal articles, congressional briefings, annual evaluation reports, research and policy briefs, ad hoc analytic reports, best practice</w:t>
      </w:r>
      <w:r>
        <w:t>s</w:t>
      </w:r>
      <w:r w:rsidRPr="009B1505">
        <w:t xml:space="preserve"> summaries, user guides, data and analysis documentation, and conferences or other presentations. All materials prepared for dissemination will obtain CDC scientific and policy clearance before distribution.</w:t>
      </w:r>
    </w:p>
    <w:bookmarkEnd w:id="79"/>
    <w:bookmarkEnd w:id="80"/>
    <w:p w14:paraId="6A2F9E6D" w14:textId="77777777" w:rsidR="007D2A22" w:rsidRPr="009B1505" w:rsidRDefault="007D2A22" w:rsidP="007D2A22">
      <w:pPr>
        <w:pStyle w:val="BodyText1"/>
      </w:pPr>
      <w:r w:rsidRPr="009B1505">
        <w:t xml:space="preserve">The expected time schedule for project activities is presented in </w:t>
      </w:r>
      <w:r w:rsidR="00625E80" w:rsidRPr="009B1505">
        <w:rPr>
          <w:b/>
          <w:i/>
        </w:rPr>
        <w:t>Exhibit 8</w:t>
      </w:r>
      <w:r w:rsidRPr="009B1505">
        <w:t>. All data collection activities are subject to OMB approval.</w:t>
      </w:r>
    </w:p>
    <w:p w14:paraId="3FDD9ECE" w14:textId="77777777" w:rsidR="007D2A22" w:rsidRPr="009B1505" w:rsidRDefault="007D2A22" w:rsidP="00A8192A">
      <w:pPr>
        <w:pStyle w:val="ExhibitTitle"/>
      </w:pPr>
      <w:bookmarkStart w:id="82" w:name="_Toc275433795"/>
      <w:bookmarkStart w:id="83" w:name="_Toc307224728"/>
      <w:bookmarkStart w:id="84" w:name="_Toc474759140"/>
      <w:r w:rsidRPr="009B1505">
        <w:t xml:space="preserve">Exhibit </w:t>
      </w:r>
      <w:r w:rsidR="00625E80" w:rsidRPr="009B1505">
        <w:t>8</w:t>
      </w:r>
      <w:r w:rsidRPr="009B1505">
        <w:t>.</w:t>
      </w:r>
      <w:r w:rsidRPr="009B1505">
        <w:tab/>
        <w:t>Estimated Time Schedule for Project Activities</w:t>
      </w:r>
      <w:bookmarkEnd w:id="82"/>
      <w:bookmarkEnd w:id="83"/>
      <w:bookmarkEnd w:id="84"/>
    </w:p>
    <w:tbl>
      <w:tblPr>
        <w:tblW w:w="9360"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4680"/>
        <w:gridCol w:w="4680"/>
      </w:tblGrid>
      <w:tr w:rsidR="007D2A22" w:rsidRPr="009B1505" w14:paraId="39D3D022" w14:textId="77777777" w:rsidTr="00E170E6">
        <w:trPr>
          <w:cantSplit/>
        </w:trPr>
        <w:tc>
          <w:tcPr>
            <w:tcW w:w="4680" w:type="dxa"/>
            <w:tcBorders>
              <w:top w:val="single" w:sz="12" w:space="0" w:color="auto"/>
              <w:bottom w:val="single" w:sz="6" w:space="0" w:color="auto"/>
            </w:tcBorders>
          </w:tcPr>
          <w:p w14:paraId="34220B32" w14:textId="77777777" w:rsidR="007D2A22" w:rsidRPr="009B1505" w:rsidRDefault="007D2A22" w:rsidP="00AB6A3D">
            <w:pPr>
              <w:pStyle w:val="TableHeaders"/>
            </w:pPr>
            <w:r w:rsidRPr="009B1505">
              <w:t>Activity</w:t>
            </w:r>
          </w:p>
        </w:tc>
        <w:tc>
          <w:tcPr>
            <w:tcW w:w="4680" w:type="dxa"/>
            <w:tcBorders>
              <w:top w:val="single" w:sz="12" w:space="0" w:color="auto"/>
              <w:bottom w:val="single" w:sz="6" w:space="0" w:color="auto"/>
            </w:tcBorders>
          </w:tcPr>
          <w:p w14:paraId="19144626" w14:textId="77777777" w:rsidR="007D2A22" w:rsidRPr="009B1505" w:rsidRDefault="007D2A22" w:rsidP="00AB6A3D">
            <w:pPr>
              <w:pStyle w:val="TableHeaders"/>
            </w:pPr>
            <w:r w:rsidRPr="009B1505">
              <w:t>Expected Timeline</w:t>
            </w:r>
          </w:p>
        </w:tc>
      </w:tr>
      <w:tr w:rsidR="007D2A22" w:rsidRPr="009B1505" w14:paraId="6E33737D" w14:textId="77777777" w:rsidTr="00E170E6">
        <w:trPr>
          <w:cantSplit/>
        </w:trPr>
        <w:tc>
          <w:tcPr>
            <w:tcW w:w="4680" w:type="dxa"/>
            <w:tcBorders>
              <w:top w:val="single" w:sz="6" w:space="0" w:color="auto"/>
            </w:tcBorders>
          </w:tcPr>
          <w:p w14:paraId="0DE48843" w14:textId="77777777" w:rsidR="007D2A22" w:rsidRPr="009B1505" w:rsidRDefault="0062507E" w:rsidP="00AB6A3D">
            <w:pPr>
              <w:pStyle w:val="TableText"/>
            </w:pPr>
            <w:r>
              <w:t xml:space="preserve">Treatment facility </w:t>
            </w:r>
            <w:r w:rsidR="007D2A22" w:rsidRPr="009B1505">
              <w:t>sampling frame development</w:t>
            </w:r>
          </w:p>
        </w:tc>
        <w:tc>
          <w:tcPr>
            <w:tcW w:w="4680" w:type="dxa"/>
            <w:tcBorders>
              <w:top w:val="single" w:sz="6" w:space="0" w:color="auto"/>
            </w:tcBorders>
          </w:tcPr>
          <w:p w14:paraId="134C3900" w14:textId="77777777" w:rsidR="007D2A22" w:rsidRPr="009B1505" w:rsidRDefault="007D2A22" w:rsidP="00AB6A3D">
            <w:pPr>
              <w:pStyle w:val="TableText"/>
            </w:pPr>
            <w:r w:rsidRPr="009B1505">
              <w:t>Spring–Summer 2017</w:t>
            </w:r>
          </w:p>
        </w:tc>
      </w:tr>
      <w:tr w:rsidR="007D2A22" w:rsidRPr="009B1505" w14:paraId="603083A9" w14:textId="77777777" w:rsidTr="00E170E6">
        <w:trPr>
          <w:cantSplit/>
        </w:trPr>
        <w:tc>
          <w:tcPr>
            <w:tcW w:w="4680" w:type="dxa"/>
          </w:tcPr>
          <w:p w14:paraId="46E26EFB" w14:textId="77777777" w:rsidR="007D2A22" w:rsidRPr="009B1505" w:rsidRDefault="007D2A22" w:rsidP="00AB6A3D">
            <w:pPr>
              <w:pStyle w:val="TableText"/>
            </w:pPr>
            <w:r w:rsidRPr="009B1505">
              <w:t xml:space="preserve">OMB approval </w:t>
            </w:r>
          </w:p>
        </w:tc>
        <w:tc>
          <w:tcPr>
            <w:tcW w:w="4680" w:type="dxa"/>
          </w:tcPr>
          <w:p w14:paraId="77C874AA" w14:textId="77777777" w:rsidR="007D2A22" w:rsidRPr="009B1505" w:rsidRDefault="00105ED8" w:rsidP="00AB6A3D">
            <w:pPr>
              <w:pStyle w:val="TableText"/>
            </w:pPr>
            <w:r>
              <w:t>December</w:t>
            </w:r>
            <w:r w:rsidRPr="009B1505">
              <w:t xml:space="preserve"> </w:t>
            </w:r>
            <w:r w:rsidR="007D2A22" w:rsidRPr="009B1505">
              <w:t>2017</w:t>
            </w:r>
          </w:p>
        </w:tc>
      </w:tr>
      <w:tr w:rsidR="007D2A22" w:rsidRPr="009B1505" w14:paraId="66A88A3B" w14:textId="77777777" w:rsidTr="00E170E6">
        <w:trPr>
          <w:cantSplit/>
        </w:trPr>
        <w:tc>
          <w:tcPr>
            <w:tcW w:w="4680" w:type="dxa"/>
          </w:tcPr>
          <w:p w14:paraId="4037C56F" w14:textId="77777777" w:rsidR="007D2A22" w:rsidRPr="009B1505" w:rsidRDefault="00E53B9A">
            <w:pPr>
              <w:pStyle w:val="TableText"/>
            </w:pPr>
            <w:r>
              <w:t xml:space="preserve">Treatment facility </w:t>
            </w:r>
            <w:r w:rsidR="00AB6A3D" w:rsidRPr="009B1505">
              <w:t xml:space="preserve">and </w:t>
            </w:r>
            <w:r w:rsidR="00DC56A4">
              <w:t>c</w:t>
            </w:r>
            <w:r w:rsidR="00AB6A3D" w:rsidRPr="009B1505">
              <w:t xml:space="preserve">lient </w:t>
            </w:r>
            <w:r w:rsidR="00DC56A4">
              <w:t>e</w:t>
            </w:r>
            <w:r w:rsidR="00AB6A3D" w:rsidRPr="009B1505">
              <w:t>nrollment</w:t>
            </w:r>
          </w:p>
        </w:tc>
        <w:tc>
          <w:tcPr>
            <w:tcW w:w="4680" w:type="dxa"/>
          </w:tcPr>
          <w:p w14:paraId="369E0167" w14:textId="77777777" w:rsidR="007D2A22" w:rsidRPr="009B1505" w:rsidRDefault="00105ED8" w:rsidP="00AB6A3D">
            <w:pPr>
              <w:pStyle w:val="TableText"/>
            </w:pPr>
            <w:r>
              <w:t>December</w:t>
            </w:r>
            <w:r w:rsidRPr="009B1505">
              <w:t xml:space="preserve"> </w:t>
            </w:r>
            <w:r w:rsidR="00AB6A3D" w:rsidRPr="009B1505">
              <w:t>2017–</w:t>
            </w:r>
            <w:r>
              <w:t>October</w:t>
            </w:r>
            <w:r w:rsidRPr="009B1505">
              <w:t xml:space="preserve"> </w:t>
            </w:r>
            <w:r w:rsidR="00AB6A3D" w:rsidRPr="009B1505">
              <w:t>2018</w:t>
            </w:r>
          </w:p>
        </w:tc>
      </w:tr>
      <w:tr w:rsidR="007D2A22" w:rsidRPr="009B1505" w14:paraId="6844DF21" w14:textId="77777777" w:rsidTr="00E170E6">
        <w:trPr>
          <w:cantSplit/>
        </w:trPr>
        <w:tc>
          <w:tcPr>
            <w:tcW w:w="4680" w:type="dxa"/>
          </w:tcPr>
          <w:p w14:paraId="6ACBF404" w14:textId="77777777" w:rsidR="007D2A22" w:rsidRPr="009B1505" w:rsidRDefault="00AB6A3D" w:rsidP="00AB6A3D">
            <w:pPr>
              <w:pStyle w:val="TableText"/>
            </w:pPr>
            <w:r w:rsidRPr="009B1505">
              <w:t xml:space="preserve">Ongoing </w:t>
            </w:r>
            <w:r w:rsidR="00E53B9A">
              <w:t>treatment facility</w:t>
            </w:r>
            <w:r w:rsidRPr="009B1505">
              <w:t xml:space="preserve"> and client data collection</w:t>
            </w:r>
          </w:p>
        </w:tc>
        <w:tc>
          <w:tcPr>
            <w:tcW w:w="4680" w:type="dxa"/>
          </w:tcPr>
          <w:p w14:paraId="2D5D1D96" w14:textId="77777777" w:rsidR="007D2A22" w:rsidRPr="009B1505" w:rsidRDefault="00105ED8" w:rsidP="00AB6A3D">
            <w:pPr>
              <w:pStyle w:val="TableText"/>
            </w:pPr>
            <w:r>
              <w:t>December</w:t>
            </w:r>
            <w:r w:rsidRPr="009B1505">
              <w:t xml:space="preserve"> </w:t>
            </w:r>
            <w:r w:rsidR="00AB6A3D" w:rsidRPr="009B1505">
              <w:t>2017–</w:t>
            </w:r>
            <w:r>
              <w:t>October</w:t>
            </w:r>
            <w:r w:rsidRPr="009B1505">
              <w:t xml:space="preserve"> </w:t>
            </w:r>
            <w:r w:rsidR="00AB6A3D" w:rsidRPr="009B1505">
              <w:t>2020</w:t>
            </w:r>
          </w:p>
        </w:tc>
      </w:tr>
      <w:tr w:rsidR="00AB6A3D" w:rsidRPr="009B1505" w14:paraId="64A67B20" w14:textId="77777777" w:rsidTr="00E170E6">
        <w:trPr>
          <w:cantSplit/>
        </w:trPr>
        <w:tc>
          <w:tcPr>
            <w:tcW w:w="4680" w:type="dxa"/>
          </w:tcPr>
          <w:p w14:paraId="3530D473" w14:textId="77777777" w:rsidR="00AB6A3D" w:rsidRPr="009B1505" w:rsidRDefault="00AB6A3D" w:rsidP="00AB6A3D">
            <w:pPr>
              <w:pStyle w:val="TableText"/>
            </w:pPr>
            <w:r w:rsidRPr="009B1505">
              <w:t>Data cleaning, preparation and analysis</w:t>
            </w:r>
          </w:p>
        </w:tc>
        <w:tc>
          <w:tcPr>
            <w:tcW w:w="4680" w:type="dxa"/>
          </w:tcPr>
          <w:p w14:paraId="2D5302FD" w14:textId="77777777" w:rsidR="00AB6A3D" w:rsidRPr="009B1505" w:rsidRDefault="00105ED8" w:rsidP="00AB6A3D">
            <w:pPr>
              <w:pStyle w:val="TableText"/>
            </w:pPr>
            <w:r>
              <w:t>January</w:t>
            </w:r>
            <w:r w:rsidRPr="009B1505">
              <w:t xml:space="preserve"> 201</w:t>
            </w:r>
            <w:r>
              <w:t>8</w:t>
            </w:r>
            <w:r w:rsidR="00AB6A3D" w:rsidRPr="009B1505">
              <w:t>–</w:t>
            </w:r>
            <w:r>
              <w:t>November</w:t>
            </w:r>
            <w:r w:rsidRPr="009B1505">
              <w:t xml:space="preserve"> </w:t>
            </w:r>
            <w:r w:rsidR="00AB6A3D" w:rsidRPr="009B1505">
              <w:t>2020</w:t>
            </w:r>
          </w:p>
        </w:tc>
      </w:tr>
      <w:tr w:rsidR="00AB6A3D" w:rsidRPr="009B1505" w14:paraId="117CB942" w14:textId="77777777" w:rsidTr="00E170E6">
        <w:trPr>
          <w:cantSplit/>
        </w:trPr>
        <w:tc>
          <w:tcPr>
            <w:tcW w:w="4680" w:type="dxa"/>
          </w:tcPr>
          <w:p w14:paraId="61CE64F2" w14:textId="77777777" w:rsidR="00AB6A3D" w:rsidRPr="009B1505" w:rsidRDefault="00AB6A3D">
            <w:pPr>
              <w:pStyle w:val="TableText"/>
            </w:pPr>
            <w:r w:rsidRPr="009B1505">
              <w:t xml:space="preserve">Reporting and </w:t>
            </w:r>
            <w:r w:rsidR="00DC56A4">
              <w:t>d</w:t>
            </w:r>
            <w:r w:rsidRPr="009B1505">
              <w:t>issemination</w:t>
            </w:r>
          </w:p>
        </w:tc>
        <w:tc>
          <w:tcPr>
            <w:tcW w:w="4680" w:type="dxa"/>
          </w:tcPr>
          <w:p w14:paraId="46038E73" w14:textId="77777777" w:rsidR="00AB6A3D" w:rsidRPr="009B1505" w:rsidRDefault="00AB6A3D" w:rsidP="00AB6A3D">
            <w:pPr>
              <w:pStyle w:val="TableText"/>
            </w:pPr>
            <w:r w:rsidRPr="009B1505">
              <w:t>January 2018–</w:t>
            </w:r>
            <w:r w:rsidR="00105ED8">
              <w:t>March</w:t>
            </w:r>
            <w:r w:rsidR="00105ED8" w:rsidRPr="009B1505">
              <w:t xml:space="preserve"> 202</w:t>
            </w:r>
            <w:r w:rsidR="00105ED8">
              <w:t>1</w:t>
            </w:r>
          </w:p>
        </w:tc>
      </w:tr>
    </w:tbl>
    <w:p w14:paraId="78DBC688" w14:textId="77777777" w:rsidR="00AB6A3D" w:rsidRPr="009B1505" w:rsidRDefault="00DC56A4" w:rsidP="00AB6A3D">
      <w:pPr>
        <w:pStyle w:val="tabfigsource"/>
      </w:pPr>
      <w:bookmarkStart w:id="85" w:name="_Toc474237994"/>
      <w:r>
        <w:t>OMB = Office of Management and Budget</w:t>
      </w:r>
    </w:p>
    <w:p w14:paraId="225C3A08" w14:textId="77777777" w:rsidR="007D2A22" w:rsidRPr="009B1505" w:rsidRDefault="007D2A22" w:rsidP="007D2A22">
      <w:pPr>
        <w:pStyle w:val="Heading2"/>
      </w:pPr>
      <w:bookmarkStart w:id="86" w:name="_Toc497134514"/>
      <w:r w:rsidRPr="009B1505">
        <w:t>A.17</w:t>
      </w:r>
      <w:r w:rsidRPr="009B1505">
        <w:tab/>
      </w:r>
      <w:bookmarkStart w:id="87" w:name="_Toc88033484"/>
      <w:bookmarkEnd w:id="81"/>
      <w:r w:rsidRPr="009B1505">
        <w:t>Reason(s) Display of OMB Expiration Date Is Inappropriate</w:t>
      </w:r>
      <w:bookmarkEnd w:id="85"/>
      <w:bookmarkEnd w:id="86"/>
    </w:p>
    <w:p w14:paraId="472B0AAA" w14:textId="77777777" w:rsidR="007D2A22" w:rsidRPr="009B1505" w:rsidRDefault="007D2A22" w:rsidP="007D2A22">
      <w:pPr>
        <w:pStyle w:val="BodyText1"/>
      </w:pPr>
      <w:r w:rsidRPr="009B1505">
        <w:t>No request for an exemption from displaying the expiration date for OMB approval is being sought.</w:t>
      </w:r>
    </w:p>
    <w:p w14:paraId="5944F9B7" w14:textId="2315F1A0" w:rsidR="007D2A22" w:rsidRPr="009B1505" w:rsidRDefault="007D2A22" w:rsidP="007D2A22">
      <w:pPr>
        <w:pStyle w:val="Heading2"/>
      </w:pPr>
      <w:bookmarkStart w:id="88" w:name="_Toc474237995"/>
      <w:bookmarkStart w:id="89" w:name="_Toc497134515"/>
      <w:r w:rsidRPr="009B1505">
        <w:t>A.18</w:t>
      </w:r>
      <w:r w:rsidRPr="009B1505">
        <w:tab/>
      </w:r>
      <w:bookmarkEnd w:id="87"/>
      <w:r w:rsidRPr="009B1505">
        <w:t>Exceptions to Certification for Paperwork Reduction Act Submissions</w:t>
      </w:r>
      <w:bookmarkEnd w:id="88"/>
      <w:bookmarkEnd w:id="89"/>
    </w:p>
    <w:p w14:paraId="462CD924" w14:textId="77777777" w:rsidR="007D2A22" w:rsidRPr="009B1505" w:rsidRDefault="007D2A22" w:rsidP="007D2A22">
      <w:pPr>
        <w:pStyle w:val="BodyText1"/>
      </w:pPr>
      <w:r w:rsidRPr="009B1505">
        <w:t>There are no exceptions to the certification.</w:t>
      </w:r>
    </w:p>
    <w:p w14:paraId="419316FD" w14:textId="77777777" w:rsidR="007D2A22" w:rsidRPr="009B1505" w:rsidRDefault="007D2A22" w:rsidP="007D2A22">
      <w:pPr>
        <w:rPr>
          <w:b/>
          <w:caps/>
          <w:sz w:val="28"/>
          <w:szCs w:val="20"/>
        </w:rPr>
      </w:pPr>
      <w:r w:rsidRPr="009B1505">
        <w:br w:type="page"/>
      </w:r>
    </w:p>
    <w:p w14:paraId="42E5CABE" w14:textId="77777777" w:rsidR="007D2A22" w:rsidRPr="009B1505" w:rsidRDefault="007D2A22" w:rsidP="007D2A22">
      <w:pPr>
        <w:pStyle w:val="Heading1"/>
      </w:pPr>
      <w:bookmarkStart w:id="90" w:name="_Toc474237996"/>
      <w:bookmarkStart w:id="91" w:name="_Toc497134516"/>
      <w:r w:rsidRPr="009B1505">
        <w:t>References</w:t>
      </w:r>
      <w:bookmarkEnd w:id="90"/>
      <w:bookmarkEnd w:id="91"/>
    </w:p>
    <w:p w14:paraId="049FA4E8" w14:textId="77777777" w:rsidR="003C605B" w:rsidRDefault="003C605B" w:rsidP="00A621A7">
      <w:pPr>
        <w:pStyle w:val="biblio"/>
      </w:pPr>
    </w:p>
    <w:p w14:paraId="7B860F80" w14:textId="77777777" w:rsidR="00E46B92" w:rsidRPr="00E46B92" w:rsidRDefault="00E46B92" w:rsidP="00E46B92">
      <w:pPr>
        <w:pStyle w:val="biblio"/>
      </w:pPr>
      <w:r w:rsidRPr="00E46B92">
        <w:t>ASPE. Opioid Abuse in the U.S. and HHS Actions to Address Opioid-Drug Related Overdoses and Deaths. March 2015.  </w:t>
      </w:r>
      <w:hyperlink r:id="rId10" w:history="1">
        <w:r w:rsidRPr="00E46B92">
          <w:rPr>
            <w:rStyle w:val="Hyperlink"/>
          </w:rPr>
          <w:t>https://aspe.hhs.gov/basic-report/opioid-abuse-us-and-hhs-actions-address-opioid-drug-related-overdoses-and-deaths</w:t>
        </w:r>
      </w:hyperlink>
    </w:p>
    <w:p w14:paraId="610D9CAE" w14:textId="77777777" w:rsidR="003C605B" w:rsidRDefault="003C605B" w:rsidP="00A621A7">
      <w:pPr>
        <w:pStyle w:val="biblio"/>
        <w:rPr>
          <w:szCs w:val="24"/>
        </w:rPr>
      </w:pPr>
      <w:r>
        <w:t xml:space="preserve">Brick, J. M., &amp; Williams, D. (2013). Explaining rising nonresponse rates in cross-sectional surveys. </w:t>
      </w:r>
      <w:r>
        <w:rPr>
          <w:i/>
          <w:iCs/>
        </w:rPr>
        <w:t>The ANNALS of the American academy of political and social science</w:t>
      </w:r>
      <w:r>
        <w:t xml:space="preserve">, </w:t>
      </w:r>
      <w:r>
        <w:rPr>
          <w:i/>
          <w:iCs/>
        </w:rPr>
        <w:t>645</w:t>
      </w:r>
      <w:r>
        <w:t>(1), 36-59.</w:t>
      </w:r>
    </w:p>
    <w:p w14:paraId="6240B0BA" w14:textId="77777777" w:rsidR="00A621A7" w:rsidRPr="00A621A7" w:rsidRDefault="00A621A7" w:rsidP="00A621A7">
      <w:pPr>
        <w:pStyle w:val="biblio"/>
        <w:rPr>
          <w:szCs w:val="24"/>
        </w:rPr>
      </w:pPr>
      <w:r w:rsidRPr="00A621A7">
        <w:rPr>
          <w:szCs w:val="24"/>
        </w:rPr>
        <w:t>Center for Behavioral Health Statistics and Quality. (2015). 2016 National Survey on Drug Use and Health (NSDUH): CAI Specifications for Programming (English Version). Substance Abuse and Mental Health Services Administration, Rockville, MD.</w:t>
      </w:r>
    </w:p>
    <w:p w14:paraId="66C8B087" w14:textId="77777777" w:rsidR="00A621A7" w:rsidRDefault="00A621A7" w:rsidP="00A621A7">
      <w:pPr>
        <w:pStyle w:val="biblio"/>
        <w:rPr>
          <w:szCs w:val="24"/>
        </w:rPr>
      </w:pPr>
      <w:r w:rsidRPr="00A621A7">
        <w:rPr>
          <w:szCs w:val="24"/>
        </w:rPr>
        <w:t>Center for Disease Control and Prevention (CDC). (2015). Behavioral Risk Factor Surveillance Survey Questionnaire. Atlanta, Georgia: U.S. Department of Health and Human Services, Center for Disease Control and Prevention.</w:t>
      </w:r>
    </w:p>
    <w:p w14:paraId="3C290688" w14:textId="77777777" w:rsidR="004C4032" w:rsidRDefault="004C4032" w:rsidP="009F17BD">
      <w:pPr>
        <w:pStyle w:val="biblio"/>
        <w:rPr>
          <w:szCs w:val="24"/>
        </w:rPr>
      </w:pPr>
      <w:r>
        <w:rPr>
          <w:szCs w:val="24"/>
        </w:rPr>
        <w:t xml:space="preserve">Center for Disease Control and Prevention (CDC). (2016). Provisional Counts of Drug Overdose Deaths, as of 8/26/2017. Atlanta, Georgia: U.S. Department of Health and Human Services, Center for Disease Control and Prevention. </w:t>
      </w:r>
      <w:hyperlink r:id="rId11" w:history="1">
        <w:r w:rsidRPr="00521D0E">
          <w:rPr>
            <w:rStyle w:val="Hyperlink"/>
            <w:szCs w:val="24"/>
          </w:rPr>
          <w:t>https://www.cdc.gov/nchs/data/health_policy/monthly-drug-overdose-death-estimates.pdf</w:t>
        </w:r>
      </w:hyperlink>
      <w:r>
        <w:rPr>
          <w:szCs w:val="24"/>
        </w:rPr>
        <w:t xml:space="preserve">. </w:t>
      </w:r>
    </w:p>
    <w:p w14:paraId="0CEC60EF" w14:textId="77777777" w:rsidR="00A621A7" w:rsidRDefault="00A621A7" w:rsidP="009F17BD">
      <w:pPr>
        <w:pStyle w:val="biblio"/>
        <w:rPr>
          <w:szCs w:val="24"/>
        </w:rPr>
      </w:pPr>
      <w:r w:rsidRPr="00A621A7">
        <w:rPr>
          <w:szCs w:val="24"/>
        </w:rPr>
        <w:t>Center for Substance Abuse Treatment (CSAT). (2016). Government Paperwork Reduction Act Client Outcome Measures for Discretionary Programs (2012 Revision, English Version). Substance Abuse and Mental Health Services Administration, Rockville, MD.</w:t>
      </w:r>
    </w:p>
    <w:p w14:paraId="634F55E9" w14:textId="77777777" w:rsidR="001D606B" w:rsidRDefault="001D606B" w:rsidP="003C6868">
      <w:pPr>
        <w:pStyle w:val="biblio"/>
        <w:rPr>
          <w:szCs w:val="24"/>
        </w:rPr>
      </w:pPr>
      <w:r>
        <w:t xml:space="preserve">Center for Disease Control and Prevention (CDC). (2017). Opioid Overdose: Commonly Used Terms. </w:t>
      </w:r>
      <w:r w:rsidR="003C6868">
        <w:t>Accessed on 9/21/2017.</w:t>
      </w:r>
      <w:r w:rsidR="003C6868" w:rsidRPr="003C6868">
        <w:t xml:space="preserve"> </w:t>
      </w:r>
      <w:r w:rsidR="003C6868">
        <w:t>h</w:t>
      </w:r>
      <w:r w:rsidR="003C6868" w:rsidRPr="001975F0">
        <w:t>ttps://www.cdc.gov/drugoverdose/opioids/terms.html</w:t>
      </w:r>
      <w:r w:rsidR="003C6868">
        <w:t>.</w:t>
      </w:r>
    </w:p>
    <w:p w14:paraId="759FC879" w14:textId="77777777" w:rsidR="009F17BD" w:rsidRDefault="009F17BD" w:rsidP="009F17BD">
      <w:pPr>
        <w:pStyle w:val="biblio"/>
        <w:rPr>
          <w:color w:val="0000FF"/>
          <w:szCs w:val="24"/>
          <w:u w:val="words"/>
        </w:rPr>
      </w:pPr>
      <w:r w:rsidRPr="009B1505">
        <w:rPr>
          <w:szCs w:val="24"/>
        </w:rPr>
        <w:t>Cheong</w:t>
      </w:r>
      <w:r w:rsidRPr="009B1505">
        <w:t xml:space="preserve">, </w:t>
      </w:r>
      <w:r w:rsidRPr="009B1505">
        <w:rPr>
          <w:szCs w:val="24"/>
        </w:rPr>
        <w:t>J.</w:t>
      </w:r>
      <w:r w:rsidRPr="009B1505">
        <w:t xml:space="preserve">, </w:t>
      </w:r>
      <w:r w:rsidRPr="009B1505">
        <w:rPr>
          <w:szCs w:val="24"/>
        </w:rPr>
        <w:t>Mackinnon</w:t>
      </w:r>
      <w:r w:rsidRPr="009B1505">
        <w:t xml:space="preserve">, </w:t>
      </w:r>
      <w:r w:rsidRPr="009B1505">
        <w:rPr>
          <w:szCs w:val="24"/>
        </w:rPr>
        <w:t>D. P.</w:t>
      </w:r>
      <w:r w:rsidRPr="009B1505">
        <w:t xml:space="preserve">, &amp; </w:t>
      </w:r>
      <w:r w:rsidRPr="009B1505">
        <w:rPr>
          <w:szCs w:val="24"/>
        </w:rPr>
        <w:t>Khoo</w:t>
      </w:r>
      <w:r w:rsidRPr="009B1505">
        <w:t xml:space="preserve">, </w:t>
      </w:r>
      <w:r w:rsidRPr="009B1505">
        <w:rPr>
          <w:szCs w:val="24"/>
        </w:rPr>
        <w:t>S.-T.</w:t>
      </w:r>
      <w:r w:rsidRPr="009B1505">
        <w:t xml:space="preserve"> (</w:t>
      </w:r>
      <w:r w:rsidRPr="009B1505">
        <w:rPr>
          <w:szCs w:val="24"/>
        </w:rPr>
        <w:t>2003</w:t>
      </w:r>
      <w:r w:rsidRPr="009B1505">
        <w:t xml:space="preserve">). </w:t>
      </w:r>
      <w:r w:rsidRPr="009B1505">
        <w:rPr>
          <w:szCs w:val="24"/>
        </w:rPr>
        <w:t>Investigation of mediational processes using parallel process latent growth curve modeling.</w:t>
      </w:r>
      <w:r w:rsidRPr="009B1505">
        <w:t xml:space="preserve"> </w:t>
      </w:r>
      <w:r w:rsidRPr="009B1505">
        <w:rPr>
          <w:i/>
          <w:szCs w:val="24"/>
        </w:rPr>
        <w:t>Structural Equation Modeling</w:t>
      </w:r>
      <w:r w:rsidRPr="009B1505">
        <w:t xml:space="preserve">, </w:t>
      </w:r>
      <w:r w:rsidRPr="009B1505">
        <w:rPr>
          <w:i/>
          <w:szCs w:val="24"/>
        </w:rPr>
        <w:t>10</w:t>
      </w:r>
      <w:r w:rsidRPr="009B1505">
        <w:t>(</w:t>
      </w:r>
      <w:r w:rsidRPr="009B1505">
        <w:rPr>
          <w:szCs w:val="24"/>
        </w:rPr>
        <w:t>2</w:t>
      </w:r>
      <w:r w:rsidRPr="009B1505">
        <w:t xml:space="preserve">), </w:t>
      </w:r>
      <w:r w:rsidRPr="009B1505">
        <w:rPr>
          <w:szCs w:val="24"/>
        </w:rPr>
        <w:t>238</w:t>
      </w:r>
      <w:r w:rsidRPr="009B1505">
        <w:t>–</w:t>
      </w:r>
      <w:r w:rsidRPr="009B1505">
        <w:rPr>
          <w:szCs w:val="24"/>
        </w:rPr>
        <w:t>262</w:t>
      </w:r>
      <w:r w:rsidRPr="009B1505">
        <w:t xml:space="preserve">. </w:t>
      </w:r>
      <w:hyperlink r:id="rId12" w:history="1">
        <w:r w:rsidRPr="009B1505">
          <w:rPr>
            <w:color w:val="0000FF"/>
            <w:szCs w:val="24"/>
            <w:u w:val="words"/>
          </w:rPr>
          <w:t>http://dx.doi.org/10.1207/S15328007SEM1002_5</w:t>
        </w:r>
      </w:hyperlink>
    </w:p>
    <w:p w14:paraId="0DDABB54" w14:textId="77777777" w:rsidR="00F241FA" w:rsidRDefault="00A621A7" w:rsidP="00F241FA">
      <w:pPr>
        <w:pStyle w:val="biblio"/>
      </w:pPr>
      <w:r>
        <w:t xml:space="preserve">Cohen, S., Kamarck, T., &amp; Mermelstein, R. (1983). A global measure of perceived stress. </w:t>
      </w:r>
      <w:r w:rsidRPr="004C4032">
        <w:rPr>
          <w:i/>
        </w:rPr>
        <w:t>Journal of health and social behavior</w:t>
      </w:r>
      <w:r>
        <w:t>, 385-396.</w:t>
      </w:r>
    </w:p>
    <w:p w14:paraId="1B513240" w14:textId="77777777" w:rsidR="00F241FA" w:rsidRDefault="002C5D98" w:rsidP="00454E63">
      <w:pPr>
        <w:pStyle w:val="biblio"/>
      </w:pPr>
      <w:r>
        <w:t xml:space="preserve">Corsi K., Van Hunnik B., Kwiatkowski C., Booth R. (2006). </w:t>
      </w:r>
      <w:r w:rsidRPr="004C4032">
        <w:rPr>
          <w:iCs/>
        </w:rPr>
        <w:t>Computerized tracking and follow-up techniques in longitudinal research with drug users</w:t>
      </w:r>
      <w:r w:rsidRPr="00454E63">
        <w:t>.</w:t>
      </w:r>
      <w:r>
        <w:t xml:space="preserve">  </w:t>
      </w:r>
      <w:r w:rsidRPr="004C4032">
        <w:rPr>
          <w:i/>
        </w:rPr>
        <w:t>Health Services Outcomes Research Methods.</w:t>
      </w:r>
      <w:r>
        <w:t xml:space="preserve"> </w:t>
      </w:r>
      <w:r w:rsidR="00454E63">
        <w:rPr>
          <w:rStyle w:val="articlecitationyear"/>
          <w:rFonts w:ascii="Georgia" w:hAnsi="Georgia"/>
          <w:spacing w:val="1"/>
          <w:sz w:val="21"/>
          <w:szCs w:val="21"/>
          <w:lang w:val="en-GB"/>
        </w:rPr>
        <w:t xml:space="preserve">December 2006, </w:t>
      </w:r>
      <w:r w:rsidR="00454E63">
        <w:rPr>
          <w:rStyle w:val="articlecitationvolume"/>
          <w:rFonts w:ascii="Georgia" w:hAnsi="Georgia"/>
          <w:spacing w:val="1"/>
          <w:sz w:val="21"/>
          <w:szCs w:val="21"/>
          <w:lang w:val="en-GB"/>
        </w:rPr>
        <w:t xml:space="preserve">Volume 6, </w:t>
      </w:r>
      <w:hyperlink r:id="rId13" w:history="1">
        <w:r w:rsidR="00454E63">
          <w:rPr>
            <w:rStyle w:val="Hyperlink"/>
            <w:rFonts w:ascii="Georgia" w:hAnsi="Georgia"/>
            <w:spacing w:val="1"/>
            <w:sz w:val="21"/>
            <w:szCs w:val="21"/>
            <w:lang w:val="en-GB"/>
          </w:rPr>
          <w:t>Issue 3–4</w:t>
        </w:r>
      </w:hyperlink>
      <w:r w:rsidR="00454E63">
        <w:rPr>
          <w:rFonts w:ascii="Georgia" w:hAnsi="Georgia"/>
          <w:spacing w:val="1"/>
          <w:sz w:val="21"/>
          <w:szCs w:val="21"/>
          <w:lang w:val="en-GB"/>
        </w:rPr>
        <w:t xml:space="preserve">, </w:t>
      </w:r>
      <w:r w:rsidR="00454E63">
        <w:rPr>
          <w:rStyle w:val="articlecitationpages"/>
          <w:rFonts w:ascii="Georgia" w:hAnsi="Georgia"/>
          <w:spacing w:val="1"/>
          <w:sz w:val="21"/>
          <w:szCs w:val="21"/>
          <w:lang w:val="en-GB"/>
        </w:rPr>
        <w:t>pp 101–110</w:t>
      </w:r>
    </w:p>
    <w:p w14:paraId="15018596" w14:textId="77777777" w:rsidR="00454E63" w:rsidRDefault="003C605B" w:rsidP="00F241FA">
      <w:pPr>
        <w:pStyle w:val="biblio"/>
      </w:pPr>
      <w:r>
        <w:t xml:space="preserve">Curtin, R., Presser, S., &amp; Singer, E. (2000). The effects of response rate changes on the index of consumer sentiment. </w:t>
      </w:r>
      <w:r>
        <w:rPr>
          <w:i/>
          <w:iCs/>
        </w:rPr>
        <w:t>Public Opinion Quarterly</w:t>
      </w:r>
      <w:r>
        <w:t xml:space="preserve">, </w:t>
      </w:r>
      <w:r>
        <w:rPr>
          <w:i/>
          <w:iCs/>
        </w:rPr>
        <w:t>64</w:t>
      </w:r>
      <w:r>
        <w:t>(4), 413-428.</w:t>
      </w:r>
    </w:p>
    <w:p w14:paraId="766E9824" w14:textId="77777777" w:rsidR="009F17BD" w:rsidRPr="00F241FA" w:rsidRDefault="009F17BD" w:rsidP="00F241FA">
      <w:pPr>
        <w:pStyle w:val="biblio"/>
      </w:pPr>
      <w:r w:rsidRPr="009B1505">
        <w:rPr>
          <w:szCs w:val="24"/>
        </w:rPr>
        <w:t>Dunlap</w:t>
      </w:r>
      <w:r w:rsidRPr="009B1505">
        <w:t xml:space="preserve">, </w:t>
      </w:r>
      <w:r w:rsidRPr="009B1505">
        <w:rPr>
          <w:szCs w:val="24"/>
        </w:rPr>
        <w:t>B.</w:t>
      </w:r>
      <w:r w:rsidRPr="009B1505">
        <w:t xml:space="preserve">, &amp; </w:t>
      </w:r>
      <w:r w:rsidRPr="009B1505">
        <w:rPr>
          <w:szCs w:val="24"/>
        </w:rPr>
        <w:t>Cifu</w:t>
      </w:r>
      <w:r w:rsidRPr="009B1505">
        <w:t xml:space="preserve">, </w:t>
      </w:r>
      <w:r w:rsidRPr="009B1505">
        <w:rPr>
          <w:szCs w:val="24"/>
        </w:rPr>
        <w:t>A. S.</w:t>
      </w:r>
      <w:r w:rsidRPr="009B1505">
        <w:t xml:space="preserve"> (</w:t>
      </w:r>
      <w:r w:rsidRPr="009B1505">
        <w:rPr>
          <w:szCs w:val="24"/>
        </w:rPr>
        <w:t>2016</w:t>
      </w:r>
      <w:r w:rsidRPr="009B1505">
        <w:t xml:space="preserve">). </w:t>
      </w:r>
      <w:r w:rsidRPr="009B1505">
        <w:rPr>
          <w:szCs w:val="24"/>
        </w:rPr>
        <w:t>Clinical management of opioid use disorder.</w:t>
      </w:r>
      <w:r w:rsidRPr="009B1505">
        <w:t xml:space="preserve"> </w:t>
      </w:r>
      <w:r w:rsidRPr="009B1505">
        <w:rPr>
          <w:i/>
          <w:szCs w:val="24"/>
        </w:rPr>
        <w:t>Journal of the American Medical Association</w:t>
      </w:r>
      <w:r w:rsidRPr="009B1505">
        <w:t xml:space="preserve">, </w:t>
      </w:r>
      <w:r w:rsidRPr="009B1505">
        <w:rPr>
          <w:i/>
          <w:szCs w:val="24"/>
        </w:rPr>
        <w:t>316</w:t>
      </w:r>
      <w:r w:rsidRPr="009B1505">
        <w:t>(</w:t>
      </w:r>
      <w:r w:rsidRPr="009B1505">
        <w:rPr>
          <w:szCs w:val="24"/>
        </w:rPr>
        <w:t>3</w:t>
      </w:r>
      <w:r w:rsidRPr="009B1505">
        <w:t xml:space="preserve">), </w:t>
      </w:r>
      <w:r w:rsidRPr="009B1505">
        <w:rPr>
          <w:szCs w:val="24"/>
        </w:rPr>
        <w:t>338</w:t>
      </w:r>
      <w:r w:rsidRPr="009B1505">
        <w:t>–</w:t>
      </w:r>
      <w:r w:rsidRPr="009B1505">
        <w:rPr>
          <w:szCs w:val="24"/>
        </w:rPr>
        <w:t>339</w:t>
      </w:r>
      <w:r w:rsidRPr="009B1505">
        <w:t xml:space="preserve">. </w:t>
      </w:r>
      <w:hyperlink r:id="rId14" w:history="1">
        <w:r w:rsidRPr="009B1505">
          <w:rPr>
            <w:color w:val="0000FF"/>
            <w:szCs w:val="24"/>
            <w:u w:val="words"/>
          </w:rPr>
          <w:t>http://dx.doi.org/10.1001/jama.2016.9795</w:t>
        </w:r>
      </w:hyperlink>
    </w:p>
    <w:p w14:paraId="0BCF9651" w14:textId="77777777" w:rsidR="00F241FA" w:rsidRDefault="006B3FD2" w:rsidP="00F241FA">
      <w:pPr>
        <w:pStyle w:val="biblio"/>
        <w:tabs>
          <w:tab w:val="left" w:pos="6465"/>
        </w:tabs>
      </w:pPr>
      <w:r>
        <w:t>The GenIUSS Group. (2014). Best Practices for Asking Questions to Identify Transgender and Other Gender Minority Respondents on Population-Based Surveys. J.L. Herman (Ed.). Los Angeles, CA: The Williams Institute.</w:t>
      </w:r>
    </w:p>
    <w:p w14:paraId="35C65102" w14:textId="77777777" w:rsidR="00F241FA" w:rsidRDefault="002C5D98" w:rsidP="00F241FA">
      <w:pPr>
        <w:pStyle w:val="biblio"/>
        <w:tabs>
          <w:tab w:val="left" w:pos="6465"/>
        </w:tabs>
      </w:pPr>
      <w:r>
        <w:t xml:space="preserve">Farabee D., Schulte M., Gonzales R., and Grella C. (2016). </w:t>
      </w:r>
      <w:r w:rsidRPr="004C4032">
        <w:rPr>
          <w:iCs/>
        </w:rPr>
        <w:t>Technological aids for improving longitudinal research on substance use disorders.</w:t>
      </w:r>
      <w:r w:rsidRPr="00454E63">
        <w:t xml:space="preserve"> </w:t>
      </w:r>
      <w:r w:rsidRPr="004C4032">
        <w:rPr>
          <w:i/>
        </w:rPr>
        <w:t>BMC Health Services Research,</w:t>
      </w:r>
      <w:r>
        <w:t xml:space="preserve"> 16:370. </w:t>
      </w:r>
    </w:p>
    <w:p w14:paraId="141E7A51" w14:textId="77777777" w:rsidR="009F17BD" w:rsidRPr="00F241FA" w:rsidRDefault="009F17BD" w:rsidP="00F241FA">
      <w:pPr>
        <w:pStyle w:val="biblio"/>
        <w:tabs>
          <w:tab w:val="left" w:pos="6465"/>
        </w:tabs>
      </w:pPr>
      <w:r w:rsidRPr="009B1505">
        <w:rPr>
          <w:szCs w:val="24"/>
        </w:rPr>
        <w:t>Harder</w:t>
      </w:r>
      <w:r w:rsidRPr="009B1505">
        <w:t xml:space="preserve">, </w:t>
      </w:r>
      <w:r w:rsidRPr="009B1505">
        <w:rPr>
          <w:szCs w:val="24"/>
        </w:rPr>
        <w:t>V. S.</w:t>
      </w:r>
      <w:r w:rsidRPr="009B1505">
        <w:t xml:space="preserve">, </w:t>
      </w:r>
      <w:r w:rsidRPr="009B1505">
        <w:rPr>
          <w:szCs w:val="24"/>
        </w:rPr>
        <w:t>Stuart</w:t>
      </w:r>
      <w:r w:rsidRPr="009B1505">
        <w:t xml:space="preserve">, </w:t>
      </w:r>
      <w:r w:rsidRPr="009B1505">
        <w:rPr>
          <w:szCs w:val="24"/>
        </w:rPr>
        <w:t>E. A.</w:t>
      </w:r>
      <w:r w:rsidRPr="009B1505">
        <w:t xml:space="preserve">, &amp; </w:t>
      </w:r>
      <w:r w:rsidRPr="009B1505">
        <w:rPr>
          <w:szCs w:val="24"/>
        </w:rPr>
        <w:t>Anthony</w:t>
      </w:r>
      <w:r w:rsidRPr="009B1505">
        <w:t xml:space="preserve">, </w:t>
      </w:r>
      <w:r w:rsidRPr="009B1505">
        <w:rPr>
          <w:szCs w:val="24"/>
        </w:rPr>
        <w:t>J. C.</w:t>
      </w:r>
      <w:r w:rsidRPr="009B1505">
        <w:t xml:space="preserve"> (</w:t>
      </w:r>
      <w:r w:rsidRPr="009B1505">
        <w:rPr>
          <w:szCs w:val="24"/>
        </w:rPr>
        <w:t>2010</w:t>
      </w:r>
      <w:r w:rsidRPr="009B1505">
        <w:t xml:space="preserve">). </w:t>
      </w:r>
      <w:r w:rsidRPr="009B1505">
        <w:rPr>
          <w:szCs w:val="24"/>
        </w:rPr>
        <w:t>Propensity score techniques and the assessment of measured covariate balance to test causal associations in psychological research.</w:t>
      </w:r>
      <w:r w:rsidRPr="009B1505">
        <w:t xml:space="preserve"> </w:t>
      </w:r>
      <w:r w:rsidRPr="009B1505">
        <w:rPr>
          <w:i/>
          <w:szCs w:val="24"/>
        </w:rPr>
        <w:t>Psychological Methods</w:t>
      </w:r>
      <w:r w:rsidRPr="009B1505">
        <w:t xml:space="preserve">, </w:t>
      </w:r>
      <w:r w:rsidRPr="009B1505">
        <w:rPr>
          <w:i/>
          <w:szCs w:val="24"/>
        </w:rPr>
        <w:t>15</w:t>
      </w:r>
      <w:r w:rsidRPr="009B1505">
        <w:t>(</w:t>
      </w:r>
      <w:r w:rsidRPr="009B1505">
        <w:rPr>
          <w:szCs w:val="24"/>
        </w:rPr>
        <w:t>3</w:t>
      </w:r>
      <w:r w:rsidRPr="009B1505">
        <w:t xml:space="preserve">), </w:t>
      </w:r>
      <w:r w:rsidRPr="009B1505">
        <w:rPr>
          <w:szCs w:val="24"/>
        </w:rPr>
        <w:t>234</w:t>
      </w:r>
      <w:r w:rsidRPr="009B1505">
        <w:t>–</w:t>
      </w:r>
      <w:r w:rsidRPr="009B1505">
        <w:rPr>
          <w:szCs w:val="24"/>
        </w:rPr>
        <w:t>249</w:t>
      </w:r>
      <w:r w:rsidRPr="009B1505">
        <w:t xml:space="preserve">. </w:t>
      </w:r>
      <w:hyperlink r:id="rId15" w:history="1">
        <w:r w:rsidRPr="009B1505">
          <w:rPr>
            <w:color w:val="0000FF"/>
            <w:szCs w:val="24"/>
            <w:u w:val="words"/>
          </w:rPr>
          <w:t>http://dx.doi.org/10.1037/a0019623</w:t>
        </w:r>
      </w:hyperlink>
    </w:p>
    <w:p w14:paraId="70473EEE" w14:textId="77777777" w:rsidR="00F241FA" w:rsidRDefault="00EB286F" w:rsidP="00F241FA">
      <w:pPr>
        <w:suppressLineNumbers/>
        <w:ind w:left="720" w:hanging="720"/>
      </w:pPr>
      <w:r w:rsidRPr="0077250D">
        <w:t>James, T. L. (1997). Results of the wave</w:t>
      </w:r>
      <w:r w:rsidRPr="003E23B6">
        <w:t xml:space="preserve"> I incentive experiment in the 1996 Survey of Income and Program Participation. </w:t>
      </w:r>
      <w:r w:rsidRPr="003E23B6">
        <w:rPr>
          <w:i/>
        </w:rPr>
        <w:t>Report to the U.S. Bureau of the Census,</w:t>
      </w:r>
      <w:r w:rsidRPr="003E23B6">
        <w:t xml:space="preserve"> 834-839.</w:t>
      </w:r>
    </w:p>
    <w:p w14:paraId="78461191" w14:textId="77777777" w:rsidR="00F241FA" w:rsidRDefault="00F241FA" w:rsidP="00F241FA">
      <w:pPr>
        <w:suppressLineNumbers/>
        <w:ind w:left="720" w:hanging="720"/>
      </w:pPr>
    </w:p>
    <w:p w14:paraId="331CD11A" w14:textId="77777777" w:rsidR="00F241FA" w:rsidRDefault="009F17BD" w:rsidP="00F241FA">
      <w:pPr>
        <w:suppressLineNumbers/>
        <w:ind w:left="720" w:hanging="720"/>
        <w:rPr>
          <w:color w:val="0000FF"/>
          <w:u w:val="words"/>
        </w:rPr>
      </w:pPr>
      <w:r w:rsidRPr="009B1505">
        <w:t xml:space="preserve">Kampman, K., &amp; Jarvis, M. (2015). American Society of Addiction Medicine (ASAM) National Practice Guideline for the use of medications in the treatment of addiction involving opioid use. </w:t>
      </w:r>
      <w:r w:rsidRPr="009B1505">
        <w:rPr>
          <w:i/>
        </w:rPr>
        <w:t>Journal of Addiction Medicine</w:t>
      </w:r>
      <w:r w:rsidRPr="009B1505">
        <w:t xml:space="preserve">, </w:t>
      </w:r>
      <w:r w:rsidRPr="009B1505">
        <w:rPr>
          <w:i/>
        </w:rPr>
        <w:t>9</w:t>
      </w:r>
      <w:r w:rsidRPr="009B1505">
        <w:t xml:space="preserve">(5), 358–367. </w:t>
      </w:r>
      <w:hyperlink r:id="rId16" w:history="1">
        <w:r w:rsidRPr="009B1505">
          <w:rPr>
            <w:color w:val="0000FF"/>
            <w:u w:val="words"/>
          </w:rPr>
          <w:t>http://dx.doi.org/10.1097/ADM.0000000000000166</w:t>
        </w:r>
      </w:hyperlink>
    </w:p>
    <w:p w14:paraId="738E9BCC" w14:textId="77777777" w:rsidR="00F241FA" w:rsidRDefault="00F241FA" w:rsidP="00F241FA">
      <w:pPr>
        <w:suppressLineNumbers/>
        <w:ind w:left="720" w:hanging="720"/>
        <w:rPr>
          <w:color w:val="0000FF"/>
          <w:u w:val="words"/>
        </w:rPr>
      </w:pPr>
    </w:p>
    <w:p w14:paraId="40FBDAA5" w14:textId="77777777" w:rsidR="00F241FA" w:rsidRDefault="00A621A7" w:rsidP="00F241FA">
      <w:pPr>
        <w:suppressLineNumbers/>
        <w:ind w:left="720" w:hanging="720"/>
      </w:pPr>
      <w:r>
        <w:t xml:space="preserve">Kroenke, K., Spitzer, R.L., &amp; Williams, J.B. (2001). The PHQ-9: Validity of a brief depression severity measure. </w:t>
      </w:r>
      <w:r w:rsidRPr="004C4032">
        <w:rPr>
          <w:i/>
        </w:rPr>
        <w:t>Journal of General Internal Medicine,</w:t>
      </w:r>
      <w:r>
        <w:t xml:space="preserve"> 16(9), 606-13.</w:t>
      </w:r>
    </w:p>
    <w:p w14:paraId="18FFB766" w14:textId="77777777" w:rsidR="00F241FA" w:rsidRDefault="00F241FA" w:rsidP="00F241FA">
      <w:pPr>
        <w:suppressLineNumbers/>
        <w:ind w:left="720" w:hanging="720"/>
      </w:pPr>
    </w:p>
    <w:p w14:paraId="252B7429" w14:textId="77777777" w:rsidR="00F241FA" w:rsidRDefault="009F17BD" w:rsidP="00F241FA">
      <w:pPr>
        <w:suppressLineNumbers/>
        <w:ind w:left="720" w:hanging="720"/>
        <w:rPr>
          <w:color w:val="0000FF"/>
          <w:u w:val="words"/>
        </w:rPr>
      </w:pPr>
      <w:r w:rsidRPr="009B1505">
        <w:t xml:space="preserve">McCaffrey, D. F., Ridgeway, G., &amp; Morral, A. R. (2004). Propensity score estimation with boosted regression for evaluating causal effects in observational studies. </w:t>
      </w:r>
      <w:r w:rsidRPr="009B1505">
        <w:rPr>
          <w:i/>
        </w:rPr>
        <w:t>Psychological Methods</w:t>
      </w:r>
      <w:r w:rsidRPr="009B1505">
        <w:t xml:space="preserve">, </w:t>
      </w:r>
      <w:r w:rsidRPr="009B1505">
        <w:rPr>
          <w:i/>
        </w:rPr>
        <w:t>9</w:t>
      </w:r>
      <w:r w:rsidRPr="009B1505">
        <w:t xml:space="preserve">(4), 403–425. </w:t>
      </w:r>
      <w:hyperlink r:id="rId17" w:history="1">
        <w:r w:rsidRPr="009B1505">
          <w:rPr>
            <w:color w:val="0000FF"/>
            <w:u w:val="words"/>
          </w:rPr>
          <w:t>http://dx.doi.org/10.1037/1082-989X.9.4.403</w:t>
        </w:r>
      </w:hyperlink>
    </w:p>
    <w:p w14:paraId="0F1413E7" w14:textId="77777777" w:rsidR="00F241FA" w:rsidRDefault="00F241FA" w:rsidP="00F241FA">
      <w:pPr>
        <w:suppressLineNumbers/>
        <w:ind w:left="720" w:hanging="720"/>
        <w:rPr>
          <w:color w:val="0000FF"/>
          <w:u w:val="words"/>
        </w:rPr>
      </w:pPr>
    </w:p>
    <w:p w14:paraId="104C3194" w14:textId="77777777" w:rsidR="00F241FA" w:rsidRDefault="009F17BD" w:rsidP="00F241FA">
      <w:pPr>
        <w:suppressLineNumbers/>
        <w:ind w:left="720" w:hanging="720"/>
      </w:pPr>
      <w:r w:rsidRPr="009B1505">
        <w:t xml:space="preserve">McLellan, A. T., Starrels, J. L., Tai, B., Gordon, A. J., Brown, R., Ghitza, U., . . . McNeely, J. (2014). Can substance use disorders be managed using the chronic care model? Review and recommendations from a NIDA Consensus Group. </w:t>
      </w:r>
      <w:r w:rsidRPr="009B1505">
        <w:rPr>
          <w:i/>
        </w:rPr>
        <w:t>Public Health Reviews</w:t>
      </w:r>
      <w:r w:rsidRPr="009B1505">
        <w:t xml:space="preserve">, </w:t>
      </w:r>
      <w:r w:rsidRPr="009B1505">
        <w:rPr>
          <w:i/>
        </w:rPr>
        <w:t>35</w:t>
      </w:r>
      <w:r w:rsidRPr="009B1505">
        <w:t xml:space="preserve">(2), </w:t>
      </w:r>
      <w:hyperlink r:id="rId18" w:history="1">
        <w:r w:rsidR="00F241FA" w:rsidRPr="00BE7F57">
          <w:rPr>
            <w:rStyle w:val="Hyperlink"/>
          </w:rPr>
          <w:t>http://www.journalindex.net/visit.php?j=6676</w:t>
        </w:r>
      </w:hyperlink>
      <w:r w:rsidRPr="009B1505">
        <w:t>.</w:t>
      </w:r>
    </w:p>
    <w:p w14:paraId="5616B822" w14:textId="77777777" w:rsidR="00F241FA" w:rsidRDefault="00F241FA" w:rsidP="00F241FA">
      <w:pPr>
        <w:suppressLineNumbers/>
        <w:ind w:left="720" w:hanging="720"/>
      </w:pPr>
    </w:p>
    <w:p w14:paraId="40A2C120" w14:textId="77777777" w:rsidR="00F241FA" w:rsidRDefault="009F17BD" w:rsidP="00F241FA">
      <w:pPr>
        <w:suppressLineNumbers/>
        <w:ind w:left="720" w:hanging="720"/>
      </w:pPr>
      <w:r w:rsidRPr="009B1505">
        <w:t xml:space="preserve">Miles, M. B., &amp; Huberman, A. M. (1994). </w:t>
      </w:r>
      <w:r w:rsidRPr="006D5F53">
        <w:rPr>
          <w:i/>
        </w:rPr>
        <w:t>Qualitative data analysis: An expanded sourcebook</w:t>
      </w:r>
      <w:r w:rsidRPr="009B1505">
        <w:t>. Thousand Oaks, CA: Sage.</w:t>
      </w:r>
    </w:p>
    <w:p w14:paraId="3ED7BB1F" w14:textId="77777777" w:rsidR="00B62DA6" w:rsidRPr="00B62DA6" w:rsidRDefault="00B62DA6" w:rsidP="00845F3A">
      <w:pPr>
        <w:suppressLineNumbers/>
      </w:pPr>
    </w:p>
    <w:p w14:paraId="75326D93" w14:textId="77777777" w:rsidR="00A621A7" w:rsidRDefault="00A621A7" w:rsidP="00F241FA">
      <w:pPr>
        <w:suppressLineNumbers/>
        <w:ind w:left="720" w:hanging="720"/>
      </w:pPr>
      <w:r>
        <w:t xml:space="preserve">Open Society Foundation. (2013). </w:t>
      </w:r>
      <w:r>
        <w:rPr>
          <w:i/>
        </w:rPr>
        <w:t xml:space="preserve">Overdose Baseline Questionnaire </w:t>
      </w:r>
      <w:r>
        <w:t xml:space="preserve">[Measurement Instrument]. Retrieved from </w:t>
      </w:r>
      <w:r w:rsidRPr="00AD305C">
        <w:t>http://www.naloxoneinfo.org/sites/default/files/OD%20Baseline_</w:t>
      </w:r>
    </w:p>
    <w:p w14:paraId="2AA28E06" w14:textId="77777777" w:rsidR="00A621A7" w:rsidRDefault="00A621A7" w:rsidP="00A621A7">
      <w:pPr>
        <w:spacing w:after="240"/>
        <w:ind w:left="720"/>
      </w:pPr>
      <w:r w:rsidRPr="00AD305C">
        <w:t>Questionnaire%20ENG.pdf</w:t>
      </w:r>
    </w:p>
    <w:p w14:paraId="392F4C21" w14:textId="77777777" w:rsidR="00E46B92" w:rsidRDefault="00E46B92" w:rsidP="00E46B92">
      <w:pPr>
        <w:spacing w:after="240"/>
        <w:ind w:left="720" w:hanging="720"/>
      </w:pPr>
      <w:r w:rsidRPr="00E46B92">
        <w:t xml:space="preserve">Pacific Northwest Evidence-based Practice Center. Assisted Treatment Models of Care for Opioid Use Disorder in Primary Care Settings. AHRQ Publication No. 16(17)-EHC039-EF December 2016. </w:t>
      </w:r>
      <w:hyperlink r:id="rId19" w:history="1">
        <w:r w:rsidRPr="00E46B92">
          <w:rPr>
            <w:rStyle w:val="Hyperlink"/>
          </w:rPr>
          <w:t>https://www.ncbi.nlm.nih.gov/books/NBK402352/pdf/Bookshelf_NBK402352.pdf</w:t>
        </w:r>
      </w:hyperlink>
    </w:p>
    <w:p w14:paraId="6688608F" w14:textId="77777777" w:rsidR="001B6567" w:rsidRDefault="00A621A7" w:rsidP="001B6567">
      <w:pPr>
        <w:spacing w:after="240"/>
        <w:ind w:left="720" w:hanging="720"/>
      </w:pPr>
      <w:r>
        <w:t xml:space="preserve">Prins, A., Ouimette, P., Kimerling, R., Cameron, R.P., Hugelshofer, D.S., Shaw-Hegwer, J. … &amp; Sheikh, J.I. (2003). The Primary Care PTSD screen (PC-PTSD): Development and operating characteristics. </w:t>
      </w:r>
      <w:r>
        <w:rPr>
          <w:i/>
        </w:rPr>
        <w:t xml:space="preserve">Primary Care Psychiatry, 9, </w:t>
      </w:r>
      <w:r>
        <w:t>9-14.</w:t>
      </w:r>
    </w:p>
    <w:p w14:paraId="18ED2E3C" w14:textId="77777777" w:rsidR="00B62DA6" w:rsidRPr="00B62DA6" w:rsidRDefault="00B62DA6" w:rsidP="000B030E">
      <w:pPr>
        <w:spacing w:after="240"/>
        <w:ind w:left="720" w:hanging="720"/>
      </w:pPr>
      <w:r w:rsidRPr="00B62DA6">
        <w:t xml:space="preserve">Rosenbaum, P. R., &amp; Rubin, D. B. (1983). The central role of the propensity score in observational studies for causal effects. </w:t>
      </w:r>
      <w:r w:rsidRPr="00B62DA6">
        <w:rPr>
          <w:i/>
        </w:rPr>
        <w:t>Biometrika</w:t>
      </w:r>
      <w:r w:rsidRPr="00B62DA6">
        <w:t xml:space="preserve">, </w:t>
      </w:r>
      <w:r w:rsidRPr="00B62DA6">
        <w:rPr>
          <w:i/>
        </w:rPr>
        <w:t>70</w:t>
      </w:r>
      <w:r w:rsidRPr="00B62DA6">
        <w:t xml:space="preserve">(1), 41–55. </w:t>
      </w:r>
      <w:hyperlink r:id="rId20" w:history="1">
        <w:r w:rsidRPr="00B62DA6">
          <w:rPr>
            <w:rStyle w:val="Hyperlink"/>
          </w:rPr>
          <w:t>http://dx.doi.org/10.1093/biomet/70.1.41</w:t>
        </w:r>
      </w:hyperlink>
    </w:p>
    <w:p w14:paraId="5E1376EE" w14:textId="77777777" w:rsidR="001B6567" w:rsidRDefault="001B6567" w:rsidP="001B6567">
      <w:pPr>
        <w:spacing w:after="240"/>
        <w:ind w:left="720" w:hanging="720"/>
      </w:pPr>
      <w:r>
        <w:t xml:space="preserve">Rudd, RA, Seth, P, David, F, &amp; Scholl, L. (2016). Increases in drug and opioid-involved overdose deaths. United States, 2010-2015. </w:t>
      </w:r>
      <w:r w:rsidRPr="004C4032">
        <w:rPr>
          <w:i/>
        </w:rPr>
        <w:t>MMWR Morb Mortal Wkly Rep.</w:t>
      </w:r>
      <w:r w:rsidRPr="001B6567">
        <w:t xml:space="preserve"> 2016 Dec 30;65(5051):1445-1452. doi: 10.15585/mmwr.mm655051e1.</w:t>
      </w:r>
    </w:p>
    <w:p w14:paraId="2BC67F13" w14:textId="77777777" w:rsidR="001B6567" w:rsidRPr="001B6567" w:rsidRDefault="001B6567" w:rsidP="001B6567">
      <w:pPr>
        <w:spacing w:after="240"/>
        <w:ind w:left="720" w:hanging="720"/>
      </w:pPr>
      <w:bookmarkStart w:id="92" w:name="five"/>
      <w:bookmarkEnd w:id="92"/>
      <w:r w:rsidRPr="001B6567">
        <w:rPr>
          <w:lang w:val="en"/>
        </w:rPr>
        <w:t xml:space="preserve">Center for Behavioral Health Statistics and Quality (CBHSQ). </w:t>
      </w:r>
      <w:r w:rsidRPr="001B6567">
        <w:rPr>
          <w:i/>
          <w:iCs/>
          <w:bdr w:val="none" w:sz="0" w:space="0" w:color="auto" w:frame="1"/>
          <w:lang w:val="en"/>
        </w:rPr>
        <w:t>2015 National Survey on Drug Use and Health: Detailed Tables</w:t>
      </w:r>
      <w:r w:rsidRPr="001B6567">
        <w:rPr>
          <w:lang w:val="en"/>
        </w:rPr>
        <w:t>. Rockville, MD: Substance Abuse and Mental Health Services Administration; 2016.</w:t>
      </w:r>
    </w:p>
    <w:p w14:paraId="7905C3FB" w14:textId="77777777" w:rsidR="00A529C8" w:rsidRDefault="00A529C8" w:rsidP="009F17BD">
      <w:pPr>
        <w:pStyle w:val="biblio"/>
        <w:rPr>
          <w:szCs w:val="24"/>
        </w:rPr>
      </w:pPr>
      <w:r w:rsidRPr="00A529C8">
        <w:rPr>
          <w:szCs w:val="24"/>
        </w:rPr>
        <w:t>SAMHSA. (2014). Results from the 2013 National Survey on Drug Use and Health: Summary of National Findings. NSDUH Series H-48, HHS Publication No. (SMA) 14-4863. Rockville, MD: Substance Abuse and Mental Health Services Administration.</w:t>
      </w:r>
    </w:p>
    <w:p w14:paraId="6D3C6A58" w14:textId="77777777" w:rsidR="009F17BD" w:rsidRPr="009B1505" w:rsidRDefault="009F17BD" w:rsidP="009F17BD">
      <w:pPr>
        <w:pStyle w:val="biblio"/>
      </w:pPr>
      <w:r w:rsidRPr="009B1505">
        <w:rPr>
          <w:szCs w:val="24"/>
        </w:rPr>
        <w:t>Shadish</w:t>
      </w:r>
      <w:r w:rsidRPr="009B1505">
        <w:t xml:space="preserve">, </w:t>
      </w:r>
      <w:r w:rsidRPr="009B1505">
        <w:rPr>
          <w:szCs w:val="24"/>
        </w:rPr>
        <w:t>W. R.</w:t>
      </w:r>
      <w:r w:rsidRPr="009B1505">
        <w:t xml:space="preserve"> (</w:t>
      </w:r>
      <w:r w:rsidRPr="009B1505">
        <w:rPr>
          <w:szCs w:val="24"/>
        </w:rPr>
        <w:t>2010</w:t>
      </w:r>
      <w:r w:rsidRPr="009B1505">
        <w:t xml:space="preserve">). </w:t>
      </w:r>
      <w:r w:rsidRPr="009B1505">
        <w:rPr>
          <w:szCs w:val="24"/>
        </w:rPr>
        <w:t>Campbell and Rubin: A primer and comparison of their approaches to causal inference in field settings.</w:t>
      </w:r>
      <w:r w:rsidRPr="009B1505">
        <w:t xml:space="preserve"> </w:t>
      </w:r>
      <w:r w:rsidRPr="009B1505">
        <w:rPr>
          <w:i/>
          <w:szCs w:val="24"/>
        </w:rPr>
        <w:t>Psychological Methods</w:t>
      </w:r>
      <w:r w:rsidRPr="009B1505">
        <w:t xml:space="preserve">, </w:t>
      </w:r>
      <w:r w:rsidRPr="009B1505">
        <w:rPr>
          <w:i/>
          <w:szCs w:val="24"/>
        </w:rPr>
        <w:t>15</w:t>
      </w:r>
      <w:r w:rsidRPr="009B1505">
        <w:t>(</w:t>
      </w:r>
      <w:r w:rsidRPr="009B1505">
        <w:rPr>
          <w:szCs w:val="24"/>
        </w:rPr>
        <w:t>1</w:t>
      </w:r>
      <w:r w:rsidRPr="009B1505">
        <w:t xml:space="preserve">), </w:t>
      </w:r>
      <w:r w:rsidRPr="009B1505">
        <w:rPr>
          <w:szCs w:val="24"/>
        </w:rPr>
        <w:t>3</w:t>
      </w:r>
      <w:r w:rsidRPr="009B1505">
        <w:t>–</w:t>
      </w:r>
      <w:r w:rsidRPr="009B1505">
        <w:rPr>
          <w:szCs w:val="24"/>
        </w:rPr>
        <w:t>17</w:t>
      </w:r>
      <w:r w:rsidRPr="009B1505">
        <w:t xml:space="preserve">. </w:t>
      </w:r>
      <w:hyperlink r:id="rId21" w:history="1">
        <w:r w:rsidRPr="009B1505">
          <w:rPr>
            <w:color w:val="0000FF"/>
            <w:szCs w:val="24"/>
            <w:u w:val="words"/>
          </w:rPr>
          <w:t>http://dx.doi.org/10.1037/a0015916</w:t>
        </w:r>
      </w:hyperlink>
    </w:p>
    <w:p w14:paraId="41C89D0B" w14:textId="77777777" w:rsidR="00AB6A3D" w:rsidRDefault="00AB6A3D" w:rsidP="00AB6A3D">
      <w:pPr>
        <w:pStyle w:val="biblio"/>
      </w:pPr>
      <w:r w:rsidRPr="009B1505">
        <w:t xml:space="preserve">Siegel, J. E., Weinstein, M. C., &amp; Torrance, G. W. (1996). Reporting cost-effectiveness studies and results. </w:t>
      </w:r>
      <w:r w:rsidR="009F17BD" w:rsidRPr="009B1505">
        <w:t xml:space="preserve">In </w:t>
      </w:r>
      <w:r w:rsidRPr="009B1505">
        <w:rPr>
          <w:i/>
          <w:iCs/>
        </w:rPr>
        <w:t>Cost-</w:t>
      </w:r>
      <w:r w:rsidR="009F17BD" w:rsidRPr="009B1505">
        <w:rPr>
          <w:i/>
          <w:iCs/>
        </w:rPr>
        <w:t xml:space="preserve">Effectiveness </w:t>
      </w:r>
      <w:r w:rsidRPr="009B1505">
        <w:rPr>
          <w:i/>
          <w:iCs/>
        </w:rPr>
        <w:t xml:space="preserve">in </w:t>
      </w:r>
      <w:r w:rsidR="009F17BD" w:rsidRPr="009B1505">
        <w:rPr>
          <w:i/>
          <w:iCs/>
        </w:rPr>
        <w:t xml:space="preserve">Health </w:t>
      </w:r>
      <w:r w:rsidRPr="009B1505">
        <w:rPr>
          <w:i/>
          <w:iCs/>
        </w:rPr>
        <w:t xml:space="preserve">and </w:t>
      </w:r>
      <w:r w:rsidR="009F17BD" w:rsidRPr="009B1505">
        <w:rPr>
          <w:i/>
          <w:iCs/>
        </w:rPr>
        <w:t>Medicine</w:t>
      </w:r>
      <w:r w:rsidR="009F17BD" w:rsidRPr="009B1505">
        <w:t xml:space="preserve"> (pp. 276–</w:t>
      </w:r>
      <w:r w:rsidRPr="009B1505">
        <w:t>303</w:t>
      </w:r>
      <w:r w:rsidR="009F17BD" w:rsidRPr="009B1505">
        <w:t>)</w:t>
      </w:r>
      <w:r w:rsidRPr="009B1505">
        <w:t>.</w:t>
      </w:r>
      <w:r w:rsidR="009F17BD" w:rsidRPr="009B1505">
        <w:t xml:space="preserve"> New York, NY: Oxford University Press.</w:t>
      </w:r>
    </w:p>
    <w:p w14:paraId="483D7833" w14:textId="77777777" w:rsidR="003C605B" w:rsidRDefault="003C605B" w:rsidP="00AB6A3D">
      <w:pPr>
        <w:pStyle w:val="biblio"/>
      </w:pPr>
      <w:r>
        <w:t xml:space="preserve">Singer, E., &amp; Couper, M. P. (2008). Do incentives exert undue influence on survey participation? Experimental evidence. </w:t>
      </w:r>
      <w:r>
        <w:rPr>
          <w:i/>
          <w:iCs/>
        </w:rPr>
        <w:t>Journal of Empirical Research on Human Research Ethics</w:t>
      </w:r>
      <w:r>
        <w:t xml:space="preserve">, </w:t>
      </w:r>
      <w:r>
        <w:rPr>
          <w:i/>
          <w:iCs/>
        </w:rPr>
        <w:t>3</w:t>
      </w:r>
      <w:r>
        <w:t>(3), 49-56.</w:t>
      </w:r>
    </w:p>
    <w:p w14:paraId="7939281F" w14:textId="77777777" w:rsidR="00EB286F" w:rsidRPr="009B1505" w:rsidRDefault="00EB286F" w:rsidP="00AB6A3D">
      <w:pPr>
        <w:pStyle w:val="biblio"/>
      </w:pPr>
      <w:r>
        <w:t xml:space="preserve">Smith, L. J., McNamara, P. J., &amp; King, A. C. (2017). Optimizing follow-up and study retention in the 21st century: Advances from the front line in alcohol and tobacco research. </w:t>
      </w:r>
      <w:r>
        <w:rPr>
          <w:i/>
          <w:iCs/>
        </w:rPr>
        <w:t>Drug and Alcohol Dependence</w:t>
      </w:r>
      <w:r>
        <w:t xml:space="preserve">, </w:t>
      </w:r>
      <w:r>
        <w:rPr>
          <w:i/>
          <w:iCs/>
        </w:rPr>
        <w:t>175</w:t>
      </w:r>
      <w:r>
        <w:t>, 171-178.</w:t>
      </w:r>
    </w:p>
    <w:p w14:paraId="1499C2AB" w14:textId="0BB66878" w:rsidR="009E325E" w:rsidRPr="009E325E" w:rsidRDefault="009E325E" w:rsidP="00E170E6">
      <w:pPr>
        <w:pStyle w:val="biblio"/>
        <w:ind w:left="0" w:firstLine="0"/>
      </w:pPr>
      <w:r w:rsidRPr="009E325E">
        <w:t>Thomas</w:t>
      </w:r>
      <w:r w:rsidR="003C06C5">
        <w:t xml:space="preserve">, </w:t>
      </w:r>
      <w:r w:rsidRPr="009E325E">
        <w:t>C</w:t>
      </w:r>
      <w:r w:rsidR="003C06C5">
        <w:t>.</w:t>
      </w:r>
      <w:r w:rsidRPr="009E325E">
        <w:t>P</w:t>
      </w:r>
      <w:r w:rsidR="003C06C5">
        <w:t>.</w:t>
      </w:r>
      <w:r w:rsidRPr="009E325E">
        <w:t>, Dougherty</w:t>
      </w:r>
      <w:r w:rsidR="003C06C5">
        <w:t>,</w:t>
      </w:r>
      <w:r w:rsidRPr="009E325E">
        <w:t xml:space="preserve"> R</w:t>
      </w:r>
      <w:r w:rsidR="003C06C5">
        <w:t>.</w:t>
      </w:r>
      <w:r w:rsidRPr="009E325E">
        <w:t>H</w:t>
      </w:r>
      <w:r w:rsidR="003C06C5">
        <w:t>.</w:t>
      </w:r>
      <w:r w:rsidRPr="009E325E">
        <w:t>, Fullterton</w:t>
      </w:r>
      <w:r w:rsidR="003C06C5">
        <w:t>,</w:t>
      </w:r>
      <w:r w:rsidRPr="009E325E">
        <w:t xml:space="preserve"> C</w:t>
      </w:r>
      <w:r w:rsidR="003C06C5">
        <w:t>.</w:t>
      </w:r>
      <w:r w:rsidRPr="009E325E">
        <w:t>A</w:t>
      </w:r>
      <w:r w:rsidR="003C06C5">
        <w:t>.</w:t>
      </w:r>
      <w:r w:rsidRPr="009E325E">
        <w:t>, et al</w:t>
      </w:r>
      <w:r w:rsidR="003C06C5">
        <w:t>. (2014). Medication-a</w:t>
      </w:r>
      <w:r w:rsidRPr="009E325E">
        <w:t xml:space="preserve">ssisted </w:t>
      </w:r>
      <w:r w:rsidR="003C06C5">
        <w:t>t</w:t>
      </w:r>
      <w:r w:rsidRPr="009E325E">
        <w:t xml:space="preserve">reatment with buprenorphine: Assessing the evidence. </w:t>
      </w:r>
      <w:r w:rsidRPr="009E325E">
        <w:rPr>
          <w:i/>
          <w:iCs/>
        </w:rPr>
        <w:t>Psychiatric Services</w:t>
      </w:r>
      <w:r w:rsidR="003C06C5">
        <w:rPr>
          <w:i/>
          <w:iCs/>
        </w:rPr>
        <w:t>,</w:t>
      </w:r>
      <w:r w:rsidRPr="00B5477B">
        <w:rPr>
          <w:i/>
          <w:iCs/>
        </w:rPr>
        <w:t xml:space="preserve"> </w:t>
      </w:r>
      <w:r w:rsidRPr="00E170E6">
        <w:rPr>
          <w:i/>
        </w:rPr>
        <w:t>65</w:t>
      </w:r>
      <w:r w:rsidR="003C06C5">
        <w:t>,</w:t>
      </w:r>
      <w:r w:rsidRPr="009E325E">
        <w:t>158–170.</w:t>
      </w:r>
    </w:p>
    <w:p w14:paraId="69CDCFFE" w14:textId="76E9BE8F" w:rsidR="009E325E" w:rsidRPr="009E325E" w:rsidRDefault="009E325E" w:rsidP="00E170E6">
      <w:pPr>
        <w:pStyle w:val="biblio"/>
        <w:ind w:left="0" w:firstLine="0"/>
      </w:pPr>
      <w:r w:rsidRPr="009E325E">
        <w:t>Thomas</w:t>
      </w:r>
      <w:r w:rsidR="003C06C5">
        <w:t>,</w:t>
      </w:r>
      <w:r w:rsidRPr="009E325E">
        <w:t xml:space="preserve"> C</w:t>
      </w:r>
      <w:r w:rsidR="003C06C5">
        <w:t>.</w:t>
      </w:r>
      <w:r w:rsidRPr="009E325E">
        <w:t>P</w:t>
      </w:r>
      <w:r w:rsidR="003C06C5">
        <w:t>.</w:t>
      </w:r>
      <w:r w:rsidRPr="009E325E">
        <w:t>, Dougherty</w:t>
      </w:r>
      <w:r w:rsidR="003C06C5">
        <w:t>,</w:t>
      </w:r>
      <w:r w:rsidRPr="009E325E">
        <w:t xml:space="preserve"> R</w:t>
      </w:r>
      <w:r w:rsidR="003C06C5">
        <w:t>.</w:t>
      </w:r>
      <w:r w:rsidRPr="009E325E">
        <w:t>H</w:t>
      </w:r>
      <w:r w:rsidR="003C06C5">
        <w:t>.</w:t>
      </w:r>
      <w:r w:rsidRPr="009E325E">
        <w:t>, Fullterton</w:t>
      </w:r>
      <w:r w:rsidR="003C06C5">
        <w:t>,</w:t>
      </w:r>
      <w:r w:rsidRPr="009E325E">
        <w:t xml:space="preserve"> C</w:t>
      </w:r>
      <w:r w:rsidR="003C06C5">
        <w:t>.</w:t>
      </w:r>
      <w:r w:rsidRPr="009E325E">
        <w:t>A</w:t>
      </w:r>
      <w:r w:rsidR="003C06C5">
        <w:t>., et al. (2014). Medication-assisted t</w:t>
      </w:r>
      <w:r w:rsidRPr="009E325E">
        <w:t xml:space="preserve">reatment with methadone: Assessing the evidence. </w:t>
      </w:r>
      <w:r w:rsidRPr="009E325E">
        <w:rPr>
          <w:i/>
          <w:iCs/>
        </w:rPr>
        <w:t>Psychiatric Services</w:t>
      </w:r>
      <w:r w:rsidR="003C06C5">
        <w:rPr>
          <w:i/>
          <w:iCs/>
        </w:rPr>
        <w:t>,</w:t>
      </w:r>
      <w:r w:rsidRPr="009E325E">
        <w:rPr>
          <w:i/>
          <w:iCs/>
        </w:rPr>
        <w:t xml:space="preserve"> </w:t>
      </w:r>
      <w:r w:rsidRPr="00E170E6">
        <w:rPr>
          <w:i/>
        </w:rPr>
        <w:t>65</w:t>
      </w:r>
      <w:r w:rsidR="003C06C5" w:rsidRPr="00E170E6">
        <w:rPr>
          <w:i/>
        </w:rPr>
        <w:t>,</w:t>
      </w:r>
      <w:r w:rsidRPr="009E325E">
        <w:t xml:space="preserve"> 146–157</w:t>
      </w:r>
      <w:r w:rsidR="003C06C5">
        <w:t>.</w:t>
      </w:r>
    </w:p>
    <w:p w14:paraId="1197DD8D" w14:textId="4AE94437" w:rsidR="00B5477B" w:rsidRPr="00B5477B" w:rsidRDefault="00B5477B" w:rsidP="00E170E6">
      <w:pPr>
        <w:pStyle w:val="biblio"/>
        <w:ind w:left="0" w:firstLine="0"/>
      </w:pPr>
      <w:r w:rsidRPr="00B5477B">
        <w:t>Weiss</w:t>
      </w:r>
      <w:r>
        <w:t>,</w:t>
      </w:r>
      <w:r w:rsidRPr="00B5477B">
        <w:t xml:space="preserve"> R</w:t>
      </w:r>
      <w:r>
        <w:t>.</w:t>
      </w:r>
      <w:r w:rsidRPr="00B5477B">
        <w:t>D</w:t>
      </w:r>
      <w:r>
        <w:t>.</w:t>
      </w:r>
      <w:r w:rsidRPr="00B5477B">
        <w:t>, Potter</w:t>
      </w:r>
      <w:r>
        <w:t>,</w:t>
      </w:r>
      <w:r w:rsidRPr="00B5477B">
        <w:t xml:space="preserve"> J</w:t>
      </w:r>
      <w:r>
        <w:t>.</w:t>
      </w:r>
      <w:r w:rsidRPr="00B5477B">
        <w:t>S</w:t>
      </w:r>
      <w:r>
        <w:t>.</w:t>
      </w:r>
      <w:r w:rsidRPr="00B5477B">
        <w:t>, Griffin</w:t>
      </w:r>
      <w:r>
        <w:t>,</w:t>
      </w:r>
      <w:r w:rsidRPr="00B5477B">
        <w:t xml:space="preserve"> M</w:t>
      </w:r>
      <w:r>
        <w:t>.</w:t>
      </w:r>
      <w:r w:rsidRPr="00B5477B">
        <w:t>L</w:t>
      </w:r>
      <w:r>
        <w:t>.</w:t>
      </w:r>
      <w:r w:rsidRPr="00B5477B">
        <w:t xml:space="preserve">, et al. </w:t>
      </w:r>
      <w:r>
        <w:t xml:space="preserve">(2015). </w:t>
      </w:r>
      <w:r w:rsidRPr="00B5477B">
        <w:t xml:space="preserve">Long-term outcomes from the National Drug Abuse Treatment Clinical Trials Network Prescription Opioid Addiction Treatment Study. </w:t>
      </w:r>
      <w:r w:rsidRPr="00E170E6">
        <w:rPr>
          <w:i/>
        </w:rPr>
        <w:t>Drug and Alcohol Dependence</w:t>
      </w:r>
      <w:r>
        <w:t>,</w:t>
      </w:r>
      <w:r w:rsidRPr="00B5477B">
        <w:t xml:space="preserve"> </w:t>
      </w:r>
      <w:r w:rsidRPr="00E170E6">
        <w:rPr>
          <w:i/>
        </w:rPr>
        <w:t>150</w:t>
      </w:r>
      <w:r>
        <w:t>,</w:t>
      </w:r>
      <w:r w:rsidRPr="00B5477B">
        <w:t xml:space="preserve"> 112–119</w:t>
      </w:r>
      <w:r>
        <w:t>.</w:t>
      </w:r>
    </w:p>
    <w:p w14:paraId="0BF36117" w14:textId="77777777" w:rsidR="00B5477B" w:rsidRDefault="00B5477B" w:rsidP="009F17BD">
      <w:pPr>
        <w:pStyle w:val="biblio"/>
        <w:rPr>
          <w:szCs w:val="24"/>
        </w:rPr>
      </w:pPr>
    </w:p>
    <w:p w14:paraId="20C5272C" w14:textId="00B71D80" w:rsidR="009F17BD" w:rsidRDefault="009F17BD" w:rsidP="009F17BD">
      <w:pPr>
        <w:pStyle w:val="biblio"/>
      </w:pPr>
      <w:r w:rsidRPr="009B1505">
        <w:rPr>
          <w:szCs w:val="24"/>
        </w:rPr>
        <w:t>Wright</w:t>
      </w:r>
      <w:r w:rsidRPr="009B1505">
        <w:t xml:space="preserve">, </w:t>
      </w:r>
      <w:r w:rsidRPr="009B1505">
        <w:rPr>
          <w:szCs w:val="24"/>
        </w:rPr>
        <w:t>D.</w:t>
      </w:r>
      <w:r w:rsidRPr="009B1505">
        <w:t xml:space="preserve">, </w:t>
      </w:r>
      <w:r w:rsidRPr="009B1505">
        <w:rPr>
          <w:szCs w:val="24"/>
        </w:rPr>
        <w:t>Bowman</w:t>
      </w:r>
      <w:r w:rsidRPr="009B1505">
        <w:t xml:space="preserve">, </w:t>
      </w:r>
      <w:r w:rsidRPr="009B1505">
        <w:rPr>
          <w:szCs w:val="24"/>
        </w:rPr>
        <w:t>K.</w:t>
      </w:r>
      <w:r w:rsidRPr="009B1505">
        <w:t xml:space="preserve">, </w:t>
      </w:r>
      <w:r w:rsidRPr="009B1505">
        <w:rPr>
          <w:szCs w:val="24"/>
        </w:rPr>
        <w:t>Butler</w:t>
      </w:r>
      <w:r w:rsidRPr="009B1505">
        <w:t xml:space="preserve">, </w:t>
      </w:r>
      <w:r w:rsidRPr="009B1505">
        <w:rPr>
          <w:szCs w:val="24"/>
        </w:rPr>
        <w:t>D.</w:t>
      </w:r>
      <w:r w:rsidRPr="009B1505">
        <w:t xml:space="preserve">, &amp; </w:t>
      </w:r>
      <w:r w:rsidRPr="009B1505">
        <w:rPr>
          <w:szCs w:val="24"/>
        </w:rPr>
        <w:t>Eyerman</w:t>
      </w:r>
      <w:r w:rsidRPr="009B1505">
        <w:t xml:space="preserve">, </w:t>
      </w:r>
      <w:r w:rsidRPr="009B1505">
        <w:rPr>
          <w:szCs w:val="24"/>
        </w:rPr>
        <w:t>J.</w:t>
      </w:r>
      <w:r w:rsidRPr="009B1505">
        <w:t xml:space="preserve"> (</w:t>
      </w:r>
      <w:r w:rsidRPr="009B1505">
        <w:rPr>
          <w:szCs w:val="24"/>
        </w:rPr>
        <w:t>2005</w:t>
      </w:r>
      <w:r w:rsidRPr="009B1505">
        <w:t xml:space="preserve">). </w:t>
      </w:r>
      <w:r w:rsidRPr="009B1505">
        <w:rPr>
          <w:szCs w:val="24"/>
        </w:rPr>
        <w:t>Non-response bias from the national household survey on drug abuse incentive experiment.</w:t>
      </w:r>
      <w:r w:rsidRPr="009B1505">
        <w:t xml:space="preserve"> </w:t>
      </w:r>
      <w:r w:rsidRPr="009B1505">
        <w:rPr>
          <w:i/>
        </w:rPr>
        <w:t>Journal of Economic and Social Measurement</w:t>
      </w:r>
      <w:r w:rsidRPr="009B1505">
        <w:t xml:space="preserve">, </w:t>
      </w:r>
      <w:r w:rsidRPr="009B1505">
        <w:rPr>
          <w:i/>
        </w:rPr>
        <w:t>30</w:t>
      </w:r>
      <w:r w:rsidRPr="009B1505">
        <w:t>(2, 3), 219–231.</w:t>
      </w:r>
    </w:p>
    <w:p w14:paraId="467C8AD7" w14:textId="77777777" w:rsidR="00EB286F" w:rsidRDefault="00EB286F" w:rsidP="009F17BD">
      <w:pPr>
        <w:pStyle w:val="biblio"/>
      </w:pPr>
      <w:r>
        <w:t xml:space="preserve">Yu, S., Alper, H. E., Nguyen, A. M., Brackbill, R. M., Turner, L., Walker, D. J., ... &amp; Zweig, K. C. (2017). The effectiveness of a monetary incentive offer on survey response rates and response completeness in a longitudinal study. </w:t>
      </w:r>
      <w:r>
        <w:rPr>
          <w:i/>
          <w:iCs/>
        </w:rPr>
        <w:t>BMC medical research methodology</w:t>
      </w:r>
      <w:r>
        <w:t xml:space="preserve">, </w:t>
      </w:r>
      <w:r>
        <w:rPr>
          <w:i/>
          <w:iCs/>
        </w:rPr>
        <w:t>17</w:t>
      </w:r>
      <w:r>
        <w:t>(1), 77.</w:t>
      </w:r>
    </w:p>
    <w:p w14:paraId="32E73B5D" w14:textId="77777777" w:rsidR="00AB6A3D" w:rsidRPr="009B1505" w:rsidRDefault="00A621A7" w:rsidP="00A621A7">
      <w:pPr>
        <w:pStyle w:val="biblio"/>
      </w:pPr>
      <w:r>
        <w:t>Zimet, G., Dahlem, N., &amp; Zimet, F. Multidimensional scale of perceived social support. 1988. Available at: http://www.yorku.ca/rokada/psyctest/socsupp.pdf.</w:t>
      </w:r>
    </w:p>
    <w:sectPr w:rsidR="00AB6A3D" w:rsidRPr="009B1505" w:rsidSect="00E67EB8">
      <w:footerReference w:type="default" r:id="rId22"/>
      <w:footerReference w:type="first" r:id="rId23"/>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01914" w16cid:durableId="1E229B3D"/>
  <w16cid:commentId w16cid:paraId="4FF9C2D8" w16cid:durableId="1E229B3E"/>
  <w16cid:commentId w16cid:paraId="1E6747A4" w16cid:durableId="1E229B3F"/>
  <w16cid:commentId w16cid:paraId="6B8A2E6B" w16cid:durableId="1E229B40"/>
  <w16cid:commentId w16cid:paraId="070E9FBB" w16cid:durableId="1E229B41"/>
  <w16cid:commentId w16cid:paraId="3C67E5C1" w16cid:durableId="1E229B42"/>
  <w16cid:commentId w16cid:paraId="693842A2" w16cid:durableId="1E229B43"/>
  <w16cid:commentId w16cid:paraId="2750FCC7" w16cid:durableId="1E229B44"/>
  <w16cid:commentId w16cid:paraId="34D14AE0" w16cid:durableId="1E229B45"/>
  <w16cid:commentId w16cid:paraId="785E90F9" w16cid:durableId="1E230023"/>
  <w16cid:commentId w16cid:paraId="2DD7E60E" w16cid:durableId="1E229B46"/>
  <w16cid:commentId w16cid:paraId="2BDDA4AF" w16cid:durableId="1E229B47"/>
  <w16cid:commentId w16cid:paraId="24E11A22" w16cid:durableId="1E229B48"/>
  <w16cid:commentId w16cid:paraId="76F23CF9" w16cid:durableId="1E22E2ED"/>
  <w16cid:commentId w16cid:paraId="2695540C" w16cid:durableId="1E229B49"/>
  <w16cid:commentId w16cid:paraId="3695419D" w16cid:durableId="1E229B4A"/>
  <w16cid:commentId w16cid:paraId="2BBBE70E" w16cid:durableId="1E229B4B"/>
  <w16cid:commentId w16cid:paraId="05F37140" w16cid:durableId="1E22E50D"/>
  <w16cid:commentId w16cid:paraId="704E5278" w16cid:durableId="1E229B4C"/>
  <w16cid:commentId w16cid:paraId="22BD498C" w16cid:durableId="1E229B4D"/>
  <w16cid:commentId w16cid:paraId="2D5ED3D7" w16cid:durableId="1E22E548"/>
  <w16cid:commentId w16cid:paraId="7F249BD3" w16cid:durableId="1E229B4E"/>
  <w16cid:commentId w16cid:paraId="0E7E0A17" w16cid:durableId="1E229B4F"/>
  <w16cid:commentId w16cid:paraId="1989C2CC" w16cid:durableId="1E22E654"/>
  <w16cid:commentId w16cid:paraId="60F8E471" w16cid:durableId="1E229B50"/>
  <w16cid:commentId w16cid:paraId="42FC19C2" w16cid:durableId="1E229B51"/>
  <w16cid:commentId w16cid:paraId="05FB5493" w16cid:durableId="1E22E886"/>
  <w16cid:commentId w16cid:paraId="2AEA297D" w16cid:durableId="1E229B52"/>
  <w16cid:commentId w16cid:paraId="298E89BC" w16cid:durableId="1E229B53"/>
  <w16cid:commentId w16cid:paraId="210077AA" w16cid:durableId="1E229B54"/>
  <w16cid:commentId w16cid:paraId="7CFAC3BB" w16cid:durableId="1E229B55"/>
  <w16cid:commentId w16cid:paraId="23C2D03E" w16cid:durableId="1E229B56"/>
  <w16cid:commentId w16cid:paraId="6DE8BAF5" w16cid:durableId="1E229B57"/>
  <w16cid:commentId w16cid:paraId="52A5CFDF" w16cid:durableId="1E229B58"/>
  <w16cid:commentId w16cid:paraId="42D6271E" w16cid:durableId="1E229B59"/>
  <w16cid:commentId w16cid:paraId="689599E0" w16cid:durableId="1E229B5A"/>
  <w16cid:commentId w16cid:paraId="76D4518D" w16cid:durableId="1E229B5B"/>
  <w16cid:commentId w16cid:paraId="79E66ABF" w16cid:durableId="1E229B5C"/>
  <w16cid:commentId w16cid:paraId="2C3541F3" w16cid:durableId="1E229B5D"/>
  <w16cid:commentId w16cid:paraId="2A2D7AA4" w16cid:durableId="1E22E9BF"/>
  <w16cid:commentId w16cid:paraId="60660D7E" w16cid:durableId="1E229B5E"/>
  <w16cid:commentId w16cid:paraId="2756E2BD" w16cid:durableId="1E229B5F"/>
  <w16cid:commentId w16cid:paraId="7CFC9869" w16cid:durableId="1E229B60"/>
  <w16cid:commentId w16cid:paraId="305B756E" w16cid:durableId="1E229B61"/>
  <w16cid:commentId w16cid:paraId="6F6EBF17" w16cid:durableId="1E229B62"/>
  <w16cid:commentId w16cid:paraId="73B4FF58" w16cid:durableId="1E229B63"/>
  <w16cid:commentId w16cid:paraId="79FD4F94" w16cid:durableId="1E230421"/>
  <w16cid:commentId w16cid:paraId="63CB31AD" w16cid:durableId="1E229B64"/>
  <w16cid:commentId w16cid:paraId="5C45D1D9" w16cid:durableId="1E229B65"/>
  <w16cid:commentId w16cid:paraId="5875FEFB" w16cid:durableId="1E23054D"/>
  <w16cid:commentId w16cid:paraId="51F1A365" w16cid:durableId="1E229B66"/>
  <w16cid:commentId w16cid:paraId="597F1450" w16cid:durableId="1E229B67"/>
  <w16cid:commentId w16cid:paraId="5FF8F390" w16cid:durableId="1E230562"/>
  <w16cid:commentId w16cid:paraId="7FC64470" w16cid:durableId="1E229B68"/>
  <w16cid:commentId w16cid:paraId="0196F0FE" w16cid:durableId="1E229B69"/>
  <w16cid:commentId w16cid:paraId="31FD542B" w16cid:durableId="1E229B6A"/>
  <w16cid:commentId w16cid:paraId="3A9DDE80" w16cid:durableId="1E2310C3"/>
  <w16cid:commentId w16cid:paraId="0F3D6C1F" w16cid:durableId="1E229B6B"/>
  <w16cid:commentId w16cid:paraId="3902362F" w16cid:durableId="1E229B6C"/>
  <w16cid:commentId w16cid:paraId="2175802B" w16cid:durableId="1E2311C4"/>
  <w16cid:commentId w16cid:paraId="289D1029" w16cid:durableId="1E229B6D"/>
  <w16cid:commentId w16cid:paraId="47C33024" w16cid:durableId="1E229B6E"/>
  <w16cid:commentId w16cid:paraId="69A4CE2F" w16cid:durableId="1E23072F"/>
  <w16cid:commentId w16cid:paraId="2CB3071C" w16cid:durableId="1E229B6F"/>
  <w16cid:commentId w16cid:paraId="61F09FC1" w16cid:durableId="1E229B70"/>
  <w16cid:commentId w16cid:paraId="63DE35A6" w16cid:durableId="1E229B71"/>
  <w16cid:commentId w16cid:paraId="38B7E753" w16cid:durableId="1E229B72"/>
  <w16cid:commentId w16cid:paraId="48D29E6A" w16cid:durableId="1E230F45"/>
  <w16cid:commentId w16cid:paraId="0A982531" w16cid:durableId="1E229B73"/>
  <w16cid:commentId w16cid:paraId="582E6F87" w16cid:durableId="1E229B74"/>
  <w16cid:commentId w16cid:paraId="0ADB9ADF" w16cid:durableId="1E230848"/>
  <w16cid:commentId w16cid:paraId="2CE071F6" w16cid:durableId="1E229B75"/>
  <w16cid:commentId w16cid:paraId="618A26EB" w16cid:durableId="1E229B76"/>
  <w16cid:commentId w16cid:paraId="258718EB" w16cid:durableId="1E230F9E"/>
  <w16cid:commentId w16cid:paraId="27701E48" w16cid:durableId="1E229B77"/>
  <w16cid:commentId w16cid:paraId="6110DE79" w16cid:durableId="1E229B78"/>
  <w16cid:commentId w16cid:paraId="690F020E" w16cid:durableId="1E229B79"/>
  <w16cid:commentId w16cid:paraId="78B6215C" w16cid:durableId="1E229B7A"/>
  <w16cid:commentId w16cid:paraId="1F3A78AF" w16cid:durableId="1E23093F"/>
  <w16cid:commentId w16cid:paraId="3715B70A" w16cid:durableId="1E229B7B"/>
  <w16cid:commentId w16cid:paraId="72F0CA7A" w16cid:durableId="1E229B7C"/>
  <w16cid:commentId w16cid:paraId="53B3D28D" w16cid:durableId="1E230CB0"/>
  <w16cid:commentId w16cid:paraId="5794F75E" w16cid:durableId="1E229B7D"/>
  <w16cid:commentId w16cid:paraId="2609C9BF" w16cid:durableId="1E229B7E"/>
  <w16cid:commentId w16cid:paraId="1E9F42FE" w16cid:durableId="1E230C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6BA86" w14:textId="77777777" w:rsidR="006763B9" w:rsidRDefault="006763B9">
      <w:r>
        <w:separator/>
      </w:r>
    </w:p>
  </w:endnote>
  <w:endnote w:type="continuationSeparator" w:id="0">
    <w:p w14:paraId="161B2D71" w14:textId="77777777" w:rsidR="006763B9" w:rsidRDefault="006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tima">
    <w:altName w:val="Courier New"/>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FD5D" w14:textId="77777777" w:rsidR="006763B9" w:rsidRDefault="006763B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F94E" w14:textId="706D7E3E" w:rsidR="006763B9" w:rsidRPr="00906F6F" w:rsidRDefault="006763B9" w:rsidP="00924407">
    <w:pPr>
      <w:pStyle w:val="Footer"/>
      <w:jc w:val="center"/>
    </w:pPr>
    <w:r>
      <w:rPr>
        <w:rStyle w:val="PageNumber"/>
      </w:rPr>
      <w:fldChar w:fldCharType="begin"/>
    </w:r>
    <w:r>
      <w:rPr>
        <w:rStyle w:val="PageNumber"/>
      </w:rPr>
      <w:instrText xml:space="preserve"> PAGE </w:instrText>
    </w:r>
    <w:r>
      <w:rPr>
        <w:rStyle w:val="PageNumber"/>
      </w:rPr>
      <w:fldChar w:fldCharType="separate"/>
    </w:r>
    <w:r w:rsidR="002F1394">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82EE2" w14:textId="6D9FD525" w:rsidR="006763B9" w:rsidRDefault="006763B9" w:rsidP="00906F6F">
    <w:pPr>
      <w:pStyle w:val="Footer"/>
      <w:jc w:val="center"/>
    </w:pPr>
    <w:r>
      <w:rPr>
        <w:rStyle w:val="PageNumber"/>
      </w:rPr>
      <w:fldChar w:fldCharType="begin"/>
    </w:r>
    <w:r>
      <w:rPr>
        <w:rStyle w:val="PageNumber"/>
      </w:rPr>
      <w:instrText xml:space="preserve"> PAGE </w:instrText>
    </w:r>
    <w:r>
      <w:rPr>
        <w:rStyle w:val="PageNumber"/>
      </w:rPr>
      <w:fldChar w:fldCharType="separate"/>
    </w:r>
    <w:r w:rsidR="002F139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5DEF6" w14:textId="77777777" w:rsidR="006763B9" w:rsidRDefault="006763B9">
      <w:r>
        <w:separator/>
      </w:r>
    </w:p>
  </w:footnote>
  <w:footnote w:type="continuationSeparator" w:id="0">
    <w:p w14:paraId="1F079E9C" w14:textId="77777777" w:rsidR="006763B9" w:rsidRDefault="006763B9">
      <w:r>
        <w:continuationSeparator/>
      </w:r>
    </w:p>
  </w:footnote>
  <w:footnote w:id="1">
    <w:p w14:paraId="2CCA8C9D" w14:textId="77777777" w:rsidR="006763B9" w:rsidRPr="00E170E6" w:rsidRDefault="006763B9" w:rsidP="008D7CCA">
      <w:pPr>
        <w:pStyle w:val="FootnoteText"/>
        <w:rPr>
          <w:rFonts w:ascii="Times New Roman" w:hAnsi="Times New Roman" w:cs="Times New Roman"/>
        </w:rPr>
      </w:pPr>
      <w:r w:rsidRPr="00264E0E">
        <w:rPr>
          <w:rStyle w:val="FootnoteReference"/>
          <w:rFonts w:cs="Times New Roman"/>
        </w:rPr>
        <w:footnoteRef/>
      </w:r>
      <w:r w:rsidRPr="00E170E6">
        <w:rPr>
          <w:rFonts w:ascii="Times New Roman" w:hAnsi="Times New Roman" w:cs="Times New Roman"/>
        </w:rPr>
        <w:t xml:space="preserve"> RTI will ask clients what methods of contacting they are agreeable with, and we will only use those methods. For example, a client must agree to receiving mail at the provided address.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A6A2A0"/>
    <w:lvl w:ilvl="0">
      <w:start w:val="1"/>
      <w:numFmt w:val="decimal"/>
      <w:lvlText w:val="%1."/>
      <w:lvlJc w:val="left"/>
      <w:pPr>
        <w:tabs>
          <w:tab w:val="num" w:pos="1800"/>
        </w:tabs>
        <w:ind w:left="1800" w:hanging="360"/>
      </w:pPr>
    </w:lvl>
  </w:abstractNum>
  <w:abstractNum w:abstractNumId="1">
    <w:nsid w:val="FFFFFF7D"/>
    <w:multiLevelType w:val="singleLevel"/>
    <w:tmpl w:val="976ED0DC"/>
    <w:lvl w:ilvl="0">
      <w:start w:val="1"/>
      <w:numFmt w:val="decimal"/>
      <w:lvlText w:val="%1."/>
      <w:lvlJc w:val="left"/>
      <w:pPr>
        <w:tabs>
          <w:tab w:val="num" w:pos="1440"/>
        </w:tabs>
        <w:ind w:left="1440" w:hanging="360"/>
      </w:pPr>
    </w:lvl>
  </w:abstractNum>
  <w:abstractNum w:abstractNumId="2">
    <w:nsid w:val="FFFFFF7E"/>
    <w:multiLevelType w:val="singleLevel"/>
    <w:tmpl w:val="3BEC1928"/>
    <w:lvl w:ilvl="0">
      <w:start w:val="1"/>
      <w:numFmt w:val="decimal"/>
      <w:lvlText w:val="%1."/>
      <w:lvlJc w:val="left"/>
      <w:pPr>
        <w:tabs>
          <w:tab w:val="num" w:pos="1080"/>
        </w:tabs>
        <w:ind w:left="1080" w:hanging="360"/>
      </w:pPr>
    </w:lvl>
  </w:abstractNum>
  <w:abstractNum w:abstractNumId="3">
    <w:nsid w:val="FFFFFF7F"/>
    <w:multiLevelType w:val="singleLevel"/>
    <w:tmpl w:val="5BCAE964"/>
    <w:lvl w:ilvl="0">
      <w:start w:val="1"/>
      <w:numFmt w:val="decimal"/>
      <w:lvlText w:val="%1."/>
      <w:lvlJc w:val="left"/>
      <w:pPr>
        <w:tabs>
          <w:tab w:val="num" w:pos="720"/>
        </w:tabs>
        <w:ind w:left="720" w:hanging="360"/>
      </w:pPr>
    </w:lvl>
  </w:abstractNum>
  <w:abstractNum w:abstractNumId="4">
    <w:nsid w:val="FFFFFF80"/>
    <w:multiLevelType w:val="singleLevel"/>
    <w:tmpl w:val="8690DB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B8A74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786C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50A0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6AA26CE"/>
    <w:lvl w:ilvl="0">
      <w:start w:val="1"/>
      <w:numFmt w:val="decimal"/>
      <w:lvlText w:val="%1."/>
      <w:lvlJc w:val="left"/>
      <w:pPr>
        <w:ind w:left="360" w:hanging="360"/>
      </w:pPr>
    </w:lvl>
  </w:abstractNum>
  <w:abstractNum w:abstractNumId="9">
    <w:nsid w:val="FFFFFF89"/>
    <w:multiLevelType w:val="singleLevel"/>
    <w:tmpl w:val="853CD6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3A697E"/>
    <w:multiLevelType w:val="hybridMultilevel"/>
    <w:tmpl w:val="67FEE50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nsid w:val="08B123B5"/>
    <w:multiLevelType w:val="hybridMultilevel"/>
    <w:tmpl w:val="21623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E3D73C8"/>
    <w:multiLevelType w:val="hybridMultilevel"/>
    <w:tmpl w:val="62F6CE20"/>
    <w:lvl w:ilvl="0" w:tplc="3D6E3466">
      <w:start w:val="1"/>
      <w:numFmt w:val="bullet"/>
      <w:pStyle w:val="bullets"/>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A1D60"/>
    <w:multiLevelType w:val="hybridMultilevel"/>
    <w:tmpl w:val="4844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C1889"/>
    <w:multiLevelType w:val="hybridMultilevel"/>
    <w:tmpl w:val="0616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195F7B70"/>
    <w:multiLevelType w:val="hybridMultilevel"/>
    <w:tmpl w:val="97EC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971050"/>
    <w:multiLevelType w:val="hybridMultilevel"/>
    <w:tmpl w:val="6A2C7162"/>
    <w:lvl w:ilvl="0" w:tplc="A10E3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7273A4"/>
    <w:multiLevelType w:val="hybridMultilevel"/>
    <w:tmpl w:val="1C44AC4E"/>
    <w:lvl w:ilvl="0" w:tplc="1812C4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846596"/>
    <w:multiLevelType w:val="hybridMultilevel"/>
    <w:tmpl w:val="F40C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B4B219E"/>
    <w:multiLevelType w:val="hybridMultilevel"/>
    <w:tmpl w:val="F55C9394"/>
    <w:lvl w:ilvl="0" w:tplc="6DC21A6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AF3879"/>
    <w:multiLevelType w:val="hybridMultilevel"/>
    <w:tmpl w:val="C0F04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30555BEA"/>
    <w:multiLevelType w:val="hybridMultilevel"/>
    <w:tmpl w:val="DA50E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42553"/>
    <w:multiLevelType w:val="hybridMultilevel"/>
    <w:tmpl w:val="33DCE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54059B5"/>
    <w:multiLevelType w:val="hybridMultilevel"/>
    <w:tmpl w:val="69601A44"/>
    <w:lvl w:ilvl="0" w:tplc="2F0C6EF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C7617D"/>
    <w:multiLevelType w:val="hybridMultilevel"/>
    <w:tmpl w:val="844CCD88"/>
    <w:lvl w:ilvl="0" w:tplc="E88831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5B635E"/>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172032"/>
    <w:multiLevelType w:val="hybridMultilevel"/>
    <w:tmpl w:val="C86EA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DB73F4"/>
    <w:multiLevelType w:val="hybridMultilevel"/>
    <w:tmpl w:val="7BC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B95CB2"/>
    <w:multiLevelType w:val="hybridMultilevel"/>
    <w:tmpl w:val="AFE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631D74"/>
    <w:multiLevelType w:val="hybridMultilevel"/>
    <w:tmpl w:val="B7B299A8"/>
    <w:lvl w:ilvl="0" w:tplc="5B32EBDC">
      <w:start w:val="1"/>
      <w:numFmt w:val="decimal"/>
      <w:lvlText w:val="%1."/>
      <w:lvlJc w:val="left"/>
      <w:pPr>
        <w:tabs>
          <w:tab w:val="num" w:pos="720"/>
        </w:tabs>
        <w:ind w:left="720" w:hanging="360"/>
      </w:pPr>
    </w:lvl>
    <w:lvl w:ilvl="1" w:tplc="E690DC0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CC00FF"/>
    <w:multiLevelType w:val="hybridMultilevel"/>
    <w:tmpl w:val="C28AC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51684C"/>
    <w:multiLevelType w:val="hybridMultilevel"/>
    <w:tmpl w:val="14F8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63976DFB"/>
    <w:multiLevelType w:val="hybridMultilevel"/>
    <w:tmpl w:val="BFCEE4B6"/>
    <w:lvl w:ilvl="0" w:tplc="A1CC9B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D43D0F"/>
    <w:multiLevelType w:val="hybridMultilevel"/>
    <w:tmpl w:val="C526BB22"/>
    <w:lvl w:ilvl="0" w:tplc="93A4A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7D007A"/>
    <w:multiLevelType w:val="hybridMultilevel"/>
    <w:tmpl w:val="F72A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1A69BA"/>
    <w:multiLevelType w:val="hybridMultilevel"/>
    <w:tmpl w:val="831065BA"/>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626D53"/>
    <w:multiLevelType w:val="hybridMultilevel"/>
    <w:tmpl w:val="AECAF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0E4DDC"/>
    <w:multiLevelType w:val="hybridMultilevel"/>
    <w:tmpl w:val="7074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B141A7"/>
    <w:multiLevelType w:val="hybridMultilevel"/>
    <w:tmpl w:val="B1E08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4F6320"/>
    <w:multiLevelType w:val="hybridMultilevel"/>
    <w:tmpl w:val="0CD4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41"/>
  </w:num>
  <w:num w:numId="4">
    <w:abstractNumId w:val="12"/>
  </w:num>
  <w:num w:numId="5">
    <w:abstractNumId w:val="31"/>
  </w:num>
  <w:num w:numId="6">
    <w:abstractNumId w:val="36"/>
  </w:num>
  <w:num w:numId="7">
    <w:abstractNumId w:val="35"/>
  </w:num>
  <w:num w:numId="8">
    <w:abstractNumId w:val="25"/>
  </w:num>
  <w:num w:numId="9">
    <w:abstractNumId w:val="34"/>
  </w:num>
  <w:num w:numId="10">
    <w:abstractNumId w:val="26"/>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9"/>
  </w:num>
  <w:num w:numId="16">
    <w:abstractNumId w:val="30"/>
  </w:num>
  <w:num w:numId="17">
    <w:abstractNumId w:val="24"/>
  </w:num>
  <w:num w:numId="18">
    <w:abstractNumId w:val="28"/>
  </w:num>
  <w:num w:numId="19">
    <w:abstractNumId w:val="20"/>
  </w:num>
  <w:num w:numId="20">
    <w:abstractNumId w:val="37"/>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22"/>
  </w:num>
  <w:num w:numId="26">
    <w:abstractNumId w:val="27"/>
  </w:num>
  <w:num w:numId="27">
    <w:abstractNumId w:val="29"/>
  </w:num>
  <w:num w:numId="28">
    <w:abstractNumId w:val="23"/>
  </w:num>
  <w:num w:numId="29">
    <w:abstractNumId w:val="11"/>
  </w:num>
  <w:num w:numId="30">
    <w:abstractNumId w:val="38"/>
  </w:num>
  <w:num w:numId="31">
    <w:abstractNumId w:val="40"/>
  </w:num>
  <w:num w:numId="32">
    <w:abstractNumId w:val="19"/>
  </w:num>
  <w:num w:numId="33">
    <w:abstractNumId w:val="13"/>
  </w:num>
  <w:num w:numId="34">
    <w:abstractNumId w:val="39"/>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8"/>
  </w:num>
  <w:num w:numId="44">
    <w:abstractNumId w:val="21"/>
  </w:num>
  <w:num w:numId="45">
    <w:abstractNumId w:val="32"/>
  </w:num>
  <w:num w:numId="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0" w:nlCheck="1" w:checkStyle="1"/>
  <w:activeWritingStyle w:appName="MSWord" w:lang="en-CA"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FA5BD2"/>
    <w:rsid w:val="000017F3"/>
    <w:rsid w:val="00004755"/>
    <w:rsid w:val="00004C3C"/>
    <w:rsid w:val="00005687"/>
    <w:rsid w:val="00006648"/>
    <w:rsid w:val="00010285"/>
    <w:rsid w:val="00013A92"/>
    <w:rsid w:val="00016E5D"/>
    <w:rsid w:val="0001715E"/>
    <w:rsid w:val="00021B81"/>
    <w:rsid w:val="00025BE9"/>
    <w:rsid w:val="00036B25"/>
    <w:rsid w:val="000453D4"/>
    <w:rsid w:val="0004596D"/>
    <w:rsid w:val="00050B05"/>
    <w:rsid w:val="00050E3E"/>
    <w:rsid w:val="00051EE3"/>
    <w:rsid w:val="0005320F"/>
    <w:rsid w:val="000539FF"/>
    <w:rsid w:val="00053D33"/>
    <w:rsid w:val="0005491D"/>
    <w:rsid w:val="00054941"/>
    <w:rsid w:val="00055734"/>
    <w:rsid w:val="00055BD4"/>
    <w:rsid w:val="00056850"/>
    <w:rsid w:val="00057CD2"/>
    <w:rsid w:val="0006128E"/>
    <w:rsid w:val="000631EF"/>
    <w:rsid w:val="00064F45"/>
    <w:rsid w:val="0006679F"/>
    <w:rsid w:val="00067285"/>
    <w:rsid w:val="00067317"/>
    <w:rsid w:val="000703D6"/>
    <w:rsid w:val="00071E0F"/>
    <w:rsid w:val="00072C63"/>
    <w:rsid w:val="00073068"/>
    <w:rsid w:val="00076442"/>
    <w:rsid w:val="00076603"/>
    <w:rsid w:val="00077285"/>
    <w:rsid w:val="00077B46"/>
    <w:rsid w:val="0008188E"/>
    <w:rsid w:val="0008693F"/>
    <w:rsid w:val="00092592"/>
    <w:rsid w:val="00092A1B"/>
    <w:rsid w:val="0009497F"/>
    <w:rsid w:val="00095B10"/>
    <w:rsid w:val="000965F4"/>
    <w:rsid w:val="000A1BC4"/>
    <w:rsid w:val="000A3D71"/>
    <w:rsid w:val="000A4041"/>
    <w:rsid w:val="000A5987"/>
    <w:rsid w:val="000A609C"/>
    <w:rsid w:val="000A76BA"/>
    <w:rsid w:val="000B030E"/>
    <w:rsid w:val="000B0B6F"/>
    <w:rsid w:val="000B1786"/>
    <w:rsid w:val="000B2C52"/>
    <w:rsid w:val="000B3B9E"/>
    <w:rsid w:val="000B5B19"/>
    <w:rsid w:val="000C0BF4"/>
    <w:rsid w:val="000C31EC"/>
    <w:rsid w:val="000C405D"/>
    <w:rsid w:val="000D711B"/>
    <w:rsid w:val="000E395A"/>
    <w:rsid w:val="000E6546"/>
    <w:rsid w:val="000E6B08"/>
    <w:rsid w:val="000F3D28"/>
    <w:rsid w:val="000F410B"/>
    <w:rsid w:val="000F4DF6"/>
    <w:rsid w:val="001007DA"/>
    <w:rsid w:val="00100E0E"/>
    <w:rsid w:val="00105ED8"/>
    <w:rsid w:val="001073BD"/>
    <w:rsid w:val="0011086D"/>
    <w:rsid w:val="00112C2B"/>
    <w:rsid w:val="0011387B"/>
    <w:rsid w:val="00113D18"/>
    <w:rsid w:val="0011486A"/>
    <w:rsid w:val="00116651"/>
    <w:rsid w:val="00125744"/>
    <w:rsid w:val="00125994"/>
    <w:rsid w:val="00126205"/>
    <w:rsid w:val="001302E1"/>
    <w:rsid w:val="001347BC"/>
    <w:rsid w:val="00134912"/>
    <w:rsid w:val="00135FA8"/>
    <w:rsid w:val="001437CE"/>
    <w:rsid w:val="00144467"/>
    <w:rsid w:val="00145C70"/>
    <w:rsid w:val="00151395"/>
    <w:rsid w:val="00152DFC"/>
    <w:rsid w:val="00153257"/>
    <w:rsid w:val="00155573"/>
    <w:rsid w:val="00155783"/>
    <w:rsid w:val="001557A9"/>
    <w:rsid w:val="00162E9D"/>
    <w:rsid w:val="001645D7"/>
    <w:rsid w:val="00164D7B"/>
    <w:rsid w:val="0017124A"/>
    <w:rsid w:val="00171303"/>
    <w:rsid w:val="00171420"/>
    <w:rsid w:val="00172F20"/>
    <w:rsid w:val="00175EE3"/>
    <w:rsid w:val="00176584"/>
    <w:rsid w:val="00180162"/>
    <w:rsid w:val="00180609"/>
    <w:rsid w:val="00182908"/>
    <w:rsid w:val="00182ED7"/>
    <w:rsid w:val="001830FE"/>
    <w:rsid w:val="001832DE"/>
    <w:rsid w:val="001838BD"/>
    <w:rsid w:val="0018563E"/>
    <w:rsid w:val="00187926"/>
    <w:rsid w:val="00192F9D"/>
    <w:rsid w:val="00194A21"/>
    <w:rsid w:val="0019528B"/>
    <w:rsid w:val="00195DA2"/>
    <w:rsid w:val="00196926"/>
    <w:rsid w:val="001975F0"/>
    <w:rsid w:val="001A131A"/>
    <w:rsid w:val="001A1A89"/>
    <w:rsid w:val="001A2EBF"/>
    <w:rsid w:val="001A45A2"/>
    <w:rsid w:val="001A7DA7"/>
    <w:rsid w:val="001B06F5"/>
    <w:rsid w:val="001B1202"/>
    <w:rsid w:val="001B14EC"/>
    <w:rsid w:val="001B2F93"/>
    <w:rsid w:val="001B34BF"/>
    <w:rsid w:val="001B4DC3"/>
    <w:rsid w:val="001B6122"/>
    <w:rsid w:val="001B6567"/>
    <w:rsid w:val="001B78C1"/>
    <w:rsid w:val="001C4128"/>
    <w:rsid w:val="001C4E6E"/>
    <w:rsid w:val="001C5A82"/>
    <w:rsid w:val="001C63DD"/>
    <w:rsid w:val="001C6D4D"/>
    <w:rsid w:val="001D33C9"/>
    <w:rsid w:val="001D3F98"/>
    <w:rsid w:val="001D4404"/>
    <w:rsid w:val="001D5EC8"/>
    <w:rsid w:val="001D606B"/>
    <w:rsid w:val="001E27AF"/>
    <w:rsid w:val="001E2C0E"/>
    <w:rsid w:val="001E30BF"/>
    <w:rsid w:val="001E63EF"/>
    <w:rsid w:val="001E736B"/>
    <w:rsid w:val="001F257A"/>
    <w:rsid w:val="001F3A53"/>
    <w:rsid w:val="001F4FC5"/>
    <w:rsid w:val="001F7148"/>
    <w:rsid w:val="002037BC"/>
    <w:rsid w:val="00204059"/>
    <w:rsid w:val="00205687"/>
    <w:rsid w:val="00207E8F"/>
    <w:rsid w:val="002124BA"/>
    <w:rsid w:val="00212E25"/>
    <w:rsid w:val="00213087"/>
    <w:rsid w:val="00213567"/>
    <w:rsid w:val="002179E0"/>
    <w:rsid w:val="00217A1A"/>
    <w:rsid w:val="00217D7F"/>
    <w:rsid w:val="002207BF"/>
    <w:rsid w:val="002212A8"/>
    <w:rsid w:val="00221D72"/>
    <w:rsid w:val="00222DFA"/>
    <w:rsid w:val="00222F2E"/>
    <w:rsid w:val="00223327"/>
    <w:rsid w:val="00223CDD"/>
    <w:rsid w:val="00223E8C"/>
    <w:rsid w:val="00224420"/>
    <w:rsid w:val="00232676"/>
    <w:rsid w:val="0023299B"/>
    <w:rsid w:val="00235B41"/>
    <w:rsid w:val="00236990"/>
    <w:rsid w:val="00236BC0"/>
    <w:rsid w:val="00237321"/>
    <w:rsid w:val="002373D1"/>
    <w:rsid w:val="00241F06"/>
    <w:rsid w:val="00241F85"/>
    <w:rsid w:val="00242D2C"/>
    <w:rsid w:val="00242DAA"/>
    <w:rsid w:val="002432F5"/>
    <w:rsid w:val="00243E5D"/>
    <w:rsid w:val="00244C0D"/>
    <w:rsid w:val="00246CCD"/>
    <w:rsid w:val="00246EDF"/>
    <w:rsid w:val="00251380"/>
    <w:rsid w:val="0025209F"/>
    <w:rsid w:val="0025231E"/>
    <w:rsid w:val="0025753B"/>
    <w:rsid w:val="00264E0E"/>
    <w:rsid w:val="002653BD"/>
    <w:rsid w:val="002677ED"/>
    <w:rsid w:val="00271C38"/>
    <w:rsid w:val="00272DA7"/>
    <w:rsid w:val="00274C42"/>
    <w:rsid w:val="002763C5"/>
    <w:rsid w:val="002772A2"/>
    <w:rsid w:val="00277E41"/>
    <w:rsid w:val="0028558B"/>
    <w:rsid w:val="00285787"/>
    <w:rsid w:val="00290682"/>
    <w:rsid w:val="00290B47"/>
    <w:rsid w:val="0029251C"/>
    <w:rsid w:val="0029307A"/>
    <w:rsid w:val="00293B91"/>
    <w:rsid w:val="0029532D"/>
    <w:rsid w:val="00295B01"/>
    <w:rsid w:val="00296FD6"/>
    <w:rsid w:val="0029788C"/>
    <w:rsid w:val="002A1235"/>
    <w:rsid w:val="002A38E7"/>
    <w:rsid w:val="002A54AD"/>
    <w:rsid w:val="002A6A29"/>
    <w:rsid w:val="002A730C"/>
    <w:rsid w:val="002B0457"/>
    <w:rsid w:val="002C3412"/>
    <w:rsid w:val="002C5D98"/>
    <w:rsid w:val="002C60A4"/>
    <w:rsid w:val="002C78C3"/>
    <w:rsid w:val="002D4843"/>
    <w:rsid w:val="002D4D9C"/>
    <w:rsid w:val="002D5E7C"/>
    <w:rsid w:val="002D6249"/>
    <w:rsid w:val="002E39B8"/>
    <w:rsid w:val="002E4533"/>
    <w:rsid w:val="002E543E"/>
    <w:rsid w:val="002E67E2"/>
    <w:rsid w:val="002E7FE1"/>
    <w:rsid w:val="002F0715"/>
    <w:rsid w:val="002F1394"/>
    <w:rsid w:val="002F13DB"/>
    <w:rsid w:val="002F2E3B"/>
    <w:rsid w:val="002F3B3B"/>
    <w:rsid w:val="002F48EC"/>
    <w:rsid w:val="002F60A4"/>
    <w:rsid w:val="002F651D"/>
    <w:rsid w:val="002F6523"/>
    <w:rsid w:val="003015AD"/>
    <w:rsid w:val="0030293C"/>
    <w:rsid w:val="00302FC2"/>
    <w:rsid w:val="00305593"/>
    <w:rsid w:val="00305805"/>
    <w:rsid w:val="0030635A"/>
    <w:rsid w:val="003130B3"/>
    <w:rsid w:val="00314264"/>
    <w:rsid w:val="003270D3"/>
    <w:rsid w:val="003271B2"/>
    <w:rsid w:val="00327640"/>
    <w:rsid w:val="00327FF0"/>
    <w:rsid w:val="00331E3B"/>
    <w:rsid w:val="00334B7A"/>
    <w:rsid w:val="00335972"/>
    <w:rsid w:val="00335AF1"/>
    <w:rsid w:val="003378A5"/>
    <w:rsid w:val="00340400"/>
    <w:rsid w:val="003405FD"/>
    <w:rsid w:val="00343192"/>
    <w:rsid w:val="00345E14"/>
    <w:rsid w:val="00346F83"/>
    <w:rsid w:val="00347889"/>
    <w:rsid w:val="00347EBC"/>
    <w:rsid w:val="003506F4"/>
    <w:rsid w:val="00352CDB"/>
    <w:rsid w:val="00353D07"/>
    <w:rsid w:val="003540A9"/>
    <w:rsid w:val="00354255"/>
    <w:rsid w:val="00354793"/>
    <w:rsid w:val="00355AD7"/>
    <w:rsid w:val="00357746"/>
    <w:rsid w:val="00357AF0"/>
    <w:rsid w:val="00366724"/>
    <w:rsid w:val="00367265"/>
    <w:rsid w:val="003721AC"/>
    <w:rsid w:val="003721B1"/>
    <w:rsid w:val="0037320E"/>
    <w:rsid w:val="00374CDD"/>
    <w:rsid w:val="0037556D"/>
    <w:rsid w:val="00377A3A"/>
    <w:rsid w:val="003806B9"/>
    <w:rsid w:val="003811F0"/>
    <w:rsid w:val="0038360E"/>
    <w:rsid w:val="00383CD1"/>
    <w:rsid w:val="00392861"/>
    <w:rsid w:val="00394E9C"/>
    <w:rsid w:val="003A5519"/>
    <w:rsid w:val="003B1C9E"/>
    <w:rsid w:val="003B4C9B"/>
    <w:rsid w:val="003B5C82"/>
    <w:rsid w:val="003B6741"/>
    <w:rsid w:val="003C06C5"/>
    <w:rsid w:val="003C1C1E"/>
    <w:rsid w:val="003C605B"/>
    <w:rsid w:val="003C6868"/>
    <w:rsid w:val="003C7F07"/>
    <w:rsid w:val="003C7F5F"/>
    <w:rsid w:val="003D5481"/>
    <w:rsid w:val="003D5D8E"/>
    <w:rsid w:val="003D5F0F"/>
    <w:rsid w:val="003D6EC3"/>
    <w:rsid w:val="003E0A59"/>
    <w:rsid w:val="003E1B30"/>
    <w:rsid w:val="003E348B"/>
    <w:rsid w:val="003E5576"/>
    <w:rsid w:val="003F02AD"/>
    <w:rsid w:val="00400488"/>
    <w:rsid w:val="00401199"/>
    <w:rsid w:val="00402BAD"/>
    <w:rsid w:val="0040340B"/>
    <w:rsid w:val="004040FC"/>
    <w:rsid w:val="0040587C"/>
    <w:rsid w:val="004059D1"/>
    <w:rsid w:val="0040701C"/>
    <w:rsid w:val="0041000F"/>
    <w:rsid w:val="004114F7"/>
    <w:rsid w:val="00412E34"/>
    <w:rsid w:val="00412F6A"/>
    <w:rsid w:val="00415004"/>
    <w:rsid w:val="0041691A"/>
    <w:rsid w:val="00421715"/>
    <w:rsid w:val="004230E2"/>
    <w:rsid w:val="00423334"/>
    <w:rsid w:val="004240D8"/>
    <w:rsid w:val="00424C6B"/>
    <w:rsid w:val="004267CB"/>
    <w:rsid w:val="00427554"/>
    <w:rsid w:val="0042765F"/>
    <w:rsid w:val="0043005B"/>
    <w:rsid w:val="004302DC"/>
    <w:rsid w:val="00430965"/>
    <w:rsid w:val="004316FE"/>
    <w:rsid w:val="0043252C"/>
    <w:rsid w:val="00433A2E"/>
    <w:rsid w:val="0043485B"/>
    <w:rsid w:val="00434980"/>
    <w:rsid w:val="00434BC5"/>
    <w:rsid w:val="00434DFE"/>
    <w:rsid w:val="004372E1"/>
    <w:rsid w:val="004373E7"/>
    <w:rsid w:val="00437CBB"/>
    <w:rsid w:val="00443B3F"/>
    <w:rsid w:val="00447B41"/>
    <w:rsid w:val="00451757"/>
    <w:rsid w:val="00453377"/>
    <w:rsid w:val="0045406A"/>
    <w:rsid w:val="00454644"/>
    <w:rsid w:val="004547F7"/>
    <w:rsid w:val="00454E63"/>
    <w:rsid w:val="00457065"/>
    <w:rsid w:val="004573FD"/>
    <w:rsid w:val="00460996"/>
    <w:rsid w:val="00460C83"/>
    <w:rsid w:val="00460F29"/>
    <w:rsid w:val="004614B7"/>
    <w:rsid w:val="00463AEE"/>
    <w:rsid w:val="00463DD1"/>
    <w:rsid w:val="00464CF4"/>
    <w:rsid w:val="00466CA9"/>
    <w:rsid w:val="00470414"/>
    <w:rsid w:val="0047232F"/>
    <w:rsid w:val="0047358D"/>
    <w:rsid w:val="0047370D"/>
    <w:rsid w:val="00473813"/>
    <w:rsid w:val="00474E42"/>
    <w:rsid w:val="00474EB9"/>
    <w:rsid w:val="00475148"/>
    <w:rsid w:val="00475CDB"/>
    <w:rsid w:val="00475E78"/>
    <w:rsid w:val="0047674A"/>
    <w:rsid w:val="00484806"/>
    <w:rsid w:val="00486F45"/>
    <w:rsid w:val="0049000E"/>
    <w:rsid w:val="00491B5B"/>
    <w:rsid w:val="004920B6"/>
    <w:rsid w:val="00492F67"/>
    <w:rsid w:val="004942B6"/>
    <w:rsid w:val="004955D5"/>
    <w:rsid w:val="00495ADF"/>
    <w:rsid w:val="004961D6"/>
    <w:rsid w:val="004A16AA"/>
    <w:rsid w:val="004A2778"/>
    <w:rsid w:val="004A2D46"/>
    <w:rsid w:val="004A69C9"/>
    <w:rsid w:val="004A750D"/>
    <w:rsid w:val="004A7598"/>
    <w:rsid w:val="004B0076"/>
    <w:rsid w:val="004B3E35"/>
    <w:rsid w:val="004C0743"/>
    <w:rsid w:val="004C0E0E"/>
    <w:rsid w:val="004C1E43"/>
    <w:rsid w:val="004C2F35"/>
    <w:rsid w:val="004C4032"/>
    <w:rsid w:val="004C439D"/>
    <w:rsid w:val="004C56A3"/>
    <w:rsid w:val="004C6F9A"/>
    <w:rsid w:val="004C7909"/>
    <w:rsid w:val="004D0161"/>
    <w:rsid w:val="004D09BD"/>
    <w:rsid w:val="004D3C37"/>
    <w:rsid w:val="004D6C4E"/>
    <w:rsid w:val="004D7A03"/>
    <w:rsid w:val="004D7C04"/>
    <w:rsid w:val="004E0E8D"/>
    <w:rsid w:val="004E330F"/>
    <w:rsid w:val="004E33CE"/>
    <w:rsid w:val="004E607E"/>
    <w:rsid w:val="004E612C"/>
    <w:rsid w:val="004E7F4A"/>
    <w:rsid w:val="004F167F"/>
    <w:rsid w:val="004F59BF"/>
    <w:rsid w:val="004F6A04"/>
    <w:rsid w:val="0050115D"/>
    <w:rsid w:val="00504DCF"/>
    <w:rsid w:val="00511375"/>
    <w:rsid w:val="00512383"/>
    <w:rsid w:val="00512F04"/>
    <w:rsid w:val="00512FD8"/>
    <w:rsid w:val="00513E02"/>
    <w:rsid w:val="0051577F"/>
    <w:rsid w:val="00516359"/>
    <w:rsid w:val="00516535"/>
    <w:rsid w:val="00516D68"/>
    <w:rsid w:val="00517264"/>
    <w:rsid w:val="00517287"/>
    <w:rsid w:val="005208BB"/>
    <w:rsid w:val="00520ABB"/>
    <w:rsid w:val="005217EF"/>
    <w:rsid w:val="00521895"/>
    <w:rsid w:val="00525891"/>
    <w:rsid w:val="0053088F"/>
    <w:rsid w:val="00531587"/>
    <w:rsid w:val="00531DE2"/>
    <w:rsid w:val="00533CCC"/>
    <w:rsid w:val="00534DAB"/>
    <w:rsid w:val="005375D0"/>
    <w:rsid w:val="00541CA2"/>
    <w:rsid w:val="005453DD"/>
    <w:rsid w:val="00546017"/>
    <w:rsid w:val="00546209"/>
    <w:rsid w:val="00551888"/>
    <w:rsid w:val="00551F4D"/>
    <w:rsid w:val="00554603"/>
    <w:rsid w:val="00555221"/>
    <w:rsid w:val="005554B3"/>
    <w:rsid w:val="00557329"/>
    <w:rsid w:val="0055752E"/>
    <w:rsid w:val="005578F1"/>
    <w:rsid w:val="0056040B"/>
    <w:rsid w:val="005619CD"/>
    <w:rsid w:val="005622D6"/>
    <w:rsid w:val="0056336D"/>
    <w:rsid w:val="005652EE"/>
    <w:rsid w:val="0057010E"/>
    <w:rsid w:val="005749DD"/>
    <w:rsid w:val="00574F58"/>
    <w:rsid w:val="0057707D"/>
    <w:rsid w:val="0057797A"/>
    <w:rsid w:val="00577CF4"/>
    <w:rsid w:val="00582F68"/>
    <w:rsid w:val="0058360B"/>
    <w:rsid w:val="00587147"/>
    <w:rsid w:val="005909A3"/>
    <w:rsid w:val="00590C43"/>
    <w:rsid w:val="005A44BF"/>
    <w:rsid w:val="005A4922"/>
    <w:rsid w:val="005A7BB5"/>
    <w:rsid w:val="005A7F38"/>
    <w:rsid w:val="005A7F97"/>
    <w:rsid w:val="005B21C5"/>
    <w:rsid w:val="005B2880"/>
    <w:rsid w:val="005B3FFC"/>
    <w:rsid w:val="005B4154"/>
    <w:rsid w:val="005B62BE"/>
    <w:rsid w:val="005B7308"/>
    <w:rsid w:val="005C0842"/>
    <w:rsid w:val="005C255F"/>
    <w:rsid w:val="005C47A7"/>
    <w:rsid w:val="005D474B"/>
    <w:rsid w:val="005D5D9F"/>
    <w:rsid w:val="005E1462"/>
    <w:rsid w:val="005E1DB8"/>
    <w:rsid w:val="005E217C"/>
    <w:rsid w:val="005E62F2"/>
    <w:rsid w:val="005F348F"/>
    <w:rsid w:val="005F3E92"/>
    <w:rsid w:val="005F4DC8"/>
    <w:rsid w:val="005F60FC"/>
    <w:rsid w:val="005F7A83"/>
    <w:rsid w:val="006002B3"/>
    <w:rsid w:val="00600A38"/>
    <w:rsid w:val="0060231D"/>
    <w:rsid w:val="006040A6"/>
    <w:rsid w:val="006048A8"/>
    <w:rsid w:val="00605B8B"/>
    <w:rsid w:val="006063E4"/>
    <w:rsid w:val="006118A9"/>
    <w:rsid w:val="00612C2C"/>
    <w:rsid w:val="006130BE"/>
    <w:rsid w:val="006139EC"/>
    <w:rsid w:val="00613A18"/>
    <w:rsid w:val="00615ADF"/>
    <w:rsid w:val="0061666A"/>
    <w:rsid w:val="006202A6"/>
    <w:rsid w:val="00622646"/>
    <w:rsid w:val="00622A6F"/>
    <w:rsid w:val="0062507E"/>
    <w:rsid w:val="00625E80"/>
    <w:rsid w:val="006269EB"/>
    <w:rsid w:val="00626DBA"/>
    <w:rsid w:val="006277F3"/>
    <w:rsid w:val="00630F05"/>
    <w:rsid w:val="006318DA"/>
    <w:rsid w:val="00632AAE"/>
    <w:rsid w:val="006336E7"/>
    <w:rsid w:val="0063556B"/>
    <w:rsid w:val="00635CB0"/>
    <w:rsid w:val="00640B8E"/>
    <w:rsid w:val="00653EBE"/>
    <w:rsid w:val="00654217"/>
    <w:rsid w:val="00655851"/>
    <w:rsid w:val="0065785E"/>
    <w:rsid w:val="00657935"/>
    <w:rsid w:val="0065799B"/>
    <w:rsid w:val="00661D6F"/>
    <w:rsid w:val="00661DAB"/>
    <w:rsid w:val="00661E22"/>
    <w:rsid w:val="00662BD9"/>
    <w:rsid w:val="00663D09"/>
    <w:rsid w:val="00664632"/>
    <w:rsid w:val="00664671"/>
    <w:rsid w:val="006648C4"/>
    <w:rsid w:val="0066792E"/>
    <w:rsid w:val="00670524"/>
    <w:rsid w:val="0067088C"/>
    <w:rsid w:val="006713F3"/>
    <w:rsid w:val="00673468"/>
    <w:rsid w:val="00673D73"/>
    <w:rsid w:val="006763B9"/>
    <w:rsid w:val="006763FF"/>
    <w:rsid w:val="00680A34"/>
    <w:rsid w:val="00681A58"/>
    <w:rsid w:val="00682082"/>
    <w:rsid w:val="006856FB"/>
    <w:rsid w:val="006860EE"/>
    <w:rsid w:val="00686FAF"/>
    <w:rsid w:val="0069239C"/>
    <w:rsid w:val="00696BA1"/>
    <w:rsid w:val="006A0BF2"/>
    <w:rsid w:val="006A10BF"/>
    <w:rsid w:val="006A2387"/>
    <w:rsid w:val="006A267F"/>
    <w:rsid w:val="006A604F"/>
    <w:rsid w:val="006A6449"/>
    <w:rsid w:val="006B14CF"/>
    <w:rsid w:val="006B2818"/>
    <w:rsid w:val="006B3CB0"/>
    <w:rsid w:val="006B3FD2"/>
    <w:rsid w:val="006B442E"/>
    <w:rsid w:val="006B4955"/>
    <w:rsid w:val="006B67E4"/>
    <w:rsid w:val="006B6822"/>
    <w:rsid w:val="006B76DC"/>
    <w:rsid w:val="006C57BD"/>
    <w:rsid w:val="006C6DE8"/>
    <w:rsid w:val="006D3678"/>
    <w:rsid w:val="006D4600"/>
    <w:rsid w:val="006D5F53"/>
    <w:rsid w:val="006E02BD"/>
    <w:rsid w:val="006E1455"/>
    <w:rsid w:val="006E1FC2"/>
    <w:rsid w:val="006E2440"/>
    <w:rsid w:val="006E4342"/>
    <w:rsid w:val="006E5049"/>
    <w:rsid w:val="006F4870"/>
    <w:rsid w:val="006F51B5"/>
    <w:rsid w:val="006F6467"/>
    <w:rsid w:val="006F6C49"/>
    <w:rsid w:val="00706653"/>
    <w:rsid w:val="007068A1"/>
    <w:rsid w:val="00707527"/>
    <w:rsid w:val="00707F96"/>
    <w:rsid w:val="00712259"/>
    <w:rsid w:val="0071403A"/>
    <w:rsid w:val="0071443E"/>
    <w:rsid w:val="00717571"/>
    <w:rsid w:val="00717FE9"/>
    <w:rsid w:val="00720E5F"/>
    <w:rsid w:val="007211CC"/>
    <w:rsid w:val="00722078"/>
    <w:rsid w:val="00726255"/>
    <w:rsid w:val="00730713"/>
    <w:rsid w:val="00731904"/>
    <w:rsid w:val="00736695"/>
    <w:rsid w:val="00737857"/>
    <w:rsid w:val="0074619A"/>
    <w:rsid w:val="00747F72"/>
    <w:rsid w:val="007504FB"/>
    <w:rsid w:val="007510EF"/>
    <w:rsid w:val="00751914"/>
    <w:rsid w:val="00752B18"/>
    <w:rsid w:val="0075331E"/>
    <w:rsid w:val="00755297"/>
    <w:rsid w:val="00760EF7"/>
    <w:rsid w:val="00762204"/>
    <w:rsid w:val="00763516"/>
    <w:rsid w:val="00763564"/>
    <w:rsid w:val="00763CCA"/>
    <w:rsid w:val="0076448A"/>
    <w:rsid w:val="00764529"/>
    <w:rsid w:val="0076655E"/>
    <w:rsid w:val="00771990"/>
    <w:rsid w:val="00773689"/>
    <w:rsid w:val="00775802"/>
    <w:rsid w:val="00776F11"/>
    <w:rsid w:val="00781F9C"/>
    <w:rsid w:val="00782650"/>
    <w:rsid w:val="0078265E"/>
    <w:rsid w:val="00783631"/>
    <w:rsid w:val="007838EC"/>
    <w:rsid w:val="0078592C"/>
    <w:rsid w:val="00786C85"/>
    <w:rsid w:val="00787113"/>
    <w:rsid w:val="00787D03"/>
    <w:rsid w:val="00790A5B"/>
    <w:rsid w:val="0079183D"/>
    <w:rsid w:val="00794E13"/>
    <w:rsid w:val="00796047"/>
    <w:rsid w:val="007A34A7"/>
    <w:rsid w:val="007A5EFD"/>
    <w:rsid w:val="007A6C91"/>
    <w:rsid w:val="007B18BA"/>
    <w:rsid w:val="007B2BA7"/>
    <w:rsid w:val="007B3976"/>
    <w:rsid w:val="007B5258"/>
    <w:rsid w:val="007B6E0D"/>
    <w:rsid w:val="007C3C05"/>
    <w:rsid w:val="007C47F1"/>
    <w:rsid w:val="007C48F9"/>
    <w:rsid w:val="007C4A4E"/>
    <w:rsid w:val="007C4BD2"/>
    <w:rsid w:val="007C5085"/>
    <w:rsid w:val="007C5DCF"/>
    <w:rsid w:val="007C7074"/>
    <w:rsid w:val="007D1A4C"/>
    <w:rsid w:val="007D2A22"/>
    <w:rsid w:val="007D3125"/>
    <w:rsid w:val="007D6D5D"/>
    <w:rsid w:val="007E15BB"/>
    <w:rsid w:val="007E16F1"/>
    <w:rsid w:val="007E20B8"/>
    <w:rsid w:val="007E34C3"/>
    <w:rsid w:val="007E4A5C"/>
    <w:rsid w:val="007E6753"/>
    <w:rsid w:val="007F0169"/>
    <w:rsid w:val="007F03EE"/>
    <w:rsid w:val="007F293F"/>
    <w:rsid w:val="007F4BB8"/>
    <w:rsid w:val="007F50C9"/>
    <w:rsid w:val="007F51A3"/>
    <w:rsid w:val="007F576C"/>
    <w:rsid w:val="007F728D"/>
    <w:rsid w:val="007F78AE"/>
    <w:rsid w:val="007F7D99"/>
    <w:rsid w:val="00803BF8"/>
    <w:rsid w:val="00804E98"/>
    <w:rsid w:val="00807E0E"/>
    <w:rsid w:val="00810192"/>
    <w:rsid w:val="00811575"/>
    <w:rsid w:val="00813903"/>
    <w:rsid w:val="00813E69"/>
    <w:rsid w:val="0081656F"/>
    <w:rsid w:val="008172E4"/>
    <w:rsid w:val="008241F7"/>
    <w:rsid w:val="008258BF"/>
    <w:rsid w:val="00825C6B"/>
    <w:rsid w:val="008310D6"/>
    <w:rsid w:val="0083214A"/>
    <w:rsid w:val="00832BA3"/>
    <w:rsid w:val="00833477"/>
    <w:rsid w:val="008357CC"/>
    <w:rsid w:val="00836E98"/>
    <w:rsid w:val="008407CE"/>
    <w:rsid w:val="008423C2"/>
    <w:rsid w:val="00843BBF"/>
    <w:rsid w:val="00843E10"/>
    <w:rsid w:val="00843EC5"/>
    <w:rsid w:val="00844C54"/>
    <w:rsid w:val="00845B97"/>
    <w:rsid w:val="00845F3A"/>
    <w:rsid w:val="008466D2"/>
    <w:rsid w:val="00847929"/>
    <w:rsid w:val="00850378"/>
    <w:rsid w:val="00853E05"/>
    <w:rsid w:val="008555AD"/>
    <w:rsid w:val="00856CF5"/>
    <w:rsid w:val="008570EB"/>
    <w:rsid w:val="00857767"/>
    <w:rsid w:val="0086043F"/>
    <w:rsid w:val="008626E5"/>
    <w:rsid w:val="00864DF0"/>
    <w:rsid w:val="0086723F"/>
    <w:rsid w:val="00870236"/>
    <w:rsid w:val="00870307"/>
    <w:rsid w:val="00871A04"/>
    <w:rsid w:val="00872E41"/>
    <w:rsid w:val="00873C6D"/>
    <w:rsid w:val="00873E11"/>
    <w:rsid w:val="0087417D"/>
    <w:rsid w:val="00874287"/>
    <w:rsid w:val="008807B7"/>
    <w:rsid w:val="008808FA"/>
    <w:rsid w:val="00880F78"/>
    <w:rsid w:val="008815DF"/>
    <w:rsid w:val="008850CF"/>
    <w:rsid w:val="00895ED0"/>
    <w:rsid w:val="008969F0"/>
    <w:rsid w:val="008A0231"/>
    <w:rsid w:val="008A0A0F"/>
    <w:rsid w:val="008A11CC"/>
    <w:rsid w:val="008A17B2"/>
    <w:rsid w:val="008A1D9D"/>
    <w:rsid w:val="008A1E5C"/>
    <w:rsid w:val="008A3CF6"/>
    <w:rsid w:val="008A4C91"/>
    <w:rsid w:val="008B2979"/>
    <w:rsid w:val="008B3BC8"/>
    <w:rsid w:val="008B471B"/>
    <w:rsid w:val="008B59E9"/>
    <w:rsid w:val="008B61A1"/>
    <w:rsid w:val="008B785A"/>
    <w:rsid w:val="008B79CD"/>
    <w:rsid w:val="008C2203"/>
    <w:rsid w:val="008C3FC1"/>
    <w:rsid w:val="008C4361"/>
    <w:rsid w:val="008C6127"/>
    <w:rsid w:val="008D0635"/>
    <w:rsid w:val="008D09EA"/>
    <w:rsid w:val="008D1165"/>
    <w:rsid w:val="008D17A1"/>
    <w:rsid w:val="008D2612"/>
    <w:rsid w:val="008D3A9C"/>
    <w:rsid w:val="008D43BE"/>
    <w:rsid w:val="008D5D23"/>
    <w:rsid w:val="008D5DB6"/>
    <w:rsid w:val="008D69C0"/>
    <w:rsid w:val="008D7CCA"/>
    <w:rsid w:val="008E0384"/>
    <w:rsid w:val="008E0EF2"/>
    <w:rsid w:val="008E336F"/>
    <w:rsid w:val="008E6A22"/>
    <w:rsid w:val="008E7D6E"/>
    <w:rsid w:val="008F0CF7"/>
    <w:rsid w:val="008F1D29"/>
    <w:rsid w:val="008F321E"/>
    <w:rsid w:val="008F5037"/>
    <w:rsid w:val="008F55FE"/>
    <w:rsid w:val="008F5ACD"/>
    <w:rsid w:val="008F765A"/>
    <w:rsid w:val="00900586"/>
    <w:rsid w:val="00906F6F"/>
    <w:rsid w:val="009117B6"/>
    <w:rsid w:val="00911B28"/>
    <w:rsid w:val="00913468"/>
    <w:rsid w:val="009164CC"/>
    <w:rsid w:val="00916AAF"/>
    <w:rsid w:val="00921530"/>
    <w:rsid w:val="009215FF"/>
    <w:rsid w:val="0092164B"/>
    <w:rsid w:val="009227EE"/>
    <w:rsid w:val="00924407"/>
    <w:rsid w:val="009244E8"/>
    <w:rsid w:val="00924BBD"/>
    <w:rsid w:val="00924CBE"/>
    <w:rsid w:val="009257DC"/>
    <w:rsid w:val="00925D86"/>
    <w:rsid w:val="0092661E"/>
    <w:rsid w:val="00926D45"/>
    <w:rsid w:val="0092748F"/>
    <w:rsid w:val="00930261"/>
    <w:rsid w:val="00932612"/>
    <w:rsid w:val="00932B36"/>
    <w:rsid w:val="00935489"/>
    <w:rsid w:val="00937302"/>
    <w:rsid w:val="009375C6"/>
    <w:rsid w:val="00937DEB"/>
    <w:rsid w:val="0094064B"/>
    <w:rsid w:val="009406C0"/>
    <w:rsid w:val="00944889"/>
    <w:rsid w:val="00944BB4"/>
    <w:rsid w:val="0094555C"/>
    <w:rsid w:val="00946D72"/>
    <w:rsid w:val="00946F54"/>
    <w:rsid w:val="00947647"/>
    <w:rsid w:val="00947A84"/>
    <w:rsid w:val="00952FCC"/>
    <w:rsid w:val="0095541D"/>
    <w:rsid w:val="00956F77"/>
    <w:rsid w:val="0095710E"/>
    <w:rsid w:val="00962F3F"/>
    <w:rsid w:val="00966846"/>
    <w:rsid w:val="0097070D"/>
    <w:rsid w:val="009752B7"/>
    <w:rsid w:val="00975B68"/>
    <w:rsid w:val="009761BC"/>
    <w:rsid w:val="00977FCB"/>
    <w:rsid w:val="00980071"/>
    <w:rsid w:val="0098082D"/>
    <w:rsid w:val="00981374"/>
    <w:rsid w:val="009813EB"/>
    <w:rsid w:val="00981A93"/>
    <w:rsid w:val="009841DF"/>
    <w:rsid w:val="00986599"/>
    <w:rsid w:val="009866D3"/>
    <w:rsid w:val="009875AE"/>
    <w:rsid w:val="009906F2"/>
    <w:rsid w:val="00990924"/>
    <w:rsid w:val="009912B7"/>
    <w:rsid w:val="00993BA0"/>
    <w:rsid w:val="00995B75"/>
    <w:rsid w:val="00996689"/>
    <w:rsid w:val="00997B58"/>
    <w:rsid w:val="009A020F"/>
    <w:rsid w:val="009A230F"/>
    <w:rsid w:val="009A3B90"/>
    <w:rsid w:val="009A41A4"/>
    <w:rsid w:val="009A5D09"/>
    <w:rsid w:val="009A703B"/>
    <w:rsid w:val="009A7DB5"/>
    <w:rsid w:val="009B1505"/>
    <w:rsid w:val="009B39B8"/>
    <w:rsid w:val="009B5BAD"/>
    <w:rsid w:val="009B66BB"/>
    <w:rsid w:val="009B6EFE"/>
    <w:rsid w:val="009C064E"/>
    <w:rsid w:val="009C5587"/>
    <w:rsid w:val="009C6EA2"/>
    <w:rsid w:val="009D0497"/>
    <w:rsid w:val="009D0E6A"/>
    <w:rsid w:val="009D33E3"/>
    <w:rsid w:val="009D59FC"/>
    <w:rsid w:val="009D5B95"/>
    <w:rsid w:val="009D6B42"/>
    <w:rsid w:val="009E0FB3"/>
    <w:rsid w:val="009E325E"/>
    <w:rsid w:val="009E335E"/>
    <w:rsid w:val="009E4DC5"/>
    <w:rsid w:val="009E6802"/>
    <w:rsid w:val="009E7AD6"/>
    <w:rsid w:val="009F1792"/>
    <w:rsid w:val="009F17BD"/>
    <w:rsid w:val="009F3BBD"/>
    <w:rsid w:val="009F448A"/>
    <w:rsid w:val="009F6455"/>
    <w:rsid w:val="009F6C56"/>
    <w:rsid w:val="00A0015E"/>
    <w:rsid w:val="00A00226"/>
    <w:rsid w:val="00A00CAE"/>
    <w:rsid w:val="00A03212"/>
    <w:rsid w:val="00A04021"/>
    <w:rsid w:val="00A07FD4"/>
    <w:rsid w:val="00A14087"/>
    <w:rsid w:val="00A15F7A"/>
    <w:rsid w:val="00A234D4"/>
    <w:rsid w:val="00A24170"/>
    <w:rsid w:val="00A25BA7"/>
    <w:rsid w:val="00A25CC4"/>
    <w:rsid w:val="00A25D54"/>
    <w:rsid w:val="00A30BE1"/>
    <w:rsid w:val="00A32B08"/>
    <w:rsid w:val="00A36106"/>
    <w:rsid w:val="00A36301"/>
    <w:rsid w:val="00A375A0"/>
    <w:rsid w:val="00A40208"/>
    <w:rsid w:val="00A44154"/>
    <w:rsid w:val="00A45520"/>
    <w:rsid w:val="00A4556C"/>
    <w:rsid w:val="00A45B43"/>
    <w:rsid w:val="00A45F50"/>
    <w:rsid w:val="00A517F1"/>
    <w:rsid w:val="00A529C8"/>
    <w:rsid w:val="00A531F7"/>
    <w:rsid w:val="00A53954"/>
    <w:rsid w:val="00A5635C"/>
    <w:rsid w:val="00A61241"/>
    <w:rsid w:val="00A621A7"/>
    <w:rsid w:val="00A62AF1"/>
    <w:rsid w:val="00A63CD4"/>
    <w:rsid w:val="00A64B87"/>
    <w:rsid w:val="00A65419"/>
    <w:rsid w:val="00A662FD"/>
    <w:rsid w:val="00A66A5F"/>
    <w:rsid w:val="00A702ED"/>
    <w:rsid w:val="00A705D3"/>
    <w:rsid w:val="00A757B2"/>
    <w:rsid w:val="00A80124"/>
    <w:rsid w:val="00A81252"/>
    <w:rsid w:val="00A8192A"/>
    <w:rsid w:val="00A82626"/>
    <w:rsid w:val="00A82D5A"/>
    <w:rsid w:val="00A861AA"/>
    <w:rsid w:val="00A86AB6"/>
    <w:rsid w:val="00A9069F"/>
    <w:rsid w:val="00A92395"/>
    <w:rsid w:val="00A935D1"/>
    <w:rsid w:val="00A95E62"/>
    <w:rsid w:val="00AA1BEC"/>
    <w:rsid w:val="00AA28CB"/>
    <w:rsid w:val="00AA295A"/>
    <w:rsid w:val="00AA4CF2"/>
    <w:rsid w:val="00AA54F3"/>
    <w:rsid w:val="00AA573E"/>
    <w:rsid w:val="00AA6FA9"/>
    <w:rsid w:val="00AA77C7"/>
    <w:rsid w:val="00AB0CD4"/>
    <w:rsid w:val="00AB26EE"/>
    <w:rsid w:val="00AB2AA4"/>
    <w:rsid w:val="00AB6A3D"/>
    <w:rsid w:val="00AB6D73"/>
    <w:rsid w:val="00AC695A"/>
    <w:rsid w:val="00AC6ACE"/>
    <w:rsid w:val="00AC6C06"/>
    <w:rsid w:val="00AD49E3"/>
    <w:rsid w:val="00AE00B0"/>
    <w:rsid w:val="00AE182B"/>
    <w:rsid w:val="00AE4A06"/>
    <w:rsid w:val="00AE5483"/>
    <w:rsid w:val="00AE5C0D"/>
    <w:rsid w:val="00AE6202"/>
    <w:rsid w:val="00AE640D"/>
    <w:rsid w:val="00AE7BFF"/>
    <w:rsid w:val="00AF376C"/>
    <w:rsid w:val="00AF3D21"/>
    <w:rsid w:val="00AF7C54"/>
    <w:rsid w:val="00B05A7C"/>
    <w:rsid w:val="00B069D8"/>
    <w:rsid w:val="00B11A73"/>
    <w:rsid w:val="00B14DA8"/>
    <w:rsid w:val="00B15B6E"/>
    <w:rsid w:val="00B16463"/>
    <w:rsid w:val="00B165E4"/>
    <w:rsid w:val="00B20569"/>
    <w:rsid w:val="00B205E2"/>
    <w:rsid w:val="00B21C8A"/>
    <w:rsid w:val="00B231F5"/>
    <w:rsid w:val="00B234E3"/>
    <w:rsid w:val="00B26EC9"/>
    <w:rsid w:val="00B3384B"/>
    <w:rsid w:val="00B3432B"/>
    <w:rsid w:val="00B34C3A"/>
    <w:rsid w:val="00B37A70"/>
    <w:rsid w:val="00B4037E"/>
    <w:rsid w:val="00B432D0"/>
    <w:rsid w:val="00B4410E"/>
    <w:rsid w:val="00B453B1"/>
    <w:rsid w:val="00B45AD9"/>
    <w:rsid w:val="00B4763B"/>
    <w:rsid w:val="00B537F3"/>
    <w:rsid w:val="00B53E72"/>
    <w:rsid w:val="00B54106"/>
    <w:rsid w:val="00B5477B"/>
    <w:rsid w:val="00B61615"/>
    <w:rsid w:val="00B62DA6"/>
    <w:rsid w:val="00B66FFA"/>
    <w:rsid w:val="00B7121D"/>
    <w:rsid w:val="00B71C13"/>
    <w:rsid w:val="00B729D2"/>
    <w:rsid w:val="00B74E3F"/>
    <w:rsid w:val="00B76002"/>
    <w:rsid w:val="00B76F70"/>
    <w:rsid w:val="00B77095"/>
    <w:rsid w:val="00B774C2"/>
    <w:rsid w:val="00B77A91"/>
    <w:rsid w:val="00B80442"/>
    <w:rsid w:val="00B81A0D"/>
    <w:rsid w:val="00B854D4"/>
    <w:rsid w:val="00B858AD"/>
    <w:rsid w:val="00B864FD"/>
    <w:rsid w:val="00B90ACE"/>
    <w:rsid w:val="00B93E49"/>
    <w:rsid w:val="00B96260"/>
    <w:rsid w:val="00BA2359"/>
    <w:rsid w:val="00BA304E"/>
    <w:rsid w:val="00BA3241"/>
    <w:rsid w:val="00BA36E6"/>
    <w:rsid w:val="00BA52EC"/>
    <w:rsid w:val="00BA7FBD"/>
    <w:rsid w:val="00BB5EAA"/>
    <w:rsid w:val="00BB7CFA"/>
    <w:rsid w:val="00BC0D0C"/>
    <w:rsid w:val="00BC27F0"/>
    <w:rsid w:val="00BC2823"/>
    <w:rsid w:val="00BC2D6C"/>
    <w:rsid w:val="00BC378F"/>
    <w:rsid w:val="00BC633A"/>
    <w:rsid w:val="00BD11B0"/>
    <w:rsid w:val="00BD5172"/>
    <w:rsid w:val="00BD60B3"/>
    <w:rsid w:val="00BD7ADD"/>
    <w:rsid w:val="00BE07CE"/>
    <w:rsid w:val="00BE21C4"/>
    <w:rsid w:val="00BE2C56"/>
    <w:rsid w:val="00BE2D02"/>
    <w:rsid w:val="00BE36EF"/>
    <w:rsid w:val="00BE4187"/>
    <w:rsid w:val="00BE4639"/>
    <w:rsid w:val="00BF4F2B"/>
    <w:rsid w:val="00BF55E0"/>
    <w:rsid w:val="00BF7D8E"/>
    <w:rsid w:val="00C056FE"/>
    <w:rsid w:val="00C07551"/>
    <w:rsid w:val="00C107FD"/>
    <w:rsid w:val="00C143FE"/>
    <w:rsid w:val="00C149ED"/>
    <w:rsid w:val="00C156AA"/>
    <w:rsid w:val="00C15969"/>
    <w:rsid w:val="00C162E9"/>
    <w:rsid w:val="00C207AD"/>
    <w:rsid w:val="00C21900"/>
    <w:rsid w:val="00C23E4C"/>
    <w:rsid w:val="00C249D3"/>
    <w:rsid w:val="00C25773"/>
    <w:rsid w:val="00C25AB9"/>
    <w:rsid w:val="00C308A5"/>
    <w:rsid w:val="00C32C39"/>
    <w:rsid w:val="00C35379"/>
    <w:rsid w:val="00C40D2F"/>
    <w:rsid w:val="00C44049"/>
    <w:rsid w:val="00C54030"/>
    <w:rsid w:val="00C56316"/>
    <w:rsid w:val="00C56C6A"/>
    <w:rsid w:val="00C5706A"/>
    <w:rsid w:val="00C57DB3"/>
    <w:rsid w:val="00C57DF3"/>
    <w:rsid w:val="00C606F0"/>
    <w:rsid w:val="00C60DEE"/>
    <w:rsid w:val="00C60F63"/>
    <w:rsid w:val="00C62587"/>
    <w:rsid w:val="00C62900"/>
    <w:rsid w:val="00C62BBF"/>
    <w:rsid w:val="00C65FD6"/>
    <w:rsid w:val="00C66444"/>
    <w:rsid w:val="00C70270"/>
    <w:rsid w:val="00C71049"/>
    <w:rsid w:val="00C718CF"/>
    <w:rsid w:val="00C74528"/>
    <w:rsid w:val="00C764DD"/>
    <w:rsid w:val="00C77ACC"/>
    <w:rsid w:val="00C80A58"/>
    <w:rsid w:val="00C818F6"/>
    <w:rsid w:val="00C81A36"/>
    <w:rsid w:val="00C821AB"/>
    <w:rsid w:val="00C83261"/>
    <w:rsid w:val="00C84074"/>
    <w:rsid w:val="00C844D6"/>
    <w:rsid w:val="00C863CF"/>
    <w:rsid w:val="00C87141"/>
    <w:rsid w:val="00C92EE3"/>
    <w:rsid w:val="00C93F07"/>
    <w:rsid w:val="00C94E66"/>
    <w:rsid w:val="00C96E26"/>
    <w:rsid w:val="00C9779D"/>
    <w:rsid w:val="00CA0025"/>
    <w:rsid w:val="00CA1153"/>
    <w:rsid w:val="00CA4F62"/>
    <w:rsid w:val="00CA57AC"/>
    <w:rsid w:val="00CA6966"/>
    <w:rsid w:val="00CA6A7F"/>
    <w:rsid w:val="00CB0350"/>
    <w:rsid w:val="00CB5AF7"/>
    <w:rsid w:val="00CB6FA9"/>
    <w:rsid w:val="00CB7707"/>
    <w:rsid w:val="00CC2139"/>
    <w:rsid w:val="00CC4424"/>
    <w:rsid w:val="00CC46A1"/>
    <w:rsid w:val="00CC4AFA"/>
    <w:rsid w:val="00CC4B88"/>
    <w:rsid w:val="00CC4E13"/>
    <w:rsid w:val="00CD0CA0"/>
    <w:rsid w:val="00CD3575"/>
    <w:rsid w:val="00CD465F"/>
    <w:rsid w:val="00CD5B39"/>
    <w:rsid w:val="00CD6218"/>
    <w:rsid w:val="00CD6A6D"/>
    <w:rsid w:val="00CD6E46"/>
    <w:rsid w:val="00CD7301"/>
    <w:rsid w:val="00CE1139"/>
    <w:rsid w:val="00CE1906"/>
    <w:rsid w:val="00CE2942"/>
    <w:rsid w:val="00CE423D"/>
    <w:rsid w:val="00CE5DDC"/>
    <w:rsid w:val="00CE7E65"/>
    <w:rsid w:val="00CF03C7"/>
    <w:rsid w:val="00CF22F5"/>
    <w:rsid w:val="00CF4D7B"/>
    <w:rsid w:val="00D017AE"/>
    <w:rsid w:val="00D03C09"/>
    <w:rsid w:val="00D079F2"/>
    <w:rsid w:val="00D10A92"/>
    <w:rsid w:val="00D11C00"/>
    <w:rsid w:val="00D1356C"/>
    <w:rsid w:val="00D140C0"/>
    <w:rsid w:val="00D1642D"/>
    <w:rsid w:val="00D166F9"/>
    <w:rsid w:val="00D17F2C"/>
    <w:rsid w:val="00D17F74"/>
    <w:rsid w:val="00D21BD2"/>
    <w:rsid w:val="00D2276C"/>
    <w:rsid w:val="00D2522D"/>
    <w:rsid w:val="00D2669B"/>
    <w:rsid w:val="00D32351"/>
    <w:rsid w:val="00D34D18"/>
    <w:rsid w:val="00D35086"/>
    <w:rsid w:val="00D358C3"/>
    <w:rsid w:val="00D35AA0"/>
    <w:rsid w:val="00D40D9D"/>
    <w:rsid w:val="00D42593"/>
    <w:rsid w:val="00D428B5"/>
    <w:rsid w:val="00D42EA3"/>
    <w:rsid w:val="00D43D17"/>
    <w:rsid w:val="00D43F13"/>
    <w:rsid w:val="00D4534A"/>
    <w:rsid w:val="00D46A91"/>
    <w:rsid w:val="00D46D1A"/>
    <w:rsid w:val="00D47208"/>
    <w:rsid w:val="00D509C8"/>
    <w:rsid w:val="00D51363"/>
    <w:rsid w:val="00D557BC"/>
    <w:rsid w:val="00D56E26"/>
    <w:rsid w:val="00D605F1"/>
    <w:rsid w:val="00D61062"/>
    <w:rsid w:val="00D63EB9"/>
    <w:rsid w:val="00D647CB"/>
    <w:rsid w:val="00D663C9"/>
    <w:rsid w:val="00D6798C"/>
    <w:rsid w:val="00D70C31"/>
    <w:rsid w:val="00D70D55"/>
    <w:rsid w:val="00D7454B"/>
    <w:rsid w:val="00D74B62"/>
    <w:rsid w:val="00D7688C"/>
    <w:rsid w:val="00D820DC"/>
    <w:rsid w:val="00D86B4D"/>
    <w:rsid w:val="00D86BC6"/>
    <w:rsid w:val="00D901E3"/>
    <w:rsid w:val="00D90EC6"/>
    <w:rsid w:val="00D92167"/>
    <w:rsid w:val="00D924E3"/>
    <w:rsid w:val="00D946CC"/>
    <w:rsid w:val="00D96218"/>
    <w:rsid w:val="00DA0C0D"/>
    <w:rsid w:val="00DB48B7"/>
    <w:rsid w:val="00DB5E1A"/>
    <w:rsid w:val="00DB7688"/>
    <w:rsid w:val="00DC03F9"/>
    <w:rsid w:val="00DC1F41"/>
    <w:rsid w:val="00DC2E3A"/>
    <w:rsid w:val="00DC304E"/>
    <w:rsid w:val="00DC56A4"/>
    <w:rsid w:val="00DC69D5"/>
    <w:rsid w:val="00DD248A"/>
    <w:rsid w:val="00DD3188"/>
    <w:rsid w:val="00DD4383"/>
    <w:rsid w:val="00DD549C"/>
    <w:rsid w:val="00DD57D6"/>
    <w:rsid w:val="00DD7BE7"/>
    <w:rsid w:val="00DE11B3"/>
    <w:rsid w:val="00DE1319"/>
    <w:rsid w:val="00DE2328"/>
    <w:rsid w:val="00DE3846"/>
    <w:rsid w:val="00DE445B"/>
    <w:rsid w:val="00DE4544"/>
    <w:rsid w:val="00DE5245"/>
    <w:rsid w:val="00DE6684"/>
    <w:rsid w:val="00DF1260"/>
    <w:rsid w:val="00DF4417"/>
    <w:rsid w:val="00DF693C"/>
    <w:rsid w:val="00DF6E59"/>
    <w:rsid w:val="00E06141"/>
    <w:rsid w:val="00E07659"/>
    <w:rsid w:val="00E1300D"/>
    <w:rsid w:val="00E141C1"/>
    <w:rsid w:val="00E156B2"/>
    <w:rsid w:val="00E170E6"/>
    <w:rsid w:val="00E17B91"/>
    <w:rsid w:val="00E20D83"/>
    <w:rsid w:val="00E22C79"/>
    <w:rsid w:val="00E24230"/>
    <w:rsid w:val="00E256A5"/>
    <w:rsid w:val="00E27D35"/>
    <w:rsid w:val="00E349D6"/>
    <w:rsid w:val="00E366AE"/>
    <w:rsid w:val="00E46137"/>
    <w:rsid w:val="00E46B92"/>
    <w:rsid w:val="00E5341B"/>
    <w:rsid w:val="00E5343B"/>
    <w:rsid w:val="00E53B9A"/>
    <w:rsid w:val="00E54201"/>
    <w:rsid w:val="00E55914"/>
    <w:rsid w:val="00E56942"/>
    <w:rsid w:val="00E61079"/>
    <w:rsid w:val="00E62A23"/>
    <w:rsid w:val="00E6353B"/>
    <w:rsid w:val="00E6355F"/>
    <w:rsid w:val="00E65D46"/>
    <w:rsid w:val="00E666E3"/>
    <w:rsid w:val="00E66F29"/>
    <w:rsid w:val="00E67EB8"/>
    <w:rsid w:val="00E70AFB"/>
    <w:rsid w:val="00E717B2"/>
    <w:rsid w:val="00E719CF"/>
    <w:rsid w:val="00E761C6"/>
    <w:rsid w:val="00E77603"/>
    <w:rsid w:val="00E81C80"/>
    <w:rsid w:val="00E8217C"/>
    <w:rsid w:val="00E82257"/>
    <w:rsid w:val="00E8797C"/>
    <w:rsid w:val="00E87A1C"/>
    <w:rsid w:val="00E90293"/>
    <w:rsid w:val="00E9292D"/>
    <w:rsid w:val="00E93544"/>
    <w:rsid w:val="00E949A7"/>
    <w:rsid w:val="00E96025"/>
    <w:rsid w:val="00E97BAB"/>
    <w:rsid w:val="00EA3474"/>
    <w:rsid w:val="00EA481B"/>
    <w:rsid w:val="00EA58C3"/>
    <w:rsid w:val="00EA59FC"/>
    <w:rsid w:val="00EA6BB6"/>
    <w:rsid w:val="00EB16C0"/>
    <w:rsid w:val="00EB286F"/>
    <w:rsid w:val="00EB3139"/>
    <w:rsid w:val="00EB4BD9"/>
    <w:rsid w:val="00EB4CBA"/>
    <w:rsid w:val="00EC13CD"/>
    <w:rsid w:val="00EC1E02"/>
    <w:rsid w:val="00EC2E8F"/>
    <w:rsid w:val="00EC4021"/>
    <w:rsid w:val="00EC4C91"/>
    <w:rsid w:val="00ED16CD"/>
    <w:rsid w:val="00ED5AD7"/>
    <w:rsid w:val="00ED69DB"/>
    <w:rsid w:val="00ED7C71"/>
    <w:rsid w:val="00EE286D"/>
    <w:rsid w:val="00EE3E63"/>
    <w:rsid w:val="00EE42E3"/>
    <w:rsid w:val="00EE531C"/>
    <w:rsid w:val="00EE621D"/>
    <w:rsid w:val="00EE7763"/>
    <w:rsid w:val="00EE7D45"/>
    <w:rsid w:val="00EF2984"/>
    <w:rsid w:val="00EF3F85"/>
    <w:rsid w:val="00EF7E3D"/>
    <w:rsid w:val="00F04923"/>
    <w:rsid w:val="00F06881"/>
    <w:rsid w:val="00F10685"/>
    <w:rsid w:val="00F1568D"/>
    <w:rsid w:val="00F157A4"/>
    <w:rsid w:val="00F177AE"/>
    <w:rsid w:val="00F17889"/>
    <w:rsid w:val="00F17979"/>
    <w:rsid w:val="00F20A34"/>
    <w:rsid w:val="00F20F67"/>
    <w:rsid w:val="00F223F4"/>
    <w:rsid w:val="00F22932"/>
    <w:rsid w:val="00F241FA"/>
    <w:rsid w:val="00F268E3"/>
    <w:rsid w:val="00F26B4E"/>
    <w:rsid w:val="00F26C05"/>
    <w:rsid w:val="00F30967"/>
    <w:rsid w:val="00F3129B"/>
    <w:rsid w:val="00F34137"/>
    <w:rsid w:val="00F35E39"/>
    <w:rsid w:val="00F37C69"/>
    <w:rsid w:val="00F41479"/>
    <w:rsid w:val="00F430D3"/>
    <w:rsid w:val="00F43A75"/>
    <w:rsid w:val="00F44B13"/>
    <w:rsid w:val="00F47939"/>
    <w:rsid w:val="00F50189"/>
    <w:rsid w:val="00F512D4"/>
    <w:rsid w:val="00F53309"/>
    <w:rsid w:val="00F54A46"/>
    <w:rsid w:val="00F553C3"/>
    <w:rsid w:val="00F563BE"/>
    <w:rsid w:val="00F56750"/>
    <w:rsid w:val="00F65452"/>
    <w:rsid w:val="00F66166"/>
    <w:rsid w:val="00F6655A"/>
    <w:rsid w:val="00F72F56"/>
    <w:rsid w:val="00F80B8C"/>
    <w:rsid w:val="00F81641"/>
    <w:rsid w:val="00F828A9"/>
    <w:rsid w:val="00F82D5A"/>
    <w:rsid w:val="00F833B0"/>
    <w:rsid w:val="00F84D13"/>
    <w:rsid w:val="00F860F4"/>
    <w:rsid w:val="00F86544"/>
    <w:rsid w:val="00F872BB"/>
    <w:rsid w:val="00F87497"/>
    <w:rsid w:val="00F87EBC"/>
    <w:rsid w:val="00F97206"/>
    <w:rsid w:val="00F97687"/>
    <w:rsid w:val="00FA266F"/>
    <w:rsid w:val="00FA3375"/>
    <w:rsid w:val="00FA525B"/>
    <w:rsid w:val="00FA5BD2"/>
    <w:rsid w:val="00FA7085"/>
    <w:rsid w:val="00FB1B04"/>
    <w:rsid w:val="00FB2E0C"/>
    <w:rsid w:val="00FB55C1"/>
    <w:rsid w:val="00FC0E5A"/>
    <w:rsid w:val="00FC28BA"/>
    <w:rsid w:val="00FC47CE"/>
    <w:rsid w:val="00FC566E"/>
    <w:rsid w:val="00FD4747"/>
    <w:rsid w:val="00FD5F5D"/>
    <w:rsid w:val="00FD7883"/>
    <w:rsid w:val="00FE0C4D"/>
    <w:rsid w:val="00FE16C3"/>
    <w:rsid w:val="00FE1732"/>
    <w:rsid w:val="00FE3C52"/>
    <w:rsid w:val="00FE491C"/>
    <w:rsid w:val="00FE4A8E"/>
    <w:rsid w:val="00FE75FE"/>
    <w:rsid w:val="00FE7891"/>
    <w:rsid w:val="00FF078B"/>
    <w:rsid w:val="00FF24AE"/>
    <w:rsid w:val="00FF423C"/>
    <w:rsid w:val="00FF44CE"/>
    <w:rsid w:val="00FF641C"/>
    <w:rsid w:val="00FF6A4F"/>
    <w:rsid w:val="00FF6C2D"/>
    <w:rsid w:val="00FF6D08"/>
    <w:rsid w:val="00FF7389"/>
    <w:rsid w:val="00FF7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1FF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List Bullet" w:uiPriority="1"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2A"/>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5619CD"/>
    <w:pPr>
      <w:keepNext/>
      <w:keepLines/>
      <w:spacing w:before="240" w:after="120"/>
      <w:outlineLvl w:val="3"/>
    </w:pPr>
    <w:rPr>
      <w:rFonts w:cs="Arial"/>
      <w:b/>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A8192A"/>
    <w:pPr>
      <w:numPr>
        <w:numId w:val="4"/>
      </w:numPr>
      <w:spacing w:after="120" w:line="240" w:lineRule="exact"/>
      <w:ind w:left="1080"/>
    </w:p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Continued">
    <w:name w:val="Figure Title Continued"/>
    <w:basedOn w:val="FigureTitle"/>
    <w:qFormat/>
    <w:rsid w:val="00775802"/>
  </w:style>
  <w:style w:type="character" w:styleId="FollowedHyperlink">
    <w:name w:val="FollowedHyperlink"/>
    <w:rsid w:val="00682082"/>
    <w:rPr>
      <w:color w:val="6F57B5"/>
      <w:u w:val="none"/>
    </w:rPr>
  </w:style>
  <w:style w:type="paragraph" w:customStyle="1" w:styleId="Author">
    <w:name w:val="Author"/>
    <w:basedOn w:val="Normal"/>
    <w:rsid w:val="009D33E3"/>
    <w:pPr>
      <w:jc w:val="right"/>
    </w:pPr>
    <w:rPr>
      <w:rFonts w:ascii="Verdana" w:eastAsia="MS Mincho" w:hAnsi="Verdana"/>
      <w:b/>
      <w:sz w:val="22"/>
      <w:szCs w:val="20"/>
    </w:rPr>
  </w:style>
  <w:style w:type="paragraph" w:customStyle="1" w:styleId="Address2">
    <w:name w:val="Address2"/>
    <w:basedOn w:val="Normal"/>
    <w:rsid w:val="009D33E3"/>
    <w:pPr>
      <w:jc w:val="right"/>
    </w:pPr>
    <w:rPr>
      <w:rFonts w:ascii="Verdana" w:eastAsia="MS Mincho" w:hAnsi="Verdana"/>
      <w:sz w:val="22"/>
      <w:szCs w:val="20"/>
    </w:rPr>
  </w:style>
  <w:style w:type="paragraph" w:customStyle="1" w:styleId="paragraph">
    <w:name w:val="paragraph"/>
    <w:basedOn w:val="Normal"/>
    <w:rsid w:val="00BC378F"/>
    <w:pPr>
      <w:spacing w:before="200" w:line="320" w:lineRule="exact"/>
      <w:ind w:left="1440"/>
    </w:pPr>
  </w:style>
  <w:style w:type="character" w:customStyle="1" w:styleId="Heading2Char">
    <w:name w:val="Heading 2 Char"/>
    <w:aliases w:val="l2 Char"/>
    <w:link w:val="Heading2"/>
    <w:rsid w:val="009D33E3"/>
    <w:rPr>
      <w:rFonts w:cs="Arial"/>
      <w:b/>
      <w:bCs/>
      <w:iCs/>
      <w:sz w:val="24"/>
      <w:szCs w:val="28"/>
    </w:rPr>
  </w:style>
  <w:style w:type="paragraph" w:styleId="FootnoteText">
    <w:name w:val="footnote text"/>
    <w:aliases w:val="ft,fo,fo1,footnote text,footnote text Char,ft1"/>
    <w:basedOn w:val="Normal"/>
    <w:link w:val="FootnoteTextChar"/>
    <w:rsid w:val="00BC378F"/>
    <w:pPr>
      <w:widowControl w:val="0"/>
    </w:pPr>
    <w:rPr>
      <w:rFonts w:ascii="Courier New" w:hAnsi="Courier New" w:cs="Courier New"/>
    </w:rPr>
  </w:style>
  <w:style w:type="character" w:styleId="FootnoteReference">
    <w:name w:val="footnote reference"/>
    <w:aliases w:val="fr,footnote reference"/>
    <w:rsid w:val="00176584"/>
    <w:rPr>
      <w:rFonts w:ascii="Times New Roman" w:hAnsi="Times New Roman" w:cs="Courier New"/>
      <w:color w:val="auto"/>
      <w:sz w:val="24"/>
      <w:szCs w:val="24"/>
    </w:rPr>
  </w:style>
  <w:style w:type="paragraph" w:styleId="ListParagraph">
    <w:name w:val="List Paragraph"/>
    <w:basedOn w:val="Normal"/>
    <w:uiPriority w:val="34"/>
    <w:qFormat/>
    <w:rsid w:val="009D33E3"/>
    <w:pPr>
      <w:spacing w:after="240"/>
      <w:ind w:left="1080" w:hanging="360"/>
    </w:pPr>
    <w:rPr>
      <w:szCs w:val="20"/>
    </w:rPr>
  </w:style>
  <w:style w:type="paragraph" w:styleId="CommentText">
    <w:name w:val="annotation text"/>
    <w:basedOn w:val="Normal"/>
    <w:link w:val="CommentTextChar"/>
    <w:uiPriority w:val="99"/>
    <w:rsid w:val="009D33E3"/>
    <w:rPr>
      <w:sz w:val="20"/>
      <w:szCs w:val="20"/>
    </w:rPr>
  </w:style>
  <w:style w:type="character" w:customStyle="1" w:styleId="CommentTextChar">
    <w:name w:val="Comment Text Char"/>
    <w:basedOn w:val="DefaultParagraphFont"/>
    <w:link w:val="CommentText"/>
    <w:uiPriority w:val="99"/>
    <w:rsid w:val="009D33E3"/>
  </w:style>
  <w:style w:type="paragraph" w:customStyle="1" w:styleId="heading10">
    <w:name w:val="heading1"/>
    <w:basedOn w:val="Normal"/>
    <w:next w:val="Normal"/>
    <w:semiHidden/>
    <w:rsid w:val="00BC378F"/>
    <w:pPr>
      <w:spacing w:before="120" w:after="120"/>
    </w:pPr>
    <w:rPr>
      <w:b/>
      <w:bCs/>
      <w:sz w:val="22"/>
      <w:szCs w:val="22"/>
    </w:rPr>
  </w:style>
  <w:style w:type="character" w:styleId="CommentReference">
    <w:name w:val="annotation reference"/>
    <w:unhideWhenUsed/>
    <w:rsid w:val="009D33E3"/>
    <w:rPr>
      <w:sz w:val="16"/>
      <w:szCs w:val="16"/>
    </w:rPr>
  </w:style>
  <w:style w:type="paragraph" w:customStyle="1" w:styleId="heading20">
    <w:name w:val="heading2"/>
    <w:basedOn w:val="Heading3"/>
    <w:next w:val="Normal"/>
    <w:semiHidden/>
    <w:rsid w:val="00BC378F"/>
    <w:pPr>
      <w:spacing w:before="120"/>
    </w:pPr>
    <w:rPr>
      <w:rFonts w:cs="Times New Roman"/>
    </w:rPr>
  </w:style>
  <w:style w:type="character" w:customStyle="1" w:styleId="Heading3Char">
    <w:name w:val="Heading 3 Char"/>
    <w:link w:val="Heading3"/>
    <w:uiPriority w:val="9"/>
    <w:rsid w:val="009D33E3"/>
    <w:rPr>
      <w:rFonts w:cs="Arial"/>
      <w:b/>
      <w:bCs/>
      <w:i/>
      <w:iCs/>
      <w:sz w:val="24"/>
      <w:szCs w:val="22"/>
      <w:lang w:val="en-CA"/>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link w:val="Heading1"/>
    <w:rsid w:val="009D33E3"/>
    <w:rPr>
      <w:rFonts w:ascii="Times New Roman Bold" w:hAnsi="Times New Roman Bold"/>
      <w:b/>
      <w:bCs/>
      <w:caps/>
      <w:sz w:val="24"/>
      <w:szCs w:val="24"/>
    </w:rPr>
  </w:style>
  <w:style w:type="paragraph" w:styleId="BodyText">
    <w:name w:val="Body Text"/>
    <w:basedOn w:val="Normal"/>
    <w:link w:val="BodyTextChar1"/>
    <w:rsid w:val="009D33E3"/>
    <w:pPr>
      <w:spacing w:after="160" w:line="320" w:lineRule="exact"/>
    </w:pPr>
    <w:rPr>
      <w:rFonts w:ascii="Verdana" w:eastAsia="MS Mincho" w:hAnsi="Verdana"/>
      <w:snapToGrid w:val="0"/>
      <w:sz w:val="20"/>
      <w:szCs w:val="20"/>
    </w:rPr>
  </w:style>
  <w:style w:type="character" w:customStyle="1" w:styleId="BodyTextChar">
    <w:name w:val="Body Text Char"/>
    <w:basedOn w:val="DefaultParagraphFont"/>
    <w:rsid w:val="009D33E3"/>
    <w:rPr>
      <w:sz w:val="24"/>
      <w:szCs w:val="24"/>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rsid w:val="00BC378F"/>
    <w:rPr>
      <w:rFonts w:ascii="Times New Roman" w:hAnsi="Times New Roman"/>
      <w:sz w:val="24"/>
    </w:rPr>
  </w:style>
  <w:style w:type="character" w:customStyle="1" w:styleId="BodyTextChar1">
    <w:name w:val="Body Text Char1"/>
    <w:link w:val="BodyText"/>
    <w:rsid w:val="009D33E3"/>
    <w:rPr>
      <w:rFonts w:ascii="Verdana" w:eastAsia="MS Mincho" w:hAnsi="Verdana"/>
      <w:snapToGrid w:val="0"/>
    </w:rPr>
  </w:style>
  <w:style w:type="paragraph" w:customStyle="1" w:styleId="TableParagraph">
    <w:name w:val="Table Paragraph"/>
    <w:basedOn w:val="Normal"/>
    <w:uiPriority w:val="1"/>
    <w:qFormat/>
    <w:rsid w:val="009D33E3"/>
    <w:pPr>
      <w:widowControl w:val="0"/>
      <w:ind w:left="200"/>
    </w:pPr>
    <w:rPr>
      <w:rFonts w:ascii="Arial" w:eastAsia="Arial" w:hAnsi="Arial" w:cs="Arial"/>
      <w:sz w:val="22"/>
      <w:szCs w:val="22"/>
    </w:rPr>
  </w:style>
  <w:style w:type="paragraph" w:styleId="CommentSubject">
    <w:name w:val="annotation subject"/>
    <w:basedOn w:val="CommentText"/>
    <w:next w:val="CommentText"/>
    <w:link w:val="CommentSubjectChar"/>
    <w:rsid w:val="00B4037E"/>
    <w:rPr>
      <w:b/>
      <w:bCs/>
    </w:rPr>
  </w:style>
  <w:style w:type="character" w:customStyle="1" w:styleId="CommentSubjectChar">
    <w:name w:val="Comment Subject Char"/>
    <w:basedOn w:val="CommentTextChar"/>
    <w:link w:val="CommentSubject"/>
    <w:rsid w:val="00B4037E"/>
    <w:rPr>
      <w:b/>
      <w:bCs/>
    </w:rPr>
  </w:style>
  <w:style w:type="paragraph" w:styleId="EndnoteText">
    <w:name w:val="endnote text"/>
    <w:basedOn w:val="Normal"/>
    <w:semiHidden/>
    <w:rsid w:val="00BC378F"/>
    <w:rPr>
      <w:sz w:val="20"/>
      <w:szCs w:val="20"/>
    </w:rPr>
  </w:style>
  <w:style w:type="character" w:styleId="EndnoteReference">
    <w:name w:val="endnote reference"/>
    <w:semiHidden/>
    <w:rsid w:val="00BC378F"/>
    <w:rPr>
      <w:vertAlign w:val="superscript"/>
    </w:rPr>
  </w:style>
  <w:style w:type="paragraph" w:styleId="Title">
    <w:name w:val="Title"/>
    <w:basedOn w:val="Normal"/>
    <w:link w:val="TitleChar"/>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uiPriority w:val="99"/>
    <w:rsid w:val="00071E0F"/>
    <w:rPr>
      <w:color w:val="3333FF"/>
      <w:u w:val="none"/>
    </w:rPr>
  </w:style>
  <w:style w:type="paragraph" w:customStyle="1" w:styleId="bibliogrpahy">
    <w:name w:val="bibliogrpahy"/>
    <w:rsid w:val="00BC378F"/>
    <w:pPr>
      <w:spacing w:after="110"/>
      <w:ind w:left="720" w:hanging="720"/>
    </w:pPr>
    <w:rPr>
      <w:sz w:val="24"/>
      <w:szCs w:val="24"/>
    </w:rPr>
  </w:style>
  <w:style w:type="paragraph" w:styleId="E-mailSignature">
    <w:name w:val="E-mail Signature"/>
    <w:basedOn w:val="Normal"/>
    <w:link w:val="E-mailSignatureChar"/>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qFormat/>
    <w:rsid w:val="00BC378F"/>
    <w:rPr>
      <w:b/>
      <w:bCs/>
    </w:rPr>
  </w:style>
  <w:style w:type="character" w:styleId="Emphasis">
    <w:name w:val="Emphasis"/>
    <w:uiPriority w:val="20"/>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5619CD"/>
    <w:pPr>
      <w:tabs>
        <w:tab w:val="left" w:pos="720"/>
        <w:tab w:val="right" w:leader="dot" w:pos="9350"/>
      </w:tabs>
      <w:spacing w:before="240" w:after="120"/>
      <w:ind w:left="720" w:right="576" w:hanging="360"/>
    </w:pPr>
    <w:rPr>
      <w:noProof/>
    </w:rPr>
  </w:style>
  <w:style w:type="paragraph" w:customStyle="1" w:styleId="BodyText1">
    <w:name w:val="Body Text1"/>
    <w:basedOn w:val="Normal"/>
    <w:link w:val="bodytextChar0"/>
    <w:rsid w:val="00A8192A"/>
    <w:pPr>
      <w:spacing w:after="120" w:line="360" w:lineRule="auto"/>
      <w:ind w:firstLine="720"/>
    </w:pPr>
    <w:rPr>
      <w:szCs w:val="20"/>
    </w:rPr>
  </w:style>
  <w:style w:type="paragraph" w:styleId="TOC2">
    <w:name w:val="toc 2"/>
    <w:basedOn w:val="Normal"/>
    <w:next w:val="Normal"/>
    <w:autoRedefine/>
    <w:uiPriority w:val="39"/>
    <w:rsid w:val="005619CD"/>
    <w:pPr>
      <w:tabs>
        <w:tab w:val="left" w:pos="1350"/>
        <w:tab w:val="right" w:leader="dot" w:pos="9350"/>
      </w:tabs>
      <w:spacing w:before="120" w:after="120"/>
      <w:ind w:left="1354" w:right="576" w:hanging="634"/>
    </w:pPr>
    <w:rPr>
      <w:noProof/>
    </w:rPr>
  </w:style>
  <w:style w:type="character" w:customStyle="1" w:styleId="TomMitchell">
    <w:name w:val="Tom Mitchell"/>
    <w:semiHidden/>
    <w:rsid w:val="00BC378F"/>
    <w:rPr>
      <w:rFonts w:ascii="Arial" w:hAnsi="Arial" w:cs="Arial"/>
      <w:color w:val="000080"/>
      <w:sz w:val="20"/>
      <w:szCs w:val="20"/>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semiHidden/>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paragraph" w:customStyle="1" w:styleId="bullets-blank">
    <w:name w:val="bullets-blank"/>
    <w:basedOn w:val="Normal"/>
    <w:rsid w:val="007D2A22"/>
    <w:pPr>
      <w:spacing w:after="120"/>
      <w:ind w:left="1080" w:hanging="360"/>
    </w:pPr>
  </w:style>
  <w:style w:type="character" w:customStyle="1" w:styleId="bodytextChar0">
    <w:name w:val="body text Char"/>
    <w:basedOn w:val="DefaultParagraphFont"/>
    <w:link w:val="BodyText1"/>
    <w:rsid w:val="00A8192A"/>
    <w:rPr>
      <w:sz w:val="24"/>
    </w:rPr>
  </w:style>
  <w:style w:type="paragraph" w:styleId="ListNumber">
    <w:name w:val="List Number"/>
    <w:basedOn w:val="Normal"/>
    <w:rsid w:val="007D2A22"/>
    <w:pPr>
      <w:spacing w:after="120"/>
    </w:pPr>
  </w:style>
  <w:style w:type="paragraph" w:customStyle="1" w:styleId="tabfigsource">
    <w:name w:val="tab/fig source"/>
    <w:basedOn w:val="Normal"/>
    <w:rsid w:val="00A8192A"/>
    <w:pPr>
      <w:keepLines/>
      <w:spacing w:before="120" w:after="240"/>
      <w:ind w:left="187" w:hanging="187"/>
    </w:pPr>
    <w:rPr>
      <w:sz w:val="20"/>
    </w:rPr>
  </w:style>
  <w:style w:type="paragraph" w:customStyle="1" w:styleId="Heading3NoTOC">
    <w:name w:val="Heading 3 NoTOC"/>
    <w:basedOn w:val="Heading3"/>
    <w:qFormat/>
    <w:rsid w:val="007D2A22"/>
  </w:style>
  <w:style w:type="character" w:customStyle="1" w:styleId="journalname">
    <w:name w:val="journalname"/>
    <w:basedOn w:val="DefaultParagraphFont"/>
    <w:rsid w:val="007D2A22"/>
  </w:style>
  <w:style w:type="paragraph" w:styleId="ListBullet">
    <w:name w:val="List Bullet"/>
    <w:aliases w:val="Bullet List"/>
    <w:basedOn w:val="Normal"/>
    <w:uiPriority w:val="1"/>
    <w:qFormat/>
    <w:rsid w:val="007D2A22"/>
    <w:pPr>
      <w:numPr>
        <w:numId w:val="15"/>
      </w:numPr>
      <w:tabs>
        <w:tab w:val="clear" w:pos="360"/>
        <w:tab w:val="num" w:pos="1080"/>
      </w:tabs>
      <w:spacing w:after="120"/>
      <w:ind w:left="1080"/>
    </w:pPr>
  </w:style>
  <w:style w:type="paragraph" w:customStyle="1" w:styleId="Default">
    <w:name w:val="Default"/>
    <w:rsid w:val="007D2A22"/>
    <w:pPr>
      <w:autoSpaceDE w:val="0"/>
      <w:autoSpaceDN w:val="0"/>
      <w:adjustRightInd w:val="0"/>
    </w:pPr>
    <w:rPr>
      <w:color w:val="000000"/>
      <w:sz w:val="24"/>
      <w:szCs w:val="24"/>
    </w:rPr>
  </w:style>
  <w:style w:type="character" w:customStyle="1" w:styleId="FootnoteTextChar">
    <w:name w:val="Footnote Text Char"/>
    <w:aliases w:val="ft Char,fo Char,fo1 Char,footnote text Char1,footnote text Char Char,ft1 Char"/>
    <w:basedOn w:val="DefaultParagraphFont"/>
    <w:link w:val="FootnoteText"/>
    <w:rsid w:val="007D2A22"/>
    <w:rPr>
      <w:rFonts w:ascii="Courier New" w:hAnsi="Courier New" w:cs="Courier New"/>
      <w:sz w:val="24"/>
      <w:szCs w:val="24"/>
    </w:rPr>
  </w:style>
  <w:style w:type="paragraph" w:styleId="Revision">
    <w:name w:val="Revision"/>
    <w:hidden/>
    <w:uiPriority w:val="99"/>
    <w:semiHidden/>
    <w:rsid w:val="007D2A22"/>
    <w:rPr>
      <w:sz w:val="24"/>
      <w:szCs w:val="24"/>
    </w:rPr>
  </w:style>
  <w:style w:type="character" w:customStyle="1" w:styleId="volume">
    <w:name w:val="volume"/>
    <w:basedOn w:val="DefaultParagraphFont"/>
    <w:rsid w:val="007D2A22"/>
  </w:style>
  <w:style w:type="character" w:customStyle="1" w:styleId="apple-converted-space">
    <w:name w:val="apple-converted-space"/>
    <w:basedOn w:val="DefaultParagraphFont"/>
    <w:rsid w:val="007D2A22"/>
  </w:style>
  <w:style w:type="character" w:customStyle="1" w:styleId="page">
    <w:name w:val="page"/>
    <w:basedOn w:val="DefaultParagraphFont"/>
    <w:rsid w:val="007D2A22"/>
  </w:style>
  <w:style w:type="character" w:customStyle="1" w:styleId="FooterChar">
    <w:name w:val="Footer Char"/>
    <w:basedOn w:val="DefaultParagraphFont"/>
    <w:link w:val="Footer"/>
    <w:uiPriority w:val="99"/>
    <w:rsid w:val="007D2A22"/>
  </w:style>
  <w:style w:type="paragraph" w:customStyle="1" w:styleId="Source1">
    <w:name w:val="Source1"/>
    <w:basedOn w:val="Normal"/>
    <w:rsid w:val="007D2A22"/>
    <w:pPr>
      <w:keepLines/>
      <w:spacing w:before="120" w:after="400"/>
      <w:ind w:left="187" w:hanging="187"/>
    </w:pPr>
    <w:rPr>
      <w:rFonts w:ascii="Verdana" w:eastAsia="MS Mincho" w:hAnsi="Verdana"/>
      <w:sz w:val="18"/>
      <w:szCs w:val="20"/>
    </w:rPr>
  </w:style>
  <w:style w:type="paragraph" w:customStyle="1" w:styleId="TableTitle">
    <w:name w:val="Table Title"/>
    <w:basedOn w:val="Caption"/>
    <w:rsid w:val="007D2A22"/>
    <w:pPr>
      <w:keepNext/>
      <w:keepLines/>
      <w:spacing w:before="320" w:after="120"/>
      <w:ind w:left="1440" w:hanging="1440"/>
    </w:pPr>
    <w:rPr>
      <w:rFonts w:eastAsia="MS Mincho"/>
      <w:b/>
      <w:bCs/>
      <w:i w:val="0"/>
      <w:iCs w:val="0"/>
      <w:color w:val="auto"/>
      <w:sz w:val="24"/>
      <w:szCs w:val="20"/>
    </w:rPr>
  </w:style>
  <w:style w:type="paragraph" w:customStyle="1" w:styleId="TableHeaders">
    <w:name w:val="Table Headers"/>
    <w:qFormat/>
    <w:rsid w:val="00A8192A"/>
    <w:pPr>
      <w:spacing w:before="80" w:after="80"/>
      <w:jc w:val="center"/>
    </w:pPr>
    <w:rPr>
      <w:b/>
      <w:sz w:val="22"/>
    </w:rPr>
  </w:style>
  <w:style w:type="paragraph" w:customStyle="1" w:styleId="TableBulletLM">
    <w:name w:val="Table Bullet LM"/>
    <w:basedOn w:val="ListBullet"/>
    <w:qFormat/>
    <w:rsid w:val="007D2A22"/>
    <w:pPr>
      <w:numPr>
        <w:numId w:val="0"/>
      </w:numPr>
      <w:spacing w:before="60" w:after="60"/>
      <w:ind w:left="288" w:hanging="288"/>
    </w:pPr>
    <w:rPr>
      <w:rFonts w:ascii="Verdana" w:eastAsia="MS Mincho" w:hAnsi="Verdana"/>
      <w:sz w:val="18"/>
      <w:szCs w:val="18"/>
    </w:rPr>
  </w:style>
  <w:style w:type="paragraph" w:styleId="Caption">
    <w:name w:val="caption"/>
    <w:basedOn w:val="Normal"/>
    <w:next w:val="Normal"/>
    <w:semiHidden/>
    <w:unhideWhenUsed/>
    <w:qFormat/>
    <w:rsid w:val="007D2A22"/>
    <w:pPr>
      <w:spacing w:after="200"/>
    </w:pPr>
    <w:rPr>
      <w:i/>
      <w:iCs/>
      <w:color w:val="44546A" w:themeColor="text2"/>
      <w:sz w:val="18"/>
      <w:szCs w:val="18"/>
    </w:rPr>
  </w:style>
  <w:style w:type="paragraph" w:customStyle="1" w:styleId="TableText">
    <w:name w:val="Table Text"/>
    <w:basedOn w:val="Normal"/>
    <w:qFormat/>
    <w:rsid w:val="00AE182B"/>
    <w:pPr>
      <w:spacing w:before="40" w:after="40"/>
    </w:pPr>
    <w:rPr>
      <w:rFonts w:eastAsia="MS Mincho"/>
      <w:sz w:val="22"/>
      <w:szCs w:val="20"/>
    </w:rPr>
  </w:style>
  <w:style w:type="paragraph" w:customStyle="1" w:styleId="TableTitlecont">
    <w:name w:val="Table Title (cont)"/>
    <w:basedOn w:val="TableTitle"/>
    <w:rsid w:val="007D2A22"/>
  </w:style>
  <w:style w:type="table" w:customStyle="1" w:styleId="RTITable">
    <w:name w:val="RTI_Table"/>
    <w:basedOn w:val="TableNormal"/>
    <w:uiPriority w:val="99"/>
    <w:rsid w:val="007D2A22"/>
    <w:rPr>
      <w:rFonts w:ascii="Verdana" w:eastAsia="SimSun" w:hAnsi="Verdana"/>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NoSpacing">
    <w:name w:val="No Spacing"/>
    <w:uiPriority w:val="1"/>
    <w:qFormat/>
    <w:rsid w:val="007D2A22"/>
    <w:rPr>
      <w:sz w:val="24"/>
      <w:szCs w:val="24"/>
    </w:rPr>
  </w:style>
  <w:style w:type="paragraph" w:customStyle="1" w:styleId="cover-text">
    <w:name w:val="cover-text"/>
    <w:basedOn w:val="Normal"/>
    <w:link w:val="cover-textChar"/>
    <w:rsid w:val="007D2A22"/>
    <w:pPr>
      <w:spacing w:before="600" w:after="240"/>
      <w:contextualSpacing/>
      <w:jc w:val="right"/>
    </w:pPr>
    <w:rPr>
      <w:rFonts w:ascii="Verdana" w:eastAsia="SimSun" w:hAnsi="Verdana"/>
      <w:sz w:val="22"/>
      <w:szCs w:val="22"/>
      <w:lang w:eastAsia="zh-CN"/>
    </w:rPr>
  </w:style>
  <w:style w:type="paragraph" w:customStyle="1" w:styleId="cover-address">
    <w:name w:val="cover-address"/>
    <w:basedOn w:val="Normal"/>
    <w:rsid w:val="007D2A22"/>
    <w:pPr>
      <w:contextualSpacing/>
      <w:jc w:val="right"/>
    </w:pPr>
    <w:rPr>
      <w:rFonts w:ascii="Verdana" w:eastAsia="SimSun" w:hAnsi="Verdana"/>
      <w:sz w:val="22"/>
      <w:szCs w:val="22"/>
      <w:lang w:eastAsia="zh-CN"/>
    </w:rPr>
  </w:style>
  <w:style w:type="character" w:customStyle="1" w:styleId="cover-textChar">
    <w:name w:val="cover-text Char"/>
    <w:link w:val="cover-text"/>
    <w:rsid w:val="007D2A22"/>
    <w:rPr>
      <w:rFonts w:ascii="Verdana" w:eastAsia="SimSun" w:hAnsi="Verdana"/>
      <w:sz w:val="22"/>
      <w:szCs w:val="22"/>
      <w:lang w:eastAsia="zh-CN"/>
    </w:rPr>
  </w:style>
  <w:style w:type="paragraph" w:styleId="Bibliography">
    <w:name w:val="Bibliography"/>
    <w:basedOn w:val="Normal"/>
    <w:next w:val="Normal"/>
    <w:uiPriority w:val="37"/>
    <w:semiHidden/>
    <w:unhideWhenUsed/>
    <w:rsid w:val="007D2A22"/>
    <w:pPr>
      <w:spacing w:after="160" w:line="259" w:lineRule="auto"/>
    </w:pPr>
    <w:rPr>
      <w:rFonts w:asciiTheme="minorHAnsi" w:eastAsiaTheme="minorHAnsi" w:hAnsiTheme="minorHAnsi" w:cstheme="minorBidi"/>
      <w:sz w:val="22"/>
      <w:szCs w:val="22"/>
    </w:rPr>
  </w:style>
  <w:style w:type="paragraph" w:customStyle="1" w:styleId="biblio-entry">
    <w:name w:val="biblio-entry"/>
    <w:basedOn w:val="Normal"/>
    <w:link w:val="biblio-entryChar"/>
    <w:rsid w:val="009F17BD"/>
    <w:pPr>
      <w:keepLines/>
      <w:spacing w:after="240"/>
      <w:ind w:left="720" w:hanging="720"/>
    </w:pPr>
    <w:rPr>
      <w:rFonts w:ascii="Verdana" w:eastAsia="SimSun" w:hAnsi="Verdana"/>
      <w:sz w:val="20"/>
      <w:szCs w:val="22"/>
      <w:lang w:eastAsia="zh-CN"/>
    </w:rPr>
  </w:style>
  <w:style w:type="character" w:customStyle="1" w:styleId="biblio-entryChar">
    <w:name w:val="biblio-entry Char"/>
    <w:basedOn w:val="DefaultParagraphFont"/>
    <w:link w:val="biblio-entry"/>
    <w:rsid w:val="009F17BD"/>
    <w:rPr>
      <w:rFonts w:ascii="Verdana" w:eastAsia="SimSun" w:hAnsi="Verdana"/>
      <w:szCs w:val="22"/>
      <w:lang w:eastAsia="zh-CN"/>
    </w:rPr>
  </w:style>
  <w:style w:type="character" w:customStyle="1" w:styleId="TitleChar">
    <w:name w:val="Title Char"/>
    <w:basedOn w:val="DefaultParagraphFont"/>
    <w:link w:val="Title"/>
    <w:rsid w:val="004D6C4E"/>
    <w:rPr>
      <w:b/>
      <w:bCs/>
      <w:sz w:val="24"/>
      <w:szCs w:val="24"/>
    </w:rPr>
  </w:style>
  <w:style w:type="paragraph" w:customStyle="1" w:styleId="ExhibitTitle">
    <w:name w:val="Exhibit Title"/>
    <w:basedOn w:val="FigureTitle"/>
    <w:qFormat/>
    <w:rsid w:val="00A8192A"/>
    <w:pPr>
      <w:keepLines w:val="0"/>
    </w:pPr>
  </w:style>
  <w:style w:type="paragraph" w:customStyle="1" w:styleId="BodyTextIndent1">
    <w:name w:val="Body Text Indent1"/>
    <w:basedOn w:val="BodyText1"/>
    <w:qFormat/>
    <w:rsid w:val="00A8192A"/>
    <w:pPr>
      <w:ind w:left="720" w:firstLine="0"/>
    </w:pPr>
  </w:style>
  <w:style w:type="paragraph" w:customStyle="1" w:styleId="TableTextDec">
    <w:name w:val="TableTextDec"/>
    <w:basedOn w:val="TableText"/>
    <w:qFormat/>
    <w:rsid w:val="000A76BA"/>
    <w:pPr>
      <w:tabs>
        <w:tab w:val="decimal" w:pos="842"/>
      </w:tabs>
    </w:pPr>
    <w:rPr>
      <w:color w:val="000000"/>
      <w:sz w:val="20"/>
    </w:rPr>
  </w:style>
  <w:style w:type="paragraph" w:customStyle="1" w:styleId="ExhibitTitleContinued">
    <w:name w:val="ExhibitTitleContinued"/>
    <w:basedOn w:val="ExhibitTitle"/>
    <w:qFormat/>
    <w:rsid w:val="00A8192A"/>
  </w:style>
  <w:style w:type="character" w:customStyle="1" w:styleId="E-mailSignatureChar">
    <w:name w:val="E-mail Signature Char"/>
    <w:link w:val="E-mailSignature"/>
    <w:rsid w:val="00355AD7"/>
    <w:rPr>
      <w:sz w:val="24"/>
      <w:szCs w:val="24"/>
    </w:rPr>
  </w:style>
  <w:style w:type="paragraph" w:styleId="BodyTextIndent2">
    <w:name w:val="Body Text Indent 2"/>
    <w:basedOn w:val="Normal"/>
    <w:link w:val="BodyTextIndent2Char"/>
    <w:rsid w:val="00776F11"/>
    <w:pPr>
      <w:spacing w:after="120" w:line="480" w:lineRule="auto"/>
      <w:ind w:left="360"/>
    </w:pPr>
  </w:style>
  <w:style w:type="character" w:customStyle="1" w:styleId="BodyTextIndent2Char">
    <w:name w:val="Body Text Indent 2 Char"/>
    <w:basedOn w:val="DefaultParagraphFont"/>
    <w:link w:val="BodyTextIndent2"/>
    <w:rsid w:val="00776F11"/>
    <w:rPr>
      <w:sz w:val="24"/>
      <w:szCs w:val="24"/>
    </w:rPr>
  </w:style>
  <w:style w:type="character" w:customStyle="1" w:styleId="label-2">
    <w:name w:val="label-2"/>
    <w:rsid w:val="00192F9D"/>
    <w:rPr>
      <w:b/>
      <w:bCs/>
      <w:sz w:val="20"/>
      <w:szCs w:val="20"/>
    </w:rPr>
  </w:style>
  <w:style w:type="character" w:customStyle="1" w:styleId="Mention1">
    <w:name w:val="Mention1"/>
    <w:basedOn w:val="DefaultParagraphFont"/>
    <w:uiPriority w:val="99"/>
    <w:semiHidden/>
    <w:unhideWhenUsed/>
    <w:rsid w:val="00F241FA"/>
    <w:rPr>
      <w:color w:val="2B579A"/>
      <w:shd w:val="clear" w:color="auto" w:fill="E6E6E6"/>
    </w:rPr>
  </w:style>
  <w:style w:type="paragraph" w:customStyle="1" w:styleId="NormalSS">
    <w:name w:val="NormalSS"/>
    <w:basedOn w:val="Normal"/>
    <w:link w:val="NormalSSChar"/>
    <w:qFormat/>
    <w:rsid w:val="00F44B13"/>
    <w:pPr>
      <w:spacing w:after="240"/>
      <w:ind w:firstLine="432"/>
    </w:pPr>
    <w:rPr>
      <w:szCs w:val="20"/>
    </w:rPr>
  </w:style>
  <w:style w:type="character" w:customStyle="1" w:styleId="NormalSSChar">
    <w:name w:val="NormalSS Char"/>
    <w:link w:val="NormalSS"/>
    <w:locked/>
    <w:rsid w:val="00F44B13"/>
    <w:rPr>
      <w:sz w:val="24"/>
    </w:rPr>
  </w:style>
  <w:style w:type="character" w:customStyle="1" w:styleId="articlecitationyear">
    <w:name w:val="articlecitation_year"/>
    <w:basedOn w:val="DefaultParagraphFont"/>
    <w:rsid w:val="00454E63"/>
  </w:style>
  <w:style w:type="character" w:customStyle="1" w:styleId="articlecitationvolume">
    <w:name w:val="articlecitation_volume"/>
    <w:basedOn w:val="DefaultParagraphFont"/>
    <w:rsid w:val="00454E63"/>
  </w:style>
  <w:style w:type="character" w:customStyle="1" w:styleId="articlecitationpages">
    <w:name w:val="articlecitation_pages"/>
    <w:basedOn w:val="DefaultParagraphFont"/>
    <w:rsid w:val="00454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List Bullet" w:uiPriority="1"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2A"/>
    <w:rPr>
      <w:sz w:val="24"/>
      <w:szCs w:val="24"/>
    </w:rPr>
  </w:style>
  <w:style w:type="paragraph" w:styleId="Heading1">
    <w:name w:val="heading 1"/>
    <w:aliases w:val="l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aliases w:val="l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5619CD"/>
    <w:pPr>
      <w:keepNext/>
      <w:keepLines/>
      <w:spacing w:before="240" w:after="120"/>
      <w:outlineLvl w:val="3"/>
    </w:pPr>
    <w:rPr>
      <w:rFonts w:cs="Arial"/>
      <w:b/>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A8192A"/>
    <w:pPr>
      <w:numPr>
        <w:numId w:val="4"/>
      </w:numPr>
      <w:spacing w:after="120" w:line="240" w:lineRule="exact"/>
      <w:ind w:left="1080"/>
    </w:p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Continued">
    <w:name w:val="Figure Title Continued"/>
    <w:basedOn w:val="FigureTitle"/>
    <w:qFormat/>
    <w:rsid w:val="00775802"/>
  </w:style>
  <w:style w:type="character" w:styleId="FollowedHyperlink">
    <w:name w:val="FollowedHyperlink"/>
    <w:rsid w:val="00682082"/>
    <w:rPr>
      <w:color w:val="6F57B5"/>
      <w:u w:val="none"/>
    </w:rPr>
  </w:style>
  <w:style w:type="paragraph" w:customStyle="1" w:styleId="Author">
    <w:name w:val="Author"/>
    <w:basedOn w:val="Normal"/>
    <w:rsid w:val="009D33E3"/>
    <w:pPr>
      <w:jc w:val="right"/>
    </w:pPr>
    <w:rPr>
      <w:rFonts w:ascii="Verdana" w:eastAsia="MS Mincho" w:hAnsi="Verdana"/>
      <w:b/>
      <w:sz w:val="22"/>
      <w:szCs w:val="20"/>
    </w:rPr>
  </w:style>
  <w:style w:type="paragraph" w:customStyle="1" w:styleId="Address2">
    <w:name w:val="Address2"/>
    <w:basedOn w:val="Normal"/>
    <w:rsid w:val="009D33E3"/>
    <w:pPr>
      <w:jc w:val="right"/>
    </w:pPr>
    <w:rPr>
      <w:rFonts w:ascii="Verdana" w:eastAsia="MS Mincho" w:hAnsi="Verdana"/>
      <w:sz w:val="22"/>
      <w:szCs w:val="20"/>
    </w:rPr>
  </w:style>
  <w:style w:type="paragraph" w:customStyle="1" w:styleId="paragraph">
    <w:name w:val="paragraph"/>
    <w:basedOn w:val="Normal"/>
    <w:rsid w:val="00BC378F"/>
    <w:pPr>
      <w:spacing w:before="200" w:line="320" w:lineRule="exact"/>
      <w:ind w:left="1440"/>
    </w:pPr>
  </w:style>
  <w:style w:type="character" w:customStyle="1" w:styleId="Heading2Char">
    <w:name w:val="Heading 2 Char"/>
    <w:aliases w:val="l2 Char"/>
    <w:link w:val="Heading2"/>
    <w:rsid w:val="009D33E3"/>
    <w:rPr>
      <w:rFonts w:cs="Arial"/>
      <w:b/>
      <w:bCs/>
      <w:iCs/>
      <w:sz w:val="24"/>
      <w:szCs w:val="28"/>
    </w:rPr>
  </w:style>
  <w:style w:type="paragraph" w:styleId="FootnoteText">
    <w:name w:val="footnote text"/>
    <w:aliases w:val="ft,fo,fo1,footnote text,footnote text Char,ft1"/>
    <w:basedOn w:val="Normal"/>
    <w:link w:val="FootnoteTextChar"/>
    <w:rsid w:val="00BC378F"/>
    <w:pPr>
      <w:widowControl w:val="0"/>
    </w:pPr>
    <w:rPr>
      <w:rFonts w:ascii="Courier New" w:hAnsi="Courier New" w:cs="Courier New"/>
    </w:rPr>
  </w:style>
  <w:style w:type="character" w:styleId="FootnoteReference">
    <w:name w:val="footnote reference"/>
    <w:aliases w:val="fr,footnote reference"/>
    <w:rsid w:val="00176584"/>
    <w:rPr>
      <w:rFonts w:ascii="Times New Roman" w:hAnsi="Times New Roman" w:cs="Courier New"/>
      <w:color w:val="auto"/>
      <w:sz w:val="24"/>
      <w:szCs w:val="24"/>
    </w:rPr>
  </w:style>
  <w:style w:type="paragraph" w:styleId="ListParagraph">
    <w:name w:val="List Paragraph"/>
    <w:basedOn w:val="Normal"/>
    <w:uiPriority w:val="34"/>
    <w:qFormat/>
    <w:rsid w:val="009D33E3"/>
    <w:pPr>
      <w:spacing w:after="240"/>
      <w:ind w:left="1080" w:hanging="360"/>
    </w:pPr>
    <w:rPr>
      <w:szCs w:val="20"/>
    </w:rPr>
  </w:style>
  <w:style w:type="paragraph" w:styleId="CommentText">
    <w:name w:val="annotation text"/>
    <w:basedOn w:val="Normal"/>
    <w:link w:val="CommentTextChar"/>
    <w:uiPriority w:val="99"/>
    <w:rsid w:val="009D33E3"/>
    <w:rPr>
      <w:sz w:val="20"/>
      <w:szCs w:val="20"/>
    </w:rPr>
  </w:style>
  <w:style w:type="character" w:customStyle="1" w:styleId="CommentTextChar">
    <w:name w:val="Comment Text Char"/>
    <w:basedOn w:val="DefaultParagraphFont"/>
    <w:link w:val="CommentText"/>
    <w:uiPriority w:val="99"/>
    <w:rsid w:val="009D33E3"/>
  </w:style>
  <w:style w:type="paragraph" w:customStyle="1" w:styleId="heading10">
    <w:name w:val="heading1"/>
    <w:basedOn w:val="Normal"/>
    <w:next w:val="Normal"/>
    <w:semiHidden/>
    <w:rsid w:val="00BC378F"/>
    <w:pPr>
      <w:spacing w:before="120" w:after="120"/>
    </w:pPr>
    <w:rPr>
      <w:b/>
      <w:bCs/>
      <w:sz w:val="22"/>
      <w:szCs w:val="22"/>
    </w:rPr>
  </w:style>
  <w:style w:type="character" w:styleId="CommentReference">
    <w:name w:val="annotation reference"/>
    <w:unhideWhenUsed/>
    <w:rsid w:val="009D33E3"/>
    <w:rPr>
      <w:sz w:val="16"/>
      <w:szCs w:val="16"/>
    </w:rPr>
  </w:style>
  <w:style w:type="paragraph" w:customStyle="1" w:styleId="heading20">
    <w:name w:val="heading2"/>
    <w:basedOn w:val="Heading3"/>
    <w:next w:val="Normal"/>
    <w:semiHidden/>
    <w:rsid w:val="00BC378F"/>
    <w:pPr>
      <w:spacing w:before="120"/>
    </w:pPr>
    <w:rPr>
      <w:rFonts w:cs="Times New Roman"/>
    </w:rPr>
  </w:style>
  <w:style w:type="character" w:customStyle="1" w:styleId="Heading3Char">
    <w:name w:val="Heading 3 Char"/>
    <w:link w:val="Heading3"/>
    <w:uiPriority w:val="9"/>
    <w:rsid w:val="009D33E3"/>
    <w:rPr>
      <w:rFonts w:cs="Arial"/>
      <w:b/>
      <w:bCs/>
      <w:i/>
      <w:iCs/>
      <w:sz w:val="24"/>
      <w:szCs w:val="22"/>
      <w:lang w:val="en-CA"/>
    </w:rPr>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ing1Char">
    <w:name w:val="Heading 1 Char"/>
    <w:aliases w:val="l1 Char"/>
    <w:link w:val="Heading1"/>
    <w:rsid w:val="009D33E3"/>
    <w:rPr>
      <w:rFonts w:ascii="Times New Roman Bold" w:hAnsi="Times New Roman Bold"/>
      <w:b/>
      <w:bCs/>
      <w:caps/>
      <w:sz w:val="24"/>
      <w:szCs w:val="24"/>
    </w:rPr>
  </w:style>
  <w:style w:type="paragraph" w:styleId="BodyText">
    <w:name w:val="Body Text"/>
    <w:basedOn w:val="Normal"/>
    <w:link w:val="BodyTextChar1"/>
    <w:rsid w:val="009D33E3"/>
    <w:pPr>
      <w:spacing w:after="160" w:line="320" w:lineRule="exact"/>
    </w:pPr>
    <w:rPr>
      <w:rFonts w:ascii="Verdana" w:eastAsia="MS Mincho" w:hAnsi="Verdana"/>
      <w:snapToGrid w:val="0"/>
      <w:sz w:val="20"/>
      <w:szCs w:val="20"/>
    </w:rPr>
  </w:style>
  <w:style w:type="character" w:customStyle="1" w:styleId="BodyTextChar">
    <w:name w:val="Body Text Char"/>
    <w:basedOn w:val="DefaultParagraphFont"/>
    <w:rsid w:val="009D33E3"/>
    <w:rPr>
      <w:sz w:val="24"/>
      <w:szCs w:val="24"/>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rsid w:val="00BC378F"/>
    <w:rPr>
      <w:rFonts w:ascii="Times New Roman" w:hAnsi="Times New Roman"/>
      <w:sz w:val="24"/>
    </w:rPr>
  </w:style>
  <w:style w:type="character" w:customStyle="1" w:styleId="BodyTextChar1">
    <w:name w:val="Body Text Char1"/>
    <w:link w:val="BodyText"/>
    <w:rsid w:val="009D33E3"/>
    <w:rPr>
      <w:rFonts w:ascii="Verdana" w:eastAsia="MS Mincho" w:hAnsi="Verdana"/>
      <w:snapToGrid w:val="0"/>
    </w:rPr>
  </w:style>
  <w:style w:type="paragraph" w:customStyle="1" w:styleId="TableParagraph">
    <w:name w:val="Table Paragraph"/>
    <w:basedOn w:val="Normal"/>
    <w:uiPriority w:val="1"/>
    <w:qFormat/>
    <w:rsid w:val="009D33E3"/>
    <w:pPr>
      <w:widowControl w:val="0"/>
      <w:ind w:left="200"/>
    </w:pPr>
    <w:rPr>
      <w:rFonts w:ascii="Arial" w:eastAsia="Arial" w:hAnsi="Arial" w:cs="Arial"/>
      <w:sz w:val="22"/>
      <w:szCs w:val="22"/>
    </w:rPr>
  </w:style>
  <w:style w:type="paragraph" w:styleId="CommentSubject">
    <w:name w:val="annotation subject"/>
    <w:basedOn w:val="CommentText"/>
    <w:next w:val="CommentText"/>
    <w:link w:val="CommentSubjectChar"/>
    <w:rsid w:val="00B4037E"/>
    <w:rPr>
      <w:b/>
      <w:bCs/>
    </w:rPr>
  </w:style>
  <w:style w:type="character" w:customStyle="1" w:styleId="CommentSubjectChar">
    <w:name w:val="Comment Subject Char"/>
    <w:basedOn w:val="CommentTextChar"/>
    <w:link w:val="CommentSubject"/>
    <w:rsid w:val="00B4037E"/>
    <w:rPr>
      <w:b/>
      <w:bCs/>
    </w:rPr>
  </w:style>
  <w:style w:type="paragraph" w:styleId="EndnoteText">
    <w:name w:val="endnote text"/>
    <w:basedOn w:val="Normal"/>
    <w:semiHidden/>
    <w:rsid w:val="00BC378F"/>
    <w:rPr>
      <w:sz w:val="20"/>
      <w:szCs w:val="20"/>
    </w:rPr>
  </w:style>
  <w:style w:type="character" w:styleId="EndnoteReference">
    <w:name w:val="endnote reference"/>
    <w:semiHidden/>
    <w:rsid w:val="00BC378F"/>
    <w:rPr>
      <w:vertAlign w:val="superscript"/>
    </w:rPr>
  </w:style>
  <w:style w:type="paragraph" w:styleId="Title">
    <w:name w:val="Title"/>
    <w:basedOn w:val="Normal"/>
    <w:link w:val="TitleChar"/>
    <w:qFormat/>
    <w:rsid w:val="00BC378F"/>
    <w:pPr>
      <w:ind w:left="-270"/>
      <w:jc w:val="center"/>
    </w:pPr>
    <w:rPr>
      <w:b/>
      <w:bCs/>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uiPriority w:val="99"/>
    <w:rsid w:val="00071E0F"/>
    <w:rPr>
      <w:color w:val="3333FF"/>
      <w:u w:val="none"/>
    </w:rPr>
  </w:style>
  <w:style w:type="paragraph" w:customStyle="1" w:styleId="bibliogrpahy">
    <w:name w:val="bibliogrpahy"/>
    <w:rsid w:val="00BC378F"/>
    <w:pPr>
      <w:spacing w:after="110"/>
      <w:ind w:left="720" w:hanging="720"/>
    </w:pPr>
    <w:rPr>
      <w:sz w:val="24"/>
      <w:szCs w:val="24"/>
    </w:rPr>
  </w:style>
  <w:style w:type="paragraph" w:styleId="E-mailSignature">
    <w:name w:val="E-mail Signature"/>
    <w:basedOn w:val="Normal"/>
    <w:link w:val="E-mailSignatureChar"/>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qFormat/>
    <w:rsid w:val="00BC378F"/>
    <w:rPr>
      <w:b/>
      <w:bCs/>
    </w:rPr>
  </w:style>
  <w:style w:type="character" w:styleId="Emphasis">
    <w:name w:val="Emphasis"/>
    <w:uiPriority w:val="20"/>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5619CD"/>
    <w:pPr>
      <w:tabs>
        <w:tab w:val="left" w:pos="720"/>
        <w:tab w:val="right" w:leader="dot" w:pos="9350"/>
      </w:tabs>
      <w:spacing w:before="240" w:after="120"/>
      <w:ind w:left="720" w:right="576" w:hanging="360"/>
    </w:pPr>
    <w:rPr>
      <w:noProof/>
    </w:rPr>
  </w:style>
  <w:style w:type="paragraph" w:customStyle="1" w:styleId="BodyText1">
    <w:name w:val="Body Text1"/>
    <w:basedOn w:val="Normal"/>
    <w:link w:val="bodytextChar0"/>
    <w:rsid w:val="00A8192A"/>
    <w:pPr>
      <w:spacing w:after="120" w:line="360" w:lineRule="auto"/>
      <w:ind w:firstLine="720"/>
    </w:pPr>
    <w:rPr>
      <w:szCs w:val="20"/>
    </w:rPr>
  </w:style>
  <w:style w:type="paragraph" w:styleId="TOC2">
    <w:name w:val="toc 2"/>
    <w:basedOn w:val="Normal"/>
    <w:next w:val="Normal"/>
    <w:autoRedefine/>
    <w:uiPriority w:val="39"/>
    <w:rsid w:val="005619CD"/>
    <w:pPr>
      <w:tabs>
        <w:tab w:val="left" w:pos="1350"/>
        <w:tab w:val="right" w:leader="dot" w:pos="9350"/>
      </w:tabs>
      <w:spacing w:before="120" w:after="120"/>
      <w:ind w:left="1354" w:right="576" w:hanging="634"/>
    </w:pPr>
    <w:rPr>
      <w:noProof/>
    </w:rPr>
  </w:style>
  <w:style w:type="character" w:customStyle="1" w:styleId="TomMitchell">
    <w:name w:val="Tom Mitchell"/>
    <w:semiHidden/>
    <w:rsid w:val="00BC378F"/>
    <w:rPr>
      <w:rFonts w:ascii="Arial" w:hAnsi="Arial" w:cs="Arial"/>
      <w:color w:val="000080"/>
      <w:sz w:val="20"/>
      <w:szCs w:val="20"/>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semiHidden/>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paragraph" w:customStyle="1" w:styleId="bullets-blank">
    <w:name w:val="bullets-blank"/>
    <w:basedOn w:val="Normal"/>
    <w:rsid w:val="007D2A22"/>
    <w:pPr>
      <w:spacing w:after="120"/>
      <w:ind w:left="1080" w:hanging="360"/>
    </w:pPr>
  </w:style>
  <w:style w:type="character" w:customStyle="1" w:styleId="bodytextChar0">
    <w:name w:val="body text Char"/>
    <w:basedOn w:val="DefaultParagraphFont"/>
    <w:link w:val="BodyText1"/>
    <w:rsid w:val="00A8192A"/>
    <w:rPr>
      <w:sz w:val="24"/>
    </w:rPr>
  </w:style>
  <w:style w:type="paragraph" w:styleId="ListNumber">
    <w:name w:val="List Number"/>
    <w:basedOn w:val="Normal"/>
    <w:rsid w:val="007D2A22"/>
    <w:pPr>
      <w:spacing w:after="120"/>
    </w:pPr>
  </w:style>
  <w:style w:type="paragraph" w:customStyle="1" w:styleId="tabfigsource">
    <w:name w:val="tab/fig source"/>
    <w:basedOn w:val="Normal"/>
    <w:rsid w:val="00A8192A"/>
    <w:pPr>
      <w:keepLines/>
      <w:spacing w:before="120" w:after="240"/>
      <w:ind w:left="187" w:hanging="187"/>
    </w:pPr>
    <w:rPr>
      <w:sz w:val="20"/>
    </w:rPr>
  </w:style>
  <w:style w:type="paragraph" w:customStyle="1" w:styleId="Heading3NoTOC">
    <w:name w:val="Heading 3 NoTOC"/>
    <w:basedOn w:val="Heading3"/>
    <w:qFormat/>
    <w:rsid w:val="007D2A22"/>
  </w:style>
  <w:style w:type="character" w:customStyle="1" w:styleId="journalname">
    <w:name w:val="journalname"/>
    <w:basedOn w:val="DefaultParagraphFont"/>
    <w:rsid w:val="007D2A22"/>
  </w:style>
  <w:style w:type="paragraph" w:styleId="ListBullet">
    <w:name w:val="List Bullet"/>
    <w:aliases w:val="Bullet List"/>
    <w:basedOn w:val="Normal"/>
    <w:uiPriority w:val="1"/>
    <w:qFormat/>
    <w:rsid w:val="007D2A22"/>
    <w:pPr>
      <w:numPr>
        <w:numId w:val="15"/>
      </w:numPr>
      <w:tabs>
        <w:tab w:val="clear" w:pos="360"/>
        <w:tab w:val="num" w:pos="1080"/>
      </w:tabs>
      <w:spacing w:after="120"/>
      <w:ind w:left="1080"/>
    </w:pPr>
  </w:style>
  <w:style w:type="paragraph" w:customStyle="1" w:styleId="Default">
    <w:name w:val="Default"/>
    <w:rsid w:val="007D2A22"/>
    <w:pPr>
      <w:autoSpaceDE w:val="0"/>
      <w:autoSpaceDN w:val="0"/>
      <w:adjustRightInd w:val="0"/>
    </w:pPr>
    <w:rPr>
      <w:color w:val="000000"/>
      <w:sz w:val="24"/>
      <w:szCs w:val="24"/>
    </w:rPr>
  </w:style>
  <w:style w:type="character" w:customStyle="1" w:styleId="FootnoteTextChar">
    <w:name w:val="Footnote Text Char"/>
    <w:aliases w:val="ft Char,fo Char,fo1 Char,footnote text Char1,footnote text Char Char,ft1 Char"/>
    <w:basedOn w:val="DefaultParagraphFont"/>
    <w:link w:val="FootnoteText"/>
    <w:rsid w:val="007D2A22"/>
    <w:rPr>
      <w:rFonts w:ascii="Courier New" w:hAnsi="Courier New" w:cs="Courier New"/>
      <w:sz w:val="24"/>
      <w:szCs w:val="24"/>
    </w:rPr>
  </w:style>
  <w:style w:type="paragraph" w:styleId="Revision">
    <w:name w:val="Revision"/>
    <w:hidden/>
    <w:uiPriority w:val="99"/>
    <w:semiHidden/>
    <w:rsid w:val="007D2A22"/>
    <w:rPr>
      <w:sz w:val="24"/>
      <w:szCs w:val="24"/>
    </w:rPr>
  </w:style>
  <w:style w:type="character" w:customStyle="1" w:styleId="volume">
    <w:name w:val="volume"/>
    <w:basedOn w:val="DefaultParagraphFont"/>
    <w:rsid w:val="007D2A22"/>
  </w:style>
  <w:style w:type="character" w:customStyle="1" w:styleId="apple-converted-space">
    <w:name w:val="apple-converted-space"/>
    <w:basedOn w:val="DefaultParagraphFont"/>
    <w:rsid w:val="007D2A22"/>
  </w:style>
  <w:style w:type="character" w:customStyle="1" w:styleId="page">
    <w:name w:val="page"/>
    <w:basedOn w:val="DefaultParagraphFont"/>
    <w:rsid w:val="007D2A22"/>
  </w:style>
  <w:style w:type="character" w:customStyle="1" w:styleId="FooterChar">
    <w:name w:val="Footer Char"/>
    <w:basedOn w:val="DefaultParagraphFont"/>
    <w:link w:val="Footer"/>
    <w:uiPriority w:val="99"/>
    <w:rsid w:val="007D2A22"/>
  </w:style>
  <w:style w:type="paragraph" w:customStyle="1" w:styleId="Source1">
    <w:name w:val="Source1"/>
    <w:basedOn w:val="Normal"/>
    <w:rsid w:val="007D2A22"/>
    <w:pPr>
      <w:keepLines/>
      <w:spacing w:before="120" w:after="400"/>
      <w:ind w:left="187" w:hanging="187"/>
    </w:pPr>
    <w:rPr>
      <w:rFonts w:ascii="Verdana" w:eastAsia="MS Mincho" w:hAnsi="Verdana"/>
      <w:sz w:val="18"/>
      <w:szCs w:val="20"/>
    </w:rPr>
  </w:style>
  <w:style w:type="paragraph" w:customStyle="1" w:styleId="TableTitle">
    <w:name w:val="Table Title"/>
    <w:basedOn w:val="Caption"/>
    <w:rsid w:val="007D2A22"/>
    <w:pPr>
      <w:keepNext/>
      <w:keepLines/>
      <w:spacing w:before="320" w:after="120"/>
      <w:ind w:left="1440" w:hanging="1440"/>
    </w:pPr>
    <w:rPr>
      <w:rFonts w:eastAsia="MS Mincho"/>
      <w:b/>
      <w:bCs/>
      <w:i w:val="0"/>
      <w:iCs w:val="0"/>
      <w:color w:val="auto"/>
      <w:sz w:val="24"/>
      <w:szCs w:val="20"/>
    </w:rPr>
  </w:style>
  <w:style w:type="paragraph" w:customStyle="1" w:styleId="TableHeaders">
    <w:name w:val="Table Headers"/>
    <w:qFormat/>
    <w:rsid w:val="00A8192A"/>
    <w:pPr>
      <w:spacing w:before="80" w:after="80"/>
      <w:jc w:val="center"/>
    </w:pPr>
    <w:rPr>
      <w:b/>
      <w:sz w:val="22"/>
    </w:rPr>
  </w:style>
  <w:style w:type="paragraph" w:customStyle="1" w:styleId="TableBulletLM">
    <w:name w:val="Table Bullet LM"/>
    <w:basedOn w:val="ListBullet"/>
    <w:qFormat/>
    <w:rsid w:val="007D2A22"/>
    <w:pPr>
      <w:numPr>
        <w:numId w:val="0"/>
      </w:numPr>
      <w:spacing w:before="60" w:after="60"/>
      <w:ind w:left="288" w:hanging="288"/>
    </w:pPr>
    <w:rPr>
      <w:rFonts w:ascii="Verdana" w:eastAsia="MS Mincho" w:hAnsi="Verdana"/>
      <w:sz w:val="18"/>
      <w:szCs w:val="18"/>
    </w:rPr>
  </w:style>
  <w:style w:type="paragraph" w:styleId="Caption">
    <w:name w:val="caption"/>
    <w:basedOn w:val="Normal"/>
    <w:next w:val="Normal"/>
    <w:semiHidden/>
    <w:unhideWhenUsed/>
    <w:qFormat/>
    <w:rsid w:val="007D2A22"/>
    <w:pPr>
      <w:spacing w:after="200"/>
    </w:pPr>
    <w:rPr>
      <w:i/>
      <w:iCs/>
      <w:color w:val="44546A" w:themeColor="text2"/>
      <w:sz w:val="18"/>
      <w:szCs w:val="18"/>
    </w:rPr>
  </w:style>
  <w:style w:type="paragraph" w:customStyle="1" w:styleId="TableText">
    <w:name w:val="Table Text"/>
    <w:basedOn w:val="Normal"/>
    <w:qFormat/>
    <w:rsid w:val="00AE182B"/>
    <w:pPr>
      <w:spacing w:before="40" w:after="40"/>
    </w:pPr>
    <w:rPr>
      <w:rFonts w:eastAsia="MS Mincho"/>
      <w:sz w:val="22"/>
      <w:szCs w:val="20"/>
    </w:rPr>
  </w:style>
  <w:style w:type="paragraph" w:customStyle="1" w:styleId="TableTitlecont">
    <w:name w:val="Table Title (cont)"/>
    <w:basedOn w:val="TableTitle"/>
    <w:rsid w:val="007D2A22"/>
  </w:style>
  <w:style w:type="table" w:customStyle="1" w:styleId="RTITable">
    <w:name w:val="RTI_Table"/>
    <w:basedOn w:val="TableNormal"/>
    <w:uiPriority w:val="99"/>
    <w:rsid w:val="007D2A22"/>
    <w:rPr>
      <w:rFonts w:ascii="Verdana" w:eastAsia="SimSun" w:hAnsi="Verdana"/>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NoSpacing">
    <w:name w:val="No Spacing"/>
    <w:uiPriority w:val="1"/>
    <w:qFormat/>
    <w:rsid w:val="007D2A22"/>
    <w:rPr>
      <w:sz w:val="24"/>
      <w:szCs w:val="24"/>
    </w:rPr>
  </w:style>
  <w:style w:type="paragraph" w:customStyle="1" w:styleId="cover-text">
    <w:name w:val="cover-text"/>
    <w:basedOn w:val="Normal"/>
    <w:link w:val="cover-textChar"/>
    <w:rsid w:val="007D2A22"/>
    <w:pPr>
      <w:spacing w:before="600" w:after="240"/>
      <w:contextualSpacing/>
      <w:jc w:val="right"/>
    </w:pPr>
    <w:rPr>
      <w:rFonts w:ascii="Verdana" w:eastAsia="SimSun" w:hAnsi="Verdana"/>
      <w:sz w:val="22"/>
      <w:szCs w:val="22"/>
      <w:lang w:eastAsia="zh-CN"/>
    </w:rPr>
  </w:style>
  <w:style w:type="paragraph" w:customStyle="1" w:styleId="cover-address">
    <w:name w:val="cover-address"/>
    <w:basedOn w:val="Normal"/>
    <w:rsid w:val="007D2A22"/>
    <w:pPr>
      <w:contextualSpacing/>
      <w:jc w:val="right"/>
    </w:pPr>
    <w:rPr>
      <w:rFonts w:ascii="Verdana" w:eastAsia="SimSun" w:hAnsi="Verdana"/>
      <w:sz w:val="22"/>
      <w:szCs w:val="22"/>
      <w:lang w:eastAsia="zh-CN"/>
    </w:rPr>
  </w:style>
  <w:style w:type="character" w:customStyle="1" w:styleId="cover-textChar">
    <w:name w:val="cover-text Char"/>
    <w:link w:val="cover-text"/>
    <w:rsid w:val="007D2A22"/>
    <w:rPr>
      <w:rFonts w:ascii="Verdana" w:eastAsia="SimSun" w:hAnsi="Verdana"/>
      <w:sz w:val="22"/>
      <w:szCs w:val="22"/>
      <w:lang w:eastAsia="zh-CN"/>
    </w:rPr>
  </w:style>
  <w:style w:type="paragraph" w:styleId="Bibliography">
    <w:name w:val="Bibliography"/>
    <w:basedOn w:val="Normal"/>
    <w:next w:val="Normal"/>
    <w:uiPriority w:val="37"/>
    <w:semiHidden/>
    <w:unhideWhenUsed/>
    <w:rsid w:val="007D2A22"/>
    <w:pPr>
      <w:spacing w:after="160" w:line="259" w:lineRule="auto"/>
    </w:pPr>
    <w:rPr>
      <w:rFonts w:asciiTheme="minorHAnsi" w:eastAsiaTheme="minorHAnsi" w:hAnsiTheme="minorHAnsi" w:cstheme="minorBidi"/>
      <w:sz w:val="22"/>
      <w:szCs w:val="22"/>
    </w:rPr>
  </w:style>
  <w:style w:type="paragraph" w:customStyle="1" w:styleId="biblio-entry">
    <w:name w:val="biblio-entry"/>
    <w:basedOn w:val="Normal"/>
    <w:link w:val="biblio-entryChar"/>
    <w:rsid w:val="009F17BD"/>
    <w:pPr>
      <w:keepLines/>
      <w:spacing w:after="240"/>
      <w:ind w:left="720" w:hanging="720"/>
    </w:pPr>
    <w:rPr>
      <w:rFonts w:ascii="Verdana" w:eastAsia="SimSun" w:hAnsi="Verdana"/>
      <w:sz w:val="20"/>
      <w:szCs w:val="22"/>
      <w:lang w:eastAsia="zh-CN"/>
    </w:rPr>
  </w:style>
  <w:style w:type="character" w:customStyle="1" w:styleId="biblio-entryChar">
    <w:name w:val="biblio-entry Char"/>
    <w:basedOn w:val="DefaultParagraphFont"/>
    <w:link w:val="biblio-entry"/>
    <w:rsid w:val="009F17BD"/>
    <w:rPr>
      <w:rFonts w:ascii="Verdana" w:eastAsia="SimSun" w:hAnsi="Verdana"/>
      <w:szCs w:val="22"/>
      <w:lang w:eastAsia="zh-CN"/>
    </w:rPr>
  </w:style>
  <w:style w:type="character" w:customStyle="1" w:styleId="TitleChar">
    <w:name w:val="Title Char"/>
    <w:basedOn w:val="DefaultParagraphFont"/>
    <w:link w:val="Title"/>
    <w:rsid w:val="004D6C4E"/>
    <w:rPr>
      <w:b/>
      <w:bCs/>
      <w:sz w:val="24"/>
      <w:szCs w:val="24"/>
    </w:rPr>
  </w:style>
  <w:style w:type="paragraph" w:customStyle="1" w:styleId="ExhibitTitle">
    <w:name w:val="Exhibit Title"/>
    <w:basedOn w:val="FigureTitle"/>
    <w:qFormat/>
    <w:rsid w:val="00A8192A"/>
    <w:pPr>
      <w:keepLines w:val="0"/>
    </w:pPr>
  </w:style>
  <w:style w:type="paragraph" w:customStyle="1" w:styleId="BodyTextIndent1">
    <w:name w:val="Body Text Indent1"/>
    <w:basedOn w:val="BodyText1"/>
    <w:qFormat/>
    <w:rsid w:val="00A8192A"/>
    <w:pPr>
      <w:ind w:left="720" w:firstLine="0"/>
    </w:pPr>
  </w:style>
  <w:style w:type="paragraph" w:customStyle="1" w:styleId="TableTextDec">
    <w:name w:val="TableTextDec"/>
    <w:basedOn w:val="TableText"/>
    <w:qFormat/>
    <w:rsid w:val="000A76BA"/>
    <w:pPr>
      <w:tabs>
        <w:tab w:val="decimal" w:pos="842"/>
      </w:tabs>
    </w:pPr>
    <w:rPr>
      <w:color w:val="000000"/>
      <w:sz w:val="20"/>
    </w:rPr>
  </w:style>
  <w:style w:type="paragraph" w:customStyle="1" w:styleId="ExhibitTitleContinued">
    <w:name w:val="ExhibitTitleContinued"/>
    <w:basedOn w:val="ExhibitTitle"/>
    <w:qFormat/>
    <w:rsid w:val="00A8192A"/>
  </w:style>
  <w:style w:type="character" w:customStyle="1" w:styleId="E-mailSignatureChar">
    <w:name w:val="E-mail Signature Char"/>
    <w:link w:val="E-mailSignature"/>
    <w:rsid w:val="00355AD7"/>
    <w:rPr>
      <w:sz w:val="24"/>
      <w:szCs w:val="24"/>
    </w:rPr>
  </w:style>
  <w:style w:type="paragraph" w:styleId="BodyTextIndent2">
    <w:name w:val="Body Text Indent 2"/>
    <w:basedOn w:val="Normal"/>
    <w:link w:val="BodyTextIndent2Char"/>
    <w:rsid w:val="00776F11"/>
    <w:pPr>
      <w:spacing w:after="120" w:line="480" w:lineRule="auto"/>
      <w:ind w:left="360"/>
    </w:pPr>
  </w:style>
  <w:style w:type="character" w:customStyle="1" w:styleId="BodyTextIndent2Char">
    <w:name w:val="Body Text Indent 2 Char"/>
    <w:basedOn w:val="DefaultParagraphFont"/>
    <w:link w:val="BodyTextIndent2"/>
    <w:rsid w:val="00776F11"/>
    <w:rPr>
      <w:sz w:val="24"/>
      <w:szCs w:val="24"/>
    </w:rPr>
  </w:style>
  <w:style w:type="character" w:customStyle="1" w:styleId="label-2">
    <w:name w:val="label-2"/>
    <w:rsid w:val="00192F9D"/>
    <w:rPr>
      <w:b/>
      <w:bCs/>
      <w:sz w:val="20"/>
      <w:szCs w:val="20"/>
    </w:rPr>
  </w:style>
  <w:style w:type="character" w:customStyle="1" w:styleId="Mention1">
    <w:name w:val="Mention1"/>
    <w:basedOn w:val="DefaultParagraphFont"/>
    <w:uiPriority w:val="99"/>
    <w:semiHidden/>
    <w:unhideWhenUsed/>
    <w:rsid w:val="00F241FA"/>
    <w:rPr>
      <w:color w:val="2B579A"/>
      <w:shd w:val="clear" w:color="auto" w:fill="E6E6E6"/>
    </w:rPr>
  </w:style>
  <w:style w:type="paragraph" w:customStyle="1" w:styleId="NormalSS">
    <w:name w:val="NormalSS"/>
    <w:basedOn w:val="Normal"/>
    <w:link w:val="NormalSSChar"/>
    <w:qFormat/>
    <w:rsid w:val="00F44B13"/>
    <w:pPr>
      <w:spacing w:after="240"/>
      <w:ind w:firstLine="432"/>
    </w:pPr>
    <w:rPr>
      <w:szCs w:val="20"/>
    </w:rPr>
  </w:style>
  <w:style w:type="character" w:customStyle="1" w:styleId="NormalSSChar">
    <w:name w:val="NormalSS Char"/>
    <w:link w:val="NormalSS"/>
    <w:locked/>
    <w:rsid w:val="00F44B13"/>
    <w:rPr>
      <w:sz w:val="24"/>
    </w:rPr>
  </w:style>
  <w:style w:type="character" w:customStyle="1" w:styleId="articlecitationyear">
    <w:name w:val="articlecitation_year"/>
    <w:basedOn w:val="DefaultParagraphFont"/>
    <w:rsid w:val="00454E63"/>
  </w:style>
  <w:style w:type="character" w:customStyle="1" w:styleId="articlecitationvolume">
    <w:name w:val="articlecitation_volume"/>
    <w:basedOn w:val="DefaultParagraphFont"/>
    <w:rsid w:val="00454E63"/>
  </w:style>
  <w:style w:type="character" w:customStyle="1" w:styleId="articlecitationpages">
    <w:name w:val="articlecitation_pages"/>
    <w:basedOn w:val="DefaultParagraphFont"/>
    <w:rsid w:val="0045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6336">
      <w:bodyDiv w:val="1"/>
      <w:marLeft w:val="0"/>
      <w:marRight w:val="0"/>
      <w:marTop w:val="0"/>
      <w:marBottom w:val="0"/>
      <w:divBdr>
        <w:top w:val="none" w:sz="0" w:space="0" w:color="auto"/>
        <w:left w:val="none" w:sz="0" w:space="0" w:color="auto"/>
        <w:bottom w:val="none" w:sz="0" w:space="0" w:color="auto"/>
        <w:right w:val="none" w:sz="0" w:space="0" w:color="auto"/>
      </w:divBdr>
    </w:div>
    <w:div w:id="114251780">
      <w:bodyDiv w:val="1"/>
      <w:marLeft w:val="0"/>
      <w:marRight w:val="0"/>
      <w:marTop w:val="0"/>
      <w:marBottom w:val="0"/>
      <w:divBdr>
        <w:top w:val="none" w:sz="0" w:space="0" w:color="auto"/>
        <w:left w:val="none" w:sz="0" w:space="0" w:color="auto"/>
        <w:bottom w:val="none" w:sz="0" w:space="0" w:color="auto"/>
        <w:right w:val="none" w:sz="0" w:space="0" w:color="auto"/>
      </w:divBdr>
    </w:div>
    <w:div w:id="175120328">
      <w:bodyDiv w:val="1"/>
      <w:marLeft w:val="0"/>
      <w:marRight w:val="0"/>
      <w:marTop w:val="0"/>
      <w:marBottom w:val="0"/>
      <w:divBdr>
        <w:top w:val="none" w:sz="0" w:space="0" w:color="auto"/>
        <w:left w:val="none" w:sz="0" w:space="0" w:color="auto"/>
        <w:bottom w:val="none" w:sz="0" w:space="0" w:color="auto"/>
        <w:right w:val="none" w:sz="0" w:space="0" w:color="auto"/>
      </w:divBdr>
    </w:div>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568927991">
      <w:bodyDiv w:val="1"/>
      <w:marLeft w:val="0"/>
      <w:marRight w:val="0"/>
      <w:marTop w:val="0"/>
      <w:marBottom w:val="0"/>
      <w:divBdr>
        <w:top w:val="none" w:sz="0" w:space="0" w:color="auto"/>
        <w:left w:val="none" w:sz="0" w:space="0" w:color="auto"/>
        <w:bottom w:val="none" w:sz="0" w:space="0" w:color="auto"/>
        <w:right w:val="none" w:sz="0" w:space="0" w:color="auto"/>
      </w:divBdr>
    </w:div>
    <w:div w:id="617831449">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863399219">
      <w:bodyDiv w:val="1"/>
      <w:marLeft w:val="0"/>
      <w:marRight w:val="0"/>
      <w:marTop w:val="0"/>
      <w:marBottom w:val="0"/>
      <w:divBdr>
        <w:top w:val="none" w:sz="0" w:space="0" w:color="auto"/>
        <w:left w:val="none" w:sz="0" w:space="0" w:color="auto"/>
        <w:bottom w:val="none" w:sz="0" w:space="0" w:color="auto"/>
        <w:right w:val="none" w:sz="0" w:space="0" w:color="auto"/>
      </w:divBdr>
    </w:div>
    <w:div w:id="1261912265">
      <w:bodyDiv w:val="1"/>
      <w:marLeft w:val="0"/>
      <w:marRight w:val="0"/>
      <w:marTop w:val="0"/>
      <w:marBottom w:val="0"/>
      <w:divBdr>
        <w:top w:val="none" w:sz="0" w:space="0" w:color="auto"/>
        <w:left w:val="none" w:sz="0" w:space="0" w:color="auto"/>
        <w:bottom w:val="none" w:sz="0" w:space="0" w:color="auto"/>
        <w:right w:val="none" w:sz="0" w:space="0" w:color="auto"/>
      </w:divBdr>
    </w:div>
    <w:div w:id="1350065213">
      <w:bodyDiv w:val="1"/>
      <w:marLeft w:val="0"/>
      <w:marRight w:val="0"/>
      <w:marTop w:val="0"/>
      <w:marBottom w:val="0"/>
      <w:divBdr>
        <w:top w:val="none" w:sz="0" w:space="0" w:color="auto"/>
        <w:left w:val="none" w:sz="0" w:space="0" w:color="auto"/>
        <w:bottom w:val="none" w:sz="0" w:space="0" w:color="auto"/>
        <w:right w:val="none" w:sz="0" w:space="0" w:color="auto"/>
      </w:divBdr>
    </w:div>
    <w:div w:id="1358508461">
      <w:bodyDiv w:val="1"/>
      <w:marLeft w:val="0"/>
      <w:marRight w:val="0"/>
      <w:marTop w:val="0"/>
      <w:marBottom w:val="0"/>
      <w:divBdr>
        <w:top w:val="none" w:sz="0" w:space="0" w:color="auto"/>
        <w:left w:val="none" w:sz="0" w:space="0" w:color="auto"/>
        <w:bottom w:val="none" w:sz="0" w:space="0" w:color="auto"/>
        <w:right w:val="none" w:sz="0" w:space="0" w:color="auto"/>
      </w:divBdr>
    </w:div>
    <w:div w:id="137981682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5858">
      <w:bodyDiv w:val="1"/>
      <w:marLeft w:val="0"/>
      <w:marRight w:val="0"/>
      <w:marTop w:val="0"/>
      <w:marBottom w:val="0"/>
      <w:divBdr>
        <w:top w:val="none" w:sz="0" w:space="0" w:color="auto"/>
        <w:left w:val="none" w:sz="0" w:space="0" w:color="auto"/>
        <w:bottom w:val="none" w:sz="0" w:space="0" w:color="auto"/>
        <w:right w:val="none" w:sz="0" w:space="0" w:color="auto"/>
      </w:divBdr>
    </w:div>
    <w:div w:id="1551185942">
      <w:bodyDiv w:val="1"/>
      <w:marLeft w:val="0"/>
      <w:marRight w:val="0"/>
      <w:marTop w:val="0"/>
      <w:marBottom w:val="0"/>
      <w:divBdr>
        <w:top w:val="none" w:sz="0" w:space="0" w:color="auto"/>
        <w:left w:val="none" w:sz="0" w:space="0" w:color="auto"/>
        <w:bottom w:val="none" w:sz="0" w:space="0" w:color="auto"/>
        <w:right w:val="none" w:sz="0" w:space="0" w:color="auto"/>
      </w:divBdr>
    </w:div>
    <w:div w:id="1554390957">
      <w:bodyDiv w:val="1"/>
      <w:marLeft w:val="0"/>
      <w:marRight w:val="0"/>
      <w:marTop w:val="0"/>
      <w:marBottom w:val="0"/>
      <w:divBdr>
        <w:top w:val="none" w:sz="0" w:space="0" w:color="auto"/>
        <w:left w:val="none" w:sz="0" w:space="0" w:color="auto"/>
        <w:bottom w:val="none" w:sz="0" w:space="0" w:color="auto"/>
        <w:right w:val="none" w:sz="0" w:space="0" w:color="auto"/>
      </w:divBdr>
    </w:div>
    <w:div w:id="1620603029">
      <w:bodyDiv w:val="1"/>
      <w:marLeft w:val="0"/>
      <w:marRight w:val="0"/>
      <w:marTop w:val="0"/>
      <w:marBottom w:val="0"/>
      <w:divBdr>
        <w:top w:val="none" w:sz="0" w:space="0" w:color="auto"/>
        <w:left w:val="none" w:sz="0" w:space="0" w:color="auto"/>
        <w:bottom w:val="none" w:sz="0" w:space="0" w:color="auto"/>
        <w:right w:val="none" w:sz="0" w:space="0" w:color="auto"/>
      </w:divBdr>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727607829">
      <w:bodyDiv w:val="1"/>
      <w:marLeft w:val="0"/>
      <w:marRight w:val="0"/>
      <w:marTop w:val="0"/>
      <w:marBottom w:val="0"/>
      <w:divBdr>
        <w:top w:val="none" w:sz="0" w:space="0" w:color="auto"/>
        <w:left w:val="none" w:sz="0" w:space="0" w:color="auto"/>
        <w:bottom w:val="none" w:sz="0" w:space="0" w:color="auto"/>
        <w:right w:val="none" w:sz="0" w:space="0" w:color="auto"/>
      </w:divBdr>
    </w:div>
    <w:div w:id="1754156067">
      <w:bodyDiv w:val="1"/>
      <w:marLeft w:val="0"/>
      <w:marRight w:val="0"/>
      <w:marTop w:val="0"/>
      <w:marBottom w:val="0"/>
      <w:divBdr>
        <w:top w:val="none" w:sz="0" w:space="0" w:color="auto"/>
        <w:left w:val="none" w:sz="0" w:space="0" w:color="auto"/>
        <w:bottom w:val="none" w:sz="0" w:space="0" w:color="auto"/>
        <w:right w:val="none" w:sz="0" w:space="0" w:color="auto"/>
      </w:divBdr>
    </w:div>
    <w:div w:id="1880511064">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2061205500">
      <w:bodyDiv w:val="1"/>
      <w:marLeft w:val="0"/>
      <w:marRight w:val="0"/>
      <w:marTop w:val="0"/>
      <w:marBottom w:val="0"/>
      <w:divBdr>
        <w:top w:val="none" w:sz="0" w:space="0" w:color="auto"/>
        <w:left w:val="none" w:sz="0" w:space="0" w:color="auto"/>
        <w:bottom w:val="none" w:sz="0" w:space="0" w:color="auto"/>
        <w:right w:val="none" w:sz="0" w:space="0" w:color="auto"/>
      </w:divBdr>
    </w:div>
    <w:div w:id="20729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journal/10742/6/3/page/1" TargetMode="External"/><Relationship Id="rId18" Type="http://schemas.openxmlformats.org/officeDocument/2006/relationships/hyperlink" Target="http://www.journalindex.net/visit.php?j=6676" TargetMode="External"/><Relationship Id="rId3" Type="http://schemas.openxmlformats.org/officeDocument/2006/relationships/styles" Target="styles.xml"/><Relationship Id="rId21" Type="http://schemas.openxmlformats.org/officeDocument/2006/relationships/hyperlink" Target="http://dx.doi.org/10.1037/a0015916" TargetMode="External"/><Relationship Id="rId7" Type="http://schemas.openxmlformats.org/officeDocument/2006/relationships/footnotes" Target="footnotes.xml"/><Relationship Id="rId12" Type="http://schemas.openxmlformats.org/officeDocument/2006/relationships/hyperlink" Target="http://dx.doi.org/10.1207/S15328007SEM1002_5" TargetMode="External"/><Relationship Id="rId17" Type="http://schemas.openxmlformats.org/officeDocument/2006/relationships/hyperlink" Target="http://dx.doi.org/10.1037/1082-989X.9.4.4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97/ADM.0000000000000166" TargetMode="External"/><Relationship Id="rId20" Type="http://schemas.openxmlformats.org/officeDocument/2006/relationships/hyperlink" Target="http://dx.doi.org/10.1093/biomet/70.1.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nchs/data/health_policy/monthly-drug-overdose-death-estimate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x.doi.org/10.1037/a0019623" TargetMode="External"/><Relationship Id="rId23" Type="http://schemas.openxmlformats.org/officeDocument/2006/relationships/footer" Target="footer3.xml"/><Relationship Id="rId10" Type="http://schemas.openxmlformats.org/officeDocument/2006/relationships/hyperlink" Target="https://aspe.hhs.gov/basic-report/opioid-abuse-us-and-hhs-actions-address-opioid-drug-related-overdoses-and-deaths" TargetMode="External"/><Relationship Id="rId19" Type="http://schemas.openxmlformats.org/officeDocument/2006/relationships/hyperlink" Target="https://www.ncbi.nlm.nih.gov/books/NBK402352/pdf/Bookshelf_NBK402352.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x.doi.org/10.1001/jama.2016.9795" TargetMode="External"/><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9086-B122-4BF1-AB02-1D3D9825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10165</Words>
  <Characters>57945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67975</CharactersWithSpaces>
  <SharedDoc>false</SharedDoc>
  <HLinks>
    <vt:vector size="240" baseType="variant">
      <vt:variant>
        <vt:i4>1638453</vt:i4>
      </vt:variant>
      <vt:variant>
        <vt:i4>238</vt:i4>
      </vt:variant>
      <vt:variant>
        <vt:i4>0</vt:i4>
      </vt:variant>
      <vt:variant>
        <vt:i4>5</vt:i4>
      </vt:variant>
      <vt:variant>
        <vt:lpwstr/>
      </vt:variant>
      <vt:variant>
        <vt:lpwstr>_Toc88277988</vt:lpwstr>
      </vt:variant>
      <vt:variant>
        <vt:i4>1441845</vt:i4>
      </vt:variant>
      <vt:variant>
        <vt:i4>232</vt:i4>
      </vt:variant>
      <vt:variant>
        <vt:i4>0</vt:i4>
      </vt:variant>
      <vt:variant>
        <vt:i4>5</vt:i4>
      </vt:variant>
      <vt:variant>
        <vt:lpwstr/>
      </vt:variant>
      <vt:variant>
        <vt:lpwstr>_Toc88277987</vt:lpwstr>
      </vt:variant>
      <vt:variant>
        <vt:i4>1507381</vt:i4>
      </vt:variant>
      <vt:variant>
        <vt:i4>226</vt:i4>
      </vt:variant>
      <vt:variant>
        <vt:i4>0</vt:i4>
      </vt:variant>
      <vt:variant>
        <vt:i4>5</vt:i4>
      </vt:variant>
      <vt:variant>
        <vt:lpwstr/>
      </vt:variant>
      <vt:variant>
        <vt:lpwstr>_Toc88277986</vt:lpwstr>
      </vt:variant>
      <vt:variant>
        <vt:i4>1310773</vt:i4>
      </vt:variant>
      <vt:variant>
        <vt:i4>220</vt:i4>
      </vt:variant>
      <vt:variant>
        <vt:i4>0</vt:i4>
      </vt:variant>
      <vt:variant>
        <vt:i4>5</vt:i4>
      </vt:variant>
      <vt:variant>
        <vt:lpwstr/>
      </vt:variant>
      <vt:variant>
        <vt:lpwstr>_Toc88277985</vt:lpwstr>
      </vt:variant>
      <vt:variant>
        <vt:i4>1376309</vt:i4>
      </vt:variant>
      <vt:variant>
        <vt:i4>214</vt:i4>
      </vt:variant>
      <vt:variant>
        <vt:i4>0</vt:i4>
      </vt:variant>
      <vt:variant>
        <vt:i4>5</vt:i4>
      </vt:variant>
      <vt:variant>
        <vt:lpwstr/>
      </vt:variant>
      <vt:variant>
        <vt:lpwstr>_Toc88277984</vt:lpwstr>
      </vt:variant>
      <vt:variant>
        <vt:i4>1179701</vt:i4>
      </vt:variant>
      <vt:variant>
        <vt:i4>208</vt:i4>
      </vt:variant>
      <vt:variant>
        <vt:i4>0</vt:i4>
      </vt:variant>
      <vt:variant>
        <vt:i4>5</vt:i4>
      </vt:variant>
      <vt:variant>
        <vt:lpwstr/>
      </vt:variant>
      <vt:variant>
        <vt:lpwstr>_Toc88277983</vt:lpwstr>
      </vt:variant>
      <vt:variant>
        <vt:i4>1245237</vt:i4>
      </vt:variant>
      <vt:variant>
        <vt:i4>202</vt:i4>
      </vt:variant>
      <vt:variant>
        <vt:i4>0</vt:i4>
      </vt:variant>
      <vt:variant>
        <vt:i4>5</vt:i4>
      </vt:variant>
      <vt:variant>
        <vt:lpwstr/>
      </vt:variant>
      <vt:variant>
        <vt:lpwstr>_Toc88277982</vt:lpwstr>
      </vt:variant>
      <vt:variant>
        <vt:i4>1048629</vt:i4>
      </vt:variant>
      <vt:variant>
        <vt:i4>196</vt:i4>
      </vt:variant>
      <vt:variant>
        <vt:i4>0</vt:i4>
      </vt:variant>
      <vt:variant>
        <vt:i4>5</vt:i4>
      </vt:variant>
      <vt:variant>
        <vt:lpwstr/>
      </vt:variant>
      <vt:variant>
        <vt:lpwstr>_Toc88277981</vt:lpwstr>
      </vt:variant>
      <vt:variant>
        <vt:i4>1114165</vt:i4>
      </vt:variant>
      <vt:variant>
        <vt:i4>190</vt:i4>
      </vt:variant>
      <vt:variant>
        <vt:i4>0</vt:i4>
      </vt:variant>
      <vt:variant>
        <vt:i4>5</vt:i4>
      </vt:variant>
      <vt:variant>
        <vt:lpwstr/>
      </vt:variant>
      <vt:variant>
        <vt:lpwstr>_Toc88277980</vt:lpwstr>
      </vt:variant>
      <vt:variant>
        <vt:i4>1572922</vt:i4>
      </vt:variant>
      <vt:variant>
        <vt:i4>184</vt:i4>
      </vt:variant>
      <vt:variant>
        <vt:i4>0</vt:i4>
      </vt:variant>
      <vt:variant>
        <vt:i4>5</vt:i4>
      </vt:variant>
      <vt:variant>
        <vt:lpwstr/>
      </vt:variant>
      <vt:variant>
        <vt:lpwstr>_Toc88277979</vt:lpwstr>
      </vt:variant>
      <vt:variant>
        <vt:i4>1638458</vt:i4>
      </vt:variant>
      <vt:variant>
        <vt:i4>178</vt:i4>
      </vt:variant>
      <vt:variant>
        <vt:i4>0</vt:i4>
      </vt:variant>
      <vt:variant>
        <vt:i4>5</vt:i4>
      </vt:variant>
      <vt:variant>
        <vt:lpwstr/>
      </vt:variant>
      <vt:variant>
        <vt:lpwstr>_Toc88277978</vt:lpwstr>
      </vt:variant>
      <vt:variant>
        <vt:i4>1441850</vt:i4>
      </vt:variant>
      <vt:variant>
        <vt:i4>172</vt:i4>
      </vt:variant>
      <vt:variant>
        <vt:i4>0</vt:i4>
      </vt:variant>
      <vt:variant>
        <vt:i4>5</vt:i4>
      </vt:variant>
      <vt:variant>
        <vt:lpwstr/>
      </vt:variant>
      <vt:variant>
        <vt:lpwstr>_Toc88277977</vt:lpwstr>
      </vt:variant>
      <vt:variant>
        <vt:i4>1507386</vt:i4>
      </vt:variant>
      <vt:variant>
        <vt:i4>166</vt:i4>
      </vt:variant>
      <vt:variant>
        <vt:i4>0</vt:i4>
      </vt:variant>
      <vt:variant>
        <vt:i4>5</vt:i4>
      </vt:variant>
      <vt:variant>
        <vt:lpwstr/>
      </vt:variant>
      <vt:variant>
        <vt:lpwstr>_Toc88277976</vt:lpwstr>
      </vt:variant>
      <vt:variant>
        <vt:i4>1310778</vt:i4>
      </vt:variant>
      <vt:variant>
        <vt:i4>160</vt:i4>
      </vt:variant>
      <vt:variant>
        <vt:i4>0</vt:i4>
      </vt:variant>
      <vt:variant>
        <vt:i4>5</vt:i4>
      </vt:variant>
      <vt:variant>
        <vt:lpwstr/>
      </vt:variant>
      <vt:variant>
        <vt:lpwstr>_Toc88277975</vt:lpwstr>
      </vt:variant>
      <vt:variant>
        <vt:i4>1376314</vt:i4>
      </vt:variant>
      <vt:variant>
        <vt:i4>154</vt:i4>
      </vt:variant>
      <vt:variant>
        <vt:i4>0</vt:i4>
      </vt:variant>
      <vt:variant>
        <vt:i4>5</vt:i4>
      </vt:variant>
      <vt:variant>
        <vt:lpwstr/>
      </vt:variant>
      <vt:variant>
        <vt:lpwstr>_Toc88277974</vt:lpwstr>
      </vt:variant>
      <vt:variant>
        <vt:i4>1179706</vt:i4>
      </vt:variant>
      <vt:variant>
        <vt:i4>148</vt:i4>
      </vt:variant>
      <vt:variant>
        <vt:i4>0</vt:i4>
      </vt:variant>
      <vt:variant>
        <vt:i4>5</vt:i4>
      </vt:variant>
      <vt:variant>
        <vt:lpwstr/>
      </vt:variant>
      <vt:variant>
        <vt:lpwstr>_Toc88277973</vt:lpwstr>
      </vt:variant>
      <vt:variant>
        <vt:i4>1245242</vt:i4>
      </vt:variant>
      <vt:variant>
        <vt:i4>142</vt:i4>
      </vt:variant>
      <vt:variant>
        <vt:i4>0</vt:i4>
      </vt:variant>
      <vt:variant>
        <vt:i4>5</vt:i4>
      </vt:variant>
      <vt:variant>
        <vt:lpwstr/>
      </vt:variant>
      <vt:variant>
        <vt:lpwstr>_Toc88277972</vt:lpwstr>
      </vt:variant>
      <vt:variant>
        <vt:i4>1048634</vt:i4>
      </vt:variant>
      <vt:variant>
        <vt:i4>136</vt:i4>
      </vt:variant>
      <vt:variant>
        <vt:i4>0</vt:i4>
      </vt:variant>
      <vt:variant>
        <vt:i4>5</vt:i4>
      </vt:variant>
      <vt:variant>
        <vt:lpwstr/>
      </vt:variant>
      <vt:variant>
        <vt:lpwstr>_Toc88277971</vt:lpwstr>
      </vt:variant>
      <vt:variant>
        <vt:i4>1114170</vt:i4>
      </vt:variant>
      <vt:variant>
        <vt:i4>130</vt:i4>
      </vt:variant>
      <vt:variant>
        <vt:i4>0</vt:i4>
      </vt:variant>
      <vt:variant>
        <vt:i4>5</vt:i4>
      </vt:variant>
      <vt:variant>
        <vt:lpwstr/>
      </vt:variant>
      <vt:variant>
        <vt:lpwstr>_Toc88277970</vt:lpwstr>
      </vt:variant>
      <vt:variant>
        <vt:i4>1572923</vt:i4>
      </vt:variant>
      <vt:variant>
        <vt:i4>124</vt:i4>
      </vt:variant>
      <vt:variant>
        <vt:i4>0</vt:i4>
      </vt:variant>
      <vt:variant>
        <vt:i4>5</vt:i4>
      </vt:variant>
      <vt:variant>
        <vt:lpwstr/>
      </vt:variant>
      <vt:variant>
        <vt:lpwstr>_Toc88277969</vt:lpwstr>
      </vt:variant>
      <vt:variant>
        <vt:i4>1638459</vt:i4>
      </vt:variant>
      <vt:variant>
        <vt:i4>118</vt:i4>
      </vt:variant>
      <vt:variant>
        <vt:i4>0</vt:i4>
      </vt:variant>
      <vt:variant>
        <vt:i4>5</vt:i4>
      </vt:variant>
      <vt:variant>
        <vt:lpwstr/>
      </vt:variant>
      <vt:variant>
        <vt:lpwstr>_Toc88277968</vt:lpwstr>
      </vt:variant>
      <vt:variant>
        <vt:i4>1441851</vt:i4>
      </vt:variant>
      <vt:variant>
        <vt:i4>112</vt:i4>
      </vt:variant>
      <vt:variant>
        <vt:i4>0</vt:i4>
      </vt:variant>
      <vt:variant>
        <vt:i4>5</vt:i4>
      </vt:variant>
      <vt:variant>
        <vt:lpwstr/>
      </vt:variant>
      <vt:variant>
        <vt:lpwstr>_Toc88277967</vt:lpwstr>
      </vt:variant>
      <vt:variant>
        <vt:i4>1507387</vt:i4>
      </vt:variant>
      <vt:variant>
        <vt:i4>106</vt:i4>
      </vt:variant>
      <vt:variant>
        <vt:i4>0</vt:i4>
      </vt:variant>
      <vt:variant>
        <vt:i4>5</vt:i4>
      </vt:variant>
      <vt:variant>
        <vt:lpwstr/>
      </vt:variant>
      <vt:variant>
        <vt:lpwstr>_Toc88277966</vt:lpwstr>
      </vt:variant>
      <vt:variant>
        <vt:i4>1310779</vt:i4>
      </vt:variant>
      <vt:variant>
        <vt:i4>100</vt:i4>
      </vt:variant>
      <vt:variant>
        <vt:i4>0</vt:i4>
      </vt:variant>
      <vt:variant>
        <vt:i4>5</vt:i4>
      </vt:variant>
      <vt:variant>
        <vt:lpwstr/>
      </vt:variant>
      <vt:variant>
        <vt:lpwstr>_Toc88277965</vt:lpwstr>
      </vt:variant>
      <vt:variant>
        <vt:i4>1376315</vt:i4>
      </vt:variant>
      <vt:variant>
        <vt:i4>94</vt:i4>
      </vt:variant>
      <vt:variant>
        <vt:i4>0</vt:i4>
      </vt:variant>
      <vt:variant>
        <vt:i4>5</vt:i4>
      </vt:variant>
      <vt:variant>
        <vt:lpwstr/>
      </vt:variant>
      <vt:variant>
        <vt:lpwstr>_Toc88277964</vt:lpwstr>
      </vt:variant>
      <vt:variant>
        <vt:i4>1179707</vt:i4>
      </vt:variant>
      <vt:variant>
        <vt:i4>88</vt:i4>
      </vt:variant>
      <vt:variant>
        <vt:i4>0</vt:i4>
      </vt:variant>
      <vt:variant>
        <vt:i4>5</vt:i4>
      </vt:variant>
      <vt:variant>
        <vt:lpwstr/>
      </vt:variant>
      <vt:variant>
        <vt:lpwstr>_Toc88277963</vt:lpwstr>
      </vt:variant>
      <vt:variant>
        <vt:i4>1245243</vt:i4>
      </vt:variant>
      <vt:variant>
        <vt:i4>82</vt:i4>
      </vt:variant>
      <vt:variant>
        <vt:i4>0</vt:i4>
      </vt:variant>
      <vt:variant>
        <vt:i4>5</vt:i4>
      </vt:variant>
      <vt:variant>
        <vt:lpwstr/>
      </vt:variant>
      <vt:variant>
        <vt:lpwstr>_Toc88277962</vt:lpwstr>
      </vt:variant>
      <vt:variant>
        <vt:i4>1048635</vt:i4>
      </vt:variant>
      <vt:variant>
        <vt:i4>76</vt:i4>
      </vt:variant>
      <vt:variant>
        <vt:i4>0</vt:i4>
      </vt:variant>
      <vt:variant>
        <vt:i4>5</vt:i4>
      </vt:variant>
      <vt:variant>
        <vt:lpwstr/>
      </vt:variant>
      <vt:variant>
        <vt:lpwstr>_Toc88277961</vt:lpwstr>
      </vt:variant>
      <vt:variant>
        <vt:i4>1114171</vt:i4>
      </vt:variant>
      <vt:variant>
        <vt:i4>70</vt:i4>
      </vt:variant>
      <vt:variant>
        <vt:i4>0</vt:i4>
      </vt:variant>
      <vt:variant>
        <vt:i4>5</vt:i4>
      </vt:variant>
      <vt:variant>
        <vt:lpwstr/>
      </vt:variant>
      <vt:variant>
        <vt:lpwstr>_Toc88277960</vt:lpwstr>
      </vt:variant>
      <vt:variant>
        <vt:i4>1572920</vt:i4>
      </vt:variant>
      <vt:variant>
        <vt:i4>64</vt:i4>
      </vt:variant>
      <vt:variant>
        <vt:i4>0</vt:i4>
      </vt:variant>
      <vt:variant>
        <vt:i4>5</vt:i4>
      </vt:variant>
      <vt:variant>
        <vt:lpwstr/>
      </vt:variant>
      <vt:variant>
        <vt:lpwstr>_Toc88277959</vt:lpwstr>
      </vt:variant>
      <vt:variant>
        <vt:i4>1638456</vt:i4>
      </vt:variant>
      <vt:variant>
        <vt:i4>58</vt:i4>
      </vt:variant>
      <vt:variant>
        <vt:i4>0</vt:i4>
      </vt:variant>
      <vt:variant>
        <vt:i4>5</vt:i4>
      </vt:variant>
      <vt:variant>
        <vt:lpwstr/>
      </vt:variant>
      <vt:variant>
        <vt:lpwstr>_Toc88277958</vt:lpwstr>
      </vt:variant>
      <vt:variant>
        <vt:i4>1441848</vt:i4>
      </vt:variant>
      <vt:variant>
        <vt:i4>52</vt:i4>
      </vt:variant>
      <vt:variant>
        <vt:i4>0</vt:i4>
      </vt:variant>
      <vt:variant>
        <vt:i4>5</vt:i4>
      </vt:variant>
      <vt:variant>
        <vt:lpwstr/>
      </vt:variant>
      <vt:variant>
        <vt:lpwstr>_Toc88277957</vt:lpwstr>
      </vt:variant>
      <vt:variant>
        <vt:i4>1507384</vt:i4>
      </vt:variant>
      <vt:variant>
        <vt:i4>46</vt:i4>
      </vt:variant>
      <vt:variant>
        <vt:i4>0</vt:i4>
      </vt:variant>
      <vt:variant>
        <vt:i4>5</vt:i4>
      </vt:variant>
      <vt:variant>
        <vt:lpwstr/>
      </vt:variant>
      <vt:variant>
        <vt:lpwstr>_Toc88277956</vt:lpwstr>
      </vt:variant>
      <vt:variant>
        <vt:i4>1310776</vt:i4>
      </vt:variant>
      <vt:variant>
        <vt:i4>40</vt:i4>
      </vt:variant>
      <vt:variant>
        <vt:i4>0</vt:i4>
      </vt:variant>
      <vt:variant>
        <vt:i4>5</vt:i4>
      </vt:variant>
      <vt:variant>
        <vt:lpwstr/>
      </vt:variant>
      <vt:variant>
        <vt:lpwstr>_Toc88277955</vt:lpwstr>
      </vt:variant>
      <vt:variant>
        <vt:i4>1376312</vt:i4>
      </vt:variant>
      <vt:variant>
        <vt:i4>34</vt:i4>
      </vt:variant>
      <vt:variant>
        <vt:i4>0</vt:i4>
      </vt:variant>
      <vt:variant>
        <vt:i4>5</vt:i4>
      </vt:variant>
      <vt:variant>
        <vt:lpwstr/>
      </vt:variant>
      <vt:variant>
        <vt:lpwstr>_Toc88277954</vt:lpwstr>
      </vt:variant>
      <vt:variant>
        <vt:i4>1179704</vt:i4>
      </vt:variant>
      <vt:variant>
        <vt:i4>28</vt:i4>
      </vt:variant>
      <vt:variant>
        <vt:i4>0</vt:i4>
      </vt:variant>
      <vt:variant>
        <vt:i4>5</vt:i4>
      </vt:variant>
      <vt:variant>
        <vt:lpwstr/>
      </vt:variant>
      <vt:variant>
        <vt:lpwstr>_Toc88277953</vt:lpwstr>
      </vt:variant>
      <vt:variant>
        <vt:i4>1245240</vt:i4>
      </vt:variant>
      <vt:variant>
        <vt:i4>22</vt:i4>
      </vt:variant>
      <vt:variant>
        <vt:i4>0</vt:i4>
      </vt:variant>
      <vt:variant>
        <vt:i4>5</vt:i4>
      </vt:variant>
      <vt:variant>
        <vt:lpwstr/>
      </vt:variant>
      <vt:variant>
        <vt:lpwstr>_Toc88277952</vt:lpwstr>
      </vt:variant>
      <vt:variant>
        <vt:i4>1048632</vt:i4>
      </vt:variant>
      <vt:variant>
        <vt:i4>16</vt:i4>
      </vt:variant>
      <vt:variant>
        <vt:i4>0</vt:i4>
      </vt:variant>
      <vt:variant>
        <vt:i4>5</vt:i4>
      </vt:variant>
      <vt:variant>
        <vt:lpwstr/>
      </vt:variant>
      <vt:variant>
        <vt:lpwstr>_Toc88277951</vt:lpwstr>
      </vt:variant>
      <vt:variant>
        <vt:i4>1114168</vt:i4>
      </vt:variant>
      <vt:variant>
        <vt:i4>10</vt:i4>
      </vt:variant>
      <vt:variant>
        <vt:i4>0</vt:i4>
      </vt:variant>
      <vt:variant>
        <vt:i4>5</vt:i4>
      </vt:variant>
      <vt:variant>
        <vt:lpwstr/>
      </vt:variant>
      <vt:variant>
        <vt:lpwstr>_Toc88277950</vt:lpwstr>
      </vt:variant>
      <vt:variant>
        <vt:i4>1572921</vt:i4>
      </vt:variant>
      <vt:variant>
        <vt:i4>4</vt:i4>
      </vt:variant>
      <vt:variant>
        <vt:i4>0</vt:i4>
      </vt:variant>
      <vt:variant>
        <vt:i4>5</vt:i4>
      </vt:variant>
      <vt:variant>
        <vt:lpwstr/>
      </vt:variant>
      <vt:variant>
        <vt:lpwstr>_Toc88277949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2018-02-12T14:12:00Z</dcterms:created>
  <dcterms:modified xsi:type="dcterms:W3CDTF">2018-02-12T14:12:00Z</dcterms:modified>
</cp:coreProperties>
</file>