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DBE" w:rsidRPr="00D20211" w:rsidRDefault="00BA2DBE">
      <w:pPr>
        <w:rPr>
          <w:rFonts w:ascii="Arial" w:hAnsi="Arial" w:cs="Arial"/>
        </w:rPr>
      </w:pPr>
      <w:bookmarkStart w:id="0" w:name="_Toc337198071"/>
      <w:bookmarkStart w:id="1" w:name="_Toc423335421"/>
      <w:bookmarkStart w:id="2" w:name="_GoBack"/>
      <w:bookmarkEnd w:id="2"/>
    </w:p>
    <w:p w:rsidR="00BA2DBE" w:rsidRPr="00D20211" w:rsidRDefault="00BA2DBE">
      <w:pPr>
        <w:rPr>
          <w:rFonts w:ascii="Arial" w:hAnsi="Arial" w:cs="Arial"/>
        </w:rPr>
      </w:pPr>
    </w:p>
    <w:p w:rsidR="00BA2DBE" w:rsidRPr="00D20211" w:rsidRDefault="00BA2DBE">
      <w:pPr>
        <w:rPr>
          <w:rFonts w:ascii="Arial" w:hAnsi="Arial" w:cs="Arial"/>
        </w:rPr>
      </w:pPr>
    </w:p>
    <w:p w:rsidR="00BA2DBE" w:rsidRPr="00D20211" w:rsidRDefault="00BA2DBE">
      <w:pPr>
        <w:rPr>
          <w:rFonts w:ascii="Arial" w:hAnsi="Arial" w:cs="Arial"/>
        </w:rPr>
      </w:pPr>
    </w:p>
    <w:p w:rsidR="00BA2DBE" w:rsidRPr="00D20211" w:rsidRDefault="00BA2DBE">
      <w:pPr>
        <w:rPr>
          <w:rFonts w:ascii="Arial" w:hAnsi="Arial" w:cs="Arial"/>
        </w:rPr>
      </w:pPr>
    </w:p>
    <w:p w:rsidR="00BA2DBE" w:rsidRPr="00D20211" w:rsidRDefault="00490266" w:rsidP="001626E8">
      <w:pPr>
        <w:pStyle w:val="Title"/>
        <w:rPr>
          <w:color w:val="auto"/>
          <w:sz w:val="48"/>
          <w:szCs w:val="48"/>
        </w:rPr>
      </w:pPr>
      <w:r>
        <w:rPr>
          <w:color w:val="auto"/>
          <w:sz w:val="48"/>
          <w:szCs w:val="48"/>
        </w:rPr>
        <w:t>National Environmental Assessment Reporting System (NEARS)</w:t>
      </w:r>
    </w:p>
    <w:p w:rsidR="00BA2DBE" w:rsidRPr="00D20211" w:rsidRDefault="00480FC6" w:rsidP="001626E8">
      <w:pPr>
        <w:pStyle w:val="Subtitle"/>
        <w:rPr>
          <w:color w:val="auto"/>
        </w:rPr>
      </w:pPr>
      <w:r w:rsidRPr="00D20211">
        <w:rPr>
          <w:color w:val="auto"/>
        </w:rPr>
        <w:t>OMB Control N</w:t>
      </w:r>
      <w:r w:rsidR="00EA55C0" w:rsidRPr="00D20211">
        <w:rPr>
          <w:color w:val="auto"/>
        </w:rPr>
        <w:t>o</w:t>
      </w:r>
      <w:r w:rsidR="00EA55C0" w:rsidRPr="00490266">
        <w:rPr>
          <w:color w:val="auto"/>
        </w:rPr>
        <w:t>. 0920</w:t>
      </w:r>
      <w:r w:rsidR="00490266" w:rsidRPr="00490266">
        <w:rPr>
          <w:color w:val="auto"/>
        </w:rPr>
        <w:t>-0980</w:t>
      </w:r>
      <w:r w:rsidRPr="00D20211">
        <w:rPr>
          <w:color w:val="auto"/>
        </w:rPr>
        <w:t xml:space="preserve"> (Expiration Date</w:t>
      </w:r>
      <w:r w:rsidR="00490266">
        <w:rPr>
          <w:color w:val="auto"/>
        </w:rPr>
        <w:t>: 08/31/2019</w:t>
      </w:r>
      <w:r w:rsidRPr="00D20211">
        <w:rPr>
          <w:color w:val="auto"/>
        </w:rPr>
        <w:t xml:space="preserve">) </w:t>
      </w:r>
    </w:p>
    <w:p w:rsidR="001626E8" w:rsidRPr="00D20211" w:rsidRDefault="00490266">
      <w:pPr>
        <w:spacing w:after="200" w:line="276" w:lineRule="auto"/>
        <w:rPr>
          <w:rFonts w:asciiTheme="majorHAnsi" w:hAnsiTheme="majorHAnsi" w:cs="Arial"/>
          <w:sz w:val="36"/>
          <w:szCs w:val="36"/>
        </w:rPr>
      </w:pPr>
      <w:r>
        <w:rPr>
          <w:rFonts w:asciiTheme="majorHAnsi" w:hAnsiTheme="majorHAnsi" w:cs="Arial"/>
          <w:sz w:val="36"/>
          <w:szCs w:val="36"/>
        </w:rPr>
        <w:t>Revision</w:t>
      </w:r>
    </w:p>
    <w:p w:rsidR="00C000CD" w:rsidRPr="00D20211" w:rsidRDefault="00C000CD" w:rsidP="001626E8">
      <w:pPr>
        <w:pStyle w:val="Subtitle"/>
        <w:rPr>
          <w:color w:val="auto"/>
        </w:rPr>
      </w:pPr>
    </w:p>
    <w:p w:rsidR="00D16598" w:rsidRPr="00D20211" w:rsidRDefault="00480FC6" w:rsidP="001626E8">
      <w:pPr>
        <w:pStyle w:val="Subtitle"/>
        <w:rPr>
          <w:color w:val="auto"/>
        </w:rPr>
      </w:pPr>
      <w:r w:rsidRPr="00D20211">
        <w:rPr>
          <w:color w:val="auto"/>
        </w:rPr>
        <w:t xml:space="preserve">Supporting Statement Part A </w:t>
      </w:r>
      <w:r w:rsidR="00BB0E8E" w:rsidRPr="00D20211">
        <w:rPr>
          <w:color w:val="auto"/>
        </w:rPr>
        <w:t>–</w:t>
      </w:r>
      <w:r w:rsidRPr="00D20211">
        <w:rPr>
          <w:color w:val="auto"/>
        </w:rPr>
        <w:t xml:space="preserve"> </w:t>
      </w:r>
    </w:p>
    <w:p w:rsidR="00BA2DBE" w:rsidRPr="00D20211" w:rsidRDefault="00480FC6" w:rsidP="001626E8">
      <w:pPr>
        <w:pStyle w:val="Subtitle"/>
        <w:rPr>
          <w:color w:val="auto"/>
        </w:rPr>
      </w:pPr>
      <w:r w:rsidRPr="00D20211">
        <w:rPr>
          <w:color w:val="auto"/>
        </w:rPr>
        <w:t>Justification</w:t>
      </w:r>
    </w:p>
    <w:p w:rsidR="008E47E6" w:rsidRPr="00D20211" w:rsidRDefault="008E47E6" w:rsidP="00BB0E8E"/>
    <w:p w:rsidR="00BA2DBE" w:rsidRPr="00D20211" w:rsidRDefault="00BA2DBE">
      <w:pPr>
        <w:spacing w:after="200" w:line="276" w:lineRule="auto"/>
        <w:rPr>
          <w:rFonts w:asciiTheme="majorHAnsi" w:hAnsiTheme="majorHAnsi" w:cs="Arial"/>
          <w:sz w:val="36"/>
          <w:szCs w:val="36"/>
        </w:rPr>
      </w:pPr>
    </w:p>
    <w:p w:rsidR="00BA2DBE" w:rsidRPr="00D20211" w:rsidRDefault="00BA2DBE">
      <w:pPr>
        <w:spacing w:after="200" w:line="276" w:lineRule="auto"/>
        <w:rPr>
          <w:rFonts w:asciiTheme="majorHAnsi" w:hAnsiTheme="majorHAnsi" w:cs="Arial"/>
          <w:sz w:val="36"/>
          <w:szCs w:val="36"/>
        </w:rPr>
      </w:pPr>
    </w:p>
    <w:p w:rsidR="00BA2DBE" w:rsidRPr="00D20211" w:rsidRDefault="00BA2DBE">
      <w:pPr>
        <w:spacing w:after="200" w:line="276" w:lineRule="auto"/>
        <w:rPr>
          <w:rFonts w:asciiTheme="majorHAnsi" w:hAnsiTheme="majorHAnsi" w:cs="Arial"/>
          <w:sz w:val="36"/>
          <w:szCs w:val="36"/>
        </w:rPr>
      </w:pPr>
    </w:p>
    <w:p w:rsidR="00BA2DBE" w:rsidRPr="00D20211" w:rsidRDefault="00BA2DBE">
      <w:pPr>
        <w:spacing w:after="200" w:line="276" w:lineRule="auto"/>
        <w:rPr>
          <w:rFonts w:asciiTheme="majorHAnsi" w:hAnsiTheme="majorHAnsi" w:cs="Arial"/>
          <w:sz w:val="36"/>
          <w:szCs w:val="36"/>
        </w:rPr>
      </w:pPr>
    </w:p>
    <w:p w:rsidR="00BA2DBE" w:rsidRPr="00D20211" w:rsidRDefault="00480FC6" w:rsidP="008E47E6">
      <w:pPr>
        <w:pStyle w:val="Subtitle"/>
        <w:spacing w:after="0"/>
        <w:rPr>
          <w:color w:val="auto"/>
        </w:rPr>
      </w:pPr>
      <w:r w:rsidRPr="00D20211">
        <w:rPr>
          <w:color w:val="auto"/>
        </w:rPr>
        <w:t>Program</w:t>
      </w:r>
      <w:r w:rsidR="00490266">
        <w:rPr>
          <w:color w:val="auto"/>
        </w:rPr>
        <w:t xml:space="preserve"> Official</w:t>
      </w:r>
      <w:r w:rsidRPr="00D20211">
        <w:rPr>
          <w:color w:val="auto"/>
        </w:rPr>
        <w:t xml:space="preserve">: </w:t>
      </w:r>
      <w:r w:rsidR="00490266">
        <w:rPr>
          <w:color w:val="auto"/>
        </w:rPr>
        <w:t>Laura G. Brown, Ph.D.</w:t>
      </w:r>
    </w:p>
    <w:p w:rsidR="00BA2DBE" w:rsidRPr="00D20211" w:rsidRDefault="00480FC6" w:rsidP="008E47E6">
      <w:pPr>
        <w:pStyle w:val="Subtitle"/>
        <w:spacing w:after="0"/>
        <w:rPr>
          <w:color w:val="auto"/>
        </w:rPr>
      </w:pPr>
      <w:r w:rsidRPr="00D20211">
        <w:rPr>
          <w:color w:val="auto"/>
        </w:rPr>
        <w:t>Title:</w:t>
      </w:r>
      <w:r w:rsidR="00490266">
        <w:rPr>
          <w:color w:val="auto"/>
        </w:rPr>
        <w:t xml:space="preserve"> </w:t>
      </w:r>
      <w:r w:rsidR="000C5B31">
        <w:rPr>
          <w:color w:val="auto"/>
        </w:rPr>
        <w:t>Lead Behavioral Scientist</w:t>
      </w:r>
    </w:p>
    <w:p w:rsidR="00BA2DBE" w:rsidRPr="00D20211" w:rsidRDefault="00107476" w:rsidP="008E47E6">
      <w:pPr>
        <w:pStyle w:val="Subtitle"/>
        <w:spacing w:after="0"/>
        <w:rPr>
          <w:color w:val="auto"/>
        </w:rPr>
      </w:pPr>
      <w:r w:rsidRPr="00D20211">
        <w:rPr>
          <w:color w:val="auto"/>
        </w:rPr>
        <w:t>Phone</w:t>
      </w:r>
      <w:r w:rsidR="00480FC6" w:rsidRPr="00D20211">
        <w:rPr>
          <w:color w:val="auto"/>
        </w:rPr>
        <w:t>:</w:t>
      </w:r>
      <w:r w:rsidR="00490266">
        <w:rPr>
          <w:color w:val="auto"/>
        </w:rPr>
        <w:t xml:space="preserve"> (770) 488-4332</w:t>
      </w:r>
    </w:p>
    <w:p w:rsidR="00BA2DBE" w:rsidRPr="00D20211" w:rsidRDefault="00107476" w:rsidP="00EA0849">
      <w:pPr>
        <w:pStyle w:val="Subtitle"/>
        <w:spacing w:after="0"/>
        <w:rPr>
          <w:color w:val="auto"/>
        </w:rPr>
      </w:pPr>
      <w:r w:rsidRPr="00D20211">
        <w:rPr>
          <w:color w:val="auto"/>
        </w:rPr>
        <w:t>Email</w:t>
      </w:r>
      <w:r w:rsidR="00480FC6" w:rsidRPr="00D20211">
        <w:rPr>
          <w:color w:val="auto"/>
        </w:rPr>
        <w:t xml:space="preserve">: </w:t>
      </w:r>
      <w:hyperlink r:id="rId9" w:history="1">
        <w:r w:rsidR="00490266" w:rsidRPr="00FD323A">
          <w:rPr>
            <w:rStyle w:val="Hyperlink"/>
          </w:rPr>
          <w:t>lrg0@cdc.gov</w:t>
        </w:r>
      </w:hyperlink>
      <w:r w:rsidR="00490266">
        <w:rPr>
          <w:color w:val="auto"/>
        </w:rPr>
        <w:t xml:space="preserve"> </w:t>
      </w:r>
    </w:p>
    <w:p w:rsidR="00BA2DBE" w:rsidRPr="00D20211" w:rsidRDefault="00107476" w:rsidP="008E47E6">
      <w:pPr>
        <w:pStyle w:val="Subtitle"/>
        <w:spacing w:after="0"/>
        <w:rPr>
          <w:color w:val="auto"/>
        </w:rPr>
      </w:pPr>
      <w:r w:rsidRPr="00D20211">
        <w:rPr>
          <w:color w:val="auto"/>
        </w:rPr>
        <w:t>Fax</w:t>
      </w:r>
      <w:r w:rsidR="00480FC6" w:rsidRPr="00D20211">
        <w:rPr>
          <w:color w:val="auto"/>
        </w:rPr>
        <w:t>:</w:t>
      </w:r>
      <w:r w:rsidR="00490266">
        <w:rPr>
          <w:color w:val="auto"/>
        </w:rPr>
        <w:t xml:space="preserve"> (770) 488-</w:t>
      </w:r>
      <w:r w:rsidR="000C5B31">
        <w:rPr>
          <w:color w:val="auto"/>
        </w:rPr>
        <w:t>7310</w:t>
      </w:r>
    </w:p>
    <w:p w:rsidR="00EA0849" w:rsidRPr="00D20211" w:rsidRDefault="00EA0849" w:rsidP="008E47E6">
      <w:pPr>
        <w:pStyle w:val="Subtitle"/>
        <w:spacing w:after="0"/>
        <w:rPr>
          <w:color w:val="auto"/>
        </w:rPr>
      </w:pPr>
    </w:p>
    <w:p w:rsidR="00965C2A" w:rsidRPr="00D20211" w:rsidRDefault="00480FC6" w:rsidP="008E47E6">
      <w:pPr>
        <w:pStyle w:val="Subtitle"/>
        <w:spacing w:after="0"/>
        <w:rPr>
          <w:rFonts w:ascii="Arial" w:hAnsi="Arial"/>
          <w:color w:val="auto"/>
        </w:rPr>
      </w:pPr>
      <w:r w:rsidRPr="00D20211">
        <w:rPr>
          <w:color w:val="auto"/>
        </w:rPr>
        <w:t>Date:</w:t>
      </w:r>
      <w:r w:rsidR="00490266">
        <w:rPr>
          <w:color w:val="auto"/>
        </w:rPr>
        <w:t xml:space="preserve"> </w:t>
      </w:r>
      <w:r w:rsidR="00A30F2E">
        <w:rPr>
          <w:color w:val="auto"/>
        </w:rPr>
        <w:t>May</w:t>
      </w:r>
      <w:r w:rsidR="00A53D36">
        <w:rPr>
          <w:color w:val="auto"/>
        </w:rPr>
        <w:t xml:space="preserve"> 1</w:t>
      </w:r>
      <w:r w:rsidR="00A30F2E">
        <w:rPr>
          <w:color w:val="auto"/>
        </w:rPr>
        <w:t>5</w:t>
      </w:r>
      <w:r w:rsidR="00490266">
        <w:rPr>
          <w:color w:val="auto"/>
        </w:rPr>
        <w:t>, 201</w:t>
      </w:r>
      <w:r w:rsidR="00643BFE">
        <w:rPr>
          <w:color w:val="auto"/>
        </w:rPr>
        <w:t>9</w:t>
      </w:r>
      <w:r w:rsidR="00BA2DBE" w:rsidRPr="00D20211">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rsidR="009B765E" w:rsidRPr="00D20211" w:rsidRDefault="009B765E" w:rsidP="00637DF7">
          <w:pPr>
            <w:pStyle w:val="TOCHeading"/>
            <w:spacing w:after="480"/>
            <w:jc w:val="center"/>
            <w:rPr>
              <w:color w:val="auto"/>
            </w:rPr>
          </w:pPr>
          <w:r w:rsidRPr="00D20211">
            <w:rPr>
              <w:color w:val="auto"/>
            </w:rPr>
            <w:t>Table of Contents</w:t>
          </w:r>
        </w:p>
        <w:p w:rsidR="007717F8" w:rsidRDefault="009B765E" w:rsidP="00FF394C">
          <w:pPr>
            <w:pStyle w:val="TOC1"/>
            <w:rPr>
              <w:sz w:val="22"/>
              <w:szCs w:val="22"/>
            </w:rPr>
          </w:pPr>
          <w:r w:rsidRPr="00D20211">
            <w:fldChar w:fldCharType="begin"/>
          </w:r>
          <w:r w:rsidRPr="00D20211">
            <w:instrText xml:space="preserve"> TOC \o "1-3" \h \z \u </w:instrText>
          </w:r>
          <w:r w:rsidRPr="00D20211">
            <w:fldChar w:fldCharType="separate"/>
          </w:r>
          <w:hyperlink w:anchor="_Toc532377518" w:history="1">
            <w:r w:rsidR="007717F8" w:rsidRPr="002D118D">
              <w:rPr>
                <w:rStyle w:val="Hyperlink"/>
              </w:rPr>
              <w:t>A.1.  Circumstances Making the Collection of Information Necessary</w:t>
            </w:r>
            <w:r w:rsidR="007717F8">
              <w:rPr>
                <w:webHidden/>
              </w:rPr>
              <w:tab/>
            </w:r>
            <w:r w:rsidR="007717F8">
              <w:rPr>
                <w:webHidden/>
              </w:rPr>
              <w:fldChar w:fldCharType="begin"/>
            </w:r>
            <w:r w:rsidR="007717F8">
              <w:rPr>
                <w:webHidden/>
              </w:rPr>
              <w:instrText xml:space="preserve"> PAGEREF _Toc532377518 \h </w:instrText>
            </w:r>
            <w:r w:rsidR="007717F8">
              <w:rPr>
                <w:webHidden/>
              </w:rPr>
            </w:r>
            <w:r w:rsidR="007717F8">
              <w:rPr>
                <w:webHidden/>
              </w:rPr>
              <w:fldChar w:fldCharType="separate"/>
            </w:r>
            <w:r w:rsidR="0098315A">
              <w:rPr>
                <w:webHidden/>
              </w:rPr>
              <w:t>3</w:t>
            </w:r>
            <w:r w:rsidR="007717F8">
              <w:rPr>
                <w:webHidden/>
              </w:rPr>
              <w:fldChar w:fldCharType="end"/>
            </w:r>
          </w:hyperlink>
        </w:p>
        <w:p w:rsidR="007717F8" w:rsidRDefault="0049562D" w:rsidP="00F67858">
          <w:pPr>
            <w:pStyle w:val="TOC1"/>
            <w:rPr>
              <w:sz w:val="22"/>
              <w:szCs w:val="22"/>
            </w:rPr>
          </w:pPr>
          <w:hyperlink w:anchor="_Toc532377519" w:history="1">
            <w:r w:rsidR="007717F8" w:rsidRPr="002D118D">
              <w:rPr>
                <w:rStyle w:val="Hyperlink"/>
              </w:rPr>
              <w:t>A.2.  Purpose and Use of the Information Collection</w:t>
            </w:r>
            <w:r w:rsidR="007717F8">
              <w:rPr>
                <w:webHidden/>
              </w:rPr>
              <w:tab/>
            </w:r>
            <w:r w:rsidR="007717F8">
              <w:rPr>
                <w:webHidden/>
              </w:rPr>
              <w:fldChar w:fldCharType="begin"/>
            </w:r>
            <w:r w:rsidR="007717F8">
              <w:rPr>
                <w:webHidden/>
              </w:rPr>
              <w:instrText xml:space="preserve"> PAGEREF _Toc532377519 \h </w:instrText>
            </w:r>
            <w:r w:rsidR="007717F8">
              <w:rPr>
                <w:webHidden/>
              </w:rPr>
            </w:r>
            <w:r w:rsidR="007717F8">
              <w:rPr>
                <w:webHidden/>
              </w:rPr>
              <w:fldChar w:fldCharType="separate"/>
            </w:r>
            <w:r w:rsidR="0098315A">
              <w:rPr>
                <w:webHidden/>
              </w:rPr>
              <w:t>6</w:t>
            </w:r>
            <w:r w:rsidR="007717F8">
              <w:rPr>
                <w:webHidden/>
              </w:rPr>
              <w:fldChar w:fldCharType="end"/>
            </w:r>
          </w:hyperlink>
        </w:p>
        <w:p w:rsidR="007717F8" w:rsidRDefault="0049562D" w:rsidP="00F67858">
          <w:pPr>
            <w:pStyle w:val="TOC1"/>
            <w:rPr>
              <w:sz w:val="22"/>
              <w:szCs w:val="22"/>
            </w:rPr>
          </w:pPr>
          <w:hyperlink w:anchor="_Toc532377520" w:history="1">
            <w:r w:rsidR="007717F8" w:rsidRPr="002D118D">
              <w:rPr>
                <w:rStyle w:val="Hyperlink"/>
              </w:rPr>
              <w:t>A.3.  Use of Improved Information Technology and Burden Reduction</w:t>
            </w:r>
            <w:r w:rsidR="007717F8">
              <w:rPr>
                <w:webHidden/>
              </w:rPr>
              <w:tab/>
            </w:r>
            <w:r w:rsidR="007717F8">
              <w:rPr>
                <w:webHidden/>
              </w:rPr>
              <w:fldChar w:fldCharType="begin"/>
            </w:r>
            <w:r w:rsidR="007717F8">
              <w:rPr>
                <w:webHidden/>
              </w:rPr>
              <w:instrText xml:space="preserve"> PAGEREF _Toc532377520 \h </w:instrText>
            </w:r>
            <w:r w:rsidR="007717F8">
              <w:rPr>
                <w:webHidden/>
              </w:rPr>
            </w:r>
            <w:r w:rsidR="007717F8">
              <w:rPr>
                <w:webHidden/>
              </w:rPr>
              <w:fldChar w:fldCharType="separate"/>
            </w:r>
            <w:r w:rsidR="0098315A">
              <w:rPr>
                <w:webHidden/>
              </w:rPr>
              <w:t>9</w:t>
            </w:r>
            <w:r w:rsidR="007717F8">
              <w:rPr>
                <w:webHidden/>
              </w:rPr>
              <w:fldChar w:fldCharType="end"/>
            </w:r>
          </w:hyperlink>
        </w:p>
        <w:p w:rsidR="007717F8" w:rsidRDefault="0049562D" w:rsidP="008D75AC">
          <w:pPr>
            <w:pStyle w:val="TOC1"/>
            <w:rPr>
              <w:sz w:val="22"/>
              <w:szCs w:val="22"/>
            </w:rPr>
          </w:pPr>
          <w:hyperlink w:anchor="_Toc532377521" w:history="1">
            <w:r w:rsidR="007717F8" w:rsidRPr="002D118D">
              <w:rPr>
                <w:rStyle w:val="Hyperlink"/>
              </w:rPr>
              <w:t>A.4.  Efforts to Identify Duplication and Use of Similar Information</w:t>
            </w:r>
            <w:r w:rsidR="007717F8">
              <w:rPr>
                <w:webHidden/>
              </w:rPr>
              <w:tab/>
            </w:r>
            <w:r w:rsidR="007717F8">
              <w:rPr>
                <w:webHidden/>
              </w:rPr>
              <w:fldChar w:fldCharType="begin"/>
            </w:r>
            <w:r w:rsidR="007717F8">
              <w:rPr>
                <w:webHidden/>
              </w:rPr>
              <w:instrText xml:space="preserve"> PAGEREF _Toc532377521 \h </w:instrText>
            </w:r>
            <w:r w:rsidR="007717F8">
              <w:rPr>
                <w:webHidden/>
              </w:rPr>
            </w:r>
            <w:r w:rsidR="007717F8">
              <w:rPr>
                <w:webHidden/>
              </w:rPr>
              <w:fldChar w:fldCharType="separate"/>
            </w:r>
            <w:r w:rsidR="0098315A">
              <w:rPr>
                <w:webHidden/>
              </w:rPr>
              <w:t>9</w:t>
            </w:r>
            <w:r w:rsidR="007717F8">
              <w:rPr>
                <w:webHidden/>
              </w:rPr>
              <w:fldChar w:fldCharType="end"/>
            </w:r>
          </w:hyperlink>
        </w:p>
        <w:p w:rsidR="007717F8" w:rsidRDefault="0049562D" w:rsidP="00987A2D">
          <w:pPr>
            <w:pStyle w:val="TOC1"/>
            <w:rPr>
              <w:sz w:val="22"/>
              <w:szCs w:val="22"/>
            </w:rPr>
          </w:pPr>
          <w:hyperlink w:anchor="_Toc532377522" w:history="1">
            <w:r w:rsidR="007717F8" w:rsidRPr="002D118D">
              <w:rPr>
                <w:rStyle w:val="Hyperlink"/>
              </w:rPr>
              <w:t>A.5.  Impact on Small Businesses or Other Small Entities</w:t>
            </w:r>
            <w:r w:rsidR="007717F8">
              <w:rPr>
                <w:webHidden/>
              </w:rPr>
              <w:tab/>
            </w:r>
            <w:r w:rsidR="007717F8">
              <w:rPr>
                <w:webHidden/>
              </w:rPr>
              <w:fldChar w:fldCharType="begin"/>
            </w:r>
            <w:r w:rsidR="007717F8">
              <w:rPr>
                <w:webHidden/>
              </w:rPr>
              <w:instrText xml:space="preserve"> PAGEREF _Toc532377522 \h </w:instrText>
            </w:r>
            <w:r w:rsidR="007717F8">
              <w:rPr>
                <w:webHidden/>
              </w:rPr>
            </w:r>
            <w:r w:rsidR="007717F8">
              <w:rPr>
                <w:webHidden/>
              </w:rPr>
              <w:fldChar w:fldCharType="separate"/>
            </w:r>
            <w:r w:rsidR="0098315A">
              <w:rPr>
                <w:webHidden/>
              </w:rPr>
              <w:t>10</w:t>
            </w:r>
            <w:r w:rsidR="007717F8">
              <w:rPr>
                <w:webHidden/>
              </w:rPr>
              <w:fldChar w:fldCharType="end"/>
            </w:r>
          </w:hyperlink>
        </w:p>
        <w:p w:rsidR="007717F8" w:rsidRDefault="0049562D" w:rsidP="006170D5">
          <w:pPr>
            <w:pStyle w:val="TOC1"/>
            <w:rPr>
              <w:sz w:val="22"/>
              <w:szCs w:val="22"/>
            </w:rPr>
          </w:pPr>
          <w:hyperlink w:anchor="_Toc532377523" w:history="1">
            <w:r w:rsidR="007717F8" w:rsidRPr="002D118D">
              <w:rPr>
                <w:rStyle w:val="Hyperlink"/>
              </w:rPr>
              <w:t>A.6.  Consequences of Collecting the Information Less Frequently</w:t>
            </w:r>
            <w:r w:rsidR="007717F8">
              <w:rPr>
                <w:webHidden/>
              </w:rPr>
              <w:tab/>
            </w:r>
            <w:r w:rsidR="007717F8">
              <w:rPr>
                <w:webHidden/>
              </w:rPr>
              <w:fldChar w:fldCharType="begin"/>
            </w:r>
            <w:r w:rsidR="007717F8">
              <w:rPr>
                <w:webHidden/>
              </w:rPr>
              <w:instrText xml:space="preserve"> PAGEREF _Toc532377523 \h </w:instrText>
            </w:r>
            <w:r w:rsidR="007717F8">
              <w:rPr>
                <w:webHidden/>
              </w:rPr>
            </w:r>
            <w:r w:rsidR="007717F8">
              <w:rPr>
                <w:webHidden/>
              </w:rPr>
              <w:fldChar w:fldCharType="separate"/>
            </w:r>
            <w:r w:rsidR="0098315A">
              <w:rPr>
                <w:webHidden/>
              </w:rPr>
              <w:t>10</w:t>
            </w:r>
            <w:r w:rsidR="007717F8">
              <w:rPr>
                <w:webHidden/>
              </w:rPr>
              <w:fldChar w:fldCharType="end"/>
            </w:r>
          </w:hyperlink>
        </w:p>
        <w:p w:rsidR="007717F8" w:rsidRDefault="0049562D" w:rsidP="00935BE6">
          <w:pPr>
            <w:pStyle w:val="TOC1"/>
            <w:rPr>
              <w:sz w:val="22"/>
              <w:szCs w:val="22"/>
            </w:rPr>
          </w:pPr>
          <w:hyperlink w:anchor="_Toc532377524" w:history="1">
            <w:r w:rsidR="007717F8" w:rsidRPr="002D118D">
              <w:rPr>
                <w:rStyle w:val="Hyperlink"/>
              </w:rPr>
              <w:t>A.7.  Special Circumstances Relating to the Guidelines of 5 CFR 1320.5</w:t>
            </w:r>
            <w:r w:rsidR="007717F8">
              <w:rPr>
                <w:webHidden/>
              </w:rPr>
              <w:tab/>
            </w:r>
            <w:r w:rsidR="007717F8">
              <w:rPr>
                <w:webHidden/>
              </w:rPr>
              <w:fldChar w:fldCharType="begin"/>
            </w:r>
            <w:r w:rsidR="007717F8">
              <w:rPr>
                <w:webHidden/>
              </w:rPr>
              <w:instrText xml:space="preserve"> PAGEREF _Toc532377524 \h </w:instrText>
            </w:r>
            <w:r w:rsidR="007717F8">
              <w:rPr>
                <w:webHidden/>
              </w:rPr>
            </w:r>
            <w:r w:rsidR="007717F8">
              <w:rPr>
                <w:webHidden/>
              </w:rPr>
              <w:fldChar w:fldCharType="separate"/>
            </w:r>
            <w:r w:rsidR="0098315A">
              <w:rPr>
                <w:webHidden/>
              </w:rPr>
              <w:t>10</w:t>
            </w:r>
            <w:r w:rsidR="007717F8">
              <w:rPr>
                <w:webHidden/>
              </w:rPr>
              <w:fldChar w:fldCharType="end"/>
            </w:r>
          </w:hyperlink>
        </w:p>
        <w:p w:rsidR="007717F8" w:rsidRDefault="0049562D" w:rsidP="00F67858">
          <w:pPr>
            <w:pStyle w:val="TOC1"/>
            <w:rPr>
              <w:sz w:val="22"/>
              <w:szCs w:val="22"/>
            </w:rPr>
          </w:pPr>
          <w:hyperlink w:anchor="_Toc532377525" w:history="1">
            <w:r w:rsidR="007717F8" w:rsidRPr="002D118D">
              <w:rPr>
                <w:rStyle w:val="Hyperlink"/>
              </w:rPr>
              <w:t>A.8.  Comments in Response to the Federal Register Notice and Efforts to Consult Outside the Agency</w:t>
            </w:r>
            <w:r w:rsidR="007717F8">
              <w:rPr>
                <w:webHidden/>
              </w:rPr>
              <w:tab/>
            </w:r>
            <w:r w:rsidR="007717F8">
              <w:rPr>
                <w:webHidden/>
              </w:rPr>
              <w:fldChar w:fldCharType="begin"/>
            </w:r>
            <w:r w:rsidR="007717F8">
              <w:rPr>
                <w:webHidden/>
              </w:rPr>
              <w:instrText xml:space="preserve"> PAGEREF _Toc532377525 \h </w:instrText>
            </w:r>
            <w:r w:rsidR="007717F8">
              <w:rPr>
                <w:webHidden/>
              </w:rPr>
            </w:r>
            <w:r w:rsidR="007717F8">
              <w:rPr>
                <w:webHidden/>
              </w:rPr>
              <w:fldChar w:fldCharType="separate"/>
            </w:r>
            <w:r w:rsidR="0098315A">
              <w:rPr>
                <w:webHidden/>
              </w:rPr>
              <w:t>11</w:t>
            </w:r>
            <w:r w:rsidR="007717F8">
              <w:rPr>
                <w:webHidden/>
              </w:rPr>
              <w:fldChar w:fldCharType="end"/>
            </w:r>
          </w:hyperlink>
        </w:p>
        <w:p w:rsidR="007717F8" w:rsidRDefault="0049562D" w:rsidP="00935BE6">
          <w:pPr>
            <w:pStyle w:val="TOC1"/>
            <w:rPr>
              <w:sz w:val="22"/>
              <w:szCs w:val="22"/>
            </w:rPr>
          </w:pPr>
          <w:hyperlink w:anchor="_Toc532377526" w:history="1">
            <w:r w:rsidR="007717F8" w:rsidRPr="002D118D">
              <w:rPr>
                <w:rStyle w:val="Hyperlink"/>
              </w:rPr>
              <w:t>A.9.  Explanation of Any Payment or Gift to Respondents</w:t>
            </w:r>
            <w:r w:rsidR="007717F8">
              <w:rPr>
                <w:webHidden/>
              </w:rPr>
              <w:tab/>
            </w:r>
            <w:r w:rsidR="007717F8">
              <w:rPr>
                <w:webHidden/>
              </w:rPr>
              <w:fldChar w:fldCharType="begin"/>
            </w:r>
            <w:r w:rsidR="007717F8">
              <w:rPr>
                <w:webHidden/>
              </w:rPr>
              <w:instrText xml:space="preserve"> PAGEREF _Toc532377526 \h </w:instrText>
            </w:r>
            <w:r w:rsidR="007717F8">
              <w:rPr>
                <w:webHidden/>
              </w:rPr>
            </w:r>
            <w:r w:rsidR="007717F8">
              <w:rPr>
                <w:webHidden/>
              </w:rPr>
              <w:fldChar w:fldCharType="separate"/>
            </w:r>
            <w:r w:rsidR="0098315A">
              <w:rPr>
                <w:webHidden/>
              </w:rPr>
              <w:t>13</w:t>
            </w:r>
            <w:r w:rsidR="007717F8">
              <w:rPr>
                <w:webHidden/>
              </w:rPr>
              <w:fldChar w:fldCharType="end"/>
            </w:r>
          </w:hyperlink>
        </w:p>
        <w:p w:rsidR="007717F8" w:rsidRDefault="0049562D" w:rsidP="00F67858">
          <w:pPr>
            <w:pStyle w:val="TOC1"/>
            <w:rPr>
              <w:sz w:val="22"/>
              <w:szCs w:val="22"/>
            </w:rPr>
          </w:pPr>
          <w:hyperlink w:anchor="_Toc532377527" w:history="1">
            <w:r w:rsidR="007717F8" w:rsidRPr="002D118D">
              <w:rPr>
                <w:rStyle w:val="Hyperlink"/>
              </w:rPr>
              <w:t>A.10.  Protection of the Privacy and Confidentiality of Information Provided by Respondents</w:t>
            </w:r>
            <w:r w:rsidR="007717F8">
              <w:rPr>
                <w:webHidden/>
              </w:rPr>
              <w:tab/>
            </w:r>
            <w:r w:rsidR="007717F8">
              <w:rPr>
                <w:webHidden/>
              </w:rPr>
              <w:fldChar w:fldCharType="begin"/>
            </w:r>
            <w:r w:rsidR="007717F8">
              <w:rPr>
                <w:webHidden/>
              </w:rPr>
              <w:instrText xml:space="preserve"> PAGEREF _Toc532377527 \h </w:instrText>
            </w:r>
            <w:r w:rsidR="007717F8">
              <w:rPr>
                <w:webHidden/>
              </w:rPr>
            </w:r>
            <w:r w:rsidR="007717F8">
              <w:rPr>
                <w:webHidden/>
              </w:rPr>
              <w:fldChar w:fldCharType="separate"/>
            </w:r>
            <w:r w:rsidR="0098315A">
              <w:rPr>
                <w:webHidden/>
              </w:rPr>
              <w:t>14</w:t>
            </w:r>
            <w:r w:rsidR="007717F8">
              <w:rPr>
                <w:webHidden/>
              </w:rPr>
              <w:fldChar w:fldCharType="end"/>
            </w:r>
          </w:hyperlink>
        </w:p>
        <w:p w:rsidR="007717F8" w:rsidRDefault="0049562D" w:rsidP="00F67858">
          <w:pPr>
            <w:pStyle w:val="TOC1"/>
            <w:rPr>
              <w:sz w:val="22"/>
              <w:szCs w:val="22"/>
            </w:rPr>
          </w:pPr>
          <w:hyperlink w:anchor="_Toc532377528" w:history="1">
            <w:r w:rsidR="007717F8" w:rsidRPr="002D118D">
              <w:rPr>
                <w:rStyle w:val="Hyperlink"/>
              </w:rPr>
              <w:t>A.11.  Institutional Review Board (IRB) and Justification for Sensitive Questions</w:t>
            </w:r>
            <w:r w:rsidR="007717F8">
              <w:rPr>
                <w:webHidden/>
              </w:rPr>
              <w:tab/>
            </w:r>
            <w:r w:rsidR="007717F8">
              <w:rPr>
                <w:webHidden/>
              </w:rPr>
              <w:fldChar w:fldCharType="begin"/>
            </w:r>
            <w:r w:rsidR="007717F8">
              <w:rPr>
                <w:webHidden/>
              </w:rPr>
              <w:instrText xml:space="preserve"> PAGEREF _Toc532377528 \h </w:instrText>
            </w:r>
            <w:r w:rsidR="007717F8">
              <w:rPr>
                <w:webHidden/>
              </w:rPr>
            </w:r>
            <w:r w:rsidR="007717F8">
              <w:rPr>
                <w:webHidden/>
              </w:rPr>
              <w:fldChar w:fldCharType="separate"/>
            </w:r>
            <w:r w:rsidR="0098315A">
              <w:rPr>
                <w:webHidden/>
              </w:rPr>
              <w:t>15</w:t>
            </w:r>
            <w:r w:rsidR="007717F8">
              <w:rPr>
                <w:webHidden/>
              </w:rPr>
              <w:fldChar w:fldCharType="end"/>
            </w:r>
          </w:hyperlink>
        </w:p>
        <w:p w:rsidR="007717F8" w:rsidRDefault="0049562D" w:rsidP="008D75AC">
          <w:pPr>
            <w:pStyle w:val="TOC1"/>
            <w:rPr>
              <w:sz w:val="22"/>
              <w:szCs w:val="22"/>
            </w:rPr>
          </w:pPr>
          <w:hyperlink w:anchor="_Toc532377529" w:history="1">
            <w:r w:rsidR="007717F8" w:rsidRPr="002D118D">
              <w:rPr>
                <w:rStyle w:val="Hyperlink"/>
              </w:rPr>
              <w:t>A.12.  Estimates of Annualized Burden Hours and Costs</w:t>
            </w:r>
            <w:r w:rsidR="007717F8">
              <w:rPr>
                <w:webHidden/>
              </w:rPr>
              <w:tab/>
            </w:r>
            <w:r w:rsidR="007717F8">
              <w:rPr>
                <w:webHidden/>
              </w:rPr>
              <w:fldChar w:fldCharType="begin"/>
            </w:r>
            <w:r w:rsidR="007717F8">
              <w:rPr>
                <w:webHidden/>
              </w:rPr>
              <w:instrText xml:space="preserve"> PAGEREF _Toc532377529 \h </w:instrText>
            </w:r>
            <w:r w:rsidR="007717F8">
              <w:rPr>
                <w:webHidden/>
              </w:rPr>
            </w:r>
            <w:r w:rsidR="007717F8">
              <w:rPr>
                <w:webHidden/>
              </w:rPr>
              <w:fldChar w:fldCharType="separate"/>
            </w:r>
            <w:r w:rsidR="0098315A">
              <w:rPr>
                <w:webHidden/>
              </w:rPr>
              <w:t>15</w:t>
            </w:r>
            <w:r w:rsidR="007717F8">
              <w:rPr>
                <w:webHidden/>
              </w:rPr>
              <w:fldChar w:fldCharType="end"/>
            </w:r>
          </w:hyperlink>
        </w:p>
        <w:p w:rsidR="007717F8" w:rsidRDefault="0049562D" w:rsidP="00987A2D">
          <w:pPr>
            <w:pStyle w:val="TOC1"/>
            <w:rPr>
              <w:sz w:val="22"/>
              <w:szCs w:val="22"/>
            </w:rPr>
          </w:pPr>
          <w:hyperlink w:anchor="_Toc532377530" w:history="1">
            <w:r w:rsidR="007717F8" w:rsidRPr="002D118D">
              <w:rPr>
                <w:rStyle w:val="Hyperlink"/>
              </w:rPr>
              <w:t>A.13.  Estimates of Other Total Annual Cost Burden to Respondents and Record Keepers</w:t>
            </w:r>
            <w:r w:rsidR="007717F8">
              <w:rPr>
                <w:webHidden/>
              </w:rPr>
              <w:tab/>
            </w:r>
            <w:r w:rsidR="007717F8">
              <w:rPr>
                <w:webHidden/>
              </w:rPr>
              <w:fldChar w:fldCharType="begin"/>
            </w:r>
            <w:r w:rsidR="007717F8">
              <w:rPr>
                <w:webHidden/>
              </w:rPr>
              <w:instrText xml:space="preserve"> PAGEREF _Toc532377530 \h </w:instrText>
            </w:r>
            <w:r w:rsidR="007717F8">
              <w:rPr>
                <w:webHidden/>
              </w:rPr>
            </w:r>
            <w:r w:rsidR="007717F8">
              <w:rPr>
                <w:webHidden/>
              </w:rPr>
              <w:fldChar w:fldCharType="separate"/>
            </w:r>
            <w:r w:rsidR="0098315A">
              <w:rPr>
                <w:webHidden/>
              </w:rPr>
              <w:t>18</w:t>
            </w:r>
            <w:r w:rsidR="007717F8">
              <w:rPr>
                <w:webHidden/>
              </w:rPr>
              <w:fldChar w:fldCharType="end"/>
            </w:r>
          </w:hyperlink>
        </w:p>
        <w:p w:rsidR="007717F8" w:rsidRDefault="0049562D" w:rsidP="006170D5">
          <w:pPr>
            <w:pStyle w:val="TOC1"/>
            <w:rPr>
              <w:sz w:val="22"/>
              <w:szCs w:val="22"/>
            </w:rPr>
          </w:pPr>
          <w:hyperlink w:anchor="_Toc532377531" w:history="1">
            <w:r w:rsidR="007717F8" w:rsidRPr="002D118D">
              <w:rPr>
                <w:rStyle w:val="Hyperlink"/>
              </w:rPr>
              <w:t>A.14.  Annualized Cost to the Federal Government</w:t>
            </w:r>
            <w:r w:rsidR="007717F8">
              <w:rPr>
                <w:webHidden/>
              </w:rPr>
              <w:tab/>
            </w:r>
            <w:r w:rsidR="007717F8">
              <w:rPr>
                <w:webHidden/>
              </w:rPr>
              <w:fldChar w:fldCharType="begin"/>
            </w:r>
            <w:r w:rsidR="007717F8">
              <w:rPr>
                <w:webHidden/>
              </w:rPr>
              <w:instrText xml:space="preserve"> PAGEREF _Toc532377531 \h </w:instrText>
            </w:r>
            <w:r w:rsidR="007717F8">
              <w:rPr>
                <w:webHidden/>
              </w:rPr>
            </w:r>
            <w:r w:rsidR="007717F8">
              <w:rPr>
                <w:webHidden/>
              </w:rPr>
              <w:fldChar w:fldCharType="separate"/>
            </w:r>
            <w:r w:rsidR="0098315A">
              <w:rPr>
                <w:webHidden/>
              </w:rPr>
              <w:t>18</w:t>
            </w:r>
            <w:r w:rsidR="007717F8">
              <w:rPr>
                <w:webHidden/>
              </w:rPr>
              <w:fldChar w:fldCharType="end"/>
            </w:r>
          </w:hyperlink>
        </w:p>
        <w:p w:rsidR="007717F8" w:rsidRDefault="0049562D" w:rsidP="0017001E">
          <w:pPr>
            <w:pStyle w:val="TOC1"/>
            <w:rPr>
              <w:sz w:val="22"/>
              <w:szCs w:val="22"/>
            </w:rPr>
          </w:pPr>
          <w:hyperlink w:anchor="_Toc532377532" w:history="1">
            <w:r w:rsidR="007717F8" w:rsidRPr="002D118D">
              <w:rPr>
                <w:rStyle w:val="Hyperlink"/>
              </w:rPr>
              <w:t>A.15.  Explanation for Program Changes or Adjustments</w:t>
            </w:r>
            <w:r w:rsidR="007717F8">
              <w:rPr>
                <w:webHidden/>
              </w:rPr>
              <w:tab/>
            </w:r>
            <w:r w:rsidR="007717F8">
              <w:rPr>
                <w:webHidden/>
              </w:rPr>
              <w:fldChar w:fldCharType="begin"/>
            </w:r>
            <w:r w:rsidR="007717F8">
              <w:rPr>
                <w:webHidden/>
              </w:rPr>
              <w:instrText xml:space="preserve"> PAGEREF _Toc532377532 \h </w:instrText>
            </w:r>
            <w:r w:rsidR="007717F8">
              <w:rPr>
                <w:webHidden/>
              </w:rPr>
            </w:r>
            <w:r w:rsidR="007717F8">
              <w:rPr>
                <w:webHidden/>
              </w:rPr>
              <w:fldChar w:fldCharType="separate"/>
            </w:r>
            <w:r w:rsidR="0098315A">
              <w:rPr>
                <w:webHidden/>
              </w:rPr>
              <w:t>20</w:t>
            </w:r>
            <w:r w:rsidR="007717F8">
              <w:rPr>
                <w:webHidden/>
              </w:rPr>
              <w:fldChar w:fldCharType="end"/>
            </w:r>
          </w:hyperlink>
        </w:p>
        <w:p w:rsidR="007717F8" w:rsidRDefault="0049562D" w:rsidP="0017001E">
          <w:pPr>
            <w:pStyle w:val="TOC1"/>
            <w:rPr>
              <w:sz w:val="22"/>
              <w:szCs w:val="22"/>
            </w:rPr>
          </w:pPr>
          <w:hyperlink w:anchor="_Toc532377533" w:history="1">
            <w:r w:rsidR="007717F8" w:rsidRPr="002D118D">
              <w:rPr>
                <w:rStyle w:val="Hyperlink"/>
              </w:rPr>
              <w:t>A.16.  Plans for Tabulation and Publication and Project Time Schedule</w:t>
            </w:r>
            <w:r w:rsidR="007717F8">
              <w:rPr>
                <w:webHidden/>
              </w:rPr>
              <w:tab/>
            </w:r>
            <w:r w:rsidR="007717F8">
              <w:rPr>
                <w:webHidden/>
              </w:rPr>
              <w:fldChar w:fldCharType="begin"/>
            </w:r>
            <w:r w:rsidR="007717F8">
              <w:rPr>
                <w:webHidden/>
              </w:rPr>
              <w:instrText xml:space="preserve"> PAGEREF _Toc532377533 \h </w:instrText>
            </w:r>
            <w:r w:rsidR="007717F8">
              <w:rPr>
                <w:webHidden/>
              </w:rPr>
            </w:r>
            <w:r w:rsidR="007717F8">
              <w:rPr>
                <w:webHidden/>
              </w:rPr>
              <w:fldChar w:fldCharType="separate"/>
            </w:r>
            <w:r w:rsidR="0098315A">
              <w:rPr>
                <w:webHidden/>
              </w:rPr>
              <w:t>20</w:t>
            </w:r>
            <w:r w:rsidR="007717F8">
              <w:rPr>
                <w:webHidden/>
              </w:rPr>
              <w:fldChar w:fldCharType="end"/>
            </w:r>
          </w:hyperlink>
        </w:p>
        <w:p w:rsidR="007717F8" w:rsidRDefault="0049562D" w:rsidP="002C6EB8">
          <w:pPr>
            <w:pStyle w:val="TOC1"/>
            <w:rPr>
              <w:sz w:val="22"/>
              <w:szCs w:val="22"/>
            </w:rPr>
          </w:pPr>
          <w:hyperlink w:anchor="_Toc532377534" w:history="1">
            <w:r w:rsidR="007717F8" w:rsidRPr="002D118D">
              <w:rPr>
                <w:rStyle w:val="Hyperlink"/>
              </w:rPr>
              <w:t>A.17.  Reason(s) Display of OMB Expiration Date is Inappropriate</w:t>
            </w:r>
            <w:r w:rsidR="007717F8">
              <w:rPr>
                <w:webHidden/>
              </w:rPr>
              <w:tab/>
            </w:r>
            <w:r w:rsidR="007717F8">
              <w:rPr>
                <w:webHidden/>
              </w:rPr>
              <w:fldChar w:fldCharType="begin"/>
            </w:r>
            <w:r w:rsidR="007717F8">
              <w:rPr>
                <w:webHidden/>
              </w:rPr>
              <w:instrText xml:space="preserve"> PAGEREF _Toc532377534 \h </w:instrText>
            </w:r>
            <w:r w:rsidR="007717F8">
              <w:rPr>
                <w:webHidden/>
              </w:rPr>
            </w:r>
            <w:r w:rsidR="007717F8">
              <w:rPr>
                <w:webHidden/>
              </w:rPr>
              <w:fldChar w:fldCharType="separate"/>
            </w:r>
            <w:r w:rsidR="0098315A">
              <w:rPr>
                <w:webHidden/>
              </w:rPr>
              <w:t>21</w:t>
            </w:r>
            <w:r w:rsidR="007717F8">
              <w:rPr>
                <w:webHidden/>
              </w:rPr>
              <w:fldChar w:fldCharType="end"/>
            </w:r>
          </w:hyperlink>
        </w:p>
        <w:p w:rsidR="007717F8" w:rsidRDefault="0049562D" w:rsidP="002C6EB8">
          <w:pPr>
            <w:pStyle w:val="TOC1"/>
            <w:rPr>
              <w:sz w:val="22"/>
              <w:szCs w:val="22"/>
            </w:rPr>
          </w:pPr>
          <w:hyperlink w:anchor="_Toc532377535" w:history="1">
            <w:r w:rsidR="007717F8" w:rsidRPr="002D118D">
              <w:rPr>
                <w:rStyle w:val="Hyperlink"/>
              </w:rPr>
              <w:t>A.18.  Exceptions to Certification for Paperwork Reduction Act Submissions</w:t>
            </w:r>
            <w:r w:rsidR="007717F8">
              <w:rPr>
                <w:webHidden/>
              </w:rPr>
              <w:tab/>
            </w:r>
            <w:r w:rsidR="007717F8">
              <w:rPr>
                <w:webHidden/>
              </w:rPr>
              <w:fldChar w:fldCharType="begin"/>
            </w:r>
            <w:r w:rsidR="007717F8">
              <w:rPr>
                <w:webHidden/>
              </w:rPr>
              <w:instrText xml:space="preserve"> PAGEREF _Toc532377535 \h </w:instrText>
            </w:r>
            <w:r w:rsidR="007717F8">
              <w:rPr>
                <w:webHidden/>
              </w:rPr>
            </w:r>
            <w:r w:rsidR="007717F8">
              <w:rPr>
                <w:webHidden/>
              </w:rPr>
              <w:fldChar w:fldCharType="separate"/>
            </w:r>
            <w:r w:rsidR="0098315A">
              <w:rPr>
                <w:webHidden/>
              </w:rPr>
              <w:t>21</w:t>
            </w:r>
            <w:r w:rsidR="007717F8">
              <w:rPr>
                <w:webHidden/>
              </w:rPr>
              <w:fldChar w:fldCharType="end"/>
            </w:r>
          </w:hyperlink>
        </w:p>
        <w:p w:rsidR="007717F8" w:rsidRPr="007717F8" w:rsidRDefault="0049562D" w:rsidP="00BD287E">
          <w:pPr>
            <w:pStyle w:val="TOC1"/>
            <w:rPr>
              <w:sz w:val="22"/>
              <w:szCs w:val="22"/>
            </w:rPr>
          </w:pPr>
          <w:hyperlink w:anchor="_Toc532377536" w:history="1">
            <w:r w:rsidR="007717F8" w:rsidRPr="007717F8">
              <w:rPr>
                <w:rStyle w:val="Hyperlink"/>
              </w:rPr>
              <w:t>References</w:t>
            </w:r>
            <w:r w:rsidR="007717F8" w:rsidRPr="007717F8">
              <w:rPr>
                <w:webHidden/>
              </w:rPr>
              <w:tab/>
            </w:r>
            <w:r w:rsidR="007717F8" w:rsidRPr="007717F8">
              <w:rPr>
                <w:webHidden/>
              </w:rPr>
              <w:fldChar w:fldCharType="begin"/>
            </w:r>
            <w:r w:rsidR="007717F8" w:rsidRPr="007717F8">
              <w:rPr>
                <w:webHidden/>
              </w:rPr>
              <w:instrText xml:space="preserve"> PAGEREF _Toc532377536 \h </w:instrText>
            </w:r>
            <w:r w:rsidR="007717F8" w:rsidRPr="007717F8">
              <w:rPr>
                <w:webHidden/>
              </w:rPr>
            </w:r>
            <w:r w:rsidR="007717F8" w:rsidRPr="007717F8">
              <w:rPr>
                <w:webHidden/>
              </w:rPr>
              <w:fldChar w:fldCharType="separate"/>
            </w:r>
            <w:r w:rsidR="0098315A">
              <w:rPr>
                <w:webHidden/>
              </w:rPr>
              <w:t>21</w:t>
            </w:r>
            <w:r w:rsidR="007717F8" w:rsidRPr="007717F8">
              <w:rPr>
                <w:webHidden/>
              </w:rPr>
              <w:fldChar w:fldCharType="end"/>
            </w:r>
          </w:hyperlink>
        </w:p>
        <w:p w:rsidR="007717F8" w:rsidRPr="00CE59EC" w:rsidRDefault="0049562D" w:rsidP="00CE59EC">
          <w:pPr>
            <w:pStyle w:val="TOC1"/>
            <w:rPr>
              <w:sz w:val="22"/>
              <w:szCs w:val="22"/>
            </w:rPr>
          </w:pPr>
          <w:hyperlink w:anchor="_Toc532377537" w:history="1">
            <w:r w:rsidR="007717F8" w:rsidRPr="00CE59EC">
              <w:rPr>
                <w:rStyle w:val="Hyperlink"/>
              </w:rPr>
              <w:t>List of Attachments</w:t>
            </w:r>
            <w:r w:rsidR="007717F8" w:rsidRPr="00CE59EC">
              <w:rPr>
                <w:webHidden/>
              </w:rPr>
              <w:tab/>
            </w:r>
            <w:r w:rsidR="007717F8" w:rsidRPr="00CE59EC">
              <w:rPr>
                <w:webHidden/>
              </w:rPr>
              <w:fldChar w:fldCharType="begin"/>
            </w:r>
            <w:r w:rsidR="007717F8" w:rsidRPr="00CE59EC">
              <w:rPr>
                <w:webHidden/>
              </w:rPr>
              <w:instrText xml:space="preserve"> PAGEREF _Toc532377537 \h </w:instrText>
            </w:r>
            <w:r w:rsidR="007717F8" w:rsidRPr="00CE59EC">
              <w:rPr>
                <w:webHidden/>
              </w:rPr>
            </w:r>
            <w:r w:rsidR="007717F8" w:rsidRPr="00CE59EC">
              <w:rPr>
                <w:webHidden/>
              </w:rPr>
              <w:fldChar w:fldCharType="separate"/>
            </w:r>
            <w:r w:rsidR="0098315A">
              <w:rPr>
                <w:webHidden/>
              </w:rPr>
              <w:t>22</w:t>
            </w:r>
            <w:r w:rsidR="007717F8" w:rsidRPr="00CE59EC">
              <w:rPr>
                <w:webHidden/>
              </w:rPr>
              <w:fldChar w:fldCharType="end"/>
            </w:r>
          </w:hyperlink>
        </w:p>
        <w:p w:rsidR="009B765E" w:rsidRPr="00D20211" w:rsidRDefault="009B765E">
          <w:r w:rsidRPr="00D20211">
            <w:rPr>
              <w:b/>
              <w:bCs/>
              <w:noProof/>
            </w:rPr>
            <w:fldChar w:fldCharType="end"/>
          </w:r>
        </w:p>
      </w:sdtContent>
    </w:sdt>
    <w:p w:rsidR="00BA2DBE" w:rsidRPr="00D20211" w:rsidRDefault="00BA2DBE">
      <w:pPr>
        <w:spacing w:after="200" w:line="276" w:lineRule="auto"/>
        <w:rPr>
          <w:rFonts w:eastAsiaTheme="majorEastAsia" w:cs="Arial"/>
          <w:b/>
          <w:bCs/>
          <w:sz w:val="26"/>
          <w:szCs w:val="26"/>
        </w:rPr>
      </w:pPr>
    </w:p>
    <w:bookmarkEnd w:id="0"/>
    <w:bookmarkEnd w:id="1"/>
    <w:p w:rsidR="00480FC6" w:rsidRPr="00D20211" w:rsidRDefault="00480FC6">
      <w:r w:rsidRPr="00D20211">
        <w:br w:type="page"/>
      </w:r>
    </w:p>
    <w:p w:rsidR="0024399D" w:rsidRPr="00D20211" w:rsidRDefault="0024399D" w:rsidP="00EE7CF9">
      <w:pPr>
        <w:pBdr>
          <w:bottom w:val="single" w:sz="4" w:space="1" w:color="auto"/>
        </w:pBdr>
        <w:rPr>
          <w:rFonts w:asciiTheme="majorHAnsi" w:hAnsiTheme="majorHAnsi"/>
          <w:sz w:val="36"/>
          <w:szCs w:val="36"/>
        </w:rPr>
      </w:pPr>
      <w:r w:rsidRPr="00D20211">
        <w:rPr>
          <w:rFonts w:asciiTheme="majorHAnsi" w:hAnsiTheme="majorHAnsi"/>
          <w:noProof/>
          <w:sz w:val="36"/>
          <w:szCs w:val="36"/>
        </w:rPr>
        <mc:AlternateContent>
          <mc:Choice Requires="wps">
            <w:drawing>
              <wp:anchor distT="45720" distB="45720" distL="114300" distR="114300" simplePos="0" relativeHeight="251659264" behindDoc="0" locked="0" layoutInCell="1" allowOverlap="1" wp14:anchorId="79AA7A45" wp14:editId="1C21A706">
                <wp:simplePos x="0" y="0"/>
                <wp:positionH relativeFrom="margin">
                  <wp:align>right</wp:align>
                </wp:positionH>
                <wp:positionV relativeFrom="paragraph">
                  <wp:posOffset>495300</wp:posOffset>
                </wp:positionV>
                <wp:extent cx="5930900" cy="4351020"/>
                <wp:effectExtent l="0" t="0" r="1270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351020"/>
                        </a:xfrm>
                        <a:prstGeom prst="rect">
                          <a:avLst/>
                        </a:prstGeom>
                        <a:solidFill>
                          <a:srgbClr val="FFFFFF"/>
                        </a:solidFill>
                        <a:ln w="9525">
                          <a:solidFill>
                            <a:srgbClr val="000000"/>
                          </a:solidFill>
                          <a:miter lim="800000"/>
                          <a:headEnd/>
                          <a:tailEnd/>
                        </a:ln>
                      </wps:spPr>
                      <wps:txbx>
                        <w:txbxContent>
                          <w:p w:rsidR="00B907C1" w:rsidRPr="00D252AB" w:rsidRDefault="00B907C1" w:rsidP="00D252AB">
                            <w:pPr>
                              <w:spacing w:before="240" w:line="240" w:lineRule="auto"/>
                              <w:rPr>
                                <w:b/>
                                <w:sz w:val="24"/>
                                <w:szCs w:val="24"/>
                              </w:rPr>
                            </w:pPr>
                            <w:r w:rsidRPr="001B2712">
                              <w:rPr>
                                <w:b/>
                                <w:sz w:val="24"/>
                                <w:szCs w:val="24"/>
                              </w:rPr>
                              <w:t xml:space="preserve">Goal of the study: </w:t>
                            </w:r>
                            <w:r w:rsidRPr="00D252AB">
                              <w:rPr>
                                <w:sz w:val="24"/>
                                <w:szCs w:val="24"/>
                              </w:rPr>
                              <w:t xml:space="preserve">The goal of </w:t>
                            </w:r>
                            <w:r>
                              <w:rPr>
                                <w:sz w:val="24"/>
                                <w:szCs w:val="24"/>
                              </w:rPr>
                              <w:t>this information collection request is to continue</w:t>
                            </w:r>
                            <w:r w:rsidRPr="00D252AB">
                              <w:rPr>
                                <w:sz w:val="24"/>
                                <w:szCs w:val="24"/>
                              </w:rPr>
                              <w:t xml:space="preserve"> to improve public health practice by providing a standardized, detailed reporting system for food safety programs, to collect foodborne outbreak environmental assessment data, and to establish a sound epidemiological basis for disease prevention activities.</w:t>
                            </w:r>
                          </w:p>
                          <w:p w:rsidR="00B907C1" w:rsidRPr="00D252AB" w:rsidRDefault="00B907C1" w:rsidP="00D252AB">
                            <w:pPr>
                              <w:spacing w:before="240" w:line="240" w:lineRule="auto"/>
                              <w:rPr>
                                <w:sz w:val="24"/>
                                <w:szCs w:val="24"/>
                              </w:rPr>
                            </w:pPr>
                            <w:r w:rsidRPr="001B2712">
                              <w:rPr>
                                <w:b/>
                                <w:sz w:val="24"/>
                                <w:szCs w:val="24"/>
                              </w:rPr>
                              <w:t xml:space="preserve">Intended use of the resulting data: </w:t>
                            </w:r>
                            <w:r w:rsidRPr="00D252AB">
                              <w:rPr>
                                <w:sz w:val="24"/>
                                <w:szCs w:val="24"/>
                              </w:rPr>
                              <w:t>The foodborne outbreak environmental assessment data reported to NEARS will be used to characterize data on food vehicles and monitor trends; identify contributing factors and their environmental antecedents; generate hypotheses, guide planning, and implementation; evaluate food safety programs</w:t>
                            </w:r>
                            <w:r>
                              <w:rPr>
                                <w:sz w:val="24"/>
                                <w:szCs w:val="24"/>
                              </w:rPr>
                              <w:t>;</w:t>
                            </w:r>
                            <w:r w:rsidRPr="00D252AB">
                              <w:rPr>
                                <w:sz w:val="24"/>
                                <w:szCs w:val="24"/>
                              </w:rPr>
                              <w:t xml:space="preserve"> and ultimately assist to prevent future outbreaks.</w:t>
                            </w:r>
                          </w:p>
                          <w:p w:rsidR="00B907C1" w:rsidRPr="001B2712" w:rsidRDefault="00B907C1" w:rsidP="008C46E9">
                            <w:pPr>
                              <w:spacing w:before="240" w:line="240" w:lineRule="auto"/>
                              <w:rPr>
                                <w:sz w:val="24"/>
                                <w:szCs w:val="24"/>
                              </w:rPr>
                            </w:pPr>
                            <w:r w:rsidRPr="001B2712">
                              <w:rPr>
                                <w:b/>
                                <w:sz w:val="24"/>
                                <w:szCs w:val="24"/>
                              </w:rPr>
                              <w:t xml:space="preserve">Methods to be used to collect: </w:t>
                            </w:r>
                            <w:r w:rsidRPr="00D252AB">
                              <w:rPr>
                                <w:sz w:val="24"/>
                                <w:szCs w:val="24"/>
                              </w:rPr>
                              <w:t>Foodborne outbreak environmental assessment data will be collected through retail food service establishment observations by the state and local food safety programs currently registered to report data to NEARS, and through manager interviews or pen-and-paper assessments in retail food service establishments.</w:t>
                            </w:r>
                          </w:p>
                          <w:p w:rsidR="00B907C1" w:rsidRPr="001B2712" w:rsidRDefault="00B907C1" w:rsidP="008C46E9">
                            <w:pPr>
                              <w:spacing w:before="240" w:line="240" w:lineRule="auto"/>
                              <w:rPr>
                                <w:sz w:val="24"/>
                                <w:szCs w:val="24"/>
                              </w:rPr>
                            </w:pPr>
                            <w:r w:rsidRPr="001B2712">
                              <w:rPr>
                                <w:b/>
                                <w:sz w:val="24"/>
                                <w:szCs w:val="24"/>
                              </w:rPr>
                              <w:t xml:space="preserve">Subpopulation to be studied: </w:t>
                            </w:r>
                            <w:r w:rsidRPr="00D252AB">
                              <w:rPr>
                                <w:sz w:val="24"/>
                                <w:szCs w:val="24"/>
                              </w:rPr>
                              <w:t>Foodborne outbreak environmental assessment data collected in retail food service establishments from state and local food safety programs, and from the kitchen managers and food workers in those establishments.</w:t>
                            </w:r>
                          </w:p>
                          <w:p w:rsidR="00B907C1" w:rsidRPr="00D252AB" w:rsidRDefault="00B907C1" w:rsidP="00D252AB">
                            <w:pPr>
                              <w:spacing w:before="240" w:line="240" w:lineRule="auto"/>
                              <w:rPr>
                                <w:b/>
                                <w:sz w:val="24"/>
                                <w:szCs w:val="24"/>
                              </w:rPr>
                            </w:pPr>
                            <w:r w:rsidRPr="001B2712">
                              <w:rPr>
                                <w:b/>
                                <w:sz w:val="24"/>
                                <w:szCs w:val="24"/>
                              </w:rPr>
                              <w:t xml:space="preserve">How data will be analyzed: </w:t>
                            </w:r>
                            <w:r w:rsidRPr="00D252AB">
                              <w:rPr>
                                <w:sz w:val="24"/>
                                <w:szCs w:val="24"/>
                              </w:rPr>
                              <w:t>Descriptive analyses (frequencies, means, etc.), tests for association, and logistic regression models.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8pt;margin-top:39pt;width:467pt;height:342.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">
                <v:textbox>
                  <w:txbxContent>
                    <w:p w:rsidR="00B907C1" w:rsidRPr="00D252AB" w:rsidRDefault="00B907C1" w:rsidP="00D252AB">
                      <w:pPr>
                        <w:spacing w:before="240" w:line="240" w:lineRule="auto"/>
                        <w:rPr>
                          <w:b/>
                          <w:sz w:val="24"/>
                          <w:szCs w:val="24"/>
                        </w:rPr>
                      </w:pPr>
                      <w:r w:rsidRPr="001B2712">
                        <w:rPr>
                          <w:b/>
                          <w:sz w:val="24"/>
                          <w:szCs w:val="24"/>
                        </w:rPr>
                        <w:t xml:space="preserve">Goal of the study: </w:t>
                      </w:r>
                      <w:r w:rsidRPr="00D252AB">
                        <w:rPr>
                          <w:sz w:val="24"/>
                          <w:szCs w:val="24"/>
                        </w:rPr>
                        <w:t xml:space="preserve">The goal of </w:t>
                      </w:r>
                      <w:r>
                        <w:rPr>
                          <w:sz w:val="24"/>
                          <w:szCs w:val="24"/>
                        </w:rPr>
                        <w:t>this information collection request is to continue</w:t>
                      </w:r>
                      <w:r w:rsidRPr="00D252AB">
                        <w:rPr>
                          <w:sz w:val="24"/>
                          <w:szCs w:val="24"/>
                        </w:rPr>
                        <w:t xml:space="preserve"> to improve public health practice by providing a standardized, detailed reporting system for food safety programs, to collect foodborne outbreak environmental assessment data, and to establish a sound epidemiological basis for disease prevention activities.</w:t>
                      </w:r>
                    </w:p>
                    <w:p w:rsidR="00B907C1" w:rsidRPr="00D252AB" w:rsidRDefault="00B907C1" w:rsidP="00D252AB">
                      <w:pPr>
                        <w:spacing w:before="240" w:line="240" w:lineRule="auto"/>
                        <w:rPr>
                          <w:sz w:val="24"/>
                          <w:szCs w:val="24"/>
                        </w:rPr>
                      </w:pPr>
                      <w:r w:rsidRPr="001B2712">
                        <w:rPr>
                          <w:b/>
                          <w:sz w:val="24"/>
                          <w:szCs w:val="24"/>
                        </w:rPr>
                        <w:t xml:space="preserve">Intended use of the resulting data: </w:t>
                      </w:r>
                      <w:r w:rsidRPr="00D252AB">
                        <w:rPr>
                          <w:sz w:val="24"/>
                          <w:szCs w:val="24"/>
                        </w:rPr>
                        <w:t>The foodborne outbreak environmental assessment data reported to NEARS will be used to characterize data on food vehicles and monitor trends; identify contributing factors and their environmental antecedents; generate hypotheses, guide planning, and implementation; evaluate food safety programs</w:t>
                      </w:r>
                      <w:r>
                        <w:rPr>
                          <w:sz w:val="24"/>
                          <w:szCs w:val="24"/>
                        </w:rPr>
                        <w:t>;</w:t>
                      </w:r>
                      <w:r w:rsidRPr="00D252AB">
                        <w:rPr>
                          <w:sz w:val="24"/>
                          <w:szCs w:val="24"/>
                        </w:rPr>
                        <w:t xml:space="preserve"> and ultimately assist to prevent future outbreaks.</w:t>
                      </w:r>
                    </w:p>
                    <w:p w:rsidR="00B907C1" w:rsidRPr="001B2712" w:rsidRDefault="00B907C1" w:rsidP="008C46E9">
                      <w:pPr>
                        <w:spacing w:before="240" w:line="240" w:lineRule="auto"/>
                        <w:rPr>
                          <w:sz w:val="24"/>
                          <w:szCs w:val="24"/>
                        </w:rPr>
                      </w:pPr>
                      <w:r w:rsidRPr="001B2712">
                        <w:rPr>
                          <w:b/>
                          <w:sz w:val="24"/>
                          <w:szCs w:val="24"/>
                        </w:rPr>
                        <w:t xml:space="preserve">Methods to be used to collect: </w:t>
                      </w:r>
                      <w:r w:rsidRPr="00D252AB">
                        <w:rPr>
                          <w:sz w:val="24"/>
                          <w:szCs w:val="24"/>
                        </w:rPr>
                        <w:t>Foodborne outbreak environmental assessment data will be collected through retail food service establishment observations by the state and local food safety programs currently registered to report data to NEARS, and through manager interviews or pen-and-paper assessments in retail food service establishments.</w:t>
                      </w:r>
                    </w:p>
                    <w:p w:rsidR="00B907C1" w:rsidRPr="001B2712" w:rsidRDefault="00B907C1" w:rsidP="008C46E9">
                      <w:pPr>
                        <w:spacing w:before="240" w:line="240" w:lineRule="auto"/>
                        <w:rPr>
                          <w:sz w:val="24"/>
                          <w:szCs w:val="24"/>
                        </w:rPr>
                      </w:pPr>
                      <w:r w:rsidRPr="001B2712">
                        <w:rPr>
                          <w:b/>
                          <w:sz w:val="24"/>
                          <w:szCs w:val="24"/>
                        </w:rPr>
                        <w:t xml:space="preserve">Subpopulation to be studied: </w:t>
                      </w:r>
                      <w:r w:rsidRPr="00D252AB">
                        <w:rPr>
                          <w:sz w:val="24"/>
                          <w:szCs w:val="24"/>
                        </w:rPr>
                        <w:t>Foodborne outbreak environmental assessment data collected in retail food service establishments from state and local food safety programs, and from the kitchen managers and food workers in those establishments.</w:t>
                      </w:r>
                    </w:p>
                    <w:p w:rsidR="00B907C1" w:rsidRPr="00D252AB" w:rsidRDefault="00B907C1" w:rsidP="00D252AB">
                      <w:pPr>
                        <w:spacing w:before="240" w:line="240" w:lineRule="auto"/>
                        <w:rPr>
                          <w:b/>
                          <w:sz w:val="24"/>
                          <w:szCs w:val="24"/>
                        </w:rPr>
                      </w:pPr>
                      <w:r w:rsidRPr="001B2712">
                        <w:rPr>
                          <w:b/>
                          <w:sz w:val="24"/>
                          <w:szCs w:val="24"/>
                        </w:rPr>
                        <w:t xml:space="preserve">How data will be analyzed: </w:t>
                      </w:r>
                      <w:r w:rsidRPr="00D252AB">
                        <w:rPr>
                          <w:sz w:val="24"/>
                          <w:szCs w:val="24"/>
                        </w:rPr>
                        <w:t>Descriptive analyses (frequencies, means, etc.), tests for association, and logistic regression models.</w:t>
                      </w:r>
                    </w:p>
                  </w:txbxContent>
                </v:textbox>
                <w10:wrap type="square" anchorx="margin"/>
              </v:shape>
            </w:pict>
          </mc:Fallback>
        </mc:AlternateContent>
      </w:r>
      <w:r w:rsidRPr="00D20211">
        <w:rPr>
          <w:rFonts w:asciiTheme="majorHAnsi" w:hAnsiTheme="majorHAnsi"/>
          <w:sz w:val="36"/>
          <w:szCs w:val="36"/>
        </w:rPr>
        <w:t>Part A. Justification</w:t>
      </w:r>
    </w:p>
    <w:p w:rsidR="00B45002" w:rsidRPr="00D20211" w:rsidRDefault="00FC5B5A" w:rsidP="00C03179">
      <w:pPr>
        <w:pStyle w:val="Heading1"/>
        <w:pBdr>
          <w:bottom w:val="none" w:sz="0" w:space="0" w:color="auto"/>
        </w:pBdr>
        <w:rPr>
          <w:color w:val="auto"/>
        </w:rPr>
      </w:pPr>
      <w:bookmarkStart w:id="3" w:name="_Toc532377518"/>
      <w:r w:rsidRPr="00D20211">
        <w:rPr>
          <w:color w:val="auto"/>
        </w:rPr>
        <w:t>A</w:t>
      </w:r>
      <w:r w:rsidR="0024399D" w:rsidRPr="00D20211">
        <w:rPr>
          <w:color w:val="auto"/>
        </w:rPr>
        <w:t>.</w:t>
      </w:r>
      <w:r w:rsidR="004D21C9" w:rsidRPr="00D20211">
        <w:rPr>
          <w:color w:val="auto"/>
        </w:rPr>
        <w:t xml:space="preserve">1.  </w:t>
      </w:r>
      <w:r w:rsidR="00B45002" w:rsidRPr="00D20211">
        <w:rPr>
          <w:color w:val="auto"/>
        </w:rPr>
        <w:t>Circumstances Making the Collection of Information Necessary</w:t>
      </w:r>
      <w:bookmarkEnd w:id="3"/>
    </w:p>
    <w:p w:rsidR="00AC6416" w:rsidRDefault="00AC6416" w:rsidP="00BD287E">
      <w:pPr>
        <w:spacing w:before="100" w:beforeAutospacing="1" w:after="100" w:afterAutospacing="1" w:line="240" w:lineRule="auto"/>
        <w:rPr>
          <w:sz w:val="24"/>
          <w:szCs w:val="24"/>
        </w:rPr>
      </w:pPr>
      <w:r>
        <w:rPr>
          <w:sz w:val="24"/>
          <w:szCs w:val="24"/>
        </w:rPr>
        <w:t>The Centers for Disease Control and Prevention (CDC) requests a three-year Paperwork Reduction Act (PRA) clearance for the National Environmental Assessment Reporting System (NEARS), OMB Control No. 0920-</w:t>
      </w:r>
      <w:r w:rsidR="00935BE6">
        <w:rPr>
          <w:sz w:val="24"/>
          <w:szCs w:val="24"/>
        </w:rPr>
        <w:t>0980</w:t>
      </w:r>
      <w:r>
        <w:rPr>
          <w:sz w:val="24"/>
          <w:szCs w:val="24"/>
        </w:rPr>
        <w:t>, Expiration Date: 08/31/2019.  This is a revision of a previously approved information collection request (ICR).  Requested revision</w:t>
      </w:r>
      <w:r w:rsidR="00935BE6">
        <w:rPr>
          <w:sz w:val="24"/>
          <w:szCs w:val="24"/>
        </w:rPr>
        <w:t>s</w:t>
      </w:r>
      <w:r>
        <w:rPr>
          <w:sz w:val="24"/>
          <w:szCs w:val="24"/>
        </w:rPr>
        <w:t xml:space="preserve"> include the following:</w:t>
      </w:r>
    </w:p>
    <w:p w:rsidR="00987A2D" w:rsidRPr="00BD287E" w:rsidRDefault="00AC6416" w:rsidP="00BD287E">
      <w:pPr>
        <w:pStyle w:val="ListParagraph"/>
        <w:numPr>
          <w:ilvl w:val="0"/>
          <w:numId w:val="51"/>
        </w:numPr>
        <w:spacing w:before="100" w:beforeAutospacing="1" w:after="100" w:afterAutospacing="1" w:line="240" w:lineRule="auto"/>
        <w:rPr>
          <w:sz w:val="24"/>
          <w:szCs w:val="24"/>
        </w:rPr>
      </w:pPr>
      <w:r w:rsidRPr="00BD287E">
        <w:rPr>
          <w:sz w:val="24"/>
          <w:szCs w:val="24"/>
        </w:rPr>
        <w:t>Reducing the total burden from 2,125 hours to 1,350 hours</w:t>
      </w:r>
      <w:r w:rsidR="000F0E49">
        <w:rPr>
          <w:sz w:val="24"/>
          <w:szCs w:val="24"/>
        </w:rPr>
        <w:t xml:space="preserve">, </w:t>
      </w:r>
      <w:r w:rsidRPr="00BD287E">
        <w:rPr>
          <w:sz w:val="24"/>
          <w:szCs w:val="24"/>
        </w:rPr>
        <w:t xml:space="preserve">due to a reduction in </w:t>
      </w:r>
      <w:r w:rsidR="00987A2D">
        <w:rPr>
          <w:sz w:val="24"/>
          <w:szCs w:val="24"/>
        </w:rPr>
        <w:t>the estimated number of respondents</w:t>
      </w:r>
      <w:r w:rsidR="00BE2399">
        <w:rPr>
          <w:sz w:val="24"/>
          <w:szCs w:val="24"/>
        </w:rPr>
        <w:t xml:space="preserve"> that need to take the training</w:t>
      </w:r>
      <w:r w:rsidR="00987A2D">
        <w:rPr>
          <w:sz w:val="24"/>
          <w:szCs w:val="24"/>
        </w:rPr>
        <w:t>.</w:t>
      </w:r>
    </w:p>
    <w:p w:rsidR="00AC6416" w:rsidRDefault="00AC6416" w:rsidP="00BD287E">
      <w:pPr>
        <w:pStyle w:val="ListParagraph"/>
        <w:numPr>
          <w:ilvl w:val="0"/>
          <w:numId w:val="51"/>
        </w:numPr>
        <w:spacing w:before="100" w:beforeAutospacing="1" w:after="100" w:afterAutospacing="1" w:line="240" w:lineRule="auto"/>
        <w:rPr>
          <w:sz w:val="24"/>
          <w:szCs w:val="24"/>
        </w:rPr>
      </w:pPr>
      <w:r w:rsidRPr="00BD287E">
        <w:rPr>
          <w:sz w:val="24"/>
          <w:szCs w:val="24"/>
        </w:rPr>
        <w:t>C</w:t>
      </w:r>
      <w:r w:rsidR="00575D8B">
        <w:rPr>
          <w:sz w:val="24"/>
          <w:szCs w:val="24"/>
        </w:rPr>
        <w:t>hanges to data collection forms</w:t>
      </w:r>
      <w:r w:rsidRPr="00BD287E">
        <w:rPr>
          <w:sz w:val="24"/>
          <w:szCs w:val="24"/>
        </w:rPr>
        <w:t xml:space="preserve">. </w:t>
      </w:r>
      <w:r w:rsidR="00061EA6">
        <w:rPr>
          <w:sz w:val="24"/>
          <w:szCs w:val="24"/>
        </w:rPr>
        <w:t>These changes were based on feedback from NEARS users and analysis of data, and include the following</w:t>
      </w:r>
      <w:r w:rsidR="00DB6F6A">
        <w:rPr>
          <w:sz w:val="24"/>
          <w:szCs w:val="24"/>
        </w:rPr>
        <w:t>:</w:t>
      </w:r>
    </w:p>
    <w:p w:rsidR="00454BB2" w:rsidRDefault="00454BB2" w:rsidP="00061EA6">
      <w:pPr>
        <w:pStyle w:val="ListParagraph"/>
        <w:numPr>
          <w:ilvl w:val="1"/>
          <w:numId w:val="51"/>
        </w:numPr>
        <w:spacing w:before="100" w:beforeAutospacing="1" w:after="100" w:afterAutospacing="1" w:line="240" w:lineRule="auto"/>
        <w:rPr>
          <w:sz w:val="24"/>
          <w:szCs w:val="24"/>
        </w:rPr>
      </w:pPr>
      <w:r>
        <w:rPr>
          <w:sz w:val="24"/>
          <w:szCs w:val="24"/>
        </w:rPr>
        <w:t>22</w:t>
      </w:r>
      <w:r w:rsidR="00061EA6">
        <w:rPr>
          <w:sz w:val="24"/>
          <w:szCs w:val="24"/>
        </w:rPr>
        <w:t xml:space="preserve"> questions were removed</w:t>
      </w:r>
      <w:r w:rsidR="00DB6F6A">
        <w:rPr>
          <w:sz w:val="24"/>
          <w:szCs w:val="24"/>
        </w:rPr>
        <w:t>.</w:t>
      </w:r>
    </w:p>
    <w:p w:rsidR="00061EA6" w:rsidRDefault="00454BB2" w:rsidP="00061EA6">
      <w:pPr>
        <w:pStyle w:val="ListParagraph"/>
        <w:numPr>
          <w:ilvl w:val="1"/>
          <w:numId w:val="51"/>
        </w:numPr>
        <w:spacing w:before="100" w:beforeAutospacing="1" w:after="100" w:afterAutospacing="1" w:line="240" w:lineRule="auto"/>
        <w:rPr>
          <w:sz w:val="24"/>
          <w:szCs w:val="24"/>
        </w:rPr>
      </w:pPr>
      <w:r>
        <w:rPr>
          <w:sz w:val="24"/>
          <w:szCs w:val="24"/>
        </w:rPr>
        <w:t>21</w:t>
      </w:r>
      <w:r w:rsidR="00061EA6">
        <w:rPr>
          <w:sz w:val="24"/>
          <w:szCs w:val="24"/>
        </w:rPr>
        <w:t xml:space="preserve"> questions were added.</w:t>
      </w:r>
    </w:p>
    <w:p w:rsidR="00061EA6" w:rsidRDefault="00454BB2" w:rsidP="00061EA6">
      <w:pPr>
        <w:pStyle w:val="ListParagraph"/>
        <w:numPr>
          <w:ilvl w:val="1"/>
          <w:numId w:val="51"/>
        </w:numPr>
        <w:spacing w:before="100" w:beforeAutospacing="1" w:after="100" w:afterAutospacing="1" w:line="240" w:lineRule="auto"/>
        <w:rPr>
          <w:sz w:val="24"/>
          <w:szCs w:val="24"/>
        </w:rPr>
      </w:pPr>
      <w:r>
        <w:rPr>
          <w:sz w:val="24"/>
          <w:szCs w:val="24"/>
        </w:rPr>
        <w:t>10</w:t>
      </w:r>
      <w:r w:rsidR="00061EA6">
        <w:rPr>
          <w:sz w:val="24"/>
          <w:szCs w:val="24"/>
        </w:rPr>
        <w:t xml:space="preserve"> questions were revised.</w:t>
      </w:r>
    </w:p>
    <w:p w:rsidR="00061EA6" w:rsidRDefault="00454BB2" w:rsidP="00061EA6">
      <w:pPr>
        <w:pStyle w:val="ListParagraph"/>
        <w:numPr>
          <w:ilvl w:val="1"/>
          <w:numId w:val="51"/>
        </w:numPr>
        <w:spacing w:before="100" w:beforeAutospacing="1" w:after="100" w:afterAutospacing="1" w:line="240" w:lineRule="auto"/>
        <w:rPr>
          <w:sz w:val="24"/>
          <w:szCs w:val="24"/>
        </w:rPr>
      </w:pPr>
      <w:r>
        <w:rPr>
          <w:sz w:val="24"/>
          <w:szCs w:val="24"/>
        </w:rPr>
        <w:t>10</w:t>
      </w:r>
      <w:r w:rsidR="00061EA6">
        <w:rPr>
          <w:sz w:val="24"/>
          <w:szCs w:val="24"/>
        </w:rPr>
        <w:t xml:space="preserve"> questions were moved to a different section of the data collection instrument to streamline and improve the data collection process.</w:t>
      </w:r>
    </w:p>
    <w:p w:rsidR="00454BB2" w:rsidRDefault="00454BB2" w:rsidP="00061EA6">
      <w:pPr>
        <w:pStyle w:val="ListParagraph"/>
        <w:numPr>
          <w:ilvl w:val="1"/>
          <w:numId w:val="51"/>
        </w:numPr>
        <w:spacing w:before="100" w:beforeAutospacing="1" w:after="100" w:afterAutospacing="1" w:line="240" w:lineRule="auto"/>
        <w:rPr>
          <w:sz w:val="24"/>
          <w:szCs w:val="24"/>
        </w:rPr>
      </w:pPr>
      <w:r>
        <w:rPr>
          <w:sz w:val="24"/>
          <w:szCs w:val="24"/>
        </w:rPr>
        <w:t>7 questions that were asked for every environmental sample taken are now only asked for positive samples.</w:t>
      </w:r>
    </w:p>
    <w:p w:rsidR="00D252AB" w:rsidRPr="00D252AB" w:rsidRDefault="00D252AB" w:rsidP="000C5B31">
      <w:pPr>
        <w:spacing w:before="100" w:beforeAutospacing="1" w:after="100" w:afterAutospacing="1" w:line="240" w:lineRule="auto"/>
        <w:rPr>
          <w:sz w:val="24"/>
          <w:szCs w:val="24"/>
        </w:rPr>
      </w:pPr>
      <w:r w:rsidRPr="00D252AB">
        <w:rPr>
          <w:sz w:val="24"/>
          <w:szCs w:val="24"/>
        </w:rPr>
        <w:t>Foodborne illness is a significant problem in the U</w:t>
      </w:r>
      <w:r w:rsidR="007717F8">
        <w:rPr>
          <w:sz w:val="24"/>
          <w:szCs w:val="24"/>
        </w:rPr>
        <w:t>nited States (U</w:t>
      </w:r>
      <w:r w:rsidR="00A6142E">
        <w:rPr>
          <w:sz w:val="24"/>
          <w:szCs w:val="24"/>
        </w:rPr>
        <w:t>.</w:t>
      </w:r>
      <w:r w:rsidRPr="00D252AB">
        <w:rPr>
          <w:sz w:val="24"/>
          <w:szCs w:val="24"/>
        </w:rPr>
        <w:t>S</w:t>
      </w:r>
      <w:r w:rsidR="00A6142E">
        <w:rPr>
          <w:sz w:val="24"/>
          <w:szCs w:val="24"/>
        </w:rPr>
        <w:t>.</w:t>
      </w:r>
      <w:r w:rsidR="007717F8">
        <w:rPr>
          <w:sz w:val="24"/>
          <w:szCs w:val="24"/>
        </w:rPr>
        <w:t>)</w:t>
      </w:r>
      <w:r w:rsidRPr="00D252AB">
        <w:rPr>
          <w:sz w:val="24"/>
          <w:szCs w:val="24"/>
        </w:rPr>
        <w:t xml:space="preserve">—an estimated 47.8 million foodborne illnesses occur annually in the </w:t>
      </w:r>
      <w:r w:rsidR="007717F8">
        <w:rPr>
          <w:sz w:val="24"/>
          <w:szCs w:val="24"/>
        </w:rPr>
        <w:t>U</w:t>
      </w:r>
      <w:r w:rsidR="00935BE6">
        <w:rPr>
          <w:sz w:val="24"/>
          <w:szCs w:val="24"/>
        </w:rPr>
        <w:t>.</w:t>
      </w:r>
      <w:r w:rsidR="007717F8">
        <w:rPr>
          <w:sz w:val="24"/>
          <w:szCs w:val="24"/>
        </w:rPr>
        <w:t>S</w:t>
      </w:r>
      <w:r w:rsidR="00935BE6">
        <w:rPr>
          <w:sz w:val="24"/>
          <w:szCs w:val="24"/>
        </w:rPr>
        <w:t>.</w:t>
      </w:r>
      <w:r w:rsidRPr="00D252AB">
        <w:rPr>
          <w:sz w:val="24"/>
          <w:szCs w:val="24"/>
        </w:rPr>
        <w:t xml:space="preserve">, resulting in 127,839 hospitalizations, and 3,037 deaths annually (Scallan, Hoekstra et al., 2011; </w:t>
      </w:r>
      <w:r w:rsidRPr="000C5B31">
        <w:rPr>
          <w:rFonts w:cstheme="minorHAnsi"/>
          <w:sz w:val="24"/>
          <w:szCs w:val="24"/>
        </w:rPr>
        <w:t xml:space="preserve">Scallan, Griffin et al., 2011). Many of these illnesses result from foodborne illness outbreaks—an average of </w:t>
      </w:r>
      <w:r w:rsidR="000C5B31" w:rsidRPr="000C5B31">
        <w:rPr>
          <w:rFonts w:cstheme="minorHAnsi"/>
          <w:sz w:val="24"/>
          <w:szCs w:val="24"/>
        </w:rPr>
        <w:t>823</w:t>
      </w:r>
      <w:r w:rsidRPr="000C5B31">
        <w:rPr>
          <w:rFonts w:cstheme="minorHAnsi"/>
          <w:sz w:val="24"/>
          <w:szCs w:val="24"/>
        </w:rPr>
        <w:t xml:space="preserve"> foodborne illness outbreaks occur in the </w:t>
      </w:r>
      <w:r w:rsidR="007717F8" w:rsidRPr="000C5B31">
        <w:rPr>
          <w:rFonts w:cstheme="minorHAnsi"/>
          <w:sz w:val="24"/>
          <w:szCs w:val="24"/>
        </w:rPr>
        <w:t>U</w:t>
      </w:r>
      <w:r w:rsidR="00A6142E" w:rsidRPr="000C5B31">
        <w:rPr>
          <w:rFonts w:cstheme="minorHAnsi"/>
          <w:sz w:val="24"/>
          <w:szCs w:val="24"/>
        </w:rPr>
        <w:t>.</w:t>
      </w:r>
      <w:r w:rsidR="007717F8" w:rsidRPr="000C5B31">
        <w:rPr>
          <w:rFonts w:cstheme="minorHAnsi"/>
          <w:sz w:val="24"/>
          <w:szCs w:val="24"/>
        </w:rPr>
        <w:t>S</w:t>
      </w:r>
      <w:r w:rsidR="00A6142E" w:rsidRPr="000C5B31">
        <w:rPr>
          <w:rFonts w:cstheme="minorHAnsi"/>
          <w:sz w:val="24"/>
          <w:szCs w:val="24"/>
        </w:rPr>
        <w:t>.</w:t>
      </w:r>
      <w:r w:rsidRPr="000C5B31">
        <w:rPr>
          <w:rFonts w:cstheme="minorHAnsi"/>
          <w:sz w:val="24"/>
          <w:szCs w:val="24"/>
        </w:rPr>
        <w:t xml:space="preserve"> every year (</w:t>
      </w:r>
      <w:r w:rsidR="000C5B31" w:rsidRPr="000C5B31">
        <w:rPr>
          <w:rFonts w:cstheme="minorHAnsi"/>
          <w:color w:val="333333"/>
          <w:sz w:val="24"/>
          <w:szCs w:val="24"/>
        </w:rPr>
        <w:t>Dewey-Mattia, Manikonda, Hall, Wise, Crowe (2018)</w:t>
      </w:r>
      <w:r w:rsidRPr="000C5B31">
        <w:rPr>
          <w:rFonts w:cstheme="minorHAnsi"/>
          <w:sz w:val="24"/>
          <w:szCs w:val="24"/>
        </w:rPr>
        <w:t>).</w:t>
      </w:r>
      <w:r w:rsidRPr="00D252AB">
        <w:rPr>
          <w:sz w:val="24"/>
          <w:szCs w:val="24"/>
        </w:rPr>
        <w:t xml:space="preserve"> </w:t>
      </w:r>
    </w:p>
    <w:p w:rsidR="00D252AB" w:rsidRDefault="00D252AB" w:rsidP="000C5B31">
      <w:pPr>
        <w:spacing w:before="100" w:beforeAutospacing="1" w:after="100" w:afterAutospacing="1" w:line="240" w:lineRule="auto"/>
        <w:rPr>
          <w:sz w:val="24"/>
          <w:szCs w:val="24"/>
        </w:rPr>
      </w:pPr>
      <w:r w:rsidRPr="00D252AB">
        <w:rPr>
          <w:sz w:val="24"/>
          <w:szCs w:val="24"/>
        </w:rPr>
        <w:t xml:space="preserve">Reducing the number of outbreaks requires identification and understanding of the etiology of outbreaks. We need to know the pathogen, food, and the pattern of illness associated with each outbreak. We also need to identify the environmental factors associated with each outbreak; in other words, we need to know how and why the food became contaminated with pathogens and how and why these pathogens were not eliminated before ingestion. </w:t>
      </w:r>
    </w:p>
    <w:p w:rsidR="00B87880" w:rsidRDefault="00B87880" w:rsidP="00B87880">
      <w:pPr>
        <w:spacing w:before="100" w:beforeAutospacing="1" w:after="100" w:afterAutospacing="1" w:line="240" w:lineRule="auto"/>
        <w:rPr>
          <w:sz w:val="24"/>
          <w:szCs w:val="24"/>
        </w:rPr>
      </w:pPr>
      <w:r w:rsidRPr="00E87525">
        <w:rPr>
          <w:b/>
          <w:sz w:val="24"/>
          <w:szCs w:val="24"/>
        </w:rPr>
        <w:t>Foodborne Illness Outbreak Environmental Factors.</w:t>
      </w:r>
      <w:r>
        <w:rPr>
          <w:b/>
          <w:sz w:val="24"/>
          <w:szCs w:val="24"/>
        </w:rPr>
        <w:t xml:space="preserve"> </w:t>
      </w:r>
      <w:r w:rsidRPr="00D252AB">
        <w:rPr>
          <w:sz w:val="24"/>
          <w:szCs w:val="24"/>
        </w:rPr>
        <w:t xml:space="preserve"> </w:t>
      </w:r>
      <w:r>
        <w:rPr>
          <w:sz w:val="24"/>
          <w:szCs w:val="24"/>
        </w:rPr>
        <w:t>E</w:t>
      </w:r>
      <w:r w:rsidRPr="00D252AB">
        <w:rPr>
          <w:sz w:val="24"/>
          <w:szCs w:val="24"/>
        </w:rPr>
        <w:t xml:space="preserve">nvironmental health specialists </w:t>
      </w:r>
      <w:r>
        <w:rPr>
          <w:sz w:val="24"/>
          <w:szCs w:val="24"/>
        </w:rPr>
        <w:t xml:space="preserve">in </w:t>
      </w:r>
      <w:r w:rsidRPr="00D252AB">
        <w:rPr>
          <w:sz w:val="24"/>
          <w:szCs w:val="24"/>
        </w:rPr>
        <w:t xml:space="preserve">environmental health or food safety programs (hereafter referred to as food safety programs) focus on collecting detailed environmental factor data during foodborne illness outbreak investigations. These data identify how and why the food became contaminated with pathogens, and how and why these pathogens were not eliminated before ingestion. To identify these environmental factors, environmental health specialists conduct environmental assessments, which involve a thorough assessment of the environment in which the outbreak occurred. </w:t>
      </w:r>
      <w:r w:rsidRPr="003861EC">
        <w:rPr>
          <w:sz w:val="24"/>
          <w:szCs w:val="24"/>
        </w:rPr>
        <w:t xml:space="preserve"> </w:t>
      </w:r>
      <w:r w:rsidRPr="00D252AB">
        <w:rPr>
          <w:sz w:val="24"/>
          <w:szCs w:val="24"/>
        </w:rPr>
        <w:t xml:space="preserve">When this information is reported </w:t>
      </w:r>
      <w:r>
        <w:rPr>
          <w:sz w:val="24"/>
          <w:szCs w:val="24"/>
        </w:rPr>
        <w:t xml:space="preserve">to </w:t>
      </w:r>
      <w:r w:rsidRPr="00D252AB">
        <w:rPr>
          <w:sz w:val="24"/>
          <w:szCs w:val="24"/>
        </w:rPr>
        <w:t>CDC</w:t>
      </w:r>
      <w:r>
        <w:rPr>
          <w:sz w:val="24"/>
          <w:szCs w:val="24"/>
        </w:rPr>
        <w:t>,</w:t>
      </w:r>
      <w:r w:rsidRPr="00D252AB">
        <w:rPr>
          <w:sz w:val="24"/>
          <w:szCs w:val="24"/>
        </w:rPr>
        <w:t xml:space="preserve"> it provides an opportunity </w:t>
      </w:r>
      <w:r>
        <w:rPr>
          <w:sz w:val="24"/>
          <w:szCs w:val="24"/>
        </w:rPr>
        <w:t xml:space="preserve">for CDC </w:t>
      </w:r>
      <w:r w:rsidRPr="00D252AB">
        <w:rPr>
          <w:sz w:val="24"/>
          <w:szCs w:val="24"/>
        </w:rPr>
        <w:t>to systematically monitor and evaluate environmental factors of foodborne illness</w:t>
      </w:r>
      <w:r>
        <w:rPr>
          <w:sz w:val="24"/>
          <w:szCs w:val="24"/>
        </w:rPr>
        <w:t>,</w:t>
      </w:r>
      <w:r w:rsidRPr="00D252AB">
        <w:rPr>
          <w:sz w:val="24"/>
          <w:szCs w:val="24"/>
        </w:rPr>
        <w:t xml:space="preserve"> which can </w:t>
      </w:r>
      <w:r>
        <w:rPr>
          <w:sz w:val="24"/>
          <w:szCs w:val="24"/>
        </w:rPr>
        <w:t xml:space="preserve">then </w:t>
      </w:r>
      <w:r w:rsidRPr="00D252AB">
        <w:rPr>
          <w:sz w:val="24"/>
          <w:szCs w:val="24"/>
        </w:rPr>
        <w:t>be used to develop effective foodborne illness outbreak response and preventative controls.</w:t>
      </w:r>
    </w:p>
    <w:p w:rsidR="00B87880" w:rsidRPr="00061EA6" w:rsidRDefault="003861EC" w:rsidP="00E87525">
      <w:pPr>
        <w:spacing w:before="100" w:beforeAutospacing="1" w:after="100" w:afterAutospacing="1" w:line="240" w:lineRule="auto"/>
        <w:rPr>
          <w:sz w:val="24"/>
          <w:szCs w:val="24"/>
        </w:rPr>
      </w:pPr>
      <w:r w:rsidRPr="00E87525">
        <w:rPr>
          <w:b/>
          <w:sz w:val="24"/>
          <w:szCs w:val="24"/>
        </w:rPr>
        <w:t>Foodborne Illness Outbreak Surveillance.</w:t>
      </w:r>
      <w:r w:rsidRPr="00D252AB">
        <w:rPr>
          <w:sz w:val="24"/>
          <w:szCs w:val="24"/>
        </w:rPr>
        <w:t xml:space="preserve"> </w:t>
      </w:r>
      <w:r>
        <w:rPr>
          <w:sz w:val="24"/>
          <w:szCs w:val="24"/>
        </w:rPr>
        <w:t xml:space="preserve"> </w:t>
      </w:r>
      <w:r w:rsidR="00D252AB" w:rsidRPr="00D252AB">
        <w:rPr>
          <w:sz w:val="24"/>
          <w:szCs w:val="24"/>
        </w:rPr>
        <w:t xml:space="preserve">Many surveillance systems are used in the </w:t>
      </w:r>
      <w:r w:rsidR="00A4585F">
        <w:rPr>
          <w:sz w:val="24"/>
          <w:szCs w:val="24"/>
        </w:rPr>
        <w:t>U</w:t>
      </w:r>
      <w:r w:rsidR="00A6142E">
        <w:rPr>
          <w:sz w:val="24"/>
          <w:szCs w:val="24"/>
        </w:rPr>
        <w:t>.</w:t>
      </w:r>
      <w:r w:rsidR="00A4585F">
        <w:rPr>
          <w:sz w:val="24"/>
          <w:szCs w:val="24"/>
        </w:rPr>
        <w:t>S</w:t>
      </w:r>
      <w:r w:rsidR="00A6142E">
        <w:rPr>
          <w:sz w:val="24"/>
          <w:szCs w:val="24"/>
        </w:rPr>
        <w:t>.</w:t>
      </w:r>
      <w:r w:rsidR="00D252AB" w:rsidRPr="00D252AB">
        <w:rPr>
          <w:sz w:val="24"/>
          <w:szCs w:val="24"/>
        </w:rPr>
        <w:t xml:space="preserve"> to provide information about the occurrence of foodborne disease. Most of CDC’s surveillance systems rely on data from state and local food safety programs. Some focus on specific pathogens likely to be transmitted through food and have been used extensively for decades. For example, Foodborne Diseases Active Surveillance Network, referred to as FoodNet, is the principal foodborne disease component of CDC's Emerging Infections Program</w:t>
      </w:r>
      <w:r w:rsidR="00360ABE">
        <w:rPr>
          <w:sz w:val="24"/>
          <w:szCs w:val="24"/>
        </w:rPr>
        <w:t xml:space="preserve"> (EIP)</w:t>
      </w:r>
      <w:r w:rsidR="00D252AB" w:rsidRPr="00D252AB">
        <w:rPr>
          <w:sz w:val="24"/>
          <w:szCs w:val="24"/>
        </w:rPr>
        <w:t xml:space="preserve">. It is a sentinel surveillance system that collects information from </w:t>
      </w:r>
      <w:r w:rsidR="00A4585F">
        <w:rPr>
          <w:sz w:val="24"/>
          <w:szCs w:val="24"/>
        </w:rPr>
        <w:t>one site</w:t>
      </w:r>
      <w:r w:rsidR="00A4585F" w:rsidRPr="00D252AB">
        <w:rPr>
          <w:sz w:val="24"/>
          <w:szCs w:val="24"/>
        </w:rPr>
        <w:t xml:space="preserve"> </w:t>
      </w:r>
      <w:r w:rsidR="00D252AB" w:rsidRPr="00D252AB">
        <w:rPr>
          <w:sz w:val="24"/>
          <w:szCs w:val="24"/>
        </w:rPr>
        <w:t xml:space="preserve">in </w:t>
      </w:r>
      <w:r w:rsidR="00A4585F">
        <w:rPr>
          <w:sz w:val="24"/>
          <w:szCs w:val="24"/>
        </w:rPr>
        <w:t xml:space="preserve">each of </w:t>
      </w:r>
      <w:r w:rsidR="00D252AB" w:rsidRPr="00D252AB">
        <w:rPr>
          <w:sz w:val="24"/>
          <w:szCs w:val="24"/>
        </w:rPr>
        <w:t>10 states—covering 15% of the U</w:t>
      </w:r>
      <w:r w:rsidR="00360ABE">
        <w:rPr>
          <w:sz w:val="24"/>
          <w:szCs w:val="24"/>
        </w:rPr>
        <w:t>.</w:t>
      </w:r>
      <w:r w:rsidR="00D252AB" w:rsidRPr="00D252AB">
        <w:rPr>
          <w:sz w:val="24"/>
          <w:szCs w:val="24"/>
        </w:rPr>
        <w:t>S</w:t>
      </w:r>
      <w:r w:rsidR="00360ABE">
        <w:rPr>
          <w:sz w:val="24"/>
          <w:szCs w:val="24"/>
        </w:rPr>
        <w:t>.</w:t>
      </w:r>
      <w:r w:rsidR="00D252AB" w:rsidRPr="00D252AB">
        <w:rPr>
          <w:sz w:val="24"/>
          <w:szCs w:val="24"/>
        </w:rPr>
        <w:t xml:space="preserve"> population, or 4</w:t>
      </w:r>
      <w:r w:rsidR="00360ABE">
        <w:rPr>
          <w:sz w:val="24"/>
          <w:szCs w:val="24"/>
        </w:rPr>
        <w:t>8</w:t>
      </w:r>
      <w:r w:rsidR="00D252AB" w:rsidRPr="00D252AB">
        <w:rPr>
          <w:sz w:val="24"/>
          <w:szCs w:val="24"/>
        </w:rPr>
        <w:t xml:space="preserve"> million Americans—about diseases that are caused by any of seven bacteria and two parasites commonly transmitted through food. The system has been in operation since 1995.  Investigators actively seek out laboratory confirmed cases of illness in an attempt to detect every person in the 10 </w:t>
      </w:r>
      <w:r w:rsidR="00360ABE">
        <w:rPr>
          <w:sz w:val="24"/>
          <w:szCs w:val="24"/>
        </w:rPr>
        <w:t xml:space="preserve">EIP </w:t>
      </w:r>
      <w:r w:rsidR="00D252AB" w:rsidRPr="00D252AB">
        <w:rPr>
          <w:sz w:val="24"/>
          <w:szCs w:val="24"/>
        </w:rPr>
        <w:t xml:space="preserve">sites who went to a doctor's office, had a sample tested, and was diagnosed with one of these </w:t>
      </w:r>
      <w:r w:rsidR="00D252AB" w:rsidRPr="00061EA6">
        <w:rPr>
          <w:sz w:val="24"/>
          <w:szCs w:val="24"/>
        </w:rPr>
        <w:t>infections</w:t>
      </w:r>
      <w:r w:rsidR="000C5B31" w:rsidRPr="00061EA6">
        <w:rPr>
          <w:sz w:val="24"/>
          <w:szCs w:val="24"/>
        </w:rPr>
        <w:t xml:space="preserve"> (</w:t>
      </w:r>
      <w:r w:rsidR="00061EA6" w:rsidRPr="00061EA6">
        <w:rPr>
          <w:sz w:val="24"/>
          <w:szCs w:val="24"/>
        </w:rPr>
        <w:t>https://www.cdc.gov/ncezid/dpei/eip/</w:t>
      </w:r>
      <w:r w:rsidR="000C5B31" w:rsidRPr="00061EA6">
        <w:rPr>
          <w:sz w:val="24"/>
          <w:szCs w:val="24"/>
        </w:rPr>
        <w:t>)</w:t>
      </w:r>
      <w:r w:rsidR="00D252AB" w:rsidRPr="00061EA6">
        <w:rPr>
          <w:sz w:val="24"/>
          <w:szCs w:val="24"/>
        </w:rPr>
        <w:t xml:space="preserve">. </w:t>
      </w:r>
    </w:p>
    <w:p w:rsidR="00D252AB" w:rsidRPr="00D252AB" w:rsidRDefault="00D252AB" w:rsidP="00E87525">
      <w:pPr>
        <w:spacing w:before="100" w:beforeAutospacing="1" w:after="100" w:afterAutospacing="1" w:line="240" w:lineRule="auto"/>
        <w:rPr>
          <w:sz w:val="24"/>
          <w:szCs w:val="24"/>
        </w:rPr>
      </w:pPr>
      <w:r w:rsidRPr="00D252AB">
        <w:rPr>
          <w:sz w:val="24"/>
          <w:szCs w:val="24"/>
        </w:rPr>
        <w:t xml:space="preserve">More recently, new surveillance methods have emerged which improve the quality, quantity, and timeliness of data (e.g., sentinel surveillance systems and national laboratory networks). </w:t>
      </w:r>
      <w:r w:rsidR="00C675C3">
        <w:rPr>
          <w:sz w:val="24"/>
          <w:szCs w:val="24"/>
        </w:rPr>
        <w:t xml:space="preserve"> T</w:t>
      </w:r>
      <w:r w:rsidRPr="00D252AB">
        <w:rPr>
          <w:sz w:val="24"/>
          <w:szCs w:val="24"/>
        </w:rPr>
        <w:t>he CDC sponsors the National Outbreak Reporting System (NORS)</w:t>
      </w:r>
      <w:r w:rsidR="008D75AC">
        <w:rPr>
          <w:sz w:val="24"/>
          <w:szCs w:val="24"/>
        </w:rPr>
        <w:t xml:space="preserve">, which is </w:t>
      </w:r>
      <w:r w:rsidRPr="00D252AB">
        <w:rPr>
          <w:sz w:val="24"/>
          <w:szCs w:val="24"/>
        </w:rPr>
        <w:t xml:space="preserve">maintained by the National Center for Emerging and Zoonotic Infectious Diseases (NCEZID) under the National Disease Surveillance Program II - Disease Summaries (OMB Control Number: 0920-0004, expiration date October 31, 2020). </w:t>
      </w:r>
      <w:r w:rsidR="002C6EB8">
        <w:rPr>
          <w:sz w:val="24"/>
          <w:szCs w:val="24"/>
        </w:rPr>
        <w:t xml:space="preserve"> </w:t>
      </w:r>
      <w:r w:rsidRPr="00D252AB">
        <w:rPr>
          <w:sz w:val="24"/>
          <w:szCs w:val="24"/>
        </w:rPr>
        <w:t xml:space="preserve">NORS is a mature passive surveillance system into which food safety programs (i.e. each state epidemiologist) voluntarily report epidemiological and clinical information about foodborne outbreaks. There is no mandatory requirement for food safety programs to report data to CDC through NORS.  Currently all </w:t>
      </w:r>
      <w:r w:rsidR="002C6EB8">
        <w:rPr>
          <w:sz w:val="24"/>
          <w:szCs w:val="24"/>
        </w:rPr>
        <w:t>50</w:t>
      </w:r>
      <w:r w:rsidRPr="00D252AB">
        <w:rPr>
          <w:sz w:val="24"/>
          <w:szCs w:val="24"/>
        </w:rPr>
        <w:t xml:space="preserve"> states report outbreak data to NORS. Based on existing NORS data, it is estimated that a minimum of 800 foodborne illness outbreaks will occur in the </w:t>
      </w:r>
      <w:r w:rsidR="00A4585F">
        <w:rPr>
          <w:sz w:val="24"/>
          <w:szCs w:val="24"/>
        </w:rPr>
        <w:t>U</w:t>
      </w:r>
      <w:r w:rsidR="00A6142E">
        <w:rPr>
          <w:sz w:val="24"/>
          <w:szCs w:val="24"/>
        </w:rPr>
        <w:t>.</w:t>
      </w:r>
      <w:r w:rsidR="00A4585F">
        <w:rPr>
          <w:sz w:val="24"/>
          <w:szCs w:val="24"/>
        </w:rPr>
        <w:t>S</w:t>
      </w:r>
      <w:r w:rsidR="00A6142E">
        <w:rPr>
          <w:sz w:val="24"/>
          <w:szCs w:val="24"/>
        </w:rPr>
        <w:t>.</w:t>
      </w:r>
      <w:r w:rsidRPr="00D252AB">
        <w:rPr>
          <w:sz w:val="24"/>
          <w:szCs w:val="24"/>
        </w:rPr>
        <w:t xml:space="preserve"> annually (see Table A.1.1).</w:t>
      </w:r>
    </w:p>
    <w:tbl>
      <w:tblPr>
        <w:tblStyle w:val="TableGrid"/>
        <w:tblW w:w="0" w:type="auto"/>
        <w:tblInd w:w="-5" w:type="dxa"/>
        <w:tblLook w:val="04A0" w:firstRow="1" w:lastRow="0" w:firstColumn="1" w:lastColumn="0" w:noHBand="0" w:noVBand="1"/>
      </w:tblPr>
      <w:tblGrid>
        <w:gridCol w:w="1559"/>
        <w:gridCol w:w="1369"/>
        <w:gridCol w:w="1368"/>
        <w:gridCol w:w="1284"/>
        <w:gridCol w:w="1350"/>
        <w:gridCol w:w="1261"/>
        <w:gridCol w:w="1159"/>
      </w:tblGrid>
      <w:tr w:rsidR="007E265E" w:rsidRPr="007E265E" w:rsidTr="00E87525">
        <w:trPr>
          <w:trHeight w:val="70"/>
        </w:trPr>
        <w:tc>
          <w:tcPr>
            <w:tcW w:w="9350" w:type="dxa"/>
            <w:gridSpan w:val="7"/>
          </w:tcPr>
          <w:p w:rsidR="007E265E" w:rsidRPr="007E265E" w:rsidRDefault="007E265E" w:rsidP="00E87525">
            <w:pPr>
              <w:spacing w:before="100" w:beforeAutospacing="1" w:after="100" w:afterAutospacing="1"/>
              <w:jc w:val="center"/>
              <w:rPr>
                <w:rFonts w:cstheme="minorHAnsi"/>
                <w:b/>
                <w:sz w:val="24"/>
              </w:rPr>
            </w:pPr>
          </w:p>
          <w:p w:rsidR="007E265E" w:rsidRPr="007E265E" w:rsidRDefault="007E265E" w:rsidP="00E87525">
            <w:pPr>
              <w:spacing w:before="100" w:beforeAutospacing="1" w:after="100" w:afterAutospacing="1"/>
              <w:jc w:val="center"/>
              <w:rPr>
                <w:rFonts w:cstheme="minorHAnsi"/>
                <w:b/>
                <w:sz w:val="24"/>
              </w:rPr>
            </w:pPr>
            <w:r w:rsidRPr="007E265E">
              <w:rPr>
                <w:rFonts w:cstheme="minorHAnsi"/>
                <w:b/>
                <w:sz w:val="24"/>
              </w:rPr>
              <w:t>Table A.1.1. Outbreaks Reported to NORS</w:t>
            </w:r>
          </w:p>
          <w:p w:rsidR="007E265E" w:rsidRPr="007E265E" w:rsidRDefault="007E265E" w:rsidP="00E87525">
            <w:pPr>
              <w:spacing w:before="100" w:beforeAutospacing="1" w:after="100" w:afterAutospacing="1"/>
              <w:jc w:val="center"/>
              <w:rPr>
                <w:rFonts w:cstheme="minorHAnsi"/>
                <w:b/>
                <w:sz w:val="24"/>
              </w:rPr>
            </w:pPr>
          </w:p>
        </w:tc>
      </w:tr>
      <w:tr w:rsidR="007E265E" w:rsidRPr="007E265E" w:rsidTr="000C5B31">
        <w:tc>
          <w:tcPr>
            <w:tcW w:w="1559" w:type="dxa"/>
            <w:shd w:val="clear" w:color="auto" w:fill="auto"/>
            <w:vAlign w:val="center"/>
          </w:tcPr>
          <w:p w:rsidR="007E265E" w:rsidRPr="000C5B31" w:rsidRDefault="007E265E" w:rsidP="00E87525">
            <w:pPr>
              <w:spacing w:before="100" w:beforeAutospacing="1" w:after="100" w:afterAutospacing="1"/>
              <w:jc w:val="center"/>
              <w:rPr>
                <w:rFonts w:cstheme="minorHAnsi"/>
                <w:b/>
                <w:sz w:val="24"/>
              </w:rPr>
            </w:pPr>
            <w:r w:rsidRPr="000C5B31">
              <w:rPr>
                <w:rFonts w:cstheme="minorHAnsi"/>
                <w:b/>
                <w:sz w:val="24"/>
              </w:rPr>
              <w:t>Year</w:t>
            </w:r>
          </w:p>
        </w:tc>
        <w:tc>
          <w:tcPr>
            <w:tcW w:w="1369" w:type="dxa"/>
            <w:vAlign w:val="bottom"/>
          </w:tcPr>
          <w:p w:rsidR="007E265E" w:rsidRPr="007E265E" w:rsidRDefault="007E265E" w:rsidP="00E87525">
            <w:pPr>
              <w:spacing w:before="100" w:beforeAutospacing="1" w:after="100" w:afterAutospacing="1"/>
              <w:jc w:val="center"/>
              <w:rPr>
                <w:rFonts w:cstheme="minorHAnsi"/>
                <w:b/>
                <w:sz w:val="24"/>
              </w:rPr>
            </w:pPr>
            <w:r w:rsidRPr="007E265E">
              <w:rPr>
                <w:rFonts w:cstheme="minorHAnsi"/>
                <w:b/>
                <w:sz w:val="24"/>
              </w:rPr>
              <w:t>201</w:t>
            </w:r>
            <w:r w:rsidR="00AC6416">
              <w:rPr>
                <w:rFonts w:cstheme="minorHAnsi"/>
                <w:b/>
                <w:sz w:val="24"/>
              </w:rPr>
              <w:t>2</w:t>
            </w:r>
          </w:p>
        </w:tc>
        <w:tc>
          <w:tcPr>
            <w:tcW w:w="1368" w:type="dxa"/>
            <w:vAlign w:val="bottom"/>
          </w:tcPr>
          <w:p w:rsidR="007E265E" w:rsidRPr="007E265E" w:rsidRDefault="007E265E" w:rsidP="00E87525">
            <w:pPr>
              <w:spacing w:before="100" w:beforeAutospacing="1" w:after="100" w:afterAutospacing="1"/>
              <w:jc w:val="center"/>
              <w:rPr>
                <w:rFonts w:cstheme="minorHAnsi"/>
                <w:b/>
                <w:sz w:val="24"/>
              </w:rPr>
            </w:pPr>
            <w:r w:rsidRPr="007E265E">
              <w:rPr>
                <w:rFonts w:cstheme="minorHAnsi"/>
                <w:b/>
                <w:sz w:val="24"/>
              </w:rPr>
              <w:t>201</w:t>
            </w:r>
            <w:r w:rsidR="00AC6416">
              <w:rPr>
                <w:rFonts w:cstheme="minorHAnsi"/>
                <w:b/>
                <w:sz w:val="24"/>
              </w:rPr>
              <w:t>3</w:t>
            </w:r>
          </w:p>
        </w:tc>
        <w:tc>
          <w:tcPr>
            <w:tcW w:w="1284" w:type="dxa"/>
            <w:vAlign w:val="bottom"/>
          </w:tcPr>
          <w:p w:rsidR="007E265E" w:rsidRPr="007E265E" w:rsidRDefault="007E265E" w:rsidP="00E87525">
            <w:pPr>
              <w:spacing w:before="100" w:beforeAutospacing="1" w:after="100" w:afterAutospacing="1"/>
              <w:jc w:val="center"/>
              <w:rPr>
                <w:rFonts w:cstheme="minorHAnsi"/>
                <w:b/>
                <w:sz w:val="24"/>
              </w:rPr>
            </w:pPr>
            <w:r w:rsidRPr="007E265E">
              <w:rPr>
                <w:rFonts w:cstheme="minorHAnsi"/>
                <w:b/>
                <w:sz w:val="24"/>
              </w:rPr>
              <w:t>201</w:t>
            </w:r>
            <w:r w:rsidR="00AC6416">
              <w:rPr>
                <w:rFonts w:cstheme="minorHAnsi"/>
                <w:b/>
                <w:sz w:val="24"/>
              </w:rPr>
              <w:t>4</w:t>
            </w:r>
          </w:p>
        </w:tc>
        <w:tc>
          <w:tcPr>
            <w:tcW w:w="1350" w:type="dxa"/>
            <w:vAlign w:val="bottom"/>
          </w:tcPr>
          <w:p w:rsidR="007E265E" w:rsidRPr="007E265E" w:rsidRDefault="007E265E" w:rsidP="00E87525">
            <w:pPr>
              <w:spacing w:before="100" w:beforeAutospacing="1" w:after="100" w:afterAutospacing="1"/>
              <w:jc w:val="center"/>
              <w:rPr>
                <w:rFonts w:cstheme="minorHAnsi"/>
                <w:b/>
                <w:sz w:val="24"/>
              </w:rPr>
            </w:pPr>
            <w:r w:rsidRPr="007E265E">
              <w:rPr>
                <w:rFonts w:cstheme="minorHAnsi"/>
                <w:b/>
                <w:sz w:val="24"/>
              </w:rPr>
              <w:t>201</w:t>
            </w:r>
            <w:r w:rsidR="00AC6416">
              <w:rPr>
                <w:rFonts w:cstheme="minorHAnsi"/>
                <w:b/>
                <w:sz w:val="24"/>
              </w:rPr>
              <w:t>5</w:t>
            </w:r>
          </w:p>
        </w:tc>
        <w:tc>
          <w:tcPr>
            <w:tcW w:w="1261" w:type="dxa"/>
          </w:tcPr>
          <w:p w:rsidR="007E265E" w:rsidRPr="007E265E" w:rsidRDefault="007E265E" w:rsidP="00E87525">
            <w:pPr>
              <w:spacing w:before="100" w:beforeAutospacing="1" w:after="100" w:afterAutospacing="1"/>
              <w:jc w:val="center"/>
              <w:rPr>
                <w:rFonts w:cstheme="minorHAnsi"/>
                <w:b/>
                <w:sz w:val="24"/>
              </w:rPr>
            </w:pPr>
            <w:r>
              <w:rPr>
                <w:rFonts w:cstheme="minorHAnsi"/>
                <w:b/>
                <w:sz w:val="24"/>
              </w:rPr>
              <w:t>201</w:t>
            </w:r>
            <w:r w:rsidR="00AC6416">
              <w:rPr>
                <w:rFonts w:cstheme="minorHAnsi"/>
                <w:b/>
                <w:sz w:val="24"/>
              </w:rPr>
              <w:t>6</w:t>
            </w:r>
          </w:p>
        </w:tc>
        <w:tc>
          <w:tcPr>
            <w:tcW w:w="1159" w:type="dxa"/>
          </w:tcPr>
          <w:p w:rsidR="007E265E" w:rsidRPr="007E265E" w:rsidRDefault="007E265E" w:rsidP="00E87525">
            <w:pPr>
              <w:spacing w:before="100" w:beforeAutospacing="1" w:after="100" w:afterAutospacing="1"/>
              <w:jc w:val="center"/>
              <w:rPr>
                <w:rFonts w:cstheme="minorHAnsi"/>
                <w:b/>
                <w:sz w:val="24"/>
              </w:rPr>
            </w:pPr>
            <w:r>
              <w:rPr>
                <w:rFonts w:cstheme="minorHAnsi"/>
                <w:b/>
                <w:sz w:val="24"/>
              </w:rPr>
              <w:t>201</w:t>
            </w:r>
            <w:r w:rsidR="00AC6416">
              <w:rPr>
                <w:rFonts w:cstheme="minorHAnsi"/>
                <w:b/>
                <w:sz w:val="24"/>
              </w:rPr>
              <w:t>7</w:t>
            </w:r>
          </w:p>
        </w:tc>
      </w:tr>
      <w:tr w:rsidR="007E265E" w:rsidRPr="007E265E" w:rsidTr="000C5B31">
        <w:tc>
          <w:tcPr>
            <w:tcW w:w="1559" w:type="dxa"/>
            <w:shd w:val="clear" w:color="auto" w:fill="auto"/>
            <w:vAlign w:val="center"/>
          </w:tcPr>
          <w:p w:rsidR="007E265E" w:rsidRPr="007E265E" w:rsidRDefault="002C6EB8" w:rsidP="00E87525">
            <w:pPr>
              <w:spacing w:before="100" w:beforeAutospacing="1" w:after="100" w:afterAutospacing="1"/>
              <w:jc w:val="center"/>
              <w:rPr>
                <w:rFonts w:cstheme="minorHAnsi"/>
                <w:sz w:val="24"/>
              </w:rPr>
            </w:pPr>
            <w:r>
              <w:rPr>
                <w:rFonts w:cstheme="minorHAnsi"/>
                <w:sz w:val="24"/>
              </w:rPr>
              <w:t>Total number of outbreaks</w:t>
            </w:r>
          </w:p>
        </w:tc>
        <w:tc>
          <w:tcPr>
            <w:tcW w:w="1369" w:type="dxa"/>
            <w:vAlign w:val="bottom"/>
          </w:tcPr>
          <w:p w:rsidR="007E265E" w:rsidRPr="007E265E" w:rsidRDefault="007E265E" w:rsidP="00E87525">
            <w:pPr>
              <w:spacing w:before="100" w:beforeAutospacing="1" w:after="100" w:afterAutospacing="1"/>
              <w:jc w:val="center"/>
              <w:rPr>
                <w:rFonts w:cstheme="minorHAnsi"/>
                <w:sz w:val="24"/>
              </w:rPr>
            </w:pPr>
            <w:r w:rsidRPr="007E265E">
              <w:rPr>
                <w:rFonts w:cstheme="minorHAnsi"/>
                <w:sz w:val="24"/>
              </w:rPr>
              <w:t>8</w:t>
            </w:r>
            <w:r w:rsidR="00AC6416">
              <w:rPr>
                <w:rFonts w:cstheme="minorHAnsi"/>
                <w:sz w:val="24"/>
              </w:rPr>
              <w:t>34</w:t>
            </w:r>
          </w:p>
        </w:tc>
        <w:tc>
          <w:tcPr>
            <w:tcW w:w="1368" w:type="dxa"/>
            <w:vAlign w:val="bottom"/>
          </w:tcPr>
          <w:p w:rsidR="007E265E" w:rsidRPr="007E265E" w:rsidRDefault="007E265E" w:rsidP="00E87525">
            <w:pPr>
              <w:spacing w:before="100" w:beforeAutospacing="1" w:after="100" w:afterAutospacing="1"/>
              <w:jc w:val="center"/>
              <w:rPr>
                <w:rFonts w:cstheme="minorHAnsi"/>
                <w:sz w:val="24"/>
              </w:rPr>
            </w:pPr>
            <w:r w:rsidRPr="007E265E">
              <w:rPr>
                <w:rFonts w:cstheme="minorHAnsi"/>
                <w:sz w:val="24"/>
              </w:rPr>
              <w:t>8</w:t>
            </w:r>
            <w:r w:rsidR="00AC6416">
              <w:rPr>
                <w:rFonts w:cstheme="minorHAnsi"/>
                <w:sz w:val="24"/>
              </w:rPr>
              <w:t>29</w:t>
            </w:r>
          </w:p>
        </w:tc>
        <w:tc>
          <w:tcPr>
            <w:tcW w:w="1284" w:type="dxa"/>
            <w:vAlign w:val="bottom"/>
          </w:tcPr>
          <w:p w:rsidR="007E265E" w:rsidRPr="007E265E" w:rsidRDefault="007E265E" w:rsidP="00E87525">
            <w:pPr>
              <w:spacing w:before="100" w:beforeAutospacing="1" w:after="100" w:afterAutospacing="1"/>
              <w:jc w:val="center"/>
              <w:rPr>
                <w:rFonts w:cstheme="minorHAnsi"/>
                <w:sz w:val="24"/>
              </w:rPr>
            </w:pPr>
            <w:r w:rsidRPr="007E265E">
              <w:rPr>
                <w:rFonts w:cstheme="minorHAnsi"/>
                <w:sz w:val="24"/>
              </w:rPr>
              <w:t>8</w:t>
            </w:r>
            <w:r w:rsidR="00AC6416">
              <w:rPr>
                <w:rFonts w:cstheme="minorHAnsi"/>
                <w:sz w:val="24"/>
              </w:rPr>
              <w:t>77</w:t>
            </w:r>
          </w:p>
        </w:tc>
        <w:tc>
          <w:tcPr>
            <w:tcW w:w="1350" w:type="dxa"/>
            <w:vAlign w:val="bottom"/>
          </w:tcPr>
          <w:p w:rsidR="007E265E" w:rsidRPr="007E265E" w:rsidRDefault="00AC6416" w:rsidP="00E87525">
            <w:pPr>
              <w:spacing w:before="100" w:beforeAutospacing="1" w:after="100" w:afterAutospacing="1"/>
              <w:jc w:val="center"/>
              <w:rPr>
                <w:rFonts w:cstheme="minorHAnsi"/>
                <w:sz w:val="24"/>
              </w:rPr>
            </w:pPr>
            <w:r>
              <w:rPr>
                <w:rFonts w:cstheme="minorHAnsi"/>
                <w:sz w:val="24"/>
              </w:rPr>
              <w:t>924</w:t>
            </w:r>
          </w:p>
        </w:tc>
        <w:tc>
          <w:tcPr>
            <w:tcW w:w="1261" w:type="dxa"/>
            <w:vAlign w:val="bottom"/>
          </w:tcPr>
          <w:p w:rsidR="007E265E" w:rsidRPr="007E265E" w:rsidRDefault="00AC6416" w:rsidP="00E87525">
            <w:pPr>
              <w:spacing w:before="100" w:beforeAutospacing="1" w:after="100" w:afterAutospacing="1"/>
              <w:jc w:val="center"/>
              <w:rPr>
                <w:rFonts w:cstheme="minorHAnsi"/>
                <w:sz w:val="24"/>
              </w:rPr>
            </w:pPr>
            <w:r>
              <w:rPr>
                <w:rFonts w:cstheme="minorHAnsi"/>
                <w:sz w:val="24"/>
              </w:rPr>
              <w:t>849</w:t>
            </w:r>
          </w:p>
        </w:tc>
        <w:tc>
          <w:tcPr>
            <w:tcW w:w="1159" w:type="dxa"/>
            <w:vAlign w:val="bottom"/>
          </w:tcPr>
          <w:p w:rsidR="007E265E" w:rsidRPr="007E265E" w:rsidRDefault="007E265E" w:rsidP="00E87525">
            <w:pPr>
              <w:spacing w:before="100" w:beforeAutospacing="1" w:after="100" w:afterAutospacing="1"/>
              <w:jc w:val="center"/>
              <w:rPr>
                <w:rFonts w:cstheme="minorHAnsi"/>
                <w:sz w:val="24"/>
              </w:rPr>
            </w:pPr>
            <w:r>
              <w:rPr>
                <w:rFonts w:cstheme="minorHAnsi"/>
                <w:sz w:val="24"/>
              </w:rPr>
              <w:t>839</w:t>
            </w:r>
          </w:p>
        </w:tc>
      </w:tr>
    </w:tbl>
    <w:p w:rsidR="00D252AB" w:rsidRDefault="008D75AC" w:rsidP="00E87525">
      <w:pPr>
        <w:spacing w:before="100" w:beforeAutospacing="1" w:after="100" w:afterAutospacing="1" w:line="240" w:lineRule="auto"/>
        <w:rPr>
          <w:sz w:val="24"/>
          <w:szCs w:val="24"/>
        </w:rPr>
      </w:pPr>
      <w:r>
        <w:rPr>
          <w:sz w:val="24"/>
          <w:szCs w:val="24"/>
        </w:rPr>
        <w:t>The NORS Dashboard allows</w:t>
      </w:r>
      <w:r w:rsidR="00D252AB" w:rsidRPr="00D252AB">
        <w:rPr>
          <w:sz w:val="24"/>
          <w:szCs w:val="24"/>
        </w:rPr>
        <w:t xml:space="preserve"> the</w:t>
      </w:r>
      <w:r>
        <w:rPr>
          <w:sz w:val="24"/>
          <w:szCs w:val="24"/>
        </w:rPr>
        <w:t xml:space="preserve"> general</w:t>
      </w:r>
      <w:r w:rsidR="00D252AB" w:rsidRPr="00D252AB">
        <w:rPr>
          <w:sz w:val="24"/>
          <w:szCs w:val="24"/>
        </w:rPr>
        <w:t xml:space="preserve"> public direct access to information on foodborne out</w:t>
      </w:r>
      <w:r w:rsidR="007E265E">
        <w:rPr>
          <w:sz w:val="24"/>
          <w:szCs w:val="24"/>
        </w:rPr>
        <w:t>breaks reported to CDC</w:t>
      </w:r>
      <w:r>
        <w:rPr>
          <w:sz w:val="24"/>
          <w:szCs w:val="24"/>
        </w:rPr>
        <w:t xml:space="preserve"> (</w:t>
      </w:r>
      <w:hyperlink r:id="rId10" w:history="1">
        <w:r w:rsidRPr="00D65D35">
          <w:rPr>
            <w:rStyle w:val="Hyperlink"/>
            <w:sz w:val="24"/>
            <w:szCs w:val="24"/>
          </w:rPr>
          <w:t>https://wwwn.cdc.gov/norsdashboard/</w:t>
        </w:r>
      </w:hyperlink>
      <w:r>
        <w:rPr>
          <w:sz w:val="24"/>
          <w:szCs w:val="24"/>
        </w:rPr>
        <w:t>)</w:t>
      </w:r>
      <w:r w:rsidR="00D252AB" w:rsidRPr="00D252AB">
        <w:rPr>
          <w:sz w:val="24"/>
          <w:szCs w:val="24"/>
        </w:rPr>
        <w:t>. Most outbreaks are</w:t>
      </w:r>
      <w:r>
        <w:rPr>
          <w:sz w:val="24"/>
          <w:szCs w:val="24"/>
        </w:rPr>
        <w:t xml:space="preserve"> </w:t>
      </w:r>
      <w:r w:rsidR="00D252AB" w:rsidRPr="00D252AB">
        <w:rPr>
          <w:sz w:val="24"/>
          <w:szCs w:val="24"/>
        </w:rPr>
        <w:t xml:space="preserve">reported to NORS by the state, local, territorial, or tribal health department that conducted the outbreak investigation. Multi-state outbreaks are generally reported to NORS by CDC. Data available via the </w:t>
      </w:r>
      <w:r w:rsidR="002C6EB8">
        <w:rPr>
          <w:sz w:val="24"/>
          <w:szCs w:val="24"/>
        </w:rPr>
        <w:t>NORS Dashboard</w:t>
      </w:r>
      <w:r w:rsidR="00D252AB" w:rsidRPr="00D252AB">
        <w:rPr>
          <w:sz w:val="24"/>
          <w:szCs w:val="24"/>
        </w:rPr>
        <w:t xml:space="preserve"> originate from a dynamic outbreak surveillance database. Reporting agencies (state, local, territorial, and tribal health departments, and CDC) can modify their NORS reports at any time, even months or years after an outbreak. Therefore, results from </w:t>
      </w:r>
      <w:r w:rsidR="008560F8">
        <w:rPr>
          <w:sz w:val="24"/>
          <w:szCs w:val="24"/>
        </w:rPr>
        <w:t>the NORS Dashboard</w:t>
      </w:r>
      <w:r w:rsidR="00D252AB" w:rsidRPr="00D252AB">
        <w:rPr>
          <w:sz w:val="24"/>
          <w:szCs w:val="24"/>
        </w:rPr>
        <w:t xml:space="preserve"> Search Tool are subject to change.</w:t>
      </w:r>
    </w:p>
    <w:p w:rsidR="003861EC" w:rsidRPr="00D252AB" w:rsidRDefault="003861EC" w:rsidP="003861EC">
      <w:pPr>
        <w:spacing w:before="100" w:beforeAutospacing="1" w:after="100" w:afterAutospacing="1" w:line="240" w:lineRule="auto"/>
        <w:rPr>
          <w:sz w:val="24"/>
          <w:szCs w:val="24"/>
        </w:rPr>
      </w:pPr>
      <w:r w:rsidRPr="00D252AB">
        <w:rPr>
          <w:sz w:val="24"/>
          <w:szCs w:val="24"/>
        </w:rPr>
        <w:t>Data obtained through foodborne illness outbreak investigations, such as the number of ill people associated with individual outbreaks and the pathogen involved, are collected and reported by communicable disease control programs to NORS. Environmental factor data are not frequently reported to this system. The names of contributing factors identified in outbreak investigations are reported, but no details on these contributing factors are reported (e.g., when the factor occurred, how it was identified, etc.), nor is any other information obtained from environmental assessments (e.g., environmental antecedents) reported.</w:t>
      </w:r>
    </w:p>
    <w:p w:rsidR="00D252AB" w:rsidRDefault="00D252AB" w:rsidP="00E87525">
      <w:pPr>
        <w:spacing w:before="100" w:beforeAutospacing="1" w:after="100" w:afterAutospacing="1" w:line="240" w:lineRule="auto"/>
        <w:rPr>
          <w:sz w:val="24"/>
          <w:szCs w:val="24"/>
        </w:rPr>
      </w:pPr>
      <w:r w:rsidRPr="00D252AB">
        <w:rPr>
          <w:sz w:val="24"/>
          <w:szCs w:val="24"/>
        </w:rPr>
        <w:t>Although CDC’s long-term goal is to have one foodborne illness outbreak surveillance system that will collect these two sets of data, it is currently not feasible. The consolidation to one foodborne illness surveillance system will be a long-term process, and environmental factor data are a priority now. The collection of environmental factor data and efforts to improve coordination and communication across communicable disease control programs that report to NORS and food safety control programs that report to NEARS will continue to occur simultaneously. When linked, both NORS and NEARS data are critical to food safety efforts. The original anticipated timeline for the merger of NORS and NEARS systems was December 2018. This timeline has been revised to December 2019</w:t>
      </w:r>
      <w:r w:rsidR="008560F8">
        <w:rPr>
          <w:sz w:val="24"/>
          <w:szCs w:val="24"/>
        </w:rPr>
        <w:t>, and</w:t>
      </w:r>
      <w:r w:rsidRPr="00D252AB">
        <w:rPr>
          <w:sz w:val="24"/>
          <w:szCs w:val="24"/>
        </w:rPr>
        <w:t xml:space="preserve"> will include extensive project planning amongst NORS and NEARS teams and information technology (IT) developers. This will be followed by design, development and review of the integrated system which will be led by IT developers. Lastly, CDC and its partners will thoroughly conduct testing of the system to ensure user acceptance prior to release.</w:t>
      </w:r>
    </w:p>
    <w:p w:rsidR="00D252AB" w:rsidRPr="00E87525" w:rsidRDefault="00D252AB" w:rsidP="00E87525">
      <w:pPr>
        <w:spacing w:before="100" w:beforeAutospacing="1" w:after="100" w:afterAutospacing="1" w:line="240" w:lineRule="auto"/>
        <w:rPr>
          <w:b/>
          <w:sz w:val="24"/>
          <w:szCs w:val="24"/>
          <w:u w:val="single"/>
        </w:rPr>
      </w:pPr>
      <w:r w:rsidRPr="00E87525">
        <w:rPr>
          <w:b/>
          <w:sz w:val="24"/>
          <w:szCs w:val="24"/>
          <w:u w:val="single"/>
        </w:rPr>
        <w:t>National Food Safety Context</w:t>
      </w:r>
    </w:p>
    <w:p w:rsidR="00D252AB" w:rsidRPr="00D252AB" w:rsidRDefault="000977D0" w:rsidP="00E87525">
      <w:pPr>
        <w:spacing w:before="100" w:beforeAutospacing="1" w:after="100" w:afterAutospacing="1" w:line="240" w:lineRule="auto"/>
        <w:rPr>
          <w:sz w:val="24"/>
          <w:szCs w:val="24"/>
        </w:rPr>
      </w:pPr>
      <w:r>
        <w:rPr>
          <w:sz w:val="24"/>
          <w:szCs w:val="24"/>
        </w:rPr>
        <w:t>President Obama established the</w:t>
      </w:r>
      <w:r w:rsidR="00D252AB" w:rsidRPr="00D252AB">
        <w:rPr>
          <w:sz w:val="24"/>
          <w:szCs w:val="24"/>
        </w:rPr>
        <w:t xml:space="preserve"> </w:t>
      </w:r>
      <w:r w:rsidR="0017001E">
        <w:rPr>
          <w:sz w:val="24"/>
          <w:szCs w:val="24"/>
        </w:rPr>
        <w:t xml:space="preserve">Federal </w:t>
      </w:r>
      <w:r w:rsidR="00D252AB" w:rsidRPr="00D252AB">
        <w:rPr>
          <w:sz w:val="24"/>
          <w:szCs w:val="24"/>
        </w:rPr>
        <w:t xml:space="preserve">Food Safety Working Group </w:t>
      </w:r>
      <w:r>
        <w:rPr>
          <w:sz w:val="24"/>
          <w:szCs w:val="24"/>
        </w:rPr>
        <w:t xml:space="preserve">(FSWG) </w:t>
      </w:r>
      <w:r w:rsidR="00D252AB" w:rsidRPr="00D252AB">
        <w:rPr>
          <w:sz w:val="24"/>
          <w:szCs w:val="24"/>
        </w:rPr>
        <w:t xml:space="preserve">in 2009 to </w:t>
      </w:r>
      <w:r w:rsidR="0017001E">
        <w:rPr>
          <w:sz w:val="24"/>
          <w:szCs w:val="24"/>
        </w:rPr>
        <w:t>strengthen</w:t>
      </w:r>
      <w:r>
        <w:rPr>
          <w:sz w:val="24"/>
          <w:szCs w:val="24"/>
        </w:rPr>
        <w:t xml:space="preserve"> federal efforts and establish </w:t>
      </w:r>
      <w:r w:rsidR="0017001E">
        <w:rPr>
          <w:sz w:val="24"/>
          <w:szCs w:val="24"/>
        </w:rPr>
        <w:t>short-term and long-term strategies to improve food safety</w:t>
      </w:r>
      <w:r w:rsidR="00D252AB" w:rsidRPr="00D252AB">
        <w:rPr>
          <w:sz w:val="24"/>
          <w:szCs w:val="24"/>
        </w:rPr>
        <w:t xml:space="preserve">. </w:t>
      </w:r>
      <w:r w:rsidR="0017001E">
        <w:rPr>
          <w:sz w:val="24"/>
          <w:szCs w:val="24"/>
        </w:rPr>
        <w:t xml:space="preserve"> </w:t>
      </w:r>
      <w:r>
        <w:rPr>
          <w:sz w:val="24"/>
          <w:szCs w:val="24"/>
        </w:rPr>
        <w:t>FSWG</w:t>
      </w:r>
      <w:r w:rsidR="00D252AB" w:rsidRPr="00D252AB">
        <w:rPr>
          <w:sz w:val="24"/>
          <w:szCs w:val="24"/>
        </w:rPr>
        <w:t xml:space="preserve"> recommended a new, public health-focused approach to food safety based on several core principles, one of which is strengthening surveillance and enforcement. </w:t>
      </w:r>
      <w:r w:rsidR="0017001E">
        <w:rPr>
          <w:sz w:val="24"/>
          <w:szCs w:val="24"/>
        </w:rPr>
        <w:t xml:space="preserve"> FSWG</w:t>
      </w:r>
      <w:r w:rsidR="00A6142E">
        <w:rPr>
          <w:sz w:val="24"/>
          <w:szCs w:val="24"/>
        </w:rPr>
        <w:t xml:space="preserve"> also</w:t>
      </w:r>
      <w:r w:rsidR="00D252AB" w:rsidRPr="00D252AB">
        <w:rPr>
          <w:sz w:val="24"/>
          <w:szCs w:val="24"/>
        </w:rPr>
        <w:t xml:space="preserve"> recommended the development of a national surveillance system to collect environmental data related to foodborne illness outbreaks.  Additionally, </w:t>
      </w:r>
      <w:r w:rsidR="00703AC8">
        <w:rPr>
          <w:sz w:val="24"/>
          <w:szCs w:val="24"/>
        </w:rPr>
        <w:t xml:space="preserve">the </w:t>
      </w:r>
      <w:r w:rsidR="008560F8">
        <w:rPr>
          <w:sz w:val="24"/>
          <w:szCs w:val="24"/>
        </w:rPr>
        <w:t>Food Safety Modernization Act (</w:t>
      </w:r>
      <w:r w:rsidR="00D252AB" w:rsidRPr="00D252AB">
        <w:rPr>
          <w:sz w:val="24"/>
          <w:szCs w:val="24"/>
        </w:rPr>
        <w:t>FSMA</w:t>
      </w:r>
      <w:r w:rsidR="008560F8">
        <w:rPr>
          <w:sz w:val="24"/>
          <w:szCs w:val="24"/>
        </w:rPr>
        <w:t>)</w:t>
      </w:r>
      <w:r w:rsidR="00D252AB" w:rsidRPr="00D252AB">
        <w:rPr>
          <w:sz w:val="24"/>
          <w:szCs w:val="24"/>
        </w:rPr>
        <w:t xml:space="preserve">, which </w:t>
      </w:r>
      <w:r w:rsidR="0017001E">
        <w:rPr>
          <w:sz w:val="24"/>
          <w:szCs w:val="24"/>
        </w:rPr>
        <w:t>was signed into</w:t>
      </w:r>
      <w:r w:rsidR="00D252AB" w:rsidRPr="00D252AB">
        <w:rPr>
          <w:sz w:val="24"/>
          <w:szCs w:val="24"/>
        </w:rPr>
        <w:t xml:space="preserve"> law </w:t>
      </w:r>
      <w:r w:rsidR="0017001E">
        <w:rPr>
          <w:sz w:val="24"/>
          <w:szCs w:val="24"/>
        </w:rPr>
        <w:t>on January 4,</w:t>
      </w:r>
      <w:r w:rsidR="00D252AB" w:rsidRPr="00D252AB">
        <w:rPr>
          <w:sz w:val="24"/>
          <w:szCs w:val="24"/>
        </w:rPr>
        <w:t xml:space="preserve"> 2011, recognizes that robust foodborne illness surveillance data are needed to inform targeted prevention interventions. FSMA directed CDC, with its expertise in surveillance, to expand national food safety surveillance systems and increase state and local participation in these systems.</w:t>
      </w:r>
    </w:p>
    <w:p w:rsidR="00D252AB" w:rsidRDefault="00D252AB" w:rsidP="00E87525">
      <w:pPr>
        <w:spacing w:before="100" w:beforeAutospacing="1" w:after="100" w:afterAutospacing="1" w:line="240" w:lineRule="auto"/>
        <w:rPr>
          <w:sz w:val="24"/>
          <w:szCs w:val="24"/>
        </w:rPr>
      </w:pPr>
      <w:r w:rsidRPr="00D252AB">
        <w:rPr>
          <w:sz w:val="24"/>
          <w:szCs w:val="24"/>
        </w:rPr>
        <w:t xml:space="preserve">NEARS addresses the above-stated goals of the </w:t>
      </w:r>
      <w:r w:rsidR="000977D0">
        <w:rPr>
          <w:sz w:val="24"/>
          <w:szCs w:val="24"/>
        </w:rPr>
        <w:t>FSWG</w:t>
      </w:r>
      <w:r w:rsidRPr="00D252AB">
        <w:rPr>
          <w:sz w:val="24"/>
          <w:szCs w:val="24"/>
        </w:rPr>
        <w:t xml:space="preserve"> and FSMA. </w:t>
      </w:r>
      <w:r w:rsidR="00FE1202">
        <w:rPr>
          <w:sz w:val="24"/>
          <w:szCs w:val="24"/>
        </w:rPr>
        <w:t xml:space="preserve"> </w:t>
      </w:r>
      <w:r w:rsidRPr="00D252AB">
        <w:rPr>
          <w:sz w:val="24"/>
          <w:szCs w:val="24"/>
        </w:rPr>
        <w:t>NEARS collects environmental data on foodborne illness outbreaks on a national level</w:t>
      </w:r>
      <w:r w:rsidR="00FE1202">
        <w:rPr>
          <w:sz w:val="24"/>
          <w:szCs w:val="24"/>
        </w:rPr>
        <w:t xml:space="preserve">, and </w:t>
      </w:r>
      <w:r w:rsidRPr="00D252AB">
        <w:rPr>
          <w:sz w:val="24"/>
          <w:szCs w:val="24"/>
        </w:rPr>
        <w:t xml:space="preserve">expands the current national food safety surveillance from collection of epidemiological and clinical data through NORS to collection of environmental data. NEARS </w:t>
      </w:r>
      <w:r w:rsidR="00FE1202">
        <w:rPr>
          <w:sz w:val="24"/>
          <w:szCs w:val="24"/>
        </w:rPr>
        <w:t>also</w:t>
      </w:r>
      <w:r w:rsidRPr="00D252AB">
        <w:rPr>
          <w:sz w:val="24"/>
          <w:szCs w:val="24"/>
        </w:rPr>
        <w:t xml:space="preserve"> increase</w:t>
      </w:r>
      <w:r w:rsidR="00FE1202">
        <w:rPr>
          <w:sz w:val="24"/>
          <w:szCs w:val="24"/>
        </w:rPr>
        <w:t>s</w:t>
      </w:r>
      <w:r w:rsidRPr="00D252AB">
        <w:rPr>
          <w:sz w:val="24"/>
          <w:szCs w:val="24"/>
        </w:rPr>
        <w:t xml:space="preserve"> state and local participation in food safety surveillance, as this system is designed for use by local, state, federal, territorial, and tribal food safety programs. </w:t>
      </w:r>
      <w:r w:rsidR="00FE1202">
        <w:rPr>
          <w:sz w:val="24"/>
          <w:szCs w:val="24"/>
        </w:rPr>
        <w:t xml:space="preserve"> </w:t>
      </w:r>
      <w:r w:rsidRPr="00D252AB">
        <w:rPr>
          <w:sz w:val="24"/>
          <w:szCs w:val="24"/>
        </w:rPr>
        <w:t xml:space="preserve">NEARS continues to support the U.S. Department of Health and Human Services’ Healthy People 2020 Goal to, “Improve food safety and reduce foodborne illnesses.” </w:t>
      </w:r>
    </w:p>
    <w:p w:rsidR="00935BE6" w:rsidRPr="00D252AB" w:rsidRDefault="00935BE6" w:rsidP="00935BE6">
      <w:pPr>
        <w:spacing w:before="100" w:beforeAutospacing="1" w:after="100" w:afterAutospacing="1" w:line="240" w:lineRule="auto"/>
        <w:rPr>
          <w:sz w:val="24"/>
          <w:szCs w:val="24"/>
        </w:rPr>
      </w:pPr>
      <w:r w:rsidRPr="00D252AB">
        <w:rPr>
          <w:sz w:val="24"/>
          <w:szCs w:val="24"/>
        </w:rPr>
        <w:t xml:space="preserve">This data collection is authorized by Section 301 of the Public Health Service Act (42 U.S.C. </w:t>
      </w:r>
      <w:r w:rsidR="00DB6F6A">
        <w:rPr>
          <w:sz w:val="24"/>
          <w:szCs w:val="24"/>
        </w:rPr>
        <w:t xml:space="preserve">§ </w:t>
      </w:r>
      <w:r w:rsidRPr="00D252AB">
        <w:rPr>
          <w:sz w:val="24"/>
          <w:szCs w:val="24"/>
        </w:rPr>
        <w:t>241)</w:t>
      </w:r>
      <w:r w:rsidR="00987A2D">
        <w:rPr>
          <w:sz w:val="24"/>
          <w:szCs w:val="24"/>
        </w:rPr>
        <w:t xml:space="preserve"> </w:t>
      </w:r>
      <w:r w:rsidR="001C3062">
        <w:rPr>
          <w:sz w:val="24"/>
          <w:szCs w:val="24"/>
        </w:rPr>
        <w:t xml:space="preserve">(Attachment 1A) </w:t>
      </w:r>
      <w:r>
        <w:rPr>
          <w:sz w:val="24"/>
          <w:szCs w:val="24"/>
        </w:rPr>
        <w:t>and</w:t>
      </w:r>
      <w:r w:rsidRPr="00D252AB">
        <w:rPr>
          <w:sz w:val="24"/>
          <w:szCs w:val="24"/>
        </w:rPr>
        <w:t xml:space="preserve"> Section 205 of </w:t>
      </w:r>
      <w:r>
        <w:rPr>
          <w:sz w:val="24"/>
          <w:szCs w:val="24"/>
        </w:rPr>
        <w:t>the Food Safety Modernization Act (</w:t>
      </w:r>
      <w:r w:rsidRPr="00D252AB">
        <w:rPr>
          <w:sz w:val="24"/>
          <w:szCs w:val="24"/>
        </w:rPr>
        <w:t>FSMA</w:t>
      </w:r>
      <w:r>
        <w:rPr>
          <w:sz w:val="24"/>
          <w:szCs w:val="24"/>
        </w:rPr>
        <w:t>)</w:t>
      </w:r>
      <w:r w:rsidRPr="00D252AB">
        <w:rPr>
          <w:sz w:val="24"/>
          <w:szCs w:val="24"/>
        </w:rPr>
        <w:t xml:space="preserve"> (21 U</w:t>
      </w:r>
      <w:r w:rsidR="00DB6F6A">
        <w:rPr>
          <w:sz w:val="24"/>
          <w:szCs w:val="24"/>
        </w:rPr>
        <w:t>.</w:t>
      </w:r>
      <w:r w:rsidRPr="00D252AB">
        <w:rPr>
          <w:sz w:val="24"/>
          <w:szCs w:val="24"/>
        </w:rPr>
        <w:t>S</w:t>
      </w:r>
      <w:r w:rsidR="00DB6F6A">
        <w:rPr>
          <w:sz w:val="24"/>
          <w:szCs w:val="24"/>
        </w:rPr>
        <w:t>.</w:t>
      </w:r>
      <w:r w:rsidRPr="00D252AB">
        <w:rPr>
          <w:sz w:val="24"/>
          <w:szCs w:val="24"/>
        </w:rPr>
        <w:t xml:space="preserve">C </w:t>
      </w:r>
      <w:r w:rsidR="00DB6F6A">
        <w:rPr>
          <w:sz w:val="24"/>
          <w:szCs w:val="24"/>
        </w:rPr>
        <w:t xml:space="preserve">§ </w:t>
      </w:r>
      <w:r w:rsidRPr="00D252AB">
        <w:rPr>
          <w:sz w:val="24"/>
          <w:szCs w:val="24"/>
        </w:rPr>
        <w:t>2201) (Attachment 1</w:t>
      </w:r>
      <w:r w:rsidR="001C3062">
        <w:rPr>
          <w:sz w:val="24"/>
          <w:szCs w:val="24"/>
        </w:rPr>
        <w:t>B</w:t>
      </w:r>
      <w:r w:rsidRPr="00D252AB">
        <w:rPr>
          <w:sz w:val="24"/>
          <w:szCs w:val="24"/>
        </w:rPr>
        <w:t xml:space="preserve">).   </w:t>
      </w:r>
    </w:p>
    <w:p w:rsidR="001F53D2" w:rsidRPr="00D252AB" w:rsidRDefault="0042567B" w:rsidP="00E87525">
      <w:pPr>
        <w:spacing w:before="100" w:beforeAutospacing="1" w:after="100" w:afterAutospacing="1" w:line="240" w:lineRule="auto"/>
        <w:rPr>
          <w:sz w:val="24"/>
          <w:szCs w:val="24"/>
        </w:rPr>
      </w:pPr>
      <w:r w:rsidRPr="00D252AB">
        <w:rPr>
          <w:sz w:val="24"/>
          <w:szCs w:val="24"/>
        </w:rPr>
        <w:t xml:space="preserve">The </w:t>
      </w:r>
      <w:r w:rsidR="001F53D2" w:rsidRPr="00D252AB">
        <w:rPr>
          <w:sz w:val="24"/>
          <w:szCs w:val="24"/>
        </w:rPr>
        <w:t>60-day Federal Register Notice</w:t>
      </w:r>
      <w:r w:rsidRPr="00D252AB">
        <w:rPr>
          <w:sz w:val="24"/>
          <w:szCs w:val="24"/>
        </w:rPr>
        <w:t xml:space="preserve"> was published on </w:t>
      </w:r>
      <w:r w:rsidR="00A53D36">
        <w:rPr>
          <w:sz w:val="24"/>
          <w:szCs w:val="24"/>
        </w:rPr>
        <w:t>03/06/2019</w:t>
      </w:r>
      <w:r w:rsidR="00D252AB">
        <w:rPr>
          <w:sz w:val="24"/>
          <w:szCs w:val="24"/>
        </w:rPr>
        <w:t xml:space="preserve"> (</w:t>
      </w:r>
      <w:r w:rsidR="00EB0B5C" w:rsidRPr="000C5B31">
        <w:rPr>
          <w:sz w:val="24"/>
          <w:szCs w:val="24"/>
        </w:rPr>
        <w:t>Attachment 2</w:t>
      </w:r>
      <w:r w:rsidRPr="00D252AB">
        <w:rPr>
          <w:sz w:val="24"/>
          <w:szCs w:val="24"/>
        </w:rPr>
        <w:t>) and is further discussed</w:t>
      </w:r>
      <w:r w:rsidR="00EB0B5C" w:rsidRPr="00D252AB">
        <w:rPr>
          <w:sz w:val="24"/>
          <w:szCs w:val="24"/>
        </w:rPr>
        <w:t xml:space="preserve"> in Section A.8.</w:t>
      </w:r>
    </w:p>
    <w:p w:rsidR="00B45002" w:rsidRPr="00D20211" w:rsidRDefault="00601F1A" w:rsidP="00601F1A">
      <w:pPr>
        <w:pStyle w:val="Heading1"/>
        <w:pBdr>
          <w:bottom w:val="none" w:sz="0" w:space="0" w:color="auto"/>
        </w:pBdr>
        <w:rPr>
          <w:color w:val="auto"/>
        </w:rPr>
      </w:pPr>
      <w:bookmarkStart w:id="4" w:name="_Toc532377519"/>
      <w:r w:rsidRPr="00D20211">
        <w:rPr>
          <w:color w:val="auto"/>
        </w:rPr>
        <w:t>A.</w:t>
      </w:r>
      <w:r w:rsidR="004D21C9" w:rsidRPr="00D20211">
        <w:rPr>
          <w:color w:val="auto"/>
        </w:rPr>
        <w:t xml:space="preserve">2.  </w:t>
      </w:r>
      <w:r w:rsidR="00B45002" w:rsidRPr="00D20211">
        <w:rPr>
          <w:color w:val="auto"/>
        </w:rPr>
        <w:t>Purpose and Use of the Information Collection</w:t>
      </w:r>
      <w:bookmarkEnd w:id="4"/>
    </w:p>
    <w:p w:rsidR="00D252AB" w:rsidRPr="00935BE6" w:rsidRDefault="00D252AB" w:rsidP="00935BE6">
      <w:pPr>
        <w:autoSpaceDE w:val="0"/>
        <w:autoSpaceDN w:val="0"/>
        <w:adjustRightInd w:val="0"/>
        <w:spacing w:before="100" w:beforeAutospacing="1" w:after="100" w:afterAutospacing="1" w:line="240" w:lineRule="auto"/>
        <w:rPr>
          <w:rFonts w:cs="ITCFranklinGothicStd-Book"/>
          <w:sz w:val="24"/>
          <w:szCs w:val="24"/>
        </w:rPr>
      </w:pPr>
      <w:r w:rsidRPr="00935BE6">
        <w:rPr>
          <w:rFonts w:cs="ITCFranklinGothicStd-Book"/>
          <w:sz w:val="24"/>
          <w:szCs w:val="24"/>
        </w:rPr>
        <w:t xml:space="preserve">The information </w:t>
      </w:r>
      <w:r w:rsidR="000977D0" w:rsidRPr="00935BE6">
        <w:rPr>
          <w:rFonts w:cs="ITCFranklinGothicStd-Book"/>
          <w:sz w:val="24"/>
          <w:szCs w:val="24"/>
        </w:rPr>
        <w:t>collected through</w:t>
      </w:r>
      <w:r w:rsidRPr="00935BE6">
        <w:rPr>
          <w:rFonts w:cs="ITCFranklinGothicStd-Book"/>
          <w:sz w:val="24"/>
          <w:szCs w:val="24"/>
        </w:rPr>
        <w:t xml:space="preserve"> NEARS is primarily used by the CDC to identify and understand environmental factors (contributing factors and environmental antecedents) associated with foodborne illness outbreaks. </w:t>
      </w:r>
    </w:p>
    <w:p w:rsidR="00D252AB" w:rsidRPr="00935BE6" w:rsidRDefault="000977D0" w:rsidP="00935BE6">
      <w:pPr>
        <w:spacing w:before="100" w:beforeAutospacing="1" w:after="100" w:afterAutospacing="1" w:line="240" w:lineRule="auto"/>
        <w:rPr>
          <w:rFonts w:cs="ITCFranklinGothicStd-Book"/>
          <w:sz w:val="24"/>
          <w:szCs w:val="24"/>
        </w:rPr>
      </w:pPr>
      <w:r w:rsidRPr="00935BE6">
        <w:rPr>
          <w:rFonts w:cs="ITCFranklinGothicStd-Book"/>
          <w:sz w:val="24"/>
          <w:szCs w:val="24"/>
        </w:rPr>
        <w:t>Data</w:t>
      </w:r>
      <w:r w:rsidR="00D252AB" w:rsidRPr="00935BE6">
        <w:rPr>
          <w:rFonts w:cs="ITCFranklinGothicStd-Book"/>
          <w:sz w:val="24"/>
          <w:szCs w:val="24"/>
        </w:rPr>
        <w:t xml:space="preserve"> collected through NEARS will </w:t>
      </w:r>
      <w:r w:rsidRPr="00935BE6">
        <w:rPr>
          <w:rFonts w:cs="ITCFranklinGothicStd-Book"/>
          <w:sz w:val="24"/>
          <w:szCs w:val="24"/>
        </w:rPr>
        <w:t xml:space="preserve">also </w:t>
      </w:r>
      <w:r w:rsidR="00D252AB" w:rsidRPr="00935BE6">
        <w:rPr>
          <w:rFonts w:cs="ITCFranklinGothicStd-Book"/>
          <w:sz w:val="24"/>
          <w:szCs w:val="24"/>
        </w:rPr>
        <w:t>be used to:</w:t>
      </w:r>
    </w:p>
    <w:p w:rsidR="00BD287E" w:rsidRPr="00BD287E" w:rsidRDefault="00BD287E" w:rsidP="00BD287E">
      <w:pPr>
        <w:numPr>
          <w:ilvl w:val="0"/>
          <w:numId w:val="56"/>
        </w:numPr>
        <w:spacing w:after="0" w:line="240" w:lineRule="auto"/>
        <w:rPr>
          <w:sz w:val="24"/>
        </w:rPr>
      </w:pPr>
      <w:r w:rsidRPr="00BD287E">
        <w:rPr>
          <w:i/>
          <w:sz w:val="24"/>
        </w:rPr>
        <w:t>Describe outbreaks and outbreak responses</w:t>
      </w:r>
      <w:r w:rsidRPr="00BD287E">
        <w:rPr>
          <w:sz w:val="24"/>
        </w:rPr>
        <w:t>. NEARS collects detailed descriptive data on outbreaks and outbreak responses (e.g., number of locations associated with the outbreak, number of establishments involved, number of environmental assessments conducted, etc.).</w:t>
      </w:r>
    </w:p>
    <w:p w:rsidR="00BD287E" w:rsidRPr="00BD287E" w:rsidRDefault="00BD287E" w:rsidP="00BD287E">
      <w:pPr>
        <w:numPr>
          <w:ilvl w:val="0"/>
          <w:numId w:val="56"/>
        </w:numPr>
        <w:spacing w:after="0" w:line="240" w:lineRule="auto"/>
        <w:rPr>
          <w:sz w:val="24"/>
        </w:rPr>
      </w:pPr>
      <w:r w:rsidRPr="00BD287E">
        <w:rPr>
          <w:i/>
          <w:sz w:val="24"/>
        </w:rPr>
        <w:t>Describe environmental factors associated with outbreaks.</w:t>
      </w:r>
      <w:r w:rsidRPr="00BD287E">
        <w:rPr>
          <w:sz w:val="24"/>
        </w:rPr>
        <w:t xml:space="preserve"> NEARS collects detailed information on environmental antecedents (economics, equipment, food, people, processes) and contributing factors (contamination, proliferation, survival) associated with outbreaks</w:t>
      </w:r>
      <w:r w:rsidR="0065562E">
        <w:rPr>
          <w:sz w:val="24"/>
        </w:rPr>
        <w:t xml:space="preserve"> (Attachment 3)</w:t>
      </w:r>
      <w:r w:rsidRPr="00BD287E">
        <w:rPr>
          <w:sz w:val="24"/>
        </w:rPr>
        <w:t xml:space="preserve">. </w:t>
      </w:r>
    </w:p>
    <w:p w:rsidR="00575D8B" w:rsidRDefault="00BD287E" w:rsidP="008560F8">
      <w:pPr>
        <w:numPr>
          <w:ilvl w:val="0"/>
          <w:numId w:val="55"/>
        </w:numPr>
        <w:spacing w:after="0" w:line="240" w:lineRule="auto"/>
        <w:rPr>
          <w:sz w:val="24"/>
        </w:rPr>
      </w:pPr>
      <w:r w:rsidRPr="00575D8B">
        <w:rPr>
          <w:i/>
          <w:sz w:val="24"/>
        </w:rPr>
        <w:t>Describe the associations between environmental antecedents and specific contributing factors.</w:t>
      </w:r>
      <w:r w:rsidRPr="00575D8B">
        <w:rPr>
          <w:sz w:val="24"/>
        </w:rPr>
        <w:t xml:space="preserve"> NEARS collects data that will allow us to understand the associations between environmental antecedents and specific contributing factors associated with outbreaks. For example, an analysis may reveal that the environmental antecedent of lack of paid sick leave was associated with the contributing factor of an</w:t>
      </w:r>
      <w:r w:rsidR="00575D8B">
        <w:rPr>
          <w:sz w:val="24"/>
        </w:rPr>
        <w:t xml:space="preserve"> ill worker contaminating food.</w:t>
      </w:r>
    </w:p>
    <w:p w:rsidR="00BD287E" w:rsidRPr="00575D8B" w:rsidRDefault="00BD287E" w:rsidP="008560F8">
      <w:pPr>
        <w:numPr>
          <w:ilvl w:val="0"/>
          <w:numId w:val="55"/>
        </w:numPr>
        <w:spacing w:after="0" w:line="240" w:lineRule="auto"/>
        <w:rPr>
          <w:sz w:val="24"/>
        </w:rPr>
      </w:pPr>
      <w:r w:rsidRPr="00575D8B">
        <w:rPr>
          <w:i/>
          <w:sz w:val="24"/>
        </w:rPr>
        <w:t xml:space="preserve">Describe outbreaks reported to NORS and describe characteristics of outbreaks not reported to NORS. </w:t>
      </w:r>
      <w:r w:rsidRPr="00575D8B">
        <w:rPr>
          <w:sz w:val="24"/>
        </w:rPr>
        <w:t>NEARS collects data that will allow us to understand the characteristics of outbreaks reported to NEARS but, not reported to NORS. For example, an analysis may reveal that outbreaks reported to NEARS</w:t>
      </w:r>
      <w:r w:rsidR="008560F8">
        <w:rPr>
          <w:sz w:val="24"/>
        </w:rPr>
        <w:t>,</w:t>
      </w:r>
      <w:r w:rsidRPr="00575D8B">
        <w:rPr>
          <w:sz w:val="24"/>
        </w:rPr>
        <w:t xml:space="preserve"> but not reported to NORS</w:t>
      </w:r>
      <w:r w:rsidR="008560F8">
        <w:rPr>
          <w:sz w:val="24"/>
        </w:rPr>
        <w:t>,</w:t>
      </w:r>
      <w:r w:rsidRPr="00575D8B">
        <w:rPr>
          <w:sz w:val="24"/>
        </w:rPr>
        <w:t xml:space="preserve"> are more likely to be single location outbreaks. Outbreaks reported to NORS typically involve multi-locations (i.e. multi-states). This analysis may also reveal information on the number of outbreaks that NORS reporting misses.</w:t>
      </w:r>
    </w:p>
    <w:p w:rsidR="00D252AB" w:rsidRPr="00D252AB" w:rsidRDefault="00D252AB" w:rsidP="000C5B31">
      <w:pPr>
        <w:autoSpaceDE w:val="0"/>
        <w:autoSpaceDN w:val="0"/>
        <w:adjustRightInd w:val="0"/>
        <w:spacing w:before="100" w:beforeAutospacing="1" w:after="100" w:afterAutospacing="1" w:line="240" w:lineRule="auto"/>
        <w:rPr>
          <w:rFonts w:cs="ITCFranklinGothicStd-Book"/>
          <w:b/>
          <w:sz w:val="24"/>
          <w:szCs w:val="24"/>
          <w:u w:val="single"/>
        </w:rPr>
      </w:pPr>
      <w:r w:rsidRPr="00D252AB">
        <w:rPr>
          <w:rFonts w:cs="ITCFranklinGothicStd-Book"/>
          <w:b/>
          <w:sz w:val="24"/>
          <w:szCs w:val="24"/>
          <w:u w:val="single"/>
        </w:rPr>
        <w:t>Experience to Date</w:t>
      </w:r>
    </w:p>
    <w:p w:rsidR="00D252AB" w:rsidRPr="00D252AB" w:rsidRDefault="00D252AB" w:rsidP="000C5B31">
      <w:pPr>
        <w:pStyle w:val="ListParagraph"/>
        <w:numPr>
          <w:ilvl w:val="0"/>
          <w:numId w:val="42"/>
        </w:num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 xml:space="preserve">Currently, there are 31 local and state food safety programs registered to report outbreaks to NEARS. </w:t>
      </w:r>
      <w:r w:rsidRPr="00BD287E">
        <w:rPr>
          <w:rFonts w:cs="ITCFranklinGothicStd-Book"/>
          <w:b/>
          <w:sz w:val="24"/>
          <w:szCs w:val="24"/>
        </w:rPr>
        <w:t>Table A.2.1.</w:t>
      </w:r>
      <w:r w:rsidRPr="00D252AB">
        <w:rPr>
          <w:rFonts w:cs="ITCFranklinGothicStd-Book"/>
          <w:sz w:val="24"/>
          <w:szCs w:val="24"/>
        </w:rPr>
        <w:t xml:space="preserve"> provides a snapshot of data on outbreaks reported to NEARS </w:t>
      </w:r>
      <w:r w:rsidR="008560F8">
        <w:rPr>
          <w:rFonts w:cs="ITCFranklinGothicStd-Book"/>
          <w:sz w:val="24"/>
          <w:szCs w:val="24"/>
        </w:rPr>
        <w:t xml:space="preserve">between </w:t>
      </w:r>
      <w:r w:rsidRPr="00D252AB">
        <w:rPr>
          <w:rFonts w:cs="ITCFranklinGothicStd-Book"/>
          <w:sz w:val="24"/>
          <w:szCs w:val="24"/>
        </w:rPr>
        <w:t xml:space="preserve">2014 </w:t>
      </w:r>
      <w:r w:rsidR="008560F8">
        <w:rPr>
          <w:rFonts w:cs="ITCFranklinGothicStd-Book"/>
          <w:sz w:val="24"/>
          <w:szCs w:val="24"/>
        </w:rPr>
        <w:t xml:space="preserve">and </w:t>
      </w:r>
      <w:r w:rsidRPr="00D252AB">
        <w:rPr>
          <w:rFonts w:cs="ITCFranklinGothicStd-Book"/>
          <w:sz w:val="24"/>
          <w:szCs w:val="24"/>
        </w:rPr>
        <w:t>2017</w:t>
      </w:r>
      <w:r w:rsidR="00D10563">
        <w:rPr>
          <w:rFonts w:cs="ITCFranklinGothicStd-Book"/>
          <w:sz w:val="24"/>
          <w:szCs w:val="24"/>
        </w:rPr>
        <w:t>.  R</w:t>
      </w:r>
      <w:r w:rsidRPr="00D252AB">
        <w:rPr>
          <w:rFonts w:cs="ITCFranklinGothicStd-Book"/>
          <w:sz w:val="24"/>
          <w:szCs w:val="24"/>
        </w:rPr>
        <w:t>eporting data to NEARS is not mandatory for local and state food safety programs</w:t>
      </w:r>
      <w:r w:rsidR="00D10563">
        <w:rPr>
          <w:rFonts w:cs="ITCFranklinGothicStd-Book"/>
          <w:sz w:val="24"/>
          <w:szCs w:val="24"/>
        </w:rPr>
        <w:t xml:space="preserve">; however, </w:t>
      </w:r>
      <w:r w:rsidR="00D10563" w:rsidRPr="00E60143">
        <w:rPr>
          <w:rFonts w:cs="ITCFranklinGothicStd-Book"/>
          <w:b/>
          <w:sz w:val="24"/>
          <w:szCs w:val="24"/>
        </w:rPr>
        <w:t>Table A.2.1.</w:t>
      </w:r>
      <w:r w:rsidR="00D10563">
        <w:rPr>
          <w:rFonts w:cs="ITCFranklinGothicStd-Book"/>
          <w:sz w:val="24"/>
          <w:szCs w:val="24"/>
        </w:rPr>
        <w:t xml:space="preserve"> </w:t>
      </w:r>
      <w:r w:rsidRPr="00D252AB">
        <w:rPr>
          <w:rFonts w:cs="ITCFranklinGothicStd-Book"/>
          <w:sz w:val="24"/>
          <w:szCs w:val="24"/>
        </w:rPr>
        <w:t>shows that the number of outbreaks reported to NEARS is increasing each year.</w:t>
      </w:r>
    </w:p>
    <w:tbl>
      <w:tblPr>
        <w:tblStyle w:val="TableGrid1"/>
        <w:tblW w:w="0" w:type="auto"/>
        <w:tblInd w:w="715" w:type="dxa"/>
        <w:tblLook w:val="04A0" w:firstRow="1" w:lastRow="0" w:firstColumn="1" w:lastColumn="0" w:noHBand="0" w:noVBand="1"/>
      </w:tblPr>
      <w:tblGrid>
        <w:gridCol w:w="2790"/>
        <w:gridCol w:w="1620"/>
        <w:gridCol w:w="1260"/>
        <w:gridCol w:w="1310"/>
        <w:gridCol w:w="1310"/>
      </w:tblGrid>
      <w:tr w:rsidR="00D252AB" w:rsidRPr="00D10563" w:rsidTr="00BD287E">
        <w:trPr>
          <w:trHeight w:val="647"/>
        </w:trPr>
        <w:tc>
          <w:tcPr>
            <w:tcW w:w="8290" w:type="dxa"/>
            <w:gridSpan w:val="5"/>
          </w:tcPr>
          <w:p w:rsidR="00D252AB" w:rsidRPr="00E87525" w:rsidRDefault="00D252AB" w:rsidP="000C5B31">
            <w:pPr>
              <w:spacing w:before="100" w:beforeAutospacing="1" w:after="100" w:afterAutospacing="1"/>
              <w:jc w:val="center"/>
              <w:rPr>
                <w:rFonts w:asciiTheme="minorHAnsi" w:hAnsiTheme="minorHAnsi" w:cstheme="minorHAnsi"/>
                <w:b/>
                <w:sz w:val="24"/>
                <w:szCs w:val="24"/>
              </w:rPr>
            </w:pPr>
          </w:p>
          <w:p w:rsidR="00D252AB" w:rsidRPr="00E87525" w:rsidRDefault="00D252AB" w:rsidP="000C5B31">
            <w:pPr>
              <w:spacing w:before="100" w:beforeAutospacing="1" w:after="100" w:afterAutospacing="1"/>
              <w:jc w:val="center"/>
              <w:rPr>
                <w:rFonts w:asciiTheme="minorHAnsi" w:hAnsiTheme="minorHAnsi" w:cstheme="minorHAnsi"/>
                <w:b/>
                <w:sz w:val="24"/>
                <w:szCs w:val="24"/>
              </w:rPr>
            </w:pPr>
            <w:r w:rsidRPr="00E87525">
              <w:rPr>
                <w:rFonts w:asciiTheme="minorHAnsi" w:hAnsiTheme="minorHAnsi" w:cstheme="minorHAnsi"/>
                <w:b/>
                <w:sz w:val="24"/>
                <w:szCs w:val="24"/>
              </w:rPr>
              <w:t>Table A.2.1. Outbreaks Reported to NEARS</w:t>
            </w:r>
          </w:p>
          <w:p w:rsidR="00D252AB" w:rsidRPr="00E87525" w:rsidRDefault="00D252AB" w:rsidP="000C5B31">
            <w:pPr>
              <w:spacing w:before="100" w:beforeAutospacing="1" w:after="100" w:afterAutospacing="1"/>
              <w:jc w:val="center"/>
              <w:rPr>
                <w:rFonts w:asciiTheme="minorHAnsi" w:hAnsiTheme="minorHAnsi" w:cstheme="minorHAnsi"/>
                <w:b/>
                <w:sz w:val="24"/>
                <w:szCs w:val="24"/>
              </w:rPr>
            </w:pPr>
          </w:p>
        </w:tc>
      </w:tr>
      <w:tr w:rsidR="00D252AB" w:rsidRPr="00D10563" w:rsidTr="005A555F">
        <w:tc>
          <w:tcPr>
            <w:tcW w:w="2790" w:type="dxa"/>
          </w:tcPr>
          <w:p w:rsidR="00D252AB" w:rsidRPr="00E87525" w:rsidRDefault="00D252AB" w:rsidP="00E87525">
            <w:pPr>
              <w:spacing w:before="100" w:beforeAutospacing="1" w:after="100" w:afterAutospacing="1"/>
              <w:rPr>
                <w:rFonts w:asciiTheme="minorHAnsi" w:hAnsiTheme="minorHAnsi" w:cstheme="minorHAnsi"/>
                <w:sz w:val="24"/>
                <w:szCs w:val="24"/>
              </w:rPr>
            </w:pPr>
          </w:p>
        </w:tc>
        <w:tc>
          <w:tcPr>
            <w:tcW w:w="1620" w:type="dxa"/>
          </w:tcPr>
          <w:p w:rsidR="00D252AB" w:rsidRPr="00E87525" w:rsidRDefault="00D252AB" w:rsidP="00E87525">
            <w:pPr>
              <w:spacing w:before="100" w:beforeAutospacing="1" w:after="100" w:afterAutospacing="1"/>
              <w:jc w:val="center"/>
              <w:rPr>
                <w:rFonts w:asciiTheme="minorHAnsi" w:hAnsiTheme="minorHAnsi" w:cstheme="minorHAnsi"/>
                <w:b/>
                <w:sz w:val="24"/>
                <w:szCs w:val="24"/>
              </w:rPr>
            </w:pPr>
            <w:r w:rsidRPr="00E87525">
              <w:rPr>
                <w:rFonts w:asciiTheme="minorHAnsi" w:hAnsiTheme="minorHAnsi" w:cstheme="minorHAnsi"/>
                <w:b/>
                <w:sz w:val="24"/>
                <w:szCs w:val="24"/>
              </w:rPr>
              <w:t>2014</w:t>
            </w:r>
          </w:p>
        </w:tc>
        <w:tc>
          <w:tcPr>
            <w:tcW w:w="1260" w:type="dxa"/>
          </w:tcPr>
          <w:p w:rsidR="00D252AB" w:rsidRPr="00E87525" w:rsidRDefault="00D252AB" w:rsidP="00E87525">
            <w:pPr>
              <w:spacing w:before="100" w:beforeAutospacing="1" w:after="100" w:afterAutospacing="1"/>
              <w:jc w:val="center"/>
              <w:rPr>
                <w:rFonts w:asciiTheme="minorHAnsi" w:hAnsiTheme="minorHAnsi" w:cstheme="minorHAnsi"/>
                <w:b/>
                <w:sz w:val="24"/>
                <w:szCs w:val="24"/>
              </w:rPr>
            </w:pPr>
            <w:r w:rsidRPr="00E87525">
              <w:rPr>
                <w:rFonts w:asciiTheme="minorHAnsi" w:hAnsiTheme="minorHAnsi" w:cstheme="minorHAnsi"/>
                <w:b/>
                <w:sz w:val="24"/>
                <w:szCs w:val="24"/>
              </w:rPr>
              <w:t>2015</w:t>
            </w:r>
          </w:p>
        </w:tc>
        <w:tc>
          <w:tcPr>
            <w:tcW w:w="1310" w:type="dxa"/>
          </w:tcPr>
          <w:p w:rsidR="00D252AB" w:rsidRPr="00E87525" w:rsidRDefault="00D252AB" w:rsidP="00E87525">
            <w:pPr>
              <w:spacing w:before="100" w:beforeAutospacing="1" w:after="100" w:afterAutospacing="1"/>
              <w:jc w:val="center"/>
              <w:rPr>
                <w:rFonts w:asciiTheme="minorHAnsi" w:hAnsiTheme="minorHAnsi" w:cstheme="minorHAnsi"/>
                <w:b/>
                <w:sz w:val="24"/>
                <w:szCs w:val="24"/>
              </w:rPr>
            </w:pPr>
            <w:r w:rsidRPr="00E87525">
              <w:rPr>
                <w:rFonts w:asciiTheme="minorHAnsi" w:hAnsiTheme="minorHAnsi" w:cstheme="minorHAnsi"/>
                <w:b/>
                <w:sz w:val="24"/>
                <w:szCs w:val="24"/>
              </w:rPr>
              <w:t>2016</w:t>
            </w:r>
          </w:p>
          <w:p w:rsidR="00D252AB" w:rsidRPr="00E87525" w:rsidRDefault="00D252AB" w:rsidP="00E87525">
            <w:pPr>
              <w:spacing w:before="100" w:beforeAutospacing="1" w:after="100" w:afterAutospacing="1"/>
              <w:jc w:val="center"/>
              <w:rPr>
                <w:rFonts w:asciiTheme="minorHAnsi" w:hAnsiTheme="minorHAnsi" w:cstheme="minorHAnsi"/>
                <w:sz w:val="24"/>
                <w:szCs w:val="24"/>
              </w:rPr>
            </w:pPr>
          </w:p>
        </w:tc>
        <w:tc>
          <w:tcPr>
            <w:tcW w:w="1310" w:type="dxa"/>
          </w:tcPr>
          <w:p w:rsidR="00D252AB" w:rsidRPr="00E87525" w:rsidRDefault="00D252AB" w:rsidP="00E87525">
            <w:pPr>
              <w:spacing w:before="100" w:beforeAutospacing="1" w:after="100" w:afterAutospacing="1"/>
              <w:jc w:val="center"/>
              <w:rPr>
                <w:rFonts w:asciiTheme="minorHAnsi" w:hAnsiTheme="minorHAnsi" w:cstheme="minorHAnsi"/>
                <w:b/>
                <w:sz w:val="24"/>
                <w:szCs w:val="24"/>
              </w:rPr>
            </w:pPr>
            <w:r w:rsidRPr="00E87525">
              <w:rPr>
                <w:rFonts w:asciiTheme="minorHAnsi" w:hAnsiTheme="minorHAnsi" w:cstheme="minorHAnsi"/>
                <w:b/>
                <w:sz w:val="24"/>
                <w:szCs w:val="24"/>
              </w:rPr>
              <w:t>2017</w:t>
            </w:r>
          </w:p>
        </w:tc>
      </w:tr>
      <w:tr w:rsidR="00D252AB" w:rsidRPr="00D10563" w:rsidTr="005A555F">
        <w:tc>
          <w:tcPr>
            <w:tcW w:w="2790" w:type="dxa"/>
          </w:tcPr>
          <w:p w:rsidR="00D252AB" w:rsidRPr="00E87525" w:rsidRDefault="00D252AB" w:rsidP="00E87525">
            <w:pPr>
              <w:spacing w:before="100" w:beforeAutospacing="1" w:after="100" w:afterAutospacing="1"/>
              <w:rPr>
                <w:rFonts w:asciiTheme="minorHAnsi" w:hAnsiTheme="minorHAnsi" w:cstheme="minorHAnsi"/>
                <w:b/>
                <w:sz w:val="24"/>
                <w:szCs w:val="24"/>
              </w:rPr>
            </w:pPr>
            <w:r w:rsidRPr="00E87525">
              <w:rPr>
                <w:rFonts w:asciiTheme="minorHAnsi" w:hAnsiTheme="minorHAnsi" w:cstheme="minorHAnsi"/>
                <w:b/>
                <w:sz w:val="24"/>
                <w:szCs w:val="24"/>
              </w:rPr>
              <w:t>Total</w:t>
            </w:r>
          </w:p>
        </w:tc>
        <w:tc>
          <w:tcPr>
            <w:tcW w:w="1620" w:type="dxa"/>
            <w:vAlign w:val="center"/>
          </w:tcPr>
          <w:p w:rsidR="00D252AB" w:rsidRPr="00E87525" w:rsidRDefault="00D252AB" w:rsidP="00E87525">
            <w:pPr>
              <w:spacing w:before="100" w:beforeAutospacing="1" w:after="100" w:afterAutospacing="1"/>
              <w:jc w:val="center"/>
              <w:rPr>
                <w:rFonts w:asciiTheme="minorHAnsi" w:hAnsiTheme="minorHAnsi" w:cstheme="minorHAnsi"/>
                <w:b/>
                <w:sz w:val="24"/>
                <w:szCs w:val="24"/>
              </w:rPr>
            </w:pPr>
            <w:r w:rsidRPr="00E87525">
              <w:rPr>
                <w:rFonts w:asciiTheme="minorHAnsi" w:hAnsiTheme="minorHAnsi" w:cstheme="minorHAnsi"/>
                <w:b/>
                <w:sz w:val="24"/>
                <w:szCs w:val="24"/>
              </w:rPr>
              <w:t>111</w:t>
            </w:r>
          </w:p>
        </w:tc>
        <w:tc>
          <w:tcPr>
            <w:tcW w:w="1260" w:type="dxa"/>
            <w:vAlign w:val="center"/>
          </w:tcPr>
          <w:p w:rsidR="00D252AB" w:rsidRPr="00E87525" w:rsidRDefault="00D252AB" w:rsidP="00E87525">
            <w:pPr>
              <w:spacing w:before="100" w:beforeAutospacing="1" w:after="100" w:afterAutospacing="1"/>
              <w:jc w:val="center"/>
              <w:rPr>
                <w:rFonts w:asciiTheme="minorHAnsi" w:hAnsiTheme="minorHAnsi" w:cstheme="minorHAnsi"/>
                <w:b/>
                <w:sz w:val="24"/>
                <w:szCs w:val="24"/>
              </w:rPr>
            </w:pPr>
            <w:r w:rsidRPr="00E87525">
              <w:rPr>
                <w:rFonts w:asciiTheme="minorHAnsi" w:hAnsiTheme="minorHAnsi" w:cstheme="minorHAnsi"/>
                <w:b/>
                <w:sz w:val="24"/>
                <w:szCs w:val="24"/>
              </w:rPr>
              <w:t>112</w:t>
            </w:r>
          </w:p>
        </w:tc>
        <w:tc>
          <w:tcPr>
            <w:tcW w:w="1310" w:type="dxa"/>
            <w:vAlign w:val="center"/>
          </w:tcPr>
          <w:p w:rsidR="00D252AB" w:rsidRPr="00E87525" w:rsidRDefault="00D252AB" w:rsidP="00E87525">
            <w:pPr>
              <w:spacing w:before="100" w:beforeAutospacing="1" w:after="100" w:afterAutospacing="1"/>
              <w:jc w:val="center"/>
              <w:rPr>
                <w:rFonts w:asciiTheme="minorHAnsi" w:hAnsiTheme="minorHAnsi" w:cstheme="minorHAnsi"/>
                <w:b/>
                <w:sz w:val="24"/>
                <w:szCs w:val="24"/>
              </w:rPr>
            </w:pPr>
            <w:r w:rsidRPr="00E87525">
              <w:rPr>
                <w:rFonts w:asciiTheme="minorHAnsi" w:hAnsiTheme="minorHAnsi" w:cstheme="minorHAnsi"/>
                <w:b/>
                <w:sz w:val="24"/>
                <w:szCs w:val="24"/>
              </w:rPr>
              <w:t>168</w:t>
            </w:r>
          </w:p>
        </w:tc>
        <w:tc>
          <w:tcPr>
            <w:tcW w:w="1310" w:type="dxa"/>
          </w:tcPr>
          <w:p w:rsidR="00D252AB" w:rsidRPr="00E87525" w:rsidRDefault="00D252AB" w:rsidP="00E87525">
            <w:pPr>
              <w:spacing w:before="100" w:beforeAutospacing="1" w:after="100" w:afterAutospacing="1"/>
              <w:jc w:val="center"/>
              <w:rPr>
                <w:rFonts w:asciiTheme="minorHAnsi" w:hAnsiTheme="minorHAnsi" w:cstheme="minorHAnsi"/>
                <w:b/>
                <w:sz w:val="24"/>
                <w:szCs w:val="24"/>
              </w:rPr>
            </w:pPr>
            <w:r w:rsidRPr="00E87525">
              <w:rPr>
                <w:rFonts w:asciiTheme="minorHAnsi" w:hAnsiTheme="minorHAnsi" w:cstheme="minorHAnsi"/>
                <w:b/>
                <w:sz w:val="24"/>
                <w:szCs w:val="24"/>
              </w:rPr>
              <w:t>217</w:t>
            </w:r>
          </w:p>
        </w:tc>
      </w:tr>
    </w:tbl>
    <w:p w:rsidR="00BE2399" w:rsidRPr="00BE2399" w:rsidRDefault="00BE2399" w:rsidP="00BE2399">
      <w:pPr>
        <w:pStyle w:val="ListParagraph"/>
        <w:numPr>
          <w:ilvl w:val="0"/>
          <w:numId w:val="51"/>
        </w:numPr>
        <w:spacing w:before="100" w:beforeAutospacing="1" w:after="100" w:afterAutospacing="1" w:line="240" w:lineRule="auto"/>
        <w:rPr>
          <w:sz w:val="24"/>
          <w:szCs w:val="24"/>
        </w:rPr>
      </w:pPr>
      <w:r w:rsidRPr="00BE2399">
        <w:rPr>
          <w:rFonts w:cs="ITCFranklinGothicStd-Book"/>
          <w:sz w:val="24"/>
          <w:szCs w:val="24"/>
        </w:rPr>
        <w:t>In 2017, CDC held a NEARS User Meeting; a representative from each participating NEARS site attended. At this meeting</w:t>
      </w:r>
      <w:r w:rsidR="008560F8">
        <w:rPr>
          <w:rFonts w:cs="ITCFranklinGothicStd-Book"/>
          <w:sz w:val="24"/>
          <w:szCs w:val="24"/>
        </w:rPr>
        <w:t>,</w:t>
      </w:r>
      <w:r w:rsidRPr="00BE2399">
        <w:rPr>
          <w:rFonts w:cs="ITCFranklinGothicStd-Book"/>
          <w:sz w:val="24"/>
          <w:szCs w:val="24"/>
        </w:rPr>
        <w:t xml:space="preserve"> users discussed their experiences with NEARS and provided CDC with feedback on how to improve NEARS. We have revised the NEARS instrument based on this feedback</w:t>
      </w:r>
      <w:r w:rsidR="00F75205">
        <w:rPr>
          <w:rFonts w:cs="ITCFranklinGothicStd-Book"/>
          <w:sz w:val="24"/>
          <w:szCs w:val="24"/>
        </w:rPr>
        <w:t>, and on analysis of NEARS data</w:t>
      </w:r>
      <w:r w:rsidRPr="00BE2399">
        <w:rPr>
          <w:rFonts w:cs="ITCFranklinGothicStd-Book"/>
          <w:sz w:val="24"/>
          <w:szCs w:val="24"/>
        </w:rPr>
        <w:t xml:space="preserve">. Specifically, </w:t>
      </w:r>
      <w:r>
        <w:rPr>
          <w:rFonts w:cs="ITCFranklinGothicStd-Book"/>
          <w:sz w:val="24"/>
          <w:szCs w:val="24"/>
        </w:rPr>
        <w:t>we</w:t>
      </w:r>
      <w:r w:rsidR="00DB6F6A">
        <w:rPr>
          <w:rFonts w:cs="ITCFranklinGothicStd-Book"/>
          <w:sz w:val="24"/>
          <w:szCs w:val="24"/>
        </w:rPr>
        <w:t>:</w:t>
      </w:r>
    </w:p>
    <w:p w:rsidR="00BE2399" w:rsidRDefault="00BE2399" w:rsidP="00BE2399">
      <w:pPr>
        <w:pStyle w:val="ListParagraph"/>
        <w:numPr>
          <w:ilvl w:val="1"/>
          <w:numId w:val="51"/>
        </w:numPr>
        <w:spacing w:before="100" w:beforeAutospacing="1" w:after="100" w:afterAutospacing="1" w:line="240" w:lineRule="auto"/>
        <w:rPr>
          <w:sz w:val="24"/>
          <w:szCs w:val="24"/>
        </w:rPr>
      </w:pPr>
      <w:r>
        <w:rPr>
          <w:sz w:val="24"/>
          <w:szCs w:val="24"/>
        </w:rPr>
        <w:t xml:space="preserve">Removed </w:t>
      </w:r>
      <w:r w:rsidR="00F75205">
        <w:rPr>
          <w:sz w:val="24"/>
          <w:szCs w:val="24"/>
        </w:rPr>
        <w:t>22</w:t>
      </w:r>
      <w:r>
        <w:rPr>
          <w:sz w:val="24"/>
          <w:szCs w:val="24"/>
        </w:rPr>
        <w:t xml:space="preserve"> questions that users said did not work in the field or were unnecessary.</w:t>
      </w:r>
    </w:p>
    <w:p w:rsidR="00BE2399" w:rsidRDefault="00BE2399" w:rsidP="00BE2399">
      <w:pPr>
        <w:pStyle w:val="ListParagraph"/>
        <w:numPr>
          <w:ilvl w:val="1"/>
          <w:numId w:val="51"/>
        </w:numPr>
        <w:spacing w:before="100" w:beforeAutospacing="1" w:after="100" w:afterAutospacing="1" w:line="240" w:lineRule="auto"/>
        <w:rPr>
          <w:sz w:val="24"/>
          <w:szCs w:val="24"/>
        </w:rPr>
      </w:pPr>
      <w:r>
        <w:rPr>
          <w:sz w:val="24"/>
          <w:szCs w:val="24"/>
        </w:rPr>
        <w:t xml:space="preserve">Added </w:t>
      </w:r>
      <w:r w:rsidR="00F75205">
        <w:rPr>
          <w:sz w:val="24"/>
          <w:szCs w:val="24"/>
        </w:rPr>
        <w:t>21</w:t>
      </w:r>
      <w:r>
        <w:rPr>
          <w:sz w:val="24"/>
          <w:szCs w:val="24"/>
        </w:rPr>
        <w:t xml:space="preserve"> questions that users felt were important to understanding foodborne outbreaks.</w:t>
      </w:r>
      <w:r w:rsidR="00E2559B">
        <w:rPr>
          <w:sz w:val="24"/>
          <w:szCs w:val="24"/>
        </w:rPr>
        <w:t xml:space="preserve"> Most of these were focused on food safety issues related to norovirus prevention, given that the majority of outbreaks reported to NEARS were caused by </w:t>
      </w:r>
      <w:r w:rsidR="00DB6F6A">
        <w:rPr>
          <w:sz w:val="24"/>
          <w:szCs w:val="24"/>
        </w:rPr>
        <w:t>norovirus</w:t>
      </w:r>
      <w:r w:rsidR="00E2559B">
        <w:rPr>
          <w:sz w:val="24"/>
          <w:szCs w:val="24"/>
        </w:rPr>
        <w:t>.</w:t>
      </w:r>
    </w:p>
    <w:p w:rsidR="00F75205" w:rsidRDefault="00BE2399" w:rsidP="00F75205">
      <w:pPr>
        <w:pStyle w:val="ListParagraph"/>
        <w:numPr>
          <w:ilvl w:val="1"/>
          <w:numId w:val="51"/>
        </w:numPr>
        <w:spacing w:before="100" w:beforeAutospacing="1" w:after="100" w:afterAutospacing="1" w:line="240" w:lineRule="auto"/>
        <w:rPr>
          <w:sz w:val="24"/>
          <w:szCs w:val="24"/>
        </w:rPr>
      </w:pPr>
      <w:r>
        <w:rPr>
          <w:sz w:val="24"/>
          <w:szCs w:val="24"/>
        </w:rPr>
        <w:t xml:space="preserve">Revised </w:t>
      </w:r>
      <w:r w:rsidR="00F75205">
        <w:rPr>
          <w:sz w:val="24"/>
          <w:szCs w:val="24"/>
        </w:rPr>
        <w:t>10</w:t>
      </w:r>
      <w:r>
        <w:rPr>
          <w:sz w:val="24"/>
          <w:szCs w:val="24"/>
        </w:rPr>
        <w:t xml:space="preserve"> questions to improve their clarity.</w:t>
      </w:r>
    </w:p>
    <w:p w:rsidR="00F75205" w:rsidRDefault="00BE2399" w:rsidP="00F75205">
      <w:pPr>
        <w:pStyle w:val="ListParagraph"/>
        <w:numPr>
          <w:ilvl w:val="1"/>
          <w:numId w:val="51"/>
        </w:numPr>
        <w:spacing w:before="100" w:beforeAutospacing="1" w:after="100" w:afterAutospacing="1" w:line="240" w:lineRule="auto"/>
        <w:rPr>
          <w:sz w:val="24"/>
          <w:szCs w:val="24"/>
        </w:rPr>
      </w:pPr>
      <w:r w:rsidRPr="00F75205">
        <w:rPr>
          <w:sz w:val="24"/>
          <w:szCs w:val="24"/>
        </w:rPr>
        <w:t xml:space="preserve">Moved </w:t>
      </w:r>
      <w:r w:rsidR="00F75205" w:rsidRPr="00F75205">
        <w:rPr>
          <w:sz w:val="24"/>
          <w:szCs w:val="24"/>
        </w:rPr>
        <w:t>10</w:t>
      </w:r>
      <w:r w:rsidRPr="00F75205">
        <w:rPr>
          <w:sz w:val="24"/>
          <w:szCs w:val="24"/>
        </w:rPr>
        <w:t xml:space="preserve"> questions to a different section of the data collection instrument to streamline </w:t>
      </w:r>
      <w:r w:rsidR="00DB6F6A">
        <w:rPr>
          <w:sz w:val="24"/>
          <w:szCs w:val="24"/>
        </w:rPr>
        <w:t xml:space="preserve">the </w:t>
      </w:r>
      <w:r w:rsidRPr="00F75205">
        <w:rPr>
          <w:sz w:val="24"/>
          <w:szCs w:val="24"/>
        </w:rPr>
        <w:t>data collection process.</w:t>
      </w:r>
    </w:p>
    <w:p w:rsidR="00F75205" w:rsidRDefault="00F75205" w:rsidP="00F75205">
      <w:pPr>
        <w:pStyle w:val="ListParagraph"/>
        <w:numPr>
          <w:ilvl w:val="1"/>
          <w:numId w:val="51"/>
        </w:numPr>
        <w:spacing w:before="100" w:beforeAutospacing="1" w:after="100" w:afterAutospacing="1" w:line="240" w:lineRule="auto"/>
        <w:rPr>
          <w:sz w:val="24"/>
          <w:szCs w:val="24"/>
        </w:rPr>
      </w:pPr>
      <w:r>
        <w:rPr>
          <w:sz w:val="24"/>
          <w:szCs w:val="24"/>
        </w:rPr>
        <w:t xml:space="preserve">Changed the data collection protocol so that </w:t>
      </w:r>
      <w:r w:rsidR="00DB6F6A">
        <w:rPr>
          <w:sz w:val="24"/>
          <w:szCs w:val="24"/>
        </w:rPr>
        <w:t>seven</w:t>
      </w:r>
      <w:r>
        <w:rPr>
          <w:sz w:val="24"/>
          <w:szCs w:val="24"/>
        </w:rPr>
        <w:t xml:space="preserve"> questions that were asked for every environmental sample taken are now only asked for positive samples.</w:t>
      </w:r>
    </w:p>
    <w:p w:rsidR="00F75205" w:rsidRDefault="00F75205" w:rsidP="00BE2399">
      <w:pPr>
        <w:pStyle w:val="ListParagraph"/>
        <w:autoSpaceDE w:val="0"/>
        <w:autoSpaceDN w:val="0"/>
        <w:adjustRightInd w:val="0"/>
        <w:spacing w:before="100" w:beforeAutospacing="1" w:after="100" w:afterAutospacing="1" w:line="240" w:lineRule="auto"/>
        <w:rPr>
          <w:rFonts w:cs="ITCFranklinGothicStd-Book"/>
          <w:sz w:val="24"/>
          <w:szCs w:val="24"/>
        </w:rPr>
      </w:pPr>
    </w:p>
    <w:p w:rsidR="00BE2399" w:rsidRDefault="00D252AB" w:rsidP="00BE2399">
      <w:pPr>
        <w:pStyle w:val="ListParagraph"/>
        <w:numPr>
          <w:ilvl w:val="0"/>
          <w:numId w:val="42"/>
        </w:num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NORS collects de-identified outbreak data on the epidemiologic and clinical laboratory data from outbreaks. NORS and NEARS data are linked using outbreak ID numbers (unique system-generated numbers given to each outbreak in each system upon data entry).</w:t>
      </w:r>
      <w:r w:rsidR="00D10563">
        <w:rPr>
          <w:rFonts w:cs="ITCFranklinGothicStd-Book"/>
          <w:sz w:val="24"/>
          <w:szCs w:val="24"/>
        </w:rPr>
        <w:t xml:space="preserve"> </w:t>
      </w:r>
      <w:r w:rsidRPr="00D252AB">
        <w:rPr>
          <w:rFonts w:cs="ITCFranklinGothicStd-Book"/>
          <w:sz w:val="24"/>
          <w:szCs w:val="24"/>
        </w:rPr>
        <w:t>When data for the same outbreak are reported to both NORS and NEARS, these data can be linked. When NORS and NEARS data are linked, it provides opportunities to strengthen the robustness of outbreak data reported to CDC. Collectively, these data play a vital role in improving the food safety system.</w:t>
      </w:r>
      <w:r w:rsidR="00BE2399">
        <w:rPr>
          <w:rFonts w:cs="ITCFranklinGothicStd-Book"/>
          <w:sz w:val="24"/>
          <w:szCs w:val="24"/>
        </w:rPr>
        <w:t xml:space="preserve"> </w:t>
      </w:r>
      <w:r w:rsidRPr="00BE2399">
        <w:rPr>
          <w:rFonts w:cs="ITCFranklinGothicStd-Book"/>
          <w:sz w:val="24"/>
          <w:szCs w:val="24"/>
        </w:rPr>
        <w:t xml:space="preserve">In 2018, CDC merged NEARS and NORS data for 2014-2016. </w:t>
      </w:r>
      <w:r w:rsidR="00BE2399">
        <w:rPr>
          <w:rFonts w:cs="ITCFranklinGothicStd-Book"/>
          <w:sz w:val="24"/>
          <w:szCs w:val="24"/>
        </w:rPr>
        <w:t>We</w:t>
      </w:r>
      <w:r w:rsidRPr="00BE2399">
        <w:rPr>
          <w:rFonts w:cs="ITCFranklinGothicStd-Book"/>
          <w:sz w:val="24"/>
          <w:szCs w:val="24"/>
        </w:rPr>
        <w:t xml:space="preserve"> were able to match records across the two databases for 85% of outbreaks reported to NEARS. CDC is currently working with sites to understand why the remaining 15% of NEARS outbreaks failed to match.</w:t>
      </w:r>
    </w:p>
    <w:p w:rsidR="00BE2399" w:rsidRDefault="00BE2399" w:rsidP="00BE2399">
      <w:pPr>
        <w:pStyle w:val="ListParagraph"/>
        <w:autoSpaceDE w:val="0"/>
        <w:autoSpaceDN w:val="0"/>
        <w:adjustRightInd w:val="0"/>
        <w:spacing w:before="100" w:beforeAutospacing="1" w:after="100" w:afterAutospacing="1" w:line="240" w:lineRule="auto"/>
        <w:rPr>
          <w:rFonts w:cs="ITCFranklinGothicStd-Book"/>
          <w:sz w:val="24"/>
          <w:szCs w:val="24"/>
        </w:rPr>
      </w:pPr>
    </w:p>
    <w:p w:rsidR="00BE2399" w:rsidRDefault="00BE2399" w:rsidP="00BE2399">
      <w:pPr>
        <w:pStyle w:val="ListParagraph"/>
        <w:numPr>
          <w:ilvl w:val="0"/>
          <w:numId w:val="42"/>
        </w:numPr>
        <w:autoSpaceDE w:val="0"/>
        <w:autoSpaceDN w:val="0"/>
        <w:adjustRightInd w:val="0"/>
        <w:spacing w:before="100" w:beforeAutospacing="1" w:after="100" w:afterAutospacing="1" w:line="240" w:lineRule="auto"/>
        <w:rPr>
          <w:rFonts w:cs="ITCFranklinGothicStd-Book"/>
          <w:sz w:val="24"/>
          <w:szCs w:val="24"/>
        </w:rPr>
      </w:pPr>
      <w:r>
        <w:rPr>
          <w:rFonts w:cs="ITCFranklinGothicStd-Book"/>
          <w:sz w:val="24"/>
          <w:szCs w:val="24"/>
        </w:rPr>
        <w:t>Over half (58%)</w:t>
      </w:r>
      <w:r w:rsidR="00D252AB" w:rsidRPr="00BE2399">
        <w:rPr>
          <w:rFonts w:cs="ITCFranklinGothicStd-Book"/>
          <w:sz w:val="24"/>
          <w:szCs w:val="24"/>
        </w:rPr>
        <w:t xml:space="preserve"> of outbreaks reported to NEARS </w:t>
      </w:r>
      <w:r>
        <w:rPr>
          <w:rFonts w:cs="ITCFranklinGothicStd-Book"/>
          <w:sz w:val="24"/>
          <w:szCs w:val="24"/>
        </w:rPr>
        <w:t xml:space="preserve">had </w:t>
      </w:r>
      <w:r w:rsidR="00D252AB" w:rsidRPr="00BE2399">
        <w:rPr>
          <w:rFonts w:cs="ITCFranklinGothicStd-Book"/>
          <w:sz w:val="24"/>
          <w:szCs w:val="24"/>
        </w:rPr>
        <w:t>identified contributing factors. Contributing factors are determinants that directly or indirectly cause an outbreak</w:t>
      </w:r>
      <w:r w:rsidR="00B231C2" w:rsidRPr="00BE2399">
        <w:rPr>
          <w:rFonts w:cs="ITCFranklinGothicStd-Book"/>
          <w:sz w:val="24"/>
          <w:szCs w:val="24"/>
        </w:rPr>
        <w:t xml:space="preserve">, and they </w:t>
      </w:r>
      <w:r w:rsidR="00D252AB" w:rsidRPr="00BE2399">
        <w:rPr>
          <w:rFonts w:cs="ITCFranklinGothicStd-Book"/>
          <w:sz w:val="24"/>
          <w:szCs w:val="24"/>
        </w:rPr>
        <w:t xml:space="preserve">describe how the outbreak occurred. When data are available to understand how outbreaks occur, they can be used to assist in the development of outbreak prevention efforts. Identifying contributing factors is a key component of understanding the causes of outbreaks and preventing future ones. It is a significant accomplishment that the majority of NEARS outbreaks had an identified contributing factor, since, historically </w:t>
      </w:r>
      <w:r>
        <w:rPr>
          <w:rFonts w:cs="ITCFranklinGothicStd-Book"/>
          <w:sz w:val="24"/>
          <w:szCs w:val="24"/>
        </w:rPr>
        <w:t>these</w:t>
      </w:r>
      <w:r w:rsidR="00D252AB" w:rsidRPr="00BE2399">
        <w:rPr>
          <w:rFonts w:cs="ITCFranklinGothicStd-Book"/>
          <w:sz w:val="24"/>
          <w:szCs w:val="24"/>
        </w:rPr>
        <w:t xml:space="preserve"> data </w:t>
      </w:r>
      <w:r w:rsidR="00B049B2">
        <w:rPr>
          <w:rFonts w:cs="ITCFranklinGothicStd-Book"/>
          <w:sz w:val="24"/>
          <w:szCs w:val="24"/>
        </w:rPr>
        <w:t>were</w:t>
      </w:r>
      <w:r w:rsidR="00D252AB" w:rsidRPr="00BE2399">
        <w:rPr>
          <w:rFonts w:cs="ITCFranklinGothicStd-Book"/>
          <w:sz w:val="24"/>
          <w:szCs w:val="24"/>
        </w:rPr>
        <w:t xml:space="preserve"> not available at a national level. </w:t>
      </w:r>
    </w:p>
    <w:p w:rsidR="00BE2399" w:rsidRPr="00BE2399" w:rsidRDefault="00BE2399" w:rsidP="00BE2399">
      <w:pPr>
        <w:pStyle w:val="ListParagraph"/>
        <w:rPr>
          <w:rFonts w:cs="ITCFranklinGothicStd-Book"/>
          <w:sz w:val="24"/>
          <w:szCs w:val="24"/>
          <w:highlight w:val="yellow"/>
        </w:rPr>
      </w:pPr>
    </w:p>
    <w:p w:rsidR="00B049B2" w:rsidRDefault="00B049B2" w:rsidP="008560F8">
      <w:pPr>
        <w:pStyle w:val="ListParagraph"/>
        <w:numPr>
          <w:ilvl w:val="0"/>
          <w:numId w:val="42"/>
        </w:numPr>
        <w:autoSpaceDE w:val="0"/>
        <w:autoSpaceDN w:val="0"/>
        <w:adjustRightInd w:val="0"/>
        <w:spacing w:before="100" w:beforeAutospacing="1" w:after="100" w:afterAutospacing="1" w:line="240" w:lineRule="auto"/>
        <w:rPr>
          <w:rFonts w:cs="ITCFranklinGothicStd-Book"/>
          <w:sz w:val="24"/>
          <w:szCs w:val="24"/>
        </w:rPr>
      </w:pPr>
      <w:r w:rsidRPr="00B049B2">
        <w:rPr>
          <w:rFonts w:cs="ITCFranklinGothicStd-Book"/>
          <w:sz w:val="24"/>
          <w:szCs w:val="24"/>
        </w:rPr>
        <w:t xml:space="preserve">Analysis of NEARS data identified </w:t>
      </w:r>
      <w:r w:rsidR="00D252AB" w:rsidRPr="00B049B2">
        <w:rPr>
          <w:rFonts w:cs="ITCFranklinGothicStd-Book"/>
          <w:sz w:val="24"/>
          <w:szCs w:val="24"/>
        </w:rPr>
        <w:t xml:space="preserve">some key </w:t>
      </w:r>
      <w:r w:rsidRPr="00B049B2">
        <w:rPr>
          <w:rFonts w:cs="ITCFranklinGothicStd-Book"/>
          <w:sz w:val="24"/>
          <w:szCs w:val="24"/>
        </w:rPr>
        <w:t>investigation activities</w:t>
      </w:r>
      <w:r w:rsidR="00D252AB" w:rsidRPr="00B049B2">
        <w:rPr>
          <w:rFonts w:cs="ITCFranklinGothicStd-Book"/>
          <w:sz w:val="24"/>
          <w:szCs w:val="24"/>
        </w:rPr>
        <w:t xml:space="preserve"> </w:t>
      </w:r>
      <w:r w:rsidRPr="00B049B2">
        <w:rPr>
          <w:rFonts w:cs="ITCFranklinGothicStd-Book"/>
          <w:sz w:val="24"/>
          <w:szCs w:val="24"/>
        </w:rPr>
        <w:t xml:space="preserve">related to identifying outbreak contributing factors. These include conducting timely and </w:t>
      </w:r>
      <w:r w:rsidR="00D252AB" w:rsidRPr="00B049B2">
        <w:rPr>
          <w:rFonts w:cs="ITCFranklinGothicStd-Book"/>
          <w:sz w:val="24"/>
          <w:szCs w:val="24"/>
        </w:rPr>
        <w:t>comprehensive environmental assessments</w:t>
      </w:r>
      <w:r w:rsidR="00B231C2" w:rsidRPr="00B049B2">
        <w:rPr>
          <w:rFonts w:cs="ITCFranklinGothicStd-Book"/>
          <w:sz w:val="24"/>
          <w:szCs w:val="24"/>
        </w:rPr>
        <w:t xml:space="preserve"> </w:t>
      </w:r>
      <w:r w:rsidR="000C5B31" w:rsidRPr="00B049B2">
        <w:rPr>
          <w:rFonts w:cs="ITCFranklinGothicStd-Book"/>
          <w:sz w:val="24"/>
          <w:szCs w:val="24"/>
        </w:rPr>
        <w:t>(</w:t>
      </w:r>
      <w:r w:rsidR="00061EA6" w:rsidRPr="00B049B2">
        <w:rPr>
          <w:rFonts w:cs="ITCFranklinGothicStd-Book"/>
          <w:sz w:val="24"/>
          <w:szCs w:val="24"/>
        </w:rPr>
        <w:t xml:space="preserve">Brown, Hoover, Selman, Coleman, Schurz Rogers, 2017). </w:t>
      </w:r>
      <w:r>
        <w:rPr>
          <w:rFonts w:cs="ITCFranklinGothicStd-Book"/>
          <w:sz w:val="24"/>
          <w:szCs w:val="24"/>
        </w:rPr>
        <w:t>These analyses provide valuable information about how to improve outbreak investigations.</w:t>
      </w:r>
    </w:p>
    <w:p w:rsidR="00B049B2" w:rsidRPr="00B049B2" w:rsidRDefault="00B049B2" w:rsidP="00B049B2">
      <w:pPr>
        <w:pStyle w:val="ListParagraph"/>
        <w:rPr>
          <w:rFonts w:cs="ITCFranklinGothicStd-Book"/>
          <w:sz w:val="24"/>
          <w:szCs w:val="24"/>
        </w:rPr>
      </w:pPr>
    </w:p>
    <w:p w:rsidR="00D252AB" w:rsidRPr="00B049B2" w:rsidRDefault="00D252AB" w:rsidP="008560F8">
      <w:pPr>
        <w:pStyle w:val="ListParagraph"/>
        <w:numPr>
          <w:ilvl w:val="0"/>
          <w:numId w:val="42"/>
        </w:numPr>
        <w:autoSpaceDE w:val="0"/>
        <w:autoSpaceDN w:val="0"/>
        <w:adjustRightInd w:val="0"/>
        <w:spacing w:before="100" w:beforeAutospacing="1" w:after="100" w:afterAutospacing="1" w:line="240" w:lineRule="auto"/>
        <w:rPr>
          <w:rFonts w:cs="ITCFranklinGothicStd-Book"/>
          <w:sz w:val="24"/>
          <w:szCs w:val="24"/>
        </w:rPr>
      </w:pPr>
      <w:r w:rsidRPr="00B049B2">
        <w:rPr>
          <w:rFonts w:cs="ITCFranklinGothicStd-Book"/>
          <w:sz w:val="24"/>
          <w:szCs w:val="24"/>
        </w:rPr>
        <w:t>Participation of food safety programs in NEARS is voluntary and a convenience sample; therefore, the information collected is not designed to contribute to generalizable knowledge applicable to all foodborne illness outbreaks. Data collected in NEARS will be invaluable in determining and understanding the ultimate causes of outbreaks, and are critically important to outbreak response and prevention efforts, because they answer how and why questions about the causes of outbreaks. Over time</w:t>
      </w:r>
      <w:r w:rsidR="008560F8">
        <w:rPr>
          <w:rFonts w:cs="ITCFranklinGothicStd-Book"/>
          <w:sz w:val="24"/>
          <w:szCs w:val="24"/>
        </w:rPr>
        <w:t>,</w:t>
      </w:r>
      <w:r w:rsidRPr="00B049B2">
        <w:rPr>
          <w:rFonts w:cs="ITCFranklinGothicStd-Book"/>
          <w:sz w:val="24"/>
          <w:szCs w:val="24"/>
        </w:rPr>
        <w:t xml:space="preserve"> CDC will use data from NEARS to develop recommendations specific to individual food safety programs and those that are broadly applicable to other NEARS participants engaged in foodborne illness outbreak response and prevention. For example, if data analysis reveals that the lack of policies requiring workers to tell managers when they are ill is associated with the contributing factor of workers working while ill, CDC can develop interventions designed to increase the food safety programs’ implementation of such policies. Other public health agencies (FDA, USDA, state and local food safety programs, industry) may </w:t>
      </w:r>
      <w:r w:rsidR="00B231C2" w:rsidRPr="00B049B2">
        <w:rPr>
          <w:rFonts w:cs="ITCFranklinGothicStd-Book"/>
          <w:sz w:val="24"/>
          <w:szCs w:val="24"/>
        </w:rPr>
        <w:t xml:space="preserve">also </w:t>
      </w:r>
      <w:r w:rsidRPr="00B049B2">
        <w:rPr>
          <w:rFonts w:cs="ITCFranklinGothicStd-Book"/>
          <w:sz w:val="24"/>
          <w:szCs w:val="24"/>
        </w:rPr>
        <w:t xml:space="preserve">use the data in this way. </w:t>
      </w:r>
    </w:p>
    <w:p w:rsidR="00D252AB" w:rsidRPr="00D252AB" w:rsidRDefault="00D252AB" w:rsidP="00E87525">
      <w:p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Without these data, it will be difficult for CDC to identify the environmental factors associated with contributing factors and foodborne illness outbreaks, and without this information, it will be difficult to reduce outbreaks and consequently reduce illness associated with them.</w:t>
      </w:r>
    </w:p>
    <w:p w:rsidR="00D252AB" w:rsidRPr="00D20211" w:rsidRDefault="00D252AB" w:rsidP="00E87525">
      <w:p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In the future, should a nationally representative program evolve, we may be able to generalize our data. We expect that program participation will increase over time. However, until all eligible programs are participating, a limitation of our data will be that it applies to only those jurisdictions participating in NEARS.</w:t>
      </w:r>
    </w:p>
    <w:p w:rsidR="00C13959" w:rsidRPr="00D20211" w:rsidRDefault="00601F1A" w:rsidP="004976CC">
      <w:pPr>
        <w:pStyle w:val="Heading1"/>
        <w:pBdr>
          <w:bottom w:val="none" w:sz="0" w:space="0" w:color="auto"/>
        </w:pBdr>
        <w:rPr>
          <w:color w:val="auto"/>
        </w:rPr>
      </w:pPr>
      <w:bookmarkStart w:id="5" w:name="_Toc532377520"/>
      <w:r w:rsidRPr="00D20211">
        <w:rPr>
          <w:color w:val="auto"/>
        </w:rPr>
        <w:t>A.</w:t>
      </w:r>
      <w:r w:rsidR="004D21C9" w:rsidRPr="00D20211">
        <w:rPr>
          <w:color w:val="auto"/>
        </w:rPr>
        <w:t xml:space="preserve">3.  </w:t>
      </w:r>
      <w:r w:rsidR="00B45002" w:rsidRPr="00D20211">
        <w:rPr>
          <w:color w:val="auto"/>
        </w:rPr>
        <w:t>Use of Improved Information Technology and Burden Reduction</w:t>
      </w:r>
      <w:bookmarkEnd w:id="5"/>
    </w:p>
    <w:p w:rsidR="004976CC" w:rsidRDefault="004976CC" w:rsidP="004976CC"/>
    <w:p w:rsidR="00D252AB" w:rsidRPr="00D252AB" w:rsidRDefault="00D252AB" w:rsidP="00D252AB">
      <w:pPr>
        <w:rPr>
          <w:sz w:val="24"/>
        </w:rPr>
      </w:pPr>
      <w:r w:rsidRPr="00D252AB">
        <w:rPr>
          <w:sz w:val="24"/>
        </w:rPr>
        <w:t>Participating food safety programs will record all their information on pen and paper (Attachments 6 and 8) and then enter all their data into a secured web-based system (Attachment 7) designed to make data entry easy for respondents. This eliminates the need to copy data collection forms or to mail or fax forms to CDC.</w:t>
      </w:r>
    </w:p>
    <w:p w:rsidR="00D252AB" w:rsidRPr="00D252AB" w:rsidRDefault="00D252AB" w:rsidP="00D252AB">
      <w:pPr>
        <w:rPr>
          <w:sz w:val="24"/>
        </w:rPr>
      </w:pPr>
      <w:r w:rsidRPr="00D252AB">
        <w:rPr>
          <w:sz w:val="24"/>
        </w:rPr>
        <w:t>In the future, CDC plans to develop a mobile web application (contingent on receiving additional funding) that will extend the functionality of the current system. When available, CDC will seek PRA clearance for the approved use of this application. Th</w:t>
      </w:r>
      <w:r w:rsidR="00C930DF">
        <w:rPr>
          <w:sz w:val="24"/>
        </w:rPr>
        <w:t>e proposed</w:t>
      </w:r>
      <w:r w:rsidRPr="00D252AB">
        <w:rPr>
          <w:sz w:val="24"/>
        </w:rPr>
        <w:t xml:space="preserve"> mobile web application will support the storing and reporting of environmental assessment data. By enhancing the current system to allow mobile data importing into NEARS, this will allow greater productivity in the field as data collectors are no longer confined to an office infrastructure to electronically capture and enter data.</w:t>
      </w:r>
    </w:p>
    <w:p w:rsidR="00B45002" w:rsidRPr="00D20211" w:rsidRDefault="00601F1A" w:rsidP="004D7237">
      <w:pPr>
        <w:pStyle w:val="Heading1"/>
        <w:pBdr>
          <w:bottom w:val="none" w:sz="0" w:space="0" w:color="auto"/>
        </w:pBdr>
        <w:rPr>
          <w:color w:val="auto"/>
        </w:rPr>
      </w:pPr>
      <w:bookmarkStart w:id="6" w:name="_Toc532377521"/>
      <w:r w:rsidRPr="00D20211">
        <w:rPr>
          <w:color w:val="auto"/>
        </w:rPr>
        <w:t>A.</w:t>
      </w:r>
      <w:r w:rsidR="004D21C9" w:rsidRPr="00D20211">
        <w:rPr>
          <w:color w:val="auto"/>
        </w:rPr>
        <w:t xml:space="preserve">4.  </w:t>
      </w:r>
      <w:r w:rsidR="00B45002" w:rsidRPr="00D20211">
        <w:rPr>
          <w:color w:val="auto"/>
        </w:rPr>
        <w:t>Efforts to Identify Duplication and Use of Similar Information</w:t>
      </w:r>
      <w:bookmarkEnd w:id="6"/>
    </w:p>
    <w:p w:rsidR="004D7237" w:rsidRPr="00D20211" w:rsidRDefault="004D7237" w:rsidP="004D7237"/>
    <w:p w:rsidR="00D252AB" w:rsidRPr="00D252AB" w:rsidRDefault="00D252AB" w:rsidP="00D252AB">
      <w:pPr>
        <w:autoSpaceDE w:val="0"/>
        <w:autoSpaceDN w:val="0"/>
        <w:adjustRightInd w:val="0"/>
        <w:spacing w:line="240" w:lineRule="auto"/>
        <w:rPr>
          <w:rFonts w:cs="ITCFranklinGothicStd-Book"/>
          <w:sz w:val="24"/>
          <w:szCs w:val="24"/>
        </w:rPr>
      </w:pPr>
      <w:r>
        <w:rPr>
          <w:rFonts w:cs="ITCFranklinGothicStd-Book"/>
          <w:sz w:val="24"/>
          <w:szCs w:val="24"/>
        </w:rPr>
        <w:t xml:space="preserve">Through examination of the activities </w:t>
      </w:r>
      <w:r w:rsidRPr="00D252AB">
        <w:rPr>
          <w:rFonts w:cs="ITCFranklinGothicStd-Book"/>
          <w:sz w:val="24"/>
          <w:szCs w:val="24"/>
        </w:rPr>
        <w:t xml:space="preserve">of other organizations, such as FDA, and organizations within CDC, such as NCEZID, we have confirmed that no local, state, federal, territorial, or tribal surveillance system for reporting of information about environmental factors associated with foodborne illness outbreaks presently exists. However, epidemiological and clinical information on foodborne illness outbreaks is currently reported in other national surveillance systems, such as NORS. So that data from other systems and NEARS can be linked when appropriate, NEARS collects information related to whether epidemiological or laboratory information has been reported to other surveillance systems and the reporting numbers associated with those systems for each outbreak. </w:t>
      </w:r>
    </w:p>
    <w:p w:rsidR="00D252AB" w:rsidRPr="00D252AB" w:rsidRDefault="00D252AB" w:rsidP="00D252AB">
      <w:pPr>
        <w:autoSpaceDE w:val="0"/>
        <w:autoSpaceDN w:val="0"/>
        <w:adjustRightInd w:val="0"/>
        <w:spacing w:line="240" w:lineRule="auto"/>
        <w:rPr>
          <w:rFonts w:cs="ITCFranklinGothicStd-Book"/>
          <w:sz w:val="24"/>
          <w:szCs w:val="24"/>
        </w:rPr>
      </w:pPr>
      <w:r w:rsidRPr="00D252AB">
        <w:rPr>
          <w:rFonts w:cs="ITCFranklinGothicStd-Book"/>
          <w:sz w:val="24"/>
          <w:szCs w:val="24"/>
        </w:rPr>
        <w:t>Additionally, both NORS and NEARS collect the names of identified contributing factors; however, NEARS also collects several important additional details about the contributing factors, such as when the contributing factors occurred and how they were identified. Once NEARS is an established reporting system for food safety programs, the contributing factor data points will be dropped from NORS, eliminating this overlap.</w:t>
      </w:r>
    </w:p>
    <w:p w:rsidR="00D252AB" w:rsidRPr="00D252AB" w:rsidRDefault="00D252AB" w:rsidP="00D252AB">
      <w:pPr>
        <w:autoSpaceDE w:val="0"/>
        <w:autoSpaceDN w:val="0"/>
        <w:adjustRightInd w:val="0"/>
        <w:spacing w:line="240" w:lineRule="auto"/>
        <w:rPr>
          <w:rFonts w:cs="ITCFranklinGothicStd-Book"/>
          <w:sz w:val="24"/>
          <w:szCs w:val="24"/>
        </w:rPr>
      </w:pPr>
      <w:r w:rsidRPr="00D252AB">
        <w:rPr>
          <w:rFonts w:cs="ITCFranklinGothicStd-Book"/>
          <w:sz w:val="24"/>
          <w:szCs w:val="24"/>
        </w:rPr>
        <w:t>As noted earlier, the implementation of NEARS resulted in two foodborne illness outbreak surveillance systems at CDC—NORS and NEARS. NORS and NEARS will collect different and complementary sets of data on foodborne illness outbreaks; both data sets are critical to food safety efforts. Although CDC’s long-term goal is to have one foodborne illness outbreak surveillance system that will collect these two data sets, it is currently not feasible, given coordination and communication issues at the local, state, federal, territorial, or tribal level. CDC will be working to improve coordination and communication between these two types of programs so that we can eventually meet the goal of one foodborne illness outbreak surveillance system.</w:t>
      </w:r>
    </w:p>
    <w:p w:rsidR="00B45002" w:rsidRPr="00D20211" w:rsidRDefault="00601F1A" w:rsidP="00601F1A">
      <w:pPr>
        <w:pStyle w:val="Heading1"/>
        <w:pBdr>
          <w:bottom w:val="none" w:sz="0" w:space="0" w:color="auto"/>
        </w:pBdr>
        <w:rPr>
          <w:color w:val="auto"/>
        </w:rPr>
      </w:pPr>
      <w:bookmarkStart w:id="7" w:name="_Toc532377522"/>
      <w:r w:rsidRPr="00D20211">
        <w:rPr>
          <w:color w:val="auto"/>
        </w:rPr>
        <w:t>A.</w:t>
      </w:r>
      <w:r w:rsidR="004D21C9" w:rsidRPr="00D20211">
        <w:rPr>
          <w:color w:val="auto"/>
        </w:rPr>
        <w:t xml:space="preserve">5.  </w:t>
      </w:r>
      <w:r w:rsidR="00B45002" w:rsidRPr="00D20211">
        <w:rPr>
          <w:color w:val="auto"/>
        </w:rPr>
        <w:t>Impact on Small Businesses or Other Small Entities</w:t>
      </w:r>
      <w:bookmarkEnd w:id="7"/>
    </w:p>
    <w:p w:rsidR="00D252AB" w:rsidRPr="00D252AB" w:rsidRDefault="00D252AB" w:rsidP="00E87525">
      <w:p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 xml:space="preserve">Local, state, federal, territorial, and tribal food safety program officials are the primary respondents for this data collection. </w:t>
      </w:r>
      <w:r w:rsidR="00073797">
        <w:rPr>
          <w:rFonts w:cs="ITCFranklinGothicStd-Book"/>
          <w:sz w:val="24"/>
          <w:szCs w:val="24"/>
        </w:rPr>
        <w:t xml:space="preserve"> </w:t>
      </w:r>
      <w:r w:rsidRPr="00D252AB">
        <w:rPr>
          <w:rFonts w:cs="ITCFranklinGothicStd-Book"/>
          <w:sz w:val="24"/>
          <w:szCs w:val="24"/>
        </w:rPr>
        <w:t xml:space="preserve">As indicated earlier, the foodborne illness outbreak investigation data reported into NEARS by these officials is reported to CDC as a part of routine public health practice (Attachment 6). Food safety programs do vary in size; some of them are small, with </w:t>
      </w:r>
      <w:r w:rsidRPr="00DC6291">
        <w:rPr>
          <w:rFonts w:cs="ITCFranklinGothicStd-Book"/>
          <w:sz w:val="24"/>
          <w:szCs w:val="24"/>
        </w:rPr>
        <w:t xml:space="preserve">few staff (estimate: 30%). </w:t>
      </w:r>
      <w:r w:rsidRPr="00D252AB">
        <w:rPr>
          <w:rFonts w:cs="ITCFranklinGothicStd-Book"/>
          <w:sz w:val="24"/>
          <w:szCs w:val="24"/>
        </w:rPr>
        <w:t>Reporting to NEARS may be difficult for some of these small programs. However, reporting into NEARS is voluntary; and small entities will be encouraged to delay their participation until they can do so relatively easily.</w:t>
      </w:r>
    </w:p>
    <w:p w:rsidR="00D252AB" w:rsidRDefault="00D252AB" w:rsidP="00E87525">
      <w:p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Retail food managers of establishments in which outbreak investigations occur are respondents to the manager interview (Attachment 8). Some of these establishments will be small (estimate: 30%). However, it is important to note that this interview will only be conducted in establishments in which a routine public health activity</w:t>
      </w:r>
      <w:r w:rsidR="00073797">
        <w:rPr>
          <w:rFonts w:cs="ITCFranklinGothicStd-Book"/>
          <w:sz w:val="24"/>
          <w:szCs w:val="24"/>
        </w:rPr>
        <w:t xml:space="preserve">—an </w:t>
      </w:r>
      <w:r w:rsidRPr="00D252AB">
        <w:rPr>
          <w:rFonts w:cs="ITCFranklinGothicStd-Book"/>
          <w:sz w:val="24"/>
          <w:szCs w:val="24"/>
        </w:rPr>
        <w:t>outbreak investigation</w:t>
      </w:r>
      <w:r w:rsidR="00073797">
        <w:rPr>
          <w:rFonts w:cs="ITCFranklinGothicStd-Book"/>
          <w:sz w:val="24"/>
          <w:szCs w:val="24"/>
        </w:rPr>
        <w:t xml:space="preserve">—is </w:t>
      </w:r>
      <w:r w:rsidRPr="00D252AB">
        <w:rPr>
          <w:rFonts w:cs="ITCFranklinGothicStd-Book"/>
          <w:sz w:val="24"/>
          <w:szCs w:val="24"/>
        </w:rPr>
        <w:t>already occurring, and this manager interview is a part of that investigation.</w:t>
      </w:r>
    </w:p>
    <w:p w:rsidR="00B45002" w:rsidRPr="00D20211" w:rsidRDefault="00601F1A" w:rsidP="00601F1A">
      <w:pPr>
        <w:pStyle w:val="Heading1"/>
        <w:pBdr>
          <w:bottom w:val="none" w:sz="0" w:space="0" w:color="auto"/>
        </w:pBdr>
        <w:rPr>
          <w:color w:val="auto"/>
        </w:rPr>
      </w:pPr>
      <w:bookmarkStart w:id="8" w:name="_Toc532377523"/>
      <w:r w:rsidRPr="00D20211">
        <w:rPr>
          <w:color w:val="auto"/>
        </w:rPr>
        <w:t>A.</w:t>
      </w:r>
      <w:r w:rsidR="004D21C9" w:rsidRPr="00D20211">
        <w:rPr>
          <w:color w:val="auto"/>
        </w:rPr>
        <w:t xml:space="preserve">6.  </w:t>
      </w:r>
      <w:r w:rsidR="00B45002" w:rsidRPr="00D20211">
        <w:rPr>
          <w:color w:val="auto"/>
        </w:rPr>
        <w:t>Consequences of Collecting the Information Less Frequently</w:t>
      </w:r>
      <w:bookmarkEnd w:id="8"/>
    </w:p>
    <w:p w:rsidR="00D252AB" w:rsidRPr="00D252AB" w:rsidRDefault="00D252AB" w:rsidP="00E87525">
      <w:p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Each respondent is asked to provide information once per outbreak. Programs that voluntarily participate in NEARS are expected to report data on all outbreaks occurring in their jurisdictions. All food safety programs in the U</w:t>
      </w:r>
      <w:r w:rsidR="00073797">
        <w:rPr>
          <w:rFonts w:cs="ITCFranklinGothicStd-Book"/>
          <w:sz w:val="24"/>
          <w:szCs w:val="24"/>
        </w:rPr>
        <w:t xml:space="preserve">.S. </w:t>
      </w:r>
      <w:r w:rsidRPr="00D252AB">
        <w:rPr>
          <w:rFonts w:cs="ITCFranklinGothicStd-Book"/>
          <w:sz w:val="24"/>
          <w:szCs w:val="24"/>
        </w:rPr>
        <w:t>are invited to participate.</w:t>
      </w:r>
    </w:p>
    <w:p w:rsidR="00D252AB" w:rsidRPr="00D252AB" w:rsidRDefault="00D252AB" w:rsidP="00E87525">
      <w:p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 xml:space="preserve">If </w:t>
      </w:r>
      <w:r w:rsidR="00073797">
        <w:rPr>
          <w:rFonts w:cs="ITCFranklinGothicStd-Book"/>
          <w:sz w:val="24"/>
          <w:szCs w:val="24"/>
        </w:rPr>
        <w:t>this information is not collected</w:t>
      </w:r>
      <w:r w:rsidRPr="00D252AB">
        <w:rPr>
          <w:rFonts w:cs="ITCFranklinGothicStd-Book"/>
          <w:sz w:val="24"/>
          <w:szCs w:val="24"/>
        </w:rPr>
        <w:t xml:space="preserve">, </w:t>
      </w:r>
      <w:r w:rsidR="00073797">
        <w:rPr>
          <w:rFonts w:cs="ITCFranklinGothicStd-Book"/>
          <w:sz w:val="24"/>
          <w:szCs w:val="24"/>
        </w:rPr>
        <w:t>a</w:t>
      </w:r>
      <w:r w:rsidR="00073797" w:rsidRPr="00D252AB">
        <w:rPr>
          <w:rFonts w:cs="ITCFranklinGothicStd-Book"/>
          <w:sz w:val="24"/>
          <w:szCs w:val="24"/>
        </w:rPr>
        <w:t xml:space="preserve"> </w:t>
      </w:r>
      <w:r w:rsidRPr="00D252AB">
        <w:rPr>
          <w:rFonts w:cs="ITCFranklinGothicStd-Book"/>
          <w:sz w:val="24"/>
          <w:szCs w:val="24"/>
        </w:rPr>
        <w:t xml:space="preserve">major gap in overall foodborne illness surveillance will remain, hampering efforts to develop effective prevention measures. Thus, it would also be difficult for CDC to fully </w:t>
      </w:r>
      <w:r w:rsidRPr="00CA479A">
        <w:rPr>
          <w:rFonts w:cs="ITCFranklinGothicStd-Book"/>
          <w:sz w:val="24"/>
          <w:szCs w:val="24"/>
        </w:rPr>
        <w:t>address CDC’s research agenda goal of decreasing health risks from environmental exposures.</w:t>
      </w:r>
      <w:r w:rsidRPr="00D252AB">
        <w:rPr>
          <w:rFonts w:cs="ITCFranklinGothicStd-Book"/>
          <w:sz w:val="24"/>
          <w:szCs w:val="24"/>
        </w:rPr>
        <w:t xml:space="preserve"> </w:t>
      </w:r>
    </w:p>
    <w:p w:rsidR="00D252AB" w:rsidRDefault="00D252AB" w:rsidP="00E87525">
      <w:p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There are no legal obstacles to reduce the burden.</w:t>
      </w:r>
    </w:p>
    <w:p w:rsidR="00B45002" w:rsidRPr="00D20211" w:rsidRDefault="00601F1A" w:rsidP="00601F1A">
      <w:pPr>
        <w:pStyle w:val="Heading1"/>
        <w:pBdr>
          <w:bottom w:val="none" w:sz="0" w:space="0" w:color="auto"/>
        </w:pBdr>
        <w:rPr>
          <w:color w:val="auto"/>
        </w:rPr>
      </w:pPr>
      <w:bookmarkStart w:id="9" w:name="_Toc532377524"/>
      <w:r w:rsidRPr="00D20211">
        <w:rPr>
          <w:color w:val="auto"/>
        </w:rPr>
        <w:t>A.</w:t>
      </w:r>
      <w:r w:rsidR="00B45002" w:rsidRPr="00D20211">
        <w:rPr>
          <w:color w:val="auto"/>
        </w:rPr>
        <w:t>7.</w:t>
      </w:r>
      <w:r w:rsidR="004D21C9" w:rsidRPr="00D20211">
        <w:rPr>
          <w:color w:val="auto"/>
        </w:rPr>
        <w:t xml:space="preserve">  </w:t>
      </w:r>
      <w:r w:rsidR="00B45002" w:rsidRPr="00D20211">
        <w:rPr>
          <w:color w:val="auto"/>
        </w:rPr>
        <w:t>Special Circumstances Relating to the Guidelines of 5 CFR 1320.5</w:t>
      </w:r>
      <w:bookmarkEnd w:id="9"/>
    </w:p>
    <w:p w:rsidR="0014151A" w:rsidRPr="00D20211" w:rsidRDefault="0014151A" w:rsidP="00FB3333">
      <w:pPr>
        <w:autoSpaceDE w:val="0"/>
        <w:autoSpaceDN w:val="0"/>
        <w:adjustRightInd w:val="0"/>
        <w:spacing w:line="240" w:lineRule="auto"/>
        <w:rPr>
          <w:sz w:val="24"/>
          <w:szCs w:val="24"/>
        </w:rPr>
      </w:pPr>
    </w:p>
    <w:p w:rsidR="00FB3333" w:rsidRPr="00D20211" w:rsidRDefault="00FB3333" w:rsidP="00BA60FD">
      <w:pPr>
        <w:autoSpaceDE w:val="0"/>
        <w:autoSpaceDN w:val="0"/>
        <w:adjustRightInd w:val="0"/>
        <w:spacing w:line="240" w:lineRule="auto"/>
        <w:rPr>
          <w:rFonts w:cs="ITCFranklinGothicStd-Book"/>
          <w:sz w:val="24"/>
          <w:szCs w:val="24"/>
        </w:rPr>
      </w:pPr>
      <w:r w:rsidRPr="00D20211">
        <w:rPr>
          <w:rFonts w:cs="ITCFranklinGothicStd-Book"/>
          <w:sz w:val="24"/>
          <w:szCs w:val="24"/>
        </w:rPr>
        <w:t>This request fully complies with the regulation 5 CFR</w:t>
      </w:r>
      <w:r w:rsidR="002605A1" w:rsidRPr="00D20211">
        <w:rPr>
          <w:rFonts w:cs="ITCFranklinGothicStd-Book"/>
          <w:sz w:val="24"/>
          <w:szCs w:val="24"/>
        </w:rPr>
        <w:t xml:space="preserve"> </w:t>
      </w:r>
      <w:r w:rsidR="00AE4304">
        <w:rPr>
          <w:rFonts w:cs="ITCFranklinGothicStd-Book"/>
          <w:sz w:val="24"/>
          <w:szCs w:val="24"/>
        </w:rPr>
        <w:t>1320.5.</w:t>
      </w:r>
    </w:p>
    <w:p w:rsidR="00B45002" w:rsidRPr="00D20211" w:rsidRDefault="00601F1A" w:rsidP="00601F1A">
      <w:pPr>
        <w:pStyle w:val="Heading1"/>
        <w:pBdr>
          <w:bottom w:val="none" w:sz="0" w:space="0" w:color="auto"/>
        </w:pBdr>
        <w:rPr>
          <w:color w:val="auto"/>
        </w:rPr>
      </w:pPr>
      <w:bookmarkStart w:id="10" w:name="_Toc532377525"/>
      <w:r w:rsidRPr="00D20211">
        <w:rPr>
          <w:color w:val="auto"/>
        </w:rPr>
        <w:t>A.</w:t>
      </w:r>
      <w:r w:rsidR="004D21C9" w:rsidRPr="00D20211">
        <w:rPr>
          <w:color w:val="auto"/>
        </w:rPr>
        <w:t xml:space="preserve">8.  </w:t>
      </w:r>
      <w:r w:rsidR="00B45002" w:rsidRPr="00D20211">
        <w:rPr>
          <w:color w:val="auto"/>
        </w:rPr>
        <w:t>Comments in Response to the Federal Register Notice and Efforts to Consult Outside the Agency</w:t>
      </w:r>
      <w:bookmarkEnd w:id="10"/>
    </w:p>
    <w:p w:rsidR="0002168F" w:rsidRPr="00AE4304" w:rsidRDefault="00D62EE3" w:rsidP="00E87525">
      <w:pPr>
        <w:autoSpaceDE w:val="0"/>
        <w:autoSpaceDN w:val="0"/>
        <w:adjustRightInd w:val="0"/>
        <w:spacing w:before="100" w:beforeAutospacing="1" w:after="100" w:afterAutospacing="1" w:line="240" w:lineRule="auto"/>
        <w:rPr>
          <w:rFonts w:cs="ITCFranklinGothicStd-Book"/>
          <w:sz w:val="24"/>
          <w:szCs w:val="24"/>
        </w:rPr>
      </w:pPr>
      <w:r w:rsidRPr="00077A0C">
        <w:rPr>
          <w:rFonts w:cs="ITCFranklinGothicStd-Book"/>
          <w:sz w:val="24"/>
          <w:szCs w:val="24"/>
        </w:rPr>
        <w:t xml:space="preserve">A 60-day Federal Register Notice was published in the </w:t>
      </w:r>
      <w:r w:rsidRPr="00077A0C">
        <w:rPr>
          <w:rFonts w:cs="ITCFranklinGothicStd-BookIt"/>
          <w:i/>
          <w:iCs/>
          <w:sz w:val="24"/>
          <w:szCs w:val="24"/>
        </w:rPr>
        <w:t xml:space="preserve">Federal Register </w:t>
      </w:r>
      <w:r w:rsidRPr="00077A0C">
        <w:rPr>
          <w:rFonts w:cs="ITCFranklinGothicStd-Book"/>
          <w:sz w:val="24"/>
          <w:szCs w:val="24"/>
        </w:rPr>
        <w:t xml:space="preserve">on </w:t>
      </w:r>
      <w:r w:rsidR="00A53D36">
        <w:rPr>
          <w:rFonts w:cs="ITCFranklinGothicStd-Book"/>
          <w:sz w:val="24"/>
          <w:szCs w:val="24"/>
        </w:rPr>
        <w:t>March 6</w:t>
      </w:r>
      <w:r w:rsidRPr="00077A0C">
        <w:rPr>
          <w:rFonts w:cs="ITCFranklinGothicStd-Book"/>
          <w:sz w:val="24"/>
          <w:szCs w:val="24"/>
        </w:rPr>
        <w:t>, 20</w:t>
      </w:r>
      <w:r w:rsidR="00A53D36">
        <w:rPr>
          <w:rFonts w:cs="ITCFranklinGothicStd-Book"/>
          <w:sz w:val="24"/>
          <w:szCs w:val="24"/>
        </w:rPr>
        <w:t>19</w:t>
      </w:r>
      <w:r w:rsidRPr="00077A0C">
        <w:rPr>
          <w:rFonts w:cs="ITCFranklinGothicStd-Book"/>
          <w:sz w:val="24"/>
          <w:szCs w:val="24"/>
        </w:rPr>
        <w:t xml:space="preserve">, </w:t>
      </w:r>
      <w:r w:rsidR="00A53D36">
        <w:rPr>
          <w:rFonts w:cs="ITCFranklinGothicStd-Book"/>
          <w:sz w:val="24"/>
          <w:szCs w:val="24"/>
        </w:rPr>
        <w:t>V</w:t>
      </w:r>
      <w:r w:rsidR="00A6012F" w:rsidRPr="00077A0C">
        <w:rPr>
          <w:rFonts w:cs="ITCFranklinGothicStd-Book"/>
          <w:sz w:val="24"/>
          <w:szCs w:val="24"/>
        </w:rPr>
        <w:t xml:space="preserve">ol. </w:t>
      </w:r>
      <w:r w:rsidR="00A53D36">
        <w:rPr>
          <w:rFonts w:cs="ITCFranklinGothicStd-Book"/>
          <w:sz w:val="24"/>
          <w:szCs w:val="24"/>
        </w:rPr>
        <w:t>84</w:t>
      </w:r>
      <w:r w:rsidR="00A6012F" w:rsidRPr="00077A0C">
        <w:rPr>
          <w:rFonts w:cs="ITCFranklinGothicStd-Book"/>
          <w:sz w:val="24"/>
          <w:szCs w:val="24"/>
        </w:rPr>
        <w:t xml:space="preserve"> No. </w:t>
      </w:r>
      <w:r w:rsidR="00A53D36">
        <w:rPr>
          <w:rFonts w:cs="ITCFranklinGothicStd-Book"/>
          <w:sz w:val="24"/>
          <w:szCs w:val="24"/>
        </w:rPr>
        <w:t>44</w:t>
      </w:r>
      <w:r w:rsidR="00A6012F" w:rsidRPr="00077A0C">
        <w:rPr>
          <w:rFonts w:cs="ITCFranklinGothicStd-Book"/>
          <w:sz w:val="24"/>
          <w:szCs w:val="24"/>
        </w:rPr>
        <w:t xml:space="preserve">, pp. </w:t>
      </w:r>
      <w:r w:rsidR="00A53D36">
        <w:rPr>
          <w:rFonts w:cs="ITCFranklinGothicStd-Book"/>
          <w:sz w:val="24"/>
          <w:szCs w:val="24"/>
        </w:rPr>
        <w:t>8101</w:t>
      </w:r>
      <w:r w:rsidR="00A6012F" w:rsidRPr="00077A0C">
        <w:rPr>
          <w:rFonts w:cs="ITCFranklinGothicStd-Book"/>
          <w:sz w:val="24"/>
          <w:szCs w:val="24"/>
        </w:rPr>
        <w:t>-</w:t>
      </w:r>
      <w:r w:rsidR="00A53D36">
        <w:rPr>
          <w:rFonts w:cs="ITCFranklinGothicStd-Book"/>
          <w:sz w:val="24"/>
          <w:szCs w:val="24"/>
        </w:rPr>
        <w:t>8103</w:t>
      </w:r>
      <w:r w:rsidR="00A6012F" w:rsidRPr="00077A0C">
        <w:rPr>
          <w:rFonts w:cs="ITCFranklinGothicStd-Book"/>
          <w:sz w:val="24"/>
          <w:szCs w:val="24"/>
        </w:rPr>
        <w:t xml:space="preserve"> (</w:t>
      </w:r>
      <w:r w:rsidRPr="00077A0C">
        <w:rPr>
          <w:rFonts w:cs="ITCFranklinGothicStd-Book"/>
          <w:b/>
          <w:sz w:val="24"/>
          <w:szCs w:val="24"/>
        </w:rPr>
        <w:t>Att</w:t>
      </w:r>
      <w:r w:rsidR="00A6012F" w:rsidRPr="00077A0C">
        <w:rPr>
          <w:rFonts w:cs="ITCFranklinGothicStd-Book"/>
          <w:b/>
          <w:sz w:val="24"/>
          <w:szCs w:val="24"/>
        </w:rPr>
        <w:t>achment 2</w:t>
      </w:r>
      <w:r w:rsidRPr="00077A0C">
        <w:rPr>
          <w:rFonts w:cs="ITCFranklinGothicStd-Book"/>
          <w:sz w:val="24"/>
          <w:szCs w:val="24"/>
        </w:rPr>
        <w:t xml:space="preserve">). </w:t>
      </w:r>
      <w:r w:rsidR="00AE4304">
        <w:rPr>
          <w:rFonts w:cs="ITCFranklinGothicStd-Book"/>
          <w:sz w:val="24"/>
          <w:szCs w:val="24"/>
        </w:rPr>
        <w:t>CDC</w:t>
      </w:r>
      <w:r w:rsidRPr="00AE4304">
        <w:rPr>
          <w:rFonts w:cs="ITCFranklinGothicStd-Book"/>
          <w:sz w:val="24"/>
          <w:szCs w:val="24"/>
        </w:rPr>
        <w:t xml:space="preserve"> did not receive public comments related to this notice.</w:t>
      </w:r>
    </w:p>
    <w:p w:rsidR="00D62EE3" w:rsidRPr="00AE4304" w:rsidRDefault="00AE4304" w:rsidP="00E87525">
      <w:pPr>
        <w:autoSpaceDE w:val="0"/>
        <w:autoSpaceDN w:val="0"/>
        <w:adjustRightInd w:val="0"/>
        <w:spacing w:before="100" w:beforeAutospacing="1" w:after="100" w:afterAutospacing="1" w:line="240" w:lineRule="auto"/>
        <w:rPr>
          <w:rFonts w:cs="ITCFranklinGothicStd-Demi"/>
          <w:sz w:val="24"/>
          <w:szCs w:val="24"/>
        </w:rPr>
      </w:pPr>
      <w:r w:rsidRPr="00AE4304">
        <w:rPr>
          <w:rFonts w:cs="ITCFranklinGothicStd-Demi"/>
          <w:sz w:val="24"/>
          <w:szCs w:val="24"/>
        </w:rPr>
        <w:t xml:space="preserve">The data collection instrument was developed by the Environmental Health Specialists Network (EHS-Net), a collaborative network of federal, state, and local epidemiologists and environmental health specialists. This network developed the instrument in 2004 and 2005 and revised and tested it extensively from 2006 through 2009. </w:t>
      </w:r>
      <w:r w:rsidR="00DC6291">
        <w:rPr>
          <w:rFonts w:cs="ITCFranklinGothicStd-Demi"/>
          <w:sz w:val="24"/>
          <w:szCs w:val="24"/>
        </w:rPr>
        <w:t xml:space="preserve">We also revised the instrument in 2018; these revisions were based on feedback from NEARS users. </w:t>
      </w:r>
      <w:r w:rsidRPr="00AE4304">
        <w:rPr>
          <w:rFonts w:cs="ITCFranklinGothicStd-Demi"/>
          <w:sz w:val="24"/>
          <w:szCs w:val="24"/>
        </w:rPr>
        <w:t xml:space="preserve">Federal and state consultants are listed in Table A.8.1.  </w:t>
      </w:r>
    </w:p>
    <w:p w:rsidR="003B2A57" w:rsidRPr="00D20211" w:rsidRDefault="00DD7ABB" w:rsidP="00E87525">
      <w:pPr>
        <w:autoSpaceDE w:val="0"/>
        <w:autoSpaceDN w:val="0"/>
        <w:adjustRightInd w:val="0"/>
        <w:spacing w:before="100" w:beforeAutospacing="1" w:after="100" w:afterAutospacing="1" w:line="240" w:lineRule="auto"/>
        <w:jc w:val="both"/>
        <w:rPr>
          <w:rFonts w:cstheme="minorHAnsi"/>
          <w:sz w:val="24"/>
          <w:szCs w:val="24"/>
        </w:rPr>
      </w:pPr>
      <w:r w:rsidRPr="00D20211">
        <w:rPr>
          <w:rFonts w:cstheme="minorHAnsi"/>
          <w:b/>
          <w:sz w:val="24"/>
          <w:szCs w:val="24"/>
        </w:rPr>
        <w:t xml:space="preserve">Table </w:t>
      </w:r>
      <w:r w:rsidR="00AE4304">
        <w:rPr>
          <w:rFonts w:cstheme="minorHAnsi"/>
          <w:b/>
          <w:sz w:val="24"/>
          <w:szCs w:val="24"/>
        </w:rPr>
        <w:t>A.8.</w:t>
      </w:r>
      <w:r w:rsidRPr="00D20211">
        <w:rPr>
          <w:rFonts w:cstheme="minorHAnsi"/>
          <w:b/>
          <w:sz w:val="24"/>
          <w:szCs w:val="24"/>
        </w:rPr>
        <w:t>1</w:t>
      </w:r>
      <w:r w:rsidR="003B2A57" w:rsidRPr="00D20211">
        <w:rPr>
          <w:rFonts w:cstheme="minorHAnsi"/>
          <w:b/>
          <w:sz w:val="24"/>
          <w:szCs w:val="24"/>
        </w:rPr>
        <w:t>.</w:t>
      </w:r>
      <w:r w:rsidR="008F6D26" w:rsidRPr="00D20211">
        <w:rPr>
          <w:rFonts w:cstheme="minorHAnsi"/>
          <w:sz w:val="24"/>
          <w:szCs w:val="24"/>
        </w:rPr>
        <w:t xml:space="preserve"> </w:t>
      </w:r>
      <w:r w:rsidR="00261399" w:rsidRPr="00D20211">
        <w:rPr>
          <w:rFonts w:cstheme="minorHAnsi"/>
          <w:sz w:val="24"/>
          <w:szCs w:val="24"/>
        </w:rPr>
        <w:t xml:space="preserve">2016 </w:t>
      </w:r>
      <w:r w:rsidR="009D2718" w:rsidRPr="00D20211">
        <w:rPr>
          <w:rFonts w:cstheme="minorHAnsi"/>
          <w:sz w:val="24"/>
          <w:szCs w:val="24"/>
        </w:rPr>
        <w:t xml:space="preserve">ATSDR </w:t>
      </w:r>
      <w:r w:rsidR="003B2A57" w:rsidRPr="00D20211">
        <w:rPr>
          <w:rFonts w:cstheme="minorHAnsi"/>
          <w:sz w:val="24"/>
          <w:szCs w:val="24"/>
        </w:rPr>
        <w:t>External Consultations</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4"/>
        <w:gridCol w:w="3125"/>
        <w:gridCol w:w="3125"/>
      </w:tblGrid>
      <w:tr w:rsidR="00AE4304" w:rsidRPr="00AE4304" w:rsidTr="005A555F">
        <w:tc>
          <w:tcPr>
            <w:tcW w:w="9374" w:type="dxa"/>
            <w:gridSpan w:val="3"/>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Federal Consultants</w:t>
            </w:r>
          </w:p>
        </w:tc>
      </w:tr>
      <w:tr w:rsidR="00AE4304" w:rsidRPr="00AE4304" w:rsidTr="005A555F">
        <w:tc>
          <w:tcPr>
            <w:tcW w:w="3124"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Jack Guzewich, RS, MPH (Retired)</w:t>
            </w:r>
          </w:p>
          <w:p w:rsidR="00AE4304" w:rsidRPr="00AE4304" w:rsidRDefault="00AE4304" w:rsidP="00AE4304">
            <w:pPr>
              <w:spacing w:after="0" w:line="240" w:lineRule="auto"/>
              <w:rPr>
                <w:rFonts w:cstheme="minorHAnsi"/>
                <w:sz w:val="24"/>
                <w:szCs w:val="24"/>
              </w:rPr>
            </w:pPr>
            <w:r w:rsidRPr="00AE4304">
              <w:rPr>
                <w:rFonts w:cstheme="minorHAnsi"/>
                <w:sz w:val="24"/>
                <w:szCs w:val="24"/>
              </w:rPr>
              <w:t>Director-Emergency Coordination &amp; Response</w:t>
            </w:r>
          </w:p>
          <w:p w:rsidR="00AE4304" w:rsidRPr="00AE4304" w:rsidRDefault="00AE4304" w:rsidP="00AE4304">
            <w:pPr>
              <w:spacing w:after="0" w:line="240" w:lineRule="auto"/>
              <w:rPr>
                <w:rFonts w:cstheme="minorHAnsi"/>
                <w:sz w:val="24"/>
                <w:szCs w:val="24"/>
              </w:rPr>
            </w:pPr>
            <w:r w:rsidRPr="00AE4304">
              <w:rPr>
                <w:rFonts w:cstheme="minorHAnsi"/>
                <w:sz w:val="24"/>
                <w:szCs w:val="24"/>
              </w:rPr>
              <w:t>U.S. Food and Drug Administration</w:t>
            </w:r>
          </w:p>
          <w:p w:rsidR="00AE4304" w:rsidRPr="00AE4304" w:rsidRDefault="00AE4304" w:rsidP="00AE4304">
            <w:pPr>
              <w:spacing w:after="0" w:line="240" w:lineRule="auto"/>
              <w:rPr>
                <w:rFonts w:cstheme="minorHAnsi"/>
                <w:sz w:val="24"/>
                <w:szCs w:val="24"/>
              </w:rPr>
            </w:pPr>
            <w:r w:rsidRPr="00AE4304">
              <w:rPr>
                <w:rFonts w:cstheme="minorHAnsi"/>
                <w:sz w:val="24"/>
                <w:szCs w:val="24"/>
              </w:rPr>
              <w:t>Center for Food Safety and Applied Nutrition</w:t>
            </w:r>
          </w:p>
          <w:p w:rsidR="00AE4304" w:rsidRPr="00AE4304" w:rsidRDefault="00AE4304" w:rsidP="00AE4304">
            <w:pPr>
              <w:spacing w:after="0" w:line="240" w:lineRule="auto"/>
              <w:rPr>
                <w:rFonts w:cstheme="minorHAnsi"/>
                <w:sz w:val="24"/>
                <w:szCs w:val="24"/>
              </w:rPr>
            </w:pPr>
            <w:r w:rsidRPr="00AE4304">
              <w:rPr>
                <w:rFonts w:cstheme="minorHAnsi"/>
                <w:sz w:val="24"/>
                <w:szCs w:val="24"/>
              </w:rPr>
              <w:t>MS HFS-600 Bld. CPK1</w:t>
            </w:r>
          </w:p>
          <w:p w:rsidR="00AE4304" w:rsidRPr="00AE4304" w:rsidRDefault="00AE4304" w:rsidP="00AE4304">
            <w:pPr>
              <w:spacing w:after="0" w:line="240" w:lineRule="auto"/>
              <w:rPr>
                <w:rFonts w:cstheme="minorHAnsi"/>
                <w:sz w:val="24"/>
                <w:szCs w:val="24"/>
              </w:rPr>
            </w:pPr>
            <w:r w:rsidRPr="00AE4304">
              <w:rPr>
                <w:rFonts w:cstheme="minorHAnsi"/>
                <w:sz w:val="24"/>
                <w:szCs w:val="24"/>
              </w:rPr>
              <w:t>College Park, MD 20740</w:t>
            </w:r>
          </w:p>
          <w:p w:rsidR="00AE4304" w:rsidRPr="00AE4304" w:rsidRDefault="00AE4304" w:rsidP="00AE4304">
            <w:pPr>
              <w:spacing w:after="0" w:line="240" w:lineRule="auto"/>
              <w:rPr>
                <w:rFonts w:cstheme="minorHAnsi"/>
                <w:sz w:val="24"/>
                <w:szCs w:val="24"/>
              </w:rPr>
            </w:pPr>
            <w:r w:rsidRPr="00AE4304">
              <w:rPr>
                <w:rFonts w:cstheme="minorHAnsi"/>
                <w:sz w:val="24"/>
                <w:szCs w:val="24"/>
              </w:rPr>
              <w:t>301-436-1608</w:t>
            </w:r>
          </w:p>
          <w:p w:rsidR="00AE4304" w:rsidRPr="00AE4304" w:rsidRDefault="0049562D" w:rsidP="00AE4304">
            <w:pPr>
              <w:spacing w:after="0" w:line="240" w:lineRule="auto"/>
              <w:rPr>
                <w:rFonts w:cstheme="minorHAnsi"/>
                <w:b/>
                <w:sz w:val="24"/>
                <w:szCs w:val="24"/>
              </w:rPr>
            </w:pPr>
            <w:hyperlink r:id="rId11" w:history="1">
              <w:r w:rsidR="00AE4304" w:rsidRPr="00AE4304">
                <w:rPr>
                  <w:rStyle w:val="Hyperlink"/>
                  <w:rFonts w:cstheme="minorHAnsi"/>
                  <w:sz w:val="24"/>
                  <w:szCs w:val="24"/>
                </w:rPr>
                <w:t>john.guzewich@cfsan.fda.gov</w:t>
              </w:r>
            </w:hyperlink>
          </w:p>
        </w:tc>
        <w:tc>
          <w:tcPr>
            <w:tcW w:w="3125"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Morris Potter, DVM</w:t>
            </w:r>
          </w:p>
          <w:p w:rsidR="00AE4304" w:rsidRPr="00AE4304" w:rsidRDefault="00AE4304" w:rsidP="00AE4304">
            <w:pPr>
              <w:spacing w:after="0" w:line="240" w:lineRule="auto"/>
              <w:rPr>
                <w:rFonts w:cstheme="minorHAnsi"/>
                <w:sz w:val="24"/>
                <w:szCs w:val="24"/>
              </w:rPr>
            </w:pPr>
            <w:r w:rsidRPr="00AE4304">
              <w:rPr>
                <w:rFonts w:cstheme="minorHAnsi"/>
                <w:sz w:val="24"/>
                <w:szCs w:val="24"/>
              </w:rPr>
              <w:t>U.S. Food and Drug Administration</w:t>
            </w:r>
          </w:p>
          <w:p w:rsidR="00AE4304" w:rsidRPr="00AE4304" w:rsidRDefault="00AE4304" w:rsidP="00AE4304">
            <w:pPr>
              <w:spacing w:after="0" w:line="240" w:lineRule="auto"/>
              <w:rPr>
                <w:rFonts w:cstheme="minorHAnsi"/>
                <w:sz w:val="24"/>
                <w:szCs w:val="24"/>
              </w:rPr>
            </w:pPr>
            <w:r w:rsidRPr="00AE4304">
              <w:rPr>
                <w:rFonts w:cstheme="minorHAnsi"/>
                <w:sz w:val="24"/>
                <w:szCs w:val="24"/>
              </w:rPr>
              <w:t>60 Eighth Street, NE</w:t>
            </w:r>
          </w:p>
          <w:p w:rsidR="00AE4304" w:rsidRPr="00AE4304" w:rsidRDefault="00AE4304" w:rsidP="00AE4304">
            <w:pPr>
              <w:spacing w:after="0" w:line="240" w:lineRule="auto"/>
              <w:rPr>
                <w:rFonts w:cstheme="minorHAnsi"/>
                <w:sz w:val="24"/>
                <w:szCs w:val="24"/>
              </w:rPr>
            </w:pPr>
            <w:r w:rsidRPr="00AE4304">
              <w:rPr>
                <w:rFonts w:cstheme="minorHAnsi"/>
                <w:sz w:val="24"/>
                <w:szCs w:val="24"/>
              </w:rPr>
              <w:t>Atlanta, GA 30309</w:t>
            </w:r>
          </w:p>
          <w:p w:rsidR="00AE4304" w:rsidRPr="00AE4304" w:rsidRDefault="00AE4304" w:rsidP="00AE4304">
            <w:pPr>
              <w:spacing w:after="0" w:line="240" w:lineRule="auto"/>
              <w:rPr>
                <w:rFonts w:cstheme="minorHAnsi"/>
                <w:sz w:val="24"/>
                <w:szCs w:val="24"/>
              </w:rPr>
            </w:pPr>
            <w:r w:rsidRPr="00AE4304">
              <w:rPr>
                <w:rFonts w:cstheme="minorHAnsi"/>
                <w:sz w:val="24"/>
                <w:szCs w:val="24"/>
              </w:rPr>
              <w:t>404-253-1225</w:t>
            </w:r>
          </w:p>
          <w:p w:rsidR="00AE4304" w:rsidRPr="00AE4304" w:rsidRDefault="0049562D" w:rsidP="00AE4304">
            <w:pPr>
              <w:spacing w:after="0" w:line="240" w:lineRule="auto"/>
              <w:rPr>
                <w:rFonts w:cstheme="minorHAnsi"/>
                <w:b/>
                <w:sz w:val="24"/>
                <w:szCs w:val="24"/>
              </w:rPr>
            </w:pPr>
            <w:hyperlink r:id="rId12" w:history="1">
              <w:r w:rsidR="00AE4304" w:rsidRPr="00AE4304">
                <w:rPr>
                  <w:rStyle w:val="Hyperlink"/>
                  <w:rFonts w:cstheme="minorHAnsi"/>
                  <w:sz w:val="24"/>
                  <w:szCs w:val="24"/>
                </w:rPr>
                <w:t>mpotter@cfsan.fda.gov</w:t>
              </w:r>
            </w:hyperlink>
          </w:p>
        </w:tc>
        <w:tc>
          <w:tcPr>
            <w:tcW w:w="3125"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Shirley Bohm</w:t>
            </w:r>
          </w:p>
          <w:p w:rsidR="00AE4304" w:rsidRPr="00AE4304" w:rsidRDefault="00AE4304" w:rsidP="00AE4304">
            <w:pPr>
              <w:spacing w:after="0" w:line="240" w:lineRule="auto"/>
              <w:rPr>
                <w:rFonts w:cstheme="minorHAnsi"/>
                <w:sz w:val="24"/>
                <w:szCs w:val="24"/>
              </w:rPr>
            </w:pPr>
            <w:r w:rsidRPr="00AE4304">
              <w:rPr>
                <w:rFonts w:cstheme="minorHAnsi"/>
                <w:sz w:val="24"/>
                <w:szCs w:val="24"/>
              </w:rPr>
              <w:t>Consumer Safety Officer</w:t>
            </w:r>
          </w:p>
          <w:p w:rsidR="00AE4304" w:rsidRPr="00AE4304" w:rsidRDefault="00AE4304" w:rsidP="00AE4304">
            <w:pPr>
              <w:spacing w:after="0" w:line="240" w:lineRule="auto"/>
              <w:rPr>
                <w:rFonts w:cstheme="minorHAnsi"/>
                <w:sz w:val="24"/>
                <w:szCs w:val="24"/>
              </w:rPr>
            </w:pPr>
            <w:r w:rsidRPr="00AE4304">
              <w:rPr>
                <w:rFonts w:cstheme="minorHAnsi"/>
                <w:sz w:val="24"/>
                <w:szCs w:val="24"/>
              </w:rPr>
              <w:t>U.S. Food and Drug Administration</w:t>
            </w:r>
          </w:p>
          <w:p w:rsidR="00AE4304" w:rsidRPr="00AE4304" w:rsidRDefault="00AE4304" w:rsidP="00AE4304">
            <w:pPr>
              <w:spacing w:after="0" w:line="240" w:lineRule="auto"/>
              <w:rPr>
                <w:rFonts w:cstheme="minorHAnsi"/>
                <w:sz w:val="24"/>
                <w:szCs w:val="24"/>
              </w:rPr>
            </w:pPr>
            <w:r w:rsidRPr="00AE4304">
              <w:rPr>
                <w:rFonts w:cstheme="minorHAnsi"/>
                <w:sz w:val="24"/>
                <w:szCs w:val="24"/>
              </w:rPr>
              <w:t>Center for Food Safety and Applied Nutrition</w:t>
            </w:r>
          </w:p>
          <w:p w:rsidR="00AE4304" w:rsidRPr="00AE4304" w:rsidRDefault="00AE4304" w:rsidP="00AE4304">
            <w:pPr>
              <w:spacing w:after="0" w:line="240" w:lineRule="auto"/>
              <w:rPr>
                <w:rFonts w:cstheme="minorHAnsi"/>
                <w:sz w:val="24"/>
                <w:szCs w:val="24"/>
              </w:rPr>
            </w:pPr>
            <w:r w:rsidRPr="00AE4304">
              <w:rPr>
                <w:rFonts w:cstheme="minorHAnsi"/>
                <w:sz w:val="24"/>
                <w:szCs w:val="24"/>
              </w:rPr>
              <w:t>5100 Paint Branch Parkway, MS HFS-627</w:t>
            </w:r>
          </w:p>
          <w:p w:rsidR="00AE4304" w:rsidRPr="00AE4304" w:rsidRDefault="00AE4304" w:rsidP="00AE4304">
            <w:pPr>
              <w:spacing w:after="0" w:line="240" w:lineRule="auto"/>
              <w:rPr>
                <w:rFonts w:cstheme="minorHAnsi"/>
                <w:sz w:val="24"/>
                <w:szCs w:val="24"/>
              </w:rPr>
            </w:pPr>
            <w:r w:rsidRPr="00AE4304">
              <w:rPr>
                <w:rFonts w:cstheme="minorHAnsi"/>
                <w:sz w:val="24"/>
                <w:szCs w:val="24"/>
              </w:rPr>
              <w:t>College Park, MD 20740</w:t>
            </w:r>
          </w:p>
          <w:p w:rsidR="00AE4304" w:rsidRPr="00AE4304" w:rsidRDefault="00AE4304" w:rsidP="00AE4304">
            <w:pPr>
              <w:spacing w:after="0" w:line="240" w:lineRule="auto"/>
              <w:rPr>
                <w:rFonts w:cstheme="minorHAnsi"/>
                <w:sz w:val="24"/>
                <w:szCs w:val="24"/>
              </w:rPr>
            </w:pPr>
            <w:r w:rsidRPr="00AE4304">
              <w:rPr>
                <w:rFonts w:cstheme="minorHAnsi"/>
                <w:sz w:val="24"/>
                <w:szCs w:val="24"/>
              </w:rPr>
              <w:t>301-436-2096</w:t>
            </w:r>
          </w:p>
          <w:p w:rsidR="00AE4304" w:rsidRPr="00AE4304" w:rsidRDefault="0049562D" w:rsidP="00AE4304">
            <w:pPr>
              <w:spacing w:after="0" w:line="240" w:lineRule="auto"/>
              <w:rPr>
                <w:rFonts w:cstheme="minorHAnsi"/>
                <w:b/>
                <w:sz w:val="24"/>
                <w:szCs w:val="24"/>
              </w:rPr>
            </w:pPr>
            <w:hyperlink r:id="rId13" w:history="1">
              <w:r w:rsidR="00AE4304" w:rsidRPr="00FD323A">
                <w:rPr>
                  <w:rStyle w:val="Hyperlink"/>
                  <w:rFonts w:cstheme="minorHAnsi"/>
                  <w:sz w:val="24"/>
                  <w:szCs w:val="24"/>
                </w:rPr>
                <w:t>shirley.bohm@cfsan.fda.gov</w:t>
              </w:r>
            </w:hyperlink>
            <w:r w:rsidR="00AE4304">
              <w:rPr>
                <w:rFonts w:cstheme="minorHAnsi"/>
                <w:sz w:val="24"/>
                <w:szCs w:val="24"/>
              </w:rPr>
              <w:t xml:space="preserve"> </w:t>
            </w:r>
          </w:p>
        </w:tc>
      </w:tr>
      <w:tr w:rsidR="00AE4304" w:rsidRPr="00AE4304" w:rsidTr="005A555F">
        <w:tc>
          <w:tcPr>
            <w:tcW w:w="3124"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Glenda Lewis</w:t>
            </w:r>
          </w:p>
          <w:p w:rsidR="00AE4304" w:rsidRPr="00AE4304" w:rsidRDefault="00AE4304" w:rsidP="00AE4304">
            <w:pPr>
              <w:spacing w:after="0" w:line="240" w:lineRule="auto"/>
              <w:rPr>
                <w:rFonts w:cstheme="minorHAnsi"/>
                <w:sz w:val="24"/>
                <w:szCs w:val="24"/>
              </w:rPr>
            </w:pPr>
            <w:r w:rsidRPr="00AE4304">
              <w:rPr>
                <w:rFonts w:cstheme="minorHAnsi"/>
                <w:sz w:val="24"/>
                <w:szCs w:val="24"/>
              </w:rPr>
              <w:t>Team Leader, Retail Food Protection Team</w:t>
            </w:r>
          </w:p>
          <w:p w:rsidR="00AE4304" w:rsidRPr="00AE4304" w:rsidRDefault="00AE4304" w:rsidP="00AE4304">
            <w:pPr>
              <w:spacing w:after="0" w:line="240" w:lineRule="auto"/>
              <w:rPr>
                <w:rFonts w:cstheme="minorHAnsi"/>
                <w:sz w:val="24"/>
                <w:szCs w:val="24"/>
              </w:rPr>
            </w:pPr>
            <w:r w:rsidRPr="00AE4304">
              <w:rPr>
                <w:rFonts w:cstheme="minorHAnsi"/>
                <w:sz w:val="24"/>
                <w:szCs w:val="24"/>
              </w:rPr>
              <w:t>U.S. Food and Drug Administration</w:t>
            </w:r>
          </w:p>
          <w:p w:rsidR="00AE4304" w:rsidRPr="00AE4304" w:rsidRDefault="00AE4304" w:rsidP="00AE4304">
            <w:pPr>
              <w:spacing w:after="0" w:line="240" w:lineRule="auto"/>
              <w:rPr>
                <w:rFonts w:cstheme="minorHAnsi"/>
                <w:sz w:val="24"/>
                <w:szCs w:val="24"/>
              </w:rPr>
            </w:pPr>
            <w:r w:rsidRPr="00AE4304">
              <w:rPr>
                <w:rFonts w:cstheme="minorHAnsi"/>
                <w:sz w:val="24"/>
                <w:szCs w:val="24"/>
              </w:rPr>
              <w:t>Center for Food Safety and Applied Nutrition</w:t>
            </w:r>
          </w:p>
          <w:p w:rsidR="00AE4304" w:rsidRPr="00AE4304" w:rsidRDefault="00AE4304" w:rsidP="00AE4304">
            <w:pPr>
              <w:spacing w:after="0" w:line="240" w:lineRule="auto"/>
              <w:rPr>
                <w:rFonts w:cstheme="minorHAnsi"/>
                <w:sz w:val="24"/>
                <w:szCs w:val="24"/>
              </w:rPr>
            </w:pPr>
            <w:r w:rsidRPr="00AE4304">
              <w:rPr>
                <w:rFonts w:cstheme="minorHAnsi"/>
                <w:sz w:val="24"/>
                <w:szCs w:val="24"/>
              </w:rPr>
              <w:t>5100 Paint Branch Parkway, MS HFS-627</w:t>
            </w:r>
          </w:p>
          <w:p w:rsidR="00AE4304" w:rsidRPr="00AE4304" w:rsidRDefault="00AE4304" w:rsidP="00AE4304">
            <w:pPr>
              <w:spacing w:after="0" w:line="240" w:lineRule="auto"/>
              <w:rPr>
                <w:rFonts w:cstheme="minorHAnsi"/>
                <w:sz w:val="24"/>
                <w:szCs w:val="24"/>
              </w:rPr>
            </w:pPr>
            <w:r w:rsidRPr="00AE4304">
              <w:rPr>
                <w:rFonts w:cstheme="minorHAnsi"/>
                <w:sz w:val="24"/>
                <w:szCs w:val="24"/>
              </w:rPr>
              <w:t>College Park, MD 20740</w:t>
            </w:r>
          </w:p>
          <w:p w:rsidR="00AE4304" w:rsidRPr="00AE4304" w:rsidRDefault="00AE4304" w:rsidP="00AE4304">
            <w:pPr>
              <w:spacing w:after="0" w:line="240" w:lineRule="auto"/>
              <w:rPr>
                <w:rFonts w:cstheme="minorHAnsi"/>
                <w:sz w:val="24"/>
                <w:szCs w:val="24"/>
              </w:rPr>
            </w:pPr>
            <w:r w:rsidRPr="00AE4304">
              <w:rPr>
                <w:rFonts w:cstheme="minorHAnsi"/>
                <w:sz w:val="24"/>
                <w:szCs w:val="24"/>
              </w:rPr>
              <w:t>(301) 436-1608</w:t>
            </w:r>
          </w:p>
          <w:p w:rsidR="00AE4304" w:rsidRPr="00AE4304" w:rsidRDefault="0049562D" w:rsidP="00AE4304">
            <w:pPr>
              <w:spacing w:after="0" w:line="240" w:lineRule="auto"/>
              <w:rPr>
                <w:rFonts w:cstheme="minorHAnsi"/>
                <w:b/>
                <w:sz w:val="24"/>
                <w:szCs w:val="24"/>
              </w:rPr>
            </w:pPr>
            <w:hyperlink r:id="rId14" w:history="1">
              <w:r w:rsidR="00AE4304" w:rsidRPr="00FD323A">
                <w:rPr>
                  <w:rStyle w:val="Hyperlink"/>
                  <w:rFonts w:cstheme="minorHAnsi"/>
                  <w:sz w:val="24"/>
                  <w:szCs w:val="24"/>
                </w:rPr>
                <w:t>glenda.lewis@fda.hhs.gov</w:t>
              </w:r>
            </w:hyperlink>
            <w:r w:rsidR="00AE4304">
              <w:rPr>
                <w:rFonts w:cstheme="minorHAnsi"/>
                <w:sz w:val="24"/>
                <w:szCs w:val="24"/>
              </w:rPr>
              <w:t xml:space="preserve"> </w:t>
            </w:r>
          </w:p>
        </w:tc>
        <w:tc>
          <w:tcPr>
            <w:tcW w:w="3125"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Moshe Dreyfuss</w:t>
            </w:r>
          </w:p>
          <w:p w:rsidR="00AE4304" w:rsidRPr="00AE4304" w:rsidRDefault="00AE4304" w:rsidP="00AE4304">
            <w:pPr>
              <w:spacing w:after="0" w:line="240" w:lineRule="auto"/>
              <w:rPr>
                <w:rFonts w:cstheme="minorHAnsi"/>
                <w:sz w:val="24"/>
                <w:szCs w:val="24"/>
              </w:rPr>
            </w:pPr>
            <w:r w:rsidRPr="00AE4304">
              <w:rPr>
                <w:rFonts w:cstheme="minorHAnsi"/>
                <w:sz w:val="24"/>
                <w:szCs w:val="24"/>
              </w:rPr>
              <w:t>Branch Chief</w:t>
            </w:r>
          </w:p>
          <w:p w:rsidR="00AE4304" w:rsidRPr="00AE4304" w:rsidRDefault="00AE4304" w:rsidP="00AE4304">
            <w:pPr>
              <w:spacing w:after="0" w:line="240" w:lineRule="auto"/>
              <w:rPr>
                <w:rFonts w:cstheme="minorHAnsi"/>
                <w:sz w:val="24"/>
                <w:szCs w:val="24"/>
              </w:rPr>
            </w:pPr>
            <w:r w:rsidRPr="00AE4304">
              <w:rPr>
                <w:rFonts w:cstheme="minorHAnsi"/>
                <w:sz w:val="24"/>
                <w:szCs w:val="24"/>
              </w:rPr>
              <w:t>U.S. Department of Agriculture</w:t>
            </w:r>
          </w:p>
          <w:p w:rsidR="00AE4304" w:rsidRPr="00AE4304" w:rsidRDefault="00AE4304" w:rsidP="00AE4304">
            <w:pPr>
              <w:spacing w:after="0" w:line="240" w:lineRule="auto"/>
              <w:rPr>
                <w:rFonts w:cstheme="minorHAnsi"/>
                <w:sz w:val="24"/>
                <w:szCs w:val="24"/>
              </w:rPr>
            </w:pPr>
            <w:r w:rsidRPr="00AE4304">
              <w:rPr>
                <w:rFonts w:cstheme="minorHAnsi"/>
                <w:sz w:val="24"/>
                <w:szCs w:val="24"/>
              </w:rPr>
              <w:t>Food Safety and Inspection Service</w:t>
            </w:r>
          </w:p>
          <w:p w:rsidR="00AE4304" w:rsidRPr="00AE4304" w:rsidRDefault="00AE4304" w:rsidP="00AE4304">
            <w:pPr>
              <w:spacing w:after="0" w:line="240" w:lineRule="auto"/>
              <w:rPr>
                <w:rFonts w:cstheme="minorHAnsi"/>
                <w:sz w:val="24"/>
                <w:szCs w:val="24"/>
              </w:rPr>
            </w:pPr>
            <w:r w:rsidRPr="00AE4304">
              <w:rPr>
                <w:rFonts w:cstheme="minorHAnsi"/>
                <w:sz w:val="24"/>
                <w:szCs w:val="24"/>
              </w:rPr>
              <w:t>Microbiology Issues Branch</w:t>
            </w:r>
          </w:p>
          <w:p w:rsidR="00AE4304" w:rsidRPr="00AE4304" w:rsidRDefault="00AE4304" w:rsidP="00AE4304">
            <w:pPr>
              <w:spacing w:after="0" w:line="240" w:lineRule="auto"/>
              <w:rPr>
                <w:rFonts w:cstheme="minorHAnsi"/>
                <w:sz w:val="24"/>
                <w:szCs w:val="24"/>
              </w:rPr>
            </w:pPr>
            <w:r w:rsidRPr="00AE4304">
              <w:rPr>
                <w:rFonts w:cstheme="minorHAnsi"/>
                <w:sz w:val="24"/>
                <w:szCs w:val="24"/>
              </w:rPr>
              <w:t>1400 Independence Ave, SW Room 344 Aerospace Center</w:t>
            </w:r>
          </w:p>
          <w:p w:rsidR="00AE4304" w:rsidRPr="00AE4304" w:rsidRDefault="00AE4304" w:rsidP="00AE4304">
            <w:pPr>
              <w:spacing w:after="0" w:line="240" w:lineRule="auto"/>
              <w:rPr>
                <w:rFonts w:cstheme="minorHAnsi"/>
                <w:sz w:val="24"/>
                <w:szCs w:val="24"/>
              </w:rPr>
            </w:pPr>
            <w:r w:rsidRPr="00AE4304">
              <w:rPr>
                <w:rFonts w:cstheme="minorHAnsi"/>
                <w:sz w:val="24"/>
                <w:szCs w:val="24"/>
              </w:rPr>
              <w:t>Washington, DC 20250</w:t>
            </w:r>
          </w:p>
          <w:p w:rsidR="00AE4304" w:rsidRPr="00AE4304" w:rsidRDefault="00AE4304" w:rsidP="00AE4304">
            <w:pPr>
              <w:spacing w:after="0" w:line="240" w:lineRule="auto"/>
              <w:rPr>
                <w:rFonts w:cstheme="minorHAnsi"/>
                <w:sz w:val="24"/>
                <w:szCs w:val="24"/>
              </w:rPr>
            </w:pPr>
            <w:r w:rsidRPr="00AE4304">
              <w:rPr>
                <w:rFonts w:cstheme="minorHAnsi"/>
                <w:sz w:val="24"/>
                <w:szCs w:val="24"/>
              </w:rPr>
              <w:t>202-690-6379</w:t>
            </w:r>
          </w:p>
          <w:p w:rsidR="00AE4304" w:rsidRPr="00AE4304" w:rsidRDefault="0049562D" w:rsidP="00AE4304">
            <w:pPr>
              <w:spacing w:after="0" w:line="240" w:lineRule="auto"/>
              <w:rPr>
                <w:rFonts w:cstheme="minorHAnsi"/>
                <w:b/>
                <w:sz w:val="24"/>
                <w:szCs w:val="24"/>
              </w:rPr>
            </w:pPr>
            <w:hyperlink r:id="rId15" w:history="1">
              <w:r w:rsidR="00AE4304" w:rsidRPr="00FD323A">
                <w:rPr>
                  <w:rStyle w:val="Hyperlink"/>
                  <w:rFonts w:cstheme="minorHAnsi"/>
                  <w:sz w:val="24"/>
                  <w:szCs w:val="24"/>
                </w:rPr>
                <w:t>moshe.dreyfuss@fsis.usda.gov</w:t>
              </w:r>
            </w:hyperlink>
            <w:r w:rsidR="00AE4304">
              <w:rPr>
                <w:rFonts w:cstheme="minorHAnsi"/>
                <w:sz w:val="24"/>
                <w:szCs w:val="24"/>
              </w:rPr>
              <w:t xml:space="preserve"> </w:t>
            </w:r>
          </w:p>
        </w:tc>
        <w:tc>
          <w:tcPr>
            <w:tcW w:w="3125"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Kristen Holt, DVM</w:t>
            </w:r>
          </w:p>
          <w:p w:rsidR="00AE4304" w:rsidRPr="00AE4304" w:rsidRDefault="00AE4304" w:rsidP="00AE4304">
            <w:pPr>
              <w:spacing w:after="0" w:line="240" w:lineRule="auto"/>
              <w:rPr>
                <w:rFonts w:cstheme="minorHAnsi"/>
                <w:sz w:val="24"/>
                <w:szCs w:val="24"/>
              </w:rPr>
            </w:pPr>
            <w:r w:rsidRPr="00AE4304">
              <w:rPr>
                <w:rFonts w:cstheme="minorHAnsi"/>
                <w:sz w:val="24"/>
                <w:szCs w:val="24"/>
              </w:rPr>
              <w:t>Epidemiologist</w:t>
            </w:r>
          </w:p>
          <w:p w:rsidR="00AE4304" w:rsidRPr="00AE4304" w:rsidRDefault="00AE4304" w:rsidP="00AE4304">
            <w:pPr>
              <w:spacing w:after="0" w:line="240" w:lineRule="auto"/>
              <w:rPr>
                <w:rFonts w:cstheme="minorHAnsi"/>
                <w:sz w:val="24"/>
                <w:szCs w:val="24"/>
              </w:rPr>
            </w:pPr>
            <w:r w:rsidRPr="00AE4304">
              <w:rPr>
                <w:rFonts w:cstheme="minorHAnsi"/>
                <w:sz w:val="24"/>
                <w:szCs w:val="24"/>
              </w:rPr>
              <w:t>U.S. Department of Agriculture</w:t>
            </w:r>
          </w:p>
          <w:p w:rsidR="00AE4304" w:rsidRPr="00AE4304" w:rsidRDefault="00AE4304" w:rsidP="00AE4304">
            <w:pPr>
              <w:spacing w:after="0" w:line="240" w:lineRule="auto"/>
              <w:rPr>
                <w:rFonts w:cstheme="minorHAnsi"/>
                <w:sz w:val="24"/>
                <w:szCs w:val="24"/>
              </w:rPr>
            </w:pPr>
            <w:r w:rsidRPr="00AE4304">
              <w:rPr>
                <w:rFonts w:cstheme="minorHAnsi"/>
                <w:sz w:val="24"/>
                <w:szCs w:val="24"/>
              </w:rPr>
              <w:t>Food Safety and Inspection Service</w:t>
            </w:r>
          </w:p>
          <w:p w:rsidR="00AE4304" w:rsidRPr="00AE4304" w:rsidRDefault="00AE4304" w:rsidP="00AE4304">
            <w:pPr>
              <w:spacing w:after="0" w:line="240" w:lineRule="auto"/>
              <w:rPr>
                <w:rFonts w:cstheme="minorHAnsi"/>
                <w:sz w:val="24"/>
                <w:szCs w:val="24"/>
              </w:rPr>
            </w:pPr>
            <w:r w:rsidRPr="00AE4304">
              <w:rPr>
                <w:rFonts w:cstheme="minorHAnsi"/>
                <w:sz w:val="24"/>
                <w:szCs w:val="24"/>
              </w:rPr>
              <w:t>Foodborne Disease Investigations Branch</w:t>
            </w:r>
          </w:p>
          <w:p w:rsidR="00AE4304" w:rsidRPr="00AE4304" w:rsidRDefault="00AE4304" w:rsidP="00AE4304">
            <w:pPr>
              <w:spacing w:after="0" w:line="240" w:lineRule="auto"/>
              <w:rPr>
                <w:rFonts w:cstheme="minorHAnsi"/>
                <w:sz w:val="24"/>
                <w:szCs w:val="24"/>
              </w:rPr>
            </w:pPr>
            <w:r w:rsidRPr="00AE4304">
              <w:rPr>
                <w:rFonts w:cstheme="minorHAnsi"/>
                <w:sz w:val="24"/>
                <w:szCs w:val="24"/>
              </w:rPr>
              <w:t>1924 Building, Suite 3R90A</w:t>
            </w:r>
          </w:p>
          <w:p w:rsidR="00AE4304" w:rsidRPr="00AE4304" w:rsidRDefault="00AE4304" w:rsidP="00AE4304">
            <w:pPr>
              <w:spacing w:after="0" w:line="240" w:lineRule="auto"/>
              <w:rPr>
                <w:rFonts w:cstheme="minorHAnsi"/>
                <w:sz w:val="24"/>
                <w:szCs w:val="24"/>
              </w:rPr>
            </w:pPr>
            <w:r w:rsidRPr="00AE4304">
              <w:rPr>
                <w:rFonts w:cstheme="minorHAnsi"/>
                <w:sz w:val="24"/>
                <w:szCs w:val="24"/>
              </w:rPr>
              <w:t>100 Alabama Street, SW</w:t>
            </w:r>
          </w:p>
          <w:p w:rsidR="00AE4304" w:rsidRPr="00AE4304" w:rsidRDefault="00AE4304" w:rsidP="00AE4304">
            <w:pPr>
              <w:spacing w:after="0" w:line="240" w:lineRule="auto"/>
              <w:rPr>
                <w:rFonts w:cstheme="minorHAnsi"/>
                <w:sz w:val="24"/>
                <w:szCs w:val="24"/>
              </w:rPr>
            </w:pPr>
            <w:r w:rsidRPr="00AE4304">
              <w:rPr>
                <w:rFonts w:cstheme="minorHAnsi"/>
                <w:sz w:val="24"/>
                <w:szCs w:val="24"/>
              </w:rPr>
              <w:t>Atlanta, Georgia 30303</w:t>
            </w:r>
          </w:p>
          <w:p w:rsidR="00AE4304" w:rsidRPr="00AE4304" w:rsidRDefault="00AE4304" w:rsidP="00AE4304">
            <w:pPr>
              <w:spacing w:after="0" w:line="240" w:lineRule="auto"/>
              <w:rPr>
                <w:rFonts w:cstheme="minorHAnsi"/>
                <w:sz w:val="24"/>
                <w:szCs w:val="24"/>
              </w:rPr>
            </w:pPr>
            <w:r w:rsidRPr="00AE4304">
              <w:rPr>
                <w:rFonts w:cstheme="minorHAnsi"/>
                <w:sz w:val="24"/>
                <w:szCs w:val="24"/>
              </w:rPr>
              <w:t>404-562-5936</w:t>
            </w:r>
          </w:p>
          <w:p w:rsidR="00AE4304" w:rsidRPr="00AE4304" w:rsidRDefault="0049562D" w:rsidP="00AE4304">
            <w:pPr>
              <w:spacing w:after="0" w:line="240" w:lineRule="auto"/>
              <w:rPr>
                <w:rFonts w:cstheme="minorHAnsi"/>
                <w:b/>
                <w:sz w:val="24"/>
                <w:szCs w:val="24"/>
              </w:rPr>
            </w:pPr>
            <w:hyperlink r:id="rId16" w:history="1">
              <w:r w:rsidR="00AE4304" w:rsidRPr="00AE4304">
                <w:rPr>
                  <w:rStyle w:val="Hyperlink"/>
                  <w:rFonts w:cstheme="minorHAnsi"/>
                  <w:sz w:val="24"/>
                  <w:szCs w:val="24"/>
                </w:rPr>
                <w:t>kristen.holt@fsis.usda.gov</w:t>
              </w:r>
            </w:hyperlink>
          </w:p>
        </w:tc>
      </w:tr>
      <w:tr w:rsidR="00AE4304" w:rsidRPr="00AA09C0" w:rsidTr="005A555F">
        <w:tc>
          <w:tcPr>
            <w:tcW w:w="9374" w:type="dxa"/>
            <w:gridSpan w:val="3"/>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State Consultants</w:t>
            </w:r>
          </w:p>
        </w:tc>
      </w:tr>
      <w:tr w:rsidR="00AE4304" w:rsidRPr="00AA09C0" w:rsidTr="005A555F">
        <w:tc>
          <w:tcPr>
            <w:tcW w:w="3124" w:type="dxa"/>
            <w:tcMar>
              <w:left w:w="14" w:type="dxa"/>
              <w:right w:w="14" w:type="dxa"/>
            </w:tcMar>
          </w:tcPr>
          <w:p w:rsidR="00AE4304" w:rsidRPr="00AE4304" w:rsidRDefault="00AE4304" w:rsidP="00AE4304">
            <w:pPr>
              <w:autoSpaceDE w:val="0"/>
              <w:autoSpaceDN w:val="0"/>
              <w:adjustRightInd w:val="0"/>
              <w:spacing w:after="0" w:line="240" w:lineRule="auto"/>
              <w:rPr>
                <w:rFonts w:cstheme="minorHAnsi"/>
                <w:b/>
                <w:sz w:val="24"/>
                <w:szCs w:val="24"/>
              </w:rPr>
            </w:pPr>
            <w:r w:rsidRPr="00AE4304">
              <w:rPr>
                <w:rFonts w:cstheme="minorHAnsi"/>
                <w:b/>
                <w:sz w:val="24"/>
                <w:szCs w:val="24"/>
              </w:rPr>
              <w:t>Susan Strong</w:t>
            </w:r>
          </w:p>
          <w:p w:rsidR="00AE4304" w:rsidRPr="00AE4304" w:rsidRDefault="00AE4304" w:rsidP="00AE4304">
            <w:pPr>
              <w:autoSpaceDE w:val="0"/>
              <w:autoSpaceDN w:val="0"/>
              <w:adjustRightInd w:val="0"/>
              <w:spacing w:after="0" w:line="240" w:lineRule="auto"/>
              <w:rPr>
                <w:rFonts w:cstheme="minorHAnsi"/>
                <w:sz w:val="24"/>
                <w:szCs w:val="24"/>
              </w:rPr>
            </w:pPr>
            <w:r w:rsidRPr="00AE4304">
              <w:rPr>
                <w:rFonts w:cstheme="minorHAnsi"/>
                <w:sz w:val="24"/>
                <w:szCs w:val="24"/>
              </w:rPr>
              <w:t>Retail Food Program Specialist</w:t>
            </w:r>
          </w:p>
          <w:p w:rsidR="00AE4304" w:rsidRPr="00AE4304" w:rsidRDefault="00AE4304" w:rsidP="00AE4304">
            <w:pPr>
              <w:autoSpaceDE w:val="0"/>
              <w:autoSpaceDN w:val="0"/>
              <w:adjustRightInd w:val="0"/>
              <w:spacing w:after="0" w:line="240" w:lineRule="auto"/>
              <w:rPr>
                <w:rFonts w:cstheme="minorHAnsi"/>
                <w:sz w:val="24"/>
                <w:szCs w:val="24"/>
              </w:rPr>
            </w:pPr>
            <w:r w:rsidRPr="00AE4304">
              <w:rPr>
                <w:rFonts w:cstheme="minorHAnsi"/>
                <w:sz w:val="24"/>
                <w:szCs w:val="24"/>
              </w:rPr>
              <w:t>California Department of Health Services,  Food and Drug Branch</w:t>
            </w:r>
          </w:p>
          <w:p w:rsidR="00AE4304" w:rsidRPr="00AE4304" w:rsidRDefault="00AE4304" w:rsidP="00AE4304">
            <w:pPr>
              <w:autoSpaceDE w:val="0"/>
              <w:autoSpaceDN w:val="0"/>
              <w:adjustRightInd w:val="0"/>
              <w:spacing w:after="0" w:line="240" w:lineRule="auto"/>
              <w:rPr>
                <w:rFonts w:cstheme="minorHAnsi"/>
                <w:b/>
                <w:sz w:val="24"/>
                <w:szCs w:val="24"/>
              </w:rPr>
            </w:pPr>
            <w:r w:rsidRPr="00AE4304">
              <w:rPr>
                <w:rFonts w:cstheme="minorHAnsi"/>
                <w:sz w:val="24"/>
                <w:szCs w:val="24"/>
              </w:rPr>
              <w:t>Sacramento, CA 95899</w:t>
            </w:r>
          </w:p>
          <w:p w:rsidR="00AE4304" w:rsidRPr="00AE4304" w:rsidRDefault="00AE4304" w:rsidP="00AE4304">
            <w:pPr>
              <w:autoSpaceDE w:val="0"/>
              <w:autoSpaceDN w:val="0"/>
              <w:adjustRightInd w:val="0"/>
              <w:spacing w:after="0" w:line="240" w:lineRule="auto"/>
              <w:rPr>
                <w:rFonts w:cstheme="minorHAnsi"/>
                <w:sz w:val="24"/>
                <w:szCs w:val="24"/>
              </w:rPr>
            </w:pPr>
            <w:r w:rsidRPr="00AE4304">
              <w:rPr>
                <w:rFonts w:cstheme="minorHAnsi"/>
                <w:sz w:val="24"/>
                <w:szCs w:val="24"/>
              </w:rPr>
              <w:t>(916) 650-6617</w:t>
            </w:r>
          </w:p>
          <w:p w:rsidR="00AE4304" w:rsidRPr="00AE4304" w:rsidRDefault="0049562D" w:rsidP="00AE4304">
            <w:pPr>
              <w:autoSpaceDE w:val="0"/>
              <w:autoSpaceDN w:val="0"/>
              <w:adjustRightInd w:val="0"/>
              <w:spacing w:after="0" w:line="240" w:lineRule="auto"/>
              <w:rPr>
                <w:rFonts w:cstheme="minorHAnsi"/>
                <w:b/>
                <w:sz w:val="24"/>
                <w:szCs w:val="24"/>
              </w:rPr>
            </w:pPr>
            <w:hyperlink r:id="rId17" w:history="1">
              <w:r w:rsidR="00AE4304" w:rsidRPr="00FD323A">
                <w:rPr>
                  <w:rStyle w:val="Hyperlink"/>
                  <w:rFonts w:cstheme="minorHAnsi"/>
                  <w:sz w:val="24"/>
                  <w:szCs w:val="24"/>
                </w:rPr>
                <w:t>sstrong1@dhs.ca.gov</w:t>
              </w:r>
            </w:hyperlink>
            <w:r w:rsidR="00AE4304">
              <w:rPr>
                <w:rFonts w:cstheme="minorHAnsi"/>
                <w:sz w:val="24"/>
                <w:szCs w:val="24"/>
              </w:rPr>
              <w:t xml:space="preserve"> </w:t>
            </w:r>
          </w:p>
          <w:p w:rsidR="00AE4304" w:rsidRPr="00AE4304" w:rsidRDefault="00AE4304" w:rsidP="00AE4304">
            <w:pPr>
              <w:autoSpaceDE w:val="0"/>
              <w:autoSpaceDN w:val="0"/>
              <w:adjustRightInd w:val="0"/>
              <w:spacing w:after="0" w:line="240" w:lineRule="auto"/>
              <w:rPr>
                <w:rFonts w:cstheme="minorHAnsi"/>
                <w:b/>
                <w:sz w:val="24"/>
                <w:szCs w:val="24"/>
              </w:rPr>
            </w:pPr>
          </w:p>
        </w:tc>
        <w:tc>
          <w:tcPr>
            <w:tcW w:w="3125"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Roberta Frick</w:t>
            </w:r>
          </w:p>
          <w:p w:rsidR="00AE4304" w:rsidRPr="00AE4304" w:rsidRDefault="00AE4304" w:rsidP="00AE4304">
            <w:pPr>
              <w:spacing w:after="0" w:line="240" w:lineRule="auto"/>
              <w:rPr>
                <w:rFonts w:cstheme="minorHAnsi"/>
                <w:sz w:val="24"/>
                <w:szCs w:val="24"/>
              </w:rPr>
            </w:pPr>
            <w:r w:rsidRPr="00AE4304">
              <w:rPr>
                <w:rFonts w:cstheme="minorHAnsi"/>
                <w:sz w:val="24"/>
                <w:szCs w:val="24"/>
              </w:rPr>
              <w:t>Environmental Health Specialist</w:t>
            </w:r>
          </w:p>
          <w:p w:rsidR="00AE4304" w:rsidRPr="00AE4304" w:rsidRDefault="00AE4304" w:rsidP="00AE4304">
            <w:pPr>
              <w:spacing w:after="0" w:line="240" w:lineRule="auto"/>
              <w:rPr>
                <w:rFonts w:cstheme="minorHAnsi"/>
                <w:sz w:val="24"/>
                <w:szCs w:val="24"/>
              </w:rPr>
            </w:pPr>
            <w:r w:rsidRPr="00AE4304">
              <w:rPr>
                <w:rFonts w:cstheme="minorHAnsi"/>
                <w:sz w:val="24"/>
                <w:szCs w:val="24"/>
              </w:rPr>
              <w:t xml:space="preserve">Department of Health Services </w:t>
            </w:r>
          </w:p>
          <w:p w:rsidR="00AE4304" w:rsidRPr="00AE4304" w:rsidRDefault="00AE4304" w:rsidP="00AE4304">
            <w:pPr>
              <w:spacing w:after="0" w:line="240" w:lineRule="auto"/>
              <w:rPr>
                <w:rFonts w:cstheme="minorHAnsi"/>
                <w:sz w:val="24"/>
                <w:szCs w:val="24"/>
              </w:rPr>
            </w:pPr>
            <w:r w:rsidRPr="00AE4304">
              <w:rPr>
                <w:rFonts w:cstheme="minorHAnsi"/>
                <w:sz w:val="24"/>
                <w:szCs w:val="24"/>
              </w:rPr>
              <w:t>Food and Drug Branch</w:t>
            </w:r>
          </w:p>
          <w:p w:rsidR="00AE4304" w:rsidRPr="00AE4304" w:rsidRDefault="00AE4304" w:rsidP="00AE4304">
            <w:pPr>
              <w:spacing w:after="0" w:line="240" w:lineRule="auto"/>
              <w:rPr>
                <w:rFonts w:cstheme="minorHAnsi"/>
                <w:sz w:val="24"/>
                <w:szCs w:val="24"/>
              </w:rPr>
            </w:pPr>
            <w:r w:rsidRPr="00AE4304">
              <w:rPr>
                <w:rFonts w:cstheme="minorHAnsi"/>
                <w:sz w:val="24"/>
                <w:szCs w:val="24"/>
              </w:rPr>
              <w:t>850 Marina Bay Parkway, Building P, 1st Floor</w:t>
            </w:r>
          </w:p>
          <w:p w:rsidR="00AE4304" w:rsidRPr="00AE4304" w:rsidRDefault="00AE4304" w:rsidP="00AE4304">
            <w:pPr>
              <w:spacing w:after="0" w:line="240" w:lineRule="auto"/>
              <w:rPr>
                <w:rFonts w:cstheme="minorHAnsi"/>
                <w:sz w:val="24"/>
                <w:szCs w:val="24"/>
              </w:rPr>
            </w:pPr>
            <w:r w:rsidRPr="00AE4304">
              <w:rPr>
                <w:rFonts w:cstheme="minorHAnsi"/>
                <w:sz w:val="24"/>
                <w:szCs w:val="24"/>
              </w:rPr>
              <w:t>Richmond, CA  94804</w:t>
            </w:r>
          </w:p>
          <w:p w:rsidR="00AE4304" w:rsidRPr="00AE4304" w:rsidRDefault="00AE4304" w:rsidP="00AE4304">
            <w:pPr>
              <w:spacing w:after="0" w:line="240" w:lineRule="auto"/>
              <w:rPr>
                <w:rFonts w:cstheme="minorHAnsi"/>
                <w:sz w:val="24"/>
                <w:szCs w:val="24"/>
              </w:rPr>
            </w:pPr>
            <w:r w:rsidRPr="00AE4304">
              <w:rPr>
                <w:rFonts w:cstheme="minorHAnsi"/>
                <w:sz w:val="24"/>
                <w:szCs w:val="24"/>
              </w:rPr>
              <w:t>(510) 620-3482</w:t>
            </w:r>
          </w:p>
          <w:p w:rsidR="00AE4304" w:rsidRPr="00AE4304" w:rsidRDefault="0049562D" w:rsidP="00AE4304">
            <w:pPr>
              <w:spacing w:after="0" w:line="240" w:lineRule="auto"/>
              <w:rPr>
                <w:rFonts w:cstheme="minorHAnsi"/>
                <w:b/>
                <w:sz w:val="24"/>
                <w:szCs w:val="24"/>
              </w:rPr>
            </w:pPr>
            <w:hyperlink r:id="rId18" w:history="1">
              <w:r w:rsidR="00AE4304" w:rsidRPr="00AE4304">
                <w:rPr>
                  <w:rStyle w:val="Hyperlink"/>
                  <w:rFonts w:cstheme="minorHAnsi"/>
                  <w:sz w:val="24"/>
                  <w:szCs w:val="24"/>
                </w:rPr>
                <w:t>rfrick@dhs.ca.gov</w:t>
              </w:r>
            </w:hyperlink>
          </w:p>
        </w:tc>
        <w:tc>
          <w:tcPr>
            <w:tcW w:w="3125"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Dawn Norton</w:t>
            </w:r>
          </w:p>
          <w:p w:rsidR="00AE4304" w:rsidRPr="00AE4304" w:rsidRDefault="00AE4304" w:rsidP="00AE4304">
            <w:pPr>
              <w:spacing w:after="0" w:line="240" w:lineRule="auto"/>
              <w:rPr>
                <w:rFonts w:cstheme="minorHAnsi"/>
                <w:sz w:val="24"/>
                <w:szCs w:val="24"/>
              </w:rPr>
            </w:pPr>
            <w:r w:rsidRPr="00AE4304">
              <w:rPr>
                <w:rFonts w:cstheme="minorHAnsi"/>
                <w:sz w:val="24"/>
                <w:szCs w:val="24"/>
              </w:rPr>
              <w:t>Senior Epidemiologist, FoodNet</w:t>
            </w:r>
          </w:p>
          <w:p w:rsidR="00AE4304" w:rsidRPr="00AE4304" w:rsidRDefault="00AE4304" w:rsidP="00AE4304">
            <w:pPr>
              <w:spacing w:after="0" w:line="240" w:lineRule="auto"/>
              <w:rPr>
                <w:rFonts w:cstheme="minorHAnsi"/>
                <w:sz w:val="24"/>
                <w:szCs w:val="24"/>
              </w:rPr>
            </w:pPr>
            <w:r w:rsidRPr="00AE4304">
              <w:rPr>
                <w:rFonts w:cstheme="minorHAnsi"/>
                <w:sz w:val="24"/>
                <w:szCs w:val="24"/>
              </w:rPr>
              <w:t>Connecticut FoodNet</w:t>
            </w:r>
          </w:p>
          <w:p w:rsidR="00AE4304" w:rsidRPr="00AE4304" w:rsidRDefault="00AE4304" w:rsidP="00AE4304">
            <w:pPr>
              <w:spacing w:after="0" w:line="240" w:lineRule="auto"/>
              <w:rPr>
                <w:rFonts w:cstheme="minorHAnsi"/>
                <w:sz w:val="24"/>
                <w:szCs w:val="24"/>
              </w:rPr>
            </w:pPr>
            <w:r w:rsidRPr="00AE4304">
              <w:rPr>
                <w:rFonts w:cstheme="minorHAnsi"/>
                <w:sz w:val="24"/>
                <w:szCs w:val="24"/>
              </w:rPr>
              <w:t>1611 Telegraph Avenue, Suite 1200</w:t>
            </w:r>
          </w:p>
          <w:p w:rsidR="00AE4304" w:rsidRPr="00AE4304" w:rsidRDefault="00AE4304" w:rsidP="00AE4304">
            <w:pPr>
              <w:spacing w:after="0" w:line="240" w:lineRule="auto"/>
              <w:rPr>
                <w:rFonts w:cstheme="minorHAnsi"/>
                <w:sz w:val="24"/>
                <w:szCs w:val="24"/>
              </w:rPr>
            </w:pPr>
            <w:r w:rsidRPr="00AE4304">
              <w:rPr>
                <w:rFonts w:cstheme="minorHAnsi"/>
                <w:sz w:val="24"/>
                <w:szCs w:val="24"/>
              </w:rPr>
              <w:t>Oakland, CA 94612</w:t>
            </w:r>
          </w:p>
          <w:p w:rsidR="00AE4304" w:rsidRPr="00AE4304" w:rsidRDefault="00AE4304" w:rsidP="00AE4304">
            <w:pPr>
              <w:spacing w:after="0" w:line="240" w:lineRule="auto"/>
              <w:rPr>
                <w:rFonts w:cstheme="minorHAnsi"/>
                <w:sz w:val="24"/>
                <w:szCs w:val="24"/>
              </w:rPr>
            </w:pPr>
            <w:r w:rsidRPr="00AE4304">
              <w:rPr>
                <w:rFonts w:cstheme="minorHAnsi"/>
                <w:sz w:val="24"/>
                <w:szCs w:val="24"/>
              </w:rPr>
              <w:t>510) 625-7974</w:t>
            </w:r>
          </w:p>
          <w:p w:rsidR="00AE4304" w:rsidRPr="00AE4304" w:rsidRDefault="0049562D" w:rsidP="00AE4304">
            <w:pPr>
              <w:spacing w:after="0" w:line="240" w:lineRule="auto"/>
              <w:rPr>
                <w:rFonts w:cstheme="minorHAnsi"/>
                <w:sz w:val="24"/>
                <w:szCs w:val="24"/>
              </w:rPr>
            </w:pPr>
            <w:hyperlink r:id="rId19" w:history="1">
              <w:r w:rsidR="00AE4304" w:rsidRPr="00AE4304">
                <w:rPr>
                  <w:rStyle w:val="Hyperlink"/>
                  <w:rFonts w:cstheme="minorHAnsi"/>
                  <w:sz w:val="24"/>
                  <w:szCs w:val="24"/>
                </w:rPr>
                <w:t>dnorton@ceip.us</w:t>
              </w:r>
            </w:hyperlink>
          </w:p>
          <w:p w:rsidR="00AE4304" w:rsidRPr="00AE4304" w:rsidRDefault="00AE4304" w:rsidP="00AE4304">
            <w:pPr>
              <w:spacing w:after="0" w:line="240" w:lineRule="auto"/>
              <w:rPr>
                <w:rFonts w:cstheme="minorHAnsi"/>
                <w:b/>
                <w:sz w:val="24"/>
                <w:szCs w:val="24"/>
              </w:rPr>
            </w:pPr>
          </w:p>
        </w:tc>
      </w:tr>
      <w:tr w:rsidR="00AE4304" w:rsidRPr="00AA09C0" w:rsidTr="005A555F">
        <w:tc>
          <w:tcPr>
            <w:tcW w:w="3124"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 xml:space="preserve">Ruthanne Marcus, MPH </w:t>
            </w:r>
          </w:p>
          <w:p w:rsidR="00AE4304" w:rsidRPr="00AE4304" w:rsidRDefault="00AE4304" w:rsidP="00AE4304">
            <w:pPr>
              <w:spacing w:after="0" w:line="240" w:lineRule="auto"/>
              <w:rPr>
                <w:rFonts w:cstheme="minorHAnsi"/>
                <w:sz w:val="24"/>
                <w:szCs w:val="24"/>
              </w:rPr>
            </w:pPr>
            <w:r w:rsidRPr="00AE4304">
              <w:rPr>
                <w:rFonts w:cstheme="minorHAnsi"/>
                <w:sz w:val="24"/>
                <w:szCs w:val="24"/>
              </w:rPr>
              <w:t>Epidemiologist</w:t>
            </w:r>
          </w:p>
          <w:p w:rsidR="00AE4304" w:rsidRPr="00AE4304" w:rsidRDefault="00AE4304" w:rsidP="00AE4304">
            <w:pPr>
              <w:spacing w:after="0" w:line="240" w:lineRule="auto"/>
              <w:rPr>
                <w:rFonts w:cstheme="minorHAnsi"/>
                <w:sz w:val="24"/>
                <w:szCs w:val="24"/>
              </w:rPr>
            </w:pPr>
            <w:r w:rsidRPr="00AE4304">
              <w:rPr>
                <w:rFonts w:cstheme="minorHAnsi"/>
                <w:sz w:val="24"/>
                <w:szCs w:val="24"/>
              </w:rPr>
              <w:t>CT FoodNet</w:t>
            </w:r>
          </w:p>
          <w:p w:rsidR="00AE4304" w:rsidRPr="00AE4304" w:rsidRDefault="00AE4304" w:rsidP="00AE4304">
            <w:pPr>
              <w:spacing w:after="0" w:line="240" w:lineRule="auto"/>
              <w:rPr>
                <w:rFonts w:cstheme="minorHAnsi"/>
                <w:sz w:val="24"/>
                <w:szCs w:val="24"/>
              </w:rPr>
            </w:pPr>
            <w:r w:rsidRPr="00AE4304">
              <w:rPr>
                <w:rFonts w:cstheme="minorHAnsi"/>
                <w:sz w:val="24"/>
                <w:szCs w:val="24"/>
              </w:rPr>
              <w:t>1 Church Street 7th Floor</w:t>
            </w:r>
          </w:p>
          <w:p w:rsidR="00AE4304" w:rsidRPr="00AE4304" w:rsidRDefault="00AE4304" w:rsidP="00AE4304">
            <w:pPr>
              <w:spacing w:after="0" w:line="240" w:lineRule="auto"/>
              <w:rPr>
                <w:rFonts w:cstheme="minorHAnsi"/>
                <w:sz w:val="24"/>
                <w:szCs w:val="24"/>
              </w:rPr>
            </w:pPr>
            <w:r w:rsidRPr="00AE4304">
              <w:rPr>
                <w:rFonts w:cstheme="minorHAnsi"/>
                <w:sz w:val="24"/>
                <w:szCs w:val="24"/>
              </w:rPr>
              <w:t>New Haven, CT 06510</w:t>
            </w:r>
          </w:p>
          <w:p w:rsidR="00AE4304" w:rsidRPr="00AE4304" w:rsidRDefault="00AE4304" w:rsidP="00AE4304">
            <w:pPr>
              <w:spacing w:after="0" w:line="240" w:lineRule="auto"/>
              <w:rPr>
                <w:rFonts w:cstheme="minorHAnsi"/>
                <w:sz w:val="24"/>
                <w:szCs w:val="24"/>
              </w:rPr>
            </w:pPr>
            <w:r w:rsidRPr="00AE4304">
              <w:rPr>
                <w:rFonts w:cstheme="minorHAnsi"/>
                <w:sz w:val="24"/>
                <w:szCs w:val="24"/>
              </w:rPr>
              <w:t>203-764-4363</w:t>
            </w:r>
          </w:p>
          <w:p w:rsidR="00AE4304" w:rsidRPr="00AE4304" w:rsidRDefault="0049562D" w:rsidP="00AE4304">
            <w:pPr>
              <w:spacing w:after="0" w:line="240" w:lineRule="auto"/>
              <w:rPr>
                <w:rFonts w:cstheme="minorHAnsi"/>
                <w:sz w:val="24"/>
                <w:szCs w:val="24"/>
              </w:rPr>
            </w:pPr>
            <w:hyperlink r:id="rId20" w:history="1">
              <w:r w:rsidR="00AE4304" w:rsidRPr="00AE4304">
                <w:rPr>
                  <w:rStyle w:val="Hyperlink"/>
                  <w:rFonts w:cstheme="minorHAnsi"/>
                  <w:sz w:val="24"/>
                  <w:szCs w:val="24"/>
                </w:rPr>
                <w:t>Ruthanne.marcus@yale.edu</w:t>
              </w:r>
            </w:hyperlink>
          </w:p>
          <w:p w:rsidR="00AE4304" w:rsidRPr="00AE4304" w:rsidRDefault="00AE4304" w:rsidP="00AE4304">
            <w:pPr>
              <w:autoSpaceDE w:val="0"/>
              <w:autoSpaceDN w:val="0"/>
              <w:adjustRightInd w:val="0"/>
              <w:spacing w:after="0" w:line="240" w:lineRule="auto"/>
              <w:rPr>
                <w:rFonts w:cstheme="minorHAnsi"/>
                <w:sz w:val="24"/>
                <w:szCs w:val="24"/>
              </w:rPr>
            </w:pPr>
          </w:p>
        </w:tc>
        <w:tc>
          <w:tcPr>
            <w:tcW w:w="3125"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Lisa Bushnell</w:t>
            </w:r>
          </w:p>
          <w:p w:rsidR="00AE4304" w:rsidRPr="00AE4304" w:rsidRDefault="00AE4304" w:rsidP="00AE4304">
            <w:pPr>
              <w:spacing w:after="0" w:line="240" w:lineRule="auto"/>
              <w:rPr>
                <w:rFonts w:cstheme="minorHAnsi"/>
                <w:sz w:val="24"/>
                <w:szCs w:val="24"/>
              </w:rPr>
            </w:pPr>
            <w:r w:rsidRPr="00AE4304">
              <w:rPr>
                <w:rFonts w:cstheme="minorHAnsi"/>
                <w:sz w:val="24"/>
                <w:szCs w:val="24"/>
              </w:rPr>
              <w:t>Environmental Sanitarian 2</w:t>
            </w:r>
          </w:p>
          <w:p w:rsidR="00AE4304" w:rsidRPr="00AE4304" w:rsidRDefault="00AE4304" w:rsidP="00AE4304">
            <w:pPr>
              <w:spacing w:after="0" w:line="240" w:lineRule="auto"/>
              <w:rPr>
                <w:rFonts w:cstheme="minorHAnsi"/>
                <w:sz w:val="24"/>
                <w:szCs w:val="24"/>
              </w:rPr>
            </w:pPr>
            <w:r w:rsidRPr="00AE4304">
              <w:rPr>
                <w:rFonts w:cstheme="minorHAnsi"/>
                <w:sz w:val="24"/>
                <w:szCs w:val="24"/>
              </w:rPr>
              <w:t>Connecticut Dept. of PH</w:t>
            </w:r>
          </w:p>
          <w:p w:rsidR="00AE4304" w:rsidRPr="00AE4304" w:rsidRDefault="00AE4304" w:rsidP="00AE4304">
            <w:pPr>
              <w:spacing w:after="0" w:line="240" w:lineRule="auto"/>
              <w:rPr>
                <w:rFonts w:cstheme="minorHAnsi"/>
                <w:sz w:val="24"/>
                <w:szCs w:val="24"/>
              </w:rPr>
            </w:pPr>
            <w:r w:rsidRPr="00AE4304">
              <w:rPr>
                <w:rFonts w:cstheme="minorHAnsi"/>
                <w:sz w:val="24"/>
                <w:szCs w:val="24"/>
              </w:rPr>
              <w:t xml:space="preserve">Food Protection Program </w:t>
            </w:r>
          </w:p>
          <w:p w:rsidR="00AE4304" w:rsidRPr="00AE4304" w:rsidRDefault="00AE4304" w:rsidP="00AE4304">
            <w:pPr>
              <w:spacing w:after="0" w:line="240" w:lineRule="auto"/>
              <w:rPr>
                <w:rFonts w:cstheme="minorHAnsi"/>
                <w:sz w:val="24"/>
                <w:szCs w:val="24"/>
              </w:rPr>
            </w:pPr>
            <w:r w:rsidRPr="00AE4304">
              <w:rPr>
                <w:rFonts w:cstheme="minorHAnsi"/>
                <w:sz w:val="24"/>
                <w:szCs w:val="24"/>
              </w:rPr>
              <w:t>Division of Environmental Health</w:t>
            </w:r>
          </w:p>
          <w:p w:rsidR="00AE4304" w:rsidRPr="00AE4304" w:rsidRDefault="00AE4304" w:rsidP="00AE4304">
            <w:pPr>
              <w:spacing w:after="0" w:line="240" w:lineRule="auto"/>
              <w:rPr>
                <w:rFonts w:cstheme="minorHAnsi"/>
                <w:sz w:val="24"/>
                <w:szCs w:val="24"/>
              </w:rPr>
            </w:pPr>
            <w:r w:rsidRPr="00AE4304">
              <w:rPr>
                <w:rFonts w:cstheme="minorHAnsi"/>
                <w:sz w:val="24"/>
                <w:szCs w:val="24"/>
              </w:rPr>
              <w:t xml:space="preserve">410 Capital Avenue, MS # 11 </w:t>
            </w:r>
          </w:p>
          <w:p w:rsidR="00AE4304" w:rsidRPr="00AE4304" w:rsidRDefault="00AE4304" w:rsidP="00AE4304">
            <w:pPr>
              <w:spacing w:after="0" w:line="240" w:lineRule="auto"/>
              <w:rPr>
                <w:rFonts w:cstheme="minorHAnsi"/>
                <w:sz w:val="24"/>
                <w:szCs w:val="24"/>
              </w:rPr>
            </w:pPr>
            <w:r w:rsidRPr="00AE4304">
              <w:rPr>
                <w:rFonts w:cstheme="minorHAnsi"/>
                <w:sz w:val="24"/>
                <w:szCs w:val="24"/>
              </w:rPr>
              <w:t>Hartford, CT 06134</w:t>
            </w:r>
          </w:p>
          <w:p w:rsidR="00AE4304" w:rsidRPr="00AE4304" w:rsidRDefault="00AE4304" w:rsidP="00AE4304">
            <w:pPr>
              <w:spacing w:after="0" w:line="240" w:lineRule="auto"/>
              <w:rPr>
                <w:rFonts w:cstheme="minorHAnsi"/>
                <w:sz w:val="24"/>
                <w:szCs w:val="24"/>
              </w:rPr>
            </w:pPr>
            <w:r w:rsidRPr="00AE4304">
              <w:rPr>
                <w:rFonts w:cstheme="minorHAnsi"/>
                <w:sz w:val="24"/>
                <w:szCs w:val="24"/>
              </w:rPr>
              <w:t>(860) 509-7297</w:t>
            </w:r>
          </w:p>
          <w:p w:rsidR="00AE4304" w:rsidRPr="00AE4304" w:rsidRDefault="0049562D" w:rsidP="00AE4304">
            <w:pPr>
              <w:autoSpaceDE w:val="0"/>
              <w:autoSpaceDN w:val="0"/>
              <w:adjustRightInd w:val="0"/>
              <w:spacing w:after="0" w:line="240" w:lineRule="auto"/>
              <w:rPr>
                <w:rFonts w:cstheme="minorHAnsi"/>
                <w:sz w:val="24"/>
                <w:szCs w:val="24"/>
              </w:rPr>
            </w:pPr>
            <w:hyperlink r:id="rId21" w:history="1">
              <w:r w:rsidR="00AE4304" w:rsidRPr="00AE4304">
                <w:rPr>
                  <w:rStyle w:val="Hyperlink"/>
                  <w:rFonts w:cstheme="minorHAnsi"/>
                  <w:sz w:val="24"/>
                  <w:szCs w:val="24"/>
                </w:rPr>
                <w:t>lisa.bushnell@po.state.ct.us</w:t>
              </w:r>
            </w:hyperlink>
          </w:p>
        </w:tc>
        <w:tc>
          <w:tcPr>
            <w:tcW w:w="3125"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Nelle Couret</w:t>
            </w:r>
          </w:p>
          <w:p w:rsidR="00AE4304" w:rsidRPr="00AE4304" w:rsidRDefault="00AE4304" w:rsidP="00AE4304">
            <w:pPr>
              <w:spacing w:after="0" w:line="240" w:lineRule="auto"/>
              <w:rPr>
                <w:rFonts w:cstheme="minorHAnsi"/>
                <w:sz w:val="24"/>
                <w:szCs w:val="24"/>
              </w:rPr>
            </w:pPr>
            <w:r w:rsidRPr="00AE4304">
              <w:rPr>
                <w:rFonts w:cstheme="minorHAnsi"/>
                <w:sz w:val="24"/>
                <w:szCs w:val="24"/>
              </w:rPr>
              <w:t xml:space="preserve">Environmental Health Specialist </w:t>
            </w:r>
          </w:p>
          <w:p w:rsidR="00AE4304" w:rsidRPr="00AE4304" w:rsidRDefault="00AE4304" w:rsidP="00AE4304">
            <w:pPr>
              <w:spacing w:after="0" w:line="240" w:lineRule="auto"/>
              <w:rPr>
                <w:rFonts w:cstheme="minorHAnsi"/>
                <w:sz w:val="24"/>
                <w:szCs w:val="24"/>
              </w:rPr>
            </w:pPr>
            <w:r w:rsidRPr="00AE4304">
              <w:rPr>
                <w:rFonts w:cstheme="minorHAnsi"/>
                <w:sz w:val="24"/>
                <w:szCs w:val="24"/>
              </w:rPr>
              <w:t>GA Dept. of Human Resources</w:t>
            </w:r>
          </w:p>
          <w:p w:rsidR="00AE4304" w:rsidRPr="00AE4304" w:rsidRDefault="00AE4304" w:rsidP="00AE4304">
            <w:pPr>
              <w:spacing w:after="0" w:line="240" w:lineRule="auto"/>
              <w:rPr>
                <w:rFonts w:cstheme="minorHAnsi"/>
                <w:sz w:val="24"/>
                <w:szCs w:val="24"/>
              </w:rPr>
            </w:pPr>
            <w:r w:rsidRPr="00AE4304">
              <w:rPr>
                <w:rFonts w:cstheme="minorHAnsi"/>
                <w:sz w:val="24"/>
                <w:szCs w:val="24"/>
              </w:rPr>
              <w:t>Division of Public Health</w:t>
            </w:r>
          </w:p>
          <w:p w:rsidR="00AE4304" w:rsidRPr="00AE4304" w:rsidRDefault="00AE4304" w:rsidP="00AE4304">
            <w:pPr>
              <w:spacing w:after="0" w:line="240" w:lineRule="auto"/>
              <w:rPr>
                <w:rFonts w:cstheme="minorHAnsi"/>
                <w:sz w:val="24"/>
                <w:szCs w:val="24"/>
              </w:rPr>
            </w:pPr>
            <w:r w:rsidRPr="00AE4304">
              <w:rPr>
                <w:rFonts w:cstheme="minorHAnsi"/>
                <w:sz w:val="24"/>
                <w:szCs w:val="24"/>
              </w:rPr>
              <w:t>Notifiable Disease Section</w:t>
            </w:r>
          </w:p>
          <w:p w:rsidR="00AE4304" w:rsidRPr="00AE4304" w:rsidRDefault="00AE4304" w:rsidP="00AE4304">
            <w:pPr>
              <w:spacing w:after="0" w:line="240" w:lineRule="auto"/>
              <w:rPr>
                <w:rFonts w:cstheme="minorHAnsi"/>
                <w:sz w:val="24"/>
                <w:szCs w:val="24"/>
              </w:rPr>
            </w:pPr>
            <w:r w:rsidRPr="00AE4304">
              <w:rPr>
                <w:rFonts w:cstheme="minorHAnsi"/>
                <w:sz w:val="24"/>
                <w:szCs w:val="24"/>
              </w:rPr>
              <w:t>2 Peachtree St. NW</w:t>
            </w:r>
          </w:p>
          <w:p w:rsidR="00AE4304" w:rsidRPr="00AE4304" w:rsidRDefault="00AE4304" w:rsidP="00AE4304">
            <w:pPr>
              <w:spacing w:after="0" w:line="240" w:lineRule="auto"/>
              <w:rPr>
                <w:rFonts w:cstheme="minorHAnsi"/>
                <w:sz w:val="24"/>
                <w:szCs w:val="24"/>
              </w:rPr>
            </w:pPr>
            <w:r w:rsidRPr="00AE4304">
              <w:rPr>
                <w:rFonts w:cstheme="minorHAnsi"/>
                <w:sz w:val="24"/>
                <w:szCs w:val="24"/>
              </w:rPr>
              <w:t>Suite 14.267</w:t>
            </w:r>
          </w:p>
          <w:p w:rsidR="00AE4304" w:rsidRPr="00AE4304" w:rsidRDefault="00AE4304" w:rsidP="00AE4304">
            <w:pPr>
              <w:spacing w:after="0" w:line="240" w:lineRule="auto"/>
              <w:rPr>
                <w:rFonts w:cstheme="minorHAnsi"/>
                <w:sz w:val="24"/>
                <w:szCs w:val="24"/>
              </w:rPr>
            </w:pPr>
            <w:r w:rsidRPr="00AE4304">
              <w:rPr>
                <w:rFonts w:cstheme="minorHAnsi"/>
                <w:sz w:val="24"/>
                <w:szCs w:val="24"/>
              </w:rPr>
              <w:t>Atlanta, GA 30303</w:t>
            </w:r>
            <w:r w:rsidRPr="00AE4304">
              <w:rPr>
                <w:rFonts w:cstheme="minorHAnsi"/>
                <w:sz w:val="24"/>
                <w:szCs w:val="24"/>
              </w:rPr>
              <w:br/>
              <w:t>(404) 657-2588</w:t>
            </w:r>
          </w:p>
          <w:p w:rsidR="00AE4304" w:rsidRPr="00AE4304" w:rsidRDefault="0049562D" w:rsidP="00AE4304">
            <w:pPr>
              <w:spacing w:after="0" w:line="240" w:lineRule="auto"/>
              <w:rPr>
                <w:rFonts w:cstheme="minorHAnsi"/>
                <w:sz w:val="24"/>
                <w:szCs w:val="24"/>
              </w:rPr>
            </w:pPr>
            <w:hyperlink r:id="rId22" w:history="1">
              <w:r w:rsidR="00AE4304" w:rsidRPr="00AE4304">
                <w:rPr>
                  <w:rStyle w:val="Hyperlink"/>
                  <w:rFonts w:cstheme="minorHAnsi"/>
                  <w:sz w:val="24"/>
                  <w:szCs w:val="24"/>
                </w:rPr>
                <w:t>necouret@dhr.state.ga.us</w:t>
              </w:r>
            </w:hyperlink>
          </w:p>
        </w:tc>
      </w:tr>
      <w:tr w:rsidR="00AE4304" w:rsidRPr="00AA09C0" w:rsidTr="005A555F">
        <w:tc>
          <w:tcPr>
            <w:tcW w:w="3124"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Melissa Tobin-D’Angelo, MD</w:t>
            </w:r>
          </w:p>
          <w:p w:rsidR="00AE4304" w:rsidRPr="00AE4304" w:rsidRDefault="00AE4304" w:rsidP="00AE4304">
            <w:pPr>
              <w:spacing w:after="0" w:line="240" w:lineRule="auto"/>
              <w:rPr>
                <w:rFonts w:cstheme="minorHAnsi"/>
                <w:sz w:val="24"/>
                <w:szCs w:val="24"/>
              </w:rPr>
            </w:pPr>
            <w:r w:rsidRPr="00AE4304">
              <w:rPr>
                <w:rFonts w:cstheme="minorHAnsi"/>
                <w:sz w:val="24"/>
                <w:szCs w:val="24"/>
              </w:rPr>
              <w:t>State Epidemiologist</w:t>
            </w:r>
          </w:p>
          <w:p w:rsidR="00AE4304" w:rsidRPr="00AE4304" w:rsidRDefault="00AE4304" w:rsidP="00AE4304">
            <w:pPr>
              <w:spacing w:after="0" w:line="240" w:lineRule="auto"/>
              <w:rPr>
                <w:rFonts w:cstheme="minorHAnsi"/>
                <w:sz w:val="24"/>
                <w:szCs w:val="24"/>
              </w:rPr>
            </w:pPr>
            <w:r w:rsidRPr="00AE4304">
              <w:rPr>
                <w:rFonts w:cstheme="minorHAnsi"/>
                <w:sz w:val="24"/>
                <w:szCs w:val="24"/>
              </w:rPr>
              <w:t>GA Department of Human Resources</w:t>
            </w:r>
          </w:p>
          <w:p w:rsidR="00AE4304" w:rsidRPr="00AE4304" w:rsidRDefault="00AE4304" w:rsidP="00AE4304">
            <w:pPr>
              <w:spacing w:after="0" w:line="240" w:lineRule="auto"/>
              <w:rPr>
                <w:rFonts w:cstheme="minorHAnsi"/>
                <w:sz w:val="24"/>
                <w:szCs w:val="24"/>
              </w:rPr>
            </w:pPr>
            <w:r w:rsidRPr="00AE4304">
              <w:rPr>
                <w:rFonts w:cstheme="minorHAnsi"/>
                <w:sz w:val="24"/>
                <w:szCs w:val="24"/>
              </w:rPr>
              <w:t>Division of Public Health</w:t>
            </w:r>
          </w:p>
          <w:p w:rsidR="00AE4304" w:rsidRPr="00AE4304" w:rsidRDefault="00AE4304" w:rsidP="00AE4304">
            <w:pPr>
              <w:spacing w:after="0" w:line="240" w:lineRule="auto"/>
              <w:rPr>
                <w:rFonts w:cstheme="minorHAnsi"/>
                <w:sz w:val="24"/>
                <w:szCs w:val="24"/>
              </w:rPr>
            </w:pPr>
            <w:r w:rsidRPr="00AE4304">
              <w:rPr>
                <w:rFonts w:cstheme="minorHAnsi"/>
                <w:sz w:val="24"/>
                <w:szCs w:val="24"/>
              </w:rPr>
              <w:t>Notifiable Disease Section</w:t>
            </w:r>
          </w:p>
          <w:p w:rsidR="00AE4304" w:rsidRPr="00AE4304" w:rsidRDefault="00AE4304" w:rsidP="00AE4304">
            <w:pPr>
              <w:spacing w:after="0" w:line="240" w:lineRule="auto"/>
              <w:rPr>
                <w:rFonts w:cstheme="minorHAnsi"/>
                <w:sz w:val="24"/>
                <w:szCs w:val="24"/>
              </w:rPr>
            </w:pPr>
            <w:r w:rsidRPr="00AE4304">
              <w:rPr>
                <w:rFonts w:cstheme="minorHAnsi"/>
                <w:sz w:val="24"/>
                <w:szCs w:val="24"/>
              </w:rPr>
              <w:t>2 Peachtree St. NW</w:t>
            </w:r>
          </w:p>
          <w:p w:rsidR="00AE4304" w:rsidRPr="00AE4304" w:rsidRDefault="00AE4304" w:rsidP="00AE4304">
            <w:pPr>
              <w:spacing w:after="0" w:line="240" w:lineRule="auto"/>
              <w:rPr>
                <w:rFonts w:cstheme="minorHAnsi"/>
                <w:sz w:val="24"/>
                <w:szCs w:val="24"/>
              </w:rPr>
            </w:pPr>
            <w:r w:rsidRPr="00AE4304">
              <w:rPr>
                <w:rFonts w:cstheme="minorHAnsi"/>
                <w:sz w:val="24"/>
                <w:szCs w:val="24"/>
              </w:rPr>
              <w:t>Suite 14.267</w:t>
            </w:r>
          </w:p>
          <w:p w:rsidR="00AE4304" w:rsidRPr="00AE4304" w:rsidRDefault="00AE4304" w:rsidP="00AE4304">
            <w:pPr>
              <w:spacing w:after="0" w:line="240" w:lineRule="auto"/>
              <w:rPr>
                <w:rFonts w:cstheme="minorHAnsi"/>
                <w:sz w:val="24"/>
                <w:szCs w:val="24"/>
              </w:rPr>
            </w:pPr>
            <w:r w:rsidRPr="00AE4304">
              <w:rPr>
                <w:rFonts w:cstheme="minorHAnsi"/>
                <w:sz w:val="24"/>
                <w:szCs w:val="24"/>
              </w:rPr>
              <w:t>Atlanta, GA 30303</w:t>
            </w:r>
            <w:r w:rsidRPr="00AE4304">
              <w:rPr>
                <w:rFonts w:cstheme="minorHAnsi"/>
                <w:sz w:val="24"/>
                <w:szCs w:val="24"/>
              </w:rPr>
              <w:br/>
              <w:t>404-657-1105</w:t>
            </w:r>
          </w:p>
          <w:p w:rsidR="00AE4304" w:rsidRPr="00AE4304" w:rsidRDefault="0049562D" w:rsidP="00AE4304">
            <w:pPr>
              <w:spacing w:after="0" w:line="240" w:lineRule="auto"/>
              <w:rPr>
                <w:rFonts w:cstheme="minorHAnsi"/>
                <w:sz w:val="24"/>
                <w:szCs w:val="24"/>
              </w:rPr>
            </w:pPr>
            <w:hyperlink r:id="rId23" w:history="1">
              <w:r w:rsidR="00AE4304" w:rsidRPr="00AE4304">
                <w:rPr>
                  <w:rStyle w:val="Hyperlink"/>
                  <w:rFonts w:cstheme="minorHAnsi"/>
                  <w:sz w:val="24"/>
                  <w:szCs w:val="24"/>
                </w:rPr>
                <w:t>mtdangelo@dhr.state.ga.us</w:t>
              </w:r>
            </w:hyperlink>
          </w:p>
        </w:tc>
        <w:tc>
          <w:tcPr>
            <w:tcW w:w="3125" w:type="dxa"/>
            <w:tcMar>
              <w:left w:w="14" w:type="dxa"/>
              <w:right w:w="14" w:type="dxa"/>
            </w:tcMar>
          </w:tcPr>
          <w:p w:rsidR="00AE4304" w:rsidRPr="00AE4304" w:rsidRDefault="00AE4304" w:rsidP="00AE4304">
            <w:pPr>
              <w:spacing w:after="0" w:line="240" w:lineRule="auto"/>
              <w:rPr>
                <w:rFonts w:cstheme="minorHAnsi"/>
                <w:sz w:val="24"/>
                <w:szCs w:val="24"/>
              </w:rPr>
            </w:pPr>
            <w:r w:rsidRPr="00AE4304">
              <w:rPr>
                <w:rFonts w:cstheme="minorHAnsi"/>
                <w:b/>
                <w:sz w:val="24"/>
                <w:szCs w:val="24"/>
              </w:rPr>
              <w:t>Tim Wickam, MPH</w:t>
            </w:r>
            <w:r w:rsidRPr="00AE4304">
              <w:rPr>
                <w:rFonts w:cstheme="minorHAnsi"/>
                <w:sz w:val="24"/>
                <w:szCs w:val="24"/>
              </w:rPr>
              <w:br/>
              <w:t>EHS-Net Coordinator</w:t>
            </w:r>
            <w:r w:rsidRPr="00AE4304">
              <w:rPr>
                <w:rFonts w:cstheme="minorHAnsi"/>
                <w:sz w:val="24"/>
                <w:szCs w:val="24"/>
              </w:rPr>
              <w:br/>
              <w:t>Iowa Dept. of Public Health</w:t>
            </w:r>
            <w:r w:rsidRPr="00AE4304">
              <w:rPr>
                <w:rFonts w:cstheme="minorHAnsi"/>
                <w:sz w:val="24"/>
                <w:szCs w:val="24"/>
              </w:rPr>
              <w:br/>
              <w:t>Bureau of Environmental Health Services</w:t>
            </w:r>
            <w:r w:rsidRPr="00AE4304">
              <w:rPr>
                <w:rFonts w:cstheme="minorHAnsi"/>
                <w:sz w:val="24"/>
                <w:szCs w:val="24"/>
              </w:rPr>
              <w:br/>
              <w:t>Division of Environmental Health</w:t>
            </w:r>
            <w:r w:rsidRPr="00AE4304">
              <w:rPr>
                <w:rFonts w:cstheme="minorHAnsi"/>
                <w:sz w:val="24"/>
                <w:szCs w:val="24"/>
              </w:rPr>
              <w:br/>
              <w:t>321 E. 12th Street</w:t>
            </w:r>
            <w:r w:rsidRPr="00AE4304">
              <w:rPr>
                <w:rFonts w:cstheme="minorHAnsi"/>
                <w:sz w:val="24"/>
                <w:szCs w:val="24"/>
              </w:rPr>
              <w:br/>
              <w:t>Des Moines, IA  50319</w:t>
            </w:r>
            <w:r w:rsidRPr="00AE4304">
              <w:rPr>
                <w:rFonts w:cstheme="minorHAnsi"/>
                <w:sz w:val="24"/>
                <w:szCs w:val="24"/>
              </w:rPr>
              <w:br/>
              <w:t>515-281-7462</w:t>
            </w:r>
            <w:r w:rsidRPr="00AE4304">
              <w:rPr>
                <w:rFonts w:cstheme="minorHAnsi"/>
                <w:sz w:val="24"/>
                <w:szCs w:val="24"/>
              </w:rPr>
              <w:br/>
            </w:r>
            <w:hyperlink r:id="rId24" w:tooltip="blocked::mailto:twickam@idph.state.ia.us" w:history="1">
              <w:r w:rsidRPr="00AE4304">
                <w:rPr>
                  <w:rStyle w:val="Hyperlink"/>
                  <w:rFonts w:cstheme="minorHAnsi"/>
                  <w:sz w:val="24"/>
                  <w:szCs w:val="24"/>
                </w:rPr>
                <w:t>twickam@idph.state.ia.us</w:t>
              </w:r>
            </w:hyperlink>
          </w:p>
        </w:tc>
        <w:tc>
          <w:tcPr>
            <w:tcW w:w="3125"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Ken Sharp</w:t>
            </w:r>
            <w:r w:rsidRPr="00AE4304">
              <w:rPr>
                <w:rFonts w:cstheme="minorHAnsi"/>
                <w:b/>
                <w:sz w:val="24"/>
                <w:szCs w:val="24"/>
              </w:rPr>
              <w:tab/>
            </w:r>
          </w:p>
          <w:p w:rsidR="00AE4304" w:rsidRPr="00AE4304" w:rsidRDefault="00AE4304" w:rsidP="00AE4304">
            <w:pPr>
              <w:spacing w:after="0" w:line="240" w:lineRule="auto"/>
              <w:rPr>
                <w:rFonts w:cstheme="minorHAnsi"/>
                <w:sz w:val="24"/>
                <w:szCs w:val="24"/>
              </w:rPr>
            </w:pPr>
            <w:r w:rsidRPr="00AE4304">
              <w:rPr>
                <w:rFonts w:cstheme="minorHAnsi"/>
                <w:sz w:val="24"/>
                <w:szCs w:val="24"/>
              </w:rPr>
              <w:t>Iowa Department of Public Health</w:t>
            </w:r>
          </w:p>
          <w:p w:rsidR="00AE4304" w:rsidRPr="00AE4304" w:rsidRDefault="00AE4304" w:rsidP="00AE4304">
            <w:pPr>
              <w:spacing w:after="0" w:line="240" w:lineRule="auto"/>
              <w:rPr>
                <w:rFonts w:cstheme="minorHAnsi"/>
                <w:sz w:val="24"/>
                <w:szCs w:val="24"/>
              </w:rPr>
            </w:pPr>
            <w:r w:rsidRPr="00AE4304">
              <w:rPr>
                <w:rFonts w:cstheme="minorHAnsi"/>
                <w:sz w:val="24"/>
                <w:szCs w:val="24"/>
              </w:rPr>
              <w:t>Division of Environmental Health</w:t>
            </w:r>
          </w:p>
          <w:p w:rsidR="00AE4304" w:rsidRPr="00AE4304" w:rsidRDefault="00AE4304" w:rsidP="00AE4304">
            <w:pPr>
              <w:spacing w:after="0" w:line="240" w:lineRule="auto"/>
              <w:jc w:val="both"/>
              <w:rPr>
                <w:rFonts w:cstheme="minorHAnsi"/>
                <w:sz w:val="24"/>
                <w:szCs w:val="24"/>
              </w:rPr>
            </w:pPr>
            <w:r w:rsidRPr="00AE4304">
              <w:rPr>
                <w:rFonts w:cstheme="minorHAnsi"/>
                <w:sz w:val="24"/>
                <w:szCs w:val="24"/>
              </w:rPr>
              <w:t>Des Moines, IA 50319</w:t>
            </w:r>
          </w:p>
          <w:p w:rsidR="00AE4304" w:rsidRPr="00AE4304" w:rsidRDefault="00AE4304" w:rsidP="00AE4304">
            <w:pPr>
              <w:spacing w:after="0" w:line="240" w:lineRule="auto"/>
              <w:jc w:val="both"/>
              <w:rPr>
                <w:rFonts w:cstheme="minorHAnsi"/>
                <w:sz w:val="24"/>
                <w:szCs w:val="24"/>
              </w:rPr>
            </w:pPr>
            <w:r w:rsidRPr="00AE4304">
              <w:rPr>
                <w:rFonts w:cstheme="minorHAnsi"/>
                <w:sz w:val="24"/>
                <w:szCs w:val="24"/>
              </w:rPr>
              <w:t>(515) 281-7462</w:t>
            </w:r>
          </w:p>
          <w:p w:rsidR="00AE4304" w:rsidRPr="00AE4304" w:rsidRDefault="0049562D" w:rsidP="00AE4304">
            <w:pPr>
              <w:spacing w:after="0" w:line="240" w:lineRule="auto"/>
              <w:rPr>
                <w:rFonts w:cstheme="minorHAnsi"/>
                <w:sz w:val="24"/>
                <w:szCs w:val="24"/>
              </w:rPr>
            </w:pPr>
            <w:hyperlink r:id="rId25" w:history="1">
              <w:r w:rsidR="00AE4304" w:rsidRPr="00AE4304">
                <w:rPr>
                  <w:rStyle w:val="Hyperlink"/>
                  <w:rFonts w:cstheme="minorHAnsi"/>
                  <w:sz w:val="24"/>
                  <w:szCs w:val="24"/>
                </w:rPr>
                <w:t>ksharp@idph.state.ia.us</w:t>
              </w:r>
            </w:hyperlink>
          </w:p>
          <w:p w:rsidR="00AE4304" w:rsidRPr="00AE4304" w:rsidRDefault="00AE4304" w:rsidP="00AE4304">
            <w:pPr>
              <w:spacing w:after="0" w:line="240" w:lineRule="auto"/>
              <w:rPr>
                <w:rFonts w:cstheme="minorHAnsi"/>
                <w:sz w:val="24"/>
                <w:szCs w:val="24"/>
              </w:rPr>
            </w:pPr>
          </w:p>
        </w:tc>
      </w:tr>
      <w:tr w:rsidR="00AE4304" w:rsidRPr="00AA09C0" w:rsidTr="005A555F">
        <w:tc>
          <w:tcPr>
            <w:tcW w:w="3124"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Dave Reimann, RS</w:t>
            </w:r>
          </w:p>
          <w:p w:rsidR="00AE4304" w:rsidRPr="00AE4304" w:rsidRDefault="00AE4304" w:rsidP="00AE4304">
            <w:pPr>
              <w:spacing w:after="0" w:line="240" w:lineRule="auto"/>
              <w:rPr>
                <w:rFonts w:cstheme="minorHAnsi"/>
                <w:sz w:val="24"/>
                <w:szCs w:val="24"/>
              </w:rPr>
            </w:pPr>
            <w:r w:rsidRPr="00AE4304">
              <w:rPr>
                <w:rFonts w:cstheme="minorHAnsi"/>
                <w:sz w:val="24"/>
                <w:szCs w:val="24"/>
              </w:rPr>
              <w:t>Public Health Sanitarian III</w:t>
            </w:r>
          </w:p>
          <w:p w:rsidR="00AE4304" w:rsidRPr="00AE4304" w:rsidRDefault="00AE4304" w:rsidP="00AE4304">
            <w:pPr>
              <w:spacing w:after="0" w:line="240" w:lineRule="auto"/>
              <w:rPr>
                <w:rFonts w:cstheme="minorHAnsi"/>
                <w:sz w:val="24"/>
                <w:szCs w:val="24"/>
              </w:rPr>
            </w:pPr>
            <w:r w:rsidRPr="00AE4304">
              <w:rPr>
                <w:rFonts w:cstheme="minorHAnsi"/>
                <w:sz w:val="24"/>
                <w:szCs w:val="24"/>
              </w:rPr>
              <w:t>MN Dept. of Health</w:t>
            </w:r>
          </w:p>
          <w:p w:rsidR="00AE4304" w:rsidRPr="00AE4304" w:rsidRDefault="00AE4304" w:rsidP="00AE4304">
            <w:pPr>
              <w:spacing w:after="0" w:line="240" w:lineRule="auto"/>
              <w:rPr>
                <w:rFonts w:cstheme="minorHAnsi"/>
                <w:sz w:val="24"/>
                <w:szCs w:val="24"/>
              </w:rPr>
            </w:pPr>
            <w:r w:rsidRPr="00AE4304">
              <w:rPr>
                <w:rFonts w:cstheme="minorHAnsi"/>
                <w:sz w:val="24"/>
                <w:szCs w:val="24"/>
              </w:rPr>
              <w:t>410 Jackson St. Suite 500</w:t>
            </w:r>
          </w:p>
          <w:p w:rsidR="00AE4304" w:rsidRPr="00AE4304" w:rsidRDefault="00AE4304" w:rsidP="00AE4304">
            <w:pPr>
              <w:spacing w:after="0" w:line="240" w:lineRule="auto"/>
              <w:rPr>
                <w:rFonts w:cstheme="minorHAnsi"/>
                <w:sz w:val="24"/>
                <w:szCs w:val="24"/>
              </w:rPr>
            </w:pPr>
            <w:r w:rsidRPr="00AE4304">
              <w:rPr>
                <w:rFonts w:cstheme="minorHAnsi"/>
                <w:sz w:val="24"/>
                <w:szCs w:val="24"/>
              </w:rPr>
              <w:t>Mankato, MN 56001</w:t>
            </w:r>
            <w:r w:rsidRPr="00AE4304">
              <w:rPr>
                <w:rFonts w:cstheme="minorHAnsi"/>
                <w:sz w:val="24"/>
                <w:szCs w:val="24"/>
              </w:rPr>
              <w:tab/>
            </w:r>
          </w:p>
          <w:p w:rsidR="00AE4304" w:rsidRPr="00AE4304" w:rsidRDefault="00AE4304" w:rsidP="00AE4304">
            <w:pPr>
              <w:spacing w:after="0" w:line="240" w:lineRule="auto"/>
              <w:rPr>
                <w:rFonts w:cstheme="minorHAnsi"/>
                <w:sz w:val="24"/>
                <w:szCs w:val="24"/>
              </w:rPr>
            </w:pPr>
            <w:r w:rsidRPr="00AE4304">
              <w:rPr>
                <w:rFonts w:cstheme="minorHAnsi"/>
                <w:sz w:val="24"/>
                <w:szCs w:val="24"/>
              </w:rPr>
              <w:t>507-389-2203</w:t>
            </w:r>
          </w:p>
          <w:p w:rsidR="00AE4304" w:rsidRPr="00AE4304" w:rsidRDefault="0049562D" w:rsidP="00AE4304">
            <w:pPr>
              <w:spacing w:after="0" w:line="240" w:lineRule="auto"/>
              <w:rPr>
                <w:rFonts w:cstheme="minorHAnsi"/>
                <w:sz w:val="24"/>
                <w:szCs w:val="24"/>
              </w:rPr>
            </w:pPr>
            <w:hyperlink r:id="rId26" w:history="1">
              <w:r w:rsidR="00AE4304" w:rsidRPr="00AE4304">
                <w:rPr>
                  <w:rStyle w:val="Hyperlink"/>
                  <w:rFonts w:cstheme="minorHAnsi"/>
                  <w:sz w:val="24"/>
                  <w:szCs w:val="24"/>
                </w:rPr>
                <w:t>david.reimann@health.state.mn.us</w:t>
              </w:r>
            </w:hyperlink>
          </w:p>
        </w:tc>
        <w:tc>
          <w:tcPr>
            <w:tcW w:w="3125"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Kirk Smith, DVM</w:t>
            </w:r>
          </w:p>
          <w:p w:rsidR="00AE4304" w:rsidRPr="00AE4304" w:rsidRDefault="00AE4304" w:rsidP="00AE4304">
            <w:pPr>
              <w:spacing w:after="0" w:line="240" w:lineRule="auto"/>
              <w:rPr>
                <w:rFonts w:cstheme="minorHAnsi"/>
                <w:sz w:val="24"/>
                <w:szCs w:val="24"/>
              </w:rPr>
            </w:pPr>
            <w:r w:rsidRPr="00AE4304">
              <w:rPr>
                <w:rFonts w:cstheme="minorHAnsi"/>
                <w:sz w:val="24"/>
                <w:szCs w:val="24"/>
              </w:rPr>
              <w:t>State Epidemiologist</w:t>
            </w:r>
          </w:p>
          <w:p w:rsidR="00AE4304" w:rsidRPr="00AE4304" w:rsidRDefault="00AE4304" w:rsidP="00AE4304">
            <w:pPr>
              <w:spacing w:after="0" w:line="240" w:lineRule="auto"/>
              <w:rPr>
                <w:rFonts w:cstheme="minorHAnsi"/>
                <w:sz w:val="24"/>
                <w:szCs w:val="24"/>
              </w:rPr>
            </w:pPr>
            <w:r w:rsidRPr="00AE4304">
              <w:rPr>
                <w:rFonts w:cstheme="minorHAnsi"/>
                <w:sz w:val="24"/>
                <w:szCs w:val="24"/>
              </w:rPr>
              <w:t>Minnesota Department of Health</w:t>
            </w:r>
          </w:p>
          <w:p w:rsidR="00AE4304" w:rsidRPr="00AE4304" w:rsidRDefault="00AE4304" w:rsidP="00AE4304">
            <w:pPr>
              <w:spacing w:after="0" w:line="240" w:lineRule="auto"/>
              <w:rPr>
                <w:rFonts w:cstheme="minorHAnsi"/>
                <w:sz w:val="24"/>
                <w:szCs w:val="24"/>
              </w:rPr>
            </w:pPr>
            <w:r w:rsidRPr="00AE4304">
              <w:rPr>
                <w:rFonts w:cstheme="minorHAnsi"/>
                <w:sz w:val="24"/>
                <w:szCs w:val="24"/>
              </w:rPr>
              <w:t>625 Robert St N</w:t>
            </w:r>
          </w:p>
          <w:p w:rsidR="00AE4304" w:rsidRPr="00AE4304" w:rsidRDefault="00AE4304" w:rsidP="00AE4304">
            <w:pPr>
              <w:spacing w:after="0" w:line="240" w:lineRule="auto"/>
              <w:rPr>
                <w:rFonts w:cstheme="minorHAnsi"/>
                <w:sz w:val="24"/>
                <w:szCs w:val="24"/>
              </w:rPr>
            </w:pPr>
            <w:r w:rsidRPr="00AE4304">
              <w:rPr>
                <w:rFonts w:cstheme="minorHAnsi"/>
                <w:sz w:val="24"/>
                <w:szCs w:val="24"/>
              </w:rPr>
              <w:t>Minneapolis, MN 55164</w:t>
            </w:r>
          </w:p>
          <w:p w:rsidR="00AE4304" w:rsidRPr="00AE4304" w:rsidRDefault="00AE4304" w:rsidP="00AE4304">
            <w:pPr>
              <w:spacing w:after="0" w:line="240" w:lineRule="auto"/>
              <w:rPr>
                <w:rFonts w:cstheme="minorHAnsi"/>
                <w:sz w:val="24"/>
                <w:szCs w:val="24"/>
              </w:rPr>
            </w:pPr>
            <w:r w:rsidRPr="00AE4304">
              <w:rPr>
                <w:rFonts w:cstheme="minorHAnsi"/>
                <w:sz w:val="24"/>
                <w:szCs w:val="24"/>
              </w:rPr>
              <w:t>612-676-5414</w:t>
            </w:r>
          </w:p>
          <w:p w:rsidR="00AE4304" w:rsidRPr="00AE4304" w:rsidRDefault="0049562D" w:rsidP="00AE4304">
            <w:pPr>
              <w:spacing w:after="0" w:line="240" w:lineRule="auto"/>
              <w:rPr>
                <w:rFonts w:cstheme="minorHAnsi"/>
                <w:sz w:val="24"/>
                <w:szCs w:val="24"/>
              </w:rPr>
            </w:pPr>
            <w:hyperlink r:id="rId27" w:history="1">
              <w:r w:rsidR="00AE4304" w:rsidRPr="00AE4304">
                <w:rPr>
                  <w:rStyle w:val="Hyperlink"/>
                  <w:rFonts w:cstheme="minorHAnsi"/>
                  <w:sz w:val="24"/>
                  <w:szCs w:val="24"/>
                </w:rPr>
                <w:t>Kirk.smith@state.mn.us</w:t>
              </w:r>
            </w:hyperlink>
          </w:p>
        </w:tc>
        <w:tc>
          <w:tcPr>
            <w:tcW w:w="3125" w:type="dxa"/>
            <w:tcMar>
              <w:left w:w="14" w:type="dxa"/>
              <w:right w:w="14" w:type="dxa"/>
            </w:tcMar>
          </w:tcPr>
          <w:p w:rsidR="00AE4304" w:rsidRPr="00AE4304" w:rsidRDefault="00AE4304" w:rsidP="00AE4304">
            <w:pPr>
              <w:spacing w:after="0" w:line="240" w:lineRule="auto"/>
              <w:rPr>
                <w:rFonts w:cstheme="minorHAnsi"/>
                <w:sz w:val="24"/>
                <w:szCs w:val="24"/>
              </w:rPr>
            </w:pPr>
            <w:r w:rsidRPr="00AE4304">
              <w:rPr>
                <w:rFonts w:cstheme="minorHAnsi"/>
                <w:b/>
                <w:bCs/>
                <w:sz w:val="24"/>
                <w:szCs w:val="24"/>
              </w:rPr>
              <w:t>Karen Everstine</w:t>
            </w:r>
          </w:p>
          <w:p w:rsidR="00AE4304" w:rsidRPr="00AE4304" w:rsidRDefault="00AE4304" w:rsidP="00AE4304">
            <w:pPr>
              <w:spacing w:after="0" w:line="240" w:lineRule="auto"/>
              <w:rPr>
                <w:rFonts w:cstheme="minorHAnsi"/>
                <w:sz w:val="24"/>
                <w:szCs w:val="24"/>
              </w:rPr>
            </w:pPr>
            <w:r w:rsidRPr="00AE4304">
              <w:rPr>
                <w:rFonts w:cstheme="minorHAnsi"/>
                <w:sz w:val="24"/>
                <w:szCs w:val="24"/>
              </w:rPr>
              <w:t>Epidemiologist</w:t>
            </w:r>
          </w:p>
          <w:p w:rsidR="00AE4304" w:rsidRPr="00AE4304" w:rsidRDefault="00AE4304" w:rsidP="00AE4304">
            <w:pPr>
              <w:spacing w:after="0" w:line="240" w:lineRule="auto"/>
              <w:rPr>
                <w:rFonts w:cstheme="minorHAnsi"/>
                <w:sz w:val="24"/>
                <w:szCs w:val="24"/>
              </w:rPr>
            </w:pPr>
            <w:r w:rsidRPr="00AE4304">
              <w:rPr>
                <w:rFonts w:cstheme="minorHAnsi"/>
                <w:sz w:val="24"/>
                <w:szCs w:val="24"/>
              </w:rPr>
              <w:t>MN Dept. of Health</w:t>
            </w:r>
          </w:p>
          <w:p w:rsidR="00AE4304" w:rsidRPr="00AE4304" w:rsidRDefault="00AE4304" w:rsidP="00AE4304">
            <w:pPr>
              <w:spacing w:after="0" w:line="240" w:lineRule="auto"/>
              <w:rPr>
                <w:rFonts w:cstheme="minorHAnsi"/>
                <w:sz w:val="24"/>
                <w:szCs w:val="24"/>
              </w:rPr>
            </w:pPr>
            <w:r w:rsidRPr="00AE4304">
              <w:rPr>
                <w:rFonts w:cstheme="minorHAnsi"/>
                <w:sz w:val="24"/>
                <w:szCs w:val="24"/>
              </w:rPr>
              <w:t>625 Robert St N</w:t>
            </w:r>
          </w:p>
          <w:p w:rsidR="00AE4304" w:rsidRPr="00AE4304" w:rsidRDefault="00AE4304" w:rsidP="00AE4304">
            <w:pPr>
              <w:spacing w:after="0" w:line="240" w:lineRule="auto"/>
              <w:rPr>
                <w:rFonts w:cstheme="minorHAnsi"/>
                <w:sz w:val="24"/>
                <w:szCs w:val="24"/>
              </w:rPr>
            </w:pPr>
            <w:r w:rsidRPr="00AE4304">
              <w:rPr>
                <w:rFonts w:cstheme="minorHAnsi"/>
                <w:sz w:val="24"/>
                <w:szCs w:val="24"/>
              </w:rPr>
              <w:t>Minneapolis, MN 55164</w:t>
            </w:r>
          </w:p>
          <w:p w:rsidR="00AE4304" w:rsidRPr="00AE4304" w:rsidRDefault="00AE4304" w:rsidP="00AE4304">
            <w:pPr>
              <w:spacing w:after="0" w:line="240" w:lineRule="auto"/>
              <w:rPr>
                <w:rFonts w:cstheme="minorHAnsi"/>
                <w:sz w:val="24"/>
                <w:szCs w:val="24"/>
              </w:rPr>
            </w:pPr>
            <w:r w:rsidRPr="00AE4304">
              <w:rPr>
                <w:rFonts w:cstheme="minorHAnsi"/>
                <w:sz w:val="24"/>
                <w:szCs w:val="24"/>
              </w:rPr>
              <w:t>(651) 201-5746</w:t>
            </w:r>
          </w:p>
          <w:p w:rsidR="00AE4304" w:rsidRPr="00AE4304" w:rsidRDefault="0049562D" w:rsidP="00AE4304">
            <w:pPr>
              <w:spacing w:after="0" w:line="240" w:lineRule="auto"/>
              <w:rPr>
                <w:rFonts w:cstheme="minorHAnsi"/>
                <w:sz w:val="24"/>
                <w:szCs w:val="24"/>
              </w:rPr>
            </w:pPr>
            <w:hyperlink r:id="rId28" w:history="1">
              <w:r w:rsidR="00AE4304" w:rsidRPr="00AE4304">
                <w:rPr>
                  <w:rStyle w:val="Hyperlink"/>
                  <w:rFonts w:cstheme="minorHAnsi"/>
                  <w:sz w:val="24"/>
                  <w:szCs w:val="24"/>
                </w:rPr>
                <w:t>karen.everstine@health.state.mn.us</w:t>
              </w:r>
            </w:hyperlink>
          </w:p>
        </w:tc>
      </w:tr>
      <w:tr w:rsidR="00AE4304" w:rsidRPr="00AA09C0" w:rsidTr="005A555F">
        <w:tc>
          <w:tcPr>
            <w:tcW w:w="3124"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Steven Diaz</w:t>
            </w:r>
          </w:p>
          <w:p w:rsidR="00AE4304" w:rsidRPr="00AE4304" w:rsidRDefault="00AE4304" w:rsidP="00AE4304">
            <w:pPr>
              <w:spacing w:after="0" w:line="240" w:lineRule="auto"/>
              <w:rPr>
                <w:rFonts w:cstheme="minorHAnsi"/>
                <w:sz w:val="24"/>
                <w:szCs w:val="24"/>
              </w:rPr>
            </w:pPr>
            <w:r w:rsidRPr="00AE4304">
              <w:rPr>
                <w:rFonts w:cstheme="minorHAnsi"/>
                <w:sz w:val="24"/>
                <w:szCs w:val="24"/>
              </w:rPr>
              <w:t>Environmental Health Specialist</w:t>
            </w:r>
          </w:p>
          <w:p w:rsidR="00AE4304" w:rsidRPr="00AE4304" w:rsidRDefault="00AE4304" w:rsidP="00AE4304">
            <w:pPr>
              <w:spacing w:after="0" w:line="240" w:lineRule="auto"/>
              <w:rPr>
                <w:rFonts w:cstheme="minorHAnsi"/>
                <w:sz w:val="24"/>
                <w:szCs w:val="24"/>
              </w:rPr>
            </w:pPr>
            <w:r w:rsidRPr="00AE4304">
              <w:rPr>
                <w:rFonts w:cstheme="minorHAnsi"/>
                <w:sz w:val="24"/>
                <w:szCs w:val="24"/>
              </w:rPr>
              <w:t>Environmental Health Services</w:t>
            </w:r>
          </w:p>
          <w:p w:rsidR="00AE4304" w:rsidRPr="00AE4304" w:rsidRDefault="00AE4304" w:rsidP="00AE4304">
            <w:pPr>
              <w:spacing w:after="0" w:line="240" w:lineRule="auto"/>
              <w:rPr>
                <w:rFonts w:cstheme="minorHAnsi"/>
                <w:sz w:val="24"/>
                <w:szCs w:val="24"/>
              </w:rPr>
            </w:pPr>
            <w:r w:rsidRPr="00AE4304">
              <w:rPr>
                <w:rFonts w:cstheme="minorHAnsi"/>
                <w:sz w:val="24"/>
                <w:szCs w:val="24"/>
              </w:rPr>
              <w:t>Snelling Office Park</w:t>
            </w:r>
          </w:p>
          <w:p w:rsidR="00AE4304" w:rsidRPr="00AE4304" w:rsidRDefault="00AE4304" w:rsidP="00AE4304">
            <w:pPr>
              <w:spacing w:after="0" w:line="240" w:lineRule="auto"/>
              <w:rPr>
                <w:rFonts w:cstheme="minorHAnsi"/>
                <w:sz w:val="24"/>
                <w:szCs w:val="24"/>
              </w:rPr>
            </w:pPr>
            <w:r w:rsidRPr="00AE4304">
              <w:rPr>
                <w:rFonts w:cstheme="minorHAnsi"/>
                <w:sz w:val="24"/>
                <w:szCs w:val="24"/>
              </w:rPr>
              <w:t>1645 Energy Park Drive</w:t>
            </w:r>
          </w:p>
          <w:p w:rsidR="00AE4304" w:rsidRPr="00AE4304" w:rsidRDefault="00AE4304" w:rsidP="00AE4304">
            <w:pPr>
              <w:spacing w:after="0" w:line="240" w:lineRule="auto"/>
              <w:rPr>
                <w:rFonts w:cstheme="minorHAnsi"/>
                <w:sz w:val="24"/>
                <w:szCs w:val="24"/>
              </w:rPr>
            </w:pPr>
            <w:r w:rsidRPr="00AE4304">
              <w:rPr>
                <w:rFonts w:cstheme="minorHAnsi"/>
                <w:sz w:val="24"/>
                <w:szCs w:val="24"/>
              </w:rPr>
              <w:t>St. Paul, MN 55108</w:t>
            </w:r>
          </w:p>
          <w:p w:rsidR="00AE4304" w:rsidRPr="00AE4304" w:rsidRDefault="00AE4304" w:rsidP="00AE4304">
            <w:pPr>
              <w:spacing w:after="0" w:line="240" w:lineRule="auto"/>
              <w:rPr>
                <w:rFonts w:cstheme="minorHAnsi"/>
                <w:sz w:val="24"/>
                <w:szCs w:val="24"/>
              </w:rPr>
            </w:pPr>
            <w:r w:rsidRPr="00AE4304">
              <w:rPr>
                <w:rFonts w:cstheme="minorHAnsi"/>
                <w:sz w:val="24"/>
                <w:szCs w:val="24"/>
              </w:rPr>
              <w:t>651-643-2167</w:t>
            </w:r>
          </w:p>
          <w:p w:rsidR="00AE4304" w:rsidRPr="00AE4304" w:rsidRDefault="0049562D" w:rsidP="00AE4304">
            <w:pPr>
              <w:spacing w:after="0" w:line="240" w:lineRule="auto"/>
              <w:rPr>
                <w:rFonts w:cstheme="minorHAnsi"/>
                <w:sz w:val="24"/>
                <w:szCs w:val="24"/>
              </w:rPr>
            </w:pPr>
            <w:hyperlink r:id="rId29" w:history="1">
              <w:r w:rsidR="00AE4304" w:rsidRPr="00AE4304">
                <w:rPr>
                  <w:rStyle w:val="Hyperlink"/>
                  <w:rFonts w:cstheme="minorHAnsi"/>
                  <w:sz w:val="24"/>
                  <w:szCs w:val="24"/>
                </w:rPr>
                <w:t>steven.diaz@state.mn.us</w:t>
              </w:r>
            </w:hyperlink>
          </w:p>
        </w:tc>
        <w:tc>
          <w:tcPr>
            <w:tcW w:w="3125"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Dave Nicholas</w:t>
            </w:r>
          </w:p>
          <w:p w:rsidR="00AE4304" w:rsidRPr="00AE4304" w:rsidRDefault="00AE4304" w:rsidP="00AE4304">
            <w:pPr>
              <w:spacing w:after="0" w:line="240" w:lineRule="auto"/>
              <w:rPr>
                <w:rFonts w:cstheme="minorHAnsi"/>
                <w:sz w:val="24"/>
                <w:szCs w:val="24"/>
              </w:rPr>
            </w:pPr>
            <w:r w:rsidRPr="00AE4304">
              <w:rPr>
                <w:rFonts w:cstheme="minorHAnsi"/>
                <w:sz w:val="24"/>
                <w:szCs w:val="24"/>
              </w:rPr>
              <w:t>NY State Dept. of Health</w:t>
            </w:r>
          </w:p>
          <w:p w:rsidR="00AE4304" w:rsidRPr="00AE4304" w:rsidRDefault="00AE4304" w:rsidP="00AE4304">
            <w:pPr>
              <w:spacing w:after="0" w:line="240" w:lineRule="auto"/>
              <w:rPr>
                <w:rFonts w:cstheme="minorHAnsi"/>
                <w:sz w:val="24"/>
                <w:szCs w:val="24"/>
              </w:rPr>
            </w:pPr>
            <w:r w:rsidRPr="00AE4304">
              <w:rPr>
                <w:rFonts w:cstheme="minorHAnsi"/>
                <w:sz w:val="24"/>
                <w:szCs w:val="24"/>
              </w:rPr>
              <w:t>Bureau of Community Sanitation                                                                   and Food Protection</w:t>
            </w:r>
          </w:p>
          <w:p w:rsidR="00AE4304" w:rsidRPr="00AE4304" w:rsidRDefault="00AE4304" w:rsidP="00AE4304">
            <w:pPr>
              <w:spacing w:after="0" w:line="240" w:lineRule="auto"/>
              <w:rPr>
                <w:rFonts w:cstheme="minorHAnsi"/>
                <w:sz w:val="24"/>
                <w:szCs w:val="24"/>
              </w:rPr>
            </w:pPr>
            <w:r w:rsidRPr="00AE4304">
              <w:rPr>
                <w:rFonts w:cstheme="minorHAnsi"/>
                <w:sz w:val="24"/>
                <w:szCs w:val="24"/>
              </w:rPr>
              <w:t>547 River St.</w:t>
            </w:r>
          </w:p>
          <w:p w:rsidR="00AE4304" w:rsidRPr="00AE4304" w:rsidRDefault="00AE4304" w:rsidP="00AE4304">
            <w:pPr>
              <w:spacing w:after="0" w:line="240" w:lineRule="auto"/>
              <w:rPr>
                <w:rFonts w:cstheme="minorHAnsi"/>
                <w:sz w:val="24"/>
                <w:szCs w:val="24"/>
              </w:rPr>
            </w:pPr>
            <w:r w:rsidRPr="00AE4304">
              <w:rPr>
                <w:rFonts w:cstheme="minorHAnsi"/>
                <w:sz w:val="24"/>
                <w:szCs w:val="24"/>
              </w:rPr>
              <w:t>Troy, NY 12180</w:t>
            </w:r>
          </w:p>
          <w:p w:rsidR="00AE4304" w:rsidRPr="00AE4304" w:rsidRDefault="00AE4304" w:rsidP="00AE4304">
            <w:pPr>
              <w:spacing w:after="0" w:line="240" w:lineRule="auto"/>
              <w:rPr>
                <w:rFonts w:cstheme="minorHAnsi"/>
                <w:sz w:val="24"/>
                <w:szCs w:val="24"/>
              </w:rPr>
            </w:pPr>
            <w:r w:rsidRPr="00AE4304">
              <w:rPr>
                <w:rFonts w:cstheme="minorHAnsi"/>
                <w:sz w:val="24"/>
                <w:szCs w:val="24"/>
              </w:rPr>
              <w:t>(518) 402-7600</w:t>
            </w:r>
          </w:p>
          <w:p w:rsidR="00AE4304" w:rsidRPr="00AE4304" w:rsidRDefault="0049562D" w:rsidP="00AE4304">
            <w:pPr>
              <w:spacing w:after="0" w:line="240" w:lineRule="auto"/>
              <w:rPr>
                <w:rFonts w:cstheme="minorHAnsi"/>
                <w:sz w:val="24"/>
                <w:szCs w:val="24"/>
              </w:rPr>
            </w:pPr>
            <w:hyperlink r:id="rId30" w:history="1">
              <w:r w:rsidR="00AE4304" w:rsidRPr="00AE4304">
                <w:rPr>
                  <w:rStyle w:val="Hyperlink"/>
                  <w:rFonts w:cstheme="minorHAnsi"/>
                  <w:sz w:val="24"/>
                  <w:szCs w:val="24"/>
                </w:rPr>
                <w:t>dcn01@health.state.ny.us</w:t>
              </w:r>
            </w:hyperlink>
          </w:p>
        </w:tc>
        <w:tc>
          <w:tcPr>
            <w:tcW w:w="3125"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Dale Morse</w:t>
            </w:r>
          </w:p>
          <w:p w:rsidR="00AE4304" w:rsidRPr="00AE4304" w:rsidRDefault="00AE4304" w:rsidP="00AE4304">
            <w:pPr>
              <w:spacing w:after="0" w:line="240" w:lineRule="auto"/>
              <w:rPr>
                <w:rFonts w:cstheme="minorHAnsi"/>
                <w:sz w:val="24"/>
                <w:szCs w:val="24"/>
              </w:rPr>
            </w:pPr>
            <w:r w:rsidRPr="00AE4304">
              <w:rPr>
                <w:rFonts w:cstheme="minorHAnsi"/>
                <w:sz w:val="24"/>
                <w:szCs w:val="24"/>
              </w:rPr>
              <w:t>Office of Science and Public Health NYS Department of Health ESP</w:t>
            </w:r>
          </w:p>
          <w:p w:rsidR="00AE4304" w:rsidRPr="00AE4304" w:rsidRDefault="00AE4304" w:rsidP="00AE4304">
            <w:pPr>
              <w:spacing w:after="0" w:line="240" w:lineRule="auto"/>
              <w:rPr>
                <w:rFonts w:cstheme="minorHAnsi"/>
                <w:sz w:val="24"/>
                <w:szCs w:val="24"/>
              </w:rPr>
            </w:pPr>
            <w:r w:rsidRPr="00AE4304">
              <w:rPr>
                <w:rFonts w:cstheme="minorHAnsi"/>
                <w:sz w:val="24"/>
                <w:szCs w:val="24"/>
              </w:rPr>
              <w:t xml:space="preserve">625 Robert Street North </w:t>
            </w:r>
          </w:p>
          <w:p w:rsidR="00AE4304" w:rsidRPr="00AE4304" w:rsidRDefault="00AE4304" w:rsidP="00AE4304">
            <w:pPr>
              <w:spacing w:after="0" w:line="240" w:lineRule="auto"/>
              <w:rPr>
                <w:rFonts w:cstheme="minorHAnsi"/>
                <w:sz w:val="24"/>
                <w:szCs w:val="24"/>
              </w:rPr>
            </w:pPr>
            <w:r w:rsidRPr="00AE4304">
              <w:rPr>
                <w:rFonts w:cstheme="minorHAnsi"/>
                <w:sz w:val="24"/>
                <w:szCs w:val="24"/>
              </w:rPr>
              <w:t>St. Paul, MN 55155</w:t>
            </w:r>
          </w:p>
          <w:p w:rsidR="00AE4304" w:rsidRPr="00AE4304" w:rsidRDefault="00AE4304" w:rsidP="00AE4304">
            <w:pPr>
              <w:spacing w:after="0" w:line="240" w:lineRule="auto"/>
              <w:rPr>
                <w:rFonts w:cstheme="minorHAnsi"/>
                <w:sz w:val="24"/>
                <w:szCs w:val="24"/>
              </w:rPr>
            </w:pPr>
            <w:r w:rsidRPr="00AE4304">
              <w:rPr>
                <w:rFonts w:cstheme="minorHAnsi"/>
                <w:sz w:val="24"/>
                <w:szCs w:val="24"/>
              </w:rPr>
              <w:t>(518) 472-4959</w:t>
            </w:r>
          </w:p>
          <w:p w:rsidR="00AE4304" w:rsidRPr="00AE4304" w:rsidRDefault="0049562D" w:rsidP="00AE4304">
            <w:pPr>
              <w:spacing w:after="0" w:line="240" w:lineRule="auto"/>
              <w:rPr>
                <w:rFonts w:cstheme="minorHAnsi"/>
                <w:sz w:val="24"/>
                <w:szCs w:val="24"/>
              </w:rPr>
            </w:pPr>
            <w:hyperlink r:id="rId31" w:history="1">
              <w:r w:rsidR="00AE4304" w:rsidRPr="00FD323A">
                <w:rPr>
                  <w:rStyle w:val="Hyperlink"/>
                  <w:rFonts w:cstheme="minorHAnsi"/>
                  <w:sz w:val="24"/>
                  <w:szCs w:val="24"/>
                </w:rPr>
                <w:t>dlm04@health.state.ny.us</w:t>
              </w:r>
            </w:hyperlink>
            <w:r w:rsidR="00AE4304">
              <w:rPr>
                <w:rFonts w:cstheme="minorHAnsi"/>
                <w:sz w:val="24"/>
                <w:szCs w:val="24"/>
              </w:rPr>
              <w:t xml:space="preserve"> </w:t>
            </w:r>
          </w:p>
        </w:tc>
      </w:tr>
      <w:tr w:rsidR="00AE4304" w:rsidRPr="00AA09C0" w:rsidTr="005A555F">
        <w:tc>
          <w:tcPr>
            <w:tcW w:w="3124"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Paul Cieslak</w:t>
            </w:r>
          </w:p>
          <w:p w:rsidR="00AE4304" w:rsidRPr="00AE4304" w:rsidRDefault="00AE4304" w:rsidP="00AE4304">
            <w:pPr>
              <w:spacing w:after="0" w:line="240" w:lineRule="auto"/>
              <w:rPr>
                <w:rFonts w:cstheme="minorHAnsi"/>
                <w:sz w:val="24"/>
                <w:szCs w:val="24"/>
              </w:rPr>
            </w:pPr>
            <w:r w:rsidRPr="00AE4304">
              <w:rPr>
                <w:rFonts w:cstheme="minorHAnsi"/>
                <w:sz w:val="24"/>
                <w:szCs w:val="24"/>
              </w:rPr>
              <w:t>Section Manager</w:t>
            </w:r>
          </w:p>
          <w:p w:rsidR="00AE4304" w:rsidRPr="00AE4304" w:rsidRDefault="00AE4304" w:rsidP="00AE4304">
            <w:pPr>
              <w:spacing w:after="0" w:line="240" w:lineRule="auto"/>
              <w:rPr>
                <w:rFonts w:cstheme="minorHAnsi"/>
                <w:sz w:val="24"/>
                <w:szCs w:val="24"/>
              </w:rPr>
            </w:pPr>
            <w:r w:rsidRPr="00AE4304">
              <w:rPr>
                <w:rFonts w:cstheme="minorHAnsi"/>
                <w:sz w:val="24"/>
                <w:szCs w:val="24"/>
              </w:rPr>
              <w:t>Acute and Communicable Disease Program, Oregon Public Health Division, Department of Human Services</w:t>
            </w:r>
          </w:p>
          <w:p w:rsidR="00AE4304" w:rsidRPr="00AE4304" w:rsidRDefault="00AE4304" w:rsidP="00AE4304">
            <w:pPr>
              <w:spacing w:after="0" w:line="240" w:lineRule="auto"/>
              <w:rPr>
                <w:rFonts w:cstheme="minorHAnsi"/>
                <w:sz w:val="24"/>
                <w:szCs w:val="24"/>
              </w:rPr>
            </w:pPr>
            <w:r w:rsidRPr="00AE4304">
              <w:rPr>
                <w:rFonts w:cstheme="minorHAnsi"/>
                <w:sz w:val="24"/>
                <w:szCs w:val="24"/>
              </w:rPr>
              <w:t>800 NE Oregon Street, Suite 772</w:t>
            </w:r>
          </w:p>
          <w:p w:rsidR="00AE4304" w:rsidRPr="00AE4304" w:rsidRDefault="00AE4304" w:rsidP="00AE4304">
            <w:pPr>
              <w:spacing w:after="0" w:line="240" w:lineRule="auto"/>
              <w:rPr>
                <w:rFonts w:cstheme="minorHAnsi"/>
                <w:b/>
                <w:sz w:val="24"/>
                <w:szCs w:val="24"/>
              </w:rPr>
            </w:pPr>
            <w:r w:rsidRPr="00AE4304">
              <w:rPr>
                <w:rFonts w:cstheme="minorHAnsi"/>
                <w:sz w:val="24"/>
                <w:szCs w:val="24"/>
              </w:rPr>
              <w:t>Portland, OR 97232</w:t>
            </w:r>
          </w:p>
          <w:p w:rsidR="00AE4304" w:rsidRPr="00AE4304" w:rsidRDefault="00AE4304" w:rsidP="00AE4304">
            <w:pPr>
              <w:spacing w:after="0" w:line="240" w:lineRule="auto"/>
              <w:rPr>
                <w:rFonts w:cstheme="minorHAnsi"/>
                <w:b/>
                <w:sz w:val="24"/>
                <w:szCs w:val="24"/>
              </w:rPr>
            </w:pPr>
            <w:r w:rsidRPr="00AE4304">
              <w:rPr>
                <w:rFonts w:cstheme="minorHAnsi"/>
                <w:sz w:val="24"/>
                <w:szCs w:val="24"/>
              </w:rPr>
              <w:t>(971) 673-1111</w:t>
            </w:r>
          </w:p>
          <w:p w:rsidR="00AE4304" w:rsidRPr="00AE4304" w:rsidRDefault="0049562D" w:rsidP="00AE4304">
            <w:pPr>
              <w:spacing w:after="0" w:line="240" w:lineRule="auto"/>
              <w:rPr>
                <w:rFonts w:cstheme="minorHAnsi"/>
                <w:b/>
                <w:sz w:val="24"/>
                <w:szCs w:val="24"/>
              </w:rPr>
            </w:pPr>
            <w:hyperlink r:id="rId32" w:history="1">
              <w:r w:rsidR="00AE4304" w:rsidRPr="00FD323A">
                <w:rPr>
                  <w:rStyle w:val="Hyperlink"/>
                  <w:rFonts w:cstheme="minorHAnsi"/>
                  <w:sz w:val="24"/>
                  <w:szCs w:val="24"/>
                </w:rPr>
                <w:t>paul.r.cieslak@state.or.us</w:t>
              </w:r>
            </w:hyperlink>
            <w:r w:rsidR="00AE4304">
              <w:rPr>
                <w:rFonts w:cstheme="minorHAnsi"/>
                <w:sz w:val="24"/>
                <w:szCs w:val="24"/>
              </w:rPr>
              <w:t xml:space="preserve"> </w:t>
            </w:r>
          </w:p>
        </w:tc>
        <w:tc>
          <w:tcPr>
            <w:tcW w:w="3125"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Lore Lee, MPH</w:t>
            </w:r>
          </w:p>
          <w:p w:rsidR="00AE4304" w:rsidRPr="00AE4304" w:rsidRDefault="00AE4304" w:rsidP="00AE4304">
            <w:pPr>
              <w:spacing w:after="0" w:line="240" w:lineRule="auto"/>
              <w:rPr>
                <w:rFonts w:cstheme="minorHAnsi"/>
                <w:sz w:val="24"/>
                <w:szCs w:val="24"/>
              </w:rPr>
            </w:pPr>
            <w:r w:rsidRPr="00AE4304">
              <w:rPr>
                <w:rFonts w:cstheme="minorHAnsi"/>
                <w:sz w:val="24"/>
                <w:szCs w:val="24"/>
              </w:rPr>
              <w:t>Epidemiologist</w:t>
            </w:r>
          </w:p>
          <w:p w:rsidR="00AE4304" w:rsidRPr="00AE4304" w:rsidRDefault="00AE4304" w:rsidP="00AE4304">
            <w:pPr>
              <w:spacing w:after="0" w:line="240" w:lineRule="auto"/>
              <w:rPr>
                <w:rFonts w:cstheme="minorHAnsi"/>
                <w:sz w:val="24"/>
                <w:szCs w:val="24"/>
              </w:rPr>
            </w:pPr>
            <w:r w:rsidRPr="00AE4304">
              <w:rPr>
                <w:rFonts w:cstheme="minorHAnsi"/>
                <w:sz w:val="24"/>
                <w:szCs w:val="24"/>
              </w:rPr>
              <w:t>Acute and Communicable Disease Program</w:t>
            </w:r>
          </w:p>
          <w:p w:rsidR="00AE4304" w:rsidRPr="00AE4304" w:rsidRDefault="00AE4304" w:rsidP="00AE4304">
            <w:pPr>
              <w:spacing w:after="0" w:line="240" w:lineRule="auto"/>
              <w:rPr>
                <w:rFonts w:cstheme="minorHAnsi"/>
                <w:sz w:val="24"/>
                <w:szCs w:val="24"/>
              </w:rPr>
            </w:pPr>
            <w:r w:rsidRPr="00AE4304">
              <w:rPr>
                <w:rFonts w:cstheme="minorHAnsi"/>
                <w:sz w:val="24"/>
                <w:szCs w:val="24"/>
              </w:rPr>
              <w:t>Oregon Health Services</w:t>
            </w:r>
          </w:p>
          <w:p w:rsidR="00AE4304" w:rsidRPr="00AE4304" w:rsidRDefault="00AE4304" w:rsidP="00AE4304">
            <w:pPr>
              <w:spacing w:after="0" w:line="240" w:lineRule="auto"/>
              <w:rPr>
                <w:rFonts w:cstheme="minorHAnsi"/>
                <w:sz w:val="24"/>
                <w:szCs w:val="24"/>
              </w:rPr>
            </w:pPr>
            <w:r w:rsidRPr="00AE4304">
              <w:rPr>
                <w:rFonts w:cstheme="minorHAnsi"/>
                <w:sz w:val="24"/>
                <w:szCs w:val="24"/>
              </w:rPr>
              <w:t>800 NE Oregon Street</w:t>
            </w:r>
          </w:p>
          <w:p w:rsidR="00AE4304" w:rsidRPr="00AE4304" w:rsidRDefault="00AE4304" w:rsidP="00AE4304">
            <w:pPr>
              <w:spacing w:after="0" w:line="240" w:lineRule="auto"/>
              <w:rPr>
                <w:rFonts w:cstheme="minorHAnsi"/>
                <w:sz w:val="24"/>
                <w:szCs w:val="24"/>
              </w:rPr>
            </w:pPr>
            <w:r w:rsidRPr="00AE4304">
              <w:rPr>
                <w:rFonts w:cstheme="minorHAnsi"/>
                <w:sz w:val="24"/>
                <w:szCs w:val="24"/>
              </w:rPr>
              <w:t>Portland, Oregon 97323</w:t>
            </w:r>
          </w:p>
          <w:p w:rsidR="00AE4304" w:rsidRPr="00AE4304" w:rsidRDefault="00AE4304" w:rsidP="00AE4304">
            <w:pPr>
              <w:spacing w:after="0" w:line="240" w:lineRule="auto"/>
              <w:rPr>
                <w:rFonts w:cstheme="minorHAnsi"/>
                <w:sz w:val="24"/>
                <w:szCs w:val="24"/>
              </w:rPr>
            </w:pPr>
            <w:r w:rsidRPr="00AE4304">
              <w:rPr>
                <w:rFonts w:cstheme="minorHAnsi"/>
                <w:sz w:val="24"/>
                <w:szCs w:val="24"/>
              </w:rPr>
              <w:t>503-731-3122</w:t>
            </w:r>
          </w:p>
          <w:p w:rsidR="00AE4304" w:rsidRPr="00AE4304" w:rsidRDefault="0049562D" w:rsidP="00AE4304">
            <w:pPr>
              <w:autoSpaceDE w:val="0"/>
              <w:autoSpaceDN w:val="0"/>
              <w:adjustRightInd w:val="0"/>
              <w:spacing w:after="0" w:line="240" w:lineRule="auto"/>
              <w:rPr>
                <w:rFonts w:cstheme="minorHAnsi"/>
                <w:sz w:val="24"/>
                <w:szCs w:val="24"/>
              </w:rPr>
            </w:pPr>
            <w:hyperlink r:id="rId33" w:history="1">
              <w:r w:rsidR="00AE4304" w:rsidRPr="00AE4304">
                <w:rPr>
                  <w:rStyle w:val="Hyperlink"/>
                  <w:rFonts w:cstheme="minorHAnsi"/>
                  <w:sz w:val="24"/>
                  <w:szCs w:val="24"/>
                </w:rPr>
                <w:t>Lore.e.lee@state.or.us</w:t>
              </w:r>
            </w:hyperlink>
          </w:p>
        </w:tc>
        <w:tc>
          <w:tcPr>
            <w:tcW w:w="3125" w:type="dxa"/>
            <w:tcMar>
              <w:left w:w="14" w:type="dxa"/>
              <w:right w:w="14" w:type="dxa"/>
            </w:tcMar>
          </w:tcPr>
          <w:p w:rsidR="00AE4304" w:rsidRPr="00AE4304" w:rsidRDefault="00AE4304" w:rsidP="00AE4304">
            <w:pPr>
              <w:autoSpaceDE w:val="0"/>
              <w:autoSpaceDN w:val="0"/>
              <w:adjustRightInd w:val="0"/>
              <w:spacing w:after="0" w:line="240" w:lineRule="auto"/>
              <w:rPr>
                <w:rFonts w:cstheme="minorHAnsi"/>
                <w:b/>
                <w:sz w:val="24"/>
                <w:szCs w:val="24"/>
              </w:rPr>
            </w:pPr>
            <w:r w:rsidRPr="00AE4304">
              <w:rPr>
                <w:rFonts w:cstheme="minorHAnsi"/>
                <w:b/>
                <w:sz w:val="24"/>
                <w:szCs w:val="24"/>
              </w:rPr>
              <w:t>Matt Jaqua</w:t>
            </w:r>
          </w:p>
          <w:p w:rsidR="00AE4304" w:rsidRPr="00AE4304" w:rsidRDefault="00AE4304" w:rsidP="00AE4304">
            <w:pPr>
              <w:autoSpaceDE w:val="0"/>
              <w:autoSpaceDN w:val="0"/>
              <w:adjustRightInd w:val="0"/>
              <w:spacing w:after="0" w:line="240" w:lineRule="auto"/>
              <w:rPr>
                <w:rFonts w:cstheme="minorHAnsi"/>
                <w:sz w:val="24"/>
                <w:szCs w:val="24"/>
              </w:rPr>
            </w:pPr>
            <w:r w:rsidRPr="00AE4304">
              <w:rPr>
                <w:rFonts w:cstheme="minorHAnsi"/>
                <w:sz w:val="24"/>
                <w:szCs w:val="24"/>
              </w:rPr>
              <w:t>Environmental Health Specialist</w:t>
            </w:r>
          </w:p>
          <w:p w:rsidR="00AE4304" w:rsidRPr="00AE4304" w:rsidRDefault="00AE4304" w:rsidP="00AE4304">
            <w:pPr>
              <w:autoSpaceDE w:val="0"/>
              <w:autoSpaceDN w:val="0"/>
              <w:adjustRightInd w:val="0"/>
              <w:spacing w:after="0" w:line="240" w:lineRule="auto"/>
              <w:rPr>
                <w:rFonts w:cstheme="minorHAnsi"/>
                <w:sz w:val="24"/>
                <w:szCs w:val="24"/>
              </w:rPr>
            </w:pPr>
            <w:r w:rsidRPr="00AE4304">
              <w:rPr>
                <w:rFonts w:cstheme="minorHAnsi"/>
                <w:sz w:val="24"/>
                <w:szCs w:val="24"/>
              </w:rPr>
              <w:t>Oregon Department of Human Services</w:t>
            </w:r>
          </w:p>
          <w:p w:rsidR="00AE4304" w:rsidRPr="00AE4304" w:rsidRDefault="00AE4304" w:rsidP="00AE4304">
            <w:pPr>
              <w:autoSpaceDE w:val="0"/>
              <w:autoSpaceDN w:val="0"/>
              <w:adjustRightInd w:val="0"/>
              <w:spacing w:after="0" w:line="240" w:lineRule="auto"/>
              <w:rPr>
                <w:rFonts w:cstheme="minorHAnsi"/>
                <w:sz w:val="24"/>
                <w:szCs w:val="24"/>
              </w:rPr>
            </w:pPr>
            <w:r w:rsidRPr="00AE4304">
              <w:rPr>
                <w:rFonts w:cstheme="minorHAnsi"/>
                <w:sz w:val="24"/>
                <w:szCs w:val="24"/>
              </w:rPr>
              <w:t>Tower Building, Room 1482</w:t>
            </w:r>
          </w:p>
          <w:p w:rsidR="00AE4304" w:rsidRPr="00AE4304" w:rsidRDefault="00AE4304" w:rsidP="00AE4304">
            <w:pPr>
              <w:autoSpaceDE w:val="0"/>
              <w:autoSpaceDN w:val="0"/>
              <w:adjustRightInd w:val="0"/>
              <w:spacing w:after="0" w:line="240" w:lineRule="auto"/>
              <w:rPr>
                <w:rFonts w:cstheme="minorHAnsi"/>
                <w:sz w:val="24"/>
                <w:szCs w:val="24"/>
              </w:rPr>
            </w:pPr>
            <w:r w:rsidRPr="00AE4304">
              <w:rPr>
                <w:rFonts w:cstheme="minorHAnsi"/>
                <w:sz w:val="24"/>
                <w:szCs w:val="24"/>
              </w:rPr>
              <w:t>Albany, NY 12237</w:t>
            </w:r>
          </w:p>
          <w:p w:rsidR="00AE4304" w:rsidRPr="00AE4304" w:rsidRDefault="00AE4304" w:rsidP="00AE4304">
            <w:pPr>
              <w:spacing w:after="0" w:line="240" w:lineRule="auto"/>
              <w:rPr>
                <w:rFonts w:cstheme="minorHAnsi"/>
                <w:sz w:val="24"/>
                <w:szCs w:val="24"/>
              </w:rPr>
            </w:pPr>
            <w:r w:rsidRPr="00AE4304">
              <w:rPr>
                <w:rFonts w:cstheme="minorHAnsi"/>
                <w:sz w:val="24"/>
                <w:szCs w:val="24"/>
              </w:rPr>
              <w:t>971-673-0449</w:t>
            </w:r>
          </w:p>
          <w:p w:rsidR="00AE4304" w:rsidRPr="00AE4304" w:rsidRDefault="0049562D" w:rsidP="00AE4304">
            <w:pPr>
              <w:autoSpaceDE w:val="0"/>
              <w:autoSpaceDN w:val="0"/>
              <w:adjustRightInd w:val="0"/>
              <w:spacing w:after="0" w:line="240" w:lineRule="auto"/>
              <w:rPr>
                <w:rFonts w:cstheme="minorHAnsi"/>
                <w:sz w:val="24"/>
                <w:szCs w:val="24"/>
              </w:rPr>
            </w:pPr>
            <w:hyperlink r:id="rId34" w:history="1">
              <w:r w:rsidR="00AE4304" w:rsidRPr="00AE4304">
                <w:rPr>
                  <w:rStyle w:val="Hyperlink"/>
                  <w:rFonts w:cstheme="minorHAnsi"/>
                  <w:sz w:val="24"/>
                  <w:szCs w:val="24"/>
                </w:rPr>
                <w:t>Matthew.J.Jaqua@state.or.us</w:t>
              </w:r>
            </w:hyperlink>
          </w:p>
        </w:tc>
      </w:tr>
      <w:tr w:rsidR="00AE4304" w:rsidRPr="00AA09C0" w:rsidTr="005A555F">
        <w:tc>
          <w:tcPr>
            <w:tcW w:w="3124"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Ernest Julian</w:t>
            </w:r>
          </w:p>
          <w:p w:rsidR="00AE4304" w:rsidRPr="00AE4304" w:rsidRDefault="00AE4304" w:rsidP="00AE4304">
            <w:pPr>
              <w:spacing w:after="0" w:line="240" w:lineRule="auto"/>
              <w:rPr>
                <w:rFonts w:cstheme="minorHAnsi"/>
                <w:sz w:val="24"/>
                <w:szCs w:val="24"/>
              </w:rPr>
            </w:pPr>
            <w:r w:rsidRPr="00AE4304">
              <w:rPr>
                <w:rFonts w:cstheme="minorHAnsi"/>
                <w:sz w:val="24"/>
                <w:szCs w:val="24"/>
              </w:rPr>
              <w:t>Director, Environmental Health Program</w:t>
            </w:r>
          </w:p>
          <w:p w:rsidR="00AE4304" w:rsidRPr="00AE4304" w:rsidRDefault="00AE4304" w:rsidP="00AE4304">
            <w:pPr>
              <w:spacing w:after="0" w:line="240" w:lineRule="auto"/>
              <w:rPr>
                <w:rFonts w:cstheme="minorHAnsi"/>
                <w:sz w:val="24"/>
                <w:szCs w:val="24"/>
              </w:rPr>
            </w:pPr>
            <w:r w:rsidRPr="00AE4304">
              <w:rPr>
                <w:rFonts w:cstheme="minorHAnsi"/>
                <w:sz w:val="24"/>
                <w:szCs w:val="24"/>
              </w:rPr>
              <w:t>Rhode Island Department of Health</w:t>
            </w:r>
          </w:p>
          <w:p w:rsidR="00AE4304" w:rsidRPr="00AE4304" w:rsidRDefault="00AE4304" w:rsidP="00AE4304">
            <w:pPr>
              <w:spacing w:after="0" w:line="240" w:lineRule="auto"/>
              <w:rPr>
                <w:rFonts w:cstheme="minorHAnsi"/>
                <w:sz w:val="24"/>
                <w:szCs w:val="24"/>
              </w:rPr>
            </w:pPr>
            <w:r w:rsidRPr="00AE4304">
              <w:rPr>
                <w:rFonts w:cstheme="minorHAnsi"/>
                <w:sz w:val="24"/>
                <w:szCs w:val="24"/>
              </w:rPr>
              <w:t>Office of Food Protection</w:t>
            </w:r>
          </w:p>
          <w:p w:rsidR="00AE4304" w:rsidRPr="00AE4304" w:rsidRDefault="00AE4304" w:rsidP="00AE4304">
            <w:pPr>
              <w:spacing w:after="0" w:line="240" w:lineRule="auto"/>
              <w:rPr>
                <w:rFonts w:cstheme="minorHAnsi"/>
                <w:sz w:val="24"/>
                <w:szCs w:val="24"/>
              </w:rPr>
            </w:pPr>
            <w:r w:rsidRPr="00AE4304">
              <w:rPr>
                <w:rFonts w:cstheme="minorHAnsi"/>
                <w:sz w:val="24"/>
                <w:szCs w:val="24"/>
              </w:rPr>
              <w:t>3 Capitol Hill</w:t>
            </w:r>
          </w:p>
          <w:p w:rsidR="00AE4304" w:rsidRPr="00AE4304" w:rsidRDefault="00AE4304" w:rsidP="00AE4304">
            <w:pPr>
              <w:spacing w:after="0" w:line="240" w:lineRule="auto"/>
              <w:rPr>
                <w:rFonts w:cstheme="minorHAnsi"/>
                <w:sz w:val="24"/>
                <w:szCs w:val="24"/>
              </w:rPr>
            </w:pPr>
            <w:r w:rsidRPr="00AE4304">
              <w:rPr>
                <w:rFonts w:cstheme="minorHAnsi"/>
                <w:sz w:val="24"/>
                <w:szCs w:val="24"/>
              </w:rPr>
              <w:t>Providence, RI  02908</w:t>
            </w:r>
          </w:p>
          <w:p w:rsidR="00AE4304" w:rsidRPr="00AE4304" w:rsidRDefault="00AE4304" w:rsidP="00AE4304">
            <w:pPr>
              <w:spacing w:after="0" w:line="240" w:lineRule="auto"/>
              <w:rPr>
                <w:rFonts w:cstheme="minorHAnsi"/>
                <w:sz w:val="24"/>
                <w:szCs w:val="24"/>
              </w:rPr>
            </w:pPr>
            <w:r w:rsidRPr="00AE4304">
              <w:rPr>
                <w:rFonts w:cstheme="minorHAnsi"/>
                <w:sz w:val="24"/>
                <w:szCs w:val="24"/>
              </w:rPr>
              <w:t>(401) 222-2749</w:t>
            </w:r>
          </w:p>
          <w:p w:rsidR="00AE4304" w:rsidRPr="00AE4304" w:rsidRDefault="0049562D" w:rsidP="00AE4304">
            <w:pPr>
              <w:spacing w:after="0" w:line="240" w:lineRule="auto"/>
              <w:rPr>
                <w:rFonts w:cstheme="minorHAnsi"/>
                <w:sz w:val="24"/>
                <w:szCs w:val="24"/>
              </w:rPr>
            </w:pPr>
            <w:hyperlink r:id="rId35" w:history="1">
              <w:r w:rsidR="00AE4304" w:rsidRPr="00AE4304">
                <w:rPr>
                  <w:rStyle w:val="Hyperlink"/>
                  <w:rFonts w:cstheme="minorHAnsi"/>
                  <w:sz w:val="24"/>
                  <w:szCs w:val="24"/>
                </w:rPr>
                <w:t>erniej@doh.state.ri.us</w:t>
              </w:r>
            </w:hyperlink>
          </w:p>
        </w:tc>
        <w:tc>
          <w:tcPr>
            <w:tcW w:w="3125"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Henry Blade</w:t>
            </w:r>
          </w:p>
          <w:p w:rsidR="00AE4304" w:rsidRPr="00AE4304" w:rsidRDefault="00AE4304" w:rsidP="00AE4304">
            <w:pPr>
              <w:spacing w:after="0" w:line="240" w:lineRule="auto"/>
              <w:rPr>
                <w:rFonts w:cstheme="minorHAnsi"/>
                <w:sz w:val="24"/>
                <w:szCs w:val="24"/>
              </w:rPr>
            </w:pPr>
            <w:r w:rsidRPr="00AE4304">
              <w:rPr>
                <w:rFonts w:cstheme="minorHAnsi"/>
                <w:sz w:val="24"/>
                <w:szCs w:val="24"/>
              </w:rPr>
              <w:t>Rhode Island Department of Health</w:t>
            </w:r>
          </w:p>
          <w:p w:rsidR="00AE4304" w:rsidRPr="00AE4304" w:rsidRDefault="00AE4304" w:rsidP="00AE4304">
            <w:pPr>
              <w:spacing w:after="0" w:line="240" w:lineRule="auto"/>
              <w:rPr>
                <w:rFonts w:cstheme="minorHAnsi"/>
                <w:sz w:val="24"/>
                <w:szCs w:val="24"/>
              </w:rPr>
            </w:pPr>
            <w:r w:rsidRPr="00AE4304">
              <w:rPr>
                <w:rFonts w:cstheme="minorHAnsi"/>
                <w:sz w:val="24"/>
                <w:szCs w:val="24"/>
              </w:rPr>
              <w:t>Office of Food Protection</w:t>
            </w:r>
          </w:p>
          <w:p w:rsidR="00AE4304" w:rsidRPr="00AE4304" w:rsidRDefault="00AE4304" w:rsidP="00AE4304">
            <w:pPr>
              <w:spacing w:after="0" w:line="240" w:lineRule="auto"/>
              <w:rPr>
                <w:rFonts w:cstheme="minorHAnsi"/>
                <w:sz w:val="24"/>
                <w:szCs w:val="24"/>
              </w:rPr>
            </w:pPr>
            <w:r w:rsidRPr="00AE4304">
              <w:rPr>
                <w:rFonts w:cstheme="minorHAnsi"/>
                <w:sz w:val="24"/>
                <w:szCs w:val="24"/>
              </w:rPr>
              <w:t>3 Capitol Hill</w:t>
            </w:r>
          </w:p>
          <w:p w:rsidR="00AE4304" w:rsidRPr="00AE4304" w:rsidRDefault="00AE4304" w:rsidP="00AE4304">
            <w:pPr>
              <w:spacing w:after="0" w:line="240" w:lineRule="auto"/>
              <w:rPr>
                <w:rFonts w:cstheme="minorHAnsi"/>
                <w:sz w:val="24"/>
                <w:szCs w:val="24"/>
              </w:rPr>
            </w:pPr>
            <w:r w:rsidRPr="00AE4304">
              <w:rPr>
                <w:rFonts w:cstheme="minorHAnsi"/>
                <w:sz w:val="24"/>
                <w:szCs w:val="24"/>
              </w:rPr>
              <w:t>Providence, RI  02908</w:t>
            </w:r>
          </w:p>
          <w:p w:rsidR="00AE4304" w:rsidRPr="00AE4304" w:rsidRDefault="00AE4304" w:rsidP="00AE4304">
            <w:pPr>
              <w:spacing w:after="0" w:line="240" w:lineRule="auto"/>
              <w:rPr>
                <w:rFonts w:cstheme="minorHAnsi"/>
                <w:sz w:val="24"/>
                <w:szCs w:val="24"/>
              </w:rPr>
            </w:pPr>
            <w:r w:rsidRPr="00AE4304">
              <w:rPr>
                <w:rFonts w:cstheme="minorHAnsi"/>
                <w:sz w:val="24"/>
                <w:szCs w:val="24"/>
              </w:rPr>
              <w:t>(401) 222-7735</w:t>
            </w:r>
          </w:p>
          <w:p w:rsidR="00AE4304" w:rsidRPr="00AE4304" w:rsidRDefault="0049562D" w:rsidP="00AE4304">
            <w:pPr>
              <w:autoSpaceDE w:val="0"/>
              <w:autoSpaceDN w:val="0"/>
              <w:adjustRightInd w:val="0"/>
              <w:spacing w:after="0" w:line="240" w:lineRule="auto"/>
              <w:rPr>
                <w:rFonts w:cstheme="minorHAnsi"/>
                <w:sz w:val="24"/>
                <w:szCs w:val="24"/>
              </w:rPr>
            </w:pPr>
            <w:hyperlink r:id="rId36" w:history="1">
              <w:r w:rsidR="00AE4304" w:rsidRPr="00AE4304">
                <w:rPr>
                  <w:rStyle w:val="Hyperlink"/>
                  <w:rFonts w:cstheme="minorHAnsi"/>
                  <w:sz w:val="24"/>
                  <w:szCs w:val="24"/>
                </w:rPr>
                <w:t>Henry.Blade@health.ri.gov</w:t>
              </w:r>
            </w:hyperlink>
          </w:p>
        </w:tc>
        <w:tc>
          <w:tcPr>
            <w:tcW w:w="3125" w:type="dxa"/>
            <w:tcMar>
              <w:left w:w="14" w:type="dxa"/>
              <w:right w:w="14" w:type="dxa"/>
            </w:tcMar>
          </w:tcPr>
          <w:p w:rsidR="00AE4304" w:rsidRPr="00AE4304" w:rsidRDefault="00AE4304" w:rsidP="00AE4304">
            <w:pPr>
              <w:autoSpaceDE w:val="0"/>
              <w:autoSpaceDN w:val="0"/>
              <w:adjustRightInd w:val="0"/>
              <w:spacing w:after="0" w:line="240" w:lineRule="auto"/>
              <w:rPr>
                <w:rFonts w:cstheme="minorHAnsi"/>
                <w:b/>
                <w:sz w:val="24"/>
                <w:szCs w:val="24"/>
              </w:rPr>
            </w:pPr>
            <w:r w:rsidRPr="00AE4304">
              <w:rPr>
                <w:rFonts w:cstheme="minorHAnsi"/>
                <w:b/>
                <w:sz w:val="24"/>
                <w:szCs w:val="24"/>
              </w:rPr>
              <w:t>Rand Carpenter</w:t>
            </w:r>
          </w:p>
          <w:p w:rsidR="00AE4304" w:rsidRPr="00AE4304" w:rsidRDefault="00AE4304" w:rsidP="00AE4304">
            <w:pPr>
              <w:autoSpaceDE w:val="0"/>
              <w:autoSpaceDN w:val="0"/>
              <w:adjustRightInd w:val="0"/>
              <w:spacing w:after="0" w:line="240" w:lineRule="auto"/>
              <w:rPr>
                <w:rFonts w:cstheme="minorHAnsi"/>
                <w:b/>
                <w:sz w:val="24"/>
                <w:szCs w:val="24"/>
              </w:rPr>
            </w:pPr>
            <w:r w:rsidRPr="00AE4304">
              <w:rPr>
                <w:rFonts w:cstheme="minorHAnsi"/>
                <w:b/>
                <w:sz w:val="24"/>
                <w:szCs w:val="24"/>
              </w:rPr>
              <w:t>Epidemiologist</w:t>
            </w:r>
          </w:p>
          <w:p w:rsidR="00AE4304" w:rsidRPr="00AE4304" w:rsidRDefault="00AE4304" w:rsidP="00AE4304">
            <w:pPr>
              <w:spacing w:after="0" w:line="240" w:lineRule="auto"/>
              <w:rPr>
                <w:rFonts w:cstheme="minorHAnsi"/>
                <w:sz w:val="24"/>
                <w:szCs w:val="24"/>
              </w:rPr>
            </w:pPr>
            <w:r w:rsidRPr="00AE4304">
              <w:rPr>
                <w:rFonts w:cstheme="minorHAnsi"/>
                <w:sz w:val="24"/>
                <w:szCs w:val="24"/>
              </w:rPr>
              <w:t>State of Tennessee</w:t>
            </w:r>
          </w:p>
          <w:p w:rsidR="00AE4304" w:rsidRPr="00AE4304" w:rsidRDefault="00AE4304" w:rsidP="00AE4304">
            <w:pPr>
              <w:spacing w:after="0" w:line="240" w:lineRule="auto"/>
              <w:rPr>
                <w:rFonts w:cstheme="minorHAnsi"/>
                <w:sz w:val="24"/>
                <w:szCs w:val="24"/>
              </w:rPr>
            </w:pPr>
            <w:r w:rsidRPr="00AE4304">
              <w:rPr>
                <w:rFonts w:cstheme="minorHAnsi"/>
                <w:sz w:val="24"/>
                <w:szCs w:val="24"/>
              </w:rPr>
              <w:t>Department of Health</w:t>
            </w:r>
          </w:p>
          <w:p w:rsidR="00AE4304" w:rsidRPr="00AE4304" w:rsidRDefault="00AE4304" w:rsidP="00AE4304">
            <w:pPr>
              <w:spacing w:after="0" w:line="240" w:lineRule="auto"/>
              <w:rPr>
                <w:rFonts w:cstheme="minorHAnsi"/>
                <w:sz w:val="24"/>
                <w:szCs w:val="24"/>
              </w:rPr>
            </w:pPr>
            <w:r w:rsidRPr="00AE4304">
              <w:rPr>
                <w:rFonts w:cstheme="minorHAnsi"/>
                <w:sz w:val="24"/>
                <w:szCs w:val="24"/>
              </w:rPr>
              <w:t>Cordell Hull Bldg. 6th Floor</w:t>
            </w:r>
          </w:p>
          <w:p w:rsidR="00AE4304" w:rsidRPr="00AE4304" w:rsidRDefault="00AE4304" w:rsidP="00AE4304">
            <w:pPr>
              <w:spacing w:after="0" w:line="240" w:lineRule="auto"/>
              <w:rPr>
                <w:rFonts w:cstheme="minorHAnsi"/>
                <w:sz w:val="24"/>
                <w:szCs w:val="24"/>
              </w:rPr>
            </w:pPr>
            <w:r w:rsidRPr="00AE4304">
              <w:rPr>
                <w:rFonts w:cstheme="minorHAnsi"/>
                <w:sz w:val="24"/>
                <w:szCs w:val="24"/>
              </w:rPr>
              <w:t>425 5th Ave. North</w:t>
            </w:r>
          </w:p>
          <w:p w:rsidR="00AE4304" w:rsidRPr="00AE4304" w:rsidRDefault="00AE4304" w:rsidP="00AE4304">
            <w:pPr>
              <w:spacing w:after="0" w:line="240" w:lineRule="auto"/>
              <w:rPr>
                <w:rFonts w:cstheme="minorHAnsi"/>
                <w:sz w:val="24"/>
                <w:szCs w:val="24"/>
              </w:rPr>
            </w:pPr>
            <w:r w:rsidRPr="00AE4304">
              <w:rPr>
                <w:rFonts w:cstheme="minorHAnsi"/>
                <w:sz w:val="24"/>
                <w:szCs w:val="24"/>
              </w:rPr>
              <w:t>Nashville, TN 37247</w:t>
            </w:r>
          </w:p>
          <w:p w:rsidR="00AE4304" w:rsidRPr="00AE4304" w:rsidRDefault="00AE4304" w:rsidP="00AE4304">
            <w:pPr>
              <w:spacing w:after="0" w:line="240" w:lineRule="auto"/>
              <w:rPr>
                <w:rFonts w:cstheme="minorHAnsi"/>
                <w:sz w:val="24"/>
                <w:szCs w:val="24"/>
              </w:rPr>
            </w:pPr>
            <w:r w:rsidRPr="00AE4304">
              <w:rPr>
                <w:rFonts w:cstheme="minorHAnsi"/>
                <w:sz w:val="24"/>
                <w:szCs w:val="24"/>
              </w:rPr>
              <w:t>615-741-6075</w:t>
            </w:r>
          </w:p>
          <w:p w:rsidR="00AE4304" w:rsidRPr="00AE4304" w:rsidRDefault="0049562D" w:rsidP="00AE4304">
            <w:pPr>
              <w:spacing w:after="0" w:line="240" w:lineRule="auto"/>
              <w:rPr>
                <w:rFonts w:cstheme="minorHAnsi"/>
                <w:sz w:val="24"/>
                <w:szCs w:val="24"/>
              </w:rPr>
            </w:pPr>
            <w:hyperlink r:id="rId37" w:history="1">
              <w:r w:rsidR="00AE4304" w:rsidRPr="00FD323A">
                <w:rPr>
                  <w:rStyle w:val="Hyperlink"/>
                  <w:rFonts w:cstheme="minorHAnsi"/>
                  <w:sz w:val="24"/>
                  <w:szCs w:val="24"/>
                </w:rPr>
                <w:t>L.Rand.Carpenter@state.tn.us</w:t>
              </w:r>
            </w:hyperlink>
            <w:r w:rsidR="00AE4304">
              <w:rPr>
                <w:rFonts w:cstheme="minorHAnsi"/>
                <w:sz w:val="24"/>
                <w:szCs w:val="24"/>
              </w:rPr>
              <w:t xml:space="preserve"> </w:t>
            </w:r>
            <w:r w:rsidR="00AE4304" w:rsidRPr="00AE4304">
              <w:rPr>
                <w:rFonts w:cstheme="minorHAnsi"/>
                <w:sz w:val="24"/>
                <w:szCs w:val="24"/>
              </w:rPr>
              <w:t xml:space="preserve"> </w:t>
            </w:r>
          </w:p>
          <w:p w:rsidR="00AE4304" w:rsidRPr="00AE4304" w:rsidRDefault="00AE4304" w:rsidP="00AE4304">
            <w:pPr>
              <w:autoSpaceDE w:val="0"/>
              <w:autoSpaceDN w:val="0"/>
              <w:adjustRightInd w:val="0"/>
              <w:spacing w:after="0" w:line="240" w:lineRule="auto"/>
              <w:rPr>
                <w:rFonts w:cstheme="minorHAnsi"/>
                <w:sz w:val="24"/>
                <w:szCs w:val="24"/>
              </w:rPr>
            </w:pPr>
          </w:p>
        </w:tc>
      </w:tr>
      <w:tr w:rsidR="00AE4304" w:rsidRPr="00AA09C0" w:rsidTr="005A555F">
        <w:tc>
          <w:tcPr>
            <w:tcW w:w="3124"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Danny Ripley</w:t>
            </w:r>
          </w:p>
          <w:p w:rsidR="00AE4304" w:rsidRPr="00AE4304" w:rsidRDefault="00AE4304" w:rsidP="00AE4304">
            <w:pPr>
              <w:spacing w:after="0" w:line="240" w:lineRule="auto"/>
              <w:rPr>
                <w:rFonts w:cstheme="minorHAnsi"/>
                <w:sz w:val="24"/>
                <w:szCs w:val="24"/>
              </w:rPr>
            </w:pPr>
            <w:r w:rsidRPr="00AE4304">
              <w:rPr>
                <w:rFonts w:cstheme="minorHAnsi"/>
                <w:sz w:val="24"/>
                <w:szCs w:val="24"/>
              </w:rPr>
              <w:t>Food Safety Investigator</w:t>
            </w:r>
          </w:p>
          <w:p w:rsidR="00AE4304" w:rsidRPr="00AE4304" w:rsidRDefault="00AE4304" w:rsidP="00AE4304">
            <w:pPr>
              <w:spacing w:after="0" w:line="240" w:lineRule="auto"/>
              <w:rPr>
                <w:rFonts w:cstheme="minorHAnsi"/>
                <w:sz w:val="24"/>
                <w:szCs w:val="24"/>
              </w:rPr>
            </w:pPr>
            <w:r w:rsidRPr="00AE4304">
              <w:rPr>
                <w:rFonts w:cstheme="minorHAnsi"/>
                <w:sz w:val="24"/>
                <w:szCs w:val="24"/>
              </w:rPr>
              <w:t>Food Division</w:t>
            </w:r>
          </w:p>
          <w:p w:rsidR="00AE4304" w:rsidRPr="00AE4304" w:rsidRDefault="00AE4304" w:rsidP="00AE4304">
            <w:pPr>
              <w:spacing w:after="0" w:line="240" w:lineRule="auto"/>
              <w:rPr>
                <w:rFonts w:cstheme="minorHAnsi"/>
                <w:sz w:val="24"/>
                <w:szCs w:val="24"/>
              </w:rPr>
            </w:pPr>
            <w:r w:rsidRPr="00AE4304">
              <w:rPr>
                <w:rFonts w:cstheme="minorHAnsi"/>
                <w:sz w:val="24"/>
                <w:szCs w:val="24"/>
              </w:rPr>
              <w:t>Metro Public Health Department</w:t>
            </w:r>
          </w:p>
          <w:p w:rsidR="00AE4304" w:rsidRPr="00AE4304" w:rsidRDefault="00AE4304" w:rsidP="00AE4304">
            <w:pPr>
              <w:spacing w:after="0" w:line="240" w:lineRule="auto"/>
              <w:rPr>
                <w:rFonts w:cstheme="minorHAnsi"/>
                <w:sz w:val="24"/>
                <w:szCs w:val="24"/>
              </w:rPr>
            </w:pPr>
            <w:r w:rsidRPr="00AE4304">
              <w:rPr>
                <w:rFonts w:cstheme="minorHAnsi"/>
                <w:sz w:val="24"/>
                <w:szCs w:val="24"/>
              </w:rPr>
              <w:t>311 23rd Ave. North</w:t>
            </w:r>
          </w:p>
          <w:p w:rsidR="00AE4304" w:rsidRPr="00AE4304" w:rsidRDefault="00AE4304" w:rsidP="00AE4304">
            <w:pPr>
              <w:spacing w:after="0" w:line="240" w:lineRule="auto"/>
              <w:rPr>
                <w:rFonts w:cstheme="minorHAnsi"/>
                <w:sz w:val="24"/>
                <w:szCs w:val="24"/>
              </w:rPr>
            </w:pPr>
            <w:r w:rsidRPr="00AE4304">
              <w:rPr>
                <w:rFonts w:cstheme="minorHAnsi"/>
                <w:sz w:val="24"/>
                <w:szCs w:val="24"/>
              </w:rPr>
              <w:t>Nashville, TN 37203</w:t>
            </w:r>
          </w:p>
          <w:p w:rsidR="00AE4304" w:rsidRPr="00AE4304" w:rsidRDefault="00AE4304" w:rsidP="00AE4304">
            <w:pPr>
              <w:spacing w:after="0" w:line="240" w:lineRule="auto"/>
              <w:rPr>
                <w:rFonts w:cstheme="minorHAnsi"/>
                <w:sz w:val="24"/>
                <w:szCs w:val="24"/>
              </w:rPr>
            </w:pPr>
            <w:r w:rsidRPr="00AE4304">
              <w:rPr>
                <w:rFonts w:cstheme="minorHAnsi"/>
                <w:sz w:val="24"/>
                <w:szCs w:val="24"/>
              </w:rPr>
              <w:t>615-340-2701</w:t>
            </w:r>
          </w:p>
          <w:p w:rsidR="00AE4304" w:rsidRPr="00AE4304" w:rsidRDefault="0049562D" w:rsidP="00AE4304">
            <w:pPr>
              <w:spacing w:after="0" w:line="240" w:lineRule="auto"/>
              <w:rPr>
                <w:rFonts w:cstheme="minorHAnsi"/>
                <w:sz w:val="24"/>
                <w:szCs w:val="24"/>
              </w:rPr>
            </w:pPr>
            <w:hyperlink r:id="rId38" w:history="1">
              <w:r w:rsidR="00AE4304" w:rsidRPr="00AE4304">
                <w:rPr>
                  <w:rStyle w:val="Hyperlink"/>
                  <w:rFonts w:cstheme="minorHAnsi"/>
                  <w:sz w:val="24"/>
                  <w:szCs w:val="24"/>
                </w:rPr>
                <w:t>danny.ripley@nashville.gov</w:t>
              </w:r>
            </w:hyperlink>
          </w:p>
          <w:p w:rsidR="00AE4304" w:rsidRPr="00AE4304" w:rsidRDefault="00AE4304" w:rsidP="00AE4304">
            <w:pPr>
              <w:autoSpaceDE w:val="0"/>
              <w:autoSpaceDN w:val="0"/>
              <w:adjustRightInd w:val="0"/>
              <w:spacing w:after="0" w:line="240" w:lineRule="auto"/>
              <w:rPr>
                <w:rFonts w:cstheme="minorHAnsi"/>
                <w:sz w:val="24"/>
                <w:szCs w:val="24"/>
              </w:rPr>
            </w:pPr>
          </w:p>
        </w:tc>
        <w:tc>
          <w:tcPr>
            <w:tcW w:w="3125" w:type="dxa"/>
            <w:tcMar>
              <w:left w:w="14" w:type="dxa"/>
              <w:right w:w="14" w:type="dxa"/>
            </w:tcMar>
          </w:tcPr>
          <w:p w:rsidR="00AE4304" w:rsidRPr="00AE4304" w:rsidRDefault="00AE4304" w:rsidP="00AE4304">
            <w:pPr>
              <w:spacing w:after="0" w:line="240" w:lineRule="auto"/>
              <w:rPr>
                <w:rFonts w:cstheme="minorHAnsi"/>
                <w:b/>
                <w:sz w:val="24"/>
                <w:szCs w:val="24"/>
              </w:rPr>
            </w:pPr>
            <w:r w:rsidRPr="00AE4304">
              <w:rPr>
                <w:rFonts w:cstheme="minorHAnsi"/>
                <w:b/>
                <w:sz w:val="24"/>
                <w:szCs w:val="24"/>
              </w:rPr>
              <w:t>Ryan Mason</w:t>
            </w:r>
          </w:p>
          <w:p w:rsidR="00AE4304" w:rsidRPr="00AE4304" w:rsidRDefault="00AE4304" w:rsidP="00AE4304">
            <w:pPr>
              <w:spacing w:after="0" w:line="240" w:lineRule="auto"/>
              <w:rPr>
                <w:rFonts w:cstheme="minorHAnsi"/>
                <w:sz w:val="24"/>
                <w:szCs w:val="24"/>
              </w:rPr>
            </w:pPr>
            <w:r w:rsidRPr="00AE4304">
              <w:rPr>
                <w:rFonts w:cstheme="minorHAnsi"/>
                <w:sz w:val="24"/>
                <w:szCs w:val="24"/>
              </w:rPr>
              <w:t>Environmental Health Specialist 5</w:t>
            </w:r>
          </w:p>
          <w:p w:rsidR="00AE4304" w:rsidRPr="00AE4304" w:rsidRDefault="00AE4304" w:rsidP="00AE4304">
            <w:pPr>
              <w:spacing w:after="0" w:line="240" w:lineRule="auto"/>
              <w:rPr>
                <w:rFonts w:cstheme="minorHAnsi"/>
                <w:sz w:val="24"/>
                <w:szCs w:val="24"/>
              </w:rPr>
            </w:pPr>
            <w:r w:rsidRPr="00AE4304">
              <w:rPr>
                <w:rFonts w:cstheme="minorHAnsi"/>
                <w:sz w:val="24"/>
                <w:szCs w:val="24"/>
              </w:rPr>
              <w:t>State of Tennessee</w:t>
            </w:r>
          </w:p>
          <w:p w:rsidR="00AE4304" w:rsidRPr="00AE4304" w:rsidRDefault="00AE4304" w:rsidP="00AE4304">
            <w:pPr>
              <w:spacing w:after="0" w:line="240" w:lineRule="auto"/>
              <w:rPr>
                <w:rFonts w:cstheme="minorHAnsi"/>
                <w:sz w:val="24"/>
                <w:szCs w:val="24"/>
              </w:rPr>
            </w:pPr>
            <w:r w:rsidRPr="00AE4304">
              <w:rPr>
                <w:rFonts w:cstheme="minorHAnsi"/>
                <w:sz w:val="24"/>
                <w:szCs w:val="24"/>
              </w:rPr>
              <w:t>Department of Health</w:t>
            </w:r>
          </w:p>
          <w:p w:rsidR="00AE4304" w:rsidRPr="00AE4304" w:rsidRDefault="00AE4304" w:rsidP="00AE4304">
            <w:pPr>
              <w:spacing w:after="0" w:line="240" w:lineRule="auto"/>
              <w:rPr>
                <w:rFonts w:cstheme="minorHAnsi"/>
                <w:sz w:val="24"/>
                <w:szCs w:val="24"/>
              </w:rPr>
            </w:pPr>
            <w:r w:rsidRPr="00AE4304">
              <w:rPr>
                <w:rFonts w:cstheme="minorHAnsi"/>
                <w:sz w:val="24"/>
                <w:szCs w:val="24"/>
              </w:rPr>
              <w:t>Cordell Hull Bldg. 6th Floor</w:t>
            </w:r>
          </w:p>
          <w:p w:rsidR="00AE4304" w:rsidRPr="00AE4304" w:rsidRDefault="00AE4304" w:rsidP="00AE4304">
            <w:pPr>
              <w:spacing w:after="0" w:line="240" w:lineRule="auto"/>
              <w:rPr>
                <w:rFonts w:cstheme="minorHAnsi"/>
                <w:sz w:val="24"/>
                <w:szCs w:val="24"/>
              </w:rPr>
            </w:pPr>
            <w:r w:rsidRPr="00AE4304">
              <w:rPr>
                <w:rFonts w:cstheme="minorHAnsi"/>
                <w:sz w:val="24"/>
                <w:szCs w:val="24"/>
              </w:rPr>
              <w:t>425 5th Ave. North</w:t>
            </w:r>
          </w:p>
          <w:p w:rsidR="00AE4304" w:rsidRPr="00AE4304" w:rsidRDefault="00AE4304" w:rsidP="00AE4304">
            <w:pPr>
              <w:spacing w:after="0" w:line="240" w:lineRule="auto"/>
              <w:rPr>
                <w:rFonts w:cstheme="minorHAnsi"/>
                <w:sz w:val="24"/>
                <w:szCs w:val="24"/>
              </w:rPr>
            </w:pPr>
            <w:r w:rsidRPr="00AE4304">
              <w:rPr>
                <w:rFonts w:cstheme="minorHAnsi"/>
                <w:sz w:val="24"/>
                <w:szCs w:val="24"/>
              </w:rPr>
              <w:t>Nashville, TN 37247</w:t>
            </w:r>
          </w:p>
          <w:p w:rsidR="00AE4304" w:rsidRPr="00AE4304" w:rsidRDefault="00AE4304" w:rsidP="00AE4304">
            <w:pPr>
              <w:spacing w:after="0" w:line="240" w:lineRule="auto"/>
              <w:rPr>
                <w:rFonts w:cstheme="minorHAnsi"/>
                <w:sz w:val="24"/>
                <w:szCs w:val="24"/>
              </w:rPr>
            </w:pPr>
            <w:r w:rsidRPr="00AE4304">
              <w:rPr>
                <w:rFonts w:cstheme="minorHAnsi"/>
                <w:sz w:val="24"/>
                <w:szCs w:val="24"/>
              </w:rPr>
              <w:t>615-741-6075</w:t>
            </w:r>
          </w:p>
          <w:p w:rsidR="00AE4304" w:rsidRPr="00AE4304" w:rsidRDefault="0049562D" w:rsidP="00AE4304">
            <w:pPr>
              <w:autoSpaceDE w:val="0"/>
              <w:autoSpaceDN w:val="0"/>
              <w:adjustRightInd w:val="0"/>
              <w:spacing w:after="0" w:line="240" w:lineRule="auto"/>
              <w:rPr>
                <w:rFonts w:cstheme="minorHAnsi"/>
                <w:sz w:val="24"/>
                <w:szCs w:val="24"/>
              </w:rPr>
            </w:pPr>
            <w:hyperlink r:id="rId39" w:history="1">
              <w:r w:rsidR="00AE4304" w:rsidRPr="00AE4304">
                <w:rPr>
                  <w:rStyle w:val="Hyperlink"/>
                  <w:rFonts w:cstheme="minorHAnsi"/>
                  <w:sz w:val="24"/>
                  <w:szCs w:val="24"/>
                </w:rPr>
                <w:t>Ryan.mason@state.tn.us</w:t>
              </w:r>
            </w:hyperlink>
          </w:p>
        </w:tc>
        <w:tc>
          <w:tcPr>
            <w:tcW w:w="3125" w:type="dxa"/>
            <w:tcMar>
              <w:left w:w="14" w:type="dxa"/>
              <w:right w:w="14" w:type="dxa"/>
            </w:tcMar>
          </w:tcPr>
          <w:p w:rsidR="00AE4304" w:rsidRPr="00AE4304" w:rsidRDefault="00AE4304" w:rsidP="00AE4304">
            <w:pPr>
              <w:autoSpaceDE w:val="0"/>
              <w:autoSpaceDN w:val="0"/>
              <w:adjustRightInd w:val="0"/>
              <w:spacing w:after="0" w:line="240" w:lineRule="auto"/>
              <w:rPr>
                <w:rFonts w:cstheme="minorHAnsi"/>
                <w:b/>
                <w:sz w:val="24"/>
                <w:szCs w:val="24"/>
              </w:rPr>
            </w:pPr>
            <w:r w:rsidRPr="00AE4304">
              <w:rPr>
                <w:rFonts w:cstheme="minorHAnsi"/>
                <w:b/>
                <w:sz w:val="24"/>
                <w:szCs w:val="24"/>
              </w:rPr>
              <w:t>Neculai Codru</w:t>
            </w:r>
          </w:p>
          <w:p w:rsidR="00AE4304" w:rsidRPr="00AE4304" w:rsidRDefault="00AE4304" w:rsidP="00AE4304">
            <w:pPr>
              <w:autoSpaceDE w:val="0"/>
              <w:autoSpaceDN w:val="0"/>
              <w:adjustRightInd w:val="0"/>
              <w:spacing w:after="0" w:line="240" w:lineRule="auto"/>
              <w:rPr>
                <w:rFonts w:cstheme="minorHAnsi"/>
                <w:sz w:val="24"/>
                <w:szCs w:val="24"/>
              </w:rPr>
            </w:pPr>
            <w:r w:rsidRPr="00AE4304">
              <w:rPr>
                <w:rFonts w:cstheme="minorHAnsi"/>
                <w:sz w:val="24"/>
                <w:szCs w:val="24"/>
              </w:rPr>
              <w:t>Research Scientist</w:t>
            </w:r>
          </w:p>
          <w:p w:rsidR="00AE4304" w:rsidRPr="00AE4304" w:rsidRDefault="00AE4304" w:rsidP="00AE4304">
            <w:pPr>
              <w:autoSpaceDE w:val="0"/>
              <w:autoSpaceDN w:val="0"/>
              <w:adjustRightInd w:val="0"/>
              <w:spacing w:after="0" w:line="240" w:lineRule="auto"/>
              <w:rPr>
                <w:rFonts w:cstheme="minorHAnsi"/>
                <w:sz w:val="24"/>
                <w:szCs w:val="24"/>
              </w:rPr>
            </w:pPr>
            <w:r w:rsidRPr="00AE4304">
              <w:rPr>
                <w:rFonts w:cstheme="minorHAnsi"/>
                <w:sz w:val="24"/>
                <w:szCs w:val="24"/>
              </w:rPr>
              <w:t>New York Department of Health</w:t>
            </w:r>
          </w:p>
          <w:p w:rsidR="00AE4304" w:rsidRPr="00AE4304" w:rsidRDefault="00AE4304" w:rsidP="00AE4304">
            <w:pPr>
              <w:autoSpaceDE w:val="0"/>
              <w:autoSpaceDN w:val="0"/>
              <w:adjustRightInd w:val="0"/>
              <w:spacing w:after="0" w:line="240" w:lineRule="auto"/>
              <w:rPr>
                <w:rFonts w:cstheme="minorHAnsi"/>
                <w:sz w:val="24"/>
                <w:szCs w:val="24"/>
              </w:rPr>
            </w:pPr>
            <w:r w:rsidRPr="00AE4304">
              <w:rPr>
                <w:rFonts w:cstheme="minorHAnsi"/>
                <w:sz w:val="24"/>
                <w:szCs w:val="24"/>
              </w:rPr>
              <w:t>547 River Street</w:t>
            </w:r>
          </w:p>
          <w:p w:rsidR="00AE4304" w:rsidRPr="00AE4304" w:rsidRDefault="00AE4304" w:rsidP="00AE4304">
            <w:pPr>
              <w:autoSpaceDE w:val="0"/>
              <w:autoSpaceDN w:val="0"/>
              <w:adjustRightInd w:val="0"/>
              <w:spacing w:after="0" w:line="240" w:lineRule="auto"/>
              <w:rPr>
                <w:rFonts w:cstheme="minorHAnsi"/>
                <w:sz w:val="24"/>
                <w:szCs w:val="24"/>
              </w:rPr>
            </w:pPr>
            <w:r w:rsidRPr="00AE4304">
              <w:rPr>
                <w:rFonts w:cstheme="minorHAnsi"/>
                <w:sz w:val="24"/>
                <w:szCs w:val="24"/>
              </w:rPr>
              <w:t>Flanigan Square, Room 400</w:t>
            </w:r>
          </w:p>
          <w:p w:rsidR="00AE4304" w:rsidRPr="00AE4304" w:rsidRDefault="00AE4304" w:rsidP="00AE4304">
            <w:pPr>
              <w:autoSpaceDE w:val="0"/>
              <w:autoSpaceDN w:val="0"/>
              <w:adjustRightInd w:val="0"/>
              <w:spacing w:after="0" w:line="240" w:lineRule="auto"/>
              <w:rPr>
                <w:rFonts w:cstheme="minorHAnsi"/>
                <w:sz w:val="24"/>
                <w:szCs w:val="24"/>
              </w:rPr>
            </w:pPr>
            <w:r w:rsidRPr="00AE4304">
              <w:rPr>
                <w:rFonts w:cstheme="minorHAnsi"/>
                <w:sz w:val="24"/>
                <w:szCs w:val="24"/>
              </w:rPr>
              <w:t>Troy, NY 12180</w:t>
            </w:r>
          </w:p>
          <w:p w:rsidR="00AE4304" w:rsidRPr="00AE4304" w:rsidRDefault="00AE4304" w:rsidP="00AE4304">
            <w:pPr>
              <w:autoSpaceDE w:val="0"/>
              <w:autoSpaceDN w:val="0"/>
              <w:adjustRightInd w:val="0"/>
              <w:spacing w:after="0" w:line="240" w:lineRule="auto"/>
              <w:rPr>
                <w:rFonts w:cstheme="minorHAnsi"/>
                <w:sz w:val="24"/>
                <w:szCs w:val="24"/>
              </w:rPr>
            </w:pPr>
            <w:r w:rsidRPr="00AE4304">
              <w:rPr>
                <w:rFonts w:cstheme="minorHAnsi"/>
                <w:sz w:val="24"/>
                <w:szCs w:val="24"/>
              </w:rPr>
              <w:t xml:space="preserve">518-402-7711 </w:t>
            </w:r>
          </w:p>
          <w:p w:rsidR="00AE4304" w:rsidRPr="00AE4304" w:rsidRDefault="0049562D" w:rsidP="00AE4304">
            <w:pPr>
              <w:autoSpaceDE w:val="0"/>
              <w:autoSpaceDN w:val="0"/>
              <w:adjustRightInd w:val="0"/>
              <w:spacing w:after="0" w:line="240" w:lineRule="auto"/>
              <w:rPr>
                <w:rFonts w:cstheme="minorHAnsi"/>
                <w:sz w:val="24"/>
                <w:szCs w:val="24"/>
              </w:rPr>
            </w:pPr>
            <w:hyperlink r:id="rId40" w:history="1">
              <w:r w:rsidR="00AE4304" w:rsidRPr="00FD323A">
                <w:rPr>
                  <w:rStyle w:val="Hyperlink"/>
                  <w:rFonts w:cstheme="minorHAnsi"/>
                  <w:sz w:val="24"/>
                  <w:szCs w:val="24"/>
                </w:rPr>
                <w:t>nxc09@health.state.ny.us</w:t>
              </w:r>
            </w:hyperlink>
            <w:r w:rsidR="00AE4304">
              <w:rPr>
                <w:rFonts w:cstheme="minorHAnsi"/>
                <w:sz w:val="24"/>
                <w:szCs w:val="24"/>
              </w:rPr>
              <w:t xml:space="preserve">    </w:t>
            </w:r>
          </w:p>
        </w:tc>
      </w:tr>
    </w:tbl>
    <w:p w:rsidR="003B2A57" w:rsidRPr="00D20211" w:rsidRDefault="003B2A57" w:rsidP="003B2A57">
      <w:pPr>
        <w:autoSpaceDE w:val="0"/>
        <w:autoSpaceDN w:val="0"/>
        <w:adjustRightInd w:val="0"/>
        <w:spacing w:line="240" w:lineRule="auto"/>
        <w:rPr>
          <w:rFonts w:cs="ITCFranklinGothicStd-Book"/>
          <w:sz w:val="24"/>
          <w:szCs w:val="24"/>
        </w:rPr>
      </w:pPr>
    </w:p>
    <w:p w:rsidR="00B45002" w:rsidRPr="00D20211" w:rsidRDefault="00601F1A" w:rsidP="00601F1A">
      <w:pPr>
        <w:pStyle w:val="Heading1"/>
        <w:pBdr>
          <w:bottom w:val="none" w:sz="0" w:space="0" w:color="auto"/>
        </w:pBdr>
        <w:rPr>
          <w:color w:val="auto"/>
        </w:rPr>
      </w:pPr>
      <w:bookmarkStart w:id="11" w:name="_Toc532377526"/>
      <w:r w:rsidRPr="00D20211">
        <w:rPr>
          <w:color w:val="auto"/>
        </w:rPr>
        <w:t>A.</w:t>
      </w:r>
      <w:r w:rsidR="004D21C9" w:rsidRPr="00D20211">
        <w:rPr>
          <w:color w:val="auto"/>
        </w:rPr>
        <w:t xml:space="preserve">9.  </w:t>
      </w:r>
      <w:r w:rsidR="00B45002" w:rsidRPr="00D20211">
        <w:rPr>
          <w:color w:val="auto"/>
        </w:rPr>
        <w:t>Explanation of Any Payment or Gift to Respondents</w:t>
      </w:r>
      <w:bookmarkEnd w:id="11"/>
    </w:p>
    <w:p w:rsidR="00AE4304" w:rsidRDefault="00AE4304" w:rsidP="00524D01">
      <w:pPr>
        <w:autoSpaceDE w:val="0"/>
        <w:autoSpaceDN w:val="0"/>
        <w:adjustRightInd w:val="0"/>
        <w:spacing w:after="0" w:line="240" w:lineRule="auto"/>
        <w:rPr>
          <w:sz w:val="24"/>
          <w:szCs w:val="24"/>
        </w:rPr>
      </w:pPr>
    </w:p>
    <w:p w:rsidR="00100D0E" w:rsidRPr="00D20211" w:rsidRDefault="00AE4304" w:rsidP="00524D01">
      <w:pPr>
        <w:autoSpaceDE w:val="0"/>
        <w:autoSpaceDN w:val="0"/>
        <w:adjustRightInd w:val="0"/>
        <w:spacing w:after="0" w:line="240" w:lineRule="auto"/>
        <w:rPr>
          <w:sz w:val="24"/>
          <w:szCs w:val="24"/>
        </w:rPr>
      </w:pPr>
      <w:r>
        <w:rPr>
          <w:sz w:val="24"/>
          <w:szCs w:val="24"/>
        </w:rPr>
        <w:t xml:space="preserve">There will be no payments or gifts to respondents. </w:t>
      </w:r>
    </w:p>
    <w:p w:rsidR="00B45002" w:rsidRPr="00D20211" w:rsidRDefault="00601F1A" w:rsidP="00601F1A">
      <w:pPr>
        <w:pStyle w:val="Heading1"/>
        <w:pBdr>
          <w:bottom w:val="none" w:sz="0" w:space="0" w:color="auto"/>
        </w:pBdr>
        <w:rPr>
          <w:color w:val="auto"/>
        </w:rPr>
      </w:pPr>
      <w:bookmarkStart w:id="12" w:name="_Toc532377527"/>
      <w:r w:rsidRPr="00D20211">
        <w:rPr>
          <w:color w:val="auto"/>
        </w:rPr>
        <w:t>A.</w:t>
      </w:r>
      <w:r w:rsidR="004D21C9" w:rsidRPr="00D20211">
        <w:rPr>
          <w:color w:val="auto"/>
        </w:rPr>
        <w:t xml:space="preserve">10.  </w:t>
      </w:r>
      <w:r w:rsidR="00B45002" w:rsidRPr="00D20211">
        <w:rPr>
          <w:color w:val="auto"/>
        </w:rPr>
        <w:t>Protection of the Privacy and Confidentiality of Information Provided by Respondents</w:t>
      </w:r>
      <w:bookmarkEnd w:id="12"/>
    </w:p>
    <w:p w:rsidR="00AE4304" w:rsidRDefault="00AE4304" w:rsidP="00E87525">
      <w:pPr>
        <w:autoSpaceDE w:val="0"/>
        <w:autoSpaceDN w:val="0"/>
        <w:adjustRightInd w:val="0"/>
        <w:spacing w:before="100" w:beforeAutospacing="1" w:after="100" w:afterAutospacing="1" w:line="240" w:lineRule="auto"/>
        <w:rPr>
          <w:rFonts w:cs="ITCFranklinGothicStd-Book"/>
          <w:sz w:val="24"/>
          <w:szCs w:val="24"/>
        </w:rPr>
      </w:pPr>
      <w:r>
        <w:rPr>
          <w:rFonts w:cs="ITCFranklinGothicStd-Book"/>
          <w:sz w:val="24"/>
          <w:szCs w:val="24"/>
        </w:rPr>
        <w:t xml:space="preserve">Data are collected </w:t>
      </w:r>
      <w:r w:rsidRPr="00AE4304">
        <w:rPr>
          <w:rFonts w:cs="ITCFranklinGothicStd-Book"/>
          <w:sz w:val="24"/>
          <w:szCs w:val="24"/>
        </w:rPr>
        <w:t xml:space="preserve">on outbreaks, not respondents. The information reported into NEARS </w:t>
      </w:r>
      <w:r w:rsidR="001A1106">
        <w:rPr>
          <w:rFonts w:cs="ITCFranklinGothicStd-Book"/>
          <w:sz w:val="24"/>
          <w:szCs w:val="24"/>
        </w:rPr>
        <w:t>are</w:t>
      </w:r>
      <w:r w:rsidRPr="00AE4304">
        <w:rPr>
          <w:rFonts w:cs="ITCFranklinGothicStd-Book"/>
          <w:sz w:val="24"/>
          <w:szCs w:val="24"/>
        </w:rPr>
        <w:t xml:space="preserve"> obtained through environmental assessments (Attachment 6) routinely conducted by local, state, federal, territorial, or tribal environmental health specialists working in food safety programs during foodborne illness outbreak investigations. Food safety program personnel participating in NEARS will report the data collected through their environmental assessments into web</w:t>
      </w:r>
      <w:r w:rsidR="001A1106">
        <w:rPr>
          <w:rFonts w:cs="ITCFranklinGothicStd-Book"/>
          <w:sz w:val="24"/>
          <w:szCs w:val="24"/>
        </w:rPr>
        <w:t>-</w:t>
      </w:r>
      <w:r w:rsidRPr="00AE4304">
        <w:rPr>
          <w:rFonts w:cs="ITCFranklinGothicStd-Book"/>
          <w:sz w:val="24"/>
          <w:szCs w:val="24"/>
        </w:rPr>
        <w:t>based NEARS system (Attachment 7). No information in identifiable form (IIF) is being collected.</w:t>
      </w:r>
    </w:p>
    <w:p w:rsidR="00AE4304" w:rsidRPr="00AE4304" w:rsidRDefault="00AE4304" w:rsidP="00E87525">
      <w:pPr>
        <w:autoSpaceDE w:val="0"/>
        <w:autoSpaceDN w:val="0"/>
        <w:adjustRightInd w:val="0"/>
        <w:spacing w:before="100" w:beforeAutospacing="1" w:after="100" w:afterAutospacing="1" w:line="240" w:lineRule="auto"/>
        <w:rPr>
          <w:rFonts w:cs="ITCFranklinGothicStd-Book"/>
          <w:b/>
          <w:sz w:val="24"/>
          <w:szCs w:val="24"/>
          <w:u w:val="single"/>
        </w:rPr>
      </w:pPr>
      <w:r w:rsidRPr="00AE4304">
        <w:rPr>
          <w:rFonts w:cs="ITCFranklinGothicStd-Book"/>
          <w:b/>
          <w:sz w:val="24"/>
          <w:szCs w:val="24"/>
          <w:u w:val="single"/>
        </w:rPr>
        <w:t>Privacy Impact Assessment Information</w:t>
      </w:r>
    </w:p>
    <w:p w:rsidR="00AE4304" w:rsidRPr="00AE4304" w:rsidRDefault="00AE4304" w:rsidP="00E87525">
      <w:pPr>
        <w:pStyle w:val="ListParagraph"/>
        <w:numPr>
          <w:ilvl w:val="0"/>
          <w:numId w:val="45"/>
        </w:numPr>
        <w:autoSpaceDE w:val="0"/>
        <w:autoSpaceDN w:val="0"/>
        <w:adjustRightInd w:val="0"/>
        <w:spacing w:before="100" w:beforeAutospacing="1" w:after="100" w:afterAutospacing="1" w:line="240" w:lineRule="auto"/>
        <w:rPr>
          <w:rFonts w:cs="ITCFranklinGothicStd-Book"/>
          <w:sz w:val="24"/>
          <w:szCs w:val="24"/>
        </w:rPr>
      </w:pPr>
      <w:r w:rsidRPr="00AE4304">
        <w:rPr>
          <w:rFonts w:cs="ITCFranklinGothicStd-Book"/>
          <w:sz w:val="24"/>
          <w:szCs w:val="24"/>
        </w:rPr>
        <w:t xml:space="preserve">The NCEH PRA Contact has determined that Privacy Act does not apply. Respondents will not be providing identifiable information. As no IIF will be collected, a system of records is not being created. </w:t>
      </w:r>
    </w:p>
    <w:p w:rsidR="00AE4304" w:rsidRPr="00AE4304" w:rsidRDefault="00AE4304" w:rsidP="00E87525">
      <w:pPr>
        <w:pStyle w:val="ListParagraph"/>
        <w:numPr>
          <w:ilvl w:val="0"/>
          <w:numId w:val="45"/>
        </w:numPr>
        <w:autoSpaceDE w:val="0"/>
        <w:autoSpaceDN w:val="0"/>
        <w:adjustRightInd w:val="0"/>
        <w:spacing w:before="100" w:beforeAutospacing="1" w:after="100" w:afterAutospacing="1" w:line="240" w:lineRule="auto"/>
        <w:rPr>
          <w:rFonts w:cs="ITCFranklinGothicStd-Book"/>
          <w:sz w:val="24"/>
          <w:szCs w:val="24"/>
        </w:rPr>
      </w:pPr>
      <w:r w:rsidRPr="00AE4304">
        <w:rPr>
          <w:rFonts w:cs="ITCFranklinGothicStd-Book"/>
          <w:sz w:val="24"/>
          <w:szCs w:val="24"/>
        </w:rPr>
        <w:t xml:space="preserve">No paper files will be collected at CDC. The paper-based interview data will be entered into a web-based information system (Attachment 7). All electronic data will be stored on secure CDC networks. Access to the data will be limited to those with a bonafide need-to-know in order to perform job duties related to the project.   </w:t>
      </w:r>
    </w:p>
    <w:p w:rsidR="00AE4304" w:rsidRPr="00AE4304" w:rsidRDefault="00AE4304" w:rsidP="00E87525">
      <w:pPr>
        <w:pStyle w:val="ListParagraph"/>
        <w:numPr>
          <w:ilvl w:val="0"/>
          <w:numId w:val="45"/>
        </w:numPr>
        <w:autoSpaceDE w:val="0"/>
        <w:autoSpaceDN w:val="0"/>
        <w:adjustRightInd w:val="0"/>
        <w:spacing w:before="100" w:beforeAutospacing="1" w:after="100" w:afterAutospacing="1" w:line="240" w:lineRule="auto"/>
        <w:rPr>
          <w:rFonts w:cs="ITCFranklinGothicStd-Book"/>
          <w:sz w:val="24"/>
          <w:szCs w:val="24"/>
        </w:rPr>
      </w:pPr>
      <w:r w:rsidRPr="00AE4304">
        <w:rPr>
          <w:rFonts w:cs="ITCFranklinGothicStd-Book"/>
          <w:sz w:val="24"/>
          <w:szCs w:val="24"/>
        </w:rPr>
        <w:t>The NCEH Information Systems Security Officer (ISSO) has reviewed and completed the Privacy Impact Assessment (PIA) on the NEARS electronic system; based on the changes to the system a revised PIA will be completed before data collection begins.</w:t>
      </w:r>
    </w:p>
    <w:p w:rsidR="00AE4304" w:rsidRPr="00AE4304" w:rsidRDefault="00AE4304" w:rsidP="00E87525">
      <w:pPr>
        <w:autoSpaceDE w:val="0"/>
        <w:autoSpaceDN w:val="0"/>
        <w:adjustRightInd w:val="0"/>
        <w:spacing w:before="100" w:beforeAutospacing="1" w:after="100" w:afterAutospacing="1" w:line="240" w:lineRule="auto"/>
        <w:rPr>
          <w:rFonts w:cs="ITCFranklinGothicStd-Book"/>
          <w:sz w:val="24"/>
          <w:szCs w:val="24"/>
        </w:rPr>
      </w:pPr>
      <w:r w:rsidRPr="00AE4304">
        <w:rPr>
          <w:rFonts w:cs="ITCFranklinGothicStd-Book"/>
          <w:sz w:val="24"/>
          <w:szCs w:val="24"/>
        </w:rPr>
        <w:t xml:space="preserve">There are two data collection activities for NEARS. For the first activity, participating food safety programs will record all their environmental assessment data </w:t>
      </w:r>
      <w:r w:rsidR="00CE17FC">
        <w:rPr>
          <w:rFonts w:cs="ITCFranklinGothicStd-Book"/>
          <w:sz w:val="24"/>
          <w:szCs w:val="24"/>
        </w:rPr>
        <w:t>us</w:t>
      </w:r>
      <w:r w:rsidR="0012493A">
        <w:rPr>
          <w:rFonts w:cs="ITCFranklinGothicStd-Book"/>
          <w:sz w:val="24"/>
          <w:szCs w:val="24"/>
        </w:rPr>
        <w:t>i</w:t>
      </w:r>
      <w:r w:rsidR="00CE17FC">
        <w:rPr>
          <w:rFonts w:cs="ITCFranklinGothicStd-Book"/>
          <w:sz w:val="24"/>
          <w:szCs w:val="24"/>
        </w:rPr>
        <w:t>ng</w:t>
      </w:r>
      <w:r w:rsidRPr="00AE4304">
        <w:rPr>
          <w:rFonts w:cs="ITCFranklinGothicStd-Book"/>
          <w:sz w:val="24"/>
          <w:szCs w:val="24"/>
        </w:rPr>
        <w:t xml:space="preserve"> pen</w:t>
      </w:r>
      <w:r w:rsidR="00CE17FC">
        <w:rPr>
          <w:rFonts w:cs="ITCFranklinGothicStd-Book"/>
          <w:sz w:val="24"/>
          <w:szCs w:val="24"/>
        </w:rPr>
        <w:t xml:space="preserve"> </w:t>
      </w:r>
      <w:r w:rsidRPr="00AE4304">
        <w:rPr>
          <w:rFonts w:cs="ITCFranklinGothicStd-Book"/>
          <w:sz w:val="24"/>
          <w:szCs w:val="24"/>
        </w:rPr>
        <w:t>and</w:t>
      </w:r>
      <w:r w:rsidR="00CE17FC">
        <w:rPr>
          <w:rFonts w:cs="ITCFranklinGothicStd-Book"/>
          <w:sz w:val="24"/>
          <w:szCs w:val="24"/>
        </w:rPr>
        <w:t xml:space="preserve"> </w:t>
      </w:r>
      <w:r w:rsidRPr="00AE4304">
        <w:rPr>
          <w:rFonts w:cs="ITCFranklinGothicStd-Book"/>
          <w:sz w:val="24"/>
          <w:szCs w:val="24"/>
        </w:rPr>
        <w:t>paper form (Attachment 6) and then enter all their data into the secure NEARS web-based system (Atta</w:t>
      </w:r>
      <w:r w:rsidR="00DC6291">
        <w:rPr>
          <w:rFonts w:cs="ITCFranklinGothicStd-Book"/>
          <w:sz w:val="24"/>
          <w:szCs w:val="24"/>
        </w:rPr>
        <w:t>chment 7)</w:t>
      </w:r>
      <w:r w:rsidRPr="00AE4304">
        <w:rPr>
          <w:rFonts w:cs="ITCFranklinGothicStd-Book"/>
          <w:sz w:val="24"/>
          <w:szCs w:val="24"/>
        </w:rPr>
        <w:t xml:space="preserve">. The respondents for this activity are the food safety program personnel participating in NEARS. This will be done once for each outbreak. </w:t>
      </w:r>
    </w:p>
    <w:p w:rsidR="00AE4304" w:rsidRPr="00AE4304" w:rsidRDefault="00AE4304" w:rsidP="00E87525">
      <w:pPr>
        <w:autoSpaceDE w:val="0"/>
        <w:autoSpaceDN w:val="0"/>
        <w:adjustRightInd w:val="0"/>
        <w:spacing w:before="100" w:beforeAutospacing="1" w:after="100" w:afterAutospacing="1" w:line="240" w:lineRule="auto"/>
        <w:rPr>
          <w:rFonts w:cs="ITCFranklinGothicStd-Book"/>
          <w:sz w:val="24"/>
          <w:szCs w:val="24"/>
        </w:rPr>
      </w:pPr>
      <w:r w:rsidRPr="00AE4304">
        <w:rPr>
          <w:rFonts w:cs="ITCFranklinGothicStd-Book"/>
          <w:sz w:val="24"/>
          <w:szCs w:val="24"/>
        </w:rPr>
        <w:t xml:space="preserve">The second activity is the manager interview that will be conducted at each establishment associated with an outbreak (Attachment 8). The respondents for this activity are the retail food managers of the outbreak establishments. Manager interviews are a routine part of outbreak investigations; however, food safety program personnel participating in NEARS conduct a structured interview and enter data into </w:t>
      </w:r>
      <w:r w:rsidR="00360ABE">
        <w:rPr>
          <w:rFonts w:cs="ITCFranklinGothicStd-Book"/>
          <w:sz w:val="24"/>
          <w:szCs w:val="24"/>
        </w:rPr>
        <w:t xml:space="preserve">the NEARS </w:t>
      </w:r>
      <w:r w:rsidRPr="00AE4304">
        <w:rPr>
          <w:rFonts w:cs="ITCFranklinGothicStd-Book"/>
          <w:sz w:val="24"/>
          <w:szCs w:val="24"/>
        </w:rPr>
        <w:t>web</w:t>
      </w:r>
      <w:r w:rsidR="00CE17FC">
        <w:rPr>
          <w:rFonts w:cs="ITCFranklinGothicStd-Book"/>
          <w:sz w:val="24"/>
          <w:szCs w:val="24"/>
        </w:rPr>
        <w:t>-</w:t>
      </w:r>
      <w:r w:rsidRPr="00AE4304">
        <w:rPr>
          <w:rFonts w:cs="ITCFranklinGothicStd-Book"/>
          <w:sz w:val="24"/>
          <w:szCs w:val="24"/>
        </w:rPr>
        <w:t>based system (Attachment 7), and will thus conduct their interviews slightly differently than they would if they were not participating in NEARS. Approximately four manager interviews can be completed for outbreak.</w:t>
      </w:r>
    </w:p>
    <w:p w:rsidR="00AE4304" w:rsidRPr="00AE4304" w:rsidRDefault="00AE4304" w:rsidP="00E87525">
      <w:pPr>
        <w:autoSpaceDE w:val="0"/>
        <w:autoSpaceDN w:val="0"/>
        <w:adjustRightInd w:val="0"/>
        <w:spacing w:before="100" w:beforeAutospacing="1" w:after="100" w:afterAutospacing="1" w:line="240" w:lineRule="auto"/>
        <w:rPr>
          <w:rFonts w:cs="ITCFranklinGothicStd-Book"/>
          <w:sz w:val="24"/>
          <w:szCs w:val="24"/>
        </w:rPr>
      </w:pPr>
      <w:r w:rsidRPr="00AE4304">
        <w:rPr>
          <w:rFonts w:cs="ITCFranklinGothicStd-Book"/>
          <w:sz w:val="24"/>
          <w:szCs w:val="24"/>
        </w:rPr>
        <w:t>Data analysis results will be shared informally with participating sites through annual data summary reports and presentations during NEARS quarterly webinars. Results will also be shared with other stakeholders (e.g.</w:t>
      </w:r>
      <w:r w:rsidR="004A7925">
        <w:rPr>
          <w:rFonts w:cs="ITCFranklinGothicStd-Book"/>
          <w:sz w:val="24"/>
          <w:szCs w:val="24"/>
        </w:rPr>
        <w:t>,</w:t>
      </w:r>
      <w:r w:rsidRPr="00AE4304">
        <w:rPr>
          <w:rFonts w:cs="ITCFranklinGothicStd-Book"/>
          <w:sz w:val="24"/>
          <w:szCs w:val="24"/>
        </w:rPr>
        <w:t xml:space="preserve"> NORS Team) and the food safety and environmental public health community through presentations at meetings and conferences, peer-reviewed publications in scientific journals, and possibly ‘plain language’ summaries on the CDC website. Results will be presented in aggregate form. </w:t>
      </w:r>
    </w:p>
    <w:p w:rsidR="00AE4304" w:rsidRPr="00AE4304" w:rsidRDefault="00AE4304" w:rsidP="00E87525">
      <w:pPr>
        <w:autoSpaceDE w:val="0"/>
        <w:autoSpaceDN w:val="0"/>
        <w:adjustRightInd w:val="0"/>
        <w:spacing w:before="100" w:beforeAutospacing="1" w:after="100" w:afterAutospacing="1" w:line="240" w:lineRule="auto"/>
        <w:rPr>
          <w:rFonts w:cs="ITCFranklinGothicStd-Book"/>
          <w:sz w:val="24"/>
          <w:szCs w:val="24"/>
        </w:rPr>
      </w:pPr>
      <w:r w:rsidRPr="00AE4304">
        <w:rPr>
          <w:rFonts w:cs="ITCFranklinGothicStd-Book"/>
          <w:sz w:val="24"/>
          <w:szCs w:val="24"/>
        </w:rPr>
        <w:t>The results will be used to develop recommendations for food safety and environmental public health programs and the retail food industry. For example, if data collection identifies specific environmental antecedents are associated with certain foodborne outbreaks, CDC can develop recommendations that address these unsafe polices and/or practices and disseminate the information to environmental public health programs and the retail food industry.</w:t>
      </w:r>
    </w:p>
    <w:p w:rsidR="00B45002" w:rsidRPr="00D20211" w:rsidRDefault="00601F1A" w:rsidP="00601F1A">
      <w:pPr>
        <w:pStyle w:val="Heading1"/>
        <w:pBdr>
          <w:bottom w:val="none" w:sz="0" w:space="0" w:color="auto"/>
        </w:pBdr>
        <w:rPr>
          <w:color w:val="auto"/>
        </w:rPr>
      </w:pPr>
      <w:bookmarkStart w:id="13" w:name="_Toc532377528"/>
      <w:r w:rsidRPr="00D20211">
        <w:rPr>
          <w:color w:val="auto"/>
        </w:rPr>
        <w:t>A.</w:t>
      </w:r>
      <w:r w:rsidR="004D21C9" w:rsidRPr="00D20211">
        <w:rPr>
          <w:color w:val="auto"/>
        </w:rPr>
        <w:t xml:space="preserve">11.  </w:t>
      </w:r>
      <w:r w:rsidR="00B45002" w:rsidRPr="00D20211">
        <w:rPr>
          <w:color w:val="auto"/>
        </w:rPr>
        <w:t>Institutional Review Board (IRB) and Justification for Sensitive Questions</w:t>
      </w:r>
      <w:bookmarkEnd w:id="13"/>
    </w:p>
    <w:p w:rsidR="00987A2D" w:rsidRPr="00D20211" w:rsidRDefault="00987A2D" w:rsidP="00B855BC">
      <w:pPr>
        <w:spacing w:line="240" w:lineRule="auto"/>
      </w:pPr>
    </w:p>
    <w:p w:rsidR="00AE4304" w:rsidRDefault="007D6809" w:rsidP="00B855BC">
      <w:pPr>
        <w:autoSpaceDE w:val="0"/>
        <w:autoSpaceDN w:val="0"/>
        <w:adjustRightInd w:val="0"/>
        <w:spacing w:line="240" w:lineRule="auto"/>
        <w:rPr>
          <w:rFonts w:cs="ITCFranklinGothicStd-Book"/>
          <w:sz w:val="24"/>
          <w:szCs w:val="24"/>
        </w:rPr>
      </w:pPr>
      <w:r>
        <w:rPr>
          <w:rFonts w:cs="ITCFranklinGothicStd-Book"/>
          <w:sz w:val="24"/>
          <w:szCs w:val="24"/>
        </w:rPr>
        <w:t>The NCEH/ATSDR Human Subjects Contact has reviewed</w:t>
      </w:r>
      <w:r w:rsidR="00AE4304" w:rsidRPr="00AE4304">
        <w:rPr>
          <w:rFonts w:cs="ITCFranklinGothicStd-Book"/>
          <w:sz w:val="24"/>
          <w:szCs w:val="24"/>
        </w:rPr>
        <w:t xml:space="preserve"> this data collection system </w:t>
      </w:r>
      <w:r>
        <w:rPr>
          <w:rFonts w:cs="ITCFranklinGothicStd-Book"/>
          <w:sz w:val="24"/>
          <w:szCs w:val="24"/>
        </w:rPr>
        <w:t>and determined that it is not research, a</w:t>
      </w:r>
      <w:r w:rsidR="00AE4304" w:rsidRPr="00AE4304">
        <w:rPr>
          <w:rFonts w:cs="ITCFranklinGothicStd-Book"/>
          <w:sz w:val="24"/>
          <w:szCs w:val="24"/>
        </w:rPr>
        <w:t>nd does not require CDC Institutional Review Board (IRB) review (Attachment 9). The participating food safety programs are a voluntary convenience sample; therefore, the information collected cannot be generalized to all foodborne illness outbreaks. In the future, should a nationally representative program evolve, we may be able to generalize our data. There are no sensitive questions in this data collection.</w:t>
      </w:r>
    </w:p>
    <w:p w:rsidR="00B45002" w:rsidRPr="00D20211" w:rsidRDefault="00601F1A" w:rsidP="00601F1A">
      <w:pPr>
        <w:pStyle w:val="Heading1"/>
        <w:pBdr>
          <w:bottom w:val="none" w:sz="0" w:space="0" w:color="auto"/>
        </w:pBdr>
        <w:rPr>
          <w:color w:val="auto"/>
        </w:rPr>
      </w:pPr>
      <w:bookmarkStart w:id="14" w:name="_Toc532377529"/>
      <w:r w:rsidRPr="00D20211">
        <w:rPr>
          <w:color w:val="auto"/>
        </w:rPr>
        <w:t>A.</w:t>
      </w:r>
      <w:r w:rsidR="004D21C9" w:rsidRPr="00D20211">
        <w:rPr>
          <w:color w:val="auto"/>
        </w:rPr>
        <w:t xml:space="preserve">12.  </w:t>
      </w:r>
      <w:r w:rsidR="00B45002" w:rsidRPr="00D20211">
        <w:rPr>
          <w:color w:val="auto"/>
        </w:rPr>
        <w:t>Estimates of Annualized Burden Hours and Costs</w:t>
      </w:r>
      <w:bookmarkEnd w:id="14"/>
    </w:p>
    <w:p w:rsidR="00AE4304" w:rsidRPr="00AE4304" w:rsidRDefault="00AE4304" w:rsidP="00E87525">
      <w:pPr>
        <w:autoSpaceDE w:val="0"/>
        <w:autoSpaceDN w:val="0"/>
        <w:adjustRightInd w:val="0"/>
        <w:spacing w:before="100" w:beforeAutospacing="1" w:after="100" w:afterAutospacing="1" w:line="240" w:lineRule="auto"/>
        <w:rPr>
          <w:rFonts w:cs="ITCFranklinGothicStd-Book"/>
          <w:sz w:val="24"/>
          <w:szCs w:val="24"/>
        </w:rPr>
      </w:pPr>
      <w:r w:rsidRPr="00AE4304">
        <w:rPr>
          <w:rFonts w:cs="ITCFranklinGothicStd-Book"/>
          <w:sz w:val="24"/>
          <w:szCs w:val="24"/>
        </w:rPr>
        <w:t xml:space="preserve">Local, state, federal, territorial, and tribal food safety programs are the primary respondents for this data collection. One official from each participating program will report environmental assessment data on outbreaks. These programs are typically located in public health or agriculture agencies. </w:t>
      </w:r>
      <w:r w:rsidR="009E5C95">
        <w:rPr>
          <w:rFonts w:cs="ITCFranklinGothicStd-Book"/>
          <w:sz w:val="24"/>
          <w:szCs w:val="24"/>
        </w:rPr>
        <w:t xml:space="preserve"> In the U.S., t</w:t>
      </w:r>
      <w:r w:rsidRPr="00AE4304">
        <w:rPr>
          <w:rFonts w:cs="ITCFranklinGothicStd-Book"/>
          <w:sz w:val="24"/>
          <w:szCs w:val="24"/>
        </w:rPr>
        <w:t>here are approximately 3,000 such agencies. Currently, 31 state and local health departments are registered to rep</w:t>
      </w:r>
      <w:r w:rsidR="003E71EF">
        <w:rPr>
          <w:rFonts w:cs="ITCFranklinGothicStd-Book"/>
          <w:sz w:val="24"/>
          <w:szCs w:val="24"/>
        </w:rPr>
        <w:t xml:space="preserve">ort data on outbreaks to NEARS. Based on </w:t>
      </w:r>
      <w:r w:rsidR="00E149C1">
        <w:rPr>
          <w:rFonts w:cs="ITCFranklinGothicStd-Book"/>
          <w:sz w:val="24"/>
          <w:szCs w:val="24"/>
        </w:rPr>
        <w:t xml:space="preserve">our </w:t>
      </w:r>
      <w:r w:rsidR="003E71EF">
        <w:rPr>
          <w:rFonts w:cs="ITCFranklinGothicStd-Book"/>
          <w:sz w:val="24"/>
          <w:szCs w:val="24"/>
        </w:rPr>
        <w:t>experience over the past five year</w:t>
      </w:r>
      <w:r w:rsidR="00E149C1">
        <w:rPr>
          <w:rFonts w:cs="ITCFranklinGothicStd-Book"/>
          <w:sz w:val="24"/>
          <w:szCs w:val="24"/>
        </w:rPr>
        <w:t>s</w:t>
      </w:r>
      <w:r w:rsidR="003E71EF">
        <w:rPr>
          <w:rFonts w:cs="ITCFranklinGothicStd-Book"/>
          <w:sz w:val="24"/>
          <w:szCs w:val="24"/>
        </w:rPr>
        <w:t xml:space="preserve">, </w:t>
      </w:r>
      <w:r w:rsidRPr="00AE4304">
        <w:rPr>
          <w:rFonts w:cs="ITCFranklinGothicStd-Book"/>
          <w:sz w:val="24"/>
          <w:szCs w:val="24"/>
        </w:rPr>
        <w:t>we e</w:t>
      </w:r>
      <w:r w:rsidR="00E149C1">
        <w:rPr>
          <w:rFonts w:cs="ITCFranklinGothicStd-Book"/>
          <w:sz w:val="24"/>
          <w:szCs w:val="24"/>
        </w:rPr>
        <w:t xml:space="preserve">xpect participation to reach a maximum of 41 programs </w:t>
      </w:r>
      <w:r w:rsidRPr="00AE4304">
        <w:rPr>
          <w:rFonts w:cs="ITCFranklinGothicStd-Book"/>
          <w:sz w:val="24"/>
          <w:szCs w:val="24"/>
        </w:rPr>
        <w:t xml:space="preserve">in the next </w:t>
      </w:r>
      <w:r w:rsidR="003E71EF">
        <w:rPr>
          <w:rFonts w:cs="ITCFranklinGothicStd-Book"/>
          <w:sz w:val="24"/>
          <w:szCs w:val="24"/>
        </w:rPr>
        <w:t>three</w:t>
      </w:r>
      <w:r w:rsidRPr="00AE4304">
        <w:rPr>
          <w:rFonts w:cs="ITCFranklinGothicStd-Book"/>
          <w:sz w:val="24"/>
          <w:szCs w:val="24"/>
        </w:rPr>
        <w:t xml:space="preserve"> years. </w:t>
      </w:r>
    </w:p>
    <w:p w:rsidR="00AE4304" w:rsidRPr="00AE4304" w:rsidRDefault="00AE4304" w:rsidP="00E87525">
      <w:pPr>
        <w:autoSpaceDE w:val="0"/>
        <w:autoSpaceDN w:val="0"/>
        <w:adjustRightInd w:val="0"/>
        <w:spacing w:before="100" w:beforeAutospacing="1" w:after="100" w:afterAutospacing="1" w:line="240" w:lineRule="auto"/>
        <w:rPr>
          <w:rFonts w:cs="ITCFranklinGothicStd-Book"/>
          <w:sz w:val="24"/>
          <w:szCs w:val="24"/>
        </w:rPr>
      </w:pPr>
      <w:r w:rsidRPr="00AE4304">
        <w:rPr>
          <w:rFonts w:cs="ITCFranklinGothicStd-Book"/>
          <w:sz w:val="24"/>
          <w:szCs w:val="24"/>
        </w:rPr>
        <w:t xml:space="preserve">It is not possible to determine exactly how many outbreaks will occur in the future, nor where they will occur. An overview of data reported to NEARS </w:t>
      </w:r>
      <w:r w:rsidR="00CE17FC">
        <w:rPr>
          <w:rFonts w:cs="ITCFranklinGothicStd-Book"/>
          <w:sz w:val="24"/>
          <w:szCs w:val="24"/>
        </w:rPr>
        <w:t xml:space="preserve">between </w:t>
      </w:r>
      <w:r w:rsidRPr="00AE4304">
        <w:rPr>
          <w:rFonts w:cs="ITCFranklinGothicStd-Book"/>
          <w:sz w:val="24"/>
          <w:szCs w:val="24"/>
        </w:rPr>
        <w:t>2014</w:t>
      </w:r>
      <w:r w:rsidR="00CE17FC">
        <w:rPr>
          <w:rFonts w:cs="ITCFranklinGothicStd-Book"/>
          <w:sz w:val="24"/>
          <w:szCs w:val="24"/>
        </w:rPr>
        <w:t xml:space="preserve"> and </w:t>
      </w:r>
      <w:r w:rsidRPr="00AE4304">
        <w:rPr>
          <w:rFonts w:cs="ITCFranklinGothicStd-Book"/>
          <w:sz w:val="24"/>
          <w:szCs w:val="24"/>
        </w:rPr>
        <w:t xml:space="preserve">2017 is provided in Table A.2.1.  Based on these reporting trends, it is likely that up to 300 foodborne illness outbreaks may be reported annually to NEARS from up to </w:t>
      </w:r>
      <w:r w:rsidR="00E149C1">
        <w:rPr>
          <w:rFonts w:cs="ITCFranklinGothicStd-Book"/>
          <w:sz w:val="24"/>
          <w:szCs w:val="24"/>
        </w:rPr>
        <w:t>4</w:t>
      </w:r>
      <w:r w:rsidR="00575D8B">
        <w:rPr>
          <w:rFonts w:cs="ITCFranklinGothicStd-Book"/>
          <w:sz w:val="24"/>
          <w:szCs w:val="24"/>
        </w:rPr>
        <w:t>1</w:t>
      </w:r>
      <w:r w:rsidRPr="00AE4304">
        <w:rPr>
          <w:rFonts w:cs="ITCFranklinGothicStd-Book"/>
          <w:sz w:val="24"/>
          <w:szCs w:val="24"/>
        </w:rPr>
        <w:t xml:space="preserve"> entities for the duration of the next PRA clearance. Only programs in the jurisdictions in which these outbreaks occur would report to NEARS. Thus, not every program of the approximate 3,000 programs will respond every year. Assuming each outbreak occurs in a different jurisdiction, there will be one respondent per outbreak. If the Program receives an increase in participation that surpasses the current estimated number; then a revision request will be submitted for PRA clearance.</w:t>
      </w:r>
    </w:p>
    <w:p w:rsidR="00AE4304" w:rsidRPr="00AE4304" w:rsidRDefault="00AE4304" w:rsidP="00E87525">
      <w:pPr>
        <w:autoSpaceDE w:val="0"/>
        <w:autoSpaceDN w:val="0"/>
        <w:adjustRightInd w:val="0"/>
        <w:spacing w:before="100" w:beforeAutospacing="1" w:after="100" w:afterAutospacing="1" w:line="240" w:lineRule="auto"/>
        <w:rPr>
          <w:rFonts w:cs="ITCFranklinGothicStd-Book"/>
          <w:sz w:val="24"/>
          <w:szCs w:val="24"/>
        </w:rPr>
      </w:pPr>
      <w:r w:rsidRPr="00AE4304">
        <w:rPr>
          <w:rFonts w:cs="ITCFranklinGothicStd-Book"/>
          <w:sz w:val="24"/>
          <w:szCs w:val="24"/>
        </w:rPr>
        <w:t>The activities associated with NEARS that require a burden estimate consist of training, observing, data recording, and data reporting events. The first activity is the training for the food safety program personnel participating in NEARS. These staff will be encouraged to attend a Skype Meeting (i.e., webinar) training session conducted by CDC staff. This training is voluntary and will cover identifying environmental factors, logging in and entering data into the web-based NEARS data entry system, and troubleshooting problems</w:t>
      </w:r>
      <w:r w:rsidR="003E1194">
        <w:rPr>
          <w:rFonts w:cs="ITCFranklinGothicStd-Book"/>
          <w:sz w:val="24"/>
          <w:szCs w:val="24"/>
        </w:rPr>
        <w:t xml:space="preserve">. </w:t>
      </w:r>
      <w:r w:rsidRPr="00AE4304">
        <w:rPr>
          <w:rFonts w:cs="ITCFranklinGothicStd-Book"/>
          <w:sz w:val="24"/>
          <w:szCs w:val="24"/>
        </w:rPr>
        <w:t xml:space="preserve">Attachment 4 contains a </w:t>
      </w:r>
      <w:r w:rsidR="00575D8B">
        <w:rPr>
          <w:rFonts w:cs="ITCFranklinGothicStd-Book"/>
          <w:sz w:val="24"/>
          <w:szCs w:val="24"/>
        </w:rPr>
        <w:t>template of this training</w:t>
      </w:r>
      <w:r w:rsidRPr="00AE4304">
        <w:rPr>
          <w:rFonts w:cs="ITCFranklinGothicStd-Book"/>
          <w:sz w:val="24"/>
          <w:szCs w:val="24"/>
        </w:rPr>
        <w:t>. Training burden is based on the maximum expected participation from the reporting entities which could be up to 10 additional local and state health departments (</w:t>
      </w:r>
      <w:r w:rsidR="00DC1A92">
        <w:rPr>
          <w:rFonts w:cs="ITCFranklinGothicStd-Book"/>
          <w:sz w:val="24"/>
          <w:szCs w:val="24"/>
        </w:rPr>
        <w:t>m</w:t>
      </w:r>
      <w:r w:rsidRPr="00AE4304">
        <w:rPr>
          <w:rFonts w:cs="ITCFranklinGothicStd-Book"/>
          <w:sz w:val="24"/>
          <w:szCs w:val="24"/>
        </w:rPr>
        <w:t xml:space="preserve">ost current participants have already taken the training). We estimate the burden of this training to be a maximum of 2 hours. Respondents will only </w:t>
      </w:r>
      <w:r w:rsidR="008A0EE7">
        <w:rPr>
          <w:rFonts w:cs="ITCFranklinGothicStd-Book"/>
          <w:sz w:val="24"/>
          <w:szCs w:val="24"/>
        </w:rPr>
        <w:t>be required</w:t>
      </w:r>
      <w:r w:rsidR="008A0EE7" w:rsidRPr="00AE4304">
        <w:rPr>
          <w:rFonts w:cs="ITCFranklinGothicStd-Book"/>
          <w:sz w:val="24"/>
          <w:szCs w:val="24"/>
        </w:rPr>
        <w:t xml:space="preserve"> </w:t>
      </w:r>
      <w:r w:rsidRPr="00AE4304">
        <w:rPr>
          <w:rFonts w:cs="ITCFranklinGothicStd-Book"/>
          <w:sz w:val="24"/>
          <w:szCs w:val="24"/>
        </w:rPr>
        <w:t xml:space="preserve">to take this training one time. Assuming a maximum participation of up to 10 </w:t>
      </w:r>
      <w:r w:rsidR="00D7337B">
        <w:rPr>
          <w:rFonts w:cs="ITCFranklinGothicStd-Book"/>
          <w:sz w:val="24"/>
          <w:szCs w:val="24"/>
        </w:rPr>
        <w:t xml:space="preserve">new </w:t>
      </w:r>
      <w:r w:rsidR="00E149C1">
        <w:rPr>
          <w:rFonts w:cs="ITCFranklinGothicStd-Book"/>
          <w:sz w:val="24"/>
          <w:szCs w:val="24"/>
        </w:rPr>
        <w:t>programs</w:t>
      </w:r>
      <w:r w:rsidRPr="00AE4304">
        <w:rPr>
          <w:rFonts w:cs="ITCFranklinGothicStd-Book"/>
          <w:sz w:val="24"/>
          <w:szCs w:val="24"/>
        </w:rPr>
        <w:t xml:space="preserve"> and about </w:t>
      </w:r>
      <w:r w:rsidR="00E149C1">
        <w:rPr>
          <w:rFonts w:cs="ITCFranklinGothicStd-Book"/>
          <w:sz w:val="24"/>
          <w:szCs w:val="24"/>
        </w:rPr>
        <w:t>five</w:t>
      </w:r>
      <w:r w:rsidRPr="00AE4304">
        <w:rPr>
          <w:rFonts w:cs="ITCFranklinGothicStd-Book"/>
          <w:sz w:val="24"/>
          <w:szCs w:val="24"/>
        </w:rPr>
        <w:t xml:space="preserve"> staff being trained at each participating program</w:t>
      </w:r>
      <w:r w:rsidR="008A0EE7">
        <w:rPr>
          <w:rFonts w:cs="ITCFranklinGothicStd-Book"/>
          <w:sz w:val="24"/>
          <w:szCs w:val="24"/>
        </w:rPr>
        <w:t xml:space="preserve">, </w:t>
      </w:r>
      <w:r w:rsidRPr="00AE4304">
        <w:rPr>
          <w:rFonts w:cs="ITCFranklinGothicStd-Book"/>
          <w:sz w:val="24"/>
          <w:szCs w:val="24"/>
        </w:rPr>
        <w:t xml:space="preserve">the </w:t>
      </w:r>
      <w:r w:rsidR="008A0EE7">
        <w:rPr>
          <w:rFonts w:cs="ITCFranklinGothicStd-Book"/>
          <w:sz w:val="24"/>
          <w:szCs w:val="24"/>
        </w:rPr>
        <w:t xml:space="preserve">total </w:t>
      </w:r>
      <w:r w:rsidRPr="00AE4304">
        <w:rPr>
          <w:rFonts w:cs="ITCFranklinGothicStd-Book"/>
          <w:sz w:val="24"/>
          <w:szCs w:val="24"/>
        </w:rPr>
        <w:t xml:space="preserve">estimated burden </w:t>
      </w:r>
      <w:r w:rsidR="008A0EE7">
        <w:rPr>
          <w:rFonts w:cs="ITCFranklinGothicStd-Book"/>
          <w:sz w:val="24"/>
          <w:szCs w:val="24"/>
        </w:rPr>
        <w:t>associated with</w:t>
      </w:r>
      <w:r w:rsidR="008A0EE7" w:rsidRPr="00AE4304">
        <w:rPr>
          <w:rFonts w:cs="ITCFranklinGothicStd-Book"/>
          <w:sz w:val="24"/>
          <w:szCs w:val="24"/>
        </w:rPr>
        <w:t xml:space="preserve"> </w:t>
      </w:r>
      <w:r w:rsidRPr="00AE4304">
        <w:rPr>
          <w:rFonts w:cs="ITCFranklinGothicStd-Book"/>
          <w:sz w:val="24"/>
          <w:szCs w:val="24"/>
        </w:rPr>
        <w:t>this training is</w:t>
      </w:r>
      <w:r w:rsidR="008A0EE7">
        <w:rPr>
          <w:rFonts w:cs="ITCFranklinGothicStd-Book"/>
          <w:sz w:val="24"/>
          <w:szCs w:val="24"/>
        </w:rPr>
        <w:t xml:space="preserve"> 100 hours</w:t>
      </w:r>
      <w:r w:rsidRPr="00AE4304">
        <w:rPr>
          <w:rFonts w:cs="ITCFranklinGothicStd-Book"/>
          <w:sz w:val="24"/>
          <w:szCs w:val="24"/>
        </w:rPr>
        <w:t xml:space="preserve"> (2</w:t>
      </w:r>
      <w:r w:rsidR="008A0EE7">
        <w:rPr>
          <w:rFonts w:cs="ITCFranklinGothicStd-Book"/>
          <w:sz w:val="24"/>
          <w:szCs w:val="24"/>
        </w:rPr>
        <w:t xml:space="preserve"> hours x </w:t>
      </w:r>
      <w:r w:rsidRPr="00AE4304">
        <w:rPr>
          <w:rFonts w:cs="ITCFranklinGothicStd-Book"/>
          <w:sz w:val="24"/>
          <w:szCs w:val="24"/>
        </w:rPr>
        <w:t>10</w:t>
      </w:r>
      <w:r w:rsidR="008A0EE7">
        <w:rPr>
          <w:rFonts w:cs="ITCFranklinGothicStd-Book"/>
          <w:sz w:val="24"/>
          <w:szCs w:val="24"/>
        </w:rPr>
        <w:t xml:space="preserve"> entities x </w:t>
      </w:r>
      <w:r w:rsidRPr="00AE4304">
        <w:rPr>
          <w:rFonts w:cs="ITCFranklinGothicStd-Book"/>
          <w:sz w:val="24"/>
          <w:szCs w:val="24"/>
        </w:rPr>
        <w:t>5</w:t>
      </w:r>
      <w:r w:rsidR="008A0EE7">
        <w:rPr>
          <w:rFonts w:cs="ITCFranklinGothicStd-Book"/>
          <w:sz w:val="24"/>
          <w:szCs w:val="24"/>
        </w:rPr>
        <w:t xml:space="preserve"> staff</w:t>
      </w:r>
      <w:r w:rsidR="00AB57F9">
        <w:rPr>
          <w:rFonts w:cs="ITCFranklinGothicStd-Book"/>
          <w:sz w:val="24"/>
          <w:szCs w:val="24"/>
        </w:rPr>
        <w:t xml:space="preserve"> per entity</w:t>
      </w:r>
      <w:r w:rsidRPr="00AE4304">
        <w:rPr>
          <w:rFonts w:cs="ITCFranklinGothicStd-Book"/>
          <w:sz w:val="24"/>
          <w:szCs w:val="24"/>
        </w:rPr>
        <w:t xml:space="preserve">). </w:t>
      </w:r>
    </w:p>
    <w:p w:rsidR="00AE4304" w:rsidRPr="00AE4304" w:rsidRDefault="00AE4304" w:rsidP="00E87525">
      <w:pPr>
        <w:autoSpaceDE w:val="0"/>
        <w:autoSpaceDN w:val="0"/>
        <w:adjustRightInd w:val="0"/>
        <w:spacing w:before="100" w:beforeAutospacing="1" w:after="100" w:afterAutospacing="1" w:line="240" w:lineRule="auto"/>
        <w:rPr>
          <w:rFonts w:cs="ITCFranklinGothicStd-Book"/>
          <w:sz w:val="24"/>
          <w:szCs w:val="24"/>
        </w:rPr>
      </w:pPr>
      <w:r w:rsidRPr="00AE4304">
        <w:rPr>
          <w:rFonts w:cs="ITCFranklinGothicStd-Book"/>
          <w:sz w:val="24"/>
          <w:szCs w:val="24"/>
        </w:rPr>
        <w:t>Although not a requirement, food safety program personnel participating in NEARS will also be encouraged to complete CDC’s Environmental Assessment Training Series (EATS)</w:t>
      </w:r>
      <w:r w:rsidR="00071D4A">
        <w:rPr>
          <w:rFonts w:cs="ITCFranklinGothicStd-Book"/>
          <w:sz w:val="24"/>
          <w:szCs w:val="24"/>
        </w:rPr>
        <w:t>.</w:t>
      </w:r>
      <w:r w:rsidRPr="00AE4304">
        <w:rPr>
          <w:rFonts w:cs="ITCFranklinGothicStd-Book"/>
          <w:sz w:val="24"/>
          <w:szCs w:val="24"/>
        </w:rPr>
        <w:t xml:space="preserve"> This e-Learning course provides training to staff on how to use a systems approach in foodborne illness outbreak environmental assessments. Participants acquire in-depth skills and knowledge to investigate foodborne illness outbreaks as a member of a larger outbreak response team, identify an outbreak’s environmental causes, and recommend appropriate control measures. The course is presented in the context of a simulated virtual environment where participants can interact and practice the skills being learned. Attachment 5 contains </w:t>
      </w:r>
      <w:r w:rsidR="00AB3269">
        <w:rPr>
          <w:rFonts w:cs="ITCFranklinGothicStd-Book"/>
          <w:sz w:val="24"/>
          <w:szCs w:val="24"/>
        </w:rPr>
        <w:t>screenshots from</w:t>
      </w:r>
      <w:r w:rsidRPr="00AE4304">
        <w:rPr>
          <w:rFonts w:cs="ITCFranklinGothicStd-Book"/>
          <w:sz w:val="24"/>
          <w:szCs w:val="24"/>
        </w:rPr>
        <w:t xml:space="preserve"> the training. We estimate the burden of this training to be a maximum of 10 hours. Respondents will only have to take this training one time. Assuming a maximum participation of up to 10 </w:t>
      </w:r>
      <w:r w:rsidR="00D7337B">
        <w:rPr>
          <w:rFonts w:cs="ITCFranklinGothicStd-Book"/>
          <w:sz w:val="24"/>
          <w:szCs w:val="24"/>
        </w:rPr>
        <w:t xml:space="preserve">new </w:t>
      </w:r>
      <w:r w:rsidR="00E149C1">
        <w:rPr>
          <w:rFonts w:cs="ITCFranklinGothicStd-Book"/>
          <w:sz w:val="24"/>
          <w:szCs w:val="24"/>
        </w:rPr>
        <w:t>programs</w:t>
      </w:r>
      <w:r w:rsidRPr="00AE4304">
        <w:rPr>
          <w:rFonts w:cs="ITCFranklinGothicStd-Book"/>
          <w:sz w:val="24"/>
          <w:szCs w:val="24"/>
        </w:rPr>
        <w:t xml:space="preserve"> and approximately </w:t>
      </w:r>
      <w:r w:rsidR="00575D8B">
        <w:rPr>
          <w:rFonts w:cs="ITCFranklinGothicStd-Book"/>
          <w:sz w:val="24"/>
          <w:szCs w:val="24"/>
        </w:rPr>
        <w:t>f</w:t>
      </w:r>
      <w:r w:rsidR="00E149C1">
        <w:rPr>
          <w:rFonts w:cs="ITCFranklinGothicStd-Book"/>
          <w:sz w:val="24"/>
          <w:szCs w:val="24"/>
        </w:rPr>
        <w:t>ive</w:t>
      </w:r>
      <w:r w:rsidRPr="00AE4304">
        <w:rPr>
          <w:rFonts w:cs="ITCFranklinGothicStd-Book"/>
          <w:sz w:val="24"/>
          <w:szCs w:val="24"/>
        </w:rPr>
        <w:t xml:space="preserve"> staff being trained at each program, the estimated burden </w:t>
      </w:r>
      <w:r w:rsidR="00AB57F9">
        <w:rPr>
          <w:rFonts w:cs="ITCFranklinGothicStd-Book"/>
          <w:sz w:val="24"/>
          <w:szCs w:val="24"/>
        </w:rPr>
        <w:t>associated with</w:t>
      </w:r>
      <w:r w:rsidR="00AB57F9" w:rsidRPr="00AE4304">
        <w:rPr>
          <w:rFonts w:cs="ITCFranklinGothicStd-Book"/>
          <w:sz w:val="24"/>
          <w:szCs w:val="24"/>
        </w:rPr>
        <w:t xml:space="preserve"> </w:t>
      </w:r>
      <w:r w:rsidRPr="00AE4304">
        <w:rPr>
          <w:rFonts w:cs="ITCFranklinGothicStd-Book"/>
          <w:sz w:val="24"/>
          <w:szCs w:val="24"/>
        </w:rPr>
        <w:t>this training is 500 hours (10</w:t>
      </w:r>
      <w:r w:rsidR="008A0EE7">
        <w:rPr>
          <w:rFonts w:cs="ITCFranklinGothicStd-Book"/>
          <w:sz w:val="24"/>
          <w:szCs w:val="24"/>
        </w:rPr>
        <w:t xml:space="preserve"> hours x </w:t>
      </w:r>
      <w:r w:rsidRPr="00AE4304">
        <w:rPr>
          <w:rFonts w:cs="ITCFranklinGothicStd-Book"/>
          <w:sz w:val="24"/>
          <w:szCs w:val="24"/>
        </w:rPr>
        <w:t>10</w:t>
      </w:r>
      <w:r w:rsidR="008A0EE7">
        <w:rPr>
          <w:rFonts w:cs="ITCFranklinGothicStd-Book"/>
          <w:sz w:val="24"/>
          <w:szCs w:val="24"/>
        </w:rPr>
        <w:t xml:space="preserve"> entities x </w:t>
      </w:r>
      <w:r w:rsidRPr="00AE4304">
        <w:rPr>
          <w:rFonts w:cs="ITCFranklinGothicStd-Book"/>
          <w:sz w:val="24"/>
          <w:szCs w:val="24"/>
        </w:rPr>
        <w:t>5</w:t>
      </w:r>
      <w:r w:rsidR="008A0EE7">
        <w:rPr>
          <w:rFonts w:cs="ITCFranklinGothicStd-Book"/>
          <w:sz w:val="24"/>
          <w:szCs w:val="24"/>
        </w:rPr>
        <w:t xml:space="preserve"> staff per entity</w:t>
      </w:r>
      <w:r w:rsidRPr="00AE4304">
        <w:rPr>
          <w:rFonts w:cs="ITCFranklinGothicStd-Book"/>
          <w:sz w:val="24"/>
          <w:szCs w:val="24"/>
        </w:rPr>
        <w:t>).</w:t>
      </w:r>
    </w:p>
    <w:p w:rsidR="00AE4304" w:rsidRPr="00AE4304" w:rsidRDefault="00AE4304" w:rsidP="00E87525">
      <w:pPr>
        <w:autoSpaceDE w:val="0"/>
        <w:autoSpaceDN w:val="0"/>
        <w:adjustRightInd w:val="0"/>
        <w:spacing w:before="100" w:beforeAutospacing="1" w:after="100" w:afterAutospacing="1" w:line="240" w:lineRule="auto"/>
        <w:rPr>
          <w:rFonts w:cs="ITCFranklinGothicStd-Book"/>
          <w:sz w:val="24"/>
          <w:szCs w:val="24"/>
        </w:rPr>
      </w:pPr>
      <w:r w:rsidRPr="00AE4304">
        <w:rPr>
          <w:rFonts w:cs="ITCFranklinGothicStd-Book"/>
          <w:sz w:val="24"/>
          <w:szCs w:val="24"/>
        </w:rPr>
        <w:t>Data reporting activities for NEARS will be done once for each establishment involved in the outbreak. Information collection activities for NEARS consist of the following: NEARS data reporting (Attachment 6) and NEARS man</w:t>
      </w:r>
      <w:r w:rsidR="00AB57F9">
        <w:rPr>
          <w:rFonts w:cs="ITCFranklinGothicStd-Book"/>
          <w:sz w:val="24"/>
          <w:szCs w:val="24"/>
        </w:rPr>
        <w:t>a</w:t>
      </w:r>
      <w:r w:rsidRPr="00AE4304">
        <w:rPr>
          <w:rFonts w:cs="ITCFranklinGothicStd-Book"/>
          <w:sz w:val="24"/>
          <w:szCs w:val="24"/>
        </w:rPr>
        <w:t xml:space="preserve">ger interview (Attachment </w:t>
      </w:r>
      <w:r w:rsidR="005F7729">
        <w:rPr>
          <w:rFonts w:cs="ITCFranklinGothicStd-Book"/>
          <w:sz w:val="24"/>
          <w:szCs w:val="24"/>
        </w:rPr>
        <w:t>8</w:t>
      </w:r>
      <w:r w:rsidRPr="00AE4304">
        <w:rPr>
          <w:rFonts w:cs="ITCFranklinGothicStd-Book"/>
          <w:sz w:val="24"/>
          <w:szCs w:val="24"/>
        </w:rPr>
        <w:t>). For each outbreak, the respondent</w:t>
      </w:r>
      <w:r w:rsidR="00932050">
        <w:rPr>
          <w:rFonts w:cs="ITCFranklinGothicStd-Book"/>
          <w:sz w:val="24"/>
          <w:szCs w:val="24"/>
        </w:rPr>
        <w:t xml:space="preserve"> (</w:t>
      </w:r>
      <w:r w:rsidRPr="00AE4304">
        <w:rPr>
          <w:rFonts w:cs="ITCFranklinGothicStd-Book"/>
          <w:sz w:val="24"/>
          <w:szCs w:val="24"/>
        </w:rPr>
        <w:t>one official from each participating program</w:t>
      </w:r>
      <w:r w:rsidR="00932050">
        <w:rPr>
          <w:rFonts w:cs="ITCFranklinGothicStd-Book"/>
          <w:sz w:val="24"/>
          <w:szCs w:val="24"/>
        </w:rPr>
        <w:t>)</w:t>
      </w:r>
      <w:r w:rsidRPr="00AE4304">
        <w:rPr>
          <w:rFonts w:cs="ITCFranklinGothicStd-Book"/>
          <w:sz w:val="24"/>
          <w:szCs w:val="24"/>
        </w:rPr>
        <w:t xml:space="preserve"> will spend around 30 minutes </w:t>
      </w:r>
      <w:r w:rsidR="00B86A31">
        <w:rPr>
          <w:rFonts w:cs="ITCFranklinGothicStd-Book"/>
          <w:sz w:val="24"/>
          <w:szCs w:val="24"/>
        </w:rPr>
        <w:t>recording</w:t>
      </w:r>
      <w:r w:rsidRPr="00AE4304">
        <w:rPr>
          <w:rFonts w:cs="ITCFranklinGothicStd-Book"/>
          <w:sz w:val="24"/>
          <w:szCs w:val="24"/>
        </w:rPr>
        <w:t xml:space="preserve"> environmental assessment data (Attachment 6) on pen and paper. Assuming a maximum number of 300 outbreaks, the estimated annual burden is 150 hours (30 minutes</w:t>
      </w:r>
      <w:r w:rsidR="00FE6A20">
        <w:rPr>
          <w:rFonts w:cs="ITCFranklinGothicStd-Book"/>
          <w:sz w:val="24"/>
          <w:szCs w:val="24"/>
        </w:rPr>
        <w:t xml:space="preserve"> per </w:t>
      </w:r>
      <w:r w:rsidR="00B86A31">
        <w:rPr>
          <w:rFonts w:cs="ITCFranklinGothicStd-Book"/>
          <w:sz w:val="24"/>
          <w:szCs w:val="24"/>
        </w:rPr>
        <w:t>outbreak</w:t>
      </w:r>
      <w:r w:rsidRPr="00AE4304">
        <w:rPr>
          <w:rFonts w:cs="ITCFranklinGothicStd-Book"/>
          <w:sz w:val="24"/>
          <w:szCs w:val="24"/>
        </w:rPr>
        <w:t xml:space="preserve"> </w:t>
      </w:r>
      <w:r w:rsidR="00B86A31">
        <w:rPr>
          <w:rFonts w:cs="ITCFranklinGothicStd-Book"/>
          <w:sz w:val="24"/>
          <w:szCs w:val="24"/>
        </w:rPr>
        <w:t>x</w:t>
      </w:r>
      <w:r w:rsidRPr="00AE4304">
        <w:rPr>
          <w:rFonts w:cs="ITCFranklinGothicStd-Book"/>
          <w:sz w:val="24"/>
          <w:szCs w:val="24"/>
        </w:rPr>
        <w:t xml:space="preserve"> 300 outbreaks) for recording observations. </w:t>
      </w:r>
    </w:p>
    <w:p w:rsidR="00AE4304" w:rsidRPr="00AE4304" w:rsidRDefault="00AE4304" w:rsidP="00E87525">
      <w:pPr>
        <w:autoSpaceDE w:val="0"/>
        <w:autoSpaceDN w:val="0"/>
        <w:adjustRightInd w:val="0"/>
        <w:spacing w:before="100" w:beforeAutospacing="1" w:after="100" w:afterAutospacing="1" w:line="240" w:lineRule="auto"/>
        <w:rPr>
          <w:rFonts w:cs="ITCFranklinGothicStd-Book"/>
          <w:sz w:val="24"/>
          <w:szCs w:val="24"/>
        </w:rPr>
      </w:pPr>
      <w:r w:rsidRPr="00AE4304">
        <w:rPr>
          <w:rFonts w:cs="ITCFranklinGothicStd-Book"/>
          <w:sz w:val="24"/>
          <w:szCs w:val="24"/>
        </w:rPr>
        <w:t xml:space="preserve">The manager interview (Attachment </w:t>
      </w:r>
      <w:r w:rsidR="005F7729">
        <w:rPr>
          <w:rFonts w:cs="ITCFranklinGothicStd-Book"/>
          <w:sz w:val="24"/>
          <w:szCs w:val="24"/>
        </w:rPr>
        <w:t>8</w:t>
      </w:r>
      <w:r w:rsidRPr="00AE4304">
        <w:rPr>
          <w:rFonts w:cs="ITCFranklinGothicStd-Book"/>
          <w:sz w:val="24"/>
          <w:szCs w:val="24"/>
        </w:rPr>
        <w:t xml:space="preserve">) will be conducted at each establishment associated with an outbreak and data is initially recorded </w:t>
      </w:r>
      <w:r w:rsidR="00FE6A20">
        <w:rPr>
          <w:rFonts w:cs="ITCFranklinGothicStd-Book"/>
          <w:sz w:val="24"/>
          <w:szCs w:val="24"/>
        </w:rPr>
        <w:t>using</w:t>
      </w:r>
      <w:r w:rsidRPr="00AE4304">
        <w:rPr>
          <w:rFonts w:cs="ITCFranklinGothicStd-Book"/>
          <w:sz w:val="24"/>
          <w:szCs w:val="24"/>
        </w:rPr>
        <w:t xml:space="preserve"> pen and paper. The respondents for this activity are the retail food managers of the outbreak establishments. Manager interviews are a routine part of outbreak investigations; however, food safety program personnel participating in NEARS conduct a structured interview and will thus conduct their interviews slightly differently than they would if they were not participating in NEARS. For this reason, we have presented the burden for this interview separately. Most outbreaks are associated with only one establishment; however, some are associated with multiple establishments. We estimate that a maximum of </w:t>
      </w:r>
      <w:r w:rsidR="00FE6A20">
        <w:rPr>
          <w:rFonts w:cs="ITCFranklinGothicStd-Book"/>
          <w:sz w:val="24"/>
          <w:szCs w:val="24"/>
        </w:rPr>
        <w:t>four</w:t>
      </w:r>
      <w:r w:rsidRPr="00AE4304">
        <w:rPr>
          <w:rFonts w:cs="ITCFranklinGothicStd-Book"/>
          <w:sz w:val="24"/>
          <w:szCs w:val="24"/>
        </w:rPr>
        <w:t xml:space="preserve"> manager interviews will be conducted per outbreak. </w:t>
      </w:r>
      <w:r w:rsidR="00FE6A20">
        <w:rPr>
          <w:rFonts w:cs="ITCFranklinGothicStd-Book"/>
          <w:sz w:val="24"/>
          <w:szCs w:val="24"/>
        </w:rPr>
        <w:t xml:space="preserve"> </w:t>
      </w:r>
      <w:r w:rsidRPr="00AE4304">
        <w:rPr>
          <w:rFonts w:cs="ITCFranklinGothicStd-Book"/>
          <w:sz w:val="24"/>
          <w:szCs w:val="24"/>
        </w:rPr>
        <w:t xml:space="preserve">Each interview and data reporting will take about 20 minutes. Again assuming a maximum number of 300 outbreaks, the estimated annual burden is 400 hours (20 minutes </w:t>
      </w:r>
      <w:r w:rsidR="00FE6A20">
        <w:rPr>
          <w:rFonts w:cs="ITCFranklinGothicStd-Book"/>
          <w:sz w:val="24"/>
          <w:szCs w:val="24"/>
        </w:rPr>
        <w:t>x</w:t>
      </w:r>
      <w:r w:rsidRPr="00AE4304">
        <w:rPr>
          <w:rFonts w:cs="ITCFranklinGothicStd-Book"/>
          <w:sz w:val="24"/>
          <w:szCs w:val="24"/>
        </w:rPr>
        <w:t xml:space="preserve"> 4 interviews</w:t>
      </w:r>
      <w:r w:rsidR="00FE6A20">
        <w:rPr>
          <w:rFonts w:cs="ITCFranklinGothicStd-Book"/>
          <w:sz w:val="24"/>
          <w:szCs w:val="24"/>
        </w:rPr>
        <w:t xml:space="preserve"> per </w:t>
      </w:r>
      <w:r w:rsidRPr="00AE4304">
        <w:rPr>
          <w:rFonts w:cs="ITCFranklinGothicStd-Book"/>
          <w:sz w:val="24"/>
          <w:szCs w:val="24"/>
        </w:rPr>
        <w:t xml:space="preserve">outbreak </w:t>
      </w:r>
      <w:r w:rsidR="00FE6A20">
        <w:rPr>
          <w:rFonts w:cs="ITCFranklinGothicStd-Book"/>
          <w:sz w:val="24"/>
          <w:szCs w:val="24"/>
        </w:rPr>
        <w:t>x</w:t>
      </w:r>
      <w:r w:rsidRPr="00AE4304">
        <w:rPr>
          <w:rFonts w:cs="ITCFranklinGothicStd-Book"/>
          <w:sz w:val="24"/>
          <w:szCs w:val="24"/>
        </w:rPr>
        <w:t xml:space="preserve"> 300 outbreaks). </w:t>
      </w:r>
    </w:p>
    <w:p w:rsidR="00AE4304" w:rsidRPr="00AE4304" w:rsidRDefault="00AE4304" w:rsidP="00E87525">
      <w:pPr>
        <w:autoSpaceDE w:val="0"/>
        <w:autoSpaceDN w:val="0"/>
        <w:adjustRightInd w:val="0"/>
        <w:spacing w:before="100" w:beforeAutospacing="1" w:after="100" w:afterAutospacing="1" w:line="240" w:lineRule="auto"/>
        <w:rPr>
          <w:rFonts w:cs="ITCFranklinGothicStd-Book"/>
          <w:sz w:val="24"/>
          <w:szCs w:val="24"/>
        </w:rPr>
      </w:pPr>
      <w:r w:rsidRPr="00AE4304">
        <w:rPr>
          <w:rFonts w:cs="ITCFranklinGothicStd-Book"/>
          <w:sz w:val="24"/>
          <w:szCs w:val="24"/>
        </w:rPr>
        <w:t>Web</w:t>
      </w:r>
      <w:r w:rsidR="0004040C">
        <w:rPr>
          <w:rFonts w:cs="ITCFranklinGothicStd-Book"/>
          <w:sz w:val="24"/>
          <w:szCs w:val="24"/>
        </w:rPr>
        <w:t>-</w:t>
      </w:r>
      <w:r w:rsidRPr="00AE4304">
        <w:rPr>
          <w:rFonts w:cs="ITCFranklinGothicStd-Book"/>
          <w:sz w:val="24"/>
          <w:szCs w:val="24"/>
        </w:rPr>
        <w:t xml:space="preserve">based data entry for both activities (Attachment </w:t>
      </w:r>
      <w:r w:rsidR="005F7729">
        <w:rPr>
          <w:rFonts w:cs="ITCFranklinGothicStd-Book"/>
          <w:sz w:val="24"/>
          <w:szCs w:val="24"/>
        </w:rPr>
        <w:t>7</w:t>
      </w:r>
      <w:r w:rsidRPr="00AE4304">
        <w:rPr>
          <w:rFonts w:cs="ITCFranklinGothicStd-Book"/>
          <w:sz w:val="24"/>
          <w:szCs w:val="24"/>
        </w:rPr>
        <w:t xml:space="preserve">) will be combined. Data entry into </w:t>
      </w:r>
      <w:r w:rsidR="00EE056B">
        <w:rPr>
          <w:rFonts w:cs="ITCFranklinGothicStd-Book"/>
          <w:sz w:val="24"/>
          <w:szCs w:val="24"/>
        </w:rPr>
        <w:t xml:space="preserve">the </w:t>
      </w:r>
      <w:r w:rsidRPr="00AE4304">
        <w:rPr>
          <w:rFonts w:cs="ITCFranklinGothicStd-Book"/>
          <w:sz w:val="24"/>
          <w:szCs w:val="24"/>
        </w:rPr>
        <w:t>NEARS system is expected to take approximately 40 minutes for the combined activities</w:t>
      </w:r>
      <w:r w:rsidR="00EE056B">
        <w:rPr>
          <w:rFonts w:cs="ITCFranklinGothicStd-Book"/>
          <w:sz w:val="24"/>
          <w:szCs w:val="24"/>
        </w:rPr>
        <w:t>, for a</w:t>
      </w:r>
      <w:r w:rsidRPr="00AE4304">
        <w:rPr>
          <w:rFonts w:cs="ITCFranklinGothicStd-Book"/>
          <w:sz w:val="24"/>
          <w:szCs w:val="24"/>
        </w:rPr>
        <w:t xml:space="preserve"> total of 200 burden hours (40 minutes </w:t>
      </w:r>
      <w:r w:rsidR="00EE056B">
        <w:rPr>
          <w:rFonts w:cs="ITCFranklinGothicStd-Book"/>
          <w:sz w:val="24"/>
          <w:szCs w:val="24"/>
        </w:rPr>
        <w:t xml:space="preserve">x </w:t>
      </w:r>
      <w:r w:rsidRPr="00AE4304">
        <w:rPr>
          <w:rFonts w:cs="ITCFranklinGothicStd-Book"/>
          <w:sz w:val="24"/>
          <w:szCs w:val="24"/>
        </w:rPr>
        <w:t xml:space="preserve">300 outbreaks).  </w:t>
      </w:r>
    </w:p>
    <w:p w:rsidR="00AE4304" w:rsidRDefault="00AE4304" w:rsidP="00E87525">
      <w:pPr>
        <w:autoSpaceDE w:val="0"/>
        <w:autoSpaceDN w:val="0"/>
        <w:adjustRightInd w:val="0"/>
        <w:spacing w:before="100" w:beforeAutospacing="1" w:after="100" w:afterAutospacing="1" w:line="240" w:lineRule="auto"/>
        <w:rPr>
          <w:rFonts w:cs="ITCFranklinGothicStd-Book"/>
          <w:sz w:val="24"/>
          <w:szCs w:val="24"/>
        </w:rPr>
      </w:pPr>
      <w:r w:rsidRPr="00AE4304">
        <w:rPr>
          <w:rFonts w:cs="ITCFranklinGothicStd-Book"/>
          <w:sz w:val="24"/>
          <w:szCs w:val="24"/>
        </w:rPr>
        <w:t>The total estimated annual burden</w:t>
      </w:r>
      <w:r w:rsidR="005313D3">
        <w:rPr>
          <w:rFonts w:cs="ITCFranklinGothicStd-Book"/>
          <w:sz w:val="24"/>
          <w:szCs w:val="24"/>
        </w:rPr>
        <w:t xml:space="preserve"> for this information collection</w:t>
      </w:r>
      <w:r w:rsidRPr="00AE4304">
        <w:rPr>
          <w:rFonts w:cs="ITCFranklinGothicStd-Book"/>
          <w:sz w:val="24"/>
          <w:szCs w:val="24"/>
        </w:rPr>
        <w:t xml:space="preserve"> is 1,350 hours (see Table A.12</w:t>
      </w:r>
      <w:r w:rsidR="00987A2D">
        <w:rPr>
          <w:rFonts w:cs="ITCFranklinGothicStd-Book"/>
          <w:sz w:val="24"/>
          <w:szCs w:val="24"/>
        </w:rPr>
        <w:t>.</w:t>
      </w:r>
      <w:r w:rsidRPr="00AE4304">
        <w:rPr>
          <w:rFonts w:cs="ITCFranklinGothicStd-Book"/>
          <w:sz w:val="24"/>
          <w:szCs w:val="24"/>
        </w:rPr>
        <w:t>1).</w:t>
      </w:r>
    </w:p>
    <w:p w:rsidR="00517F2E" w:rsidRDefault="00517F2E">
      <w:pPr>
        <w:rPr>
          <w:rFonts w:cs="ITCFranklinGothicStd-DmCd"/>
          <w:b/>
          <w:sz w:val="24"/>
          <w:szCs w:val="24"/>
        </w:rPr>
      </w:pPr>
      <w:r>
        <w:rPr>
          <w:rFonts w:cs="ITCFranklinGothicStd-DmCd"/>
          <w:b/>
          <w:sz w:val="24"/>
          <w:szCs w:val="24"/>
        </w:rPr>
        <w:br w:type="page"/>
      </w:r>
    </w:p>
    <w:p w:rsidR="00B3235B" w:rsidRPr="00E87525" w:rsidRDefault="00AE4304" w:rsidP="00AE4304">
      <w:pPr>
        <w:autoSpaceDE w:val="0"/>
        <w:autoSpaceDN w:val="0"/>
        <w:adjustRightInd w:val="0"/>
        <w:spacing w:line="240" w:lineRule="auto"/>
        <w:rPr>
          <w:rFonts w:cs="ITCFranklinGothicStd-Book"/>
          <w:b/>
          <w:sz w:val="24"/>
          <w:szCs w:val="24"/>
        </w:rPr>
      </w:pPr>
      <w:r w:rsidRPr="00E87525">
        <w:rPr>
          <w:rFonts w:cs="ITCFranklinGothicStd-DmCd"/>
          <w:b/>
          <w:sz w:val="24"/>
          <w:szCs w:val="24"/>
        </w:rPr>
        <w:t>Table A.12.1</w:t>
      </w:r>
      <w:r w:rsidR="00AB12D6" w:rsidRPr="00E87525">
        <w:rPr>
          <w:rFonts w:cs="ITCFranklinGothicStd-DmCd"/>
          <w:b/>
          <w:sz w:val="24"/>
          <w:szCs w:val="24"/>
        </w:rPr>
        <w:t>: Estimated Annualized Burden Hours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D20211" w:rsidRPr="00D20211" w:rsidTr="00B3235B">
        <w:tc>
          <w:tcPr>
            <w:tcW w:w="1558" w:type="dxa"/>
            <w:vAlign w:val="center"/>
          </w:tcPr>
          <w:p w:rsidR="009B6C89" w:rsidRPr="00D20211" w:rsidRDefault="009B6C89" w:rsidP="009B6C89">
            <w:pPr>
              <w:autoSpaceDE w:val="0"/>
              <w:autoSpaceDN w:val="0"/>
              <w:adjustRightInd w:val="0"/>
              <w:jc w:val="center"/>
              <w:rPr>
                <w:rFonts w:cs="ITCFranklinGothicStd-Book"/>
                <w:sz w:val="24"/>
                <w:szCs w:val="24"/>
              </w:rPr>
            </w:pPr>
            <w:r w:rsidRPr="00D20211">
              <w:rPr>
                <w:rFonts w:cs="ITCFranklinGothicStd-Book"/>
                <w:sz w:val="24"/>
                <w:szCs w:val="24"/>
              </w:rPr>
              <w:t>Type of Respondent</w:t>
            </w:r>
          </w:p>
        </w:tc>
        <w:tc>
          <w:tcPr>
            <w:tcW w:w="1558" w:type="dxa"/>
            <w:vAlign w:val="center"/>
          </w:tcPr>
          <w:p w:rsidR="009B6C89" w:rsidRPr="00D20211" w:rsidRDefault="009B6C89" w:rsidP="009B6C89">
            <w:pPr>
              <w:autoSpaceDE w:val="0"/>
              <w:autoSpaceDN w:val="0"/>
              <w:adjustRightInd w:val="0"/>
              <w:jc w:val="center"/>
              <w:rPr>
                <w:rFonts w:cs="ITCFranklinGothicStd-Book"/>
                <w:sz w:val="24"/>
                <w:szCs w:val="24"/>
              </w:rPr>
            </w:pPr>
            <w:r w:rsidRPr="00D20211">
              <w:rPr>
                <w:rFonts w:cs="ITCFranklinGothicStd-Book"/>
                <w:sz w:val="24"/>
                <w:szCs w:val="24"/>
              </w:rPr>
              <w:t>Form Name</w:t>
            </w:r>
          </w:p>
        </w:tc>
        <w:tc>
          <w:tcPr>
            <w:tcW w:w="1558" w:type="dxa"/>
            <w:vAlign w:val="center"/>
          </w:tcPr>
          <w:p w:rsidR="009B6C89" w:rsidRPr="00D20211" w:rsidRDefault="009B6C89" w:rsidP="009B6C89">
            <w:pPr>
              <w:autoSpaceDE w:val="0"/>
              <w:autoSpaceDN w:val="0"/>
              <w:adjustRightInd w:val="0"/>
              <w:jc w:val="center"/>
              <w:rPr>
                <w:rFonts w:cs="ITCFranklinGothicStd-Book"/>
                <w:sz w:val="24"/>
                <w:szCs w:val="24"/>
              </w:rPr>
            </w:pPr>
            <w:r w:rsidRPr="00D20211">
              <w:rPr>
                <w:rFonts w:cs="ITCFranklinGothicStd-Book"/>
                <w:sz w:val="24"/>
                <w:szCs w:val="24"/>
              </w:rPr>
              <w:t>No. of Respondents</w:t>
            </w:r>
          </w:p>
        </w:tc>
        <w:tc>
          <w:tcPr>
            <w:tcW w:w="1558" w:type="dxa"/>
            <w:vAlign w:val="center"/>
          </w:tcPr>
          <w:p w:rsidR="009B6C89" w:rsidRPr="00D20211" w:rsidRDefault="009B6C89" w:rsidP="009B6C89">
            <w:pPr>
              <w:autoSpaceDE w:val="0"/>
              <w:autoSpaceDN w:val="0"/>
              <w:adjustRightInd w:val="0"/>
              <w:jc w:val="center"/>
              <w:rPr>
                <w:rFonts w:cs="ITCFranklinGothicStd-Book"/>
                <w:sz w:val="24"/>
                <w:szCs w:val="24"/>
              </w:rPr>
            </w:pPr>
            <w:r w:rsidRPr="00D20211">
              <w:rPr>
                <w:rFonts w:cs="ITCFranklinGothicStd-Book"/>
                <w:sz w:val="24"/>
                <w:szCs w:val="24"/>
              </w:rPr>
              <w:t>No. of Responses per Respondent</w:t>
            </w:r>
          </w:p>
        </w:tc>
        <w:tc>
          <w:tcPr>
            <w:tcW w:w="1559" w:type="dxa"/>
            <w:vAlign w:val="center"/>
          </w:tcPr>
          <w:p w:rsidR="00CF24E4" w:rsidRPr="00D20211" w:rsidRDefault="009B6C89" w:rsidP="009B6C89">
            <w:pPr>
              <w:autoSpaceDE w:val="0"/>
              <w:autoSpaceDN w:val="0"/>
              <w:adjustRightInd w:val="0"/>
              <w:jc w:val="center"/>
              <w:rPr>
                <w:rFonts w:cs="ITCFranklinGothicStd-Book"/>
                <w:sz w:val="24"/>
                <w:szCs w:val="24"/>
              </w:rPr>
            </w:pPr>
            <w:r w:rsidRPr="00D20211">
              <w:rPr>
                <w:rFonts w:cs="ITCFranklinGothicStd-Book"/>
                <w:sz w:val="24"/>
                <w:szCs w:val="24"/>
              </w:rPr>
              <w:t xml:space="preserve">Average Burden per Response </w:t>
            </w:r>
          </w:p>
          <w:p w:rsidR="009B6C89" w:rsidRPr="00D20211" w:rsidRDefault="009B6C89" w:rsidP="009B6C89">
            <w:pPr>
              <w:autoSpaceDE w:val="0"/>
              <w:autoSpaceDN w:val="0"/>
              <w:adjustRightInd w:val="0"/>
              <w:jc w:val="center"/>
              <w:rPr>
                <w:rFonts w:cs="ITCFranklinGothicStd-Book"/>
                <w:sz w:val="24"/>
                <w:szCs w:val="24"/>
              </w:rPr>
            </w:pPr>
            <w:r w:rsidRPr="00D20211">
              <w:rPr>
                <w:rFonts w:cs="ITCFranklinGothicStd-Book"/>
                <w:sz w:val="24"/>
                <w:szCs w:val="24"/>
              </w:rPr>
              <w:t>(in hours)</w:t>
            </w:r>
          </w:p>
        </w:tc>
        <w:tc>
          <w:tcPr>
            <w:tcW w:w="1559" w:type="dxa"/>
            <w:vAlign w:val="center"/>
          </w:tcPr>
          <w:p w:rsidR="009B6C89" w:rsidRPr="00D20211" w:rsidRDefault="009B6C89" w:rsidP="009B6C89">
            <w:pPr>
              <w:autoSpaceDE w:val="0"/>
              <w:autoSpaceDN w:val="0"/>
              <w:adjustRightInd w:val="0"/>
              <w:jc w:val="center"/>
              <w:rPr>
                <w:rFonts w:cs="ITCFranklinGothicStd-Book"/>
                <w:sz w:val="24"/>
                <w:szCs w:val="24"/>
              </w:rPr>
            </w:pPr>
            <w:r w:rsidRPr="00D20211">
              <w:rPr>
                <w:rFonts w:cs="ITCFranklinGothicStd-Book"/>
                <w:sz w:val="24"/>
                <w:szCs w:val="24"/>
              </w:rPr>
              <w:t>Total Burden Hours</w:t>
            </w:r>
          </w:p>
        </w:tc>
      </w:tr>
      <w:tr w:rsidR="009A7555" w:rsidRPr="00D20211" w:rsidTr="009B6C89">
        <w:tc>
          <w:tcPr>
            <w:tcW w:w="1558" w:type="dxa"/>
            <w:vMerge w:val="restart"/>
          </w:tcPr>
          <w:p w:rsidR="009A7555" w:rsidRPr="00D20211" w:rsidRDefault="009A7555" w:rsidP="00A321C9">
            <w:pPr>
              <w:autoSpaceDE w:val="0"/>
              <w:autoSpaceDN w:val="0"/>
              <w:adjustRightInd w:val="0"/>
              <w:rPr>
                <w:rFonts w:cs="ITCFranklinGothicStd-Book"/>
                <w:sz w:val="24"/>
                <w:szCs w:val="24"/>
              </w:rPr>
            </w:pPr>
            <w:r>
              <w:rPr>
                <w:rFonts w:cs="ITCFranklinGothicStd-Book"/>
                <w:sz w:val="24"/>
                <w:szCs w:val="24"/>
              </w:rPr>
              <w:t>Food safety program personnel</w:t>
            </w:r>
          </w:p>
        </w:tc>
        <w:tc>
          <w:tcPr>
            <w:tcW w:w="1558" w:type="dxa"/>
          </w:tcPr>
          <w:p w:rsidR="009A7555" w:rsidRPr="00D20211" w:rsidRDefault="009A7555" w:rsidP="009B6C89">
            <w:pPr>
              <w:autoSpaceDE w:val="0"/>
              <w:autoSpaceDN w:val="0"/>
              <w:adjustRightInd w:val="0"/>
              <w:jc w:val="center"/>
              <w:rPr>
                <w:rFonts w:cs="ITCFranklinGothicStd-Book"/>
                <w:sz w:val="24"/>
                <w:szCs w:val="24"/>
              </w:rPr>
            </w:pPr>
            <w:r>
              <w:rPr>
                <w:rFonts w:cs="ITCFranklinGothicStd-Book"/>
                <w:sz w:val="24"/>
                <w:szCs w:val="24"/>
              </w:rPr>
              <w:t>NEARS Food Safety Program Training</w:t>
            </w:r>
          </w:p>
        </w:tc>
        <w:tc>
          <w:tcPr>
            <w:tcW w:w="1558" w:type="dxa"/>
          </w:tcPr>
          <w:p w:rsidR="009A7555" w:rsidRPr="00D20211" w:rsidRDefault="009A7555" w:rsidP="009B6C89">
            <w:pPr>
              <w:autoSpaceDE w:val="0"/>
              <w:autoSpaceDN w:val="0"/>
              <w:adjustRightInd w:val="0"/>
              <w:jc w:val="center"/>
              <w:rPr>
                <w:rFonts w:cs="ITCFranklinGothicStd-Book"/>
                <w:sz w:val="24"/>
                <w:szCs w:val="24"/>
              </w:rPr>
            </w:pPr>
            <w:r>
              <w:rPr>
                <w:rFonts w:cs="ITCFranklinGothicStd-Book"/>
                <w:sz w:val="24"/>
                <w:szCs w:val="24"/>
              </w:rPr>
              <w:t>50</w:t>
            </w:r>
          </w:p>
        </w:tc>
        <w:tc>
          <w:tcPr>
            <w:tcW w:w="1558" w:type="dxa"/>
          </w:tcPr>
          <w:p w:rsidR="009A7555" w:rsidRPr="00D20211" w:rsidRDefault="009A7555" w:rsidP="009B6C89">
            <w:pPr>
              <w:autoSpaceDE w:val="0"/>
              <w:autoSpaceDN w:val="0"/>
              <w:adjustRightInd w:val="0"/>
              <w:jc w:val="center"/>
              <w:rPr>
                <w:rFonts w:cs="ITCFranklinGothicStd-Book"/>
                <w:sz w:val="24"/>
                <w:szCs w:val="24"/>
              </w:rPr>
            </w:pPr>
            <w:r>
              <w:rPr>
                <w:rFonts w:cs="ITCFranklinGothicStd-Book"/>
                <w:sz w:val="24"/>
                <w:szCs w:val="24"/>
              </w:rPr>
              <w:t>1</w:t>
            </w:r>
          </w:p>
        </w:tc>
        <w:tc>
          <w:tcPr>
            <w:tcW w:w="1559" w:type="dxa"/>
          </w:tcPr>
          <w:p w:rsidR="009A7555" w:rsidRPr="00D20211" w:rsidRDefault="009A7555" w:rsidP="009B6C89">
            <w:pPr>
              <w:autoSpaceDE w:val="0"/>
              <w:autoSpaceDN w:val="0"/>
              <w:adjustRightInd w:val="0"/>
              <w:jc w:val="center"/>
              <w:rPr>
                <w:rFonts w:cs="ITCFranklinGothicStd-Book"/>
                <w:sz w:val="24"/>
                <w:szCs w:val="24"/>
              </w:rPr>
            </w:pPr>
            <w:r>
              <w:rPr>
                <w:rFonts w:cs="ITCFranklinGothicStd-Book"/>
                <w:sz w:val="24"/>
                <w:szCs w:val="24"/>
              </w:rPr>
              <w:t>2</w:t>
            </w:r>
          </w:p>
        </w:tc>
        <w:tc>
          <w:tcPr>
            <w:tcW w:w="1559" w:type="dxa"/>
          </w:tcPr>
          <w:p w:rsidR="009A7555" w:rsidRPr="00D20211" w:rsidRDefault="009A7555" w:rsidP="009B6C89">
            <w:pPr>
              <w:autoSpaceDE w:val="0"/>
              <w:autoSpaceDN w:val="0"/>
              <w:adjustRightInd w:val="0"/>
              <w:jc w:val="center"/>
              <w:rPr>
                <w:rFonts w:cs="ITCFranklinGothicStd-Book"/>
                <w:sz w:val="24"/>
                <w:szCs w:val="24"/>
              </w:rPr>
            </w:pPr>
            <w:r>
              <w:rPr>
                <w:rFonts w:cs="ITCFranklinGothicStd-Book"/>
                <w:sz w:val="24"/>
                <w:szCs w:val="24"/>
              </w:rPr>
              <w:t>100</w:t>
            </w:r>
          </w:p>
        </w:tc>
      </w:tr>
      <w:tr w:rsidR="009A7555" w:rsidRPr="00D20211" w:rsidTr="009B6C89">
        <w:tc>
          <w:tcPr>
            <w:tcW w:w="1558" w:type="dxa"/>
            <w:vMerge/>
          </w:tcPr>
          <w:p w:rsidR="009A7555" w:rsidRPr="00D20211" w:rsidRDefault="009A7555" w:rsidP="00A321C9">
            <w:pPr>
              <w:autoSpaceDE w:val="0"/>
              <w:autoSpaceDN w:val="0"/>
              <w:adjustRightInd w:val="0"/>
              <w:rPr>
                <w:rFonts w:cs="ITCFranklinGothicStd-Book"/>
                <w:sz w:val="24"/>
                <w:szCs w:val="24"/>
              </w:rPr>
            </w:pPr>
          </w:p>
        </w:tc>
        <w:tc>
          <w:tcPr>
            <w:tcW w:w="1558" w:type="dxa"/>
          </w:tcPr>
          <w:p w:rsidR="009A7555" w:rsidRPr="00D20211" w:rsidRDefault="009A7555" w:rsidP="009B6C89">
            <w:pPr>
              <w:autoSpaceDE w:val="0"/>
              <w:autoSpaceDN w:val="0"/>
              <w:adjustRightInd w:val="0"/>
              <w:jc w:val="center"/>
              <w:rPr>
                <w:rFonts w:cs="ITCFranklinGothicStd-Book"/>
                <w:sz w:val="24"/>
                <w:szCs w:val="24"/>
              </w:rPr>
            </w:pPr>
            <w:r>
              <w:rPr>
                <w:rFonts w:cs="ITCFranklinGothicStd-Book"/>
                <w:sz w:val="24"/>
                <w:szCs w:val="24"/>
              </w:rPr>
              <w:t>NEARS e-Learning (screenshots)</w:t>
            </w:r>
          </w:p>
        </w:tc>
        <w:tc>
          <w:tcPr>
            <w:tcW w:w="1558" w:type="dxa"/>
          </w:tcPr>
          <w:p w:rsidR="009A7555" w:rsidRPr="00D20211" w:rsidRDefault="009A7555" w:rsidP="009B6C89">
            <w:pPr>
              <w:autoSpaceDE w:val="0"/>
              <w:autoSpaceDN w:val="0"/>
              <w:adjustRightInd w:val="0"/>
              <w:jc w:val="center"/>
              <w:rPr>
                <w:rFonts w:cs="ITCFranklinGothicStd-Book"/>
                <w:sz w:val="24"/>
                <w:szCs w:val="24"/>
              </w:rPr>
            </w:pPr>
            <w:r>
              <w:rPr>
                <w:rFonts w:cs="ITCFranklinGothicStd-Book"/>
                <w:sz w:val="24"/>
                <w:szCs w:val="24"/>
              </w:rPr>
              <w:t>50</w:t>
            </w:r>
          </w:p>
        </w:tc>
        <w:tc>
          <w:tcPr>
            <w:tcW w:w="1558" w:type="dxa"/>
          </w:tcPr>
          <w:p w:rsidR="009A7555" w:rsidRPr="00D20211" w:rsidRDefault="009A7555" w:rsidP="009B6C89">
            <w:pPr>
              <w:autoSpaceDE w:val="0"/>
              <w:autoSpaceDN w:val="0"/>
              <w:adjustRightInd w:val="0"/>
              <w:jc w:val="center"/>
              <w:rPr>
                <w:rFonts w:cs="ITCFranklinGothicStd-Book"/>
                <w:sz w:val="24"/>
                <w:szCs w:val="24"/>
              </w:rPr>
            </w:pPr>
            <w:r>
              <w:rPr>
                <w:rFonts w:cs="ITCFranklinGothicStd-Book"/>
                <w:sz w:val="24"/>
                <w:szCs w:val="24"/>
              </w:rPr>
              <w:t>1</w:t>
            </w:r>
          </w:p>
        </w:tc>
        <w:tc>
          <w:tcPr>
            <w:tcW w:w="1559" w:type="dxa"/>
          </w:tcPr>
          <w:p w:rsidR="009A7555" w:rsidRPr="00D20211" w:rsidRDefault="009A7555" w:rsidP="009B6C89">
            <w:pPr>
              <w:autoSpaceDE w:val="0"/>
              <w:autoSpaceDN w:val="0"/>
              <w:adjustRightInd w:val="0"/>
              <w:jc w:val="center"/>
              <w:rPr>
                <w:rFonts w:cs="ITCFranklinGothicStd-Book"/>
                <w:sz w:val="24"/>
                <w:szCs w:val="24"/>
              </w:rPr>
            </w:pPr>
            <w:r>
              <w:rPr>
                <w:rFonts w:cs="ITCFranklinGothicStd-Book"/>
                <w:sz w:val="24"/>
                <w:szCs w:val="24"/>
              </w:rPr>
              <w:t>10</w:t>
            </w:r>
          </w:p>
        </w:tc>
        <w:tc>
          <w:tcPr>
            <w:tcW w:w="1559" w:type="dxa"/>
          </w:tcPr>
          <w:p w:rsidR="009A7555" w:rsidRPr="00D20211" w:rsidRDefault="009A7555" w:rsidP="009B6C89">
            <w:pPr>
              <w:autoSpaceDE w:val="0"/>
              <w:autoSpaceDN w:val="0"/>
              <w:adjustRightInd w:val="0"/>
              <w:jc w:val="center"/>
              <w:rPr>
                <w:rFonts w:cs="ITCFranklinGothicStd-Book"/>
                <w:sz w:val="24"/>
                <w:szCs w:val="24"/>
              </w:rPr>
            </w:pPr>
            <w:r>
              <w:rPr>
                <w:rFonts w:cs="ITCFranklinGothicStd-Book"/>
                <w:sz w:val="24"/>
                <w:szCs w:val="24"/>
              </w:rPr>
              <w:t>500</w:t>
            </w:r>
          </w:p>
        </w:tc>
      </w:tr>
      <w:tr w:rsidR="009A7555" w:rsidRPr="00D20211" w:rsidTr="009B6C89">
        <w:tc>
          <w:tcPr>
            <w:tcW w:w="1558" w:type="dxa"/>
            <w:vMerge/>
          </w:tcPr>
          <w:p w:rsidR="009A7555" w:rsidRPr="00D20211" w:rsidRDefault="009A7555" w:rsidP="00A321C9">
            <w:pPr>
              <w:autoSpaceDE w:val="0"/>
              <w:autoSpaceDN w:val="0"/>
              <w:adjustRightInd w:val="0"/>
              <w:rPr>
                <w:rFonts w:cs="ITCFranklinGothicStd-Book"/>
                <w:sz w:val="24"/>
                <w:szCs w:val="24"/>
              </w:rPr>
            </w:pPr>
          </w:p>
        </w:tc>
        <w:tc>
          <w:tcPr>
            <w:tcW w:w="1558" w:type="dxa"/>
          </w:tcPr>
          <w:p w:rsidR="009A7555" w:rsidRDefault="009A7555" w:rsidP="009B6C89">
            <w:pPr>
              <w:autoSpaceDE w:val="0"/>
              <w:autoSpaceDN w:val="0"/>
              <w:adjustRightInd w:val="0"/>
              <w:jc w:val="center"/>
              <w:rPr>
                <w:rFonts w:cs="ITCFranklinGothicStd-Book"/>
                <w:sz w:val="24"/>
                <w:szCs w:val="24"/>
              </w:rPr>
            </w:pPr>
            <w:r>
              <w:rPr>
                <w:rFonts w:cs="ITCFranklinGothicStd-Book"/>
                <w:sz w:val="24"/>
                <w:szCs w:val="24"/>
              </w:rPr>
              <w:t>NEARS Data Recording (paper form)</w:t>
            </w:r>
          </w:p>
        </w:tc>
        <w:tc>
          <w:tcPr>
            <w:tcW w:w="1558" w:type="dxa"/>
          </w:tcPr>
          <w:p w:rsidR="009A7555" w:rsidRDefault="009A7555" w:rsidP="009B6C89">
            <w:pPr>
              <w:autoSpaceDE w:val="0"/>
              <w:autoSpaceDN w:val="0"/>
              <w:adjustRightInd w:val="0"/>
              <w:jc w:val="center"/>
              <w:rPr>
                <w:rFonts w:cs="ITCFranklinGothicStd-Book"/>
                <w:sz w:val="24"/>
                <w:szCs w:val="24"/>
              </w:rPr>
            </w:pPr>
            <w:r>
              <w:rPr>
                <w:rFonts w:cs="ITCFranklinGothicStd-Book"/>
                <w:sz w:val="24"/>
                <w:szCs w:val="24"/>
              </w:rPr>
              <w:t>300</w:t>
            </w:r>
          </w:p>
        </w:tc>
        <w:tc>
          <w:tcPr>
            <w:tcW w:w="1558" w:type="dxa"/>
          </w:tcPr>
          <w:p w:rsidR="009A7555" w:rsidRDefault="009A7555" w:rsidP="009B6C89">
            <w:pPr>
              <w:autoSpaceDE w:val="0"/>
              <w:autoSpaceDN w:val="0"/>
              <w:adjustRightInd w:val="0"/>
              <w:jc w:val="center"/>
              <w:rPr>
                <w:rFonts w:cs="ITCFranklinGothicStd-Book"/>
                <w:sz w:val="24"/>
                <w:szCs w:val="24"/>
              </w:rPr>
            </w:pPr>
            <w:r>
              <w:rPr>
                <w:rFonts w:cs="ITCFranklinGothicStd-Book"/>
                <w:sz w:val="24"/>
                <w:szCs w:val="24"/>
              </w:rPr>
              <w:t>1</w:t>
            </w:r>
          </w:p>
        </w:tc>
        <w:tc>
          <w:tcPr>
            <w:tcW w:w="1559" w:type="dxa"/>
          </w:tcPr>
          <w:p w:rsidR="009A7555" w:rsidRDefault="009A7555" w:rsidP="009B6C89">
            <w:pPr>
              <w:autoSpaceDE w:val="0"/>
              <w:autoSpaceDN w:val="0"/>
              <w:adjustRightInd w:val="0"/>
              <w:jc w:val="center"/>
              <w:rPr>
                <w:rFonts w:cs="ITCFranklinGothicStd-Book"/>
                <w:sz w:val="24"/>
                <w:szCs w:val="24"/>
              </w:rPr>
            </w:pPr>
            <w:r>
              <w:rPr>
                <w:rFonts w:cs="ITCFranklinGothicStd-Book"/>
                <w:sz w:val="24"/>
                <w:szCs w:val="24"/>
              </w:rPr>
              <w:t>30/60</w:t>
            </w:r>
          </w:p>
        </w:tc>
        <w:tc>
          <w:tcPr>
            <w:tcW w:w="1559" w:type="dxa"/>
          </w:tcPr>
          <w:p w:rsidR="009A7555" w:rsidRDefault="009A7555" w:rsidP="009B6C89">
            <w:pPr>
              <w:autoSpaceDE w:val="0"/>
              <w:autoSpaceDN w:val="0"/>
              <w:adjustRightInd w:val="0"/>
              <w:jc w:val="center"/>
              <w:rPr>
                <w:rFonts w:cs="ITCFranklinGothicStd-Book"/>
                <w:sz w:val="24"/>
                <w:szCs w:val="24"/>
              </w:rPr>
            </w:pPr>
            <w:r>
              <w:rPr>
                <w:rFonts w:cs="ITCFranklinGothicStd-Book"/>
                <w:sz w:val="24"/>
                <w:szCs w:val="24"/>
              </w:rPr>
              <w:t>150</w:t>
            </w:r>
          </w:p>
        </w:tc>
      </w:tr>
      <w:tr w:rsidR="009A7555" w:rsidRPr="00D20211" w:rsidTr="009B6C89">
        <w:tc>
          <w:tcPr>
            <w:tcW w:w="1558" w:type="dxa"/>
            <w:vMerge/>
          </w:tcPr>
          <w:p w:rsidR="009A7555" w:rsidRPr="00D20211" w:rsidRDefault="009A7555" w:rsidP="00A321C9">
            <w:pPr>
              <w:autoSpaceDE w:val="0"/>
              <w:autoSpaceDN w:val="0"/>
              <w:adjustRightInd w:val="0"/>
              <w:rPr>
                <w:rFonts w:cs="ITCFranklinGothicStd-Book"/>
                <w:sz w:val="24"/>
                <w:szCs w:val="24"/>
              </w:rPr>
            </w:pPr>
          </w:p>
        </w:tc>
        <w:tc>
          <w:tcPr>
            <w:tcW w:w="1558" w:type="dxa"/>
          </w:tcPr>
          <w:p w:rsidR="009A7555" w:rsidRDefault="009A7555" w:rsidP="009B6C89">
            <w:pPr>
              <w:autoSpaceDE w:val="0"/>
              <w:autoSpaceDN w:val="0"/>
              <w:adjustRightInd w:val="0"/>
              <w:jc w:val="center"/>
              <w:rPr>
                <w:rFonts w:cs="ITCFranklinGothicStd-Book"/>
                <w:sz w:val="24"/>
                <w:szCs w:val="24"/>
              </w:rPr>
            </w:pPr>
            <w:r>
              <w:rPr>
                <w:rFonts w:cs="ITCFranklinGothicStd-Book"/>
                <w:sz w:val="24"/>
                <w:szCs w:val="24"/>
              </w:rPr>
              <w:t>NEARS Data reporting and manager’s interview (web entry)</w:t>
            </w:r>
          </w:p>
        </w:tc>
        <w:tc>
          <w:tcPr>
            <w:tcW w:w="1558" w:type="dxa"/>
          </w:tcPr>
          <w:p w:rsidR="009A7555" w:rsidRDefault="009A7555" w:rsidP="009B6C89">
            <w:pPr>
              <w:autoSpaceDE w:val="0"/>
              <w:autoSpaceDN w:val="0"/>
              <w:adjustRightInd w:val="0"/>
              <w:jc w:val="center"/>
              <w:rPr>
                <w:rFonts w:cs="ITCFranklinGothicStd-Book"/>
                <w:sz w:val="24"/>
                <w:szCs w:val="24"/>
              </w:rPr>
            </w:pPr>
            <w:r>
              <w:rPr>
                <w:rFonts w:cs="ITCFranklinGothicStd-Book"/>
                <w:sz w:val="24"/>
                <w:szCs w:val="24"/>
              </w:rPr>
              <w:t>300</w:t>
            </w:r>
          </w:p>
        </w:tc>
        <w:tc>
          <w:tcPr>
            <w:tcW w:w="1558" w:type="dxa"/>
          </w:tcPr>
          <w:p w:rsidR="009A7555" w:rsidRDefault="009A7555" w:rsidP="009B6C89">
            <w:pPr>
              <w:autoSpaceDE w:val="0"/>
              <w:autoSpaceDN w:val="0"/>
              <w:adjustRightInd w:val="0"/>
              <w:jc w:val="center"/>
              <w:rPr>
                <w:rFonts w:cs="ITCFranklinGothicStd-Book"/>
                <w:sz w:val="24"/>
                <w:szCs w:val="24"/>
              </w:rPr>
            </w:pPr>
            <w:r>
              <w:rPr>
                <w:rFonts w:cs="ITCFranklinGothicStd-Book"/>
                <w:sz w:val="24"/>
                <w:szCs w:val="24"/>
              </w:rPr>
              <w:t>1</w:t>
            </w:r>
          </w:p>
        </w:tc>
        <w:tc>
          <w:tcPr>
            <w:tcW w:w="1559" w:type="dxa"/>
          </w:tcPr>
          <w:p w:rsidR="009A7555" w:rsidRDefault="009A7555" w:rsidP="009B6C89">
            <w:pPr>
              <w:autoSpaceDE w:val="0"/>
              <w:autoSpaceDN w:val="0"/>
              <w:adjustRightInd w:val="0"/>
              <w:jc w:val="center"/>
              <w:rPr>
                <w:rFonts w:cs="ITCFranklinGothicStd-Book"/>
                <w:sz w:val="24"/>
                <w:szCs w:val="24"/>
              </w:rPr>
            </w:pPr>
            <w:r>
              <w:rPr>
                <w:rFonts w:cs="ITCFranklinGothicStd-Book"/>
                <w:sz w:val="24"/>
                <w:szCs w:val="24"/>
              </w:rPr>
              <w:t>40/60</w:t>
            </w:r>
          </w:p>
        </w:tc>
        <w:tc>
          <w:tcPr>
            <w:tcW w:w="1559" w:type="dxa"/>
          </w:tcPr>
          <w:p w:rsidR="009A7555" w:rsidRDefault="009A7555" w:rsidP="009B6C89">
            <w:pPr>
              <w:autoSpaceDE w:val="0"/>
              <w:autoSpaceDN w:val="0"/>
              <w:adjustRightInd w:val="0"/>
              <w:jc w:val="center"/>
              <w:rPr>
                <w:rFonts w:cs="ITCFranklinGothicStd-Book"/>
                <w:sz w:val="24"/>
                <w:szCs w:val="24"/>
              </w:rPr>
            </w:pPr>
            <w:r>
              <w:rPr>
                <w:rFonts w:cs="ITCFranklinGothicStd-Book"/>
                <w:sz w:val="24"/>
                <w:szCs w:val="24"/>
              </w:rPr>
              <w:t>200</w:t>
            </w:r>
          </w:p>
        </w:tc>
      </w:tr>
      <w:tr w:rsidR="00987A2D" w:rsidRPr="00D20211" w:rsidTr="009B6C89">
        <w:tc>
          <w:tcPr>
            <w:tcW w:w="1558" w:type="dxa"/>
          </w:tcPr>
          <w:p w:rsidR="00987A2D" w:rsidRPr="00D20211" w:rsidRDefault="00987A2D" w:rsidP="00987A2D">
            <w:pPr>
              <w:autoSpaceDE w:val="0"/>
              <w:autoSpaceDN w:val="0"/>
              <w:adjustRightInd w:val="0"/>
              <w:rPr>
                <w:rFonts w:cs="ITCFranklinGothicStd-Book"/>
                <w:sz w:val="24"/>
                <w:szCs w:val="24"/>
              </w:rPr>
            </w:pPr>
            <w:r>
              <w:rPr>
                <w:rFonts w:cs="ITCFranklinGothicStd-Book"/>
                <w:sz w:val="24"/>
                <w:szCs w:val="24"/>
              </w:rPr>
              <w:t>Retail food personnel</w:t>
            </w:r>
          </w:p>
        </w:tc>
        <w:tc>
          <w:tcPr>
            <w:tcW w:w="1558" w:type="dxa"/>
          </w:tcPr>
          <w:p w:rsidR="00987A2D" w:rsidRDefault="00987A2D" w:rsidP="00987A2D">
            <w:pPr>
              <w:autoSpaceDE w:val="0"/>
              <w:autoSpaceDN w:val="0"/>
              <w:adjustRightInd w:val="0"/>
              <w:jc w:val="center"/>
              <w:rPr>
                <w:rFonts w:cs="ITCFranklinGothicStd-Book"/>
                <w:sz w:val="24"/>
                <w:szCs w:val="24"/>
              </w:rPr>
            </w:pPr>
            <w:r>
              <w:rPr>
                <w:rFonts w:cs="ITCFranklinGothicStd-Book"/>
                <w:sz w:val="24"/>
                <w:szCs w:val="24"/>
              </w:rPr>
              <w:t>NEARS Manager Interview</w:t>
            </w:r>
          </w:p>
        </w:tc>
        <w:tc>
          <w:tcPr>
            <w:tcW w:w="1558" w:type="dxa"/>
          </w:tcPr>
          <w:p w:rsidR="00987A2D" w:rsidRDefault="00987A2D" w:rsidP="00987A2D">
            <w:pPr>
              <w:autoSpaceDE w:val="0"/>
              <w:autoSpaceDN w:val="0"/>
              <w:adjustRightInd w:val="0"/>
              <w:jc w:val="center"/>
              <w:rPr>
                <w:rFonts w:cs="ITCFranklinGothicStd-Book"/>
                <w:sz w:val="24"/>
                <w:szCs w:val="24"/>
              </w:rPr>
            </w:pPr>
            <w:r>
              <w:rPr>
                <w:rFonts w:cs="ITCFranklinGothicStd-Book"/>
                <w:sz w:val="24"/>
                <w:szCs w:val="24"/>
              </w:rPr>
              <w:t>1200</w:t>
            </w:r>
          </w:p>
        </w:tc>
        <w:tc>
          <w:tcPr>
            <w:tcW w:w="1558" w:type="dxa"/>
          </w:tcPr>
          <w:p w:rsidR="00987A2D" w:rsidRDefault="00987A2D" w:rsidP="00987A2D">
            <w:pPr>
              <w:autoSpaceDE w:val="0"/>
              <w:autoSpaceDN w:val="0"/>
              <w:adjustRightInd w:val="0"/>
              <w:jc w:val="center"/>
              <w:rPr>
                <w:rFonts w:cs="ITCFranklinGothicStd-Book"/>
                <w:sz w:val="24"/>
                <w:szCs w:val="24"/>
              </w:rPr>
            </w:pPr>
            <w:r>
              <w:rPr>
                <w:rFonts w:cs="ITCFranklinGothicStd-Book"/>
                <w:sz w:val="24"/>
                <w:szCs w:val="24"/>
              </w:rPr>
              <w:t>1</w:t>
            </w:r>
          </w:p>
        </w:tc>
        <w:tc>
          <w:tcPr>
            <w:tcW w:w="1559" w:type="dxa"/>
          </w:tcPr>
          <w:p w:rsidR="00987A2D" w:rsidRDefault="00987A2D" w:rsidP="00987A2D">
            <w:pPr>
              <w:autoSpaceDE w:val="0"/>
              <w:autoSpaceDN w:val="0"/>
              <w:adjustRightInd w:val="0"/>
              <w:jc w:val="center"/>
              <w:rPr>
                <w:rFonts w:cs="ITCFranklinGothicStd-Book"/>
                <w:sz w:val="24"/>
                <w:szCs w:val="24"/>
              </w:rPr>
            </w:pPr>
            <w:r>
              <w:rPr>
                <w:rFonts w:cs="ITCFranklinGothicStd-Book"/>
                <w:sz w:val="24"/>
                <w:szCs w:val="24"/>
              </w:rPr>
              <w:t>20/60</w:t>
            </w:r>
          </w:p>
        </w:tc>
        <w:tc>
          <w:tcPr>
            <w:tcW w:w="1559" w:type="dxa"/>
          </w:tcPr>
          <w:p w:rsidR="00987A2D" w:rsidRDefault="00987A2D" w:rsidP="00987A2D">
            <w:pPr>
              <w:autoSpaceDE w:val="0"/>
              <w:autoSpaceDN w:val="0"/>
              <w:adjustRightInd w:val="0"/>
              <w:jc w:val="center"/>
              <w:rPr>
                <w:rFonts w:cs="ITCFranklinGothicStd-Book"/>
                <w:sz w:val="24"/>
                <w:szCs w:val="24"/>
              </w:rPr>
            </w:pPr>
            <w:r>
              <w:rPr>
                <w:rFonts w:cs="ITCFranklinGothicStd-Book"/>
                <w:sz w:val="24"/>
                <w:szCs w:val="24"/>
              </w:rPr>
              <w:t>400</w:t>
            </w:r>
          </w:p>
        </w:tc>
      </w:tr>
      <w:tr w:rsidR="00987A2D" w:rsidRPr="00D20211" w:rsidTr="005A555F">
        <w:tc>
          <w:tcPr>
            <w:tcW w:w="7791" w:type="dxa"/>
            <w:gridSpan w:val="5"/>
          </w:tcPr>
          <w:p w:rsidR="00987A2D" w:rsidRPr="00D20211" w:rsidRDefault="00987A2D" w:rsidP="00987A2D">
            <w:pPr>
              <w:autoSpaceDE w:val="0"/>
              <w:autoSpaceDN w:val="0"/>
              <w:adjustRightInd w:val="0"/>
              <w:rPr>
                <w:rFonts w:cs="ITCFranklinGothicStd-Book"/>
                <w:sz w:val="24"/>
                <w:szCs w:val="24"/>
              </w:rPr>
            </w:pPr>
            <w:r w:rsidRPr="00D20211">
              <w:rPr>
                <w:rFonts w:cs="ITCFranklinGothicStd-Book"/>
                <w:sz w:val="24"/>
                <w:szCs w:val="24"/>
              </w:rPr>
              <w:t>Total</w:t>
            </w:r>
          </w:p>
        </w:tc>
        <w:tc>
          <w:tcPr>
            <w:tcW w:w="1559" w:type="dxa"/>
          </w:tcPr>
          <w:p w:rsidR="00987A2D" w:rsidRPr="00D20211" w:rsidRDefault="00987A2D" w:rsidP="00987A2D">
            <w:pPr>
              <w:autoSpaceDE w:val="0"/>
              <w:autoSpaceDN w:val="0"/>
              <w:adjustRightInd w:val="0"/>
              <w:jc w:val="center"/>
              <w:rPr>
                <w:rFonts w:cs="ITCFranklinGothicStd-Book"/>
                <w:sz w:val="24"/>
                <w:szCs w:val="24"/>
              </w:rPr>
            </w:pPr>
            <w:r>
              <w:rPr>
                <w:rFonts w:cs="ITCFranklinGothicStd-Book"/>
                <w:sz w:val="24"/>
                <w:szCs w:val="24"/>
              </w:rPr>
              <w:t>1,350</w:t>
            </w:r>
          </w:p>
        </w:tc>
      </w:tr>
    </w:tbl>
    <w:p w:rsidR="003924FB" w:rsidRPr="00D20211" w:rsidRDefault="003924FB" w:rsidP="00A321C9">
      <w:pPr>
        <w:autoSpaceDE w:val="0"/>
        <w:autoSpaceDN w:val="0"/>
        <w:adjustRightInd w:val="0"/>
        <w:spacing w:line="240" w:lineRule="auto"/>
        <w:rPr>
          <w:rFonts w:cs="ITCFranklinGothicStd-Book"/>
          <w:sz w:val="24"/>
          <w:szCs w:val="24"/>
        </w:rPr>
      </w:pPr>
    </w:p>
    <w:p w:rsidR="009A7555" w:rsidRDefault="009A7555" w:rsidP="009A7555">
      <w:pPr>
        <w:autoSpaceDE w:val="0"/>
        <w:autoSpaceDN w:val="0"/>
        <w:adjustRightInd w:val="0"/>
        <w:spacing w:line="240" w:lineRule="auto"/>
        <w:rPr>
          <w:sz w:val="24"/>
          <w:szCs w:val="24"/>
        </w:rPr>
      </w:pPr>
      <w:r w:rsidRPr="009A7555">
        <w:rPr>
          <w:sz w:val="24"/>
          <w:szCs w:val="24"/>
        </w:rPr>
        <w:t>The maximum total annualized cost of this data collection to respondents is estimated to be $</w:t>
      </w:r>
      <w:r w:rsidR="00273037">
        <w:rPr>
          <w:sz w:val="24"/>
          <w:szCs w:val="24"/>
        </w:rPr>
        <w:t>39,560</w:t>
      </w:r>
      <w:r w:rsidRPr="009A7555">
        <w:rPr>
          <w:sz w:val="24"/>
          <w:szCs w:val="24"/>
        </w:rPr>
        <w:t>.00 (See Table A.12</w:t>
      </w:r>
      <w:r w:rsidR="00D7337B">
        <w:rPr>
          <w:sz w:val="24"/>
          <w:szCs w:val="24"/>
        </w:rPr>
        <w:t>.</w:t>
      </w:r>
      <w:r w:rsidRPr="009A7555">
        <w:rPr>
          <w:sz w:val="24"/>
          <w:szCs w:val="24"/>
        </w:rPr>
        <w:t>2). This figure is based on an estimated mean hourly wage of $36.64 for food safety program personnel and $11.88 for retail food workers. This estimate was obtained from the U.S. Department of Labor’s May 2017 national occupational employment and wage estimates report (Environmental Scientists and Specialists, Including Health</w:t>
      </w:r>
      <w:r w:rsidR="00CE59EC">
        <w:rPr>
          <w:sz w:val="24"/>
          <w:szCs w:val="24"/>
        </w:rPr>
        <w:t xml:space="preserve"> -</w:t>
      </w:r>
      <w:r w:rsidRPr="009A7555">
        <w:rPr>
          <w:sz w:val="24"/>
          <w:szCs w:val="24"/>
        </w:rPr>
        <w:t xml:space="preserve"> </w:t>
      </w:r>
      <w:hyperlink r:id="rId41" w:history="1">
        <w:r w:rsidRPr="00FD323A">
          <w:rPr>
            <w:rStyle w:val="Hyperlink"/>
            <w:sz w:val="24"/>
            <w:szCs w:val="24"/>
          </w:rPr>
          <w:t>http://www.bls.gov/oes/current/oes192041.htm</w:t>
        </w:r>
      </w:hyperlink>
      <w:r>
        <w:rPr>
          <w:sz w:val="24"/>
          <w:szCs w:val="24"/>
        </w:rPr>
        <w:t xml:space="preserve"> </w:t>
      </w:r>
      <w:r w:rsidRPr="009A7555">
        <w:rPr>
          <w:sz w:val="24"/>
          <w:szCs w:val="24"/>
        </w:rPr>
        <w:t>and Food Preparation and Serving Related Occupations</w:t>
      </w:r>
      <w:r w:rsidR="00CE59EC">
        <w:rPr>
          <w:sz w:val="24"/>
          <w:szCs w:val="24"/>
        </w:rPr>
        <w:t xml:space="preserve"> -</w:t>
      </w:r>
      <w:r w:rsidRPr="009A7555">
        <w:rPr>
          <w:sz w:val="24"/>
          <w:szCs w:val="24"/>
        </w:rPr>
        <w:t xml:space="preserve"> </w:t>
      </w:r>
      <w:hyperlink r:id="rId42" w:history="1">
        <w:r w:rsidRPr="00FD323A">
          <w:rPr>
            <w:rStyle w:val="Hyperlink"/>
            <w:sz w:val="24"/>
            <w:szCs w:val="24"/>
          </w:rPr>
          <w:t>http://www.bls.gov/oes/current/oes350000.htm</w:t>
        </w:r>
      </w:hyperlink>
      <w:r w:rsidRPr="009A7555">
        <w:rPr>
          <w:sz w:val="24"/>
          <w:szCs w:val="24"/>
        </w:rPr>
        <w:t>).</w:t>
      </w:r>
    </w:p>
    <w:p w:rsidR="00ED72E9" w:rsidRPr="009A7555" w:rsidRDefault="009A7555" w:rsidP="00A148A3">
      <w:pPr>
        <w:autoSpaceDE w:val="0"/>
        <w:autoSpaceDN w:val="0"/>
        <w:adjustRightInd w:val="0"/>
        <w:spacing w:line="240" w:lineRule="auto"/>
        <w:rPr>
          <w:rFonts w:cs="ITCFranklinGothicStd-DmCd"/>
          <w:b/>
          <w:sz w:val="24"/>
          <w:szCs w:val="24"/>
        </w:rPr>
      </w:pPr>
      <w:r w:rsidRPr="009A7555">
        <w:rPr>
          <w:rFonts w:cs="ITCFranklinGothicStd-DmCd"/>
          <w:b/>
          <w:sz w:val="24"/>
          <w:szCs w:val="24"/>
        </w:rPr>
        <w:t>Table A.12.2</w:t>
      </w:r>
      <w:r w:rsidR="00ED72E9" w:rsidRPr="009A7555">
        <w:rPr>
          <w:rFonts w:cs="ITCFranklinGothicStd-DmCd"/>
          <w:b/>
          <w:sz w:val="24"/>
          <w:szCs w:val="24"/>
        </w:rPr>
        <w:t xml:space="preserve">: </w:t>
      </w:r>
      <w:r w:rsidR="005B1AD5" w:rsidRPr="009A7555">
        <w:rPr>
          <w:rFonts w:cs="ITCFranklinGothicStd-DmCd"/>
          <w:b/>
          <w:sz w:val="24"/>
          <w:szCs w:val="24"/>
        </w:rPr>
        <w:t>Estimated Annualized Burden Cost</w:t>
      </w:r>
      <w:r w:rsidR="00ED72E9" w:rsidRPr="009A7555">
        <w:rPr>
          <w:rFonts w:cs="ITCFranklinGothicStd-DmCd"/>
          <w:b/>
          <w:sz w:val="24"/>
          <w:szCs w:val="24"/>
        </w:rPr>
        <w:t>s</w:t>
      </w:r>
    </w:p>
    <w:tbl>
      <w:tblPr>
        <w:tblStyle w:val="TableGrid"/>
        <w:tblW w:w="0" w:type="auto"/>
        <w:tblLook w:val="04A0" w:firstRow="1" w:lastRow="0" w:firstColumn="1" w:lastColumn="0" w:noHBand="0" w:noVBand="1"/>
      </w:tblPr>
      <w:tblGrid>
        <w:gridCol w:w="1870"/>
        <w:gridCol w:w="1870"/>
        <w:gridCol w:w="1870"/>
        <w:gridCol w:w="1870"/>
        <w:gridCol w:w="1870"/>
      </w:tblGrid>
      <w:tr w:rsidR="00D20211" w:rsidRPr="00D20211" w:rsidTr="00D54C0F">
        <w:tc>
          <w:tcPr>
            <w:tcW w:w="1870" w:type="dxa"/>
            <w:vAlign w:val="center"/>
          </w:tcPr>
          <w:p w:rsidR="00610DFB" w:rsidRPr="00D20211" w:rsidRDefault="00610DFB" w:rsidP="001232E4">
            <w:pPr>
              <w:autoSpaceDE w:val="0"/>
              <w:autoSpaceDN w:val="0"/>
              <w:adjustRightInd w:val="0"/>
              <w:jc w:val="center"/>
              <w:rPr>
                <w:rFonts w:cs="ITCFranklinGothicStd-DmCd"/>
                <w:sz w:val="24"/>
                <w:szCs w:val="24"/>
              </w:rPr>
            </w:pPr>
            <w:r w:rsidRPr="00D20211">
              <w:rPr>
                <w:rFonts w:cs="ITCFranklinGothicStd-Book"/>
                <w:sz w:val="24"/>
                <w:szCs w:val="24"/>
              </w:rPr>
              <w:t>Type of Respondent</w:t>
            </w:r>
          </w:p>
        </w:tc>
        <w:tc>
          <w:tcPr>
            <w:tcW w:w="1870" w:type="dxa"/>
            <w:vAlign w:val="center"/>
          </w:tcPr>
          <w:p w:rsidR="00610DFB" w:rsidRPr="00D20211" w:rsidRDefault="00610DFB" w:rsidP="001232E4">
            <w:pPr>
              <w:autoSpaceDE w:val="0"/>
              <w:autoSpaceDN w:val="0"/>
              <w:adjustRightInd w:val="0"/>
              <w:jc w:val="center"/>
              <w:rPr>
                <w:rFonts w:cs="ITCFranklinGothicStd-DmCd"/>
                <w:sz w:val="24"/>
                <w:szCs w:val="24"/>
              </w:rPr>
            </w:pPr>
            <w:r w:rsidRPr="00D20211">
              <w:rPr>
                <w:rFonts w:cs="ITCFranklinGothicStd-Book"/>
                <w:sz w:val="24"/>
                <w:szCs w:val="24"/>
              </w:rPr>
              <w:t>Form Name</w:t>
            </w:r>
          </w:p>
        </w:tc>
        <w:tc>
          <w:tcPr>
            <w:tcW w:w="1870" w:type="dxa"/>
            <w:vAlign w:val="center"/>
          </w:tcPr>
          <w:p w:rsidR="00610DFB" w:rsidRPr="00D20211" w:rsidRDefault="00610DFB" w:rsidP="001232E4">
            <w:pPr>
              <w:autoSpaceDE w:val="0"/>
              <w:autoSpaceDN w:val="0"/>
              <w:adjustRightInd w:val="0"/>
              <w:jc w:val="center"/>
              <w:rPr>
                <w:rFonts w:cs="ITCFranklinGothicStd-DmCd"/>
                <w:sz w:val="24"/>
                <w:szCs w:val="24"/>
              </w:rPr>
            </w:pPr>
            <w:r w:rsidRPr="00D20211">
              <w:rPr>
                <w:rFonts w:cs="ITCFranklinGothicStd-Book"/>
                <w:sz w:val="24"/>
                <w:szCs w:val="24"/>
              </w:rPr>
              <w:t>Total Burden Hours</w:t>
            </w:r>
          </w:p>
        </w:tc>
        <w:tc>
          <w:tcPr>
            <w:tcW w:w="1870" w:type="dxa"/>
            <w:vAlign w:val="center"/>
          </w:tcPr>
          <w:p w:rsidR="00610DFB" w:rsidRPr="00D20211" w:rsidRDefault="00610DFB" w:rsidP="001232E4">
            <w:pPr>
              <w:autoSpaceDE w:val="0"/>
              <w:autoSpaceDN w:val="0"/>
              <w:adjustRightInd w:val="0"/>
              <w:jc w:val="center"/>
              <w:rPr>
                <w:rFonts w:cs="ITCFranklinGothicStd-DmCd"/>
                <w:sz w:val="24"/>
                <w:szCs w:val="24"/>
              </w:rPr>
            </w:pPr>
            <w:r w:rsidRPr="00D20211">
              <w:rPr>
                <w:rFonts w:cs="ITCFranklinGothicStd-DmCd"/>
                <w:sz w:val="24"/>
                <w:szCs w:val="24"/>
              </w:rPr>
              <w:t>Hourly Wage Rate</w:t>
            </w:r>
          </w:p>
        </w:tc>
        <w:tc>
          <w:tcPr>
            <w:tcW w:w="1870" w:type="dxa"/>
            <w:vAlign w:val="center"/>
          </w:tcPr>
          <w:p w:rsidR="00610DFB" w:rsidRPr="00D20211" w:rsidRDefault="00610DFB" w:rsidP="001232E4">
            <w:pPr>
              <w:autoSpaceDE w:val="0"/>
              <w:autoSpaceDN w:val="0"/>
              <w:adjustRightInd w:val="0"/>
              <w:jc w:val="center"/>
              <w:rPr>
                <w:rFonts w:cs="ITCFranklinGothicStd-DmCd"/>
                <w:sz w:val="24"/>
                <w:szCs w:val="24"/>
              </w:rPr>
            </w:pPr>
            <w:r w:rsidRPr="00D20211">
              <w:rPr>
                <w:rFonts w:cs="ITCFranklinGothicStd-DmCd"/>
                <w:sz w:val="24"/>
                <w:szCs w:val="24"/>
              </w:rPr>
              <w:t>Total Respondent Costs</w:t>
            </w:r>
          </w:p>
        </w:tc>
      </w:tr>
      <w:tr w:rsidR="009A7555" w:rsidRPr="00D20211" w:rsidTr="00D54C0F">
        <w:tc>
          <w:tcPr>
            <w:tcW w:w="1870" w:type="dxa"/>
            <w:vMerge w:val="restart"/>
            <w:vAlign w:val="center"/>
          </w:tcPr>
          <w:p w:rsidR="009A7555" w:rsidRPr="00D20211" w:rsidRDefault="009A7555" w:rsidP="00610DFB">
            <w:pPr>
              <w:autoSpaceDE w:val="0"/>
              <w:autoSpaceDN w:val="0"/>
              <w:adjustRightInd w:val="0"/>
              <w:rPr>
                <w:rFonts w:cs="ITCFranklinGothicStd-DmCd"/>
                <w:sz w:val="24"/>
                <w:szCs w:val="24"/>
              </w:rPr>
            </w:pPr>
            <w:r>
              <w:rPr>
                <w:rFonts w:cs="ITCFranklinGothicStd-Book"/>
                <w:sz w:val="24"/>
                <w:szCs w:val="24"/>
              </w:rPr>
              <w:t>Food safety program personnel</w:t>
            </w:r>
          </w:p>
        </w:tc>
        <w:tc>
          <w:tcPr>
            <w:tcW w:w="1870" w:type="dxa"/>
            <w:vAlign w:val="center"/>
          </w:tcPr>
          <w:p w:rsidR="009A7555" w:rsidRPr="00D20211" w:rsidRDefault="009A7555" w:rsidP="00610DFB">
            <w:pPr>
              <w:autoSpaceDE w:val="0"/>
              <w:autoSpaceDN w:val="0"/>
              <w:adjustRightInd w:val="0"/>
              <w:jc w:val="center"/>
              <w:rPr>
                <w:rFonts w:cs="ITCFranklinGothicStd-DmCd"/>
                <w:sz w:val="24"/>
                <w:szCs w:val="24"/>
              </w:rPr>
            </w:pPr>
            <w:r>
              <w:rPr>
                <w:rFonts w:cs="ITCFranklinGothicStd-Book"/>
                <w:sz w:val="24"/>
                <w:szCs w:val="24"/>
              </w:rPr>
              <w:t>NEARS Food safety program training</w:t>
            </w:r>
          </w:p>
        </w:tc>
        <w:tc>
          <w:tcPr>
            <w:tcW w:w="1870" w:type="dxa"/>
            <w:vAlign w:val="center"/>
          </w:tcPr>
          <w:p w:rsidR="009A7555" w:rsidRPr="00D20211" w:rsidRDefault="009A7555" w:rsidP="00610DFB">
            <w:pPr>
              <w:autoSpaceDE w:val="0"/>
              <w:autoSpaceDN w:val="0"/>
              <w:adjustRightInd w:val="0"/>
              <w:jc w:val="center"/>
              <w:rPr>
                <w:rFonts w:cs="ITCFranklinGothicStd-DmCd"/>
                <w:sz w:val="24"/>
                <w:szCs w:val="24"/>
              </w:rPr>
            </w:pPr>
            <w:r>
              <w:rPr>
                <w:rFonts w:cs="ITCFranklinGothicStd-Book"/>
                <w:sz w:val="24"/>
                <w:szCs w:val="24"/>
              </w:rPr>
              <w:t>100</w:t>
            </w:r>
          </w:p>
        </w:tc>
        <w:tc>
          <w:tcPr>
            <w:tcW w:w="1870" w:type="dxa"/>
            <w:vAlign w:val="center"/>
          </w:tcPr>
          <w:p w:rsidR="009A7555" w:rsidRPr="00D20211" w:rsidRDefault="009A7555" w:rsidP="00610DFB">
            <w:pPr>
              <w:autoSpaceDE w:val="0"/>
              <w:autoSpaceDN w:val="0"/>
              <w:adjustRightInd w:val="0"/>
              <w:jc w:val="center"/>
              <w:rPr>
                <w:rFonts w:cs="ITCFranklinGothicStd-DmCd"/>
                <w:sz w:val="24"/>
                <w:szCs w:val="24"/>
              </w:rPr>
            </w:pPr>
            <w:r>
              <w:rPr>
                <w:rFonts w:cs="ITCFranklinGothicStd-DmCd"/>
                <w:sz w:val="24"/>
                <w:szCs w:val="24"/>
              </w:rPr>
              <w:t>$36.64</w:t>
            </w:r>
          </w:p>
        </w:tc>
        <w:tc>
          <w:tcPr>
            <w:tcW w:w="1870" w:type="dxa"/>
            <w:vAlign w:val="center"/>
          </w:tcPr>
          <w:p w:rsidR="009A7555" w:rsidRPr="00D20211" w:rsidRDefault="009A7555" w:rsidP="00610DFB">
            <w:pPr>
              <w:autoSpaceDE w:val="0"/>
              <w:autoSpaceDN w:val="0"/>
              <w:adjustRightInd w:val="0"/>
              <w:jc w:val="center"/>
              <w:rPr>
                <w:rFonts w:cs="ITCFranklinGothicStd-DmCd"/>
                <w:sz w:val="24"/>
                <w:szCs w:val="24"/>
              </w:rPr>
            </w:pPr>
            <w:r>
              <w:rPr>
                <w:rFonts w:cs="ITCFranklinGothicStd-DmCd"/>
                <w:sz w:val="24"/>
                <w:szCs w:val="24"/>
              </w:rPr>
              <w:t>$3,664.00</w:t>
            </w:r>
          </w:p>
        </w:tc>
      </w:tr>
      <w:tr w:rsidR="009A7555" w:rsidRPr="00D20211" w:rsidTr="00D54C0F">
        <w:tc>
          <w:tcPr>
            <w:tcW w:w="1870" w:type="dxa"/>
            <w:vMerge/>
            <w:vAlign w:val="center"/>
          </w:tcPr>
          <w:p w:rsidR="009A7555" w:rsidRPr="00D20211" w:rsidRDefault="009A7555" w:rsidP="00610DFB">
            <w:pPr>
              <w:autoSpaceDE w:val="0"/>
              <w:autoSpaceDN w:val="0"/>
              <w:adjustRightInd w:val="0"/>
              <w:rPr>
                <w:rFonts w:cs="ITCFranklinGothicStd-DmCd"/>
                <w:sz w:val="24"/>
                <w:szCs w:val="24"/>
              </w:rPr>
            </w:pPr>
          </w:p>
        </w:tc>
        <w:tc>
          <w:tcPr>
            <w:tcW w:w="1870" w:type="dxa"/>
            <w:vAlign w:val="center"/>
          </w:tcPr>
          <w:p w:rsidR="009A7555" w:rsidRPr="00D20211" w:rsidRDefault="009A7555" w:rsidP="00610DFB">
            <w:pPr>
              <w:autoSpaceDE w:val="0"/>
              <w:autoSpaceDN w:val="0"/>
              <w:adjustRightInd w:val="0"/>
              <w:jc w:val="center"/>
              <w:rPr>
                <w:rFonts w:cs="ITCFranklinGothicStd-DmCd"/>
                <w:sz w:val="24"/>
                <w:szCs w:val="24"/>
              </w:rPr>
            </w:pPr>
            <w:r>
              <w:rPr>
                <w:rFonts w:cs="ITCFranklinGothicStd-Book"/>
                <w:sz w:val="24"/>
                <w:szCs w:val="24"/>
              </w:rPr>
              <w:t>NEARS e-Learning (screenshots)</w:t>
            </w:r>
          </w:p>
        </w:tc>
        <w:tc>
          <w:tcPr>
            <w:tcW w:w="1870" w:type="dxa"/>
            <w:vAlign w:val="center"/>
          </w:tcPr>
          <w:p w:rsidR="009A7555" w:rsidRPr="00D20211" w:rsidRDefault="00C92C52" w:rsidP="00610DFB">
            <w:pPr>
              <w:autoSpaceDE w:val="0"/>
              <w:autoSpaceDN w:val="0"/>
              <w:adjustRightInd w:val="0"/>
              <w:jc w:val="center"/>
              <w:rPr>
                <w:rFonts w:cs="ITCFranklinGothicStd-DmCd"/>
                <w:sz w:val="24"/>
                <w:szCs w:val="24"/>
              </w:rPr>
            </w:pPr>
            <w:r>
              <w:rPr>
                <w:rFonts w:cs="ITCFranklinGothicStd-Book"/>
                <w:sz w:val="24"/>
                <w:szCs w:val="24"/>
              </w:rPr>
              <w:t>5</w:t>
            </w:r>
            <w:r w:rsidR="009A7555">
              <w:rPr>
                <w:rFonts w:cs="ITCFranklinGothicStd-Book"/>
                <w:sz w:val="24"/>
                <w:szCs w:val="24"/>
              </w:rPr>
              <w:t>00</w:t>
            </w:r>
          </w:p>
        </w:tc>
        <w:tc>
          <w:tcPr>
            <w:tcW w:w="1870" w:type="dxa"/>
            <w:vAlign w:val="center"/>
          </w:tcPr>
          <w:p w:rsidR="009A7555" w:rsidRPr="00D20211" w:rsidRDefault="009A7555" w:rsidP="00610DFB">
            <w:pPr>
              <w:autoSpaceDE w:val="0"/>
              <w:autoSpaceDN w:val="0"/>
              <w:adjustRightInd w:val="0"/>
              <w:jc w:val="center"/>
              <w:rPr>
                <w:rFonts w:cs="ITCFranklinGothicStd-DmCd"/>
                <w:sz w:val="24"/>
                <w:szCs w:val="24"/>
              </w:rPr>
            </w:pPr>
            <w:r>
              <w:rPr>
                <w:rFonts w:cs="ITCFranklinGothicStd-DmCd"/>
                <w:sz w:val="24"/>
                <w:szCs w:val="24"/>
              </w:rPr>
              <w:t>$36.64</w:t>
            </w:r>
          </w:p>
        </w:tc>
        <w:tc>
          <w:tcPr>
            <w:tcW w:w="1870" w:type="dxa"/>
            <w:vAlign w:val="center"/>
          </w:tcPr>
          <w:p w:rsidR="009A7555" w:rsidRPr="00D20211" w:rsidRDefault="009A7555" w:rsidP="00DD6393">
            <w:pPr>
              <w:autoSpaceDE w:val="0"/>
              <w:autoSpaceDN w:val="0"/>
              <w:adjustRightInd w:val="0"/>
              <w:jc w:val="center"/>
              <w:rPr>
                <w:rFonts w:cs="ITCFranklinGothicStd-DmCd"/>
                <w:sz w:val="24"/>
                <w:szCs w:val="24"/>
              </w:rPr>
            </w:pPr>
            <w:r>
              <w:rPr>
                <w:rFonts w:cs="ITCFranklinGothicStd-DmCd"/>
                <w:sz w:val="24"/>
                <w:szCs w:val="24"/>
              </w:rPr>
              <w:t>$</w:t>
            </w:r>
            <w:r w:rsidR="00DD6393">
              <w:rPr>
                <w:rFonts w:cs="ITCFranklinGothicStd-DmCd"/>
                <w:sz w:val="24"/>
                <w:szCs w:val="24"/>
              </w:rPr>
              <w:t>18,320</w:t>
            </w:r>
            <w:r>
              <w:rPr>
                <w:rFonts w:cs="ITCFranklinGothicStd-DmCd"/>
                <w:sz w:val="24"/>
                <w:szCs w:val="24"/>
              </w:rPr>
              <w:t>.00</w:t>
            </w:r>
          </w:p>
        </w:tc>
      </w:tr>
      <w:tr w:rsidR="009A7555" w:rsidRPr="00D20211" w:rsidTr="00D54C0F">
        <w:tc>
          <w:tcPr>
            <w:tcW w:w="1870" w:type="dxa"/>
            <w:vMerge/>
            <w:vAlign w:val="center"/>
          </w:tcPr>
          <w:p w:rsidR="009A7555" w:rsidRPr="00D20211" w:rsidRDefault="009A7555" w:rsidP="00610DFB">
            <w:pPr>
              <w:autoSpaceDE w:val="0"/>
              <w:autoSpaceDN w:val="0"/>
              <w:adjustRightInd w:val="0"/>
              <w:rPr>
                <w:rFonts w:cs="ITCFranklinGothicStd-Book"/>
                <w:sz w:val="24"/>
                <w:szCs w:val="24"/>
              </w:rPr>
            </w:pPr>
          </w:p>
        </w:tc>
        <w:tc>
          <w:tcPr>
            <w:tcW w:w="1870" w:type="dxa"/>
            <w:vAlign w:val="center"/>
          </w:tcPr>
          <w:p w:rsidR="009A7555" w:rsidRDefault="009A7555" w:rsidP="00517F2E">
            <w:pPr>
              <w:autoSpaceDE w:val="0"/>
              <w:autoSpaceDN w:val="0"/>
              <w:adjustRightInd w:val="0"/>
              <w:jc w:val="center"/>
              <w:rPr>
                <w:rFonts w:cs="ITCFranklinGothicStd-Book"/>
                <w:sz w:val="24"/>
                <w:szCs w:val="24"/>
              </w:rPr>
            </w:pPr>
            <w:r>
              <w:rPr>
                <w:rFonts w:cs="ITCFranklinGothicStd-Book"/>
                <w:sz w:val="24"/>
                <w:szCs w:val="24"/>
              </w:rPr>
              <w:t>NEARS Data Re</w:t>
            </w:r>
            <w:r w:rsidR="00517F2E">
              <w:rPr>
                <w:rFonts w:cs="ITCFranklinGothicStd-Book"/>
                <w:sz w:val="24"/>
                <w:szCs w:val="24"/>
              </w:rPr>
              <w:t>porting</w:t>
            </w:r>
            <w:r>
              <w:rPr>
                <w:rFonts w:cs="ITCFranklinGothicStd-Book"/>
                <w:sz w:val="24"/>
                <w:szCs w:val="24"/>
              </w:rPr>
              <w:t xml:space="preserve"> (paper form)</w:t>
            </w:r>
          </w:p>
        </w:tc>
        <w:tc>
          <w:tcPr>
            <w:tcW w:w="1870" w:type="dxa"/>
            <w:vAlign w:val="center"/>
          </w:tcPr>
          <w:p w:rsidR="009A7555" w:rsidRDefault="009A7555" w:rsidP="00610DFB">
            <w:pPr>
              <w:autoSpaceDE w:val="0"/>
              <w:autoSpaceDN w:val="0"/>
              <w:adjustRightInd w:val="0"/>
              <w:jc w:val="center"/>
              <w:rPr>
                <w:rFonts w:cs="ITCFranklinGothicStd-Book"/>
                <w:sz w:val="24"/>
                <w:szCs w:val="24"/>
              </w:rPr>
            </w:pPr>
            <w:r>
              <w:rPr>
                <w:rFonts w:cs="ITCFranklinGothicStd-Book"/>
                <w:sz w:val="24"/>
                <w:szCs w:val="24"/>
              </w:rPr>
              <w:t>150</w:t>
            </w:r>
          </w:p>
        </w:tc>
        <w:tc>
          <w:tcPr>
            <w:tcW w:w="1870" w:type="dxa"/>
            <w:vAlign w:val="center"/>
          </w:tcPr>
          <w:p w:rsidR="009A7555" w:rsidRDefault="009A7555" w:rsidP="00610DFB">
            <w:pPr>
              <w:autoSpaceDE w:val="0"/>
              <w:autoSpaceDN w:val="0"/>
              <w:adjustRightInd w:val="0"/>
              <w:jc w:val="center"/>
              <w:rPr>
                <w:rFonts w:cs="ITCFranklinGothicStd-DmCd"/>
                <w:sz w:val="24"/>
                <w:szCs w:val="24"/>
              </w:rPr>
            </w:pPr>
            <w:r>
              <w:rPr>
                <w:rFonts w:cs="ITCFranklinGothicStd-DmCd"/>
                <w:sz w:val="24"/>
                <w:szCs w:val="24"/>
              </w:rPr>
              <w:t>$36.64</w:t>
            </w:r>
          </w:p>
        </w:tc>
        <w:tc>
          <w:tcPr>
            <w:tcW w:w="1870" w:type="dxa"/>
            <w:vAlign w:val="center"/>
          </w:tcPr>
          <w:p w:rsidR="009A7555" w:rsidRDefault="009A7555" w:rsidP="00610DFB">
            <w:pPr>
              <w:autoSpaceDE w:val="0"/>
              <w:autoSpaceDN w:val="0"/>
              <w:adjustRightInd w:val="0"/>
              <w:jc w:val="center"/>
              <w:rPr>
                <w:rFonts w:cs="ITCFranklinGothicStd-DmCd"/>
                <w:sz w:val="24"/>
                <w:szCs w:val="24"/>
              </w:rPr>
            </w:pPr>
            <w:r>
              <w:rPr>
                <w:rFonts w:cs="ITCFranklinGothicStd-DmCd"/>
                <w:sz w:val="24"/>
                <w:szCs w:val="24"/>
              </w:rPr>
              <w:t>$5,496.00</w:t>
            </w:r>
          </w:p>
        </w:tc>
      </w:tr>
      <w:tr w:rsidR="009A7555" w:rsidRPr="00D20211" w:rsidTr="00D54C0F">
        <w:tc>
          <w:tcPr>
            <w:tcW w:w="1870" w:type="dxa"/>
            <w:vMerge/>
            <w:vAlign w:val="center"/>
          </w:tcPr>
          <w:p w:rsidR="009A7555" w:rsidRPr="00D20211" w:rsidRDefault="009A7555" w:rsidP="00610DFB">
            <w:pPr>
              <w:autoSpaceDE w:val="0"/>
              <w:autoSpaceDN w:val="0"/>
              <w:adjustRightInd w:val="0"/>
              <w:rPr>
                <w:rFonts w:cs="ITCFranklinGothicStd-Book"/>
                <w:sz w:val="24"/>
                <w:szCs w:val="24"/>
              </w:rPr>
            </w:pPr>
          </w:p>
        </w:tc>
        <w:tc>
          <w:tcPr>
            <w:tcW w:w="1870" w:type="dxa"/>
            <w:vAlign w:val="center"/>
          </w:tcPr>
          <w:p w:rsidR="009A7555" w:rsidRDefault="009A7555" w:rsidP="00610DFB">
            <w:pPr>
              <w:autoSpaceDE w:val="0"/>
              <w:autoSpaceDN w:val="0"/>
              <w:adjustRightInd w:val="0"/>
              <w:jc w:val="center"/>
              <w:rPr>
                <w:rFonts w:cs="ITCFranklinGothicStd-Book"/>
                <w:sz w:val="24"/>
                <w:szCs w:val="24"/>
              </w:rPr>
            </w:pPr>
            <w:r>
              <w:rPr>
                <w:rFonts w:cs="ITCFranklinGothicStd-Book"/>
                <w:sz w:val="24"/>
                <w:szCs w:val="24"/>
              </w:rPr>
              <w:t>NEARS Data reporting and manager’s interview (web entry)</w:t>
            </w:r>
          </w:p>
        </w:tc>
        <w:tc>
          <w:tcPr>
            <w:tcW w:w="1870" w:type="dxa"/>
            <w:vAlign w:val="center"/>
          </w:tcPr>
          <w:p w:rsidR="009A7555" w:rsidRDefault="009A7555" w:rsidP="00610DFB">
            <w:pPr>
              <w:autoSpaceDE w:val="0"/>
              <w:autoSpaceDN w:val="0"/>
              <w:adjustRightInd w:val="0"/>
              <w:jc w:val="center"/>
              <w:rPr>
                <w:rFonts w:cs="ITCFranklinGothicStd-Book"/>
                <w:sz w:val="24"/>
                <w:szCs w:val="24"/>
              </w:rPr>
            </w:pPr>
            <w:r>
              <w:rPr>
                <w:rFonts w:cs="ITCFranklinGothicStd-Book"/>
                <w:sz w:val="24"/>
                <w:szCs w:val="24"/>
              </w:rPr>
              <w:t>200</w:t>
            </w:r>
          </w:p>
        </w:tc>
        <w:tc>
          <w:tcPr>
            <w:tcW w:w="1870" w:type="dxa"/>
            <w:vAlign w:val="center"/>
          </w:tcPr>
          <w:p w:rsidR="009A7555" w:rsidRDefault="009A7555" w:rsidP="00610DFB">
            <w:pPr>
              <w:autoSpaceDE w:val="0"/>
              <w:autoSpaceDN w:val="0"/>
              <w:adjustRightInd w:val="0"/>
              <w:jc w:val="center"/>
              <w:rPr>
                <w:rFonts w:cs="ITCFranklinGothicStd-DmCd"/>
                <w:sz w:val="24"/>
                <w:szCs w:val="24"/>
              </w:rPr>
            </w:pPr>
            <w:r>
              <w:rPr>
                <w:rFonts w:cs="ITCFranklinGothicStd-DmCd"/>
                <w:sz w:val="24"/>
                <w:szCs w:val="24"/>
              </w:rPr>
              <w:t>$36.64</w:t>
            </w:r>
          </w:p>
        </w:tc>
        <w:tc>
          <w:tcPr>
            <w:tcW w:w="1870" w:type="dxa"/>
            <w:vAlign w:val="center"/>
          </w:tcPr>
          <w:p w:rsidR="009A7555" w:rsidRDefault="009A7555" w:rsidP="00610DFB">
            <w:pPr>
              <w:autoSpaceDE w:val="0"/>
              <w:autoSpaceDN w:val="0"/>
              <w:adjustRightInd w:val="0"/>
              <w:jc w:val="center"/>
              <w:rPr>
                <w:rFonts w:cs="ITCFranklinGothicStd-DmCd"/>
                <w:sz w:val="24"/>
                <w:szCs w:val="24"/>
              </w:rPr>
            </w:pPr>
            <w:r>
              <w:rPr>
                <w:rFonts w:cs="ITCFranklinGothicStd-DmCd"/>
                <w:sz w:val="24"/>
                <w:szCs w:val="24"/>
              </w:rPr>
              <w:t>$7,328.00</w:t>
            </w:r>
          </w:p>
        </w:tc>
      </w:tr>
      <w:tr w:rsidR="009A7555" w:rsidRPr="00D20211" w:rsidTr="00D54C0F">
        <w:tc>
          <w:tcPr>
            <w:tcW w:w="1870" w:type="dxa"/>
            <w:vAlign w:val="center"/>
          </w:tcPr>
          <w:p w:rsidR="009A7555" w:rsidRPr="00D20211" w:rsidRDefault="009A7555" w:rsidP="00610DFB">
            <w:pPr>
              <w:autoSpaceDE w:val="0"/>
              <w:autoSpaceDN w:val="0"/>
              <w:adjustRightInd w:val="0"/>
              <w:rPr>
                <w:rFonts w:cs="ITCFranklinGothicStd-Book"/>
                <w:sz w:val="24"/>
                <w:szCs w:val="24"/>
              </w:rPr>
            </w:pPr>
            <w:r>
              <w:rPr>
                <w:rFonts w:cs="ITCFranklinGothicStd-Book"/>
                <w:sz w:val="24"/>
                <w:szCs w:val="24"/>
              </w:rPr>
              <w:t>Retail food personnel</w:t>
            </w:r>
          </w:p>
        </w:tc>
        <w:tc>
          <w:tcPr>
            <w:tcW w:w="1870" w:type="dxa"/>
            <w:vAlign w:val="center"/>
          </w:tcPr>
          <w:p w:rsidR="009A7555" w:rsidRDefault="009A7555" w:rsidP="00610DFB">
            <w:pPr>
              <w:autoSpaceDE w:val="0"/>
              <w:autoSpaceDN w:val="0"/>
              <w:adjustRightInd w:val="0"/>
              <w:jc w:val="center"/>
              <w:rPr>
                <w:rFonts w:cs="ITCFranklinGothicStd-Book"/>
                <w:sz w:val="24"/>
                <w:szCs w:val="24"/>
              </w:rPr>
            </w:pPr>
            <w:r>
              <w:rPr>
                <w:rFonts w:cs="ITCFranklinGothicStd-Book"/>
                <w:sz w:val="24"/>
                <w:szCs w:val="24"/>
              </w:rPr>
              <w:t>NEARS Manager Interview</w:t>
            </w:r>
          </w:p>
        </w:tc>
        <w:tc>
          <w:tcPr>
            <w:tcW w:w="1870" w:type="dxa"/>
            <w:vAlign w:val="center"/>
          </w:tcPr>
          <w:p w:rsidR="009A7555" w:rsidRDefault="009A7555" w:rsidP="00610DFB">
            <w:pPr>
              <w:autoSpaceDE w:val="0"/>
              <w:autoSpaceDN w:val="0"/>
              <w:adjustRightInd w:val="0"/>
              <w:jc w:val="center"/>
              <w:rPr>
                <w:rFonts w:cs="ITCFranklinGothicStd-Book"/>
                <w:sz w:val="24"/>
                <w:szCs w:val="24"/>
              </w:rPr>
            </w:pPr>
            <w:r>
              <w:rPr>
                <w:rFonts w:cs="ITCFranklinGothicStd-Book"/>
                <w:sz w:val="24"/>
                <w:szCs w:val="24"/>
              </w:rPr>
              <w:t>400</w:t>
            </w:r>
          </w:p>
        </w:tc>
        <w:tc>
          <w:tcPr>
            <w:tcW w:w="1870" w:type="dxa"/>
            <w:vAlign w:val="center"/>
          </w:tcPr>
          <w:p w:rsidR="009A7555" w:rsidRDefault="009A7555" w:rsidP="00610DFB">
            <w:pPr>
              <w:autoSpaceDE w:val="0"/>
              <w:autoSpaceDN w:val="0"/>
              <w:adjustRightInd w:val="0"/>
              <w:jc w:val="center"/>
              <w:rPr>
                <w:rFonts w:cs="ITCFranklinGothicStd-DmCd"/>
                <w:sz w:val="24"/>
                <w:szCs w:val="24"/>
              </w:rPr>
            </w:pPr>
            <w:r>
              <w:rPr>
                <w:rFonts w:cs="ITCFranklinGothicStd-DmCd"/>
                <w:sz w:val="24"/>
                <w:szCs w:val="24"/>
              </w:rPr>
              <w:t>$11.88</w:t>
            </w:r>
          </w:p>
        </w:tc>
        <w:tc>
          <w:tcPr>
            <w:tcW w:w="1870" w:type="dxa"/>
            <w:vAlign w:val="center"/>
          </w:tcPr>
          <w:p w:rsidR="009A7555" w:rsidRDefault="009A7555" w:rsidP="00610DFB">
            <w:pPr>
              <w:autoSpaceDE w:val="0"/>
              <w:autoSpaceDN w:val="0"/>
              <w:adjustRightInd w:val="0"/>
              <w:jc w:val="center"/>
              <w:rPr>
                <w:rFonts w:cs="ITCFranklinGothicStd-DmCd"/>
                <w:sz w:val="24"/>
                <w:szCs w:val="24"/>
              </w:rPr>
            </w:pPr>
            <w:r>
              <w:rPr>
                <w:rFonts w:cs="ITCFranklinGothicStd-DmCd"/>
                <w:sz w:val="24"/>
                <w:szCs w:val="24"/>
              </w:rPr>
              <w:t>$4,752.00</w:t>
            </w:r>
          </w:p>
        </w:tc>
      </w:tr>
      <w:tr w:rsidR="009A7555" w:rsidRPr="00D20211" w:rsidTr="005A555F">
        <w:tc>
          <w:tcPr>
            <w:tcW w:w="7480" w:type="dxa"/>
            <w:gridSpan w:val="4"/>
          </w:tcPr>
          <w:p w:rsidR="009A7555" w:rsidRPr="00D20211" w:rsidRDefault="009A7555" w:rsidP="00061EA6">
            <w:pPr>
              <w:autoSpaceDE w:val="0"/>
              <w:autoSpaceDN w:val="0"/>
              <w:adjustRightInd w:val="0"/>
              <w:rPr>
                <w:rFonts w:cs="ITCFranklinGothicStd-DmCd"/>
                <w:sz w:val="24"/>
                <w:szCs w:val="24"/>
              </w:rPr>
            </w:pPr>
            <w:r w:rsidRPr="00D20211">
              <w:rPr>
                <w:rFonts w:cs="ITCFranklinGothicStd-DmCd"/>
                <w:sz w:val="24"/>
                <w:szCs w:val="24"/>
              </w:rPr>
              <w:t>Total</w:t>
            </w:r>
          </w:p>
        </w:tc>
        <w:tc>
          <w:tcPr>
            <w:tcW w:w="1870" w:type="dxa"/>
            <w:vAlign w:val="center"/>
          </w:tcPr>
          <w:p w:rsidR="009A7555" w:rsidRPr="00D20211" w:rsidRDefault="009A7555" w:rsidP="00D62220">
            <w:pPr>
              <w:autoSpaceDE w:val="0"/>
              <w:autoSpaceDN w:val="0"/>
              <w:adjustRightInd w:val="0"/>
              <w:jc w:val="center"/>
              <w:rPr>
                <w:rFonts w:cs="ITCFranklinGothicStd-DmCd"/>
                <w:sz w:val="24"/>
                <w:szCs w:val="24"/>
              </w:rPr>
            </w:pPr>
            <w:r w:rsidRPr="00D20211">
              <w:rPr>
                <w:rFonts w:cs="ITCFranklinGothicStd-DmCd"/>
                <w:sz w:val="24"/>
                <w:szCs w:val="24"/>
              </w:rPr>
              <w:t>$</w:t>
            </w:r>
            <w:r w:rsidR="00D62220">
              <w:rPr>
                <w:rFonts w:cs="ITCFranklinGothicStd-DmCd"/>
                <w:sz w:val="24"/>
                <w:szCs w:val="24"/>
              </w:rPr>
              <w:t>39,560</w:t>
            </w:r>
            <w:r w:rsidR="00542DFF">
              <w:rPr>
                <w:rFonts w:cs="ITCFranklinGothicStd-DmCd"/>
                <w:sz w:val="24"/>
                <w:szCs w:val="24"/>
              </w:rPr>
              <w:t>.00</w:t>
            </w:r>
          </w:p>
        </w:tc>
      </w:tr>
    </w:tbl>
    <w:p w:rsidR="00ED72E9" w:rsidRPr="00D20211" w:rsidRDefault="00ED72E9" w:rsidP="00ED72E9"/>
    <w:p w:rsidR="00B45002" w:rsidRPr="00D20211" w:rsidRDefault="00601F1A" w:rsidP="00601F1A">
      <w:pPr>
        <w:pStyle w:val="Heading1"/>
        <w:pBdr>
          <w:bottom w:val="none" w:sz="0" w:space="0" w:color="auto"/>
        </w:pBdr>
        <w:rPr>
          <w:color w:val="auto"/>
        </w:rPr>
      </w:pPr>
      <w:bookmarkStart w:id="15" w:name="_Toc532377530"/>
      <w:r w:rsidRPr="00D20211">
        <w:rPr>
          <w:color w:val="auto"/>
        </w:rPr>
        <w:t>A.</w:t>
      </w:r>
      <w:r w:rsidR="00AC62CC" w:rsidRPr="00D20211">
        <w:rPr>
          <w:color w:val="auto"/>
        </w:rPr>
        <w:t xml:space="preserve">13.  </w:t>
      </w:r>
      <w:r w:rsidR="00B45002" w:rsidRPr="00D20211">
        <w:rPr>
          <w:color w:val="auto"/>
        </w:rPr>
        <w:t>Estimates of Other Total Annual Cost Burden to Respondents and Record Keepers</w:t>
      </w:r>
      <w:bookmarkEnd w:id="15"/>
    </w:p>
    <w:p w:rsidR="00F1279E" w:rsidRPr="00D20211" w:rsidRDefault="00F1279E" w:rsidP="00ED72E9">
      <w:pPr>
        <w:autoSpaceDE w:val="0"/>
        <w:autoSpaceDN w:val="0"/>
        <w:adjustRightInd w:val="0"/>
        <w:spacing w:after="0" w:line="240" w:lineRule="auto"/>
        <w:rPr>
          <w:sz w:val="24"/>
          <w:szCs w:val="24"/>
        </w:rPr>
      </w:pPr>
    </w:p>
    <w:p w:rsidR="00542DFF" w:rsidRDefault="00542DFF" w:rsidP="00ED72E9">
      <w:pPr>
        <w:autoSpaceDE w:val="0"/>
        <w:autoSpaceDN w:val="0"/>
        <w:adjustRightInd w:val="0"/>
        <w:spacing w:after="0" w:line="240" w:lineRule="auto"/>
        <w:rPr>
          <w:rFonts w:cs="ITCFranklinGothicStd-Book"/>
          <w:sz w:val="24"/>
          <w:szCs w:val="24"/>
        </w:rPr>
      </w:pPr>
      <w:r>
        <w:rPr>
          <w:rFonts w:cs="ITCFranklinGothicStd-Book"/>
          <w:sz w:val="24"/>
          <w:szCs w:val="24"/>
        </w:rPr>
        <w:t xml:space="preserve">There are no other costs to respondents or record keepers. </w:t>
      </w:r>
    </w:p>
    <w:p w:rsidR="00B45002" w:rsidRPr="00D20211" w:rsidRDefault="00601F1A" w:rsidP="00601F1A">
      <w:pPr>
        <w:pStyle w:val="Heading1"/>
        <w:pBdr>
          <w:bottom w:val="none" w:sz="0" w:space="0" w:color="auto"/>
        </w:pBdr>
        <w:rPr>
          <w:color w:val="auto"/>
        </w:rPr>
      </w:pPr>
      <w:bookmarkStart w:id="16" w:name="_Toc532377531"/>
      <w:r w:rsidRPr="00D20211">
        <w:rPr>
          <w:color w:val="auto"/>
        </w:rPr>
        <w:t>A.</w:t>
      </w:r>
      <w:r w:rsidR="00AC62CC" w:rsidRPr="00D20211">
        <w:rPr>
          <w:color w:val="auto"/>
        </w:rPr>
        <w:t xml:space="preserve">14.  </w:t>
      </w:r>
      <w:r w:rsidR="00B45002" w:rsidRPr="00D20211">
        <w:rPr>
          <w:color w:val="auto"/>
        </w:rPr>
        <w:t>Annualized Cost to the Federal Government</w:t>
      </w:r>
      <w:bookmarkEnd w:id="16"/>
    </w:p>
    <w:p w:rsidR="001C2EEC" w:rsidRPr="001C2EEC" w:rsidRDefault="001C2EEC" w:rsidP="00E87525">
      <w:pPr>
        <w:autoSpaceDE w:val="0"/>
        <w:autoSpaceDN w:val="0"/>
        <w:adjustRightInd w:val="0"/>
        <w:spacing w:before="100" w:beforeAutospacing="1" w:after="100" w:afterAutospacing="1" w:line="240" w:lineRule="auto"/>
        <w:rPr>
          <w:rFonts w:cs="ITCFranklinGothicStd-Book"/>
          <w:sz w:val="24"/>
          <w:szCs w:val="24"/>
        </w:rPr>
      </w:pPr>
      <w:r w:rsidRPr="001C2EEC">
        <w:rPr>
          <w:rFonts w:cs="ITCFranklinGothicStd-Book"/>
          <w:sz w:val="24"/>
          <w:szCs w:val="24"/>
        </w:rPr>
        <w:t xml:space="preserve">NEARS is funded through Environmental Health Specialists Network (EHS-Net) - Practice based research to improve food safety (OMB Control No. 0920-0792; expiration </w:t>
      </w:r>
      <w:r w:rsidR="00DB212D">
        <w:rPr>
          <w:rFonts w:cs="ITCFranklinGothicStd-Book"/>
          <w:sz w:val="24"/>
          <w:szCs w:val="24"/>
        </w:rPr>
        <w:t>08/31/2021</w:t>
      </w:r>
      <w:r w:rsidRPr="001C2EEC">
        <w:rPr>
          <w:rFonts w:cs="ITCFranklinGothicStd-Book"/>
          <w:sz w:val="24"/>
          <w:szCs w:val="24"/>
        </w:rPr>
        <w:t xml:space="preserve">). In FY 2015, EHS-Net committed to fund up to eight applications. The annualized cost to the federal government of the total cooperative agreement is $1,425,000 through CDC-RFA-EH15-001, an additional $14,375 </w:t>
      </w:r>
      <w:r w:rsidR="00D7337B">
        <w:rPr>
          <w:rFonts w:cs="ITCFranklinGothicStd-Book"/>
          <w:sz w:val="24"/>
          <w:szCs w:val="24"/>
        </w:rPr>
        <w:t xml:space="preserve">is </w:t>
      </w:r>
      <w:r w:rsidRPr="001C2EEC">
        <w:rPr>
          <w:rFonts w:cs="ITCFranklinGothicStd-Book"/>
          <w:sz w:val="24"/>
          <w:szCs w:val="24"/>
        </w:rPr>
        <w:t>available to each applicant totaling $115,000 (14,375</w:t>
      </w:r>
      <w:r w:rsidR="00DB212D">
        <w:rPr>
          <w:rFonts w:cs="ITCFranklinGothicStd-Book"/>
          <w:sz w:val="24"/>
          <w:szCs w:val="24"/>
        </w:rPr>
        <w:t xml:space="preserve"> x</w:t>
      </w:r>
      <w:r w:rsidRPr="001C2EEC">
        <w:rPr>
          <w:rFonts w:cs="ITCFranklinGothicStd-Book"/>
          <w:sz w:val="24"/>
          <w:szCs w:val="24"/>
        </w:rPr>
        <w:t xml:space="preserve"> 8 sites) annually</w:t>
      </w:r>
      <w:r w:rsidR="00DB212D">
        <w:rPr>
          <w:rFonts w:cs="ITCFranklinGothicStd-Book"/>
          <w:sz w:val="24"/>
          <w:szCs w:val="24"/>
        </w:rPr>
        <w:t>; this additional funding is</w:t>
      </w:r>
      <w:r w:rsidRPr="001C2EEC">
        <w:rPr>
          <w:rFonts w:cs="ITCFranklinGothicStd-Book"/>
          <w:sz w:val="24"/>
          <w:szCs w:val="24"/>
        </w:rPr>
        <w:t xml:space="preserve"> specifically to address NEARS</w:t>
      </w:r>
      <w:r w:rsidR="00DB212D">
        <w:rPr>
          <w:rFonts w:cs="ITCFranklinGothicStd-Book"/>
          <w:sz w:val="24"/>
          <w:szCs w:val="24"/>
        </w:rPr>
        <w:t>-</w:t>
      </w:r>
      <w:r w:rsidRPr="001C2EEC">
        <w:rPr>
          <w:rFonts w:cs="ITCFranklinGothicStd-Book"/>
          <w:sz w:val="24"/>
          <w:szCs w:val="24"/>
        </w:rPr>
        <w:t>related activities (e.g.</w:t>
      </w:r>
      <w:r w:rsidR="00DB212D">
        <w:rPr>
          <w:rFonts w:cs="ITCFranklinGothicStd-Book"/>
          <w:sz w:val="24"/>
          <w:szCs w:val="24"/>
        </w:rPr>
        <w:t>,</w:t>
      </w:r>
      <w:r w:rsidRPr="001C2EEC">
        <w:rPr>
          <w:rFonts w:cs="ITCFranklinGothicStd-Book"/>
          <w:sz w:val="24"/>
          <w:szCs w:val="24"/>
        </w:rPr>
        <w:t xml:space="preserve"> personnel to serve as NEARS liaisons with local food safety programs, personnel to enter NEARS data, etc.), and costs of CDC personnel and contractors who maintain the system and assist respondents in data entry as summarized in Table A.14.1.</w:t>
      </w:r>
    </w:p>
    <w:p w:rsidR="001C2EEC" w:rsidRPr="001C2EEC" w:rsidRDefault="001C2EEC" w:rsidP="00E87525">
      <w:pPr>
        <w:autoSpaceDE w:val="0"/>
        <w:autoSpaceDN w:val="0"/>
        <w:adjustRightInd w:val="0"/>
        <w:spacing w:before="100" w:beforeAutospacing="1" w:after="100" w:afterAutospacing="1" w:line="240" w:lineRule="auto"/>
        <w:rPr>
          <w:rFonts w:cs="ITCFranklinGothicStd-Book"/>
          <w:sz w:val="24"/>
          <w:szCs w:val="24"/>
        </w:rPr>
      </w:pPr>
      <w:r w:rsidRPr="001C2EEC">
        <w:rPr>
          <w:rFonts w:cs="ITCFranklinGothicStd-Book"/>
          <w:sz w:val="24"/>
          <w:szCs w:val="24"/>
        </w:rPr>
        <w:t>EHS-Net food safety activities include conducting applied behavioral and environmental</w:t>
      </w:r>
      <w:r w:rsidR="00CE59EC">
        <w:rPr>
          <w:rFonts w:cs="ITCFranklinGothicStd-Book"/>
          <w:sz w:val="24"/>
          <w:szCs w:val="24"/>
        </w:rPr>
        <w:t xml:space="preserve"> </w:t>
      </w:r>
      <w:r w:rsidRPr="001C2EEC">
        <w:rPr>
          <w:rFonts w:cs="ITCFranklinGothicStd-Book"/>
          <w:sz w:val="24"/>
          <w:szCs w:val="24"/>
        </w:rPr>
        <w:t>epidemiologic research to identify environmental factors that contribute to disease transmission.</w:t>
      </w:r>
    </w:p>
    <w:p w:rsidR="001C2EEC" w:rsidRPr="001C2EEC" w:rsidRDefault="001C2EEC" w:rsidP="00E87525">
      <w:pPr>
        <w:autoSpaceDE w:val="0"/>
        <w:autoSpaceDN w:val="0"/>
        <w:adjustRightInd w:val="0"/>
        <w:spacing w:before="100" w:beforeAutospacing="1" w:after="100" w:afterAutospacing="1" w:line="240" w:lineRule="auto"/>
        <w:rPr>
          <w:rFonts w:cs="ITCFranklinGothicStd-Book"/>
          <w:sz w:val="24"/>
          <w:szCs w:val="24"/>
        </w:rPr>
      </w:pPr>
      <w:r w:rsidRPr="001C2EEC">
        <w:rPr>
          <w:rFonts w:cs="ITCFranklinGothicStd-Book"/>
          <w:sz w:val="24"/>
          <w:szCs w:val="24"/>
        </w:rPr>
        <w:t>The focus of this research is to:</w:t>
      </w:r>
    </w:p>
    <w:p w:rsidR="001C2EEC" w:rsidRPr="001C2EEC" w:rsidRDefault="001C2EEC" w:rsidP="00E87525">
      <w:pPr>
        <w:pStyle w:val="ListParagraph"/>
        <w:numPr>
          <w:ilvl w:val="0"/>
          <w:numId w:val="49"/>
        </w:numPr>
        <w:autoSpaceDE w:val="0"/>
        <w:autoSpaceDN w:val="0"/>
        <w:adjustRightInd w:val="0"/>
        <w:spacing w:before="100" w:beforeAutospacing="1" w:after="100" w:afterAutospacing="1" w:line="240" w:lineRule="auto"/>
        <w:rPr>
          <w:rFonts w:cs="ITCFranklinGothicStd-Book"/>
          <w:sz w:val="24"/>
          <w:szCs w:val="24"/>
        </w:rPr>
      </w:pPr>
      <w:r w:rsidRPr="001C2EEC">
        <w:rPr>
          <w:rFonts w:cs="ITCFranklinGothicStd-Book"/>
          <w:sz w:val="24"/>
          <w:szCs w:val="24"/>
        </w:rPr>
        <w:t>Identify and understand environmental factors associated with retail food safety, including food related illness and outbreaks (e.g.</w:t>
      </w:r>
      <w:r w:rsidR="00B87880">
        <w:rPr>
          <w:rFonts w:cs="ITCFranklinGothicStd-Book"/>
          <w:sz w:val="24"/>
          <w:szCs w:val="24"/>
        </w:rPr>
        <w:t>,</w:t>
      </w:r>
      <w:r w:rsidRPr="001C2EEC">
        <w:rPr>
          <w:rFonts w:cs="ITCFranklinGothicStd-Book"/>
          <w:sz w:val="24"/>
          <w:szCs w:val="24"/>
        </w:rPr>
        <w:t xml:space="preserve"> the reporting of foodborne outbreak environmental assessment data to NEARS).</w:t>
      </w:r>
    </w:p>
    <w:p w:rsidR="001C2EEC" w:rsidRPr="001C2EEC" w:rsidRDefault="001C2EEC" w:rsidP="00E87525">
      <w:pPr>
        <w:pStyle w:val="ListParagraph"/>
        <w:numPr>
          <w:ilvl w:val="0"/>
          <w:numId w:val="49"/>
        </w:numPr>
        <w:autoSpaceDE w:val="0"/>
        <w:autoSpaceDN w:val="0"/>
        <w:adjustRightInd w:val="0"/>
        <w:spacing w:before="100" w:beforeAutospacing="1" w:after="100" w:afterAutospacing="1" w:line="240" w:lineRule="auto"/>
        <w:rPr>
          <w:rFonts w:cs="ITCFranklinGothicStd-Book"/>
          <w:sz w:val="24"/>
          <w:szCs w:val="24"/>
        </w:rPr>
      </w:pPr>
      <w:r w:rsidRPr="001C2EEC">
        <w:rPr>
          <w:rFonts w:cs="ITCFranklinGothicStd-Book"/>
          <w:sz w:val="24"/>
          <w:szCs w:val="24"/>
        </w:rPr>
        <w:t>Evaluate food safety service programs, providers and their activities;</w:t>
      </w:r>
    </w:p>
    <w:p w:rsidR="001C2EEC" w:rsidRPr="001C2EEC" w:rsidRDefault="001C2EEC" w:rsidP="00E87525">
      <w:pPr>
        <w:pStyle w:val="ListParagraph"/>
        <w:numPr>
          <w:ilvl w:val="0"/>
          <w:numId w:val="49"/>
        </w:numPr>
        <w:autoSpaceDE w:val="0"/>
        <w:autoSpaceDN w:val="0"/>
        <w:adjustRightInd w:val="0"/>
        <w:spacing w:before="100" w:beforeAutospacing="1" w:after="100" w:afterAutospacing="1" w:line="240" w:lineRule="auto"/>
        <w:rPr>
          <w:rFonts w:cs="ITCFranklinGothicStd-Book"/>
          <w:sz w:val="24"/>
          <w:szCs w:val="24"/>
        </w:rPr>
      </w:pPr>
      <w:r w:rsidRPr="001C2EEC">
        <w:rPr>
          <w:rFonts w:cs="ITCFranklinGothicStd-Book"/>
          <w:sz w:val="24"/>
          <w:szCs w:val="24"/>
        </w:rPr>
        <w:t>Develop and disseminate the findings from EHS-Net projects to the environmental public health and food safety communities.</w:t>
      </w:r>
    </w:p>
    <w:p w:rsidR="00DB6F6A" w:rsidRDefault="001C2EEC" w:rsidP="00E87525">
      <w:pPr>
        <w:autoSpaceDE w:val="0"/>
        <w:autoSpaceDN w:val="0"/>
        <w:adjustRightInd w:val="0"/>
        <w:spacing w:before="100" w:beforeAutospacing="1" w:after="100" w:afterAutospacing="1" w:line="240" w:lineRule="auto"/>
        <w:rPr>
          <w:rFonts w:cs="ITCFranklinGothicStd-Book"/>
          <w:sz w:val="24"/>
          <w:szCs w:val="24"/>
        </w:rPr>
      </w:pPr>
      <w:r w:rsidRPr="001C2EEC">
        <w:rPr>
          <w:rFonts w:cs="ITCFranklinGothicStd-Book"/>
          <w:sz w:val="24"/>
          <w:szCs w:val="24"/>
        </w:rPr>
        <w:t>The project period will run from 09/30/20</w:t>
      </w:r>
      <w:r w:rsidR="00C832D9">
        <w:rPr>
          <w:rFonts w:cs="ITCFranklinGothicStd-Book"/>
          <w:sz w:val="24"/>
          <w:szCs w:val="24"/>
        </w:rPr>
        <w:t>19</w:t>
      </w:r>
      <w:r w:rsidRPr="001C2EEC">
        <w:rPr>
          <w:rFonts w:cs="ITCFranklinGothicStd-Book"/>
          <w:sz w:val="24"/>
          <w:szCs w:val="24"/>
        </w:rPr>
        <w:t xml:space="preserve"> to 09/29/202</w:t>
      </w:r>
      <w:r w:rsidR="00C832D9">
        <w:rPr>
          <w:rFonts w:cs="ITCFranklinGothicStd-Book"/>
          <w:sz w:val="24"/>
          <w:szCs w:val="24"/>
        </w:rPr>
        <w:t>5</w:t>
      </w:r>
      <w:r w:rsidRPr="001C2EEC">
        <w:rPr>
          <w:rFonts w:cs="ITCFranklinGothicStd-Book"/>
          <w:sz w:val="24"/>
          <w:szCs w:val="24"/>
        </w:rPr>
        <w:t>.</w:t>
      </w:r>
    </w:p>
    <w:p w:rsidR="00DB6F6A" w:rsidRPr="001C2EEC" w:rsidRDefault="00DB6F6A" w:rsidP="00DB6F6A">
      <w:pPr>
        <w:rPr>
          <w:rFonts w:cs="ITCFranklinGothicStd-Book"/>
          <w:b/>
          <w:sz w:val="24"/>
          <w:szCs w:val="24"/>
        </w:rPr>
      </w:pPr>
      <w:r w:rsidRPr="001C2EEC">
        <w:rPr>
          <w:rFonts w:cs="ITCFranklinGothicStd-Book"/>
          <w:b/>
          <w:sz w:val="24"/>
          <w:szCs w:val="24"/>
        </w:rPr>
        <w:t>Table A.14.1</w:t>
      </w:r>
    </w:p>
    <w:tbl>
      <w:tblPr>
        <w:tblStyle w:val="TableGrid"/>
        <w:tblW w:w="0" w:type="auto"/>
        <w:tblInd w:w="342" w:type="dxa"/>
        <w:tblLook w:val="04A0" w:firstRow="1" w:lastRow="0" w:firstColumn="1" w:lastColumn="0" w:noHBand="0" w:noVBand="1"/>
      </w:tblPr>
      <w:tblGrid>
        <w:gridCol w:w="1849"/>
        <w:gridCol w:w="1790"/>
        <w:gridCol w:w="1770"/>
        <w:gridCol w:w="1793"/>
        <w:gridCol w:w="1806"/>
      </w:tblGrid>
      <w:tr w:rsidR="00DB6F6A" w:rsidRPr="001C2EEC" w:rsidTr="00EE73C0">
        <w:tc>
          <w:tcPr>
            <w:tcW w:w="1849"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Category</w:t>
            </w:r>
          </w:p>
        </w:tc>
        <w:tc>
          <w:tcPr>
            <w:tcW w:w="1790"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Number of staff</w:t>
            </w:r>
          </w:p>
        </w:tc>
        <w:tc>
          <w:tcPr>
            <w:tcW w:w="1770"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 effort</w:t>
            </w:r>
          </w:p>
        </w:tc>
        <w:tc>
          <w:tcPr>
            <w:tcW w:w="1793"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Average Yearly Salary</w:t>
            </w:r>
          </w:p>
        </w:tc>
        <w:tc>
          <w:tcPr>
            <w:tcW w:w="1806"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Total Costs</w:t>
            </w:r>
          </w:p>
        </w:tc>
      </w:tr>
      <w:tr w:rsidR="00DB6F6A" w:rsidRPr="001C2EEC" w:rsidTr="00EE73C0">
        <w:tc>
          <w:tcPr>
            <w:tcW w:w="1849"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Environmental Health Specialists Network (EHS-Net)-Practice based research to improve food safety RFA-EH-15-001</w:t>
            </w:r>
          </w:p>
        </w:tc>
        <w:tc>
          <w:tcPr>
            <w:tcW w:w="1790"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N/A</w:t>
            </w:r>
          </w:p>
        </w:tc>
        <w:tc>
          <w:tcPr>
            <w:tcW w:w="1770"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N/A</w:t>
            </w:r>
          </w:p>
        </w:tc>
        <w:tc>
          <w:tcPr>
            <w:tcW w:w="1793"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N/A</w:t>
            </w:r>
          </w:p>
        </w:tc>
        <w:tc>
          <w:tcPr>
            <w:tcW w:w="1806"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1,425,000</w:t>
            </w:r>
          </w:p>
        </w:tc>
      </w:tr>
      <w:tr w:rsidR="00DB6F6A" w:rsidRPr="001C2EEC" w:rsidTr="00EE73C0">
        <w:tc>
          <w:tcPr>
            <w:tcW w:w="1849"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NEARS related activities funding</w:t>
            </w:r>
          </w:p>
        </w:tc>
        <w:tc>
          <w:tcPr>
            <w:tcW w:w="1790"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N/A</w:t>
            </w:r>
          </w:p>
        </w:tc>
        <w:tc>
          <w:tcPr>
            <w:tcW w:w="1770"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N/A</w:t>
            </w:r>
          </w:p>
        </w:tc>
        <w:tc>
          <w:tcPr>
            <w:tcW w:w="1793"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N/A</w:t>
            </w:r>
          </w:p>
        </w:tc>
        <w:tc>
          <w:tcPr>
            <w:tcW w:w="1806"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115,000</w:t>
            </w:r>
          </w:p>
        </w:tc>
      </w:tr>
      <w:tr w:rsidR="00DB6F6A" w:rsidRPr="001C2EEC" w:rsidTr="00EE73C0">
        <w:tc>
          <w:tcPr>
            <w:tcW w:w="1849"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CDC fellow</w:t>
            </w:r>
          </w:p>
        </w:tc>
        <w:tc>
          <w:tcPr>
            <w:tcW w:w="1790"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1</w:t>
            </w:r>
          </w:p>
        </w:tc>
        <w:tc>
          <w:tcPr>
            <w:tcW w:w="1770"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100%</w:t>
            </w:r>
          </w:p>
        </w:tc>
        <w:tc>
          <w:tcPr>
            <w:tcW w:w="1793"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$50,000</w:t>
            </w:r>
          </w:p>
        </w:tc>
        <w:tc>
          <w:tcPr>
            <w:tcW w:w="1806"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$50,000</w:t>
            </w:r>
          </w:p>
        </w:tc>
      </w:tr>
      <w:tr w:rsidR="00DB6F6A" w:rsidRPr="001C2EEC" w:rsidTr="00EE73C0">
        <w:tc>
          <w:tcPr>
            <w:tcW w:w="1849"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IT Contractor (maintains the system)</w:t>
            </w:r>
          </w:p>
        </w:tc>
        <w:tc>
          <w:tcPr>
            <w:tcW w:w="1790"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1</w:t>
            </w:r>
          </w:p>
        </w:tc>
        <w:tc>
          <w:tcPr>
            <w:tcW w:w="1770"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50%</w:t>
            </w:r>
          </w:p>
        </w:tc>
        <w:tc>
          <w:tcPr>
            <w:tcW w:w="1793"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$50,000</w:t>
            </w:r>
          </w:p>
        </w:tc>
        <w:tc>
          <w:tcPr>
            <w:tcW w:w="1806"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$50,000</w:t>
            </w:r>
          </w:p>
        </w:tc>
      </w:tr>
      <w:tr w:rsidR="00DB6F6A" w:rsidRPr="001C2EEC" w:rsidTr="00EE73C0">
        <w:tc>
          <w:tcPr>
            <w:tcW w:w="1849"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CDC FTE</w:t>
            </w:r>
          </w:p>
        </w:tc>
        <w:tc>
          <w:tcPr>
            <w:tcW w:w="1790"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1</w:t>
            </w:r>
          </w:p>
        </w:tc>
        <w:tc>
          <w:tcPr>
            <w:tcW w:w="1770"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50%</w:t>
            </w:r>
          </w:p>
        </w:tc>
        <w:tc>
          <w:tcPr>
            <w:tcW w:w="1793"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$65,000</w:t>
            </w:r>
          </w:p>
        </w:tc>
        <w:tc>
          <w:tcPr>
            <w:tcW w:w="1806" w:type="dxa"/>
            <w:vAlign w:val="center"/>
          </w:tcPr>
          <w:p w:rsidR="00DB6F6A" w:rsidRPr="001C2EEC" w:rsidRDefault="00DB6F6A" w:rsidP="00EE73C0">
            <w:pPr>
              <w:adjustRightInd w:val="0"/>
              <w:jc w:val="center"/>
              <w:rPr>
                <w:rFonts w:eastAsia="SimSun"/>
                <w:sz w:val="24"/>
                <w:lang w:eastAsia="zh-CN"/>
              </w:rPr>
            </w:pPr>
            <w:r w:rsidRPr="001C2EEC">
              <w:rPr>
                <w:rFonts w:eastAsia="SimSun"/>
                <w:sz w:val="24"/>
                <w:lang w:eastAsia="zh-CN"/>
              </w:rPr>
              <w:t>$65,000</w:t>
            </w:r>
          </w:p>
        </w:tc>
      </w:tr>
      <w:tr w:rsidR="00DB6F6A" w:rsidRPr="001C2EEC" w:rsidTr="00EE73C0">
        <w:tc>
          <w:tcPr>
            <w:tcW w:w="1849" w:type="dxa"/>
            <w:vAlign w:val="center"/>
          </w:tcPr>
          <w:p w:rsidR="00DB6F6A" w:rsidRPr="001C2EEC" w:rsidRDefault="00DB6F6A" w:rsidP="00EE73C0">
            <w:pPr>
              <w:adjustRightInd w:val="0"/>
              <w:jc w:val="center"/>
              <w:rPr>
                <w:rFonts w:eastAsia="SimSun"/>
                <w:b/>
                <w:sz w:val="24"/>
                <w:lang w:eastAsia="zh-CN"/>
              </w:rPr>
            </w:pPr>
            <w:r w:rsidRPr="001C2EEC">
              <w:rPr>
                <w:rFonts w:eastAsia="SimSun"/>
                <w:b/>
                <w:sz w:val="24"/>
                <w:lang w:eastAsia="zh-CN"/>
              </w:rPr>
              <w:t>Total</w:t>
            </w:r>
          </w:p>
        </w:tc>
        <w:tc>
          <w:tcPr>
            <w:tcW w:w="5353" w:type="dxa"/>
            <w:gridSpan w:val="3"/>
            <w:vAlign w:val="center"/>
          </w:tcPr>
          <w:p w:rsidR="00DB6F6A" w:rsidRPr="001C2EEC" w:rsidRDefault="00DB6F6A" w:rsidP="00EE73C0">
            <w:pPr>
              <w:adjustRightInd w:val="0"/>
              <w:jc w:val="center"/>
              <w:rPr>
                <w:rFonts w:eastAsia="SimSun"/>
                <w:sz w:val="24"/>
                <w:lang w:eastAsia="zh-CN"/>
              </w:rPr>
            </w:pPr>
          </w:p>
        </w:tc>
        <w:tc>
          <w:tcPr>
            <w:tcW w:w="1806" w:type="dxa"/>
            <w:vAlign w:val="center"/>
          </w:tcPr>
          <w:p w:rsidR="00DB6F6A" w:rsidRPr="001C2EEC" w:rsidRDefault="00DB6F6A" w:rsidP="00EE73C0">
            <w:pPr>
              <w:adjustRightInd w:val="0"/>
              <w:jc w:val="center"/>
              <w:rPr>
                <w:rFonts w:eastAsia="SimSun"/>
                <w:b/>
                <w:sz w:val="24"/>
                <w:lang w:eastAsia="zh-CN"/>
              </w:rPr>
            </w:pPr>
            <w:r w:rsidRPr="001C2EEC">
              <w:rPr>
                <w:rFonts w:eastAsia="SimSun"/>
                <w:b/>
                <w:sz w:val="24"/>
                <w:lang w:eastAsia="zh-CN"/>
              </w:rPr>
              <w:t>$1,705,000</w:t>
            </w:r>
          </w:p>
        </w:tc>
      </w:tr>
    </w:tbl>
    <w:p w:rsidR="001C2EEC" w:rsidRPr="001C2EEC" w:rsidRDefault="001C2EEC" w:rsidP="00CC2B94">
      <w:pPr>
        <w:rPr>
          <w:rFonts w:cs="ITCFranklinGothicStd-Book"/>
          <w:b/>
          <w:sz w:val="24"/>
          <w:szCs w:val="24"/>
        </w:rPr>
      </w:pPr>
    </w:p>
    <w:p w:rsidR="00B45002" w:rsidRPr="00D20211" w:rsidRDefault="00601F1A" w:rsidP="00236267">
      <w:pPr>
        <w:pStyle w:val="Heading1"/>
        <w:rPr>
          <w:rFonts w:cs="ITCFranklinGothicStd-Demi"/>
          <w:color w:val="auto"/>
          <w:sz w:val="24"/>
          <w:szCs w:val="24"/>
        </w:rPr>
      </w:pPr>
      <w:bookmarkStart w:id="17" w:name="_Toc532377532"/>
      <w:r w:rsidRPr="00D20211">
        <w:rPr>
          <w:color w:val="auto"/>
        </w:rPr>
        <w:t>A.</w:t>
      </w:r>
      <w:r w:rsidR="00AC62CC" w:rsidRPr="00D20211">
        <w:rPr>
          <w:color w:val="auto"/>
        </w:rPr>
        <w:t xml:space="preserve">15.  </w:t>
      </w:r>
      <w:r w:rsidR="00B45002" w:rsidRPr="00D20211">
        <w:rPr>
          <w:color w:val="auto"/>
        </w:rPr>
        <w:t>Explanation for Program Changes or Adjustments</w:t>
      </w:r>
      <w:bookmarkEnd w:id="17"/>
    </w:p>
    <w:p w:rsidR="007F6CB2" w:rsidRPr="00D20211" w:rsidRDefault="007F6CB2" w:rsidP="007F6CB2">
      <w:pPr>
        <w:spacing w:line="240" w:lineRule="auto"/>
        <w:rPr>
          <w:sz w:val="24"/>
          <w:szCs w:val="24"/>
        </w:rPr>
      </w:pPr>
    </w:p>
    <w:p w:rsidR="00CA479A" w:rsidRDefault="00072510" w:rsidP="00072510">
      <w:pPr>
        <w:spacing w:line="240" w:lineRule="auto"/>
        <w:rPr>
          <w:sz w:val="24"/>
          <w:szCs w:val="24"/>
        </w:rPr>
      </w:pPr>
      <w:r w:rsidRPr="00072510">
        <w:rPr>
          <w:sz w:val="24"/>
          <w:szCs w:val="24"/>
        </w:rPr>
        <w:t xml:space="preserve">Estimates of annualized burden hours have been decreased from 2,125 hours to 1,350 hours, </w:t>
      </w:r>
      <w:r w:rsidR="006170D5">
        <w:rPr>
          <w:sz w:val="24"/>
          <w:szCs w:val="24"/>
        </w:rPr>
        <w:t xml:space="preserve">resulting in </w:t>
      </w:r>
      <w:r w:rsidRPr="00072510">
        <w:rPr>
          <w:sz w:val="24"/>
          <w:szCs w:val="24"/>
        </w:rPr>
        <w:t xml:space="preserve">a decrease of 775 hours. This decrease </w:t>
      </w:r>
      <w:r w:rsidR="00E149C1">
        <w:rPr>
          <w:sz w:val="24"/>
          <w:szCs w:val="24"/>
        </w:rPr>
        <w:t xml:space="preserve">primarily </w:t>
      </w:r>
      <w:r w:rsidR="006170D5">
        <w:rPr>
          <w:sz w:val="24"/>
          <w:szCs w:val="24"/>
        </w:rPr>
        <w:t>results from</w:t>
      </w:r>
      <w:r w:rsidRPr="00072510">
        <w:rPr>
          <w:sz w:val="24"/>
          <w:szCs w:val="24"/>
        </w:rPr>
        <w:t xml:space="preserve"> a reduction in the estimated number of program staff </w:t>
      </w:r>
      <w:r w:rsidR="006170D5">
        <w:rPr>
          <w:sz w:val="24"/>
          <w:szCs w:val="24"/>
        </w:rPr>
        <w:t>who will take</w:t>
      </w:r>
      <w:r w:rsidRPr="00072510">
        <w:rPr>
          <w:sz w:val="24"/>
          <w:szCs w:val="24"/>
        </w:rPr>
        <w:t xml:space="preserve"> the </w:t>
      </w:r>
      <w:r w:rsidR="006170D5">
        <w:rPr>
          <w:sz w:val="24"/>
          <w:szCs w:val="24"/>
        </w:rPr>
        <w:t xml:space="preserve">NEARS food safety </w:t>
      </w:r>
      <w:r w:rsidRPr="00072510">
        <w:rPr>
          <w:sz w:val="24"/>
          <w:szCs w:val="24"/>
        </w:rPr>
        <w:t xml:space="preserve">training. </w:t>
      </w:r>
      <w:r w:rsidR="00E149C1">
        <w:rPr>
          <w:sz w:val="24"/>
          <w:szCs w:val="24"/>
        </w:rPr>
        <w:t xml:space="preserve">Our records indicate that most current NEARS </w:t>
      </w:r>
      <w:r w:rsidRPr="00072510">
        <w:rPr>
          <w:sz w:val="24"/>
          <w:szCs w:val="24"/>
        </w:rPr>
        <w:t xml:space="preserve">participants have already taken the training; only new participants or the few current participants </w:t>
      </w:r>
      <w:r w:rsidR="006170D5">
        <w:rPr>
          <w:sz w:val="24"/>
          <w:szCs w:val="24"/>
        </w:rPr>
        <w:t>who</w:t>
      </w:r>
      <w:r w:rsidR="006170D5" w:rsidRPr="00072510">
        <w:rPr>
          <w:sz w:val="24"/>
          <w:szCs w:val="24"/>
        </w:rPr>
        <w:t xml:space="preserve"> </w:t>
      </w:r>
      <w:r w:rsidRPr="00072510">
        <w:rPr>
          <w:sz w:val="24"/>
          <w:szCs w:val="24"/>
        </w:rPr>
        <w:t xml:space="preserve">have not yet taken the training will </w:t>
      </w:r>
      <w:r w:rsidR="00E149C1">
        <w:rPr>
          <w:sz w:val="24"/>
          <w:szCs w:val="24"/>
        </w:rPr>
        <w:t>take the training</w:t>
      </w:r>
      <w:r w:rsidRPr="00072510">
        <w:rPr>
          <w:sz w:val="24"/>
          <w:szCs w:val="24"/>
        </w:rPr>
        <w:t>.</w:t>
      </w:r>
    </w:p>
    <w:p w:rsidR="00CA479A" w:rsidRPr="00CA479A" w:rsidRDefault="00CA479A" w:rsidP="00CA479A">
      <w:pPr>
        <w:spacing w:after="0" w:line="240" w:lineRule="auto"/>
        <w:rPr>
          <w:sz w:val="24"/>
          <w:szCs w:val="24"/>
        </w:rPr>
      </w:pPr>
      <w:r>
        <w:rPr>
          <w:rFonts w:cs="ITCFranklinGothicStd-Book"/>
          <w:sz w:val="24"/>
          <w:szCs w:val="24"/>
        </w:rPr>
        <w:t xml:space="preserve">As detailed earlier in this document, we also revised the </w:t>
      </w:r>
      <w:r w:rsidRPr="00CA479A">
        <w:rPr>
          <w:rFonts w:cs="ITCFranklinGothicStd-Book"/>
          <w:sz w:val="24"/>
          <w:szCs w:val="24"/>
        </w:rPr>
        <w:t>NEARS instrument based on feedback</w:t>
      </w:r>
      <w:r>
        <w:rPr>
          <w:rFonts w:cs="ITCFranklinGothicStd-Book"/>
          <w:sz w:val="24"/>
          <w:szCs w:val="24"/>
        </w:rPr>
        <w:t xml:space="preserve"> from NEARS users, and from data analysis. Specifically, </w:t>
      </w:r>
      <w:r w:rsidRPr="00CA479A">
        <w:rPr>
          <w:rFonts w:cs="ITCFranklinGothicStd-Book"/>
          <w:sz w:val="24"/>
          <w:szCs w:val="24"/>
        </w:rPr>
        <w:t>we</w:t>
      </w:r>
    </w:p>
    <w:p w:rsidR="00CA479A" w:rsidRDefault="00CA479A" w:rsidP="00CA479A">
      <w:pPr>
        <w:pStyle w:val="ListParagraph"/>
        <w:numPr>
          <w:ilvl w:val="1"/>
          <w:numId w:val="51"/>
        </w:numPr>
        <w:spacing w:after="0" w:line="240" w:lineRule="auto"/>
        <w:contextualSpacing w:val="0"/>
        <w:rPr>
          <w:sz w:val="24"/>
          <w:szCs w:val="24"/>
        </w:rPr>
      </w:pPr>
      <w:r>
        <w:rPr>
          <w:sz w:val="24"/>
          <w:szCs w:val="24"/>
        </w:rPr>
        <w:t>Removed 22 questions that users said did not work in the field or were unnecessary.</w:t>
      </w:r>
    </w:p>
    <w:p w:rsidR="00CA479A" w:rsidRDefault="00CA479A" w:rsidP="00CA479A">
      <w:pPr>
        <w:pStyle w:val="ListParagraph"/>
        <w:numPr>
          <w:ilvl w:val="1"/>
          <w:numId w:val="51"/>
        </w:numPr>
        <w:spacing w:after="0" w:line="240" w:lineRule="auto"/>
        <w:contextualSpacing w:val="0"/>
        <w:rPr>
          <w:sz w:val="24"/>
          <w:szCs w:val="24"/>
        </w:rPr>
      </w:pPr>
      <w:r>
        <w:rPr>
          <w:sz w:val="24"/>
          <w:szCs w:val="24"/>
        </w:rPr>
        <w:t>Added 21 questions that users felt were important to understanding foodborne outbreaks. Most of these were focused on food safety issues related to norovirus prevention, given that the majority of outbreaks reported to NEARS were caused by nororvirus.</w:t>
      </w:r>
    </w:p>
    <w:p w:rsidR="00CA479A" w:rsidRDefault="00CA479A" w:rsidP="00CA479A">
      <w:pPr>
        <w:pStyle w:val="ListParagraph"/>
        <w:numPr>
          <w:ilvl w:val="1"/>
          <w:numId w:val="51"/>
        </w:numPr>
        <w:spacing w:before="100" w:beforeAutospacing="1" w:after="100" w:afterAutospacing="1" w:line="240" w:lineRule="auto"/>
        <w:rPr>
          <w:sz w:val="24"/>
          <w:szCs w:val="24"/>
        </w:rPr>
      </w:pPr>
      <w:r>
        <w:rPr>
          <w:sz w:val="24"/>
          <w:szCs w:val="24"/>
        </w:rPr>
        <w:t>Revised 10 questions to improve their clarity.</w:t>
      </w:r>
    </w:p>
    <w:p w:rsidR="00CA479A" w:rsidRDefault="00CA479A" w:rsidP="00CA479A">
      <w:pPr>
        <w:pStyle w:val="ListParagraph"/>
        <w:numPr>
          <w:ilvl w:val="1"/>
          <w:numId w:val="51"/>
        </w:numPr>
        <w:spacing w:before="100" w:beforeAutospacing="1" w:after="100" w:afterAutospacing="1" w:line="240" w:lineRule="auto"/>
        <w:rPr>
          <w:sz w:val="24"/>
          <w:szCs w:val="24"/>
        </w:rPr>
      </w:pPr>
      <w:r w:rsidRPr="00F75205">
        <w:rPr>
          <w:sz w:val="24"/>
          <w:szCs w:val="24"/>
        </w:rPr>
        <w:t>Moved 10 questions to a different section of the data collection instrument to streamline data collection process.</w:t>
      </w:r>
    </w:p>
    <w:p w:rsidR="00CA479A" w:rsidRDefault="00CA479A" w:rsidP="00CA479A">
      <w:pPr>
        <w:pStyle w:val="ListParagraph"/>
        <w:numPr>
          <w:ilvl w:val="1"/>
          <w:numId w:val="51"/>
        </w:numPr>
        <w:spacing w:before="100" w:beforeAutospacing="1" w:after="100" w:afterAutospacing="1" w:line="240" w:lineRule="auto"/>
        <w:rPr>
          <w:sz w:val="24"/>
          <w:szCs w:val="24"/>
        </w:rPr>
      </w:pPr>
      <w:r>
        <w:rPr>
          <w:sz w:val="24"/>
          <w:szCs w:val="24"/>
        </w:rPr>
        <w:t>Changed the data collection protocol so that 7 questions that were asked for every environmental sample taken are now only asked for positive samples.</w:t>
      </w:r>
    </w:p>
    <w:p w:rsidR="00072510" w:rsidRPr="00072510" w:rsidRDefault="00CA479A" w:rsidP="00072510">
      <w:pPr>
        <w:spacing w:line="240" w:lineRule="auto"/>
        <w:rPr>
          <w:sz w:val="24"/>
          <w:szCs w:val="24"/>
        </w:rPr>
      </w:pPr>
      <w:r>
        <w:rPr>
          <w:sz w:val="24"/>
          <w:szCs w:val="24"/>
        </w:rPr>
        <w:t>Pilot testing with data collectors and enterers indicated that the burden of collecting and entering data associated with the revised NEARS instrument did not differ significantly from the burden associated with the original instrument.</w:t>
      </w:r>
    </w:p>
    <w:p w:rsidR="00B45002" w:rsidRPr="00D20211" w:rsidRDefault="00601F1A" w:rsidP="00601F1A">
      <w:pPr>
        <w:pStyle w:val="Heading1"/>
        <w:pBdr>
          <w:bottom w:val="none" w:sz="0" w:space="0" w:color="auto"/>
        </w:pBdr>
        <w:rPr>
          <w:color w:val="auto"/>
        </w:rPr>
      </w:pPr>
      <w:bookmarkStart w:id="18" w:name="_Toc532377533"/>
      <w:r w:rsidRPr="00D20211">
        <w:rPr>
          <w:color w:val="auto"/>
        </w:rPr>
        <w:t>A.</w:t>
      </w:r>
      <w:r w:rsidR="00AC62CC" w:rsidRPr="00D20211">
        <w:rPr>
          <w:color w:val="auto"/>
        </w:rPr>
        <w:t xml:space="preserve">16.  </w:t>
      </w:r>
      <w:r w:rsidR="00B45002" w:rsidRPr="00D20211">
        <w:rPr>
          <w:color w:val="auto"/>
        </w:rPr>
        <w:t>Plans for Tabulation and Publication and Project Time Schedule</w:t>
      </w:r>
      <w:bookmarkEnd w:id="18"/>
    </w:p>
    <w:p w:rsidR="003248A4" w:rsidRPr="00D20211" w:rsidRDefault="003248A4" w:rsidP="003248A4"/>
    <w:p w:rsidR="003248A4" w:rsidRPr="00072510" w:rsidRDefault="00072510" w:rsidP="00072510">
      <w:pPr>
        <w:pStyle w:val="ListParagraph"/>
        <w:numPr>
          <w:ilvl w:val="0"/>
          <w:numId w:val="47"/>
        </w:numPr>
        <w:autoSpaceDE w:val="0"/>
        <w:autoSpaceDN w:val="0"/>
        <w:adjustRightInd w:val="0"/>
        <w:spacing w:line="240" w:lineRule="auto"/>
        <w:rPr>
          <w:rFonts w:cs="ITCFranklinGothicStd-Book"/>
          <w:b/>
          <w:sz w:val="24"/>
          <w:szCs w:val="24"/>
        </w:rPr>
      </w:pPr>
      <w:r w:rsidRPr="00072510">
        <w:rPr>
          <w:rFonts w:cs="ITCFranklinGothicStd-Book"/>
          <w:b/>
          <w:sz w:val="24"/>
          <w:szCs w:val="24"/>
        </w:rPr>
        <w:t>Time schedule for the project</w:t>
      </w:r>
    </w:p>
    <w:p w:rsidR="003C21A1" w:rsidRPr="00072510" w:rsidRDefault="00072510" w:rsidP="00072510">
      <w:pPr>
        <w:spacing w:line="240" w:lineRule="auto"/>
        <w:rPr>
          <w:rFonts w:cs="ITCFranklinGothicStd-Book"/>
          <w:sz w:val="24"/>
          <w:szCs w:val="24"/>
        </w:rPr>
      </w:pPr>
      <w:r w:rsidRPr="00072510">
        <w:rPr>
          <w:rFonts w:cs="ITCFranklinGothicStd-Book"/>
          <w:sz w:val="24"/>
          <w:szCs w:val="24"/>
        </w:rPr>
        <w:t>A three-year clearance revision is requested to continue annual data collection. Although respondents will be asked to report data on an annual basis, they will be able to enter data year round. CDC verification and program correction of reported data will occur in the three months following the annual reporting deadline. Data analysis will occur in the three months following that.</w:t>
      </w:r>
    </w:p>
    <w:p w:rsidR="003C21A1" w:rsidRPr="00072510" w:rsidRDefault="003C21A1" w:rsidP="003248A4">
      <w:pPr>
        <w:spacing w:line="240" w:lineRule="auto"/>
        <w:rPr>
          <w:rFonts w:cs="ITCFranklinGothicStd-Book"/>
          <w:b/>
          <w:sz w:val="24"/>
          <w:szCs w:val="24"/>
        </w:rPr>
      </w:pPr>
      <w:r w:rsidRPr="00072510">
        <w:rPr>
          <w:rFonts w:cs="ITCFranklinGothicStd-Book"/>
          <w:b/>
          <w:sz w:val="24"/>
          <w:szCs w:val="24"/>
        </w:rPr>
        <w:t>Table A.16.1</w:t>
      </w:r>
      <w:r w:rsidR="00072510" w:rsidRPr="00072510">
        <w:rPr>
          <w:rFonts w:cs="ITCFranklinGothicStd-Book"/>
          <w:b/>
          <w:sz w:val="24"/>
          <w:szCs w:val="24"/>
        </w:rPr>
        <w:t>: Project Time Schedule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7"/>
        <w:gridCol w:w="2381"/>
      </w:tblGrid>
      <w:tr w:rsidR="00072510" w:rsidRPr="00072510" w:rsidTr="009F081B">
        <w:tc>
          <w:tcPr>
            <w:tcW w:w="6367" w:type="dxa"/>
            <w:tcBorders>
              <w:top w:val="single" w:sz="12" w:space="0" w:color="auto"/>
              <w:bottom w:val="single" w:sz="12" w:space="0" w:color="auto"/>
            </w:tcBorders>
          </w:tcPr>
          <w:p w:rsidR="00072510" w:rsidRPr="00072510" w:rsidRDefault="00072510" w:rsidP="00072510">
            <w:pPr>
              <w:autoSpaceDE w:val="0"/>
              <w:autoSpaceDN w:val="0"/>
              <w:adjustRightInd w:val="0"/>
              <w:spacing w:after="0" w:line="240" w:lineRule="auto"/>
              <w:rPr>
                <w:b/>
                <w:sz w:val="24"/>
              </w:rPr>
            </w:pPr>
            <w:r w:rsidRPr="00072510">
              <w:rPr>
                <w:b/>
                <w:sz w:val="24"/>
              </w:rPr>
              <w:t>Activity- Data collection and cleaning</w:t>
            </w:r>
          </w:p>
        </w:tc>
        <w:tc>
          <w:tcPr>
            <w:tcW w:w="2381" w:type="dxa"/>
            <w:tcBorders>
              <w:top w:val="single" w:sz="12" w:space="0" w:color="auto"/>
              <w:bottom w:val="single" w:sz="12" w:space="0" w:color="auto"/>
            </w:tcBorders>
          </w:tcPr>
          <w:p w:rsidR="00072510" w:rsidRPr="00072510" w:rsidRDefault="00072510" w:rsidP="00072510">
            <w:pPr>
              <w:autoSpaceDE w:val="0"/>
              <w:autoSpaceDN w:val="0"/>
              <w:adjustRightInd w:val="0"/>
              <w:spacing w:after="0" w:line="240" w:lineRule="auto"/>
              <w:rPr>
                <w:b/>
                <w:sz w:val="24"/>
              </w:rPr>
            </w:pPr>
            <w:r w:rsidRPr="00072510">
              <w:rPr>
                <w:b/>
                <w:sz w:val="24"/>
              </w:rPr>
              <w:t>Time Frame</w:t>
            </w:r>
          </w:p>
        </w:tc>
      </w:tr>
      <w:tr w:rsidR="009F081B" w:rsidRPr="00072510" w:rsidTr="009F081B">
        <w:tc>
          <w:tcPr>
            <w:tcW w:w="6367" w:type="dxa"/>
            <w:tcBorders>
              <w:top w:val="single" w:sz="12" w:space="0" w:color="auto"/>
              <w:left w:val="single" w:sz="2" w:space="0" w:color="auto"/>
              <w:bottom w:val="single" w:sz="4" w:space="0" w:color="auto"/>
              <w:right w:val="single" w:sz="2" w:space="0" w:color="auto"/>
            </w:tcBorders>
          </w:tcPr>
          <w:p w:rsidR="009F081B" w:rsidRPr="00072510" w:rsidRDefault="009F081B" w:rsidP="00072510">
            <w:pPr>
              <w:autoSpaceDE w:val="0"/>
              <w:autoSpaceDN w:val="0"/>
              <w:adjustRightInd w:val="0"/>
              <w:spacing w:after="0" w:line="240" w:lineRule="auto"/>
              <w:rPr>
                <w:sz w:val="24"/>
              </w:rPr>
            </w:pPr>
            <w:r>
              <w:rPr>
                <w:sz w:val="24"/>
              </w:rPr>
              <w:t>6</w:t>
            </w:r>
            <w:r w:rsidRPr="009F081B">
              <w:rPr>
                <w:sz w:val="24"/>
                <w:vertAlign w:val="superscript"/>
              </w:rPr>
              <w:t>th</w:t>
            </w:r>
            <w:r>
              <w:rPr>
                <w:sz w:val="24"/>
              </w:rPr>
              <w:t xml:space="preserve"> year (2019) data collection</w:t>
            </w:r>
          </w:p>
        </w:tc>
        <w:tc>
          <w:tcPr>
            <w:tcW w:w="2381" w:type="dxa"/>
            <w:tcBorders>
              <w:top w:val="single" w:sz="12" w:space="0" w:color="auto"/>
              <w:left w:val="single" w:sz="2" w:space="0" w:color="auto"/>
              <w:bottom w:val="single" w:sz="4" w:space="0" w:color="auto"/>
              <w:right w:val="single" w:sz="2" w:space="0" w:color="auto"/>
            </w:tcBorders>
          </w:tcPr>
          <w:p w:rsidR="009F081B" w:rsidRPr="00072510" w:rsidRDefault="009F081B" w:rsidP="00072510">
            <w:pPr>
              <w:autoSpaceDE w:val="0"/>
              <w:autoSpaceDN w:val="0"/>
              <w:adjustRightInd w:val="0"/>
              <w:spacing w:after="0" w:line="240" w:lineRule="auto"/>
              <w:rPr>
                <w:sz w:val="24"/>
              </w:rPr>
            </w:pPr>
            <w:r>
              <w:rPr>
                <w:sz w:val="24"/>
              </w:rPr>
              <w:t>2019</w:t>
            </w:r>
          </w:p>
        </w:tc>
      </w:tr>
      <w:tr w:rsidR="009F081B" w:rsidRPr="00072510" w:rsidTr="009F081B">
        <w:tc>
          <w:tcPr>
            <w:tcW w:w="6367" w:type="dxa"/>
            <w:tcBorders>
              <w:top w:val="single" w:sz="4" w:space="0" w:color="auto"/>
              <w:left w:val="single" w:sz="2" w:space="0" w:color="auto"/>
              <w:bottom w:val="single" w:sz="4" w:space="0" w:color="auto"/>
              <w:right w:val="single" w:sz="2" w:space="0" w:color="auto"/>
            </w:tcBorders>
          </w:tcPr>
          <w:p w:rsidR="009F081B" w:rsidRDefault="009F081B" w:rsidP="00072510">
            <w:pPr>
              <w:autoSpaceDE w:val="0"/>
              <w:autoSpaceDN w:val="0"/>
              <w:adjustRightInd w:val="0"/>
              <w:spacing w:after="0" w:line="240" w:lineRule="auto"/>
              <w:rPr>
                <w:sz w:val="24"/>
              </w:rPr>
            </w:pPr>
            <w:r>
              <w:rPr>
                <w:sz w:val="24"/>
              </w:rPr>
              <w:t>6</w:t>
            </w:r>
            <w:r w:rsidRPr="009F081B">
              <w:rPr>
                <w:sz w:val="24"/>
                <w:vertAlign w:val="superscript"/>
              </w:rPr>
              <w:t>th</w:t>
            </w:r>
            <w:r>
              <w:rPr>
                <w:sz w:val="24"/>
              </w:rPr>
              <w:t xml:space="preserve"> year (2019) data verification and correction</w:t>
            </w:r>
          </w:p>
        </w:tc>
        <w:tc>
          <w:tcPr>
            <w:tcW w:w="2381" w:type="dxa"/>
            <w:tcBorders>
              <w:top w:val="single" w:sz="4" w:space="0" w:color="auto"/>
              <w:left w:val="single" w:sz="2" w:space="0" w:color="auto"/>
              <w:bottom w:val="single" w:sz="12" w:space="0" w:color="auto"/>
              <w:right w:val="single" w:sz="2" w:space="0" w:color="auto"/>
            </w:tcBorders>
          </w:tcPr>
          <w:p w:rsidR="009F081B" w:rsidRPr="00072510" w:rsidRDefault="009F081B" w:rsidP="00072510">
            <w:pPr>
              <w:autoSpaceDE w:val="0"/>
              <w:autoSpaceDN w:val="0"/>
              <w:adjustRightInd w:val="0"/>
              <w:spacing w:after="0" w:line="240" w:lineRule="auto"/>
              <w:rPr>
                <w:sz w:val="24"/>
              </w:rPr>
            </w:pPr>
            <w:r>
              <w:rPr>
                <w:sz w:val="24"/>
              </w:rPr>
              <w:t>Completed May 2020</w:t>
            </w:r>
          </w:p>
        </w:tc>
      </w:tr>
      <w:tr w:rsidR="00072510" w:rsidRPr="00072510" w:rsidTr="009F081B">
        <w:tc>
          <w:tcPr>
            <w:tcW w:w="6367" w:type="dxa"/>
            <w:tcBorders>
              <w:top w:val="single" w:sz="4" w:space="0" w:color="auto"/>
              <w:left w:val="single" w:sz="2" w:space="0" w:color="auto"/>
              <w:bottom w:val="single" w:sz="2" w:space="0" w:color="auto"/>
              <w:right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7</w:t>
            </w:r>
            <w:r w:rsidRPr="00072510">
              <w:rPr>
                <w:sz w:val="24"/>
                <w:vertAlign w:val="superscript"/>
              </w:rPr>
              <w:t>th</w:t>
            </w:r>
            <w:r w:rsidRPr="00072510">
              <w:rPr>
                <w:sz w:val="24"/>
              </w:rPr>
              <w:t xml:space="preserve"> year (2020) data collection</w:t>
            </w:r>
          </w:p>
        </w:tc>
        <w:tc>
          <w:tcPr>
            <w:tcW w:w="2381" w:type="dxa"/>
            <w:tcBorders>
              <w:top w:val="single" w:sz="12" w:space="0" w:color="auto"/>
              <w:left w:val="single" w:sz="2" w:space="0" w:color="auto"/>
              <w:bottom w:val="single" w:sz="2" w:space="0" w:color="auto"/>
              <w:right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2020</w:t>
            </w:r>
          </w:p>
        </w:tc>
      </w:tr>
      <w:tr w:rsidR="00072510" w:rsidRPr="00072510" w:rsidTr="005A555F">
        <w:tc>
          <w:tcPr>
            <w:tcW w:w="6367" w:type="dxa"/>
            <w:tcBorders>
              <w:top w:val="single" w:sz="2" w:space="0" w:color="auto"/>
              <w:left w:val="single" w:sz="2" w:space="0" w:color="auto"/>
              <w:bottom w:val="single" w:sz="2" w:space="0" w:color="auto"/>
              <w:right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7</w:t>
            </w:r>
            <w:r w:rsidRPr="00072510">
              <w:rPr>
                <w:sz w:val="24"/>
                <w:vertAlign w:val="superscript"/>
              </w:rPr>
              <w:t>th</w:t>
            </w:r>
            <w:r w:rsidRPr="00072510">
              <w:rPr>
                <w:sz w:val="24"/>
              </w:rPr>
              <w:t xml:space="preserve"> year (2020) data verification and correction</w:t>
            </w:r>
          </w:p>
        </w:tc>
        <w:tc>
          <w:tcPr>
            <w:tcW w:w="2381" w:type="dxa"/>
            <w:tcBorders>
              <w:top w:val="single" w:sz="2" w:space="0" w:color="auto"/>
              <w:left w:val="single" w:sz="2" w:space="0" w:color="auto"/>
              <w:bottom w:val="single" w:sz="2" w:space="0" w:color="auto"/>
              <w:right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completed May 2021</w:t>
            </w:r>
          </w:p>
        </w:tc>
      </w:tr>
      <w:tr w:rsidR="00072510" w:rsidRPr="00072510" w:rsidTr="005A555F">
        <w:tc>
          <w:tcPr>
            <w:tcW w:w="6367" w:type="dxa"/>
            <w:tcBorders>
              <w:top w:val="single" w:sz="2" w:space="0" w:color="auto"/>
              <w:left w:val="single" w:sz="2" w:space="0" w:color="auto"/>
              <w:bottom w:val="single" w:sz="2" w:space="0" w:color="auto"/>
              <w:right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8</w:t>
            </w:r>
            <w:r w:rsidRPr="00072510">
              <w:rPr>
                <w:sz w:val="24"/>
                <w:vertAlign w:val="superscript"/>
              </w:rPr>
              <w:t>th</w:t>
            </w:r>
            <w:r w:rsidRPr="00072510">
              <w:rPr>
                <w:sz w:val="24"/>
              </w:rPr>
              <w:t xml:space="preserve"> year (2021) data collection</w:t>
            </w:r>
          </w:p>
        </w:tc>
        <w:tc>
          <w:tcPr>
            <w:tcW w:w="2381" w:type="dxa"/>
            <w:tcBorders>
              <w:top w:val="single" w:sz="2" w:space="0" w:color="auto"/>
              <w:left w:val="single" w:sz="2" w:space="0" w:color="auto"/>
              <w:bottom w:val="single" w:sz="2" w:space="0" w:color="auto"/>
              <w:right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2021</w:t>
            </w:r>
          </w:p>
        </w:tc>
      </w:tr>
      <w:tr w:rsidR="00072510" w:rsidRPr="00072510" w:rsidTr="005A555F">
        <w:tc>
          <w:tcPr>
            <w:tcW w:w="6367" w:type="dxa"/>
            <w:tcBorders>
              <w:top w:val="single" w:sz="2" w:space="0" w:color="auto"/>
              <w:left w:val="single" w:sz="2" w:space="0" w:color="auto"/>
              <w:bottom w:val="single" w:sz="2" w:space="0" w:color="auto"/>
              <w:right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8</w:t>
            </w:r>
            <w:r w:rsidRPr="00072510">
              <w:rPr>
                <w:sz w:val="24"/>
                <w:vertAlign w:val="superscript"/>
              </w:rPr>
              <w:t>th</w:t>
            </w:r>
            <w:r w:rsidRPr="00072510">
              <w:rPr>
                <w:sz w:val="24"/>
              </w:rPr>
              <w:t xml:space="preserve"> year (2021) verification and correction</w:t>
            </w:r>
          </w:p>
        </w:tc>
        <w:tc>
          <w:tcPr>
            <w:tcW w:w="2381" w:type="dxa"/>
            <w:tcBorders>
              <w:top w:val="single" w:sz="2" w:space="0" w:color="auto"/>
              <w:left w:val="single" w:sz="2" w:space="0" w:color="auto"/>
              <w:bottom w:val="single" w:sz="2" w:space="0" w:color="auto"/>
              <w:right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completed May 2022</w:t>
            </w:r>
          </w:p>
        </w:tc>
      </w:tr>
      <w:tr w:rsidR="00072510" w:rsidRPr="00072510" w:rsidTr="005A555F">
        <w:tc>
          <w:tcPr>
            <w:tcW w:w="6367" w:type="dxa"/>
            <w:tcBorders>
              <w:top w:val="single" w:sz="2" w:space="0" w:color="auto"/>
              <w:left w:val="single" w:sz="2" w:space="0" w:color="auto"/>
              <w:bottom w:val="single" w:sz="2" w:space="0" w:color="auto"/>
              <w:right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9</w:t>
            </w:r>
            <w:r w:rsidRPr="00072510">
              <w:rPr>
                <w:sz w:val="24"/>
                <w:vertAlign w:val="superscript"/>
              </w:rPr>
              <w:t>th</w:t>
            </w:r>
            <w:r w:rsidRPr="00072510">
              <w:rPr>
                <w:sz w:val="24"/>
              </w:rPr>
              <w:t xml:space="preserve"> year (2022) data collection</w:t>
            </w:r>
          </w:p>
        </w:tc>
        <w:tc>
          <w:tcPr>
            <w:tcW w:w="2381" w:type="dxa"/>
            <w:tcBorders>
              <w:top w:val="single" w:sz="2" w:space="0" w:color="auto"/>
              <w:left w:val="single" w:sz="2" w:space="0" w:color="auto"/>
              <w:bottom w:val="single" w:sz="2" w:space="0" w:color="auto"/>
              <w:right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2022</w:t>
            </w:r>
          </w:p>
        </w:tc>
      </w:tr>
      <w:tr w:rsidR="00072510" w:rsidRPr="00072510" w:rsidTr="005A555F">
        <w:tc>
          <w:tcPr>
            <w:tcW w:w="6367" w:type="dxa"/>
            <w:tcBorders>
              <w:top w:val="single" w:sz="2" w:space="0" w:color="auto"/>
              <w:left w:val="single" w:sz="2" w:space="0" w:color="auto"/>
              <w:bottom w:val="single" w:sz="12" w:space="0" w:color="auto"/>
              <w:right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9</w:t>
            </w:r>
            <w:r w:rsidRPr="00072510">
              <w:rPr>
                <w:sz w:val="24"/>
                <w:vertAlign w:val="superscript"/>
              </w:rPr>
              <w:t>th</w:t>
            </w:r>
            <w:r w:rsidRPr="00072510">
              <w:rPr>
                <w:sz w:val="24"/>
              </w:rPr>
              <w:t xml:space="preserve"> year (2022) data verification and correction</w:t>
            </w:r>
          </w:p>
        </w:tc>
        <w:tc>
          <w:tcPr>
            <w:tcW w:w="2381" w:type="dxa"/>
            <w:tcBorders>
              <w:top w:val="single" w:sz="2" w:space="0" w:color="auto"/>
              <w:left w:val="single" w:sz="2" w:space="0" w:color="auto"/>
              <w:bottom w:val="single" w:sz="12" w:space="0" w:color="auto"/>
              <w:right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completed May 2023</w:t>
            </w:r>
          </w:p>
        </w:tc>
      </w:tr>
      <w:tr w:rsidR="00072510" w:rsidRPr="00072510" w:rsidTr="005A555F">
        <w:tc>
          <w:tcPr>
            <w:tcW w:w="6367" w:type="dxa"/>
            <w:tcBorders>
              <w:top w:val="single" w:sz="2" w:space="0" w:color="auto"/>
              <w:left w:val="single" w:sz="2" w:space="0" w:color="auto"/>
              <w:bottom w:val="single" w:sz="12" w:space="0" w:color="auto"/>
              <w:right w:val="single" w:sz="2" w:space="0" w:color="auto"/>
            </w:tcBorders>
          </w:tcPr>
          <w:p w:rsidR="00072510" w:rsidRPr="00072510" w:rsidRDefault="00072510" w:rsidP="00072510">
            <w:pPr>
              <w:autoSpaceDE w:val="0"/>
              <w:autoSpaceDN w:val="0"/>
              <w:adjustRightInd w:val="0"/>
              <w:spacing w:after="0" w:line="240" w:lineRule="auto"/>
              <w:rPr>
                <w:b/>
                <w:sz w:val="24"/>
              </w:rPr>
            </w:pPr>
            <w:r w:rsidRPr="00072510">
              <w:rPr>
                <w:b/>
                <w:sz w:val="24"/>
              </w:rPr>
              <w:t>Activity- Data analysis and publication</w:t>
            </w:r>
          </w:p>
        </w:tc>
        <w:tc>
          <w:tcPr>
            <w:tcW w:w="2381" w:type="dxa"/>
            <w:tcBorders>
              <w:top w:val="single" w:sz="2" w:space="0" w:color="auto"/>
              <w:left w:val="single" w:sz="2" w:space="0" w:color="auto"/>
              <w:bottom w:val="single" w:sz="12" w:space="0" w:color="auto"/>
              <w:right w:val="single" w:sz="2" w:space="0" w:color="auto"/>
            </w:tcBorders>
          </w:tcPr>
          <w:p w:rsidR="00072510" w:rsidRPr="00072510" w:rsidRDefault="00072510" w:rsidP="00072510">
            <w:pPr>
              <w:autoSpaceDE w:val="0"/>
              <w:autoSpaceDN w:val="0"/>
              <w:adjustRightInd w:val="0"/>
              <w:spacing w:after="0" w:line="240" w:lineRule="auto"/>
              <w:rPr>
                <w:sz w:val="24"/>
              </w:rPr>
            </w:pPr>
          </w:p>
        </w:tc>
      </w:tr>
      <w:tr w:rsidR="00072510" w:rsidRPr="00072510" w:rsidTr="005A555F">
        <w:tc>
          <w:tcPr>
            <w:tcW w:w="6367" w:type="dxa"/>
            <w:tcBorders>
              <w:top w:val="single" w:sz="12" w:space="0" w:color="auto"/>
              <w:bottom w:val="single" w:sz="2" w:space="0" w:color="auto"/>
              <w:right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4</w:t>
            </w:r>
            <w:r w:rsidRPr="00072510">
              <w:rPr>
                <w:sz w:val="24"/>
                <w:vertAlign w:val="superscript"/>
              </w:rPr>
              <w:t>th</w:t>
            </w:r>
            <w:r w:rsidRPr="00072510">
              <w:rPr>
                <w:sz w:val="24"/>
              </w:rPr>
              <w:t xml:space="preserve"> year (2017) data analysis and annual report </w:t>
            </w:r>
          </w:p>
        </w:tc>
        <w:tc>
          <w:tcPr>
            <w:tcW w:w="2381" w:type="dxa"/>
            <w:tcBorders>
              <w:top w:val="single" w:sz="12" w:space="0" w:color="auto"/>
              <w:left w:val="single" w:sz="2" w:space="0" w:color="auto"/>
              <w:bottom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completed Dec. 2019</w:t>
            </w:r>
          </w:p>
        </w:tc>
      </w:tr>
      <w:tr w:rsidR="00072510" w:rsidRPr="00072510" w:rsidTr="005A555F">
        <w:trPr>
          <w:trHeight w:val="70"/>
        </w:trPr>
        <w:tc>
          <w:tcPr>
            <w:tcW w:w="6367" w:type="dxa"/>
            <w:tcBorders>
              <w:top w:val="single" w:sz="2" w:space="0" w:color="auto"/>
              <w:bottom w:val="single" w:sz="2" w:space="0" w:color="auto"/>
              <w:right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5</w:t>
            </w:r>
            <w:r w:rsidRPr="00072510">
              <w:rPr>
                <w:sz w:val="24"/>
                <w:vertAlign w:val="superscript"/>
              </w:rPr>
              <w:t>th</w:t>
            </w:r>
            <w:r w:rsidRPr="00072510">
              <w:rPr>
                <w:sz w:val="24"/>
              </w:rPr>
              <w:t xml:space="preserve"> year (2018) data analysis and annual report</w:t>
            </w:r>
          </w:p>
        </w:tc>
        <w:tc>
          <w:tcPr>
            <w:tcW w:w="2381" w:type="dxa"/>
            <w:tcBorders>
              <w:top w:val="single" w:sz="2" w:space="0" w:color="auto"/>
              <w:left w:val="single" w:sz="2" w:space="0" w:color="auto"/>
              <w:bottom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completed Dec.2020</w:t>
            </w:r>
          </w:p>
        </w:tc>
      </w:tr>
      <w:tr w:rsidR="00072510" w:rsidRPr="00072510" w:rsidTr="005A555F">
        <w:tc>
          <w:tcPr>
            <w:tcW w:w="6367" w:type="dxa"/>
            <w:tcBorders>
              <w:top w:val="single" w:sz="2" w:space="0" w:color="auto"/>
              <w:bottom w:val="single" w:sz="2" w:space="0" w:color="auto"/>
              <w:right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6</w:t>
            </w:r>
            <w:r w:rsidRPr="00072510">
              <w:rPr>
                <w:sz w:val="24"/>
                <w:vertAlign w:val="superscript"/>
              </w:rPr>
              <w:t>th</w:t>
            </w:r>
            <w:r w:rsidRPr="00072510">
              <w:rPr>
                <w:sz w:val="24"/>
              </w:rPr>
              <w:t xml:space="preserve"> year (2019) data analysis and annual report</w:t>
            </w:r>
          </w:p>
        </w:tc>
        <w:tc>
          <w:tcPr>
            <w:tcW w:w="2381" w:type="dxa"/>
            <w:tcBorders>
              <w:top w:val="single" w:sz="2" w:space="0" w:color="auto"/>
              <w:left w:val="single" w:sz="2" w:space="0" w:color="auto"/>
              <w:bottom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completed Dec.2021</w:t>
            </w:r>
          </w:p>
        </w:tc>
      </w:tr>
      <w:tr w:rsidR="00072510" w:rsidRPr="00072510" w:rsidTr="005A555F">
        <w:tblPrEx>
          <w:tblLook w:val="04A0" w:firstRow="1" w:lastRow="0" w:firstColumn="1" w:lastColumn="0" w:noHBand="0" w:noVBand="1"/>
        </w:tblPrEx>
        <w:tc>
          <w:tcPr>
            <w:tcW w:w="6367" w:type="dxa"/>
            <w:tcBorders>
              <w:top w:val="single" w:sz="2" w:space="0" w:color="auto"/>
              <w:bottom w:val="single" w:sz="2" w:space="0" w:color="auto"/>
              <w:right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4</w:t>
            </w:r>
            <w:r w:rsidRPr="00072510">
              <w:rPr>
                <w:sz w:val="24"/>
                <w:vertAlign w:val="superscript"/>
              </w:rPr>
              <w:t>th</w:t>
            </w:r>
            <w:r w:rsidRPr="00072510">
              <w:rPr>
                <w:sz w:val="24"/>
              </w:rPr>
              <w:t>-6</w:t>
            </w:r>
            <w:r w:rsidRPr="00072510">
              <w:rPr>
                <w:sz w:val="24"/>
                <w:vertAlign w:val="superscript"/>
              </w:rPr>
              <w:t>th</w:t>
            </w:r>
            <w:r w:rsidRPr="00072510">
              <w:rPr>
                <w:sz w:val="24"/>
              </w:rPr>
              <w:t xml:space="preserve"> year (2017-2019) aggregate data analysis and report publication</w:t>
            </w:r>
          </w:p>
        </w:tc>
        <w:tc>
          <w:tcPr>
            <w:tcW w:w="2381" w:type="dxa"/>
            <w:tcBorders>
              <w:top w:val="single" w:sz="2" w:space="0" w:color="auto"/>
              <w:left w:val="single" w:sz="2" w:space="0" w:color="auto"/>
              <w:bottom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completed Dec.2022</w:t>
            </w:r>
          </w:p>
        </w:tc>
      </w:tr>
      <w:tr w:rsidR="00072510" w:rsidRPr="00072510" w:rsidTr="005A555F">
        <w:tblPrEx>
          <w:tblLook w:val="04A0" w:firstRow="1" w:lastRow="0" w:firstColumn="1" w:lastColumn="0" w:noHBand="0" w:noVBand="1"/>
        </w:tblPrEx>
        <w:tc>
          <w:tcPr>
            <w:tcW w:w="6367" w:type="dxa"/>
            <w:tcBorders>
              <w:top w:val="single" w:sz="2" w:space="0" w:color="auto"/>
              <w:bottom w:val="single" w:sz="2" w:space="0" w:color="auto"/>
              <w:right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7</w:t>
            </w:r>
            <w:r w:rsidRPr="00072510">
              <w:rPr>
                <w:sz w:val="24"/>
                <w:vertAlign w:val="superscript"/>
              </w:rPr>
              <w:t>th</w:t>
            </w:r>
            <w:r w:rsidRPr="00072510">
              <w:rPr>
                <w:sz w:val="24"/>
              </w:rPr>
              <w:t xml:space="preserve"> year (2020) data analysis and annual report </w:t>
            </w:r>
          </w:p>
        </w:tc>
        <w:tc>
          <w:tcPr>
            <w:tcW w:w="2381" w:type="dxa"/>
            <w:tcBorders>
              <w:top w:val="single" w:sz="2" w:space="0" w:color="auto"/>
              <w:left w:val="single" w:sz="2" w:space="0" w:color="auto"/>
              <w:bottom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completed Dec.2022</w:t>
            </w:r>
          </w:p>
        </w:tc>
      </w:tr>
      <w:tr w:rsidR="00072510" w:rsidRPr="00072510" w:rsidTr="005A555F">
        <w:tblPrEx>
          <w:tblLook w:val="04A0" w:firstRow="1" w:lastRow="0" w:firstColumn="1" w:lastColumn="0" w:noHBand="0" w:noVBand="1"/>
        </w:tblPrEx>
        <w:tc>
          <w:tcPr>
            <w:tcW w:w="6367" w:type="dxa"/>
            <w:tcBorders>
              <w:top w:val="single" w:sz="2" w:space="0" w:color="auto"/>
              <w:bottom w:val="single" w:sz="4" w:space="0" w:color="auto"/>
              <w:right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8</w:t>
            </w:r>
            <w:r w:rsidRPr="00072510">
              <w:rPr>
                <w:sz w:val="24"/>
                <w:vertAlign w:val="superscript"/>
              </w:rPr>
              <w:t>th</w:t>
            </w:r>
            <w:r w:rsidRPr="00072510">
              <w:rPr>
                <w:sz w:val="24"/>
              </w:rPr>
              <w:t xml:space="preserve"> year (2021) data analysis and annual report</w:t>
            </w:r>
          </w:p>
        </w:tc>
        <w:tc>
          <w:tcPr>
            <w:tcW w:w="2381" w:type="dxa"/>
            <w:tcBorders>
              <w:top w:val="single" w:sz="2" w:space="0" w:color="auto"/>
              <w:left w:val="single" w:sz="2" w:space="0" w:color="auto"/>
              <w:bottom w:val="single" w:sz="4"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completed Dec.2023</w:t>
            </w:r>
          </w:p>
        </w:tc>
      </w:tr>
      <w:tr w:rsidR="00072510" w:rsidRPr="00072510" w:rsidTr="005A555F">
        <w:tblPrEx>
          <w:tblLook w:val="04A0" w:firstRow="1" w:lastRow="0" w:firstColumn="1" w:lastColumn="0" w:noHBand="0" w:noVBand="1"/>
        </w:tblPrEx>
        <w:tc>
          <w:tcPr>
            <w:tcW w:w="6367" w:type="dxa"/>
            <w:tcBorders>
              <w:top w:val="single" w:sz="4" w:space="0" w:color="auto"/>
              <w:bottom w:val="single" w:sz="2" w:space="0" w:color="auto"/>
              <w:right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9</w:t>
            </w:r>
            <w:r w:rsidRPr="00072510">
              <w:rPr>
                <w:sz w:val="24"/>
                <w:vertAlign w:val="superscript"/>
              </w:rPr>
              <w:t>th</w:t>
            </w:r>
            <w:r w:rsidRPr="00072510">
              <w:rPr>
                <w:sz w:val="24"/>
              </w:rPr>
              <w:t xml:space="preserve"> year (2022) data analysis and annual report</w:t>
            </w:r>
          </w:p>
        </w:tc>
        <w:tc>
          <w:tcPr>
            <w:tcW w:w="2381" w:type="dxa"/>
            <w:tcBorders>
              <w:top w:val="single" w:sz="4" w:space="0" w:color="auto"/>
              <w:left w:val="single" w:sz="2" w:space="0" w:color="auto"/>
              <w:bottom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completed Dec.2024</w:t>
            </w:r>
          </w:p>
        </w:tc>
      </w:tr>
      <w:tr w:rsidR="00072510" w:rsidRPr="00072510" w:rsidTr="005A555F">
        <w:tblPrEx>
          <w:tblLook w:val="04A0" w:firstRow="1" w:lastRow="0" w:firstColumn="1" w:lastColumn="0" w:noHBand="0" w:noVBand="1"/>
        </w:tblPrEx>
        <w:tc>
          <w:tcPr>
            <w:tcW w:w="6367" w:type="dxa"/>
            <w:tcBorders>
              <w:top w:val="single" w:sz="2" w:space="0" w:color="auto"/>
              <w:bottom w:val="single" w:sz="12" w:space="0" w:color="auto"/>
              <w:right w:val="single" w:sz="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7</w:t>
            </w:r>
            <w:r w:rsidRPr="00072510">
              <w:rPr>
                <w:sz w:val="24"/>
                <w:vertAlign w:val="superscript"/>
              </w:rPr>
              <w:t>th</w:t>
            </w:r>
            <w:r w:rsidRPr="00072510">
              <w:rPr>
                <w:sz w:val="24"/>
              </w:rPr>
              <w:t>-9</w:t>
            </w:r>
            <w:r w:rsidRPr="00072510">
              <w:rPr>
                <w:sz w:val="24"/>
                <w:vertAlign w:val="superscript"/>
              </w:rPr>
              <w:t>th</w:t>
            </w:r>
            <w:r w:rsidRPr="00072510">
              <w:rPr>
                <w:sz w:val="24"/>
              </w:rPr>
              <w:t xml:space="preserve"> year (2020-2022) aggregate data analysis and report publication</w:t>
            </w:r>
          </w:p>
        </w:tc>
        <w:tc>
          <w:tcPr>
            <w:tcW w:w="2381" w:type="dxa"/>
            <w:tcBorders>
              <w:top w:val="single" w:sz="2" w:space="0" w:color="auto"/>
              <w:left w:val="single" w:sz="2" w:space="0" w:color="auto"/>
              <w:bottom w:val="single" w:sz="12" w:space="0" w:color="auto"/>
            </w:tcBorders>
          </w:tcPr>
          <w:p w:rsidR="00072510" w:rsidRPr="00072510" w:rsidRDefault="00072510" w:rsidP="00072510">
            <w:pPr>
              <w:autoSpaceDE w:val="0"/>
              <w:autoSpaceDN w:val="0"/>
              <w:adjustRightInd w:val="0"/>
              <w:spacing w:after="0" w:line="240" w:lineRule="auto"/>
              <w:rPr>
                <w:sz w:val="24"/>
              </w:rPr>
            </w:pPr>
            <w:r w:rsidRPr="00072510">
              <w:rPr>
                <w:sz w:val="24"/>
              </w:rPr>
              <w:t>completed Dec.2025</w:t>
            </w:r>
          </w:p>
        </w:tc>
      </w:tr>
    </w:tbl>
    <w:p w:rsidR="003C21A1" w:rsidRDefault="003C21A1" w:rsidP="003248A4">
      <w:pPr>
        <w:spacing w:line="240" w:lineRule="auto"/>
        <w:rPr>
          <w:sz w:val="24"/>
          <w:szCs w:val="24"/>
        </w:rPr>
      </w:pPr>
    </w:p>
    <w:p w:rsidR="00072510" w:rsidRPr="00072510" w:rsidRDefault="00072510" w:rsidP="00072510">
      <w:pPr>
        <w:spacing w:line="240" w:lineRule="auto"/>
        <w:rPr>
          <w:b/>
          <w:sz w:val="24"/>
          <w:szCs w:val="24"/>
        </w:rPr>
      </w:pPr>
      <w:r w:rsidRPr="00072510">
        <w:rPr>
          <w:b/>
          <w:sz w:val="24"/>
          <w:szCs w:val="24"/>
        </w:rPr>
        <w:t>B. Publication plan</w:t>
      </w:r>
    </w:p>
    <w:p w:rsidR="00072510" w:rsidRPr="00072510" w:rsidRDefault="00072510" w:rsidP="00E87525">
      <w:pPr>
        <w:spacing w:before="100" w:beforeAutospacing="1" w:after="100" w:afterAutospacing="1" w:line="240" w:lineRule="auto"/>
        <w:rPr>
          <w:sz w:val="24"/>
          <w:szCs w:val="24"/>
        </w:rPr>
      </w:pPr>
      <w:r w:rsidRPr="00072510">
        <w:rPr>
          <w:sz w:val="24"/>
          <w:szCs w:val="24"/>
        </w:rPr>
        <w:t>To date</w:t>
      </w:r>
      <w:r w:rsidR="006D6048">
        <w:rPr>
          <w:sz w:val="24"/>
          <w:szCs w:val="24"/>
        </w:rPr>
        <w:t>,</w:t>
      </w:r>
      <w:r w:rsidRPr="00072510">
        <w:rPr>
          <w:sz w:val="24"/>
          <w:szCs w:val="24"/>
        </w:rPr>
        <w:t xml:space="preserve"> CDC has released </w:t>
      </w:r>
      <w:r w:rsidR="009F081B">
        <w:rPr>
          <w:sz w:val="24"/>
          <w:szCs w:val="24"/>
        </w:rPr>
        <w:t>two</w:t>
      </w:r>
      <w:r w:rsidRPr="00072510">
        <w:rPr>
          <w:sz w:val="24"/>
          <w:szCs w:val="24"/>
        </w:rPr>
        <w:t xml:space="preserve"> annual NEARS reports (for years 2014-201</w:t>
      </w:r>
      <w:r w:rsidR="009F081B">
        <w:rPr>
          <w:sz w:val="24"/>
          <w:szCs w:val="24"/>
        </w:rPr>
        <w:t>5</w:t>
      </w:r>
      <w:r w:rsidRPr="00072510">
        <w:rPr>
          <w:sz w:val="24"/>
          <w:szCs w:val="24"/>
        </w:rPr>
        <w:t>) on the CDC website</w:t>
      </w:r>
      <w:r w:rsidR="006D6048">
        <w:rPr>
          <w:sz w:val="24"/>
          <w:szCs w:val="24"/>
        </w:rPr>
        <w:t xml:space="preserve"> (</w:t>
      </w:r>
      <w:hyperlink r:id="rId43" w:history="1">
        <w:r w:rsidR="006D6048" w:rsidRPr="00D65D35">
          <w:rPr>
            <w:rStyle w:val="Hyperlink"/>
            <w:sz w:val="24"/>
            <w:szCs w:val="24"/>
          </w:rPr>
          <w:t>https://www.cdc.gov/nceh/ehs/nears/publications.htm</w:t>
        </w:r>
      </w:hyperlink>
      <w:r w:rsidR="006D6048">
        <w:rPr>
          <w:sz w:val="24"/>
          <w:szCs w:val="24"/>
        </w:rPr>
        <w:t>)</w:t>
      </w:r>
      <w:r w:rsidRPr="00072510">
        <w:rPr>
          <w:sz w:val="24"/>
          <w:szCs w:val="24"/>
        </w:rPr>
        <w:t xml:space="preserve">. Additionally, CDC has published three articles in peer-reviewed scientific publications based on NEARS data. These are: </w:t>
      </w:r>
    </w:p>
    <w:p w:rsidR="00072510" w:rsidRPr="00072510" w:rsidRDefault="00072510" w:rsidP="006D6048">
      <w:pPr>
        <w:pStyle w:val="ListParagraph"/>
        <w:numPr>
          <w:ilvl w:val="0"/>
          <w:numId w:val="42"/>
        </w:numPr>
        <w:spacing w:before="100" w:beforeAutospacing="1" w:after="100" w:afterAutospacing="1" w:line="240" w:lineRule="auto"/>
        <w:rPr>
          <w:sz w:val="24"/>
          <w:szCs w:val="24"/>
        </w:rPr>
      </w:pPr>
      <w:r w:rsidRPr="00072510">
        <w:rPr>
          <w:sz w:val="24"/>
          <w:szCs w:val="24"/>
        </w:rPr>
        <w:t xml:space="preserve">Outbreak characteristics associated with identification of contributing factors to foodborne illness outbreaks (2017) </w:t>
      </w:r>
      <w:r w:rsidRPr="00072510">
        <w:rPr>
          <w:i/>
          <w:sz w:val="24"/>
          <w:szCs w:val="24"/>
        </w:rPr>
        <w:t>Epidemiology and Infection</w:t>
      </w:r>
      <w:r w:rsidRPr="00072510">
        <w:rPr>
          <w:sz w:val="24"/>
          <w:szCs w:val="24"/>
        </w:rPr>
        <w:t xml:space="preserve"> </w:t>
      </w:r>
      <w:r w:rsidR="006D6048">
        <w:rPr>
          <w:sz w:val="24"/>
          <w:szCs w:val="24"/>
        </w:rPr>
        <w:t>(</w:t>
      </w:r>
      <w:hyperlink r:id="rId44" w:history="1">
        <w:r w:rsidR="006D6048" w:rsidRPr="00D65D35">
          <w:rPr>
            <w:rStyle w:val="Hyperlink"/>
            <w:sz w:val="24"/>
            <w:szCs w:val="24"/>
          </w:rPr>
          <w:t>https://www.cdc.gov/nceh/ehs/docs/contributing-factors.pdf</w:t>
        </w:r>
      </w:hyperlink>
      <w:r w:rsidR="006D6048">
        <w:rPr>
          <w:sz w:val="24"/>
          <w:szCs w:val="24"/>
        </w:rPr>
        <w:t xml:space="preserve">) </w:t>
      </w:r>
    </w:p>
    <w:p w:rsidR="00072510" w:rsidRPr="00072510" w:rsidRDefault="00072510" w:rsidP="00E87525">
      <w:pPr>
        <w:pStyle w:val="ListParagraph"/>
        <w:numPr>
          <w:ilvl w:val="0"/>
          <w:numId w:val="42"/>
        </w:numPr>
        <w:spacing w:before="100" w:beforeAutospacing="1" w:after="100" w:afterAutospacing="1" w:line="240" w:lineRule="auto"/>
        <w:rPr>
          <w:i/>
          <w:sz w:val="24"/>
          <w:szCs w:val="24"/>
        </w:rPr>
      </w:pPr>
      <w:r w:rsidRPr="00072510">
        <w:rPr>
          <w:sz w:val="24"/>
          <w:szCs w:val="24"/>
        </w:rPr>
        <w:t xml:space="preserve">Foodborne outbreak establishment characteristics and policies--National Environmental Assessment Reporting System (NEARS), 2014-2016 (2019) </w:t>
      </w:r>
      <w:r w:rsidRPr="00072510">
        <w:rPr>
          <w:i/>
          <w:sz w:val="24"/>
          <w:szCs w:val="24"/>
        </w:rPr>
        <w:t>MMWR</w:t>
      </w:r>
    </w:p>
    <w:p w:rsidR="00072510" w:rsidRPr="00072510" w:rsidRDefault="00072510" w:rsidP="00E87525">
      <w:pPr>
        <w:pStyle w:val="ListParagraph"/>
        <w:numPr>
          <w:ilvl w:val="0"/>
          <w:numId w:val="42"/>
        </w:numPr>
        <w:spacing w:before="100" w:beforeAutospacing="1" w:after="100" w:afterAutospacing="1" w:line="240" w:lineRule="auto"/>
        <w:rPr>
          <w:i/>
          <w:sz w:val="24"/>
          <w:szCs w:val="24"/>
        </w:rPr>
      </w:pPr>
      <w:r w:rsidRPr="00072510">
        <w:rPr>
          <w:sz w:val="24"/>
          <w:szCs w:val="24"/>
        </w:rPr>
        <w:t xml:space="preserve">Facilitators and barriers to conducting Environmental Assessments for food establishment outbreaks – National Environmental Assessment Reporting System, 2014-2016 (2019) </w:t>
      </w:r>
      <w:r w:rsidRPr="00072510">
        <w:rPr>
          <w:i/>
          <w:sz w:val="24"/>
          <w:szCs w:val="24"/>
        </w:rPr>
        <w:t>MMWR</w:t>
      </w:r>
    </w:p>
    <w:p w:rsidR="00072510" w:rsidRDefault="00072510" w:rsidP="00E87525">
      <w:pPr>
        <w:spacing w:before="100" w:beforeAutospacing="1" w:after="100" w:afterAutospacing="1" w:line="240" w:lineRule="auto"/>
        <w:rPr>
          <w:sz w:val="24"/>
          <w:szCs w:val="24"/>
        </w:rPr>
      </w:pPr>
      <w:r w:rsidRPr="00072510">
        <w:rPr>
          <w:sz w:val="24"/>
          <w:szCs w:val="24"/>
        </w:rPr>
        <w:t>CDC plans to continue to periodically publish NEARS data through relevant sources. These disseminations will allow food safety programs, food industries, and academia to access and use the information gained from NEARS to improve their foodborne illness outbreak response and prevention. Ultimately, these actions will lead to increased food safety program effectiveness, increased food safety, and decreased foodborne illness.</w:t>
      </w:r>
    </w:p>
    <w:p w:rsidR="007D64AD" w:rsidRPr="007D64AD" w:rsidRDefault="007D64AD" w:rsidP="00E87525">
      <w:pPr>
        <w:spacing w:before="100" w:beforeAutospacing="1" w:after="100" w:afterAutospacing="1" w:line="240" w:lineRule="auto"/>
        <w:rPr>
          <w:b/>
          <w:sz w:val="24"/>
          <w:szCs w:val="24"/>
        </w:rPr>
      </w:pPr>
      <w:r w:rsidRPr="007D64AD">
        <w:rPr>
          <w:b/>
          <w:sz w:val="24"/>
          <w:szCs w:val="24"/>
        </w:rPr>
        <w:t>C. Analysis plan</w:t>
      </w:r>
    </w:p>
    <w:p w:rsidR="007D64AD" w:rsidRPr="00D20211" w:rsidRDefault="007D64AD" w:rsidP="00E87525">
      <w:pPr>
        <w:spacing w:before="100" w:beforeAutospacing="1" w:after="100" w:afterAutospacing="1" w:line="240" w:lineRule="auto"/>
        <w:rPr>
          <w:sz w:val="24"/>
          <w:szCs w:val="24"/>
        </w:rPr>
      </w:pPr>
      <w:r w:rsidRPr="007D64AD">
        <w:rPr>
          <w:sz w:val="24"/>
          <w:szCs w:val="24"/>
        </w:rPr>
        <w:t>A detailed analysis plan can be found in Supporting Statement B (B.4</w:t>
      </w:r>
      <w:r w:rsidR="00DB6F6A">
        <w:rPr>
          <w:sz w:val="24"/>
          <w:szCs w:val="24"/>
        </w:rPr>
        <w:t>.</w:t>
      </w:r>
      <w:r w:rsidRPr="007D64AD">
        <w:rPr>
          <w:sz w:val="24"/>
          <w:szCs w:val="24"/>
        </w:rPr>
        <w:t>).</w:t>
      </w:r>
    </w:p>
    <w:p w:rsidR="00B45002" w:rsidRPr="00D20211" w:rsidRDefault="00601F1A" w:rsidP="00601F1A">
      <w:pPr>
        <w:pStyle w:val="Heading1"/>
        <w:pBdr>
          <w:bottom w:val="none" w:sz="0" w:space="0" w:color="auto"/>
        </w:pBdr>
        <w:rPr>
          <w:color w:val="auto"/>
        </w:rPr>
      </w:pPr>
      <w:bookmarkStart w:id="19" w:name="_Toc532377534"/>
      <w:r w:rsidRPr="00D20211">
        <w:rPr>
          <w:color w:val="auto"/>
        </w:rPr>
        <w:t>A.</w:t>
      </w:r>
      <w:r w:rsidR="00AC62CC" w:rsidRPr="00D20211">
        <w:rPr>
          <w:color w:val="auto"/>
        </w:rPr>
        <w:t xml:space="preserve">17.  </w:t>
      </w:r>
      <w:r w:rsidR="00B45002" w:rsidRPr="00D20211">
        <w:rPr>
          <w:color w:val="auto"/>
        </w:rPr>
        <w:t>Reason(s) Display of OMB Expiration Date is Inappropriate</w:t>
      </w:r>
      <w:bookmarkEnd w:id="19"/>
    </w:p>
    <w:p w:rsidR="005B6E55" w:rsidRPr="00D20211" w:rsidRDefault="005B6E55" w:rsidP="005B6E55"/>
    <w:p w:rsidR="005B6E55" w:rsidRPr="00D20211" w:rsidRDefault="005B6E55" w:rsidP="005B6E55">
      <w:pPr>
        <w:autoSpaceDE w:val="0"/>
        <w:autoSpaceDN w:val="0"/>
        <w:adjustRightInd w:val="0"/>
        <w:spacing w:line="240" w:lineRule="auto"/>
        <w:rPr>
          <w:rFonts w:cs="ITCFranklinGothicStd-Book"/>
          <w:sz w:val="24"/>
          <w:szCs w:val="24"/>
        </w:rPr>
      </w:pPr>
      <w:r w:rsidRPr="00D20211">
        <w:rPr>
          <w:rFonts w:cs="ITCFranklinGothicStd-Book"/>
          <w:sz w:val="24"/>
          <w:szCs w:val="24"/>
        </w:rPr>
        <w:t>The display o</w:t>
      </w:r>
      <w:r w:rsidR="0006228C">
        <w:rPr>
          <w:rFonts w:cs="ITCFranklinGothicStd-Book"/>
          <w:sz w:val="24"/>
          <w:szCs w:val="24"/>
        </w:rPr>
        <w:t xml:space="preserve">f the OMB expiration date is </w:t>
      </w:r>
      <w:r w:rsidR="007D64AD">
        <w:rPr>
          <w:rFonts w:cs="ITCFranklinGothicStd-Book"/>
          <w:sz w:val="24"/>
          <w:szCs w:val="24"/>
        </w:rPr>
        <w:t>appropriate.</w:t>
      </w:r>
    </w:p>
    <w:p w:rsidR="00DC57CC" w:rsidRPr="00D20211" w:rsidRDefault="00601F1A" w:rsidP="00601F1A">
      <w:pPr>
        <w:pStyle w:val="Heading1"/>
        <w:pBdr>
          <w:bottom w:val="none" w:sz="0" w:space="0" w:color="auto"/>
        </w:pBdr>
        <w:rPr>
          <w:color w:val="auto"/>
        </w:rPr>
      </w:pPr>
      <w:bookmarkStart w:id="20" w:name="_Toc532377535"/>
      <w:r w:rsidRPr="00D20211">
        <w:rPr>
          <w:color w:val="auto"/>
        </w:rPr>
        <w:t>A.</w:t>
      </w:r>
      <w:r w:rsidR="00B45002" w:rsidRPr="00D20211">
        <w:rPr>
          <w:color w:val="auto"/>
        </w:rPr>
        <w:t>18</w:t>
      </w:r>
      <w:r w:rsidR="00AC62CC" w:rsidRPr="00D20211">
        <w:rPr>
          <w:color w:val="auto"/>
        </w:rPr>
        <w:t xml:space="preserve">.  </w:t>
      </w:r>
      <w:r w:rsidR="00B45002" w:rsidRPr="00D20211">
        <w:rPr>
          <w:color w:val="auto"/>
        </w:rPr>
        <w:t>Exceptions to Certification for Paperwork Reduction Act Submissions</w:t>
      </w:r>
      <w:bookmarkEnd w:id="20"/>
    </w:p>
    <w:p w:rsidR="008C154D" w:rsidRPr="00D20211" w:rsidRDefault="008C154D" w:rsidP="005B6E55">
      <w:pPr>
        <w:spacing w:line="240" w:lineRule="auto"/>
        <w:rPr>
          <w:sz w:val="24"/>
          <w:szCs w:val="24"/>
        </w:rPr>
      </w:pPr>
    </w:p>
    <w:p w:rsidR="005B6E55" w:rsidRPr="00670118" w:rsidRDefault="005B6E55" w:rsidP="007D64AD">
      <w:r w:rsidRPr="00CB4EE6">
        <w:rPr>
          <w:rFonts w:cs="ITCFranklinGothicStd-Book"/>
          <w:sz w:val="24"/>
          <w:szCs w:val="24"/>
        </w:rPr>
        <w:t>There are no exceptions to the certification.</w:t>
      </w:r>
      <w:r w:rsidR="00CB4EE6" w:rsidRPr="00CB4EE6">
        <w:rPr>
          <w:rFonts w:cs="ITCFranklinGothicStd-Book"/>
          <w:sz w:val="24"/>
          <w:szCs w:val="24"/>
        </w:rPr>
        <w:t xml:space="preserve"> </w:t>
      </w:r>
      <w:r w:rsidR="00CB4EE6" w:rsidRPr="00CB4EE6">
        <w:rPr>
          <w:sz w:val="24"/>
          <w:szCs w:val="24"/>
        </w:rPr>
        <w:t>These activities comply with the requirements in 5 CFR 1320.9.</w:t>
      </w:r>
    </w:p>
    <w:p w:rsidR="005C33C7" w:rsidRDefault="005C33C7" w:rsidP="005C33C7">
      <w:pPr>
        <w:pStyle w:val="Heading1"/>
        <w:pBdr>
          <w:bottom w:val="none" w:sz="0" w:space="0" w:color="auto"/>
        </w:pBdr>
        <w:rPr>
          <w:rFonts w:ascii="Cambria" w:hAnsi="Cambria"/>
          <w:color w:val="auto"/>
        </w:rPr>
      </w:pPr>
      <w:bookmarkStart w:id="21" w:name="_Toc532377536"/>
      <w:r w:rsidRPr="00D20211">
        <w:rPr>
          <w:rFonts w:ascii="Cambria" w:hAnsi="Cambria"/>
          <w:color w:val="auto"/>
        </w:rPr>
        <w:t>References</w:t>
      </w:r>
      <w:bookmarkEnd w:id="21"/>
    </w:p>
    <w:p w:rsidR="00CE59EC" w:rsidRPr="00E87525" w:rsidRDefault="00CE59EC" w:rsidP="00E87525"/>
    <w:p w:rsidR="00DB6F6A" w:rsidRPr="00DC6291" w:rsidRDefault="00061EA6">
      <w:pPr>
        <w:autoSpaceDE w:val="0"/>
        <w:autoSpaceDN w:val="0"/>
        <w:adjustRightInd w:val="0"/>
        <w:spacing w:after="0" w:line="240" w:lineRule="auto"/>
        <w:ind w:left="720" w:hanging="720"/>
        <w:rPr>
          <w:rFonts w:cstheme="minorHAnsi"/>
          <w:sz w:val="24"/>
          <w:szCs w:val="24"/>
        </w:rPr>
      </w:pPr>
      <w:r w:rsidRPr="00DC6291">
        <w:rPr>
          <w:rFonts w:cstheme="minorHAnsi"/>
          <w:sz w:val="24"/>
          <w:szCs w:val="24"/>
        </w:rPr>
        <w:t>Brown, L, Hoover, E, Selman</w:t>
      </w:r>
      <w:r w:rsidR="00DC6291">
        <w:rPr>
          <w:rFonts w:cstheme="minorHAnsi"/>
          <w:sz w:val="24"/>
          <w:szCs w:val="24"/>
        </w:rPr>
        <w:t xml:space="preserve">, C, Coleman, E, Schurz Rogers, H. </w:t>
      </w:r>
      <w:r w:rsidRPr="00DC6291">
        <w:rPr>
          <w:rFonts w:cstheme="minorHAnsi"/>
          <w:sz w:val="24"/>
          <w:szCs w:val="24"/>
        </w:rPr>
        <w:t>Outbreak characteristics associated with identification of contributing factors to foodborne illness outbreaks. Epi Infect. 2017;1:1-9.</w:t>
      </w:r>
    </w:p>
    <w:p w:rsidR="00DB6F6A" w:rsidRDefault="00DB6F6A" w:rsidP="00CC2B94">
      <w:pPr>
        <w:spacing w:after="0" w:line="240" w:lineRule="auto"/>
        <w:ind w:left="720" w:hanging="720"/>
        <w:rPr>
          <w:rFonts w:cstheme="minorHAnsi"/>
          <w:sz w:val="24"/>
          <w:szCs w:val="24"/>
        </w:rPr>
      </w:pPr>
    </w:p>
    <w:p w:rsidR="00061EA6" w:rsidRDefault="00061EA6" w:rsidP="00CC2B94">
      <w:pPr>
        <w:spacing w:after="0" w:line="240" w:lineRule="auto"/>
        <w:ind w:left="720" w:hanging="720"/>
        <w:rPr>
          <w:rFonts w:cstheme="minorHAnsi"/>
          <w:sz w:val="24"/>
          <w:szCs w:val="24"/>
        </w:rPr>
      </w:pPr>
      <w:r w:rsidRPr="00DC6291">
        <w:rPr>
          <w:rFonts w:cstheme="minorHAnsi"/>
          <w:sz w:val="24"/>
          <w:szCs w:val="24"/>
        </w:rPr>
        <w:t xml:space="preserve">Dewey-Mattia D, Manikonda K, Hall AJ, Wise ME, Crowe SJ. Surveillance for Foodborne Disease Outbreaks — United States, 2009–2015. </w:t>
      </w:r>
      <w:r w:rsidRPr="00DC6291">
        <w:rPr>
          <w:rFonts w:cstheme="minorHAnsi"/>
          <w:i/>
          <w:sz w:val="24"/>
          <w:szCs w:val="24"/>
        </w:rPr>
        <w:t>MMWR Surveill Summ</w:t>
      </w:r>
      <w:r w:rsidRPr="00DC6291">
        <w:rPr>
          <w:rFonts w:cstheme="minorHAnsi"/>
          <w:sz w:val="24"/>
          <w:szCs w:val="24"/>
        </w:rPr>
        <w:t xml:space="preserve"> 2018;67(No. SS-10):1–11. </w:t>
      </w:r>
    </w:p>
    <w:p w:rsidR="00DB6F6A" w:rsidRPr="00DC6291" w:rsidRDefault="00DB6F6A" w:rsidP="00CC2B94">
      <w:pPr>
        <w:spacing w:after="0" w:line="240" w:lineRule="auto"/>
        <w:ind w:left="720" w:hanging="720"/>
        <w:rPr>
          <w:rFonts w:cstheme="minorHAnsi"/>
          <w:sz w:val="24"/>
          <w:szCs w:val="24"/>
        </w:rPr>
      </w:pPr>
    </w:p>
    <w:p w:rsidR="007D64AD" w:rsidRDefault="007D64AD" w:rsidP="00CC2B94">
      <w:pPr>
        <w:spacing w:after="0" w:line="240" w:lineRule="auto"/>
        <w:ind w:left="720" w:hanging="720"/>
        <w:rPr>
          <w:sz w:val="24"/>
        </w:rPr>
      </w:pPr>
      <w:r w:rsidRPr="007D64AD">
        <w:rPr>
          <w:sz w:val="24"/>
        </w:rPr>
        <w:t xml:space="preserve">Scallan E, Hoekstra RM, Angulo FJ, Tauxe RV, Widdowson M-A, Roy SL, et al. Foodborne illness acquired in the United States—major pathogens. </w:t>
      </w:r>
      <w:r w:rsidRPr="007D64AD">
        <w:rPr>
          <w:i/>
          <w:sz w:val="24"/>
        </w:rPr>
        <w:t>Emerg Infect Dis.</w:t>
      </w:r>
      <w:r w:rsidRPr="007D64AD">
        <w:rPr>
          <w:sz w:val="24"/>
        </w:rPr>
        <w:t xml:space="preserve"> 2011;</w:t>
      </w:r>
      <w:r w:rsidR="00CE59EC">
        <w:rPr>
          <w:sz w:val="24"/>
        </w:rPr>
        <w:t xml:space="preserve"> </w:t>
      </w:r>
      <w:r w:rsidRPr="007D64AD">
        <w:rPr>
          <w:sz w:val="24"/>
        </w:rPr>
        <w:t xml:space="preserve">17:7–15. </w:t>
      </w:r>
    </w:p>
    <w:p w:rsidR="00DB6F6A" w:rsidRPr="007D64AD" w:rsidRDefault="00DB6F6A" w:rsidP="00CC2B94">
      <w:pPr>
        <w:spacing w:after="0" w:line="240" w:lineRule="auto"/>
        <w:ind w:left="720" w:hanging="720"/>
        <w:rPr>
          <w:sz w:val="24"/>
        </w:rPr>
      </w:pPr>
    </w:p>
    <w:p w:rsidR="007D64AD" w:rsidRPr="007D64AD" w:rsidRDefault="007D64AD" w:rsidP="00CC2B94">
      <w:pPr>
        <w:spacing w:after="0" w:line="240" w:lineRule="auto"/>
        <w:ind w:left="720" w:hanging="720"/>
        <w:rPr>
          <w:sz w:val="24"/>
        </w:rPr>
      </w:pPr>
      <w:r w:rsidRPr="007D64AD">
        <w:rPr>
          <w:sz w:val="24"/>
        </w:rPr>
        <w:t xml:space="preserve">Scallan E, Griffin PM, Angulo FJ, Tauxe RV, Hoekstra RM. Foodborne illness acquired in the United States—unspecified agents. </w:t>
      </w:r>
      <w:r w:rsidRPr="007D64AD">
        <w:rPr>
          <w:i/>
          <w:sz w:val="24"/>
        </w:rPr>
        <w:t>Emerg Infect Dis.</w:t>
      </w:r>
      <w:r w:rsidRPr="007D64AD">
        <w:rPr>
          <w:sz w:val="24"/>
        </w:rPr>
        <w:t xml:space="preserve"> 2011;</w:t>
      </w:r>
      <w:r w:rsidR="00CE59EC">
        <w:rPr>
          <w:sz w:val="24"/>
        </w:rPr>
        <w:t xml:space="preserve"> </w:t>
      </w:r>
      <w:r w:rsidRPr="007D64AD">
        <w:rPr>
          <w:sz w:val="24"/>
        </w:rPr>
        <w:t xml:space="preserve">17:16–22. </w:t>
      </w:r>
    </w:p>
    <w:p w:rsidR="008C154D" w:rsidRPr="00D20211" w:rsidRDefault="008C154D" w:rsidP="008C154D">
      <w:pPr>
        <w:pStyle w:val="Heading1"/>
        <w:pBdr>
          <w:bottom w:val="none" w:sz="0" w:space="0" w:color="auto"/>
        </w:pBdr>
        <w:rPr>
          <w:rFonts w:ascii="Cambria" w:hAnsi="Cambria"/>
          <w:color w:val="auto"/>
        </w:rPr>
      </w:pPr>
      <w:bookmarkStart w:id="22" w:name="_Toc532377537"/>
      <w:r w:rsidRPr="00D20211">
        <w:rPr>
          <w:rFonts w:ascii="Cambria" w:hAnsi="Cambria"/>
          <w:color w:val="auto"/>
        </w:rPr>
        <w:t>L</w:t>
      </w:r>
      <w:r w:rsidR="00E278FC" w:rsidRPr="00D20211">
        <w:rPr>
          <w:rFonts w:ascii="Cambria" w:hAnsi="Cambria"/>
          <w:color w:val="auto"/>
        </w:rPr>
        <w:t>ist of</w:t>
      </w:r>
      <w:r w:rsidRPr="00D20211">
        <w:rPr>
          <w:rFonts w:ascii="Cambria" w:hAnsi="Cambria"/>
          <w:color w:val="auto"/>
        </w:rPr>
        <w:t xml:space="preserve"> Attachments</w:t>
      </w:r>
      <w:bookmarkEnd w:id="22"/>
    </w:p>
    <w:p w:rsidR="008C154D" w:rsidRPr="00D20211" w:rsidRDefault="008C154D" w:rsidP="008C154D"/>
    <w:p w:rsidR="008C154D" w:rsidRDefault="008C154D" w:rsidP="0080091A">
      <w:pPr>
        <w:rPr>
          <w:sz w:val="24"/>
          <w:szCs w:val="24"/>
        </w:rPr>
      </w:pPr>
      <w:r w:rsidRPr="007D64AD">
        <w:rPr>
          <w:rFonts w:cstheme="minorHAnsi"/>
          <w:sz w:val="24"/>
          <w:szCs w:val="24"/>
        </w:rPr>
        <w:t>Attachment 1</w:t>
      </w:r>
      <w:r w:rsidR="001C3062">
        <w:rPr>
          <w:rFonts w:cstheme="minorHAnsi"/>
          <w:sz w:val="24"/>
          <w:szCs w:val="24"/>
        </w:rPr>
        <w:t>A</w:t>
      </w:r>
      <w:r w:rsidRPr="007D64AD">
        <w:rPr>
          <w:rFonts w:cstheme="minorHAnsi"/>
          <w:sz w:val="24"/>
          <w:szCs w:val="24"/>
        </w:rPr>
        <w:t>. Authorizing Legislation</w:t>
      </w:r>
      <w:r w:rsidR="001C3062">
        <w:rPr>
          <w:rFonts w:cstheme="minorHAnsi"/>
          <w:sz w:val="24"/>
          <w:szCs w:val="24"/>
        </w:rPr>
        <w:t xml:space="preserve"> </w:t>
      </w:r>
      <w:r w:rsidR="001C3062" w:rsidRPr="00D252AB">
        <w:rPr>
          <w:sz w:val="24"/>
          <w:szCs w:val="24"/>
        </w:rPr>
        <w:t xml:space="preserve">42 U.S.C. </w:t>
      </w:r>
      <w:r w:rsidR="001C3062">
        <w:rPr>
          <w:sz w:val="24"/>
          <w:szCs w:val="24"/>
        </w:rPr>
        <w:t xml:space="preserve">§ </w:t>
      </w:r>
      <w:r w:rsidR="001C3062" w:rsidRPr="00D252AB">
        <w:rPr>
          <w:sz w:val="24"/>
          <w:szCs w:val="24"/>
        </w:rPr>
        <w:t>241</w:t>
      </w:r>
    </w:p>
    <w:p w:rsidR="001C3062" w:rsidRPr="007D64AD" w:rsidRDefault="001C3062" w:rsidP="0080091A">
      <w:pPr>
        <w:rPr>
          <w:rFonts w:cstheme="minorHAnsi"/>
          <w:sz w:val="24"/>
          <w:szCs w:val="24"/>
        </w:rPr>
      </w:pPr>
      <w:r>
        <w:rPr>
          <w:sz w:val="24"/>
          <w:szCs w:val="24"/>
        </w:rPr>
        <w:t xml:space="preserve">Attachment 1B. Authorizing Legislation </w:t>
      </w:r>
      <w:r w:rsidRPr="00D252AB">
        <w:rPr>
          <w:sz w:val="24"/>
          <w:szCs w:val="24"/>
        </w:rPr>
        <w:t>21 U</w:t>
      </w:r>
      <w:r>
        <w:rPr>
          <w:sz w:val="24"/>
          <w:szCs w:val="24"/>
        </w:rPr>
        <w:t>.</w:t>
      </w:r>
      <w:r w:rsidRPr="00D252AB">
        <w:rPr>
          <w:sz w:val="24"/>
          <w:szCs w:val="24"/>
        </w:rPr>
        <w:t>S</w:t>
      </w:r>
      <w:r>
        <w:rPr>
          <w:sz w:val="24"/>
          <w:szCs w:val="24"/>
        </w:rPr>
        <w:t>.</w:t>
      </w:r>
      <w:r w:rsidRPr="00D252AB">
        <w:rPr>
          <w:sz w:val="24"/>
          <w:szCs w:val="24"/>
        </w:rPr>
        <w:t xml:space="preserve">C </w:t>
      </w:r>
      <w:r>
        <w:rPr>
          <w:sz w:val="24"/>
          <w:szCs w:val="24"/>
        </w:rPr>
        <w:t xml:space="preserve">§ </w:t>
      </w:r>
      <w:r w:rsidRPr="00D252AB">
        <w:rPr>
          <w:sz w:val="24"/>
          <w:szCs w:val="24"/>
        </w:rPr>
        <w:t>2201</w:t>
      </w:r>
    </w:p>
    <w:p w:rsidR="008C154D" w:rsidRPr="007D64AD" w:rsidRDefault="008C154D" w:rsidP="0080091A">
      <w:pPr>
        <w:rPr>
          <w:rFonts w:cstheme="minorHAnsi"/>
          <w:sz w:val="24"/>
          <w:szCs w:val="24"/>
        </w:rPr>
      </w:pPr>
      <w:r w:rsidRPr="007D64AD">
        <w:rPr>
          <w:rFonts w:cstheme="minorHAnsi"/>
          <w:sz w:val="24"/>
          <w:szCs w:val="24"/>
        </w:rPr>
        <w:t>Attachment 2. 60-day Federal Register Notice</w:t>
      </w:r>
    </w:p>
    <w:p w:rsidR="008C154D" w:rsidRPr="007D64AD" w:rsidRDefault="008C154D" w:rsidP="0080091A">
      <w:pPr>
        <w:rPr>
          <w:rFonts w:cstheme="minorHAnsi"/>
          <w:sz w:val="24"/>
          <w:szCs w:val="24"/>
        </w:rPr>
      </w:pPr>
      <w:r w:rsidRPr="007D64AD">
        <w:rPr>
          <w:rFonts w:cstheme="minorHAnsi"/>
          <w:sz w:val="24"/>
          <w:szCs w:val="24"/>
        </w:rPr>
        <w:t xml:space="preserve">Attachment 3. </w:t>
      </w:r>
      <w:r w:rsidR="000925FC">
        <w:rPr>
          <w:rFonts w:cstheme="minorHAnsi"/>
          <w:sz w:val="24"/>
          <w:szCs w:val="24"/>
        </w:rPr>
        <w:t>Definition of Contributing Factors to Foodborne Illness Outbreaks</w:t>
      </w:r>
    </w:p>
    <w:p w:rsidR="006570C6" w:rsidRPr="007D64AD" w:rsidRDefault="00993AAD" w:rsidP="0080091A">
      <w:pPr>
        <w:rPr>
          <w:rFonts w:cstheme="minorHAnsi"/>
          <w:sz w:val="24"/>
          <w:szCs w:val="24"/>
        </w:rPr>
      </w:pPr>
      <w:r w:rsidRPr="007D64AD">
        <w:rPr>
          <w:rFonts w:cstheme="minorHAnsi"/>
          <w:sz w:val="24"/>
          <w:szCs w:val="24"/>
        </w:rPr>
        <w:t>Attachment 4</w:t>
      </w:r>
      <w:r w:rsidR="006570C6" w:rsidRPr="007D64AD">
        <w:rPr>
          <w:rFonts w:cstheme="minorHAnsi"/>
          <w:sz w:val="24"/>
          <w:szCs w:val="24"/>
        </w:rPr>
        <w:t xml:space="preserve">. </w:t>
      </w:r>
      <w:r w:rsidR="00C84C5A">
        <w:rPr>
          <w:rFonts w:cstheme="minorHAnsi"/>
          <w:sz w:val="24"/>
          <w:szCs w:val="24"/>
        </w:rPr>
        <w:t>NEARS Food Safety Program Training Webinar</w:t>
      </w:r>
    </w:p>
    <w:p w:rsidR="006570C6" w:rsidRPr="007D64AD" w:rsidRDefault="00C84C5A" w:rsidP="0080091A">
      <w:pPr>
        <w:rPr>
          <w:rFonts w:cstheme="minorHAnsi"/>
          <w:sz w:val="24"/>
          <w:szCs w:val="24"/>
        </w:rPr>
      </w:pPr>
      <w:r>
        <w:rPr>
          <w:rFonts w:cstheme="minorHAnsi"/>
          <w:sz w:val="24"/>
          <w:szCs w:val="24"/>
        </w:rPr>
        <w:t>Attachment 5</w:t>
      </w:r>
      <w:r w:rsidR="006570C6" w:rsidRPr="007D64AD">
        <w:rPr>
          <w:rFonts w:cstheme="minorHAnsi"/>
          <w:sz w:val="24"/>
          <w:szCs w:val="24"/>
        </w:rPr>
        <w:t xml:space="preserve">. </w:t>
      </w:r>
      <w:r>
        <w:rPr>
          <w:rFonts w:cstheme="minorHAnsi"/>
          <w:sz w:val="24"/>
          <w:szCs w:val="24"/>
        </w:rPr>
        <w:t xml:space="preserve">NEARS Environmental Assessment </w:t>
      </w:r>
      <w:r w:rsidR="00071D4A">
        <w:rPr>
          <w:rFonts w:cstheme="minorHAnsi"/>
          <w:sz w:val="24"/>
          <w:szCs w:val="24"/>
        </w:rPr>
        <w:t xml:space="preserve">Training on </w:t>
      </w:r>
      <w:r>
        <w:rPr>
          <w:rFonts w:cstheme="minorHAnsi"/>
          <w:sz w:val="24"/>
          <w:szCs w:val="24"/>
        </w:rPr>
        <w:t>Foodborne Illness Outbreaks (screenshots)</w:t>
      </w:r>
    </w:p>
    <w:p w:rsidR="00993AAD" w:rsidRPr="007D64AD" w:rsidRDefault="00993AAD" w:rsidP="00993AAD">
      <w:pPr>
        <w:rPr>
          <w:rFonts w:cstheme="minorHAnsi"/>
          <w:sz w:val="24"/>
          <w:szCs w:val="24"/>
        </w:rPr>
      </w:pPr>
      <w:r w:rsidRPr="007D64AD">
        <w:rPr>
          <w:rFonts w:cstheme="minorHAnsi"/>
          <w:sz w:val="24"/>
          <w:szCs w:val="24"/>
        </w:rPr>
        <w:t>Attachment</w:t>
      </w:r>
      <w:r w:rsidR="00C84C5A">
        <w:rPr>
          <w:rFonts w:cstheme="minorHAnsi"/>
          <w:sz w:val="24"/>
          <w:szCs w:val="24"/>
        </w:rPr>
        <w:t xml:space="preserve"> 6</w:t>
      </w:r>
      <w:r w:rsidRPr="007D64AD">
        <w:rPr>
          <w:rFonts w:cstheme="minorHAnsi"/>
          <w:sz w:val="24"/>
          <w:szCs w:val="24"/>
        </w:rPr>
        <w:t xml:space="preserve">. </w:t>
      </w:r>
      <w:r w:rsidR="00C84C5A">
        <w:rPr>
          <w:rFonts w:cstheme="minorHAnsi"/>
          <w:sz w:val="24"/>
          <w:szCs w:val="24"/>
        </w:rPr>
        <w:t>NEARS Data Re</w:t>
      </w:r>
      <w:r w:rsidR="0012493A">
        <w:rPr>
          <w:rFonts w:cstheme="minorHAnsi"/>
          <w:sz w:val="24"/>
          <w:szCs w:val="24"/>
        </w:rPr>
        <w:t>port</w:t>
      </w:r>
      <w:r w:rsidR="00C84C5A">
        <w:rPr>
          <w:rFonts w:cstheme="minorHAnsi"/>
          <w:sz w:val="24"/>
          <w:szCs w:val="24"/>
        </w:rPr>
        <w:t xml:space="preserve">ing Instrument </w:t>
      </w:r>
    </w:p>
    <w:p w:rsidR="006570C6" w:rsidRPr="007D64AD" w:rsidRDefault="00C84C5A" w:rsidP="0080091A">
      <w:pPr>
        <w:rPr>
          <w:rFonts w:cstheme="minorHAnsi"/>
          <w:sz w:val="24"/>
          <w:szCs w:val="24"/>
        </w:rPr>
      </w:pPr>
      <w:r>
        <w:rPr>
          <w:rFonts w:cstheme="minorHAnsi"/>
          <w:sz w:val="24"/>
          <w:szCs w:val="24"/>
        </w:rPr>
        <w:t>Attachment 7</w:t>
      </w:r>
      <w:r w:rsidR="006570C6" w:rsidRPr="007D64AD">
        <w:rPr>
          <w:rFonts w:cstheme="minorHAnsi"/>
          <w:sz w:val="24"/>
          <w:szCs w:val="24"/>
        </w:rPr>
        <w:t xml:space="preserve">. </w:t>
      </w:r>
      <w:r>
        <w:rPr>
          <w:rFonts w:cstheme="minorHAnsi"/>
          <w:sz w:val="24"/>
          <w:szCs w:val="24"/>
        </w:rPr>
        <w:t>NEAR</w:t>
      </w:r>
      <w:r w:rsidR="007B6EF2">
        <w:rPr>
          <w:rFonts w:cstheme="minorHAnsi"/>
          <w:sz w:val="24"/>
          <w:szCs w:val="24"/>
        </w:rPr>
        <w:t>S</w:t>
      </w:r>
      <w:r>
        <w:rPr>
          <w:rFonts w:cstheme="minorHAnsi"/>
          <w:sz w:val="24"/>
          <w:szCs w:val="24"/>
        </w:rPr>
        <w:t xml:space="preserve"> Data Recording and Manager Interview Web Entry (screenshots)</w:t>
      </w:r>
    </w:p>
    <w:p w:rsidR="006570C6" w:rsidRDefault="007B6EF2" w:rsidP="0080091A">
      <w:pPr>
        <w:rPr>
          <w:rFonts w:cstheme="minorHAnsi"/>
          <w:sz w:val="24"/>
          <w:szCs w:val="24"/>
        </w:rPr>
      </w:pPr>
      <w:r>
        <w:rPr>
          <w:rFonts w:cstheme="minorHAnsi"/>
          <w:sz w:val="24"/>
          <w:szCs w:val="24"/>
        </w:rPr>
        <w:t>Attachment 8</w:t>
      </w:r>
      <w:r w:rsidR="006570C6" w:rsidRPr="007D64AD">
        <w:rPr>
          <w:rFonts w:cstheme="minorHAnsi"/>
          <w:sz w:val="24"/>
          <w:szCs w:val="24"/>
        </w:rPr>
        <w:t xml:space="preserve">. </w:t>
      </w:r>
      <w:r>
        <w:rPr>
          <w:rFonts w:cstheme="minorHAnsi"/>
          <w:sz w:val="24"/>
          <w:szCs w:val="24"/>
        </w:rPr>
        <w:t>NEARS Manager Interview</w:t>
      </w:r>
    </w:p>
    <w:p w:rsidR="008C154D" w:rsidRPr="007B6EF2" w:rsidRDefault="007B6EF2" w:rsidP="008C154D">
      <w:pPr>
        <w:rPr>
          <w:rFonts w:cstheme="minorHAnsi"/>
          <w:sz w:val="24"/>
          <w:szCs w:val="24"/>
        </w:rPr>
      </w:pPr>
      <w:r>
        <w:rPr>
          <w:rFonts w:cstheme="minorHAnsi"/>
          <w:sz w:val="24"/>
          <w:szCs w:val="24"/>
        </w:rPr>
        <w:t>Attachment 9. Research Determination</w:t>
      </w:r>
      <w:r w:rsidR="00CE59EC">
        <w:rPr>
          <w:rFonts w:cstheme="minorHAnsi"/>
          <w:sz w:val="24"/>
          <w:szCs w:val="24"/>
        </w:rPr>
        <w:t xml:space="preserve"> Form</w:t>
      </w:r>
    </w:p>
    <w:sectPr w:rsidR="008C154D" w:rsidRPr="007B6EF2" w:rsidSect="00F91C38">
      <w:footerReference w:type="default" r:id="rId45"/>
      <w:type w:val="continuous"/>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147E75" w16cid:durableId="1FBBEE7F"/>
  <w16cid:commentId w16cid:paraId="48638297" w16cid:durableId="1FBBEE74"/>
  <w16cid:commentId w16cid:paraId="039E79FB" w16cid:durableId="1FBBEF64"/>
  <w16cid:commentId w16cid:paraId="76DD3EEC" w16cid:durableId="1FBBEE75"/>
  <w16cid:commentId w16cid:paraId="271C7CF4" w16cid:durableId="1FBBEE77"/>
  <w16cid:commentId w16cid:paraId="5B013966" w16cid:durableId="1FBBEE78"/>
  <w16cid:commentId w16cid:paraId="5C323705" w16cid:durableId="1FBBEE79"/>
  <w16cid:commentId w16cid:paraId="36A7DBF1" w16cid:durableId="1FBBEE7A"/>
  <w16cid:commentId w16cid:paraId="15043BF1" w16cid:durableId="1FBBF94C"/>
  <w16cid:commentId w16cid:paraId="74F6A35D" w16cid:durableId="1FBBF909"/>
  <w16cid:commentId w16cid:paraId="0B094DE9" w16cid:durableId="1FBBEE7B"/>
  <w16cid:commentId w16cid:paraId="4829EE32" w16cid:durableId="1FBBEE7C"/>
  <w16cid:commentId w16cid:paraId="561CB5A8" w16cid:durableId="1FBC0020"/>
  <w16cid:commentId w16cid:paraId="77690737" w16cid:durableId="1FBBEE7D"/>
  <w16cid:commentId w16cid:paraId="421EA3B1" w16cid:durableId="1FBBEE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7C1" w:rsidRDefault="00B907C1" w:rsidP="008B5D54">
      <w:r>
        <w:separator/>
      </w:r>
    </w:p>
  </w:endnote>
  <w:endnote w:type="continuationSeparator" w:id="0">
    <w:p w:rsidR="00B907C1" w:rsidRDefault="00B907C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ITCFranklinGothicStd-BookIt">
    <w:panose1 w:val="00000000000000000000"/>
    <w:charset w:val="00"/>
    <w:family w:val="swiss"/>
    <w:notTrueType/>
    <w:pitch w:val="default"/>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653737"/>
      <w:docPartObj>
        <w:docPartGallery w:val="Page Numbers (Bottom of Page)"/>
        <w:docPartUnique/>
      </w:docPartObj>
    </w:sdtPr>
    <w:sdtEndPr>
      <w:rPr>
        <w:noProof/>
      </w:rPr>
    </w:sdtEndPr>
    <w:sdtContent>
      <w:p w:rsidR="00B907C1" w:rsidRDefault="00B907C1">
        <w:pPr>
          <w:pStyle w:val="Footer"/>
          <w:jc w:val="center"/>
        </w:pPr>
        <w:r>
          <w:fldChar w:fldCharType="begin"/>
        </w:r>
        <w:r>
          <w:instrText xml:space="preserve"> PAGE   \* MERGEFORMAT </w:instrText>
        </w:r>
        <w:r>
          <w:fldChar w:fldCharType="separate"/>
        </w:r>
        <w:r w:rsidR="0049562D">
          <w:rPr>
            <w:noProof/>
          </w:rPr>
          <w:t>1</w:t>
        </w:r>
        <w:r>
          <w:rPr>
            <w:noProof/>
          </w:rPr>
          <w:fldChar w:fldCharType="end"/>
        </w:r>
      </w:p>
    </w:sdtContent>
  </w:sdt>
  <w:p w:rsidR="00B907C1" w:rsidRDefault="00B907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7C1" w:rsidRDefault="00B907C1" w:rsidP="008B5D54">
      <w:r>
        <w:separator/>
      </w:r>
    </w:p>
  </w:footnote>
  <w:footnote w:type="continuationSeparator" w:id="0">
    <w:p w:rsidR="00B907C1" w:rsidRDefault="00B907C1"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80F05"/>
    <w:multiLevelType w:val="hybridMultilevel"/>
    <w:tmpl w:val="C18CC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925DA7"/>
    <w:multiLevelType w:val="hybridMultilevel"/>
    <w:tmpl w:val="A60EDC18"/>
    <w:lvl w:ilvl="0" w:tplc="AE14DA3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FE6328"/>
    <w:multiLevelType w:val="hybridMultilevel"/>
    <w:tmpl w:val="5DFE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FF1AF6"/>
    <w:multiLevelType w:val="hybridMultilevel"/>
    <w:tmpl w:val="FC725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0569D5"/>
    <w:multiLevelType w:val="hybridMultilevel"/>
    <w:tmpl w:val="C936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A13EB7"/>
    <w:multiLevelType w:val="hybridMultilevel"/>
    <w:tmpl w:val="8C227E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45E7B"/>
    <w:multiLevelType w:val="hybridMultilevel"/>
    <w:tmpl w:val="C02A9466"/>
    <w:lvl w:ilvl="0" w:tplc="77AEE00C">
      <w:numFmt w:val="bullet"/>
      <w:lvlText w:val="•"/>
      <w:lvlJc w:val="left"/>
      <w:pPr>
        <w:ind w:left="72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64448C"/>
    <w:multiLevelType w:val="hybridMultilevel"/>
    <w:tmpl w:val="F6F6CA08"/>
    <w:lvl w:ilvl="0" w:tplc="77AEE00C">
      <w:numFmt w:val="bullet"/>
      <w:lvlText w:val="•"/>
      <w:lvlJc w:val="left"/>
      <w:pPr>
        <w:ind w:left="72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A07D66"/>
    <w:multiLevelType w:val="hybridMultilevel"/>
    <w:tmpl w:val="15CEFBB4"/>
    <w:lvl w:ilvl="0" w:tplc="162CF86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CE53DB"/>
    <w:multiLevelType w:val="hybridMultilevel"/>
    <w:tmpl w:val="76CC036A"/>
    <w:lvl w:ilvl="0" w:tplc="77AEE00C">
      <w:numFmt w:val="bullet"/>
      <w:lvlText w:val="•"/>
      <w:lvlJc w:val="left"/>
      <w:pPr>
        <w:ind w:left="720" w:hanging="72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F83129"/>
    <w:multiLevelType w:val="hybridMultilevel"/>
    <w:tmpl w:val="75325EF8"/>
    <w:lvl w:ilvl="0" w:tplc="77AEE00C">
      <w:numFmt w:val="bullet"/>
      <w:lvlText w:val="•"/>
      <w:lvlJc w:val="left"/>
      <w:pPr>
        <w:ind w:left="72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ED12CA"/>
    <w:multiLevelType w:val="hybridMultilevel"/>
    <w:tmpl w:val="71EE16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0F1D41"/>
    <w:multiLevelType w:val="hybridMultilevel"/>
    <w:tmpl w:val="F5CE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A8D7C9E"/>
    <w:multiLevelType w:val="hybridMultilevel"/>
    <w:tmpl w:val="14F67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C5B2897"/>
    <w:multiLevelType w:val="hybridMultilevel"/>
    <w:tmpl w:val="F4CA81DA"/>
    <w:lvl w:ilvl="0" w:tplc="1B004E44">
      <w:numFmt w:val="bullet"/>
      <w:lvlText w:val="-"/>
      <w:lvlJc w:val="left"/>
      <w:pPr>
        <w:ind w:left="720" w:hanging="360"/>
      </w:pPr>
      <w:rPr>
        <w:rFonts w:ascii="Times New Roman" w:eastAsia="Times New Roman" w:hAnsi="Times New Roman" w:hint="default"/>
        <w:color w:val="000000"/>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6EA04C6C"/>
    <w:multiLevelType w:val="hybridMultilevel"/>
    <w:tmpl w:val="DD1C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BD0170"/>
    <w:multiLevelType w:val="hybridMultilevel"/>
    <w:tmpl w:val="B99C172A"/>
    <w:lvl w:ilvl="0" w:tplc="AE14DA3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5"/>
  </w:num>
  <w:num w:numId="2">
    <w:abstractNumId w:val="40"/>
  </w:num>
  <w:num w:numId="3">
    <w:abstractNumId w:val="42"/>
  </w:num>
  <w:num w:numId="4">
    <w:abstractNumId w:val="5"/>
  </w:num>
  <w:num w:numId="5">
    <w:abstractNumId w:val="27"/>
  </w:num>
  <w:num w:numId="6">
    <w:abstractNumId w:val="0"/>
  </w:num>
  <w:num w:numId="7">
    <w:abstractNumId w:val="53"/>
  </w:num>
  <w:num w:numId="8">
    <w:abstractNumId w:val="37"/>
  </w:num>
  <w:num w:numId="9">
    <w:abstractNumId w:val="16"/>
  </w:num>
  <w:num w:numId="10">
    <w:abstractNumId w:val="54"/>
  </w:num>
  <w:num w:numId="11">
    <w:abstractNumId w:val="24"/>
  </w:num>
  <w:num w:numId="12">
    <w:abstractNumId w:val="36"/>
  </w:num>
  <w:num w:numId="13">
    <w:abstractNumId w:val="41"/>
  </w:num>
  <w:num w:numId="14">
    <w:abstractNumId w:val="2"/>
  </w:num>
  <w:num w:numId="15">
    <w:abstractNumId w:val="45"/>
  </w:num>
  <w:num w:numId="16">
    <w:abstractNumId w:val="7"/>
  </w:num>
  <w:num w:numId="17">
    <w:abstractNumId w:val="18"/>
  </w:num>
  <w:num w:numId="18">
    <w:abstractNumId w:val="38"/>
  </w:num>
  <w:num w:numId="19">
    <w:abstractNumId w:val="44"/>
  </w:num>
  <w:num w:numId="20">
    <w:abstractNumId w:val="32"/>
  </w:num>
  <w:num w:numId="21">
    <w:abstractNumId w:val="10"/>
  </w:num>
  <w:num w:numId="22">
    <w:abstractNumId w:val="46"/>
  </w:num>
  <w:num w:numId="23">
    <w:abstractNumId w:val="55"/>
  </w:num>
  <w:num w:numId="24">
    <w:abstractNumId w:val="15"/>
  </w:num>
  <w:num w:numId="25">
    <w:abstractNumId w:val="30"/>
  </w:num>
  <w:num w:numId="26">
    <w:abstractNumId w:val="14"/>
  </w:num>
  <w:num w:numId="27">
    <w:abstractNumId w:val="19"/>
  </w:num>
  <w:num w:numId="28">
    <w:abstractNumId w:val="34"/>
  </w:num>
  <w:num w:numId="29">
    <w:abstractNumId w:val="52"/>
  </w:num>
  <w:num w:numId="30">
    <w:abstractNumId w:val="13"/>
  </w:num>
  <w:num w:numId="31">
    <w:abstractNumId w:val="23"/>
  </w:num>
  <w:num w:numId="32">
    <w:abstractNumId w:val="43"/>
  </w:num>
  <w:num w:numId="33">
    <w:abstractNumId w:val="51"/>
  </w:num>
  <w:num w:numId="34">
    <w:abstractNumId w:val="26"/>
  </w:num>
  <w:num w:numId="35">
    <w:abstractNumId w:val="22"/>
  </w:num>
  <w:num w:numId="36">
    <w:abstractNumId w:val="3"/>
  </w:num>
  <w:num w:numId="37">
    <w:abstractNumId w:val="4"/>
  </w:num>
  <w:num w:numId="38">
    <w:abstractNumId w:val="28"/>
  </w:num>
  <w:num w:numId="39">
    <w:abstractNumId w:val="35"/>
  </w:num>
  <w:num w:numId="40">
    <w:abstractNumId w:val="48"/>
  </w:num>
  <w:num w:numId="41">
    <w:abstractNumId w:val="39"/>
  </w:num>
  <w:num w:numId="42">
    <w:abstractNumId w:val="29"/>
  </w:num>
  <w:num w:numId="43">
    <w:abstractNumId w:val="17"/>
  </w:num>
  <w:num w:numId="44">
    <w:abstractNumId w:val="6"/>
  </w:num>
  <w:num w:numId="45">
    <w:abstractNumId w:val="12"/>
  </w:num>
  <w:num w:numId="46">
    <w:abstractNumId w:val="21"/>
  </w:num>
  <w:num w:numId="47">
    <w:abstractNumId w:val="33"/>
  </w:num>
  <w:num w:numId="48">
    <w:abstractNumId w:val="50"/>
  </w:num>
  <w:num w:numId="49">
    <w:abstractNumId w:val="20"/>
  </w:num>
  <w:num w:numId="50">
    <w:abstractNumId w:val="31"/>
  </w:num>
  <w:num w:numId="51">
    <w:abstractNumId w:val="9"/>
  </w:num>
  <w:num w:numId="52">
    <w:abstractNumId w:val="47"/>
  </w:num>
  <w:num w:numId="53">
    <w:abstractNumId w:val="8"/>
  </w:num>
  <w:num w:numId="54">
    <w:abstractNumId w:val="11"/>
  </w:num>
  <w:num w:numId="55">
    <w:abstractNumId w:val="49"/>
  </w:num>
  <w:num w:numId="56">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DateAndTime/>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1F18"/>
    <w:rsid w:val="0000689D"/>
    <w:rsid w:val="000071D1"/>
    <w:rsid w:val="00013DB5"/>
    <w:rsid w:val="0002168F"/>
    <w:rsid w:val="00026800"/>
    <w:rsid w:val="000273E9"/>
    <w:rsid w:val="00027B1B"/>
    <w:rsid w:val="0004040C"/>
    <w:rsid w:val="00040E13"/>
    <w:rsid w:val="00040F4A"/>
    <w:rsid w:val="0004487B"/>
    <w:rsid w:val="00045A02"/>
    <w:rsid w:val="00047490"/>
    <w:rsid w:val="00051810"/>
    <w:rsid w:val="00051816"/>
    <w:rsid w:val="00051B38"/>
    <w:rsid w:val="0005628E"/>
    <w:rsid w:val="000602B8"/>
    <w:rsid w:val="00061EA6"/>
    <w:rsid w:val="0006228C"/>
    <w:rsid w:val="00064766"/>
    <w:rsid w:val="00065509"/>
    <w:rsid w:val="000712F6"/>
    <w:rsid w:val="00071D4A"/>
    <w:rsid w:val="00072010"/>
    <w:rsid w:val="00072510"/>
    <w:rsid w:val="00073797"/>
    <w:rsid w:val="00075A8C"/>
    <w:rsid w:val="00076C74"/>
    <w:rsid w:val="000771B9"/>
    <w:rsid w:val="0007753E"/>
    <w:rsid w:val="00077A0C"/>
    <w:rsid w:val="000925FC"/>
    <w:rsid w:val="00094108"/>
    <w:rsid w:val="00094E12"/>
    <w:rsid w:val="000977D0"/>
    <w:rsid w:val="000A16FA"/>
    <w:rsid w:val="000A204D"/>
    <w:rsid w:val="000A30A8"/>
    <w:rsid w:val="000A4BD7"/>
    <w:rsid w:val="000A5AC6"/>
    <w:rsid w:val="000A6E17"/>
    <w:rsid w:val="000A77B0"/>
    <w:rsid w:val="000B0207"/>
    <w:rsid w:val="000B14F2"/>
    <w:rsid w:val="000C5B31"/>
    <w:rsid w:val="000E7FAD"/>
    <w:rsid w:val="000F0E49"/>
    <w:rsid w:val="00100D0E"/>
    <w:rsid w:val="00103DFD"/>
    <w:rsid w:val="00104051"/>
    <w:rsid w:val="00106836"/>
    <w:rsid w:val="00107476"/>
    <w:rsid w:val="00110D29"/>
    <w:rsid w:val="0011321F"/>
    <w:rsid w:val="00114DD9"/>
    <w:rsid w:val="00116841"/>
    <w:rsid w:val="001232E4"/>
    <w:rsid w:val="00123A3D"/>
    <w:rsid w:val="00124561"/>
    <w:rsid w:val="0012493A"/>
    <w:rsid w:val="001317DF"/>
    <w:rsid w:val="00132004"/>
    <w:rsid w:val="001324C6"/>
    <w:rsid w:val="001346BF"/>
    <w:rsid w:val="00134BEF"/>
    <w:rsid w:val="001372DB"/>
    <w:rsid w:val="0013764F"/>
    <w:rsid w:val="0014151A"/>
    <w:rsid w:val="001417E6"/>
    <w:rsid w:val="00142483"/>
    <w:rsid w:val="00147AEA"/>
    <w:rsid w:val="00150025"/>
    <w:rsid w:val="0015103C"/>
    <w:rsid w:val="00151318"/>
    <w:rsid w:val="00154573"/>
    <w:rsid w:val="00160A9B"/>
    <w:rsid w:val="001626E8"/>
    <w:rsid w:val="00163C21"/>
    <w:rsid w:val="00167A15"/>
    <w:rsid w:val="0017001E"/>
    <w:rsid w:val="001727C1"/>
    <w:rsid w:val="00176AF4"/>
    <w:rsid w:val="00177ABE"/>
    <w:rsid w:val="00185386"/>
    <w:rsid w:val="001855E3"/>
    <w:rsid w:val="001872E6"/>
    <w:rsid w:val="001874F1"/>
    <w:rsid w:val="001963A2"/>
    <w:rsid w:val="00196C12"/>
    <w:rsid w:val="001A1106"/>
    <w:rsid w:val="001A15F9"/>
    <w:rsid w:val="001A5EC6"/>
    <w:rsid w:val="001B2712"/>
    <w:rsid w:val="001B3522"/>
    <w:rsid w:val="001C040F"/>
    <w:rsid w:val="001C066E"/>
    <w:rsid w:val="001C1DD5"/>
    <w:rsid w:val="001C268C"/>
    <w:rsid w:val="001C27CC"/>
    <w:rsid w:val="001C2EEC"/>
    <w:rsid w:val="001C3062"/>
    <w:rsid w:val="001C3EBE"/>
    <w:rsid w:val="001D391B"/>
    <w:rsid w:val="001D56E7"/>
    <w:rsid w:val="001D5CCB"/>
    <w:rsid w:val="001D68CC"/>
    <w:rsid w:val="001D75CC"/>
    <w:rsid w:val="001E27D7"/>
    <w:rsid w:val="001E595A"/>
    <w:rsid w:val="001F19FD"/>
    <w:rsid w:val="001F1D97"/>
    <w:rsid w:val="001F23DF"/>
    <w:rsid w:val="001F3995"/>
    <w:rsid w:val="001F4FFA"/>
    <w:rsid w:val="001F53D2"/>
    <w:rsid w:val="001F5BDA"/>
    <w:rsid w:val="00201308"/>
    <w:rsid w:val="00203A62"/>
    <w:rsid w:val="00204DD3"/>
    <w:rsid w:val="002064EF"/>
    <w:rsid w:val="00206A3D"/>
    <w:rsid w:val="00206AAE"/>
    <w:rsid w:val="00214703"/>
    <w:rsid w:val="00215202"/>
    <w:rsid w:val="002203E0"/>
    <w:rsid w:val="00220DCA"/>
    <w:rsid w:val="00221A1D"/>
    <w:rsid w:val="00227817"/>
    <w:rsid w:val="0023081C"/>
    <w:rsid w:val="00231951"/>
    <w:rsid w:val="00236267"/>
    <w:rsid w:val="0023630E"/>
    <w:rsid w:val="002369DA"/>
    <w:rsid w:val="002379B5"/>
    <w:rsid w:val="0024399D"/>
    <w:rsid w:val="00244F46"/>
    <w:rsid w:val="00257CB9"/>
    <w:rsid w:val="0026032F"/>
    <w:rsid w:val="002605A1"/>
    <w:rsid w:val="00261399"/>
    <w:rsid w:val="00265663"/>
    <w:rsid w:val="00271C0C"/>
    <w:rsid w:val="00273037"/>
    <w:rsid w:val="00274D11"/>
    <w:rsid w:val="0027619F"/>
    <w:rsid w:val="002771FE"/>
    <w:rsid w:val="00283881"/>
    <w:rsid w:val="0028491D"/>
    <w:rsid w:val="00287A8C"/>
    <w:rsid w:val="00287B5A"/>
    <w:rsid w:val="00290F85"/>
    <w:rsid w:val="002928DF"/>
    <w:rsid w:val="002930EC"/>
    <w:rsid w:val="00294E11"/>
    <w:rsid w:val="002A1AB0"/>
    <w:rsid w:val="002A3655"/>
    <w:rsid w:val="002A674E"/>
    <w:rsid w:val="002B1D7C"/>
    <w:rsid w:val="002C06A1"/>
    <w:rsid w:val="002C1279"/>
    <w:rsid w:val="002C2A8D"/>
    <w:rsid w:val="002C645E"/>
    <w:rsid w:val="002C6753"/>
    <w:rsid w:val="002C6EB8"/>
    <w:rsid w:val="002D3A9E"/>
    <w:rsid w:val="002E0397"/>
    <w:rsid w:val="002E2E4E"/>
    <w:rsid w:val="002E368A"/>
    <w:rsid w:val="002E3C81"/>
    <w:rsid w:val="002E4498"/>
    <w:rsid w:val="002E48A7"/>
    <w:rsid w:val="002F1EC0"/>
    <w:rsid w:val="002F3924"/>
    <w:rsid w:val="00302CC4"/>
    <w:rsid w:val="00306DDE"/>
    <w:rsid w:val="00307FE7"/>
    <w:rsid w:val="003113D2"/>
    <w:rsid w:val="00316980"/>
    <w:rsid w:val="00320135"/>
    <w:rsid w:val="003210B3"/>
    <w:rsid w:val="00323C10"/>
    <w:rsid w:val="003248A4"/>
    <w:rsid w:val="00326844"/>
    <w:rsid w:val="00330703"/>
    <w:rsid w:val="00332993"/>
    <w:rsid w:val="0033469A"/>
    <w:rsid w:val="00340E99"/>
    <w:rsid w:val="00342BA4"/>
    <w:rsid w:val="00346C4C"/>
    <w:rsid w:val="00346E41"/>
    <w:rsid w:val="003506B8"/>
    <w:rsid w:val="003507B3"/>
    <w:rsid w:val="00354A4E"/>
    <w:rsid w:val="00354E0E"/>
    <w:rsid w:val="00355B97"/>
    <w:rsid w:val="00357FB5"/>
    <w:rsid w:val="00360896"/>
    <w:rsid w:val="00360ABE"/>
    <w:rsid w:val="00360BBB"/>
    <w:rsid w:val="00361201"/>
    <w:rsid w:val="00361AF0"/>
    <w:rsid w:val="003648A2"/>
    <w:rsid w:val="00364CCC"/>
    <w:rsid w:val="0036566F"/>
    <w:rsid w:val="00365B89"/>
    <w:rsid w:val="003712EB"/>
    <w:rsid w:val="00373456"/>
    <w:rsid w:val="003810E2"/>
    <w:rsid w:val="00383848"/>
    <w:rsid w:val="00385207"/>
    <w:rsid w:val="003861EC"/>
    <w:rsid w:val="00386C3A"/>
    <w:rsid w:val="00387C4A"/>
    <w:rsid w:val="00390B2D"/>
    <w:rsid w:val="00391007"/>
    <w:rsid w:val="00391972"/>
    <w:rsid w:val="003924FB"/>
    <w:rsid w:val="003A007B"/>
    <w:rsid w:val="003A0349"/>
    <w:rsid w:val="003A2F76"/>
    <w:rsid w:val="003A4B8F"/>
    <w:rsid w:val="003A5DD1"/>
    <w:rsid w:val="003B1968"/>
    <w:rsid w:val="003B2A57"/>
    <w:rsid w:val="003B3057"/>
    <w:rsid w:val="003C0795"/>
    <w:rsid w:val="003C0CED"/>
    <w:rsid w:val="003C21A1"/>
    <w:rsid w:val="003C4886"/>
    <w:rsid w:val="003C530B"/>
    <w:rsid w:val="003D1A64"/>
    <w:rsid w:val="003D3E78"/>
    <w:rsid w:val="003D702E"/>
    <w:rsid w:val="003D7C7F"/>
    <w:rsid w:val="003E092D"/>
    <w:rsid w:val="003E1194"/>
    <w:rsid w:val="003E43B3"/>
    <w:rsid w:val="003E71EF"/>
    <w:rsid w:val="003E7D3C"/>
    <w:rsid w:val="003F2C06"/>
    <w:rsid w:val="003F51BF"/>
    <w:rsid w:val="003F612D"/>
    <w:rsid w:val="003F6A54"/>
    <w:rsid w:val="003F7043"/>
    <w:rsid w:val="003F7413"/>
    <w:rsid w:val="00400C55"/>
    <w:rsid w:val="0040594D"/>
    <w:rsid w:val="00407B3E"/>
    <w:rsid w:val="00411D9C"/>
    <w:rsid w:val="00413951"/>
    <w:rsid w:val="004154B7"/>
    <w:rsid w:val="00416242"/>
    <w:rsid w:val="0042567B"/>
    <w:rsid w:val="004302E3"/>
    <w:rsid w:val="004302E9"/>
    <w:rsid w:val="00434368"/>
    <w:rsid w:val="00434825"/>
    <w:rsid w:val="00434990"/>
    <w:rsid w:val="00434A3F"/>
    <w:rsid w:val="00436064"/>
    <w:rsid w:val="0044037B"/>
    <w:rsid w:val="00440E03"/>
    <w:rsid w:val="004417A7"/>
    <w:rsid w:val="00441874"/>
    <w:rsid w:val="0044654D"/>
    <w:rsid w:val="00451BBD"/>
    <w:rsid w:val="00454BB2"/>
    <w:rsid w:val="00455158"/>
    <w:rsid w:val="00455277"/>
    <w:rsid w:val="004558AD"/>
    <w:rsid w:val="00462755"/>
    <w:rsid w:val="00462CB7"/>
    <w:rsid w:val="00463291"/>
    <w:rsid w:val="00465813"/>
    <w:rsid w:val="004677EB"/>
    <w:rsid w:val="0047610D"/>
    <w:rsid w:val="00476284"/>
    <w:rsid w:val="0047778A"/>
    <w:rsid w:val="00477BB5"/>
    <w:rsid w:val="00480FC6"/>
    <w:rsid w:val="004834F8"/>
    <w:rsid w:val="00483E2D"/>
    <w:rsid w:val="004863C6"/>
    <w:rsid w:val="00490266"/>
    <w:rsid w:val="0049091C"/>
    <w:rsid w:val="004939F0"/>
    <w:rsid w:val="0049562D"/>
    <w:rsid w:val="00496470"/>
    <w:rsid w:val="00496C37"/>
    <w:rsid w:val="004976CC"/>
    <w:rsid w:val="004A0C8C"/>
    <w:rsid w:val="004A3C34"/>
    <w:rsid w:val="004A7925"/>
    <w:rsid w:val="004A7B18"/>
    <w:rsid w:val="004B091D"/>
    <w:rsid w:val="004B1388"/>
    <w:rsid w:val="004B1E79"/>
    <w:rsid w:val="004B2746"/>
    <w:rsid w:val="004B69EF"/>
    <w:rsid w:val="004B7E0F"/>
    <w:rsid w:val="004C37C5"/>
    <w:rsid w:val="004C5630"/>
    <w:rsid w:val="004C78BB"/>
    <w:rsid w:val="004D194E"/>
    <w:rsid w:val="004D21C9"/>
    <w:rsid w:val="004D3245"/>
    <w:rsid w:val="004D621C"/>
    <w:rsid w:val="004D6B87"/>
    <w:rsid w:val="004D7237"/>
    <w:rsid w:val="004E1D4C"/>
    <w:rsid w:val="004E29A9"/>
    <w:rsid w:val="004E3771"/>
    <w:rsid w:val="004E3F14"/>
    <w:rsid w:val="004E40CE"/>
    <w:rsid w:val="004E580C"/>
    <w:rsid w:val="004E5B73"/>
    <w:rsid w:val="004E62B1"/>
    <w:rsid w:val="004E7FB2"/>
    <w:rsid w:val="004F0165"/>
    <w:rsid w:val="004F1D6F"/>
    <w:rsid w:val="004F3917"/>
    <w:rsid w:val="004F7591"/>
    <w:rsid w:val="00517F2E"/>
    <w:rsid w:val="00521C10"/>
    <w:rsid w:val="00523A2A"/>
    <w:rsid w:val="00524D01"/>
    <w:rsid w:val="00525695"/>
    <w:rsid w:val="005313D3"/>
    <w:rsid w:val="0054047D"/>
    <w:rsid w:val="0054053A"/>
    <w:rsid w:val="005407DB"/>
    <w:rsid w:val="00541808"/>
    <w:rsid w:val="00542DFF"/>
    <w:rsid w:val="00543DCF"/>
    <w:rsid w:val="00544418"/>
    <w:rsid w:val="005459BB"/>
    <w:rsid w:val="0055030C"/>
    <w:rsid w:val="00551931"/>
    <w:rsid w:val="005655A6"/>
    <w:rsid w:val="00566D2A"/>
    <w:rsid w:val="00567B7B"/>
    <w:rsid w:val="00572450"/>
    <w:rsid w:val="00575D8B"/>
    <w:rsid w:val="005773F6"/>
    <w:rsid w:val="00581C29"/>
    <w:rsid w:val="0058290A"/>
    <w:rsid w:val="00583B69"/>
    <w:rsid w:val="00585152"/>
    <w:rsid w:val="005918F7"/>
    <w:rsid w:val="00597B55"/>
    <w:rsid w:val="005A033A"/>
    <w:rsid w:val="005A1E38"/>
    <w:rsid w:val="005A555F"/>
    <w:rsid w:val="005A5FA1"/>
    <w:rsid w:val="005B02F0"/>
    <w:rsid w:val="005B03EC"/>
    <w:rsid w:val="005B07B8"/>
    <w:rsid w:val="005B191C"/>
    <w:rsid w:val="005B1AD5"/>
    <w:rsid w:val="005B610F"/>
    <w:rsid w:val="005B6E55"/>
    <w:rsid w:val="005B7771"/>
    <w:rsid w:val="005C33C7"/>
    <w:rsid w:val="005C34DF"/>
    <w:rsid w:val="005C465C"/>
    <w:rsid w:val="005C7CF0"/>
    <w:rsid w:val="005D31AE"/>
    <w:rsid w:val="005E0AD5"/>
    <w:rsid w:val="005E24DB"/>
    <w:rsid w:val="005E69D1"/>
    <w:rsid w:val="005E7243"/>
    <w:rsid w:val="005F0539"/>
    <w:rsid w:val="005F7729"/>
    <w:rsid w:val="00601F1A"/>
    <w:rsid w:val="0060347C"/>
    <w:rsid w:val="00603C64"/>
    <w:rsid w:val="006065B9"/>
    <w:rsid w:val="00606634"/>
    <w:rsid w:val="00610DFB"/>
    <w:rsid w:val="00611F76"/>
    <w:rsid w:val="00614A15"/>
    <w:rsid w:val="00614ABC"/>
    <w:rsid w:val="00616B1B"/>
    <w:rsid w:val="006170D5"/>
    <w:rsid w:val="00617C0E"/>
    <w:rsid w:val="006206E1"/>
    <w:rsid w:val="006223BF"/>
    <w:rsid w:val="00622886"/>
    <w:rsid w:val="00623105"/>
    <w:rsid w:val="00623EE7"/>
    <w:rsid w:val="006253E1"/>
    <w:rsid w:val="006316B5"/>
    <w:rsid w:val="006322DF"/>
    <w:rsid w:val="00637DF7"/>
    <w:rsid w:val="0064011A"/>
    <w:rsid w:val="00641218"/>
    <w:rsid w:val="00643BFE"/>
    <w:rsid w:val="0064474F"/>
    <w:rsid w:val="0064662B"/>
    <w:rsid w:val="00647EBF"/>
    <w:rsid w:val="00653F5D"/>
    <w:rsid w:val="00654275"/>
    <w:rsid w:val="00654A1D"/>
    <w:rsid w:val="0065562E"/>
    <w:rsid w:val="006562A8"/>
    <w:rsid w:val="006570C6"/>
    <w:rsid w:val="00664763"/>
    <w:rsid w:val="00664ABF"/>
    <w:rsid w:val="00666272"/>
    <w:rsid w:val="00670118"/>
    <w:rsid w:val="0068062A"/>
    <w:rsid w:val="006806D2"/>
    <w:rsid w:val="00681BC2"/>
    <w:rsid w:val="00684E9A"/>
    <w:rsid w:val="006851AD"/>
    <w:rsid w:val="006971FA"/>
    <w:rsid w:val="006A1D99"/>
    <w:rsid w:val="006B0274"/>
    <w:rsid w:val="006B15B0"/>
    <w:rsid w:val="006B3ACC"/>
    <w:rsid w:val="006B486C"/>
    <w:rsid w:val="006B5B71"/>
    <w:rsid w:val="006B6A68"/>
    <w:rsid w:val="006B7E68"/>
    <w:rsid w:val="006C00B3"/>
    <w:rsid w:val="006C448B"/>
    <w:rsid w:val="006C4FDD"/>
    <w:rsid w:val="006C51A7"/>
    <w:rsid w:val="006C6445"/>
    <w:rsid w:val="006C6578"/>
    <w:rsid w:val="006C6F2C"/>
    <w:rsid w:val="006D1B41"/>
    <w:rsid w:val="006D35F6"/>
    <w:rsid w:val="006D3D2C"/>
    <w:rsid w:val="006D432C"/>
    <w:rsid w:val="006D4FB7"/>
    <w:rsid w:val="006D6048"/>
    <w:rsid w:val="006E334B"/>
    <w:rsid w:val="006F1213"/>
    <w:rsid w:val="006F125A"/>
    <w:rsid w:val="006F2B95"/>
    <w:rsid w:val="006F66B2"/>
    <w:rsid w:val="00702423"/>
    <w:rsid w:val="00702996"/>
    <w:rsid w:val="00702BFD"/>
    <w:rsid w:val="00703AC8"/>
    <w:rsid w:val="007157E4"/>
    <w:rsid w:val="0072106B"/>
    <w:rsid w:val="0072405E"/>
    <w:rsid w:val="00725912"/>
    <w:rsid w:val="00726E14"/>
    <w:rsid w:val="00727EDB"/>
    <w:rsid w:val="00734F65"/>
    <w:rsid w:val="00740EDF"/>
    <w:rsid w:val="00746D75"/>
    <w:rsid w:val="007504EA"/>
    <w:rsid w:val="007532D4"/>
    <w:rsid w:val="007541E5"/>
    <w:rsid w:val="00754C47"/>
    <w:rsid w:val="00754F1A"/>
    <w:rsid w:val="00755987"/>
    <w:rsid w:val="007565A5"/>
    <w:rsid w:val="007717F8"/>
    <w:rsid w:val="00771A9A"/>
    <w:rsid w:val="007756CB"/>
    <w:rsid w:val="007829B4"/>
    <w:rsid w:val="00783896"/>
    <w:rsid w:val="00783CE4"/>
    <w:rsid w:val="00790966"/>
    <w:rsid w:val="0079260A"/>
    <w:rsid w:val="00794160"/>
    <w:rsid w:val="00797B1C"/>
    <w:rsid w:val="007A121D"/>
    <w:rsid w:val="007A2363"/>
    <w:rsid w:val="007A4BAC"/>
    <w:rsid w:val="007A5A11"/>
    <w:rsid w:val="007A5A47"/>
    <w:rsid w:val="007A6725"/>
    <w:rsid w:val="007A7A76"/>
    <w:rsid w:val="007B1E0A"/>
    <w:rsid w:val="007B5AA7"/>
    <w:rsid w:val="007B6EF2"/>
    <w:rsid w:val="007C145D"/>
    <w:rsid w:val="007C25FE"/>
    <w:rsid w:val="007C2FED"/>
    <w:rsid w:val="007C46F5"/>
    <w:rsid w:val="007C72E5"/>
    <w:rsid w:val="007D206B"/>
    <w:rsid w:val="007D4A48"/>
    <w:rsid w:val="007D4F53"/>
    <w:rsid w:val="007D55AD"/>
    <w:rsid w:val="007D64AD"/>
    <w:rsid w:val="007D6809"/>
    <w:rsid w:val="007E265E"/>
    <w:rsid w:val="007E36E8"/>
    <w:rsid w:val="007E6427"/>
    <w:rsid w:val="007E7BF1"/>
    <w:rsid w:val="007F1D07"/>
    <w:rsid w:val="007F3330"/>
    <w:rsid w:val="007F6841"/>
    <w:rsid w:val="007F6CB2"/>
    <w:rsid w:val="0080091A"/>
    <w:rsid w:val="00803390"/>
    <w:rsid w:val="00805099"/>
    <w:rsid w:val="00807133"/>
    <w:rsid w:val="00817403"/>
    <w:rsid w:val="00820DBF"/>
    <w:rsid w:val="0082222A"/>
    <w:rsid w:val="008235B2"/>
    <w:rsid w:val="0082388A"/>
    <w:rsid w:val="00824698"/>
    <w:rsid w:val="008266BD"/>
    <w:rsid w:val="00830EB8"/>
    <w:rsid w:val="00832C83"/>
    <w:rsid w:val="00837C67"/>
    <w:rsid w:val="00841F6B"/>
    <w:rsid w:val="00845576"/>
    <w:rsid w:val="008458FA"/>
    <w:rsid w:val="00846F82"/>
    <w:rsid w:val="00847DB7"/>
    <w:rsid w:val="0085194F"/>
    <w:rsid w:val="00853428"/>
    <w:rsid w:val="00853C63"/>
    <w:rsid w:val="008560F8"/>
    <w:rsid w:val="00861D3A"/>
    <w:rsid w:val="008705D5"/>
    <w:rsid w:val="008734A9"/>
    <w:rsid w:val="00877F7C"/>
    <w:rsid w:val="00882793"/>
    <w:rsid w:val="00887415"/>
    <w:rsid w:val="008960B8"/>
    <w:rsid w:val="0089651E"/>
    <w:rsid w:val="008A0EE7"/>
    <w:rsid w:val="008A254B"/>
    <w:rsid w:val="008A6EA6"/>
    <w:rsid w:val="008B24CB"/>
    <w:rsid w:val="008B5D54"/>
    <w:rsid w:val="008B6A7E"/>
    <w:rsid w:val="008C0677"/>
    <w:rsid w:val="008C154D"/>
    <w:rsid w:val="008C36BB"/>
    <w:rsid w:val="008C46E9"/>
    <w:rsid w:val="008C536A"/>
    <w:rsid w:val="008C6811"/>
    <w:rsid w:val="008D1AE4"/>
    <w:rsid w:val="008D4F1C"/>
    <w:rsid w:val="008D678D"/>
    <w:rsid w:val="008D75AC"/>
    <w:rsid w:val="008E1058"/>
    <w:rsid w:val="008E3A6C"/>
    <w:rsid w:val="008E47E6"/>
    <w:rsid w:val="008E49FD"/>
    <w:rsid w:val="008E7A31"/>
    <w:rsid w:val="008F0707"/>
    <w:rsid w:val="008F26E1"/>
    <w:rsid w:val="008F4347"/>
    <w:rsid w:val="008F6D26"/>
    <w:rsid w:val="008F6E48"/>
    <w:rsid w:val="0090078A"/>
    <w:rsid w:val="00901E43"/>
    <w:rsid w:val="00904FB6"/>
    <w:rsid w:val="0090515B"/>
    <w:rsid w:val="00906B16"/>
    <w:rsid w:val="0091320B"/>
    <w:rsid w:val="00913909"/>
    <w:rsid w:val="00915629"/>
    <w:rsid w:val="009163A4"/>
    <w:rsid w:val="0091651D"/>
    <w:rsid w:val="00917B52"/>
    <w:rsid w:val="00925F13"/>
    <w:rsid w:val="009302C4"/>
    <w:rsid w:val="00930D68"/>
    <w:rsid w:val="00932050"/>
    <w:rsid w:val="00932BF5"/>
    <w:rsid w:val="00933AFE"/>
    <w:rsid w:val="00935BE6"/>
    <w:rsid w:val="009363D4"/>
    <w:rsid w:val="00940376"/>
    <w:rsid w:val="00943FCF"/>
    <w:rsid w:val="00952841"/>
    <w:rsid w:val="00952BF9"/>
    <w:rsid w:val="009535EC"/>
    <w:rsid w:val="009577A5"/>
    <w:rsid w:val="00962A73"/>
    <w:rsid w:val="00963A1F"/>
    <w:rsid w:val="00964F8C"/>
    <w:rsid w:val="00965C2A"/>
    <w:rsid w:val="00975121"/>
    <w:rsid w:val="009758DC"/>
    <w:rsid w:val="00976EBB"/>
    <w:rsid w:val="00982B6F"/>
    <w:rsid w:val="0098315A"/>
    <w:rsid w:val="00987A2D"/>
    <w:rsid w:val="00993AAD"/>
    <w:rsid w:val="009948CC"/>
    <w:rsid w:val="009977B4"/>
    <w:rsid w:val="009A107B"/>
    <w:rsid w:val="009A379F"/>
    <w:rsid w:val="009A57A2"/>
    <w:rsid w:val="009A7555"/>
    <w:rsid w:val="009B26BF"/>
    <w:rsid w:val="009B46AF"/>
    <w:rsid w:val="009B4E9B"/>
    <w:rsid w:val="009B6C89"/>
    <w:rsid w:val="009B6DBA"/>
    <w:rsid w:val="009B765E"/>
    <w:rsid w:val="009C4626"/>
    <w:rsid w:val="009C49EF"/>
    <w:rsid w:val="009C654B"/>
    <w:rsid w:val="009C7ACF"/>
    <w:rsid w:val="009D0E8F"/>
    <w:rsid w:val="009D2718"/>
    <w:rsid w:val="009D6EBD"/>
    <w:rsid w:val="009D7F7F"/>
    <w:rsid w:val="009E313A"/>
    <w:rsid w:val="009E4B22"/>
    <w:rsid w:val="009E5C95"/>
    <w:rsid w:val="009E7B1B"/>
    <w:rsid w:val="009F081B"/>
    <w:rsid w:val="00A007C5"/>
    <w:rsid w:val="00A10A8C"/>
    <w:rsid w:val="00A131F4"/>
    <w:rsid w:val="00A148A3"/>
    <w:rsid w:val="00A150EF"/>
    <w:rsid w:val="00A22372"/>
    <w:rsid w:val="00A22B44"/>
    <w:rsid w:val="00A22E60"/>
    <w:rsid w:val="00A30192"/>
    <w:rsid w:val="00A30F2E"/>
    <w:rsid w:val="00A321C9"/>
    <w:rsid w:val="00A40E0B"/>
    <w:rsid w:val="00A414FE"/>
    <w:rsid w:val="00A43C9D"/>
    <w:rsid w:val="00A446D4"/>
    <w:rsid w:val="00A4585F"/>
    <w:rsid w:val="00A45AE6"/>
    <w:rsid w:val="00A50F29"/>
    <w:rsid w:val="00A51051"/>
    <w:rsid w:val="00A53D36"/>
    <w:rsid w:val="00A54359"/>
    <w:rsid w:val="00A561BB"/>
    <w:rsid w:val="00A6012F"/>
    <w:rsid w:val="00A609A6"/>
    <w:rsid w:val="00A61254"/>
    <w:rsid w:val="00A6142E"/>
    <w:rsid w:val="00A635F0"/>
    <w:rsid w:val="00A64299"/>
    <w:rsid w:val="00A65244"/>
    <w:rsid w:val="00A6592C"/>
    <w:rsid w:val="00A65BAD"/>
    <w:rsid w:val="00A664B4"/>
    <w:rsid w:val="00A6728E"/>
    <w:rsid w:val="00A70A6F"/>
    <w:rsid w:val="00A71627"/>
    <w:rsid w:val="00A81AAF"/>
    <w:rsid w:val="00A84859"/>
    <w:rsid w:val="00A85F25"/>
    <w:rsid w:val="00A866D5"/>
    <w:rsid w:val="00A931CD"/>
    <w:rsid w:val="00A94610"/>
    <w:rsid w:val="00A96F70"/>
    <w:rsid w:val="00AA03E9"/>
    <w:rsid w:val="00AA2343"/>
    <w:rsid w:val="00AA2F28"/>
    <w:rsid w:val="00AA54F3"/>
    <w:rsid w:val="00AB09FF"/>
    <w:rsid w:val="00AB12D6"/>
    <w:rsid w:val="00AB18A6"/>
    <w:rsid w:val="00AB2DFE"/>
    <w:rsid w:val="00AB3269"/>
    <w:rsid w:val="00AB3C31"/>
    <w:rsid w:val="00AB3CEB"/>
    <w:rsid w:val="00AB46DB"/>
    <w:rsid w:val="00AB57F9"/>
    <w:rsid w:val="00AC4C7D"/>
    <w:rsid w:val="00AC5BD1"/>
    <w:rsid w:val="00AC62CC"/>
    <w:rsid w:val="00AC6416"/>
    <w:rsid w:val="00AC76C2"/>
    <w:rsid w:val="00AD362D"/>
    <w:rsid w:val="00AD4E9D"/>
    <w:rsid w:val="00AD5E41"/>
    <w:rsid w:val="00AD6A63"/>
    <w:rsid w:val="00AE1D9F"/>
    <w:rsid w:val="00AE4304"/>
    <w:rsid w:val="00AE5246"/>
    <w:rsid w:val="00AF0689"/>
    <w:rsid w:val="00AF3796"/>
    <w:rsid w:val="00AF7E84"/>
    <w:rsid w:val="00B049B2"/>
    <w:rsid w:val="00B04C37"/>
    <w:rsid w:val="00B04CD7"/>
    <w:rsid w:val="00B10E0C"/>
    <w:rsid w:val="00B128A4"/>
    <w:rsid w:val="00B15E05"/>
    <w:rsid w:val="00B209BD"/>
    <w:rsid w:val="00B2287C"/>
    <w:rsid w:val="00B231C2"/>
    <w:rsid w:val="00B266F0"/>
    <w:rsid w:val="00B3235B"/>
    <w:rsid w:val="00B32586"/>
    <w:rsid w:val="00B362F9"/>
    <w:rsid w:val="00B405D8"/>
    <w:rsid w:val="00B40DFF"/>
    <w:rsid w:val="00B45002"/>
    <w:rsid w:val="00B45779"/>
    <w:rsid w:val="00B459A6"/>
    <w:rsid w:val="00B4706E"/>
    <w:rsid w:val="00B4734F"/>
    <w:rsid w:val="00B5095A"/>
    <w:rsid w:val="00B50EA9"/>
    <w:rsid w:val="00B53975"/>
    <w:rsid w:val="00B55735"/>
    <w:rsid w:val="00B56E8A"/>
    <w:rsid w:val="00B572CF"/>
    <w:rsid w:val="00B608AC"/>
    <w:rsid w:val="00B62148"/>
    <w:rsid w:val="00B655CA"/>
    <w:rsid w:val="00B65C2F"/>
    <w:rsid w:val="00B65C54"/>
    <w:rsid w:val="00B67D13"/>
    <w:rsid w:val="00B81631"/>
    <w:rsid w:val="00B82B61"/>
    <w:rsid w:val="00B855BC"/>
    <w:rsid w:val="00B86A31"/>
    <w:rsid w:val="00B87880"/>
    <w:rsid w:val="00B907C1"/>
    <w:rsid w:val="00B909F9"/>
    <w:rsid w:val="00B9184D"/>
    <w:rsid w:val="00B9186E"/>
    <w:rsid w:val="00B91B41"/>
    <w:rsid w:val="00B92BFB"/>
    <w:rsid w:val="00B9370C"/>
    <w:rsid w:val="00B95D90"/>
    <w:rsid w:val="00B97C3B"/>
    <w:rsid w:val="00BA0CB2"/>
    <w:rsid w:val="00BA1042"/>
    <w:rsid w:val="00BA2D35"/>
    <w:rsid w:val="00BA2DBE"/>
    <w:rsid w:val="00BA4A65"/>
    <w:rsid w:val="00BA60FD"/>
    <w:rsid w:val="00BA6BB7"/>
    <w:rsid w:val="00BB0E8E"/>
    <w:rsid w:val="00BB3447"/>
    <w:rsid w:val="00BB375A"/>
    <w:rsid w:val="00BB5AE3"/>
    <w:rsid w:val="00BC17AA"/>
    <w:rsid w:val="00BD24A8"/>
    <w:rsid w:val="00BD287E"/>
    <w:rsid w:val="00BD4653"/>
    <w:rsid w:val="00BD4D7F"/>
    <w:rsid w:val="00BD70C4"/>
    <w:rsid w:val="00BD7198"/>
    <w:rsid w:val="00BE035C"/>
    <w:rsid w:val="00BE14E2"/>
    <w:rsid w:val="00BE223E"/>
    <w:rsid w:val="00BE2399"/>
    <w:rsid w:val="00BE580E"/>
    <w:rsid w:val="00BE5BD0"/>
    <w:rsid w:val="00BE6013"/>
    <w:rsid w:val="00BE6F95"/>
    <w:rsid w:val="00BE7F98"/>
    <w:rsid w:val="00BF3E5B"/>
    <w:rsid w:val="00BF6C67"/>
    <w:rsid w:val="00C000CD"/>
    <w:rsid w:val="00C00DE8"/>
    <w:rsid w:val="00C03179"/>
    <w:rsid w:val="00C0357E"/>
    <w:rsid w:val="00C0417E"/>
    <w:rsid w:val="00C0561A"/>
    <w:rsid w:val="00C10248"/>
    <w:rsid w:val="00C10594"/>
    <w:rsid w:val="00C10AE3"/>
    <w:rsid w:val="00C1136E"/>
    <w:rsid w:val="00C11E84"/>
    <w:rsid w:val="00C1323F"/>
    <w:rsid w:val="00C13936"/>
    <w:rsid w:val="00C13959"/>
    <w:rsid w:val="00C14779"/>
    <w:rsid w:val="00C17718"/>
    <w:rsid w:val="00C17A31"/>
    <w:rsid w:val="00C26766"/>
    <w:rsid w:val="00C314B6"/>
    <w:rsid w:val="00C32985"/>
    <w:rsid w:val="00C36D9E"/>
    <w:rsid w:val="00C409FC"/>
    <w:rsid w:val="00C50474"/>
    <w:rsid w:val="00C54298"/>
    <w:rsid w:val="00C550C9"/>
    <w:rsid w:val="00C564AD"/>
    <w:rsid w:val="00C56C35"/>
    <w:rsid w:val="00C610F6"/>
    <w:rsid w:val="00C63466"/>
    <w:rsid w:val="00C63A84"/>
    <w:rsid w:val="00C63AD7"/>
    <w:rsid w:val="00C675C3"/>
    <w:rsid w:val="00C70072"/>
    <w:rsid w:val="00C72C51"/>
    <w:rsid w:val="00C773A9"/>
    <w:rsid w:val="00C829E4"/>
    <w:rsid w:val="00C832D9"/>
    <w:rsid w:val="00C836A1"/>
    <w:rsid w:val="00C8428B"/>
    <w:rsid w:val="00C84C5A"/>
    <w:rsid w:val="00C929D2"/>
    <w:rsid w:val="00C92BCB"/>
    <w:rsid w:val="00C92C52"/>
    <w:rsid w:val="00C930DF"/>
    <w:rsid w:val="00CA2658"/>
    <w:rsid w:val="00CA4658"/>
    <w:rsid w:val="00CA479A"/>
    <w:rsid w:val="00CA72CD"/>
    <w:rsid w:val="00CA736B"/>
    <w:rsid w:val="00CB0BD9"/>
    <w:rsid w:val="00CB14BD"/>
    <w:rsid w:val="00CB17F2"/>
    <w:rsid w:val="00CB18A3"/>
    <w:rsid w:val="00CB4B3C"/>
    <w:rsid w:val="00CB4EE6"/>
    <w:rsid w:val="00CB747C"/>
    <w:rsid w:val="00CC2B94"/>
    <w:rsid w:val="00CC36E3"/>
    <w:rsid w:val="00CD11AD"/>
    <w:rsid w:val="00CD2300"/>
    <w:rsid w:val="00CD7A35"/>
    <w:rsid w:val="00CE17FC"/>
    <w:rsid w:val="00CE4B47"/>
    <w:rsid w:val="00CE59EC"/>
    <w:rsid w:val="00CE70D0"/>
    <w:rsid w:val="00CE71F8"/>
    <w:rsid w:val="00CE76C1"/>
    <w:rsid w:val="00CF24E4"/>
    <w:rsid w:val="00CF603B"/>
    <w:rsid w:val="00CF7455"/>
    <w:rsid w:val="00CF766A"/>
    <w:rsid w:val="00D00836"/>
    <w:rsid w:val="00D01949"/>
    <w:rsid w:val="00D02999"/>
    <w:rsid w:val="00D05E5C"/>
    <w:rsid w:val="00D07EA8"/>
    <w:rsid w:val="00D10563"/>
    <w:rsid w:val="00D12B9C"/>
    <w:rsid w:val="00D14962"/>
    <w:rsid w:val="00D150A8"/>
    <w:rsid w:val="00D16598"/>
    <w:rsid w:val="00D179EA"/>
    <w:rsid w:val="00D20211"/>
    <w:rsid w:val="00D2041B"/>
    <w:rsid w:val="00D21504"/>
    <w:rsid w:val="00D22285"/>
    <w:rsid w:val="00D22A94"/>
    <w:rsid w:val="00D234B1"/>
    <w:rsid w:val="00D252AB"/>
    <w:rsid w:val="00D30BDF"/>
    <w:rsid w:val="00D312D8"/>
    <w:rsid w:val="00D32500"/>
    <w:rsid w:val="00D336C7"/>
    <w:rsid w:val="00D408B1"/>
    <w:rsid w:val="00D40D1B"/>
    <w:rsid w:val="00D431BD"/>
    <w:rsid w:val="00D476FA"/>
    <w:rsid w:val="00D51816"/>
    <w:rsid w:val="00D5249F"/>
    <w:rsid w:val="00D5424F"/>
    <w:rsid w:val="00D54C0F"/>
    <w:rsid w:val="00D5583A"/>
    <w:rsid w:val="00D62220"/>
    <w:rsid w:val="00D62EE3"/>
    <w:rsid w:val="00D63CAC"/>
    <w:rsid w:val="00D6587B"/>
    <w:rsid w:val="00D67B08"/>
    <w:rsid w:val="00D72EA8"/>
    <w:rsid w:val="00D7337B"/>
    <w:rsid w:val="00D80860"/>
    <w:rsid w:val="00D815D4"/>
    <w:rsid w:val="00D83A5F"/>
    <w:rsid w:val="00D84506"/>
    <w:rsid w:val="00D91D4C"/>
    <w:rsid w:val="00D938F7"/>
    <w:rsid w:val="00D9512F"/>
    <w:rsid w:val="00DA1FD9"/>
    <w:rsid w:val="00DA2BC4"/>
    <w:rsid w:val="00DA3026"/>
    <w:rsid w:val="00DA54A6"/>
    <w:rsid w:val="00DA5A96"/>
    <w:rsid w:val="00DA6118"/>
    <w:rsid w:val="00DB212D"/>
    <w:rsid w:val="00DB2341"/>
    <w:rsid w:val="00DB40A8"/>
    <w:rsid w:val="00DB4709"/>
    <w:rsid w:val="00DB5630"/>
    <w:rsid w:val="00DB6F6A"/>
    <w:rsid w:val="00DC1A92"/>
    <w:rsid w:val="00DC352E"/>
    <w:rsid w:val="00DC57CC"/>
    <w:rsid w:val="00DC6291"/>
    <w:rsid w:val="00DC7E2A"/>
    <w:rsid w:val="00DD046B"/>
    <w:rsid w:val="00DD160E"/>
    <w:rsid w:val="00DD30E1"/>
    <w:rsid w:val="00DD5C03"/>
    <w:rsid w:val="00DD6393"/>
    <w:rsid w:val="00DD7989"/>
    <w:rsid w:val="00DD7ABB"/>
    <w:rsid w:val="00DE0E6C"/>
    <w:rsid w:val="00DE5708"/>
    <w:rsid w:val="00DF2BF4"/>
    <w:rsid w:val="00DF5F5A"/>
    <w:rsid w:val="00E00EAC"/>
    <w:rsid w:val="00E073FF"/>
    <w:rsid w:val="00E11F63"/>
    <w:rsid w:val="00E149C1"/>
    <w:rsid w:val="00E2241F"/>
    <w:rsid w:val="00E22E3A"/>
    <w:rsid w:val="00E2559B"/>
    <w:rsid w:val="00E25AB9"/>
    <w:rsid w:val="00E26D57"/>
    <w:rsid w:val="00E2725E"/>
    <w:rsid w:val="00E278FC"/>
    <w:rsid w:val="00E3707E"/>
    <w:rsid w:val="00E443DB"/>
    <w:rsid w:val="00E44C4F"/>
    <w:rsid w:val="00E47940"/>
    <w:rsid w:val="00E52761"/>
    <w:rsid w:val="00E53CD8"/>
    <w:rsid w:val="00E60143"/>
    <w:rsid w:val="00E64C21"/>
    <w:rsid w:val="00E71A5F"/>
    <w:rsid w:val="00E733C0"/>
    <w:rsid w:val="00E73437"/>
    <w:rsid w:val="00E73BE0"/>
    <w:rsid w:val="00E747E6"/>
    <w:rsid w:val="00E75B19"/>
    <w:rsid w:val="00E82C63"/>
    <w:rsid w:val="00E85215"/>
    <w:rsid w:val="00E857BB"/>
    <w:rsid w:val="00E87525"/>
    <w:rsid w:val="00E95E60"/>
    <w:rsid w:val="00E969E1"/>
    <w:rsid w:val="00EA0849"/>
    <w:rsid w:val="00EA2AFC"/>
    <w:rsid w:val="00EA3339"/>
    <w:rsid w:val="00EA52EC"/>
    <w:rsid w:val="00EA538D"/>
    <w:rsid w:val="00EA55C0"/>
    <w:rsid w:val="00EA6A11"/>
    <w:rsid w:val="00EA7430"/>
    <w:rsid w:val="00EB0B5C"/>
    <w:rsid w:val="00EB246C"/>
    <w:rsid w:val="00EC1D86"/>
    <w:rsid w:val="00EC5E2E"/>
    <w:rsid w:val="00EC64FB"/>
    <w:rsid w:val="00EC6E79"/>
    <w:rsid w:val="00ED0D0E"/>
    <w:rsid w:val="00ED24FA"/>
    <w:rsid w:val="00ED4142"/>
    <w:rsid w:val="00ED614F"/>
    <w:rsid w:val="00ED72E9"/>
    <w:rsid w:val="00ED73C0"/>
    <w:rsid w:val="00EE056B"/>
    <w:rsid w:val="00EE2130"/>
    <w:rsid w:val="00EE2348"/>
    <w:rsid w:val="00EE73C0"/>
    <w:rsid w:val="00EE7CF9"/>
    <w:rsid w:val="00EF0F25"/>
    <w:rsid w:val="00EF1ECD"/>
    <w:rsid w:val="00EF4047"/>
    <w:rsid w:val="00EF674C"/>
    <w:rsid w:val="00F0210B"/>
    <w:rsid w:val="00F024E8"/>
    <w:rsid w:val="00F1279E"/>
    <w:rsid w:val="00F12AD6"/>
    <w:rsid w:val="00F13451"/>
    <w:rsid w:val="00F1603C"/>
    <w:rsid w:val="00F16DA0"/>
    <w:rsid w:val="00F1710D"/>
    <w:rsid w:val="00F20B48"/>
    <w:rsid w:val="00F219A6"/>
    <w:rsid w:val="00F226AD"/>
    <w:rsid w:val="00F23A4F"/>
    <w:rsid w:val="00F2476B"/>
    <w:rsid w:val="00F262CE"/>
    <w:rsid w:val="00F30919"/>
    <w:rsid w:val="00F32FA5"/>
    <w:rsid w:val="00F33B65"/>
    <w:rsid w:val="00F546BB"/>
    <w:rsid w:val="00F55293"/>
    <w:rsid w:val="00F557E4"/>
    <w:rsid w:val="00F6029C"/>
    <w:rsid w:val="00F61266"/>
    <w:rsid w:val="00F63FAF"/>
    <w:rsid w:val="00F643DD"/>
    <w:rsid w:val="00F67858"/>
    <w:rsid w:val="00F71763"/>
    <w:rsid w:val="00F7214F"/>
    <w:rsid w:val="00F73986"/>
    <w:rsid w:val="00F75205"/>
    <w:rsid w:val="00F77C21"/>
    <w:rsid w:val="00F8030A"/>
    <w:rsid w:val="00F82AF2"/>
    <w:rsid w:val="00F84FB5"/>
    <w:rsid w:val="00F86B2F"/>
    <w:rsid w:val="00F86B72"/>
    <w:rsid w:val="00F90B8D"/>
    <w:rsid w:val="00F916B5"/>
    <w:rsid w:val="00F91C38"/>
    <w:rsid w:val="00FA029C"/>
    <w:rsid w:val="00FA4342"/>
    <w:rsid w:val="00FA4DE0"/>
    <w:rsid w:val="00FA77F8"/>
    <w:rsid w:val="00FB25EB"/>
    <w:rsid w:val="00FB3333"/>
    <w:rsid w:val="00FB6BD6"/>
    <w:rsid w:val="00FC2B23"/>
    <w:rsid w:val="00FC2F2A"/>
    <w:rsid w:val="00FC5B5A"/>
    <w:rsid w:val="00FD00E5"/>
    <w:rsid w:val="00FE1202"/>
    <w:rsid w:val="00FE3F77"/>
    <w:rsid w:val="00FE5AEA"/>
    <w:rsid w:val="00FE60FC"/>
    <w:rsid w:val="00FE6A20"/>
    <w:rsid w:val="00FF394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8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360ABE"/>
    <w:pPr>
      <w:tabs>
        <w:tab w:val="right" w:leader="dot" w:pos="9350"/>
      </w:tabs>
      <w:spacing w:after="100"/>
    </w:pPr>
    <w:rPr>
      <w:rFonts w:cstheme="minorHAnsi"/>
      <w:noProof/>
    </w:r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table" w:customStyle="1" w:styleId="TableGrid1">
    <w:name w:val="Table Grid1"/>
    <w:basedOn w:val="TableNormal"/>
    <w:next w:val="TableGrid"/>
    <w:uiPriority w:val="59"/>
    <w:rsid w:val="00D252AB"/>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231C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360ABE"/>
    <w:pPr>
      <w:tabs>
        <w:tab w:val="right" w:leader="dot" w:pos="9350"/>
      </w:tabs>
      <w:spacing w:after="100"/>
    </w:pPr>
    <w:rPr>
      <w:rFonts w:cstheme="minorHAnsi"/>
      <w:noProof/>
    </w:r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table" w:customStyle="1" w:styleId="TableGrid1">
    <w:name w:val="Table Grid1"/>
    <w:basedOn w:val="TableNormal"/>
    <w:next w:val="TableGrid"/>
    <w:uiPriority w:val="59"/>
    <w:rsid w:val="00D252AB"/>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23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hirley.bohm@cfsan.fda.gov" TargetMode="External"/><Relationship Id="rId18" Type="http://schemas.openxmlformats.org/officeDocument/2006/relationships/hyperlink" Target="mailto:rfrick@dhs.ca.gov" TargetMode="External"/><Relationship Id="rId26" Type="http://schemas.openxmlformats.org/officeDocument/2006/relationships/hyperlink" Target="mailto:david.reimann@health.state.mn.us" TargetMode="External"/><Relationship Id="rId39" Type="http://schemas.openxmlformats.org/officeDocument/2006/relationships/hyperlink" Target="mailto:Ryan.mason@state.tn.us" TargetMode="External"/><Relationship Id="rId3" Type="http://schemas.openxmlformats.org/officeDocument/2006/relationships/styles" Target="styles.xml"/><Relationship Id="rId21" Type="http://schemas.openxmlformats.org/officeDocument/2006/relationships/hyperlink" Target="mailto:lisa.bushnell@po.state.ct.us" TargetMode="External"/><Relationship Id="rId34" Type="http://schemas.openxmlformats.org/officeDocument/2006/relationships/hyperlink" Target="mailto:Matthew.J.Jaqua@state.or.us" TargetMode="External"/><Relationship Id="rId42" Type="http://schemas.openxmlformats.org/officeDocument/2006/relationships/hyperlink" Target="http://www.bls.gov/oes/current/oes350000.htm"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potter@cfsan.fda.gov" TargetMode="External"/><Relationship Id="rId17" Type="http://schemas.openxmlformats.org/officeDocument/2006/relationships/hyperlink" Target="mailto:sstrong1@dhs.ca.gov" TargetMode="External"/><Relationship Id="rId25" Type="http://schemas.openxmlformats.org/officeDocument/2006/relationships/hyperlink" Target="mailto:ksharp@idph.state.ia.us" TargetMode="External"/><Relationship Id="rId33" Type="http://schemas.openxmlformats.org/officeDocument/2006/relationships/hyperlink" Target="mailto:Lore.e.lee@state.or.us" TargetMode="External"/><Relationship Id="rId38" Type="http://schemas.openxmlformats.org/officeDocument/2006/relationships/hyperlink" Target="mailto:danny.ripley@nashville.gov"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risten.holt@fsis.usda.gov" TargetMode="External"/><Relationship Id="rId20" Type="http://schemas.openxmlformats.org/officeDocument/2006/relationships/hyperlink" Target="mailto:Ruthanne.marcus@yale.edu" TargetMode="External"/><Relationship Id="rId29" Type="http://schemas.openxmlformats.org/officeDocument/2006/relationships/hyperlink" Target="mailto:steven.diaz@state.mn.us" TargetMode="External"/><Relationship Id="rId41" Type="http://schemas.openxmlformats.org/officeDocument/2006/relationships/hyperlink" Target="http://www.bls.gov/oes/current/oes19204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hn.guzewich@cfsan.fda.gov" TargetMode="External"/><Relationship Id="rId24" Type="http://schemas.openxmlformats.org/officeDocument/2006/relationships/hyperlink" Target="mailto:twickam@idph.state.ia.us" TargetMode="External"/><Relationship Id="rId32" Type="http://schemas.openxmlformats.org/officeDocument/2006/relationships/hyperlink" Target="mailto:paul.r.cieslak@state.or.us" TargetMode="External"/><Relationship Id="rId37" Type="http://schemas.openxmlformats.org/officeDocument/2006/relationships/hyperlink" Target="mailto:L.Rand.Carpenter@state.tn.us" TargetMode="External"/><Relationship Id="rId40" Type="http://schemas.openxmlformats.org/officeDocument/2006/relationships/hyperlink" Target="mailto:nxc09@health.state.ny.us"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moshe.dreyfuss@fsis.usda.gov" TargetMode="External"/><Relationship Id="rId23" Type="http://schemas.openxmlformats.org/officeDocument/2006/relationships/hyperlink" Target="mailto:mtdangelo@dhr.state.ga.us" TargetMode="External"/><Relationship Id="rId28" Type="http://schemas.openxmlformats.org/officeDocument/2006/relationships/hyperlink" Target="mailto:karen.everstine@health.state.mn.us" TargetMode="External"/><Relationship Id="rId36" Type="http://schemas.openxmlformats.org/officeDocument/2006/relationships/hyperlink" Target="mailto:Henry.Blade@health.ri.gov" TargetMode="External"/><Relationship Id="rId10" Type="http://schemas.openxmlformats.org/officeDocument/2006/relationships/hyperlink" Target="https://wwwn.cdc.gov/norsdashboard/" TargetMode="External"/><Relationship Id="rId19" Type="http://schemas.openxmlformats.org/officeDocument/2006/relationships/hyperlink" Target="mailto:dnorton@ceip.us" TargetMode="External"/><Relationship Id="rId31" Type="http://schemas.openxmlformats.org/officeDocument/2006/relationships/hyperlink" Target="mailto:dlm04@health.state.ny.us" TargetMode="External"/><Relationship Id="rId44" Type="http://schemas.openxmlformats.org/officeDocument/2006/relationships/hyperlink" Target="https://www.cdc.gov/nceh/ehs/docs/contributing-factors.pdf" TargetMode="External"/><Relationship Id="rId52"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lrg0@cdc.gov" TargetMode="External"/><Relationship Id="rId14" Type="http://schemas.openxmlformats.org/officeDocument/2006/relationships/hyperlink" Target="mailto:glenda.lewis@fda.hhs.gov" TargetMode="External"/><Relationship Id="rId22" Type="http://schemas.openxmlformats.org/officeDocument/2006/relationships/hyperlink" Target="mailto:necouret@dhr.state.ga.us" TargetMode="External"/><Relationship Id="rId27" Type="http://schemas.openxmlformats.org/officeDocument/2006/relationships/hyperlink" Target="mailto:Kirk.smith@state.mn.us" TargetMode="External"/><Relationship Id="rId30" Type="http://schemas.openxmlformats.org/officeDocument/2006/relationships/hyperlink" Target="mailto:dcn01@health.state.ny.us" TargetMode="External"/><Relationship Id="rId35" Type="http://schemas.openxmlformats.org/officeDocument/2006/relationships/hyperlink" Target="mailto:ERNIEJ@DOH.STATE.RI.US" TargetMode="External"/><Relationship Id="rId43" Type="http://schemas.openxmlformats.org/officeDocument/2006/relationships/hyperlink" Target="https://www.cdc.gov/nceh/ehs/nears/publica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2E58F-5C1B-44B5-8A04-139747B3F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7812</Words>
  <Characters>44534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cp:lastPrinted>2018-12-13T19:25:00Z</cp:lastPrinted>
  <dcterms:created xsi:type="dcterms:W3CDTF">2019-05-23T12:47:00Z</dcterms:created>
  <dcterms:modified xsi:type="dcterms:W3CDTF">2019-05-23T12:47:00Z</dcterms:modified>
</cp:coreProperties>
</file>