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419A" w14:textId="77777777" w:rsidR="002A37BA" w:rsidRDefault="002A37BA" w:rsidP="002A37BA">
      <w:pPr>
        <w:jc w:val="center"/>
        <w:rPr>
          <w:b/>
        </w:rPr>
      </w:pPr>
      <w:bookmarkStart w:id="0" w:name="_GoBack"/>
      <w:bookmarkEnd w:id="0"/>
    </w:p>
    <w:p w14:paraId="02A1DCBB" w14:textId="77777777"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2"/>
        </w:rPr>
        <w:t>Information Collection Request</w:t>
      </w:r>
    </w:p>
    <w:p w14:paraId="169D9F91" w14:textId="092D50D5" w:rsidR="00F40861" w:rsidRDefault="00F40861" w:rsidP="00F40861">
      <w:pPr>
        <w:spacing w:after="200" w:line="276" w:lineRule="auto"/>
        <w:ind w:firstLine="0"/>
        <w:jc w:val="center"/>
        <w:rPr>
          <w:rFonts w:eastAsiaTheme="minorHAnsi"/>
          <w:b/>
          <w:szCs w:val="22"/>
        </w:rPr>
      </w:pPr>
    </w:p>
    <w:p w14:paraId="2A82B8BF" w14:textId="77777777" w:rsidR="00F40861" w:rsidRPr="00F40861" w:rsidRDefault="00F40861" w:rsidP="00F40861">
      <w:pPr>
        <w:spacing w:after="200" w:line="276" w:lineRule="auto"/>
        <w:ind w:firstLine="0"/>
        <w:jc w:val="center"/>
        <w:rPr>
          <w:rFonts w:eastAsiaTheme="minorHAnsi"/>
          <w:b/>
          <w:szCs w:val="22"/>
        </w:rPr>
      </w:pPr>
    </w:p>
    <w:p w14:paraId="37FF48E8" w14:textId="77777777"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2"/>
        </w:rPr>
        <w:t>Reinstatement</w:t>
      </w:r>
    </w:p>
    <w:p w14:paraId="579CC4D8" w14:textId="4CE6E261" w:rsidR="00F40861" w:rsidRDefault="00F40861" w:rsidP="00F40861">
      <w:pPr>
        <w:spacing w:after="200" w:line="276" w:lineRule="auto"/>
        <w:ind w:firstLine="0"/>
        <w:jc w:val="center"/>
        <w:rPr>
          <w:rFonts w:eastAsiaTheme="minorHAnsi"/>
          <w:b/>
          <w:szCs w:val="22"/>
        </w:rPr>
      </w:pPr>
    </w:p>
    <w:p w14:paraId="50878312" w14:textId="77777777" w:rsidR="00F40861" w:rsidRPr="00F40861" w:rsidRDefault="00F40861" w:rsidP="00F40861">
      <w:pPr>
        <w:spacing w:after="200" w:line="276" w:lineRule="auto"/>
        <w:ind w:firstLine="0"/>
        <w:jc w:val="center"/>
        <w:rPr>
          <w:rFonts w:eastAsiaTheme="minorHAnsi"/>
          <w:b/>
          <w:szCs w:val="22"/>
        </w:rPr>
      </w:pPr>
    </w:p>
    <w:p w14:paraId="34388722" w14:textId="77777777"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2"/>
        </w:rPr>
        <w:t>Paul Coverdell National Acute Stroke Program</w:t>
      </w:r>
    </w:p>
    <w:p w14:paraId="77A4F612" w14:textId="77777777"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2"/>
        </w:rPr>
        <w:t>(PCNASP) Reporting System</w:t>
      </w:r>
    </w:p>
    <w:p w14:paraId="0E80FEC3" w14:textId="77777777"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4"/>
        </w:rPr>
        <w:t xml:space="preserve">OMB No. 0920-1108 </w:t>
      </w:r>
    </w:p>
    <w:p w14:paraId="05BA39D0" w14:textId="77777777" w:rsidR="00F40861" w:rsidRPr="00F40861" w:rsidRDefault="00F40861" w:rsidP="00F40861">
      <w:pPr>
        <w:spacing w:after="200" w:line="276" w:lineRule="auto"/>
        <w:ind w:firstLine="0"/>
        <w:jc w:val="center"/>
        <w:rPr>
          <w:rFonts w:eastAsiaTheme="minorHAnsi"/>
          <w:b/>
          <w:szCs w:val="22"/>
        </w:rPr>
      </w:pPr>
    </w:p>
    <w:p w14:paraId="5448922A" w14:textId="77777777" w:rsidR="00F40861" w:rsidRPr="00F40861" w:rsidRDefault="00F40861" w:rsidP="00F40861">
      <w:pPr>
        <w:spacing w:after="200" w:line="276" w:lineRule="auto"/>
        <w:ind w:firstLine="0"/>
        <w:jc w:val="center"/>
        <w:rPr>
          <w:rFonts w:eastAsiaTheme="minorHAnsi"/>
          <w:b/>
          <w:szCs w:val="22"/>
        </w:rPr>
      </w:pPr>
    </w:p>
    <w:p w14:paraId="7F1C3889" w14:textId="5B28B6C4" w:rsidR="00F40861" w:rsidRPr="00F40861" w:rsidRDefault="00F40861" w:rsidP="00F40861">
      <w:pPr>
        <w:spacing w:after="200" w:line="276" w:lineRule="auto"/>
        <w:ind w:firstLine="0"/>
        <w:jc w:val="center"/>
        <w:rPr>
          <w:rFonts w:eastAsiaTheme="minorHAnsi"/>
          <w:b/>
          <w:szCs w:val="22"/>
        </w:rPr>
      </w:pPr>
      <w:r w:rsidRPr="00F40861">
        <w:rPr>
          <w:rFonts w:eastAsiaTheme="minorHAnsi"/>
          <w:b/>
          <w:szCs w:val="22"/>
        </w:rPr>
        <w:t xml:space="preserve">Supporting Statement Part </w:t>
      </w:r>
      <w:r>
        <w:rPr>
          <w:rFonts w:eastAsiaTheme="minorHAnsi"/>
          <w:b/>
          <w:szCs w:val="22"/>
        </w:rPr>
        <w:t>B</w:t>
      </w:r>
    </w:p>
    <w:p w14:paraId="78B1D375" w14:textId="304B35B3" w:rsidR="00F40861" w:rsidRDefault="00F40861" w:rsidP="00F40861">
      <w:pPr>
        <w:spacing w:line="240" w:lineRule="auto"/>
        <w:ind w:firstLine="0"/>
        <w:jc w:val="center"/>
        <w:rPr>
          <w:rFonts w:eastAsiaTheme="minorHAnsi"/>
          <w:szCs w:val="22"/>
        </w:rPr>
      </w:pPr>
    </w:p>
    <w:p w14:paraId="5057D058" w14:textId="77777777" w:rsidR="00F40861" w:rsidRPr="00F40861" w:rsidRDefault="00F40861" w:rsidP="00F40861">
      <w:pPr>
        <w:spacing w:line="240" w:lineRule="auto"/>
        <w:ind w:firstLine="0"/>
        <w:jc w:val="center"/>
        <w:rPr>
          <w:rFonts w:eastAsiaTheme="minorHAnsi"/>
          <w:szCs w:val="22"/>
        </w:rPr>
      </w:pPr>
    </w:p>
    <w:p w14:paraId="590A1ABA" w14:textId="77777777" w:rsidR="00F40861" w:rsidRPr="00F40861" w:rsidRDefault="00F40861" w:rsidP="00F40861">
      <w:pPr>
        <w:spacing w:line="240" w:lineRule="auto"/>
        <w:ind w:firstLine="0"/>
        <w:jc w:val="center"/>
        <w:rPr>
          <w:rFonts w:eastAsiaTheme="minorHAnsi"/>
          <w:szCs w:val="22"/>
        </w:rPr>
      </w:pPr>
    </w:p>
    <w:p w14:paraId="73B028B6" w14:textId="77777777" w:rsidR="00F40861" w:rsidRPr="00F40861" w:rsidRDefault="00F40861" w:rsidP="00F40861">
      <w:pPr>
        <w:spacing w:line="240" w:lineRule="auto"/>
        <w:ind w:firstLine="0"/>
        <w:jc w:val="center"/>
        <w:rPr>
          <w:rFonts w:eastAsiaTheme="minorHAnsi"/>
          <w:szCs w:val="22"/>
        </w:rPr>
      </w:pPr>
      <w:r w:rsidRPr="00F40861">
        <w:rPr>
          <w:rFonts w:eastAsiaTheme="minorHAnsi"/>
          <w:b/>
          <w:szCs w:val="22"/>
          <w:u w:val="single"/>
        </w:rPr>
        <w:t>Program Official/Contact</w:t>
      </w:r>
    </w:p>
    <w:p w14:paraId="4816B179"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Sallyann Coleman King, MD, MSc</w:t>
      </w:r>
    </w:p>
    <w:p w14:paraId="29A34367"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Medical Officer</w:t>
      </w:r>
    </w:p>
    <w:p w14:paraId="775D9517"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Division for Heart Disease and Stroke Prevention</w:t>
      </w:r>
    </w:p>
    <w:p w14:paraId="5C2D88EB"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National Center for Chronic Disease Prevention and Health Promotion</w:t>
      </w:r>
    </w:p>
    <w:p w14:paraId="59EA790F"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Centers for Disease Control and Prevention</w:t>
      </w:r>
    </w:p>
    <w:p w14:paraId="13331E8D"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Atlanta, GA 30341</w:t>
      </w:r>
    </w:p>
    <w:p w14:paraId="2B27C27E"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Telephone: (770) 488-5892</w:t>
      </w:r>
    </w:p>
    <w:p w14:paraId="2F5D2940" w14:textId="77777777" w:rsidR="00F40861" w:rsidRPr="00F40861" w:rsidRDefault="00F40861" w:rsidP="00F40861">
      <w:pPr>
        <w:tabs>
          <w:tab w:val="left" w:pos="2657"/>
          <w:tab w:val="center" w:pos="4680"/>
        </w:tabs>
        <w:spacing w:line="240" w:lineRule="auto"/>
        <w:ind w:firstLine="0"/>
        <w:jc w:val="center"/>
        <w:rPr>
          <w:rFonts w:eastAsiaTheme="minorHAnsi"/>
          <w:szCs w:val="22"/>
        </w:rPr>
      </w:pPr>
      <w:r w:rsidRPr="00F40861">
        <w:rPr>
          <w:rFonts w:eastAsiaTheme="minorHAnsi"/>
          <w:szCs w:val="22"/>
        </w:rPr>
        <w:t>Fax: (770) 488-8334</w:t>
      </w:r>
    </w:p>
    <w:p w14:paraId="24044F0C" w14:textId="77777777" w:rsidR="00F40861" w:rsidRPr="00F40861" w:rsidRDefault="00F40861" w:rsidP="00F40861">
      <w:pPr>
        <w:spacing w:line="240" w:lineRule="auto"/>
        <w:ind w:firstLine="0"/>
        <w:jc w:val="center"/>
        <w:rPr>
          <w:rFonts w:eastAsiaTheme="minorHAnsi"/>
          <w:szCs w:val="22"/>
        </w:rPr>
      </w:pPr>
      <w:r w:rsidRPr="00F40861">
        <w:rPr>
          <w:rFonts w:eastAsiaTheme="minorHAnsi"/>
          <w:szCs w:val="22"/>
        </w:rPr>
        <w:t xml:space="preserve">Email:  </w:t>
      </w:r>
      <w:hyperlink r:id="rId9" w:history="1">
        <w:r w:rsidRPr="00F40861">
          <w:rPr>
            <w:rFonts w:eastAsiaTheme="minorHAnsi"/>
            <w:color w:val="0000FF" w:themeColor="hyperlink"/>
            <w:szCs w:val="22"/>
            <w:u w:val="single"/>
          </w:rPr>
          <w:t>FJQ9@cdc.go</w:t>
        </w:r>
      </w:hyperlink>
      <w:r w:rsidRPr="00F40861">
        <w:rPr>
          <w:rFonts w:eastAsiaTheme="minorHAnsi"/>
          <w:color w:val="0000FF" w:themeColor="hyperlink"/>
          <w:szCs w:val="22"/>
          <w:u w:val="single"/>
        </w:rPr>
        <w:t>v</w:t>
      </w:r>
    </w:p>
    <w:p w14:paraId="54594E2F" w14:textId="77777777" w:rsidR="00F40861" w:rsidRPr="00F40861" w:rsidRDefault="00F40861" w:rsidP="00F40861">
      <w:pPr>
        <w:tabs>
          <w:tab w:val="left" w:pos="3890"/>
        </w:tabs>
        <w:spacing w:after="200" w:line="276" w:lineRule="auto"/>
        <w:ind w:firstLine="0"/>
        <w:rPr>
          <w:rFonts w:asciiTheme="minorHAnsi" w:eastAsiaTheme="minorHAnsi" w:hAnsiTheme="minorHAnsi" w:cstheme="minorBidi"/>
          <w:sz w:val="22"/>
          <w:szCs w:val="22"/>
        </w:rPr>
      </w:pPr>
    </w:p>
    <w:p w14:paraId="01193E37" w14:textId="77777777" w:rsidR="00F40861" w:rsidRPr="00F40861" w:rsidRDefault="00F40861" w:rsidP="00F40861">
      <w:pPr>
        <w:tabs>
          <w:tab w:val="left" w:pos="3890"/>
        </w:tabs>
        <w:spacing w:after="200" w:line="276" w:lineRule="auto"/>
        <w:ind w:firstLine="0"/>
        <w:rPr>
          <w:rFonts w:asciiTheme="minorHAnsi" w:eastAsiaTheme="minorHAnsi" w:hAnsiTheme="minorHAnsi" w:cstheme="minorBidi"/>
          <w:sz w:val="22"/>
          <w:szCs w:val="22"/>
        </w:rPr>
      </w:pPr>
    </w:p>
    <w:p w14:paraId="14F3074F" w14:textId="40746EFD" w:rsidR="002A37BA" w:rsidRDefault="00F40861" w:rsidP="00F40861">
      <w:pPr>
        <w:jc w:val="center"/>
        <w:sectPr w:rsidR="002A37BA" w:rsidSect="006C6578">
          <w:footerReference w:type="default" r:id="rId10"/>
          <w:pgSz w:w="12240" w:h="15840" w:code="1"/>
          <w:pgMar w:top="1080" w:right="1080" w:bottom="1080" w:left="1080" w:header="720" w:footer="720" w:gutter="0"/>
          <w:cols w:space="720"/>
          <w:docGrid w:linePitch="360"/>
        </w:sectPr>
      </w:pPr>
      <w:r w:rsidRPr="00F40861">
        <w:rPr>
          <w:rFonts w:eastAsiaTheme="minorHAnsi"/>
          <w:szCs w:val="22"/>
        </w:rPr>
        <w:t>April 23, 2019</w:t>
      </w:r>
    </w:p>
    <w:p w14:paraId="4A6C0B5C" w14:textId="77777777" w:rsidR="002A37BA" w:rsidRPr="00D61F2E" w:rsidRDefault="002A37BA" w:rsidP="002A37BA">
      <w:pPr>
        <w:pStyle w:val="ListParagraph"/>
        <w:jc w:val="center"/>
        <w:rPr>
          <w:rFonts w:ascii="Times New Roman" w:hAnsi="Times New Roman" w:cs="Times New Roman"/>
          <w:b/>
          <w:sz w:val="24"/>
        </w:rPr>
      </w:pPr>
      <w:r w:rsidRPr="001A4842">
        <w:rPr>
          <w:rFonts w:ascii="Times New Roman" w:hAnsi="Times New Roman" w:cs="Times New Roman"/>
          <w:b/>
          <w:sz w:val="24"/>
        </w:rPr>
        <w:lastRenderedPageBreak/>
        <w:t>Table of Contents</w:t>
      </w:r>
    </w:p>
    <w:p w14:paraId="2DFCA1F6" w14:textId="77777777" w:rsidR="002A37BA" w:rsidRDefault="002A37BA" w:rsidP="002A37BA">
      <w:pPr>
        <w:pStyle w:val="ListParagraph"/>
        <w:rPr>
          <w:rFonts w:ascii="Times New Roman" w:hAnsi="Times New Roman" w:cs="Times New Roman"/>
          <w:sz w:val="24"/>
        </w:rPr>
      </w:pPr>
    </w:p>
    <w:p w14:paraId="4FDE3687" w14:textId="77777777" w:rsidR="002A37BA" w:rsidRDefault="002A37BA" w:rsidP="002A37BA">
      <w:pPr>
        <w:pStyle w:val="ListParagraph"/>
        <w:rPr>
          <w:rFonts w:ascii="Times New Roman" w:hAnsi="Times New Roman" w:cs="Times New Roman"/>
          <w:sz w:val="24"/>
        </w:rPr>
      </w:pPr>
    </w:p>
    <w:p w14:paraId="1ADEC2EB" w14:textId="77777777" w:rsidR="002A37BA" w:rsidRDefault="002A37BA" w:rsidP="000D0CD1">
      <w:pPr>
        <w:pStyle w:val="ListParagraph"/>
        <w:numPr>
          <w:ilvl w:val="0"/>
          <w:numId w:val="1"/>
        </w:numPr>
        <w:rPr>
          <w:rFonts w:ascii="Times New Roman" w:hAnsi="Times New Roman" w:cs="Times New Roman"/>
          <w:sz w:val="24"/>
        </w:rPr>
      </w:pPr>
      <w:r>
        <w:rPr>
          <w:rFonts w:ascii="Times New Roman" w:hAnsi="Times New Roman" w:cs="Times New Roman"/>
          <w:sz w:val="24"/>
        </w:rPr>
        <w:t>Statistical Methods</w:t>
      </w:r>
    </w:p>
    <w:p w14:paraId="6EE87E18" w14:textId="77777777" w:rsidR="002A37BA" w:rsidRDefault="002A37BA" w:rsidP="000D0CD1">
      <w:pPr>
        <w:pStyle w:val="ListParagraph"/>
        <w:numPr>
          <w:ilvl w:val="0"/>
          <w:numId w:val="2"/>
        </w:numPr>
        <w:rPr>
          <w:rFonts w:ascii="Times New Roman" w:hAnsi="Times New Roman" w:cs="Times New Roman"/>
          <w:sz w:val="24"/>
        </w:rPr>
      </w:pPr>
      <w:r>
        <w:rPr>
          <w:rFonts w:ascii="Times New Roman" w:hAnsi="Times New Roman" w:cs="Times New Roman"/>
          <w:sz w:val="24"/>
        </w:rPr>
        <w:t>Respondent Universe and Sampling Methods</w:t>
      </w:r>
    </w:p>
    <w:p w14:paraId="683A5EEB" w14:textId="77777777" w:rsidR="002A37BA" w:rsidRDefault="002A37BA" w:rsidP="000D0CD1">
      <w:pPr>
        <w:pStyle w:val="ListParagraph"/>
        <w:numPr>
          <w:ilvl w:val="0"/>
          <w:numId w:val="2"/>
        </w:numPr>
        <w:rPr>
          <w:rFonts w:ascii="Times New Roman" w:hAnsi="Times New Roman" w:cs="Times New Roman"/>
          <w:sz w:val="24"/>
        </w:rPr>
      </w:pPr>
      <w:r>
        <w:rPr>
          <w:rFonts w:ascii="Times New Roman" w:hAnsi="Times New Roman" w:cs="Times New Roman"/>
          <w:sz w:val="24"/>
        </w:rPr>
        <w:t>Procedures for the Collection of Information</w:t>
      </w:r>
    </w:p>
    <w:p w14:paraId="2258557C" w14:textId="77777777" w:rsidR="002A37BA" w:rsidRDefault="002A37BA" w:rsidP="000D0CD1">
      <w:pPr>
        <w:pStyle w:val="ListParagraph"/>
        <w:numPr>
          <w:ilvl w:val="0"/>
          <w:numId w:val="2"/>
        </w:numPr>
        <w:rPr>
          <w:rFonts w:ascii="Times New Roman" w:hAnsi="Times New Roman" w:cs="Times New Roman"/>
          <w:sz w:val="24"/>
        </w:rPr>
      </w:pPr>
      <w:r>
        <w:rPr>
          <w:rFonts w:ascii="Times New Roman" w:hAnsi="Times New Roman" w:cs="Times New Roman"/>
          <w:sz w:val="24"/>
        </w:rPr>
        <w:t>Methods to Maximize Response Rates and Deal with Nonresponse</w:t>
      </w:r>
    </w:p>
    <w:p w14:paraId="31D4300B" w14:textId="77777777" w:rsidR="002A37BA" w:rsidRDefault="002A37BA" w:rsidP="000D0CD1">
      <w:pPr>
        <w:pStyle w:val="ListParagraph"/>
        <w:numPr>
          <w:ilvl w:val="0"/>
          <w:numId w:val="2"/>
        </w:numPr>
        <w:rPr>
          <w:rFonts w:ascii="Times New Roman" w:hAnsi="Times New Roman" w:cs="Times New Roman"/>
          <w:sz w:val="24"/>
        </w:rPr>
      </w:pPr>
      <w:r>
        <w:rPr>
          <w:rFonts w:ascii="Times New Roman" w:hAnsi="Times New Roman" w:cs="Times New Roman"/>
          <w:sz w:val="24"/>
        </w:rPr>
        <w:t>Test of Procedures or Methods to be Undertaken</w:t>
      </w:r>
    </w:p>
    <w:p w14:paraId="3443E01A" w14:textId="77777777" w:rsidR="002A37BA" w:rsidRDefault="002A37BA" w:rsidP="000D0CD1">
      <w:pPr>
        <w:pStyle w:val="ListParagraph"/>
        <w:numPr>
          <w:ilvl w:val="0"/>
          <w:numId w:val="2"/>
        </w:numPr>
        <w:rPr>
          <w:rFonts w:ascii="Times New Roman" w:hAnsi="Times New Roman" w:cs="Times New Roman"/>
          <w:sz w:val="24"/>
        </w:rPr>
      </w:pPr>
      <w:r>
        <w:rPr>
          <w:rFonts w:ascii="Times New Roman" w:hAnsi="Times New Roman" w:cs="Times New Roman"/>
          <w:sz w:val="24"/>
        </w:rPr>
        <w:t>Individuals Consulted on Statistical Aspects and Individuals Collecting and/or Analyzing Data</w:t>
      </w:r>
    </w:p>
    <w:p w14:paraId="2AF91193" w14:textId="77777777" w:rsidR="002A37BA" w:rsidRDefault="002A37BA" w:rsidP="000D0CD1">
      <w:pPr>
        <w:spacing w:line="276" w:lineRule="auto"/>
        <w:sectPr w:rsidR="002A37BA" w:rsidSect="006C6578">
          <w:pgSz w:w="12240" w:h="15840" w:code="1"/>
          <w:pgMar w:top="1080" w:right="1080" w:bottom="1080" w:left="1080" w:header="720" w:footer="720" w:gutter="0"/>
          <w:cols w:space="720"/>
          <w:docGrid w:linePitch="360"/>
        </w:sectPr>
      </w:pPr>
    </w:p>
    <w:p w14:paraId="3023FCDC" w14:textId="77777777" w:rsidR="002A37BA" w:rsidRPr="00B95CC2" w:rsidRDefault="002A37BA" w:rsidP="002A37BA">
      <w:pPr>
        <w:widowControl w:val="0"/>
        <w:spacing w:after="120" w:line="276" w:lineRule="auto"/>
        <w:jc w:val="center"/>
        <w:rPr>
          <w:b/>
          <w:szCs w:val="24"/>
        </w:rPr>
      </w:pPr>
      <w:r w:rsidRPr="004506D2">
        <w:rPr>
          <w:b/>
          <w:szCs w:val="24"/>
        </w:rPr>
        <w:lastRenderedPageBreak/>
        <w:t>List of Attachments</w:t>
      </w:r>
    </w:p>
    <w:p w14:paraId="5FA94481" w14:textId="552822CE"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 xml:space="preserve">1: </w:t>
      </w:r>
      <w:r w:rsidRPr="00F22F9E">
        <w:rPr>
          <w:rFonts w:eastAsiaTheme="minorHAnsi"/>
          <w:szCs w:val="24"/>
        </w:rPr>
        <w:tab/>
        <w:t>2015-2020 PCNASP Awardees</w:t>
      </w:r>
    </w:p>
    <w:p w14:paraId="7BB5FCED" w14:textId="17B1BCBF" w:rsidR="00F22F9E" w:rsidRPr="00F22F9E" w:rsidRDefault="00F22F9E" w:rsidP="00F22F9E">
      <w:pPr>
        <w:widowControl w:val="0"/>
        <w:spacing w:after="120" w:line="276" w:lineRule="auto"/>
        <w:ind w:left="990" w:hanging="990"/>
        <w:rPr>
          <w:rFonts w:eastAsiaTheme="minorHAnsi"/>
          <w:szCs w:val="24"/>
        </w:rPr>
      </w:pPr>
      <w:r w:rsidRPr="00F22F9E">
        <w:rPr>
          <w:rFonts w:eastAsiaTheme="minorHAnsi"/>
          <w:szCs w:val="24"/>
        </w:rPr>
        <w:t xml:space="preserve">2: </w:t>
      </w:r>
      <w:r w:rsidRPr="00F22F9E">
        <w:rPr>
          <w:rFonts w:eastAsiaTheme="minorHAnsi"/>
          <w:szCs w:val="24"/>
        </w:rPr>
        <w:tab/>
        <w:t>Section 317 of the Public Health Service Act [42 U.S.C. 247b(k)(2)]</w:t>
      </w:r>
    </w:p>
    <w:p w14:paraId="0FB4F7CD" w14:textId="0D9817B6" w:rsidR="00F22F9E" w:rsidRPr="00F22F9E" w:rsidRDefault="00F22F9E" w:rsidP="00F22F9E">
      <w:pPr>
        <w:widowControl w:val="0"/>
        <w:tabs>
          <w:tab w:val="left" w:pos="990"/>
        </w:tabs>
        <w:spacing w:after="120" w:line="276" w:lineRule="auto"/>
        <w:ind w:left="990" w:hanging="990"/>
        <w:rPr>
          <w:rFonts w:eastAsiaTheme="minorHAnsi"/>
          <w:szCs w:val="24"/>
        </w:rPr>
      </w:pPr>
      <w:r w:rsidRPr="00F22F9E">
        <w:rPr>
          <w:rFonts w:eastAsiaTheme="minorHAnsi"/>
          <w:szCs w:val="24"/>
        </w:rPr>
        <w:t xml:space="preserve">3a: </w:t>
      </w:r>
      <w:r w:rsidRPr="00F22F9E">
        <w:rPr>
          <w:rFonts w:eastAsiaTheme="minorHAnsi"/>
          <w:szCs w:val="24"/>
        </w:rPr>
        <w:tab/>
        <w:t>Crosswalk between program aims and short/intermediate/long term outcomes</w:t>
      </w:r>
    </w:p>
    <w:p w14:paraId="2C9335F0" w14:textId="390A84A0" w:rsidR="00F22F9E" w:rsidRPr="00F22F9E" w:rsidRDefault="00F22F9E" w:rsidP="00F22F9E">
      <w:pPr>
        <w:widowControl w:val="0"/>
        <w:tabs>
          <w:tab w:val="left" w:pos="990"/>
        </w:tabs>
        <w:spacing w:after="120" w:line="276" w:lineRule="auto"/>
        <w:ind w:left="990" w:hanging="990"/>
        <w:rPr>
          <w:rFonts w:eastAsiaTheme="minorHAnsi"/>
          <w:szCs w:val="24"/>
        </w:rPr>
      </w:pPr>
      <w:r w:rsidRPr="00F22F9E">
        <w:rPr>
          <w:rFonts w:eastAsiaTheme="minorHAnsi"/>
          <w:szCs w:val="24"/>
        </w:rPr>
        <w:t>3b:</w:t>
      </w:r>
      <w:r w:rsidRPr="00F22F9E">
        <w:rPr>
          <w:rFonts w:eastAsiaTheme="minorHAnsi"/>
          <w:szCs w:val="24"/>
        </w:rPr>
        <w:tab/>
        <w:t>Crosswalk between short/intermediate/long term outcomes, performance measures, and data sources</w:t>
      </w:r>
    </w:p>
    <w:p w14:paraId="2688F016" w14:textId="1E56A9A4"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 xml:space="preserve">4a: </w:t>
      </w:r>
      <w:r w:rsidRPr="00F22F9E">
        <w:rPr>
          <w:rFonts w:eastAsiaTheme="minorHAnsi"/>
          <w:szCs w:val="24"/>
        </w:rPr>
        <w:tab/>
        <w:t xml:space="preserve">Pre-hospital care data elements </w:t>
      </w:r>
    </w:p>
    <w:p w14:paraId="6E6F42CC" w14:textId="0A531F29"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4b:</w:t>
      </w:r>
      <w:r w:rsidRPr="00F22F9E">
        <w:rPr>
          <w:rFonts w:eastAsiaTheme="minorHAnsi"/>
          <w:szCs w:val="24"/>
        </w:rPr>
        <w:tab/>
        <w:t xml:space="preserve">In-hospital care data elements </w:t>
      </w:r>
    </w:p>
    <w:p w14:paraId="3D627EE6" w14:textId="5CD0CE12"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4c:</w:t>
      </w:r>
      <w:r w:rsidRPr="00F22F9E">
        <w:rPr>
          <w:rFonts w:eastAsiaTheme="minorHAnsi"/>
          <w:szCs w:val="24"/>
        </w:rPr>
        <w:tab/>
        <w:t xml:space="preserve">Post-hospital quality of care data elements </w:t>
      </w:r>
    </w:p>
    <w:p w14:paraId="06AB21E3" w14:textId="2A36DE95"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5a:</w:t>
      </w:r>
      <w:r w:rsidRPr="00F22F9E">
        <w:rPr>
          <w:rFonts w:eastAsiaTheme="minorHAnsi"/>
          <w:szCs w:val="24"/>
        </w:rPr>
        <w:tab/>
        <w:t>Template of hospital inventory data elements for hospitals</w:t>
      </w:r>
    </w:p>
    <w:p w14:paraId="6E3FBD41" w14:textId="2E8B0AA7" w:rsidR="00F22F9E" w:rsidRDefault="00D403FF" w:rsidP="00F22F9E">
      <w:pPr>
        <w:widowControl w:val="0"/>
        <w:tabs>
          <w:tab w:val="left" w:pos="990"/>
        </w:tabs>
        <w:spacing w:after="120" w:line="276" w:lineRule="auto"/>
        <w:ind w:left="1620" w:hanging="1620"/>
        <w:rPr>
          <w:rFonts w:eastAsiaTheme="minorHAnsi"/>
          <w:szCs w:val="24"/>
        </w:rPr>
      </w:pPr>
      <w:r>
        <w:rPr>
          <w:rFonts w:eastAsiaTheme="minorHAnsi"/>
          <w:szCs w:val="24"/>
        </w:rPr>
        <w:t>5</w:t>
      </w:r>
      <w:r w:rsidR="00F22F9E" w:rsidRPr="00F22F9E">
        <w:rPr>
          <w:rFonts w:eastAsiaTheme="minorHAnsi"/>
          <w:szCs w:val="24"/>
        </w:rPr>
        <w:t xml:space="preserve">b: </w:t>
      </w:r>
      <w:r w:rsidR="00F22F9E" w:rsidRPr="00F22F9E">
        <w:rPr>
          <w:rFonts w:eastAsiaTheme="minorHAnsi"/>
          <w:szCs w:val="24"/>
        </w:rPr>
        <w:tab/>
        <w:t>Template of hospital inventory data elements for awardees</w:t>
      </w:r>
    </w:p>
    <w:p w14:paraId="2120A1DF" w14:textId="3D12A5E9" w:rsidR="00BF31F9" w:rsidRPr="00F22F9E" w:rsidRDefault="00BF31F9" w:rsidP="00F22F9E">
      <w:pPr>
        <w:widowControl w:val="0"/>
        <w:tabs>
          <w:tab w:val="left" w:pos="990"/>
        </w:tabs>
        <w:spacing w:after="120" w:line="276" w:lineRule="auto"/>
        <w:ind w:left="1620" w:hanging="1620"/>
        <w:rPr>
          <w:rFonts w:eastAsiaTheme="minorHAnsi"/>
          <w:szCs w:val="24"/>
        </w:rPr>
      </w:pPr>
      <w:r>
        <w:rPr>
          <w:rFonts w:eastAsiaTheme="minorHAnsi"/>
          <w:szCs w:val="24"/>
        </w:rPr>
        <w:t>6:</w:t>
      </w:r>
      <w:r>
        <w:rPr>
          <w:rFonts w:eastAsiaTheme="minorHAnsi"/>
          <w:szCs w:val="24"/>
        </w:rPr>
        <w:tab/>
        <w:t>60-day Federal Register Notice (FRN)</w:t>
      </w:r>
    </w:p>
    <w:p w14:paraId="1F84B2B0" w14:textId="4264CCD5"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7:</w:t>
      </w:r>
      <w:r w:rsidRPr="00F22F9E">
        <w:rPr>
          <w:rFonts w:eastAsiaTheme="minorHAnsi"/>
          <w:szCs w:val="24"/>
        </w:rPr>
        <w:tab/>
        <w:t xml:space="preserve">IRB approval letter </w:t>
      </w:r>
    </w:p>
    <w:p w14:paraId="40C7CA4D" w14:textId="5C348C36" w:rsidR="00F22F9E" w:rsidRDefault="006C597B" w:rsidP="00F22F9E">
      <w:pPr>
        <w:widowControl w:val="0"/>
        <w:tabs>
          <w:tab w:val="left" w:pos="990"/>
        </w:tabs>
        <w:spacing w:after="120" w:line="276" w:lineRule="auto"/>
        <w:ind w:firstLine="0"/>
        <w:rPr>
          <w:rFonts w:eastAsiaTheme="minorHAnsi"/>
          <w:szCs w:val="24"/>
        </w:rPr>
      </w:pPr>
      <w:r>
        <w:rPr>
          <w:rFonts w:eastAsiaTheme="minorHAnsi"/>
          <w:szCs w:val="24"/>
        </w:rPr>
        <w:t>8</w:t>
      </w:r>
      <w:r w:rsidR="00F22F9E" w:rsidRPr="00F22F9E">
        <w:rPr>
          <w:rFonts w:eastAsiaTheme="minorHAnsi"/>
          <w:szCs w:val="24"/>
        </w:rPr>
        <w:t xml:space="preserve">: </w:t>
      </w:r>
      <w:r w:rsidR="00F22F9E" w:rsidRPr="00F22F9E">
        <w:rPr>
          <w:rFonts w:eastAsiaTheme="minorHAnsi"/>
          <w:szCs w:val="24"/>
        </w:rPr>
        <w:tab/>
        <w:t>Screenshot of Secure Access Management Services (SAMS) web portal</w:t>
      </w:r>
    </w:p>
    <w:p w14:paraId="7F04EB08" w14:textId="7FA29B4C" w:rsidR="00BF31F9" w:rsidRPr="00F22F9E" w:rsidRDefault="00BF31F9" w:rsidP="00D403FF">
      <w:pPr>
        <w:widowControl w:val="0"/>
        <w:tabs>
          <w:tab w:val="left" w:pos="990"/>
        </w:tabs>
        <w:spacing w:after="120" w:line="276" w:lineRule="auto"/>
        <w:ind w:left="1620" w:hanging="1620"/>
        <w:rPr>
          <w:rFonts w:eastAsiaTheme="minorHAnsi"/>
          <w:szCs w:val="24"/>
        </w:rPr>
      </w:pPr>
      <w:r>
        <w:rPr>
          <w:rFonts w:eastAsiaTheme="minorHAnsi"/>
          <w:szCs w:val="24"/>
        </w:rPr>
        <w:t>9</w:t>
      </w:r>
      <w:r w:rsidRPr="00F22F9E">
        <w:rPr>
          <w:rFonts w:eastAsiaTheme="minorHAnsi"/>
          <w:szCs w:val="24"/>
        </w:rPr>
        <w:t>:</w:t>
      </w:r>
      <w:r w:rsidRPr="00F22F9E">
        <w:rPr>
          <w:rFonts w:eastAsiaTheme="minorHAnsi"/>
          <w:szCs w:val="24"/>
        </w:rPr>
        <w:tab/>
        <w:t>Information collection and transmission flow diagram</w:t>
      </w:r>
    </w:p>
    <w:p w14:paraId="4BA8C6EF" w14:textId="66C2ED9F" w:rsidR="00F22F9E" w:rsidRPr="00F22F9E" w:rsidRDefault="00BF31F9" w:rsidP="00F22F9E">
      <w:pPr>
        <w:widowControl w:val="0"/>
        <w:tabs>
          <w:tab w:val="left" w:pos="990"/>
        </w:tabs>
        <w:spacing w:after="120" w:line="276" w:lineRule="auto"/>
        <w:ind w:firstLine="0"/>
        <w:rPr>
          <w:rFonts w:eastAsiaTheme="minorHAnsi"/>
          <w:szCs w:val="24"/>
        </w:rPr>
      </w:pPr>
      <w:r>
        <w:rPr>
          <w:rFonts w:eastAsiaTheme="minorHAnsi"/>
          <w:szCs w:val="24"/>
        </w:rPr>
        <w:t>10</w:t>
      </w:r>
      <w:r w:rsidR="00F22F9E" w:rsidRPr="00F22F9E">
        <w:rPr>
          <w:rFonts w:eastAsiaTheme="minorHAnsi"/>
          <w:szCs w:val="24"/>
        </w:rPr>
        <w:t>a:</w:t>
      </w:r>
      <w:r w:rsidR="00F22F9E" w:rsidRPr="00F22F9E">
        <w:rPr>
          <w:rFonts w:eastAsiaTheme="minorHAnsi"/>
          <w:szCs w:val="24"/>
        </w:rPr>
        <w:tab/>
        <w:t>Crosswalk of pre-hospital care data element changes</w:t>
      </w:r>
    </w:p>
    <w:p w14:paraId="24E4AC4C" w14:textId="70E52A2D" w:rsidR="00F22F9E" w:rsidRPr="00F22F9E" w:rsidRDefault="00BF31F9" w:rsidP="00F22F9E">
      <w:pPr>
        <w:widowControl w:val="0"/>
        <w:tabs>
          <w:tab w:val="left" w:pos="990"/>
        </w:tabs>
        <w:spacing w:after="120" w:line="276" w:lineRule="auto"/>
        <w:ind w:firstLine="0"/>
        <w:rPr>
          <w:rFonts w:eastAsiaTheme="minorHAnsi"/>
          <w:szCs w:val="24"/>
        </w:rPr>
      </w:pPr>
      <w:r>
        <w:rPr>
          <w:rFonts w:eastAsiaTheme="minorHAnsi"/>
          <w:szCs w:val="24"/>
        </w:rPr>
        <w:t>10</w:t>
      </w:r>
      <w:r w:rsidR="00F22F9E" w:rsidRPr="00F22F9E">
        <w:rPr>
          <w:rFonts w:eastAsiaTheme="minorHAnsi"/>
          <w:szCs w:val="24"/>
        </w:rPr>
        <w:t>b:</w:t>
      </w:r>
      <w:r w:rsidR="00F22F9E" w:rsidRPr="00F22F9E">
        <w:rPr>
          <w:rFonts w:eastAsiaTheme="minorHAnsi"/>
          <w:szCs w:val="24"/>
        </w:rPr>
        <w:tab/>
        <w:t xml:space="preserve">Crosswalk of in-hospital care data element changes </w:t>
      </w:r>
    </w:p>
    <w:p w14:paraId="73B2A18B" w14:textId="268B8687" w:rsidR="00F22F9E" w:rsidRPr="00F22F9E" w:rsidRDefault="00BF31F9" w:rsidP="00F22F9E">
      <w:pPr>
        <w:widowControl w:val="0"/>
        <w:tabs>
          <w:tab w:val="left" w:pos="990"/>
        </w:tabs>
        <w:spacing w:after="120" w:line="276" w:lineRule="auto"/>
        <w:ind w:firstLine="0"/>
        <w:rPr>
          <w:rFonts w:eastAsiaTheme="minorHAnsi"/>
          <w:szCs w:val="24"/>
        </w:rPr>
      </w:pPr>
      <w:r>
        <w:rPr>
          <w:rFonts w:eastAsiaTheme="minorHAnsi"/>
          <w:szCs w:val="24"/>
        </w:rPr>
        <w:t>10</w:t>
      </w:r>
      <w:r w:rsidR="00F22F9E" w:rsidRPr="00F22F9E">
        <w:rPr>
          <w:rFonts w:eastAsiaTheme="minorHAnsi"/>
          <w:szCs w:val="24"/>
        </w:rPr>
        <w:t>c:</w:t>
      </w:r>
      <w:r w:rsidR="00F22F9E" w:rsidRPr="00F22F9E">
        <w:rPr>
          <w:rFonts w:eastAsiaTheme="minorHAnsi"/>
          <w:szCs w:val="24"/>
        </w:rPr>
        <w:tab/>
        <w:t>Crosswalk of post-hospital care data element changes</w:t>
      </w:r>
      <w:r w:rsidR="00F22F9E" w:rsidRPr="00F22F9E">
        <w:rPr>
          <w:rFonts w:eastAsiaTheme="minorHAnsi"/>
          <w:szCs w:val="24"/>
        </w:rPr>
        <w:tab/>
      </w:r>
    </w:p>
    <w:p w14:paraId="26EC4BB5" w14:textId="267E33CB" w:rsidR="00F22F9E" w:rsidRPr="00F22F9E" w:rsidRDefault="00BF31F9" w:rsidP="00F22F9E">
      <w:pPr>
        <w:widowControl w:val="0"/>
        <w:tabs>
          <w:tab w:val="left" w:pos="990"/>
          <w:tab w:val="left" w:pos="1620"/>
        </w:tabs>
        <w:spacing w:after="120" w:line="276" w:lineRule="auto"/>
        <w:ind w:firstLine="0"/>
        <w:rPr>
          <w:rFonts w:eastAsiaTheme="minorHAnsi"/>
          <w:szCs w:val="24"/>
        </w:rPr>
      </w:pPr>
      <w:r>
        <w:rPr>
          <w:rFonts w:eastAsiaTheme="minorHAnsi"/>
          <w:szCs w:val="24"/>
        </w:rPr>
        <w:t>10</w:t>
      </w:r>
      <w:r w:rsidR="00F22F9E" w:rsidRPr="00F22F9E">
        <w:rPr>
          <w:rFonts w:eastAsiaTheme="minorHAnsi"/>
          <w:szCs w:val="24"/>
        </w:rPr>
        <w:t>d:</w:t>
      </w:r>
      <w:r w:rsidR="00F22F9E" w:rsidRPr="00F22F9E">
        <w:rPr>
          <w:rFonts w:eastAsiaTheme="minorHAnsi"/>
          <w:szCs w:val="24"/>
        </w:rPr>
        <w:tab/>
        <w:t>Crosswalk of hospital inventory data element changes</w:t>
      </w:r>
    </w:p>
    <w:p w14:paraId="52211C1F" w14:textId="105B3285" w:rsidR="00F22F9E" w:rsidRPr="00F22F9E" w:rsidRDefault="00F22F9E" w:rsidP="00F22F9E">
      <w:pPr>
        <w:widowControl w:val="0"/>
        <w:tabs>
          <w:tab w:val="left" w:pos="990"/>
        </w:tabs>
        <w:spacing w:after="120" w:line="276" w:lineRule="auto"/>
        <w:ind w:left="1620" w:hanging="1620"/>
        <w:rPr>
          <w:rFonts w:eastAsiaTheme="minorHAnsi"/>
          <w:szCs w:val="24"/>
        </w:rPr>
      </w:pPr>
      <w:r w:rsidRPr="00F22F9E">
        <w:rPr>
          <w:rFonts w:eastAsiaTheme="minorHAnsi"/>
          <w:szCs w:val="24"/>
        </w:rPr>
        <w:t>1</w:t>
      </w:r>
      <w:r w:rsidR="00BF31F9">
        <w:rPr>
          <w:rFonts w:eastAsiaTheme="minorHAnsi"/>
          <w:szCs w:val="24"/>
        </w:rPr>
        <w:t>1</w:t>
      </w:r>
      <w:r w:rsidRPr="00F22F9E">
        <w:rPr>
          <w:rFonts w:eastAsiaTheme="minorHAnsi"/>
          <w:szCs w:val="24"/>
        </w:rPr>
        <w:t>:</w:t>
      </w:r>
      <w:r w:rsidRPr="00F22F9E">
        <w:rPr>
          <w:rFonts w:eastAsiaTheme="minorHAnsi"/>
          <w:szCs w:val="24"/>
        </w:rPr>
        <w:tab/>
        <w:t>Example table shells of performance measure summary reports</w:t>
      </w:r>
    </w:p>
    <w:p w14:paraId="5B40A208" w14:textId="79348594" w:rsidR="00F22F9E" w:rsidRPr="00F22F9E" w:rsidRDefault="006C597B" w:rsidP="00F22F9E">
      <w:pPr>
        <w:widowControl w:val="0"/>
        <w:tabs>
          <w:tab w:val="left" w:pos="990"/>
        </w:tabs>
        <w:spacing w:after="120" w:line="276" w:lineRule="auto"/>
        <w:ind w:left="1620" w:hanging="1620"/>
        <w:rPr>
          <w:rFonts w:eastAsiaTheme="minorHAnsi"/>
          <w:szCs w:val="24"/>
        </w:rPr>
      </w:pPr>
      <w:r>
        <w:rPr>
          <w:rFonts w:eastAsiaTheme="minorHAnsi"/>
          <w:szCs w:val="24"/>
        </w:rPr>
        <w:t>1</w:t>
      </w:r>
      <w:r w:rsidR="00BF31F9">
        <w:rPr>
          <w:rFonts w:eastAsiaTheme="minorHAnsi"/>
          <w:szCs w:val="24"/>
        </w:rPr>
        <w:t>2</w:t>
      </w:r>
      <w:r w:rsidR="00F22F9E" w:rsidRPr="00F22F9E">
        <w:rPr>
          <w:rFonts w:eastAsiaTheme="minorHAnsi"/>
          <w:szCs w:val="24"/>
        </w:rPr>
        <w:t xml:space="preserve">: </w:t>
      </w:r>
      <w:r w:rsidR="00F22F9E" w:rsidRPr="00F22F9E">
        <w:rPr>
          <w:rFonts w:eastAsiaTheme="minorHAnsi"/>
          <w:szCs w:val="24"/>
        </w:rPr>
        <w:tab/>
        <w:t>Data burden excerpt from PCNASP Reference Guide</w:t>
      </w:r>
    </w:p>
    <w:p w14:paraId="5AF52DD8" w14:textId="77777777" w:rsidR="000A0BE6" w:rsidRPr="000A0BE6" w:rsidRDefault="000A0BE6" w:rsidP="00BC3716">
      <w:pPr>
        <w:widowControl w:val="0"/>
        <w:tabs>
          <w:tab w:val="left" w:pos="1620"/>
        </w:tabs>
        <w:spacing w:line="360" w:lineRule="auto"/>
        <w:ind w:left="1620" w:hanging="1620"/>
        <w:rPr>
          <w:color w:val="FF0000"/>
          <w:szCs w:val="24"/>
        </w:rPr>
      </w:pPr>
    </w:p>
    <w:p w14:paraId="5203C286" w14:textId="77777777" w:rsidR="00F2078C" w:rsidRDefault="00F2078C" w:rsidP="002A37BA">
      <w:pPr>
        <w:widowControl w:val="0"/>
        <w:tabs>
          <w:tab w:val="left" w:pos="1620"/>
        </w:tabs>
        <w:spacing w:after="120" w:line="276" w:lineRule="auto"/>
        <w:ind w:left="1620" w:hanging="1620"/>
        <w:rPr>
          <w:szCs w:val="24"/>
        </w:rPr>
      </w:pPr>
    </w:p>
    <w:p w14:paraId="7AB69BB3" w14:textId="77777777" w:rsidR="002A37BA" w:rsidRDefault="002A37BA" w:rsidP="002A37BA">
      <w:pPr>
        <w:widowControl w:val="0"/>
        <w:tabs>
          <w:tab w:val="left" w:pos="1620"/>
        </w:tabs>
        <w:spacing w:after="120" w:line="276" w:lineRule="auto"/>
        <w:ind w:left="1620" w:hanging="1620"/>
        <w:rPr>
          <w:szCs w:val="24"/>
        </w:rPr>
      </w:pPr>
    </w:p>
    <w:p w14:paraId="4A800B4D" w14:textId="77777777" w:rsidR="002A37BA" w:rsidRDefault="002A37BA" w:rsidP="002A37BA">
      <w:pPr>
        <w:widowControl w:val="0"/>
        <w:tabs>
          <w:tab w:val="left" w:pos="1620"/>
        </w:tabs>
        <w:spacing w:after="120" w:line="276" w:lineRule="auto"/>
        <w:ind w:left="1620" w:hanging="1620"/>
        <w:rPr>
          <w:szCs w:val="24"/>
        </w:rPr>
        <w:sectPr w:rsidR="002A37BA" w:rsidSect="000D0CD1">
          <w:pgSz w:w="12240" w:h="15840" w:code="1"/>
          <w:pgMar w:top="1440" w:right="1440" w:bottom="1440" w:left="1440" w:header="720" w:footer="720" w:gutter="0"/>
          <w:cols w:space="720"/>
          <w:docGrid w:linePitch="360"/>
        </w:sectPr>
      </w:pPr>
    </w:p>
    <w:p w14:paraId="390F0812" w14:textId="10B5737B" w:rsidR="000D0CD1" w:rsidRPr="000D0CD1" w:rsidRDefault="000D0CD1" w:rsidP="00926551">
      <w:pPr>
        <w:pStyle w:val="Heading2"/>
        <w:spacing w:line="276" w:lineRule="auto"/>
        <w:rPr>
          <w:rFonts w:ascii="Times New Roman" w:eastAsiaTheme="minorEastAsia" w:hAnsi="Times New Roman"/>
          <w:b/>
          <w:sz w:val="24"/>
          <w:szCs w:val="24"/>
        </w:rPr>
      </w:pPr>
      <w:bookmarkStart w:id="1" w:name="_Toc402259561"/>
      <w:r w:rsidRPr="000D0CD1">
        <w:rPr>
          <w:rFonts w:ascii="Times New Roman" w:hAnsi="Times New Roman"/>
          <w:b/>
          <w:sz w:val="24"/>
          <w:szCs w:val="24"/>
        </w:rPr>
        <w:t>B:  Statistical Methods</w:t>
      </w:r>
    </w:p>
    <w:p w14:paraId="2D3E6AC1" w14:textId="50E657AD" w:rsidR="002A37BA" w:rsidRPr="000D0CD1" w:rsidRDefault="000D0CD1" w:rsidP="00926551">
      <w:pPr>
        <w:pStyle w:val="Heading2"/>
        <w:spacing w:line="276" w:lineRule="auto"/>
        <w:rPr>
          <w:rFonts w:ascii="Times New Roman" w:eastAsiaTheme="minorEastAsia" w:hAnsi="Times New Roman"/>
          <w:b/>
          <w:sz w:val="24"/>
          <w:szCs w:val="24"/>
        </w:rPr>
      </w:pPr>
      <w:r w:rsidRPr="000D0CD1">
        <w:rPr>
          <w:rFonts w:ascii="Times New Roman" w:eastAsiaTheme="minorEastAsia" w:hAnsi="Times New Roman"/>
          <w:b/>
          <w:sz w:val="24"/>
          <w:szCs w:val="24"/>
        </w:rPr>
        <w:t>B.1</w:t>
      </w:r>
      <w:r w:rsidR="002A37BA" w:rsidRPr="000D0CD1">
        <w:rPr>
          <w:rFonts w:ascii="Times New Roman" w:eastAsiaTheme="minorEastAsia" w:hAnsi="Times New Roman"/>
          <w:b/>
          <w:sz w:val="24"/>
          <w:szCs w:val="24"/>
        </w:rPr>
        <w:tab/>
        <w:t>Respondent Universe and Sampling Methods</w:t>
      </w:r>
      <w:bookmarkEnd w:id="1"/>
    </w:p>
    <w:p w14:paraId="2B6A3EA1" w14:textId="063DCDDB" w:rsidR="005B0C40" w:rsidRDefault="002A37BA" w:rsidP="008D34E5">
      <w:pPr>
        <w:spacing w:line="276" w:lineRule="auto"/>
      </w:pPr>
      <w:r w:rsidRPr="00926551">
        <w:t xml:space="preserve">The PCNASP is funded to </w:t>
      </w:r>
      <w:r w:rsidRPr="00926551">
        <w:rPr>
          <w:szCs w:val="24"/>
        </w:rPr>
        <w:t>improve quality of care for acute stroke patients from stroke onset through hospital discharge through organized quality improvement activities.</w:t>
      </w:r>
      <w:r w:rsidRPr="00926551">
        <w:t xml:space="preserve"> </w:t>
      </w:r>
      <w:r w:rsidR="005B0C40" w:rsidRPr="00926551">
        <w:t>During this cooperative agreement, PCNASP funds 9 awardees</w:t>
      </w:r>
      <w:r w:rsidR="00525287">
        <w:t xml:space="preserve"> (</w:t>
      </w:r>
      <w:r w:rsidR="00525287" w:rsidRPr="005E360A">
        <w:rPr>
          <w:b/>
        </w:rPr>
        <w:t>Attachment 1</w:t>
      </w:r>
      <w:r w:rsidR="00525287">
        <w:t>)</w:t>
      </w:r>
      <w:r w:rsidR="005B0C40" w:rsidRPr="00926551">
        <w:t>, who are state departments of health. As detailed in the funding opportunity announcement (FOA), awardees</w:t>
      </w:r>
      <w:r w:rsidR="00926551" w:rsidRPr="00926551">
        <w:t xml:space="preserve"> </w:t>
      </w:r>
      <w:r w:rsidR="005B0C40" w:rsidRPr="00926551">
        <w:t xml:space="preserve">establish/maintain a steering committee that serves to advise and help establish program partnerships. </w:t>
      </w:r>
      <w:r w:rsidR="002E3E23" w:rsidRPr="00926551">
        <w:t>Awardees work directly with their selected partners, which includes, but is not limited to, local/regional EMS systems and hospitals, state/regional EMS Directors, hospitals, integrated healthcare systems, and post-ho</w:t>
      </w:r>
      <w:r w:rsidR="00083CB0" w:rsidRPr="00926551">
        <w:t>spital care providers.</w:t>
      </w:r>
    </w:p>
    <w:p w14:paraId="303D9FAC" w14:textId="77777777" w:rsidR="005E360A" w:rsidRDefault="005E360A" w:rsidP="008D34E5">
      <w:pPr>
        <w:spacing w:line="276" w:lineRule="auto"/>
      </w:pPr>
    </w:p>
    <w:p w14:paraId="10A3FF0D" w14:textId="303CA2F7" w:rsidR="005E360A" w:rsidRPr="005E360A" w:rsidRDefault="005E360A" w:rsidP="005E360A">
      <w:pPr>
        <w:spacing w:line="276" w:lineRule="auto"/>
        <w:ind w:left="432" w:firstLine="0"/>
        <w:rPr>
          <w:b/>
        </w:rPr>
      </w:pPr>
      <w:r w:rsidRPr="005E360A">
        <w:rPr>
          <w:b/>
        </w:rPr>
        <w:t>Table B.1.a Respondent and Associated Partners for the Collection and Transmission of Information</w:t>
      </w:r>
    </w:p>
    <w:tbl>
      <w:tblPr>
        <w:tblStyle w:val="TableGrid"/>
        <w:tblW w:w="9895" w:type="dxa"/>
        <w:tblLook w:val="04A0" w:firstRow="1" w:lastRow="0" w:firstColumn="1" w:lastColumn="0" w:noHBand="0" w:noVBand="1"/>
      </w:tblPr>
      <w:tblGrid>
        <w:gridCol w:w="3505"/>
        <w:gridCol w:w="6390"/>
      </w:tblGrid>
      <w:tr w:rsidR="005E360A" w:rsidRPr="00ED30D0" w14:paraId="0240865F" w14:textId="77777777" w:rsidTr="005E360A">
        <w:tc>
          <w:tcPr>
            <w:tcW w:w="3505" w:type="dxa"/>
          </w:tcPr>
          <w:p w14:paraId="51D5148E" w14:textId="006F9274" w:rsidR="005E360A" w:rsidRPr="00A7261D" w:rsidRDefault="005E360A" w:rsidP="005E360A">
            <w:pPr>
              <w:spacing w:line="276" w:lineRule="auto"/>
              <w:ind w:firstLine="0"/>
              <w:jc w:val="center"/>
              <w:rPr>
                <w:b/>
              </w:rPr>
            </w:pPr>
            <w:r w:rsidRPr="00A7261D">
              <w:rPr>
                <w:b/>
              </w:rPr>
              <w:t>Information</w:t>
            </w:r>
          </w:p>
        </w:tc>
        <w:tc>
          <w:tcPr>
            <w:tcW w:w="6390" w:type="dxa"/>
          </w:tcPr>
          <w:p w14:paraId="76825D41" w14:textId="04A1CFA6" w:rsidR="005E360A" w:rsidRPr="00A7261D" w:rsidRDefault="005E360A" w:rsidP="005E360A">
            <w:pPr>
              <w:spacing w:line="276" w:lineRule="auto"/>
              <w:ind w:firstLine="0"/>
              <w:jc w:val="center"/>
              <w:rPr>
                <w:b/>
              </w:rPr>
            </w:pPr>
            <w:r w:rsidRPr="00A7261D">
              <w:rPr>
                <w:b/>
              </w:rPr>
              <w:t>Respondent and Associated Partners (N)</w:t>
            </w:r>
          </w:p>
        </w:tc>
      </w:tr>
      <w:tr w:rsidR="00A7261D" w:rsidRPr="00ED30D0" w14:paraId="1E4A68EE" w14:textId="77777777" w:rsidTr="005E360A">
        <w:tc>
          <w:tcPr>
            <w:tcW w:w="3505" w:type="dxa"/>
          </w:tcPr>
          <w:p w14:paraId="1337C60E" w14:textId="27A82843" w:rsidR="00A7261D" w:rsidRPr="00A7261D" w:rsidRDefault="00A7261D" w:rsidP="00A7261D">
            <w:pPr>
              <w:spacing w:line="276" w:lineRule="auto"/>
              <w:ind w:firstLine="0"/>
            </w:pPr>
            <w:r w:rsidRPr="00A7261D">
              <w:t>Pre-hospital quality of care data</w:t>
            </w:r>
          </w:p>
        </w:tc>
        <w:tc>
          <w:tcPr>
            <w:tcW w:w="6390" w:type="dxa"/>
          </w:tcPr>
          <w:p w14:paraId="5DB5B0BF" w14:textId="34D2E0D9" w:rsidR="00A7261D" w:rsidRPr="00A7261D" w:rsidRDefault="00A7261D">
            <w:pPr>
              <w:spacing w:line="276" w:lineRule="auto"/>
              <w:ind w:firstLine="0"/>
            </w:pPr>
            <w:r w:rsidRPr="00881422">
              <w:t xml:space="preserve">Awardees </w:t>
            </w:r>
            <w:r w:rsidR="00751C47">
              <w:t>(9) in coordination with hospital and EMS partners</w:t>
            </w:r>
          </w:p>
        </w:tc>
      </w:tr>
      <w:tr w:rsidR="005E360A" w:rsidRPr="00ED30D0" w14:paraId="39C9706A" w14:textId="77777777" w:rsidTr="005E360A">
        <w:tc>
          <w:tcPr>
            <w:tcW w:w="3505" w:type="dxa"/>
          </w:tcPr>
          <w:p w14:paraId="0D6A3D29" w14:textId="5DDE546D" w:rsidR="005E360A" w:rsidRPr="00A7261D" w:rsidRDefault="005E360A" w:rsidP="008D34E5">
            <w:pPr>
              <w:spacing w:line="276" w:lineRule="auto"/>
              <w:ind w:firstLine="0"/>
            </w:pPr>
            <w:r w:rsidRPr="00A7261D">
              <w:t>In-hospital quality of care data</w:t>
            </w:r>
          </w:p>
        </w:tc>
        <w:tc>
          <w:tcPr>
            <w:tcW w:w="6390" w:type="dxa"/>
          </w:tcPr>
          <w:p w14:paraId="3FB910E1" w14:textId="5E45418E" w:rsidR="005E360A" w:rsidRPr="00A7261D" w:rsidRDefault="00751C47" w:rsidP="008D34E5">
            <w:pPr>
              <w:spacing w:line="276" w:lineRule="auto"/>
              <w:ind w:firstLine="0"/>
            </w:pPr>
            <w:r>
              <w:t>Awardees (9) in coordination with hospital partners</w:t>
            </w:r>
          </w:p>
        </w:tc>
      </w:tr>
      <w:tr w:rsidR="005E360A" w:rsidRPr="00ED30D0" w14:paraId="340E4BE7" w14:textId="77777777" w:rsidTr="005E360A">
        <w:tc>
          <w:tcPr>
            <w:tcW w:w="3505" w:type="dxa"/>
          </w:tcPr>
          <w:p w14:paraId="7A9C382B" w14:textId="2382B170" w:rsidR="005E360A" w:rsidRPr="00A7261D" w:rsidRDefault="005E360A" w:rsidP="008D34E5">
            <w:pPr>
              <w:spacing w:line="276" w:lineRule="auto"/>
              <w:ind w:firstLine="0"/>
            </w:pPr>
            <w:r w:rsidRPr="00A7261D">
              <w:t>Post-hospital quality of care data</w:t>
            </w:r>
          </w:p>
        </w:tc>
        <w:tc>
          <w:tcPr>
            <w:tcW w:w="6390" w:type="dxa"/>
          </w:tcPr>
          <w:p w14:paraId="5623BCC9" w14:textId="7BFAA9F7" w:rsidR="005E360A" w:rsidRPr="00A7261D" w:rsidRDefault="00A7261D">
            <w:pPr>
              <w:spacing w:line="276" w:lineRule="auto"/>
              <w:ind w:firstLine="0"/>
            </w:pPr>
            <w:r w:rsidRPr="00881422">
              <w:t xml:space="preserve">Awardees </w:t>
            </w:r>
            <w:r w:rsidR="00751C47">
              <w:t xml:space="preserve">(9) </w:t>
            </w:r>
            <w:r w:rsidRPr="00881422">
              <w:t xml:space="preserve">in coordination with hospitals and post-hospital care </w:t>
            </w:r>
            <w:r w:rsidR="00751C47">
              <w:t>providers</w:t>
            </w:r>
          </w:p>
        </w:tc>
      </w:tr>
      <w:tr w:rsidR="005E360A" w:rsidRPr="00ED30D0" w14:paraId="21C33D19" w14:textId="77777777" w:rsidTr="005E360A">
        <w:tc>
          <w:tcPr>
            <w:tcW w:w="3505" w:type="dxa"/>
            <w:vMerge w:val="restart"/>
          </w:tcPr>
          <w:p w14:paraId="52ACB6F8" w14:textId="5A0BAB71" w:rsidR="005E360A" w:rsidRPr="00A7261D" w:rsidRDefault="005E360A" w:rsidP="008D34E5">
            <w:pPr>
              <w:spacing w:line="276" w:lineRule="auto"/>
              <w:ind w:firstLine="0"/>
            </w:pPr>
            <w:r w:rsidRPr="00A7261D">
              <w:t>Hospital inventory data</w:t>
            </w:r>
          </w:p>
        </w:tc>
        <w:tc>
          <w:tcPr>
            <w:tcW w:w="6390" w:type="dxa"/>
          </w:tcPr>
          <w:p w14:paraId="46F435DD" w14:textId="5A575620" w:rsidR="005E360A" w:rsidRPr="00A7261D" w:rsidRDefault="005E360A" w:rsidP="008D34E5">
            <w:pPr>
              <w:spacing w:line="276" w:lineRule="auto"/>
              <w:ind w:firstLine="0"/>
            </w:pPr>
            <w:r w:rsidRPr="00A7261D">
              <w:t>Hospital</w:t>
            </w:r>
            <w:r w:rsidR="00A87093" w:rsidRPr="00A7261D">
              <w:t>s</w:t>
            </w:r>
            <w:r w:rsidRPr="00A7261D">
              <w:t xml:space="preserve"> (3</w:t>
            </w:r>
            <w:r w:rsidR="00C1710E" w:rsidRPr="00A7261D">
              <w:t>78</w:t>
            </w:r>
            <w:r w:rsidRPr="00A7261D">
              <w:t>)</w:t>
            </w:r>
          </w:p>
        </w:tc>
      </w:tr>
      <w:tr w:rsidR="005E360A" w14:paraId="17D38A1C" w14:textId="77777777" w:rsidTr="005E360A">
        <w:tc>
          <w:tcPr>
            <w:tcW w:w="3505" w:type="dxa"/>
            <w:vMerge/>
          </w:tcPr>
          <w:p w14:paraId="6DF731AB" w14:textId="77777777" w:rsidR="005E360A" w:rsidRPr="00A7261D" w:rsidRDefault="005E360A" w:rsidP="008D34E5">
            <w:pPr>
              <w:spacing w:line="276" w:lineRule="auto"/>
              <w:ind w:firstLine="0"/>
            </w:pPr>
          </w:p>
        </w:tc>
        <w:tc>
          <w:tcPr>
            <w:tcW w:w="6390" w:type="dxa"/>
          </w:tcPr>
          <w:p w14:paraId="3F39648F" w14:textId="2629B4E2" w:rsidR="005E360A" w:rsidRPr="00A7261D" w:rsidRDefault="005E360A" w:rsidP="008D34E5">
            <w:pPr>
              <w:spacing w:line="276" w:lineRule="auto"/>
              <w:ind w:firstLine="0"/>
            </w:pPr>
            <w:r w:rsidRPr="00A7261D">
              <w:t>Awardee</w:t>
            </w:r>
            <w:r w:rsidR="00A87093" w:rsidRPr="00A7261D">
              <w:t>s</w:t>
            </w:r>
            <w:r w:rsidRPr="00A7261D">
              <w:t xml:space="preserve"> (9)</w:t>
            </w:r>
          </w:p>
        </w:tc>
      </w:tr>
    </w:tbl>
    <w:p w14:paraId="58D7D30C" w14:textId="4F735BFE" w:rsidR="005E360A" w:rsidRPr="005E360A" w:rsidRDefault="005E360A" w:rsidP="005E360A">
      <w:pPr>
        <w:spacing w:line="276" w:lineRule="auto"/>
        <w:ind w:left="432" w:firstLine="0"/>
        <w:rPr>
          <w:i/>
        </w:rPr>
      </w:pPr>
      <w:r w:rsidRPr="005E360A">
        <w:rPr>
          <w:i/>
        </w:rPr>
        <w:t xml:space="preserve">*Note: burden is not assessed for the hospital’s collection or transmission of in-hospital data. </w:t>
      </w:r>
      <w:r w:rsidR="00ED30D0">
        <w:rPr>
          <w:i/>
        </w:rPr>
        <w:t xml:space="preserve">Burden is also not assessed for the collection or transmission of pre-hospital or post-hospital data when existing data systems are used. </w:t>
      </w:r>
      <w:r w:rsidRPr="005E360A">
        <w:rPr>
          <w:i/>
        </w:rPr>
        <w:t xml:space="preserve">Please reference </w:t>
      </w:r>
      <w:r w:rsidR="00E26A43">
        <w:rPr>
          <w:i/>
        </w:rPr>
        <w:t xml:space="preserve">section </w:t>
      </w:r>
      <w:r w:rsidRPr="005E360A">
        <w:rPr>
          <w:i/>
        </w:rPr>
        <w:t xml:space="preserve">A.12 </w:t>
      </w:r>
      <w:r w:rsidR="00E26A43">
        <w:rPr>
          <w:i/>
        </w:rPr>
        <w:t xml:space="preserve">in Supporting Statement A </w:t>
      </w:r>
      <w:r w:rsidRPr="005E360A">
        <w:rPr>
          <w:i/>
        </w:rPr>
        <w:t xml:space="preserve">for further details about this. </w:t>
      </w:r>
    </w:p>
    <w:p w14:paraId="4384AC3D" w14:textId="77777777" w:rsidR="005E360A" w:rsidRPr="00926551" w:rsidRDefault="005E360A" w:rsidP="008D34E5">
      <w:pPr>
        <w:spacing w:line="276" w:lineRule="auto"/>
      </w:pPr>
    </w:p>
    <w:p w14:paraId="5D1B8A98" w14:textId="233590F9" w:rsidR="002A37BA" w:rsidRPr="00926551" w:rsidRDefault="002A37BA" w:rsidP="00926551">
      <w:pPr>
        <w:spacing w:line="276" w:lineRule="auto"/>
        <w:rPr>
          <w:rFonts w:eastAsiaTheme="minorHAnsi"/>
        </w:rPr>
      </w:pPr>
      <w:r w:rsidRPr="00926551">
        <w:t>The target populations include acute stroke patients (</w:t>
      </w:r>
      <w:r w:rsidRPr="00926551">
        <w:rPr>
          <w:rFonts w:eastAsiaTheme="minorHAnsi"/>
        </w:rPr>
        <w:t>intracerebral hemorrhage, ischemic stroke, potential acute stroke patients, and patients presenting with a transient ischemic attack (TIA)). The inclusion criteria can be defined as all individuals diagnosed with an acute stroke (</w:t>
      </w:r>
      <w:r w:rsidRPr="00926551">
        <w:t>ischemic stroke or intracerebral hemorrhage) or transient ischemic attack (TIA) presenting to acute care hospitals or emergency departments, and all individuals presenting to EMS with a potential acute stroke or TIA. CDC encourages but does not require the inclusion of patients presenting with stroke in pregnancy (including peripartum stroke). CDC encourages the inclusion of patients with acute stroke or TIA that are in ED boarding. CDC strongly encourages the inclusion of patients presenting with subarachnoid hemorrhage.</w:t>
      </w:r>
    </w:p>
    <w:p w14:paraId="40A5C4A9" w14:textId="751DFE0B" w:rsidR="001655DB" w:rsidRPr="00C17151" w:rsidRDefault="002A37BA" w:rsidP="001655DB">
      <w:pPr>
        <w:pStyle w:val="NormalSS"/>
        <w:spacing w:line="276" w:lineRule="auto"/>
        <w:rPr>
          <w:szCs w:val="24"/>
        </w:rPr>
      </w:pPr>
      <w:r>
        <w:t xml:space="preserve">PCNASP </w:t>
      </w:r>
      <w:r w:rsidR="00494F44">
        <w:t>receives</w:t>
      </w:r>
      <w:r>
        <w:t xml:space="preserve"> data from all 9 </w:t>
      </w:r>
      <w:r w:rsidR="005B0C40">
        <w:t>awardees</w:t>
      </w:r>
      <w:r>
        <w:t xml:space="preserve"> under the cooperative agreement</w:t>
      </w:r>
      <w:r w:rsidR="003C32B5">
        <w:t xml:space="preserve"> (CDC-RFA-DP15-1514)</w:t>
      </w:r>
      <w:r>
        <w:t xml:space="preserve">. </w:t>
      </w:r>
      <w:r w:rsidR="003C32B5">
        <w:t>Neither hospital nor direct patient identifiers</w:t>
      </w:r>
      <w:r w:rsidR="00494F44">
        <w:t xml:space="preserve"> are</w:t>
      </w:r>
      <w:r w:rsidRPr="003C0BD0">
        <w:t xml:space="preserve"> included in the data sent to CDC.</w:t>
      </w:r>
      <w:r>
        <w:t xml:space="preserve"> Awardees</w:t>
      </w:r>
      <w:r w:rsidRPr="003C0BD0">
        <w:t xml:space="preserve"> are no</w:t>
      </w:r>
      <w:r>
        <w:t>t</w:t>
      </w:r>
      <w:r w:rsidRPr="003C0BD0">
        <w:t xml:space="preserve"> required to develop a sampling plan f</w:t>
      </w:r>
      <w:r>
        <w:t>or the selection of hospitals. However, h</w:t>
      </w:r>
      <w:r w:rsidRPr="003C0BD0">
        <w:t xml:space="preserve">ospitals are given the option to abstract all </w:t>
      </w:r>
      <w:r w:rsidRPr="00C17151">
        <w:rPr>
          <w:szCs w:val="24"/>
        </w:rPr>
        <w:t>stroke cases or to use the sampling strategy developed by The Joint Commission and Centers for Medicare &amp; Medica</w:t>
      </w:r>
      <w:r w:rsidR="001061D5">
        <w:rPr>
          <w:szCs w:val="24"/>
        </w:rPr>
        <w:t>id</w:t>
      </w:r>
      <w:r w:rsidRPr="00C17151">
        <w:rPr>
          <w:szCs w:val="24"/>
        </w:rPr>
        <w:t xml:space="preserve"> Services (CMS) for reporting of stroke quality of care data to those two entities.</w:t>
      </w:r>
    </w:p>
    <w:p w14:paraId="2A9DD7A0" w14:textId="794A9358" w:rsidR="002A37BA" w:rsidRPr="00C17151" w:rsidRDefault="000D0CD1" w:rsidP="00926551">
      <w:pPr>
        <w:pStyle w:val="Heading2"/>
        <w:spacing w:line="276" w:lineRule="auto"/>
        <w:rPr>
          <w:rFonts w:ascii="Times New Roman" w:eastAsiaTheme="minorEastAsia" w:hAnsi="Times New Roman"/>
          <w:b/>
          <w:sz w:val="24"/>
          <w:szCs w:val="24"/>
        </w:rPr>
      </w:pPr>
      <w:bookmarkStart w:id="2" w:name="_Toc402259562"/>
      <w:r w:rsidRPr="00C17151">
        <w:rPr>
          <w:rFonts w:ascii="Times New Roman" w:eastAsiaTheme="minorEastAsia" w:hAnsi="Times New Roman"/>
          <w:b/>
          <w:sz w:val="24"/>
          <w:szCs w:val="24"/>
        </w:rPr>
        <w:t>B.2</w:t>
      </w:r>
      <w:r w:rsidR="002A37BA" w:rsidRPr="00C17151">
        <w:rPr>
          <w:rFonts w:ascii="Times New Roman" w:eastAsiaTheme="minorEastAsia" w:hAnsi="Times New Roman"/>
          <w:b/>
          <w:sz w:val="24"/>
          <w:szCs w:val="24"/>
        </w:rPr>
        <w:tab/>
        <w:t>Procedures for the Collection of Information</w:t>
      </w:r>
      <w:bookmarkEnd w:id="2"/>
    </w:p>
    <w:p w14:paraId="0465E3A7" w14:textId="3C7BBDEF" w:rsidR="002A37BA" w:rsidRPr="00C17151" w:rsidRDefault="004176D3" w:rsidP="00926551">
      <w:pPr>
        <w:tabs>
          <w:tab w:val="num" w:pos="0"/>
        </w:tabs>
        <w:spacing w:line="276" w:lineRule="auto"/>
        <w:ind w:firstLine="0"/>
        <w:rPr>
          <w:szCs w:val="24"/>
        </w:rPr>
      </w:pPr>
      <w:r w:rsidRPr="00C17151">
        <w:rPr>
          <w:szCs w:val="24"/>
        </w:rPr>
        <w:tab/>
      </w:r>
      <w:r w:rsidR="005E360A">
        <w:rPr>
          <w:szCs w:val="24"/>
        </w:rPr>
        <w:t>Quality of care i</w:t>
      </w:r>
      <w:r w:rsidR="00926551" w:rsidRPr="00C17151">
        <w:rPr>
          <w:szCs w:val="24"/>
        </w:rPr>
        <w:t xml:space="preserve">nformation </w:t>
      </w:r>
      <w:r w:rsidR="00F2078C" w:rsidRPr="00C17151">
        <w:rPr>
          <w:szCs w:val="24"/>
        </w:rPr>
        <w:t>collection includes data from 3 different phases: pre-hospital (</w:t>
      </w:r>
      <w:r w:rsidR="007B1AED" w:rsidRPr="00C17151">
        <w:rPr>
          <w:b/>
          <w:szCs w:val="24"/>
        </w:rPr>
        <w:t xml:space="preserve">Attachment </w:t>
      </w:r>
      <w:r w:rsidR="002F65E2">
        <w:rPr>
          <w:b/>
          <w:szCs w:val="24"/>
        </w:rPr>
        <w:t>4</w:t>
      </w:r>
      <w:r w:rsidR="00F2078C" w:rsidRPr="00C17151">
        <w:rPr>
          <w:b/>
          <w:szCs w:val="24"/>
        </w:rPr>
        <w:t>a</w:t>
      </w:r>
      <w:r w:rsidR="00F2078C" w:rsidRPr="00C17151">
        <w:rPr>
          <w:szCs w:val="24"/>
        </w:rPr>
        <w:t>), in-hospital (</w:t>
      </w:r>
      <w:r w:rsidR="007B1AED" w:rsidRPr="00C17151">
        <w:rPr>
          <w:b/>
          <w:szCs w:val="24"/>
        </w:rPr>
        <w:t xml:space="preserve">Attachment </w:t>
      </w:r>
      <w:r w:rsidR="002F65E2">
        <w:rPr>
          <w:b/>
          <w:szCs w:val="24"/>
        </w:rPr>
        <w:t>4</w:t>
      </w:r>
      <w:r w:rsidR="00F2078C" w:rsidRPr="00C17151">
        <w:rPr>
          <w:b/>
          <w:szCs w:val="24"/>
        </w:rPr>
        <w:t>b</w:t>
      </w:r>
      <w:r w:rsidR="00F2078C" w:rsidRPr="00C17151">
        <w:rPr>
          <w:szCs w:val="24"/>
        </w:rPr>
        <w:t>), and post-hospital (</w:t>
      </w:r>
      <w:r w:rsidR="007B1AED" w:rsidRPr="00C17151">
        <w:rPr>
          <w:b/>
          <w:szCs w:val="24"/>
        </w:rPr>
        <w:t xml:space="preserve">Attachment </w:t>
      </w:r>
      <w:r w:rsidR="002F65E2">
        <w:rPr>
          <w:b/>
          <w:szCs w:val="24"/>
        </w:rPr>
        <w:t>4</w:t>
      </w:r>
      <w:r w:rsidR="00F2078C" w:rsidRPr="00C17151">
        <w:rPr>
          <w:b/>
          <w:szCs w:val="24"/>
        </w:rPr>
        <w:t>c</w:t>
      </w:r>
      <w:r w:rsidR="00F2078C" w:rsidRPr="00C17151">
        <w:rPr>
          <w:szCs w:val="24"/>
        </w:rPr>
        <w:t xml:space="preserve">). </w:t>
      </w:r>
      <w:r w:rsidR="00A87093" w:rsidRPr="00A87093">
        <w:rPr>
          <w:b/>
          <w:szCs w:val="24"/>
        </w:rPr>
        <w:t xml:space="preserve">Attachment </w:t>
      </w:r>
      <w:r w:rsidR="00BF31F9">
        <w:rPr>
          <w:b/>
          <w:szCs w:val="24"/>
        </w:rPr>
        <w:t>9</w:t>
      </w:r>
      <w:r w:rsidR="00A87093">
        <w:rPr>
          <w:szCs w:val="24"/>
        </w:rPr>
        <w:t xml:space="preserve"> describes the flow of this information collection and transmission. </w:t>
      </w:r>
      <w:r w:rsidR="000841A2">
        <w:rPr>
          <w:szCs w:val="24"/>
        </w:rPr>
        <w:t>The pre-, in-, and post-</w:t>
      </w:r>
      <w:r w:rsidR="002A37BA" w:rsidRPr="00C17151">
        <w:rPr>
          <w:szCs w:val="24"/>
        </w:rPr>
        <w:t>hospital care data elements are defined with national partner organizations</w:t>
      </w:r>
      <w:r w:rsidR="000841A2">
        <w:rPr>
          <w:szCs w:val="24"/>
        </w:rPr>
        <w:t xml:space="preserve"> to align data standards and collection methods when possible</w:t>
      </w:r>
      <w:r w:rsidR="002A37BA" w:rsidRPr="00C17151">
        <w:rPr>
          <w:szCs w:val="24"/>
        </w:rPr>
        <w:t xml:space="preserve">. </w:t>
      </w:r>
      <w:r w:rsidR="008A125C" w:rsidRPr="003C32B5">
        <w:rPr>
          <w:szCs w:val="24"/>
        </w:rPr>
        <w:t xml:space="preserve">Awardees choose their own </w:t>
      </w:r>
      <w:r w:rsidR="003C32B5" w:rsidRPr="00881422">
        <w:rPr>
          <w:szCs w:val="24"/>
        </w:rPr>
        <w:t>data sources/</w:t>
      </w:r>
      <w:r w:rsidR="008A125C" w:rsidRPr="003C32B5">
        <w:rPr>
          <w:szCs w:val="24"/>
        </w:rPr>
        <w:t xml:space="preserve">systems to collect </w:t>
      </w:r>
      <w:r w:rsidR="003C32B5" w:rsidRPr="00881422">
        <w:rPr>
          <w:szCs w:val="24"/>
        </w:rPr>
        <w:t>the data. The data system chosen by awardees depends on the availability of the data and their access to it. For example, pre-hospital care data can be collected by awardees from their partner hospitals or</w:t>
      </w:r>
      <w:r w:rsidR="00404296">
        <w:rPr>
          <w:szCs w:val="24"/>
        </w:rPr>
        <w:t xml:space="preserve"> in</w:t>
      </w:r>
      <w:r w:rsidR="003C32B5" w:rsidRPr="00881422">
        <w:rPr>
          <w:szCs w:val="24"/>
        </w:rPr>
        <w:t xml:space="preserve"> partner</w:t>
      </w:r>
      <w:r w:rsidR="00404296">
        <w:rPr>
          <w:szCs w:val="24"/>
        </w:rPr>
        <w:t>ship with their</w:t>
      </w:r>
      <w:r w:rsidR="003C32B5" w:rsidRPr="00881422">
        <w:rPr>
          <w:szCs w:val="24"/>
        </w:rPr>
        <w:t xml:space="preserve"> </w:t>
      </w:r>
      <w:r w:rsidR="00404296">
        <w:rPr>
          <w:szCs w:val="24"/>
        </w:rPr>
        <w:t xml:space="preserve">state office of </w:t>
      </w:r>
      <w:r w:rsidR="003C32B5" w:rsidRPr="00881422">
        <w:rPr>
          <w:szCs w:val="24"/>
        </w:rPr>
        <w:t xml:space="preserve">EMS. Post-hospital care data can be collected by awardees from their partner hospitals or other healthcare facilities (e.g., stroke rehabilitation facilities). </w:t>
      </w:r>
      <w:r w:rsidR="003C32B5">
        <w:rPr>
          <w:szCs w:val="24"/>
        </w:rPr>
        <w:t>A</w:t>
      </w:r>
      <w:r w:rsidR="002A37BA" w:rsidRPr="00C17151">
        <w:rPr>
          <w:szCs w:val="24"/>
        </w:rPr>
        <w:t xml:space="preserve">wardees </w:t>
      </w:r>
      <w:r w:rsidR="003C32B5">
        <w:rPr>
          <w:szCs w:val="24"/>
        </w:rPr>
        <w:t xml:space="preserve">send compiled data to </w:t>
      </w:r>
      <w:r w:rsidR="002A37BA" w:rsidRPr="00C17151">
        <w:rPr>
          <w:szCs w:val="24"/>
        </w:rPr>
        <w:t>CDC through secure access management services (SAMS) web portal quarterly</w:t>
      </w:r>
      <w:r w:rsidR="00926551" w:rsidRPr="00C17151">
        <w:rPr>
          <w:szCs w:val="24"/>
        </w:rPr>
        <w:t xml:space="preserve"> (</w:t>
      </w:r>
      <w:r w:rsidR="00926551" w:rsidRPr="00C17151">
        <w:rPr>
          <w:b/>
          <w:szCs w:val="24"/>
        </w:rPr>
        <w:t xml:space="preserve">Attachment </w:t>
      </w:r>
      <w:r w:rsidR="00BF31F9">
        <w:rPr>
          <w:b/>
          <w:szCs w:val="24"/>
        </w:rPr>
        <w:t>8</w:t>
      </w:r>
      <w:r w:rsidR="00926551" w:rsidRPr="00C17151">
        <w:rPr>
          <w:szCs w:val="24"/>
        </w:rPr>
        <w:t>)</w:t>
      </w:r>
      <w:r w:rsidR="002A37BA" w:rsidRPr="00C17151">
        <w:rPr>
          <w:szCs w:val="24"/>
        </w:rPr>
        <w:t xml:space="preserve">. </w:t>
      </w:r>
      <w:r w:rsidR="00926551" w:rsidRPr="00C17151">
        <w:rPr>
          <w:szCs w:val="24"/>
        </w:rPr>
        <w:t xml:space="preserve">Information is transmitted as a SAS (Statistical Analysis System) data set. </w:t>
      </w:r>
      <w:r w:rsidR="002A37BA" w:rsidRPr="00C17151">
        <w:rPr>
          <w:szCs w:val="24"/>
        </w:rPr>
        <w:t>All the information is de-identified.</w:t>
      </w:r>
    </w:p>
    <w:p w14:paraId="53DB3EEE" w14:textId="77777777" w:rsidR="002A37BA" w:rsidRPr="00C17151" w:rsidRDefault="002A37BA" w:rsidP="00926551">
      <w:pPr>
        <w:spacing w:line="276" w:lineRule="auto"/>
        <w:rPr>
          <w:szCs w:val="24"/>
        </w:rPr>
      </w:pPr>
    </w:p>
    <w:p w14:paraId="1D0A1252" w14:textId="6375CCEA" w:rsidR="002A37BA" w:rsidRPr="00C17151" w:rsidRDefault="005E360A" w:rsidP="00926551">
      <w:pPr>
        <w:spacing w:line="276" w:lineRule="auto"/>
        <w:rPr>
          <w:szCs w:val="24"/>
        </w:rPr>
      </w:pPr>
      <w:r>
        <w:rPr>
          <w:szCs w:val="24"/>
        </w:rPr>
        <w:t xml:space="preserve">Additionally, </w:t>
      </w:r>
      <w:r w:rsidR="00926551" w:rsidRPr="00C17151">
        <w:rPr>
          <w:szCs w:val="24"/>
        </w:rPr>
        <w:t xml:space="preserve">hospital inventory data will be </w:t>
      </w:r>
      <w:r w:rsidR="00F2078C" w:rsidRPr="00C17151">
        <w:rPr>
          <w:szCs w:val="24"/>
        </w:rPr>
        <w:t>collected by hospitals on an annual basis (</w:t>
      </w:r>
      <w:r w:rsidR="00F2078C" w:rsidRPr="00C17151">
        <w:rPr>
          <w:b/>
          <w:szCs w:val="24"/>
        </w:rPr>
        <w:t>Attachment</w:t>
      </w:r>
      <w:r w:rsidR="007B1AED" w:rsidRPr="00C17151">
        <w:rPr>
          <w:b/>
          <w:szCs w:val="24"/>
        </w:rPr>
        <w:t xml:space="preserve"> </w:t>
      </w:r>
      <w:r w:rsidR="002F65E2">
        <w:rPr>
          <w:b/>
          <w:szCs w:val="24"/>
        </w:rPr>
        <w:t>5</w:t>
      </w:r>
      <w:r w:rsidR="00F2078C" w:rsidRPr="00C17151">
        <w:rPr>
          <w:b/>
          <w:szCs w:val="24"/>
        </w:rPr>
        <w:t>a</w:t>
      </w:r>
      <w:r w:rsidR="00F2078C" w:rsidRPr="00C17151">
        <w:rPr>
          <w:szCs w:val="24"/>
        </w:rPr>
        <w:t xml:space="preserve">) and </w:t>
      </w:r>
      <w:r w:rsidR="00525287">
        <w:rPr>
          <w:szCs w:val="24"/>
        </w:rPr>
        <w:t xml:space="preserve">transmitted to the hospitals’ awardee either electronically or on a paper form. The awardee </w:t>
      </w:r>
      <w:r w:rsidR="00F2078C" w:rsidRPr="00C17151">
        <w:rPr>
          <w:szCs w:val="24"/>
        </w:rPr>
        <w:t xml:space="preserve">then </w:t>
      </w:r>
      <w:r w:rsidR="00525287">
        <w:rPr>
          <w:szCs w:val="24"/>
        </w:rPr>
        <w:t>compiles all hospital responses into a single Excel file to submit to</w:t>
      </w:r>
      <w:r w:rsidR="00F2078C" w:rsidRPr="00C17151">
        <w:rPr>
          <w:szCs w:val="24"/>
        </w:rPr>
        <w:t xml:space="preserve"> CDC </w:t>
      </w:r>
      <w:r w:rsidR="00525287">
        <w:rPr>
          <w:szCs w:val="24"/>
        </w:rPr>
        <w:t xml:space="preserve">annually </w:t>
      </w:r>
      <w:r w:rsidR="00F2078C" w:rsidRPr="00C17151">
        <w:rPr>
          <w:szCs w:val="24"/>
        </w:rPr>
        <w:t>(</w:t>
      </w:r>
      <w:r w:rsidR="007B1AED" w:rsidRPr="00C17151">
        <w:rPr>
          <w:b/>
          <w:szCs w:val="24"/>
        </w:rPr>
        <w:t xml:space="preserve">Attachment </w:t>
      </w:r>
      <w:r w:rsidR="002F65E2">
        <w:rPr>
          <w:b/>
          <w:szCs w:val="24"/>
        </w:rPr>
        <w:t>5</w:t>
      </w:r>
      <w:r w:rsidR="008A30B5">
        <w:rPr>
          <w:b/>
          <w:szCs w:val="24"/>
        </w:rPr>
        <w:t>b</w:t>
      </w:r>
      <w:r w:rsidR="00F2078C" w:rsidRPr="00C17151">
        <w:rPr>
          <w:szCs w:val="24"/>
        </w:rPr>
        <w:t>).</w:t>
      </w:r>
      <w:r w:rsidR="00E355E5" w:rsidRPr="00C17151">
        <w:rPr>
          <w:szCs w:val="24"/>
        </w:rPr>
        <w:t xml:space="preserve"> Without PCNASP, this data is not systematically or routinely collected by hospitals and sent to their respective awardee.</w:t>
      </w:r>
      <w:r w:rsidR="00F2078C" w:rsidRPr="00C17151">
        <w:rPr>
          <w:szCs w:val="24"/>
        </w:rPr>
        <w:t xml:space="preserve"> </w:t>
      </w:r>
      <w:r w:rsidR="002A37BA" w:rsidRPr="00C17151">
        <w:rPr>
          <w:szCs w:val="24"/>
        </w:rPr>
        <w:t xml:space="preserve">The hospital inventory data </w:t>
      </w:r>
      <w:r w:rsidR="00F2078C" w:rsidRPr="00C17151">
        <w:rPr>
          <w:szCs w:val="24"/>
        </w:rPr>
        <w:t>can be linked to in-hospital data through a unique de-identified hospital ID common to both sources.</w:t>
      </w:r>
    </w:p>
    <w:p w14:paraId="266D8FCF" w14:textId="77777777" w:rsidR="002A37BA" w:rsidRPr="00C17151" w:rsidRDefault="002A37BA" w:rsidP="00926551">
      <w:pPr>
        <w:spacing w:line="276" w:lineRule="auto"/>
        <w:rPr>
          <w:szCs w:val="24"/>
        </w:rPr>
      </w:pPr>
    </w:p>
    <w:p w14:paraId="5432BEA2" w14:textId="55734E81" w:rsidR="002A37BA" w:rsidRPr="00C17151" w:rsidRDefault="002A37BA" w:rsidP="00926551">
      <w:pPr>
        <w:spacing w:line="276" w:lineRule="auto"/>
        <w:rPr>
          <w:szCs w:val="24"/>
        </w:rPr>
      </w:pPr>
      <w:r w:rsidRPr="00C17151">
        <w:rPr>
          <w:szCs w:val="24"/>
        </w:rPr>
        <w:t>CDC will aggregate data from all awardees. The data will reside in a secured file location on CDC servers</w:t>
      </w:r>
      <w:r w:rsidR="003C32B5">
        <w:rPr>
          <w:szCs w:val="24"/>
        </w:rPr>
        <w:t>, which is only accessible by the PCNASP data analyst and statistician.</w:t>
      </w:r>
    </w:p>
    <w:p w14:paraId="39C81CCD" w14:textId="4B614076" w:rsidR="002A37BA" w:rsidRPr="00C17151" w:rsidRDefault="000D0CD1" w:rsidP="00926551">
      <w:pPr>
        <w:pStyle w:val="Heading2"/>
        <w:spacing w:before="360" w:line="276" w:lineRule="auto"/>
        <w:rPr>
          <w:rFonts w:ascii="Times New Roman" w:eastAsiaTheme="minorEastAsia" w:hAnsi="Times New Roman"/>
          <w:b/>
          <w:sz w:val="24"/>
          <w:szCs w:val="24"/>
        </w:rPr>
      </w:pPr>
      <w:bookmarkStart w:id="3" w:name="_Toc402259563"/>
      <w:r w:rsidRPr="00C17151">
        <w:rPr>
          <w:rFonts w:ascii="Times New Roman" w:eastAsiaTheme="minorEastAsia" w:hAnsi="Times New Roman"/>
          <w:b/>
          <w:sz w:val="24"/>
          <w:szCs w:val="24"/>
        </w:rPr>
        <w:t>B.3</w:t>
      </w:r>
      <w:r w:rsidR="002A37BA" w:rsidRPr="00C17151">
        <w:rPr>
          <w:rFonts w:ascii="Times New Roman" w:eastAsiaTheme="minorEastAsia" w:hAnsi="Times New Roman"/>
          <w:b/>
          <w:sz w:val="24"/>
          <w:szCs w:val="24"/>
        </w:rPr>
        <w:tab/>
        <w:t>Methods to Maximize Response Rates and Deal with Nonresponse</w:t>
      </w:r>
      <w:bookmarkEnd w:id="3"/>
    </w:p>
    <w:p w14:paraId="4D05B70B" w14:textId="43979842" w:rsidR="002A37BA" w:rsidRPr="00C17151" w:rsidRDefault="002A37BA" w:rsidP="00926551">
      <w:pPr>
        <w:widowControl w:val="0"/>
        <w:spacing w:line="276" w:lineRule="auto"/>
        <w:rPr>
          <w:color w:val="000000"/>
          <w:szCs w:val="24"/>
        </w:rPr>
      </w:pPr>
      <w:r w:rsidRPr="00C17151">
        <w:rPr>
          <w:color w:val="000000"/>
          <w:szCs w:val="24"/>
        </w:rPr>
        <w:t xml:space="preserve">All PCNASP awardees are expected to report data in a timely manner. CDC requires data submission as a stipulation of the </w:t>
      </w:r>
      <w:r w:rsidR="006C64D2">
        <w:rPr>
          <w:color w:val="000000"/>
          <w:szCs w:val="24"/>
        </w:rPr>
        <w:t xml:space="preserve">Notice of </w:t>
      </w:r>
      <w:r w:rsidRPr="00C17151">
        <w:rPr>
          <w:color w:val="000000"/>
          <w:szCs w:val="24"/>
        </w:rPr>
        <w:t>Funding Opportunity and the cooperative agreement notice of grant award.  Awardees that have difficulty with</w:t>
      </w:r>
      <w:r w:rsidR="00926551" w:rsidRPr="00C17151">
        <w:rPr>
          <w:color w:val="000000"/>
          <w:szCs w:val="24"/>
        </w:rPr>
        <w:t xml:space="preserve"> data submission will be </w:t>
      </w:r>
      <w:r w:rsidRPr="00C17151">
        <w:rPr>
          <w:color w:val="000000"/>
          <w:szCs w:val="24"/>
        </w:rPr>
        <w:t>provided technical assistance by the PCNASP Health Scientist, the PCNASP Project Officers, and/or the data contractor. If necessary, short extensions will be provided to give the awardees additional time to report. The schedule for data reporting will remain consistent.</w:t>
      </w:r>
    </w:p>
    <w:p w14:paraId="6F4C0147" w14:textId="77777777" w:rsidR="002A37BA" w:rsidRPr="00C17151" w:rsidRDefault="002A37BA" w:rsidP="00926551">
      <w:pPr>
        <w:widowControl w:val="0"/>
        <w:spacing w:line="276" w:lineRule="auto"/>
        <w:rPr>
          <w:color w:val="000000"/>
          <w:szCs w:val="24"/>
        </w:rPr>
      </w:pPr>
    </w:p>
    <w:p w14:paraId="51D9EA4B" w14:textId="453507F9" w:rsidR="002A37BA" w:rsidRPr="00C17151" w:rsidRDefault="002A37BA" w:rsidP="00926551">
      <w:pPr>
        <w:widowControl w:val="0"/>
        <w:spacing w:line="276" w:lineRule="auto"/>
        <w:rPr>
          <w:color w:val="000000"/>
          <w:szCs w:val="24"/>
        </w:rPr>
      </w:pPr>
      <w:r w:rsidRPr="00C17151">
        <w:rPr>
          <w:color w:val="000000"/>
          <w:szCs w:val="24"/>
        </w:rPr>
        <w:t xml:space="preserve">The use of existing data dictionary </w:t>
      </w:r>
      <w:r w:rsidR="00C17151">
        <w:rPr>
          <w:color w:val="000000"/>
          <w:szCs w:val="24"/>
        </w:rPr>
        <w:t>(</w:t>
      </w:r>
      <w:r w:rsidR="00C17151" w:rsidRPr="00C17151">
        <w:rPr>
          <w:b/>
          <w:color w:val="000000"/>
          <w:szCs w:val="24"/>
        </w:rPr>
        <w:t xml:space="preserve">Attachments </w:t>
      </w:r>
      <w:r w:rsidR="002F65E2">
        <w:rPr>
          <w:b/>
          <w:color w:val="000000"/>
          <w:szCs w:val="24"/>
        </w:rPr>
        <w:t>4</w:t>
      </w:r>
      <w:r w:rsidR="00C17151" w:rsidRPr="00C17151">
        <w:rPr>
          <w:b/>
          <w:color w:val="000000"/>
          <w:szCs w:val="24"/>
        </w:rPr>
        <w:t xml:space="preserve">a, </w:t>
      </w:r>
      <w:r w:rsidR="002F65E2">
        <w:rPr>
          <w:b/>
          <w:color w:val="000000"/>
          <w:szCs w:val="24"/>
        </w:rPr>
        <w:t>4</w:t>
      </w:r>
      <w:r w:rsidR="00C17151" w:rsidRPr="00C17151">
        <w:rPr>
          <w:b/>
          <w:color w:val="000000"/>
          <w:szCs w:val="24"/>
        </w:rPr>
        <w:t xml:space="preserve">b, </w:t>
      </w:r>
      <w:r w:rsidR="002F65E2">
        <w:rPr>
          <w:b/>
          <w:color w:val="000000"/>
          <w:szCs w:val="24"/>
        </w:rPr>
        <w:t>4</w:t>
      </w:r>
      <w:r w:rsidR="00C17151" w:rsidRPr="00C17151">
        <w:rPr>
          <w:b/>
          <w:color w:val="000000"/>
          <w:szCs w:val="24"/>
        </w:rPr>
        <w:t xml:space="preserve">c, </w:t>
      </w:r>
      <w:r w:rsidR="002F65E2">
        <w:rPr>
          <w:b/>
          <w:color w:val="000000"/>
          <w:szCs w:val="24"/>
        </w:rPr>
        <w:t>5</w:t>
      </w:r>
      <w:r w:rsidR="00C17151" w:rsidRPr="00C17151">
        <w:rPr>
          <w:b/>
          <w:color w:val="000000"/>
          <w:szCs w:val="24"/>
        </w:rPr>
        <w:t xml:space="preserve">a, </w:t>
      </w:r>
      <w:r w:rsidR="002F65E2">
        <w:rPr>
          <w:b/>
          <w:color w:val="000000"/>
          <w:szCs w:val="24"/>
        </w:rPr>
        <w:t>5</w:t>
      </w:r>
      <w:r w:rsidR="00C17151" w:rsidRPr="00C17151">
        <w:rPr>
          <w:b/>
          <w:color w:val="000000"/>
          <w:szCs w:val="24"/>
        </w:rPr>
        <w:t>b</w:t>
      </w:r>
      <w:r w:rsidR="00C17151">
        <w:rPr>
          <w:color w:val="000000"/>
          <w:szCs w:val="24"/>
        </w:rPr>
        <w:t xml:space="preserve">) </w:t>
      </w:r>
      <w:r w:rsidRPr="00C17151">
        <w:rPr>
          <w:color w:val="000000"/>
          <w:szCs w:val="24"/>
        </w:rPr>
        <w:t xml:space="preserve">and data abstraction guidelines for electronic submission of data makes it easy for awardees to comply with the request. In addition, CDC’s PCNASP team will provide a detailed assessment of data quality to all awardees after each data submission. </w:t>
      </w:r>
    </w:p>
    <w:p w14:paraId="2FFE0F7F" w14:textId="77777777" w:rsidR="002A37BA" w:rsidRPr="00C17151" w:rsidRDefault="002A37BA" w:rsidP="00926551">
      <w:pPr>
        <w:widowControl w:val="0"/>
        <w:spacing w:line="276" w:lineRule="auto"/>
        <w:rPr>
          <w:color w:val="000000"/>
          <w:szCs w:val="24"/>
        </w:rPr>
      </w:pPr>
    </w:p>
    <w:p w14:paraId="40A54338" w14:textId="398633DE" w:rsidR="002A37BA" w:rsidRPr="00C17151" w:rsidRDefault="000D0CD1" w:rsidP="00926551">
      <w:pPr>
        <w:pStyle w:val="Heading2"/>
        <w:spacing w:line="276" w:lineRule="auto"/>
        <w:rPr>
          <w:rFonts w:ascii="Times New Roman" w:eastAsiaTheme="minorEastAsia" w:hAnsi="Times New Roman"/>
          <w:b/>
          <w:sz w:val="24"/>
          <w:szCs w:val="24"/>
        </w:rPr>
      </w:pPr>
      <w:bookmarkStart w:id="4" w:name="_Toc402259564"/>
      <w:r w:rsidRPr="00C17151">
        <w:rPr>
          <w:rFonts w:ascii="Times New Roman" w:eastAsiaTheme="minorEastAsia" w:hAnsi="Times New Roman"/>
          <w:b/>
          <w:sz w:val="24"/>
          <w:szCs w:val="24"/>
        </w:rPr>
        <w:t>B.4</w:t>
      </w:r>
      <w:r w:rsidR="002A37BA" w:rsidRPr="00C17151">
        <w:rPr>
          <w:rFonts w:ascii="Times New Roman" w:eastAsiaTheme="minorEastAsia" w:hAnsi="Times New Roman"/>
          <w:b/>
          <w:sz w:val="24"/>
          <w:szCs w:val="24"/>
        </w:rPr>
        <w:tab/>
        <w:t>Test of Procedures or Methods to be Undertaken</w:t>
      </w:r>
      <w:bookmarkEnd w:id="4"/>
    </w:p>
    <w:p w14:paraId="1F108B25" w14:textId="6FD47274" w:rsidR="002A37BA" w:rsidRPr="00C17151" w:rsidRDefault="002A37BA" w:rsidP="00926551">
      <w:pPr>
        <w:widowControl w:val="0"/>
        <w:spacing w:line="276" w:lineRule="auto"/>
        <w:rPr>
          <w:color w:val="000000"/>
          <w:szCs w:val="24"/>
        </w:rPr>
      </w:pPr>
      <w:r w:rsidRPr="00C17151">
        <w:rPr>
          <w:color w:val="000000"/>
          <w:szCs w:val="24"/>
        </w:rPr>
        <w:t xml:space="preserve">The data uploading systems developed and maintained by CDC have been tested by PCNASP staff. </w:t>
      </w:r>
      <w:r w:rsidR="00F2078C" w:rsidRPr="00C17151">
        <w:rPr>
          <w:color w:val="000000"/>
          <w:szCs w:val="24"/>
        </w:rPr>
        <w:t xml:space="preserve">SAMS is used by states for a variety of purposes and is a familiar process to them. </w:t>
      </w:r>
    </w:p>
    <w:p w14:paraId="58B6CF13" w14:textId="77777777" w:rsidR="002A37BA" w:rsidRPr="00C17151" w:rsidRDefault="002A37BA" w:rsidP="00926551">
      <w:pPr>
        <w:widowControl w:val="0"/>
        <w:spacing w:line="276" w:lineRule="auto"/>
        <w:rPr>
          <w:color w:val="000000"/>
          <w:szCs w:val="24"/>
        </w:rPr>
      </w:pPr>
    </w:p>
    <w:p w14:paraId="7832F46D" w14:textId="1ABBE7BA" w:rsidR="002A37BA" w:rsidRPr="00C17151" w:rsidRDefault="000D0CD1" w:rsidP="00926551">
      <w:pPr>
        <w:pStyle w:val="Heading2"/>
        <w:spacing w:line="276" w:lineRule="auto"/>
        <w:rPr>
          <w:rFonts w:ascii="Times New Roman" w:eastAsiaTheme="minorEastAsia" w:hAnsi="Times New Roman"/>
          <w:b/>
          <w:sz w:val="24"/>
          <w:szCs w:val="24"/>
        </w:rPr>
      </w:pPr>
      <w:bookmarkStart w:id="5" w:name="_Toc402259565"/>
      <w:r w:rsidRPr="00C17151">
        <w:rPr>
          <w:rFonts w:ascii="Times New Roman" w:eastAsiaTheme="minorEastAsia" w:hAnsi="Times New Roman"/>
          <w:b/>
          <w:sz w:val="24"/>
          <w:szCs w:val="24"/>
        </w:rPr>
        <w:t>B.5</w:t>
      </w:r>
      <w:r w:rsidR="002A37BA" w:rsidRPr="00C17151">
        <w:rPr>
          <w:rFonts w:ascii="Times New Roman" w:eastAsiaTheme="minorEastAsia" w:hAnsi="Times New Roman"/>
          <w:b/>
          <w:sz w:val="24"/>
          <w:szCs w:val="24"/>
        </w:rPr>
        <w:tab/>
        <w:t>Individuals Consulted on Statistical Aspects and Individuals Collecting and/or Analyzing Data</w:t>
      </w:r>
      <w:bookmarkEnd w:id="5"/>
    </w:p>
    <w:p w14:paraId="55D7E259" w14:textId="77777777" w:rsidR="002A37BA" w:rsidRPr="00C17151" w:rsidRDefault="002A37BA" w:rsidP="00926551">
      <w:pPr>
        <w:pStyle w:val="NormalSS"/>
        <w:spacing w:line="276" w:lineRule="auto"/>
        <w:rPr>
          <w:szCs w:val="24"/>
        </w:rPr>
      </w:pPr>
      <w:r w:rsidRPr="00C17151">
        <w:rPr>
          <w:szCs w:val="24"/>
        </w:rPr>
        <w:t xml:space="preserve">CDC staff from the PCNASP program were consulted about the substantive, methodological, and statistical aspects of the study. </w:t>
      </w:r>
    </w:p>
    <w:p w14:paraId="561347C6" w14:textId="137309C2" w:rsidR="002A37BA" w:rsidRPr="00C17151" w:rsidRDefault="002A37BA" w:rsidP="00926551">
      <w:pPr>
        <w:pStyle w:val="Heading2"/>
        <w:spacing w:line="276" w:lineRule="auto"/>
        <w:ind w:left="0" w:firstLine="0"/>
        <w:rPr>
          <w:rFonts w:ascii="Times New Roman" w:hAnsi="Times New Roman"/>
          <w:b/>
          <w:i/>
          <w:sz w:val="24"/>
          <w:szCs w:val="24"/>
        </w:rPr>
      </w:pPr>
      <w:bookmarkStart w:id="6" w:name="_Toc390091279"/>
      <w:r w:rsidRPr="00C17151">
        <w:rPr>
          <w:rFonts w:ascii="Times New Roman" w:hAnsi="Times New Roman"/>
          <w:sz w:val="24"/>
          <w:szCs w:val="24"/>
        </w:rPr>
        <w:tab/>
        <w:t>All of the data analyses will be done on site at CDC in the Division for Heart Disease and Stroke Prevention.  CDC investigators will collaborate with the awardees and their partners on ideas for analyses, development of analytic plans for each study, interpretation of the data and manuscript preparation.  The following is a list of PCNASP staff at CDC who work on the</w:t>
      </w:r>
      <w:r w:rsidR="00386E54">
        <w:rPr>
          <w:rFonts w:ascii="Times New Roman" w:hAnsi="Times New Roman"/>
          <w:sz w:val="24"/>
          <w:szCs w:val="24"/>
        </w:rPr>
        <w:t xml:space="preserve"> oversight,</w:t>
      </w:r>
      <w:r w:rsidRPr="00C17151">
        <w:rPr>
          <w:rFonts w:ascii="Times New Roman" w:hAnsi="Times New Roman"/>
          <w:sz w:val="24"/>
          <w:szCs w:val="24"/>
        </w:rPr>
        <w:t xml:space="preserve"> development, methodology, and statistical design of data that is collected. </w:t>
      </w:r>
    </w:p>
    <w:p w14:paraId="2908E58F" w14:textId="77777777" w:rsidR="002A37BA" w:rsidRPr="00C17151" w:rsidRDefault="002A37BA" w:rsidP="00881422">
      <w:pPr>
        <w:autoSpaceDE w:val="0"/>
        <w:autoSpaceDN w:val="0"/>
        <w:adjustRightInd w:val="0"/>
        <w:spacing w:line="276" w:lineRule="auto"/>
        <w:ind w:firstLine="0"/>
        <w:rPr>
          <w:rStyle w:val="Hyperlink"/>
          <w:szCs w:val="24"/>
        </w:rPr>
      </w:pPr>
    </w:p>
    <w:p w14:paraId="555B6DB3" w14:textId="77777777" w:rsidR="002A37BA" w:rsidRPr="00FE21B2" w:rsidRDefault="002A37BA" w:rsidP="00926551">
      <w:pPr>
        <w:autoSpaceDE w:val="0"/>
        <w:autoSpaceDN w:val="0"/>
        <w:adjustRightInd w:val="0"/>
        <w:spacing w:line="276" w:lineRule="auto"/>
        <w:rPr>
          <w:rStyle w:val="Hyperlink"/>
          <w:color w:val="auto"/>
          <w:szCs w:val="24"/>
          <w:u w:val="none"/>
        </w:rPr>
      </w:pPr>
      <w:r w:rsidRPr="00FE21B2">
        <w:rPr>
          <w:rStyle w:val="Hyperlink"/>
          <w:color w:val="auto"/>
          <w:szCs w:val="24"/>
          <w:u w:val="none"/>
        </w:rPr>
        <w:t>Sallyann Coleman King, MD, MSc</w:t>
      </w:r>
    </w:p>
    <w:p w14:paraId="2F8C4232" w14:textId="5D91F3AC" w:rsidR="002A37BA" w:rsidRPr="00FE21B2" w:rsidRDefault="00494F44" w:rsidP="00926551">
      <w:pPr>
        <w:autoSpaceDE w:val="0"/>
        <w:autoSpaceDN w:val="0"/>
        <w:adjustRightInd w:val="0"/>
        <w:spacing w:line="276" w:lineRule="auto"/>
        <w:rPr>
          <w:rStyle w:val="Hyperlink"/>
          <w:color w:val="auto"/>
          <w:szCs w:val="24"/>
          <w:u w:val="none"/>
        </w:rPr>
      </w:pPr>
      <w:r>
        <w:rPr>
          <w:rStyle w:val="Hyperlink"/>
          <w:color w:val="auto"/>
          <w:szCs w:val="24"/>
          <w:u w:val="none"/>
        </w:rPr>
        <w:t>PCNASP Director &amp; Medical Officer</w:t>
      </w:r>
    </w:p>
    <w:p w14:paraId="15B4098A" w14:textId="406574E8" w:rsidR="002A37BA" w:rsidRDefault="00BF75A3" w:rsidP="00926551">
      <w:pPr>
        <w:autoSpaceDE w:val="0"/>
        <w:autoSpaceDN w:val="0"/>
        <w:adjustRightInd w:val="0"/>
        <w:spacing w:line="276" w:lineRule="auto"/>
        <w:rPr>
          <w:rStyle w:val="Hyperlink"/>
          <w:szCs w:val="24"/>
        </w:rPr>
      </w:pPr>
      <w:hyperlink r:id="rId11" w:history="1">
        <w:r w:rsidR="00494F44" w:rsidRPr="000F3CB5">
          <w:rPr>
            <w:rStyle w:val="Hyperlink"/>
            <w:szCs w:val="24"/>
          </w:rPr>
          <w:t>fjq9@cdc.gov</w:t>
        </w:r>
      </w:hyperlink>
    </w:p>
    <w:p w14:paraId="6B4F8EC5" w14:textId="433DF3E9" w:rsidR="00494F44" w:rsidRPr="00C17151" w:rsidRDefault="00494F44">
      <w:pPr>
        <w:autoSpaceDE w:val="0"/>
        <w:autoSpaceDN w:val="0"/>
        <w:adjustRightInd w:val="0"/>
        <w:spacing w:line="276" w:lineRule="auto"/>
        <w:rPr>
          <w:szCs w:val="24"/>
        </w:rPr>
      </w:pPr>
      <w:r w:rsidRPr="00C17151">
        <w:rPr>
          <w:szCs w:val="24"/>
        </w:rPr>
        <w:t>770-488-5892</w:t>
      </w:r>
    </w:p>
    <w:p w14:paraId="36DEAF00" w14:textId="2EF9727F" w:rsidR="002A37BA" w:rsidRPr="00C17151" w:rsidRDefault="00494F44" w:rsidP="00926551">
      <w:pPr>
        <w:spacing w:line="276" w:lineRule="auto"/>
        <w:ind w:firstLine="0"/>
        <w:rPr>
          <w:szCs w:val="24"/>
        </w:rPr>
      </w:pPr>
      <w:r>
        <w:rPr>
          <w:szCs w:val="24"/>
        </w:rPr>
        <w:tab/>
      </w:r>
    </w:p>
    <w:p w14:paraId="6B7E44AD" w14:textId="531A9766" w:rsidR="00494F44" w:rsidRDefault="00494F44">
      <w:pPr>
        <w:spacing w:line="276" w:lineRule="auto"/>
        <w:rPr>
          <w:szCs w:val="24"/>
        </w:rPr>
      </w:pPr>
      <w:r>
        <w:rPr>
          <w:szCs w:val="24"/>
        </w:rPr>
        <w:t>Lisa Cooper</w:t>
      </w:r>
    </w:p>
    <w:p w14:paraId="3E2F0995" w14:textId="03F76666" w:rsidR="00494F44" w:rsidRDefault="00494F44">
      <w:pPr>
        <w:spacing w:line="276" w:lineRule="auto"/>
        <w:rPr>
          <w:szCs w:val="24"/>
        </w:rPr>
      </w:pPr>
      <w:r>
        <w:rPr>
          <w:szCs w:val="24"/>
        </w:rPr>
        <w:t>Project Officer</w:t>
      </w:r>
    </w:p>
    <w:p w14:paraId="05A783DF" w14:textId="771B0A77" w:rsidR="00494F44" w:rsidRDefault="00BF75A3">
      <w:pPr>
        <w:spacing w:line="276" w:lineRule="auto"/>
        <w:rPr>
          <w:szCs w:val="24"/>
        </w:rPr>
      </w:pPr>
      <w:hyperlink r:id="rId12" w:history="1">
        <w:r w:rsidR="00494F44" w:rsidRPr="000F3CB5">
          <w:rPr>
            <w:rStyle w:val="Hyperlink"/>
            <w:szCs w:val="24"/>
          </w:rPr>
          <w:t>las0@cdc.gov</w:t>
        </w:r>
      </w:hyperlink>
      <w:r w:rsidR="00494F44">
        <w:rPr>
          <w:szCs w:val="24"/>
        </w:rPr>
        <w:t xml:space="preserve"> </w:t>
      </w:r>
    </w:p>
    <w:p w14:paraId="14312BBD" w14:textId="7B9EB8A1" w:rsidR="00494F44" w:rsidRDefault="00494F44">
      <w:pPr>
        <w:spacing w:line="276" w:lineRule="auto"/>
        <w:rPr>
          <w:szCs w:val="24"/>
        </w:rPr>
      </w:pPr>
      <w:r>
        <w:rPr>
          <w:szCs w:val="24"/>
        </w:rPr>
        <w:t>404-498-0393</w:t>
      </w:r>
    </w:p>
    <w:p w14:paraId="131DF698" w14:textId="77777777" w:rsidR="00494F44" w:rsidRDefault="00494F44">
      <w:pPr>
        <w:spacing w:line="276" w:lineRule="auto"/>
        <w:rPr>
          <w:szCs w:val="24"/>
        </w:rPr>
      </w:pPr>
    </w:p>
    <w:p w14:paraId="17EC71DD" w14:textId="3AC31719" w:rsidR="002A37BA" w:rsidRPr="00C17151" w:rsidRDefault="00494F44" w:rsidP="00926551">
      <w:pPr>
        <w:spacing w:line="276" w:lineRule="auto"/>
        <w:rPr>
          <w:szCs w:val="24"/>
        </w:rPr>
      </w:pPr>
      <w:r>
        <w:rPr>
          <w:szCs w:val="24"/>
        </w:rPr>
        <w:t>Xin Tong, MPH</w:t>
      </w:r>
    </w:p>
    <w:p w14:paraId="6EA7735B" w14:textId="4EE6078B" w:rsidR="002A37BA" w:rsidRPr="00C17151" w:rsidRDefault="002A37BA" w:rsidP="00FE21B2">
      <w:pPr>
        <w:spacing w:line="276" w:lineRule="auto"/>
        <w:rPr>
          <w:szCs w:val="24"/>
        </w:rPr>
      </w:pPr>
      <w:r w:rsidRPr="00C17151">
        <w:rPr>
          <w:szCs w:val="24"/>
        </w:rPr>
        <w:t>Statistician</w:t>
      </w:r>
    </w:p>
    <w:p w14:paraId="29015163" w14:textId="6959F1AC" w:rsidR="002A37BA" w:rsidRDefault="00BF75A3" w:rsidP="00926551">
      <w:pPr>
        <w:spacing w:line="276" w:lineRule="auto"/>
        <w:rPr>
          <w:szCs w:val="24"/>
        </w:rPr>
      </w:pPr>
      <w:hyperlink r:id="rId13" w:history="1">
        <w:r w:rsidR="00494F44" w:rsidRPr="000F3CB5">
          <w:rPr>
            <w:rStyle w:val="Hyperlink"/>
            <w:szCs w:val="24"/>
          </w:rPr>
          <w:t>fvx4@cdc.gov</w:t>
        </w:r>
      </w:hyperlink>
      <w:r w:rsidR="00FE21B2">
        <w:rPr>
          <w:szCs w:val="24"/>
        </w:rPr>
        <w:t xml:space="preserve"> </w:t>
      </w:r>
    </w:p>
    <w:p w14:paraId="143B6BD6" w14:textId="77777777" w:rsidR="00494F44" w:rsidRDefault="00FE21B2" w:rsidP="00926551">
      <w:pPr>
        <w:spacing w:line="276" w:lineRule="auto"/>
        <w:rPr>
          <w:szCs w:val="24"/>
        </w:rPr>
      </w:pPr>
      <w:r w:rsidRPr="00C17151">
        <w:rPr>
          <w:szCs w:val="24"/>
        </w:rPr>
        <w:t>770-488-</w:t>
      </w:r>
      <w:r w:rsidR="00494F44">
        <w:rPr>
          <w:szCs w:val="24"/>
        </w:rPr>
        <w:t>4551</w:t>
      </w:r>
    </w:p>
    <w:p w14:paraId="58ACD98C" w14:textId="77777777" w:rsidR="00494F44" w:rsidRDefault="00494F44" w:rsidP="00926551">
      <w:pPr>
        <w:spacing w:line="276" w:lineRule="auto"/>
        <w:rPr>
          <w:szCs w:val="24"/>
        </w:rPr>
      </w:pPr>
    </w:p>
    <w:p w14:paraId="1D997D68" w14:textId="77777777" w:rsidR="00494F44" w:rsidRDefault="00494F44" w:rsidP="00926551">
      <w:pPr>
        <w:spacing w:line="276" w:lineRule="auto"/>
        <w:rPr>
          <w:szCs w:val="24"/>
        </w:rPr>
      </w:pPr>
      <w:r>
        <w:rPr>
          <w:szCs w:val="24"/>
        </w:rPr>
        <w:t>Xiaoping Yin, MS</w:t>
      </w:r>
    </w:p>
    <w:p w14:paraId="743BD149" w14:textId="52E4D24C" w:rsidR="00494F44" w:rsidRDefault="00494F44" w:rsidP="00926551">
      <w:pPr>
        <w:spacing w:line="276" w:lineRule="auto"/>
        <w:rPr>
          <w:szCs w:val="24"/>
        </w:rPr>
      </w:pPr>
      <w:r>
        <w:rPr>
          <w:szCs w:val="24"/>
        </w:rPr>
        <w:t>Data Analyst</w:t>
      </w:r>
    </w:p>
    <w:p w14:paraId="2F648FEB" w14:textId="7AACEDAD" w:rsidR="00494F44" w:rsidRDefault="00BF75A3" w:rsidP="00926551">
      <w:pPr>
        <w:spacing w:line="276" w:lineRule="auto"/>
        <w:rPr>
          <w:szCs w:val="24"/>
        </w:rPr>
      </w:pPr>
      <w:hyperlink r:id="rId14" w:history="1">
        <w:r w:rsidR="00494F44" w:rsidRPr="000F3CB5">
          <w:rPr>
            <w:rStyle w:val="Hyperlink"/>
            <w:szCs w:val="24"/>
          </w:rPr>
          <w:t>yxq9@cdc.gov</w:t>
        </w:r>
      </w:hyperlink>
      <w:r w:rsidR="00494F44">
        <w:rPr>
          <w:szCs w:val="24"/>
        </w:rPr>
        <w:t xml:space="preserve"> </w:t>
      </w:r>
    </w:p>
    <w:p w14:paraId="2D157851" w14:textId="3A993A49" w:rsidR="00FE21B2" w:rsidRPr="00C17151" w:rsidRDefault="00494F44" w:rsidP="00926551">
      <w:pPr>
        <w:spacing w:line="276" w:lineRule="auto"/>
        <w:rPr>
          <w:szCs w:val="24"/>
        </w:rPr>
      </w:pPr>
      <w:r>
        <w:rPr>
          <w:szCs w:val="24"/>
        </w:rPr>
        <w:t>404-718-6612</w:t>
      </w:r>
    </w:p>
    <w:p w14:paraId="578D8555" w14:textId="77777777" w:rsidR="002A37BA" w:rsidRPr="00C17151" w:rsidRDefault="002A37BA" w:rsidP="00926551">
      <w:pPr>
        <w:autoSpaceDE w:val="0"/>
        <w:autoSpaceDN w:val="0"/>
        <w:adjustRightInd w:val="0"/>
        <w:spacing w:line="276" w:lineRule="auto"/>
        <w:ind w:firstLine="0"/>
        <w:rPr>
          <w:szCs w:val="24"/>
        </w:rPr>
      </w:pPr>
    </w:p>
    <w:p w14:paraId="6B410576" w14:textId="77777777" w:rsidR="002A37BA" w:rsidRPr="00C17151" w:rsidRDefault="002A37BA" w:rsidP="00926551">
      <w:pPr>
        <w:autoSpaceDE w:val="0"/>
        <w:autoSpaceDN w:val="0"/>
        <w:adjustRightInd w:val="0"/>
        <w:spacing w:line="276" w:lineRule="auto"/>
        <w:rPr>
          <w:szCs w:val="24"/>
        </w:rPr>
      </w:pPr>
      <w:r w:rsidRPr="00C17151">
        <w:rPr>
          <w:szCs w:val="24"/>
        </w:rPr>
        <w:t>Epidemiology and Surveillance Team</w:t>
      </w:r>
    </w:p>
    <w:p w14:paraId="387B7C2D" w14:textId="77777777" w:rsidR="002A37BA" w:rsidRPr="00C17151" w:rsidRDefault="002A37BA" w:rsidP="00926551">
      <w:pPr>
        <w:autoSpaceDE w:val="0"/>
        <w:autoSpaceDN w:val="0"/>
        <w:adjustRightInd w:val="0"/>
        <w:spacing w:line="276" w:lineRule="auto"/>
        <w:rPr>
          <w:szCs w:val="24"/>
        </w:rPr>
      </w:pPr>
      <w:r w:rsidRPr="00C17151">
        <w:rPr>
          <w:szCs w:val="24"/>
        </w:rPr>
        <w:t>Division for Heart Disease and Stroke Prevention</w:t>
      </w:r>
    </w:p>
    <w:p w14:paraId="74578B02" w14:textId="77777777" w:rsidR="002A37BA" w:rsidRPr="00C17151" w:rsidRDefault="002A37BA" w:rsidP="00926551">
      <w:pPr>
        <w:autoSpaceDE w:val="0"/>
        <w:autoSpaceDN w:val="0"/>
        <w:adjustRightInd w:val="0"/>
        <w:spacing w:line="276" w:lineRule="auto"/>
        <w:rPr>
          <w:szCs w:val="24"/>
        </w:rPr>
      </w:pPr>
      <w:r w:rsidRPr="00C17151">
        <w:rPr>
          <w:szCs w:val="24"/>
        </w:rPr>
        <w:t>Centers for Disease Control and Prevention</w:t>
      </w:r>
    </w:p>
    <w:p w14:paraId="5D7CC290" w14:textId="77777777" w:rsidR="002A37BA" w:rsidRPr="00C17151" w:rsidRDefault="002A37BA" w:rsidP="00926551">
      <w:pPr>
        <w:autoSpaceDE w:val="0"/>
        <w:autoSpaceDN w:val="0"/>
        <w:adjustRightInd w:val="0"/>
        <w:spacing w:line="276" w:lineRule="auto"/>
        <w:rPr>
          <w:szCs w:val="24"/>
        </w:rPr>
      </w:pPr>
      <w:r w:rsidRPr="00C17151">
        <w:rPr>
          <w:szCs w:val="24"/>
        </w:rPr>
        <w:t>4770 Buford Hwy NE, MS F-77</w:t>
      </w:r>
    </w:p>
    <w:p w14:paraId="1640EB74" w14:textId="77777777" w:rsidR="002A37BA" w:rsidRPr="00C17151" w:rsidRDefault="002A37BA" w:rsidP="00926551">
      <w:pPr>
        <w:autoSpaceDE w:val="0"/>
        <w:autoSpaceDN w:val="0"/>
        <w:adjustRightInd w:val="0"/>
        <w:spacing w:line="276" w:lineRule="auto"/>
        <w:rPr>
          <w:szCs w:val="24"/>
        </w:rPr>
      </w:pPr>
      <w:r w:rsidRPr="00C17151">
        <w:rPr>
          <w:szCs w:val="24"/>
        </w:rPr>
        <w:t>Atlanta, GA 30341-3717</w:t>
      </w:r>
    </w:p>
    <w:p w14:paraId="53956C26" w14:textId="77777777" w:rsidR="002A37BA" w:rsidRPr="00C17151" w:rsidRDefault="002A37BA" w:rsidP="00926551">
      <w:pPr>
        <w:autoSpaceDE w:val="0"/>
        <w:autoSpaceDN w:val="0"/>
        <w:adjustRightInd w:val="0"/>
        <w:spacing w:line="276" w:lineRule="auto"/>
        <w:rPr>
          <w:szCs w:val="24"/>
        </w:rPr>
      </w:pPr>
      <w:r w:rsidRPr="00C17151">
        <w:rPr>
          <w:szCs w:val="24"/>
        </w:rPr>
        <w:t>770-488-8080 / 770-488-8334 Fax</w:t>
      </w:r>
    </w:p>
    <w:bookmarkEnd w:id="6"/>
    <w:p w14:paraId="2662D1B0" w14:textId="77777777" w:rsidR="002A37BA" w:rsidRPr="00C17151" w:rsidRDefault="002A37BA" w:rsidP="00926551">
      <w:pPr>
        <w:widowControl w:val="0"/>
        <w:tabs>
          <w:tab w:val="left" w:pos="1620"/>
        </w:tabs>
        <w:spacing w:after="120" w:line="276" w:lineRule="auto"/>
        <w:ind w:left="1620" w:hanging="1620"/>
        <w:rPr>
          <w:szCs w:val="24"/>
        </w:rPr>
      </w:pPr>
    </w:p>
    <w:p w14:paraId="38130549" w14:textId="77777777" w:rsidR="002A37BA" w:rsidRPr="00C17151" w:rsidRDefault="002A37BA" w:rsidP="00926551">
      <w:pPr>
        <w:spacing w:line="276" w:lineRule="auto"/>
        <w:rPr>
          <w:szCs w:val="24"/>
        </w:rPr>
      </w:pPr>
    </w:p>
    <w:p w14:paraId="4CBE8BC6" w14:textId="77777777" w:rsidR="002A37BA" w:rsidRPr="00C17151" w:rsidRDefault="002A37BA" w:rsidP="00926551">
      <w:pPr>
        <w:spacing w:line="276" w:lineRule="auto"/>
        <w:rPr>
          <w:szCs w:val="24"/>
        </w:rPr>
      </w:pPr>
    </w:p>
    <w:p w14:paraId="450504FE" w14:textId="77777777" w:rsidR="00DC57CC" w:rsidRPr="00C17151" w:rsidRDefault="00DC57CC" w:rsidP="00926551">
      <w:pPr>
        <w:spacing w:line="276" w:lineRule="auto"/>
        <w:rPr>
          <w:szCs w:val="24"/>
        </w:rPr>
      </w:pPr>
    </w:p>
    <w:sectPr w:rsidR="00DC57CC" w:rsidRPr="00C17151" w:rsidSect="002E24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3C72A" w14:textId="77777777" w:rsidR="007A08FC" w:rsidRDefault="007A08FC" w:rsidP="008B5D54">
      <w:pPr>
        <w:spacing w:line="240" w:lineRule="auto"/>
      </w:pPr>
      <w:r>
        <w:separator/>
      </w:r>
    </w:p>
  </w:endnote>
  <w:endnote w:type="continuationSeparator" w:id="0">
    <w:p w14:paraId="47E85076" w14:textId="77777777" w:rsidR="007A08FC" w:rsidRDefault="007A08FC" w:rsidP="008B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865089"/>
      <w:docPartObj>
        <w:docPartGallery w:val="Page Numbers (Bottom of Page)"/>
        <w:docPartUnique/>
      </w:docPartObj>
    </w:sdtPr>
    <w:sdtEndPr>
      <w:rPr>
        <w:noProof/>
      </w:rPr>
    </w:sdtEndPr>
    <w:sdtContent>
      <w:p w14:paraId="7982AA4B" w14:textId="756AB694" w:rsidR="00881422" w:rsidRDefault="00881422">
        <w:pPr>
          <w:pStyle w:val="Footer"/>
          <w:jc w:val="right"/>
        </w:pPr>
        <w:r>
          <w:fldChar w:fldCharType="begin"/>
        </w:r>
        <w:r>
          <w:instrText xml:space="preserve"> PAGE   \* MERGEFORMAT </w:instrText>
        </w:r>
        <w:r>
          <w:fldChar w:fldCharType="separate"/>
        </w:r>
        <w:r w:rsidR="00BF75A3">
          <w:rPr>
            <w:noProof/>
          </w:rPr>
          <w:t>1</w:t>
        </w:r>
        <w:r>
          <w:rPr>
            <w:noProof/>
          </w:rPr>
          <w:fldChar w:fldCharType="end"/>
        </w:r>
      </w:p>
    </w:sdtContent>
  </w:sdt>
  <w:p w14:paraId="39FF4CF9" w14:textId="77777777" w:rsidR="00881422" w:rsidRDefault="00881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04775" w14:textId="77777777" w:rsidR="007A08FC" w:rsidRDefault="007A08FC" w:rsidP="008B5D54">
      <w:pPr>
        <w:spacing w:line="240" w:lineRule="auto"/>
      </w:pPr>
      <w:r>
        <w:separator/>
      </w:r>
    </w:p>
  </w:footnote>
  <w:footnote w:type="continuationSeparator" w:id="0">
    <w:p w14:paraId="559A164D" w14:textId="77777777" w:rsidR="007A08FC" w:rsidRDefault="007A08FC" w:rsidP="008B5D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127"/>
    <w:multiLevelType w:val="hybridMultilevel"/>
    <w:tmpl w:val="3698F0AC"/>
    <w:lvl w:ilvl="0" w:tplc="9DD68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6D0D03"/>
    <w:multiLevelType w:val="hybridMultilevel"/>
    <w:tmpl w:val="31804A54"/>
    <w:lvl w:ilvl="0" w:tplc="5614C0DC">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BA"/>
    <w:rsid w:val="000370E6"/>
    <w:rsid w:val="00083CB0"/>
    <w:rsid w:val="000841A2"/>
    <w:rsid w:val="000A0BE6"/>
    <w:rsid w:val="000D0CD1"/>
    <w:rsid w:val="001061D5"/>
    <w:rsid w:val="00120D34"/>
    <w:rsid w:val="001655DB"/>
    <w:rsid w:val="001864EC"/>
    <w:rsid w:val="00200117"/>
    <w:rsid w:val="00290715"/>
    <w:rsid w:val="002A37BA"/>
    <w:rsid w:val="002E2413"/>
    <w:rsid w:val="002E3E23"/>
    <w:rsid w:val="002F65E2"/>
    <w:rsid w:val="00386E54"/>
    <w:rsid w:val="003B644F"/>
    <w:rsid w:val="003C32B5"/>
    <w:rsid w:val="00404296"/>
    <w:rsid w:val="004176D3"/>
    <w:rsid w:val="00494F44"/>
    <w:rsid w:val="004C4ACF"/>
    <w:rsid w:val="00525287"/>
    <w:rsid w:val="0056642D"/>
    <w:rsid w:val="005B0C40"/>
    <w:rsid w:val="005E360A"/>
    <w:rsid w:val="006C597B"/>
    <w:rsid w:val="006C64D2"/>
    <w:rsid w:val="006C6578"/>
    <w:rsid w:val="0071515D"/>
    <w:rsid w:val="00751C47"/>
    <w:rsid w:val="007A08FC"/>
    <w:rsid w:val="007B1AED"/>
    <w:rsid w:val="007B4445"/>
    <w:rsid w:val="007F26CB"/>
    <w:rsid w:val="00881422"/>
    <w:rsid w:val="008A125C"/>
    <w:rsid w:val="008A30B5"/>
    <w:rsid w:val="008B5D54"/>
    <w:rsid w:val="008D34E5"/>
    <w:rsid w:val="008D4843"/>
    <w:rsid w:val="008F5089"/>
    <w:rsid w:val="00926551"/>
    <w:rsid w:val="00953602"/>
    <w:rsid w:val="00A45775"/>
    <w:rsid w:val="00A7261D"/>
    <w:rsid w:val="00A87093"/>
    <w:rsid w:val="00AA66C6"/>
    <w:rsid w:val="00AD1557"/>
    <w:rsid w:val="00AF042A"/>
    <w:rsid w:val="00B55735"/>
    <w:rsid w:val="00B608AC"/>
    <w:rsid w:val="00BC3716"/>
    <w:rsid w:val="00BE750F"/>
    <w:rsid w:val="00BF31F9"/>
    <w:rsid w:val="00BF75A3"/>
    <w:rsid w:val="00C1710E"/>
    <w:rsid w:val="00C17151"/>
    <w:rsid w:val="00C341D5"/>
    <w:rsid w:val="00D403FF"/>
    <w:rsid w:val="00D43E8C"/>
    <w:rsid w:val="00DB7F93"/>
    <w:rsid w:val="00DC57CC"/>
    <w:rsid w:val="00E26A43"/>
    <w:rsid w:val="00E355E5"/>
    <w:rsid w:val="00ED30D0"/>
    <w:rsid w:val="00F2078C"/>
    <w:rsid w:val="00F22F9E"/>
    <w:rsid w:val="00F40861"/>
    <w:rsid w:val="00FE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F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BA"/>
    <w:pPr>
      <w:spacing w:after="0" w:line="480" w:lineRule="auto"/>
      <w:ind w:firstLine="432"/>
    </w:pPr>
    <w:rPr>
      <w:rFonts w:ascii="Times New Roman" w:eastAsia="Times New Roman" w:hAnsi="Times New Roman" w:cs="Times New Roman"/>
      <w:sz w:val="24"/>
      <w:szCs w:val="20"/>
    </w:rPr>
  </w:style>
  <w:style w:type="paragraph" w:styleId="Heading2">
    <w:name w:val="heading 2"/>
    <w:basedOn w:val="Normal"/>
    <w:next w:val="NormalSS"/>
    <w:link w:val="Heading2Char"/>
    <w:qFormat/>
    <w:rsid w:val="002A37BA"/>
    <w:pPr>
      <w:keepNext/>
      <w:tabs>
        <w:tab w:val="left" w:pos="432"/>
      </w:tabs>
      <w:spacing w:after="120" w:line="240" w:lineRule="auto"/>
      <w:ind w:left="432" w:hanging="432"/>
      <w:outlineLvl w:val="1"/>
    </w:pPr>
    <w:rPr>
      <w:rFonts w:ascii="Arial Black" w:hAnsi="Arial Blac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2A37BA"/>
    <w:rPr>
      <w:sz w:val="16"/>
      <w:szCs w:val="16"/>
    </w:rPr>
  </w:style>
  <w:style w:type="paragraph" w:styleId="CommentText">
    <w:name w:val="annotation text"/>
    <w:basedOn w:val="Normal"/>
    <w:link w:val="CommentTextChar"/>
    <w:uiPriority w:val="99"/>
    <w:unhideWhenUsed/>
    <w:rsid w:val="002A37BA"/>
    <w:pPr>
      <w:spacing w:line="240" w:lineRule="auto"/>
    </w:pPr>
    <w:rPr>
      <w:sz w:val="20"/>
    </w:rPr>
  </w:style>
  <w:style w:type="character" w:customStyle="1" w:styleId="CommentTextChar">
    <w:name w:val="Comment Text Char"/>
    <w:basedOn w:val="DefaultParagraphFont"/>
    <w:link w:val="CommentText"/>
    <w:uiPriority w:val="99"/>
    <w:rsid w:val="002A37BA"/>
    <w:rPr>
      <w:rFonts w:ascii="Times New Roman" w:eastAsia="Times New Roman" w:hAnsi="Times New Roman" w:cs="Times New Roman"/>
      <w:sz w:val="20"/>
      <w:szCs w:val="20"/>
    </w:rPr>
  </w:style>
  <w:style w:type="character" w:styleId="Hyperlink">
    <w:name w:val="Hyperlink"/>
    <w:basedOn w:val="DefaultParagraphFont"/>
    <w:uiPriority w:val="99"/>
    <w:rsid w:val="002A37BA"/>
    <w:rPr>
      <w:color w:val="0000FF" w:themeColor="hyperlink"/>
      <w:u w:val="single"/>
    </w:rPr>
  </w:style>
  <w:style w:type="paragraph" w:styleId="BalloonText">
    <w:name w:val="Balloon Text"/>
    <w:basedOn w:val="Normal"/>
    <w:link w:val="BalloonTextChar"/>
    <w:uiPriority w:val="99"/>
    <w:semiHidden/>
    <w:unhideWhenUsed/>
    <w:rsid w:val="002A37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BA"/>
    <w:rPr>
      <w:rFonts w:ascii="Segoe UI" w:eastAsia="Times New Roman" w:hAnsi="Segoe UI" w:cs="Segoe UI"/>
      <w:sz w:val="18"/>
      <w:szCs w:val="18"/>
    </w:rPr>
  </w:style>
  <w:style w:type="paragraph" w:styleId="ListParagraph">
    <w:name w:val="List Paragraph"/>
    <w:basedOn w:val="Normal"/>
    <w:uiPriority w:val="34"/>
    <w:qFormat/>
    <w:rsid w:val="002A37BA"/>
    <w:pPr>
      <w:spacing w:after="200" w:line="276" w:lineRule="auto"/>
      <w:ind w:left="720" w:firstLine="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2A37BA"/>
    <w:rPr>
      <w:rFonts w:ascii="Arial Black" w:eastAsia="Times New Roman" w:hAnsi="Arial Black" w:cs="Times New Roman"/>
      <w:szCs w:val="20"/>
    </w:rPr>
  </w:style>
  <w:style w:type="paragraph" w:customStyle="1" w:styleId="NormalSS">
    <w:name w:val="NormalSS"/>
    <w:basedOn w:val="Normal"/>
    <w:link w:val="NormalSSChar"/>
    <w:qFormat/>
    <w:rsid w:val="002A37BA"/>
    <w:pPr>
      <w:spacing w:after="240" w:line="240" w:lineRule="auto"/>
    </w:pPr>
  </w:style>
  <w:style w:type="character" w:customStyle="1" w:styleId="NormalSSChar">
    <w:name w:val="NormalSS Char"/>
    <w:basedOn w:val="DefaultParagraphFont"/>
    <w:link w:val="NormalSS"/>
    <w:rsid w:val="002A37BA"/>
    <w:rPr>
      <w:rFonts w:ascii="Times New Roman" w:eastAsia="Times New Roman" w:hAnsi="Times New Roman" w:cs="Times New Roman"/>
      <w:sz w:val="24"/>
      <w:szCs w:val="20"/>
    </w:rPr>
  </w:style>
  <w:style w:type="table" w:styleId="TableGrid">
    <w:name w:val="Table Grid"/>
    <w:basedOn w:val="TableNormal"/>
    <w:uiPriority w:val="59"/>
    <w:rsid w:val="005E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710E"/>
    <w:rPr>
      <w:b/>
      <w:bCs/>
    </w:rPr>
  </w:style>
  <w:style w:type="character" w:customStyle="1" w:styleId="CommentSubjectChar">
    <w:name w:val="Comment Subject Char"/>
    <w:basedOn w:val="CommentTextChar"/>
    <w:link w:val="CommentSubject"/>
    <w:uiPriority w:val="99"/>
    <w:semiHidden/>
    <w:rsid w:val="00C1710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BA"/>
    <w:pPr>
      <w:spacing w:after="0" w:line="480" w:lineRule="auto"/>
      <w:ind w:firstLine="432"/>
    </w:pPr>
    <w:rPr>
      <w:rFonts w:ascii="Times New Roman" w:eastAsia="Times New Roman" w:hAnsi="Times New Roman" w:cs="Times New Roman"/>
      <w:sz w:val="24"/>
      <w:szCs w:val="20"/>
    </w:rPr>
  </w:style>
  <w:style w:type="paragraph" w:styleId="Heading2">
    <w:name w:val="heading 2"/>
    <w:basedOn w:val="Normal"/>
    <w:next w:val="NormalSS"/>
    <w:link w:val="Heading2Char"/>
    <w:qFormat/>
    <w:rsid w:val="002A37BA"/>
    <w:pPr>
      <w:keepNext/>
      <w:tabs>
        <w:tab w:val="left" w:pos="432"/>
      </w:tabs>
      <w:spacing w:after="120" w:line="240" w:lineRule="auto"/>
      <w:ind w:left="432" w:hanging="432"/>
      <w:outlineLvl w:val="1"/>
    </w:pPr>
    <w:rPr>
      <w:rFonts w:ascii="Arial Black" w:hAnsi="Arial Blac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2A37BA"/>
    <w:rPr>
      <w:sz w:val="16"/>
      <w:szCs w:val="16"/>
    </w:rPr>
  </w:style>
  <w:style w:type="paragraph" w:styleId="CommentText">
    <w:name w:val="annotation text"/>
    <w:basedOn w:val="Normal"/>
    <w:link w:val="CommentTextChar"/>
    <w:uiPriority w:val="99"/>
    <w:unhideWhenUsed/>
    <w:rsid w:val="002A37BA"/>
    <w:pPr>
      <w:spacing w:line="240" w:lineRule="auto"/>
    </w:pPr>
    <w:rPr>
      <w:sz w:val="20"/>
    </w:rPr>
  </w:style>
  <w:style w:type="character" w:customStyle="1" w:styleId="CommentTextChar">
    <w:name w:val="Comment Text Char"/>
    <w:basedOn w:val="DefaultParagraphFont"/>
    <w:link w:val="CommentText"/>
    <w:uiPriority w:val="99"/>
    <w:rsid w:val="002A37BA"/>
    <w:rPr>
      <w:rFonts w:ascii="Times New Roman" w:eastAsia="Times New Roman" w:hAnsi="Times New Roman" w:cs="Times New Roman"/>
      <w:sz w:val="20"/>
      <w:szCs w:val="20"/>
    </w:rPr>
  </w:style>
  <w:style w:type="character" w:styleId="Hyperlink">
    <w:name w:val="Hyperlink"/>
    <w:basedOn w:val="DefaultParagraphFont"/>
    <w:uiPriority w:val="99"/>
    <w:rsid w:val="002A37BA"/>
    <w:rPr>
      <w:color w:val="0000FF" w:themeColor="hyperlink"/>
      <w:u w:val="single"/>
    </w:rPr>
  </w:style>
  <w:style w:type="paragraph" w:styleId="BalloonText">
    <w:name w:val="Balloon Text"/>
    <w:basedOn w:val="Normal"/>
    <w:link w:val="BalloonTextChar"/>
    <w:uiPriority w:val="99"/>
    <w:semiHidden/>
    <w:unhideWhenUsed/>
    <w:rsid w:val="002A37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BA"/>
    <w:rPr>
      <w:rFonts w:ascii="Segoe UI" w:eastAsia="Times New Roman" w:hAnsi="Segoe UI" w:cs="Segoe UI"/>
      <w:sz w:val="18"/>
      <w:szCs w:val="18"/>
    </w:rPr>
  </w:style>
  <w:style w:type="paragraph" w:styleId="ListParagraph">
    <w:name w:val="List Paragraph"/>
    <w:basedOn w:val="Normal"/>
    <w:uiPriority w:val="34"/>
    <w:qFormat/>
    <w:rsid w:val="002A37BA"/>
    <w:pPr>
      <w:spacing w:after="200" w:line="276" w:lineRule="auto"/>
      <w:ind w:left="720" w:firstLine="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2A37BA"/>
    <w:rPr>
      <w:rFonts w:ascii="Arial Black" w:eastAsia="Times New Roman" w:hAnsi="Arial Black" w:cs="Times New Roman"/>
      <w:szCs w:val="20"/>
    </w:rPr>
  </w:style>
  <w:style w:type="paragraph" w:customStyle="1" w:styleId="NormalSS">
    <w:name w:val="NormalSS"/>
    <w:basedOn w:val="Normal"/>
    <w:link w:val="NormalSSChar"/>
    <w:qFormat/>
    <w:rsid w:val="002A37BA"/>
    <w:pPr>
      <w:spacing w:after="240" w:line="240" w:lineRule="auto"/>
    </w:pPr>
  </w:style>
  <w:style w:type="character" w:customStyle="1" w:styleId="NormalSSChar">
    <w:name w:val="NormalSS Char"/>
    <w:basedOn w:val="DefaultParagraphFont"/>
    <w:link w:val="NormalSS"/>
    <w:rsid w:val="002A37BA"/>
    <w:rPr>
      <w:rFonts w:ascii="Times New Roman" w:eastAsia="Times New Roman" w:hAnsi="Times New Roman" w:cs="Times New Roman"/>
      <w:sz w:val="24"/>
      <w:szCs w:val="20"/>
    </w:rPr>
  </w:style>
  <w:style w:type="table" w:styleId="TableGrid">
    <w:name w:val="Table Grid"/>
    <w:basedOn w:val="TableNormal"/>
    <w:uiPriority w:val="59"/>
    <w:rsid w:val="005E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710E"/>
    <w:rPr>
      <w:b/>
      <w:bCs/>
    </w:rPr>
  </w:style>
  <w:style w:type="character" w:customStyle="1" w:styleId="CommentSubjectChar">
    <w:name w:val="Comment Subject Char"/>
    <w:basedOn w:val="CommentTextChar"/>
    <w:link w:val="CommentSubject"/>
    <w:uiPriority w:val="99"/>
    <w:semiHidden/>
    <w:rsid w:val="00C171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vx4@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s0@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jq9@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JQ9@cdc.go" TargetMode="External"/><Relationship Id="rId14" Type="http://schemas.openxmlformats.org/officeDocument/2006/relationships/hyperlink" Target="mailto:yxq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1D75-812C-401E-A809-08BD0867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Tiffany (CDC/ONDIEH/NCCDPHP) (CTR)</dc:creator>
  <cp:keywords/>
  <dc:description/>
  <cp:lastModifiedBy>SYSTEM</cp:lastModifiedBy>
  <cp:revision>2</cp:revision>
  <cp:lastPrinted>2018-06-25T14:59:00Z</cp:lastPrinted>
  <dcterms:created xsi:type="dcterms:W3CDTF">2019-05-23T16:26:00Z</dcterms:created>
  <dcterms:modified xsi:type="dcterms:W3CDTF">2019-05-23T16:26:00Z</dcterms:modified>
</cp:coreProperties>
</file>