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rsidR="00E35DD1" w:rsidRDefault="000D1CA8" w:rsidP="00767C53">
      <w:pPr>
        <w:pStyle w:val="P1-StandPara"/>
        <w:tabs>
          <w:tab w:val="left" w:pos="720"/>
          <w:tab w:val="right" w:leader="dot" w:pos="9504"/>
        </w:tabs>
        <w:spacing w:before="120" w:after="120"/>
        <w:ind w:firstLine="0"/>
        <w:jc w:val="center"/>
        <w:rPr>
          <w:rFonts w:ascii="Calibri" w:hAnsi="Calibri"/>
          <w:szCs w:val="22"/>
        </w:rPr>
      </w:pPr>
      <w:r>
        <w:rPr>
          <w:rFonts w:ascii="Calibri" w:hAnsi="Calibri"/>
          <w:szCs w:val="22"/>
        </w:rPr>
        <w:t>Generic Clearance for the Collection of Qualitative Feedback on Agency Service Delivery (NCI)</w:t>
      </w:r>
    </w:p>
    <w:p w:rsidR="000D1CA8" w:rsidRPr="008942E9" w:rsidRDefault="000D1CA8" w:rsidP="00767C53">
      <w:pPr>
        <w:pStyle w:val="P1-StandPara"/>
        <w:tabs>
          <w:tab w:val="left" w:pos="720"/>
          <w:tab w:val="right" w:leader="dot" w:pos="9504"/>
        </w:tabs>
        <w:spacing w:before="120" w:after="120"/>
        <w:ind w:firstLine="0"/>
        <w:jc w:val="center"/>
        <w:rPr>
          <w:rFonts w:ascii="Calibri" w:hAnsi="Calibri"/>
          <w:szCs w:val="22"/>
        </w:rPr>
      </w:pPr>
      <w:r>
        <w:rPr>
          <w:rFonts w:ascii="Calibri" w:hAnsi="Calibri"/>
          <w:szCs w:val="22"/>
        </w:rPr>
        <w:t xml:space="preserve">OMB#:0925-0642  Expiration Date: 8/31/2017 </w:t>
      </w:r>
    </w:p>
    <w:p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rsidR="00024899"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Date</w:t>
      </w:r>
      <w:r w:rsidR="00BE76A7" w:rsidRPr="008942E9">
        <w:rPr>
          <w:rFonts w:ascii="Calibri" w:hAnsi="Calibri"/>
          <w:szCs w:val="22"/>
        </w:rPr>
        <w:t xml:space="preserve">: </w:t>
      </w:r>
      <w:r w:rsidR="000A16A1">
        <w:rPr>
          <w:rFonts w:ascii="Calibri" w:hAnsi="Calibri"/>
          <w:szCs w:val="22"/>
        </w:rPr>
        <w:t>February,</w:t>
      </w:r>
      <w:r w:rsidR="00AA46D7">
        <w:rPr>
          <w:rFonts w:ascii="Calibri" w:hAnsi="Calibri"/>
          <w:szCs w:val="22"/>
        </w:rPr>
        <w:t xml:space="preserve"> </w:t>
      </w:r>
      <w:r w:rsidR="000A16A1">
        <w:rPr>
          <w:rFonts w:ascii="Calibri" w:hAnsi="Calibri"/>
          <w:szCs w:val="22"/>
        </w:rPr>
        <w:t>2017</w:t>
      </w:r>
    </w:p>
    <w:p w:rsidR="00E35DD1" w:rsidRPr="008942E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t xml:space="preserve">                        </w:t>
      </w:r>
    </w:p>
    <w:p w:rsidR="00E35DD1" w:rsidRPr="008942E9" w:rsidRDefault="00E35DD1" w:rsidP="0030270C">
      <w:pPr>
        <w:pStyle w:val="P1-StandPara"/>
        <w:tabs>
          <w:tab w:val="left" w:pos="720"/>
          <w:tab w:val="right" w:leader="dot" w:pos="9504"/>
        </w:tabs>
        <w:spacing w:before="120" w:after="120"/>
        <w:ind w:firstLine="0"/>
        <w:rPr>
          <w:rFonts w:ascii="Calibri" w:hAnsi="Calibri"/>
          <w:szCs w:val="22"/>
        </w:rPr>
      </w:pPr>
    </w:p>
    <w:p w:rsidR="00E35DD1" w:rsidRPr="008942E9" w:rsidRDefault="00BE76A7"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0D1CA8">
        <w:rPr>
          <w:rFonts w:ascii="Calibri" w:hAnsi="Calibri"/>
          <w:szCs w:val="22"/>
        </w:rPr>
        <w:t xml:space="preserve"> Karla Bailey</w:t>
      </w:r>
    </w:p>
    <w:p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sidR="00554592">
        <w:rPr>
          <w:rFonts w:ascii="Calibri" w:hAnsi="Calibri"/>
          <w:szCs w:val="22"/>
        </w:rPr>
        <w:t xml:space="preserve"> </w:t>
      </w:r>
      <w:r w:rsidR="000D1CA8">
        <w:rPr>
          <w:rFonts w:ascii="Calibri" w:hAnsi="Calibri"/>
          <w:szCs w:val="22"/>
        </w:rPr>
        <w:t>9609 Medical Center Drive</w:t>
      </w:r>
    </w:p>
    <w:p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00554592">
        <w:rPr>
          <w:rFonts w:ascii="Calibri" w:hAnsi="Calibri"/>
          <w:szCs w:val="22"/>
        </w:rPr>
        <w:t xml:space="preserve">: </w:t>
      </w:r>
      <w:r w:rsidR="00554592" w:rsidRPr="00554592">
        <w:rPr>
          <w:rFonts w:ascii="Calibri" w:hAnsi="Calibri"/>
          <w:szCs w:val="22"/>
        </w:rPr>
        <w:t>(240) 276-5582</w:t>
      </w:r>
    </w:p>
    <w:p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0D1CA8">
        <w:rPr>
          <w:rFonts w:ascii="Calibri" w:hAnsi="Calibri"/>
          <w:szCs w:val="22"/>
        </w:rPr>
        <w:t xml:space="preserve"> karla.bailey@nih.gov</w:t>
      </w:r>
    </w:p>
    <w:p w:rsidR="006A45F9" w:rsidRPr="008942E9" w:rsidRDefault="006A45F9" w:rsidP="00BE76A7">
      <w:pPr>
        <w:pStyle w:val="P1-StandPara"/>
        <w:tabs>
          <w:tab w:val="left" w:pos="720"/>
          <w:tab w:val="right" w:leader="dot" w:pos="9504"/>
        </w:tabs>
        <w:spacing w:before="120" w:line="240" w:lineRule="auto"/>
        <w:ind w:firstLine="0"/>
        <w:rPr>
          <w:rFonts w:ascii="Calibri" w:hAnsi="Calibri"/>
          <w:szCs w:val="22"/>
        </w:rPr>
      </w:pPr>
    </w:p>
    <w:p w:rsidR="00BE76A7" w:rsidRPr="008942E9" w:rsidRDefault="00BE76A7"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30270C" w:rsidRDefault="00BE76A7" w:rsidP="000D1CA8">
      <w:pPr>
        <w:numPr>
          <w:ilvl w:val="0"/>
          <w:numId w:val="11"/>
        </w:numPr>
        <w:spacing w:after="0" w:line="360" w:lineRule="auto"/>
      </w:pPr>
      <w:r>
        <w:t xml:space="preserve">New </w:t>
      </w:r>
    </w:p>
    <w:p w:rsidR="006A45F9" w:rsidRDefault="000D1CA8" w:rsidP="000D1CA8">
      <w:pPr>
        <w:spacing w:after="0"/>
        <w:ind w:left="360"/>
      </w:pPr>
      <w:r w:rsidRPr="000D1CA8">
        <w:rPr>
          <w:b/>
          <w:sz w:val="28"/>
        </w:rPr>
        <w:t>X</w:t>
      </w:r>
      <w:r>
        <w:t xml:space="preserve">    </w:t>
      </w:r>
      <w:r w:rsidR="00BE76A7">
        <w:t>Revision</w:t>
      </w:r>
      <w:r w:rsidR="006A45F9">
        <w:tab/>
      </w:r>
      <w:r w:rsidR="006A45F9">
        <w:tab/>
      </w:r>
      <w:r w:rsidR="006A45F9">
        <w:tab/>
      </w:r>
    </w:p>
    <w:p w:rsidR="006A45F9" w:rsidRDefault="006A45F9" w:rsidP="006A45F9">
      <w:pPr>
        <w:numPr>
          <w:ilvl w:val="0"/>
          <w:numId w:val="11"/>
        </w:numPr>
        <w:spacing w:after="0" w:line="240" w:lineRule="auto"/>
      </w:pPr>
      <w:r>
        <w:t>Reinstatement with Change</w:t>
      </w:r>
    </w:p>
    <w:p w:rsidR="00BE76A7" w:rsidRDefault="00BE76A7" w:rsidP="00BE76A7">
      <w:pPr>
        <w:numPr>
          <w:ilvl w:val="0"/>
          <w:numId w:val="11"/>
        </w:numPr>
        <w:spacing w:after="0" w:line="240" w:lineRule="auto"/>
      </w:pPr>
      <w:r>
        <w:t>Reinstatement with</w:t>
      </w:r>
      <w:r w:rsidR="006A45F9">
        <w:t>out</w:t>
      </w:r>
      <w:r>
        <w:t xml:space="preserve"> Change</w:t>
      </w:r>
    </w:p>
    <w:p w:rsidR="006A45F9" w:rsidRDefault="006A45F9" w:rsidP="006A45F9">
      <w:pPr>
        <w:numPr>
          <w:ilvl w:val="0"/>
          <w:numId w:val="11"/>
        </w:numPr>
        <w:spacing w:after="0" w:line="240" w:lineRule="auto"/>
      </w:pPr>
      <w:r>
        <w:t>Extension</w:t>
      </w:r>
    </w:p>
    <w:p w:rsidR="006A45F9" w:rsidRDefault="006A45F9" w:rsidP="006A45F9">
      <w:pPr>
        <w:numPr>
          <w:ilvl w:val="0"/>
          <w:numId w:val="11"/>
        </w:numPr>
        <w:spacing w:after="0" w:line="240" w:lineRule="auto"/>
      </w:pPr>
      <w:r>
        <w:t>Emergency</w:t>
      </w:r>
    </w:p>
    <w:p w:rsidR="006A45F9" w:rsidRDefault="006A45F9" w:rsidP="006A45F9">
      <w:pPr>
        <w:numPr>
          <w:ilvl w:val="0"/>
          <w:numId w:val="11"/>
        </w:numPr>
        <w:spacing w:after="0" w:line="240" w:lineRule="auto"/>
      </w:pPr>
      <w:r>
        <w:t>Existing</w:t>
      </w:r>
    </w:p>
    <w:p w:rsidR="00BE76A7" w:rsidRPr="008942E9" w:rsidRDefault="00BE76A7" w:rsidP="00BE76A7">
      <w:pPr>
        <w:pStyle w:val="P1-StandPara"/>
        <w:tabs>
          <w:tab w:val="left" w:pos="720"/>
          <w:tab w:val="right" w:leader="dot" w:pos="9504"/>
        </w:tabs>
        <w:spacing w:before="120" w:line="240" w:lineRule="auto"/>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b/>
          <w:szCs w:val="22"/>
          <w:u w:val="single"/>
        </w:rPr>
      </w:pPr>
    </w:p>
    <w:p w:rsidR="00E35DD1" w:rsidRPr="008942E9" w:rsidRDefault="00E35DD1" w:rsidP="00E35DD1">
      <w:pPr>
        <w:pStyle w:val="P1-StandPara"/>
        <w:tabs>
          <w:tab w:val="left" w:pos="720"/>
          <w:tab w:val="right" w:leader="dot" w:pos="9504"/>
        </w:tabs>
        <w:spacing w:before="120" w:after="120"/>
        <w:rPr>
          <w:rFonts w:ascii="Calibri" w:hAnsi="Calibri"/>
          <w:b/>
          <w:szCs w:val="22"/>
          <w:u w:val="single"/>
        </w:rPr>
      </w:pPr>
      <w:r w:rsidRPr="008942E9">
        <w:rPr>
          <w:rFonts w:ascii="Calibri" w:hAnsi="Calibri"/>
          <w:b/>
          <w:szCs w:val="22"/>
          <w:u w:val="single"/>
        </w:rPr>
        <w:lastRenderedPageBreak/>
        <w:t>Table of contents</w:t>
      </w:r>
    </w:p>
    <w:p w:rsidR="00E35DD1" w:rsidRPr="008942E9" w:rsidRDefault="00E35DD1" w:rsidP="00E35DD1">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COLLECTION</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p>
    <w:p w:rsidR="00E35DD1" w:rsidRPr="008942E9" w:rsidRDefault="00E35DD1" w:rsidP="00E35DD1">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p>
    <w:p w:rsidR="00E35DD1"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Pr="00DC6865" w:rsidRDefault="000D1CA8" w:rsidP="000D1CA8">
      <w:pPr>
        <w:autoSpaceDE w:val="0"/>
        <w:autoSpaceDN w:val="0"/>
        <w:adjustRightInd w:val="0"/>
        <w:spacing w:after="0" w:line="240" w:lineRule="auto"/>
        <w:jc w:val="center"/>
        <w:rPr>
          <w:rFonts w:ascii="Times New Roman" w:eastAsia="Times New Roman" w:hAnsi="Times New Roman"/>
          <w:b/>
          <w:bCs/>
          <w:sz w:val="24"/>
          <w:szCs w:val="24"/>
        </w:rPr>
      </w:pPr>
      <w:r w:rsidRPr="00DC6865">
        <w:rPr>
          <w:rFonts w:ascii="Times New Roman" w:eastAsia="Times New Roman" w:hAnsi="Times New Roman"/>
          <w:b/>
          <w:bCs/>
          <w:sz w:val="24"/>
          <w:szCs w:val="24"/>
        </w:rPr>
        <w:lastRenderedPageBreak/>
        <w:t>Attachments</w:t>
      </w:r>
    </w:p>
    <w:p w:rsidR="000D1CA8" w:rsidRPr="00DC6865" w:rsidRDefault="000D1CA8" w:rsidP="000D1CA8">
      <w:pPr>
        <w:autoSpaceDE w:val="0"/>
        <w:autoSpaceDN w:val="0"/>
        <w:adjustRightInd w:val="0"/>
        <w:spacing w:after="0" w:line="240" w:lineRule="auto"/>
        <w:jc w:val="center"/>
        <w:rPr>
          <w:rFonts w:ascii="Times New Roman" w:eastAsia="Times New Roman" w:hAnsi="Times New Roman"/>
          <w:sz w:val="24"/>
          <w:szCs w:val="24"/>
        </w:rPr>
      </w:pPr>
    </w:p>
    <w:p w:rsidR="000D1CA8" w:rsidRPr="00DC6865" w:rsidRDefault="000D1CA8" w:rsidP="000D1CA8">
      <w:pPr>
        <w:autoSpaceDE w:val="0"/>
        <w:autoSpaceDN w:val="0"/>
        <w:adjustRightInd w:val="0"/>
        <w:spacing w:after="0" w:line="240" w:lineRule="auto"/>
        <w:jc w:val="center"/>
        <w:rPr>
          <w:rFonts w:ascii="Times New Roman" w:eastAsia="Times New Roman" w:hAnsi="Times New Roman"/>
          <w:sz w:val="24"/>
          <w:szCs w:val="24"/>
        </w:rPr>
      </w:pPr>
    </w:p>
    <w:p w:rsidR="000D1CA8" w:rsidRPr="00DC6865" w:rsidRDefault="000D1CA8" w:rsidP="000D1CA8">
      <w:pPr>
        <w:autoSpaceDE w:val="0"/>
        <w:autoSpaceDN w:val="0"/>
        <w:adjustRightInd w:val="0"/>
        <w:spacing w:after="0" w:line="240" w:lineRule="auto"/>
        <w:rPr>
          <w:rFonts w:ascii="Times New Roman" w:eastAsia="Times New Roman" w:hAnsi="Times New Roman"/>
          <w:b/>
          <w:bCs/>
          <w:sz w:val="24"/>
          <w:szCs w:val="24"/>
        </w:rPr>
      </w:pPr>
    </w:p>
    <w:p w:rsidR="000D1CA8" w:rsidRDefault="000D1CA8" w:rsidP="000D1CA8">
      <w:pPr>
        <w:widowControl w:val="0"/>
        <w:numPr>
          <w:ilvl w:val="0"/>
          <w:numId w:val="12"/>
        </w:numPr>
        <w:autoSpaceDE w:val="0"/>
        <w:autoSpaceDN w:val="0"/>
        <w:adjustRightInd w:val="0"/>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Sub-Study Template Submission Form</w:t>
      </w:r>
    </w:p>
    <w:p w:rsidR="000D1CA8" w:rsidRPr="00DC6865" w:rsidRDefault="000D1CA8" w:rsidP="000D1CA8">
      <w:pPr>
        <w:widowControl w:val="0"/>
        <w:autoSpaceDE w:val="0"/>
        <w:autoSpaceDN w:val="0"/>
        <w:adjustRightInd w:val="0"/>
        <w:spacing w:after="0" w:line="240" w:lineRule="auto"/>
        <w:ind w:left="720"/>
        <w:rPr>
          <w:rFonts w:ascii="Times New Roman" w:eastAsia="Times New Roman" w:hAnsi="Times New Roman"/>
          <w:bCs/>
          <w:sz w:val="24"/>
          <w:szCs w:val="24"/>
        </w:rPr>
      </w:pPr>
    </w:p>
    <w:p w:rsidR="000D1CA8" w:rsidRPr="00926664" w:rsidRDefault="000D1CA8" w:rsidP="000D1CA8">
      <w:pPr>
        <w:pStyle w:val="ListParagraph"/>
        <w:numPr>
          <w:ilvl w:val="0"/>
          <w:numId w:val="12"/>
        </w:numPr>
        <w:autoSpaceDE w:val="0"/>
        <w:autoSpaceDN w:val="0"/>
        <w:adjustRightInd w:val="0"/>
        <w:spacing w:after="0" w:line="240" w:lineRule="auto"/>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List of Sub-S</w:t>
      </w:r>
      <w:r w:rsidRPr="00926664">
        <w:rPr>
          <w:rFonts w:ascii="Times New Roman" w:eastAsia="Times New Roman" w:hAnsi="Times New Roman"/>
          <w:bCs/>
          <w:sz w:val="24"/>
          <w:szCs w:val="24"/>
          <w:highlight w:val="yellow"/>
        </w:rPr>
        <w:t>tudy Approvals</w:t>
      </w:r>
    </w:p>
    <w:p w:rsidR="000D1CA8" w:rsidRPr="00DC6865" w:rsidRDefault="000D1CA8" w:rsidP="000D1CA8">
      <w:pPr>
        <w:pStyle w:val="ListParagraph"/>
        <w:autoSpaceDE w:val="0"/>
        <w:autoSpaceDN w:val="0"/>
        <w:adjustRightInd w:val="0"/>
        <w:spacing w:after="0" w:line="240" w:lineRule="auto"/>
        <w:rPr>
          <w:rFonts w:ascii="Times New Roman" w:eastAsia="Times New Roman" w:hAnsi="Times New Roman"/>
          <w:bCs/>
          <w:sz w:val="24"/>
          <w:szCs w:val="24"/>
        </w:rPr>
      </w:pPr>
    </w:p>
    <w:p w:rsidR="000D1CA8" w:rsidRDefault="000D1CA8" w:rsidP="000D1CA8">
      <w:pPr>
        <w:pStyle w:val="P1-StandPara"/>
        <w:tabs>
          <w:tab w:val="left" w:pos="720"/>
          <w:tab w:val="right" w:leader="dot" w:pos="9504"/>
        </w:tabs>
        <w:spacing w:before="120" w:after="120"/>
        <w:ind w:firstLine="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Default="000D1CA8" w:rsidP="00E35DD1">
      <w:pPr>
        <w:pStyle w:val="P1-StandPara"/>
        <w:tabs>
          <w:tab w:val="left" w:pos="720"/>
          <w:tab w:val="right" w:leader="dot" w:pos="9504"/>
        </w:tabs>
        <w:spacing w:before="120" w:after="120"/>
        <w:rPr>
          <w:rFonts w:ascii="Calibri" w:hAnsi="Calibri"/>
          <w:szCs w:val="22"/>
        </w:rPr>
      </w:pPr>
    </w:p>
    <w:p w:rsidR="000D1CA8" w:rsidRPr="008942E9" w:rsidRDefault="000D1CA8" w:rsidP="00E35DD1">
      <w:pPr>
        <w:pStyle w:val="P1-StandPara"/>
        <w:tabs>
          <w:tab w:val="left" w:pos="720"/>
          <w:tab w:val="right" w:leader="dot" w:pos="9504"/>
        </w:tabs>
        <w:spacing w:before="120" w:after="120"/>
        <w:rPr>
          <w:rFonts w:ascii="Calibri" w:hAnsi="Calibri"/>
          <w:szCs w:val="22"/>
        </w:rPr>
      </w:pPr>
    </w:p>
    <w:p w:rsidR="00767C53" w:rsidRPr="008942E9" w:rsidRDefault="00767C53" w:rsidP="00E35DD1">
      <w:pPr>
        <w:pStyle w:val="P1-StandPara"/>
        <w:tabs>
          <w:tab w:val="left" w:pos="720"/>
          <w:tab w:val="right" w:leader="dot" w:pos="9504"/>
        </w:tabs>
        <w:spacing w:before="120" w:after="120"/>
        <w:rPr>
          <w:rFonts w:ascii="Calibri" w:hAnsi="Calibri"/>
          <w:szCs w:val="22"/>
        </w:rPr>
      </w:pPr>
    </w:p>
    <w:p w:rsidR="006A45F9" w:rsidRPr="008942E9" w:rsidRDefault="006A45F9"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lastRenderedPageBreak/>
        <w:t xml:space="preserve">A. </w:t>
      </w:r>
      <w:r w:rsidR="00BE76A7" w:rsidRPr="008942E9">
        <w:rPr>
          <w:rFonts w:ascii="Calibri" w:hAnsi="Calibri"/>
          <w:b/>
          <w:szCs w:val="22"/>
        </w:rPr>
        <w:t>Justification</w:t>
      </w:r>
    </w:p>
    <w:p w:rsidR="000D1CA8" w:rsidRDefault="000D1CA8" w:rsidP="000D1CA8">
      <w:pPr>
        <w:pStyle w:val="P1-StandPara"/>
        <w:tabs>
          <w:tab w:val="left" w:pos="720"/>
          <w:tab w:val="right" w:leader="dot" w:pos="9504"/>
        </w:tabs>
        <w:spacing w:before="120" w:after="120" w:line="360" w:lineRule="auto"/>
        <w:ind w:firstLine="0"/>
      </w:pPr>
      <w:r w:rsidRPr="00DE2CBC">
        <w:rPr>
          <w:highlight w:val="yellow"/>
        </w:rPr>
        <w:t>This is a revision seeking approval for 3 years</w:t>
      </w:r>
      <w:r>
        <w:t>.  This</w:t>
      </w:r>
      <w:r w:rsidRPr="00926664">
        <w:t xml:space="preserve"> information collection activity </w:t>
      </w:r>
      <w:r>
        <w:t>has</w:t>
      </w:r>
      <w:r w:rsidRPr="00926664">
        <w:t xml:space="preserve"> garner</w:t>
      </w:r>
      <w:r>
        <w:t>ed</w:t>
      </w:r>
      <w:r w:rsidRPr="00926664">
        <w:t xml:space="preserve"> qualitative customer and stakeholder feedback in an efficient, timely manner, in accordance with the Administration’s commitment to improving serv</w:t>
      </w:r>
      <w:r>
        <w:t>ice delivery.  This generic has</w:t>
      </w:r>
      <w:r w:rsidRPr="00926664">
        <w:t xml:space="preserve"> provide</w:t>
      </w:r>
      <w:r>
        <w:t>d</w:t>
      </w:r>
      <w:r w:rsidRPr="00926664">
        <w:t xml:space="preserve"> information about the National Cancer Institute’s customer or stakeholder perceptions, experiences and expectations, provide an early warning of issues with service, or focus attention on areas where communication, training or changes in operations might improve delivery of products or services. It </w:t>
      </w:r>
      <w:r>
        <w:t>has</w:t>
      </w:r>
      <w:r w:rsidRPr="00926664">
        <w:t xml:space="preserve"> also allow</w:t>
      </w:r>
      <w:r>
        <w:t>ed</w:t>
      </w:r>
      <w:r w:rsidRPr="00926664">
        <w:t xml:space="preserve"> feedback to contribute directly to the improvement of program management.  Feedback collected u</w:t>
      </w:r>
      <w:r>
        <w:t>nder this generic clearance</w:t>
      </w:r>
      <w:r w:rsidRPr="00926664">
        <w:t xml:space="preserve"> provide</w:t>
      </w:r>
      <w:r>
        <w:t>s useful information but it does</w:t>
      </w:r>
      <w:r w:rsidRPr="00926664">
        <w:t xml:space="preserve"> not yield data that can be generalized to the overall population.</w:t>
      </w:r>
    </w:p>
    <w:p w:rsidR="000D1CA8" w:rsidRDefault="000D1CA8" w:rsidP="000D1CA8">
      <w:pPr>
        <w:pStyle w:val="P1-StandPara"/>
        <w:tabs>
          <w:tab w:val="left" w:pos="720"/>
          <w:tab w:val="right" w:leader="dot" w:pos="9504"/>
        </w:tabs>
        <w:spacing w:before="120" w:after="120" w:line="360" w:lineRule="auto"/>
        <w:ind w:firstLine="0"/>
      </w:pPr>
    </w:p>
    <w:p w:rsidR="000F3043" w:rsidRPr="008942E9" w:rsidRDefault="000F3043" w:rsidP="000D1CA8">
      <w:pPr>
        <w:pStyle w:val="P1-StandPara"/>
        <w:tabs>
          <w:tab w:val="left" w:pos="720"/>
          <w:tab w:val="right" w:leader="dot" w:pos="9504"/>
        </w:tabs>
        <w:spacing w:before="120" w:after="120" w:line="360" w:lineRule="auto"/>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rsidR="000D1CA8" w:rsidRPr="000D1CA8" w:rsidRDefault="000D1CA8" w:rsidP="00DE2CBC">
      <w:pPr>
        <w:spacing w:after="0" w:line="240" w:lineRule="auto"/>
        <w:rPr>
          <w:rFonts w:ascii="Times New Roman" w:eastAsia="Times New Roman" w:hAnsi="Times New Roman"/>
          <w:szCs w:val="20"/>
        </w:rPr>
      </w:pPr>
      <w:r w:rsidRPr="000D1CA8">
        <w:rPr>
          <w:rFonts w:ascii="Times New Roman" w:eastAsia="Times New Roman" w:hAnsi="Times New Roman"/>
          <w:szCs w:val="20"/>
        </w:rPr>
        <w:t>Executive Order 12862 directs Federal agencies to provide service to the public that matches or exceeds the best service available in the private sector. In order to work continuously to ensure that our programs are effective and meet our customers’ needs, Department of Health and Human Services (DHHS), National Institutes of Health (NIH), National Cancer Center (NCI),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D1CA8" w:rsidRPr="000D1CA8" w:rsidRDefault="000D1CA8" w:rsidP="00DE2CBC">
      <w:pPr>
        <w:spacing w:after="0" w:line="240" w:lineRule="auto"/>
        <w:rPr>
          <w:rFonts w:ascii="Times New Roman" w:eastAsia="Times New Roman" w:hAnsi="Times New Roman"/>
          <w:szCs w:val="20"/>
        </w:rPr>
      </w:pPr>
    </w:p>
    <w:p w:rsidR="000F3043" w:rsidRPr="000D1CA8" w:rsidRDefault="000D1CA8" w:rsidP="00DE2CBC">
      <w:pPr>
        <w:spacing w:line="240" w:lineRule="auto"/>
        <w:rPr>
          <w:rFonts w:ascii="Times New Roman" w:eastAsia="Times New Roman" w:hAnsi="Times New Roman"/>
          <w:szCs w:val="20"/>
        </w:rPr>
      </w:pPr>
      <w:r w:rsidRPr="000D1CA8">
        <w:rPr>
          <w:rFonts w:ascii="Times New Roman" w:eastAsia="Times New Roman" w:hAnsi="Times New Roman"/>
          <w:szCs w:val="20"/>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helps to ensure that users have an effective, efficient, and satisfying experience with the agency’s programs.  This feedback provides insights into customer or stakeholder perceptions, experiences and expectations, provide an early warning of issues with service, or focus attention on areas where communication, training or changes in operations might improve delivery of products or services.  These collections allow for ongoing, collaborative and actionable communications between the agency and its customers and stakeholders.  It also allows feedback to contribute directly to the improvement of program management. </w:t>
      </w:r>
    </w:p>
    <w:p w:rsidR="000F3043" w:rsidRPr="008942E9" w:rsidRDefault="000F3043" w:rsidP="000F3043">
      <w:pPr>
        <w:pStyle w:val="Heading2"/>
        <w:spacing w:after="0" w:line="480" w:lineRule="auto"/>
        <w:ind w:left="0" w:firstLine="0"/>
        <w:rPr>
          <w:rFonts w:ascii="Calibri" w:hAnsi="Calibri"/>
          <w:szCs w:val="22"/>
        </w:rPr>
      </w:pPr>
      <w:bookmarkStart w:id="0" w:name="_Toc443881743"/>
      <w:bookmarkStart w:id="1" w:name="_Toc451592232"/>
      <w:bookmarkStart w:id="2" w:name="_Toc5610273"/>
      <w:bookmarkStart w:id="3" w:name="_Toc99178779"/>
      <w:r w:rsidRPr="008942E9">
        <w:rPr>
          <w:rFonts w:ascii="Calibri" w:hAnsi="Calibri"/>
          <w:szCs w:val="22"/>
        </w:rPr>
        <w:t>A.2    Purpose and Use of the Information</w:t>
      </w:r>
      <w:bookmarkEnd w:id="0"/>
      <w:bookmarkEnd w:id="1"/>
      <w:bookmarkEnd w:id="2"/>
      <w:bookmarkEnd w:id="3"/>
      <w:r w:rsidRPr="008942E9">
        <w:rPr>
          <w:rFonts w:ascii="Calibri" w:hAnsi="Calibri"/>
          <w:szCs w:val="22"/>
        </w:rPr>
        <w:t xml:space="preserve"> Collection</w:t>
      </w:r>
    </w:p>
    <w:p w:rsidR="000D1CA8" w:rsidRPr="000D1CA8" w:rsidRDefault="000D1CA8" w:rsidP="000D1CA8">
      <w:pPr>
        <w:spacing w:after="0" w:line="240" w:lineRule="auto"/>
        <w:rPr>
          <w:rFonts w:ascii="Times New Roman" w:eastAsia="Times New Roman" w:hAnsi="Times New Roman"/>
          <w:szCs w:val="20"/>
        </w:rPr>
      </w:pPr>
      <w:r w:rsidRPr="000D1CA8">
        <w:rPr>
          <w:rFonts w:ascii="Times New Roman" w:eastAsia="Times New Roman" w:hAnsi="Times New Roman"/>
          <w:szCs w:val="20"/>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has collected, analyzed, and interpreted information gathered through this generic clearance to identify strengths and weaknesses of current services and make improvements in service delivery based on feedback.  The solicitation of feedback targets areas such as:  timeliness, appropriateness, accuracy of information, courtesy, efficiency of service delivery, and resolution of issues with service delivery.   Responses are assessed to plan and inform efforts to improve or maintain the quality of service offered to the public (see Attachment 1).  If this information is not collected, vital feedback from customers and stakeholders on the agency’s services will be unavailable.</w:t>
      </w:r>
    </w:p>
    <w:p w:rsidR="000D1CA8" w:rsidRPr="000D1CA8" w:rsidRDefault="000D1CA8" w:rsidP="000D1CA8">
      <w:pPr>
        <w:spacing w:after="0" w:line="240" w:lineRule="auto"/>
        <w:rPr>
          <w:rFonts w:ascii="Times New Roman" w:eastAsia="Times New Roman" w:hAnsi="Times New Roman"/>
          <w:szCs w:val="20"/>
        </w:rPr>
      </w:pPr>
    </w:p>
    <w:p w:rsidR="000D1CA8" w:rsidRPr="000D1CA8" w:rsidRDefault="000D1CA8" w:rsidP="000D1CA8">
      <w:pPr>
        <w:rPr>
          <w:rFonts w:ascii="Times New Roman" w:eastAsia="Times New Roman" w:hAnsi="Times New Roman"/>
          <w:szCs w:val="20"/>
        </w:rPr>
      </w:pPr>
      <w:r w:rsidRPr="000D1CA8">
        <w:rPr>
          <w:rFonts w:ascii="Times New Roman" w:eastAsia="Times New Roman" w:hAnsi="Times New Roman"/>
          <w:szCs w:val="20"/>
        </w:rPr>
        <w:t xml:space="preserve">The agency only submits a collection for approval under this generic clearance if it meets the following conditions:   </w:t>
      </w:r>
    </w:p>
    <w:p w:rsidR="000D1CA8" w:rsidRPr="000D1CA8" w:rsidRDefault="000D1CA8" w:rsidP="000D1CA8">
      <w:pPr>
        <w:pStyle w:val="ListParagraph"/>
        <w:numPr>
          <w:ilvl w:val="0"/>
          <w:numId w:val="14"/>
        </w:numPr>
        <w:spacing w:after="0" w:line="240" w:lineRule="auto"/>
        <w:rPr>
          <w:rFonts w:ascii="Times New Roman" w:eastAsia="Times New Roman" w:hAnsi="Times New Roman"/>
          <w:szCs w:val="20"/>
        </w:rPr>
      </w:pPr>
      <w:r w:rsidRPr="000D1CA8">
        <w:rPr>
          <w:rFonts w:ascii="Times New Roman" w:eastAsia="Times New Roman" w:hAnsi="Times New Roman"/>
          <w:szCs w:val="20"/>
        </w:rPr>
        <w:lastRenderedPageBreak/>
        <w:t>Information gathered will be used only internally for general service improvement and program management purposes and is not intended for release outside of the DHHS (if released, procedures outlined in Question 16 wi</w:t>
      </w:r>
      <w:r>
        <w:rPr>
          <w:rFonts w:ascii="Times New Roman" w:eastAsia="Times New Roman" w:hAnsi="Times New Roman"/>
          <w:szCs w:val="20"/>
        </w:rPr>
        <w:t>l</w:t>
      </w:r>
      <w:r w:rsidRPr="000D1CA8">
        <w:rPr>
          <w:rFonts w:ascii="Times New Roman" w:eastAsia="Times New Roman" w:hAnsi="Times New Roman"/>
          <w:szCs w:val="20"/>
        </w:rPr>
        <w:t>l be followed);</w:t>
      </w:r>
    </w:p>
    <w:p w:rsidR="000D1CA8" w:rsidRPr="000D1CA8" w:rsidRDefault="000D1CA8" w:rsidP="000D1CA8">
      <w:pPr>
        <w:pStyle w:val="ListParagraph"/>
        <w:numPr>
          <w:ilvl w:val="0"/>
          <w:numId w:val="16"/>
        </w:num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Information gathered will not be used for the purpose of substantially informing influential policy decisions </w:t>
      </w:r>
      <w:r w:rsidRPr="000D1CA8">
        <w:rPr>
          <w:rFonts w:ascii="Times New Roman" w:eastAsia="Times New Roman" w:hAnsi="Times New Roman"/>
          <w:szCs w:val="20"/>
        </w:rPr>
        <w:footnoteReference w:id="1"/>
      </w:r>
      <w:r w:rsidRPr="000D1CA8">
        <w:rPr>
          <w:rFonts w:ascii="Times New Roman" w:eastAsia="Times New Roman" w:hAnsi="Times New Roman"/>
          <w:szCs w:val="20"/>
        </w:rPr>
        <w:t>;</w:t>
      </w:r>
    </w:p>
    <w:p w:rsidR="000D1CA8" w:rsidRPr="000D1CA8" w:rsidRDefault="000D1CA8" w:rsidP="000D1CA8">
      <w:pPr>
        <w:pStyle w:val="ListParagraph"/>
        <w:numPr>
          <w:ilvl w:val="0"/>
          <w:numId w:val="13"/>
        </w:num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Information gathered will yield qualitative information; the collections will not be designed or expected to yield statistically reliable results or used as though the results are generalizable to the population of study;  </w:t>
      </w:r>
    </w:p>
    <w:p w:rsidR="000D1CA8" w:rsidRPr="000D1CA8" w:rsidRDefault="000D1CA8" w:rsidP="000D1CA8">
      <w:pPr>
        <w:pStyle w:val="ListParagraph"/>
        <w:numPr>
          <w:ilvl w:val="0"/>
          <w:numId w:val="13"/>
        </w:numPr>
        <w:spacing w:after="0" w:line="240" w:lineRule="auto"/>
        <w:rPr>
          <w:rFonts w:ascii="Times New Roman" w:eastAsia="Times New Roman" w:hAnsi="Times New Roman"/>
          <w:szCs w:val="20"/>
        </w:rPr>
      </w:pPr>
      <w:r w:rsidRPr="000D1CA8">
        <w:rPr>
          <w:rFonts w:ascii="Times New Roman" w:eastAsia="Times New Roman" w:hAnsi="Times New Roman"/>
          <w:szCs w:val="20"/>
        </w:rPr>
        <w:t>The collections are voluntary;</w:t>
      </w:r>
    </w:p>
    <w:p w:rsidR="000D1CA8" w:rsidRPr="000D1CA8" w:rsidRDefault="000D1CA8" w:rsidP="000D1CA8">
      <w:pPr>
        <w:pStyle w:val="ListParagraph"/>
        <w:numPr>
          <w:ilvl w:val="0"/>
          <w:numId w:val="13"/>
        </w:numPr>
        <w:spacing w:after="0" w:line="240" w:lineRule="auto"/>
        <w:rPr>
          <w:rFonts w:ascii="Times New Roman" w:eastAsia="Times New Roman" w:hAnsi="Times New Roman"/>
          <w:szCs w:val="20"/>
        </w:rPr>
      </w:pPr>
      <w:r w:rsidRPr="000D1CA8">
        <w:rPr>
          <w:rFonts w:ascii="Times New Roman" w:eastAsia="Times New Roman" w:hAnsi="Times New Roman"/>
          <w:szCs w:val="20"/>
        </w:rPr>
        <w:t>The collections are low-burden for respondents (based on considerations of total burden hours, total number of respondents, or burden-hours per respondent) and are low-cost for both the respondents and the Federal Government;</w:t>
      </w:r>
    </w:p>
    <w:p w:rsidR="000D1CA8" w:rsidRPr="000D1CA8" w:rsidRDefault="000D1CA8" w:rsidP="000D1CA8">
      <w:pPr>
        <w:pStyle w:val="ListParagraph"/>
        <w:numPr>
          <w:ilvl w:val="0"/>
          <w:numId w:val="13"/>
        </w:num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The collections are non-controversial and do not raise issues of concern to other Federal agency; </w:t>
      </w:r>
    </w:p>
    <w:p w:rsidR="000D1CA8" w:rsidRPr="000D1CA8" w:rsidRDefault="000D1CA8" w:rsidP="000D1CA8">
      <w:pPr>
        <w:pStyle w:val="ListParagraph"/>
        <w:numPr>
          <w:ilvl w:val="0"/>
          <w:numId w:val="13"/>
        </w:numPr>
        <w:spacing w:after="0" w:line="240" w:lineRule="auto"/>
        <w:rPr>
          <w:rFonts w:ascii="Times New Roman" w:eastAsia="Times New Roman" w:hAnsi="Times New Roman"/>
          <w:szCs w:val="20"/>
        </w:rPr>
      </w:pPr>
      <w:r w:rsidRPr="000D1CA8">
        <w:rPr>
          <w:rFonts w:ascii="Times New Roman" w:eastAsia="Times New Roman" w:hAnsi="Times New Roman"/>
          <w:szCs w:val="20"/>
        </w:rPr>
        <w:t>Any collection is targeted to the solicitation of opinions from respondents who have experience with the program or may have experience with the program in the near future; and</w:t>
      </w:r>
    </w:p>
    <w:p w:rsidR="000D1CA8" w:rsidRPr="000D1CA8" w:rsidRDefault="000D1CA8" w:rsidP="000D1CA8">
      <w:pPr>
        <w:pStyle w:val="ListParagraph"/>
        <w:numPr>
          <w:ilvl w:val="0"/>
          <w:numId w:val="13"/>
        </w:num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With the exception of information needed to provide remuneration for participants of focus groups and cognitive laboratory studies, personally identifiable information (PII) is collected only to the extent necessary and is not retained. </w:t>
      </w:r>
    </w:p>
    <w:p w:rsidR="000D1CA8" w:rsidRPr="000D1CA8" w:rsidRDefault="000D1CA8" w:rsidP="000D1CA8">
      <w:pPr>
        <w:pStyle w:val="ListParagraph"/>
        <w:spacing w:after="0" w:line="240" w:lineRule="auto"/>
        <w:ind w:left="360"/>
        <w:rPr>
          <w:rFonts w:ascii="Times New Roman" w:eastAsia="Times New Roman" w:hAnsi="Times New Roman"/>
          <w:szCs w:val="20"/>
        </w:rPr>
      </w:pPr>
    </w:p>
    <w:p w:rsidR="000D1CA8" w:rsidRPr="000D1CA8" w:rsidRDefault="000D1CA8" w:rsidP="000D1CA8">
      <w:p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If these conditions are not met, the agency will submit an information collection request to OMB for approval through the normal PRA process.  </w:t>
      </w:r>
    </w:p>
    <w:p w:rsidR="000D1CA8" w:rsidRPr="000D1CA8" w:rsidRDefault="000D1CA8" w:rsidP="000D1CA8">
      <w:pPr>
        <w:spacing w:after="0" w:line="240" w:lineRule="auto"/>
        <w:rPr>
          <w:rFonts w:ascii="Times New Roman" w:eastAsia="Times New Roman" w:hAnsi="Times New Roman"/>
          <w:szCs w:val="20"/>
        </w:rPr>
      </w:pPr>
    </w:p>
    <w:p w:rsidR="000D1CA8" w:rsidRPr="000D1CA8" w:rsidRDefault="000D1CA8" w:rsidP="000D1CA8">
      <w:pPr>
        <w:spacing w:after="0" w:line="240" w:lineRule="auto"/>
        <w:rPr>
          <w:rFonts w:ascii="Times New Roman" w:eastAsia="Times New Roman" w:hAnsi="Times New Roman"/>
          <w:szCs w:val="20"/>
        </w:rPr>
      </w:pPr>
      <w:r w:rsidRPr="000D1CA8">
        <w:rPr>
          <w:rFonts w:ascii="Times New Roman" w:eastAsia="Times New Roman" w:hAnsi="Times New Roman"/>
          <w:szCs w:val="20"/>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0D1CA8" w:rsidRPr="000D1CA8" w:rsidRDefault="000D1CA8" w:rsidP="000D1CA8">
      <w:pPr>
        <w:spacing w:after="0" w:line="240" w:lineRule="auto"/>
        <w:rPr>
          <w:rFonts w:ascii="Times New Roman" w:eastAsia="Times New Roman" w:hAnsi="Times New Roman"/>
          <w:szCs w:val="20"/>
        </w:rPr>
      </w:pPr>
    </w:p>
    <w:p w:rsidR="000D1CA8" w:rsidRPr="000D1CA8" w:rsidRDefault="000D1CA8" w:rsidP="000D1CA8">
      <w:pPr>
        <w:rPr>
          <w:rFonts w:ascii="Times New Roman" w:eastAsia="Times New Roman" w:hAnsi="Times New Roman"/>
          <w:szCs w:val="20"/>
        </w:rPr>
      </w:pPr>
      <w:r w:rsidRPr="000D1CA8">
        <w:rPr>
          <w:rFonts w:ascii="Times New Roman" w:eastAsia="Times New Roman" w:hAnsi="Times New Roman"/>
          <w:szCs w:val="20"/>
        </w:rPr>
        <w:t>The types of collections that this generic clearance covers include, but are not limited to:</w:t>
      </w:r>
    </w:p>
    <w:p w:rsidR="000D1CA8" w:rsidRPr="000D1CA8" w:rsidRDefault="000D1CA8" w:rsidP="000D1CA8">
      <w:pPr>
        <w:pStyle w:val="ListParagraph"/>
        <w:numPr>
          <w:ilvl w:val="0"/>
          <w:numId w:val="15"/>
        </w:numPr>
        <w:rPr>
          <w:rFonts w:ascii="Times New Roman" w:eastAsia="Times New Roman" w:hAnsi="Times New Roman"/>
          <w:szCs w:val="20"/>
        </w:rPr>
      </w:pPr>
      <w:r w:rsidRPr="000D1CA8">
        <w:rPr>
          <w:rFonts w:ascii="Times New Roman" w:eastAsia="Times New Roman" w:hAnsi="Times New Roman"/>
          <w:szCs w:val="20"/>
        </w:rPr>
        <w:t>Customer comment cards/complaint forms</w:t>
      </w:r>
    </w:p>
    <w:p w:rsidR="000D1CA8" w:rsidRPr="000D1CA8" w:rsidRDefault="000D1CA8" w:rsidP="000D1CA8">
      <w:pPr>
        <w:pStyle w:val="ListParagraph"/>
        <w:numPr>
          <w:ilvl w:val="0"/>
          <w:numId w:val="15"/>
        </w:numPr>
        <w:rPr>
          <w:rFonts w:ascii="Times New Roman" w:eastAsia="Times New Roman" w:hAnsi="Times New Roman"/>
          <w:szCs w:val="20"/>
        </w:rPr>
      </w:pPr>
      <w:r w:rsidRPr="000D1CA8">
        <w:rPr>
          <w:rFonts w:ascii="Times New Roman" w:eastAsia="Times New Roman" w:hAnsi="Times New Roman"/>
          <w:szCs w:val="20"/>
        </w:rPr>
        <w:t>Small discussion groups</w:t>
      </w:r>
    </w:p>
    <w:p w:rsidR="000D1CA8" w:rsidRPr="000D1CA8" w:rsidRDefault="000D1CA8" w:rsidP="000D1CA8">
      <w:pPr>
        <w:pStyle w:val="ListParagraph"/>
        <w:numPr>
          <w:ilvl w:val="0"/>
          <w:numId w:val="15"/>
        </w:num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 Focus Groups of customers, potential customers, delivery partners, or other stakeholders</w:t>
      </w:r>
    </w:p>
    <w:p w:rsidR="000D1CA8" w:rsidRPr="000D1CA8" w:rsidRDefault="000D1CA8" w:rsidP="000D1CA8">
      <w:pPr>
        <w:pStyle w:val="ListParagraph"/>
        <w:numPr>
          <w:ilvl w:val="0"/>
          <w:numId w:val="15"/>
        </w:numPr>
        <w:spacing w:after="0" w:line="240" w:lineRule="auto"/>
        <w:rPr>
          <w:rFonts w:ascii="Times New Roman" w:eastAsia="Times New Roman" w:hAnsi="Times New Roman"/>
          <w:szCs w:val="20"/>
        </w:rPr>
      </w:pPr>
      <w:r w:rsidRPr="000D1CA8">
        <w:rPr>
          <w:rFonts w:ascii="Times New Roman" w:eastAsia="Times New Roman" w:hAnsi="Times New Roman"/>
          <w:szCs w:val="20"/>
        </w:rPr>
        <w:t>Cognitive laboratory studies, such as those used to refine questions or assess usability of a website;</w:t>
      </w:r>
    </w:p>
    <w:p w:rsidR="000D1CA8" w:rsidRPr="000D1CA8" w:rsidRDefault="000D1CA8" w:rsidP="000D1CA8">
      <w:pPr>
        <w:pStyle w:val="ListParagraph"/>
        <w:numPr>
          <w:ilvl w:val="0"/>
          <w:numId w:val="15"/>
        </w:numPr>
        <w:rPr>
          <w:rFonts w:ascii="Times New Roman" w:eastAsia="Times New Roman" w:hAnsi="Times New Roman"/>
          <w:szCs w:val="20"/>
        </w:rPr>
      </w:pPr>
      <w:r w:rsidRPr="000D1CA8">
        <w:rPr>
          <w:rFonts w:ascii="Times New Roman" w:eastAsia="Times New Roman" w:hAnsi="Times New Roman"/>
          <w:szCs w:val="20"/>
        </w:rPr>
        <w:t>Qualitative customer satisfaction surveys (e.g., post-transaction surveys; opt-out web surveys)</w:t>
      </w:r>
    </w:p>
    <w:p w:rsidR="000D1CA8" w:rsidRPr="000D1CA8" w:rsidRDefault="000D1CA8" w:rsidP="000D1CA8">
      <w:pPr>
        <w:pStyle w:val="ListParagraph"/>
        <w:numPr>
          <w:ilvl w:val="0"/>
          <w:numId w:val="15"/>
        </w:numPr>
        <w:rPr>
          <w:rFonts w:ascii="Times New Roman" w:eastAsia="Times New Roman" w:hAnsi="Times New Roman"/>
          <w:szCs w:val="20"/>
        </w:rPr>
      </w:pPr>
      <w:r w:rsidRPr="000D1CA8">
        <w:rPr>
          <w:rFonts w:ascii="Times New Roman" w:eastAsia="Times New Roman" w:hAnsi="Times New Roman"/>
          <w:szCs w:val="20"/>
        </w:rPr>
        <w:t>In-person observation testing (e.g., website or software usability tests)</w:t>
      </w:r>
    </w:p>
    <w:p w:rsidR="000D1CA8" w:rsidRPr="000D1CA8" w:rsidRDefault="000D1CA8" w:rsidP="000D1CA8">
      <w:p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There have been </w:t>
      </w:r>
      <w:r w:rsidRPr="000D1CA8">
        <w:rPr>
          <w:rFonts w:ascii="Times New Roman" w:eastAsia="Times New Roman" w:hAnsi="Times New Roman"/>
          <w:szCs w:val="20"/>
          <w:highlight w:val="yellow"/>
        </w:rPr>
        <w:t>13</w:t>
      </w:r>
      <w:r w:rsidRPr="000D1CA8">
        <w:rPr>
          <w:rFonts w:ascii="Times New Roman" w:eastAsia="Times New Roman" w:hAnsi="Times New Roman"/>
          <w:szCs w:val="20"/>
        </w:rPr>
        <w:t xml:space="preserve"> projects approved under this generic clearance since its approval </w:t>
      </w:r>
      <w:r>
        <w:rPr>
          <w:rFonts w:ascii="Times New Roman" w:eastAsia="Times New Roman" w:hAnsi="Times New Roman"/>
          <w:szCs w:val="20"/>
        </w:rPr>
        <w:t>two</w:t>
      </w:r>
      <w:r w:rsidRPr="000D1CA8">
        <w:rPr>
          <w:rFonts w:ascii="Times New Roman" w:eastAsia="Times New Roman" w:hAnsi="Times New Roman"/>
          <w:szCs w:val="20"/>
        </w:rPr>
        <w:t xml:space="preserve"> years ago, all contributing significantly to the mission of NCI. These projects have ranged from website usability testing to meeting and customer satisfaction surveys. Attachment 2 provides a list of the information collections (sub-studies) that have been previously approved in the past </w:t>
      </w:r>
      <w:r>
        <w:rPr>
          <w:rFonts w:ascii="Times New Roman" w:eastAsia="Times New Roman" w:hAnsi="Times New Roman"/>
          <w:szCs w:val="20"/>
        </w:rPr>
        <w:t>two</w:t>
      </w:r>
      <w:r w:rsidRPr="000D1CA8">
        <w:rPr>
          <w:rFonts w:ascii="Times New Roman" w:eastAsia="Times New Roman" w:hAnsi="Times New Roman"/>
          <w:szCs w:val="20"/>
        </w:rPr>
        <w:t xml:space="preserve"> years. </w:t>
      </w:r>
    </w:p>
    <w:p w:rsidR="000D1CA8" w:rsidRPr="000D1CA8" w:rsidRDefault="000D1CA8" w:rsidP="000D1CA8">
      <w:pPr>
        <w:spacing w:after="0" w:line="240" w:lineRule="auto"/>
        <w:rPr>
          <w:rFonts w:ascii="Times New Roman" w:eastAsia="Times New Roman" w:hAnsi="Times New Roman"/>
          <w:szCs w:val="20"/>
        </w:rPr>
      </w:pPr>
    </w:p>
    <w:p w:rsidR="000D1CA8" w:rsidRDefault="000D1CA8" w:rsidP="000D1CA8">
      <w:pPr>
        <w:spacing w:after="0" w:line="240" w:lineRule="auto"/>
        <w:rPr>
          <w:rFonts w:ascii="Times New Roman" w:eastAsia="Times New Roman" w:hAnsi="Times New Roman"/>
          <w:szCs w:val="20"/>
        </w:rPr>
      </w:pPr>
      <w:r w:rsidRPr="000D1CA8">
        <w:rPr>
          <w:rFonts w:ascii="Times New Roman" w:eastAsia="Times New Roman" w:hAnsi="Times New Roman"/>
          <w:szCs w:val="20"/>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0D1CA8" w:rsidRDefault="000D1CA8" w:rsidP="000D1CA8">
      <w:pPr>
        <w:spacing w:after="0" w:line="240" w:lineRule="auto"/>
        <w:rPr>
          <w:rFonts w:ascii="Times New Roman" w:eastAsia="Times New Roman" w:hAnsi="Times New Roman"/>
          <w:szCs w:val="20"/>
        </w:rPr>
      </w:pPr>
    </w:p>
    <w:p w:rsidR="000D1CA8" w:rsidRPr="000D1CA8" w:rsidRDefault="000D1CA8" w:rsidP="000D1CA8">
      <w:pPr>
        <w:spacing w:after="0" w:line="240" w:lineRule="auto"/>
        <w:rPr>
          <w:rFonts w:ascii="Times New Roman" w:eastAsia="Times New Roman" w:hAnsi="Times New Roman"/>
          <w:szCs w:val="20"/>
        </w:rPr>
      </w:pPr>
      <w:r w:rsidRPr="000D1CA8">
        <w:rPr>
          <w:rFonts w:ascii="Times New Roman" w:eastAsia="Times New Roman" w:hAnsi="Times New Roman"/>
          <w:szCs w:val="20"/>
          <w:highlight w:val="yellow"/>
        </w:rPr>
        <w:t xml:space="preserve">This revision is proposed to </w:t>
      </w:r>
      <w:r>
        <w:rPr>
          <w:rFonts w:ascii="Times New Roman" w:eastAsia="Times New Roman" w:hAnsi="Times New Roman"/>
          <w:szCs w:val="20"/>
          <w:highlight w:val="yellow"/>
        </w:rPr>
        <w:t>slightly</w:t>
      </w:r>
      <w:r w:rsidRPr="000D1CA8">
        <w:rPr>
          <w:rFonts w:ascii="Times New Roman" w:eastAsia="Times New Roman" w:hAnsi="Times New Roman"/>
          <w:szCs w:val="20"/>
          <w:highlight w:val="yellow"/>
        </w:rPr>
        <w:t xml:space="preserve"> increase the amount of burden hours and respondents as there are many information collections that are being planned </w:t>
      </w:r>
      <w:r>
        <w:rPr>
          <w:rFonts w:ascii="Times New Roman" w:eastAsia="Times New Roman" w:hAnsi="Times New Roman"/>
          <w:szCs w:val="20"/>
          <w:highlight w:val="yellow"/>
        </w:rPr>
        <w:t xml:space="preserve">in the near future </w:t>
      </w:r>
      <w:r w:rsidRPr="000D1CA8">
        <w:rPr>
          <w:rFonts w:ascii="Times New Roman" w:eastAsia="Times New Roman" w:hAnsi="Times New Roman"/>
          <w:szCs w:val="20"/>
          <w:highlight w:val="yellow"/>
        </w:rPr>
        <w:t xml:space="preserve">that will warrant </w:t>
      </w:r>
      <w:r>
        <w:rPr>
          <w:rFonts w:ascii="Times New Roman" w:eastAsia="Times New Roman" w:hAnsi="Times New Roman"/>
          <w:szCs w:val="20"/>
          <w:highlight w:val="yellow"/>
        </w:rPr>
        <w:t>the collection of information within the scope of this generic</w:t>
      </w:r>
      <w:r>
        <w:rPr>
          <w:rFonts w:ascii="Times New Roman" w:eastAsia="Times New Roman" w:hAnsi="Times New Roman"/>
          <w:szCs w:val="20"/>
        </w:rPr>
        <w:t>.</w:t>
      </w:r>
    </w:p>
    <w:p w:rsidR="000D1CA8" w:rsidRDefault="000D1CA8" w:rsidP="00A00CF8">
      <w:pPr>
        <w:rPr>
          <w:b/>
          <w:color w:val="000000"/>
        </w:rPr>
      </w:pPr>
    </w:p>
    <w:p w:rsidR="000D1CA8" w:rsidRDefault="000D1CA8" w:rsidP="00A00CF8">
      <w:pPr>
        <w:rPr>
          <w:b/>
          <w:color w:val="000000"/>
        </w:rPr>
      </w:pPr>
    </w:p>
    <w:p w:rsidR="00A00CF8" w:rsidRDefault="00A00CF8" w:rsidP="00A00CF8">
      <w:pPr>
        <w:rPr>
          <w:b/>
          <w:color w:val="000000"/>
        </w:rPr>
      </w:pPr>
      <w:r w:rsidRPr="008942E9">
        <w:rPr>
          <w:b/>
          <w:color w:val="000000"/>
        </w:rPr>
        <w:t>A.3     Use of Information Technology and Burden Reduction</w:t>
      </w:r>
    </w:p>
    <w:p w:rsidR="000D1CA8" w:rsidRDefault="000D1CA8" w:rsidP="000D1CA8">
      <w:pPr>
        <w:spacing w:after="0" w:line="240" w:lineRule="auto"/>
      </w:pPr>
      <w:r>
        <w:t>If appropriate, agency will collect information electronically and/or use online collaboration tools to reduce burden.</w:t>
      </w:r>
    </w:p>
    <w:p w:rsidR="000D1CA8" w:rsidRPr="008942E9" w:rsidRDefault="000D1CA8" w:rsidP="00A00CF8">
      <w:pPr>
        <w:rPr>
          <w:b/>
          <w:color w:val="000000"/>
        </w:rPr>
      </w:pPr>
    </w:p>
    <w:p w:rsidR="00685B30" w:rsidRPr="008942E9" w:rsidRDefault="00685B30" w:rsidP="00685B30">
      <w:pPr>
        <w:pStyle w:val="Heading2"/>
        <w:spacing w:after="0" w:line="480" w:lineRule="auto"/>
        <w:ind w:left="720" w:hanging="720"/>
        <w:rPr>
          <w:rFonts w:ascii="Calibri" w:hAnsi="Calibri"/>
          <w:szCs w:val="22"/>
        </w:rPr>
      </w:pPr>
      <w:bookmarkStart w:id="4" w:name="_Toc443881745"/>
      <w:bookmarkStart w:id="5" w:name="_Toc451592234"/>
      <w:bookmarkStart w:id="6" w:name="_Toc5610275"/>
      <w:bookmarkStart w:id="7" w:name="_Toc99178781"/>
      <w:r w:rsidRPr="008942E9">
        <w:rPr>
          <w:rFonts w:ascii="Calibri" w:hAnsi="Calibri"/>
          <w:szCs w:val="22"/>
        </w:rPr>
        <w:t>A.4</w:t>
      </w:r>
      <w:r w:rsidRPr="008942E9">
        <w:rPr>
          <w:rFonts w:ascii="Calibri" w:hAnsi="Calibri"/>
          <w:szCs w:val="22"/>
        </w:rPr>
        <w:tab/>
        <w:t>Efforts to Identify Duplication and Use of Similar Information</w:t>
      </w:r>
      <w:bookmarkEnd w:id="4"/>
      <w:bookmarkEnd w:id="5"/>
      <w:bookmarkEnd w:id="6"/>
      <w:bookmarkEnd w:id="7"/>
    </w:p>
    <w:p w:rsidR="000D1CA8" w:rsidRDefault="000D1CA8" w:rsidP="000D1CA8">
      <w:pPr>
        <w:spacing w:after="0" w:line="240" w:lineRule="auto"/>
      </w:pPr>
      <w:bookmarkStart w:id="8" w:name="_Toc443881746"/>
      <w:bookmarkStart w:id="9" w:name="_Toc451592235"/>
      <w:bookmarkStart w:id="10" w:name="_Toc5610276"/>
      <w:bookmarkStart w:id="11" w:name="_Toc99178782"/>
      <w:r>
        <w:t xml:space="preserve">No similar data are gathered or maintained by the agency or are available from other sources known to </w:t>
      </w:r>
      <w:r w:rsidRPr="002A35E6">
        <w:t xml:space="preserve">the </w:t>
      </w:r>
      <w:r>
        <w:t>agency</w:t>
      </w:r>
      <w:r w:rsidRPr="002A35E6">
        <w:t>.</w:t>
      </w:r>
    </w:p>
    <w:p w:rsidR="000D1CA8" w:rsidRDefault="000D1CA8" w:rsidP="00685B30">
      <w:pPr>
        <w:pStyle w:val="Heading2"/>
        <w:spacing w:after="0" w:line="480" w:lineRule="auto"/>
        <w:ind w:left="720" w:hanging="720"/>
        <w:rPr>
          <w:rFonts w:ascii="Calibri" w:hAnsi="Calibri"/>
          <w:szCs w:val="22"/>
        </w:rPr>
      </w:pPr>
    </w:p>
    <w:p w:rsidR="00685B30" w:rsidRPr="008942E9" w:rsidRDefault="00685B30" w:rsidP="00685B30">
      <w:pPr>
        <w:pStyle w:val="Heading2"/>
        <w:spacing w:after="0" w:line="480" w:lineRule="auto"/>
        <w:ind w:left="720" w:hanging="72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bookmarkEnd w:id="8"/>
      <w:bookmarkEnd w:id="9"/>
      <w:bookmarkEnd w:id="10"/>
      <w:bookmarkEnd w:id="11"/>
    </w:p>
    <w:p w:rsidR="000D1CA8" w:rsidRDefault="000D1CA8" w:rsidP="000D1CA8">
      <w:pPr>
        <w:spacing w:after="0" w:line="240" w:lineRule="auto"/>
      </w:pPr>
      <w:bookmarkStart w:id="12" w:name="_Toc443881747"/>
      <w:bookmarkStart w:id="13" w:name="_Toc451592236"/>
      <w:bookmarkStart w:id="14" w:name="_Toc5610277"/>
      <w:bookmarkStart w:id="15" w:name="_Toc99178783"/>
      <w:r>
        <w:t xml:space="preserve">Small business or other small entities may be involved in these efforts but the agency minimizes the burden on them of information collections approved under this clearance by sampling, asking for readily available information, and using short, easy-to-complete information collection instruments.  </w:t>
      </w:r>
    </w:p>
    <w:p w:rsidR="000D1CA8" w:rsidRDefault="000D1CA8" w:rsidP="000D1CA8">
      <w:pPr>
        <w:spacing w:after="0" w:line="240" w:lineRule="auto"/>
      </w:pPr>
    </w:p>
    <w:p w:rsidR="00685B30" w:rsidRPr="008942E9" w:rsidRDefault="00685B30" w:rsidP="00685B30">
      <w:pPr>
        <w:pStyle w:val="Heading2"/>
        <w:spacing w:after="0" w:line="480" w:lineRule="auto"/>
        <w:ind w:left="720" w:hanging="72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bookmarkEnd w:id="12"/>
      <w:bookmarkEnd w:id="13"/>
      <w:bookmarkEnd w:id="14"/>
      <w:bookmarkEnd w:id="15"/>
    </w:p>
    <w:p w:rsidR="00685B30" w:rsidRPr="00E35DD1" w:rsidRDefault="000D1CA8" w:rsidP="00685B30">
      <w:r>
        <w:t>This is a one-time information collection</w:t>
      </w:r>
      <w:r w:rsidR="00685B30" w:rsidRPr="00E35DD1">
        <w:t>.</w:t>
      </w:r>
    </w:p>
    <w:p w:rsidR="00685B30" w:rsidRPr="008942E9" w:rsidRDefault="00E67B10" w:rsidP="00685B30">
      <w:pPr>
        <w:pStyle w:val="Heading2"/>
        <w:spacing w:after="0" w:line="480" w:lineRule="auto"/>
        <w:ind w:left="0" w:firstLine="0"/>
        <w:rPr>
          <w:rFonts w:ascii="Calibri" w:hAnsi="Calibri"/>
          <w:szCs w:val="22"/>
        </w:rPr>
      </w:pPr>
      <w:bookmarkStart w:id="16" w:name="_Toc443881748"/>
      <w:bookmarkStart w:id="17" w:name="_Toc451592237"/>
      <w:bookmarkStart w:id="18" w:name="_Toc5610278"/>
      <w:bookmarkStart w:id="19" w:name="_Toc99178784"/>
      <w:r w:rsidRPr="008942E9">
        <w:rPr>
          <w:rFonts w:ascii="Calibri" w:hAnsi="Calibri"/>
          <w:szCs w:val="22"/>
        </w:rPr>
        <w:t>A.7</w:t>
      </w:r>
      <w:r w:rsidRPr="008942E9">
        <w:rPr>
          <w:rFonts w:ascii="Calibri" w:hAnsi="Calibri"/>
          <w:szCs w:val="22"/>
        </w:rPr>
        <w:tab/>
      </w:r>
      <w:r w:rsidR="00685B30" w:rsidRPr="008942E9">
        <w:rPr>
          <w:rFonts w:ascii="Calibri" w:hAnsi="Calibri"/>
          <w:szCs w:val="22"/>
        </w:rPr>
        <w:t xml:space="preserve">Special Circumstances Relating to the Guidelines of 5 </w:t>
      </w:r>
      <w:smartTag w:uri="urn:schemas-microsoft-com:office:smarttags" w:element="stockticker">
        <w:r w:rsidR="00685B30" w:rsidRPr="008942E9">
          <w:rPr>
            <w:rFonts w:ascii="Calibri" w:hAnsi="Calibri"/>
            <w:szCs w:val="22"/>
          </w:rPr>
          <w:t>CFR</w:t>
        </w:r>
      </w:smartTag>
      <w:r w:rsidR="00685B30" w:rsidRPr="008942E9">
        <w:rPr>
          <w:rFonts w:ascii="Calibri" w:hAnsi="Calibri"/>
          <w:szCs w:val="22"/>
        </w:rPr>
        <w:t xml:space="preserve"> 1320.5</w:t>
      </w:r>
      <w:bookmarkEnd w:id="16"/>
      <w:bookmarkEnd w:id="17"/>
      <w:bookmarkEnd w:id="18"/>
      <w:bookmarkEnd w:id="19"/>
    </w:p>
    <w:p w:rsidR="000D1CA8" w:rsidRDefault="000D1CA8" w:rsidP="000D1CA8">
      <w:pPr>
        <w:spacing w:after="0" w:line="240" w:lineRule="auto"/>
      </w:pPr>
      <w:bookmarkStart w:id="20" w:name="_Toc443881749"/>
      <w:bookmarkStart w:id="21" w:name="_Toc451592238"/>
      <w:bookmarkStart w:id="22" w:name="_Toc5610279"/>
      <w:bookmarkStart w:id="23" w:name="_Toc99178785"/>
      <w:r>
        <w:t>There are no special circumstances. The information collected is voluntary and is not used for statistical purposes.</w:t>
      </w:r>
    </w:p>
    <w:p w:rsidR="000D1CA8" w:rsidRDefault="000D1CA8" w:rsidP="000D1CA8">
      <w:pPr>
        <w:spacing w:after="0" w:line="240" w:lineRule="auto"/>
      </w:pPr>
    </w:p>
    <w:p w:rsidR="0036208F" w:rsidRPr="008942E9" w:rsidRDefault="00685B30" w:rsidP="00E35DD1">
      <w:pPr>
        <w:pStyle w:val="Heading2"/>
        <w:spacing w:after="0" w:line="240" w:lineRule="auto"/>
        <w:ind w:left="720" w:hanging="720"/>
        <w:rPr>
          <w:rFonts w:ascii="Calibri" w:hAnsi="Calibri"/>
          <w:szCs w:val="22"/>
        </w:rPr>
      </w:pPr>
      <w:r w:rsidRPr="008942E9">
        <w:rPr>
          <w:rFonts w:ascii="Calibri" w:hAnsi="Calibri"/>
          <w:szCs w:val="22"/>
        </w:rPr>
        <w:t>A.8</w:t>
      </w:r>
      <w:r w:rsidR="0036208F" w:rsidRPr="008942E9">
        <w:rPr>
          <w:rFonts w:ascii="Calibri" w:hAnsi="Calibri"/>
          <w:szCs w:val="22"/>
        </w:rPr>
        <w:t>.1</w:t>
      </w:r>
      <w:r w:rsidRPr="008942E9">
        <w:rPr>
          <w:rFonts w:ascii="Calibri" w:hAnsi="Calibri"/>
          <w:szCs w:val="22"/>
        </w:rPr>
        <w:tab/>
        <w:t xml:space="preserve">Comments in Response to the Federal Register Notice </w:t>
      </w:r>
    </w:p>
    <w:p w:rsidR="0036208F" w:rsidRPr="008942E9" w:rsidRDefault="0036208F" w:rsidP="00E35DD1">
      <w:pPr>
        <w:pStyle w:val="Heading2"/>
        <w:spacing w:after="0" w:line="240" w:lineRule="auto"/>
        <w:ind w:left="720" w:hanging="720"/>
        <w:rPr>
          <w:rFonts w:ascii="Calibri" w:hAnsi="Calibri"/>
          <w:szCs w:val="22"/>
        </w:rPr>
      </w:pPr>
    </w:p>
    <w:bookmarkEnd w:id="20"/>
    <w:bookmarkEnd w:id="21"/>
    <w:bookmarkEnd w:id="22"/>
    <w:bookmarkEnd w:id="23"/>
    <w:p w:rsidR="000D1CA8" w:rsidRDefault="000D1CA8" w:rsidP="000D1CA8">
      <w:pPr>
        <w:spacing w:after="0" w:line="240" w:lineRule="auto"/>
      </w:pPr>
      <w:r w:rsidRPr="000D1CA8">
        <w:rPr>
          <w:highlight w:val="yellow"/>
        </w:rPr>
        <w:t xml:space="preserve">In accordance with 5 CFR 1320.8(d), on </w:t>
      </w:r>
      <w:r w:rsidR="000A16A1">
        <w:rPr>
          <w:highlight w:val="yellow"/>
        </w:rPr>
        <w:t>December 13, 2016 pp. 89954 (81 FR 89954) a 60-Day Federal Register Notice was published that the public was given the opportunity to provide comments. N</w:t>
      </w:r>
      <w:r w:rsidRPr="000D1CA8">
        <w:rPr>
          <w:highlight w:val="yellow"/>
        </w:rPr>
        <w:t>o public comments</w:t>
      </w:r>
      <w:r w:rsidR="000A16A1">
        <w:rPr>
          <w:highlight w:val="yellow"/>
        </w:rPr>
        <w:t xml:space="preserve"> were</w:t>
      </w:r>
      <w:r w:rsidRPr="000D1CA8">
        <w:rPr>
          <w:highlight w:val="yellow"/>
        </w:rPr>
        <w:t xml:space="preserve"> received.</w:t>
      </w:r>
    </w:p>
    <w:p w:rsidR="000D1CA8" w:rsidRDefault="000D1CA8" w:rsidP="000D1CA8">
      <w:pPr>
        <w:spacing w:after="0" w:line="240" w:lineRule="auto"/>
      </w:pPr>
    </w:p>
    <w:p w:rsidR="000A16A1" w:rsidRPr="000A16A1" w:rsidRDefault="0036208F" w:rsidP="000A16A1">
      <w:pPr>
        <w:pStyle w:val="Heading2"/>
        <w:spacing w:after="0" w:line="480" w:lineRule="auto"/>
        <w:ind w:left="720" w:hanging="720"/>
        <w:rPr>
          <w:rFonts w:ascii="Calibri" w:hAnsi="Calibri"/>
          <w:szCs w:val="22"/>
        </w:rPr>
      </w:pPr>
      <w:r w:rsidRPr="008942E9">
        <w:rPr>
          <w:rFonts w:ascii="Calibri" w:hAnsi="Calibri"/>
          <w:szCs w:val="22"/>
        </w:rPr>
        <w:t>A.8.2</w:t>
      </w:r>
      <w:r w:rsidRPr="008942E9">
        <w:rPr>
          <w:rFonts w:ascii="Calibri" w:hAnsi="Calibri"/>
          <w:szCs w:val="22"/>
        </w:rPr>
        <w:tab/>
        <w:t>Efforts to Consult Outside Agency</w:t>
      </w:r>
    </w:p>
    <w:p w:rsidR="000A16A1" w:rsidRDefault="000D1CA8" w:rsidP="000A16A1">
      <w:pPr>
        <w:spacing w:line="480" w:lineRule="auto"/>
        <w:rPr>
          <w:b/>
        </w:rPr>
      </w:pPr>
      <w:r>
        <w:t>No consultation has taken place.</w:t>
      </w:r>
    </w:p>
    <w:p w:rsidR="00685B30" w:rsidRPr="008942E9" w:rsidRDefault="00685B30" w:rsidP="00685B30">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rsidR="000D1CA8" w:rsidRDefault="000D1CA8" w:rsidP="000D1CA8">
      <w:pPr>
        <w:spacing w:after="0" w:line="240" w:lineRule="auto"/>
      </w:pPr>
      <w:r w:rsidRPr="00AC2497">
        <w:t xml:space="preserve">The </w:t>
      </w:r>
      <w:r>
        <w:t>agency does not provide payment or other forms of remuneration to respondents of its various forms of collecting feedback.  Focus groups and cognitive laboratory studies are the exceptions.</w:t>
      </w:r>
    </w:p>
    <w:p w:rsidR="000D1CA8" w:rsidRDefault="000D1CA8" w:rsidP="000D1CA8">
      <w:pPr>
        <w:spacing w:after="0" w:line="240" w:lineRule="auto"/>
      </w:pPr>
      <w:r>
        <w:t xml:space="preserve"> </w:t>
      </w:r>
    </w:p>
    <w:p w:rsidR="000D1CA8" w:rsidRDefault="000D1CA8" w:rsidP="000D1CA8">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w:t>
      </w:r>
      <w:r>
        <w:lastRenderedPageBreak/>
        <w:t>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0D1CA8" w:rsidRDefault="000D1CA8" w:rsidP="00685B30">
      <w:pPr>
        <w:pStyle w:val="P1-StandPara"/>
        <w:ind w:firstLine="0"/>
        <w:rPr>
          <w:rFonts w:ascii="Calibri" w:hAnsi="Calibri"/>
          <w:b/>
          <w:szCs w:val="22"/>
        </w:rPr>
      </w:pPr>
    </w:p>
    <w:p w:rsidR="00685B30" w:rsidRPr="008942E9" w:rsidRDefault="00685B30" w:rsidP="00685B30">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rsidR="0036208F" w:rsidRPr="008942E9" w:rsidRDefault="0036208F" w:rsidP="00E35DD1">
      <w:pPr>
        <w:pStyle w:val="P1-StandPara"/>
        <w:spacing w:line="240" w:lineRule="auto"/>
        <w:ind w:firstLine="0"/>
        <w:rPr>
          <w:rFonts w:ascii="Calibri" w:hAnsi="Calibri"/>
          <w:szCs w:val="22"/>
        </w:rPr>
      </w:pPr>
    </w:p>
    <w:p w:rsidR="007D11BF" w:rsidRPr="008942E9" w:rsidRDefault="000D1CA8" w:rsidP="0036208F">
      <w:pPr>
        <w:pStyle w:val="P1-StandPara"/>
        <w:spacing w:line="240" w:lineRule="auto"/>
        <w:ind w:firstLine="0"/>
        <w:rPr>
          <w:rFonts w:ascii="Calibri" w:hAnsi="Calibri"/>
          <w:szCs w:val="22"/>
        </w:rPr>
      </w:pPr>
      <w:r>
        <w:rPr>
          <w:rFonts w:ascii="Calibri" w:hAnsi="Calibri"/>
          <w:szCs w:val="22"/>
        </w:rPr>
        <w:t>All information will be kept private to the extent allowable under law.</w:t>
      </w:r>
    </w:p>
    <w:p w:rsidR="009810A0" w:rsidRPr="008942E9" w:rsidRDefault="009810A0" w:rsidP="0036208F">
      <w:pPr>
        <w:pStyle w:val="P1-StandPara"/>
        <w:spacing w:line="240" w:lineRule="auto"/>
        <w:ind w:firstLine="0"/>
        <w:rPr>
          <w:rFonts w:ascii="Calibri" w:hAnsi="Calibri"/>
          <w:szCs w:val="22"/>
        </w:rPr>
      </w:pPr>
    </w:p>
    <w:p w:rsidR="00E35DD1" w:rsidRPr="008942E9" w:rsidRDefault="00E35DD1" w:rsidP="00E35DD1">
      <w:pPr>
        <w:pStyle w:val="P1-StandPara"/>
        <w:spacing w:line="240" w:lineRule="auto"/>
        <w:ind w:firstLine="0"/>
        <w:rPr>
          <w:rFonts w:ascii="Calibri" w:hAnsi="Calibri"/>
          <w:szCs w:val="22"/>
        </w:rPr>
      </w:pPr>
    </w:p>
    <w:p w:rsidR="00685B30" w:rsidRPr="008942E9" w:rsidRDefault="00685B30" w:rsidP="00685B30">
      <w:pPr>
        <w:pStyle w:val="P1-StandPara"/>
        <w:ind w:firstLine="0"/>
        <w:rPr>
          <w:rFonts w:ascii="Calibri" w:hAnsi="Calibri"/>
          <w:b/>
          <w:szCs w:val="22"/>
        </w:rPr>
      </w:pPr>
      <w:r w:rsidRPr="008942E9">
        <w:rPr>
          <w:rFonts w:ascii="Calibri" w:hAnsi="Calibri"/>
          <w:b/>
          <w:szCs w:val="22"/>
        </w:rPr>
        <w:t>A.11</w:t>
      </w:r>
      <w:r w:rsidRPr="008942E9">
        <w:rPr>
          <w:rFonts w:ascii="Calibri" w:hAnsi="Calibri"/>
          <w:b/>
          <w:szCs w:val="22"/>
        </w:rPr>
        <w:tab/>
        <w:t>Justification for Sensitive Questions</w:t>
      </w:r>
    </w:p>
    <w:p w:rsidR="000D1CA8" w:rsidRDefault="000D1CA8" w:rsidP="000D1CA8">
      <w:pPr>
        <w:spacing w:after="0" w:line="240" w:lineRule="auto"/>
      </w:pPr>
      <w:r>
        <w:t>No questions are asked that are of a personal or sensitive nature.</w:t>
      </w:r>
    </w:p>
    <w:p w:rsidR="00685B30" w:rsidRPr="008942E9" w:rsidRDefault="00685B30" w:rsidP="00685B30">
      <w:pPr>
        <w:pStyle w:val="P1-StandPara"/>
        <w:spacing w:line="240" w:lineRule="auto"/>
        <w:ind w:firstLine="0"/>
        <w:rPr>
          <w:rFonts w:ascii="Calibri" w:hAnsi="Calibri"/>
          <w:szCs w:val="22"/>
        </w:rPr>
      </w:pPr>
    </w:p>
    <w:p w:rsidR="00685B30" w:rsidRPr="008942E9" w:rsidRDefault="00685B30" w:rsidP="00685B30">
      <w:pPr>
        <w:pStyle w:val="P1-StandPara"/>
        <w:spacing w:line="240" w:lineRule="auto"/>
        <w:ind w:firstLine="0"/>
        <w:rPr>
          <w:rFonts w:ascii="Calibri" w:hAnsi="Calibri"/>
          <w:szCs w:val="22"/>
        </w:rPr>
      </w:pPr>
    </w:p>
    <w:p w:rsidR="00685B30" w:rsidRPr="00E35DD1" w:rsidRDefault="00685B30" w:rsidP="00685B30">
      <w:pPr>
        <w:rPr>
          <w:b/>
        </w:rPr>
      </w:pPr>
      <w:r w:rsidRPr="00E35DD1">
        <w:rPr>
          <w:b/>
        </w:rPr>
        <w:t>A.12</w:t>
      </w:r>
      <w:r w:rsidR="00BF491C">
        <w:rPr>
          <w:b/>
        </w:rPr>
        <w:t>.1</w:t>
      </w:r>
      <w:r w:rsidRPr="00E35DD1">
        <w:rPr>
          <w:b/>
        </w:rPr>
        <w:tab/>
        <w:t>Est</w:t>
      </w:r>
      <w:r w:rsidR="009A69D6">
        <w:rPr>
          <w:b/>
        </w:rPr>
        <w:t>imated Annualized Burden Hours</w:t>
      </w:r>
    </w:p>
    <w:p w:rsidR="000D1CA8" w:rsidRPr="00444E4F" w:rsidRDefault="000D1CA8" w:rsidP="000D1CA8">
      <w:pPr>
        <w:tabs>
          <w:tab w:val="left" w:pos="-1080"/>
          <w:tab w:val="left" w:pos="-720"/>
          <w:tab w:val="left" w:pos="0"/>
          <w:tab w:val="left" w:pos="450"/>
          <w:tab w:val="left" w:pos="720"/>
          <w:tab w:val="left" w:pos="2160"/>
        </w:tabs>
        <w:spacing w:after="0" w:line="240" w:lineRule="auto"/>
      </w:pPr>
      <w:r>
        <w:t>The total annual burden hours requested is 8,917 based on the number of collections we expect to conduct</w:t>
      </w:r>
      <w:r w:rsidRPr="00444E4F">
        <w:t xml:space="preserve">.  </w:t>
      </w:r>
      <w:r>
        <w:t xml:space="preserve">A variety of instruments and platforms will be used to collect information from respondents.  </w:t>
      </w:r>
      <w:r w:rsidRPr="00444E4F">
        <w:t xml:space="preserve">This request in burden hours has </w:t>
      </w:r>
      <w:r>
        <w:t xml:space="preserve">slightly increased </w:t>
      </w:r>
      <w:r w:rsidRPr="00444E4F">
        <w:t>from the previously approved submission.</w:t>
      </w:r>
      <w:r>
        <w:t xml:space="preserve"> The number of respondents has also increased.</w:t>
      </w:r>
      <w:r w:rsidRPr="00444E4F">
        <w:t xml:space="preserve">  </w:t>
      </w:r>
    </w:p>
    <w:p w:rsidR="000D1CA8" w:rsidRPr="00444E4F" w:rsidRDefault="000D1CA8" w:rsidP="000D1CA8">
      <w:pPr>
        <w:tabs>
          <w:tab w:val="left" w:pos="-1080"/>
          <w:tab w:val="left" w:pos="-720"/>
          <w:tab w:val="left" w:pos="0"/>
          <w:tab w:val="left" w:pos="450"/>
          <w:tab w:val="left" w:pos="720"/>
          <w:tab w:val="left" w:pos="2160"/>
        </w:tabs>
        <w:spacing w:after="0" w:line="240" w:lineRule="auto"/>
      </w:pPr>
    </w:p>
    <w:p w:rsidR="000D1CA8" w:rsidRDefault="000D1CA8" w:rsidP="000D1CA8">
      <w:pPr>
        <w:tabs>
          <w:tab w:val="left" w:pos="-1080"/>
          <w:tab w:val="left" w:pos="-720"/>
          <w:tab w:val="left" w:pos="0"/>
          <w:tab w:val="left" w:pos="450"/>
          <w:tab w:val="left" w:pos="720"/>
          <w:tab w:val="left" w:pos="2160"/>
        </w:tabs>
        <w:spacing w:after="0" w:line="240" w:lineRule="auto"/>
        <w:jc w:val="center"/>
      </w:pPr>
      <w:r w:rsidRPr="00113647">
        <w:rPr>
          <w:b/>
        </w:rPr>
        <w:t>A.12</w:t>
      </w:r>
      <w:r>
        <w:rPr>
          <w:b/>
        </w:rPr>
        <w:t>-1</w:t>
      </w:r>
      <w:r w:rsidRPr="00113647">
        <w:rPr>
          <w:b/>
        </w:rPr>
        <w:t xml:space="preserve"> Estimate</w:t>
      </w:r>
      <w:r>
        <w:rPr>
          <w:b/>
        </w:rPr>
        <w:t>d Annualized Burden Hours</w:t>
      </w:r>
    </w:p>
    <w:p w:rsidR="000D1CA8" w:rsidRDefault="000D1CA8" w:rsidP="000D1CA8">
      <w:pPr>
        <w:spacing w:after="0" w:line="240" w:lineRule="auto"/>
      </w:pPr>
    </w:p>
    <w:tbl>
      <w:tblPr>
        <w:tblW w:w="0" w:type="auto"/>
        <w:tblInd w:w="552" w:type="dxa"/>
        <w:tblLayout w:type="fixed"/>
        <w:tblCellMar>
          <w:left w:w="102" w:type="dxa"/>
          <w:right w:w="102" w:type="dxa"/>
        </w:tblCellMar>
        <w:tblLook w:val="0000" w:firstRow="0" w:lastRow="0" w:firstColumn="0" w:lastColumn="0" w:noHBand="0" w:noVBand="0"/>
      </w:tblPr>
      <w:tblGrid>
        <w:gridCol w:w="2520"/>
        <w:gridCol w:w="1710"/>
        <w:gridCol w:w="1710"/>
        <w:gridCol w:w="1608"/>
        <w:gridCol w:w="1362"/>
      </w:tblGrid>
      <w:tr w:rsidR="000D1CA8" w:rsidRPr="000D1CA8" w:rsidTr="000D1CA8">
        <w:tc>
          <w:tcPr>
            <w:tcW w:w="2520" w:type="dxa"/>
            <w:tcBorders>
              <w:top w:val="single" w:sz="7" w:space="0" w:color="000000"/>
              <w:left w:val="single" w:sz="7" w:space="0" w:color="000000"/>
              <w:bottom w:val="single" w:sz="6" w:space="0" w:color="FFFFFF"/>
              <w:right w:val="single" w:sz="6" w:space="0" w:color="FFFFFF"/>
            </w:tcBorders>
            <w:vAlign w:val="bottom"/>
          </w:tcPr>
          <w:p w:rsidR="000D1CA8" w:rsidRPr="000D1CA8" w:rsidRDefault="000D1CA8" w:rsidP="000D1CA8">
            <w:pPr>
              <w:spacing w:after="0" w:line="240" w:lineRule="auto"/>
              <w:jc w:val="center"/>
              <w:rPr>
                <w:b/>
                <w:sz w:val="20"/>
              </w:rPr>
            </w:pPr>
          </w:p>
          <w:p w:rsidR="000D1CA8" w:rsidRPr="000D1CA8" w:rsidRDefault="000D1CA8" w:rsidP="000D1CA8">
            <w:pPr>
              <w:tabs>
                <w:tab w:val="left" w:pos="-1080"/>
                <w:tab w:val="left" w:pos="-720"/>
                <w:tab w:val="left" w:pos="0"/>
                <w:tab w:val="left" w:pos="450"/>
                <w:tab w:val="left" w:pos="720"/>
                <w:tab w:val="left" w:pos="2160"/>
              </w:tabs>
              <w:spacing w:after="0" w:line="240" w:lineRule="auto"/>
              <w:jc w:val="center"/>
              <w:rPr>
                <w:b/>
                <w:sz w:val="20"/>
              </w:rPr>
            </w:pPr>
            <w:r w:rsidRPr="000D1CA8">
              <w:rPr>
                <w:b/>
                <w:sz w:val="20"/>
              </w:rPr>
              <w:t>Type of Collection</w:t>
            </w:r>
          </w:p>
        </w:tc>
        <w:tc>
          <w:tcPr>
            <w:tcW w:w="1710" w:type="dxa"/>
            <w:tcBorders>
              <w:top w:val="single" w:sz="7" w:space="0" w:color="000000"/>
              <w:left w:val="single" w:sz="7" w:space="0" w:color="000000"/>
              <w:bottom w:val="single" w:sz="6" w:space="0" w:color="FFFFFF"/>
              <w:right w:val="single" w:sz="6" w:space="0" w:color="FFFFFF"/>
            </w:tcBorders>
            <w:vAlign w:val="bottom"/>
          </w:tcPr>
          <w:p w:rsidR="000D1CA8" w:rsidRPr="000D1CA8" w:rsidRDefault="000D1CA8" w:rsidP="000D1CA8">
            <w:pPr>
              <w:spacing w:after="0" w:line="240" w:lineRule="auto"/>
              <w:jc w:val="center"/>
              <w:rPr>
                <w:b/>
                <w:sz w:val="20"/>
              </w:rPr>
            </w:pPr>
          </w:p>
          <w:p w:rsidR="000D1CA8" w:rsidRPr="000D1CA8" w:rsidRDefault="000D1CA8" w:rsidP="000D1CA8">
            <w:pPr>
              <w:tabs>
                <w:tab w:val="left" w:pos="-1080"/>
                <w:tab w:val="left" w:pos="-720"/>
                <w:tab w:val="left" w:pos="0"/>
                <w:tab w:val="left" w:pos="450"/>
                <w:tab w:val="left" w:pos="720"/>
                <w:tab w:val="left" w:pos="2160"/>
              </w:tabs>
              <w:spacing w:after="0" w:line="240" w:lineRule="auto"/>
              <w:jc w:val="center"/>
              <w:rPr>
                <w:b/>
                <w:sz w:val="20"/>
              </w:rPr>
            </w:pPr>
            <w:r w:rsidRPr="000D1CA8">
              <w:rPr>
                <w:b/>
                <w:sz w:val="20"/>
              </w:rPr>
              <w:t>Number of Respondents</w:t>
            </w:r>
          </w:p>
        </w:tc>
        <w:tc>
          <w:tcPr>
            <w:tcW w:w="1710" w:type="dxa"/>
            <w:tcBorders>
              <w:top w:val="single" w:sz="7" w:space="0" w:color="000000"/>
              <w:left w:val="single" w:sz="7" w:space="0" w:color="000000"/>
              <w:bottom w:val="single" w:sz="6" w:space="0" w:color="FFFFFF"/>
              <w:right w:val="single" w:sz="6" w:space="0" w:color="FFFFFF"/>
            </w:tcBorders>
            <w:vAlign w:val="bottom"/>
          </w:tcPr>
          <w:p w:rsidR="000D1CA8" w:rsidRPr="000D1CA8" w:rsidRDefault="000D1CA8" w:rsidP="000D1CA8">
            <w:pPr>
              <w:spacing w:after="0" w:line="240" w:lineRule="auto"/>
              <w:jc w:val="center"/>
              <w:rPr>
                <w:b/>
                <w:sz w:val="20"/>
              </w:rPr>
            </w:pPr>
          </w:p>
          <w:p w:rsidR="000D1CA8" w:rsidRPr="000D1CA8" w:rsidRDefault="000D1CA8" w:rsidP="000D1CA8">
            <w:pPr>
              <w:tabs>
                <w:tab w:val="left" w:pos="-1080"/>
                <w:tab w:val="left" w:pos="-720"/>
                <w:tab w:val="left" w:pos="0"/>
                <w:tab w:val="left" w:pos="450"/>
                <w:tab w:val="left" w:pos="720"/>
                <w:tab w:val="left" w:pos="2160"/>
              </w:tabs>
              <w:spacing w:after="0" w:line="240" w:lineRule="auto"/>
              <w:jc w:val="center"/>
              <w:rPr>
                <w:b/>
                <w:sz w:val="20"/>
              </w:rPr>
            </w:pPr>
            <w:r w:rsidRPr="000D1CA8">
              <w:rPr>
                <w:b/>
                <w:sz w:val="20"/>
              </w:rPr>
              <w:t>Number of Responses per Respondent</w:t>
            </w:r>
          </w:p>
        </w:tc>
        <w:tc>
          <w:tcPr>
            <w:tcW w:w="1608" w:type="dxa"/>
            <w:tcBorders>
              <w:top w:val="single" w:sz="7" w:space="0" w:color="000000"/>
              <w:left w:val="single" w:sz="7" w:space="0" w:color="000000"/>
              <w:bottom w:val="single" w:sz="6" w:space="0" w:color="FFFFFF"/>
              <w:right w:val="single" w:sz="6" w:space="0" w:color="FFFFFF"/>
            </w:tcBorders>
            <w:vAlign w:val="bottom"/>
          </w:tcPr>
          <w:p w:rsidR="000D1CA8" w:rsidRPr="000D1CA8" w:rsidRDefault="000D1CA8" w:rsidP="000D1CA8">
            <w:pPr>
              <w:spacing w:after="0" w:line="240" w:lineRule="auto"/>
              <w:jc w:val="center"/>
              <w:rPr>
                <w:b/>
                <w:sz w:val="20"/>
              </w:rPr>
            </w:pPr>
          </w:p>
          <w:p w:rsidR="000D1CA8" w:rsidRPr="000D1CA8" w:rsidRDefault="000D1CA8" w:rsidP="000D1CA8">
            <w:pPr>
              <w:tabs>
                <w:tab w:val="left" w:pos="-1080"/>
                <w:tab w:val="left" w:pos="-720"/>
                <w:tab w:val="left" w:pos="0"/>
                <w:tab w:val="left" w:pos="450"/>
                <w:tab w:val="left" w:pos="720"/>
                <w:tab w:val="left" w:pos="2160"/>
              </w:tabs>
              <w:spacing w:after="0" w:line="240" w:lineRule="auto"/>
              <w:jc w:val="center"/>
              <w:rPr>
                <w:b/>
                <w:sz w:val="20"/>
              </w:rPr>
            </w:pPr>
            <w:r w:rsidRPr="000D1CA8">
              <w:rPr>
                <w:b/>
                <w:sz w:val="20"/>
              </w:rPr>
              <w:t>Average Burden Per Response</w:t>
            </w:r>
          </w:p>
          <w:p w:rsidR="000D1CA8" w:rsidRPr="000D1CA8" w:rsidRDefault="000D1CA8" w:rsidP="000D1CA8">
            <w:pPr>
              <w:tabs>
                <w:tab w:val="left" w:pos="-1080"/>
                <w:tab w:val="left" w:pos="-720"/>
                <w:tab w:val="left" w:pos="0"/>
                <w:tab w:val="left" w:pos="450"/>
                <w:tab w:val="left" w:pos="720"/>
                <w:tab w:val="left" w:pos="2160"/>
              </w:tabs>
              <w:spacing w:after="0" w:line="240" w:lineRule="auto"/>
              <w:jc w:val="center"/>
              <w:rPr>
                <w:b/>
                <w:sz w:val="20"/>
              </w:rPr>
            </w:pPr>
            <w:r w:rsidRPr="000D1CA8">
              <w:rPr>
                <w:b/>
                <w:sz w:val="20"/>
              </w:rPr>
              <w:t>(in hours)</w:t>
            </w:r>
          </w:p>
        </w:tc>
        <w:tc>
          <w:tcPr>
            <w:tcW w:w="1362" w:type="dxa"/>
            <w:tcBorders>
              <w:top w:val="single" w:sz="7" w:space="0" w:color="000000"/>
              <w:left w:val="single" w:sz="7" w:space="0" w:color="000000"/>
              <w:bottom w:val="single" w:sz="6" w:space="0" w:color="FFFFFF"/>
              <w:right w:val="single" w:sz="7" w:space="0" w:color="000000"/>
            </w:tcBorders>
            <w:vAlign w:val="bottom"/>
          </w:tcPr>
          <w:p w:rsidR="000D1CA8" w:rsidRPr="000D1CA8" w:rsidRDefault="000D1CA8" w:rsidP="000D1CA8">
            <w:pPr>
              <w:spacing w:after="0" w:line="240" w:lineRule="auto"/>
              <w:jc w:val="center"/>
              <w:rPr>
                <w:b/>
                <w:sz w:val="20"/>
              </w:rPr>
            </w:pPr>
          </w:p>
          <w:p w:rsidR="000D1CA8" w:rsidRPr="000D1CA8" w:rsidRDefault="000D1CA8" w:rsidP="000D1CA8">
            <w:pPr>
              <w:tabs>
                <w:tab w:val="left" w:pos="-1080"/>
                <w:tab w:val="left" w:pos="-720"/>
                <w:tab w:val="left" w:pos="0"/>
                <w:tab w:val="left" w:pos="450"/>
                <w:tab w:val="left" w:pos="720"/>
                <w:tab w:val="left" w:pos="2160"/>
              </w:tabs>
              <w:spacing w:after="0" w:line="240" w:lineRule="auto"/>
              <w:jc w:val="center"/>
              <w:rPr>
                <w:b/>
                <w:sz w:val="20"/>
              </w:rPr>
            </w:pPr>
            <w:r w:rsidRPr="000D1CA8">
              <w:rPr>
                <w:b/>
                <w:sz w:val="20"/>
              </w:rPr>
              <w:t>Total Burden Hours</w:t>
            </w:r>
          </w:p>
        </w:tc>
      </w:tr>
      <w:tr w:rsidR="000D1CA8" w:rsidRPr="00446B89" w:rsidTr="000D1CA8">
        <w:tc>
          <w:tcPr>
            <w:tcW w:w="252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tabs>
                <w:tab w:val="left" w:pos="-1080"/>
                <w:tab w:val="left" w:pos="-720"/>
                <w:tab w:val="left" w:pos="0"/>
                <w:tab w:val="left" w:pos="450"/>
                <w:tab w:val="left" w:pos="720"/>
                <w:tab w:val="left" w:pos="2160"/>
              </w:tabs>
              <w:spacing w:after="0" w:line="240" w:lineRule="auto"/>
              <w:rPr>
                <w:sz w:val="20"/>
              </w:rPr>
            </w:pPr>
            <w:r>
              <w:rPr>
                <w:sz w:val="20"/>
              </w:rPr>
              <w:t>S</w:t>
            </w:r>
            <w:r w:rsidRPr="00446B89">
              <w:rPr>
                <w:sz w:val="20"/>
              </w:rPr>
              <w:t>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tabs>
                <w:tab w:val="left" w:pos="-1080"/>
                <w:tab w:val="left" w:pos="-720"/>
                <w:tab w:val="left" w:pos="0"/>
                <w:tab w:val="left" w:pos="450"/>
                <w:tab w:val="left" w:pos="720"/>
                <w:tab w:val="left" w:pos="2160"/>
              </w:tabs>
              <w:spacing w:after="0" w:line="240" w:lineRule="auto"/>
              <w:jc w:val="center"/>
              <w:rPr>
                <w:sz w:val="20"/>
              </w:rPr>
            </w:pPr>
            <w:r>
              <w:rPr>
                <w:sz w:val="20"/>
                <w:highlight w:val="yellow"/>
              </w:rPr>
              <w:t>10</w:t>
            </w:r>
            <w:r w:rsidRPr="000D1CA8">
              <w:rPr>
                <w:sz w:val="20"/>
                <w:highlight w:val="yellow"/>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tabs>
                <w:tab w:val="left" w:pos="-1080"/>
                <w:tab w:val="left" w:pos="-720"/>
                <w:tab w:val="left" w:pos="0"/>
                <w:tab w:val="left" w:pos="450"/>
                <w:tab w:val="left" w:pos="720"/>
                <w:tab w:val="left" w:pos="2160"/>
              </w:tabs>
              <w:spacing w:after="0" w:line="240" w:lineRule="auto"/>
              <w:jc w:val="center"/>
              <w:rPr>
                <w:sz w:val="20"/>
              </w:rPr>
            </w:pPr>
            <w:r w:rsidRPr="00446B89">
              <w:rPr>
                <w:sz w:val="20"/>
              </w:rPr>
              <w:t>1</w:t>
            </w:r>
          </w:p>
        </w:tc>
        <w:tc>
          <w:tcPr>
            <w:tcW w:w="1608"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tabs>
                <w:tab w:val="left" w:pos="-1080"/>
                <w:tab w:val="left" w:pos="-720"/>
                <w:tab w:val="left" w:pos="0"/>
                <w:tab w:val="left" w:pos="450"/>
                <w:tab w:val="left" w:pos="720"/>
                <w:tab w:val="left" w:pos="2160"/>
              </w:tabs>
              <w:spacing w:after="0" w:line="240" w:lineRule="auto"/>
              <w:jc w:val="center"/>
              <w:rPr>
                <w:sz w:val="20"/>
              </w:rPr>
            </w:pPr>
            <w:r>
              <w:rPr>
                <w:sz w:val="20"/>
              </w:rPr>
              <w:t>30</w:t>
            </w:r>
            <w:r w:rsidRPr="00446B89">
              <w:rPr>
                <w:sz w:val="20"/>
              </w:rPr>
              <w:t>/60</w:t>
            </w:r>
          </w:p>
        </w:tc>
        <w:tc>
          <w:tcPr>
            <w:tcW w:w="1362" w:type="dxa"/>
            <w:tcBorders>
              <w:top w:val="single" w:sz="7" w:space="0" w:color="000000"/>
              <w:left w:val="single" w:sz="7" w:space="0" w:color="000000"/>
              <w:bottom w:val="single" w:sz="7" w:space="0" w:color="000000"/>
              <w:right w:val="single" w:sz="7" w:space="0" w:color="000000"/>
            </w:tcBorders>
            <w:vAlign w:val="center"/>
          </w:tcPr>
          <w:p w:rsidR="000D1CA8" w:rsidRPr="00446B89" w:rsidRDefault="000D1CA8" w:rsidP="000D1CA8">
            <w:pPr>
              <w:tabs>
                <w:tab w:val="left" w:pos="-1080"/>
                <w:tab w:val="left" w:pos="-720"/>
                <w:tab w:val="left" w:pos="0"/>
                <w:tab w:val="left" w:pos="450"/>
                <w:tab w:val="left" w:pos="720"/>
                <w:tab w:val="left" w:pos="2160"/>
              </w:tabs>
              <w:spacing w:after="0" w:line="240" w:lineRule="auto"/>
              <w:jc w:val="center"/>
              <w:rPr>
                <w:sz w:val="20"/>
              </w:rPr>
            </w:pPr>
            <w:r>
              <w:rPr>
                <w:sz w:val="20"/>
                <w:highlight w:val="yellow"/>
              </w:rPr>
              <w:t>5</w:t>
            </w:r>
            <w:r w:rsidRPr="000D1CA8">
              <w:rPr>
                <w:sz w:val="20"/>
                <w:highlight w:val="yellow"/>
              </w:rPr>
              <w:t>,000</w:t>
            </w:r>
          </w:p>
        </w:tc>
      </w:tr>
      <w:tr w:rsidR="000D1CA8" w:rsidRPr="00446B89" w:rsidTr="000D1CA8">
        <w:tc>
          <w:tcPr>
            <w:tcW w:w="252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spacing w:after="0" w:line="240" w:lineRule="auto"/>
              <w:rPr>
                <w:sz w:val="20"/>
              </w:rPr>
            </w:pPr>
            <w:r w:rsidRPr="00446B89">
              <w:rPr>
                <w:sz w:val="20"/>
              </w:rPr>
              <w:t>In-Depth Interviews (IDIs) or Small Discussion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spacing w:after="0" w:line="240" w:lineRule="auto"/>
              <w:jc w:val="center"/>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spacing w:after="0" w:line="240" w:lineRule="auto"/>
              <w:jc w:val="center"/>
              <w:rPr>
                <w:sz w:val="20"/>
              </w:rPr>
            </w:pPr>
            <w:r w:rsidRPr="00446B89">
              <w:rPr>
                <w:sz w:val="20"/>
              </w:rPr>
              <w:t>1</w:t>
            </w:r>
          </w:p>
        </w:tc>
        <w:tc>
          <w:tcPr>
            <w:tcW w:w="1608"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spacing w:after="0" w:line="240" w:lineRule="auto"/>
              <w:jc w:val="center"/>
              <w:rPr>
                <w:sz w:val="20"/>
              </w:rPr>
            </w:pPr>
            <w:r w:rsidRPr="00446B89">
              <w:rPr>
                <w:sz w:val="20"/>
              </w:rPr>
              <w:t>90/60</w:t>
            </w:r>
          </w:p>
        </w:tc>
        <w:tc>
          <w:tcPr>
            <w:tcW w:w="1362" w:type="dxa"/>
            <w:tcBorders>
              <w:top w:val="single" w:sz="7" w:space="0" w:color="000000"/>
              <w:left w:val="single" w:sz="7" w:space="0" w:color="000000"/>
              <w:bottom w:val="single" w:sz="7" w:space="0" w:color="000000"/>
              <w:right w:val="single" w:sz="7" w:space="0" w:color="000000"/>
            </w:tcBorders>
            <w:vAlign w:val="center"/>
          </w:tcPr>
          <w:p w:rsidR="000D1CA8" w:rsidRPr="00446B89" w:rsidRDefault="000D1CA8" w:rsidP="009B5BAE">
            <w:pPr>
              <w:tabs>
                <w:tab w:val="left" w:pos="-1080"/>
                <w:tab w:val="left" w:pos="-720"/>
                <w:tab w:val="left" w:pos="0"/>
                <w:tab w:val="left" w:pos="450"/>
                <w:tab w:val="left" w:pos="720"/>
                <w:tab w:val="left" w:pos="2160"/>
              </w:tabs>
              <w:spacing w:after="0" w:line="240" w:lineRule="auto"/>
              <w:jc w:val="center"/>
              <w:rPr>
                <w:sz w:val="20"/>
              </w:rPr>
            </w:pPr>
            <w:r>
              <w:rPr>
                <w:sz w:val="20"/>
              </w:rPr>
              <w:t>750</w:t>
            </w:r>
          </w:p>
        </w:tc>
      </w:tr>
      <w:tr w:rsidR="000D1CA8" w:rsidRPr="00446B89" w:rsidTr="000D1CA8">
        <w:tc>
          <w:tcPr>
            <w:tcW w:w="2520" w:type="dxa"/>
            <w:tcBorders>
              <w:top w:val="single" w:sz="7" w:space="0" w:color="000000"/>
              <w:left w:val="single" w:sz="7" w:space="0" w:color="000000"/>
              <w:bottom w:val="single" w:sz="7" w:space="0" w:color="000000"/>
              <w:right w:val="single" w:sz="6" w:space="0" w:color="FFFFFF"/>
            </w:tcBorders>
            <w:vAlign w:val="center"/>
          </w:tcPr>
          <w:p w:rsidR="000D1CA8" w:rsidRPr="000D1CA8" w:rsidRDefault="000D1CA8" w:rsidP="009B5BAE">
            <w:pPr>
              <w:spacing w:after="0" w:line="240" w:lineRule="auto"/>
              <w:rPr>
                <w:sz w:val="20"/>
              </w:rPr>
            </w:pPr>
            <w:r w:rsidRPr="000D1CA8">
              <w:rPr>
                <w:sz w:val="20"/>
              </w:rPr>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0D1CA8" w:rsidRDefault="000D1CA8" w:rsidP="009B5BAE">
            <w:pPr>
              <w:spacing w:after="0" w:line="240" w:lineRule="auto"/>
              <w:jc w:val="center"/>
              <w:rPr>
                <w:sz w:val="20"/>
                <w:highlight w:val="yellow"/>
              </w:rPr>
            </w:pPr>
            <w:r>
              <w:rPr>
                <w:sz w:val="20"/>
                <w:highlight w:val="yellow"/>
              </w:rPr>
              <w:t>1</w:t>
            </w:r>
            <w:r w:rsidRPr="000D1CA8">
              <w:rPr>
                <w:sz w:val="20"/>
                <w:highlight w:val="yellow"/>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0D1CA8" w:rsidRDefault="000D1CA8" w:rsidP="009B5BAE">
            <w:pPr>
              <w:spacing w:after="0" w:line="240" w:lineRule="auto"/>
              <w:jc w:val="center"/>
              <w:rPr>
                <w:sz w:val="20"/>
              </w:rPr>
            </w:pPr>
            <w:r w:rsidRPr="000D1CA8">
              <w:rPr>
                <w:sz w:val="20"/>
              </w:rPr>
              <w:t>1</w:t>
            </w:r>
          </w:p>
        </w:tc>
        <w:tc>
          <w:tcPr>
            <w:tcW w:w="1608" w:type="dxa"/>
            <w:tcBorders>
              <w:top w:val="single" w:sz="7" w:space="0" w:color="000000"/>
              <w:left w:val="single" w:sz="7" w:space="0" w:color="000000"/>
              <w:bottom w:val="single" w:sz="7" w:space="0" w:color="000000"/>
              <w:right w:val="single" w:sz="6" w:space="0" w:color="FFFFFF"/>
            </w:tcBorders>
            <w:vAlign w:val="center"/>
          </w:tcPr>
          <w:p w:rsidR="000D1CA8" w:rsidRPr="000D1CA8" w:rsidRDefault="000D1CA8" w:rsidP="009B5BAE">
            <w:pPr>
              <w:spacing w:after="0" w:line="240" w:lineRule="auto"/>
              <w:jc w:val="center"/>
              <w:rPr>
                <w:sz w:val="20"/>
              </w:rPr>
            </w:pPr>
            <w:r w:rsidRPr="000D1CA8" w:rsidDel="00B17437">
              <w:rPr>
                <w:sz w:val="20"/>
              </w:rPr>
              <w:t xml:space="preserve"> </w:t>
            </w:r>
            <w:r w:rsidRPr="000D1CA8">
              <w:rPr>
                <w:sz w:val="20"/>
              </w:rPr>
              <w:t>90/60</w:t>
            </w:r>
          </w:p>
        </w:tc>
        <w:tc>
          <w:tcPr>
            <w:tcW w:w="1362" w:type="dxa"/>
            <w:tcBorders>
              <w:top w:val="single" w:sz="7" w:space="0" w:color="000000"/>
              <w:left w:val="single" w:sz="7" w:space="0" w:color="000000"/>
              <w:bottom w:val="single" w:sz="7" w:space="0" w:color="000000"/>
              <w:right w:val="single" w:sz="7" w:space="0" w:color="000000"/>
            </w:tcBorders>
            <w:vAlign w:val="center"/>
          </w:tcPr>
          <w:p w:rsidR="000D1CA8" w:rsidRPr="00446B89" w:rsidRDefault="000D1CA8" w:rsidP="009B5BAE">
            <w:pPr>
              <w:tabs>
                <w:tab w:val="left" w:pos="-1080"/>
                <w:tab w:val="left" w:pos="-720"/>
                <w:tab w:val="left" w:pos="0"/>
                <w:tab w:val="left" w:pos="450"/>
                <w:tab w:val="left" w:pos="720"/>
                <w:tab w:val="left" w:pos="2160"/>
              </w:tabs>
              <w:spacing w:after="0" w:line="240" w:lineRule="auto"/>
              <w:jc w:val="center"/>
              <w:rPr>
                <w:sz w:val="20"/>
              </w:rPr>
            </w:pPr>
            <w:r w:rsidRPr="000D1CA8">
              <w:rPr>
                <w:sz w:val="20"/>
                <w:highlight w:val="yellow"/>
              </w:rPr>
              <w:t>1,500</w:t>
            </w:r>
          </w:p>
        </w:tc>
      </w:tr>
      <w:tr w:rsidR="000D1CA8" w:rsidRPr="00446B89" w:rsidTr="000D1CA8">
        <w:tc>
          <w:tcPr>
            <w:tcW w:w="252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spacing w:after="0" w:line="240" w:lineRule="auto"/>
              <w:rPr>
                <w:sz w:val="20"/>
              </w:rPr>
            </w:pPr>
            <w:r w:rsidRPr="00446B89">
              <w:rPr>
                <w:sz w:val="20"/>
              </w:rPr>
              <w:t>Website or Software Usability Tests</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spacing w:after="0" w:line="240" w:lineRule="auto"/>
              <w:jc w:val="center"/>
              <w:rPr>
                <w:sz w:val="20"/>
              </w:rPr>
            </w:pPr>
            <w:r>
              <w:rPr>
                <w:sz w:val="20"/>
                <w:highlight w:val="yellow"/>
              </w:rPr>
              <w:t>5,</w:t>
            </w:r>
            <w:r w:rsidRPr="000D1CA8">
              <w:rPr>
                <w:sz w:val="20"/>
                <w:highlight w:val="yellow"/>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9B5BAE">
            <w:pPr>
              <w:spacing w:after="0" w:line="240" w:lineRule="auto"/>
              <w:jc w:val="center"/>
              <w:rPr>
                <w:sz w:val="20"/>
              </w:rPr>
            </w:pPr>
            <w:r w:rsidRPr="00446B89">
              <w:rPr>
                <w:sz w:val="20"/>
              </w:rPr>
              <w:t>1</w:t>
            </w:r>
          </w:p>
        </w:tc>
        <w:tc>
          <w:tcPr>
            <w:tcW w:w="1608" w:type="dxa"/>
            <w:tcBorders>
              <w:top w:val="single" w:sz="7" w:space="0" w:color="000000"/>
              <w:left w:val="single" w:sz="7" w:space="0" w:color="000000"/>
              <w:bottom w:val="single" w:sz="7" w:space="0" w:color="000000"/>
              <w:right w:val="single" w:sz="6" w:space="0" w:color="FFFFFF"/>
            </w:tcBorders>
            <w:vAlign w:val="center"/>
          </w:tcPr>
          <w:p w:rsidR="000D1CA8" w:rsidRPr="00446B89" w:rsidRDefault="000D1CA8" w:rsidP="000D1CA8">
            <w:pPr>
              <w:spacing w:after="0" w:line="240" w:lineRule="auto"/>
              <w:jc w:val="center"/>
              <w:rPr>
                <w:sz w:val="20"/>
              </w:rPr>
            </w:pPr>
            <w:r>
              <w:rPr>
                <w:sz w:val="20"/>
              </w:rPr>
              <w:t>20</w:t>
            </w:r>
            <w:r w:rsidRPr="00446B89">
              <w:rPr>
                <w:sz w:val="20"/>
              </w:rPr>
              <w:t>/60</w:t>
            </w:r>
          </w:p>
        </w:tc>
        <w:tc>
          <w:tcPr>
            <w:tcW w:w="1362" w:type="dxa"/>
            <w:tcBorders>
              <w:top w:val="single" w:sz="7" w:space="0" w:color="000000"/>
              <w:left w:val="single" w:sz="7" w:space="0" w:color="000000"/>
              <w:bottom w:val="single" w:sz="7" w:space="0" w:color="000000"/>
              <w:right w:val="single" w:sz="7" w:space="0" w:color="000000"/>
            </w:tcBorders>
            <w:vAlign w:val="center"/>
          </w:tcPr>
          <w:p w:rsidR="000D1CA8" w:rsidRPr="00446B89" w:rsidRDefault="000D1CA8" w:rsidP="000D1CA8">
            <w:pPr>
              <w:tabs>
                <w:tab w:val="left" w:pos="-1080"/>
                <w:tab w:val="left" w:pos="-720"/>
                <w:tab w:val="left" w:pos="0"/>
                <w:tab w:val="left" w:pos="450"/>
                <w:tab w:val="left" w:pos="720"/>
                <w:tab w:val="left" w:pos="2160"/>
              </w:tabs>
              <w:spacing w:after="0" w:line="240" w:lineRule="auto"/>
              <w:jc w:val="center"/>
              <w:rPr>
                <w:sz w:val="20"/>
              </w:rPr>
            </w:pPr>
            <w:r w:rsidRPr="000D1CA8">
              <w:rPr>
                <w:sz w:val="20"/>
                <w:highlight w:val="yellow"/>
              </w:rPr>
              <w:t>1,667</w:t>
            </w:r>
          </w:p>
        </w:tc>
      </w:tr>
      <w:tr w:rsidR="000D1CA8" w:rsidRPr="000D1CA8" w:rsidTr="000D1CA8">
        <w:tc>
          <w:tcPr>
            <w:tcW w:w="2520" w:type="dxa"/>
            <w:tcBorders>
              <w:top w:val="single" w:sz="7" w:space="0" w:color="000000"/>
              <w:left w:val="single" w:sz="7" w:space="0" w:color="000000"/>
              <w:bottom w:val="single" w:sz="7" w:space="0" w:color="000000"/>
              <w:right w:val="single" w:sz="6" w:space="0" w:color="FFFFFF"/>
            </w:tcBorders>
            <w:vAlign w:val="center"/>
          </w:tcPr>
          <w:p w:rsidR="000D1CA8" w:rsidRPr="000D1CA8" w:rsidRDefault="000D1CA8" w:rsidP="009B5BAE">
            <w:pPr>
              <w:spacing w:after="0" w:line="240" w:lineRule="auto"/>
              <w:rPr>
                <w:b/>
                <w:sz w:val="20"/>
              </w:rPr>
            </w:pPr>
            <w:r w:rsidRPr="000D1CA8">
              <w:rPr>
                <w:b/>
                <w:sz w:val="20"/>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DE2CBC" w:rsidRDefault="000D1CA8" w:rsidP="009B5BAE">
            <w:pPr>
              <w:spacing w:after="0" w:line="240" w:lineRule="auto"/>
              <w:jc w:val="center"/>
              <w:rPr>
                <w:b/>
                <w:sz w:val="20"/>
                <w:highlight w:val="yellow"/>
              </w:rPr>
            </w:pPr>
            <w:r w:rsidRPr="00DE2CBC">
              <w:rPr>
                <w:b/>
                <w:sz w:val="20"/>
                <w:highlight w:val="yellow"/>
              </w:rPr>
              <w:t>16,500</w:t>
            </w:r>
          </w:p>
        </w:tc>
        <w:tc>
          <w:tcPr>
            <w:tcW w:w="1710" w:type="dxa"/>
            <w:tcBorders>
              <w:top w:val="single" w:sz="7" w:space="0" w:color="000000"/>
              <w:left w:val="single" w:sz="7" w:space="0" w:color="000000"/>
              <w:bottom w:val="single" w:sz="7" w:space="0" w:color="000000"/>
              <w:right w:val="single" w:sz="6" w:space="0" w:color="FFFFFF"/>
            </w:tcBorders>
            <w:vAlign w:val="center"/>
          </w:tcPr>
          <w:p w:rsidR="000D1CA8" w:rsidRPr="00DE2CBC" w:rsidRDefault="000D1CA8" w:rsidP="009B5BAE">
            <w:pPr>
              <w:spacing w:after="0" w:line="240" w:lineRule="auto"/>
              <w:jc w:val="center"/>
              <w:rPr>
                <w:b/>
                <w:sz w:val="20"/>
                <w:highlight w:val="yellow"/>
              </w:rPr>
            </w:pPr>
            <w:r w:rsidRPr="00DE2CBC">
              <w:rPr>
                <w:b/>
                <w:sz w:val="20"/>
                <w:highlight w:val="yellow"/>
              </w:rPr>
              <w:t>16,500</w:t>
            </w:r>
          </w:p>
        </w:tc>
        <w:tc>
          <w:tcPr>
            <w:tcW w:w="1608" w:type="dxa"/>
            <w:tcBorders>
              <w:top w:val="single" w:sz="7" w:space="0" w:color="000000"/>
              <w:left w:val="single" w:sz="7" w:space="0" w:color="000000"/>
              <w:bottom w:val="single" w:sz="7" w:space="0" w:color="000000"/>
              <w:right w:val="single" w:sz="6" w:space="0" w:color="FFFFFF"/>
            </w:tcBorders>
            <w:vAlign w:val="center"/>
          </w:tcPr>
          <w:p w:rsidR="000D1CA8" w:rsidRPr="00DE2CBC" w:rsidRDefault="000D1CA8" w:rsidP="009B5BAE">
            <w:pPr>
              <w:spacing w:after="0" w:line="240" w:lineRule="auto"/>
              <w:jc w:val="center"/>
              <w:rPr>
                <w:b/>
                <w:sz w:val="20"/>
                <w:highlight w:val="yellow"/>
              </w:rPr>
            </w:pPr>
          </w:p>
        </w:tc>
        <w:tc>
          <w:tcPr>
            <w:tcW w:w="1362" w:type="dxa"/>
            <w:tcBorders>
              <w:top w:val="single" w:sz="7" w:space="0" w:color="000000"/>
              <w:left w:val="single" w:sz="7" w:space="0" w:color="000000"/>
              <w:bottom w:val="single" w:sz="7" w:space="0" w:color="000000"/>
              <w:right w:val="single" w:sz="7" w:space="0" w:color="000000"/>
            </w:tcBorders>
            <w:vAlign w:val="center"/>
          </w:tcPr>
          <w:p w:rsidR="000D1CA8" w:rsidRPr="00DE2CBC" w:rsidRDefault="000D1CA8" w:rsidP="009B5BAE">
            <w:pPr>
              <w:tabs>
                <w:tab w:val="left" w:pos="-1080"/>
                <w:tab w:val="left" w:pos="-720"/>
                <w:tab w:val="left" w:pos="0"/>
                <w:tab w:val="left" w:pos="450"/>
                <w:tab w:val="left" w:pos="720"/>
                <w:tab w:val="left" w:pos="2160"/>
              </w:tabs>
              <w:spacing w:after="0" w:line="240" w:lineRule="auto"/>
              <w:jc w:val="center"/>
              <w:rPr>
                <w:b/>
                <w:sz w:val="20"/>
                <w:highlight w:val="yellow"/>
              </w:rPr>
            </w:pPr>
            <w:r w:rsidRPr="00DE2CBC">
              <w:rPr>
                <w:b/>
                <w:sz w:val="20"/>
                <w:highlight w:val="yellow"/>
              </w:rPr>
              <w:t>8,917</w:t>
            </w:r>
          </w:p>
        </w:tc>
      </w:tr>
    </w:tbl>
    <w:p w:rsidR="009810A0" w:rsidRDefault="009810A0" w:rsidP="00685B30"/>
    <w:p w:rsidR="00EE245F" w:rsidRPr="008942E9" w:rsidRDefault="00EE245F" w:rsidP="000D1CA8">
      <w:pPr>
        <w:spacing w:after="20"/>
        <w:rPr>
          <w:rFonts w:eastAsia="Times New Roman"/>
          <w:b/>
          <w:smallCaps/>
          <w:color w:val="000000"/>
        </w:rPr>
      </w:pPr>
      <w:r w:rsidRPr="008942E9">
        <w:rPr>
          <w:rFonts w:eastAsia="Times New Roman"/>
          <w:b/>
          <w:smallCaps/>
          <w:color w:val="000000"/>
        </w:rPr>
        <w:t>A.12-2</w:t>
      </w:r>
      <w:r w:rsidRPr="008942E9">
        <w:rPr>
          <w:rFonts w:eastAsia="Times New Roman"/>
          <w:b/>
          <w:smallCaps/>
          <w:color w:val="000000"/>
        </w:rPr>
        <w:tab/>
      </w:r>
      <w:r w:rsidR="00BF491C" w:rsidRPr="008942E9">
        <w:rPr>
          <w:rFonts w:eastAsia="Times New Roman"/>
          <w:b/>
          <w:smallCaps/>
          <w:color w:val="000000"/>
        </w:rPr>
        <w:t>Annual</w:t>
      </w:r>
      <w:r w:rsidR="009A69D6" w:rsidRPr="008942E9">
        <w:rPr>
          <w:rFonts w:eastAsia="Times New Roman"/>
          <w:b/>
          <w:smallCaps/>
          <w:color w:val="000000"/>
        </w:rPr>
        <w:t>ized</w:t>
      </w:r>
      <w:r w:rsidR="00BF491C" w:rsidRPr="008942E9">
        <w:rPr>
          <w:rFonts w:eastAsia="Times New Roman"/>
          <w:b/>
          <w:smallCaps/>
          <w:color w:val="000000"/>
        </w:rPr>
        <w:t xml:space="preserve"> Cost to respondent</w:t>
      </w:r>
      <w:r w:rsidR="009A69D6" w:rsidRPr="008942E9">
        <w:rPr>
          <w:rFonts w:eastAsia="Times New Roman"/>
          <w:b/>
          <w:smallCaps/>
          <w:color w:val="000000"/>
        </w:rPr>
        <w:t>s</w:t>
      </w:r>
    </w:p>
    <w:p w:rsidR="00EE245F" w:rsidRPr="008942E9" w:rsidRDefault="00EE245F" w:rsidP="0086248B">
      <w:pPr>
        <w:spacing w:after="0" w:line="240" w:lineRule="auto"/>
        <w:rPr>
          <w:rFonts w:eastAsia="Times New Roman"/>
          <w:smallCaps/>
          <w:color w:val="000000"/>
        </w:rPr>
      </w:pPr>
    </w:p>
    <w:p w:rsidR="00BF491C" w:rsidRDefault="000D1CA8" w:rsidP="00BF491C">
      <w:r>
        <w:t xml:space="preserve">The annualized cost to the respondents is $207,142. The wage rate, $23.23, was calculated using the Bureau of Labor statistics occupation title “All Occupations”, occupation code “00-0000”, </w:t>
      </w:r>
      <w:hyperlink r:id="rId8" w:anchor="00-0000" w:history="1">
        <w:r w:rsidRPr="000D1CA8">
          <w:rPr>
            <w:rStyle w:val="Hyperlink"/>
          </w:rPr>
          <w:t>http://www.bls.gov/oes/current/oes_nat.htm#00-0000</w:t>
        </w:r>
      </w:hyperlink>
      <w:r>
        <w:t>.</w:t>
      </w:r>
    </w:p>
    <w:p w:rsidR="000D1CA8" w:rsidRDefault="000D1CA8" w:rsidP="00BF491C"/>
    <w:p w:rsidR="000D1CA8" w:rsidRDefault="000D1CA8" w:rsidP="00BF491C"/>
    <w:p w:rsidR="009810A0" w:rsidRDefault="009810A0" w:rsidP="00BF491C"/>
    <w:p w:rsidR="009A69D6" w:rsidRDefault="009A69D6" w:rsidP="009A69D6">
      <w:pPr>
        <w:spacing w:after="20"/>
      </w:pPr>
      <w:r>
        <w:t xml:space="preserve">                                                </w:t>
      </w:r>
      <w:r w:rsidRPr="00EB77CC">
        <w:t xml:space="preserve">A.12-2 </w:t>
      </w:r>
      <w:r>
        <w:t>Annualized Cost to the Respondents</w:t>
      </w:r>
    </w:p>
    <w:p w:rsidR="009A69D6" w:rsidRDefault="009A69D6" w:rsidP="009A69D6">
      <w:pPr>
        <w:spacing w:after="20"/>
      </w:pPr>
    </w:p>
    <w:tbl>
      <w:tblPr>
        <w:tblW w:w="6896" w:type="dxa"/>
        <w:jc w:val="center"/>
        <w:tblLayout w:type="fixed"/>
        <w:tblCellMar>
          <w:left w:w="100" w:type="dxa"/>
          <w:right w:w="100" w:type="dxa"/>
        </w:tblCellMar>
        <w:tblLook w:val="0000" w:firstRow="0" w:lastRow="0" w:firstColumn="0" w:lastColumn="0" w:noHBand="0" w:noVBand="0"/>
      </w:tblPr>
      <w:tblGrid>
        <w:gridCol w:w="2423"/>
        <w:gridCol w:w="1496"/>
        <w:gridCol w:w="1249"/>
        <w:gridCol w:w="1728"/>
      </w:tblGrid>
      <w:tr w:rsidR="000D1CA8" w:rsidRPr="000D1CA8" w:rsidTr="000D1CA8">
        <w:trPr>
          <w:cantSplit/>
          <w:trHeight w:val="975"/>
          <w:jc w:val="center"/>
        </w:trPr>
        <w:tc>
          <w:tcPr>
            <w:tcW w:w="2423" w:type="dxa"/>
            <w:tcBorders>
              <w:top w:val="single" w:sz="6" w:space="0" w:color="auto"/>
              <w:left w:val="single" w:sz="6"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b/>
                <w:sz w:val="20"/>
              </w:rPr>
            </w:pPr>
            <w:r w:rsidRPr="000D1CA8">
              <w:rPr>
                <w:b/>
                <w:sz w:val="20"/>
              </w:rPr>
              <w:t>Type of Collection</w:t>
            </w:r>
          </w:p>
        </w:tc>
        <w:tc>
          <w:tcPr>
            <w:tcW w:w="1496" w:type="dxa"/>
            <w:tcBorders>
              <w:top w:val="single" w:sz="6" w:space="0" w:color="auto"/>
              <w:left w:val="single" w:sz="6"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b/>
                <w:sz w:val="20"/>
              </w:rPr>
            </w:pPr>
            <w:r>
              <w:rPr>
                <w:b/>
                <w:sz w:val="20"/>
              </w:rPr>
              <w:t>T</w:t>
            </w:r>
            <w:r w:rsidRPr="000D1CA8">
              <w:rPr>
                <w:b/>
                <w:sz w:val="20"/>
              </w:rPr>
              <w:t>otal Burden Hours</w:t>
            </w:r>
          </w:p>
        </w:tc>
        <w:tc>
          <w:tcPr>
            <w:tcW w:w="1249" w:type="dxa"/>
            <w:tcBorders>
              <w:top w:val="single" w:sz="6" w:space="0" w:color="auto"/>
              <w:left w:val="single" w:sz="6" w:space="0" w:color="auto"/>
            </w:tcBorders>
            <w:vAlign w:val="center"/>
          </w:tcPr>
          <w:p w:rsidR="000D1CA8" w:rsidRPr="000D1CA8" w:rsidRDefault="000D1CA8" w:rsidP="000D1CA8">
            <w:pPr>
              <w:jc w:val="center"/>
              <w:rPr>
                <w:b/>
                <w:sz w:val="20"/>
              </w:rPr>
            </w:pPr>
            <w:r w:rsidRPr="000D1CA8">
              <w:rPr>
                <w:b/>
                <w:sz w:val="20"/>
              </w:rPr>
              <w:t>Hourly Wage Rate</w:t>
            </w:r>
          </w:p>
        </w:tc>
        <w:tc>
          <w:tcPr>
            <w:tcW w:w="1728" w:type="dxa"/>
            <w:tcBorders>
              <w:top w:val="single" w:sz="6" w:space="0" w:color="auto"/>
              <w:left w:val="single" w:sz="6" w:space="0" w:color="auto"/>
              <w:right w:val="single" w:sz="6" w:space="0" w:color="auto"/>
            </w:tcBorders>
            <w:vAlign w:val="center"/>
          </w:tcPr>
          <w:p w:rsidR="000D1CA8" w:rsidRPr="000D1CA8" w:rsidRDefault="000D1CA8" w:rsidP="000D1CA8">
            <w:pPr>
              <w:jc w:val="center"/>
              <w:rPr>
                <w:b/>
                <w:sz w:val="20"/>
              </w:rPr>
            </w:pPr>
            <w:r w:rsidRPr="000D1CA8">
              <w:rPr>
                <w:b/>
                <w:sz w:val="20"/>
              </w:rPr>
              <w:t>Respondent Cost</w:t>
            </w:r>
          </w:p>
        </w:tc>
      </w:tr>
      <w:tr w:rsidR="000D1CA8" w:rsidRPr="008942E9" w:rsidTr="000D1CA8">
        <w:trPr>
          <w:cantSplit/>
          <w:trHeight w:val="345"/>
          <w:jc w:val="center"/>
        </w:trPr>
        <w:tc>
          <w:tcPr>
            <w:tcW w:w="2423" w:type="dxa"/>
            <w:tcBorders>
              <w:top w:val="single" w:sz="6" w:space="0" w:color="auto"/>
              <w:left w:val="single" w:sz="6" w:space="0" w:color="auto"/>
            </w:tcBorders>
            <w:vAlign w:val="center"/>
          </w:tcPr>
          <w:p w:rsidR="000D1CA8" w:rsidRPr="00446B89" w:rsidRDefault="000D1CA8" w:rsidP="000D1CA8">
            <w:pPr>
              <w:tabs>
                <w:tab w:val="left" w:pos="-1080"/>
                <w:tab w:val="left" w:pos="-720"/>
                <w:tab w:val="left" w:pos="0"/>
                <w:tab w:val="left" w:pos="450"/>
                <w:tab w:val="left" w:pos="720"/>
                <w:tab w:val="left" w:pos="2160"/>
              </w:tabs>
              <w:spacing w:after="0"/>
              <w:jc w:val="center"/>
              <w:rPr>
                <w:sz w:val="20"/>
              </w:rPr>
            </w:pPr>
            <w:r>
              <w:rPr>
                <w:sz w:val="20"/>
              </w:rPr>
              <w:t>S</w:t>
            </w:r>
            <w:r w:rsidRPr="00446B89">
              <w:rPr>
                <w:sz w:val="20"/>
              </w:rPr>
              <w:t>urveys</w:t>
            </w:r>
          </w:p>
        </w:tc>
        <w:tc>
          <w:tcPr>
            <w:tcW w:w="1496" w:type="dxa"/>
            <w:tcBorders>
              <w:top w:val="single" w:sz="6" w:space="0" w:color="auto"/>
              <w:left w:val="single" w:sz="6" w:space="0" w:color="auto"/>
            </w:tcBorders>
            <w:vAlign w:val="center"/>
          </w:tcPr>
          <w:p w:rsidR="000D1CA8" w:rsidRPr="00446B89" w:rsidRDefault="000D1CA8" w:rsidP="000D1CA8">
            <w:pPr>
              <w:tabs>
                <w:tab w:val="left" w:pos="-1080"/>
                <w:tab w:val="left" w:pos="-720"/>
                <w:tab w:val="left" w:pos="0"/>
                <w:tab w:val="left" w:pos="450"/>
                <w:tab w:val="left" w:pos="720"/>
                <w:tab w:val="left" w:pos="2160"/>
              </w:tabs>
              <w:spacing w:after="0"/>
              <w:jc w:val="center"/>
              <w:rPr>
                <w:sz w:val="20"/>
              </w:rPr>
            </w:pPr>
            <w:r>
              <w:rPr>
                <w:sz w:val="20"/>
                <w:highlight w:val="yellow"/>
              </w:rPr>
              <w:t>5</w:t>
            </w:r>
            <w:r w:rsidRPr="000D1CA8">
              <w:rPr>
                <w:sz w:val="20"/>
                <w:highlight w:val="yellow"/>
              </w:rPr>
              <w:t>,000</w:t>
            </w:r>
          </w:p>
        </w:tc>
        <w:tc>
          <w:tcPr>
            <w:tcW w:w="1249" w:type="dxa"/>
            <w:tcBorders>
              <w:top w:val="single" w:sz="6" w:space="0" w:color="auto"/>
              <w:left w:val="single" w:sz="6"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sz w:val="20"/>
                <w:highlight w:val="yellow"/>
              </w:rPr>
            </w:pPr>
            <w:r w:rsidRPr="000D1CA8">
              <w:rPr>
                <w:sz w:val="20"/>
                <w:highlight w:val="yellow"/>
              </w:rPr>
              <w:t>$23.23</w:t>
            </w:r>
          </w:p>
        </w:tc>
        <w:tc>
          <w:tcPr>
            <w:tcW w:w="1728" w:type="dxa"/>
            <w:tcBorders>
              <w:top w:val="single" w:sz="6" w:space="0" w:color="auto"/>
              <w:left w:val="single" w:sz="6" w:space="0" w:color="auto"/>
              <w:right w:val="single" w:sz="6" w:space="0" w:color="auto"/>
            </w:tcBorders>
            <w:vAlign w:val="center"/>
          </w:tcPr>
          <w:p w:rsidR="000D1CA8" w:rsidRPr="000D1CA8" w:rsidRDefault="000D1CA8" w:rsidP="000D1CA8">
            <w:pPr>
              <w:spacing w:after="0"/>
              <w:jc w:val="center"/>
              <w:rPr>
                <w:sz w:val="20"/>
                <w:highlight w:val="yellow"/>
              </w:rPr>
            </w:pPr>
            <w:r>
              <w:rPr>
                <w:sz w:val="20"/>
                <w:highlight w:val="yellow"/>
              </w:rPr>
              <w:t>$116,150</w:t>
            </w:r>
          </w:p>
        </w:tc>
      </w:tr>
      <w:tr w:rsidR="000D1CA8" w:rsidRPr="008942E9" w:rsidTr="000D1CA8">
        <w:trPr>
          <w:cantSplit/>
          <w:trHeight w:val="753"/>
          <w:jc w:val="center"/>
        </w:trPr>
        <w:tc>
          <w:tcPr>
            <w:tcW w:w="2423" w:type="dxa"/>
            <w:tcBorders>
              <w:top w:val="single" w:sz="6" w:space="0" w:color="auto"/>
              <w:left w:val="single" w:sz="6" w:space="0" w:color="auto"/>
            </w:tcBorders>
            <w:vAlign w:val="center"/>
          </w:tcPr>
          <w:p w:rsidR="000D1CA8" w:rsidRPr="00446B89" w:rsidRDefault="000D1CA8" w:rsidP="000D1CA8">
            <w:pPr>
              <w:spacing w:after="0"/>
              <w:jc w:val="center"/>
              <w:rPr>
                <w:sz w:val="20"/>
              </w:rPr>
            </w:pPr>
            <w:r w:rsidRPr="00446B89">
              <w:rPr>
                <w:sz w:val="20"/>
              </w:rPr>
              <w:t>In-Depth Interviews (IDIs) or Small Discussion Groups</w:t>
            </w:r>
          </w:p>
        </w:tc>
        <w:tc>
          <w:tcPr>
            <w:tcW w:w="1496" w:type="dxa"/>
            <w:tcBorders>
              <w:top w:val="single" w:sz="6" w:space="0" w:color="auto"/>
              <w:left w:val="single" w:sz="6" w:space="0" w:color="auto"/>
            </w:tcBorders>
            <w:vAlign w:val="center"/>
          </w:tcPr>
          <w:p w:rsidR="000D1CA8" w:rsidRPr="00446B89" w:rsidRDefault="000D1CA8" w:rsidP="000D1CA8">
            <w:pPr>
              <w:tabs>
                <w:tab w:val="left" w:pos="-1080"/>
                <w:tab w:val="left" w:pos="-720"/>
                <w:tab w:val="left" w:pos="0"/>
                <w:tab w:val="left" w:pos="450"/>
                <w:tab w:val="left" w:pos="720"/>
                <w:tab w:val="left" w:pos="2160"/>
              </w:tabs>
              <w:spacing w:after="0"/>
              <w:jc w:val="center"/>
              <w:rPr>
                <w:sz w:val="20"/>
              </w:rPr>
            </w:pPr>
            <w:r>
              <w:rPr>
                <w:sz w:val="20"/>
              </w:rPr>
              <w:t>750</w:t>
            </w:r>
          </w:p>
        </w:tc>
        <w:tc>
          <w:tcPr>
            <w:tcW w:w="1249" w:type="dxa"/>
            <w:tcBorders>
              <w:top w:val="single" w:sz="6" w:space="0" w:color="auto"/>
              <w:left w:val="single" w:sz="6"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sz w:val="20"/>
                <w:highlight w:val="yellow"/>
              </w:rPr>
            </w:pPr>
            <w:r w:rsidRPr="00B957A9">
              <w:rPr>
                <w:sz w:val="20"/>
                <w:highlight w:val="yellow"/>
              </w:rPr>
              <w:t>$23.23</w:t>
            </w:r>
          </w:p>
        </w:tc>
        <w:tc>
          <w:tcPr>
            <w:tcW w:w="1728" w:type="dxa"/>
            <w:tcBorders>
              <w:top w:val="single" w:sz="6" w:space="0" w:color="auto"/>
              <w:left w:val="single" w:sz="6" w:space="0" w:color="auto"/>
              <w:right w:val="single" w:sz="6" w:space="0" w:color="auto"/>
            </w:tcBorders>
            <w:vAlign w:val="bottom"/>
          </w:tcPr>
          <w:p w:rsidR="000D1CA8" w:rsidRPr="000D1CA8" w:rsidRDefault="000D1CA8" w:rsidP="000D1CA8">
            <w:pPr>
              <w:jc w:val="center"/>
              <w:rPr>
                <w:sz w:val="20"/>
                <w:highlight w:val="yellow"/>
              </w:rPr>
            </w:pPr>
            <w:r w:rsidRPr="000D1CA8">
              <w:rPr>
                <w:sz w:val="20"/>
                <w:highlight w:val="yellow"/>
              </w:rPr>
              <w:t>$</w:t>
            </w:r>
            <w:r>
              <w:rPr>
                <w:sz w:val="20"/>
                <w:highlight w:val="yellow"/>
              </w:rPr>
              <w:t>17,423</w:t>
            </w:r>
          </w:p>
        </w:tc>
      </w:tr>
      <w:tr w:rsidR="000D1CA8" w:rsidRPr="008942E9" w:rsidTr="000D1CA8">
        <w:trPr>
          <w:cantSplit/>
          <w:trHeight w:val="753"/>
          <w:jc w:val="center"/>
        </w:trPr>
        <w:tc>
          <w:tcPr>
            <w:tcW w:w="2423" w:type="dxa"/>
            <w:tcBorders>
              <w:top w:val="single" w:sz="6" w:space="0" w:color="auto"/>
              <w:left w:val="single" w:sz="6" w:space="0" w:color="auto"/>
              <w:bottom w:val="single" w:sz="4" w:space="0" w:color="auto"/>
            </w:tcBorders>
            <w:vAlign w:val="center"/>
          </w:tcPr>
          <w:p w:rsidR="000D1CA8" w:rsidRPr="000D1CA8" w:rsidRDefault="000D1CA8" w:rsidP="000D1CA8">
            <w:pPr>
              <w:spacing w:after="0"/>
              <w:jc w:val="center"/>
              <w:rPr>
                <w:sz w:val="20"/>
              </w:rPr>
            </w:pPr>
            <w:r w:rsidRPr="000D1CA8">
              <w:rPr>
                <w:sz w:val="20"/>
              </w:rPr>
              <w:t>Focus Groups</w:t>
            </w:r>
          </w:p>
        </w:tc>
        <w:tc>
          <w:tcPr>
            <w:tcW w:w="1496" w:type="dxa"/>
            <w:tcBorders>
              <w:top w:val="single" w:sz="6" w:space="0" w:color="auto"/>
              <w:left w:val="single" w:sz="6" w:space="0" w:color="auto"/>
              <w:bottom w:val="single" w:sz="4" w:space="0" w:color="auto"/>
            </w:tcBorders>
            <w:vAlign w:val="center"/>
          </w:tcPr>
          <w:p w:rsidR="000D1CA8" w:rsidRPr="00446B89" w:rsidRDefault="000D1CA8" w:rsidP="000D1CA8">
            <w:pPr>
              <w:tabs>
                <w:tab w:val="left" w:pos="-1080"/>
                <w:tab w:val="left" w:pos="-720"/>
                <w:tab w:val="left" w:pos="0"/>
                <w:tab w:val="left" w:pos="450"/>
                <w:tab w:val="left" w:pos="720"/>
                <w:tab w:val="left" w:pos="2160"/>
              </w:tabs>
              <w:spacing w:after="0"/>
              <w:jc w:val="center"/>
              <w:rPr>
                <w:sz w:val="20"/>
              </w:rPr>
            </w:pPr>
            <w:r w:rsidRPr="000D1CA8">
              <w:rPr>
                <w:sz w:val="20"/>
                <w:highlight w:val="yellow"/>
              </w:rPr>
              <w:t>1,500</w:t>
            </w:r>
          </w:p>
        </w:tc>
        <w:tc>
          <w:tcPr>
            <w:tcW w:w="1249" w:type="dxa"/>
            <w:tcBorders>
              <w:top w:val="single" w:sz="6" w:space="0" w:color="auto"/>
              <w:left w:val="single" w:sz="6" w:space="0" w:color="auto"/>
              <w:bottom w:val="single" w:sz="4"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sz w:val="20"/>
                <w:highlight w:val="yellow"/>
              </w:rPr>
            </w:pPr>
            <w:r w:rsidRPr="00B957A9">
              <w:rPr>
                <w:sz w:val="20"/>
                <w:highlight w:val="yellow"/>
              </w:rPr>
              <w:t>$23.23</w:t>
            </w:r>
          </w:p>
        </w:tc>
        <w:tc>
          <w:tcPr>
            <w:tcW w:w="1728" w:type="dxa"/>
            <w:tcBorders>
              <w:top w:val="single" w:sz="6" w:space="0" w:color="auto"/>
              <w:left w:val="single" w:sz="6" w:space="0" w:color="auto"/>
              <w:bottom w:val="single" w:sz="4" w:space="0" w:color="auto"/>
              <w:right w:val="single" w:sz="6" w:space="0" w:color="auto"/>
            </w:tcBorders>
            <w:vAlign w:val="bottom"/>
          </w:tcPr>
          <w:p w:rsidR="000D1CA8" w:rsidRPr="000D1CA8" w:rsidRDefault="000D1CA8" w:rsidP="000D1CA8">
            <w:pPr>
              <w:jc w:val="center"/>
              <w:rPr>
                <w:sz w:val="20"/>
                <w:highlight w:val="yellow"/>
              </w:rPr>
            </w:pPr>
            <w:r w:rsidRPr="000D1CA8">
              <w:rPr>
                <w:sz w:val="20"/>
                <w:highlight w:val="yellow"/>
              </w:rPr>
              <w:t>$</w:t>
            </w:r>
            <w:r>
              <w:rPr>
                <w:sz w:val="20"/>
                <w:highlight w:val="yellow"/>
              </w:rPr>
              <w:t>34,845</w:t>
            </w:r>
          </w:p>
        </w:tc>
      </w:tr>
      <w:tr w:rsidR="000D1CA8" w:rsidRPr="008942E9" w:rsidTr="000D1CA8">
        <w:trPr>
          <w:cantSplit/>
          <w:trHeight w:val="753"/>
          <w:jc w:val="center"/>
        </w:trPr>
        <w:tc>
          <w:tcPr>
            <w:tcW w:w="2423" w:type="dxa"/>
            <w:tcBorders>
              <w:top w:val="single" w:sz="6" w:space="0" w:color="auto"/>
              <w:left w:val="single" w:sz="6" w:space="0" w:color="auto"/>
              <w:bottom w:val="single" w:sz="4" w:space="0" w:color="auto"/>
            </w:tcBorders>
            <w:vAlign w:val="center"/>
          </w:tcPr>
          <w:p w:rsidR="000D1CA8" w:rsidRPr="00446B89" w:rsidRDefault="000D1CA8" w:rsidP="000D1CA8">
            <w:pPr>
              <w:spacing w:after="0"/>
              <w:jc w:val="center"/>
              <w:rPr>
                <w:sz w:val="20"/>
              </w:rPr>
            </w:pPr>
            <w:r w:rsidRPr="00446B89">
              <w:rPr>
                <w:sz w:val="20"/>
              </w:rPr>
              <w:t>Website or Software Usability Tests</w:t>
            </w:r>
          </w:p>
        </w:tc>
        <w:tc>
          <w:tcPr>
            <w:tcW w:w="1496" w:type="dxa"/>
            <w:tcBorders>
              <w:top w:val="single" w:sz="6" w:space="0" w:color="auto"/>
              <w:left w:val="single" w:sz="6" w:space="0" w:color="auto"/>
              <w:bottom w:val="single" w:sz="4" w:space="0" w:color="auto"/>
            </w:tcBorders>
            <w:vAlign w:val="center"/>
          </w:tcPr>
          <w:p w:rsidR="000D1CA8" w:rsidRPr="00446B89" w:rsidRDefault="000D1CA8" w:rsidP="000D1CA8">
            <w:pPr>
              <w:tabs>
                <w:tab w:val="left" w:pos="-1080"/>
                <w:tab w:val="left" w:pos="-720"/>
                <w:tab w:val="left" w:pos="0"/>
                <w:tab w:val="left" w:pos="450"/>
                <w:tab w:val="left" w:pos="720"/>
                <w:tab w:val="left" w:pos="2160"/>
              </w:tabs>
              <w:spacing w:after="0"/>
              <w:jc w:val="center"/>
              <w:rPr>
                <w:sz w:val="20"/>
              </w:rPr>
            </w:pPr>
            <w:r w:rsidRPr="000D1CA8">
              <w:rPr>
                <w:sz w:val="20"/>
                <w:highlight w:val="yellow"/>
              </w:rPr>
              <w:t>1,667</w:t>
            </w:r>
          </w:p>
        </w:tc>
        <w:tc>
          <w:tcPr>
            <w:tcW w:w="1249" w:type="dxa"/>
            <w:tcBorders>
              <w:top w:val="single" w:sz="6" w:space="0" w:color="auto"/>
              <w:left w:val="single" w:sz="6" w:space="0" w:color="auto"/>
              <w:bottom w:val="single" w:sz="4"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sz w:val="20"/>
                <w:highlight w:val="yellow"/>
              </w:rPr>
            </w:pPr>
            <w:r w:rsidRPr="00B957A9">
              <w:rPr>
                <w:sz w:val="20"/>
                <w:highlight w:val="yellow"/>
              </w:rPr>
              <w:t>$23.23</w:t>
            </w:r>
          </w:p>
        </w:tc>
        <w:tc>
          <w:tcPr>
            <w:tcW w:w="1728" w:type="dxa"/>
            <w:tcBorders>
              <w:top w:val="single" w:sz="6" w:space="0" w:color="auto"/>
              <w:left w:val="single" w:sz="6" w:space="0" w:color="auto"/>
              <w:bottom w:val="single" w:sz="4" w:space="0" w:color="auto"/>
              <w:right w:val="single" w:sz="6" w:space="0" w:color="auto"/>
            </w:tcBorders>
            <w:vAlign w:val="center"/>
          </w:tcPr>
          <w:p w:rsidR="000D1CA8" w:rsidRPr="000D1CA8" w:rsidRDefault="000D1CA8" w:rsidP="000D1CA8">
            <w:pPr>
              <w:spacing w:after="0"/>
              <w:jc w:val="center"/>
              <w:rPr>
                <w:sz w:val="20"/>
                <w:highlight w:val="yellow"/>
              </w:rPr>
            </w:pPr>
            <w:r>
              <w:rPr>
                <w:sz w:val="20"/>
                <w:highlight w:val="yellow"/>
              </w:rPr>
              <w:t>$38,724</w:t>
            </w:r>
          </w:p>
        </w:tc>
      </w:tr>
      <w:tr w:rsidR="000D1CA8" w:rsidRPr="000D1CA8" w:rsidTr="000D1CA8">
        <w:trPr>
          <w:cantSplit/>
          <w:trHeight w:val="382"/>
          <w:jc w:val="center"/>
        </w:trPr>
        <w:tc>
          <w:tcPr>
            <w:tcW w:w="2423" w:type="dxa"/>
            <w:tcBorders>
              <w:top w:val="single" w:sz="6" w:space="0" w:color="auto"/>
              <w:left w:val="single" w:sz="6" w:space="0" w:color="auto"/>
              <w:bottom w:val="single" w:sz="4" w:space="0" w:color="auto"/>
            </w:tcBorders>
            <w:vAlign w:val="center"/>
          </w:tcPr>
          <w:p w:rsidR="000D1CA8" w:rsidRPr="000D1CA8" w:rsidRDefault="000D1CA8" w:rsidP="000D1CA8">
            <w:pPr>
              <w:spacing w:after="0"/>
              <w:rPr>
                <w:b/>
                <w:sz w:val="20"/>
              </w:rPr>
            </w:pPr>
            <w:r w:rsidRPr="000D1CA8">
              <w:rPr>
                <w:b/>
                <w:sz w:val="20"/>
              </w:rPr>
              <w:t>Total</w:t>
            </w:r>
          </w:p>
        </w:tc>
        <w:tc>
          <w:tcPr>
            <w:tcW w:w="1496" w:type="dxa"/>
            <w:tcBorders>
              <w:top w:val="single" w:sz="6" w:space="0" w:color="auto"/>
              <w:left w:val="single" w:sz="6" w:space="0" w:color="auto"/>
              <w:bottom w:val="single" w:sz="4"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b/>
                <w:sz w:val="20"/>
                <w:highlight w:val="yellow"/>
              </w:rPr>
            </w:pPr>
            <w:r w:rsidRPr="000D1CA8">
              <w:rPr>
                <w:b/>
                <w:sz w:val="20"/>
                <w:highlight w:val="yellow"/>
              </w:rPr>
              <w:t>8,917</w:t>
            </w:r>
          </w:p>
        </w:tc>
        <w:tc>
          <w:tcPr>
            <w:tcW w:w="1249" w:type="dxa"/>
            <w:tcBorders>
              <w:top w:val="single" w:sz="6" w:space="0" w:color="auto"/>
              <w:left w:val="single" w:sz="6" w:space="0" w:color="auto"/>
              <w:bottom w:val="single" w:sz="4"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sz w:val="20"/>
                <w:highlight w:val="yellow"/>
              </w:rPr>
            </w:pPr>
          </w:p>
        </w:tc>
        <w:tc>
          <w:tcPr>
            <w:tcW w:w="1728" w:type="dxa"/>
            <w:tcBorders>
              <w:top w:val="single" w:sz="6" w:space="0" w:color="auto"/>
              <w:left w:val="single" w:sz="6" w:space="0" w:color="auto"/>
              <w:bottom w:val="single" w:sz="4" w:space="0" w:color="auto"/>
              <w:right w:val="single" w:sz="6" w:space="0" w:color="auto"/>
            </w:tcBorders>
            <w:vAlign w:val="center"/>
          </w:tcPr>
          <w:p w:rsidR="000D1CA8" w:rsidRPr="000D1CA8" w:rsidRDefault="000D1CA8" w:rsidP="000D1CA8">
            <w:pPr>
              <w:tabs>
                <w:tab w:val="left" w:pos="-1080"/>
                <w:tab w:val="left" w:pos="-720"/>
                <w:tab w:val="left" w:pos="0"/>
                <w:tab w:val="left" w:pos="450"/>
                <w:tab w:val="left" w:pos="720"/>
                <w:tab w:val="left" w:pos="2160"/>
              </w:tabs>
              <w:spacing w:after="0"/>
              <w:jc w:val="center"/>
              <w:rPr>
                <w:b/>
                <w:sz w:val="20"/>
                <w:highlight w:val="yellow"/>
              </w:rPr>
            </w:pPr>
            <w:r w:rsidRPr="000D1CA8">
              <w:rPr>
                <w:b/>
                <w:sz w:val="20"/>
                <w:highlight w:val="yellow"/>
              </w:rPr>
              <w:t>$207,142</w:t>
            </w:r>
          </w:p>
        </w:tc>
      </w:tr>
    </w:tbl>
    <w:p w:rsidR="009810A0" w:rsidRDefault="009810A0" w:rsidP="00BF491C"/>
    <w:p w:rsidR="0086248B" w:rsidRDefault="0086248B" w:rsidP="00FF72FC">
      <w:pPr>
        <w:rPr>
          <w:b/>
        </w:rPr>
      </w:pPr>
    </w:p>
    <w:p w:rsidR="00FF72FC" w:rsidRPr="00E35DD1" w:rsidRDefault="00FF72FC" w:rsidP="00FF72FC">
      <w:pPr>
        <w:rPr>
          <w:b/>
        </w:rPr>
      </w:pPr>
      <w:r w:rsidRPr="00E35DD1">
        <w:rPr>
          <w:b/>
        </w:rPr>
        <w:t>A.13</w:t>
      </w:r>
      <w:r w:rsidRPr="00E35DD1">
        <w:rPr>
          <w:b/>
        </w:rPr>
        <w:tab/>
        <w:t>Estimate of Other Total Annual Cost Burden to Respondents or Record Keepers</w:t>
      </w:r>
    </w:p>
    <w:p w:rsidR="00FF72FC" w:rsidRPr="00E35DD1" w:rsidRDefault="000D1CA8" w:rsidP="00FF72FC">
      <w:r>
        <w:t xml:space="preserve">There are no </w:t>
      </w:r>
      <w:r w:rsidR="00DE2CBC">
        <w:t xml:space="preserve">other </w:t>
      </w:r>
      <w:r>
        <w:t>costs.</w:t>
      </w:r>
    </w:p>
    <w:p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A.14</w:t>
      </w:r>
      <w:r w:rsidRPr="008942E9">
        <w:rPr>
          <w:rFonts w:ascii="Calibri" w:hAnsi="Calibri"/>
          <w:szCs w:val="22"/>
        </w:rPr>
        <w:tab/>
        <w:t xml:space="preserve">Annualized Cost to the Federal Government  </w:t>
      </w:r>
    </w:p>
    <w:p w:rsidR="003E5C04" w:rsidRPr="003E5C04" w:rsidRDefault="000D1CA8" w:rsidP="003E5C04">
      <w:r>
        <w:t xml:space="preserve">The anticipated cost to the Federal Government is approximately $300,000 annually.  These costs are </w:t>
      </w:r>
      <w:r w:rsidRPr="00D26810">
        <w:t>comprised of:  operational expenses (e.g., equipment, overhead, printing, postage and support staff), contractor payments and any other expense that is necessary to collect the information approved under this generic clearance</w:t>
      </w:r>
    </w:p>
    <w:p w:rsidR="000D1CA8" w:rsidRDefault="000D1CA8" w:rsidP="00FF72FC">
      <w:pPr>
        <w:rPr>
          <w:sz w:val="16"/>
          <w:szCs w:val="16"/>
        </w:rPr>
      </w:pPr>
    </w:p>
    <w:p w:rsidR="00FF72FC" w:rsidRPr="00E35DD1" w:rsidRDefault="000D1CA8" w:rsidP="00FF72FC">
      <w:pPr>
        <w:rPr>
          <w:b/>
        </w:rPr>
      </w:pPr>
      <w:r>
        <w:rPr>
          <w:b/>
        </w:rPr>
        <w:t>A</w:t>
      </w:r>
      <w:r w:rsidR="00FF72FC" w:rsidRPr="00E35DD1">
        <w:rPr>
          <w:b/>
        </w:rPr>
        <w:t>.15</w:t>
      </w:r>
      <w:r w:rsidR="00FF72FC" w:rsidRPr="00E35DD1">
        <w:rPr>
          <w:b/>
        </w:rPr>
        <w:tab/>
        <w:t>Explanation for Program Changes or Adjustments</w:t>
      </w:r>
    </w:p>
    <w:p w:rsidR="00A86220" w:rsidRPr="008942E9" w:rsidRDefault="000D1CA8" w:rsidP="00A86220">
      <w:pPr>
        <w:spacing w:after="0"/>
        <w:rPr>
          <w:color w:val="000000"/>
        </w:rPr>
      </w:pPr>
      <w:r w:rsidRPr="000D1CA8">
        <w:rPr>
          <w:color w:val="000000"/>
          <w:highlight w:val="yellow"/>
        </w:rPr>
        <w:t>This is a revision. The changes proposed in this information collection revolve around the burden. The overall burden has increased by 167 hours.  This is the difference of the previously approved 8,750 minus the proposed, 8,917. The total number of respondents has increased by 10,000 from 6,500 to 16,500. This increase is to account for the increased survey activities that are planned.</w:t>
      </w:r>
      <w:r w:rsidR="00AD04B6">
        <w:rPr>
          <w:color w:val="000000"/>
        </w:rPr>
        <w:t xml:space="preserve">  </w:t>
      </w:r>
      <w:r w:rsidR="00AD04B6" w:rsidRPr="00AD04B6">
        <w:rPr>
          <w:color w:val="000000"/>
          <w:highlight w:val="yellow"/>
        </w:rPr>
        <w:t>The overall 3 year burden has increased by 501.</w:t>
      </w:r>
      <w:bookmarkStart w:id="24" w:name="_GoBack"/>
      <w:bookmarkEnd w:id="24"/>
    </w:p>
    <w:p w:rsidR="00F52557" w:rsidRPr="008942E9" w:rsidRDefault="00F52557" w:rsidP="00FF72FC">
      <w:pPr>
        <w:pStyle w:val="Heading2"/>
        <w:tabs>
          <w:tab w:val="clear" w:pos="1152"/>
          <w:tab w:val="left" w:pos="720"/>
        </w:tabs>
        <w:spacing w:after="0" w:line="480" w:lineRule="auto"/>
        <w:ind w:left="0" w:firstLine="0"/>
        <w:rPr>
          <w:rFonts w:ascii="Calibri" w:hAnsi="Calibri"/>
          <w:szCs w:val="22"/>
        </w:rPr>
      </w:pPr>
      <w:bookmarkStart w:id="25" w:name="_Toc443881759"/>
      <w:bookmarkStart w:id="26" w:name="_Toc451592246"/>
      <w:bookmarkStart w:id="27" w:name="_Toc5610287"/>
      <w:bookmarkStart w:id="28" w:name="_Toc99178793"/>
    </w:p>
    <w:p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bookmarkEnd w:id="25"/>
      <w:bookmarkEnd w:id="26"/>
      <w:bookmarkEnd w:id="27"/>
      <w:bookmarkEnd w:id="28"/>
    </w:p>
    <w:p w:rsidR="000D1CA8" w:rsidRDefault="000D1CA8" w:rsidP="009B5BAE">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0D1CA8" w:rsidRDefault="000D1CA8" w:rsidP="009B5BAE">
      <w:pPr>
        <w:spacing w:after="0" w:line="240" w:lineRule="auto"/>
      </w:pPr>
    </w:p>
    <w:p w:rsidR="00FF72FC" w:rsidRDefault="000D1CA8" w:rsidP="000D1CA8">
      <w:pPr>
        <w:spacing w:after="0" w:line="240" w:lineRule="auto"/>
      </w:pPr>
      <w:r>
        <w:t>Although the agency does not intend to publish its findings</w:t>
      </w:r>
      <w:r w:rsidRPr="00BA1806">
        <w:t xml:space="preserve">, </w:t>
      </w:r>
      <w:r>
        <w:t>the agency</w:t>
      </w:r>
      <w:r w:rsidRPr="00BA1806">
        <w:t xml:space="preserve"> </w:t>
      </w:r>
      <w:r>
        <w:t>may receive requests to release the information (e.g., congressional inquiry, Freedom of Information Act requests).  The agency</w:t>
      </w:r>
      <w:r w:rsidRPr="00BA1806">
        <w:t xml:space="preserve"> will disseminate the findings when appropriate, strictly following </w:t>
      </w:r>
      <w:r>
        <w:t>the DHHS</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0D1CA8" w:rsidRPr="00E35DD1" w:rsidRDefault="000D1CA8" w:rsidP="000D1CA8">
      <w:pPr>
        <w:spacing w:after="0" w:line="240" w:lineRule="auto"/>
      </w:pPr>
    </w:p>
    <w:p w:rsidR="00FF72FC" w:rsidRPr="000D1CA8" w:rsidRDefault="00FF72FC" w:rsidP="000D1CA8">
      <w:pPr>
        <w:pStyle w:val="Heading2"/>
        <w:tabs>
          <w:tab w:val="clear" w:pos="1152"/>
          <w:tab w:val="left" w:pos="720"/>
        </w:tabs>
        <w:spacing w:after="0" w:line="480" w:lineRule="auto"/>
        <w:ind w:left="0" w:firstLine="0"/>
        <w:rPr>
          <w:rFonts w:ascii="Calibri" w:hAnsi="Calibri"/>
          <w:szCs w:val="22"/>
        </w:rPr>
      </w:pPr>
      <w:r w:rsidRPr="000D1CA8">
        <w:rPr>
          <w:rFonts w:ascii="Calibri" w:hAnsi="Calibri"/>
          <w:szCs w:val="22"/>
        </w:rPr>
        <w:t>A.17</w:t>
      </w:r>
      <w:r w:rsidRPr="000D1CA8">
        <w:rPr>
          <w:rFonts w:ascii="Calibri" w:hAnsi="Calibri"/>
          <w:szCs w:val="22"/>
        </w:rPr>
        <w:tab/>
        <w:t>Reason(s) Display of OMB Expiration Date is Inappropriate</w:t>
      </w:r>
    </w:p>
    <w:p w:rsidR="004716CF" w:rsidRPr="00E35DD1" w:rsidRDefault="000D1CA8" w:rsidP="00FF72FC">
      <w:r>
        <w:t>No exemption is being proposed.</w:t>
      </w:r>
    </w:p>
    <w:p w:rsidR="00FF72FC" w:rsidRDefault="00FF72FC" w:rsidP="00FF72FC">
      <w:pPr>
        <w:rPr>
          <w:rFonts w:eastAsia="Times New Roman"/>
          <w:b/>
        </w:rPr>
      </w:pPr>
      <w:r w:rsidRPr="000D1CA8">
        <w:rPr>
          <w:rFonts w:eastAsia="Times New Roman"/>
          <w:b/>
        </w:rPr>
        <w:t>A.18</w:t>
      </w:r>
      <w:r w:rsidRPr="000D1CA8">
        <w:rPr>
          <w:rFonts w:eastAsia="Times New Roman"/>
          <w:b/>
        </w:rPr>
        <w:tab/>
        <w:t>Exceptions to Certification for Paperwork Reduction Act Submissions</w:t>
      </w:r>
    </w:p>
    <w:p w:rsidR="000D1CA8" w:rsidRDefault="000D1CA8" w:rsidP="000D1CA8">
      <w:pPr>
        <w:spacing w:after="0" w:line="240" w:lineRule="auto"/>
      </w:pPr>
      <w:r>
        <w:t>These activities comply with the requirements in 5 CFR 1320.9.</w:t>
      </w:r>
    </w:p>
    <w:p w:rsidR="000D1CA8" w:rsidRPr="00E35DD1" w:rsidRDefault="000D1CA8" w:rsidP="00FF72FC"/>
    <w:p w:rsidR="009A69D6" w:rsidRDefault="009A69D6" w:rsidP="00767C53">
      <w:pPr>
        <w:rPr>
          <w:color w:val="000000"/>
        </w:rPr>
      </w:pPr>
    </w:p>
    <w:sectPr w:rsidR="009A69D6" w:rsidSect="00FE6EA5">
      <w:footerReference w:type="even" r:id="rId9"/>
      <w:footerReference w:type="default" r:id="rId10"/>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EE" w:rsidRDefault="003540EE">
      <w:pPr>
        <w:spacing w:after="0" w:line="240" w:lineRule="auto"/>
      </w:pPr>
      <w:r>
        <w:separator/>
      </w:r>
    </w:p>
  </w:endnote>
  <w:endnote w:type="continuationSeparator" w:id="0">
    <w:p w:rsidR="003540EE" w:rsidRDefault="003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67B2" w:rsidRDefault="009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4B6">
      <w:rPr>
        <w:rStyle w:val="PageNumber"/>
        <w:noProof/>
      </w:rPr>
      <w:t>8</w:t>
    </w:r>
    <w:r>
      <w:rPr>
        <w:rStyle w:val="PageNumber"/>
      </w:rPr>
      <w:fldChar w:fldCharType="end"/>
    </w:r>
  </w:p>
  <w:p w:rsidR="009667B2" w:rsidRDefault="009667B2" w:rsidP="00966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EE" w:rsidRDefault="003540EE">
      <w:pPr>
        <w:spacing w:after="0" w:line="240" w:lineRule="auto"/>
      </w:pPr>
      <w:r>
        <w:separator/>
      </w:r>
    </w:p>
  </w:footnote>
  <w:footnote w:type="continuationSeparator" w:id="0">
    <w:p w:rsidR="003540EE" w:rsidRDefault="003540EE">
      <w:pPr>
        <w:spacing w:after="0" w:line="240" w:lineRule="auto"/>
      </w:pPr>
      <w:r>
        <w:continuationSeparator/>
      </w:r>
    </w:p>
  </w:footnote>
  <w:footnote w:id="1">
    <w:p w:rsidR="000D1CA8" w:rsidRDefault="000D1CA8" w:rsidP="000D1CA8">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1"/>
  </w:num>
  <w:num w:numId="5">
    <w:abstractNumId w:val="7"/>
  </w:num>
  <w:num w:numId="6">
    <w:abstractNumId w:val="5"/>
  </w:num>
  <w:num w:numId="7">
    <w:abstractNumId w:val="8"/>
  </w:num>
  <w:num w:numId="8">
    <w:abstractNumId w:val="10"/>
  </w:num>
  <w:num w:numId="9">
    <w:abstractNumId w:val="9"/>
  </w:num>
  <w:num w:numId="10">
    <w:abstractNumId w:val="14"/>
  </w:num>
  <w:num w:numId="11">
    <w:abstractNumId w:val="3"/>
  </w:num>
  <w:num w:numId="12">
    <w:abstractNumId w:val="12"/>
  </w:num>
  <w:num w:numId="13">
    <w:abstractNumId w:val="11"/>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zMLQwNza3NLEwNTNT0lEKTi0uzszPAykwqwUASMyxPSwAAAA="/>
  </w:docVars>
  <w:rsids>
    <w:rsidRoot w:val="000F3043"/>
    <w:rsid w:val="00024899"/>
    <w:rsid w:val="00051406"/>
    <w:rsid w:val="000A16A1"/>
    <w:rsid w:val="000D1CA8"/>
    <w:rsid w:val="000F3043"/>
    <w:rsid w:val="00170EC9"/>
    <w:rsid w:val="00245089"/>
    <w:rsid w:val="00255F7C"/>
    <w:rsid w:val="002670CD"/>
    <w:rsid w:val="002A044E"/>
    <w:rsid w:val="002F4317"/>
    <w:rsid w:val="0030270C"/>
    <w:rsid w:val="00312856"/>
    <w:rsid w:val="003540EE"/>
    <w:rsid w:val="0036208F"/>
    <w:rsid w:val="003E5C04"/>
    <w:rsid w:val="004716CF"/>
    <w:rsid w:val="00497B81"/>
    <w:rsid w:val="005150E7"/>
    <w:rsid w:val="005410EA"/>
    <w:rsid w:val="00554592"/>
    <w:rsid w:val="005F4A54"/>
    <w:rsid w:val="00643D2B"/>
    <w:rsid w:val="006760FD"/>
    <w:rsid w:val="006825BB"/>
    <w:rsid w:val="00685B30"/>
    <w:rsid w:val="006A45F9"/>
    <w:rsid w:val="007063F8"/>
    <w:rsid w:val="00717158"/>
    <w:rsid w:val="00767C53"/>
    <w:rsid w:val="007D11BF"/>
    <w:rsid w:val="007E0F97"/>
    <w:rsid w:val="00824D7E"/>
    <w:rsid w:val="008359FA"/>
    <w:rsid w:val="0086248B"/>
    <w:rsid w:val="008942E9"/>
    <w:rsid w:val="00894FF4"/>
    <w:rsid w:val="00941822"/>
    <w:rsid w:val="009667B2"/>
    <w:rsid w:val="009810A0"/>
    <w:rsid w:val="009A69D6"/>
    <w:rsid w:val="009C3E9D"/>
    <w:rsid w:val="009E337C"/>
    <w:rsid w:val="00A00CF8"/>
    <w:rsid w:val="00A86220"/>
    <w:rsid w:val="00AA46D7"/>
    <w:rsid w:val="00AB5D88"/>
    <w:rsid w:val="00AC5E11"/>
    <w:rsid w:val="00AD04B6"/>
    <w:rsid w:val="00B00EB3"/>
    <w:rsid w:val="00B03736"/>
    <w:rsid w:val="00B61623"/>
    <w:rsid w:val="00BE5EFA"/>
    <w:rsid w:val="00BE76A7"/>
    <w:rsid w:val="00BF0C39"/>
    <w:rsid w:val="00BF491C"/>
    <w:rsid w:val="00C37E21"/>
    <w:rsid w:val="00D233BF"/>
    <w:rsid w:val="00D34BE5"/>
    <w:rsid w:val="00D7280E"/>
    <w:rsid w:val="00DB1217"/>
    <w:rsid w:val="00DE2CBC"/>
    <w:rsid w:val="00DE5570"/>
    <w:rsid w:val="00E03967"/>
    <w:rsid w:val="00E26338"/>
    <w:rsid w:val="00E35DD1"/>
    <w:rsid w:val="00E56374"/>
    <w:rsid w:val="00E67B10"/>
    <w:rsid w:val="00E72390"/>
    <w:rsid w:val="00EE245F"/>
    <w:rsid w:val="00EF7F62"/>
    <w:rsid w:val="00F33485"/>
    <w:rsid w:val="00F52557"/>
    <w:rsid w:val="00FB346E"/>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A02F322"/>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1CA8"/>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0D1CA8"/>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0D1CA8"/>
    <w:rPr>
      <w:vertAlign w:val="superscript"/>
    </w:rPr>
  </w:style>
  <w:style w:type="character" w:styleId="FollowedHyperlink">
    <w:name w:val="FollowedHyperlink"/>
    <w:basedOn w:val="DefaultParagraphFont"/>
    <w:uiPriority w:val="99"/>
    <w:semiHidden/>
    <w:unhideWhenUsed/>
    <w:rsid w:val="000D1C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14820</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dcterms:created xsi:type="dcterms:W3CDTF">2017-03-07T20:12:00Z</dcterms:created>
  <dcterms:modified xsi:type="dcterms:W3CDTF">2017-03-07T20:12:00Z</dcterms:modified>
</cp:coreProperties>
</file>