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EFA66" w14:textId="109022DC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90605B">
        <w:t>0642</w:t>
      </w:r>
      <w:r w:rsidR="00686301">
        <w:t xml:space="preserve"> Exp</w:t>
      </w:r>
      <w:r w:rsidR="0090605B">
        <w:t>Date:05/2020</w:t>
      </w:r>
      <w:r>
        <w:rPr>
          <w:sz w:val="28"/>
        </w:rPr>
        <w:t>)</w:t>
      </w:r>
    </w:p>
    <w:p w14:paraId="1BB8D653" w14:textId="7D32B4A7" w:rsidR="00E50293" w:rsidRPr="009239AA" w:rsidRDefault="00BD54A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BB848B" wp14:editId="2F3308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line w14:anchorId="0B2A8B3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351E6">
        <w:t xml:space="preserve">NCEF </w:t>
      </w:r>
      <w:r w:rsidR="004B6272">
        <w:t>Surv</w:t>
      </w:r>
      <w:r w:rsidR="007A5B75">
        <w:t>ey</w:t>
      </w:r>
      <w:r w:rsidR="005363B0">
        <w:t xml:space="preserve"> for </w:t>
      </w:r>
      <w:bookmarkStart w:id="0" w:name="_GoBack"/>
      <w:bookmarkEnd w:id="0"/>
      <w:r w:rsidR="005363B0">
        <w:t>Program Operations</w:t>
      </w:r>
    </w:p>
    <w:p w14:paraId="1D02FBA1" w14:textId="77777777" w:rsidR="005E714A" w:rsidRDefault="005E714A"/>
    <w:p w14:paraId="167C224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3A5221B" w14:textId="1C45AAC4" w:rsidR="001B0AAA" w:rsidRDefault="007A5B75">
      <w:r>
        <w:t xml:space="preserve">The National Cryo Electron Microscopy Facility (NCEF) provides </w:t>
      </w:r>
      <w:r>
        <w:rPr>
          <w:lang w:val="en"/>
        </w:rPr>
        <w:t xml:space="preserve">extramural </w:t>
      </w:r>
      <w:r w:rsidRPr="007A5B75">
        <w:rPr>
          <w:lang w:val="en"/>
        </w:rPr>
        <w:t>cancer researchers access to the latest cryo-EM technology for high resolution imaging.</w:t>
      </w:r>
      <w:r w:rsidR="004B6272">
        <w:rPr>
          <w:lang w:val="en"/>
        </w:rPr>
        <w:t xml:space="preserve">  </w:t>
      </w:r>
      <w:r>
        <w:t>The purpose of this survey is t</w:t>
      </w:r>
      <w:r w:rsidR="00773CB5">
        <w:t xml:space="preserve">o gather customer feedback </w:t>
      </w:r>
      <w:r w:rsidR="0090605B">
        <w:t xml:space="preserve">to better service delivery </w:t>
      </w:r>
      <w:r w:rsidR="00773CB5">
        <w:t>for the NCEF Program.</w:t>
      </w:r>
      <w:r>
        <w:t xml:space="preserve">  </w:t>
      </w:r>
      <w:r w:rsidR="003D758A">
        <w:t>The information gathered will primarily be used within the NCEF and NCI but may also be shared</w:t>
      </w:r>
      <w:r w:rsidR="00AA266A">
        <w:t xml:space="preserve"> with NCI advisory committees (although </w:t>
      </w:r>
      <w:r w:rsidR="00D12FF4">
        <w:t>c</w:t>
      </w:r>
      <w:r w:rsidR="003D758A">
        <w:t xml:space="preserve">omments and responses will not be </w:t>
      </w:r>
      <w:r w:rsidR="00D12FF4">
        <w:t>attributed to individual people</w:t>
      </w:r>
      <w:r w:rsidR="00AA266A">
        <w:t>)</w:t>
      </w:r>
      <w:r w:rsidR="00D12FF4">
        <w:t>.</w:t>
      </w:r>
    </w:p>
    <w:p w14:paraId="111A372F" w14:textId="77777777" w:rsidR="00C8488C" w:rsidRDefault="00C8488C"/>
    <w:p w14:paraId="7E5D1FA4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593CCD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22539AE" w14:textId="77777777" w:rsidR="00F15956" w:rsidRDefault="00F15956"/>
    <w:p w14:paraId="09229431" w14:textId="49642827" w:rsidR="00C8488C" w:rsidRDefault="002A4D7D">
      <w:r>
        <w:t xml:space="preserve">The respondents are </w:t>
      </w:r>
      <w:r w:rsidR="00895FD7">
        <w:t>120 u</w:t>
      </w:r>
      <w:r w:rsidR="006B3DF3">
        <w:t xml:space="preserve">sers of the NCEF who are </w:t>
      </w:r>
      <w:r w:rsidR="00E85613">
        <w:t xml:space="preserve">extramural </w:t>
      </w:r>
      <w:r w:rsidR="006B3DF3">
        <w:t>scientist that</w:t>
      </w:r>
      <w:r w:rsidR="00E85613">
        <w:t xml:space="preserve"> perform </w:t>
      </w:r>
      <w:r w:rsidR="006B3DF3">
        <w:t xml:space="preserve">cancer related </w:t>
      </w:r>
      <w:r w:rsidR="00E85613">
        <w:t>scientific research that require</w:t>
      </w:r>
      <w:r w:rsidR="004B6272">
        <w:t>s</w:t>
      </w:r>
      <w:r w:rsidR="00E85613">
        <w:t xml:space="preserve"> </w:t>
      </w:r>
      <w:r w:rsidR="004E035F">
        <w:t xml:space="preserve">cryo-EM </w:t>
      </w:r>
      <w:r w:rsidR="00E85613">
        <w:t xml:space="preserve">high resolution imaging </w:t>
      </w:r>
      <w:r>
        <w:t>data collection of</w:t>
      </w:r>
      <w:r w:rsidR="004E035F">
        <w:t xml:space="preserve"> their samples </w:t>
      </w:r>
      <w:r w:rsidR="00E85613">
        <w:t xml:space="preserve">to support </w:t>
      </w:r>
      <w:r w:rsidR="004B6272">
        <w:t>their work in producing publications for scientific journals</w:t>
      </w:r>
      <w:r w:rsidR="00E85613">
        <w:t>.</w:t>
      </w:r>
      <w:r>
        <w:t xml:space="preserve">  Scientist </w:t>
      </w:r>
      <w:r w:rsidR="00BC539D">
        <w:t xml:space="preserve">include </w:t>
      </w:r>
      <w:r>
        <w:t>principal investigator</w:t>
      </w:r>
      <w:r w:rsidR="006B3DF3">
        <w:t>s</w:t>
      </w:r>
      <w:r>
        <w:t xml:space="preserve">, post-doctoral researchers, graduate students, post-baccalaureate students, and lab technicians.   </w:t>
      </w:r>
      <w:r w:rsidR="00E85613">
        <w:t xml:space="preserve">   </w:t>
      </w:r>
    </w:p>
    <w:p w14:paraId="5D059857" w14:textId="77777777" w:rsidR="00E26329" w:rsidRDefault="00E26329">
      <w:pPr>
        <w:rPr>
          <w:b/>
        </w:rPr>
      </w:pPr>
    </w:p>
    <w:p w14:paraId="3AB2330C" w14:textId="77777777" w:rsidR="00E26329" w:rsidRDefault="00E26329">
      <w:pPr>
        <w:rPr>
          <w:b/>
        </w:rPr>
      </w:pPr>
    </w:p>
    <w:p w14:paraId="615D2D5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EA18EF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F584B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773CB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3F0960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B7691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2A46C70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84E628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226F96F" w14:textId="77777777" w:rsidR="00441434" w:rsidRDefault="00441434">
      <w:pPr>
        <w:rPr>
          <w:sz w:val="16"/>
          <w:szCs w:val="16"/>
        </w:rPr>
      </w:pPr>
    </w:p>
    <w:p w14:paraId="5C3C053E" w14:textId="77777777" w:rsidR="008101A5" w:rsidRPr="009C13B9" w:rsidRDefault="008101A5" w:rsidP="008101A5">
      <w:r>
        <w:t xml:space="preserve">I certify the following to be true: </w:t>
      </w:r>
    </w:p>
    <w:p w14:paraId="05A2075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400A36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8A21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39DF1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C2FF32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69121A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8C4B366" w14:textId="77777777" w:rsidR="009C13B9" w:rsidRDefault="009C13B9" w:rsidP="009C13B9"/>
    <w:p w14:paraId="0758FB65" w14:textId="1C13ED08" w:rsidR="009C13B9" w:rsidRDefault="009C13B9" w:rsidP="00D4331A">
      <w:r>
        <w:t>Name:_____</w:t>
      </w:r>
      <w:r w:rsidR="00D4331A" w:rsidRPr="00D4331A">
        <w:rPr>
          <w:u w:val="single"/>
        </w:rPr>
        <w:t>Sara Hook</w:t>
      </w:r>
    </w:p>
    <w:p w14:paraId="43791257" w14:textId="77777777" w:rsidR="00D4331A" w:rsidRDefault="00D4331A" w:rsidP="00D4331A"/>
    <w:p w14:paraId="7BB10D2E" w14:textId="77777777" w:rsidR="009C13B9" w:rsidRDefault="009C13B9" w:rsidP="009C13B9">
      <w:r>
        <w:t>To assist review, please provide answers to the following question:</w:t>
      </w:r>
    </w:p>
    <w:p w14:paraId="5253A674" w14:textId="77777777" w:rsidR="009C13B9" w:rsidRDefault="009C13B9" w:rsidP="009C13B9">
      <w:pPr>
        <w:pStyle w:val="ListParagraph"/>
        <w:ind w:left="360"/>
      </w:pPr>
    </w:p>
    <w:p w14:paraId="6E259D0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405530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773CB5">
        <w:t>X</w:t>
      </w:r>
      <w:r w:rsidR="009239AA">
        <w:t xml:space="preserve">]  No </w:t>
      </w:r>
    </w:p>
    <w:p w14:paraId="4B4E422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2E7D5F">
        <w:t>X</w:t>
      </w:r>
      <w:r w:rsidR="009239AA">
        <w:t xml:space="preserve">  ] No</w:t>
      </w:r>
      <w:r w:rsidR="00C86E91">
        <w:t xml:space="preserve">   </w:t>
      </w:r>
    </w:p>
    <w:p w14:paraId="144D990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F84181">
        <w:t>X</w:t>
      </w:r>
      <w:r>
        <w:t xml:space="preserve"> ] No</w:t>
      </w:r>
    </w:p>
    <w:p w14:paraId="7FF3A156" w14:textId="77777777" w:rsidR="00633F74" w:rsidRDefault="00633F74" w:rsidP="00633F74">
      <w:pPr>
        <w:pStyle w:val="ListParagraph"/>
        <w:ind w:left="360"/>
      </w:pPr>
    </w:p>
    <w:p w14:paraId="4081689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F9718FD" w14:textId="77777777" w:rsidR="00C86E91" w:rsidRDefault="00C86E91" w:rsidP="00C86E91">
      <w:r>
        <w:t>Is an incentive (e.g., money or reimbursement of expenses, token of appreciation) provided to participants?  [  ] Yes [</w:t>
      </w:r>
      <w:r w:rsidR="002E7D5F">
        <w:t>X</w:t>
      </w:r>
      <w:r>
        <w:t xml:space="preserve">  ] No  </w:t>
      </w:r>
    </w:p>
    <w:p w14:paraId="22A68677" w14:textId="77777777" w:rsidR="004D6E14" w:rsidRDefault="004D6E14">
      <w:pPr>
        <w:rPr>
          <w:b/>
        </w:rPr>
      </w:pPr>
    </w:p>
    <w:p w14:paraId="698153ED" w14:textId="77777777" w:rsidR="00F24CFC" w:rsidRDefault="00F24CFC">
      <w:pPr>
        <w:rPr>
          <w:b/>
        </w:rPr>
      </w:pPr>
    </w:p>
    <w:p w14:paraId="217D9CFE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6AFC735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14:paraId="684D5C44" w14:textId="77777777" w:rsidTr="009A036B">
        <w:trPr>
          <w:trHeight w:val="274"/>
        </w:trPr>
        <w:tc>
          <w:tcPr>
            <w:tcW w:w="2790" w:type="dxa"/>
          </w:tcPr>
          <w:p w14:paraId="71E1E436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01FCE588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5DFE33E6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7C19DFD0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7AC1691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6FEA70A5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14:paraId="0FF05E1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13561416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735C9216" w14:textId="77777777" w:rsidTr="009A036B">
        <w:trPr>
          <w:trHeight w:val="260"/>
        </w:trPr>
        <w:tc>
          <w:tcPr>
            <w:tcW w:w="2790" w:type="dxa"/>
          </w:tcPr>
          <w:p w14:paraId="7AD99975" w14:textId="77777777" w:rsidR="003668D6" w:rsidRDefault="001D77E4" w:rsidP="00843796">
            <w:r>
              <w:t>Individuals</w:t>
            </w:r>
          </w:p>
        </w:tc>
        <w:tc>
          <w:tcPr>
            <w:tcW w:w="2250" w:type="dxa"/>
          </w:tcPr>
          <w:p w14:paraId="08E107E8" w14:textId="77777777" w:rsidR="003668D6" w:rsidRDefault="001D77E4" w:rsidP="00843796">
            <w:r>
              <w:t>120</w:t>
            </w:r>
          </w:p>
        </w:tc>
        <w:tc>
          <w:tcPr>
            <w:tcW w:w="2520" w:type="dxa"/>
          </w:tcPr>
          <w:p w14:paraId="3BF9000F" w14:textId="77777777" w:rsidR="003668D6" w:rsidRDefault="00BD54A4" w:rsidP="00843796">
            <w:r>
              <w:t>1</w:t>
            </w:r>
          </w:p>
        </w:tc>
        <w:tc>
          <w:tcPr>
            <w:tcW w:w="1620" w:type="dxa"/>
          </w:tcPr>
          <w:p w14:paraId="5A8422CE" w14:textId="77777777" w:rsidR="003668D6" w:rsidRDefault="00BD54A4" w:rsidP="00843796">
            <w:r>
              <w:t>3</w:t>
            </w:r>
            <w:r w:rsidR="001D77E4">
              <w:t>/60</w:t>
            </w:r>
          </w:p>
        </w:tc>
        <w:tc>
          <w:tcPr>
            <w:tcW w:w="1547" w:type="dxa"/>
          </w:tcPr>
          <w:p w14:paraId="1A380D22" w14:textId="22654B9E" w:rsidR="003668D6" w:rsidRDefault="004E035F" w:rsidP="00843796">
            <w:r>
              <w:t>6</w:t>
            </w:r>
          </w:p>
        </w:tc>
      </w:tr>
      <w:tr w:rsidR="003668D6" w14:paraId="70400D6E" w14:textId="77777777" w:rsidTr="009A036B">
        <w:trPr>
          <w:trHeight w:val="289"/>
        </w:trPr>
        <w:tc>
          <w:tcPr>
            <w:tcW w:w="2790" w:type="dxa"/>
          </w:tcPr>
          <w:p w14:paraId="69C15117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850D020" w14:textId="77777777" w:rsidR="003668D6" w:rsidRPr="002D26E2" w:rsidRDefault="00BD54A4" w:rsidP="00843796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520" w:type="dxa"/>
          </w:tcPr>
          <w:p w14:paraId="0F4D1D44" w14:textId="694355CE" w:rsidR="003668D6" w:rsidRDefault="00D46EEF" w:rsidP="00843796">
            <w:r>
              <w:t>120</w:t>
            </w:r>
          </w:p>
        </w:tc>
        <w:tc>
          <w:tcPr>
            <w:tcW w:w="1620" w:type="dxa"/>
          </w:tcPr>
          <w:p w14:paraId="1C6871AD" w14:textId="6BE7F3FB" w:rsidR="003668D6" w:rsidRPr="005E165C" w:rsidRDefault="003668D6" w:rsidP="00843796">
            <w:pPr>
              <w:rPr>
                <w:b/>
              </w:rPr>
            </w:pPr>
          </w:p>
        </w:tc>
        <w:tc>
          <w:tcPr>
            <w:tcW w:w="1547" w:type="dxa"/>
          </w:tcPr>
          <w:p w14:paraId="6DDDC79F" w14:textId="2312B202" w:rsidR="003668D6" w:rsidRPr="002D26E2" w:rsidRDefault="004E035F" w:rsidP="0084379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14:paraId="645019BD" w14:textId="77777777" w:rsidR="00F3170F" w:rsidRDefault="00F3170F" w:rsidP="00F3170F"/>
    <w:p w14:paraId="6FF84D56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2E12B0ED" w14:textId="77777777" w:rsidTr="00CA2010">
        <w:trPr>
          <w:trHeight w:val="274"/>
        </w:trPr>
        <w:tc>
          <w:tcPr>
            <w:tcW w:w="2790" w:type="dxa"/>
          </w:tcPr>
          <w:p w14:paraId="23BBC8BE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7610D518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7ECC03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73A134A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0A6DA38B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2B27B9E1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1FBBD3EF" w14:textId="77777777" w:rsidTr="00BD54A4">
        <w:trPr>
          <w:trHeight w:val="413"/>
        </w:trPr>
        <w:tc>
          <w:tcPr>
            <w:tcW w:w="2790" w:type="dxa"/>
          </w:tcPr>
          <w:p w14:paraId="1E1A32D1" w14:textId="77777777" w:rsidR="00CA2010" w:rsidRPr="009A036B" w:rsidRDefault="001D77E4" w:rsidP="009A036B">
            <w:r>
              <w:t>Individuals</w:t>
            </w:r>
          </w:p>
        </w:tc>
        <w:tc>
          <w:tcPr>
            <w:tcW w:w="2250" w:type="dxa"/>
          </w:tcPr>
          <w:p w14:paraId="6E1C30AC" w14:textId="137D7F88" w:rsidR="00CA2010" w:rsidRPr="009A036B" w:rsidRDefault="00D4331A" w:rsidP="009A036B">
            <w:r>
              <w:t>6</w:t>
            </w:r>
          </w:p>
        </w:tc>
        <w:tc>
          <w:tcPr>
            <w:tcW w:w="2520" w:type="dxa"/>
          </w:tcPr>
          <w:p w14:paraId="4A8431E4" w14:textId="77777777" w:rsidR="00CA2010" w:rsidRPr="009A036B" w:rsidRDefault="009321AC" w:rsidP="009A036B">
            <w:r>
              <w:t>$20.80/hr</w:t>
            </w:r>
          </w:p>
        </w:tc>
        <w:tc>
          <w:tcPr>
            <w:tcW w:w="1620" w:type="dxa"/>
          </w:tcPr>
          <w:p w14:paraId="4C7AD7F6" w14:textId="77C2FF2B" w:rsidR="00CA2010" w:rsidRPr="009A036B" w:rsidRDefault="00F143B5" w:rsidP="009A036B">
            <w:r>
              <w:t>$</w:t>
            </w:r>
            <w:r w:rsidR="00D4331A">
              <w:t>124.80</w:t>
            </w:r>
          </w:p>
        </w:tc>
      </w:tr>
      <w:tr w:rsidR="00CA2010" w:rsidRPr="009A036B" w14:paraId="02D27EEC" w14:textId="77777777" w:rsidTr="00CA2010">
        <w:trPr>
          <w:trHeight w:val="289"/>
        </w:trPr>
        <w:tc>
          <w:tcPr>
            <w:tcW w:w="2790" w:type="dxa"/>
          </w:tcPr>
          <w:p w14:paraId="03BE29F5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15C3CF9" w14:textId="1287EABA" w:rsidR="00CA2010" w:rsidRPr="009A036B" w:rsidRDefault="00D4331A" w:rsidP="009A036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20" w:type="dxa"/>
          </w:tcPr>
          <w:p w14:paraId="3A9BF34D" w14:textId="77777777" w:rsidR="00CA2010" w:rsidRPr="009A036B" w:rsidRDefault="00CA2010" w:rsidP="009A036B"/>
        </w:tc>
        <w:tc>
          <w:tcPr>
            <w:tcW w:w="1620" w:type="dxa"/>
          </w:tcPr>
          <w:p w14:paraId="0BD19875" w14:textId="1DCDF517" w:rsidR="00CA2010" w:rsidRPr="009A036B" w:rsidRDefault="00F143B5" w:rsidP="009A036B">
            <w:r>
              <w:t>$</w:t>
            </w:r>
            <w:r w:rsidR="00D4331A">
              <w:t>124.80</w:t>
            </w:r>
          </w:p>
        </w:tc>
      </w:tr>
    </w:tbl>
    <w:p w14:paraId="605BE2F9" w14:textId="77777777" w:rsidR="009A036B" w:rsidRPr="009A036B" w:rsidRDefault="009A036B" w:rsidP="009A036B"/>
    <w:p w14:paraId="401F4FFD" w14:textId="77777777" w:rsidR="009A036B" w:rsidRDefault="00CA2010" w:rsidP="009A036B">
      <w:r>
        <w:t>*Cite source per bls.gov if applicable</w:t>
      </w:r>
      <w:r w:rsidR="00167662">
        <w:t xml:space="preserve">:  Labor Force Stats. </w:t>
      </w:r>
      <w:hyperlink r:id="rId8" w:history="1">
        <w:r w:rsidR="00167662" w:rsidRPr="00B47A7A">
          <w:rPr>
            <w:rStyle w:val="Hyperlink"/>
          </w:rPr>
          <w:t>www.bls.gov/cps/cpsaat37.htm</w:t>
        </w:r>
      </w:hyperlink>
    </w:p>
    <w:p w14:paraId="0C4C6C1D" w14:textId="77777777" w:rsidR="00167662" w:rsidRPr="009A036B" w:rsidRDefault="00167662" w:rsidP="009A036B"/>
    <w:p w14:paraId="6ADC47C9" w14:textId="77777777" w:rsidR="009A036B" w:rsidRDefault="009A036B" w:rsidP="00F3170F"/>
    <w:p w14:paraId="1FBACD27" w14:textId="77777777" w:rsidR="00441434" w:rsidRDefault="00441434" w:rsidP="00F3170F"/>
    <w:p w14:paraId="5C5D10A1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2A65DF">
        <w:t xml:space="preserve">to the Federal government is </w:t>
      </w:r>
      <w:r w:rsidR="00C86E91">
        <w:t>_____</w:t>
      </w:r>
      <w:r w:rsidR="002A65DF">
        <w:t>$896</w:t>
      </w:r>
      <w:r w:rsidR="00C86E91">
        <w:t>____</w:t>
      </w:r>
    </w:p>
    <w:p w14:paraId="7953EAEB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236831EF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10F2F6CA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05B5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CF75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6A38A8A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BF55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044E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F34A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E36DA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62BA6A3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269A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CC872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8FE2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B70C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352E5E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B8857" w14:textId="77777777" w:rsidR="009A036B" w:rsidRPr="009A036B" w:rsidRDefault="009A036B" w:rsidP="009A036B"/>
        </w:tc>
      </w:tr>
      <w:tr w:rsidR="00BD54A4" w:rsidRPr="009A036B" w14:paraId="5567658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A9116" w14:textId="6BC61843" w:rsidR="00BD54A4" w:rsidRPr="009A036B" w:rsidRDefault="00AB4CFD" w:rsidP="00BD54A4">
            <w:r>
              <w:t>P</w:t>
            </w:r>
            <w:r w:rsidR="004E035F">
              <w:t>roject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CB42F" w14:textId="77777777" w:rsidR="00BD54A4" w:rsidRPr="009A036B" w:rsidRDefault="00BD54A4" w:rsidP="00BD54A4">
            <w:r>
              <w:t>GS 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95BF1" w14:textId="77777777" w:rsidR="00BD54A4" w:rsidRPr="009A036B" w:rsidRDefault="00BD54A4" w:rsidP="00BD54A4">
            <w:r>
              <w:t>136,000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929E8" w14:textId="77777777" w:rsidR="00BD54A4" w:rsidRPr="009A036B" w:rsidRDefault="00BD54A4" w:rsidP="00BD54A4">
            <w:r>
              <w:t>0.0025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6297EC7" w14:textId="77777777" w:rsidR="00BD54A4" w:rsidRPr="009A036B" w:rsidRDefault="00BD54A4" w:rsidP="00BD54A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1556F" w14:textId="77777777" w:rsidR="00BD54A4" w:rsidRPr="009A036B" w:rsidRDefault="00BD54A4" w:rsidP="00BD54A4">
            <w:r>
              <w:t>$340</w:t>
            </w:r>
          </w:p>
        </w:tc>
      </w:tr>
      <w:tr w:rsidR="00BD54A4" w:rsidRPr="009A036B" w14:paraId="36CA7042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EEAE7" w14:textId="77777777" w:rsidR="00BD54A4" w:rsidRPr="009A036B" w:rsidRDefault="00BD54A4" w:rsidP="00BD54A4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5A691F6" w14:textId="77777777" w:rsidR="00BD54A4" w:rsidRPr="009A036B" w:rsidRDefault="00BD54A4" w:rsidP="00BD54A4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A4F60" w14:textId="77777777" w:rsidR="00BD54A4" w:rsidRPr="009A036B" w:rsidRDefault="00BD54A4" w:rsidP="00BD54A4">
            <w:r>
              <w:t>95,000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3FAE0" w14:textId="77777777" w:rsidR="00BD54A4" w:rsidRPr="009A036B" w:rsidRDefault="00BD54A4" w:rsidP="00BD54A4">
            <w:r>
              <w:t>0.0045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C5DE3" w14:textId="77777777" w:rsidR="00BD54A4" w:rsidRPr="009A036B" w:rsidRDefault="00BD54A4" w:rsidP="00BD54A4">
            <w:r>
              <w:t>$128.25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A8057" w14:textId="77777777" w:rsidR="00BD54A4" w:rsidRPr="009A036B" w:rsidRDefault="00BD54A4" w:rsidP="00BD54A4">
            <w:r>
              <w:t>$556</w:t>
            </w:r>
          </w:p>
        </w:tc>
      </w:tr>
      <w:tr w:rsidR="00BD54A4" w:rsidRPr="009A036B" w14:paraId="03F74322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AFE8C" w14:textId="77777777" w:rsidR="00BD54A4" w:rsidRPr="009A036B" w:rsidRDefault="00BD54A4" w:rsidP="00BD54A4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B3428C9" w14:textId="77777777" w:rsidR="00BD54A4" w:rsidRPr="009A036B" w:rsidRDefault="00BD54A4" w:rsidP="00BD54A4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D7E63" w14:textId="77777777" w:rsidR="00BD54A4" w:rsidRPr="009A036B" w:rsidRDefault="00BD54A4" w:rsidP="00BD54A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66DDD" w14:textId="77777777" w:rsidR="00BD54A4" w:rsidRPr="009A036B" w:rsidRDefault="00BD54A4" w:rsidP="00BD54A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A17F37" w14:textId="77777777" w:rsidR="00BD54A4" w:rsidRPr="009A036B" w:rsidRDefault="00BD54A4" w:rsidP="00BD54A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9A4934" w14:textId="4A738CDD" w:rsidR="00BD54A4" w:rsidRPr="009A036B" w:rsidRDefault="00D4331A" w:rsidP="00BD54A4">
            <w:r>
              <w:t>0</w:t>
            </w:r>
          </w:p>
        </w:tc>
      </w:tr>
      <w:tr w:rsidR="00BD54A4" w:rsidRPr="009A036B" w14:paraId="29594BA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D730C4" w14:textId="77777777" w:rsidR="00BD54A4" w:rsidRPr="009A036B" w:rsidRDefault="00BD54A4" w:rsidP="00BD54A4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7698A2" w14:textId="77777777" w:rsidR="00BD54A4" w:rsidRPr="009A036B" w:rsidRDefault="00BD54A4" w:rsidP="00BD54A4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A58FE" w14:textId="77777777" w:rsidR="00BD54A4" w:rsidRPr="009A036B" w:rsidRDefault="00BD54A4" w:rsidP="00BD54A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4CF75" w14:textId="77777777" w:rsidR="00BD54A4" w:rsidRPr="009A036B" w:rsidRDefault="00BD54A4" w:rsidP="00BD54A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3578469" w14:textId="77777777" w:rsidR="00BD54A4" w:rsidRPr="009A036B" w:rsidRDefault="00BD54A4" w:rsidP="00BD54A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F7FDF" w14:textId="6989C7EE" w:rsidR="00BD54A4" w:rsidRPr="009A036B" w:rsidRDefault="00D4331A" w:rsidP="00BD54A4">
            <w:r>
              <w:t>0</w:t>
            </w:r>
          </w:p>
        </w:tc>
      </w:tr>
      <w:tr w:rsidR="00BD54A4" w:rsidRPr="004351E6" w14:paraId="14A91A4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03AA4" w14:textId="77777777" w:rsidR="00BD54A4" w:rsidRPr="004351E6" w:rsidRDefault="00BD54A4" w:rsidP="00BD54A4">
            <w:pPr>
              <w:rPr>
                <w:b/>
              </w:rPr>
            </w:pPr>
            <w:r w:rsidRPr="004351E6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664EF0" w14:textId="77777777" w:rsidR="00BD54A4" w:rsidRPr="004351E6" w:rsidRDefault="00BD54A4" w:rsidP="00BD54A4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F3137" w14:textId="77777777" w:rsidR="00BD54A4" w:rsidRPr="004351E6" w:rsidRDefault="00BD54A4" w:rsidP="00BD54A4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FF7A0" w14:textId="77777777" w:rsidR="00BD54A4" w:rsidRPr="004351E6" w:rsidRDefault="00BD54A4" w:rsidP="00BD54A4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B9DA7" w14:textId="77777777" w:rsidR="00BD54A4" w:rsidRPr="004351E6" w:rsidRDefault="00BD54A4" w:rsidP="00BD54A4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BD222" w14:textId="77777777" w:rsidR="00BD54A4" w:rsidRPr="004351E6" w:rsidRDefault="00BD54A4" w:rsidP="00BD54A4">
            <w:pPr>
              <w:rPr>
                <w:b/>
              </w:rPr>
            </w:pPr>
            <w:r w:rsidRPr="004351E6">
              <w:rPr>
                <w:b/>
              </w:rPr>
              <w:t>$896</w:t>
            </w:r>
          </w:p>
        </w:tc>
      </w:tr>
    </w:tbl>
    <w:p w14:paraId="3660D00F" w14:textId="77777777" w:rsidR="009A036B" w:rsidRPr="009A036B" w:rsidRDefault="009A036B" w:rsidP="009A036B"/>
    <w:p w14:paraId="3B1AB2E1" w14:textId="77777777" w:rsidR="009A036B" w:rsidRDefault="009A036B">
      <w:pPr>
        <w:rPr>
          <w:b/>
        </w:rPr>
      </w:pPr>
    </w:p>
    <w:p w14:paraId="0A4D3D01" w14:textId="77777777" w:rsidR="00ED6492" w:rsidRDefault="00ED6492">
      <w:pPr>
        <w:rPr>
          <w:b/>
          <w:bCs/>
          <w:u w:val="single"/>
        </w:rPr>
      </w:pPr>
    </w:p>
    <w:p w14:paraId="502A0BFB" w14:textId="062C8D4B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6B3DF3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781A73FF" w14:textId="77777777" w:rsidR="0069403B" w:rsidRDefault="0069403B" w:rsidP="00F06866">
      <w:pPr>
        <w:rPr>
          <w:b/>
        </w:rPr>
      </w:pPr>
    </w:p>
    <w:p w14:paraId="29E0F95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6CA7A9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70AB0">
        <w:t>X</w:t>
      </w:r>
      <w:r>
        <w:t xml:space="preserve"> ] Yes</w:t>
      </w:r>
      <w:r>
        <w:tab/>
        <w:t>[ ] No</w:t>
      </w:r>
    </w:p>
    <w:p w14:paraId="10CEA41E" w14:textId="77777777" w:rsidR="00636621" w:rsidRDefault="00636621" w:rsidP="00636621">
      <w:pPr>
        <w:pStyle w:val="ListParagraph"/>
      </w:pPr>
    </w:p>
    <w:p w14:paraId="627AC686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B1EE24A" w14:textId="77777777" w:rsidR="00A403BB" w:rsidRDefault="00A403BB" w:rsidP="00A403BB">
      <w:pPr>
        <w:pStyle w:val="ListParagraph"/>
      </w:pPr>
    </w:p>
    <w:p w14:paraId="0ADC0209" w14:textId="7BEA9EBF" w:rsidR="00A403BB" w:rsidRDefault="00EB5E04" w:rsidP="00A403BB">
      <w:r>
        <w:t>NCEF will us</w:t>
      </w:r>
      <w:r w:rsidR="00895FD7">
        <w:t>e</w:t>
      </w:r>
      <w:r>
        <w:t xml:space="preserve"> the list of customers that the program has provided services to.  </w:t>
      </w:r>
    </w:p>
    <w:p w14:paraId="3546BBE2" w14:textId="77777777" w:rsidR="00167662" w:rsidRDefault="00167662" w:rsidP="00A403BB">
      <w:pPr>
        <w:rPr>
          <w:b/>
        </w:rPr>
      </w:pPr>
    </w:p>
    <w:p w14:paraId="75A291C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8C0A1B0" w14:textId="77777777" w:rsidR="007B54DB" w:rsidRDefault="007B54DB" w:rsidP="00A403BB">
      <w:pPr>
        <w:rPr>
          <w:b/>
        </w:rPr>
      </w:pPr>
    </w:p>
    <w:p w14:paraId="1107E7EF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7596D33" w14:textId="77777777" w:rsidR="001B0AAA" w:rsidRDefault="00A403BB" w:rsidP="001B0AAA">
      <w:pPr>
        <w:ind w:left="720"/>
      </w:pPr>
      <w:r>
        <w:t xml:space="preserve">[ </w:t>
      </w:r>
      <w:r w:rsidR="00EB5E04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CBF32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DF8348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6048A2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7356D0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7A3DA50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B5E04">
        <w:t>X</w:t>
      </w:r>
      <w:r>
        <w:t xml:space="preserve"> ] No</w:t>
      </w:r>
    </w:p>
    <w:p w14:paraId="1434ADB1" w14:textId="36EA1EC9" w:rsidR="0024521E" w:rsidRPr="0090605B" w:rsidRDefault="00F24CFC" w:rsidP="0090605B">
      <w:pPr>
        <w:pStyle w:val="ListParagraph"/>
        <w:ind w:left="360"/>
      </w:pPr>
      <w:r>
        <w:t xml:space="preserve"> </w:t>
      </w:r>
    </w:p>
    <w:p w14:paraId="43F819D2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200361CF" w14:textId="77777777" w:rsidR="00AE14B1" w:rsidRPr="00AE14B1" w:rsidRDefault="00AE14B1" w:rsidP="00AE14B1"/>
    <w:p w14:paraId="3CCC17D8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B6FDD" w14:textId="77777777" w:rsidR="003D45CA" w:rsidRDefault="003D45CA">
      <w:r>
        <w:separator/>
      </w:r>
    </w:p>
  </w:endnote>
  <w:endnote w:type="continuationSeparator" w:id="0">
    <w:p w14:paraId="180D61EF" w14:textId="77777777" w:rsidR="003D45CA" w:rsidRDefault="003D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BE92B" w14:textId="4282C1F5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351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F33B" w14:textId="77777777" w:rsidR="003D45CA" w:rsidRDefault="003D45CA">
      <w:r>
        <w:separator/>
      </w:r>
    </w:p>
  </w:footnote>
  <w:footnote w:type="continuationSeparator" w:id="0">
    <w:p w14:paraId="2AD15EC5" w14:textId="77777777" w:rsidR="003D45CA" w:rsidRDefault="003D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A8143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3MDeyMLcwNjGxsDBV0lEKTi0uzszPAykwrgUAAshV1CwAAAA="/>
  </w:docVars>
  <w:rsids>
    <w:rsidRoot w:val="00D6383F"/>
    <w:rsid w:val="000071D1"/>
    <w:rsid w:val="00023A57"/>
    <w:rsid w:val="00047A64"/>
    <w:rsid w:val="00067329"/>
    <w:rsid w:val="000722CE"/>
    <w:rsid w:val="0007765F"/>
    <w:rsid w:val="000913EC"/>
    <w:rsid w:val="000B2838"/>
    <w:rsid w:val="000D44CA"/>
    <w:rsid w:val="000E200B"/>
    <w:rsid w:val="000F68BE"/>
    <w:rsid w:val="00162F83"/>
    <w:rsid w:val="00167662"/>
    <w:rsid w:val="001855D1"/>
    <w:rsid w:val="001927A4"/>
    <w:rsid w:val="00194AC6"/>
    <w:rsid w:val="001A23B0"/>
    <w:rsid w:val="001A25CC"/>
    <w:rsid w:val="001B0AAA"/>
    <w:rsid w:val="001C39F7"/>
    <w:rsid w:val="001D77E4"/>
    <w:rsid w:val="00237B48"/>
    <w:rsid w:val="0024521E"/>
    <w:rsid w:val="00263C3D"/>
    <w:rsid w:val="00274D0B"/>
    <w:rsid w:val="00284110"/>
    <w:rsid w:val="002A4D7D"/>
    <w:rsid w:val="002A65DF"/>
    <w:rsid w:val="002B3C95"/>
    <w:rsid w:val="002C1E0E"/>
    <w:rsid w:val="002D0B92"/>
    <w:rsid w:val="002D26E2"/>
    <w:rsid w:val="002E7D5F"/>
    <w:rsid w:val="0036546D"/>
    <w:rsid w:val="003668D6"/>
    <w:rsid w:val="003A7074"/>
    <w:rsid w:val="003D45CA"/>
    <w:rsid w:val="003D5BBE"/>
    <w:rsid w:val="003D758A"/>
    <w:rsid w:val="003E3C61"/>
    <w:rsid w:val="003F1C5B"/>
    <w:rsid w:val="00431EB1"/>
    <w:rsid w:val="00434E33"/>
    <w:rsid w:val="004351E6"/>
    <w:rsid w:val="00441434"/>
    <w:rsid w:val="0045264C"/>
    <w:rsid w:val="004876EC"/>
    <w:rsid w:val="004B6272"/>
    <w:rsid w:val="004D6E14"/>
    <w:rsid w:val="004E035F"/>
    <w:rsid w:val="005009B0"/>
    <w:rsid w:val="005363B0"/>
    <w:rsid w:val="005575FB"/>
    <w:rsid w:val="005A08BA"/>
    <w:rsid w:val="005A1006"/>
    <w:rsid w:val="005A772A"/>
    <w:rsid w:val="005E165C"/>
    <w:rsid w:val="005E714A"/>
    <w:rsid w:val="00601548"/>
    <w:rsid w:val="00610DD6"/>
    <w:rsid w:val="006140A0"/>
    <w:rsid w:val="00633F74"/>
    <w:rsid w:val="00636621"/>
    <w:rsid w:val="00642B49"/>
    <w:rsid w:val="006832D9"/>
    <w:rsid w:val="00686301"/>
    <w:rsid w:val="0069403B"/>
    <w:rsid w:val="006B3DF3"/>
    <w:rsid w:val="006D5F47"/>
    <w:rsid w:val="006F3DDE"/>
    <w:rsid w:val="006F41CC"/>
    <w:rsid w:val="00704678"/>
    <w:rsid w:val="00727BA8"/>
    <w:rsid w:val="007425E7"/>
    <w:rsid w:val="00766D95"/>
    <w:rsid w:val="00770AB0"/>
    <w:rsid w:val="00773CB5"/>
    <w:rsid w:val="0077703F"/>
    <w:rsid w:val="007A5B75"/>
    <w:rsid w:val="007B54DB"/>
    <w:rsid w:val="00802607"/>
    <w:rsid w:val="008101A5"/>
    <w:rsid w:val="00822664"/>
    <w:rsid w:val="00843796"/>
    <w:rsid w:val="00895229"/>
    <w:rsid w:val="00895FD7"/>
    <w:rsid w:val="008F0203"/>
    <w:rsid w:val="008F50D4"/>
    <w:rsid w:val="0090605B"/>
    <w:rsid w:val="009239AA"/>
    <w:rsid w:val="009321AC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674DF"/>
    <w:rsid w:val="00A83AA6"/>
    <w:rsid w:val="00AA266A"/>
    <w:rsid w:val="00AB4CFD"/>
    <w:rsid w:val="00AC60E8"/>
    <w:rsid w:val="00AE14B1"/>
    <w:rsid w:val="00AE1809"/>
    <w:rsid w:val="00B51996"/>
    <w:rsid w:val="00B80D76"/>
    <w:rsid w:val="00BA2105"/>
    <w:rsid w:val="00BA7E06"/>
    <w:rsid w:val="00BB43B5"/>
    <w:rsid w:val="00BB6219"/>
    <w:rsid w:val="00BC539D"/>
    <w:rsid w:val="00BC676D"/>
    <w:rsid w:val="00BD290F"/>
    <w:rsid w:val="00BD54A4"/>
    <w:rsid w:val="00C14CC4"/>
    <w:rsid w:val="00C33C52"/>
    <w:rsid w:val="00C40D8B"/>
    <w:rsid w:val="00C41BEE"/>
    <w:rsid w:val="00C707B8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12FF4"/>
    <w:rsid w:val="00D24698"/>
    <w:rsid w:val="00D4331A"/>
    <w:rsid w:val="00D46EEF"/>
    <w:rsid w:val="00D6383F"/>
    <w:rsid w:val="00D64226"/>
    <w:rsid w:val="00D74AA8"/>
    <w:rsid w:val="00DB4A58"/>
    <w:rsid w:val="00DB59D0"/>
    <w:rsid w:val="00DC33D3"/>
    <w:rsid w:val="00DD2EDA"/>
    <w:rsid w:val="00E26329"/>
    <w:rsid w:val="00E40B50"/>
    <w:rsid w:val="00E50293"/>
    <w:rsid w:val="00E603D7"/>
    <w:rsid w:val="00E65FFC"/>
    <w:rsid w:val="00E80951"/>
    <w:rsid w:val="00E85613"/>
    <w:rsid w:val="00E86CC6"/>
    <w:rsid w:val="00E918A3"/>
    <w:rsid w:val="00EB56B3"/>
    <w:rsid w:val="00EB5E04"/>
    <w:rsid w:val="00ED6492"/>
    <w:rsid w:val="00EF2095"/>
    <w:rsid w:val="00F06866"/>
    <w:rsid w:val="00F143B5"/>
    <w:rsid w:val="00F15956"/>
    <w:rsid w:val="00F24CFC"/>
    <w:rsid w:val="00F3170F"/>
    <w:rsid w:val="00F8418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EC44AC"/>
  <w15:chartTrackingRefBased/>
  <w15:docId w15:val="{2A2C343E-2764-4DED-8ADA-3910686E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676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cps/cpsaat3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DB574-D659-4B12-99A2-12D80176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4393</CharactersWithSpaces>
  <SharedDoc>false</SharedDoc>
  <HLinks>
    <vt:vector size="6" baseType="variant"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http://www.bls.gov/cps/cpsaat37.htm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Bailey, Karla (NIH/NCI) [E]</cp:lastModifiedBy>
  <cp:revision>3</cp:revision>
  <cp:lastPrinted>2017-06-20T15:59:00Z</cp:lastPrinted>
  <dcterms:created xsi:type="dcterms:W3CDTF">2017-06-29T17:32:00Z</dcterms:created>
  <dcterms:modified xsi:type="dcterms:W3CDTF">2017-06-29T17:33:00Z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