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E51FC">
        <w:t>0642</w:t>
      </w:r>
      <w:r w:rsidR="00686301">
        <w:t xml:space="preserve"> Exp</w:t>
      </w:r>
      <w:r w:rsidR="0033140D">
        <w:t>.,</w:t>
      </w:r>
      <w:r w:rsidR="00686301" w:rsidRPr="00686301">
        <w:t>Date</w:t>
      </w:r>
      <w:r w:rsidR="00984957" w:rsidRPr="00686301">
        <w:t xml:space="preserve">: </w:t>
      </w:r>
      <w:r w:rsidR="0033140D">
        <w:t>05/31/2020</w:t>
      </w:r>
      <w:r>
        <w:rPr>
          <w:sz w:val="28"/>
        </w:rPr>
        <w:t>)</w:t>
      </w:r>
    </w:p>
    <w:p w:rsidR="00E50293" w:rsidRPr="009239AA" w:rsidRDefault="00426896"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CB0C6B">
        <w:t>NCI OSFM Customer Satisfaction Survey</w:t>
      </w:r>
    </w:p>
    <w:p w:rsidR="005E714A" w:rsidRDefault="005E714A"/>
    <w:p w:rsidR="001B0AAA" w:rsidRDefault="00F15956">
      <w:r>
        <w:rPr>
          <w:b/>
        </w:rPr>
        <w:t>PURPOSE</w:t>
      </w:r>
      <w:r w:rsidRPr="009239AA">
        <w:rPr>
          <w:b/>
        </w:rPr>
        <w:t>:</w:t>
      </w:r>
      <w:r w:rsidR="00C14CC4" w:rsidRPr="009239AA">
        <w:rPr>
          <w:b/>
        </w:rPr>
        <w:t xml:space="preserve">  </w:t>
      </w:r>
      <w:r w:rsidR="00CB0C6B">
        <w:rPr>
          <w:b/>
        </w:rPr>
        <w:tab/>
      </w:r>
    </w:p>
    <w:p w:rsidR="00D61854" w:rsidRDefault="00D61854" w:rsidP="001E499A">
      <w:pPr>
        <w:pStyle w:val="Header"/>
        <w:tabs>
          <w:tab w:val="clear" w:pos="4320"/>
          <w:tab w:val="clear" w:pos="8640"/>
        </w:tabs>
        <w:rPr>
          <w:rFonts w:eastAsia="Calibri"/>
        </w:rPr>
      </w:pPr>
    </w:p>
    <w:p w:rsidR="0009710B" w:rsidRDefault="0009710B" w:rsidP="0009710B">
      <w:pPr>
        <w:pStyle w:val="Header"/>
        <w:tabs>
          <w:tab w:val="clear" w:pos="4320"/>
          <w:tab w:val="clear" w:pos="8640"/>
        </w:tabs>
      </w:pPr>
      <w:r w:rsidRPr="00456C17">
        <w:rPr>
          <w:rFonts w:eastAsia="Calibri"/>
        </w:rPr>
        <w:t xml:space="preserve">NCI is the first </w:t>
      </w:r>
      <w:r>
        <w:rPr>
          <w:rFonts w:eastAsia="Calibri"/>
        </w:rPr>
        <w:t>in</w:t>
      </w:r>
      <w:r w:rsidRPr="00456C17">
        <w:rPr>
          <w:rFonts w:eastAsia="Calibri"/>
        </w:rPr>
        <w:t>stitute</w:t>
      </w:r>
      <w:r>
        <w:rPr>
          <w:rFonts w:eastAsia="Calibri"/>
        </w:rPr>
        <w:t xml:space="preserve"> at NIH to have </w:t>
      </w:r>
      <w:r w:rsidRPr="00456C17">
        <w:rPr>
          <w:rFonts w:eastAsia="Calibri"/>
        </w:rPr>
        <w:t>their own shuttle service.</w:t>
      </w:r>
      <w:r>
        <w:rPr>
          <w:rFonts w:eastAsia="Calibri"/>
        </w:rPr>
        <w:t xml:space="preserve"> The NCI Shuttle Service provides NIH and NCI staff and visitors accessibility to the NIH, NCI campuses and Shady Grove Metro. The yearly NCI Shuttle ridership for 2016 was 33,666 for the Shady Grove Metro route and 65,541 for the Express (campus to campus) route.</w:t>
      </w:r>
      <w:r w:rsidRPr="0061430D">
        <w:rPr>
          <w:rFonts w:eastAsia="Calibri"/>
        </w:rPr>
        <w:t xml:space="preserve"> </w:t>
      </w:r>
      <w:r w:rsidRPr="00355796">
        <w:rPr>
          <w:rFonts w:eastAsia="Calibri"/>
        </w:rPr>
        <w:t>The ridership cont</w:t>
      </w:r>
      <w:r>
        <w:rPr>
          <w:rFonts w:eastAsia="Calibri"/>
        </w:rPr>
        <w:t xml:space="preserve">inues to increase during summer </w:t>
      </w:r>
      <w:r w:rsidRPr="00355796">
        <w:rPr>
          <w:rFonts w:eastAsia="Calibri"/>
        </w:rPr>
        <w:t>for there are many fellows and interns that ride the shuttle. The NCI Shuttle Survey</w:t>
      </w:r>
      <w:r>
        <w:rPr>
          <w:rFonts w:eastAsia="Calibri"/>
        </w:rPr>
        <w:t xml:space="preserve"> is sent out to NCI Staff, allowing</w:t>
      </w:r>
      <w:r w:rsidRPr="00355796">
        <w:rPr>
          <w:rFonts w:eastAsia="Calibri"/>
        </w:rPr>
        <w:t xml:space="preserve"> </w:t>
      </w:r>
      <w:r w:rsidR="00C7358E" w:rsidRPr="00355796">
        <w:rPr>
          <w:rFonts w:eastAsia="Calibri"/>
        </w:rPr>
        <w:t xml:space="preserve">OSFM </w:t>
      </w:r>
      <w:r w:rsidR="00C7358E">
        <w:rPr>
          <w:rFonts w:eastAsia="Calibri"/>
        </w:rPr>
        <w:t>to</w:t>
      </w:r>
      <w:r>
        <w:rPr>
          <w:rFonts w:eastAsia="Calibri"/>
        </w:rPr>
        <w:t xml:space="preserve"> better service delivery.</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BD643F">
      <w:r>
        <w:t>The Shuttle survey is sent to all NCI</w:t>
      </w:r>
      <w:r w:rsidR="008E51FC">
        <w:t xml:space="preserve"> personnel that use the shuttle service including federal employees, contractors and fellows. We are seeking OMB Clearance for the non-federal employees that will be surveyed.</w:t>
      </w:r>
      <w:r>
        <w:t xml:space="preserve"> </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8919AC">
        <w:rPr>
          <w:bCs/>
          <w:sz w:val="24"/>
        </w:rPr>
        <w:t xml:space="preserve"> </w:t>
      </w:r>
      <w:r w:rsidR="008919AC">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B0C6B" w:rsidP="009C13B9">
      <w:r>
        <w:t>Name</w:t>
      </w:r>
      <w:r w:rsidR="005E0E3E">
        <w:t xml:space="preserve">: </w:t>
      </w:r>
      <w:r>
        <w:t xml:space="preserve"> </w:t>
      </w:r>
      <w:r w:rsidRPr="00984957">
        <w:rPr>
          <w:u w:val="single"/>
        </w:rPr>
        <w:t>Gehmelle Johnson</w:t>
      </w:r>
      <w:r w:rsidR="005E0E3E" w:rsidRPr="00984957">
        <w:rPr>
          <w:u w:val="single"/>
        </w:rPr>
        <w:t>, Senior Program Analyst/COR</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919AC">
        <w:t>x</w:t>
      </w:r>
      <w:r w:rsidR="009239AA">
        <w:t xml:space="preserve"> ]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r w:rsidR="00835430">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1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4"/>
        <w:gridCol w:w="1922"/>
        <w:gridCol w:w="2153"/>
        <w:gridCol w:w="1384"/>
        <w:gridCol w:w="1322"/>
      </w:tblGrid>
      <w:tr w:rsidR="003668D6" w:rsidTr="00392CAC">
        <w:trPr>
          <w:trHeight w:val="304"/>
        </w:trPr>
        <w:tc>
          <w:tcPr>
            <w:tcW w:w="2384" w:type="dxa"/>
          </w:tcPr>
          <w:p w:rsidR="003668D6" w:rsidRPr="002D26E2" w:rsidRDefault="003668D6" w:rsidP="00C8488C">
            <w:pPr>
              <w:rPr>
                <w:b/>
              </w:rPr>
            </w:pPr>
            <w:r w:rsidRPr="002D26E2">
              <w:rPr>
                <w:b/>
              </w:rPr>
              <w:t xml:space="preserve">Category of Respondent </w:t>
            </w:r>
          </w:p>
        </w:tc>
        <w:tc>
          <w:tcPr>
            <w:tcW w:w="1922" w:type="dxa"/>
          </w:tcPr>
          <w:p w:rsidR="003668D6" w:rsidRPr="002D26E2" w:rsidRDefault="003668D6" w:rsidP="00843796">
            <w:pPr>
              <w:rPr>
                <w:b/>
              </w:rPr>
            </w:pPr>
            <w:r w:rsidRPr="002D26E2">
              <w:rPr>
                <w:b/>
              </w:rPr>
              <w:t>No. of Respondents</w:t>
            </w:r>
          </w:p>
        </w:tc>
        <w:tc>
          <w:tcPr>
            <w:tcW w:w="2153" w:type="dxa"/>
          </w:tcPr>
          <w:p w:rsidR="003668D6" w:rsidRPr="002D26E2" w:rsidRDefault="003668D6" w:rsidP="00843796">
            <w:pPr>
              <w:rPr>
                <w:b/>
              </w:rPr>
            </w:pPr>
            <w:r>
              <w:rPr>
                <w:b/>
              </w:rPr>
              <w:t xml:space="preserve">No. of Responses per Respondent </w:t>
            </w:r>
          </w:p>
        </w:tc>
        <w:tc>
          <w:tcPr>
            <w:tcW w:w="1384"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322"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392CAC">
        <w:trPr>
          <w:trHeight w:val="289"/>
        </w:trPr>
        <w:tc>
          <w:tcPr>
            <w:tcW w:w="2384" w:type="dxa"/>
          </w:tcPr>
          <w:p w:rsidR="003668D6" w:rsidRDefault="008E51FC" w:rsidP="00843796">
            <w:r>
              <w:t>Individual</w:t>
            </w:r>
          </w:p>
        </w:tc>
        <w:tc>
          <w:tcPr>
            <w:tcW w:w="1922" w:type="dxa"/>
          </w:tcPr>
          <w:p w:rsidR="003668D6" w:rsidRPr="00C26661" w:rsidRDefault="00C7358E" w:rsidP="00392CAC">
            <w:pPr>
              <w:jc w:val="center"/>
            </w:pPr>
            <w:r>
              <w:t>1500</w:t>
            </w:r>
          </w:p>
        </w:tc>
        <w:tc>
          <w:tcPr>
            <w:tcW w:w="2153" w:type="dxa"/>
          </w:tcPr>
          <w:p w:rsidR="003668D6" w:rsidRDefault="00C7358E" w:rsidP="00C7358E">
            <w:pPr>
              <w:tabs>
                <w:tab w:val="center" w:pos="968"/>
                <w:tab w:val="right" w:pos="1937"/>
              </w:tabs>
            </w:pPr>
            <w:r>
              <w:tab/>
              <w:t>1</w:t>
            </w:r>
            <w:r>
              <w:tab/>
            </w:r>
          </w:p>
        </w:tc>
        <w:tc>
          <w:tcPr>
            <w:tcW w:w="1384" w:type="dxa"/>
          </w:tcPr>
          <w:p w:rsidR="003668D6" w:rsidRDefault="005B032B" w:rsidP="00392CAC">
            <w:pPr>
              <w:jc w:val="center"/>
            </w:pPr>
            <w:r>
              <w:t>2/60</w:t>
            </w:r>
          </w:p>
        </w:tc>
        <w:tc>
          <w:tcPr>
            <w:tcW w:w="1322" w:type="dxa"/>
          </w:tcPr>
          <w:p w:rsidR="003668D6" w:rsidRDefault="00392CAC" w:rsidP="00392CAC">
            <w:pPr>
              <w:jc w:val="center"/>
            </w:pPr>
            <w:r>
              <w:t>50</w:t>
            </w:r>
          </w:p>
        </w:tc>
      </w:tr>
      <w:tr w:rsidR="003668D6" w:rsidTr="00392CAC">
        <w:trPr>
          <w:trHeight w:val="321"/>
        </w:trPr>
        <w:tc>
          <w:tcPr>
            <w:tcW w:w="2384" w:type="dxa"/>
          </w:tcPr>
          <w:p w:rsidR="003668D6" w:rsidRPr="002D26E2" w:rsidRDefault="003668D6" w:rsidP="00843796">
            <w:pPr>
              <w:rPr>
                <w:b/>
              </w:rPr>
            </w:pPr>
            <w:r w:rsidRPr="002D26E2">
              <w:rPr>
                <w:b/>
              </w:rPr>
              <w:t>Totals</w:t>
            </w:r>
          </w:p>
        </w:tc>
        <w:tc>
          <w:tcPr>
            <w:tcW w:w="1922" w:type="dxa"/>
          </w:tcPr>
          <w:p w:rsidR="003668D6" w:rsidRPr="00C879F8" w:rsidRDefault="00C7358E" w:rsidP="00392CAC">
            <w:pPr>
              <w:jc w:val="center"/>
            </w:pPr>
            <w:r>
              <w:t>1500</w:t>
            </w:r>
          </w:p>
        </w:tc>
        <w:tc>
          <w:tcPr>
            <w:tcW w:w="2153" w:type="dxa"/>
          </w:tcPr>
          <w:p w:rsidR="003668D6" w:rsidRDefault="00C879F8" w:rsidP="00392CAC">
            <w:pPr>
              <w:jc w:val="center"/>
            </w:pPr>
            <w:r>
              <w:t>1</w:t>
            </w:r>
            <w:r w:rsidR="00392CAC">
              <w:t>500</w:t>
            </w:r>
          </w:p>
        </w:tc>
        <w:tc>
          <w:tcPr>
            <w:tcW w:w="1384" w:type="dxa"/>
          </w:tcPr>
          <w:p w:rsidR="003668D6" w:rsidRDefault="003668D6" w:rsidP="00392CAC">
            <w:pPr>
              <w:jc w:val="center"/>
            </w:pPr>
          </w:p>
        </w:tc>
        <w:tc>
          <w:tcPr>
            <w:tcW w:w="1322" w:type="dxa"/>
          </w:tcPr>
          <w:p w:rsidR="003668D6" w:rsidRPr="00C879F8" w:rsidRDefault="00392CAC" w:rsidP="00392CAC">
            <w:pPr>
              <w:jc w:val="center"/>
            </w:pPr>
            <w:r>
              <w:t>50</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CA2010" w:rsidP="009A036B">
            <w:pPr>
              <w:rPr>
                <w:b/>
              </w:rPr>
            </w:pPr>
            <w:r>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CA2010">
        <w:trPr>
          <w:trHeight w:val="260"/>
        </w:trPr>
        <w:tc>
          <w:tcPr>
            <w:tcW w:w="2790" w:type="dxa"/>
          </w:tcPr>
          <w:p w:rsidR="00CA2010" w:rsidRPr="009A036B" w:rsidRDefault="008E51FC" w:rsidP="009A036B">
            <w:r>
              <w:t xml:space="preserve">Individual </w:t>
            </w:r>
          </w:p>
        </w:tc>
        <w:tc>
          <w:tcPr>
            <w:tcW w:w="2250" w:type="dxa"/>
          </w:tcPr>
          <w:p w:rsidR="00CA2010" w:rsidRPr="009A036B" w:rsidRDefault="00392CAC" w:rsidP="00C879F8">
            <w:pPr>
              <w:jc w:val="center"/>
            </w:pPr>
            <w:r>
              <w:t>5</w:t>
            </w:r>
            <w:r w:rsidR="00C879F8">
              <w:t>0</w:t>
            </w:r>
          </w:p>
        </w:tc>
        <w:tc>
          <w:tcPr>
            <w:tcW w:w="2520" w:type="dxa"/>
          </w:tcPr>
          <w:p w:rsidR="00CA2010" w:rsidRPr="009A036B" w:rsidRDefault="008E51FC" w:rsidP="00C879F8">
            <w:pPr>
              <w:jc w:val="center"/>
            </w:pPr>
            <w:r>
              <w:t>$23.23</w:t>
            </w:r>
          </w:p>
        </w:tc>
        <w:tc>
          <w:tcPr>
            <w:tcW w:w="1620" w:type="dxa"/>
          </w:tcPr>
          <w:p w:rsidR="00CA2010" w:rsidRPr="009A036B" w:rsidRDefault="00392CAC" w:rsidP="00C879F8">
            <w:pPr>
              <w:jc w:val="center"/>
            </w:pPr>
            <w:r>
              <w:t>$1161.50</w:t>
            </w:r>
          </w:p>
        </w:tc>
      </w:tr>
      <w:tr w:rsidR="00CA2010" w:rsidRPr="009A036B" w:rsidTr="00CA2010">
        <w:trPr>
          <w:trHeight w:val="289"/>
        </w:trPr>
        <w:tc>
          <w:tcPr>
            <w:tcW w:w="2790" w:type="dxa"/>
          </w:tcPr>
          <w:p w:rsidR="00CA2010" w:rsidRPr="009A036B" w:rsidRDefault="00CA2010" w:rsidP="009A036B">
            <w:pPr>
              <w:rPr>
                <w:b/>
              </w:rPr>
            </w:pPr>
            <w:r w:rsidRPr="009A036B">
              <w:rPr>
                <w:b/>
              </w:rPr>
              <w:t>Totals</w:t>
            </w:r>
          </w:p>
        </w:tc>
        <w:tc>
          <w:tcPr>
            <w:tcW w:w="2250" w:type="dxa"/>
          </w:tcPr>
          <w:p w:rsidR="00CA2010" w:rsidRPr="00C879F8" w:rsidRDefault="00392CAC" w:rsidP="00C879F8">
            <w:pPr>
              <w:jc w:val="center"/>
            </w:pPr>
            <w:r>
              <w:t>5</w:t>
            </w:r>
            <w:r w:rsidR="00C879F8" w:rsidRPr="00C879F8">
              <w:t>0</w:t>
            </w:r>
          </w:p>
        </w:tc>
        <w:tc>
          <w:tcPr>
            <w:tcW w:w="2520" w:type="dxa"/>
          </w:tcPr>
          <w:p w:rsidR="00CA2010" w:rsidRPr="009A036B" w:rsidRDefault="00CA2010" w:rsidP="00C879F8">
            <w:pPr>
              <w:jc w:val="center"/>
            </w:pPr>
          </w:p>
        </w:tc>
        <w:tc>
          <w:tcPr>
            <w:tcW w:w="1620" w:type="dxa"/>
          </w:tcPr>
          <w:p w:rsidR="00CA2010" w:rsidRPr="009A036B" w:rsidRDefault="00392CAC" w:rsidP="00C879F8">
            <w:pPr>
              <w:jc w:val="center"/>
            </w:pPr>
            <w:r>
              <w:t>$1161.50</w:t>
            </w:r>
          </w:p>
        </w:tc>
      </w:tr>
    </w:tbl>
    <w:p w:rsidR="009A036B" w:rsidRPr="009A036B" w:rsidRDefault="009A036B" w:rsidP="009A036B"/>
    <w:p w:rsidR="009A036B" w:rsidRPr="009A036B" w:rsidRDefault="00CA2010" w:rsidP="009A036B">
      <w:r>
        <w:t>*Cite source per bls.gov if applicable</w:t>
      </w:r>
    </w:p>
    <w:p w:rsidR="009A036B" w:rsidRDefault="009A036B" w:rsidP="00F3170F"/>
    <w:p w:rsidR="00441434" w:rsidRDefault="00441434" w:rsidP="00F3170F"/>
    <w:p w:rsidR="005E714A" w:rsidRPr="00392CAC"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392CAC">
        <w:t xml:space="preserve">is </w:t>
      </w:r>
      <w:r w:rsidR="00984957" w:rsidRPr="00392CAC">
        <w:rPr>
          <w:u w:val="single"/>
        </w:rPr>
        <w:t>$</w:t>
      </w:r>
      <w:r w:rsidR="008E51FC" w:rsidRPr="00392CAC">
        <w:rPr>
          <w:u w:val="single"/>
        </w:rPr>
        <w:t>2088.66</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8E51FC" w:rsidRDefault="008E51FC" w:rsidP="009A036B">
            <w:pPr>
              <w:rPr>
                <w:sz w:val="22"/>
                <w:szCs w:val="22"/>
              </w:rPr>
            </w:pPr>
            <w:r w:rsidRPr="008E51FC">
              <w:rPr>
                <w:sz w:val="22"/>
                <w:szCs w:val="22"/>
                <w:u w:val="single"/>
              </w:rPr>
              <w:t>Senior Program Analyst/COR</w:t>
            </w:r>
          </w:p>
        </w:tc>
        <w:tc>
          <w:tcPr>
            <w:tcW w:w="1440" w:type="dxa"/>
            <w:tcBorders>
              <w:top w:val="nil"/>
              <w:left w:val="nil"/>
              <w:bottom w:val="single" w:sz="8" w:space="0" w:color="auto"/>
              <w:right w:val="single" w:sz="8" w:space="0" w:color="auto"/>
            </w:tcBorders>
          </w:tcPr>
          <w:p w:rsidR="00C879F8" w:rsidRDefault="00C879F8" w:rsidP="00C879F8">
            <w:pPr>
              <w:jc w:val="center"/>
            </w:pPr>
          </w:p>
          <w:p w:rsidR="009A036B" w:rsidRPr="009A036B" w:rsidRDefault="00984957" w:rsidP="00C879F8">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84957" w:rsidP="00C879F8">
            <w:pPr>
              <w:jc w:val="center"/>
            </w:pPr>
            <w:r>
              <w:t>104,433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84957" w:rsidP="00C879F8">
            <w:pPr>
              <w:jc w:val="center"/>
            </w:pPr>
            <w:r>
              <w:t>2</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C879F8" w:rsidRDefault="00C879F8" w:rsidP="00C879F8">
            <w:pPr>
              <w:jc w:val="center"/>
            </w:pPr>
          </w:p>
          <w:p w:rsidR="009A036B" w:rsidRPr="009A036B" w:rsidRDefault="00984957" w:rsidP="00C879F8">
            <w:pPr>
              <w:jc w:val="center"/>
            </w:pPr>
            <w:r>
              <w:t>2088.66</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C879F8">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5C6AC9"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C879F8">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5C6AC9"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C879F8">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5C6AC9"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8E51FC" w:rsidP="009A036B">
            <w:r>
              <w:t>Total</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8E51FC" w:rsidP="00C879F8">
            <w:pPr>
              <w:jc w:val="center"/>
            </w:pPr>
            <w:r>
              <w:t>$2088.66</w:t>
            </w:r>
          </w:p>
        </w:tc>
      </w:tr>
    </w:tbl>
    <w:p w:rsidR="009A036B" w:rsidRPr="009A036B" w:rsidRDefault="009A036B" w:rsidP="009A036B"/>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126E31">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84957">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8E51FC" w:rsidP="001B0AAA">
      <w:pPr>
        <w:ind w:left="720"/>
      </w:pPr>
      <w:r>
        <w:t>[x]</w:t>
      </w:r>
      <w:r w:rsidR="00A403BB">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8E51FC" w:rsidP="001B0AAA">
      <w:pPr>
        <w:ind w:left="720"/>
      </w:pPr>
      <w:r>
        <w:t>[</w:t>
      </w:r>
      <w:r w:rsidR="00A403BB">
        <w:t>] Other, Explain</w:t>
      </w:r>
      <w:r w:rsidR="000B3A7C">
        <w:t xml:space="preserve">- </w:t>
      </w:r>
    </w:p>
    <w:p w:rsidR="00F24CFC" w:rsidRDefault="00F24CFC" w:rsidP="00F24CFC">
      <w:pPr>
        <w:pStyle w:val="ListParagraph"/>
        <w:numPr>
          <w:ilvl w:val="0"/>
          <w:numId w:val="17"/>
        </w:numPr>
      </w:pPr>
      <w:r>
        <w:t xml:space="preserve">Will interviewers or facilitators be used?  [  ] Yes [ </w:t>
      </w:r>
      <w:r w:rsidR="00126E31">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AE14B1" w:rsidRPr="00AE14B1" w:rsidRDefault="00AE14B1" w:rsidP="00AE14B1"/>
    <w:sectPr w:rsidR="00AE14B1" w:rsidRPr="00AE14B1"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54" w:rsidRDefault="00BC5154">
      <w:r>
        <w:separator/>
      </w:r>
    </w:p>
  </w:endnote>
  <w:endnote w:type="continuationSeparator" w:id="0">
    <w:p w:rsidR="00BC5154" w:rsidRDefault="00BC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2689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54" w:rsidRDefault="00BC5154">
      <w:r>
        <w:separator/>
      </w:r>
    </w:p>
  </w:footnote>
  <w:footnote w:type="continuationSeparator" w:id="0">
    <w:p w:rsidR="00BC5154" w:rsidRDefault="00BC5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NjE1tzQ1NTUzsLQ0MbBU0lEKTi0uzszPAykwrAUAYoyFICwAAAA="/>
  </w:docVars>
  <w:rsids>
    <w:rsidRoot w:val="00D6383F"/>
    <w:rsid w:val="000071D1"/>
    <w:rsid w:val="00023A57"/>
    <w:rsid w:val="00047A64"/>
    <w:rsid w:val="00067329"/>
    <w:rsid w:val="000722CE"/>
    <w:rsid w:val="000913EC"/>
    <w:rsid w:val="0009710B"/>
    <w:rsid w:val="000B2838"/>
    <w:rsid w:val="000B3A7C"/>
    <w:rsid w:val="000D44CA"/>
    <w:rsid w:val="000E200B"/>
    <w:rsid w:val="000F68BE"/>
    <w:rsid w:val="00126E31"/>
    <w:rsid w:val="00162F83"/>
    <w:rsid w:val="001855D1"/>
    <w:rsid w:val="001927A4"/>
    <w:rsid w:val="00194AC6"/>
    <w:rsid w:val="001A23B0"/>
    <w:rsid w:val="001A25CC"/>
    <w:rsid w:val="001B0AAA"/>
    <w:rsid w:val="001C39F7"/>
    <w:rsid w:val="001E499A"/>
    <w:rsid w:val="00237B48"/>
    <w:rsid w:val="0024521E"/>
    <w:rsid w:val="0025403A"/>
    <w:rsid w:val="00263C3D"/>
    <w:rsid w:val="00274D0B"/>
    <w:rsid w:val="00284110"/>
    <w:rsid w:val="002B3C95"/>
    <w:rsid w:val="002C6476"/>
    <w:rsid w:val="002D0B92"/>
    <w:rsid w:val="002D26E2"/>
    <w:rsid w:val="0033140D"/>
    <w:rsid w:val="00355796"/>
    <w:rsid w:val="003668D6"/>
    <w:rsid w:val="003928CE"/>
    <w:rsid w:val="00392CAC"/>
    <w:rsid w:val="003A7074"/>
    <w:rsid w:val="003D5BBE"/>
    <w:rsid w:val="003E3C61"/>
    <w:rsid w:val="003F1C5B"/>
    <w:rsid w:val="00426896"/>
    <w:rsid w:val="00431EB1"/>
    <w:rsid w:val="00434E33"/>
    <w:rsid w:val="00441434"/>
    <w:rsid w:val="0045264C"/>
    <w:rsid w:val="004876EC"/>
    <w:rsid w:val="004979B0"/>
    <w:rsid w:val="004D6E14"/>
    <w:rsid w:val="005009B0"/>
    <w:rsid w:val="005158E4"/>
    <w:rsid w:val="005A1006"/>
    <w:rsid w:val="005A772A"/>
    <w:rsid w:val="005B032B"/>
    <w:rsid w:val="005C6AC9"/>
    <w:rsid w:val="005E0E3E"/>
    <w:rsid w:val="005E714A"/>
    <w:rsid w:val="006140A0"/>
    <w:rsid w:val="00633F74"/>
    <w:rsid w:val="00636621"/>
    <w:rsid w:val="00642B49"/>
    <w:rsid w:val="0067732F"/>
    <w:rsid w:val="006832D9"/>
    <w:rsid w:val="00686301"/>
    <w:rsid w:val="006876B2"/>
    <w:rsid w:val="0069403B"/>
    <w:rsid w:val="006D58F2"/>
    <w:rsid w:val="006D5F47"/>
    <w:rsid w:val="006F18CB"/>
    <w:rsid w:val="006F3DDE"/>
    <w:rsid w:val="00704678"/>
    <w:rsid w:val="00704D5C"/>
    <w:rsid w:val="007425E7"/>
    <w:rsid w:val="00766D95"/>
    <w:rsid w:val="0077703F"/>
    <w:rsid w:val="007B4B9D"/>
    <w:rsid w:val="00802607"/>
    <w:rsid w:val="008101A5"/>
    <w:rsid w:val="00811F79"/>
    <w:rsid w:val="00822664"/>
    <w:rsid w:val="00835430"/>
    <w:rsid w:val="00843796"/>
    <w:rsid w:val="008919AC"/>
    <w:rsid w:val="00895229"/>
    <w:rsid w:val="008E51FC"/>
    <w:rsid w:val="008F0203"/>
    <w:rsid w:val="008F50D4"/>
    <w:rsid w:val="009215FD"/>
    <w:rsid w:val="009239AA"/>
    <w:rsid w:val="00935ADA"/>
    <w:rsid w:val="00942936"/>
    <w:rsid w:val="00946B6C"/>
    <w:rsid w:val="00955A71"/>
    <w:rsid w:val="0096108F"/>
    <w:rsid w:val="00984957"/>
    <w:rsid w:val="009A036B"/>
    <w:rsid w:val="009A2A5C"/>
    <w:rsid w:val="009C13B9"/>
    <w:rsid w:val="009D01A2"/>
    <w:rsid w:val="009F5923"/>
    <w:rsid w:val="00A229F1"/>
    <w:rsid w:val="00A403BB"/>
    <w:rsid w:val="00A674DF"/>
    <w:rsid w:val="00A83AA6"/>
    <w:rsid w:val="00AC60E8"/>
    <w:rsid w:val="00AD246F"/>
    <w:rsid w:val="00AE14B1"/>
    <w:rsid w:val="00AE1809"/>
    <w:rsid w:val="00B80D76"/>
    <w:rsid w:val="00BA2105"/>
    <w:rsid w:val="00BA7E06"/>
    <w:rsid w:val="00BB43B5"/>
    <w:rsid w:val="00BB6219"/>
    <w:rsid w:val="00BC5154"/>
    <w:rsid w:val="00BC676D"/>
    <w:rsid w:val="00BD290F"/>
    <w:rsid w:val="00BD643F"/>
    <w:rsid w:val="00C11BFE"/>
    <w:rsid w:val="00C14CC4"/>
    <w:rsid w:val="00C26661"/>
    <w:rsid w:val="00C33C52"/>
    <w:rsid w:val="00C40D8B"/>
    <w:rsid w:val="00C7358E"/>
    <w:rsid w:val="00C73CB4"/>
    <w:rsid w:val="00C80C1E"/>
    <w:rsid w:val="00C8407A"/>
    <w:rsid w:val="00C8488C"/>
    <w:rsid w:val="00C86E91"/>
    <w:rsid w:val="00C879F8"/>
    <w:rsid w:val="00CA19A3"/>
    <w:rsid w:val="00CA2010"/>
    <w:rsid w:val="00CA2650"/>
    <w:rsid w:val="00CB0C6B"/>
    <w:rsid w:val="00CB1078"/>
    <w:rsid w:val="00CC6FAF"/>
    <w:rsid w:val="00CD5112"/>
    <w:rsid w:val="00D24698"/>
    <w:rsid w:val="00D61854"/>
    <w:rsid w:val="00D6383F"/>
    <w:rsid w:val="00D81AA4"/>
    <w:rsid w:val="00DB4A58"/>
    <w:rsid w:val="00DB59D0"/>
    <w:rsid w:val="00DC33D3"/>
    <w:rsid w:val="00DD1CC7"/>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203"/>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C89DA-33C9-401F-846D-59DAC3F2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2016-04-06T19:43:00Z</cp:lastPrinted>
  <dcterms:created xsi:type="dcterms:W3CDTF">2017-08-02T19:41:00Z</dcterms:created>
  <dcterms:modified xsi:type="dcterms:W3CDTF">2017-08-02T19:41:00Z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