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2570" w:rsidR="00595D1E" w:rsidP="00595D1E" w:rsidRDefault="00595D1E" w14:paraId="212E8DC6" w14:textId="77777777">
      <w:pPr>
        <w:jc w:val="center"/>
        <w:rPr>
          <w:b/>
          <w:sz w:val="24"/>
          <w:szCs w:val="24"/>
        </w:rPr>
      </w:pPr>
    </w:p>
    <w:p w:rsidRPr="003A2570" w:rsidR="00595D1E" w:rsidP="00595D1E" w:rsidRDefault="00595D1E" w14:paraId="12019AF5" w14:textId="77777777">
      <w:pPr>
        <w:jc w:val="center"/>
        <w:rPr>
          <w:b/>
          <w:sz w:val="24"/>
          <w:szCs w:val="24"/>
        </w:rPr>
      </w:pPr>
    </w:p>
    <w:p w:rsidRPr="004E241C" w:rsidR="00787987" w:rsidP="00787987" w:rsidRDefault="00787987" w14:paraId="522A58B8" w14:textId="77777777">
      <w:pPr>
        <w:tabs>
          <w:tab w:val="left" w:pos="720"/>
          <w:tab w:val="right" w:leader="dot" w:pos="9504"/>
        </w:tabs>
        <w:spacing w:before="120" w:after="120" w:line="480" w:lineRule="auto"/>
        <w:jc w:val="center"/>
        <w:rPr>
          <w:rFonts w:ascii="Calibri" w:hAnsi="Calibri" w:eastAsia="Times New Roman" w:cs="Calibri"/>
          <w:b/>
          <w:bCs/>
          <w:sz w:val="28"/>
          <w:szCs w:val="28"/>
        </w:rPr>
      </w:pPr>
      <w:r w:rsidRPr="004E241C">
        <w:rPr>
          <w:rFonts w:ascii="Calibri" w:hAnsi="Calibri" w:eastAsia="Times New Roman" w:cs="Calibri"/>
          <w:b/>
          <w:bCs/>
          <w:sz w:val="28"/>
          <w:szCs w:val="28"/>
        </w:rPr>
        <w:t>Mini Supporting Statement A</w:t>
      </w:r>
    </w:p>
    <w:p w:rsidRPr="003A2570" w:rsidR="00787987" w:rsidP="00787987" w:rsidRDefault="00787987" w14:paraId="3D9A5B78" w14:textId="77777777">
      <w:pPr>
        <w:tabs>
          <w:tab w:val="left" w:pos="720"/>
          <w:tab w:val="right" w:leader="dot" w:pos="9504"/>
        </w:tabs>
        <w:spacing w:before="120" w:after="120" w:line="480" w:lineRule="auto"/>
        <w:jc w:val="center"/>
        <w:rPr>
          <w:rFonts w:ascii="Calibri" w:hAnsi="Calibri" w:eastAsia="Times New Roman" w:cs="Calibri"/>
          <w:sz w:val="24"/>
          <w:szCs w:val="24"/>
        </w:rPr>
      </w:pPr>
    </w:p>
    <w:p w:rsidRPr="003A2570" w:rsidR="00787987" w:rsidP="00787987" w:rsidRDefault="00787987" w14:paraId="436C6214" w14:textId="100DD249">
      <w:pPr>
        <w:tabs>
          <w:tab w:val="left" w:pos="720"/>
          <w:tab w:val="right" w:leader="dot" w:pos="9504"/>
        </w:tabs>
        <w:spacing w:before="120" w:after="0" w:line="240" w:lineRule="auto"/>
        <w:jc w:val="center"/>
        <w:rPr>
          <w:rFonts w:ascii="Calibri" w:hAnsi="Calibri" w:eastAsia="Times New Roman" w:cs="Calibri"/>
          <w:sz w:val="24"/>
          <w:szCs w:val="24"/>
        </w:rPr>
      </w:pPr>
      <w:bookmarkStart w:name="_Hlk17112247" w:id="0"/>
      <w:r w:rsidRPr="003A2570">
        <w:rPr>
          <w:rFonts w:ascii="Calibri" w:hAnsi="Calibri" w:eastAsia="Times New Roman" w:cs="Calibri"/>
          <w:sz w:val="24"/>
          <w:szCs w:val="24"/>
        </w:rPr>
        <w:t>NCI</w:t>
      </w:r>
      <w:bookmarkEnd w:id="0"/>
      <w:r w:rsidRPr="003A2570">
        <w:rPr>
          <w:rFonts w:ascii="Calibri" w:hAnsi="Calibri" w:eastAsia="Times New Roman" w:cs="Calibri"/>
          <w:sz w:val="24"/>
          <w:szCs w:val="24"/>
        </w:rPr>
        <w:t xml:space="preserve"> Systems Biology and Physical Sciences</w:t>
      </w:r>
    </w:p>
    <w:p w:rsidRPr="003A2570" w:rsidR="00787987" w:rsidP="00787987" w:rsidRDefault="00787987" w14:paraId="7D48FBA1" w14:textId="7EB7C1F4">
      <w:pPr>
        <w:tabs>
          <w:tab w:val="left" w:pos="720"/>
          <w:tab w:val="right" w:leader="dot" w:pos="9504"/>
        </w:tabs>
        <w:spacing w:before="120" w:after="0" w:line="240" w:lineRule="auto"/>
        <w:jc w:val="center"/>
        <w:rPr>
          <w:rFonts w:ascii="Calibri" w:hAnsi="Calibri" w:eastAsia="MS Mincho" w:cs="Calibri"/>
          <w:b/>
          <w:color w:val="000000"/>
          <w:sz w:val="24"/>
          <w:szCs w:val="24"/>
          <w:lang w:eastAsia="ja-JP"/>
        </w:rPr>
      </w:pPr>
      <w:r w:rsidRPr="003A2570">
        <w:rPr>
          <w:rFonts w:ascii="Calibri" w:hAnsi="Calibri" w:eastAsia="Times New Roman" w:cs="Calibri"/>
          <w:sz w:val="24"/>
          <w:szCs w:val="24"/>
        </w:rPr>
        <w:t xml:space="preserve">Summer </w:t>
      </w:r>
      <w:r w:rsidR="00BB307D">
        <w:rPr>
          <w:rFonts w:ascii="Calibri" w:hAnsi="Calibri" w:eastAsia="Times New Roman" w:cs="Calibri"/>
          <w:sz w:val="24"/>
          <w:szCs w:val="24"/>
        </w:rPr>
        <w:t xml:space="preserve">Undergraduate </w:t>
      </w:r>
      <w:r w:rsidRPr="003A2570">
        <w:rPr>
          <w:rFonts w:ascii="Calibri" w:hAnsi="Calibri" w:eastAsia="Times New Roman" w:cs="Calibri"/>
          <w:sz w:val="24"/>
          <w:szCs w:val="24"/>
        </w:rPr>
        <w:t>Research Program (CSBC/PS-ON</w:t>
      </w:r>
      <w:r w:rsidR="00BB307D">
        <w:rPr>
          <w:rFonts w:ascii="Calibri" w:hAnsi="Calibri" w:eastAsia="Times New Roman" w:cs="Calibri"/>
          <w:sz w:val="24"/>
          <w:szCs w:val="24"/>
        </w:rPr>
        <w:t xml:space="preserve"> SURP</w:t>
      </w:r>
      <w:r w:rsidRPr="003A2570">
        <w:rPr>
          <w:rFonts w:ascii="Calibri" w:hAnsi="Calibri" w:eastAsia="Times New Roman" w:cs="Calibri"/>
          <w:sz w:val="24"/>
          <w:szCs w:val="24"/>
        </w:rPr>
        <w:t>)</w:t>
      </w:r>
      <w:r w:rsidRPr="003A2570" w:rsidR="00656B7D">
        <w:rPr>
          <w:rFonts w:ascii="Calibri" w:hAnsi="Calibri" w:eastAsia="Times New Roman" w:cs="Calibri"/>
          <w:sz w:val="24"/>
          <w:szCs w:val="24"/>
        </w:rPr>
        <w:t xml:space="preserve"> (NCI)</w:t>
      </w:r>
    </w:p>
    <w:p w:rsidRPr="003A2570" w:rsidR="00787987" w:rsidP="00787987" w:rsidRDefault="00787987" w14:paraId="2FFB702F" w14:textId="77777777">
      <w:pPr>
        <w:numPr>
          <w:ilvl w:val="12"/>
          <w:numId w:val="0"/>
        </w:numPr>
        <w:spacing w:after="0" w:line="240" w:lineRule="auto"/>
        <w:jc w:val="center"/>
        <w:outlineLvl w:val="0"/>
        <w:rPr>
          <w:rFonts w:ascii="Calibri" w:hAnsi="Calibri" w:eastAsia="Times New Roman" w:cs="Calibri"/>
          <w:sz w:val="24"/>
          <w:szCs w:val="24"/>
        </w:rPr>
      </w:pPr>
    </w:p>
    <w:p w:rsidRPr="003A2570" w:rsidR="00787987" w:rsidP="00787987" w:rsidRDefault="00787987" w14:paraId="5C0B8986" w14:textId="77777777">
      <w:pPr>
        <w:numPr>
          <w:ilvl w:val="12"/>
          <w:numId w:val="0"/>
        </w:numPr>
        <w:spacing w:after="0" w:line="240" w:lineRule="auto"/>
        <w:jc w:val="center"/>
        <w:outlineLvl w:val="0"/>
        <w:rPr>
          <w:rFonts w:ascii="Calibri" w:hAnsi="Calibri" w:eastAsia="Times New Roman" w:cs="Calibri"/>
          <w:sz w:val="24"/>
          <w:szCs w:val="24"/>
        </w:rPr>
      </w:pPr>
    </w:p>
    <w:p w:rsidRPr="003A2570" w:rsidR="00787987" w:rsidP="00787987" w:rsidRDefault="00787987" w14:paraId="41A7BA56" w14:textId="77777777">
      <w:pPr>
        <w:numPr>
          <w:ilvl w:val="12"/>
          <w:numId w:val="0"/>
        </w:numPr>
        <w:spacing w:after="0" w:line="240" w:lineRule="auto"/>
        <w:jc w:val="center"/>
        <w:outlineLvl w:val="0"/>
        <w:rPr>
          <w:rFonts w:ascii="Calibri" w:hAnsi="Calibri" w:eastAsia="Times New Roman" w:cs="Calibri"/>
          <w:sz w:val="24"/>
          <w:szCs w:val="24"/>
        </w:rPr>
      </w:pPr>
      <w:r w:rsidRPr="003A2570">
        <w:rPr>
          <w:rFonts w:ascii="Calibri" w:hAnsi="Calibri" w:eastAsia="Times New Roman" w:cs="Calibri"/>
          <w:sz w:val="24"/>
          <w:szCs w:val="24"/>
        </w:rPr>
        <w:t xml:space="preserve">Sub-study under, </w:t>
      </w:r>
    </w:p>
    <w:p w:rsidRPr="003A2570" w:rsidR="00787987" w:rsidP="00787987" w:rsidRDefault="00787987" w14:paraId="5AA45B38" w14:textId="77777777">
      <w:pPr>
        <w:numPr>
          <w:ilvl w:val="12"/>
          <w:numId w:val="0"/>
        </w:numPr>
        <w:spacing w:after="0" w:line="240" w:lineRule="auto"/>
        <w:jc w:val="center"/>
        <w:outlineLvl w:val="0"/>
        <w:rPr>
          <w:rFonts w:ascii="Calibri" w:hAnsi="Calibri" w:eastAsia="Times New Roman" w:cs="Calibri"/>
          <w:bCs/>
          <w:sz w:val="24"/>
          <w:szCs w:val="24"/>
        </w:rPr>
      </w:pPr>
      <w:r w:rsidRPr="003A2570">
        <w:rPr>
          <w:rFonts w:ascii="Calibri" w:hAnsi="Calibri" w:eastAsia="Times New Roman" w:cs="Calibri"/>
          <w:sz w:val="24"/>
          <w:szCs w:val="24"/>
        </w:rPr>
        <w:t>“</w:t>
      </w:r>
      <w:bookmarkStart w:name="_Hlk17112293" w:id="1"/>
      <w:r w:rsidRPr="003A2570">
        <w:rPr>
          <w:rFonts w:ascii="Calibri" w:hAnsi="Calibri" w:eastAsia="Times New Roman" w:cs="Calibri"/>
          <w:bCs/>
          <w:sz w:val="24"/>
          <w:szCs w:val="24"/>
        </w:rPr>
        <w:t>Generic Clearance for Application Information for</w:t>
      </w:r>
    </w:p>
    <w:p w:rsidRPr="003A2570" w:rsidR="00787987" w:rsidP="00787987" w:rsidRDefault="00787987" w14:paraId="6E4C5559" w14:textId="77777777">
      <w:pPr>
        <w:numPr>
          <w:ilvl w:val="12"/>
          <w:numId w:val="0"/>
        </w:numPr>
        <w:spacing w:after="0" w:line="240" w:lineRule="auto"/>
        <w:jc w:val="center"/>
        <w:outlineLvl w:val="0"/>
        <w:rPr>
          <w:rFonts w:ascii="Calibri" w:hAnsi="Calibri" w:eastAsia="Times New Roman" w:cs="Calibri"/>
          <w:bCs/>
          <w:sz w:val="24"/>
          <w:szCs w:val="24"/>
        </w:rPr>
      </w:pPr>
      <w:r w:rsidRPr="003A2570">
        <w:rPr>
          <w:rFonts w:ascii="Calibri" w:hAnsi="Calibri" w:eastAsia="Times New Roman" w:cs="Calibri"/>
          <w:bCs/>
          <w:sz w:val="24"/>
          <w:szCs w:val="24"/>
        </w:rPr>
        <w:t>Fellowship, Internships, Training Programs, and Specialty Positions</w:t>
      </w:r>
    </w:p>
    <w:p w:rsidRPr="003A2570" w:rsidR="00787987" w:rsidP="00787987" w:rsidRDefault="00787987" w14:paraId="017327A7" w14:textId="77777777">
      <w:pPr>
        <w:numPr>
          <w:ilvl w:val="12"/>
          <w:numId w:val="0"/>
        </w:numPr>
        <w:spacing w:after="0" w:line="240" w:lineRule="auto"/>
        <w:jc w:val="center"/>
        <w:outlineLvl w:val="0"/>
        <w:rPr>
          <w:rFonts w:ascii="Calibri" w:hAnsi="Calibri" w:eastAsia="MS Mincho" w:cs="Calibri"/>
          <w:sz w:val="24"/>
          <w:szCs w:val="24"/>
          <w:lang w:eastAsia="ja-JP"/>
        </w:rPr>
      </w:pPr>
      <w:r w:rsidRPr="003A2570">
        <w:rPr>
          <w:rFonts w:ascii="Calibri" w:hAnsi="Calibri" w:eastAsia="Times New Roman" w:cs="Calibri"/>
          <w:bCs/>
          <w:sz w:val="24"/>
          <w:szCs w:val="24"/>
        </w:rPr>
        <w:t>(National Cancer Institute)</w:t>
      </w:r>
      <w:bookmarkEnd w:id="1"/>
      <w:r w:rsidRPr="003A2570">
        <w:rPr>
          <w:rFonts w:ascii="Calibri" w:hAnsi="Calibri" w:eastAsia="Times New Roman" w:cs="Calibri"/>
          <w:bCs/>
          <w:sz w:val="24"/>
          <w:szCs w:val="24"/>
        </w:rPr>
        <w:t>”</w:t>
      </w:r>
    </w:p>
    <w:p w:rsidRPr="003A2570" w:rsidR="00787987" w:rsidP="00787987" w:rsidRDefault="00787987" w14:paraId="39C4EFEF" w14:textId="77777777">
      <w:pPr>
        <w:spacing w:after="0" w:line="240" w:lineRule="auto"/>
        <w:jc w:val="center"/>
        <w:rPr>
          <w:rFonts w:ascii="Calibri" w:hAnsi="Calibri" w:eastAsia="MS Mincho" w:cs="Calibri"/>
          <w:sz w:val="24"/>
          <w:szCs w:val="24"/>
          <w:lang w:eastAsia="ja-JP"/>
        </w:rPr>
      </w:pPr>
    </w:p>
    <w:p w:rsidRPr="003A2570" w:rsidR="00787987" w:rsidP="00787987" w:rsidRDefault="00787987" w14:paraId="53357B7E" w14:textId="77777777">
      <w:pPr>
        <w:spacing w:after="0" w:line="240" w:lineRule="auto"/>
        <w:jc w:val="center"/>
        <w:rPr>
          <w:rFonts w:ascii="Calibri" w:hAnsi="Calibri" w:eastAsia="MS Mincho" w:cs="Calibri"/>
          <w:sz w:val="24"/>
          <w:szCs w:val="24"/>
          <w:lang w:eastAsia="ja-JP"/>
        </w:rPr>
      </w:pPr>
      <w:r w:rsidRPr="003A2570">
        <w:rPr>
          <w:rFonts w:ascii="Calibri" w:hAnsi="Calibri" w:eastAsia="MS Mincho" w:cs="Calibri"/>
          <w:sz w:val="24"/>
          <w:szCs w:val="24"/>
          <w:lang w:eastAsia="ja-JP"/>
        </w:rPr>
        <w:t xml:space="preserve">OMB No. 0925-0761 </w:t>
      </w:r>
    </w:p>
    <w:p w:rsidRPr="003A2570" w:rsidR="00787987" w:rsidP="00787987" w:rsidRDefault="00787987" w14:paraId="45CF63A5" w14:textId="77777777">
      <w:pPr>
        <w:spacing w:after="0" w:line="240" w:lineRule="auto"/>
        <w:jc w:val="center"/>
        <w:rPr>
          <w:rFonts w:ascii="Calibri" w:hAnsi="Calibri" w:eastAsia="MS Mincho" w:cs="Calibri"/>
          <w:sz w:val="24"/>
          <w:szCs w:val="24"/>
          <w:lang w:eastAsia="ja-JP"/>
        </w:rPr>
      </w:pPr>
    </w:p>
    <w:p w:rsidRPr="003A2570" w:rsidR="00787987" w:rsidP="00787987" w:rsidRDefault="00787987" w14:paraId="402E86BC" w14:textId="77777777">
      <w:pPr>
        <w:spacing w:after="0" w:line="240" w:lineRule="auto"/>
        <w:jc w:val="center"/>
        <w:rPr>
          <w:rFonts w:ascii="Calibri" w:hAnsi="Calibri" w:eastAsia="MS Mincho" w:cs="Calibri"/>
          <w:sz w:val="24"/>
          <w:szCs w:val="24"/>
          <w:lang w:eastAsia="ja-JP"/>
        </w:rPr>
      </w:pPr>
      <w:r w:rsidRPr="003A2570">
        <w:rPr>
          <w:rFonts w:ascii="Calibri" w:hAnsi="Calibri" w:eastAsia="MS Mincho" w:cs="Calibri"/>
          <w:sz w:val="24"/>
          <w:szCs w:val="24"/>
          <w:lang w:eastAsia="ja-JP"/>
        </w:rPr>
        <w:t>Expiration Date: 07/31/2022</w:t>
      </w:r>
    </w:p>
    <w:p w:rsidRPr="003A2570" w:rsidR="00787987" w:rsidP="00787987" w:rsidRDefault="00787987" w14:paraId="53F3B350" w14:textId="77777777">
      <w:pPr>
        <w:spacing w:after="0" w:line="240" w:lineRule="auto"/>
        <w:jc w:val="center"/>
        <w:rPr>
          <w:rFonts w:ascii="Calibri" w:hAnsi="Calibri" w:eastAsia="MS Mincho" w:cs="Calibri"/>
          <w:sz w:val="24"/>
          <w:szCs w:val="24"/>
          <w:highlight w:val="yellow"/>
          <w:lang w:eastAsia="ja-JP"/>
        </w:rPr>
      </w:pPr>
    </w:p>
    <w:p w:rsidRPr="003A2570" w:rsidR="00787987" w:rsidP="00787987" w:rsidRDefault="00787987" w14:paraId="4732D5CF" w14:textId="77777777">
      <w:pPr>
        <w:spacing w:after="0" w:line="240" w:lineRule="auto"/>
        <w:jc w:val="center"/>
        <w:rPr>
          <w:rFonts w:ascii="Calibri" w:hAnsi="Calibri" w:eastAsia="MS Mincho" w:cs="Calibri"/>
          <w:sz w:val="24"/>
          <w:szCs w:val="24"/>
          <w:lang w:eastAsia="ja-JP"/>
        </w:rPr>
      </w:pPr>
    </w:p>
    <w:p w:rsidRPr="003A2570" w:rsidR="00787987" w:rsidP="00787987" w:rsidRDefault="00787987" w14:paraId="04414690" w14:textId="77777777">
      <w:pPr>
        <w:spacing w:after="0" w:line="240" w:lineRule="auto"/>
        <w:jc w:val="center"/>
        <w:rPr>
          <w:rFonts w:ascii="Calibri" w:hAnsi="Calibri" w:eastAsia="MS Mincho" w:cs="Calibri"/>
          <w:sz w:val="24"/>
          <w:szCs w:val="24"/>
          <w:lang w:eastAsia="ja-JP"/>
        </w:rPr>
      </w:pPr>
    </w:p>
    <w:p w:rsidRPr="003A2570" w:rsidR="00787987" w:rsidP="00787987" w:rsidRDefault="007C5786" w14:paraId="573CA60D" w14:textId="23416A44">
      <w:pPr>
        <w:spacing w:after="0" w:line="240" w:lineRule="auto"/>
        <w:jc w:val="center"/>
        <w:rPr>
          <w:rFonts w:ascii="Calibri" w:hAnsi="Calibri" w:eastAsia="MS Mincho" w:cs="Calibri"/>
          <w:sz w:val="24"/>
          <w:szCs w:val="24"/>
          <w:lang w:eastAsia="ja-JP"/>
        </w:rPr>
      </w:pPr>
      <w:r>
        <w:rPr>
          <w:rFonts w:ascii="Calibri" w:hAnsi="Calibri" w:eastAsia="MS Mincho" w:cs="Calibri"/>
          <w:sz w:val="24"/>
          <w:szCs w:val="24"/>
          <w:lang w:eastAsia="ja-JP"/>
        </w:rPr>
        <w:t xml:space="preserve">February </w:t>
      </w:r>
      <w:r w:rsidR="00BE20F3">
        <w:rPr>
          <w:rFonts w:ascii="Calibri" w:hAnsi="Calibri" w:eastAsia="MS Mincho" w:cs="Calibri"/>
          <w:sz w:val="24"/>
          <w:szCs w:val="24"/>
          <w:lang w:eastAsia="ja-JP"/>
        </w:rPr>
        <w:t>2</w:t>
      </w:r>
      <w:r w:rsidR="0036335E">
        <w:rPr>
          <w:rFonts w:ascii="Calibri" w:hAnsi="Calibri" w:eastAsia="MS Mincho" w:cs="Calibri"/>
          <w:sz w:val="24"/>
          <w:szCs w:val="24"/>
          <w:lang w:eastAsia="ja-JP"/>
        </w:rPr>
        <w:t>6</w:t>
      </w:r>
      <w:r>
        <w:rPr>
          <w:rFonts w:ascii="Calibri" w:hAnsi="Calibri" w:eastAsia="MS Mincho" w:cs="Calibri"/>
          <w:sz w:val="24"/>
          <w:szCs w:val="24"/>
          <w:lang w:eastAsia="ja-JP"/>
        </w:rPr>
        <w:t>, 2020</w:t>
      </w:r>
    </w:p>
    <w:p w:rsidRPr="003A2570" w:rsidR="00787987" w:rsidP="00787987" w:rsidRDefault="00787987" w14:paraId="4CBB3336" w14:textId="77777777">
      <w:pPr>
        <w:tabs>
          <w:tab w:val="left" w:pos="3600"/>
        </w:tabs>
        <w:spacing w:after="0" w:line="360" w:lineRule="auto"/>
        <w:rPr>
          <w:rFonts w:ascii="Calibri" w:hAnsi="Calibri" w:eastAsia="Times New Roman" w:cs="Calibri"/>
          <w:sz w:val="24"/>
          <w:szCs w:val="24"/>
        </w:rPr>
      </w:pPr>
    </w:p>
    <w:p w:rsidRPr="003A2570" w:rsidR="00787987" w:rsidP="00787987" w:rsidRDefault="00787987" w14:paraId="44A88D70" w14:textId="77777777">
      <w:pPr>
        <w:spacing w:after="0" w:line="360" w:lineRule="auto"/>
        <w:rPr>
          <w:rFonts w:ascii="Calibri" w:hAnsi="Calibri" w:eastAsia="Times New Roman" w:cs="Calibri"/>
          <w:sz w:val="24"/>
          <w:szCs w:val="24"/>
        </w:rPr>
      </w:pPr>
    </w:p>
    <w:p w:rsidRPr="003A2570" w:rsidR="00787987" w:rsidP="00787987" w:rsidRDefault="00787987" w14:paraId="1146CDF8" w14:textId="77777777">
      <w:pPr>
        <w:spacing w:after="0" w:line="360" w:lineRule="auto"/>
        <w:rPr>
          <w:rFonts w:ascii="Calibri" w:hAnsi="Calibri" w:eastAsia="Times New Roman" w:cs="Calibri"/>
          <w:sz w:val="24"/>
          <w:szCs w:val="24"/>
        </w:rPr>
      </w:pPr>
    </w:p>
    <w:p w:rsidRPr="003A2570" w:rsidR="00787987" w:rsidP="00787987" w:rsidRDefault="00787987" w14:paraId="6458531F" w14:textId="77777777">
      <w:pPr>
        <w:spacing w:after="0" w:line="360" w:lineRule="auto"/>
        <w:rPr>
          <w:rFonts w:ascii="Calibri" w:hAnsi="Calibri" w:eastAsia="Times New Roman" w:cs="Calibri"/>
          <w:sz w:val="24"/>
          <w:szCs w:val="24"/>
        </w:rPr>
      </w:pPr>
    </w:p>
    <w:p w:rsidR="003A2570" w:rsidP="00787987" w:rsidRDefault="003A2570" w14:paraId="03D8B0DB" w14:textId="77777777">
      <w:pPr>
        <w:spacing w:after="0" w:line="360" w:lineRule="auto"/>
        <w:rPr>
          <w:rFonts w:ascii="Calibri" w:hAnsi="Calibri" w:eastAsia="Times New Roman" w:cs="Calibri"/>
          <w:sz w:val="24"/>
          <w:szCs w:val="24"/>
        </w:rPr>
      </w:pPr>
    </w:p>
    <w:p w:rsidR="003A2570" w:rsidP="00787987" w:rsidRDefault="003A2570" w14:paraId="0928C5CF" w14:textId="77777777">
      <w:pPr>
        <w:spacing w:after="0" w:line="360" w:lineRule="auto"/>
        <w:rPr>
          <w:rFonts w:ascii="Calibri" w:hAnsi="Calibri" w:eastAsia="Times New Roman" w:cs="Calibri"/>
          <w:sz w:val="24"/>
          <w:szCs w:val="24"/>
        </w:rPr>
      </w:pPr>
    </w:p>
    <w:p w:rsidR="003A2570" w:rsidP="00787987" w:rsidRDefault="003A2570" w14:paraId="3F83E439" w14:textId="77777777">
      <w:pPr>
        <w:spacing w:after="0" w:line="360" w:lineRule="auto"/>
        <w:rPr>
          <w:rFonts w:ascii="Calibri" w:hAnsi="Calibri" w:eastAsia="Times New Roman" w:cs="Calibri"/>
          <w:sz w:val="24"/>
          <w:szCs w:val="24"/>
        </w:rPr>
      </w:pPr>
    </w:p>
    <w:p w:rsidR="003A2570" w:rsidP="00787987" w:rsidRDefault="003A2570" w14:paraId="7895A50C" w14:textId="77777777">
      <w:pPr>
        <w:spacing w:after="0" w:line="360" w:lineRule="auto"/>
        <w:rPr>
          <w:rFonts w:ascii="Calibri" w:hAnsi="Calibri" w:eastAsia="Times New Roman" w:cs="Calibri"/>
          <w:sz w:val="24"/>
          <w:szCs w:val="24"/>
        </w:rPr>
      </w:pPr>
    </w:p>
    <w:p w:rsidRPr="003A2570" w:rsidR="00787987" w:rsidP="00787987" w:rsidRDefault="00787987" w14:paraId="2B79B6A9" w14:textId="41D7383F">
      <w:pPr>
        <w:spacing w:after="0" w:line="360" w:lineRule="auto"/>
        <w:rPr>
          <w:rFonts w:ascii="Calibri" w:hAnsi="Calibri" w:eastAsia="Times New Roman" w:cs="Calibri"/>
          <w:sz w:val="24"/>
          <w:szCs w:val="24"/>
        </w:rPr>
      </w:pPr>
      <w:r w:rsidRPr="003A2570">
        <w:rPr>
          <w:rFonts w:ascii="Calibri" w:hAnsi="Calibri" w:eastAsia="Times New Roman" w:cs="Calibri"/>
          <w:sz w:val="24"/>
          <w:szCs w:val="24"/>
        </w:rPr>
        <w:t xml:space="preserve">Name: </w:t>
      </w:r>
      <w:r w:rsidRPr="003A2570">
        <w:rPr>
          <w:rFonts w:ascii="Calibri" w:hAnsi="Calibri" w:eastAsia="Times New Roman" w:cs="Calibri"/>
          <w:sz w:val="24"/>
          <w:szCs w:val="24"/>
        </w:rPr>
        <w:tab/>
      </w:r>
      <w:r w:rsidRPr="003A2570">
        <w:rPr>
          <w:rFonts w:ascii="Calibri" w:hAnsi="Calibri" w:eastAsia="Times New Roman" w:cs="Calibri"/>
          <w:sz w:val="24"/>
          <w:szCs w:val="24"/>
        </w:rPr>
        <w:tab/>
        <w:t>Erin Wetzel</w:t>
      </w:r>
    </w:p>
    <w:p w:rsidRPr="003A2570" w:rsidR="00787987" w:rsidP="00787987" w:rsidRDefault="00787987" w14:paraId="77614888" w14:textId="1FE9A73C">
      <w:pPr>
        <w:spacing w:after="0" w:line="360" w:lineRule="auto"/>
        <w:rPr>
          <w:rFonts w:ascii="Calibri" w:hAnsi="Calibri" w:eastAsia="Times New Roman" w:cs="Calibri"/>
          <w:sz w:val="24"/>
          <w:szCs w:val="24"/>
        </w:rPr>
      </w:pPr>
      <w:r w:rsidRPr="003A2570">
        <w:rPr>
          <w:rFonts w:ascii="Calibri" w:hAnsi="Calibri" w:eastAsia="Times New Roman" w:cs="Calibri"/>
          <w:sz w:val="24"/>
          <w:szCs w:val="24"/>
        </w:rPr>
        <w:t xml:space="preserve">Address: </w:t>
      </w:r>
      <w:r w:rsidRPr="003A2570">
        <w:rPr>
          <w:rFonts w:ascii="Calibri" w:hAnsi="Calibri" w:eastAsia="Times New Roman" w:cs="Calibri"/>
          <w:sz w:val="24"/>
          <w:szCs w:val="24"/>
        </w:rPr>
        <w:tab/>
        <w:t xml:space="preserve">9609 Medical Center, Room </w:t>
      </w:r>
      <w:r w:rsidRPr="003A2570" w:rsidR="002E5114">
        <w:rPr>
          <w:rFonts w:ascii="Calibri" w:hAnsi="Calibri" w:eastAsia="Times New Roman" w:cs="Calibri"/>
          <w:sz w:val="24"/>
          <w:szCs w:val="24"/>
        </w:rPr>
        <w:t>6W-528</w:t>
      </w:r>
    </w:p>
    <w:p w:rsidRPr="003A2570" w:rsidR="00787987" w:rsidP="00787987" w:rsidRDefault="00787987" w14:paraId="6A28931F" w14:textId="61C17599">
      <w:pPr>
        <w:spacing w:after="0" w:line="360" w:lineRule="auto"/>
        <w:rPr>
          <w:rFonts w:ascii="Calibri" w:hAnsi="Calibri" w:eastAsia="Times New Roman" w:cs="Calibri"/>
          <w:sz w:val="24"/>
          <w:szCs w:val="24"/>
        </w:rPr>
      </w:pPr>
      <w:r w:rsidRPr="003A2570">
        <w:rPr>
          <w:rFonts w:ascii="Calibri" w:hAnsi="Calibri" w:eastAsia="Times New Roman" w:cs="Calibri"/>
          <w:sz w:val="24"/>
          <w:szCs w:val="24"/>
        </w:rPr>
        <w:t xml:space="preserve">               </w:t>
      </w:r>
      <w:r w:rsidRPr="003A2570">
        <w:rPr>
          <w:rFonts w:ascii="Calibri" w:hAnsi="Calibri" w:eastAsia="Times New Roman" w:cs="Calibri"/>
          <w:sz w:val="24"/>
          <w:szCs w:val="24"/>
        </w:rPr>
        <w:tab/>
      </w:r>
      <w:r w:rsidRPr="003A2570" w:rsidR="002E5114">
        <w:rPr>
          <w:rFonts w:ascii="Calibri" w:hAnsi="Calibri" w:eastAsia="Times New Roman" w:cs="Calibri"/>
          <w:sz w:val="24"/>
          <w:szCs w:val="24"/>
        </w:rPr>
        <w:t>Bethesda, MD  20892</w:t>
      </w:r>
    </w:p>
    <w:p w:rsidRPr="003A2570" w:rsidR="00787987" w:rsidP="003A2570" w:rsidRDefault="00787987" w14:paraId="31A10712" w14:textId="44106A37">
      <w:pPr>
        <w:tabs>
          <w:tab w:val="left" w:pos="1440"/>
        </w:tabs>
        <w:spacing w:after="0" w:line="360" w:lineRule="auto"/>
        <w:rPr>
          <w:rFonts w:ascii="Calibri" w:hAnsi="Calibri" w:eastAsia="Times New Roman" w:cs="Calibri"/>
          <w:sz w:val="24"/>
          <w:szCs w:val="24"/>
        </w:rPr>
      </w:pPr>
      <w:r w:rsidRPr="003A2570">
        <w:rPr>
          <w:rFonts w:ascii="Calibri" w:hAnsi="Calibri" w:eastAsia="Times New Roman" w:cs="Calibri"/>
          <w:sz w:val="24"/>
          <w:szCs w:val="24"/>
        </w:rPr>
        <w:t>Telephone:</w:t>
      </w:r>
      <w:r w:rsidR="003A2570">
        <w:rPr>
          <w:rFonts w:ascii="Calibri" w:hAnsi="Calibri" w:eastAsia="Times New Roman" w:cs="Calibri"/>
          <w:sz w:val="24"/>
          <w:szCs w:val="24"/>
        </w:rPr>
        <w:tab/>
      </w:r>
      <w:r w:rsidRPr="003A2570">
        <w:rPr>
          <w:rFonts w:ascii="Calibri" w:hAnsi="Calibri" w:eastAsia="Times New Roman" w:cs="Calibri"/>
          <w:sz w:val="24"/>
          <w:szCs w:val="24"/>
        </w:rPr>
        <w:t>240-276-6180</w:t>
      </w:r>
      <w:r w:rsidRPr="003A2570">
        <w:rPr>
          <w:rFonts w:ascii="Calibri" w:hAnsi="Calibri" w:eastAsia="Times New Roman" w:cs="Calibri"/>
          <w:sz w:val="24"/>
          <w:szCs w:val="24"/>
        </w:rPr>
        <w:tab/>
      </w:r>
    </w:p>
    <w:p w:rsidRPr="003A2570" w:rsidR="00787987" w:rsidP="003A2570" w:rsidRDefault="00787987" w14:paraId="4F76692E" w14:textId="3335860A">
      <w:pPr>
        <w:tabs>
          <w:tab w:val="left" w:pos="1440"/>
        </w:tabs>
        <w:spacing w:after="0" w:line="360" w:lineRule="auto"/>
        <w:rPr>
          <w:rFonts w:ascii="Calibri" w:hAnsi="Calibri" w:eastAsia="Times New Roman" w:cs="Calibri"/>
          <w:sz w:val="24"/>
          <w:szCs w:val="24"/>
        </w:rPr>
      </w:pPr>
      <w:r w:rsidRPr="003A2570">
        <w:rPr>
          <w:rFonts w:ascii="Calibri" w:hAnsi="Calibri" w:eastAsia="Times New Roman" w:cs="Calibri"/>
          <w:sz w:val="24"/>
          <w:szCs w:val="24"/>
        </w:rPr>
        <w:t>E-mail:</w:t>
      </w:r>
      <w:r w:rsidR="003A2570">
        <w:rPr>
          <w:rFonts w:ascii="Calibri" w:hAnsi="Calibri" w:eastAsia="Times New Roman" w:cs="Calibri"/>
          <w:sz w:val="24"/>
          <w:szCs w:val="24"/>
        </w:rPr>
        <w:tab/>
      </w:r>
      <w:r w:rsidRPr="003A2570">
        <w:rPr>
          <w:rFonts w:ascii="Calibri" w:hAnsi="Calibri" w:eastAsia="Times New Roman" w:cs="Calibri"/>
          <w:sz w:val="24"/>
          <w:szCs w:val="24"/>
        </w:rPr>
        <w:t>erin.wetzel@nih.gov</w:t>
      </w:r>
    </w:p>
    <w:p w:rsidR="00B14221" w:rsidP="008716F6" w:rsidRDefault="00B14221" w14:paraId="4272F118" w14:textId="77777777">
      <w:pPr>
        <w:spacing w:after="20"/>
        <w:jc w:val="center"/>
        <w:rPr>
          <w:b/>
          <w:sz w:val="28"/>
          <w:szCs w:val="28"/>
        </w:rPr>
      </w:pPr>
    </w:p>
    <w:p w:rsidRPr="004E241C" w:rsidR="000F6E1A" w:rsidP="008716F6" w:rsidRDefault="000F6E1A" w14:paraId="769AF0B2" w14:textId="41ADC532">
      <w:pPr>
        <w:spacing w:after="20"/>
        <w:jc w:val="center"/>
        <w:rPr>
          <w:b/>
          <w:sz w:val="24"/>
          <w:szCs w:val="24"/>
        </w:rPr>
      </w:pPr>
      <w:r w:rsidRPr="004E241C">
        <w:rPr>
          <w:b/>
          <w:sz w:val="24"/>
          <w:szCs w:val="24"/>
        </w:rPr>
        <w:t>List of Attachments</w:t>
      </w:r>
    </w:p>
    <w:p w:rsidRPr="004E241C" w:rsidR="003F0D8B" w:rsidP="008716F6" w:rsidRDefault="003F0D8B" w14:paraId="4C517D43" w14:textId="6D3F46CF">
      <w:pPr>
        <w:spacing w:after="20"/>
        <w:jc w:val="center"/>
        <w:rPr>
          <w:b/>
          <w:sz w:val="24"/>
          <w:szCs w:val="24"/>
        </w:rPr>
      </w:pPr>
    </w:p>
    <w:p w:rsidRPr="004E241C" w:rsidR="007C702E" w:rsidP="007C702E" w:rsidRDefault="003F0D8B" w14:paraId="0D719318" w14:textId="5EB59C1A">
      <w:pPr>
        <w:spacing w:after="20"/>
        <w:rPr>
          <w:sz w:val="24"/>
          <w:szCs w:val="24"/>
        </w:rPr>
      </w:pPr>
      <w:r w:rsidRPr="004E241C">
        <w:rPr>
          <w:sz w:val="24"/>
          <w:szCs w:val="24"/>
        </w:rPr>
        <w:t xml:space="preserve">Attachment 1:  </w:t>
      </w:r>
      <w:r w:rsidRPr="004E241C" w:rsidR="007C702E">
        <w:rPr>
          <w:sz w:val="24"/>
          <w:szCs w:val="24"/>
        </w:rPr>
        <w:t xml:space="preserve">Application </w:t>
      </w:r>
    </w:p>
    <w:p w:rsidRPr="004E241C" w:rsidR="007C702E" w:rsidP="003F0D8B" w:rsidRDefault="007C702E" w14:paraId="0DEAA650" w14:textId="77777777">
      <w:pPr>
        <w:spacing w:after="20"/>
        <w:rPr>
          <w:sz w:val="24"/>
          <w:szCs w:val="24"/>
        </w:rPr>
      </w:pPr>
    </w:p>
    <w:p w:rsidRPr="004E241C" w:rsidR="003F0D8B" w:rsidP="003F0D8B" w:rsidRDefault="003F0D8B" w14:paraId="2A8D2297" w14:textId="50C4F0F8">
      <w:pPr>
        <w:spacing w:after="20"/>
        <w:rPr>
          <w:sz w:val="24"/>
          <w:szCs w:val="24"/>
        </w:rPr>
      </w:pPr>
      <w:r w:rsidRPr="004E241C">
        <w:rPr>
          <w:sz w:val="24"/>
          <w:szCs w:val="24"/>
        </w:rPr>
        <w:t xml:space="preserve">Attachment 2:  </w:t>
      </w:r>
      <w:r w:rsidR="001B3653">
        <w:rPr>
          <w:sz w:val="24"/>
          <w:szCs w:val="24"/>
        </w:rPr>
        <w:t xml:space="preserve">Faculty </w:t>
      </w:r>
      <w:r w:rsidRPr="004E241C" w:rsidR="003A2570">
        <w:rPr>
          <w:sz w:val="24"/>
          <w:szCs w:val="24"/>
        </w:rPr>
        <w:t>R</w:t>
      </w:r>
      <w:r w:rsidR="001B3653">
        <w:rPr>
          <w:sz w:val="24"/>
          <w:szCs w:val="24"/>
        </w:rPr>
        <w:t>eferences</w:t>
      </w:r>
      <w:r w:rsidRPr="004E241C" w:rsidR="003A2570">
        <w:rPr>
          <w:sz w:val="24"/>
          <w:szCs w:val="24"/>
        </w:rPr>
        <w:t xml:space="preserve"> Invitation &amp; Form</w:t>
      </w:r>
    </w:p>
    <w:p w:rsidRPr="004E241C" w:rsidR="00A27B3A" w:rsidP="003F0D8B" w:rsidRDefault="00A27B3A" w14:paraId="7659B20A" w14:textId="6A10123B">
      <w:pPr>
        <w:spacing w:after="20"/>
        <w:rPr>
          <w:sz w:val="24"/>
          <w:szCs w:val="24"/>
        </w:rPr>
      </w:pPr>
    </w:p>
    <w:p w:rsidRPr="004E241C" w:rsidR="00A27B3A" w:rsidP="003F0D8B" w:rsidRDefault="00A27B3A" w14:paraId="05985128" w14:textId="03F0C42C">
      <w:pPr>
        <w:spacing w:after="20"/>
        <w:rPr>
          <w:sz w:val="24"/>
          <w:szCs w:val="24"/>
        </w:rPr>
      </w:pPr>
      <w:r w:rsidRPr="004E241C">
        <w:rPr>
          <w:sz w:val="24"/>
          <w:szCs w:val="24"/>
        </w:rPr>
        <w:t>Attachment 3 – Privacy Act Letter</w:t>
      </w:r>
    </w:p>
    <w:p w:rsidRPr="004E241C" w:rsidR="00A27B3A" w:rsidP="003F0D8B" w:rsidRDefault="00A27B3A" w14:paraId="46A276D8" w14:textId="61B620C8">
      <w:pPr>
        <w:spacing w:after="20"/>
        <w:rPr>
          <w:sz w:val="24"/>
          <w:szCs w:val="24"/>
        </w:rPr>
      </w:pPr>
    </w:p>
    <w:p w:rsidR="00A27B3A" w:rsidP="003F0D8B" w:rsidRDefault="00A27B3A" w14:paraId="23148A53" w14:textId="171D93FE">
      <w:pPr>
        <w:spacing w:after="20"/>
        <w:rPr>
          <w:sz w:val="24"/>
          <w:szCs w:val="24"/>
        </w:rPr>
      </w:pPr>
      <w:r w:rsidRPr="004E241C">
        <w:rPr>
          <w:sz w:val="24"/>
          <w:szCs w:val="24"/>
        </w:rPr>
        <w:t xml:space="preserve">Attachment 4 – Privacy Impact Assessment </w:t>
      </w:r>
    </w:p>
    <w:p w:rsidR="002010BC" w:rsidP="003F0D8B" w:rsidRDefault="002010BC" w14:paraId="64C3334A" w14:textId="2F938AAE">
      <w:pPr>
        <w:spacing w:after="20"/>
        <w:rPr>
          <w:sz w:val="24"/>
          <w:szCs w:val="24"/>
        </w:rPr>
      </w:pPr>
    </w:p>
    <w:p w:rsidRPr="004E241C" w:rsidR="002010BC" w:rsidP="003F0D8B" w:rsidRDefault="002010BC" w14:paraId="4A3C0529" w14:textId="0F9B351D">
      <w:pPr>
        <w:spacing w:after="20"/>
        <w:rPr>
          <w:sz w:val="24"/>
          <w:szCs w:val="24"/>
        </w:rPr>
      </w:pPr>
      <w:r>
        <w:rPr>
          <w:sz w:val="24"/>
          <w:szCs w:val="24"/>
        </w:rPr>
        <w:t xml:space="preserve">Attachment 5 </w:t>
      </w:r>
      <w:proofErr w:type="gramStart"/>
      <w:r>
        <w:rPr>
          <w:sz w:val="24"/>
          <w:szCs w:val="24"/>
        </w:rPr>
        <w:t>-  Application</w:t>
      </w:r>
      <w:proofErr w:type="gramEnd"/>
      <w:r>
        <w:rPr>
          <w:sz w:val="24"/>
          <w:szCs w:val="24"/>
        </w:rPr>
        <w:t xml:space="preserve"> email</w:t>
      </w:r>
    </w:p>
    <w:p w:rsidRPr="00957B52" w:rsidR="003F0D8B" w:rsidP="003F0D8B" w:rsidRDefault="003F0D8B" w14:paraId="00887889" w14:textId="0E84CEAE">
      <w:pPr>
        <w:spacing w:after="20"/>
        <w:rPr>
          <w:sz w:val="28"/>
          <w:szCs w:val="28"/>
        </w:rPr>
      </w:pPr>
    </w:p>
    <w:p w:rsidR="009319B2" w:rsidRDefault="009319B2" w14:paraId="1E9B6020" w14:textId="77777777">
      <w:r>
        <w:br w:type="page"/>
      </w:r>
    </w:p>
    <w:p w:rsidRPr="004E241C" w:rsidR="00DB27F3" w:rsidP="008716F6" w:rsidRDefault="00AF01AD" w14:paraId="6CA5DD09" w14:textId="692DD6EE">
      <w:pPr>
        <w:spacing w:after="20"/>
        <w:jc w:val="center"/>
        <w:rPr>
          <w:b/>
          <w:sz w:val="28"/>
          <w:szCs w:val="28"/>
        </w:rPr>
      </w:pPr>
      <w:r w:rsidRPr="004E241C">
        <w:rPr>
          <w:b/>
          <w:sz w:val="28"/>
          <w:szCs w:val="28"/>
        </w:rPr>
        <w:lastRenderedPageBreak/>
        <w:t xml:space="preserve">Mini </w:t>
      </w:r>
      <w:r w:rsidRPr="004E241C" w:rsidR="008716F6">
        <w:rPr>
          <w:b/>
          <w:sz w:val="28"/>
          <w:szCs w:val="28"/>
        </w:rPr>
        <w:t>Supporting Statement</w:t>
      </w:r>
      <w:r w:rsidRPr="004E241C" w:rsidR="008529CC">
        <w:rPr>
          <w:b/>
          <w:sz w:val="28"/>
          <w:szCs w:val="28"/>
        </w:rPr>
        <w:t xml:space="preserve"> A</w:t>
      </w:r>
    </w:p>
    <w:p w:rsidRPr="00957B52" w:rsidR="008716F6" w:rsidP="008716F6" w:rsidRDefault="008716F6" w14:paraId="321D8793" w14:textId="77777777">
      <w:pPr>
        <w:spacing w:after="20"/>
        <w:rPr>
          <w:sz w:val="28"/>
          <w:szCs w:val="28"/>
        </w:rPr>
      </w:pPr>
    </w:p>
    <w:p w:rsidRPr="004E241C" w:rsidR="008716F6" w:rsidP="008716F6" w:rsidRDefault="008716F6" w14:paraId="31E6DC0F" w14:textId="77777777">
      <w:pPr>
        <w:spacing w:after="20"/>
        <w:rPr>
          <w:b/>
          <w:sz w:val="24"/>
          <w:szCs w:val="24"/>
        </w:rPr>
      </w:pPr>
      <w:r w:rsidRPr="004E241C">
        <w:rPr>
          <w:b/>
          <w:sz w:val="24"/>
          <w:szCs w:val="24"/>
        </w:rPr>
        <w:t>A.1 Circumstances Making the Collection of Information Necessary</w:t>
      </w:r>
    </w:p>
    <w:p w:rsidRPr="004E241C" w:rsidR="00A86311" w:rsidP="00003BE1" w:rsidRDefault="00A86311" w14:paraId="1C0408A7" w14:textId="7C048D3B">
      <w:pPr>
        <w:spacing w:after="20"/>
        <w:rPr>
          <w:sz w:val="24"/>
          <w:szCs w:val="24"/>
        </w:rPr>
      </w:pPr>
      <w:r w:rsidRPr="004E241C">
        <w:rPr>
          <w:sz w:val="24"/>
          <w:szCs w:val="24"/>
        </w:rPr>
        <w:t>The National Cancer Institute’s (NCI)</w:t>
      </w:r>
      <w:r w:rsidRPr="004E241C" w:rsidR="00BD26BE">
        <w:rPr>
          <w:sz w:val="24"/>
          <w:szCs w:val="24"/>
        </w:rPr>
        <w:t xml:space="preserve"> Division of Cancer Biology (DCB)</w:t>
      </w:r>
      <w:r w:rsidRPr="004E241C">
        <w:rPr>
          <w:sz w:val="24"/>
          <w:szCs w:val="24"/>
        </w:rPr>
        <w:t xml:space="preserve"> Cancer Systems Biology Consortium </w:t>
      </w:r>
      <w:r w:rsidRPr="004E241C" w:rsidR="00BD26BE">
        <w:rPr>
          <w:sz w:val="24"/>
          <w:szCs w:val="24"/>
        </w:rPr>
        <w:t xml:space="preserve">(CSBC) </w:t>
      </w:r>
      <w:r w:rsidRPr="004E241C">
        <w:rPr>
          <w:sz w:val="24"/>
          <w:szCs w:val="24"/>
        </w:rPr>
        <w:t>and Physical Sciences in Oncology Network</w:t>
      </w:r>
      <w:r w:rsidRPr="004E241C" w:rsidR="00BD26BE">
        <w:rPr>
          <w:sz w:val="24"/>
          <w:szCs w:val="24"/>
        </w:rPr>
        <w:t xml:space="preserve"> (PS-ON)</w:t>
      </w:r>
      <w:r w:rsidRPr="004E241C">
        <w:rPr>
          <w:sz w:val="24"/>
          <w:szCs w:val="24"/>
        </w:rPr>
        <w:t xml:space="preserve"> are offering rising Junior and Senior undergraduates with outstanding research potential the opportunity to work closely with faculty mentors </w:t>
      </w:r>
      <w:r w:rsidRPr="004E241C" w:rsidR="005C067D">
        <w:rPr>
          <w:sz w:val="24"/>
          <w:szCs w:val="24"/>
        </w:rPr>
        <w:t>at</w:t>
      </w:r>
      <w:r w:rsidRPr="004E241C">
        <w:rPr>
          <w:sz w:val="24"/>
          <w:szCs w:val="24"/>
        </w:rPr>
        <w:t xml:space="preserve"> NCI-supported institutions. The program is designed for students who wish to gain experience in the interdisciplinary fields of systems biology and physical oncology. Students who are especially interested in cancer research careers are encouraged to apply. </w:t>
      </w:r>
      <w:r w:rsidRPr="004E241C" w:rsidR="00B14221">
        <w:rPr>
          <w:sz w:val="24"/>
          <w:szCs w:val="24"/>
        </w:rPr>
        <w:t>Sixteen o</w:t>
      </w:r>
      <w:r w:rsidRPr="004E241C">
        <w:rPr>
          <w:sz w:val="24"/>
          <w:szCs w:val="24"/>
        </w:rPr>
        <w:t>pportunities are available at research institutions across the United States.</w:t>
      </w:r>
    </w:p>
    <w:p w:rsidRPr="004E241C" w:rsidR="00BD26BE" w:rsidP="00003BE1" w:rsidRDefault="00BD26BE" w14:paraId="7DFC1D48" w14:textId="2AA0BBF6">
      <w:pPr>
        <w:spacing w:after="20"/>
        <w:rPr>
          <w:sz w:val="24"/>
          <w:szCs w:val="24"/>
        </w:rPr>
      </w:pPr>
    </w:p>
    <w:p w:rsidRPr="004E241C" w:rsidR="00BD26BE" w:rsidP="00003BE1" w:rsidRDefault="00BD26BE" w14:paraId="7357A6BA" w14:textId="52C28225">
      <w:pPr>
        <w:spacing w:after="20"/>
        <w:rPr>
          <w:sz w:val="24"/>
          <w:szCs w:val="24"/>
        </w:rPr>
      </w:pPr>
      <w:r w:rsidRPr="004E241C">
        <w:rPr>
          <w:sz w:val="24"/>
          <w:szCs w:val="24"/>
        </w:rPr>
        <w:t>The CSBC</w:t>
      </w:r>
      <w:r w:rsidR="007514FD">
        <w:rPr>
          <w:sz w:val="24"/>
          <w:szCs w:val="24"/>
        </w:rPr>
        <w:t>/</w:t>
      </w:r>
      <w:r w:rsidRPr="004E241C">
        <w:rPr>
          <w:sz w:val="24"/>
          <w:szCs w:val="24"/>
        </w:rPr>
        <w:t>PS-ON summer undergraduate research program</w:t>
      </w:r>
      <w:r w:rsidRPr="004E241C" w:rsidR="00103957">
        <w:rPr>
          <w:sz w:val="24"/>
          <w:szCs w:val="24"/>
        </w:rPr>
        <w:t xml:space="preserve"> (SURP)</w:t>
      </w:r>
      <w:r w:rsidRPr="004E241C">
        <w:rPr>
          <w:sz w:val="24"/>
          <w:szCs w:val="24"/>
        </w:rPr>
        <w:t xml:space="preserve"> </w:t>
      </w:r>
      <w:r w:rsidRPr="004E241C" w:rsidR="00BE20F3">
        <w:rPr>
          <w:sz w:val="24"/>
          <w:szCs w:val="24"/>
        </w:rPr>
        <w:t>recruits’</w:t>
      </w:r>
      <w:r w:rsidRPr="004E241C">
        <w:rPr>
          <w:sz w:val="24"/>
          <w:szCs w:val="24"/>
        </w:rPr>
        <w:t xml:space="preserve"> participants on an annual basis through </w:t>
      </w:r>
      <w:r w:rsidRPr="004E241C" w:rsidR="00103957">
        <w:rPr>
          <w:sz w:val="24"/>
          <w:szCs w:val="24"/>
        </w:rPr>
        <w:t xml:space="preserve">a </w:t>
      </w:r>
      <w:r w:rsidRPr="004E241C">
        <w:rPr>
          <w:sz w:val="24"/>
          <w:szCs w:val="24"/>
        </w:rPr>
        <w:t>web-based application system. The application syste</w:t>
      </w:r>
      <w:r w:rsidRPr="004E241C" w:rsidR="00103957">
        <w:rPr>
          <w:sz w:val="24"/>
          <w:szCs w:val="24"/>
        </w:rPr>
        <w:t>m</w:t>
      </w:r>
      <w:r w:rsidRPr="004E241C">
        <w:rPr>
          <w:sz w:val="24"/>
          <w:szCs w:val="24"/>
        </w:rPr>
        <w:t xml:space="preserve"> </w:t>
      </w:r>
      <w:r w:rsidRPr="004E241C" w:rsidR="00103957">
        <w:rPr>
          <w:sz w:val="24"/>
          <w:szCs w:val="24"/>
        </w:rPr>
        <w:t>is</w:t>
      </w:r>
      <w:r w:rsidRPr="004E241C">
        <w:rPr>
          <w:sz w:val="24"/>
          <w:szCs w:val="24"/>
        </w:rPr>
        <w:t xml:space="preserve"> designed to allow people to apply to the undergraduate research opportunity.  The application system also provide</w:t>
      </w:r>
      <w:r w:rsidRPr="004E241C" w:rsidR="00103957">
        <w:rPr>
          <w:sz w:val="24"/>
          <w:szCs w:val="24"/>
        </w:rPr>
        <w:t>s</w:t>
      </w:r>
      <w:r w:rsidRPr="004E241C">
        <w:rPr>
          <w:sz w:val="24"/>
          <w:szCs w:val="24"/>
        </w:rPr>
        <w:t xml:space="preserve"> tools to </w:t>
      </w:r>
      <w:r w:rsidRPr="004E241C" w:rsidR="00857C45">
        <w:rPr>
          <w:sz w:val="24"/>
          <w:szCs w:val="24"/>
        </w:rPr>
        <w:t xml:space="preserve">NCI DCB and to the program coordinator, Leidos Biomedical Research, Inc., </w:t>
      </w:r>
      <w:r w:rsidRPr="004E241C">
        <w:rPr>
          <w:sz w:val="24"/>
          <w:szCs w:val="24"/>
        </w:rPr>
        <w:t>to process applications and evaluate the applicant pool.</w:t>
      </w:r>
    </w:p>
    <w:p w:rsidRPr="00FC14EB" w:rsidR="00003BE1" w:rsidP="008716F6" w:rsidRDefault="00003BE1" w14:paraId="0EF69D05" w14:textId="77777777">
      <w:pPr>
        <w:spacing w:after="20"/>
        <w:rPr>
          <w:sz w:val="32"/>
          <w:szCs w:val="32"/>
        </w:rPr>
      </w:pPr>
    </w:p>
    <w:p w:rsidRPr="009E514C" w:rsidR="008716F6" w:rsidP="008716F6" w:rsidRDefault="008716F6" w14:paraId="25F27327" w14:textId="77777777">
      <w:pPr>
        <w:spacing w:after="20"/>
        <w:rPr>
          <w:b/>
          <w:sz w:val="24"/>
          <w:szCs w:val="24"/>
        </w:rPr>
      </w:pPr>
      <w:r w:rsidRPr="009E514C">
        <w:rPr>
          <w:b/>
          <w:sz w:val="24"/>
          <w:szCs w:val="24"/>
        </w:rPr>
        <w:t>A.2 Purpose and Use of the Information Collection</w:t>
      </w:r>
    </w:p>
    <w:p w:rsidRPr="005C067D" w:rsidR="005C067D" w:rsidP="005C067D" w:rsidRDefault="00FC14EB" w14:paraId="07B82224" w14:textId="710C76FF">
      <w:pPr>
        <w:spacing w:after="20"/>
        <w:rPr>
          <w:sz w:val="24"/>
          <w:szCs w:val="24"/>
        </w:rPr>
      </w:pPr>
      <w:r>
        <w:rPr>
          <w:sz w:val="24"/>
          <w:szCs w:val="24"/>
        </w:rPr>
        <w:t xml:space="preserve">Students are identified and matriculated into the summer program via the web-based </w:t>
      </w:r>
      <w:r w:rsidR="005C067D">
        <w:rPr>
          <w:sz w:val="24"/>
          <w:szCs w:val="24"/>
        </w:rPr>
        <w:t>CSBC</w:t>
      </w:r>
      <w:r w:rsidR="007514FD">
        <w:rPr>
          <w:sz w:val="24"/>
          <w:szCs w:val="24"/>
        </w:rPr>
        <w:t>/</w:t>
      </w:r>
      <w:r w:rsidR="005C067D">
        <w:rPr>
          <w:sz w:val="24"/>
          <w:szCs w:val="24"/>
        </w:rPr>
        <w:t xml:space="preserve">PS-ON </w:t>
      </w:r>
      <w:r w:rsidR="00103957">
        <w:rPr>
          <w:sz w:val="24"/>
          <w:szCs w:val="24"/>
        </w:rPr>
        <w:t>SURP</w:t>
      </w:r>
      <w:r w:rsidR="005C067D">
        <w:rPr>
          <w:sz w:val="24"/>
          <w:szCs w:val="24"/>
        </w:rPr>
        <w:t xml:space="preserve"> application </w:t>
      </w:r>
      <w:r>
        <w:rPr>
          <w:sz w:val="24"/>
          <w:szCs w:val="24"/>
        </w:rPr>
        <w:t xml:space="preserve">system.  </w:t>
      </w:r>
      <w:r w:rsidRPr="005C067D" w:rsidR="005C067D">
        <w:rPr>
          <w:sz w:val="24"/>
          <w:szCs w:val="24"/>
        </w:rPr>
        <w:t>The purpose of the applications (</w:t>
      </w:r>
      <w:r w:rsidRPr="009E514C" w:rsidR="005C067D">
        <w:rPr>
          <w:sz w:val="24"/>
          <w:szCs w:val="24"/>
        </w:rPr>
        <w:t>Attachment #</w:t>
      </w:r>
      <w:r w:rsidRPr="009E514C" w:rsidR="009E514C">
        <w:rPr>
          <w:sz w:val="24"/>
          <w:szCs w:val="24"/>
        </w:rPr>
        <w:t>1</w:t>
      </w:r>
      <w:r w:rsidRPr="005C067D" w:rsidR="005C067D">
        <w:rPr>
          <w:sz w:val="24"/>
          <w:szCs w:val="24"/>
        </w:rPr>
        <w:t>) is to assure that prospective</w:t>
      </w:r>
      <w:r w:rsidR="005C067D">
        <w:rPr>
          <w:sz w:val="24"/>
          <w:szCs w:val="24"/>
        </w:rPr>
        <w:t xml:space="preserve"> students</w:t>
      </w:r>
      <w:r w:rsidRPr="005C067D" w:rsidR="005C067D">
        <w:rPr>
          <w:sz w:val="24"/>
          <w:szCs w:val="24"/>
        </w:rPr>
        <w:t xml:space="preserve"> to the </w:t>
      </w:r>
      <w:r w:rsidR="005C067D">
        <w:rPr>
          <w:sz w:val="24"/>
          <w:szCs w:val="24"/>
        </w:rPr>
        <w:t>CSB</w:t>
      </w:r>
      <w:r w:rsidR="001B3653">
        <w:rPr>
          <w:sz w:val="24"/>
          <w:szCs w:val="24"/>
        </w:rPr>
        <w:t>C/</w:t>
      </w:r>
      <w:r w:rsidR="005C067D">
        <w:rPr>
          <w:sz w:val="24"/>
          <w:szCs w:val="24"/>
        </w:rPr>
        <w:t xml:space="preserve">PS-ON </w:t>
      </w:r>
      <w:r w:rsidR="00103957">
        <w:rPr>
          <w:sz w:val="24"/>
          <w:szCs w:val="24"/>
        </w:rPr>
        <w:t>SURP</w:t>
      </w:r>
      <w:r w:rsidR="005C067D">
        <w:rPr>
          <w:sz w:val="24"/>
          <w:szCs w:val="24"/>
        </w:rPr>
        <w:t xml:space="preserve"> </w:t>
      </w:r>
      <w:r w:rsidRPr="005C067D" w:rsidR="005C067D">
        <w:rPr>
          <w:sz w:val="24"/>
          <w:szCs w:val="24"/>
        </w:rPr>
        <w:t>meet basic eligibility requirements; to assess their potential as future scientists; to determine wh</w:t>
      </w:r>
      <w:r w:rsidR="006B188E">
        <w:rPr>
          <w:sz w:val="24"/>
          <w:szCs w:val="24"/>
        </w:rPr>
        <w:t>ich research project is best suited to their skills and interest</w:t>
      </w:r>
      <w:r w:rsidR="009E514C">
        <w:rPr>
          <w:sz w:val="24"/>
          <w:szCs w:val="24"/>
        </w:rPr>
        <w:t>s</w:t>
      </w:r>
      <w:r w:rsidRPr="005C067D" w:rsidR="005C067D">
        <w:rPr>
          <w:sz w:val="24"/>
          <w:szCs w:val="24"/>
        </w:rPr>
        <w:t xml:space="preserve">; and to make decisions regarding which applicants will be eligible and </w:t>
      </w:r>
      <w:r w:rsidR="006B188E">
        <w:rPr>
          <w:sz w:val="24"/>
          <w:szCs w:val="24"/>
        </w:rPr>
        <w:t>selected for each research site</w:t>
      </w:r>
      <w:r w:rsidRPr="005C067D" w:rsidR="005C067D">
        <w:rPr>
          <w:sz w:val="24"/>
          <w:szCs w:val="24"/>
        </w:rPr>
        <w:t xml:space="preserve">. </w:t>
      </w:r>
      <w:r w:rsidR="005C067D">
        <w:rPr>
          <w:sz w:val="24"/>
          <w:szCs w:val="24"/>
        </w:rPr>
        <w:t xml:space="preserve"> </w:t>
      </w:r>
      <w:r w:rsidRPr="005C067D" w:rsidR="005C067D">
        <w:rPr>
          <w:sz w:val="24"/>
          <w:szCs w:val="24"/>
        </w:rPr>
        <w:t xml:space="preserve">In order to receive due consideration, the prospective </w:t>
      </w:r>
      <w:r w:rsidR="005C067D">
        <w:rPr>
          <w:sz w:val="24"/>
          <w:szCs w:val="24"/>
        </w:rPr>
        <w:t>student</w:t>
      </w:r>
      <w:r w:rsidRPr="005C067D" w:rsidR="005C067D">
        <w:rPr>
          <w:sz w:val="24"/>
          <w:szCs w:val="24"/>
        </w:rPr>
        <w:t xml:space="preserve"> must complete all required application fields (</w:t>
      </w:r>
      <w:r w:rsidRPr="009E514C" w:rsidR="005C067D">
        <w:rPr>
          <w:sz w:val="24"/>
          <w:szCs w:val="24"/>
        </w:rPr>
        <w:t xml:space="preserve">Attachment </w:t>
      </w:r>
      <w:r w:rsidRPr="009E514C" w:rsidR="009E514C">
        <w:rPr>
          <w:sz w:val="24"/>
          <w:szCs w:val="24"/>
        </w:rPr>
        <w:t>#</w:t>
      </w:r>
      <w:r w:rsidRPr="009E514C" w:rsidR="005C067D">
        <w:rPr>
          <w:sz w:val="24"/>
          <w:szCs w:val="24"/>
        </w:rPr>
        <w:t>1</w:t>
      </w:r>
      <w:r w:rsidRPr="005C067D" w:rsidR="005C067D">
        <w:rPr>
          <w:sz w:val="24"/>
          <w:szCs w:val="24"/>
        </w:rPr>
        <w:t xml:space="preserve">) and contributors must provide information about the applicant. The contributors will submit </w:t>
      </w:r>
      <w:r w:rsidR="00103957">
        <w:rPr>
          <w:sz w:val="24"/>
          <w:szCs w:val="24"/>
        </w:rPr>
        <w:t>recommendation letters (</w:t>
      </w:r>
      <w:r w:rsidRPr="009E514C" w:rsidR="00103957">
        <w:rPr>
          <w:sz w:val="24"/>
          <w:szCs w:val="24"/>
        </w:rPr>
        <w:t>Attachment #</w:t>
      </w:r>
      <w:r w:rsidRPr="009E514C" w:rsidR="009E514C">
        <w:rPr>
          <w:sz w:val="24"/>
          <w:szCs w:val="24"/>
        </w:rPr>
        <w:t>2</w:t>
      </w:r>
      <w:r w:rsidRPr="005C067D" w:rsidR="005C067D">
        <w:rPr>
          <w:sz w:val="24"/>
          <w:szCs w:val="24"/>
        </w:rPr>
        <w:t>) for the program to assess applicant potential</w:t>
      </w:r>
      <w:r w:rsidR="00103957">
        <w:rPr>
          <w:sz w:val="24"/>
          <w:szCs w:val="24"/>
        </w:rPr>
        <w:t xml:space="preserve"> to conduct summer research in the fields of systems biology or physical oncology</w:t>
      </w:r>
      <w:r w:rsidRPr="005C067D" w:rsidR="005C067D">
        <w:rPr>
          <w:sz w:val="24"/>
          <w:szCs w:val="24"/>
        </w:rPr>
        <w:t>. The contributor</w:t>
      </w:r>
      <w:r w:rsidR="00103957">
        <w:rPr>
          <w:sz w:val="24"/>
          <w:szCs w:val="24"/>
        </w:rPr>
        <w:t>s</w:t>
      </w:r>
      <w:r w:rsidRPr="005C067D" w:rsidR="005C067D">
        <w:rPr>
          <w:sz w:val="24"/>
          <w:szCs w:val="24"/>
        </w:rPr>
        <w:t xml:space="preserve"> </w:t>
      </w:r>
      <w:r w:rsidR="00103957">
        <w:rPr>
          <w:sz w:val="24"/>
          <w:szCs w:val="24"/>
        </w:rPr>
        <w:t xml:space="preserve">are </w:t>
      </w:r>
      <w:r w:rsidRPr="005C067D" w:rsidR="005C067D">
        <w:rPr>
          <w:sz w:val="24"/>
          <w:szCs w:val="24"/>
        </w:rPr>
        <w:t xml:space="preserve">typically </w:t>
      </w:r>
      <w:r w:rsidR="00103957">
        <w:rPr>
          <w:sz w:val="24"/>
          <w:szCs w:val="24"/>
        </w:rPr>
        <w:t>faculty members</w:t>
      </w:r>
      <w:r w:rsidRPr="005C067D" w:rsidR="005C067D">
        <w:rPr>
          <w:sz w:val="24"/>
          <w:szCs w:val="24"/>
        </w:rPr>
        <w:t xml:space="preserve"> but can also be </w:t>
      </w:r>
      <w:r w:rsidR="00103957">
        <w:rPr>
          <w:sz w:val="24"/>
          <w:szCs w:val="24"/>
        </w:rPr>
        <w:t>supervisors, graduate students or general advisors</w:t>
      </w:r>
      <w:r w:rsidRPr="005C067D" w:rsidR="005C067D">
        <w:rPr>
          <w:sz w:val="24"/>
          <w:szCs w:val="24"/>
        </w:rPr>
        <w:t>.</w:t>
      </w:r>
    </w:p>
    <w:p w:rsidRPr="005C067D" w:rsidR="005C067D" w:rsidP="005C067D" w:rsidRDefault="005C067D" w14:paraId="3E0286DC" w14:textId="77777777">
      <w:pPr>
        <w:spacing w:after="20"/>
        <w:rPr>
          <w:sz w:val="24"/>
          <w:szCs w:val="24"/>
        </w:rPr>
      </w:pPr>
    </w:p>
    <w:p w:rsidRPr="005C067D" w:rsidR="005C067D" w:rsidP="005C067D" w:rsidRDefault="005C067D" w14:paraId="01FC8037" w14:textId="7D04E342">
      <w:pPr>
        <w:spacing w:after="20"/>
        <w:rPr>
          <w:sz w:val="24"/>
          <w:szCs w:val="24"/>
        </w:rPr>
      </w:pPr>
      <w:r w:rsidRPr="005C067D">
        <w:rPr>
          <w:sz w:val="24"/>
          <w:szCs w:val="24"/>
        </w:rPr>
        <w:t xml:space="preserve">The </w:t>
      </w:r>
      <w:r w:rsidR="00103957">
        <w:rPr>
          <w:sz w:val="24"/>
          <w:szCs w:val="24"/>
        </w:rPr>
        <w:t>CSBC</w:t>
      </w:r>
      <w:r w:rsidR="007514FD">
        <w:rPr>
          <w:sz w:val="24"/>
          <w:szCs w:val="24"/>
        </w:rPr>
        <w:t>/</w:t>
      </w:r>
      <w:r w:rsidR="00103957">
        <w:rPr>
          <w:sz w:val="24"/>
          <w:szCs w:val="24"/>
        </w:rPr>
        <w:t>PS-ON</w:t>
      </w:r>
      <w:r w:rsidRPr="005C067D">
        <w:rPr>
          <w:sz w:val="24"/>
          <w:szCs w:val="24"/>
        </w:rPr>
        <w:t xml:space="preserve"> </w:t>
      </w:r>
      <w:r w:rsidR="007514FD">
        <w:rPr>
          <w:sz w:val="24"/>
          <w:szCs w:val="24"/>
        </w:rPr>
        <w:t xml:space="preserve">SURP </w:t>
      </w:r>
      <w:r w:rsidRPr="005C067D">
        <w:rPr>
          <w:sz w:val="24"/>
          <w:szCs w:val="24"/>
        </w:rPr>
        <w:t>application</w:t>
      </w:r>
      <w:r w:rsidR="00103957">
        <w:rPr>
          <w:sz w:val="24"/>
          <w:szCs w:val="24"/>
        </w:rPr>
        <w:t xml:space="preserve"> utilizes</w:t>
      </w:r>
      <w:r w:rsidRPr="005C067D">
        <w:rPr>
          <w:sz w:val="24"/>
          <w:szCs w:val="24"/>
        </w:rPr>
        <w:t xml:space="preserve"> many of the following information fields: </w:t>
      </w:r>
    </w:p>
    <w:p w:rsidRPr="005C067D" w:rsidR="005C067D" w:rsidP="005C067D" w:rsidRDefault="005C067D" w14:paraId="4ECF6CBC" w14:textId="5EF8F582">
      <w:pPr>
        <w:numPr>
          <w:ilvl w:val="0"/>
          <w:numId w:val="6"/>
        </w:numPr>
        <w:spacing w:after="20"/>
        <w:rPr>
          <w:sz w:val="24"/>
          <w:szCs w:val="24"/>
        </w:rPr>
      </w:pPr>
      <w:r w:rsidRPr="005C067D">
        <w:rPr>
          <w:sz w:val="24"/>
          <w:szCs w:val="24"/>
        </w:rPr>
        <w:t>Personal information (name</w:t>
      </w:r>
      <w:r w:rsidR="00226B58">
        <w:rPr>
          <w:sz w:val="24"/>
          <w:szCs w:val="24"/>
        </w:rPr>
        <w:t>);</w:t>
      </w:r>
    </w:p>
    <w:p w:rsidRPr="005C067D" w:rsidR="005C067D" w:rsidP="005C067D" w:rsidRDefault="005C067D" w14:paraId="068B4F54" w14:textId="37A11D3C">
      <w:pPr>
        <w:numPr>
          <w:ilvl w:val="0"/>
          <w:numId w:val="6"/>
        </w:numPr>
        <w:spacing w:after="20"/>
        <w:rPr>
          <w:sz w:val="24"/>
          <w:szCs w:val="24"/>
        </w:rPr>
      </w:pPr>
      <w:r w:rsidRPr="005C067D">
        <w:rPr>
          <w:sz w:val="24"/>
          <w:szCs w:val="24"/>
        </w:rPr>
        <w:t>Eligibility information (</w:t>
      </w:r>
      <w:r w:rsidR="00226B58">
        <w:rPr>
          <w:sz w:val="24"/>
          <w:szCs w:val="24"/>
        </w:rPr>
        <w:t>authorization to work in the United States</w:t>
      </w:r>
      <w:r w:rsidRPr="005C067D">
        <w:rPr>
          <w:sz w:val="24"/>
          <w:szCs w:val="24"/>
        </w:rPr>
        <w:t xml:space="preserve">); </w:t>
      </w:r>
    </w:p>
    <w:p w:rsidRPr="005C067D" w:rsidR="005C067D" w:rsidP="005C067D" w:rsidRDefault="005C067D" w14:paraId="296F0AA1" w14:textId="6817F830">
      <w:pPr>
        <w:numPr>
          <w:ilvl w:val="0"/>
          <w:numId w:val="6"/>
        </w:numPr>
        <w:spacing w:after="20"/>
        <w:rPr>
          <w:sz w:val="24"/>
          <w:szCs w:val="24"/>
        </w:rPr>
      </w:pPr>
      <w:r w:rsidRPr="005C067D">
        <w:rPr>
          <w:sz w:val="24"/>
          <w:szCs w:val="24"/>
        </w:rPr>
        <w:t>Contact information (</w:t>
      </w:r>
      <w:r w:rsidR="00226B58">
        <w:rPr>
          <w:sz w:val="24"/>
          <w:szCs w:val="24"/>
        </w:rPr>
        <w:t>home address</w:t>
      </w:r>
      <w:r w:rsidRPr="005C067D">
        <w:rPr>
          <w:sz w:val="24"/>
          <w:szCs w:val="24"/>
        </w:rPr>
        <w:t>, e-mail</w:t>
      </w:r>
      <w:r w:rsidR="00226B58">
        <w:rPr>
          <w:sz w:val="24"/>
          <w:szCs w:val="24"/>
        </w:rPr>
        <w:t xml:space="preserve"> during and after school year</w:t>
      </w:r>
      <w:r w:rsidRPr="005C067D">
        <w:rPr>
          <w:sz w:val="24"/>
          <w:szCs w:val="24"/>
        </w:rPr>
        <w:t xml:space="preserve">, phone </w:t>
      </w:r>
      <w:r w:rsidR="00226B58">
        <w:rPr>
          <w:sz w:val="24"/>
          <w:szCs w:val="24"/>
        </w:rPr>
        <w:t>during and after school year</w:t>
      </w:r>
      <w:r w:rsidRPr="005C067D">
        <w:rPr>
          <w:sz w:val="24"/>
          <w:szCs w:val="24"/>
        </w:rPr>
        <w:t xml:space="preserve">); </w:t>
      </w:r>
    </w:p>
    <w:p w:rsidRPr="005C067D" w:rsidR="005C067D" w:rsidP="005C067D" w:rsidRDefault="00226B58" w14:paraId="23F79669" w14:textId="1A080D86">
      <w:pPr>
        <w:numPr>
          <w:ilvl w:val="0"/>
          <w:numId w:val="6"/>
        </w:numPr>
        <w:spacing w:after="20"/>
        <w:rPr>
          <w:sz w:val="24"/>
          <w:szCs w:val="24"/>
        </w:rPr>
      </w:pPr>
      <w:r>
        <w:rPr>
          <w:sz w:val="24"/>
          <w:szCs w:val="24"/>
        </w:rPr>
        <w:t>Project Choices</w:t>
      </w:r>
      <w:r w:rsidRPr="005C067D" w:rsidR="005C067D">
        <w:rPr>
          <w:sz w:val="24"/>
          <w:szCs w:val="24"/>
        </w:rPr>
        <w:t xml:space="preserve">; </w:t>
      </w:r>
    </w:p>
    <w:p w:rsidRPr="005C067D" w:rsidR="005C067D" w:rsidP="005C067D" w:rsidRDefault="005C067D" w14:paraId="2099A178" w14:textId="3AEB4A75">
      <w:pPr>
        <w:numPr>
          <w:ilvl w:val="0"/>
          <w:numId w:val="6"/>
        </w:numPr>
        <w:spacing w:after="20"/>
        <w:rPr>
          <w:sz w:val="24"/>
          <w:szCs w:val="24"/>
        </w:rPr>
      </w:pPr>
      <w:r w:rsidRPr="005C067D">
        <w:rPr>
          <w:sz w:val="24"/>
          <w:szCs w:val="24"/>
        </w:rPr>
        <w:lastRenderedPageBreak/>
        <w:t xml:space="preserve">Educational history (university, academic major, attendance dates, degree anticipated, transcripts); </w:t>
      </w:r>
    </w:p>
    <w:p w:rsidR="00226B58" w:rsidP="00226B58" w:rsidRDefault="005C067D" w14:paraId="2F2DBCB6" w14:textId="264B2CF2">
      <w:pPr>
        <w:numPr>
          <w:ilvl w:val="0"/>
          <w:numId w:val="6"/>
        </w:numPr>
        <w:spacing w:after="20"/>
        <w:rPr>
          <w:sz w:val="24"/>
          <w:szCs w:val="24"/>
        </w:rPr>
      </w:pPr>
      <w:r w:rsidRPr="005C067D">
        <w:rPr>
          <w:sz w:val="24"/>
          <w:szCs w:val="24"/>
        </w:rPr>
        <w:t>Resume components (CV, research experience, publications, presentations, awards/honors, extracurricular activities);</w:t>
      </w:r>
    </w:p>
    <w:p w:rsidRPr="00226B58" w:rsidR="00226B58" w:rsidP="00226B58" w:rsidRDefault="00226B58" w14:paraId="2D07FB55" w14:textId="67ABBDC1">
      <w:pPr>
        <w:numPr>
          <w:ilvl w:val="0"/>
          <w:numId w:val="6"/>
        </w:numPr>
        <w:spacing w:after="20"/>
        <w:rPr>
          <w:sz w:val="24"/>
          <w:szCs w:val="24"/>
        </w:rPr>
      </w:pPr>
      <w:r>
        <w:rPr>
          <w:sz w:val="24"/>
          <w:szCs w:val="24"/>
        </w:rPr>
        <w:t>Research Motivation (prior experience, rationale for top two choices for research project);</w:t>
      </w:r>
    </w:p>
    <w:p w:rsidRPr="00226B58" w:rsidR="005C067D" w:rsidP="005C067D" w:rsidRDefault="005C067D" w14:paraId="10DAE0A8" w14:textId="429B9684">
      <w:pPr>
        <w:numPr>
          <w:ilvl w:val="0"/>
          <w:numId w:val="6"/>
        </w:numPr>
        <w:spacing w:after="20"/>
        <w:rPr>
          <w:sz w:val="24"/>
          <w:szCs w:val="24"/>
        </w:rPr>
      </w:pPr>
      <w:r w:rsidRPr="00226B58">
        <w:rPr>
          <w:sz w:val="24"/>
          <w:szCs w:val="24"/>
        </w:rPr>
        <w:t>Sensitive information (gender</w:t>
      </w:r>
      <w:r w:rsidR="00226B58">
        <w:rPr>
          <w:sz w:val="24"/>
          <w:szCs w:val="24"/>
        </w:rPr>
        <w:t xml:space="preserve"> </w:t>
      </w:r>
      <w:r w:rsidRPr="00226B58" w:rsidR="00226B58">
        <w:rPr>
          <w:sz w:val="24"/>
          <w:szCs w:val="24"/>
        </w:rPr>
        <w:t>[optional]</w:t>
      </w:r>
      <w:r w:rsidRPr="00226B58">
        <w:rPr>
          <w:sz w:val="24"/>
          <w:szCs w:val="24"/>
        </w:rPr>
        <w:t>)</w:t>
      </w:r>
    </w:p>
    <w:p w:rsidRPr="005C067D" w:rsidR="005C067D" w:rsidP="005C067D" w:rsidRDefault="005C067D" w14:paraId="52C8F071" w14:textId="77777777">
      <w:pPr>
        <w:spacing w:after="20"/>
        <w:rPr>
          <w:sz w:val="24"/>
          <w:szCs w:val="24"/>
        </w:rPr>
      </w:pPr>
    </w:p>
    <w:p w:rsidRPr="005C067D" w:rsidR="005C067D" w:rsidP="005C067D" w:rsidRDefault="001B3653" w14:paraId="01BD07A8" w14:textId="61513561">
      <w:pPr>
        <w:spacing w:after="20"/>
        <w:rPr>
          <w:sz w:val="24"/>
          <w:szCs w:val="24"/>
        </w:rPr>
      </w:pPr>
      <w:r>
        <w:rPr>
          <w:sz w:val="24"/>
          <w:szCs w:val="24"/>
        </w:rPr>
        <w:t xml:space="preserve">In 2019, we received approximately 110 SURP applications. </w:t>
      </w:r>
      <w:r w:rsidRPr="005C067D" w:rsidR="005C067D">
        <w:rPr>
          <w:sz w:val="24"/>
          <w:szCs w:val="24"/>
        </w:rPr>
        <w:t>The</w:t>
      </w:r>
      <w:r w:rsidR="00103957">
        <w:rPr>
          <w:sz w:val="24"/>
          <w:szCs w:val="24"/>
        </w:rPr>
        <w:t xml:space="preserve"> completed</w:t>
      </w:r>
      <w:r w:rsidRPr="005C067D" w:rsidR="005C067D">
        <w:rPr>
          <w:sz w:val="24"/>
          <w:szCs w:val="24"/>
        </w:rPr>
        <w:t xml:space="preserve"> applications </w:t>
      </w:r>
      <w:r w:rsidR="00103957">
        <w:rPr>
          <w:sz w:val="24"/>
          <w:szCs w:val="24"/>
        </w:rPr>
        <w:t xml:space="preserve">are submitted </w:t>
      </w:r>
      <w:r w:rsidRPr="005C067D" w:rsidR="005C067D">
        <w:rPr>
          <w:sz w:val="24"/>
          <w:szCs w:val="24"/>
        </w:rPr>
        <w:t xml:space="preserve">directly to </w:t>
      </w:r>
      <w:r w:rsidR="00103957">
        <w:rPr>
          <w:sz w:val="24"/>
          <w:szCs w:val="24"/>
        </w:rPr>
        <w:t xml:space="preserve">Leidos Biomedical Research, Inc. and the NCI – DCB Program Staff and allow </w:t>
      </w:r>
      <w:r w:rsidRPr="005C067D" w:rsidR="005C067D">
        <w:rPr>
          <w:sz w:val="24"/>
          <w:szCs w:val="24"/>
        </w:rPr>
        <w:t xml:space="preserve">for circulation and review of applications by </w:t>
      </w:r>
      <w:r w:rsidR="00103957">
        <w:rPr>
          <w:sz w:val="24"/>
          <w:szCs w:val="24"/>
        </w:rPr>
        <w:t>program staff and key research site personnel</w:t>
      </w:r>
      <w:r w:rsidRPr="005C067D" w:rsidR="005C067D">
        <w:rPr>
          <w:sz w:val="24"/>
          <w:szCs w:val="24"/>
        </w:rPr>
        <w:t xml:space="preserve">.  In addition to the review of application data for acceptance into our program, data </w:t>
      </w:r>
      <w:r w:rsidR="002471FA">
        <w:rPr>
          <w:sz w:val="24"/>
          <w:szCs w:val="24"/>
        </w:rPr>
        <w:t>may be used</w:t>
      </w:r>
      <w:r w:rsidRPr="005C067D" w:rsidR="005C067D">
        <w:rPr>
          <w:sz w:val="24"/>
          <w:szCs w:val="24"/>
        </w:rPr>
        <w:t xml:space="preserve"> to inform programmatic marketing decisions</w:t>
      </w:r>
      <w:r>
        <w:rPr>
          <w:sz w:val="24"/>
          <w:szCs w:val="24"/>
        </w:rPr>
        <w:t xml:space="preserve"> </w:t>
      </w:r>
      <w:r w:rsidRPr="005C067D" w:rsidR="005C067D">
        <w:rPr>
          <w:sz w:val="24"/>
          <w:szCs w:val="24"/>
        </w:rPr>
        <w:t xml:space="preserve">and to draft reports on the state of the program to NCI leadership. </w:t>
      </w:r>
    </w:p>
    <w:p w:rsidRPr="00857C45" w:rsidR="00857C45" w:rsidP="008716F6" w:rsidRDefault="00857C45" w14:paraId="7F6EDBE3" w14:textId="77777777">
      <w:pPr>
        <w:spacing w:after="20"/>
      </w:pPr>
    </w:p>
    <w:p w:rsidRPr="0083372B" w:rsidR="008716F6" w:rsidP="008716F6" w:rsidRDefault="008716F6" w14:paraId="149188BB" w14:textId="77777777">
      <w:pPr>
        <w:spacing w:after="20"/>
        <w:rPr>
          <w:b/>
          <w:sz w:val="24"/>
          <w:szCs w:val="24"/>
        </w:rPr>
      </w:pPr>
      <w:r w:rsidRPr="0083372B">
        <w:rPr>
          <w:b/>
          <w:sz w:val="24"/>
          <w:szCs w:val="24"/>
        </w:rPr>
        <w:t>A.3 Use of Information Technology to Reduce Burden</w:t>
      </w:r>
    </w:p>
    <w:p w:rsidRPr="00A064A8" w:rsidR="00FA1A1E" w:rsidP="008716F6" w:rsidRDefault="00FA1A1E" w14:paraId="3463FE6F" w14:textId="7AAB2A23">
      <w:pPr>
        <w:spacing w:after="20"/>
        <w:rPr>
          <w:sz w:val="24"/>
          <w:szCs w:val="24"/>
        </w:rPr>
      </w:pPr>
      <w:r w:rsidRPr="00A064A8">
        <w:rPr>
          <w:sz w:val="24"/>
          <w:szCs w:val="24"/>
        </w:rPr>
        <w:t xml:space="preserve">Submission of an CSBC/PS-ON </w:t>
      </w:r>
      <w:r w:rsidRPr="00A064A8" w:rsidR="00A064A8">
        <w:rPr>
          <w:sz w:val="24"/>
          <w:szCs w:val="24"/>
        </w:rPr>
        <w:t xml:space="preserve">SURP </w:t>
      </w:r>
      <w:r w:rsidRPr="00A064A8">
        <w:rPr>
          <w:sz w:val="24"/>
          <w:szCs w:val="24"/>
        </w:rPr>
        <w:t>application is required to be considered for the program.  The online application saves time and resources, and lessens the burden to the applicants, references, and government employees accessing the applications.</w:t>
      </w:r>
    </w:p>
    <w:p w:rsidRPr="00A064A8" w:rsidR="00FA1A1E" w:rsidP="008716F6" w:rsidRDefault="00FA1A1E" w14:paraId="02877568" w14:textId="21AFC16B">
      <w:pPr>
        <w:spacing w:after="20"/>
        <w:rPr>
          <w:sz w:val="24"/>
          <w:szCs w:val="24"/>
        </w:rPr>
      </w:pPr>
    </w:p>
    <w:p w:rsidRPr="00A064A8" w:rsidR="00FA1A1E" w:rsidP="008716F6" w:rsidRDefault="00FA1A1E" w14:paraId="6E9BE6E9" w14:textId="645DBA2F">
      <w:pPr>
        <w:spacing w:after="20"/>
        <w:rPr>
          <w:sz w:val="24"/>
          <w:szCs w:val="24"/>
        </w:rPr>
      </w:pPr>
      <w:r w:rsidRPr="00A064A8">
        <w:rPr>
          <w:sz w:val="24"/>
          <w:szCs w:val="24"/>
        </w:rPr>
        <w:t>The application is web-based. The applicant</w:t>
      </w:r>
      <w:r w:rsidR="001B3653">
        <w:rPr>
          <w:sz w:val="24"/>
          <w:szCs w:val="24"/>
        </w:rPr>
        <w:t xml:space="preserve"> provides their name and e-mail address to</w:t>
      </w:r>
      <w:r w:rsidRPr="00A064A8">
        <w:rPr>
          <w:sz w:val="24"/>
          <w:szCs w:val="24"/>
        </w:rPr>
        <w:t xml:space="preserve"> </w:t>
      </w:r>
      <w:r w:rsidR="00A064A8">
        <w:rPr>
          <w:sz w:val="24"/>
          <w:szCs w:val="24"/>
        </w:rPr>
        <w:t>request an application</w:t>
      </w:r>
      <w:r w:rsidR="001B3653">
        <w:rPr>
          <w:sz w:val="24"/>
          <w:szCs w:val="24"/>
        </w:rPr>
        <w:t xml:space="preserve"> and</w:t>
      </w:r>
      <w:r w:rsidR="00A064A8">
        <w:rPr>
          <w:sz w:val="24"/>
          <w:szCs w:val="24"/>
        </w:rPr>
        <w:t xml:space="preserve"> then receives a</w:t>
      </w:r>
      <w:r w:rsidR="001B3653">
        <w:rPr>
          <w:sz w:val="24"/>
          <w:szCs w:val="24"/>
        </w:rPr>
        <w:t>n email with a</w:t>
      </w:r>
      <w:r w:rsidR="00A064A8">
        <w:rPr>
          <w:sz w:val="24"/>
          <w:szCs w:val="24"/>
        </w:rPr>
        <w:t xml:space="preserve"> link to a secure site</w:t>
      </w:r>
      <w:r w:rsidR="001B3653">
        <w:rPr>
          <w:sz w:val="24"/>
          <w:szCs w:val="24"/>
        </w:rPr>
        <w:t>.  They must use credentials to login and fill out the application by completing the required fields and uploading the necessary documentation.</w:t>
      </w:r>
      <w:r w:rsidR="00A064A8">
        <w:rPr>
          <w:sz w:val="24"/>
          <w:szCs w:val="24"/>
        </w:rPr>
        <w:t xml:space="preserve">  In addition, the applicant must indicate two </w:t>
      </w:r>
      <w:r w:rsidR="001B3653">
        <w:rPr>
          <w:sz w:val="24"/>
          <w:szCs w:val="24"/>
        </w:rPr>
        <w:t>faculty references</w:t>
      </w:r>
      <w:r w:rsidR="00A064A8">
        <w:rPr>
          <w:sz w:val="24"/>
          <w:szCs w:val="24"/>
        </w:rPr>
        <w:t xml:space="preserve"> who will submit recommendations letters via the application system in support of the student’s application.   </w:t>
      </w:r>
    </w:p>
    <w:p w:rsidRPr="00A064A8" w:rsidR="00FA1A1E" w:rsidP="008716F6" w:rsidRDefault="00FA1A1E" w14:paraId="70BF4245" w14:textId="745E5397">
      <w:pPr>
        <w:spacing w:after="20"/>
        <w:rPr>
          <w:sz w:val="24"/>
          <w:szCs w:val="24"/>
        </w:rPr>
      </w:pPr>
    </w:p>
    <w:p w:rsidRPr="00A064A8" w:rsidR="00FA1A1E" w:rsidP="007C5786" w:rsidRDefault="007C5786" w14:paraId="61B9B1E1" w14:textId="71290B47">
      <w:pPr>
        <w:spacing w:after="20"/>
        <w:rPr>
          <w:sz w:val="24"/>
          <w:szCs w:val="24"/>
        </w:rPr>
      </w:pPr>
      <w:r w:rsidRPr="003C27C1">
        <w:rPr>
          <w:sz w:val="24"/>
          <w:szCs w:val="24"/>
        </w:rPr>
        <w:t xml:space="preserve">The NCI Privacy Act Coordinator was consulted, and it was determined that a Privacy Impact Assessment (PIA) is required.  The PIA has been submitted to the NIH Privacy Act Coordinator for final approval and once received we will submit to OMB.   </w:t>
      </w:r>
      <w:r w:rsidRPr="003C27C1" w:rsidR="00FA1A1E">
        <w:rPr>
          <w:sz w:val="24"/>
          <w:szCs w:val="24"/>
        </w:rPr>
        <w:t xml:space="preserve">(Attachment </w:t>
      </w:r>
      <w:r w:rsidRPr="003C27C1" w:rsidR="001B3653">
        <w:rPr>
          <w:sz w:val="24"/>
          <w:szCs w:val="24"/>
        </w:rPr>
        <w:t>4</w:t>
      </w:r>
      <w:r w:rsidRPr="003C27C1" w:rsidR="00FA1A1E">
        <w:rPr>
          <w:sz w:val="24"/>
          <w:szCs w:val="24"/>
        </w:rPr>
        <w:t>).</w:t>
      </w:r>
      <w:r w:rsidRPr="0083372B" w:rsidR="00FA1A1E">
        <w:rPr>
          <w:sz w:val="24"/>
          <w:szCs w:val="24"/>
        </w:rPr>
        <w:t xml:space="preserve">  </w:t>
      </w:r>
    </w:p>
    <w:p w:rsidRPr="00957B52" w:rsidR="00FA1A1E" w:rsidP="008716F6" w:rsidRDefault="00FA1A1E" w14:paraId="2405CDE6" w14:textId="77777777">
      <w:pPr>
        <w:spacing w:after="20"/>
        <w:rPr>
          <w:sz w:val="28"/>
          <w:szCs w:val="28"/>
        </w:rPr>
      </w:pPr>
    </w:p>
    <w:p w:rsidRPr="0083372B" w:rsidR="008716F6" w:rsidP="008716F6" w:rsidRDefault="008716F6" w14:paraId="5C23EB0A" w14:textId="77777777">
      <w:pPr>
        <w:spacing w:after="20"/>
        <w:rPr>
          <w:b/>
          <w:sz w:val="24"/>
          <w:szCs w:val="24"/>
        </w:rPr>
      </w:pPr>
      <w:r w:rsidRPr="0083372B">
        <w:rPr>
          <w:b/>
          <w:sz w:val="24"/>
          <w:szCs w:val="24"/>
        </w:rPr>
        <w:t>A.4 Efforts to Identify Duplication</w:t>
      </w:r>
    </w:p>
    <w:p w:rsidRPr="0083372B" w:rsidR="008716F6" w:rsidP="008716F6" w:rsidRDefault="00FA1A1E" w14:paraId="2075AE3E" w14:textId="45C3A00C">
      <w:pPr>
        <w:spacing w:after="20"/>
        <w:rPr>
          <w:sz w:val="24"/>
          <w:szCs w:val="24"/>
        </w:rPr>
      </w:pPr>
      <w:r w:rsidRPr="00A064A8">
        <w:rPr>
          <w:sz w:val="24"/>
          <w:szCs w:val="24"/>
        </w:rPr>
        <w:t>This information will not be collected anywhere else and is unique to the candidate’s application.</w:t>
      </w:r>
      <w:r w:rsidR="0083372B">
        <w:rPr>
          <w:sz w:val="24"/>
          <w:szCs w:val="24"/>
        </w:rPr>
        <w:br/>
      </w:r>
      <w:r w:rsidRPr="0083372B" w:rsidR="0083372B">
        <w:br/>
      </w:r>
      <w:r w:rsidRPr="0083372B" w:rsidR="008716F6">
        <w:rPr>
          <w:b/>
          <w:sz w:val="24"/>
          <w:szCs w:val="24"/>
        </w:rPr>
        <w:t>A.5 Impact on Small Businesses or Other Small Entities</w:t>
      </w:r>
    </w:p>
    <w:p w:rsidRPr="00957B52" w:rsidR="00016AC9" w:rsidP="00016AC9" w:rsidRDefault="00016AC9" w14:paraId="251AB62C" w14:textId="64EF21DF">
      <w:pPr>
        <w:tabs>
          <w:tab w:val="left" w:pos="-270"/>
        </w:tabs>
        <w:ind w:left="-720"/>
        <w:rPr>
          <w:sz w:val="28"/>
          <w:szCs w:val="28"/>
        </w:rPr>
      </w:pPr>
      <w:r w:rsidRPr="00957B52">
        <w:rPr>
          <w:sz w:val="28"/>
          <w:szCs w:val="28"/>
        </w:rPr>
        <w:tab/>
      </w:r>
      <w:r w:rsidRPr="00957B52">
        <w:rPr>
          <w:sz w:val="28"/>
          <w:szCs w:val="28"/>
        </w:rPr>
        <w:tab/>
      </w:r>
      <w:r w:rsidRPr="00A064A8">
        <w:rPr>
          <w:sz w:val="24"/>
          <w:szCs w:val="24"/>
        </w:rPr>
        <w:t>There is no impact on small businesses or other small entities.</w:t>
      </w:r>
    </w:p>
    <w:p w:rsidR="00DA7607" w:rsidP="008716F6" w:rsidRDefault="00DA7607" w14:paraId="70EB9040" w14:textId="77777777">
      <w:pPr>
        <w:spacing w:after="20"/>
        <w:rPr>
          <w:b/>
          <w:sz w:val="24"/>
          <w:szCs w:val="24"/>
        </w:rPr>
      </w:pPr>
    </w:p>
    <w:p w:rsidR="00DA7607" w:rsidP="008716F6" w:rsidRDefault="00DA7607" w14:paraId="4ACB2F4F" w14:textId="77777777">
      <w:pPr>
        <w:spacing w:after="20"/>
        <w:rPr>
          <w:b/>
          <w:sz w:val="24"/>
          <w:szCs w:val="24"/>
        </w:rPr>
      </w:pPr>
    </w:p>
    <w:p w:rsidR="00DA7607" w:rsidP="008716F6" w:rsidRDefault="00DA7607" w14:paraId="6B03E4D3" w14:textId="77777777">
      <w:pPr>
        <w:spacing w:after="20"/>
        <w:rPr>
          <w:b/>
          <w:sz w:val="24"/>
          <w:szCs w:val="24"/>
        </w:rPr>
      </w:pPr>
    </w:p>
    <w:p w:rsidRPr="0083372B" w:rsidR="008716F6" w:rsidP="008716F6" w:rsidRDefault="008716F6" w14:paraId="6DF24D06" w14:textId="6FE2CDF3">
      <w:pPr>
        <w:spacing w:after="20"/>
        <w:rPr>
          <w:b/>
          <w:sz w:val="24"/>
          <w:szCs w:val="24"/>
        </w:rPr>
      </w:pPr>
      <w:r w:rsidRPr="0083372B">
        <w:rPr>
          <w:b/>
          <w:sz w:val="24"/>
          <w:szCs w:val="24"/>
        </w:rPr>
        <w:lastRenderedPageBreak/>
        <w:t>A.6 Consequences of Collecting the Information Less Frequently</w:t>
      </w:r>
    </w:p>
    <w:p w:rsidRPr="00957B52" w:rsidR="00016AC9" w:rsidP="00A064A8" w:rsidRDefault="00016AC9" w14:paraId="69AA299D" w14:textId="789E718F">
      <w:pPr>
        <w:tabs>
          <w:tab w:val="left" w:pos="-270"/>
        </w:tabs>
        <w:rPr>
          <w:sz w:val="28"/>
          <w:szCs w:val="28"/>
        </w:rPr>
      </w:pPr>
      <w:r w:rsidRPr="00A064A8">
        <w:rPr>
          <w:sz w:val="24"/>
          <w:szCs w:val="24"/>
        </w:rPr>
        <w:t>The information will be voluntarily collected once per year.</w:t>
      </w:r>
      <w:r w:rsidR="00A064A8">
        <w:rPr>
          <w:sz w:val="24"/>
          <w:szCs w:val="24"/>
        </w:rPr>
        <w:t xml:space="preserve">  </w:t>
      </w:r>
      <w:r w:rsidRPr="00A064A8" w:rsidR="00A064A8">
        <w:rPr>
          <w:sz w:val="24"/>
          <w:szCs w:val="24"/>
        </w:rPr>
        <w:t xml:space="preserve">Without the approval to collect applications specific to the program’s needs, the </w:t>
      </w:r>
      <w:r w:rsidR="00A064A8">
        <w:rPr>
          <w:sz w:val="24"/>
          <w:szCs w:val="24"/>
        </w:rPr>
        <w:t>CSB</w:t>
      </w:r>
      <w:r w:rsidR="0083372B">
        <w:rPr>
          <w:sz w:val="24"/>
          <w:szCs w:val="24"/>
        </w:rPr>
        <w:t>C</w:t>
      </w:r>
      <w:r w:rsidR="007514FD">
        <w:rPr>
          <w:sz w:val="24"/>
          <w:szCs w:val="24"/>
        </w:rPr>
        <w:t>/</w:t>
      </w:r>
      <w:r w:rsidR="00A064A8">
        <w:rPr>
          <w:sz w:val="24"/>
          <w:szCs w:val="24"/>
        </w:rPr>
        <w:t>PS-ON SURP</w:t>
      </w:r>
      <w:r w:rsidRPr="00A064A8" w:rsidR="00A064A8">
        <w:rPr>
          <w:sz w:val="24"/>
          <w:szCs w:val="24"/>
        </w:rPr>
        <w:t xml:space="preserve"> would be compromised in </w:t>
      </w:r>
      <w:r w:rsidR="00EF3AC4">
        <w:rPr>
          <w:sz w:val="24"/>
          <w:szCs w:val="24"/>
        </w:rPr>
        <w:t xml:space="preserve">its </w:t>
      </w:r>
      <w:r w:rsidRPr="00A064A8" w:rsidR="00A064A8">
        <w:rPr>
          <w:sz w:val="24"/>
          <w:szCs w:val="24"/>
        </w:rPr>
        <w:t xml:space="preserve">ability to identify highly qualified </w:t>
      </w:r>
      <w:r w:rsidR="00EF3AC4">
        <w:rPr>
          <w:sz w:val="24"/>
          <w:szCs w:val="24"/>
        </w:rPr>
        <w:t>applicant</w:t>
      </w:r>
      <w:r w:rsidRPr="00A064A8" w:rsidR="00A064A8">
        <w:rPr>
          <w:sz w:val="24"/>
          <w:szCs w:val="24"/>
        </w:rPr>
        <w:t>s and unable to carry out programmatic activities.</w:t>
      </w:r>
    </w:p>
    <w:p w:rsidRPr="0083372B" w:rsidR="008716F6" w:rsidP="008716F6" w:rsidRDefault="008716F6" w14:paraId="4F19704D" w14:textId="77777777">
      <w:pPr>
        <w:spacing w:after="20"/>
        <w:rPr>
          <w:b/>
          <w:sz w:val="24"/>
          <w:szCs w:val="24"/>
        </w:rPr>
      </w:pPr>
      <w:r w:rsidRPr="0083372B">
        <w:rPr>
          <w:b/>
          <w:sz w:val="24"/>
          <w:szCs w:val="24"/>
        </w:rPr>
        <w:t>A.7 Special Circumstances Relating to the Guidelines of 5 CFR 1320.5</w:t>
      </w:r>
    </w:p>
    <w:p w:rsidRPr="00EF3AC4" w:rsidR="008716F6" w:rsidP="008716F6" w:rsidRDefault="00016AC9" w14:paraId="3AE5095F" w14:textId="33E83684">
      <w:pPr>
        <w:spacing w:after="20"/>
        <w:rPr>
          <w:sz w:val="24"/>
          <w:szCs w:val="24"/>
        </w:rPr>
      </w:pPr>
      <w:r w:rsidRPr="00EF3AC4">
        <w:rPr>
          <w:sz w:val="24"/>
          <w:szCs w:val="24"/>
        </w:rPr>
        <w:t>There are no special circumstances.</w:t>
      </w:r>
    </w:p>
    <w:p w:rsidRPr="0083372B" w:rsidR="00016AC9" w:rsidP="008716F6" w:rsidRDefault="00016AC9" w14:paraId="69139915" w14:textId="77777777">
      <w:pPr>
        <w:spacing w:after="20"/>
        <w:rPr>
          <w:b/>
          <w:sz w:val="24"/>
          <w:szCs w:val="24"/>
        </w:rPr>
      </w:pPr>
    </w:p>
    <w:p w:rsidRPr="0083372B" w:rsidR="008716F6" w:rsidP="008716F6" w:rsidRDefault="008716F6" w14:paraId="7FA549AA" w14:textId="389FE4A6">
      <w:pPr>
        <w:spacing w:after="20"/>
        <w:rPr>
          <w:b/>
          <w:sz w:val="24"/>
          <w:szCs w:val="24"/>
        </w:rPr>
      </w:pPr>
      <w:r w:rsidRPr="0083372B">
        <w:rPr>
          <w:b/>
          <w:sz w:val="24"/>
          <w:szCs w:val="24"/>
        </w:rPr>
        <w:t>A.8 Comments in Response to the Federal Register Notice and Efforts to Consult Outside Agency</w:t>
      </w:r>
    </w:p>
    <w:p w:rsidRPr="00EF3AC4" w:rsidR="008716F6" w:rsidP="008716F6" w:rsidRDefault="008716F6" w14:paraId="0307FBE4" w14:textId="77777777">
      <w:pPr>
        <w:spacing w:after="20"/>
        <w:rPr>
          <w:sz w:val="24"/>
          <w:szCs w:val="24"/>
        </w:rPr>
      </w:pPr>
      <w:r w:rsidRPr="00EF3AC4">
        <w:rPr>
          <w:sz w:val="24"/>
          <w:szCs w:val="24"/>
        </w:rPr>
        <w:t>N/A</w:t>
      </w:r>
    </w:p>
    <w:p w:rsidRPr="0083372B" w:rsidR="008716F6" w:rsidP="008716F6" w:rsidRDefault="008716F6" w14:paraId="64571A7D" w14:textId="77777777">
      <w:pPr>
        <w:spacing w:after="20"/>
        <w:rPr>
          <w:sz w:val="24"/>
          <w:szCs w:val="24"/>
        </w:rPr>
      </w:pPr>
    </w:p>
    <w:p w:rsidRPr="0083372B" w:rsidR="008716F6" w:rsidP="008716F6" w:rsidRDefault="008716F6" w14:paraId="7CA0243F" w14:textId="77777777">
      <w:pPr>
        <w:spacing w:after="20"/>
        <w:rPr>
          <w:b/>
          <w:sz w:val="24"/>
          <w:szCs w:val="24"/>
        </w:rPr>
      </w:pPr>
      <w:r w:rsidRPr="0083372B">
        <w:rPr>
          <w:b/>
          <w:sz w:val="24"/>
          <w:szCs w:val="24"/>
        </w:rPr>
        <w:t xml:space="preserve">A.9 </w:t>
      </w:r>
      <w:r w:rsidRPr="0083372B" w:rsidR="00477A8E">
        <w:rPr>
          <w:b/>
          <w:sz w:val="24"/>
          <w:szCs w:val="24"/>
        </w:rPr>
        <w:t>Explanation of Any Payment of Gift to Respondents</w:t>
      </w:r>
    </w:p>
    <w:p w:rsidRPr="00EF3AC4" w:rsidR="004B3C21" w:rsidP="008716F6" w:rsidRDefault="00016AC9" w14:paraId="7F859AC0" w14:textId="78663D1F">
      <w:pPr>
        <w:spacing w:after="20"/>
        <w:rPr>
          <w:sz w:val="24"/>
          <w:szCs w:val="24"/>
        </w:rPr>
      </w:pPr>
      <w:r w:rsidRPr="00EF3AC4">
        <w:rPr>
          <w:sz w:val="24"/>
          <w:szCs w:val="24"/>
        </w:rPr>
        <w:t>Neither payments nor gifts will be provided to respondents.</w:t>
      </w:r>
    </w:p>
    <w:p w:rsidRPr="0083372B" w:rsidR="00016AC9" w:rsidP="008716F6" w:rsidRDefault="00016AC9" w14:paraId="0543C806" w14:textId="77777777">
      <w:pPr>
        <w:spacing w:after="20"/>
        <w:rPr>
          <w:sz w:val="24"/>
          <w:szCs w:val="24"/>
        </w:rPr>
      </w:pPr>
    </w:p>
    <w:p w:rsidRPr="0083372B" w:rsidR="00477A8E" w:rsidP="008716F6" w:rsidRDefault="00477A8E" w14:paraId="438EBC00" w14:textId="77777777">
      <w:pPr>
        <w:spacing w:after="20"/>
        <w:rPr>
          <w:b/>
          <w:sz w:val="24"/>
          <w:szCs w:val="24"/>
        </w:rPr>
      </w:pPr>
      <w:r w:rsidRPr="0083372B">
        <w:rPr>
          <w:b/>
          <w:sz w:val="24"/>
          <w:szCs w:val="24"/>
        </w:rPr>
        <w:t>A.10 Assurance of Confidentiality Provided to Respondents</w:t>
      </w:r>
    </w:p>
    <w:p w:rsidRPr="0032225D" w:rsidR="001C55DE" w:rsidP="001C55DE" w:rsidRDefault="001C55DE" w14:paraId="011BF1EF" w14:textId="77777777">
      <w:pPr>
        <w:spacing w:after="20"/>
        <w:rPr>
          <w:bCs/>
          <w:sz w:val="24"/>
          <w:szCs w:val="24"/>
        </w:rPr>
      </w:pPr>
      <w:r w:rsidRPr="004C075B">
        <w:rPr>
          <w:rFonts w:ascii="Calibri" w:hAnsi="Calibri" w:cs="Calibri"/>
          <w:sz w:val="24"/>
          <w:szCs w:val="24"/>
        </w:rPr>
        <w:t xml:space="preserve">There is no assurance of confidentiality provided to the applicants, however their information will be kept private, to the extent provided by law. </w:t>
      </w:r>
      <w:proofErr w:type="gramStart"/>
      <w:r w:rsidRPr="0032225D">
        <w:rPr>
          <w:bCs/>
          <w:sz w:val="24"/>
          <w:szCs w:val="24"/>
        </w:rPr>
        <w:t>Personally</w:t>
      </w:r>
      <w:proofErr w:type="gramEnd"/>
      <w:r>
        <w:rPr>
          <w:bCs/>
          <w:sz w:val="24"/>
          <w:szCs w:val="24"/>
        </w:rPr>
        <w:t xml:space="preserve"> </w:t>
      </w:r>
      <w:r w:rsidRPr="0032225D">
        <w:rPr>
          <w:bCs/>
          <w:sz w:val="24"/>
          <w:szCs w:val="24"/>
        </w:rPr>
        <w:t xml:space="preserve">Identifiable Information (PII) is collected including: name, contact information, education, citizenship, and </w:t>
      </w:r>
      <w:r>
        <w:rPr>
          <w:bCs/>
          <w:sz w:val="24"/>
          <w:szCs w:val="24"/>
        </w:rPr>
        <w:t>transcripts</w:t>
      </w:r>
      <w:r w:rsidRPr="0032225D">
        <w:rPr>
          <w:bCs/>
          <w:sz w:val="24"/>
          <w:szCs w:val="24"/>
        </w:rPr>
        <w:t xml:space="preserve"> </w:t>
      </w:r>
    </w:p>
    <w:p w:rsidRPr="00EF3AC4" w:rsidR="00016AC9" w:rsidP="00016AC9" w:rsidRDefault="00016AC9" w14:paraId="43F0D6E5" w14:textId="21858704">
      <w:pPr>
        <w:spacing w:after="20"/>
        <w:rPr>
          <w:sz w:val="24"/>
          <w:szCs w:val="24"/>
        </w:rPr>
      </w:pPr>
    </w:p>
    <w:p w:rsidRPr="00EF3AC4" w:rsidR="00016AC9" w:rsidP="00016AC9" w:rsidRDefault="00016AC9" w14:paraId="7D7E5688" w14:textId="14EE1CD2">
      <w:pPr>
        <w:spacing w:after="20"/>
        <w:rPr>
          <w:sz w:val="24"/>
          <w:szCs w:val="24"/>
        </w:rPr>
      </w:pPr>
      <w:r w:rsidRPr="00EF3AC4">
        <w:rPr>
          <w:sz w:val="24"/>
          <w:szCs w:val="24"/>
        </w:rPr>
        <w:t xml:space="preserve">The Privacy Act is applicable as determined by the NIH Privacy Officer in the Privacy Act Memo (Attachment </w:t>
      </w:r>
      <w:r w:rsidR="0081624D">
        <w:rPr>
          <w:sz w:val="24"/>
          <w:szCs w:val="24"/>
        </w:rPr>
        <w:t>3</w:t>
      </w:r>
      <w:r w:rsidRPr="00EF3AC4">
        <w:rPr>
          <w:sz w:val="24"/>
          <w:szCs w:val="24"/>
        </w:rPr>
        <w:t>). The applicable System of Record Notice (SORN) is NIH Privacy Act SORN 09-25-0014; “Clinical Research: Student Records.”</w:t>
      </w:r>
    </w:p>
    <w:p w:rsidRPr="0083372B" w:rsidR="00957B52" w:rsidP="008716F6" w:rsidRDefault="00957B52" w14:paraId="54534636" w14:textId="77777777">
      <w:pPr>
        <w:spacing w:after="20"/>
        <w:rPr>
          <w:b/>
          <w:sz w:val="24"/>
          <w:szCs w:val="24"/>
        </w:rPr>
      </w:pPr>
    </w:p>
    <w:p w:rsidRPr="0083372B" w:rsidR="001D2741" w:rsidP="008716F6" w:rsidRDefault="001D2741" w14:paraId="7AC40A64" w14:textId="18B78AC4">
      <w:pPr>
        <w:spacing w:after="20"/>
        <w:rPr>
          <w:b/>
          <w:sz w:val="24"/>
          <w:szCs w:val="24"/>
        </w:rPr>
      </w:pPr>
      <w:r w:rsidRPr="0083372B">
        <w:rPr>
          <w:b/>
          <w:sz w:val="24"/>
          <w:szCs w:val="24"/>
        </w:rPr>
        <w:t>A.11 Justification for Sensitive Questions</w:t>
      </w:r>
    </w:p>
    <w:p w:rsidRPr="0032225D" w:rsidR="0032225D" w:rsidP="0032225D" w:rsidRDefault="001C55DE" w14:paraId="07EB17F2" w14:textId="2975A69C">
      <w:pPr>
        <w:spacing w:after="20"/>
        <w:rPr>
          <w:bCs/>
          <w:sz w:val="24"/>
          <w:szCs w:val="24"/>
        </w:rPr>
      </w:pPr>
      <w:r w:rsidRPr="006A010C">
        <w:rPr>
          <w:bCs/>
          <w:sz w:val="24"/>
          <w:szCs w:val="24"/>
        </w:rPr>
        <w:t xml:space="preserve">No sensitive questions are contained in this information collection. </w:t>
      </w:r>
    </w:p>
    <w:p w:rsidRPr="0083372B" w:rsidR="0032225D" w:rsidP="008716F6" w:rsidRDefault="0032225D" w14:paraId="29CFB76B" w14:textId="77777777">
      <w:pPr>
        <w:spacing w:after="20"/>
        <w:rPr>
          <w:sz w:val="24"/>
          <w:szCs w:val="24"/>
        </w:rPr>
      </w:pPr>
    </w:p>
    <w:p w:rsidRPr="0083372B" w:rsidR="00E85DA0" w:rsidP="0083372B" w:rsidRDefault="00E85DA0" w14:paraId="49CB6369" w14:textId="77777777">
      <w:pPr>
        <w:pStyle w:val="P1-StandPara"/>
        <w:spacing w:line="240" w:lineRule="auto"/>
        <w:ind w:firstLine="0"/>
        <w:rPr>
          <w:rFonts w:eastAsia="SimSun" w:asciiTheme="minorHAnsi" w:hAnsiTheme="minorHAnsi" w:cstheme="minorBidi"/>
          <w:b/>
          <w:sz w:val="24"/>
          <w:szCs w:val="24"/>
        </w:rPr>
      </w:pPr>
      <w:r w:rsidRPr="0083372B">
        <w:rPr>
          <w:rFonts w:eastAsia="SimSun" w:asciiTheme="minorHAnsi" w:hAnsiTheme="minorHAnsi" w:cstheme="minorBidi"/>
          <w:b/>
          <w:sz w:val="24"/>
          <w:szCs w:val="24"/>
        </w:rPr>
        <w:t>A.12</w:t>
      </w:r>
      <w:r w:rsidRPr="0083372B">
        <w:rPr>
          <w:rFonts w:eastAsia="SimSun" w:asciiTheme="minorHAnsi" w:hAnsiTheme="minorHAnsi" w:cstheme="minorBidi"/>
          <w:b/>
          <w:sz w:val="24"/>
          <w:szCs w:val="24"/>
        </w:rPr>
        <w:tab/>
        <w:t>Estimates of Hour Burden Including Annualized Hourly Costs</w:t>
      </w:r>
    </w:p>
    <w:p w:rsidRPr="00501F8F" w:rsidR="00016AC9" w:rsidP="00016AC9" w:rsidRDefault="00016AC9" w14:paraId="3E4F8CEF" w14:textId="47033777">
      <w:pPr>
        <w:spacing w:after="20"/>
        <w:rPr>
          <w:sz w:val="24"/>
          <w:szCs w:val="28"/>
        </w:rPr>
      </w:pPr>
      <w:r w:rsidRPr="00501F8F">
        <w:rPr>
          <w:sz w:val="24"/>
          <w:szCs w:val="28"/>
        </w:rPr>
        <w:t xml:space="preserve">The estimated total number of </w:t>
      </w:r>
      <w:r w:rsidR="00D21362">
        <w:rPr>
          <w:sz w:val="24"/>
          <w:szCs w:val="28"/>
        </w:rPr>
        <w:t>respondents is</w:t>
      </w:r>
      <w:r w:rsidR="009E2A12">
        <w:rPr>
          <w:sz w:val="24"/>
          <w:szCs w:val="28"/>
        </w:rPr>
        <w:t xml:space="preserve"> 375</w:t>
      </w:r>
      <w:r w:rsidRPr="00501F8F">
        <w:rPr>
          <w:sz w:val="24"/>
          <w:szCs w:val="28"/>
        </w:rPr>
        <w:t xml:space="preserve">. The instruments are broken up into </w:t>
      </w:r>
      <w:r w:rsidR="0083372B">
        <w:rPr>
          <w:sz w:val="24"/>
          <w:szCs w:val="28"/>
        </w:rPr>
        <w:t>2</w:t>
      </w:r>
      <w:r w:rsidRPr="00501F8F">
        <w:rPr>
          <w:sz w:val="24"/>
          <w:szCs w:val="28"/>
        </w:rPr>
        <w:t xml:space="preserve"> sections. The first instrument is the burden hours it takes for an applicant to fill out and submit their applicatio</w:t>
      </w:r>
      <w:r w:rsidR="00D21362">
        <w:rPr>
          <w:sz w:val="24"/>
          <w:szCs w:val="28"/>
        </w:rPr>
        <w:t>n</w:t>
      </w:r>
      <w:r w:rsidRPr="00501F8F">
        <w:rPr>
          <w:sz w:val="24"/>
          <w:szCs w:val="28"/>
        </w:rPr>
        <w:t xml:space="preserve">.  It is estimated that </w:t>
      </w:r>
      <w:r w:rsidRPr="00501F8F" w:rsidR="00DE4986">
        <w:rPr>
          <w:sz w:val="24"/>
          <w:szCs w:val="28"/>
        </w:rPr>
        <w:t>125</w:t>
      </w:r>
      <w:r w:rsidRPr="00501F8F">
        <w:rPr>
          <w:sz w:val="24"/>
          <w:szCs w:val="28"/>
        </w:rPr>
        <w:t xml:space="preserve"> candidates will apply. The second instrument </w:t>
      </w:r>
      <w:r w:rsidR="00D21362">
        <w:rPr>
          <w:sz w:val="24"/>
          <w:szCs w:val="28"/>
        </w:rPr>
        <w:t>is</w:t>
      </w:r>
      <w:r w:rsidRPr="00501F8F">
        <w:rPr>
          <w:sz w:val="24"/>
          <w:szCs w:val="28"/>
        </w:rPr>
        <w:t xml:space="preserve"> the burden hours it takes the references to write and submit a reference letter for each applicant. Each applicant has</w:t>
      </w:r>
      <w:r w:rsidRPr="00501F8F" w:rsidR="00DE4986">
        <w:rPr>
          <w:sz w:val="24"/>
          <w:szCs w:val="28"/>
        </w:rPr>
        <w:t xml:space="preserve"> 2</w:t>
      </w:r>
      <w:r w:rsidRPr="00501F8F">
        <w:rPr>
          <w:sz w:val="24"/>
          <w:szCs w:val="28"/>
        </w:rPr>
        <w:t xml:space="preserve"> references, so it is estimated that there will be </w:t>
      </w:r>
      <w:r w:rsidRPr="00501F8F" w:rsidR="00DE4986">
        <w:rPr>
          <w:sz w:val="24"/>
          <w:szCs w:val="28"/>
        </w:rPr>
        <w:t>250</w:t>
      </w:r>
      <w:r w:rsidRPr="00501F8F">
        <w:rPr>
          <w:sz w:val="24"/>
          <w:szCs w:val="28"/>
        </w:rPr>
        <w:t xml:space="preserve"> </w:t>
      </w:r>
      <w:r w:rsidR="00D21362">
        <w:rPr>
          <w:sz w:val="24"/>
          <w:szCs w:val="28"/>
        </w:rPr>
        <w:t>faculty references respondents.</w:t>
      </w:r>
    </w:p>
    <w:p w:rsidRPr="00DA7607" w:rsidR="00DA7607" w:rsidP="00DA7607" w:rsidRDefault="00DA7607" w14:paraId="1B8F496E" w14:textId="4827FB07">
      <w:pPr>
        <w:spacing w:after="20"/>
        <w:rPr>
          <w:sz w:val="28"/>
          <w:szCs w:val="28"/>
        </w:rPr>
      </w:pPr>
      <w:r>
        <w:rPr>
          <w:sz w:val="24"/>
          <w:szCs w:val="28"/>
        </w:rPr>
        <w:br/>
      </w:r>
      <w:r w:rsidRPr="00501F8F" w:rsidR="00016AC9">
        <w:rPr>
          <w:sz w:val="24"/>
          <w:szCs w:val="28"/>
        </w:rPr>
        <w:t xml:space="preserve">The application should take approximately </w:t>
      </w:r>
      <w:r w:rsidR="00D21362">
        <w:rPr>
          <w:sz w:val="24"/>
          <w:szCs w:val="28"/>
        </w:rPr>
        <w:t>1 hour</w:t>
      </w:r>
      <w:r w:rsidRPr="00501F8F" w:rsidR="00016AC9">
        <w:rPr>
          <w:sz w:val="24"/>
          <w:szCs w:val="28"/>
        </w:rPr>
        <w:t xml:space="preserve"> to </w:t>
      </w:r>
      <w:r w:rsidRPr="00501F8F" w:rsidR="007C5786">
        <w:rPr>
          <w:sz w:val="24"/>
          <w:szCs w:val="28"/>
        </w:rPr>
        <w:t>complete,</w:t>
      </w:r>
      <w:r w:rsidRPr="00501F8F" w:rsidR="00016AC9">
        <w:rPr>
          <w:sz w:val="24"/>
          <w:szCs w:val="28"/>
        </w:rPr>
        <w:t xml:space="preserve"> and the reference letter should take </w:t>
      </w:r>
      <w:r w:rsidR="00D21362">
        <w:rPr>
          <w:sz w:val="24"/>
          <w:szCs w:val="28"/>
        </w:rPr>
        <w:t>30</w:t>
      </w:r>
      <w:r w:rsidRPr="00501F8F" w:rsidR="00016AC9">
        <w:rPr>
          <w:sz w:val="24"/>
          <w:szCs w:val="28"/>
        </w:rPr>
        <w:t xml:space="preserve"> minutes to complete. The total estimated burden hour included for this information collection is </w:t>
      </w:r>
      <w:r w:rsidR="00D21362">
        <w:rPr>
          <w:sz w:val="24"/>
          <w:szCs w:val="28"/>
        </w:rPr>
        <w:t xml:space="preserve">250 </w:t>
      </w:r>
      <w:r w:rsidRPr="00501F8F" w:rsidR="00016AC9">
        <w:rPr>
          <w:sz w:val="24"/>
          <w:szCs w:val="28"/>
        </w:rPr>
        <w:t>hours (Table A.12-1) and the cost to the respondents is estimated to be $</w:t>
      </w:r>
      <w:r w:rsidR="009E2A12">
        <w:rPr>
          <w:sz w:val="24"/>
          <w:szCs w:val="28"/>
        </w:rPr>
        <w:t>8,847.50</w:t>
      </w:r>
      <w:r w:rsidRPr="00501F8F" w:rsidR="00016AC9">
        <w:rPr>
          <w:sz w:val="24"/>
          <w:szCs w:val="28"/>
        </w:rPr>
        <w:t xml:space="preserve"> (Table A.12-2).</w:t>
      </w:r>
    </w:p>
    <w:p w:rsidR="00E46697" w:rsidP="00AE3015" w:rsidRDefault="00E46697" w14:paraId="1B37FB2E" w14:textId="77777777">
      <w:pPr>
        <w:spacing w:after="0" w:line="240" w:lineRule="auto"/>
        <w:jc w:val="center"/>
        <w:rPr>
          <w:b/>
          <w:bCs/>
          <w:sz w:val="24"/>
          <w:szCs w:val="28"/>
        </w:rPr>
      </w:pPr>
    </w:p>
    <w:p w:rsidR="00E46697" w:rsidP="00AE3015" w:rsidRDefault="00E46697" w14:paraId="56693B8B" w14:textId="77777777">
      <w:pPr>
        <w:spacing w:after="0" w:line="240" w:lineRule="auto"/>
        <w:jc w:val="center"/>
        <w:rPr>
          <w:b/>
          <w:bCs/>
          <w:sz w:val="24"/>
          <w:szCs w:val="28"/>
        </w:rPr>
      </w:pPr>
    </w:p>
    <w:p w:rsidR="00D80E5F" w:rsidP="00AE3015" w:rsidRDefault="00D80E5F" w14:paraId="641207BC" w14:textId="77777777">
      <w:pPr>
        <w:spacing w:after="0" w:line="240" w:lineRule="auto"/>
        <w:jc w:val="center"/>
        <w:rPr>
          <w:b/>
          <w:bCs/>
          <w:sz w:val="24"/>
          <w:szCs w:val="28"/>
        </w:rPr>
      </w:pPr>
    </w:p>
    <w:p w:rsidRPr="005204AD" w:rsidR="00AE3015" w:rsidP="00AE3015" w:rsidRDefault="00AE3015" w14:paraId="5B21607A" w14:textId="3A3D7DDB">
      <w:pPr>
        <w:spacing w:after="0" w:line="240" w:lineRule="auto"/>
        <w:jc w:val="center"/>
        <w:rPr>
          <w:b/>
          <w:bCs/>
          <w:sz w:val="24"/>
          <w:szCs w:val="28"/>
        </w:rPr>
      </w:pPr>
      <w:r w:rsidRPr="005204AD">
        <w:rPr>
          <w:b/>
          <w:bCs/>
          <w:sz w:val="24"/>
          <w:szCs w:val="28"/>
        </w:rPr>
        <w:t>A.12-1 Estimated Annualized Burden Hours</w:t>
      </w:r>
    </w:p>
    <w:p w:rsidR="009C3363" w:rsidP="00AE3015" w:rsidRDefault="009C3363" w14:paraId="457B4563" w14:textId="2521B14C">
      <w:pPr>
        <w:spacing w:after="0" w:line="240" w:lineRule="auto"/>
        <w:jc w:val="center"/>
        <w:rPr>
          <w:sz w:val="28"/>
          <w:szCs w:val="28"/>
        </w:rPr>
      </w:pPr>
    </w:p>
    <w:tbl>
      <w:tblPr>
        <w:tblW w:w="4944"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100"/>
        <w:gridCol w:w="1553"/>
        <w:gridCol w:w="1746"/>
        <w:gridCol w:w="1551"/>
        <w:gridCol w:w="1456"/>
        <w:gridCol w:w="1551"/>
      </w:tblGrid>
      <w:tr w:rsidRPr="009C3363" w:rsidR="009C3363" w:rsidTr="00501F8F" w14:paraId="7B126F8A" w14:textId="77777777">
        <w:trPr>
          <w:cantSplit/>
          <w:trHeight w:val="1222"/>
        </w:trPr>
        <w:tc>
          <w:tcPr>
            <w:tcW w:w="1054" w:type="pct"/>
            <w:vAlign w:val="center"/>
          </w:tcPr>
          <w:p w:rsidRPr="009C3363" w:rsidR="009C3363" w:rsidP="009C3363" w:rsidRDefault="009C3363" w14:paraId="69B3CCC6" w14:textId="77777777">
            <w:pPr>
              <w:spacing w:after="0" w:line="240" w:lineRule="auto"/>
              <w:jc w:val="center"/>
              <w:rPr>
                <w:rFonts w:cstheme="minorHAnsi"/>
                <w:b/>
                <w:bCs/>
                <w:sz w:val="24"/>
              </w:rPr>
            </w:pPr>
            <w:bookmarkStart w:name="_Hlk11307797" w:id="2"/>
            <w:r w:rsidRPr="009C3363">
              <w:rPr>
                <w:rFonts w:cstheme="minorHAnsi"/>
                <w:b/>
                <w:bCs/>
                <w:sz w:val="24"/>
              </w:rPr>
              <w:t>Form Name</w:t>
            </w:r>
          </w:p>
        </w:tc>
        <w:tc>
          <w:tcPr>
            <w:tcW w:w="780" w:type="pct"/>
            <w:shd w:val="clear" w:color="auto" w:fill="auto"/>
            <w:vAlign w:val="center"/>
            <w:hideMark/>
          </w:tcPr>
          <w:p w:rsidRPr="009C3363" w:rsidR="009C3363" w:rsidP="009C3363" w:rsidRDefault="009C3363" w14:paraId="31C3AF42" w14:textId="77777777">
            <w:pPr>
              <w:spacing w:after="0" w:line="240" w:lineRule="auto"/>
              <w:jc w:val="center"/>
              <w:rPr>
                <w:rFonts w:cstheme="minorHAnsi"/>
                <w:b/>
                <w:bCs/>
                <w:sz w:val="24"/>
              </w:rPr>
            </w:pPr>
            <w:r w:rsidRPr="009C3363">
              <w:rPr>
                <w:rFonts w:cstheme="minorHAnsi"/>
                <w:b/>
                <w:bCs/>
                <w:sz w:val="24"/>
              </w:rPr>
              <w:t>Type of Respondent</w:t>
            </w:r>
          </w:p>
        </w:tc>
        <w:tc>
          <w:tcPr>
            <w:tcW w:w="877" w:type="pct"/>
            <w:shd w:val="clear" w:color="auto" w:fill="auto"/>
            <w:vAlign w:val="center"/>
            <w:hideMark/>
          </w:tcPr>
          <w:p w:rsidRPr="009C3363" w:rsidR="009C3363" w:rsidP="009C3363" w:rsidRDefault="009C3363" w14:paraId="3B273CF6" w14:textId="77777777">
            <w:pPr>
              <w:spacing w:after="0" w:line="240" w:lineRule="auto"/>
              <w:jc w:val="center"/>
              <w:rPr>
                <w:rFonts w:cstheme="minorHAnsi"/>
                <w:b/>
                <w:bCs/>
                <w:sz w:val="24"/>
              </w:rPr>
            </w:pPr>
            <w:r w:rsidRPr="009C3363">
              <w:rPr>
                <w:rFonts w:cstheme="minorHAnsi"/>
                <w:b/>
                <w:bCs/>
                <w:sz w:val="24"/>
              </w:rPr>
              <w:t>Number of Respondents*</w:t>
            </w:r>
          </w:p>
        </w:tc>
        <w:tc>
          <w:tcPr>
            <w:tcW w:w="779" w:type="pct"/>
            <w:shd w:val="clear" w:color="auto" w:fill="auto"/>
            <w:vAlign w:val="center"/>
            <w:hideMark/>
          </w:tcPr>
          <w:p w:rsidRPr="009C3363" w:rsidR="009C3363" w:rsidP="009C3363" w:rsidRDefault="009C3363" w14:paraId="6B5A75DE" w14:textId="77777777">
            <w:pPr>
              <w:spacing w:after="0" w:line="240" w:lineRule="auto"/>
              <w:jc w:val="center"/>
              <w:rPr>
                <w:rFonts w:cstheme="minorHAnsi"/>
                <w:b/>
                <w:bCs/>
                <w:sz w:val="24"/>
              </w:rPr>
            </w:pPr>
            <w:r w:rsidRPr="009C3363">
              <w:rPr>
                <w:rFonts w:cstheme="minorHAnsi"/>
                <w:b/>
                <w:bCs/>
                <w:sz w:val="24"/>
              </w:rPr>
              <w:t>Number of Responses Per Respondent</w:t>
            </w:r>
          </w:p>
        </w:tc>
        <w:tc>
          <w:tcPr>
            <w:tcW w:w="731" w:type="pct"/>
            <w:shd w:val="clear" w:color="auto" w:fill="auto"/>
            <w:vAlign w:val="center"/>
            <w:hideMark/>
          </w:tcPr>
          <w:p w:rsidRPr="009C3363" w:rsidR="009C3363" w:rsidP="009C3363" w:rsidRDefault="009C3363" w14:paraId="0868B0F3" w14:textId="77777777">
            <w:pPr>
              <w:spacing w:after="0" w:line="240" w:lineRule="auto"/>
              <w:jc w:val="center"/>
              <w:rPr>
                <w:rFonts w:cstheme="minorHAnsi"/>
                <w:b/>
                <w:bCs/>
                <w:sz w:val="24"/>
              </w:rPr>
            </w:pPr>
            <w:r w:rsidRPr="009C3363">
              <w:rPr>
                <w:rFonts w:cstheme="minorHAnsi"/>
                <w:b/>
                <w:bCs/>
                <w:sz w:val="24"/>
              </w:rPr>
              <w:t>Average Burden Per Response (in hours)</w:t>
            </w:r>
          </w:p>
        </w:tc>
        <w:tc>
          <w:tcPr>
            <w:tcW w:w="780" w:type="pct"/>
            <w:shd w:val="clear" w:color="auto" w:fill="auto"/>
            <w:vAlign w:val="center"/>
            <w:hideMark/>
          </w:tcPr>
          <w:p w:rsidRPr="009C3363" w:rsidR="009C3363" w:rsidP="009C3363" w:rsidRDefault="009C3363" w14:paraId="335911F3" w14:textId="77777777">
            <w:pPr>
              <w:spacing w:after="0" w:line="240" w:lineRule="auto"/>
              <w:jc w:val="center"/>
              <w:rPr>
                <w:rFonts w:cstheme="minorHAnsi"/>
                <w:b/>
                <w:bCs/>
                <w:sz w:val="24"/>
              </w:rPr>
            </w:pPr>
            <w:r w:rsidRPr="009C3363">
              <w:rPr>
                <w:rFonts w:cstheme="minorHAnsi"/>
                <w:b/>
                <w:bCs/>
                <w:sz w:val="24"/>
              </w:rPr>
              <w:t>Total Annual Burden Hours</w:t>
            </w:r>
          </w:p>
        </w:tc>
      </w:tr>
      <w:tr w:rsidRPr="009C3363" w:rsidR="009C3363" w:rsidTr="00501F8F" w14:paraId="207E8A35" w14:textId="77777777">
        <w:trPr>
          <w:cantSplit/>
          <w:trHeight w:val="244"/>
        </w:trPr>
        <w:tc>
          <w:tcPr>
            <w:tcW w:w="1054" w:type="pct"/>
          </w:tcPr>
          <w:p w:rsidRPr="009C3363" w:rsidR="009C3363" w:rsidP="009C3363" w:rsidRDefault="00501F8F" w14:paraId="0D4E004A" w14:textId="50BBB581">
            <w:pPr>
              <w:spacing w:after="0" w:line="240" w:lineRule="auto"/>
              <w:rPr>
                <w:rFonts w:cstheme="minorHAnsi"/>
                <w:sz w:val="24"/>
              </w:rPr>
            </w:pPr>
            <w:r>
              <w:rPr>
                <w:rFonts w:cstheme="minorHAnsi"/>
                <w:sz w:val="24"/>
              </w:rPr>
              <w:t xml:space="preserve">SURP </w:t>
            </w:r>
            <w:r w:rsidRPr="009C3363" w:rsidR="009C3363">
              <w:rPr>
                <w:rFonts w:cstheme="minorHAnsi"/>
                <w:sz w:val="24"/>
              </w:rPr>
              <w:t>Application</w:t>
            </w:r>
          </w:p>
        </w:tc>
        <w:tc>
          <w:tcPr>
            <w:tcW w:w="780" w:type="pct"/>
            <w:shd w:val="clear" w:color="auto" w:fill="auto"/>
            <w:noWrap/>
            <w:vAlign w:val="center"/>
            <w:hideMark/>
          </w:tcPr>
          <w:p w:rsidRPr="009C3363" w:rsidR="009C3363" w:rsidP="009C3363" w:rsidRDefault="00276E16" w14:paraId="046DD3CE" w14:textId="04BCDE02">
            <w:pPr>
              <w:spacing w:after="0" w:line="240" w:lineRule="auto"/>
              <w:jc w:val="center"/>
              <w:rPr>
                <w:rFonts w:cstheme="minorHAnsi"/>
                <w:sz w:val="24"/>
              </w:rPr>
            </w:pPr>
            <w:r>
              <w:rPr>
                <w:rFonts w:cstheme="minorHAnsi"/>
                <w:sz w:val="24"/>
              </w:rPr>
              <w:t>Individuals-</w:t>
            </w:r>
            <w:r w:rsidRPr="009C3363" w:rsidR="009C3363">
              <w:rPr>
                <w:rFonts w:cstheme="minorHAnsi"/>
                <w:sz w:val="24"/>
              </w:rPr>
              <w:t xml:space="preserve"> Applicants</w:t>
            </w:r>
          </w:p>
        </w:tc>
        <w:tc>
          <w:tcPr>
            <w:tcW w:w="877" w:type="pct"/>
            <w:shd w:val="clear" w:color="auto" w:fill="auto"/>
            <w:noWrap/>
            <w:vAlign w:val="center"/>
            <w:hideMark/>
          </w:tcPr>
          <w:p w:rsidRPr="009C3363" w:rsidR="009C3363" w:rsidP="009C3363" w:rsidRDefault="00501F8F" w14:paraId="04632CCD" w14:textId="673188E5">
            <w:pPr>
              <w:spacing w:after="0" w:line="240" w:lineRule="auto"/>
              <w:jc w:val="center"/>
              <w:rPr>
                <w:rFonts w:cstheme="minorHAnsi"/>
                <w:sz w:val="24"/>
              </w:rPr>
            </w:pPr>
            <w:r>
              <w:rPr>
                <w:rFonts w:cstheme="minorHAnsi"/>
                <w:sz w:val="24"/>
              </w:rPr>
              <w:t>125</w:t>
            </w:r>
          </w:p>
        </w:tc>
        <w:tc>
          <w:tcPr>
            <w:tcW w:w="779" w:type="pct"/>
            <w:shd w:val="clear" w:color="auto" w:fill="auto"/>
            <w:noWrap/>
            <w:vAlign w:val="center"/>
            <w:hideMark/>
          </w:tcPr>
          <w:p w:rsidRPr="009C3363" w:rsidR="009C3363" w:rsidP="009C3363" w:rsidRDefault="009C3363" w14:paraId="6BBA7954" w14:textId="77777777">
            <w:pPr>
              <w:spacing w:after="0" w:line="240" w:lineRule="auto"/>
              <w:jc w:val="center"/>
              <w:rPr>
                <w:rFonts w:cstheme="minorHAnsi"/>
                <w:sz w:val="24"/>
              </w:rPr>
            </w:pPr>
            <w:r w:rsidRPr="009C3363">
              <w:rPr>
                <w:rFonts w:cstheme="minorHAnsi"/>
                <w:sz w:val="24"/>
              </w:rPr>
              <w:t>1</w:t>
            </w:r>
          </w:p>
        </w:tc>
        <w:tc>
          <w:tcPr>
            <w:tcW w:w="731" w:type="pct"/>
            <w:shd w:val="clear" w:color="auto" w:fill="auto"/>
            <w:vAlign w:val="center"/>
            <w:hideMark/>
          </w:tcPr>
          <w:p w:rsidRPr="009C3363" w:rsidR="009C3363" w:rsidP="009C3363" w:rsidRDefault="009C3363" w14:paraId="6BCD88F1" w14:textId="77777777">
            <w:pPr>
              <w:spacing w:after="0" w:line="240" w:lineRule="auto"/>
              <w:jc w:val="center"/>
              <w:rPr>
                <w:rFonts w:cstheme="minorHAnsi"/>
                <w:sz w:val="24"/>
              </w:rPr>
            </w:pPr>
            <w:r w:rsidRPr="009C3363">
              <w:rPr>
                <w:rFonts w:cstheme="minorHAnsi"/>
                <w:sz w:val="24"/>
              </w:rPr>
              <w:t>1</w:t>
            </w:r>
          </w:p>
        </w:tc>
        <w:tc>
          <w:tcPr>
            <w:tcW w:w="780" w:type="pct"/>
            <w:shd w:val="clear" w:color="auto" w:fill="auto"/>
            <w:vAlign w:val="center"/>
            <w:hideMark/>
          </w:tcPr>
          <w:p w:rsidRPr="009C3363" w:rsidR="009C3363" w:rsidP="009C3363" w:rsidRDefault="00501F8F" w14:paraId="470B8873" w14:textId="6C5C0C86">
            <w:pPr>
              <w:spacing w:after="0" w:line="240" w:lineRule="auto"/>
              <w:jc w:val="center"/>
              <w:rPr>
                <w:rFonts w:cstheme="minorHAnsi"/>
                <w:sz w:val="24"/>
              </w:rPr>
            </w:pPr>
            <w:r>
              <w:rPr>
                <w:rFonts w:cstheme="minorHAnsi"/>
                <w:sz w:val="24"/>
              </w:rPr>
              <w:t>125</w:t>
            </w:r>
          </w:p>
        </w:tc>
      </w:tr>
      <w:tr w:rsidRPr="009C3363" w:rsidR="009C3363" w:rsidTr="00501F8F" w14:paraId="6C5DB872" w14:textId="77777777">
        <w:trPr>
          <w:cantSplit/>
          <w:trHeight w:val="244"/>
        </w:trPr>
        <w:tc>
          <w:tcPr>
            <w:tcW w:w="1054" w:type="pct"/>
          </w:tcPr>
          <w:p w:rsidRPr="009C3363" w:rsidR="009C3363" w:rsidP="009C3363" w:rsidRDefault="009C3363" w14:paraId="3188D258" w14:textId="09CFD220">
            <w:pPr>
              <w:spacing w:after="0" w:line="240" w:lineRule="auto"/>
              <w:rPr>
                <w:rFonts w:cstheme="minorHAnsi"/>
                <w:sz w:val="24"/>
              </w:rPr>
            </w:pPr>
            <w:r w:rsidRPr="009C3363">
              <w:rPr>
                <w:rFonts w:cstheme="minorHAnsi"/>
                <w:sz w:val="24"/>
              </w:rPr>
              <w:t xml:space="preserve">Reference Letters </w:t>
            </w:r>
          </w:p>
        </w:tc>
        <w:tc>
          <w:tcPr>
            <w:tcW w:w="780" w:type="pct"/>
            <w:shd w:val="clear" w:color="auto" w:fill="auto"/>
            <w:noWrap/>
            <w:vAlign w:val="center"/>
            <w:hideMark/>
          </w:tcPr>
          <w:p w:rsidRPr="009C3363" w:rsidR="009C3363" w:rsidP="009C3363" w:rsidRDefault="00501F8F" w14:paraId="68FA518F" w14:textId="5C9DB809">
            <w:pPr>
              <w:spacing w:after="0" w:line="240" w:lineRule="auto"/>
              <w:jc w:val="center"/>
              <w:rPr>
                <w:rFonts w:cstheme="minorHAnsi"/>
                <w:sz w:val="24"/>
              </w:rPr>
            </w:pPr>
            <w:r>
              <w:rPr>
                <w:rFonts w:cstheme="minorHAnsi"/>
                <w:sz w:val="24"/>
              </w:rPr>
              <w:t>Individual</w:t>
            </w:r>
            <w:r w:rsidR="007C5786">
              <w:rPr>
                <w:rFonts w:cstheme="minorHAnsi"/>
                <w:sz w:val="24"/>
              </w:rPr>
              <w:t>s</w:t>
            </w:r>
            <w:r w:rsidR="00276E16">
              <w:rPr>
                <w:rFonts w:cstheme="minorHAnsi"/>
                <w:sz w:val="24"/>
              </w:rPr>
              <w:t xml:space="preserve"> - Contributor</w:t>
            </w:r>
          </w:p>
        </w:tc>
        <w:tc>
          <w:tcPr>
            <w:tcW w:w="877" w:type="pct"/>
            <w:shd w:val="clear" w:color="auto" w:fill="auto"/>
            <w:noWrap/>
            <w:vAlign w:val="center"/>
            <w:hideMark/>
          </w:tcPr>
          <w:p w:rsidRPr="009C3363" w:rsidR="009C3363" w:rsidP="009C3363" w:rsidRDefault="00276E16" w14:paraId="6617C1C0" w14:textId="149F226F">
            <w:pPr>
              <w:spacing w:after="0" w:line="240" w:lineRule="auto"/>
              <w:jc w:val="center"/>
              <w:rPr>
                <w:rFonts w:cstheme="minorHAnsi"/>
                <w:sz w:val="24"/>
              </w:rPr>
            </w:pPr>
            <w:r>
              <w:rPr>
                <w:rFonts w:cstheme="minorHAnsi"/>
                <w:sz w:val="24"/>
              </w:rPr>
              <w:t>250</w:t>
            </w:r>
          </w:p>
        </w:tc>
        <w:tc>
          <w:tcPr>
            <w:tcW w:w="779" w:type="pct"/>
            <w:shd w:val="clear" w:color="auto" w:fill="auto"/>
            <w:noWrap/>
            <w:vAlign w:val="center"/>
            <w:hideMark/>
          </w:tcPr>
          <w:p w:rsidRPr="009C3363" w:rsidR="009C3363" w:rsidP="009C3363" w:rsidRDefault="00276E16" w14:paraId="3870C4AF" w14:textId="66FD691E">
            <w:pPr>
              <w:spacing w:after="0" w:line="240" w:lineRule="auto"/>
              <w:jc w:val="center"/>
              <w:rPr>
                <w:rFonts w:cstheme="minorHAnsi"/>
                <w:sz w:val="24"/>
              </w:rPr>
            </w:pPr>
            <w:r>
              <w:rPr>
                <w:rFonts w:cstheme="minorHAnsi"/>
                <w:sz w:val="24"/>
              </w:rPr>
              <w:t>1</w:t>
            </w:r>
          </w:p>
        </w:tc>
        <w:tc>
          <w:tcPr>
            <w:tcW w:w="731" w:type="pct"/>
            <w:shd w:val="clear" w:color="auto" w:fill="auto"/>
            <w:vAlign w:val="center"/>
            <w:hideMark/>
          </w:tcPr>
          <w:p w:rsidRPr="009C3363" w:rsidR="009C3363" w:rsidP="009C3363" w:rsidRDefault="009E2A12" w14:paraId="5936308F" w14:textId="22B6A06E">
            <w:pPr>
              <w:spacing w:after="0" w:line="240" w:lineRule="auto"/>
              <w:jc w:val="center"/>
              <w:rPr>
                <w:rFonts w:cstheme="minorHAnsi"/>
                <w:sz w:val="24"/>
              </w:rPr>
            </w:pPr>
            <w:r>
              <w:rPr>
                <w:rFonts w:cstheme="minorHAnsi"/>
                <w:sz w:val="24"/>
              </w:rPr>
              <w:t>30/60</w:t>
            </w:r>
          </w:p>
        </w:tc>
        <w:tc>
          <w:tcPr>
            <w:tcW w:w="780" w:type="pct"/>
            <w:shd w:val="clear" w:color="auto" w:fill="auto"/>
            <w:vAlign w:val="center"/>
            <w:hideMark/>
          </w:tcPr>
          <w:p w:rsidRPr="009C3363" w:rsidR="009C3363" w:rsidP="009C3363" w:rsidRDefault="00501F8F" w14:paraId="0EF1C6A1" w14:textId="6CA83D69">
            <w:pPr>
              <w:spacing w:after="0" w:line="240" w:lineRule="auto"/>
              <w:jc w:val="center"/>
              <w:rPr>
                <w:rFonts w:cstheme="minorHAnsi"/>
                <w:sz w:val="24"/>
              </w:rPr>
            </w:pPr>
            <w:r>
              <w:rPr>
                <w:rFonts w:cstheme="minorHAnsi"/>
                <w:sz w:val="24"/>
              </w:rPr>
              <w:t>125</w:t>
            </w:r>
          </w:p>
        </w:tc>
      </w:tr>
      <w:tr w:rsidRPr="009C3363" w:rsidR="009C3363" w:rsidTr="00643B6C" w14:paraId="49C303D3" w14:textId="77777777">
        <w:trPr>
          <w:cantSplit/>
          <w:trHeight w:val="244"/>
        </w:trPr>
        <w:tc>
          <w:tcPr>
            <w:tcW w:w="1833" w:type="pct"/>
            <w:gridSpan w:val="2"/>
          </w:tcPr>
          <w:p w:rsidRPr="009C3363" w:rsidR="009C3363" w:rsidP="00D80E5F" w:rsidRDefault="009C3363" w14:paraId="4F3FBE63" w14:textId="77777777">
            <w:pPr>
              <w:spacing w:after="0" w:line="240" w:lineRule="auto"/>
              <w:rPr>
                <w:rFonts w:cstheme="minorHAnsi"/>
                <w:b/>
                <w:sz w:val="24"/>
              </w:rPr>
            </w:pPr>
            <w:r w:rsidRPr="009C3363">
              <w:rPr>
                <w:rFonts w:cstheme="minorHAnsi"/>
                <w:b/>
                <w:sz w:val="24"/>
              </w:rPr>
              <w:t>Total</w:t>
            </w:r>
          </w:p>
        </w:tc>
        <w:tc>
          <w:tcPr>
            <w:tcW w:w="877" w:type="pct"/>
            <w:shd w:val="clear" w:color="auto" w:fill="auto"/>
            <w:noWrap/>
            <w:vAlign w:val="center"/>
          </w:tcPr>
          <w:p w:rsidRPr="009C3363" w:rsidR="009C3363" w:rsidP="009C3363" w:rsidRDefault="009C3363" w14:paraId="5B77BCB2" w14:textId="0BC5662D">
            <w:pPr>
              <w:spacing w:after="0" w:line="240" w:lineRule="auto"/>
              <w:jc w:val="center"/>
              <w:rPr>
                <w:rFonts w:cstheme="minorHAnsi"/>
                <w:b/>
                <w:sz w:val="24"/>
              </w:rPr>
            </w:pPr>
          </w:p>
        </w:tc>
        <w:tc>
          <w:tcPr>
            <w:tcW w:w="779" w:type="pct"/>
            <w:shd w:val="clear" w:color="auto" w:fill="auto"/>
            <w:noWrap/>
            <w:vAlign w:val="center"/>
          </w:tcPr>
          <w:p w:rsidRPr="009C3363" w:rsidR="009C3363" w:rsidP="009C3363" w:rsidRDefault="009E2A12" w14:paraId="1B8EE59D" w14:textId="2EED84D8">
            <w:pPr>
              <w:spacing w:after="0" w:line="240" w:lineRule="auto"/>
              <w:jc w:val="center"/>
              <w:rPr>
                <w:rFonts w:cstheme="minorHAnsi"/>
                <w:b/>
                <w:sz w:val="24"/>
              </w:rPr>
            </w:pPr>
            <w:r>
              <w:rPr>
                <w:rFonts w:cstheme="minorHAnsi"/>
                <w:b/>
                <w:sz w:val="24"/>
              </w:rPr>
              <w:t>375</w:t>
            </w:r>
          </w:p>
        </w:tc>
        <w:tc>
          <w:tcPr>
            <w:tcW w:w="731" w:type="pct"/>
            <w:shd w:val="clear" w:color="auto" w:fill="auto"/>
            <w:vAlign w:val="center"/>
          </w:tcPr>
          <w:p w:rsidRPr="009C3363" w:rsidR="009C3363" w:rsidP="009C3363" w:rsidRDefault="009C3363" w14:paraId="540B6F8E" w14:textId="77777777">
            <w:pPr>
              <w:spacing w:after="0" w:line="240" w:lineRule="auto"/>
              <w:jc w:val="center"/>
              <w:rPr>
                <w:rFonts w:cstheme="minorHAnsi"/>
                <w:b/>
                <w:sz w:val="24"/>
              </w:rPr>
            </w:pPr>
          </w:p>
        </w:tc>
        <w:tc>
          <w:tcPr>
            <w:tcW w:w="780" w:type="pct"/>
            <w:shd w:val="clear" w:color="auto" w:fill="auto"/>
            <w:vAlign w:val="center"/>
          </w:tcPr>
          <w:p w:rsidRPr="009C3363" w:rsidR="009C3363" w:rsidP="009C3363" w:rsidRDefault="00501F8F" w14:paraId="55C38B47" w14:textId="11B07FA4">
            <w:pPr>
              <w:spacing w:after="0" w:line="240" w:lineRule="auto"/>
              <w:jc w:val="center"/>
              <w:rPr>
                <w:rFonts w:cstheme="minorHAnsi"/>
                <w:b/>
                <w:sz w:val="24"/>
              </w:rPr>
            </w:pPr>
            <w:r>
              <w:rPr>
                <w:rFonts w:cstheme="minorHAnsi"/>
                <w:b/>
                <w:sz w:val="24"/>
              </w:rPr>
              <w:t>250</w:t>
            </w:r>
          </w:p>
        </w:tc>
      </w:tr>
      <w:bookmarkEnd w:id="2"/>
    </w:tbl>
    <w:p w:rsidRPr="00957B52" w:rsidR="00403366" w:rsidP="00AE3015" w:rsidRDefault="00403366" w14:paraId="6D002180" w14:textId="77777777">
      <w:pPr>
        <w:spacing w:after="0" w:line="240" w:lineRule="auto"/>
        <w:jc w:val="center"/>
        <w:rPr>
          <w:sz w:val="28"/>
          <w:szCs w:val="28"/>
        </w:rPr>
      </w:pPr>
    </w:p>
    <w:p w:rsidRPr="00A60503" w:rsidR="00AE3015" w:rsidP="00AE3015" w:rsidRDefault="00AE3015" w14:paraId="69D857B2" w14:textId="39EEF11B">
      <w:pPr>
        <w:spacing w:after="0" w:line="240" w:lineRule="auto"/>
        <w:jc w:val="center"/>
        <w:rPr>
          <w:b/>
          <w:bCs/>
          <w:sz w:val="24"/>
          <w:szCs w:val="28"/>
        </w:rPr>
      </w:pPr>
      <w:r w:rsidRPr="00A60503">
        <w:rPr>
          <w:b/>
          <w:bCs/>
          <w:sz w:val="24"/>
          <w:szCs w:val="28"/>
        </w:rPr>
        <w:t>A.12-2 Annualized Cost to the Respondents</w:t>
      </w:r>
    </w:p>
    <w:p w:rsidR="0063079E" w:rsidP="00AE3015" w:rsidRDefault="0063079E" w14:paraId="1EA47A5E" w14:textId="26F72EA8">
      <w:pPr>
        <w:spacing w:after="0" w:line="240" w:lineRule="auto"/>
        <w:jc w:val="center"/>
        <w:rPr>
          <w:sz w:val="24"/>
          <w:szCs w:val="28"/>
        </w:rPr>
      </w:pPr>
    </w:p>
    <w:tbl>
      <w:tblPr>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90"/>
        <w:gridCol w:w="2880"/>
        <w:gridCol w:w="1890"/>
        <w:gridCol w:w="2160"/>
      </w:tblGrid>
      <w:tr w:rsidRPr="0063079E" w:rsidR="0063079E" w:rsidTr="00D80E5F" w14:paraId="75F52AE0" w14:textId="77777777">
        <w:trPr>
          <w:trHeight w:val="620"/>
          <w:jc w:val="center"/>
        </w:trPr>
        <w:tc>
          <w:tcPr>
            <w:tcW w:w="2890" w:type="dxa"/>
            <w:vAlign w:val="center"/>
          </w:tcPr>
          <w:p w:rsidRPr="0063079E" w:rsidR="0063079E" w:rsidP="0063079E" w:rsidRDefault="0063079E" w14:paraId="45380DCD" w14:textId="77777777">
            <w:pPr>
              <w:spacing w:after="0" w:line="240" w:lineRule="auto"/>
              <w:jc w:val="center"/>
              <w:rPr>
                <w:b/>
                <w:sz w:val="24"/>
                <w:szCs w:val="28"/>
              </w:rPr>
            </w:pPr>
            <w:r w:rsidRPr="0063079E">
              <w:rPr>
                <w:b/>
                <w:sz w:val="24"/>
                <w:szCs w:val="28"/>
              </w:rPr>
              <w:t>Type of Respondent</w:t>
            </w:r>
          </w:p>
        </w:tc>
        <w:tc>
          <w:tcPr>
            <w:tcW w:w="2880" w:type="dxa"/>
            <w:vAlign w:val="center"/>
          </w:tcPr>
          <w:p w:rsidRPr="0063079E" w:rsidR="0063079E" w:rsidP="0063079E" w:rsidRDefault="0063079E" w14:paraId="12763A3B" w14:textId="77777777">
            <w:pPr>
              <w:spacing w:after="0" w:line="240" w:lineRule="auto"/>
              <w:jc w:val="center"/>
              <w:rPr>
                <w:b/>
                <w:sz w:val="24"/>
                <w:szCs w:val="28"/>
              </w:rPr>
            </w:pPr>
            <w:r w:rsidRPr="0063079E">
              <w:rPr>
                <w:b/>
                <w:sz w:val="24"/>
                <w:szCs w:val="28"/>
              </w:rPr>
              <w:t>Total Annual Burden Hours</w:t>
            </w:r>
          </w:p>
        </w:tc>
        <w:tc>
          <w:tcPr>
            <w:tcW w:w="1890" w:type="dxa"/>
            <w:vAlign w:val="center"/>
          </w:tcPr>
          <w:p w:rsidRPr="0063079E" w:rsidR="0063079E" w:rsidP="0063079E" w:rsidRDefault="0063079E" w14:paraId="5CA4AB38" w14:textId="77777777">
            <w:pPr>
              <w:spacing w:after="0" w:line="240" w:lineRule="auto"/>
              <w:jc w:val="center"/>
              <w:rPr>
                <w:b/>
                <w:sz w:val="24"/>
                <w:szCs w:val="28"/>
              </w:rPr>
            </w:pPr>
            <w:r w:rsidRPr="0063079E">
              <w:rPr>
                <w:b/>
                <w:sz w:val="24"/>
                <w:szCs w:val="28"/>
              </w:rPr>
              <w:t>Hourly Wage Rate*</w:t>
            </w:r>
          </w:p>
        </w:tc>
        <w:tc>
          <w:tcPr>
            <w:tcW w:w="2160" w:type="dxa"/>
            <w:vAlign w:val="center"/>
          </w:tcPr>
          <w:p w:rsidRPr="0063079E" w:rsidR="0063079E" w:rsidP="0063079E" w:rsidRDefault="0063079E" w14:paraId="34496F9E" w14:textId="77777777">
            <w:pPr>
              <w:spacing w:after="0" w:line="240" w:lineRule="auto"/>
              <w:jc w:val="center"/>
              <w:rPr>
                <w:b/>
                <w:sz w:val="24"/>
                <w:szCs w:val="28"/>
              </w:rPr>
            </w:pPr>
            <w:r w:rsidRPr="0063079E">
              <w:rPr>
                <w:b/>
                <w:sz w:val="24"/>
                <w:szCs w:val="28"/>
              </w:rPr>
              <w:t>Respondent</w:t>
            </w:r>
          </w:p>
          <w:p w:rsidRPr="0063079E" w:rsidR="0063079E" w:rsidP="0063079E" w:rsidRDefault="0063079E" w14:paraId="004BC5F0" w14:textId="77777777">
            <w:pPr>
              <w:spacing w:after="0" w:line="240" w:lineRule="auto"/>
              <w:jc w:val="center"/>
              <w:rPr>
                <w:b/>
                <w:sz w:val="24"/>
                <w:szCs w:val="28"/>
              </w:rPr>
            </w:pPr>
            <w:r w:rsidRPr="0063079E">
              <w:rPr>
                <w:b/>
                <w:sz w:val="24"/>
                <w:szCs w:val="28"/>
              </w:rPr>
              <w:t>Cost</w:t>
            </w:r>
          </w:p>
        </w:tc>
      </w:tr>
      <w:tr w:rsidRPr="0063079E" w:rsidR="0063079E" w:rsidTr="00D80E5F" w14:paraId="0082A55B" w14:textId="77777777">
        <w:trPr>
          <w:trHeight w:val="386"/>
          <w:jc w:val="center"/>
        </w:trPr>
        <w:tc>
          <w:tcPr>
            <w:tcW w:w="2890" w:type="dxa"/>
            <w:vAlign w:val="center"/>
          </w:tcPr>
          <w:p w:rsidRPr="0063079E" w:rsidR="0063079E" w:rsidP="0063079E" w:rsidRDefault="0063079E" w14:paraId="597AD766" w14:textId="77777777">
            <w:pPr>
              <w:spacing w:after="0" w:line="240" w:lineRule="auto"/>
              <w:jc w:val="center"/>
              <w:rPr>
                <w:sz w:val="24"/>
                <w:szCs w:val="28"/>
              </w:rPr>
            </w:pPr>
            <w:r w:rsidRPr="0063079E">
              <w:rPr>
                <w:sz w:val="24"/>
                <w:szCs w:val="28"/>
              </w:rPr>
              <w:t>Student Applicants</w:t>
            </w:r>
          </w:p>
        </w:tc>
        <w:tc>
          <w:tcPr>
            <w:tcW w:w="2880" w:type="dxa"/>
            <w:vAlign w:val="center"/>
          </w:tcPr>
          <w:p w:rsidRPr="0063079E" w:rsidR="0063079E" w:rsidP="0063079E" w:rsidRDefault="0063079E" w14:paraId="58A64E3A" w14:textId="01474F39">
            <w:pPr>
              <w:spacing w:after="0" w:line="240" w:lineRule="auto"/>
              <w:jc w:val="center"/>
              <w:rPr>
                <w:sz w:val="24"/>
                <w:szCs w:val="28"/>
              </w:rPr>
            </w:pPr>
            <w:r>
              <w:rPr>
                <w:sz w:val="24"/>
                <w:szCs w:val="28"/>
              </w:rPr>
              <w:t>125</w:t>
            </w:r>
          </w:p>
        </w:tc>
        <w:tc>
          <w:tcPr>
            <w:tcW w:w="1890" w:type="dxa"/>
            <w:vAlign w:val="center"/>
          </w:tcPr>
          <w:p w:rsidRPr="0063079E" w:rsidR="0063079E" w:rsidP="0063079E" w:rsidRDefault="0063079E" w14:paraId="7F13EFAB" w14:textId="7BED3E32">
            <w:pPr>
              <w:spacing w:after="0" w:line="240" w:lineRule="auto"/>
              <w:jc w:val="center"/>
              <w:rPr>
                <w:sz w:val="24"/>
                <w:szCs w:val="28"/>
              </w:rPr>
            </w:pPr>
            <w:r w:rsidRPr="0063079E">
              <w:rPr>
                <w:sz w:val="24"/>
                <w:szCs w:val="28"/>
              </w:rPr>
              <w:t>$</w:t>
            </w:r>
            <w:r w:rsidR="009E2A12">
              <w:rPr>
                <w:sz w:val="24"/>
                <w:szCs w:val="28"/>
              </w:rPr>
              <w:t>24.98</w:t>
            </w:r>
          </w:p>
        </w:tc>
        <w:tc>
          <w:tcPr>
            <w:tcW w:w="2160" w:type="dxa"/>
            <w:vAlign w:val="center"/>
          </w:tcPr>
          <w:p w:rsidRPr="0063079E" w:rsidR="0063079E" w:rsidP="0063079E" w:rsidRDefault="0063079E" w14:paraId="3ADE62D7" w14:textId="57780890">
            <w:pPr>
              <w:spacing w:after="0" w:line="240" w:lineRule="auto"/>
              <w:jc w:val="center"/>
              <w:rPr>
                <w:sz w:val="24"/>
                <w:szCs w:val="28"/>
              </w:rPr>
            </w:pPr>
            <w:r w:rsidRPr="0063079E">
              <w:rPr>
                <w:sz w:val="24"/>
                <w:szCs w:val="28"/>
              </w:rPr>
              <w:t>$</w:t>
            </w:r>
            <w:r w:rsidR="009E2A12">
              <w:rPr>
                <w:sz w:val="24"/>
                <w:szCs w:val="28"/>
              </w:rPr>
              <w:t>3,122.50</w:t>
            </w:r>
          </w:p>
        </w:tc>
      </w:tr>
      <w:tr w:rsidRPr="0063079E" w:rsidR="0063079E" w:rsidTr="00D80E5F" w14:paraId="5926EA8F" w14:textId="77777777">
        <w:trPr>
          <w:jc w:val="center"/>
        </w:trPr>
        <w:tc>
          <w:tcPr>
            <w:tcW w:w="2890" w:type="dxa"/>
            <w:vAlign w:val="center"/>
          </w:tcPr>
          <w:p w:rsidRPr="0063079E" w:rsidR="0063079E" w:rsidP="0063079E" w:rsidRDefault="0063079E" w14:paraId="2F0E3FF8" w14:textId="50379C26">
            <w:pPr>
              <w:spacing w:after="0" w:line="240" w:lineRule="auto"/>
              <w:jc w:val="center"/>
              <w:rPr>
                <w:sz w:val="24"/>
                <w:szCs w:val="28"/>
              </w:rPr>
            </w:pPr>
            <w:r w:rsidRPr="0063079E">
              <w:rPr>
                <w:sz w:val="24"/>
                <w:szCs w:val="28"/>
              </w:rPr>
              <w:t xml:space="preserve">Contributor </w:t>
            </w:r>
            <w:r w:rsidR="00A60503">
              <w:rPr>
                <w:sz w:val="24"/>
                <w:szCs w:val="28"/>
              </w:rPr>
              <w:t>–</w:t>
            </w:r>
            <w:r w:rsidRPr="0063079E">
              <w:rPr>
                <w:sz w:val="24"/>
                <w:szCs w:val="28"/>
              </w:rPr>
              <w:t xml:space="preserve"> </w:t>
            </w:r>
            <w:r w:rsidR="00A60503">
              <w:rPr>
                <w:sz w:val="24"/>
                <w:szCs w:val="28"/>
              </w:rPr>
              <w:t xml:space="preserve">Individual </w:t>
            </w:r>
          </w:p>
        </w:tc>
        <w:tc>
          <w:tcPr>
            <w:tcW w:w="2880" w:type="dxa"/>
            <w:vAlign w:val="center"/>
          </w:tcPr>
          <w:p w:rsidRPr="0063079E" w:rsidR="0063079E" w:rsidP="0063079E" w:rsidRDefault="0063079E" w14:paraId="50B8D181" w14:textId="492D813E">
            <w:pPr>
              <w:spacing w:after="0" w:line="240" w:lineRule="auto"/>
              <w:jc w:val="center"/>
              <w:rPr>
                <w:sz w:val="24"/>
                <w:szCs w:val="28"/>
              </w:rPr>
            </w:pPr>
            <w:r>
              <w:rPr>
                <w:sz w:val="24"/>
                <w:szCs w:val="28"/>
              </w:rPr>
              <w:t>125</w:t>
            </w:r>
          </w:p>
        </w:tc>
        <w:tc>
          <w:tcPr>
            <w:tcW w:w="1890" w:type="dxa"/>
            <w:vAlign w:val="center"/>
          </w:tcPr>
          <w:p w:rsidRPr="0063079E" w:rsidR="0063079E" w:rsidP="0063079E" w:rsidRDefault="0063079E" w14:paraId="5D4A20FC" w14:textId="32ED54A7">
            <w:pPr>
              <w:spacing w:after="0" w:line="240" w:lineRule="auto"/>
              <w:jc w:val="center"/>
              <w:rPr>
                <w:sz w:val="24"/>
                <w:szCs w:val="28"/>
              </w:rPr>
            </w:pPr>
            <w:r w:rsidRPr="0063079E">
              <w:rPr>
                <w:sz w:val="24"/>
                <w:szCs w:val="28"/>
              </w:rPr>
              <w:t>$</w:t>
            </w:r>
            <w:r w:rsidR="009E2A12">
              <w:rPr>
                <w:sz w:val="24"/>
                <w:szCs w:val="28"/>
              </w:rPr>
              <w:t>45.80</w:t>
            </w:r>
          </w:p>
        </w:tc>
        <w:tc>
          <w:tcPr>
            <w:tcW w:w="2160" w:type="dxa"/>
            <w:vAlign w:val="center"/>
          </w:tcPr>
          <w:p w:rsidRPr="0063079E" w:rsidR="0063079E" w:rsidP="0063079E" w:rsidRDefault="0063079E" w14:paraId="7FE040E7" w14:textId="55D56A6D">
            <w:pPr>
              <w:spacing w:after="0" w:line="240" w:lineRule="auto"/>
              <w:jc w:val="center"/>
              <w:rPr>
                <w:sz w:val="24"/>
                <w:szCs w:val="28"/>
              </w:rPr>
            </w:pPr>
            <w:r w:rsidRPr="0063079E">
              <w:rPr>
                <w:sz w:val="24"/>
                <w:szCs w:val="28"/>
              </w:rPr>
              <w:t>$</w:t>
            </w:r>
            <w:r w:rsidR="009E2A12">
              <w:rPr>
                <w:sz w:val="24"/>
                <w:szCs w:val="28"/>
              </w:rPr>
              <w:t>5,725.00</w:t>
            </w:r>
          </w:p>
        </w:tc>
      </w:tr>
      <w:tr w:rsidRPr="0063079E" w:rsidR="0063079E" w:rsidTr="00D80E5F" w14:paraId="1B43CA32" w14:textId="77777777">
        <w:trPr>
          <w:trHeight w:val="323"/>
          <w:jc w:val="center"/>
        </w:trPr>
        <w:tc>
          <w:tcPr>
            <w:tcW w:w="2890" w:type="dxa"/>
          </w:tcPr>
          <w:p w:rsidRPr="0063079E" w:rsidR="0063079E" w:rsidP="0063079E" w:rsidRDefault="0063079E" w14:paraId="0E68F00C" w14:textId="77777777">
            <w:pPr>
              <w:spacing w:after="0" w:line="240" w:lineRule="auto"/>
              <w:jc w:val="center"/>
              <w:rPr>
                <w:b/>
                <w:sz w:val="24"/>
                <w:szCs w:val="28"/>
              </w:rPr>
            </w:pPr>
            <w:r w:rsidRPr="0063079E">
              <w:rPr>
                <w:b/>
                <w:sz w:val="24"/>
                <w:szCs w:val="28"/>
              </w:rPr>
              <w:t>Totals</w:t>
            </w:r>
          </w:p>
        </w:tc>
        <w:tc>
          <w:tcPr>
            <w:tcW w:w="2880" w:type="dxa"/>
            <w:vAlign w:val="center"/>
          </w:tcPr>
          <w:p w:rsidRPr="0063079E" w:rsidR="0063079E" w:rsidP="0063079E" w:rsidRDefault="0063079E" w14:paraId="6ACDC749" w14:textId="2FAD67A1">
            <w:pPr>
              <w:spacing w:after="0" w:line="240" w:lineRule="auto"/>
              <w:jc w:val="center"/>
              <w:rPr>
                <w:b/>
                <w:sz w:val="24"/>
                <w:szCs w:val="28"/>
              </w:rPr>
            </w:pPr>
            <w:r>
              <w:rPr>
                <w:b/>
                <w:sz w:val="24"/>
                <w:szCs w:val="28"/>
              </w:rPr>
              <w:t>250</w:t>
            </w:r>
          </w:p>
        </w:tc>
        <w:tc>
          <w:tcPr>
            <w:tcW w:w="1890" w:type="dxa"/>
            <w:vAlign w:val="bottom"/>
          </w:tcPr>
          <w:p w:rsidRPr="0063079E" w:rsidR="0063079E" w:rsidP="0063079E" w:rsidRDefault="0063079E" w14:paraId="73632DEF" w14:textId="77777777">
            <w:pPr>
              <w:spacing w:after="0" w:line="240" w:lineRule="auto"/>
              <w:jc w:val="center"/>
              <w:rPr>
                <w:b/>
                <w:sz w:val="24"/>
                <w:szCs w:val="28"/>
              </w:rPr>
            </w:pPr>
          </w:p>
        </w:tc>
        <w:tc>
          <w:tcPr>
            <w:tcW w:w="2160" w:type="dxa"/>
            <w:vAlign w:val="bottom"/>
          </w:tcPr>
          <w:p w:rsidRPr="0063079E" w:rsidR="0063079E" w:rsidP="0063079E" w:rsidRDefault="0063079E" w14:paraId="3EE611C0" w14:textId="7760B6AE">
            <w:pPr>
              <w:spacing w:after="0" w:line="240" w:lineRule="auto"/>
              <w:jc w:val="center"/>
              <w:rPr>
                <w:b/>
                <w:sz w:val="24"/>
                <w:szCs w:val="28"/>
              </w:rPr>
            </w:pPr>
            <w:r w:rsidRPr="0063079E">
              <w:rPr>
                <w:b/>
                <w:sz w:val="24"/>
                <w:szCs w:val="28"/>
              </w:rPr>
              <w:t>$</w:t>
            </w:r>
            <w:r w:rsidR="009E2A12">
              <w:rPr>
                <w:b/>
                <w:sz w:val="24"/>
                <w:szCs w:val="28"/>
              </w:rPr>
              <w:t>8,847.50</w:t>
            </w:r>
          </w:p>
        </w:tc>
      </w:tr>
    </w:tbl>
    <w:p w:rsidRPr="00DA7607" w:rsidR="00403366" w:rsidP="00D80E5F" w:rsidRDefault="00DA7607" w14:paraId="433A0999" w14:textId="544D1E4E">
      <w:pPr>
        <w:spacing w:after="0"/>
        <w:rPr>
          <w:bCs/>
          <w:lang w:eastAsia="zh-CN"/>
        </w:rPr>
      </w:pPr>
      <w:r w:rsidRPr="00DA7607">
        <w:rPr>
          <w:bCs/>
          <w:sz w:val="12"/>
          <w:szCs w:val="12"/>
          <w:lang w:eastAsia="zh-CN"/>
        </w:rPr>
        <w:br/>
      </w:r>
      <w:r w:rsidRPr="00DA7607" w:rsidR="00403366">
        <w:rPr>
          <w:bCs/>
          <w:lang w:eastAsia="zh-CN"/>
        </w:rPr>
        <w:t xml:space="preserve">*Source of the Hourly Wage Rate is provided by the Bureau of Labor Statistics, </w:t>
      </w:r>
      <w:r w:rsidRPr="00DA7607">
        <w:rPr>
          <w:bCs/>
          <w:lang w:eastAsia="zh-CN"/>
        </w:rPr>
        <w:t>for job code</w:t>
      </w:r>
      <w:r w:rsidRPr="00DA7607" w:rsidR="00403366">
        <w:rPr>
          <w:bCs/>
          <w:lang w:eastAsia="zh-CN"/>
        </w:rPr>
        <w:t xml:space="preserve"> </w:t>
      </w:r>
      <w:r w:rsidRPr="00DA7607">
        <w:rPr>
          <w:bCs/>
          <w:lang w:eastAsia="zh-CN"/>
        </w:rPr>
        <w:t xml:space="preserve">“All Occupations” 00-0000 and job code </w:t>
      </w:r>
      <w:r w:rsidRPr="00DA7607" w:rsidR="00403366">
        <w:rPr>
          <w:bCs/>
          <w:lang w:eastAsia="zh-CN"/>
        </w:rPr>
        <w:t>“Medical Scientists” 19-1040</w:t>
      </w:r>
      <w:r w:rsidRPr="00DA7607">
        <w:rPr>
          <w:bCs/>
          <w:lang w:eastAsia="zh-CN"/>
        </w:rPr>
        <w:t xml:space="preserve">, </w:t>
      </w:r>
      <w:r w:rsidRPr="00DA7607" w:rsidR="00403366">
        <w:rPr>
          <w:bCs/>
          <w:lang w:eastAsia="zh-CN"/>
        </w:rPr>
        <w:t xml:space="preserve"> </w:t>
      </w:r>
      <w:hyperlink w:history="1" w:anchor="00-0000" r:id="rId8">
        <w:r w:rsidRPr="00276E16" w:rsidR="00276E16">
          <w:rPr>
            <w:rStyle w:val="Hyperlink"/>
            <w:bCs/>
            <w:lang w:eastAsia="zh-CN"/>
          </w:rPr>
          <w:t>https://www.bls.gov/oes/2018/May/oes_nat.htm#00-0000</w:t>
        </w:r>
      </w:hyperlink>
      <w:r w:rsidRPr="00DA7607" w:rsidR="00403366">
        <w:rPr>
          <w:bCs/>
          <w:lang w:eastAsia="zh-CN"/>
        </w:rPr>
        <w:t>.</w:t>
      </w:r>
    </w:p>
    <w:p w:rsidRPr="00DA7607" w:rsidR="00AF01AD" w:rsidP="008716F6" w:rsidRDefault="00AF01AD" w14:paraId="585A55CA" w14:textId="4A62D35E">
      <w:pPr>
        <w:spacing w:after="20"/>
        <w:rPr>
          <w:sz w:val="24"/>
          <w:szCs w:val="24"/>
        </w:rPr>
      </w:pPr>
    </w:p>
    <w:p w:rsidRPr="00957B52" w:rsidR="008716F6" w:rsidP="008716F6" w:rsidRDefault="00713CF8" w14:paraId="1C9A010C" w14:textId="77777777">
      <w:pPr>
        <w:spacing w:after="20"/>
        <w:rPr>
          <w:b/>
          <w:sz w:val="28"/>
          <w:szCs w:val="28"/>
        </w:rPr>
      </w:pPr>
      <w:r w:rsidRPr="00DA7607">
        <w:rPr>
          <w:b/>
          <w:sz w:val="24"/>
          <w:szCs w:val="24"/>
        </w:rPr>
        <w:t>A.13 Estimate of Other Total Annual Cost Burden to Respondents or Record Keepers</w:t>
      </w:r>
      <w:r w:rsidRPr="00DA7607">
        <w:rPr>
          <w:b/>
          <w:sz w:val="24"/>
          <w:szCs w:val="24"/>
        </w:rPr>
        <w:tab/>
      </w:r>
    </w:p>
    <w:p w:rsidR="00E423BA" w:rsidP="008716F6" w:rsidRDefault="00DA7607" w14:paraId="73249FAA" w14:textId="28AEA05A">
      <w:pPr>
        <w:spacing w:after="20"/>
        <w:rPr>
          <w:sz w:val="24"/>
          <w:szCs w:val="28"/>
        </w:rPr>
      </w:pPr>
      <w:r w:rsidRPr="00DA7607">
        <w:rPr>
          <w:sz w:val="24"/>
          <w:szCs w:val="28"/>
        </w:rPr>
        <w:t>There are no additional costs to report.</w:t>
      </w:r>
    </w:p>
    <w:p w:rsidR="00DA7607" w:rsidP="008716F6" w:rsidRDefault="00DA7607" w14:paraId="4E4A733D" w14:textId="77777777">
      <w:pPr>
        <w:spacing w:after="20"/>
        <w:rPr>
          <w:sz w:val="28"/>
          <w:szCs w:val="28"/>
        </w:rPr>
      </w:pPr>
    </w:p>
    <w:p w:rsidRPr="00DA7607" w:rsidR="00713CF8" w:rsidP="008716F6" w:rsidRDefault="00713CF8" w14:paraId="34AEAD4B" w14:textId="77777777">
      <w:pPr>
        <w:spacing w:after="20"/>
        <w:rPr>
          <w:b/>
          <w:sz w:val="24"/>
          <w:szCs w:val="24"/>
        </w:rPr>
      </w:pPr>
      <w:r w:rsidRPr="00DA7607">
        <w:rPr>
          <w:b/>
          <w:sz w:val="24"/>
          <w:szCs w:val="24"/>
        </w:rPr>
        <w:t>A.14 Annualized Cost to the Federal Government</w:t>
      </w:r>
    </w:p>
    <w:p w:rsidR="005204AD" w:rsidP="005204AD" w:rsidRDefault="009A2E54" w14:paraId="5303B41C" w14:textId="3C8CBC78">
      <w:pPr>
        <w:spacing w:after="20"/>
        <w:rPr>
          <w:sz w:val="24"/>
          <w:szCs w:val="24"/>
        </w:rPr>
      </w:pPr>
      <w:r w:rsidRPr="005204AD">
        <w:rPr>
          <w:sz w:val="24"/>
          <w:szCs w:val="24"/>
        </w:rPr>
        <w:t>The annualized cost to the Federal Government for the proposed data collection effort is estimated to be $</w:t>
      </w:r>
      <w:r w:rsidRPr="005204AD" w:rsidR="005204AD">
        <w:rPr>
          <w:sz w:val="24"/>
          <w:szCs w:val="24"/>
        </w:rPr>
        <w:t>7,</w:t>
      </w:r>
      <w:r w:rsidR="005971A4">
        <w:rPr>
          <w:sz w:val="24"/>
          <w:szCs w:val="24"/>
        </w:rPr>
        <w:t>463.96</w:t>
      </w:r>
      <w:r w:rsidRPr="005204AD" w:rsidR="005204AD">
        <w:rPr>
          <w:sz w:val="24"/>
          <w:szCs w:val="24"/>
        </w:rPr>
        <w:t xml:space="preserve"> </w:t>
      </w:r>
      <w:r w:rsidRPr="005204AD">
        <w:rPr>
          <w:sz w:val="24"/>
          <w:szCs w:val="24"/>
        </w:rPr>
        <w:t>(Table A.14.1). The federal personnel are responsible for reviewing the applications. The contractor tasks include design</w:t>
      </w:r>
      <w:r w:rsidR="00DA7607">
        <w:rPr>
          <w:sz w:val="24"/>
          <w:szCs w:val="24"/>
        </w:rPr>
        <w:t>, management and maintenance</w:t>
      </w:r>
      <w:r w:rsidRPr="005204AD">
        <w:rPr>
          <w:sz w:val="24"/>
          <w:szCs w:val="24"/>
        </w:rPr>
        <w:t xml:space="preserve"> of the application</w:t>
      </w:r>
      <w:r w:rsidR="00DA7607">
        <w:rPr>
          <w:sz w:val="24"/>
          <w:szCs w:val="24"/>
        </w:rPr>
        <w:t xml:space="preserve"> site as well as distribution of the applications</w:t>
      </w:r>
      <w:r w:rsidRPr="005204AD">
        <w:rPr>
          <w:sz w:val="24"/>
          <w:szCs w:val="24"/>
        </w:rPr>
        <w:t>.</w:t>
      </w:r>
    </w:p>
    <w:p w:rsidRPr="005204AD" w:rsidR="005204AD" w:rsidP="005204AD" w:rsidRDefault="005204AD" w14:paraId="577343B7" w14:textId="77777777">
      <w:pPr>
        <w:spacing w:after="20"/>
        <w:rPr>
          <w:sz w:val="24"/>
          <w:szCs w:val="24"/>
        </w:rPr>
      </w:pPr>
    </w:p>
    <w:p w:rsidR="00DA7607" w:rsidP="005204AD" w:rsidRDefault="00DA7607" w14:paraId="7376088B" w14:textId="77777777">
      <w:pPr>
        <w:spacing w:after="20"/>
        <w:jc w:val="center"/>
        <w:rPr>
          <w:b/>
          <w:sz w:val="24"/>
          <w:szCs w:val="24"/>
        </w:rPr>
      </w:pPr>
    </w:p>
    <w:p w:rsidR="00DA7607" w:rsidP="005204AD" w:rsidRDefault="00DA7607" w14:paraId="40A32395" w14:textId="77777777">
      <w:pPr>
        <w:spacing w:after="20"/>
        <w:jc w:val="center"/>
        <w:rPr>
          <w:b/>
          <w:sz w:val="24"/>
          <w:szCs w:val="24"/>
        </w:rPr>
      </w:pPr>
    </w:p>
    <w:p w:rsidR="00DA7607" w:rsidP="005204AD" w:rsidRDefault="00DA7607" w14:paraId="7ECE21AA" w14:textId="77777777">
      <w:pPr>
        <w:spacing w:after="20"/>
        <w:jc w:val="center"/>
        <w:rPr>
          <w:b/>
          <w:sz w:val="24"/>
          <w:szCs w:val="24"/>
        </w:rPr>
      </w:pPr>
    </w:p>
    <w:p w:rsidR="007C5786" w:rsidP="005204AD" w:rsidRDefault="007C5786" w14:paraId="7B92E1AD" w14:textId="77777777">
      <w:pPr>
        <w:spacing w:after="20"/>
        <w:jc w:val="center"/>
        <w:rPr>
          <w:b/>
          <w:sz w:val="24"/>
          <w:szCs w:val="24"/>
        </w:rPr>
      </w:pPr>
    </w:p>
    <w:p w:rsidR="007C5786" w:rsidP="005204AD" w:rsidRDefault="007C5786" w14:paraId="14F02520" w14:textId="77777777">
      <w:pPr>
        <w:spacing w:after="20"/>
        <w:jc w:val="center"/>
        <w:rPr>
          <w:b/>
          <w:sz w:val="24"/>
          <w:szCs w:val="24"/>
        </w:rPr>
      </w:pPr>
    </w:p>
    <w:p w:rsidR="007C5786" w:rsidP="005204AD" w:rsidRDefault="007C5786" w14:paraId="611DFBDD" w14:textId="77777777">
      <w:pPr>
        <w:spacing w:after="20"/>
        <w:jc w:val="center"/>
        <w:rPr>
          <w:b/>
          <w:sz w:val="24"/>
          <w:szCs w:val="24"/>
        </w:rPr>
      </w:pPr>
    </w:p>
    <w:p w:rsidRPr="005204AD" w:rsidR="005204AD" w:rsidP="005204AD" w:rsidRDefault="005204AD" w14:paraId="5021867D" w14:textId="5BCCF69E">
      <w:pPr>
        <w:spacing w:after="20"/>
        <w:jc w:val="center"/>
        <w:rPr>
          <w:b/>
          <w:sz w:val="24"/>
          <w:szCs w:val="24"/>
        </w:rPr>
      </w:pPr>
      <w:r w:rsidRPr="005204AD">
        <w:rPr>
          <w:b/>
          <w:sz w:val="24"/>
          <w:szCs w:val="24"/>
        </w:rPr>
        <w:t>A.14-1 Annualized Cost to the Federal Government</w:t>
      </w:r>
    </w:p>
    <w:p w:rsidR="007D2925" w:rsidP="008716F6" w:rsidRDefault="007D2925" w14:paraId="7CB4D4F0" w14:textId="53D5021E">
      <w:pPr>
        <w:spacing w:after="20"/>
        <w:rPr>
          <w:sz w:val="28"/>
          <w:szCs w:val="28"/>
        </w:rPr>
      </w:pPr>
    </w:p>
    <w:tbl>
      <w:tblPr>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55"/>
        <w:gridCol w:w="1251"/>
        <w:gridCol w:w="1128"/>
        <w:gridCol w:w="1311"/>
        <w:gridCol w:w="2070"/>
        <w:gridCol w:w="2082"/>
      </w:tblGrid>
      <w:tr w:rsidRPr="007D2925" w:rsidR="007D2925" w:rsidTr="007C5786" w14:paraId="252693F8" w14:textId="77777777">
        <w:trPr>
          <w:trHeight w:val="762"/>
          <w:jc w:val="center"/>
        </w:trPr>
        <w:tc>
          <w:tcPr>
            <w:tcW w:w="2155" w:type="dxa"/>
            <w:shd w:val="clear" w:color="auto" w:fill="auto"/>
            <w:noWrap/>
            <w:tcMar>
              <w:top w:w="0" w:type="dxa"/>
              <w:left w:w="108" w:type="dxa"/>
              <w:bottom w:w="0" w:type="dxa"/>
              <w:right w:w="108" w:type="dxa"/>
            </w:tcMar>
            <w:vAlign w:val="center"/>
            <w:hideMark/>
          </w:tcPr>
          <w:p w:rsidRPr="007D2925" w:rsidR="007D2925" w:rsidP="007D2925" w:rsidRDefault="007C5786" w14:paraId="0C851E0F" w14:textId="1F1DEC49">
            <w:pPr>
              <w:spacing w:after="0" w:line="240" w:lineRule="auto"/>
              <w:jc w:val="center"/>
              <w:rPr>
                <w:rFonts w:eastAsia="Calibri" w:cstheme="minorHAnsi"/>
                <w:b/>
                <w:bCs/>
                <w:color w:val="000000"/>
                <w:sz w:val="24"/>
                <w:szCs w:val="24"/>
              </w:rPr>
            </w:pPr>
            <w:r>
              <w:rPr>
                <w:rFonts w:eastAsia="Times New Roman" w:cstheme="minorHAnsi"/>
                <w:b/>
                <w:bCs/>
                <w:color w:val="000000"/>
                <w:sz w:val="24"/>
                <w:szCs w:val="24"/>
              </w:rPr>
              <w:t>Staff</w:t>
            </w:r>
          </w:p>
        </w:tc>
        <w:tc>
          <w:tcPr>
            <w:tcW w:w="1251" w:type="dxa"/>
            <w:shd w:val="clear" w:color="auto" w:fill="auto"/>
            <w:vAlign w:val="center"/>
          </w:tcPr>
          <w:p w:rsidRPr="007D2925" w:rsidR="007D2925" w:rsidP="007D2925" w:rsidRDefault="007D2925" w14:paraId="69DEE7C2" w14:textId="77777777">
            <w:pPr>
              <w:spacing w:after="0" w:line="240" w:lineRule="auto"/>
              <w:jc w:val="center"/>
              <w:rPr>
                <w:rFonts w:eastAsia="Calibri" w:cstheme="minorHAnsi"/>
                <w:b/>
                <w:bCs/>
                <w:color w:val="000000"/>
                <w:sz w:val="24"/>
                <w:szCs w:val="24"/>
              </w:rPr>
            </w:pPr>
            <w:r w:rsidRPr="007D2925">
              <w:rPr>
                <w:rFonts w:eastAsia="Times New Roman" w:cstheme="minorHAnsi"/>
                <w:b/>
                <w:bCs/>
                <w:color w:val="000000"/>
                <w:sz w:val="24"/>
                <w:szCs w:val="24"/>
              </w:rPr>
              <w:t>Grade/Step</w:t>
            </w:r>
          </w:p>
        </w:tc>
        <w:tc>
          <w:tcPr>
            <w:tcW w:w="1128" w:type="dxa"/>
            <w:shd w:val="clear" w:color="auto" w:fill="auto"/>
            <w:tcMar>
              <w:top w:w="0" w:type="dxa"/>
              <w:left w:w="108" w:type="dxa"/>
              <w:bottom w:w="0" w:type="dxa"/>
              <w:right w:w="108" w:type="dxa"/>
            </w:tcMar>
            <w:vAlign w:val="center"/>
            <w:hideMark/>
          </w:tcPr>
          <w:p w:rsidRPr="007D2925" w:rsidR="007D2925" w:rsidP="007D2925" w:rsidRDefault="007D2925" w14:paraId="276DF42A" w14:textId="77777777">
            <w:pPr>
              <w:spacing w:after="0" w:line="240" w:lineRule="auto"/>
              <w:jc w:val="center"/>
              <w:rPr>
                <w:rFonts w:eastAsia="Calibri" w:cstheme="minorHAnsi"/>
                <w:b/>
                <w:bCs/>
                <w:sz w:val="24"/>
                <w:szCs w:val="24"/>
              </w:rPr>
            </w:pPr>
            <w:r w:rsidRPr="007D2925">
              <w:rPr>
                <w:rFonts w:eastAsia="Times New Roman" w:cstheme="minorHAnsi"/>
                <w:b/>
                <w:bCs/>
                <w:sz w:val="24"/>
                <w:szCs w:val="24"/>
              </w:rPr>
              <w:t>Salary**</w:t>
            </w:r>
          </w:p>
        </w:tc>
        <w:tc>
          <w:tcPr>
            <w:tcW w:w="1311" w:type="dxa"/>
            <w:shd w:val="clear" w:color="auto" w:fill="auto"/>
            <w:tcMar>
              <w:top w:w="0" w:type="dxa"/>
              <w:left w:w="108" w:type="dxa"/>
              <w:bottom w:w="0" w:type="dxa"/>
              <w:right w:w="108" w:type="dxa"/>
            </w:tcMar>
            <w:vAlign w:val="center"/>
            <w:hideMark/>
          </w:tcPr>
          <w:p w:rsidRPr="007D2925" w:rsidR="007D2925" w:rsidP="007D2925" w:rsidRDefault="007D2925" w14:paraId="403CBE4F" w14:textId="77777777">
            <w:pPr>
              <w:spacing w:after="0" w:line="240" w:lineRule="auto"/>
              <w:jc w:val="center"/>
              <w:rPr>
                <w:rFonts w:eastAsia="Calibri" w:cstheme="minorHAnsi"/>
                <w:b/>
                <w:bCs/>
                <w:sz w:val="24"/>
                <w:szCs w:val="24"/>
              </w:rPr>
            </w:pPr>
            <w:r w:rsidRPr="007D2925">
              <w:rPr>
                <w:rFonts w:eastAsia="Times New Roman" w:cstheme="minorHAnsi"/>
                <w:b/>
                <w:bCs/>
                <w:sz w:val="24"/>
                <w:szCs w:val="24"/>
              </w:rPr>
              <w:t>% of Effort</w:t>
            </w:r>
          </w:p>
        </w:tc>
        <w:tc>
          <w:tcPr>
            <w:tcW w:w="2070" w:type="dxa"/>
            <w:shd w:val="clear" w:color="auto" w:fill="auto"/>
            <w:vAlign w:val="center"/>
          </w:tcPr>
          <w:p w:rsidRPr="007D2925" w:rsidR="007D2925" w:rsidP="007D2925" w:rsidRDefault="007D2925" w14:paraId="755DA860" w14:textId="77777777">
            <w:pPr>
              <w:spacing w:after="0" w:line="240" w:lineRule="auto"/>
              <w:jc w:val="center"/>
              <w:rPr>
                <w:rFonts w:eastAsia="Times New Roman" w:cstheme="minorHAnsi"/>
                <w:b/>
                <w:bCs/>
                <w:sz w:val="24"/>
                <w:szCs w:val="24"/>
              </w:rPr>
            </w:pPr>
            <w:r w:rsidRPr="007D2925">
              <w:rPr>
                <w:rFonts w:eastAsia="Times New Roman" w:cstheme="minorHAnsi"/>
                <w:b/>
                <w:bCs/>
                <w:sz w:val="24"/>
                <w:szCs w:val="24"/>
              </w:rPr>
              <w:t>Fringe (if applicable)</w:t>
            </w:r>
          </w:p>
        </w:tc>
        <w:tc>
          <w:tcPr>
            <w:tcW w:w="2082" w:type="dxa"/>
            <w:shd w:val="clear" w:color="auto" w:fill="auto"/>
            <w:vAlign w:val="center"/>
          </w:tcPr>
          <w:p w:rsidRPr="007D2925" w:rsidR="007D2925" w:rsidP="007D2925" w:rsidRDefault="007D2925" w14:paraId="25115640" w14:textId="77777777">
            <w:pPr>
              <w:spacing w:after="0" w:line="240" w:lineRule="auto"/>
              <w:jc w:val="center"/>
              <w:rPr>
                <w:rFonts w:eastAsia="Times New Roman" w:cstheme="minorHAnsi"/>
                <w:b/>
                <w:bCs/>
                <w:sz w:val="24"/>
                <w:szCs w:val="24"/>
              </w:rPr>
            </w:pPr>
            <w:r w:rsidRPr="007D2925">
              <w:rPr>
                <w:rFonts w:eastAsia="Times New Roman" w:cstheme="minorHAnsi"/>
                <w:b/>
                <w:bCs/>
                <w:sz w:val="24"/>
                <w:szCs w:val="24"/>
              </w:rPr>
              <w:t>Total Cost to Gov’t</w:t>
            </w:r>
          </w:p>
        </w:tc>
      </w:tr>
      <w:tr w:rsidRPr="00BA6ED1" w:rsidR="007D2925" w:rsidTr="007C5786" w14:paraId="6FEC956C" w14:textId="77777777">
        <w:trPr>
          <w:trHeight w:val="254"/>
          <w:jc w:val="center"/>
        </w:trPr>
        <w:tc>
          <w:tcPr>
            <w:tcW w:w="2155" w:type="dxa"/>
            <w:noWrap/>
            <w:tcMar>
              <w:top w:w="0" w:type="dxa"/>
              <w:left w:w="108" w:type="dxa"/>
              <w:bottom w:w="0" w:type="dxa"/>
              <w:right w:w="108" w:type="dxa"/>
            </w:tcMar>
            <w:vAlign w:val="bottom"/>
          </w:tcPr>
          <w:p w:rsidRPr="007D2925" w:rsidR="007D2925" w:rsidP="007D2925" w:rsidRDefault="007D2925" w14:paraId="540745D8" w14:textId="77777777">
            <w:pPr>
              <w:spacing w:after="0" w:line="240" w:lineRule="auto"/>
              <w:rPr>
                <w:rFonts w:eastAsia="Calibri" w:cstheme="minorHAnsi"/>
                <w:b/>
                <w:color w:val="000000"/>
                <w:sz w:val="24"/>
                <w:szCs w:val="24"/>
                <w:highlight w:val="yellow"/>
              </w:rPr>
            </w:pPr>
            <w:r w:rsidRPr="007D2925">
              <w:rPr>
                <w:rFonts w:eastAsia="Calibri" w:cstheme="minorHAnsi"/>
                <w:b/>
                <w:color w:val="000000"/>
                <w:sz w:val="24"/>
                <w:szCs w:val="24"/>
              </w:rPr>
              <w:t>Federal Oversight</w:t>
            </w:r>
          </w:p>
        </w:tc>
        <w:tc>
          <w:tcPr>
            <w:tcW w:w="1251" w:type="dxa"/>
          </w:tcPr>
          <w:p w:rsidRPr="007D2925" w:rsidR="007D2925" w:rsidP="007D2925" w:rsidRDefault="007D2925" w14:paraId="360F4483" w14:textId="77777777">
            <w:pPr>
              <w:spacing w:after="0" w:line="240" w:lineRule="auto"/>
              <w:jc w:val="right"/>
              <w:rPr>
                <w:rFonts w:eastAsia="Calibri" w:cstheme="minorHAnsi"/>
                <w:color w:val="000000"/>
                <w:sz w:val="24"/>
                <w:szCs w:val="24"/>
                <w:highlight w:val="yellow"/>
              </w:rPr>
            </w:pPr>
          </w:p>
        </w:tc>
        <w:tc>
          <w:tcPr>
            <w:tcW w:w="1128" w:type="dxa"/>
            <w:noWrap/>
            <w:tcMar>
              <w:top w:w="0" w:type="dxa"/>
              <w:left w:w="108" w:type="dxa"/>
              <w:bottom w:w="0" w:type="dxa"/>
              <w:right w:w="108" w:type="dxa"/>
            </w:tcMar>
            <w:vAlign w:val="bottom"/>
          </w:tcPr>
          <w:p w:rsidRPr="007D2925" w:rsidR="007D2925" w:rsidP="007D2925" w:rsidRDefault="007D2925" w14:paraId="02C435A7" w14:textId="77777777">
            <w:pPr>
              <w:spacing w:after="0" w:line="240" w:lineRule="auto"/>
              <w:rPr>
                <w:rFonts w:eastAsia="Times New Roman" w:cstheme="minorHAnsi"/>
                <w:sz w:val="24"/>
                <w:szCs w:val="24"/>
              </w:rPr>
            </w:pPr>
          </w:p>
        </w:tc>
        <w:tc>
          <w:tcPr>
            <w:tcW w:w="1311" w:type="dxa"/>
            <w:noWrap/>
            <w:tcMar>
              <w:top w:w="0" w:type="dxa"/>
              <w:left w:w="108" w:type="dxa"/>
              <w:bottom w:w="0" w:type="dxa"/>
              <w:right w:w="108" w:type="dxa"/>
            </w:tcMar>
            <w:vAlign w:val="bottom"/>
          </w:tcPr>
          <w:p w:rsidRPr="007D2925" w:rsidR="007D2925" w:rsidP="007D2925" w:rsidRDefault="007D2925" w14:paraId="3C4AF5E6" w14:textId="77777777">
            <w:pPr>
              <w:spacing w:after="0" w:line="240" w:lineRule="auto"/>
              <w:rPr>
                <w:rFonts w:eastAsia="Times New Roman" w:cstheme="minorHAnsi"/>
                <w:sz w:val="24"/>
                <w:szCs w:val="24"/>
              </w:rPr>
            </w:pPr>
          </w:p>
        </w:tc>
        <w:tc>
          <w:tcPr>
            <w:tcW w:w="2070" w:type="dxa"/>
            <w:shd w:val="clear" w:color="auto" w:fill="BFBFBF"/>
          </w:tcPr>
          <w:p w:rsidRPr="007D2925" w:rsidR="007D2925" w:rsidP="007D2925" w:rsidRDefault="007D2925" w14:paraId="22C8552C" w14:textId="77777777">
            <w:pPr>
              <w:spacing w:after="0" w:line="240" w:lineRule="auto"/>
              <w:rPr>
                <w:rFonts w:eastAsia="Times New Roman" w:cstheme="minorHAnsi"/>
                <w:sz w:val="24"/>
                <w:szCs w:val="24"/>
              </w:rPr>
            </w:pPr>
          </w:p>
        </w:tc>
        <w:tc>
          <w:tcPr>
            <w:tcW w:w="2082" w:type="dxa"/>
          </w:tcPr>
          <w:p w:rsidRPr="007D2925" w:rsidR="007D2925" w:rsidP="007D2925" w:rsidRDefault="007D2925" w14:paraId="7A783094" w14:textId="77777777">
            <w:pPr>
              <w:spacing w:after="0" w:line="240" w:lineRule="auto"/>
              <w:jc w:val="center"/>
              <w:rPr>
                <w:rFonts w:eastAsia="Times New Roman" w:cstheme="minorHAnsi"/>
                <w:sz w:val="24"/>
                <w:szCs w:val="24"/>
              </w:rPr>
            </w:pPr>
          </w:p>
        </w:tc>
      </w:tr>
      <w:tr w:rsidRPr="00BA6ED1" w:rsidR="007D2925" w:rsidTr="007C5786" w14:paraId="1798AC94" w14:textId="77777777">
        <w:trPr>
          <w:trHeight w:val="254"/>
          <w:jc w:val="center"/>
        </w:trPr>
        <w:tc>
          <w:tcPr>
            <w:tcW w:w="2155" w:type="dxa"/>
            <w:noWrap/>
            <w:tcMar>
              <w:top w:w="0" w:type="dxa"/>
              <w:left w:w="108" w:type="dxa"/>
              <w:bottom w:w="0" w:type="dxa"/>
              <w:right w:w="108" w:type="dxa"/>
            </w:tcMar>
            <w:vAlign w:val="bottom"/>
          </w:tcPr>
          <w:p w:rsidRPr="007D2925" w:rsidR="007D2925" w:rsidP="007D2925" w:rsidRDefault="007D2925" w14:paraId="622D5395" w14:textId="40C8410C">
            <w:pPr>
              <w:spacing w:after="0" w:line="240" w:lineRule="auto"/>
              <w:rPr>
                <w:rFonts w:eastAsia="Calibri" w:cstheme="minorHAnsi"/>
                <w:sz w:val="24"/>
                <w:szCs w:val="24"/>
              </w:rPr>
            </w:pPr>
            <w:r w:rsidRPr="007D2925">
              <w:rPr>
                <w:rFonts w:eastAsia="Calibri" w:cstheme="minorHAnsi"/>
                <w:sz w:val="24"/>
                <w:szCs w:val="24"/>
              </w:rPr>
              <w:t xml:space="preserve">     Program </w:t>
            </w:r>
            <w:r w:rsidR="00BA6ED1">
              <w:rPr>
                <w:rFonts w:eastAsia="Calibri" w:cstheme="minorHAnsi"/>
                <w:sz w:val="24"/>
                <w:szCs w:val="24"/>
              </w:rPr>
              <w:t>Analyst</w:t>
            </w:r>
          </w:p>
        </w:tc>
        <w:tc>
          <w:tcPr>
            <w:tcW w:w="1251" w:type="dxa"/>
          </w:tcPr>
          <w:p w:rsidRPr="007D2925" w:rsidR="007D2925" w:rsidP="007D2925" w:rsidRDefault="00BA6ED1" w14:paraId="7FEC6500" w14:textId="3A0EB3D5">
            <w:pPr>
              <w:spacing w:after="0" w:line="240" w:lineRule="auto"/>
              <w:jc w:val="center"/>
              <w:rPr>
                <w:rFonts w:eastAsia="Calibri" w:cstheme="minorHAnsi"/>
                <w:sz w:val="24"/>
                <w:szCs w:val="24"/>
              </w:rPr>
            </w:pPr>
            <w:r>
              <w:rPr>
                <w:rFonts w:eastAsia="Calibri" w:cstheme="minorHAnsi"/>
                <w:sz w:val="24"/>
                <w:szCs w:val="24"/>
              </w:rPr>
              <w:t>13/7</w:t>
            </w:r>
          </w:p>
        </w:tc>
        <w:tc>
          <w:tcPr>
            <w:tcW w:w="1128" w:type="dxa"/>
            <w:noWrap/>
            <w:tcMar>
              <w:top w:w="0" w:type="dxa"/>
              <w:left w:w="108" w:type="dxa"/>
              <w:bottom w:w="0" w:type="dxa"/>
              <w:right w:w="108" w:type="dxa"/>
            </w:tcMar>
            <w:vAlign w:val="bottom"/>
          </w:tcPr>
          <w:p w:rsidRPr="007D2925" w:rsidR="007D2925" w:rsidP="007D2925" w:rsidRDefault="007D2925" w14:paraId="2AEBA417" w14:textId="28A2189B">
            <w:pPr>
              <w:spacing w:after="0" w:line="240" w:lineRule="auto"/>
              <w:jc w:val="center"/>
              <w:rPr>
                <w:rFonts w:eastAsia="Calibri" w:cstheme="minorHAnsi"/>
                <w:sz w:val="24"/>
                <w:szCs w:val="24"/>
              </w:rPr>
            </w:pPr>
            <w:r w:rsidRPr="007D2925">
              <w:rPr>
                <w:rFonts w:eastAsia="Calibri" w:cstheme="minorHAnsi"/>
                <w:sz w:val="24"/>
                <w:szCs w:val="24"/>
                <w:lang w:eastAsia="ja-JP"/>
              </w:rPr>
              <w:t>$</w:t>
            </w:r>
            <w:r w:rsidR="005204AD">
              <w:rPr>
                <w:rFonts w:eastAsia="Calibri" w:cstheme="minorHAnsi"/>
                <w:sz w:val="24"/>
                <w:szCs w:val="24"/>
                <w:lang w:eastAsia="ja-JP"/>
              </w:rPr>
              <w:t>1</w:t>
            </w:r>
            <w:r w:rsidR="005971A4">
              <w:rPr>
                <w:rFonts w:eastAsia="Calibri" w:cstheme="minorHAnsi"/>
                <w:sz w:val="24"/>
                <w:szCs w:val="24"/>
                <w:lang w:eastAsia="ja-JP"/>
              </w:rPr>
              <w:t>23</w:t>
            </w:r>
            <w:r w:rsidR="005204AD">
              <w:rPr>
                <w:rFonts w:eastAsia="Calibri" w:cstheme="minorHAnsi"/>
                <w:sz w:val="24"/>
                <w:szCs w:val="24"/>
                <w:lang w:eastAsia="ja-JP"/>
              </w:rPr>
              <w:t>,</w:t>
            </w:r>
            <w:r w:rsidR="005971A4">
              <w:rPr>
                <w:rFonts w:eastAsia="Calibri" w:cstheme="minorHAnsi"/>
                <w:sz w:val="24"/>
                <w:szCs w:val="24"/>
                <w:lang w:eastAsia="ja-JP"/>
              </w:rPr>
              <w:t>198</w:t>
            </w:r>
            <w:r w:rsidRPr="007D2925">
              <w:rPr>
                <w:rFonts w:eastAsia="Calibri" w:cstheme="minorHAnsi"/>
                <w:sz w:val="24"/>
                <w:szCs w:val="24"/>
              </w:rPr>
              <w:t xml:space="preserve"> </w:t>
            </w:r>
          </w:p>
        </w:tc>
        <w:tc>
          <w:tcPr>
            <w:tcW w:w="1311" w:type="dxa"/>
            <w:noWrap/>
            <w:tcMar>
              <w:top w:w="0" w:type="dxa"/>
              <w:left w:w="108" w:type="dxa"/>
              <w:bottom w:w="0" w:type="dxa"/>
              <w:right w:w="108" w:type="dxa"/>
            </w:tcMar>
            <w:vAlign w:val="bottom"/>
          </w:tcPr>
          <w:p w:rsidRPr="007D2925" w:rsidR="007D2925" w:rsidP="007D2925" w:rsidRDefault="005204AD" w14:paraId="2D02E032" w14:textId="5AAE4492">
            <w:pPr>
              <w:spacing w:after="0" w:line="240" w:lineRule="auto"/>
              <w:jc w:val="center"/>
              <w:rPr>
                <w:rFonts w:eastAsia="Calibri" w:cstheme="minorHAnsi"/>
                <w:sz w:val="24"/>
                <w:szCs w:val="24"/>
              </w:rPr>
            </w:pPr>
            <w:r>
              <w:rPr>
                <w:rFonts w:eastAsia="Calibri" w:cstheme="minorHAnsi"/>
                <w:sz w:val="24"/>
                <w:szCs w:val="24"/>
              </w:rPr>
              <w:t>2</w:t>
            </w:r>
            <w:r w:rsidRPr="007D2925" w:rsidR="007D2925">
              <w:rPr>
                <w:rFonts w:eastAsia="Calibri" w:cstheme="minorHAnsi"/>
                <w:sz w:val="24"/>
                <w:szCs w:val="24"/>
              </w:rPr>
              <w:t xml:space="preserve">% </w:t>
            </w:r>
          </w:p>
        </w:tc>
        <w:tc>
          <w:tcPr>
            <w:tcW w:w="2070" w:type="dxa"/>
            <w:shd w:val="clear" w:color="auto" w:fill="BFBFBF"/>
          </w:tcPr>
          <w:p w:rsidRPr="007D2925" w:rsidR="007D2925" w:rsidP="007D2925" w:rsidRDefault="007D2925" w14:paraId="625FAFD6" w14:textId="77777777">
            <w:pPr>
              <w:spacing w:after="0" w:line="240" w:lineRule="auto"/>
              <w:rPr>
                <w:rFonts w:eastAsia="Times New Roman" w:cstheme="minorHAnsi"/>
                <w:sz w:val="24"/>
                <w:szCs w:val="24"/>
              </w:rPr>
            </w:pPr>
          </w:p>
        </w:tc>
        <w:tc>
          <w:tcPr>
            <w:tcW w:w="2082" w:type="dxa"/>
          </w:tcPr>
          <w:p w:rsidRPr="007D2925" w:rsidR="007D2925" w:rsidP="007D2925" w:rsidRDefault="007D2925" w14:paraId="0BE97E23" w14:textId="66E103D8">
            <w:pPr>
              <w:spacing w:after="0" w:line="240" w:lineRule="auto"/>
              <w:jc w:val="center"/>
              <w:rPr>
                <w:rFonts w:eastAsia="Times New Roman" w:cstheme="minorHAnsi"/>
                <w:sz w:val="24"/>
                <w:szCs w:val="24"/>
              </w:rPr>
            </w:pPr>
            <w:r w:rsidRPr="007D2925">
              <w:rPr>
                <w:rFonts w:eastAsia="Times New Roman" w:cstheme="minorHAnsi"/>
                <w:sz w:val="24"/>
                <w:szCs w:val="24"/>
              </w:rPr>
              <w:t>$</w:t>
            </w:r>
            <w:r w:rsidR="005204AD">
              <w:rPr>
                <w:rFonts w:eastAsia="Times New Roman" w:cstheme="minorHAnsi"/>
                <w:sz w:val="24"/>
                <w:szCs w:val="24"/>
              </w:rPr>
              <w:t>2,</w:t>
            </w:r>
            <w:r w:rsidR="005971A4">
              <w:rPr>
                <w:rFonts w:eastAsia="Times New Roman" w:cstheme="minorHAnsi"/>
                <w:sz w:val="24"/>
                <w:szCs w:val="24"/>
              </w:rPr>
              <w:t>463.96</w:t>
            </w:r>
          </w:p>
        </w:tc>
      </w:tr>
      <w:tr w:rsidRPr="00BA6ED1" w:rsidR="007D2925" w:rsidTr="005971A4" w14:paraId="1698D25B" w14:textId="77777777">
        <w:trPr>
          <w:trHeight w:val="254"/>
          <w:jc w:val="center"/>
        </w:trPr>
        <w:tc>
          <w:tcPr>
            <w:tcW w:w="2155" w:type="dxa"/>
            <w:noWrap/>
            <w:tcMar>
              <w:top w:w="0" w:type="dxa"/>
              <w:left w:w="108" w:type="dxa"/>
              <w:bottom w:w="0" w:type="dxa"/>
              <w:right w:w="108" w:type="dxa"/>
            </w:tcMar>
            <w:vAlign w:val="bottom"/>
          </w:tcPr>
          <w:p w:rsidRPr="007D2925" w:rsidR="007D2925" w:rsidP="007D2925" w:rsidRDefault="007D2925" w14:paraId="5849D093" w14:textId="77777777">
            <w:pPr>
              <w:spacing w:after="0" w:line="240" w:lineRule="auto"/>
              <w:rPr>
                <w:rFonts w:eastAsia="Calibri" w:cstheme="minorHAnsi"/>
                <w:b/>
                <w:sz w:val="24"/>
                <w:szCs w:val="24"/>
              </w:rPr>
            </w:pPr>
            <w:r w:rsidRPr="007D2925">
              <w:rPr>
                <w:rFonts w:eastAsia="Calibri" w:cstheme="minorHAnsi"/>
                <w:b/>
                <w:sz w:val="24"/>
                <w:szCs w:val="24"/>
              </w:rPr>
              <w:t>Contractor Cost</w:t>
            </w:r>
          </w:p>
        </w:tc>
        <w:tc>
          <w:tcPr>
            <w:tcW w:w="1251" w:type="dxa"/>
            <w:shd w:val="clear" w:color="auto" w:fill="BFBFBF"/>
          </w:tcPr>
          <w:p w:rsidRPr="007D2925" w:rsidR="007D2925" w:rsidP="007D2925" w:rsidRDefault="007D2925" w14:paraId="22D38EEA" w14:textId="77777777">
            <w:pPr>
              <w:spacing w:after="0" w:line="240" w:lineRule="auto"/>
              <w:rPr>
                <w:rFonts w:eastAsia="Calibri" w:cstheme="minorHAnsi"/>
                <w:sz w:val="24"/>
                <w:szCs w:val="24"/>
              </w:rPr>
            </w:pPr>
          </w:p>
        </w:tc>
        <w:tc>
          <w:tcPr>
            <w:tcW w:w="1128" w:type="dxa"/>
            <w:shd w:val="clear" w:color="auto" w:fill="BFBFBF" w:themeFill="background1" w:themeFillShade="BF"/>
            <w:noWrap/>
            <w:tcMar>
              <w:top w:w="0" w:type="dxa"/>
              <w:left w:w="108" w:type="dxa"/>
              <w:bottom w:w="0" w:type="dxa"/>
              <w:right w:w="108" w:type="dxa"/>
            </w:tcMar>
            <w:vAlign w:val="bottom"/>
          </w:tcPr>
          <w:p w:rsidRPr="007D2925" w:rsidR="007D2925" w:rsidP="007D2925" w:rsidRDefault="007D2925" w14:paraId="291E75FC" w14:textId="77777777">
            <w:pPr>
              <w:spacing w:after="0" w:line="240" w:lineRule="auto"/>
              <w:rPr>
                <w:rFonts w:eastAsia="Calibri" w:cstheme="minorHAnsi"/>
                <w:sz w:val="24"/>
                <w:szCs w:val="24"/>
              </w:rPr>
            </w:pPr>
          </w:p>
        </w:tc>
        <w:tc>
          <w:tcPr>
            <w:tcW w:w="1311" w:type="dxa"/>
            <w:shd w:val="clear" w:color="auto" w:fill="BFBFBF" w:themeFill="background1" w:themeFillShade="BF"/>
            <w:noWrap/>
            <w:tcMar>
              <w:top w:w="0" w:type="dxa"/>
              <w:left w:w="108" w:type="dxa"/>
              <w:bottom w:w="0" w:type="dxa"/>
              <w:right w:w="108" w:type="dxa"/>
            </w:tcMar>
            <w:vAlign w:val="bottom"/>
          </w:tcPr>
          <w:p w:rsidRPr="007D2925" w:rsidR="007D2925" w:rsidP="007D2925" w:rsidRDefault="007D2925" w14:paraId="10A10942" w14:textId="77777777">
            <w:pPr>
              <w:spacing w:after="0" w:line="240" w:lineRule="auto"/>
              <w:rPr>
                <w:rFonts w:eastAsia="Calibri" w:cstheme="minorHAnsi"/>
                <w:sz w:val="24"/>
                <w:szCs w:val="24"/>
              </w:rPr>
            </w:pPr>
          </w:p>
        </w:tc>
        <w:tc>
          <w:tcPr>
            <w:tcW w:w="2070" w:type="dxa"/>
            <w:shd w:val="clear" w:color="auto" w:fill="BFBFBF" w:themeFill="background1" w:themeFillShade="BF"/>
          </w:tcPr>
          <w:p w:rsidRPr="007D2925" w:rsidR="007D2925" w:rsidP="007D2925" w:rsidRDefault="007D2925" w14:paraId="0CECF21C" w14:textId="77777777">
            <w:pPr>
              <w:spacing w:after="0" w:line="240" w:lineRule="auto"/>
              <w:rPr>
                <w:rFonts w:eastAsia="Times New Roman" w:cstheme="minorHAnsi"/>
                <w:sz w:val="24"/>
                <w:szCs w:val="24"/>
              </w:rPr>
            </w:pPr>
          </w:p>
        </w:tc>
        <w:tc>
          <w:tcPr>
            <w:tcW w:w="2082" w:type="dxa"/>
          </w:tcPr>
          <w:p w:rsidRPr="007D2925" w:rsidR="007D2925" w:rsidP="007D2925" w:rsidRDefault="00BA6ED1" w14:paraId="7910DA6F" w14:textId="784D7578">
            <w:pPr>
              <w:spacing w:after="0" w:line="240" w:lineRule="auto"/>
              <w:jc w:val="center"/>
              <w:rPr>
                <w:rFonts w:eastAsia="Times New Roman" w:cstheme="minorHAnsi"/>
                <w:sz w:val="24"/>
                <w:szCs w:val="24"/>
              </w:rPr>
            </w:pPr>
            <w:r>
              <w:rPr>
                <w:rFonts w:eastAsia="Times New Roman" w:cstheme="minorHAnsi"/>
                <w:sz w:val="24"/>
                <w:szCs w:val="24"/>
              </w:rPr>
              <w:t>$5,000</w:t>
            </w:r>
            <w:r w:rsidR="006B2F46">
              <w:rPr>
                <w:rFonts w:eastAsia="Times New Roman" w:cstheme="minorHAnsi"/>
                <w:sz w:val="24"/>
                <w:szCs w:val="24"/>
              </w:rPr>
              <w:t>.00</w:t>
            </w:r>
          </w:p>
        </w:tc>
      </w:tr>
      <w:tr w:rsidRPr="00BA6ED1" w:rsidR="007D2925" w:rsidTr="007C5786" w14:paraId="4333DDC2" w14:textId="77777777">
        <w:trPr>
          <w:trHeight w:val="254"/>
          <w:jc w:val="center"/>
        </w:trPr>
        <w:tc>
          <w:tcPr>
            <w:tcW w:w="2155" w:type="dxa"/>
            <w:noWrap/>
            <w:tcMar>
              <w:top w:w="0" w:type="dxa"/>
              <w:left w:w="108" w:type="dxa"/>
              <w:bottom w:w="0" w:type="dxa"/>
              <w:right w:w="108" w:type="dxa"/>
            </w:tcMar>
            <w:vAlign w:val="bottom"/>
          </w:tcPr>
          <w:p w:rsidRPr="007D2925" w:rsidR="007D2925" w:rsidP="007D2925" w:rsidRDefault="007D2925" w14:paraId="7FCAB49D" w14:textId="77777777">
            <w:pPr>
              <w:spacing w:after="0" w:line="240" w:lineRule="auto"/>
              <w:rPr>
                <w:rFonts w:eastAsia="Calibri" w:cstheme="minorHAnsi"/>
                <w:sz w:val="24"/>
                <w:szCs w:val="24"/>
              </w:rPr>
            </w:pPr>
            <w:r w:rsidRPr="007D2925">
              <w:rPr>
                <w:rFonts w:eastAsia="Calibri" w:cstheme="minorHAnsi"/>
                <w:sz w:val="24"/>
                <w:szCs w:val="24"/>
              </w:rPr>
              <w:t xml:space="preserve">Travel </w:t>
            </w:r>
          </w:p>
        </w:tc>
        <w:tc>
          <w:tcPr>
            <w:tcW w:w="1251" w:type="dxa"/>
            <w:shd w:val="clear" w:color="auto" w:fill="BFBFBF"/>
          </w:tcPr>
          <w:p w:rsidRPr="007D2925" w:rsidR="007D2925" w:rsidP="007D2925" w:rsidRDefault="007D2925" w14:paraId="1E7FD6C9" w14:textId="77777777">
            <w:pPr>
              <w:spacing w:after="0" w:line="240" w:lineRule="auto"/>
              <w:rPr>
                <w:rFonts w:eastAsia="Calibri" w:cstheme="minorHAnsi"/>
                <w:sz w:val="24"/>
                <w:szCs w:val="24"/>
              </w:rPr>
            </w:pPr>
          </w:p>
        </w:tc>
        <w:tc>
          <w:tcPr>
            <w:tcW w:w="1128" w:type="dxa"/>
            <w:shd w:val="clear" w:color="auto" w:fill="BFBFBF"/>
            <w:noWrap/>
            <w:tcMar>
              <w:top w:w="0" w:type="dxa"/>
              <w:left w:w="108" w:type="dxa"/>
              <w:bottom w:w="0" w:type="dxa"/>
              <w:right w:w="108" w:type="dxa"/>
            </w:tcMar>
            <w:vAlign w:val="bottom"/>
          </w:tcPr>
          <w:p w:rsidRPr="007D2925" w:rsidR="007D2925" w:rsidP="007D2925" w:rsidRDefault="007D2925" w14:paraId="295F984A" w14:textId="77777777">
            <w:pPr>
              <w:spacing w:after="0" w:line="240" w:lineRule="auto"/>
              <w:rPr>
                <w:rFonts w:eastAsia="Calibri" w:cstheme="minorHAnsi"/>
                <w:sz w:val="24"/>
                <w:szCs w:val="24"/>
              </w:rPr>
            </w:pPr>
          </w:p>
        </w:tc>
        <w:tc>
          <w:tcPr>
            <w:tcW w:w="1311" w:type="dxa"/>
            <w:shd w:val="clear" w:color="auto" w:fill="BFBFBF"/>
            <w:noWrap/>
            <w:tcMar>
              <w:top w:w="0" w:type="dxa"/>
              <w:left w:w="108" w:type="dxa"/>
              <w:bottom w:w="0" w:type="dxa"/>
              <w:right w:w="108" w:type="dxa"/>
            </w:tcMar>
            <w:vAlign w:val="bottom"/>
          </w:tcPr>
          <w:p w:rsidRPr="007D2925" w:rsidR="007D2925" w:rsidP="007D2925" w:rsidRDefault="007D2925" w14:paraId="53621C5C" w14:textId="77777777">
            <w:pPr>
              <w:spacing w:after="0" w:line="240" w:lineRule="auto"/>
              <w:rPr>
                <w:rFonts w:eastAsia="Calibri" w:cstheme="minorHAnsi"/>
                <w:sz w:val="24"/>
                <w:szCs w:val="24"/>
              </w:rPr>
            </w:pPr>
          </w:p>
        </w:tc>
        <w:tc>
          <w:tcPr>
            <w:tcW w:w="2070" w:type="dxa"/>
            <w:shd w:val="clear" w:color="auto" w:fill="BFBFBF"/>
          </w:tcPr>
          <w:p w:rsidRPr="007D2925" w:rsidR="007D2925" w:rsidP="007D2925" w:rsidRDefault="007D2925" w14:paraId="75E6C837" w14:textId="77777777">
            <w:pPr>
              <w:spacing w:after="0" w:line="240" w:lineRule="auto"/>
              <w:rPr>
                <w:rFonts w:eastAsia="Times New Roman" w:cstheme="minorHAnsi"/>
                <w:sz w:val="24"/>
                <w:szCs w:val="24"/>
              </w:rPr>
            </w:pPr>
          </w:p>
        </w:tc>
        <w:tc>
          <w:tcPr>
            <w:tcW w:w="2082" w:type="dxa"/>
          </w:tcPr>
          <w:p w:rsidRPr="007D2925" w:rsidR="007D2925" w:rsidP="007D2925" w:rsidRDefault="007D2925" w14:paraId="319BDB2B" w14:textId="77777777">
            <w:pPr>
              <w:spacing w:after="0" w:line="240" w:lineRule="auto"/>
              <w:jc w:val="center"/>
              <w:rPr>
                <w:rFonts w:eastAsia="Times New Roman" w:cstheme="minorHAnsi"/>
                <w:sz w:val="24"/>
                <w:szCs w:val="24"/>
              </w:rPr>
            </w:pPr>
            <w:r w:rsidRPr="007D2925">
              <w:rPr>
                <w:rFonts w:eastAsia="Times New Roman" w:cstheme="minorHAnsi"/>
                <w:sz w:val="24"/>
                <w:szCs w:val="24"/>
              </w:rPr>
              <w:t xml:space="preserve">$0 </w:t>
            </w:r>
          </w:p>
        </w:tc>
      </w:tr>
      <w:tr w:rsidRPr="00BA6ED1" w:rsidR="007D2925" w:rsidTr="007C5786" w14:paraId="654D3BB3" w14:textId="77777777">
        <w:trPr>
          <w:trHeight w:val="254"/>
          <w:jc w:val="center"/>
        </w:trPr>
        <w:tc>
          <w:tcPr>
            <w:tcW w:w="2155" w:type="dxa"/>
            <w:noWrap/>
            <w:tcMar>
              <w:top w:w="0" w:type="dxa"/>
              <w:left w:w="108" w:type="dxa"/>
              <w:bottom w:w="0" w:type="dxa"/>
              <w:right w:w="108" w:type="dxa"/>
            </w:tcMar>
            <w:vAlign w:val="bottom"/>
          </w:tcPr>
          <w:p w:rsidRPr="007D2925" w:rsidR="007D2925" w:rsidP="007D2925" w:rsidRDefault="007D2925" w14:paraId="37CF2CD9" w14:textId="77777777">
            <w:pPr>
              <w:spacing w:after="0" w:line="240" w:lineRule="auto"/>
              <w:rPr>
                <w:rFonts w:eastAsia="Calibri" w:cstheme="minorHAnsi"/>
                <w:color w:val="1F497D"/>
                <w:sz w:val="24"/>
                <w:szCs w:val="24"/>
                <w:highlight w:val="yellow"/>
              </w:rPr>
            </w:pPr>
            <w:r w:rsidRPr="007D2925">
              <w:rPr>
                <w:rFonts w:eastAsia="Calibri" w:cstheme="minorHAnsi"/>
                <w:color w:val="000000"/>
                <w:sz w:val="24"/>
                <w:szCs w:val="24"/>
              </w:rPr>
              <w:t>Other Cost</w:t>
            </w:r>
          </w:p>
        </w:tc>
        <w:tc>
          <w:tcPr>
            <w:tcW w:w="1251" w:type="dxa"/>
            <w:shd w:val="clear" w:color="auto" w:fill="BFBFBF"/>
          </w:tcPr>
          <w:p w:rsidRPr="007D2925" w:rsidR="007D2925" w:rsidP="007D2925" w:rsidRDefault="007D2925" w14:paraId="21F864B7" w14:textId="77777777">
            <w:pPr>
              <w:spacing w:after="0" w:line="240" w:lineRule="auto"/>
              <w:rPr>
                <w:rFonts w:eastAsia="Calibri" w:cstheme="minorHAnsi"/>
                <w:color w:val="000000"/>
                <w:sz w:val="24"/>
                <w:szCs w:val="24"/>
              </w:rPr>
            </w:pPr>
          </w:p>
        </w:tc>
        <w:tc>
          <w:tcPr>
            <w:tcW w:w="1128" w:type="dxa"/>
            <w:shd w:val="clear" w:color="auto" w:fill="BFBFBF"/>
            <w:noWrap/>
            <w:tcMar>
              <w:top w:w="0" w:type="dxa"/>
              <w:left w:w="108" w:type="dxa"/>
              <w:bottom w:w="0" w:type="dxa"/>
              <w:right w:w="108" w:type="dxa"/>
            </w:tcMar>
            <w:vAlign w:val="bottom"/>
          </w:tcPr>
          <w:p w:rsidRPr="007D2925" w:rsidR="007D2925" w:rsidP="007D2925" w:rsidRDefault="007D2925" w14:paraId="513C78D3" w14:textId="77777777">
            <w:pPr>
              <w:spacing w:after="0" w:line="240" w:lineRule="auto"/>
              <w:rPr>
                <w:rFonts w:eastAsia="Calibri" w:cstheme="minorHAnsi"/>
                <w:sz w:val="24"/>
                <w:szCs w:val="24"/>
              </w:rPr>
            </w:pPr>
          </w:p>
        </w:tc>
        <w:tc>
          <w:tcPr>
            <w:tcW w:w="1311" w:type="dxa"/>
            <w:shd w:val="clear" w:color="auto" w:fill="BFBFBF"/>
            <w:noWrap/>
            <w:tcMar>
              <w:top w:w="0" w:type="dxa"/>
              <w:left w:w="108" w:type="dxa"/>
              <w:bottom w:w="0" w:type="dxa"/>
              <w:right w:w="108" w:type="dxa"/>
            </w:tcMar>
            <w:vAlign w:val="bottom"/>
          </w:tcPr>
          <w:p w:rsidRPr="007D2925" w:rsidR="007D2925" w:rsidP="007D2925" w:rsidRDefault="007D2925" w14:paraId="17F42746" w14:textId="77777777">
            <w:pPr>
              <w:spacing w:after="0" w:line="240" w:lineRule="auto"/>
              <w:rPr>
                <w:rFonts w:eastAsia="Calibri" w:cstheme="minorHAnsi"/>
                <w:sz w:val="24"/>
                <w:szCs w:val="24"/>
              </w:rPr>
            </w:pPr>
          </w:p>
        </w:tc>
        <w:tc>
          <w:tcPr>
            <w:tcW w:w="2070" w:type="dxa"/>
            <w:shd w:val="clear" w:color="auto" w:fill="BFBFBF"/>
          </w:tcPr>
          <w:p w:rsidRPr="007D2925" w:rsidR="007D2925" w:rsidP="007D2925" w:rsidRDefault="007D2925" w14:paraId="0C935C22" w14:textId="77777777">
            <w:pPr>
              <w:spacing w:after="0" w:line="240" w:lineRule="auto"/>
              <w:rPr>
                <w:rFonts w:eastAsia="Calibri" w:cstheme="minorHAnsi"/>
                <w:sz w:val="24"/>
                <w:szCs w:val="24"/>
              </w:rPr>
            </w:pPr>
          </w:p>
        </w:tc>
        <w:tc>
          <w:tcPr>
            <w:tcW w:w="2082" w:type="dxa"/>
          </w:tcPr>
          <w:p w:rsidRPr="007D2925" w:rsidR="007D2925" w:rsidP="007D2925" w:rsidRDefault="007D2925" w14:paraId="0C424492" w14:textId="77777777">
            <w:pPr>
              <w:spacing w:after="0" w:line="240" w:lineRule="auto"/>
              <w:jc w:val="center"/>
              <w:rPr>
                <w:rFonts w:eastAsia="Calibri" w:cstheme="minorHAnsi"/>
                <w:sz w:val="24"/>
                <w:szCs w:val="24"/>
              </w:rPr>
            </w:pPr>
            <w:r w:rsidRPr="007D2925">
              <w:rPr>
                <w:rFonts w:eastAsia="Calibri" w:cstheme="minorHAnsi"/>
                <w:sz w:val="24"/>
                <w:szCs w:val="24"/>
              </w:rPr>
              <w:t xml:space="preserve"> $0</w:t>
            </w:r>
          </w:p>
        </w:tc>
      </w:tr>
      <w:tr w:rsidRPr="007D2925" w:rsidR="007D2925" w:rsidTr="007C5786" w14:paraId="08A25558" w14:textId="77777777">
        <w:trPr>
          <w:trHeight w:val="254"/>
          <w:jc w:val="center"/>
        </w:trPr>
        <w:tc>
          <w:tcPr>
            <w:tcW w:w="2155" w:type="dxa"/>
            <w:noWrap/>
            <w:tcMar>
              <w:top w:w="0" w:type="dxa"/>
              <w:left w:w="108" w:type="dxa"/>
              <w:bottom w:w="0" w:type="dxa"/>
              <w:right w:w="108" w:type="dxa"/>
            </w:tcMar>
            <w:vAlign w:val="bottom"/>
            <w:hideMark/>
          </w:tcPr>
          <w:p w:rsidRPr="007D2925" w:rsidR="007D2925" w:rsidP="007D2925" w:rsidRDefault="007D2925" w14:paraId="4E9867A8" w14:textId="77777777">
            <w:pPr>
              <w:spacing w:after="0" w:line="240" w:lineRule="auto"/>
              <w:rPr>
                <w:rFonts w:eastAsia="Times New Roman" w:cstheme="minorHAnsi"/>
                <w:b/>
                <w:sz w:val="24"/>
                <w:szCs w:val="24"/>
              </w:rPr>
            </w:pPr>
            <w:r w:rsidRPr="007D2925">
              <w:rPr>
                <w:rFonts w:eastAsia="Times New Roman" w:cstheme="minorHAnsi"/>
                <w:b/>
                <w:sz w:val="24"/>
                <w:szCs w:val="24"/>
              </w:rPr>
              <w:t>Total</w:t>
            </w:r>
          </w:p>
        </w:tc>
        <w:tc>
          <w:tcPr>
            <w:tcW w:w="1251" w:type="dxa"/>
          </w:tcPr>
          <w:p w:rsidRPr="007D2925" w:rsidR="007D2925" w:rsidP="007D2925" w:rsidRDefault="007D2925" w14:paraId="47CD81FB" w14:textId="77777777">
            <w:pPr>
              <w:spacing w:after="0" w:line="240" w:lineRule="auto"/>
              <w:rPr>
                <w:rFonts w:eastAsia="Calibri" w:cstheme="minorHAnsi"/>
                <w:sz w:val="24"/>
                <w:szCs w:val="24"/>
              </w:rPr>
            </w:pPr>
          </w:p>
        </w:tc>
        <w:tc>
          <w:tcPr>
            <w:tcW w:w="1128" w:type="dxa"/>
            <w:noWrap/>
            <w:tcMar>
              <w:top w:w="0" w:type="dxa"/>
              <w:left w:w="108" w:type="dxa"/>
              <w:bottom w:w="0" w:type="dxa"/>
              <w:right w:w="108" w:type="dxa"/>
            </w:tcMar>
            <w:vAlign w:val="bottom"/>
            <w:hideMark/>
          </w:tcPr>
          <w:p w:rsidRPr="007D2925" w:rsidR="007D2925" w:rsidP="007D2925" w:rsidRDefault="007D2925" w14:paraId="32004DE1" w14:textId="77777777">
            <w:pPr>
              <w:spacing w:after="0" w:line="240" w:lineRule="auto"/>
              <w:rPr>
                <w:rFonts w:eastAsia="Times New Roman" w:cstheme="minorHAnsi"/>
                <w:sz w:val="24"/>
                <w:szCs w:val="24"/>
              </w:rPr>
            </w:pPr>
          </w:p>
        </w:tc>
        <w:tc>
          <w:tcPr>
            <w:tcW w:w="1311" w:type="dxa"/>
            <w:noWrap/>
            <w:tcMar>
              <w:top w:w="0" w:type="dxa"/>
              <w:left w:w="108" w:type="dxa"/>
              <w:bottom w:w="0" w:type="dxa"/>
              <w:right w:w="108" w:type="dxa"/>
            </w:tcMar>
            <w:vAlign w:val="bottom"/>
            <w:hideMark/>
          </w:tcPr>
          <w:p w:rsidRPr="007D2925" w:rsidR="007D2925" w:rsidP="007D2925" w:rsidRDefault="007D2925" w14:paraId="50B88675" w14:textId="77777777">
            <w:pPr>
              <w:spacing w:after="0" w:line="240" w:lineRule="auto"/>
              <w:rPr>
                <w:rFonts w:eastAsia="Times New Roman" w:cstheme="minorHAnsi"/>
                <w:sz w:val="24"/>
                <w:szCs w:val="24"/>
              </w:rPr>
            </w:pPr>
          </w:p>
        </w:tc>
        <w:tc>
          <w:tcPr>
            <w:tcW w:w="2070" w:type="dxa"/>
          </w:tcPr>
          <w:p w:rsidRPr="007D2925" w:rsidR="007D2925" w:rsidP="007D2925" w:rsidRDefault="007D2925" w14:paraId="520B088D" w14:textId="77777777">
            <w:pPr>
              <w:spacing w:after="0" w:line="240" w:lineRule="auto"/>
              <w:rPr>
                <w:rFonts w:eastAsia="Times New Roman" w:cstheme="minorHAnsi"/>
                <w:sz w:val="24"/>
                <w:szCs w:val="24"/>
              </w:rPr>
            </w:pPr>
          </w:p>
        </w:tc>
        <w:tc>
          <w:tcPr>
            <w:tcW w:w="2082" w:type="dxa"/>
          </w:tcPr>
          <w:p w:rsidRPr="007D2925" w:rsidR="007D2925" w:rsidP="007D2925" w:rsidRDefault="007D2925" w14:paraId="0C53DF18" w14:textId="24799334">
            <w:pPr>
              <w:spacing w:after="0" w:line="240" w:lineRule="auto"/>
              <w:jc w:val="center"/>
              <w:rPr>
                <w:rFonts w:eastAsia="Times New Roman" w:cstheme="minorHAnsi"/>
                <w:b/>
                <w:sz w:val="24"/>
                <w:szCs w:val="24"/>
              </w:rPr>
            </w:pPr>
            <w:r w:rsidRPr="007D2925">
              <w:rPr>
                <w:rFonts w:eastAsia="Times New Roman" w:cstheme="minorHAnsi"/>
                <w:b/>
                <w:sz w:val="24"/>
                <w:szCs w:val="24"/>
              </w:rPr>
              <w:t xml:space="preserve"> $</w:t>
            </w:r>
            <w:r w:rsidR="005204AD">
              <w:rPr>
                <w:rFonts w:eastAsia="Times New Roman" w:cstheme="minorHAnsi"/>
                <w:b/>
                <w:sz w:val="24"/>
                <w:szCs w:val="24"/>
              </w:rPr>
              <w:t>7,</w:t>
            </w:r>
            <w:r w:rsidR="005971A4">
              <w:rPr>
                <w:rFonts w:eastAsia="Times New Roman" w:cstheme="minorHAnsi"/>
                <w:b/>
                <w:sz w:val="24"/>
                <w:szCs w:val="24"/>
              </w:rPr>
              <w:t>463.96</w:t>
            </w:r>
          </w:p>
        </w:tc>
      </w:tr>
    </w:tbl>
    <w:p w:rsidRPr="003B6D3D" w:rsidR="00BA6ED1" w:rsidP="007C5786" w:rsidRDefault="00BA6ED1" w14:paraId="09F8E6D1" w14:textId="2D908229">
      <w:pPr>
        <w:spacing w:after="20"/>
        <w:rPr>
          <w:rFonts w:eastAsiaTheme="minorEastAsia"/>
          <w:color w:val="002060"/>
        </w:rPr>
      </w:pPr>
      <w:r w:rsidRPr="003B6D3D">
        <w:t>*</w:t>
      </w:r>
      <w:r>
        <w:t>*</w:t>
      </w:r>
      <w:r w:rsidRPr="003B6D3D">
        <w:t xml:space="preserve">The Salary in the table above is cited from: </w:t>
      </w:r>
      <w:hyperlink w:history="1" r:id="rId9">
        <w:r w:rsidRPr="00276E16" w:rsidR="00276E16">
          <w:rPr>
            <w:rStyle w:val="Hyperlink"/>
            <w:rFonts w:eastAsiaTheme="minorEastAsia"/>
          </w:rPr>
          <w:t>https://www.opm.gov/policy-data-oversight/pay-leave/salaries-wages/salary-tables/20Tables/html/DCB.aspx</w:t>
        </w:r>
      </w:hyperlink>
      <w:r w:rsidRPr="003B6D3D">
        <w:rPr>
          <w:rFonts w:eastAsiaTheme="minorEastAsia"/>
          <w:color w:val="0000FF"/>
          <w:u w:val="single"/>
        </w:rPr>
        <w:t>.</w:t>
      </w:r>
    </w:p>
    <w:p w:rsidRPr="00005DAE" w:rsidR="00957B52" w:rsidP="00D62559" w:rsidRDefault="00957B52" w14:paraId="35A4EF10" w14:textId="77777777">
      <w:pPr>
        <w:spacing w:after="20"/>
        <w:rPr>
          <w:sz w:val="24"/>
          <w:szCs w:val="24"/>
        </w:rPr>
      </w:pPr>
    </w:p>
    <w:p w:rsidRPr="00DA7607" w:rsidR="00713CF8" w:rsidP="008716F6" w:rsidRDefault="00713CF8" w14:paraId="32946DA5" w14:textId="77777777">
      <w:pPr>
        <w:spacing w:after="20"/>
        <w:rPr>
          <w:b/>
          <w:sz w:val="24"/>
          <w:szCs w:val="24"/>
        </w:rPr>
      </w:pPr>
      <w:r w:rsidRPr="00DA7607">
        <w:rPr>
          <w:b/>
          <w:sz w:val="24"/>
          <w:szCs w:val="24"/>
        </w:rPr>
        <w:t>A.15 Explanation for Program Changes or Adjustments</w:t>
      </w:r>
    </w:p>
    <w:p w:rsidRPr="00957B52" w:rsidR="00713CF8" w:rsidP="008716F6" w:rsidRDefault="0081624D" w14:paraId="033F213F" w14:textId="5C04FF09">
      <w:pPr>
        <w:spacing w:after="20"/>
        <w:rPr>
          <w:sz w:val="28"/>
          <w:szCs w:val="28"/>
        </w:rPr>
      </w:pPr>
      <w:r>
        <w:rPr>
          <w:sz w:val="24"/>
          <w:szCs w:val="24"/>
        </w:rPr>
        <w:t>N/A</w:t>
      </w:r>
    </w:p>
    <w:p w:rsidRPr="00005DAE" w:rsidR="00957B52" w:rsidP="008716F6" w:rsidRDefault="00957B52" w14:paraId="1E6D5E22" w14:textId="77777777">
      <w:pPr>
        <w:spacing w:after="20"/>
        <w:rPr>
          <w:b/>
          <w:sz w:val="24"/>
          <w:szCs w:val="24"/>
        </w:rPr>
      </w:pPr>
    </w:p>
    <w:p w:rsidRPr="00005DAE" w:rsidR="00005DAE" w:rsidP="00005DAE" w:rsidRDefault="00713CF8" w14:paraId="12906E16" w14:textId="71E7E3D7">
      <w:pPr>
        <w:spacing w:after="20"/>
        <w:jc w:val="both"/>
        <w:rPr>
          <w:b/>
          <w:sz w:val="24"/>
          <w:szCs w:val="24"/>
        </w:rPr>
      </w:pPr>
      <w:r w:rsidRPr="00005DAE">
        <w:rPr>
          <w:b/>
          <w:sz w:val="24"/>
          <w:szCs w:val="24"/>
        </w:rPr>
        <w:t>A.16 Plans for Tabulation and Publication and Project Time Schedule</w:t>
      </w:r>
    </w:p>
    <w:p w:rsidRPr="00005DAE" w:rsidR="009052D1" w:rsidP="00005DAE" w:rsidRDefault="009052D1" w14:paraId="0A19DFBD" w14:textId="0BF3A493">
      <w:pPr>
        <w:autoSpaceDE w:val="0"/>
        <w:autoSpaceDN w:val="0"/>
        <w:adjustRightInd w:val="0"/>
        <w:spacing w:after="0"/>
        <w:contextualSpacing/>
        <w:outlineLvl w:val="0"/>
        <w:rPr>
          <w:sz w:val="24"/>
          <w:szCs w:val="24"/>
        </w:rPr>
      </w:pPr>
      <w:bookmarkStart w:name="_Hlk29563943" w:id="3"/>
      <w:r w:rsidRPr="00005DAE">
        <w:rPr>
          <w:sz w:val="24"/>
          <w:szCs w:val="24"/>
        </w:rPr>
        <w:t>Applications will be used to determine the eligibility of applicants for the CSBC</w:t>
      </w:r>
      <w:r w:rsidR="007514FD">
        <w:rPr>
          <w:sz w:val="24"/>
          <w:szCs w:val="24"/>
        </w:rPr>
        <w:t>/</w:t>
      </w:r>
      <w:r w:rsidRPr="00005DAE">
        <w:rPr>
          <w:sz w:val="24"/>
          <w:szCs w:val="24"/>
        </w:rPr>
        <w:t>PS-ON SURP.  The data from the application system may also be used for program assessments, reviews, and reports to NCI leadership.  It is anticipated that the data may be analyzed to better understand the training needs of undergraduate students.</w:t>
      </w:r>
    </w:p>
    <w:bookmarkEnd w:id="3"/>
    <w:p w:rsidRPr="00005DAE" w:rsidR="009052D1" w:rsidP="009052D1" w:rsidRDefault="009052D1" w14:paraId="1DA91239" w14:textId="3A27D7BF">
      <w:pPr>
        <w:autoSpaceDE w:val="0"/>
        <w:autoSpaceDN w:val="0"/>
        <w:adjustRightInd w:val="0"/>
        <w:spacing w:line="360" w:lineRule="auto"/>
        <w:jc w:val="center"/>
        <w:outlineLvl w:val="0"/>
        <w:rPr>
          <w:b/>
          <w:sz w:val="24"/>
          <w:szCs w:val="24"/>
        </w:rPr>
      </w:pPr>
      <w:r w:rsidRPr="00005DAE">
        <w:rPr>
          <w:b/>
          <w:sz w:val="24"/>
          <w:szCs w:val="24"/>
        </w:rPr>
        <w:t>Table A.16.1. Project Time Schedule</w:t>
      </w:r>
    </w:p>
    <w:tbl>
      <w:tblPr>
        <w:tblW w:w="4957"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6002"/>
        <w:gridCol w:w="3981"/>
      </w:tblGrid>
      <w:tr w:rsidRPr="009477F2" w:rsidR="009052D1" w:rsidTr="00B920B6" w14:paraId="1FFE404B" w14:textId="77777777">
        <w:trPr>
          <w:cantSplit/>
          <w:trHeight w:val="300"/>
        </w:trPr>
        <w:tc>
          <w:tcPr>
            <w:tcW w:w="3006" w:type="pct"/>
            <w:shd w:val="clear" w:color="auto" w:fill="auto"/>
            <w:vAlign w:val="bottom"/>
          </w:tcPr>
          <w:p w:rsidRPr="00005DAE" w:rsidR="009052D1" w:rsidP="00B920B6" w:rsidRDefault="009052D1" w14:paraId="26423795" w14:textId="77777777">
            <w:pPr>
              <w:spacing w:line="360" w:lineRule="auto"/>
              <w:jc w:val="center"/>
              <w:rPr>
                <w:b/>
                <w:bCs/>
                <w:sz w:val="24"/>
                <w:szCs w:val="24"/>
              </w:rPr>
            </w:pPr>
            <w:r w:rsidRPr="00005DAE">
              <w:rPr>
                <w:b/>
                <w:bCs/>
                <w:sz w:val="24"/>
                <w:szCs w:val="24"/>
              </w:rPr>
              <w:t>Activity</w:t>
            </w:r>
          </w:p>
        </w:tc>
        <w:tc>
          <w:tcPr>
            <w:tcW w:w="1994" w:type="pct"/>
            <w:vAlign w:val="center"/>
          </w:tcPr>
          <w:p w:rsidRPr="00005DAE" w:rsidR="009052D1" w:rsidP="00B920B6" w:rsidRDefault="009052D1" w14:paraId="555B05E7" w14:textId="77777777">
            <w:pPr>
              <w:spacing w:line="360" w:lineRule="auto"/>
              <w:jc w:val="center"/>
              <w:rPr>
                <w:b/>
                <w:bCs/>
                <w:sz w:val="24"/>
                <w:szCs w:val="24"/>
              </w:rPr>
            </w:pPr>
            <w:r w:rsidRPr="00005DAE">
              <w:rPr>
                <w:b/>
                <w:bCs/>
                <w:sz w:val="24"/>
                <w:szCs w:val="24"/>
              </w:rPr>
              <w:t>Months after OMB Approval</w:t>
            </w:r>
          </w:p>
        </w:tc>
      </w:tr>
      <w:tr w:rsidRPr="009477F2" w:rsidR="009052D1" w:rsidTr="00B920B6" w14:paraId="3A32D07A" w14:textId="77777777">
        <w:trPr>
          <w:cantSplit/>
          <w:trHeight w:val="300"/>
        </w:trPr>
        <w:tc>
          <w:tcPr>
            <w:tcW w:w="3006" w:type="pct"/>
            <w:shd w:val="clear" w:color="auto" w:fill="auto"/>
            <w:vAlign w:val="bottom"/>
          </w:tcPr>
          <w:p w:rsidRPr="00005DAE" w:rsidR="009052D1" w:rsidP="00B920B6" w:rsidRDefault="009052D1" w14:paraId="77F53AC2" w14:textId="280A0CE8">
            <w:pPr>
              <w:spacing w:line="360" w:lineRule="auto"/>
              <w:rPr>
                <w:sz w:val="24"/>
                <w:szCs w:val="24"/>
              </w:rPr>
            </w:pPr>
            <w:r w:rsidRPr="00005DAE">
              <w:rPr>
                <w:sz w:val="24"/>
                <w:szCs w:val="24"/>
              </w:rPr>
              <w:t>Application system accepting information</w:t>
            </w:r>
          </w:p>
        </w:tc>
        <w:tc>
          <w:tcPr>
            <w:tcW w:w="1994" w:type="pct"/>
            <w:vAlign w:val="center"/>
          </w:tcPr>
          <w:p w:rsidRPr="00005DAE" w:rsidR="009052D1" w:rsidP="00B920B6" w:rsidRDefault="009052D1" w14:paraId="15DC298D" w14:textId="39563F08">
            <w:pPr>
              <w:spacing w:line="360" w:lineRule="auto"/>
              <w:jc w:val="center"/>
              <w:rPr>
                <w:sz w:val="24"/>
                <w:szCs w:val="24"/>
              </w:rPr>
            </w:pPr>
            <w:r w:rsidRPr="00005DAE">
              <w:rPr>
                <w:sz w:val="24"/>
                <w:szCs w:val="24"/>
              </w:rPr>
              <w:t xml:space="preserve">Months </w:t>
            </w:r>
            <w:r w:rsidR="00005DAE">
              <w:rPr>
                <w:sz w:val="24"/>
                <w:szCs w:val="24"/>
              </w:rPr>
              <w:t>0 - 3</w:t>
            </w:r>
          </w:p>
        </w:tc>
      </w:tr>
      <w:tr w:rsidRPr="009477F2" w:rsidR="009052D1" w:rsidTr="00B920B6" w14:paraId="7766F1BC" w14:textId="77777777">
        <w:trPr>
          <w:cantSplit/>
          <w:trHeight w:val="300"/>
        </w:trPr>
        <w:tc>
          <w:tcPr>
            <w:tcW w:w="3006" w:type="pct"/>
            <w:shd w:val="clear" w:color="auto" w:fill="auto"/>
            <w:vAlign w:val="bottom"/>
          </w:tcPr>
          <w:p w:rsidRPr="00005DAE" w:rsidR="009052D1" w:rsidP="00B920B6" w:rsidRDefault="009052D1" w14:paraId="4A74B262" w14:textId="77777777">
            <w:pPr>
              <w:spacing w:line="360" w:lineRule="auto"/>
              <w:rPr>
                <w:sz w:val="24"/>
                <w:szCs w:val="24"/>
              </w:rPr>
            </w:pPr>
            <w:r w:rsidRPr="00005DAE">
              <w:rPr>
                <w:sz w:val="24"/>
                <w:szCs w:val="24"/>
              </w:rPr>
              <w:t>Analysis of information received</w:t>
            </w:r>
          </w:p>
        </w:tc>
        <w:tc>
          <w:tcPr>
            <w:tcW w:w="1994" w:type="pct"/>
            <w:vAlign w:val="center"/>
          </w:tcPr>
          <w:p w:rsidRPr="00005DAE" w:rsidR="009052D1" w:rsidP="00B920B6" w:rsidRDefault="009052D1" w14:paraId="79EC402D" w14:textId="1E7BA259">
            <w:pPr>
              <w:spacing w:line="360" w:lineRule="auto"/>
              <w:jc w:val="center"/>
              <w:rPr>
                <w:sz w:val="24"/>
                <w:szCs w:val="24"/>
              </w:rPr>
            </w:pPr>
            <w:r w:rsidRPr="00005DAE">
              <w:rPr>
                <w:sz w:val="24"/>
                <w:szCs w:val="24"/>
              </w:rPr>
              <w:t>Months 3</w:t>
            </w:r>
            <w:r w:rsidR="00005DAE">
              <w:rPr>
                <w:sz w:val="24"/>
                <w:szCs w:val="24"/>
              </w:rPr>
              <w:t xml:space="preserve"> </w:t>
            </w:r>
            <w:r w:rsidRPr="00005DAE">
              <w:rPr>
                <w:sz w:val="24"/>
                <w:szCs w:val="24"/>
              </w:rPr>
              <w:t>-</w:t>
            </w:r>
            <w:r w:rsidR="00005DAE">
              <w:rPr>
                <w:sz w:val="24"/>
                <w:szCs w:val="24"/>
              </w:rPr>
              <w:t xml:space="preserve"> </w:t>
            </w:r>
            <w:r w:rsidRPr="00005DAE">
              <w:rPr>
                <w:sz w:val="24"/>
                <w:szCs w:val="24"/>
              </w:rPr>
              <w:t>5</w:t>
            </w:r>
          </w:p>
        </w:tc>
      </w:tr>
    </w:tbl>
    <w:p w:rsidR="009052D1" w:rsidP="008716F6" w:rsidRDefault="009052D1" w14:paraId="105F6F50" w14:textId="77777777">
      <w:pPr>
        <w:spacing w:after="20"/>
        <w:rPr>
          <w:b/>
        </w:rPr>
      </w:pPr>
    </w:p>
    <w:p w:rsidRPr="00005DAE" w:rsidR="00713CF8" w:rsidP="008716F6" w:rsidRDefault="00713CF8" w14:paraId="610ABA80" w14:textId="4E3CDFB8">
      <w:pPr>
        <w:spacing w:after="20"/>
        <w:rPr>
          <w:b/>
          <w:sz w:val="24"/>
          <w:szCs w:val="24"/>
        </w:rPr>
      </w:pPr>
      <w:r w:rsidRPr="00005DAE">
        <w:rPr>
          <w:b/>
          <w:sz w:val="24"/>
          <w:szCs w:val="24"/>
        </w:rPr>
        <w:t>A.17 Reason(s) Display of OMB Expiration Date is Inappropriate</w:t>
      </w:r>
    </w:p>
    <w:p w:rsidRPr="00957B52" w:rsidR="00713CF8" w:rsidP="008716F6" w:rsidRDefault="00713CF8" w14:paraId="73A19FF5" w14:textId="48167E81">
      <w:pPr>
        <w:spacing w:after="20"/>
        <w:rPr>
          <w:sz w:val="28"/>
          <w:szCs w:val="28"/>
        </w:rPr>
      </w:pPr>
      <w:r w:rsidRPr="009052D1">
        <w:rPr>
          <w:sz w:val="24"/>
          <w:szCs w:val="24"/>
        </w:rPr>
        <w:t xml:space="preserve">We are not requesting an exemption to the display of the OMB Expiration </w:t>
      </w:r>
      <w:r w:rsidRPr="009052D1" w:rsidR="00016AC9">
        <w:rPr>
          <w:sz w:val="24"/>
          <w:szCs w:val="24"/>
        </w:rPr>
        <w:t>D</w:t>
      </w:r>
      <w:r w:rsidRPr="009052D1">
        <w:rPr>
          <w:sz w:val="24"/>
          <w:szCs w:val="24"/>
        </w:rPr>
        <w:t>ate.</w:t>
      </w:r>
      <w:r w:rsidRPr="009052D1" w:rsidR="002C4725">
        <w:rPr>
          <w:sz w:val="24"/>
          <w:szCs w:val="24"/>
        </w:rPr>
        <w:t xml:space="preserve"> </w:t>
      </w:r>
    </w:p>
    <w:p w:rsidRPr="00957B52" w:rsidR="00713CF8" w:rsidP="008716F6" w:rsidRDefault="00713CF8" w14:paraId="1A826395" w14:textId="77777777">
      <w:pPr>
        <w:spacing w:after="20"/>
        <w:rPr>
          <w:sz w:val="28"/>
          <w:szCs w:val="28"/>
        </w:rPr>
      </w:pPr>
    </w:p>
    <w:p w:rsidRPr="00005DAE" w:rsidR="00713CF8" w:rsidP="00713CF8" w:rsidRDefault="00713CF8" w14:paraId="1732FC0F" w14:textId="77777777">
      <w:pPr>
        <w:spacing w:after="20"/>
        <w:rPr>
          <w:b/>
          <w:sz w:val="24"/>
          <w:szCs w:val="24"/>
        </w:rPr>
      </w:pPr>
      <w:r w:rsidRPr="00005DAE">
        <w:rPr>
          <w:b/>
          <w:sz w:val="24"/>
          <w:szCs w:val="24"/>
        </w:rPr>
        <w:t>A.18 Exceptions to Certification for Paperwork Reduction Act Submissions</w:t>
      </w:r>
    </w:p>
    <w:p w:rsidRPr="00957B52" w:rsidR="002D5C92" w:rsidP="003237CA" w:rsidRDefault="0087173D" w14:paraId="4EB3A5BC" w14:textId="46B8E6E4">
      <w:pPr>
        <w:spacing w:after="20"/>
        <w:rPr>
          <w:sz w:val="28"/>
          <w:szCs w:val="28"/>
        </w:rPr>
      </w:pPr>
      <w:r w:rsidRPr="009052D1">
        <w:rPr>
          <w:sz w:val="24"/>
          <w:szCs w:val="24"/>
        </w:rPr>
        <w:t>This survey will comply with the requirements in 5 CFR 1320.9.</w:t>
      </w:r>
      <w:r w:rsidRPr="00957B52" w:rsidR="00990709">
        <w:rPr>
          <w:sz w:val="28"/>
          <w:szCs w:val="28"/>
        </w:rPr>
        <w:tab/>
      </w:r>
      <w:bookmarkStart w:name="_GoBack" w:id="4"/>
      <w:bookmarkEnd w:id="4"/>
    </w:p>
    <w:p w:rsidRPr="00957B52" w:rsidR="003237CA" w:rsidP="00C10297" w:rsidRDefault="002D5C92" w14:paraId="5CE9EDB2" w14:textId="77777777">
      <w:pPr>
        <w:spacing w:after="20"/>
        <w:rPr>
          <w:rFonts w:ascii="Times New Roman" w:hAnsi="Times New Roman" w:eastAsia="Times New Roman" w:cs="Times New Roman"/>
          <w:sz w:val="28"/>
          <w:szCs w:val="28"/>
        </w:rPr>
      </w:pPr>
      <w:r w:rsidRPr="00957B52">
        <w:rPr>
          <w:sz w:val="28"/>
          <w:szCs w:val="28"/>
        </w:rPr>
        <w:t xml:space="preserve">                                                        </w:t>
      </w:r>
    </w:p>
    <w:sectPr w:rsidRPr="00957B52" w:rsidR="003237CA" w:rsidSect="009E514C">
      <w:footerReference w:type="even" r:id="rId10"/>
      <w:footerReference w:type="default" r:id="rId11"/>
      <w:pgSz w:w="12240" w:h="15840" w:code="1"/>
      <w:pgMar w:top="1440" w:right="1080" w:bottom="1440" w:left="108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D0F8D" w14:textId="77777777" w:rsidR="0039008A" w:rsidRDefault="0039008A" w:rsidP="005676C6">
      <w:pPr>
        <w:spacing w:after="0" w:line="240" w:lineRule="auto"/>
      </w:pPr>
      <w:r>
        <w:separator/>
      </w:r>
    </w:p>
  </w:endnote>
  <w:endnote w:type="continuationSeparator" w:id="0">
    <w:p w14:paraId="33BADA8C" w14:textId="77777777" w:rsidR="0039008A" w:rsidRDefault="0039008A"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7658795"/>
      <w:docPartObj>
        <w:docPartGallery w:val="Page Numbers (Bottom of Page)"/>
        <w:docPartUnique/>
      </w:docPartObj>
    </w:sdtPr>
    <w:sdtEndPr>
      <w:rPr>
        <w:rStyle w:val="PageNumber"/>
      </w:rPr>
    </w:sdtEndPr>
    <w:sdtContent>
      <w:p w14:paraId="7A1575DB" w14:textId="4567F0A7"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2647A" w14:textId="77777777" w:rsidR="003F0D8B" w:rsidRDefault="003F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2975983"/>
      <w:docPartObj>
        <w:docPartGallery w:val="Page Numbers (Bottom of Page)"/>
        <w:docPartUnique/>
      </w:docPartObj>
    </w:sdtPr>
    <w:sdtEndPr>
      <w:rPr>
        <w:rStyle w:val="PageNumber"/>
      </w:rPr>
    </w:sdtEndPr>
    <w:sdtContent>
      <w:p w14:paraId="67904B0A" w14:textId="729BAF41"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2F18EC2" w14:textId="77777777" w:rsidR="00273E4C" w:rsidRDefault="0027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97038" w14:textId="77777777" w:rsidR="0039008A" w:rsidRDefault="0039008A" w:rsidP="005676C6">
      <w:pPr>
        <w:spacing w:after="0" w:line="240" w:lineRule="auto"/>
      </w:pPr>
      <w:r>
        <w:separator/>
      </w:r>
    </w:p>
  </w:footnote>
  <w:footnote w:type="continuationSeparator" w:id="0">
    <w:p w14:paraId="609F16B5" w14:textId="77777777" w:rsidR="0039008A" w:rsidRDefault="0039008A"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3BE1"/>
    <w:rsid w:val="00005DAE"/>
    <w:rsid w:val="00016AC9"/>
    <w:rsid w:val="0002277F"/>
    <w:rsid w:val="00025C89"/>
    <w:rsid w:val="000360FF"/>
    <w:rsid w:val="00045EDF"/>
    <w:rsid w:val="00057A71"/>
    <w:rsid w:val="00057C98"/>
    <w:rsid w:val="00063927"/>
    <w:rsid w:val="00063DC1"/>
    <w:rsid w:val="000A796F"/>
    <w:rsid w:val="000B4C09"/>
    <w:rsid w:val="000D35DA"/>
    <w:rsid w:val="000F6E1A"/>
    <w:rsid w:val="00103957"/>
    <w:rsid w:val="001048B6"/>
    <w:rsid w:val="00113647"/>
    <w:rsid w:val="00113D5F"/>
    <w:rsid w:val="001243F6"/>
    <w:rsid w:val="001435DE"/>
    <w:rsid w:val="0016069E"/>
    <w:rsid w:val="00185105"/>
    <w:rsid w:val="001925A2"/>
    <w:rsid w:val="001B3653"/>
    <w:rsid w:val="001C1DC2"/>
    <w:rsid w:val="001C55DE"/>
    <w:rsid w:val="001D2741"/>
    <w:rsid w:val="001D4453"/>
    <w:rsid w:val="001E3759"/>
    <w:rsid w:val="001E6930"/>
    <w:rsid w:val="002010BC"/>
    <w:rsid w:val="002065DB"/>
    <w:rsid w:val="0021543C"/>
    <w:rsid w:val="00226B58"/>
    <w:rsid w:val="00236DA8"/>
    <w:rsid w:val="00237838"/>
    <w:rsid w:val="002471FA"/>
    <w:rsid w:val="002727A9"/>
    <w:rsid w:val="00273125"/>
    <w:rsid w:val="00273E4C"/>
    <w:rsid w:val="00276E16"/>
    <w:rsid w:val="0029112F"/>
    <w:rsid w:val="002B193F"/>
    <w:rsid w:val="002B253F"/>
    <w:rsid w:val="002C1D97"/>
    <w:rsid w:val="002C4725"/>
    <w:rsid w:val="002D5C92"/>
    <w:rsid w:val="002E5114"/>
    <w:rsid w:val="002E7F57"/>
    <w:rsid w:val="002F3354"/>
    <w:rsid w:val="0032225D"/>
    <w:rsid w:val="003237CA"/>
    <w:rsid w:val="00330E82"/>
    <w:rsid w:val="00333650"/>
    <w:rsid w:val="0036335E"/>
    <w:rsid w:val="00382B75"/>
    <w:rsid w:val="0039008A"/>
    <w:rsid w:val="00394CAF"/>
    <w:rsid w:val="00395820"/>
    <w:rsid w:val="003A14DC"/>
    <w:rsid w:val="003A2570"/>
    <w:rsid w:val="003C27C1"/>
    <w:rsid w:val="003D32E2"/>
    <w:rsid w:val="003D43B1"/>
    <w:rsid w:val="003F0D8B"/>
    <w:rsid w:val="0040282E"/>
    <w:rsid w:val="00403366"/>
    <w:rsid w:val="00413459"/>
    <w:rsid w:val="00420CB8"/>
    <w:rsid w:val="00435E88"/>
    <w:rsid w:val="004409C0"/>
    <w:rsid w:val="00446BA0"/>
    <w:rsid w:val="0046633D"/>
    <w:rsid w:val="004705EF"/>
    <w:rsid w:val="00477A8E"/>
    <w:rsid w:val="004B3C21"/>
    <w:rsid w:val="004D2AD6"/>
    <w:rsid w:val="004E09E6"/>
    <w:rsid w:val="004E241C"/>
    <w:rsid w:val="004E2801"/>
    <w:rsid w:val="004F231B"/>
    <w:rsid w:val="00501F8F"/>
    <w:rsid w:val="00506DA7"/>
    <w:rsid w:val="00512402"/>
    <w:rsid w:val="005204AD"/>
    <w:rsid w:val="00534B5A"/>
    <w:rsid w:val="00551B2D"/>
    <w:rsid w:val="005676C6"/>
    <w:rsid w:val="00573BAB"/>
    <w:rsid w:val="005765A7"/>
    <w:rsid w:val="005858BF"/>
    <w:rsid w:val="005868BD"/>
    <w:rsid w:val="00586D7F"/>
    <w:rsid w:val="00593434"/>
    <w:rsid w:val="00595D1E"/>
    <w:rsid w:val="005971A4"/>
    <w:rsid w:val="005B5E5B"/>
    <w:rsid w:val="005C067D"/>
    <w:rsid w:val="005D671F"/>
    <w:rsid w:val="005E2D23"/>
    <w:rsid w:val="00622737"/>
    <w:rsid w:val="00626A3E"/>
    <w:rsid w:val="0063079E"/>
    <w:rsid w:val="00633313"/>
    <w:rsid w:val="00656B7D"/>
    <w:rsid w:val="006854FC"/>
    <w:rsid w:val="00687733"/>
    <w:rsid w:val="0069025C"/>
    <w:rsid w:val="00693A83"/>
    <w:rsid w:val="00695204"/>
    <w:rsid w:val="006B188E"/>
    <w:rsid w:val="006B2ACE"/>
    <w:rsid w:val="006B2F46"/>
    <w:rsid w:val="006E7F6A"/>
    <w:rsid w:val="006F3226"/>
    <w:rsid w:val="00713CF8"/>
    <w:rsid w:val="00740F9D"/>
    <w:rsid w:val="007514FD"/>
    <w:rsid w:val="00762CFB"/>
    <w:rsid w:val="00770E1B"/>
    <w:rsid w:val="00787987"/>
    <w:rsid w:val="0079784E"/>
    <w:rsid w:val="007B3C94"/>
    <w:rsid w:val="007B6FBB"/>
    <w:rsid w:val="007C5786"/>
    <w:rsid w:val="007C702E"/>
    <w:rsid w:val="007D19AD"/>
    <w:rsid w:val="007D2925"/>
    <w:rsid w:val="007D64C3"/>
    <w:rsid w:val="007D66AD"/>
    <w:rsid w:val="007D6825"/>
    <w:rsid w:val="007F5A32"/>
    <w:rsid w:val="00805CBF"/>
    <w:rsid w:val="0081624D"/>
    <w:rsid w:val="00816C32"/>
    <w:rsid w:val="0083372B"/>
    <w:rsid w:val="008529CC"/>
    <w:rsid w:val="00857C45"/>
    <w:rsid w:val="008716F6"/>
    <w:rsid w:val="0087173D"/>
    <w:rsid w:val="00875AC8"/>
    <w:rsid w:val="00897D34"/>
    <w:rsid w:val="008B33D3"/>
    <w:rsid w:val="008D12B2"/>
    <w:rsid w:val="008D6113"/>
    <w:rsid w:val="009024F8"/>
    <w:rsid w:val="009031BA"/>
    <w:rsid w:val="009052D1"/>
    <w:rsid w:val="00907E64"/>
    <w:rsid w:val="009319B2"/>
    <w:rsid w:val="00942DB8"/>
    <w:rsid w:val="00944653"/>
    <w:rsid w:val="00944ABD"/>
    <w:rsid w:val="00953B2E"/>
    <w:rsid w:val="00957B52"/>
    <w:rsid w:val="00974140"/>
    <w:rsid w:val="0098201C"/>
    <w:rsid w:val="00990709"/>
    <w:rsid w:val="009A2E54"/>
    <w:rsid w:val="009C0491"/>
    <w:rsid w:val="009C3363"/>
    <w:rsid w:val="009D3A6D"/>
    <w:rsid w:val="009E2A12"/>
    <w:rsid w:val="009E514C"/>
    <w:rsid w:val="009F4546"/>
    <w:rsid w:val="00A064A8"/>
    <w:rsid w:val="00A24DA1"/>
    <w:rsid w:val="00A27B3A"/>
    <w:rsid w:val="00A60503"/>
    <w:rsid w:val="00A61F11"/>
    <w:rsid w:val="00A622DA"/>
    <w:rsid w:val="00A74631"/>
    <w:rsid w:val="00A86311"/>
    <w:rsid w:val="00AA355D"/>
    <w:rsid w:val="00AB60DD"/>
    <w:rsid w:val="00AB60E0"/>
    <w:rsid w:val="00AC113B"/>
    <w:rsid w:val="00AD7BAB"/>
    <w:rsid w:val="00AE3015"/>
    <w:rsid w:val="00AF01AD"/>
    <w:rsid w:val="00B14221"/>
    <w:rsid w:val="00B20A96"/>
    <w:rsid w:val="00B20D87"/>
    <w:rsid w:val="00B27DDD"/>
    <w:rsid w:val="00B34EF2"/>
    <w:rsid w:val="00B575BB"/>
    <w:rsid w:val="00B732AC"/>
    <w:rsid w:val="00B93F27"/>
    <w:rsid w:val="00B97CC8"/>
    <w:rsid w:val="00BA6ED1"/>
    <w:rsid w:val="00BB14C2"/>
    <w:rsid w:val="00BB307D"/>
    <w:rsid w:val="00BB41D9"/>
    <w:rsid w:val="00BB7115"/>
    <w:rsid w:val="00BD26BE"/>
    <w:rsid w:val="00BE135A"/>
    <w:rsid w:val="00BE14D8"/>
    <w:rsid w:val="00BE197D"/>
    <w:rsid w:val="00BE20F3"/>
    <w:rsid w:val="00C0501F"/>
    <w:rsid w:val="00C10297"/>
    <w:rsid w:val="00C465FF"/>
    <w:rsid w:val="00CA1CBB"/>
    <w:rsid w:val="00CB1ED7"/>
    <w:rsid w:val="00CB4C39"/>
    <w:rsid w:val="00CC32B1"/>
    <w:rsid w:val="00CD0BFD"/>
    <w:rsid w:val="00CE3842"/>
    <w:rsid w:val="00CF1726"/>
    <w:rsid w:val="00D01272"/>
    <w:rsid w:val="00D21362"/>
    <w:rsid w:val="00D368B1"/>
    <w:rsid w:val="00D37F12"/>
    <w:rsid w:val="00D45A58"/>
    <w:rsid w:val="00D605CF"/>
    <w:rsid w:val="00D6099F"/>
    <w:rsid w:val="00D62559"/>
    <w:rsid w:val="00D72137"/>
    <w:rsid w:val="00D80E5F"/>
    <w:rsid w:val="00DA7607"/>
    <w:rsid w:val="00DB0AA2"/>
    <w:rsid w:val="00DB27F3"/>
    <w:rsid w:val="00DE4986"/>
    <w:rsid w:val="00DF0717"/>
    <w:rsid w:val="00DF6124"/>
    <w:rsid w:val="00E13104"/>
    <w:rsid w:val="00E33992"/>
    <w:rsid w:val="00E423BA"/>
    <w:rsid w:val="00E46078"/>
    <w:rsid w:val="00E46697"/>
    <w:rsid w:val="00E712FF"/>
    <w:rsid w:val="00E85DA0"/>
    <w:rsid w:val="00E86587"/>
    <w:rsid w:val="00EB07CD"/>
    <w:rsid w:val="00EB437A"/>
    <w:rsid w:val="00EB77CC"/>
    <w:rsid w:val="00EC499E"/>
    <w:rsid w:val="00ED1560"/>
    <w:rsid w:val="00ED4628"/>
    <w:rsid w:val="00EF04DB"/>
    <w:rsid w:val="00EF3AC4"/>
    <w:rsid w:val="00F16369"/>
    <w:rsid w:val="00F33DA3"/>
    <w:rsid w:val="00F360BA"/>
    <w:rsid w:val="00F4290D"/>
    <w:rsid w:val="00F45BD9"/>
    <w:rsid w:val="00FA1A1E"/>
    <w:rsid w:val="00FB481F"/>
    <w:rsid w:val="00FC14EB"/>
    <w:rsid w:val="00FC3BAD"/>
    <w:rsid w:val="00FC4478"/>
    <w:rsid w:val="00FD4864"/>
    <w:rsid w:val="00FF1D87"/>
    <w:rsid w:val="00FF6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5DF5E7"/>
  <w15:docId w15:val="{EB85C404-E2A0-45E7-91BB-74D27A0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7D6825"/>
    <w:rPr>
      <w:color w:val="605E5C"/>
      <w:shd w:val="clear" w:color="auto" w:fill="E1DFDD"/>
    </w:rPr>
  </w:style>
  <w:style w:type="paragraph" w:styleId="Revision">
    <w:name w:val="Revision"/>
    <w:hidden/>
    <w:uiPriority w:val="99"/>
    <w:semiHidden/>
    <w:rsid w:val="001B3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466547">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9AEB-C45A-4343-80C0-EE5EE044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3</cp:revision>
  <cp:lastPrinted>2020-01-28T19:59:00Z</cp:lastPrinted>
  <dcterms:created xsi:type="dcterms:W3CDTF">2020-02-26T22:41:00Z</dcterms:created>
  <dcterms:modified xsi:type="dcterms:W3CDTF">2020-02-26T22:43:00Z</dcterms:modified>
</cp:coreProperties>
</file>