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D59" w:rsidRPr="009C3EAF"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4"/>
        </w:rPr>
      </w:pPr>
      <w:bookmarkStart w:id="0" w:name="_GoBack"/>
      <w:bookmarkEnd w:id="0"/>
      <w:r w:rsidRPr="009C3EAF">
        <w:rPr>
          <w:bCs/>
          <w:sz w:val="24"/>
        </w:rPr>
        <w:t>Supporting Statement – Part A</w:t>
      </w:r>
    </w:p>
    <w:p w:rsidR="00870D59" w:rsidRPr="009C3EAF" w:rsidRDefault="00014293" w:rsidP="00014293">
      <w:pPr>
        <w:tabs>
          <w:tab w:val="center" w:pos="4752"/>
          <w:tab w:val="left" w:pos="5040"/>
          <w:tab w:val="left" w:pos="5760"/>
          <w:tab w:val="left" w:pos="6480"/>
          <w:tab w:val="left" w:pos="7200"/>
          <w:tab w:val="left" w:pos="7920"/>
          <w:tab w:val="left" w:pos="8640"/>
          <w:tab w:val="left" w:pos="9360"/>
        </w:tabs>
        <w:jc w:val="center"/>
        <w:rPr>
          <w:sz w:val="24"/>
        </w:rPr>
      </w:pPr>
      <w:r w:rsidRPr="009C3EAF">
        <w:rPr>
          <w:sz w:val="24"/>
        </w:rPr>
        <w:t>Data Request and Attestation for PDP Sponsors</w:t>
      </w:r>
    </w:p>
    <w:p w:rsidR="00014293" w:rsidRPr="009C3EAF" w:rsidRDefault="00014293" w:rsidP="00014293">
      <w:pPr>
        <w:tabs>
          <w:tab w:val="center" w:pos="4752"/>
          <w:tab w:val="left" w:pos="5040"/>
          <w:tab w:val="left" w:pos="5760"/>
          <w:tab w:val="left" w:pos="6480"/>
          <w:tab w:val="left" w:pos="7200"/>
          <w:tab w:val="left" w:pos="7920"/>
          <w:tab w:val="left" w:pos="8640"/>
          <w:tab w:val="left" w:pos="9360"/>
        </w:tabs>
        <w:jc w:val="center"/>
        <w:rPr>
          <w:sz w:val="24"/>
        </w:rPr>
      </w:pPr>
      <w:r w:rsidRPr="009C3EAF">
        <w:rPr>
          <w:sz w:val="24"/>
        </w:rPr>
        <w:t>CMS-10691, OMB 0938-TBD (New)</w:t>
      </w:r>
    </w:p>
    <w:p w:rsidR="002E0D3F" w:rsidRPr="006B60F4" w:rsidRDefault="002E0D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6B60F4">
        <w:rPr>
          <w:b/>
          <w:bCs/>
          <w:sz w:val="24"/>
        </w:rPr>
        <w:t>Background</w:t>
      </w:r>
    </w:p>
    <w:p w:rsidR="002E0D3F" w:rsidRPr="006B60F4" w:rsidRDefault="002E0D3F"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2E0D3F" w:rsidRPr="006B60F4" w:rsidRDefault="002E0D3F"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6B60F4">
        <w:rPr>
          <w:bCs/>
          <w:sz w:val="24"/>
        </w:rPr>
        <w:t xml:space="preserve">Section 50354 of the Bipartisan Budget Act of 2018 (BBA) amends section 1860D-4(c) of the Social Security Act by adding a new paragraph (6) entitled “Providing Prescription Drug Plans with Parts A and B Claims Data to Promote the Appropriate Use of Medication and Improve Health Outcome”. Specifically, it provides that the Secretary shall establish a process under which the sponsor of a </w:t>
      </w:r>
      <w:r w:rsidR="004A505B" w:rsidRPr="006B60F4">
        <w:rPr>
          <w:bCs/>
          <w:sz w:val="24"/>
        </w:rPr>
        <w:t>Prescription</w:t>
      </w:r>
      <w:r w:rsidRPr="006B60F4">
        <w:rPr>
          <w:bCs/>
          <w:sz w:val="24"/>
        </w:rPr>
        <w:t xml:space="preserve"> Drug Plan (PDP) that provide prescription drug benefits under Medicare Part D may request, beginning in plan year 2020, that the Secretary provide on a periodic basis and in an electronic format standardized extracts of Medicare claims about its plan enrollees.</w:t>
      </w:r>
    </w:p>
    <w:p w:rsidR="002E0D3F" w:rsidRPr="006B60F4" w:rsidRDefault="002E0D3F"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2E0D3F" w:rsidRPr="006B60F4" w:rsidRDefault="002E0D3F"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6B60F4">
        <w:rPr>
          <w:bCs/>
          <w:sz w:val="24"/>
        </w:rPr>
        <w:t>Section 1860D-4(c)(6)(B), as added by section 50354 of the BBA, further specifies that PDP sponsors receiving such Medicare claims data for their corresponding PDP plan enrollees may use the data for (1) optimizing therapeutic outcomes through improved medication use,  (2) improving care coordination so as to prevent adverse healthcare outcomes, such as preventable emergency department visits and hospital readmissions, and (3) for any other purposes determined appropriate by the Secretary.</w:t>
      </w:r>
    </w:p>
    <w:p w:rsidR="002E0D3F" w:rsidRPr="006B60F4" w:rsidRDefault="002E0D3F"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4A505B" w:rsidRPr="006B60F4" w:rsidRDefault="002E0D3F"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6B60F4">
        <w:rPr>
          <w:bCs/>
          <w:sz w:val="24"/>
        </w:rPr>
        <w:t xml:space="preserve">Finally, section 1860D-4(c)(6)(C) states that the PDP sponsor may not use the data: (1) to inform coverage </w:t>
      </w:r>
      <w:r w:rsidR="004A505B" w:rsidRPr="006B60F4">
        <w:rPr>
          <w:bCs/>
          <w:sz w:val="24"/>
        </w:rPr>
        <w:t>determinations</w:t>
      </w:r>
      <w:r w:rsidRPr="006B60F4">
        <w:rPr>
          <w:bCs/>
          <w:sz w:val="24"/>
        </w:rPr>
        <w:t xml:space="preserve"> under Part D, (2) to conduct retroactive review of medically accepted conditions, (3) to facilitate enrollment changes to a different PDP or a MA-PD plan offered by the same parent organization, (4) to inform marketing benefits</w:t>
      </w:r>
      <w:r w:rsidR="004A505B" w:rsidRPr="006B60F4">
        <w:rPr>
          <w:bCs/>
          <w:sz w:val="24"/>
        </w:rPr>
        <w:t>; and (5) for any other purpose the Secretary determines is necessary to include in order to protect the identity of individuals entitled to or enrolled in Medicare, and to protect the security of personal health information.</w:t>
      </w:r>
    </w:p>
    <w:p w:rsidR="004053B3" w:rsidRPr="00C22D2C" w:rsidRDefault="004053B3"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4053B3" w:rsidRPr="006B60F4" w:rsidRDefault="004053B3" w:rsidP="006D7DE6">
      <w:pPr>
        <w:widowControl/>
        <w:rPr>
          <w:bCs/>
          <w:sz w:val="24"/>
        </w:rPr>
      </w:pPr>
      <w:r w:rsidRPr="00C22D2C">
        <w:rPr>
          <w:bCs/>
          <w:sz w:val="24"/>
        </w:rPr>
        <w:t xml:space="preserve">This </w:t>
      </w:r>
      <w:r w:rsidR="008060D8">
        <w:rPr>
          <w:bCs/>
          <w:sz w:val="24"/>
        </w:rPr>
        <w:t xml:space="preserve">information </w:t>
      </w:r>
      <w:r w:rsidRPr="00C22D2C">
        <w:rPr>
          <w:bCs/>
          <w:sz w:val="24"/>
        </w:rPr>
        <w:t xml:space="preserve">collection </w:t>
      </w:r>
      <w:r w:rsidR="008060D8">
        <w:rPr>
          <w:bCs/>
          <w:sz w:val="24"/>
        </w:rPr>
        <w:t xml:space="preserve">request </w:t>
      </w:r>
      <w:r w:rsidRPr="00C22D2C">
        <w:rPr>
          <w:bCs/>
          <w:sz w:val="24"/>
        </w:rPr>
        <w:t xml:space="preserve">allows </w:t>
      </w:r>
      <w:r w:rsidR="00FA327E" w:rsidRPr="00C22D2C">
        <w:rPr>
          <w:bCs/>
          <w:sz w:val="24"/>
        </w:rPr>
        <w:t xml:space="preserve">a </w:t>
      </w:r>
      <w:r w:rsidRPr="00C22D2C">
        <w:rPr>
          <w:bCs/>
          <w:sz w:val="24"/>
        </w:rPr>
        <w:t>PDP sponsor to submit a request to CMS for claims data for its enrollees and to at</w:t>
      </w:r>
      <w:r w:rsidR="006F5CA6" w:rsidRPr="00C22D2C">
        <w:rPr>
          <w:bCs/>
          <w:sz w:val="24"/>
        </w:rPr>
        <w:t>test</w:t>
      </w:r>
      <w:r w:rsidRPr="00C22D2C">
        <w:rPr>
          <w:bCs/>
          <w:sz w:val="24"/>
        </w:rPr>
        <w:t xml:space="preserve"> that it will adhere to the permitted uses and limitations on the use of the Medicare claims data that are listed in 42 CFR 423.153</w:t>
      </w:r>
      <w:r w:rsidR="00C8103C" w:rsidRPr="00C22D2C">
        <w:rPr>
          <w:bCs/>
          <w:sz w:val="24"/>
        </w:rPr>
        <w:t>(g)(3) and (4)</w:t>
      </w:r>
      <w:r w:rsidRPr="00C22D2C">
        <w:rPr>
          <w:bCs/>
          <w:sz w:val="24"/>
        </w:rPr>
        <w:t>.</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6D7DE6"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B60F4">
        <w:rPr>
          <w:b/>
          <w:bCs/>
          <w:sz w:val="24"/>
        </w:rPr>
        <w:t>A</w:t>
      </w:r>
      <w:r w:rsidR="008F1EB4" w:rsidRPr="006B60F4">
        <w:rPr>
          <w:b/>
          <w:bCs/>
          <w:sz w:val="24"/>
        </w:rPr>
        <w:t>.</w:t>
      </w:r>
      <w:r w:rsidR="008F1EB4" w:rsidRPr="006B60F4">
        <w:rPr>
          <w:b/>
          <w:bCs/>
          <w:sz w:val="24"/>
        </w:rPr>
        <w:tab/>
        <w:t>Justification</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6B60F4">
        <w:rPr>
          <w:sz w:val="24"/>
        </w:rPr>
        <w:t>1.</w:t>
      </w:r>
      <w:r w:rsidRPr="006B60F4">
        <w:rPr>
          <w:sz w:val="24"/>
        </w:rPr>
        <w:tab/>
      </w:r>
      <w:r w:rsidRPr="006B60F4">
        <w:rPr>
          <w:sz w:val="24"/>
          <w:u w:val="single"/>
        </w:rPr>
        <w:t>Need and Legal Basis</w:t>
      </w:r>
    </w:p>
    <w:p w:rsidR="009159AC" w:rsidRPr="006B60F4" w:rsidRDefault="009159AC" w:rsidP="00FE1B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9159AC" w:rsidRPr="006B60F4" w:rsidRDefault="009159AC" w:rsidP="009C3EA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6B60F4">
        <w:rPr>
          <w:sz w:val="24"/>
        </w:rPr>
        <w:t xml:space="preserve">As discussed above </w:t>
      </w:r>
      <w:r w:rsidR="004053B3" w:rsidRPr="006B60F4">
        <w:rPr>
          <w:sz w:val="24"/>
        </w:rPr>
        <w:t xml:space="preserve">in the background section, </w:t>
      </w:r>
      <w:r w:rsidRPr="006B60F4">
        <w:rPr>
          <w:sz w:val="24"/>
        </w:rPr>
        <w:t>Section 50354 of the BBA requ</w:t>
      </w:r>
      <w:r w:rsidR="004053B3" w:rsidRPr="006B60F4">
        <w:rPr>
          <w:sz w:val="24"/>
        </w:rPr>
        <w:t>ires that the</w:t>
      </w:r>
      <w:r w:rsidR="005528F9" w:rsidRPr="006B60F4">
        <w:rPr>
          <w:sz w:val="24"/>
        </w:rPr>
        <w:t xml:space="preserve"> </w:t>
      </w:r>
      <w:r w:rsidRPr="006B60F4">
        <w:rPr>
          <w:sz w:val="24"/>
        </w:rPr>
        <w:t>Secretary establish a process for PDP sponsors to submi</w:t>
      </w:r>
      <w:r w:rsidR="004053B3" w:rsidRPr="006B60F4">
        <w:rPr>
          <w:sz w:val="24"/>
        </w:rPr>
        <w:t xml:space="preserve">t a request for standardized extracts of claims data for their enrollees. In addition, Section 50354 of the BBA provides for a number of purposes and limitation for the use of the claims data and also permits the </w:t>
      </w:r>
      <w:r w:rsidR="00C8103C" w:rsidRPr="006B60F4">
        <w:rPr>
          <w:sz w:val="24"/>
        </w:rPr>
        <w:t>Secretary to establish other limitations</w:t>
      </w:r>
      <w:r w:rsidR="004053B3" w:rsidRPr="006B60F4">
        <w:rPr>
          <w:bCs/>
          <w:sz w:val="24"/>
        </w:rPr>
        <w:t xml:space="preserve"> necessary to protect the identity of individuals entitled to or enrolled in Medicare, and to protect the security of personal health information. </w:t>
      </w:r>
    </w:p>
    <w:p w:rsidR="004053B3" w:rsidRPr="006B60F4" w:rsidRDefault="004053B3" w:rsidP="00FE1B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Cs/>
          <w:sz w:val="24"/>
        </w:rPr>
      </w:pPr>
    </w:p>
    <w:p w:rsidR="006F5CA6" w:rsidRPr="006B60F4" w:rsidRDefault="004053B3" w:rsidP="00183EDE">
      <w:pPr>
        <w:widowControl/>
        <w:rPr>
          <w:bCs/>
          <w:sz w:val="24"/>
        </w:rPr>
      </w:pPr>
      <w:r w:rsidRPr="006B60F4">
        <w:rPr>
          <w:bCs/>
          <w:sz w:val="24"/>
        </w:rPr>
        <w:t xml:space="preserve">42 CFR 423.153 implements Section 50354 of the BBA. </w:t>
      </w:r>
    </w:p>
    <w:p w:rsidR="006F5CA6" w:rsidRPr="006B60F4" w:rsidRDefault="006F5CA6" w:rsidP="006D7DE6">
      <w:pPr>
        <w:widowControl/>
        <w:rPr>
          <w:bCs/>
          <w:sz w:val="24"/>
        </w:rPr>
      </w:pPr>
    </w:p>
    <w:p w:rsidR="004053B3" w:rsidRPr="006B60F4" w:rsidRDefault="004053B3" w:rsidP="006D7DE6">
      <w:pPr>
        <w:widowControl/>
        <w:rPr>
          <w:sz w:val="24"/>
        </w:rPr>
      </w:pPr>
      <w:r w:rsidRPr="006B60F4">
        <w:rPr>
          <w:bCs/>
          <w:sz w:val="24"/>
        </w:rPr>
        <w:t xml:space="preserve">Specifically, </w:t>
      </w:r>
      <w:r w:rsidR="006F5CA6" w:rsidRPr="006B60F4">
        <w:rPr>
          <w:bCs/>
          <w:sz w:val="24"/>
        </w:rPr>
        <w:t xml:space="preserve">42 CFR 423.513(g)(1)(i) states that beginning </w:t>
      </w:r>
      <w:r w:rsidR="006F5CA6" w:rsidRPr="006B60F4">
        <w:rPr>
          <w:sz w:val="24"/>
        </w:rPr>
        <w:t>in plan year 2020, a PDP sponsor may submit a request to CMS for the data described in paragraph (g)(2) of this section about enrollees in its prescription drug plans.</w:t>
      </w:r>
      <w:r w:rsidR="005A66F0" w:rsidRPr="006B60F4">
        <w:rPr>
          <w:sz w:val="24"/>
        </w:rPr>
        <w:t xml:space="preserve"> In addition, </w:t>
      </w:r>
      <w:r w:rsidR="005A66F0" w:rsidRPr="006B60F4">
        <w:rPr>
          <w:bCs/>
          <w:sz w:val="24"/>
        </w:rPr>
        <w:t xml:space="preserve">42 CFR 423.513(g)(5) </w:t>
      </w:r>
      <w:r w:rsidR="005A66F0" w:rsidRPr="006B60F4">
        <w:rPr>
          <w:sz w:val="24"/>
        </w:rPr>
        <w:t>provides that as a condition of receiving the requested data, the PDP sponsor must attest that it will adhere to the permitted uses and limitations on the use of the Medicare claims data listed in paragraphs (g)(3) and (4) of this section.</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60F4">
        <w:rPr>
          <w:sz w:val="24"/>
        </w:rPr>
        <w:t>2.</w:t>
      </w:r>
      <w:r w:rsidRPr="006B60F4">
        <w:rPr>
          <w:sz w:val="24"/>
        </w:rPr>
        <w:tab/>
      </w:r>
      <w:r w:rsidRPr="006B60F4">
        <w:rPr>
          <w:sz w:val="24"/>
          <w:u w:val="single"/>
        </w:rPr>
        <w:t>Information Users</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5F90" w:rsidRDefault="00345F90" w:rsidP="00345F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B60F4">
        <w:rPr>
          <w:sz w:val="24"/>
        </w:rPr>
        <w:t xml:space="preserve">The </w:t>
      </w:r>
      <w:r>
        <w:rPr>
          <w:sz w:val="24"/>
        </w:rPr>
        <w:t>PDP sponsors use this to submit a request for claims data on their enrollees and attest that they understand the requirements around the use of the data, as well as submit a request to stop receiving claims data on their enrollees.</w:t>
      </w:r>
    </w:p>
    <w:p w:rsidR="00345F90" w:rsidRDefault="00345F90" w:rsidP="00345F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45F90" w:rsidRPr="006B60F4" w:rsidRDefault="00345F90" w:rsidP="00345F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CMS will use this to deter</w:t>
      </w:r>
      <w:r w:rsidRPr="006B60F4">
        <w:rPr>
          <w:sz w:val="24"/>
        </w:rPr>
        <w:t xml:space="preserve">mine which PDP sponsors requested claims data on their enrollees. </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60F4">
        <w:rPr>
          <w:sz w:val="24"/>
        </w:rPr>
        <w:t>3.</w:t>
      </w:r>
      <w:r w:rsidRPr="006B60F4">
        <w:rPr>
          <w:sz w:val="24"/>
        </w:rPr>
        <w:tab/>
      </w:r>
      <w:r w:rsidRPr="006B60F4">
        <w:rPr>
          <w:sz w:val="24"/>
          <w:u w:val="single"/>
        </w:rPr>
        <w:t>Use of Information Technology</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1543DD"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B60F4">
        <w:rPr>
          <w:sz w:val="24"/>
        </w:rPr>
        <w:t xml:space="preserve">We anticipate that the submission of the request, as well as the attestation, will be </w:t>
      </w:r>
      <w:r w:rsidR="007425ED" w:rsidRPr="006B60F4">
        <w:rPr>
          <w:sz w:val="24"/>
        </w:rPr>
        <w:t xml:space="preserve">fully automated (100%). </w:t>
      </w:r>
      <w:r w:rsidR="00EF5BD1" w:rsidRPr="006B60F4">
        <w:rPr>
          <w:sz w:val="24"/>
        </w:rPr>
        <w:t>We also anticipate utilizing the Health Plan Management System (HPMS) to submit a request since PDP sponsors already access this system for other actions.</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60F4">
        <w:rPr>
          <w:sz w:val="24"/>
        </w:rPr>
        <w:t>4.</w:t>
      </w:r>
      <w:r w:rsidRPr="006B60F4">
        <w:rPr>
          <w:sz w:val="24"/>
        </w:rPr>
        <w:tab/>
      </w:r>
      <w:r w:rsidRPr="006B60F4">
        <w:rPr>
          <w:sz w:val="24"/>
          <w:u w:val="single"/>
        </w:rPr>
        <w:t>Duplication of Efforts</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7425ED"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B60F4">
        <w:rPr>
          <w:sz w:val="24"/>
        </w:rPr>
        <w:t>T</w:t>
      </w:r>
      <w:r w:rsidR="008F1EB4" w:rsidRPr="006B60F4">
        <w:rPr>
          <w:sz w:val="24"/>
        </w:rPr>
        <w:t>his information collection does not duplicate any other effort and the information cannot be</w:t>
      </w:r>
      <w:r w:rsidRPr="006B60F4">
        <w:rPr>
          <w:sz w:val="24"/>
        </w:rPr>
        <w:t xml:space="preserve"> obtained from any other source.</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60F4">
        <w:rPr>
          <w:sz w:val="24"/>
        </w:rPr>
        <w:t>5.</w:t>
      </w:r>
      <w:r w:rsidRPr="006B60F4">
        <w:rPr>
          <w:sz w:val="24"/>
        </w:rPr>
        <w:tab/>
      </w:r>
      <w:r w:rsidRPr="006B60F4">
        <w:rPr>
          <w:sz w:val="24"/>
          <w:u w:val="single"/>
        </w:rPr>
        <w:t>Small Businesses</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EF5BD1"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B60F4">
        <w:rPr>
          <w:sz w:val="24"/>
        </w:rPr>
        <w:t xml:space="preserve">We </w:t>
      </w:r>
      <w:r w:rsidR="00FA327E" w:rsidRPr="006B60F4">
        <w:rPr>
          <w:sz w:val="24"/>
        </w:rPr>
        <w:t>anticipate the request will be fully</w:t>
      </w:r>
      <w:r w:rsidRPr="006B60F4">
        <w:rPr>
          <w:sz w:val="24"/>
        </w:rPr>
        <w:t xml:space="preserve"> electronic utilizing HPMS</w:t>
      </w:r>
      <w:r w:rsidR="00FA327E" w:rsidRPr="006B60F4">
        <w:rPr>
          <w:sz w:val="24"/>
        </w:rPr>
        <w:t>, a system that</w:t>
      </w:r>
      <w:r w:rsidRPr="006B60F4">
        <w:rPr>
          <w:sz w:val="24"/>
        </w:rPr>
        <w:t xml:space="preserve"> PDP sponsors already access.</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60F4">
        <w:rPr>
          <w:sz w:val="24"/>
        </w:rPr>
        <w:t>6.</w:t>
      </w:r>
      <w:r w:rsidRPr="006B60F4">
        <w:rPr>
          <w:sz w:val="24"/>
        </w:rPr>
        <w:tab/>
      </w:r>
      <w:r w:rsidRPr="006B60F4">
        <w:rPr>
          <w:sz w:val="24"/>
          <w:u w:val="single"/>
        </w:rPr>
        <w:t>Less Frequent Collection</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EF5BD1"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B60F4">
        <w:rPr>
          <w:sz w:val="24"/>
        </w:rPr>
        <w:t>This is an optional collection meaning the PDP sponsor can choose whether to submit a request for claims data on its enrollees. If the collection is not conducted then we will not have a process for PDP sponsors to request data and will therefore have failed to implement Section 50354 of the BBA.</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60F4">
        <w:rPr>
          <w:sz w:val="24"/>
        </w:rPr>
        <w:t>7.</w:t>
      </w:r>
      <w:r w:rsidRPr="006B60F4">
        <w:rPr>
          <w:sz w:val="24"/>
        </w:rPr>
        <w:tab/>
      </w:r>
      <w:r w:rsidRPr="006B60F4">
        <w:rPr>
          <w:sz w:val="24"/>
          <w:u w:val="single"/>
        </w:rPr>
        <w:t>Special Circumstances</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03E31" w:rsidRPr="003532E6" w:rsidRDefault="00603E31" w:rsidP="00603E31">
      <w:pPr>
        <w:pStyle w:val="Body2"/>
      </w:pPr>
      <w:r w:rsidRPr="003532E6">
        <w:t>There are no special circumstances. More specifically, this information collection does not do any of the following:</w:t>
      </w:r>
    </w:p>
    <w:p w:rsidR="00603E31" w:rsidRPr="003532E6" w:rsidRDefault="00603E31" w:rsidP="00603E31">
      <w:pPr>
        <w:pStyle w:val="Body2"/>
      </w:pPr>
    </w:p>
    <w:p w:rsidR="00603E31" w:rsidRPr="003532E6" w:rsidRDefault="00603E31" w:rsidP="00603E31">
      <w:pPr>
        <w:pStyle w:val="Body2"/>
      </w:pPr>
      <w:r w:rsidRPr="003532E6">
        <w:t>-Require respondents to report information to the agency more often than quarterly;</w:t>
      </w:r>
    </w:p>
    <w:p w:rsidR="00603E31" w:rsidRPr="003532E6" w:rsidRDefault="00603E31" w:rsidP="00603E31">
      <w:pPr>
        <w:pStyle w:val="Body2"/>
      </w:pPr>
      <w:r w:rsidRPr="003532E6">
        <w:t>-Require respondents to prepare a written response to a collection of information in fewer than 30 days after receipt of it;</w:t>
      </w:r>
    </w:p>
    <w:p w:rsidR="00603E31" w:rsidRPr="003532E6" w:rsidRDefault="00603E31" w:rsidP="00603E31">
      <w:pPr>
        <w:pStyle w:val="Body2"/>
      </w:pPr>
      <w:r w:rsidRPr="003532E6">
        <w:t>-Require respondents to submit more than an original and two copies of any document;</w:t>
      </w:r>
    </w:p>
    <w:p w:rsidR="00603E31" w:rsidRPr="003532E6" w:rsidRDefault="00603E31" w:rsidP="00603E31">
      <w:pPr>
        <w:pStyle w:val="Body2"/>
      </w:pPr>
      <w:r w:rsidRPr="003532E6">
        <w:t>-Require respondents to retain records, other than health, medical, government contract, grant-in-aid, or tax records for more than three years;</w:t>
      </w:r>
    </w:p>
    <w:p w:rsidR="00603E31" w:rsidRPr="003532E6" w:rsidRDefault="00603E31" w:rsidP="00603E31">
      <w:pPr>
        <w:pStyle w:val="Body2"/>
      </w:pPr>
      <w:r w:rsidRPr="003532E6">
        <w:t>-Is connected with a statistical survey that is not designed to produce valid and reliable results that can be generalized to the universe of study,</w:t>
      </w:r>
    </w:p>
    <w:p w:rsidR="00603E31" w:rsidRPr="003532E6" w:rsidRDefault="00603E31" w:rsidP="00603E31">
      <w:pPr>
        <w:pStyle w:val="Body2"/>
      </w:pPr>
      <w:r w:rsidRPr="003532E6">
        <w:t>-Require the use of a statistical data classification that has not been reviewed and approved by OMB;</w:t>
      </w:r>
    </w:p>
    <w:p w:rsidR="00603E31" w:rsidRPr="003532E6" w:rsidRDefault="00603E31" w:rsidP="00603E31">
      <w:pPr>
        <w:pStyle w:val="Body2"/>
      </w:pPr>
      <w:r w:rsidRPr="003532E6">
        <w:t>-Include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603E31" w:rsidRPr="003532E6" w:rsidRDefault="00603E31" w:rsidP="00603E31">
      <w:pPr>
        <w:pStyle w:val="Body2"/>
      </w:pPr>
      <w:r w:rsidRPr="003532E6">
        <w:t>-Require respondents to submit proprietary trade secret, or other confidential information unless the agency can demonstrate that it has instituted procedures to protect die information's confidentiality to the extent permitted by law.</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60F4">
        <w:rPr>
          <w:sz w:val="24"/>
        </w:rPr>
        <w:t>8.</w:t>
      </w:r>
      <w:r w:rsidRPr="006B60F4">
        <w:rPr>
          <w:sz w:val="24"/>
        </w:rPr>
        <w:tab/>
      </w:r>
      <w:r w:rsidRPr="006B60F4">
        <w:rPr>
          <w:sz w:val="24"/>
          <w:u w:val="single"/>
        </w:rPr>
        <w:t>Federal Register/Outside Consultation</w:t>
      </w:r>
    </w:p>
    <w:p w:rsidR="008F1EB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645BD" w:rsidRDefault="00F645BD" w:rsidP="00F64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645BD">
        <w:rPr>
          <w:sz w:val="24"/>
        </w:rPr>
        <w:t xml:space="preserve">At the time of </w:t>
      </w:r>
      <w:r w:rsidR="00034FF6">
        <w:rPr>
          <w:sz w:val="24"/>
        </w:rPr>
        <w:t>our</w:t>
      </w:r>
      <w:r w:rsidRPr="00F645BD">
        <w:rPr>
          <w:sz w:val="24"/>
        </w:rPr>
        <w:t xml:space="preserve"> proposed rule's </w:t>
      </w:r>
      <w:r>
        <w:rPr>
          <w:sz w:val="24"/>
        </w:rPr>
        <w:t xml:space="preserve">(RIN 0938-AT59) </w:t>
      </w:r>
      <w:r w:rsidRPr="00F645BD">
        <w:rPr>
          <w:sz w:val="24"/>
        </w:rPr>
        <w:t>publication date</w:t>
      </w:r>
      <w:r>
        <w:rPr>
          <w:sz w:val="24"/>
        </w:rPr>
        <w:t xml:space="preserve"> (</w:t>
      </w:r>
      <w:r w:rsidRPr="00F645BD">
        <w:rPr>
          <w:sz w:val="24"/>
        </w:rPr>
        <w:t>November 1, 2018</w:t>
      </w:r>
      <w:r>
        <w:rPr>
          <w:sz w:val="24"/>
        </w:rPr>
        <w:t>; 83 FR 54982)</w:t>
      </w:r>
      <w:r w:rsidRPr="00F645BD">
        <w:rPr>
          <w:sz w:val="24"/>
        </w:rPr>
        <w:t>, we did not fina</w:t>
      </w:r>
      <w:r>
        <w:rPr>
          <w:sz w:val="24"/>
        </w:rPr>
        <w:t>lize the operational aspects of the provisions proposed under §</w:t>
      </w:r>
      <w:r w:rsidRPr="00F645BD">
        <w:rPr>
          <w:sz w:val="24"/>
        </w:rPr>
        <w:t xml:space="preserve">423.153(g). Therefore, we did not set out such burden or request comment in the Collection of Information section of that rule. However, since that time, we have finalized the operational aspects and published a stand-alone 60-day Federal Register notice that set out the requirements and burden associated with the request and attestation (November 30, 2018; 83 FR 61638). </w:t>
      </w:r>
    </w:p>
    <w:p w:rsidR="00F645BD" w:rsidRDefault="00F645BD" w:rsidP="00F64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409AB" w:rsidRDefault="004409AB" w:rsidP="004409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409AB">
        <w:rPr>
          <w:sz w:val="24"/>
        </w:rPr>
        <w:t xml:space="preserve">While </w:t>
      </w:r>
      <w:r>
        <w:rPr>
          <w:sz w:val="24"/>
        </w:rPr>
        <w:t xml:space="preserve">the stand alone package </w:t>
      </w:r>
      <w:r w:rsidRPr="004409AB">
        <w:rPr>
          <w:sz w:val="24"/>
        </w:rPr>
        <w:t>received a few comments, none of them were related to the PRA or any of our collection of information requirements or burden estimates.</w:t>
      </w:r>
    </w:p>
    <w:p w:rsidR="004409AB" w:rsidRDefault="004409AB" w:rsidP="00F64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645BD" w:rsidRDefault="00F645BD" w:rsidP="00F645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645BD">
        <w:rPr>
          <w:sz w:val="24"/>
        </w:rPr>
        <w:t xml:space="preserve">We </w:t>
      </w:r>
      <w:r>
        <w:rPr>
          <w:sz w:val="24"/>
        </w:rPr>
        <w:t xml:space="preserve">have </w:t>
      </w:r>
      <w:r w:rsidRPr="00F645BD">
        <w:rPr>
          <w:sz w:val="24"/>
        </w:rPr>
        <w:t>realign</w:t>
      </w:r>
      <w:r>
        <w:rPr>
          <w:sz w:val="24"/>
        </w:rPr>
        <w:t>ed</w:t>
      </w:r>
      <w:r w:rsidRPr="00F645BD">
        <w:rPr>
          <w:sz w:val="24"/>
        </w:rPr>
        <w:t xml:space="preserve"> the proposed </w:t>
      </w:r>
      <w:r w:rsidR="00570067">
        <w:rPr>
          <w:sz w:val="24"/>
        </w:rPr>
        <w:t xml:space="preserve">(November 1, 2018) and the stand-alone (November 30, 2018) </w:t>
      </w:r>
      <w:r w:rsidRPr="00F645BD">
        <w:rPr>
          <w:sz w:val="24"/>
        </w:rPr>
        <w:t>provision</w:t>
      </w:r>
      <w:r w:rsidR="00034FF6">
        <w:rPr>
          <w:sz w:val="24"/>
        </w:rPr>
        <w:t>s</w:t>
      </w:r>
      <w:r w:rsidRPr="00F645BD">
        <w:rPr>
          <w:sz w:val="24"/>
        </w:rPr>
        <w:t xml:space="preserve"> with th</w:t>
      </w:r>
      <w:r>
        <w:rPr>
          <w:sz w:val="24"/>
        </w:rPr>
        <w:t>e</w:t>
      </w:r>
      <w:r w:rsidRPr="00F645BD">
        <w:rPr>
          <w:sz w:val="24"/>
        </w:rPr>
        <w:t xml:space="preserve"> </w:t>
      </w:r>
      <w:r>
        <w:rPr>
          <w:sz w:val="24"/>
        </w:rPr>
        <w:t xml:space="preserve">April 16, 2019 (84 FR 15680) </w:t>
      </w:r>
      <w:r w:rsidRPr="00F645BD">
        <w:rPr>
          <w:sz w:val="24"/>
        </w:rPr>
        <w:t xml:space="preserve">final rulemaking by setting out such requirements and burden </w:t>
      </w:r>
      <w:r>
        <w:rPr>
          <w:sz w:val="24"/>
        </w:rPr>
        <w:t>in that rule.</w:t>
      </w:r>
    </w:p>
    <w:p w:rsidR="004409AB" w:rsidRPr="006B60F4" w:rsidRDefault="004409AB"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60F4">
        <w:rPr>
          <w:sz w:val="24"/>
        </w:rPr>
        <w:t>9.</w:t>
      </w:r>
      <w:r w:rsidRPr="006B60F4">
        <w:rPr>
          <w:sz w:val="24"/>
        </w:rPr>
        <w:tab/>
      </w:r>
      <w:r w:rsidRPr="006B60F4">
        <w:rPr>
          <w:sz w:val="24"/>
          <w:u w:val="single"/>
        </w:rPr>
        <w:t>Payments/Gifts to Respondents</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4051BC"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B60F4">
        <w:rPr>
          <w:sz w:val="24"/>
        </w:rPr>
        <w:t xml:space="preserve">There are no payments/gifts to respondents. </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8F1EB4" w:rsidP="00183E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60F4">
        <w:rPr>
          <w:sz w:val="24"/>
        </w:rPr>
        <w:t>10.</w:t>
      </w:r>
      <w:r w:rsidRPr="006B60F4">
        <w:rPr>
          <w:sz w:val="24"/>
        </w:rPr>
        <w:tab/>
      </w:r>
      <w:r w:rsidRPr="006B60F4">
        <w:rPr>
          <w:sz w:val="24"/>
          <w:u w:val="single"/>
        </w:rPr>
        <w:t>Confidentiality</w:t>
      </w:r>
    </w:p>
    <w:p w:rsidR="000F3AF4" w:rsidRPr="006B60F4" w:rsidRDefault="000F3AF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4051BC"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B60F4">
        <w:rPr>
          <w:sz w:val="24"/>
        </w:rPr>
        <w:t>There are no</w:t>
      </w:r>
      <w:r w:rsidR="008F1EB4" w:rsidRPr="006B60F4">
        <w:rPr>
          <w:sz w:val="24"/>
        </w:rPr>
        <w:t xml:space="preserve"> assurance</w:t>
      </w:r>
      <w:r w:rsidRPr="006B60F4">
        <w:rPr>
          <w:sz w:val="24"/>
        </w:rPr>
        <w:t>s</w:t>
      </w:r>
      <w:r w:rsidR="008F1EB4" w:rsidRPr="006B60F4">
        <w:rPr>
          <w:sz w:val="24"/>
        </w:rPr>
        <w:t xml:space="preserve"> of confidentiality provided to respondents.</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8F1EB4" w:rsidP="00183E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60F4">
        <w:rPr>
          <w:sz w:val="24"/>
        </w:rPr>
        <w:t>11.</w:t>
      </w:r>
      <w:r w:rsidRPr="006B60F4">
        <w:rPr>
          <w:sz w:val="24"/>
        </w:rPr>
        <w:tab/>
      </w:r>
      <w:r w:rsidRPr="006B60F4">
        <w:rPr>
          <w:sz w:val="24"/>
          <w:u w:val="single"/>
        </w:rPr>
        <w:t>Sensitive Questions</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4051BC"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B60F4">
        <w:rPr>
          <w:sz w:val="24"/>
        </w:rPr>
        <w:t xml:space="preserve">There are no sensitive questions. </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Pr="006B60F4" w:rsidRDefault="008F1EB4" w:rsidP="00183E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6B60F4">
        <w:rPr>
          <w:sz w:val="24"/>
        </w:rPr>
        <w:t>12.</w:t>
      </w:r>
      <w:r w:rsidRPr="006B60F4">
        <w:rPr>
          <w:sz w:val="24"/>
        </w:rPr>
        <w:tab/>
      </w:r>
      <w:r w:rsidRPr="006B60F4">
        <w:rPr>
          <w:sz w:val="24"/>
          <w:u w:val="single"/>
        </w:rPr>
        <w:t>Burden Estimates (Hours &amp; Wages)</w:t>
      </w:r>
    </w:p>
    <w:p w:rsidR="008F1EB4" w:rsidRPr="006B60F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22D9D" w:rsidRPr="006B60F4" w:rsidRDefault="00422D9D"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6B60F4">
        <w:rPr>
          <w:i/>
          <w:sz w:val="24"/>
        </w:rPr>
        <w:t>Wages</w:t>
      </w:r>
    </w:p>
    <w:p w:rsidR="00422D9D" w:rsidRPr="006B60F4" w:rsidRDefault="00422D9D"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22D9D" w:rsidRPr="006B60F4" w:rsidRDefault="00422D9D"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B60F4">
        <w:rPr>
          <w:sz w:val="24"/>
        </w:rPr>
        <w:t>To derive average costs, we used data from the U.S. Bureau of La</w:t>
      </w:r>
      <w:r w:rsidR="004326CB">
        <w:rPr>
          <w:sz w:val="24"/>
        </w:rPr>
        <w:t>bor Statistics’ May 2018</w:t>
      </w:r>
      <w:r w:rsidRPr="006B60F4">
        <w:rPr>
          <w:sz w:val="24"/>
        </w:rPr>
        <w:t xml:space="preserve"> National Occupational Employment and Wage Estimates for all salary estimates (</w:t>
      </w:r>
      <w:hyperlink r:id="rId8" w:history="1">
        <w:r w:rsidRPr="006B60F4">
          <w:rPr>
            <w:rStyle w:val="Hyperlink"/>
            <w:sz w:val="24"/>
          </w:rPr>
          <w:t>http://www.bls.gov/oes/current/oes_nat.htm</w:t>
        </w:r>
      </w:hyperlink>
      <w:r w:rsidRPr="006B60F4">
        <w:rPr>
          <w:sz w:val="24"/>
        </w:rPr>
        <w:t>). In this regard, the following table presents the mean hourly wage, the cost of fringe benefits (calculated at 100 percent of salary), and the adjusted hourly wage.</w:t>
      </w:r>
    </w:p>
    <w:p w:rsidR="00422D9D" w:rsidRPr="006B60F4" w:rsidRDefault="00422D9D"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353E6" w:rsidRPr="006B60F4" w:rsidRDefault="00B353E6" w:rsidP="00B353E6">
      <w:pPr>
        <w:pStyle w:val="BodyA"/>
        <w:keepNext/>
        <w:tabs>
          <w:tab w:val="left" w:pos="1323"/>
        </w:tabs>
        <w:ind w:left="450"/>
        <w:jc w:val="center"/>
        <w:rPr>
          <w:rFonts w:ascii="Times New Roman" w:eastAsia="Times New Roman" w:hAnsi="Times New Roman" w:cs="Times New Roman"/>
          <w:b/>
          <w:u w:val="single"/>
        </w:rPr>
      </w:pPr>
      <w:r w:rsidRPr="006B60F4">
        <w:rPr>
          <w:rFonts w:ascii="Times New Roman" w:hAnsi="Times New Roman" w:cs="Times New Roman"/>
          <w:b/>
          <w:lang w:val="en-US"/>
        </w:rPr>
        <w:t>Occupation Titles and Wage Rates*</w:t>
      </w:r>
    </w:p>
    <w:tbl>
      <w:tblPr>
        <w:tblW w:w="957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5"/>
        <w:gridCol w:w="1915"/>
        <w:gridCol w:w="1915"/>
        <w:gridCol w:w="1915"/>
        <w:gridCol w:w="1916"/>
      </w:tblGrid>
      <w:tr w:rsidR="00B353E6" w:rsidRPr="004326CB" w:rsidTr="00AC3A20">
        <w:trPr>
          <w:trHeight w:val="900"/>
          <w:tblHeader/>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53E6" w:rsidRPr="004326CB" w:rsidRDefault="00B353E6" w:rsidP="00AC3A20">
            <w:pPr>
              <w:pStyle w:val="BodyA"/>
              <w:keepNext/>
              <w:jc w:val="center"/>
              <w:rPr>
                <w:rFonts w:ascii="Times New Roman" w:hAnsi="Times New Roman" w:cs="Times New Roman"/>
                <w:b/>
                <w:sz w:val="20"/>
                <w:szCs w:val="20"/>
              </w:rPr>
            </w:pPr>
            <w:r w:rsidRPr="004326CB">
              <w:rPr>
                <w:rFonts w:ascii="Times New Roman" w:hAnsi="Times New Roman" w:cs="Times New Roman"/>
                <w:b/>
                <w:sz w:val="20"/>
                <w:szCs w:val="20"/>
                <w:lang w:val="en-US"/>
              </w:rPr>
              <w:t>Occupation Title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53E6" w:rsidRPr="004326CB" w:rsidRDefault="00B353E6" w:rsidP="00AC3A20">
            <w:pPr>
              <w:pStyle w:val="BodyA"/>
              <w:keepNext/>
              <w:jc w:val="center"/>
              <w:rPr>
                <w:rFonts w:ascii="Times New Roman" w:hAnsi="Times New Roman" w:cs="Times New Roman"/>
                <w:b/>
                <w:sz w:val="20"/>
                <w:szCs w:val="20"/>
              </w:rPr>
            </w:pPr>
            <w:r w:rsidRPr="004326CB">
              <w:rPr>
                <w:rFonts w:ascii="Times New Roman" w:hAnsi="Times New Roman" w:cs="Times New Roman"/>
                <w:b/>
                <w:sz w:val="20"/>
                <w:szCs w:val="20"/>
                <w:lang w:val="en-US"/>
              </w:rPr>
              <w:t>Occupation Code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53E6" w:rsidRPr="004326CB" w:rsidRDefault="00B353E6" w:rsidP="004326CB">
            <w:pPr>
              <w:pStyle w:val="BodyA"/>
              <w:keepNext/>
              <w:jc w:val="center"/>
              <w:rPr>
                <w:rFonts w:ascii="Times New Roman" w:hAnsi="Times New Roman" w:cs="Times New Roman"/>
                <w:b/>
                <w:sz w:val="20"/>
                <w:szCs w:val="20"/>
              </w:rPr>
            </w:pPr>
            <w:r w:rsidRPr="004326CB">
              <w:rPr>
                <w:rFonts w:ascii="Times New Roman" w:hAnsi="Times New Roman" w:cs="Times New Roman"/>
                <w:b/>
                <w:sz w:val="20"/>
                <w:szCs w:val="20"/>
                <w:lang w:val="en-US"/>
              </w:rPr>
              <w:t>Mean Hourly Wage($/hr)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53E6" w:rsidRPr="004326CB" w:rsidRDefault="00B353E6" w:rsidP="00AC3A20">
            <w:pPr>
              <w:pStyle w:val="BodyA"/>
              <w:keepNext/>
              <w:jc w:val="center"/>
              <w:rPr>
                <w:rFonts w:ascii="Times New Roman" w:hAnsi="Times New Roman" w:cs="Times New Roman"/>
                <w:b/>
                <w:sz w:val="20"/>
                <w:szCs w:val="20"/>
              </w:rPr>
            </w:pPr>
            <w:r w:rsidRPr="004326CB">
              <w:rPr>
                <w:rFonts w:ascii="Times New Roman" w:hAnsi="Times New Roman" w:cs="Times New Roman"/>
                <w:b/>
                <w:sz w:val="20"/>
                <w:szCs w:val="20"/>
                <w:lang w:val="en-US"/>
              </w:rPr>
              <w:t>Fringe Benefit ($/hr)</w:t>
            </w:r>
            <w:r w:rsidRPr="004326CB" w:rsidDel="001432CF">
              <w:rPr>
                <w:rFonts w:ascii="Times New Roman" w:hAnsi="Times New Roman" w:cs="Times New Roman"/>
                <w:b/>
                <w:sz w:val="20"/>
                <w:szCs w:val="20"/>
                <w:lang w:val="en-US"/>
              </w:rPr>
              <w:t xml:space="preserve"> </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53E6" w:rsidRPr="004326CB" w:rsidRDefault="00B353E6" w:rsidP="00AC3A20">
            <w:pPr>
              <w:pStyle w:val="BodyA"/>
              <w:keepNext/>
              <w:jc w:val="center"/>
              <w:rPr>
                <w:rFonts w:ascii="Times New Roman" w:hAnsi="Times New Roman" w:cs="Times New Roman"/>
                <w:b/>
                <w:sz w:val="20"/>
                <w:szCs w:val="20"/>
              </w:rPr>
            </w:pPr>
            <w:r w:rsidRPr="004326CB">
              <w:rPr>
                <w:rFonts w:ascii="Times New Roman" w:hAnsi="Times New Roman" w:cs="Times New Roman"/>
                <w:b/>
                <w:sz w:val="20"/>
                <w:szCs w:val="20"/>
                <w:lang w:val="en-US"/>
              </w:rPr>
              <w:t>Adjusted Hourly Wage($/hr)</w:t>
            </w:r>
          </w:p>
        </w:tc>
      </w:tr>
      <w:tr w:rsidR="00B353E6" w:rsidRPr="004326CB" w:rsidTr="00AC3A20">
        <w:trPr>
          <w:trHeight w:val="747"/>
          <w:jc w:val="center"/>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353E6" w:rsidRPr="004326CB" w:rsidRDefault="00B353E6" w:rsidP="00AC3A20">
            <w:pPr>
              <w:pStyle w:val="BodyA"/>
              <w:keepNext/>
              <w:rPr>
                <w:rFonts w:ascii="Times New Roman" w:hAnsi="Times New Roman" w:cs="Times New Roman"/>
                <w:sz w:val="20"/>
                <w:szCs w:val="20"/>
              </w:rPr>
            </w:pPr>
            <w:r w:rsidRPr="004326CB">
              <w:rPr>
                <w:rFonts w:ascii="Times New Roman" w:hAnsi="Times New Roman" w:cs="Times New Roman"/>
                <w:sz w:val="20"/>
                <w:szCs w:val="20"/>
                <w:lang w:val="en-US"/>
              </w:rPr>
              <w:t>Business Operations Specialist</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53E6" w:rsidRPr="004326CB" w:rsidRDefault="00B353E6" w:rsidP="001A3D02">
            <w:pPr>
              <w:pStyle w:val="BodyA"/>
              <w:keepNext/>
              <w:jc w:val="center"/>
              <w:rPr>
                <w:rFonts w:ascii="Times New Roman" w:hAnsi="Times New Roman" w:cs="Times New Roman"/>
                <w:sz w:val="20"/>
                <w:szCs w:val="20"/>
              </w:rPr>
            </w:pPr>
            <w:r w:rsidRPr="004326CB">
              <w:rPr>
                <w:rFonts w:ascii="Times New Roman" w:hAnsi="Times New Roman" w:cs="Times New Roman"/>
                <w:sz w:val="20"/>
                <w:szCs w:val="20"/>
                <w:lang w:val="en-US"/>
              </w:rPr>
              <w:t>13-</w:t>
            </w:r>
            <w:r w:rsidR="001A3D02" w:rsidRPr="004326CB">
              <w:rPr>
                <w:rFonts w:ascii="Times New Roman" w:hAnsi="Times New Roman" w:cs="Times New Roman"/>
                <w:sz w:val="20"/>
                <w:szCs w:val="20"/>
                <w:lang w:val="en-US"/>
              </w:rPr>
              <w:t>1199</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53E6" w:rsidRPr="004326CB" w:rsidRDefault="00B353E6" w:rsidP="001A3D02">
            <w:pPr>
              <w:pStyle w:val="BodyA"/>
              <w:keepNext/>
              <w:jc w:val="center"/>
              <w:rPr>
                <w:rFonts w:ascii="Times New Roman" w:hAnsi="Times New Roman" w:cs="Times New Roman"/>
                <w:sz w:val="20"/>
                <w:szCs w:val="20"/>
              </w:rPr>
            </w:pPr>
            <w:r w:rsidRPr="004326CB">
              <w:rPr>
                <w:rFonts w:ascii="Times New Roman" w:hAnsi="Times New Roman" w:cs="Times New Roman"/>
                <w:sz w:val="20"/>
                <w:szCs w:val="20"/>
                <w:lang w:val="en-US"/>
              </w:rPr>
              <w:t>3</w:t>
            </w:r>
            <w:r w:rsidR="004326CB">
              <w:rPr>
                <w:rFonts w:ascii="Times New Roman" w:hAnsi="Times New Roman" w:cs="Times New Roman"/>
                <w:sz w:val="20"/>
                <w:szCs w:val="20"/>
                <w:lang w:val="en-US"/>
              </w:rPr>
              <w:t>7.00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53E6" w:rsidRPr="004326CB" w:rsidRDefault="001A3D02" w:rsidP="004326CB">
            <w:pPr>
              <w:pStyle w:val="BodyA"/>
              <w:keepNext/>
              <w:jc w:val="center"/>
              <w:rPr>
                <w:rFonts w:ascii="Times New Roman" w:hAnsi="Times New Roman" w:cs="Times New Roman"/>
                <w:sz w:val="20"/>
                <w:szCs w:val="20"/>
              </w:rPr>
            </w:pPr>
            <w:r w:rsidRPr="004326CB">
              <w:rPr>
                <w:rFonts w:ascii="Times New Roman" w:hAnsi="Times New Roman" w:cs="Times New Roman"/>
                <w:sz w:val="20"/>
                <w:szCs w:val="20"/>
                <w:lang w:val="en-US"/>
              </w:rPr>
              <w:t>3</w:t>
            </w:r>
            <w:r w:rsidR="004326CB">
              <w:rPr>
                <w:rFonts w:ascii="Times New Roman" w:hAnsi="Times New Roman" w:cs="Times New Roman"/>
                <w:sz w:val="20"/>
                <w:szCs w:val="20"/>
                <w:lang w:val="en-US"/>
              </w:rPr>
              <w:t>7.00</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353E6" w:rsidRPr="004326CB" w:rsidRDefault="001A3D02" w:rsidP="004326CB">
            <w:pPr>
              <w:pStyle w:val="BodyA"/>
              <w:keepNext/>
              <w:jc w:val="center"/>
              <w:rPr>
                <w:rFonts w:ascii="Times New Roman" w:hAnsi="Times New Roman" w:cs="Times New Roman"/>
                <w:sz w:val="20"/>
                <w:szCs w:val="20"/>
              </w:rPr>
            </w:pPr>
            <w:r w:rsidRPr="004326CB">
              <w:rPr>
                <w:rFonts w:ascii="Times New Roman" w:hAnsi="Times New Roman" w:cs="Times New Roman"/>
                <w:sz w:val="20"/>
                <w:szCs w:val="20"/>
                <w:lang w:val="en-US"/>
              </w:rPr>
              <w:t>7</w:t>
            </w:r>
            <w:r w:rsidR="004326CB">
              <w:rPr>
                <w:rFonts w:ascii="Times New Roman" w:hAnsi="Times New Roman" w:cs="Times New Roman"/>
                <w:sz w:val="20"/>
                <w:szCs w:val="20"/>
                <w:lang w:val="en-US"/>
              </w:rPr>
              <w:t>4.00</w:t>
            </w:r>
          </w:p>
        </w:tc>
      </w:tr>
    </w:tbl>
    <w:p w:rsidR="00422D9D" w:rsidRDefault="00422D9D"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22D9D" w:rsidRDefault="004F48AD"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F48AD">
        <w:rPr>
          <w:sz w:val="24"/>
        </w:rP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w:t>
      </w:r>
      <w:r>
        <w:rPr>
          <w:sz w:val="24"/>
        </w:rPr>
        <w:t>W</w:t>
      </w:r>
      <w:r w:rsidRPr="004F48AD">
        <w:rPr>
          <w:sz w:val="24"/>
        </w:rPr>
        <w:t>e believe that doubling the hourly wage to estimate total cost is a reasonably accurate estimation method.</w:t>
      </w:r>
    </w:p>
    <w:p w:rsidR="00422D9D" w:rsidRDefault="00422D9D"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22D9D" w:rsidRPr="00422D9D" w:rsidRDefault="00422D9D"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422D9D">
        <w:rPr>
          <w:i/>
          <w:sz w:val="24"/>
        </w:rPr>
        <w:t>Requirements and Associated Burden</w:t>
      </w:r>
      <w:r w:rsidR="006A4231">
        <w:rPr>
          <w:i/>
          <w:sz w:val="24"/>
        </w:rPr>
        <w:t xml:space="preserve"> Estimates</w:t>
      </w:r>
    </w:p>
    <w:p w:rsidR="00422D9D" w:rsidRDefault="00422D9D"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33C80" w:rsidRDefault="00933C80" w:rsidP="00183EDE">
      <w:pPr>
        <w:widowControl/>
        <w:rPr>
          <w:sz w:val="24"/>
        </w:rPr>
      </w:pPr>
      <w:r>
        <w:rPr>
          <w:sz w:val="24"/>
        </w:rPr>
        <w:t>Section</w:t>
      </w:r>
      <w:r w:rsidRPr="007977EA">
        <w:rPr>
          <w:sz w:val="24"/>
        </w:rPr>
        <w:t xml:space="preserve"> </w:t>
      </w:r>
      <w:r>
        <w:rPr>
          <w:sz w:val="24"/>
        </w:rPr>
        <w:t xml:space="preserve">423.153(g)(1)(i) </w:t>
      </w:r>
      <w:r>
        <w:rPr>
          <w:bCs/>
          <w:sz w:val="24"/>
        </w:rPr>
        <w:t xml:space="preserve">states that beginning </w:t>
      </w:r>
      <w:r w:rsidRPr="006F5CA6">
        <w:rPr>
          <w:sz w:val="24"/>
        </w:rPr>
        <w:t>in plan year 2020, a PDP sponsor may</w:t>
      </w:r>
      <w:r>
        <w:rPr>
          <w:sz w:val="24"/>
        </w:rPr>
        <w:t xml:space="preserve"> </w:t>
      </w:r>
      <w:r w:rsidRPr="006F5CA6">
        <w:rPr>
          <w:sz w:val="24"/>
        </w:rPr>
        <w:t xml:space="preserve">submit a request to CMS for </w:t>
      </w:r>
      <w:r w:rsidR="00FA327E">
        <w:rPr>
          <w:sz w:val="24"/>
        </w:rPr>
        <w:t>claims</w:t>
      </w:r>
      <w:r w:rsidRPr="006F5CA6">
        <w:rPr>
          <w:sz w:val="24"/>
        </w:rPr>
        <w:t xml:space="preserve"> data</w:t>
      </w:r>
      <w:r>
        <w:rPr>
          <w:sz w:val="24"/>
        </w:rPr>
        <w:t xml:space="preserve"> </w:t>
      </w:r>
      <w:r w:rsidR="001E4E8E">
        <w:rPr>
          <w:sz w:val="24"/>
        </w:rPr>
        <w:t>on</w:t>
      </w:r>
      <w:r w:rsidRPr="006F5CA6">
        <w:rPr>
          <w:sz w:val="24"/>
        </w:rPr>
        <w:t xml:space="preserve"> enrollees in its</w:t>
      </w:r>
      <w:r>
        <w:rPr>
          <w:sz w:val="24"/>
        </w:rPr>
        <w:t xml:space="preserve"> </w:t>
      </w:r>
      <w:r w:rsidRPr="006F5CA6">
        <w:rPr>
          <w:sz w:val="24"/>
        </w:rPr>
        <w:t>prescription drug plans.</w:t>
      </w:r>
      <w:r>
        <w:rPr>
          <w:sz w:val="24"/>
        </w:rPr>
        <w:t xml:space="preserve"> In addition, §423.153(g)(5)</w:t>
      </w:r>
      <w:r w:rsidRPr="007977EA">
        <w:rPr>
          <w:sz w:val="24"/>
        </w:rPr>
        <w:t xml:space="preserve"> </w:t>
      </w:r>
      <w:r w:rsidRPr="005A66F0">
        <w:rPr>
          <w:sz w:val="24"/>
        </w:rPr>
        <w:t>provides that as a condition of receiving the</w:t>
      </w:r>
      <w:r>
        <w:rPr>
          <w:sz w:val="24"/>
        </w:rPr>
        <w:t xml:space="preserve"> </w:t>
      </w:r>
      <w:r w:rsidRPr="005A66F0">
        <w:rPr>
          <w:sz w:val="24"/>
        </w:rPr>
        <w:t>requested data, the PDP sponsor must</w:t>
      </w:r>
      <w:r>
        <w:rPr>
          <w:sz w:val="24"/>
        </w:rPr>
        <w:t xml:space="preserve"> </w:t>
      </w:r>
      <w:r w:rsidRPr="005A66F0">
        <w:rPr>
          <w:sz w:val="24"/>
        </w:rPr>
        <w:t>attest that it will adhere to the permitted</w:t>
      </w:r>
      <w:r>
        <w:rPr>
          <w:sz w:val="24"/>
        </w:rPr>
        <w:t xml:space="preserve"> </w:t>
      </w:r>
      <w:r w:rsidRPr="005A66F0">
        <w:rPr>
          <w:sz w:val="24"/>
        </w:rPr>
        <w:t>uses and limitations on the use of the</w:t>
      </w:r>
      <w:r>
        <w:rPr>
          <w:sz w:val="24"/>
        </w:rPr>
        <w:t xml:space="preserve"> </w:t>
      </w:r>
      <w:r w:rsidRPr="005A66F0">
        <w:rPr>
          <w:sz w:val="24"/>
        </w:rPr>
        <w:t xml:space="preserve">Medicare claims data </w:t>
      </w:r>
      <w:r w:rsidR="001E4E8E">
        <w:rPr>
          <w:sz w:val="24"/>
        </w:rPr>
        <w:t xml:space="preserve">.We anticipate that the data request and attestation will be combined into a single submission. </w:t>
      </w:r>
      <w:r>
        <w:rPr>
          <w:sz w:val="24"/>
        </w:rPr>
        <w:t>W</w:t>
      </w:r>
      <w:r w:rsidRPr="007977EA">
        <w:rPr>
          <w:sz w:val="24"/>
        </w:rPr>
        <w:t xml:space="preserve">e estimate it will take a </w:t>
      </w:r>
      <w:r w:rsidR="002755B9">
        <w:rPr>
          <w:sz w:val="24"/>
        </w:rPr>
        <w:t>b</w:t>
      </w:r>
      <w:r w:rsidR="002755B9" w:rsidRPr="002755B9">
        <w:rPr>
          <w:sz w:val="24"/>
        </w:rPr>
        <w:t xml:space="preserve">usiness </w:t>
      </w:r>
      <w:r w:rsidR="002755B9">
        <w:rPr>
          <w:sz w:val="24"/>
        </w:rPr>
        <w:t>o</w:t>
      </w:r>
      <w:r w:rsidR="002755B9" w:rsidRPr="002755B9">
        <w:rPr>
          <w:sz w:val="24"/>
        </w:rPr>
        <w:t xml:space="preserve">perations </w:t>
      </w:r>
      <w:r w:rsidR="002755B9">
        <w:rPr>
          <w:sz w:val="24"/>
        </w:rPr>
        <w:t>s</w:t>
      </w:r>
      <w:r w:rsidR="002755B9" w:rsidRPr="002755B9">
        <w:rPr>
          <w:sz w:val="24"/>
        </w:rPr>
        <w:t>pecialist</w:t>
      </w:r>
      <w:r w:rsidRPr="007977EA">
        <w:rPr>
          <w:sz w:val="24"/>
        </w:rPr>
        <w:t xml:space="preserve"> </w:t>
      </w:r>
      <w:r w:rsidR="000C7708">
        <w:rPr>
          <w:sz w:val="24"/>
        </w:rPr>
        <w:t xml:space="preserve">1 minute at </w:t>
      </w:r>
      <w:r w:rsidRPr="007977EA">
        <w:rPr>
          <w:sz w:val="24"/>
        </w:rPr>
        <w:t>$</w:t>
      </w:r>
      <w:r w:rsidR="00171D31">
        <w:rPr>
          <w:sz w:val="24"/>
        </w:rPr>
        <w:t>74</w:t>
      </w:r>
      <w:r w:rsidR="006A4231">
        <w:rPr>
          <w:sz w:val="24"/>
        </w:rPr>
        <w:t>.00</w:t>
      </w:r>
      <w:r w:rsidR="000C7708">
        <w:rPr>
          <w:sz w:val="24"/>
        </w:rPr>
        <w:t>/hr</w:t>
      </w:r>
      <w:r w:rsidRPr="007977EA">
        <w:rPr>
          <w:sz w:val="24"/>
        </w:rPr>
        <w:t xml:space="preserve"> </w:t>
      </w:r>
      <w:r w:rsidR="001E4E8E">
        <w:rPr>
          <w:sz w:val="24"/>
        </w:rPr>
        <w:t>to complete the request for data and the attestation</w:t>
      </w:r>
      <w:r w:rsidRPr="007977EA">
        <w:rPr>
          <w:sz w:val="24"/>
        </w:rPr>
        <w:t xml:space="preserve">.  </w:t>
      </w:r>
      <w:r w:rsidR="001E4E8E">
        <w:rPr>
          <w:sz w:val="24"/>
        </w:rPr>
        <w:t xml:space="preserve">Currently, there are 63 PDP sponsors and we are including an estimate that would account for all PDP sponsors submitting a request and attestation. </w:t>
      </w:r>
    </w:p>
    <w:p w:rsidR="00F246EC" w:rsidRDefault="00F246EC" w:rsidP="006D7DE6">
      <w:pPr>
        <w:widowControl/>
        <w:rPr>
          <w:sz w:val="24"/>
        </w:rPr>
      </w:pPr>
    </w:p>
    <w:p w:rsidR="00F246EC" w:rsidRDefault="00F246EC" w:rsidP="00183EDE">
      <w:pPr>
        <w:widowControl/>
        <w:rPr>
          <w:sz w:val="24"/>
        </w:rPr>
      </w:pPr>
      <w:r>
        <w:rPr>
          <w:sz w:val="24"/>
        </w:rPr>
        <w:t xml:space="preserve">We also estimate that each year </w:t>
      </w:r>
      <w:r w:rsidR="00171D31">
        <w:rPr>
          <w:sz w:val="24"/>
        </w:rPr>
        <w:t>–at most</w:t>
      </w:r>
      <w:r w:rsidR="00A36E9D">
        <w:rPr>
          <w:sz w:val="24"/>
        </w:rPr>
        <w:t xml:space="preserve"> </w:t>
      </w:r>
      <w:r>
        <w:rPr>
          <w:sz w:val="24"/>
        </w:rPr>
        <w:t xml:space="preserve">5 PDP sponsors </w:t>
      </w:r>
      <w:r w:rsidR="004D1A25">
        <w:rPr>
          <w:sz w:val="24"/>
        </w:rPr>
        <w:t xml:space="preserve">will start </w:t>
      </w:r>
      <w:r>
        <w:rPr>
          <w:sz w:val="24"/>
        </w:rPr>
        <w:t>requesting CMS claims data for its enrollees. W</w:t>
      </w:r>
      <w:r w:rsidRPr="007977EA">
        <w:rPr>
          <w:sz w:val="24"/>
        </w:rPr>
        <w:t xml:space="preserve">e estimate it will take a </w:t>
      </w:r>
      <w:r w:rsidR="002755B9">
        <w:rPr>
          <w:sz w:val="24"/>
        </w:rPr>
        <w:t>b</w:t>
      </w:r>
      <w:r w:rsidR="002755B9" w:rsidRPr="002755B9">
        <w:rPr>
          <w:sz w:val="24"/>
        </w:rPr>
        <w:t xml:space="preserve">usiness </w:t>
      </w:r>
      <w:r w:rsidR="002755B9">
        <w:rPr>
          <w:sz w:val="24"/>
        </w:rPr>
        <w:t>o</w:t>
      </w:r>
      <w:r w:rsidR="002755B9" w:rsidRPr="002755B9">
        <w:rPr>
          <w:sz w:val="24"/>
        </w:rPr>
        <w:t xml:space="preserve">perations </w:t>
      </w:r>
      <w:r w:rsidR="002755B9">
        <w:rPr>
          <w:sz w:val="24"/>
        </w:rPr>
        <w:t>s</w:t>
      </w:r>
      <w:r w:rsidR="002755B9" w:rsidRPr="002755B9">
        <w:rPr>
          <w:sz w:val="24"/>
        </w:rPr>
        <w:t>pecialist</w:t>
      </w:r>
      <w:r w:rsidRPr="007977EA">
        <w:rPr>
          <w:sz w:val="24"/>
        </w:rPr>
        <w:t xml:space="preserve"> </w:t>
      </w:r>
      <w:r w:rsidR="000C7708">
        <w:rPr>
          <w:sz w:val="24"/>
        </w:rPr>
        <w:t xml:space="preserve">1 minute </w:t>
      </w:r>
      <w:r>
        <w:rPr>
          <w:sz w:val="24"/>
        </w:rPr>
        <w:t>to complete the request for data and the attestation</w:t>
      </w:r>
      <w:r w:rsidR="004D1A25">
        <w:rPr>
          <w:sz w:val="24"/>
        </w:rPr>
        <w:t xml:space="preserve">. We also estimate that each year </w:t>
      </w:r>
      <w:r w:rsidR="00171D31">
        <w:rPr>
          <w:sz w:val="24"/>
        </w:rPr>
        <w:t>at most</w:t>
      </w:r>
      <w:r w:rsidR="00154D9D">
        <w:rPr>
          <w:sz w:val="24"/>
        </w:rPr>
        <w:t xml:space="preserve"> 5 </w:t>
      </w:r>
      <w:r w:rsidR="004D1A25">
        <w:rPr>
          <w:sz w:val="24"/>
        </w:rPr>
        <w:t>PD</w:t>
      </w:r>
      <w:r w:rsidR="006F4A7C">
        <w:rPr>
          <w:sz w:val="24"/>
        </w:rPr>
        <w:t>P sponsors</w:t>
      </w:r>
      <w:r w:rsidR="004D1A25">
        <w:rPr>
          <w:sz w:val="24"/>
        </w:rPr>
        <w:t xml:space="preserve"> will request that CMS stop sending claims data for its enrollees. W</w:t>
      </w:r>
      <w:r w:rsidR="004D1A25" w:rsidRPr="007977EA">
        <w:rPr>
          <w:sz w:val="24"/>
        </w:rPr>
        <w:t xml:space="preserve">e estimate it will take a </w:t>
      </w:r>
      <w:r w:rsidR="002755B9">
        <w:rPr>
          <w:sz w:val="24"/>
        </w:rPr>
        <w:t>b</w:t>
      </w:r>
      <w:r w:rsidR="002755B9" w:rsidRPr="002755B9">
        <w:rPr>
          <w:sz w:val="24"/>
        </w:rPr>
        <w:t xml:space="preserve">usiness </w:t>
      </w:r>
      <w:r w:rsidR="002755B9">
        <w:rPr>
          <w:sz w:val="24"/>
        </w:rPr>
        <w:t>o</w:t>
      </w:r>
      <w:r w:rsidR="002755B9" w:rsidRPr="002755B9">
        <w:rPr>
          <w:sz w:val="24"/>
        </w:rPr>
        <w:t xml:space="preserve">perations </w:t>
      </w:r>
      <w:r w:rsidR="002755B9">
        <w:rPr>
          <w:sz w:val="24"/>
        </w:rPr>
        <w:t>s</w:t>
      </w:r>
      <w:r w:rsidR="002755B9" w:rsidRPr="002755B9">
        <w:rPr>
          <w:sz w:val="24"/>
        </w:rPr>
        <w:t>pecialist</w:t>
      </w:r>
      <w:r w:rsidR="004D1A25" w:rsidRPr="007977EA">
        <w:rPr>
          <w:sz w:val="24"/>
        </w:rPr>
        <w:t xml:space="preserve"> </w:t>
      </w:r>
      <w:r w:rsidR="004D1A25">
        <w:rPr>
          <w:sz w:val="24"/>
        </w:rPr>
        <w:t>1 minute</w:t>
      </w:r>
      <w:r w:rsidR="006F4A7C">
        <w:rPr>
          <w:sz w:val="24"/>
        </w:rPr>
        <w:t xml:space="preserve"> to</w:t>
      </w:r>
      <w:r w:rsidR="004D1A25">
        <w:rPr>
          <w:sz w:val="24"/>
        </w:rPr>
        <w:t xml:space="preserve"> submit a request to CMS to stop sending claims data for its enrollees.</w:t>
      </w:r>
    </w:p>
    <w:p w:rsidR="00E73B07" w:rsidRDefault="00E73B07" w:rsidP="006D7DE6">
      <w:pPr>
        <w:widowControl/>
        <w:rPr>
          <w:sz w:val="24"/>
        </w:rPr>
        <w:sectPr w:rsidR="00E73B07">
          <w:footerReference w:type="default" r:id="rId9"/>
          <w:endnotePr>
            <w:numFmt w:val="decimal"/>
          </w:endnotePr>
          <w:type w:val="continuous"/>
          <w:pgSz w:w="12240" w:h="15840"/>
          <w:pgMar w:top="1440" w:right="1296" w:bottom="1440" w:left="1440" w:header="1440" w:footer="1440" w:gutter="0"/>
          <w:cols w:space="720"/>
          <w:noEndnote/>
        </w:sectPr>
      </w:pPr>
    </w:p>
    <w:p w:rsidR="004D1A25" w:rsidRDefault="004D1A25" w:rsidP="006D7DE6">
      <w:pPr>
        <w:widowControl/>
        <w:rPr>
          <w:sz w:val="24"/>
        </w:rPr>
      </w:pPr>
    </w:p>
    <w:p w:rsidR="00390C4D" w:rsidRPr="00390C4D" w:rsidRDefault="00390C4D" w:rsidP="00390C4D">
      <w:pPr>
        <w:widowControl/>
        <w:jc w:val="center"/>
        <w:rPr>
          <w:b/>
          <w:sz w:val="24"/>
        </w:rPr>
      </w:pPr>
      <w:r w:rsidRPr="00390C4D">
        <w:rPr>
          <w:b/>
          <w:sz w:val="24"/>
        </w:rPr>
        <w:t>Burden Summary</w:t>
      </w:r>
    </w:p>
    <w:tbl>
      <w:tblPr>
        <w:tblW w:w="9990" w:type="dxa"/>
        <w:tblInd w:w="-5" w:type="dxa"/>
        <w:tblLayout w:type="fixed"/>
        <w:tblLook w:val="04A0" w:firstRow="1" w:lastRow="0" w:firstColumn="1" w:lastColumn="0" w:noHBand="0" w:noVBand="1"/>
      </w:tblPr>
      <w:tblGrid>
        <w:gridCol w:w="1800"/>
        <w:gridCol w:w="1530"/>
        <w:gridCol w:w="990"/>
        <w:gridCol w:w="1080"/>
        <w:gridCol w:w="1080"/>
        <w:gridCol w:w="1080"/>
        <w:gridCol w:w="864"/>
        <w:gridCol w:w="756"/>
        <w:gridCol w:w="810"/>
      </w:tblGrid>
      <w:tr w:rsidR="00D47F11" w:rsidRPr="00690367" w:rsidTr="00D47F11">
        <w:trPr>
          <w:trHeight w:val="213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690367">
            <w:pPr>
              <w:widowControl/>
              <w:autoSpaceDE/>
              <w:autoSpaceDN/>
              <w:adjustRightInd/>
              <w:jc w:val="center"/>
              <w:rPr>
                <w:b/>
                <w:bCs/>
                <w:color w:val="000000"/>
                <w:szCs w:val="20"/>
              </w:rPr>
            </w:pPr>
            <w:r w:rsidRPr="00690367">
              <w:rPr>
                <w:b/>
                <w:bCs/>
                <w:color w:val="000000"/>
                <w:szCs w:val="20"/>
              </w:rPr>
              <w:t>Regulation Section(s)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690367">
            <w:pPr>
              <w:widowControl/>
              <w:autoSpaceDE/>
              <w:autoSpaceDN/>
              <w:adjustRightInd/>
              <w:jc w:val="center"/>
              <w:rPr>
                <w:b/>
                <w:bCs/>
                <w:color w:val="000000"/>
                <w:szCs w:val="20"/>
              </w:rPr>
            </w:pPr>
            <w:r w:rsidRPr="00690367">
              <w:rPr>
                <w:b/>
                <w:bCs/>
                <w:color w:val="000000"/>
                <w:szCs w:val="20"/>
              </w:rPr>
              <w:t>Summary</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690367">
            <w:pPr>
              <w:widowControl/>
              <w:autoSpaceDE/>
              <w:autoSpaceDN/>
              <w:adjustRightInd/>
              <w:jc w:val="center"/>
              <w:rPr>
                <w:b/>
                <w:bCs/>
                <w:color w:val="000000"/>
                <w:szCs w:val="20"/>
              </w:rPr>
            </w:pPr>
            <w:r w:rsidRPr="00690367">
              <w:rPr>
                <w:b/>
                <w:bCs/>
                <w:color w:val="000000"/>
                <w:szCs w:val="20"/>
              </w:rPr>
              <w:t>No. Respondents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690367">
            <w:pPr>
              <w:widowControl/>
              <w:autoSpaceDE/>
              <w:autoSpaceDN/>
              <w:adjustRightInd/>
              <w:jc w:val="center"/>
              <w:rPr>
                <w:b/>
                <w:bCs/>
                <w:color w:val="000000"/>
                <w:szCs w:val="20"/>
              </w:rPr>
            </w:pPr>
            <w:r w:rsidRPr="00690367">
              <w:rPr>
                <w:b/>
                <w:bCs/>
                <w:color w:val="000000"/>
                <w:szCs w:val="20"/>
              </w:rPr>
              <w:t>Responses (per Respondent)</w:t>
            </w:r>
          </w:p>
        </w:tc>
        <w:tc>
          <w:tcPr>
            <w:tcW w:w="1080" w:type="dxa"/>
            <w:tcBorders>
              <w:top w:val="single" w:sz="4" w:space="0" w:color="auto"/>
              <w:left w:val="single" w:sz="4" w:space="0" w:color="auto"/>
              <w:bottom w:val="single" w:sz="4" w:space="0" w:color="auto"/>
              <w:right w:val="single" w:sz="4" w:space="0" w:color="auto"/>
            </w:tcBorders>
          </w:tcPr>
          <w:p w:rsidR="00D47F11" w:rsidRDefault="00D47F11" w:rsidP="00D47F11">
            <w:pPr>
              <w:autoSpaceDE/>
              <w:autoSpaceDN/>
              <w:adjustRightInd/>
              <w:jc w:val="center"/>
              <w:rPr>
                <w:b/>
                <w:bCs/>
                <w:color w:val="000000"/>
                <w:szCs w:val="20"/>
              </w:rPr>
            </w:pPr>
          </w:p>
          <w:p w:rsidR="00D47F11" w:rsidRDefault="00D47F11" w:rsidP="00D47F11">
            <w:pPr>
              <w:autoSpaceDE/>
              <w:autoSpaceDN/>
              <w:adjustRightInd/>
              <w:jc w:val="center"/>
              <w:rPr>
                <w:b/>
                <w:bCs/>
                <w:color w:val="000000"/>
                <w:szCs w:val="20"/>
              </w:rPr>
            </w:pPr>
          </w:p>
          <w:p w:rsidR="00D47F11" w:rsidRDefault="00D47F11" w:rsidP="00D47F11">
            <w:pPr>
              <w:autoSpaceDE/>
              <w:autoSpaceDN/>
              <w:adjustRightInd/>
              <w:jc w:val="center"/>
              <w:rPr>
                <w:b/>
                <w:bCs/>
                <w:color w:val="000000"/>
                <w:szCs w:val="20"/>
              </w:rPr>
            </w:pPr>
          </w:p>
          <w:p w:rsidR="00D47F11" w:rsidRPr="00690367" w:rsidRDefault="00D47F11" w:rsidP="00D47F11">
            <w:pPr>
              <w:autoSpaceDE/>
              <w:autoSpaceDN/>
              <w:adjustRightInd/>
              <w:jc w:val="center"/>
              <w:rPr>
                <w:b/>
                <w:bCs/>
                <w:color w:val="000000"/>
                <w:szCs w:val="20"/>
              </w:rPr>
            </w:pPr>
            <w:r>
              <w:rPr>
                <w:b/>
                <w:bCs/>
                <w:color w:val="000000"/>
                <w:szCs w:val="20"/>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690367">
            <w:pPr>
              <w:widowControl/>
              <w:autoSpaceDE/>
              <w:autoSpaceDN/>
              <w:adjustRightInd/>
              <w:jc w:val="center"/>
              <w:rPr>
                <w:b/>
                <w:bCs/>
                <w:color w:val="000000"/>
                <w:szCs w:val="20"/>
              </w:rPr>
            </w:pPr>
            <w:r w:rsidRPr="00690367">
              <w:rPr>
                <w:b/>
                <w:bCs/>
                <w:color w:val="000000"/>
                <w:szCs w:val="20"/>
              </w:rPr>
              <w:t>Time (per response) (hours)</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D47F11" w:rsidRPr="00690367" w:rsidRDefault="00D47F11" w:rsidP="00033674">
            <w:pPr>
              <w:widowControl/>
              <w:autoSpaceDE/>
              <w:autoSpaceDN/>
              <w:adjustRightInd/>
              <w:jc w:val="center"/>
              <w:rPr>
                <w:b/>
                <w:bCs/>
                <w:color w:val="000000"/>
                <w:szCs w:val="20"/>
              </w:rPr>
            </w:pPr>
            <w:r w:rsidRPr="00690367">
              <w:rPr>
                <w:b/>
                <w:bCs/>
                <w:color w:val="000000"/>
                <w:szCs w:val="20"/>
              </w:rPr>
              <w:t>Total time (hours)</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D47F11" w:rsidRPr="00690367" w:rsidRDefault="00D47F11" w:rsidP="00690367">
            <w:pPr>
              <w:widowControl/>
              <w:autoSpaceDE/>
              <w:autoSpaceDN/>
              <w:adjustRightInd/>
              <w:jc w:val="center"/>
              <w:rPr>
                <w:b/>
                <w:bCs/>
                <w:color w:val="000000"/>
                <w:szCs w:val="20"/>
              </w:rPr>
            </w:pPr>
            <w:r w:rsidRPr="00690367">
              <w:rPr>
                <w:b/>
                <w:bCs/>
                <w:color w:val="000000"/>
                <w:szCs w:val="20"/>
              </w:rPr>
              <w:t>Labor Rate ($/hr)</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D47F11" w:rsidRPr="00690367" w:rsidRDefault="00D47F11" w:rsidP="00690367">
            <w:pPr>
              <w:widowControl/>
              <w:autoSpaceDE/>
              <w:autoSpaceDN/>
              <w:adjustRightInd/>
              <w:jc w:val="center"/>
              <w:rPr>
                <w:b/>
                <w:bCs/>
                <w:color w:val="000000"/>
                <w:szCs w:val="20"/>
              </w:rPr>
            </w:pPr>
            <w:r w:rsidRPr="00690367">
              <w:rPr>
                <w:b/>
                <w:bCs/>
                <w:color w:val="000000"/>
                <w:szCs w:val="20"/>
              </w:rPr>
              <w:t>Total Cost ($)</w:t>
            </w:r>
          </w:p>
        </w:tc>
      </w:tr>
      <w:tr w:rsidR="00D47F11" w:rsidRPr="00690367" w:rsidTr="00D47F11">
        <w:trPr>
          <w:trHeight w:val="1545"/>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690367">
            <w:pPr>
              <w:widowControl/>
              <w:autoSpaceDE/>
              <w:autoSpaceDN/>
              <w:adjustRightInd/>
              <w:rPr>
                <w:color w:val="000000"/>
                <w:szCs w:val="20"/>
              </w:rPr>
            </w:pPr>
            <w:r w:rsidRPr="00690367">
              <w:rPr>
                <w:color w:val="000000"/>
                <w:szCs w:val="20"/>
              </w:rPr>
              <w:t>§423.153(g)(1)(i) and 423.153(g)(5)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154D9D">
            <w:pPr>
              <w:widowControl/>
              <w:autoSpaceDE/>
              <w:autoSpaceDN/>
              <w:adjustRightInd/>
              <w:rPr>
                <w:color w:val="000000"/>
                <w:szCs w:val="20"/>
              </w:rPr>
            </w:pPr>
            <w:r>
              <w:rPr>
                <w:color w:val="000000"/>
                <w:szCs w:val="20"/>
              </w:rPr>
              <w:t>Initial o</w:t>
            </w:r>
            <w:r w:rsidRPr="00690367">
              <w:rPr>
                <w:color w:val="000000"/>
                <w:szCs w:val="20"/>
              </w:rPr>
              <w:t>ne</w:t>
            </w:r>
            <w:r>
              <w:rPr>
                <w:color w:val="000000"/>
                <w:szCs w:val="20"/>
              </w:rPr>
              <w:t>-</w:t>
            </w:r>
            <w:r w:rsidRPr="00690367">
              <w:rPr>
                <w:color w:val="000000"/>
                <w:szCs w:val="20"/>
              </w:rPr>
              <w:t xml:space="preserve">time </w:t>
            </w:r>
            <w:r>
              <w:rPr>
                <w:color w:val="000000"/>
                <w:szCs w:val="20"/>
              </w:rPr>
              <w:t>combined data r</w:t>
            </w:r>
            <w:r w:rsidRPr="00690367">
              <w:rPr>
                <w:color w:val="000000"/>
                <w:szCs w:val="20"/>
              </w:rPr>
              <w:t>equest and attestation.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690367">
            <w:pPr>
              <w:widowControl/>
              <w:autoSpaceDE/>
              <w:autoSpaceDN/>
              <w:adjustRightInd/>
              <w:jc w:val="center"/>
              <w:rPr>
                <w:color w:val="000000"/>
                <w:szCs w:val="20"/>
              </w:rPr>
            </w:pPr>
            <w:r w:rsidRPr="00690367">
              <w:rPr>
                <w:color w:val="000000"/>
                <w:szCs w:val="20"/>
              </w:rPr>
              <w:t>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690367">
            <w:pPr>
              <w:widowControl/>
              <w:autoSpaceDE/>
              <w:autoSpaceDN/>
              <w:adjustRightInd/>
              <w:jc w:val="center"/>
              <w:rPr>
                <w:color w:val="000000"/>
                <w:szCs w:val="20"/>
              </w:rPr>
            </w:pPr>
            <w:r w:rsidRPr="00690367">
              <w:rPr>
                <w:color w:val="000000"/>
                <w:szCs w:val="20"/>
              </w:rPr>
              <w:t>1</w:t>
            </w:r>
          </w:p>
        </w:tc>
        <w:tc>
          <w:tcPr>
            <w:tcW w:w="1080" w:type="dxa"/>
            <w:tcBorders>
              <w:top w:val="single" w:sz="4" w:space="0" w:color="auto"/>
              <w:left w:val="single" w:sz="4" w:space="0" w:color="auto"/>
              <w:bottom w:val="single" w:sz="4" w:space="0" w:color="auto"/>
              <w:right w:val="single" w:sz="4" w:space="0" w:color="auto"/>
            </w:tcBorders>
          </w:tcPr>
          <w:p w:rsidR="00D47F11" w:rsidRDefault="00D47F11" w:rsidP="00D47F11">
            <w:pPr>
              <w:autoSpaceDE/>
              <w:autoSpaceDN/>
              <w:adjustRightInd/>
              <w:jc w:val="center"/>
              <w:rPr>
                <w:color w:val="000000"/>
                <w:szCs w:val="20"/>
              </w:rPr>
            </w:pPr>
          </w:p>
          <w:p w:rsidR="00D47F11" w:rsidRDefault="00D47F11" w:rsidP="00D47F11">
            <w:pPr>
              <w:autoSpaceDE/>
              <w:autoSpaceDN/>
              <w:adjustRightInd/>
              <w:jc w:val="center"/>
              <w:rPr>
                <w:color w:val="000000"/>
                <w:szCs w:val="20"/>
              </w:rPr>
            </w:pPr>
          </w:p>
          <w:p w:rsidR="00D47F11" w:rsidRDefault="00D47F11" w:rsidP="00D47F11">
            <w:pPr>
              <w:autoSpaceDE/>
              <w:autoSpaceDN/>
              <w:adjustRightInd/>
              <w:jc w:val="center"/>
              <w:rPr>
                <w:color w:val="000000"/>
                <w:szCs w:val="20"/>
              </w:rPr>
            </w:pPr>
          </w:p>
          <w:p w:rsidR="00D47F11" w:rsidRPr="00690367" w:rsidRDefault="00D47F11" w:rsidP="00D47F11">
            <w:pPr>
              <w:autoSpaceDE/>
              <w:autoSpaceDN/>
              <w:adjustRightInd/>
              <w:jc w:val="center"/>
              <w:rPr>
                <w:color w:val="000000"/>
                <w:szCs w:val="20"/>
              </w:rPr>
            </w:pPr>
            <w:r>
              <w:rPr>
                <w:color w:val="000000"/>
                <w:szCs w:val="20"/>
              </w:rPr>
              <w:t>63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690367">
            <w:pPr>
              <w:widowControl/>
              <w:autoSpaceDE/>
              <w:autoSpaceDN/>
              <w:adjustRightInd/>
              <w:jc w:val="center"/>
              <w:rPr>
                <w:color w:val="000000"/>
                <w:szCs w:val="20"/>
              </w:rPr>
            </w:pPr>
            <w:r>
              <w:rPr>
                <w:color w:val="000000"/>
                <w:szCs w:val="20"/>
              </w:rPr>
              <w:t>1 min</w:t>
            </w:r>
            <w:r w:rsidR="006A4231">
              <w:rPr>
                <w:color w:val="000000"/>
                <w:szCs w:val="20"/>
              </w:rPr>
              <w:t xml:space="preserve"> </w:t>
            </w:r>
            <w:r w:rsidR="001A3D02">
              <w:rPr>
                <w:color w:val="000000"/>
                <w:szCs w:val="20"/>
              </w:rPr>
              <w:t>(1/60)</w:t>
            </w:r>
          </w:p>
        </w:tc>
        <w:tc>
          <w:tcPr>
            <w:tcW w:w="864" w:type="dxa"/>
            <w:tcBorders>
              <w:top w:val="nil"/>
              <w:left w:val="single" w:sz="4" w:space="0" w:color="auto"/>
              <w:bottom w:val="single" w:sz="8" w:space="0" w:color="auto"/>
              <w:right w:val="single" w:sz="8" w:space="0" w:color="auto"/>
            </w:tcBorders>
            <w:shd w:val="clear" w:color="auto" w:fill="auto"/>
            <w:vAlign w:val="center"/>
            <w:hideMark/>
          </w:tcPr>
          <w:p w:rsidR="00D47F11" w:rsidRPr="00690367" w:rsidRDefault="00AA5990" w:rsidP="001A3D02">
            <w:pPr>
              <w:widowControl/>
              <w:autoSpaceDE/>
              <w:autoSpaceDN/>
              <w:adjustRightInd/>
              <w:jc w:val="center"/>
              <w:rPr>
                <w:color w:val="000000"/>
                <w:szCs w:val="20"/>
              </w:rPr>
            </w:pPr>
            <w:r>
              <w:rPr>
                <w:color w:val="000000"/>
                <w:szCs w:val="20"/>
              </w:rPr>
              <w:t>1.05</w:t>
            </w:r>
          </w:p>
        </w:tc>
        <w:tc>
          <w:tcPr>
            <w:tcW w:w="756" w:type="dxa"/>
            <w:tcBorders>
              <w:top w:val="nil"/>
              <w:left w:val="nil"/>
              <w:bottom w:val="single" w:sz="8" w:space="0" w:color="auto"/>
              <w:right w:val="single" w:sz="8" w:space="0" w:color="auto"/>
            </w:tcBorders>
            <w:shd w:val="clear" w:color="auto" w:fill="auto"/>
            <w:vAlign w:val="center"/>
            <w:hideMark/>
          </w:tcPr>
          <w:p w:rsidR="00D47F11" w:rsidRPr="00690367" w:rsidRDefault="001A3D02" w:rsidP="006A4231">
            <w:pPr>
              <w:widowControl/>
              <w:autoSpaceDE/>
              <w:autoSpaceDN/>
              <w:adjustRightInd/>
              <w:jc w:val="center"/>
              <w:rPr>
                <w:color w:val="000000"/>
                <w:szCs w:val="20"/>
              </w:rPr>
            </w:pPr>
            <w:r>
              <w:rPr>
                <w:color w:val="000000"/>
                <w:szCs w:val="20"/>
              </w:rPr>
              <w:t>7</w:t>
            </w:r>
            <w:r w:rsidR="006A4231">
              <w:rPr>
                <w:color w:val="000000"/>
                <w:szCs w:val="20"/>
              </w:rPr>
              <w:t>4.00</w:t>
            </w:r>
          </w:p>
        </w:tc>
        <w:tc>
          <w:tcPr>
            <w:tcW w:w="810" w:type="dxa"/>
            <w:tcBorders>
              <w:top w:val="nil"/>
              <w:left w:val="nil"/>
              <w:bottom w:val="single" w:sz="8" w:space="0" w:color="auto"/>
              <w:right w:val="single" w:sz="8" w:space="0" w:color="auto"/>
            </w:tcBorders>
            <w:shd w:val="clear" w:color="auto" w:fill="auto"/>
            <w:vAlign w:val="center"/>
            <w:hideMark/>
          </w:tcPr>
          <w:p w:rsidR="00D47F11" w:rsidRPr="00690367" w:rsidRDefault="001A3D02" w:rsidP="00AA5990">
            <w:pPr>
              <w:widowControl/>
              <w:autoSpaceDE/>
              <w:autoSpaceDN/>
              <w:adjustRightInd/>
              <w:jc w:val="center"/>
              <w:rPr>
                <w:color w:val="000000"/>
                <w:szCs w:val="20"/>
              </w:rPr>
            </w:pPr>
            <w:r>
              <w:rPr>
                <w:color w:val="000000"/>
                <w:szCs w:val="20"/>
              </w:rPr>
              <w:t>7</w:t>
            </w:r>
            <w:r w:rsidR="00AA5990">
              <w:rPr>
                <w:color w:val="000000"/>
                <w:szCs w:val="20"/>
              </w:rPr>
              <w:t>8</w:t>
            </w:r>
          </w:p>
        </w:tc>
      </w:tr>
      <w:tr w:rsidR="00D47F11" w:rsidRPr="00690367" w:rsidTr="00D47F11">
        <w:trPr>
          <w:trHeight w:val="1290"/>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690367">
            <w:pPr>
              <w:widowControl/>
              <w:autoSpaceDE/>
              <w:autoSpaceDN/>
              <w:adjustRightInd/>
              <w:rPr>
                <w:color w:val="000000"/>
                <w:szCs w:val="20"/>
              </w:rPr>
            </w:pPr>
            <w:r w:rsidRPr="00690367">
              <w:rPr>
                <w:color w:val="000000"/>
                <w:szCs w:val="20"/>
              </w:rPr>
              <w:t>§423.153(g)(1)(i) and 423.153(g)(5)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A36E9D">
            <w:pPr>
              <w:widowControl/>
              <w:autoSpaceDE/>
              <w:autoSpaceDN/>
              <w:adjustRightInd/>
              <w:rPr>
                <w:color w:val="000000"/>
                <w:szCs w:val="20"/>
              </w:rPr>
            </w:pPr>
            <w:r w:rsidRPr="00A36E9D">
              <w:rPr>
                <w:color w:val="000000"/>
                <w:szCs w:val="20"/>
              </w:rPr>
              <w:t xml:space="preserve">New </w:t>
            </w:r>
            <w:r>
              <w:rPr>
                <w:color w:val="000000"/>
                <w:szCs w:val="20"/>
              </w:rPr>
              <w:t xml:space="preserve">one-time </w:t>
            </w:r>
            <w:r w:rsidRPr="00A36E9D">
              <w:rPr>
                <w:color w:val="000000"/>
                <w:szCs w:val="20"/>
              </w:rPr>
              <w:t xml:space="preserve">combined data </w:t>
            </w:r>
            <w:r w:rsidRPr="00690367">
              <w:rPr>
                <w:color w:val="000000"/>
                <w:szCs w:val="20"/>
              </w:rPr>
              <w:t>request and attestation</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690367">
            <w:pPr>
              <w:widowControl/>
              <w:autoSpaceDE/>
              <w:autoSpaceDN/>
              <w:adjustRightInd/>
              <w:jc w:val="center"/>
              <w:rPr>
                <w:color w:val="000000"/>
                <w:szCs w:val="20"/>
              </w:rPr>
            </w:pPr>
            <w:r w:rsidRPr="00690367">
              <w:rPr>
                <w:color w:val="00000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690367">
            <w:pPr>
              <w:widowControl/>
              <w:autoSpaceDE/>
              <w:autoSpaceDN/>
              <w:adjustRightInd/>
              <w:jc w:val="center"/>
              <w:rPr>
                <w:color w:val="000000"/>
                <w:szCs w:val="20"/>
              </w:rPr>
            </w:pPr>
            <w:r w:rsidRPr="00690367">
              <w:rPr>
                <w:color w:val="000000"/>
                <w:szCs w:val="20"/>
              </w:rPr>
              <w:t>1</w:t>
            </w:r>
          </w:p>
        </w:tc>
        <w:tc>
          <w:tcPr>
            <w:tcW w:w="1080" w:type="dxa"/>
            <w:tcBorders>
              <w:top w:val="single" w:sz="4" w:space="0" w:color="auto"/>
              <w:left w:val="single" w:sz="4" w:space="0" w:color="auto"/>
              <w:bottom w:val="single" w:sz="4" w:space="0" w:color="auto"/>
              <w:right w:val="single" w:sz="4" w:space="0" w:color="auto"/>
            </w:tcBorders>
          </w:tcPr>
          <w:p w:rsidR="00D47F11" w:rsidRDefault="00D47F11" w:rsidP="00D47F11">
            <w:pPr>
              <w:autoSpaceDE/>
              <w:autoSpaceDN/>
              <w:adjustRightInd/>
              <w:jc w:val="center"/>
              <w:rPr>
                <w:color w:val="000000"/>
                <w:szCs w:val="20"/>
              </w:rPr>
            </w:pPr>
          </w:p>
          <w:p w:rsidR="00D47F11" w:rsidRDefault="00D47F11" w:rsidP="00D47F11">
            <w:pPr>
              <w:autoSpaceDE/>
              <w:autoSpaceDN/>
              <w:adjustRightInd/>
              <w:jc w:val="center"/>
              <w:rPr>
                <w:color w:val="000000"/>
                <w:szCs w:val="20"/>
              </w:rPr>
            </w:pPr>
          </w:p>
          <w:p w:rsidR="00D47F11" w:rsidRPr="00690367" w:rsidRDefault="00D47F11" w:rsidP="00D47F11">
            <w:pPr>
              <w:autoSpaceDE/>
              <w:autoSpaceDN/>
              <w:adjustRightInd/>
              <w:jc w:val="center"/>
              <w:rPr>
                <w:color w:val="000000"/>
                <w:szCs w:val="20"/>
              </w:rPr>
            </w:pPr>
            <w:r>
              <w:rPr>
                <w:color w:val="00000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690367">
            <w:pPr>
              <w:widowControl/>
              <w:autoSpaceDE/>
              <w:autoSpaceDN/>
              <w:adjustRightInd/>
              <w:jc w:val="center"/>
              <w:rPr>
                <w:color w:val="000000"/>
                <w:szCs w:val="20"/>
              </w:rPr>
            </w:pPr>
            <w:r>
              <w:rPr>
                <w:color w:val="000000"/>
                <w:szCs w:val="20"/>
              </w:rPr>
              <w:t>1 min</w:t>
            </w:r>
            <w:r w:rsidR="006A4231">
              <w:rPr>
                <w:color w:val="000000"/>
                <w:szCs w:val="20"/>
              </w:rPr>
              <w:t xml:space="preserve"> </w:t>
            </w:r>
            <w:r w:rsidR="001A3D02">
              <w:rPr>
                <w:color w:val="000000"/>
                <w:szCs w:val="20"/>
              </w:rPr>
              <w:t>(1/60)</w:t>
            </w:r>
          </w:p>
        </w:tc>
        <w:tc>
          <w:tcPr>
            <w:tcW w:w="864" w:type="dxa"/>
            <w:tcBorders>
              <w:top w:val="nil"/>
              <w:left w:val="single" w:sz="4" w:space="0" w:color="auto"/>
              <w:bottom w:val="single" w:sz="8" w:space="0" w:color="auto"/>
              <w:right w:val="single" w:sz="8" w:space="0" w:color="auto"/>
            </w:tcBorders>
            <w:shd w:val="clear" w:color="auto" w:fill="auto"/>
            <w:vAlign w:val="center"/>
            <w:hideMark/>
          </w:tcPr>
          <w:p w:rsidR="00D47F11" w:rsidRPr="00690367" w:rsidRDefault="00AA5990" w:rsidP="00690367">
            <w:pPr>
              <w:widowControl/>
              <w:autoSpaceDE/>
              <w:autoSpaceDN/>
              <w:adjustRightInd/>
              <w:jc w:val="center"/>
              <w:rPr>
                <w:color w:val="000000"/>
                <w:szCs w:val="20"/>
              </w:rPr>
            </w:pPr>
            <w:r>
              <w:rPr>
                <w:color w:val="000000"/>
                <w:szCs w:val="20"/>
              </w:rPr>
              <w:t>0.08</w:t>
            </w:r>
          </w:p>
        </w:tc>
        <w:tc>
          <w:tcPr>
            <w:tcW w:w="756" w:type="dxa"/>
            <w:tcBorders>
              <w:top w:val="nil"/>
              <w:left w:val="nil"/>
              <w:bottom w:val="single" w:sz="8" w:space="0" w:color="auto"/>
              <w:right w:val="single" w:sz="8" w:space="0" w:color="auto"/>
            </w:tcBorders>
            <w:shd w:val="clear" w:color="auto" w:fill="auto"/>
            <w:vAlign w:val="center"/>
            <w:hideMark/>
          </w:tcPr>
          <w:p w:rsidR="00D47F11" w:rsidRPr="00690367" w:rsidRDefault="006A4231" w:rsidP="00690367">
            <w:pPr>
              <w:widowControl/>
              <w:autoSpaceDE/>
              <w:autoSpaceDN/>
              <w:adjustRightInd/>
              <w:jc w:val="center"/>
              <w:rPr>
                <w:color w:val="000000"/>
                <w:szCs w:val="20"/>
              </w:rPr>
            </w:pPr>
            <w:r>
              <w:rPr>
                <w:color w:val="000000"/>
                <w:szCs w:val="20"/>
              </w:rPr>
              <w:t>74.00</w:t>
            </w:r>
          </w:p>
        </w:tc>
        <w:tc>
          <w:tcPr>
            <w:tcW w:w="810" w:type="dxa"/>
            <w:tcBorders>
              <w:top w:val="nil"/>
              <w:left w:val="nil"/>
              <w:bottom w:val="single" w:sz="8" w:space="0" w:color="auto"/>
              <w:right w:val="single" w:sz="8" w:space="0" w:color="auto"/>
            </w:tcBorders>
            <w:shd w:val="clear" w:color="auto" w:fill="auto"/>
            <w:vAlign w:val="center"/>
            <w:hideMark/>
          </w:tcPr>
          <w:p w:rsidR="00D47F11" w:rsidRPr="00690367" w:rsidRDefault="00D47F11" w:rsidP="00BE07F9">
            <w:pPr>
              <w:widowControl/>
              <w:autoSpaceDE/>
              <w:autoSpaceDN/>
              <w:adjustRightInd/>
              <w:jc w:val="center"/>
              <w:rPr>
                <w:color w:val="000000"/>
                <w:szCs w:val="20"/>
              </w:rPr>
            </w:pPr>
            <w:r w:rsidRPr="00690367">
              <w:rPr>
                <w:color w:val="000000"/>
                <w:szCs w:val="20"/>
              </w:rPr>
              <w:t>6</w:t>
            </w:r>
          </w:p>
        </w:tc>
      </w:tr>
      <w:tr w:rsidR="00D47F11" w:rsidRPr="00690367" w:rsidTr="00D47F11">
        <w:trPr>
          <w:trHeight w:val="525"/>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690367">
            <w:pPr>
              <w:widowControl/>
              <w:autoSpaceDE/>
              <w:autoSpaceDN/>
              <w:adjustRightInd/>
              <w:rPr>
                <w:color w:val="000000"/>
                <w:szCs w:val="20"/>
              </w:rPr>
            </w:pPr>
            <w:r w:rsidRPr="00690367">
              <w:rPr>
                <w:color w:val="000000"/>
                <w:szCs w:val="20"/>
              </w:rPr>
              <w:t>§423.153(g)(1)(i)</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DA2FDE">
            <w:pPr>
              <w:widowControl/>
              <w:autoSpaceDE/>
              <w:autoSpaceDN/>
              <w:adjustRightInd/>
              <w:rPr>
                <w:color w:val="000000"/>
                <w:szCs w:val="20"/>
              </w:rPr>
            </w:pPr>
            <w:r>
              <w:rPr>
                <w:color w:val="000000"/>
                <w:szCs w:val="20"/>
              </w:rPr>
              <w:t>D</w:t>
            </w:r>
            <w:r w:rsidRPr="00A36E9D">
              <w:rPr>
                <w:color w:val="000000"/>
                <w:szCs w:val="20"/>
              </w:rPr>
              <w:t xml:space="preserve">ata </w:t>
            </w:r>
            <w:r>
              <w:rPr>
                <w:color w:val="000000"/>
                <w:szCs w:val="20"/>
              </w:rPr>
              <w:t xml:space="preserve">discontinuation </w:t>
            </w:r>
            <w:r w:rsidRPr="00690367">
              <w:rPr>
                <w:color w:val="000000"/>
                <w:szCs w:val="20"/>
              </w:rPr>
              <w:t>request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690367">
            <w:pPr>
              <w:widowControl/>
              <w:autoSpaceDE/>
              <w:autoSpaceDN/>
              <w:adjustRightInd/>
              <w:jc w:val="center"/>
              <w:rPr>
                <w:color w:val="000000"/>
                <w:szCs w:val="20"/>
              </w:rPr>
            </w:pPr>
            <w:r w:rsidRPr="00690367">
              <w:rPr>
                <w:color w:val="00000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D47F11" w:rsidP="00690367">
            <w:pPr>
              <w:widowControl/>
              <w:autoSpaceDE/>
              <w:autoSpaceDN/>
              <w:adjustRightInd/>
              <w:jc w:val="center"/>
              <w:rPr>
                <w:color w:val="000000"/>
                <w:szCs w:val="20"/>
              </w:rPr>
            </w:pPr>
            <w:r w:rsidRPr="00690367">
              <w:rPr>
                <w:color w:val="000000"/>
                <w:szCs w:val="20"/>
              </w:rPr>
              <w:t>1</w:t>
            </w:r>
          </w:p>
        </w:tc>
        <w:tc>
          <w:tcPr>
            <w:tcW w:w="1080" w:type="dxa"/>
            <w:tcBorders>
              <w:top w:val="single" w:sz="4" w:space="0" w:color="auto"/>
              <w:left w:val="single" w:sz="4" w:space="0" w:color="auto"/>
              <w:bottom w:val="single" w:sz="4" w:space="0" w:color="auto"/>
              <w:right w:val="single" w:sz="4" w:space="0" w:color="auto"/>
            </w:tcBorders>
          </w:tcPr>
          <w:p w:rsidR="00D47F11" w:rsidRDefault="00D47F11" w:rsidP="00D47F11">
            <w:pPr>
              <w:autoSpaceDE/>
              <w:autoSpaceDN/>
              <w:adjustRightInd/>
              <w:jc w:val="center"/>
              <w:rPr>
                <w:color w:val="000000"/>
                <w:szCs w:val="20"/>
              </w:rPr>
            </w:pPr>
          </w:p>
          <w:p w:rsidR="00D47F11" w:rsidRPr="00690367" w:rsidRDefault="00D47F11" w:rsidP="00D47F11">
            <w:pPr>
              <w:autoSpaceDE/>
              <w:autoSpaceDN/>
              <w:adjustRightInd/>
              <w:jc w:val="center"/>
              <w:rPr>
                <w:color w:val="000000"/>
                <w:szCs w:val="20"/>
              </w:rPr>
            </w:pPr>
            <w:r>
              <w:rPr>
                <w:color w:val="00000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F11" w:rsidRPr="00690367" w:rsidRDefault="001A3D02" w:rsidP="00690367">
            <w:pPr>
              <w:widowControl/>
              <w:autoSpaceDE/>
              <w:autoSpaceDN/>
              <w:adjustRightInd/>
              <w:jc w:val="center"/>
              <w:rPr>
                <w:color w:val="000000"/>
                <w:szCs w:val="20"/>
              </w:rPr>
            </w:pPr>
            <w:r>
              <w:rPr>
                <w:color w:val="000000"/>
                <w:szCs w:val="20"/>
              </w:rPr>
              <w:t>1 min (1/60)</w:t>
            </w:r>
          </w:p>
        </w:tc>
        <w:tc>
          <w:tcPr>
            <w:tcW w:w="864" w:type="dxa"/>
            <w:tcBorders>
              <w:top w:val="nil"/>
              <w:left w:val="single" w:sz="4" w:space="0" w:color="auto"/>
              <w:bottom w:val="single" w:sz="8" w:space="0" w:color="auto"/>
              <w:right w:val="single" w:sz="8" w:space="0" w:color="auto"/>
            </w:tcBorders>
            <w:shd w:val="clear" w:color="auto" w:fill="auto"/>
            <w:vAlign w:val="center"/>
            <w:hideMark/>
          </w:tcPr>
          <w:p w:rsidR="00D47F11" w:rsidRPr="00690367" w:rsidRDefault="00AA5990" w:rsidP="00690367">
            <w:pPr>
              <w:widowControl/>
              <w:autoSpaceDE/>
              <w:autoSpaceDN/>
              <w:adjustRightInd/>
              <w:jc w:val="center"/>
              <w:rPr>
                <w:color w:val="000000"/>
                <w:szCs w:val="20"/>
              </w:rPr>
            </w:pPr>
            <w:r>
              <w:rPr>
                <w:color w:val="000000"/>
                <w:szCs w:val="20"/>
              </w:rPr>
              <w:t>0.08</w:t>
            </w:r>
          </w:p>
        </w:tc>
        <w:tc>
          <w:tcPr>
            <w:tcW w:w="756" w:type="dxa"/>
            <w:tcBorders>
              <w:top w:val="nil"/>
              <w:left w:val="nil"/>
              <w:bottom w:val="single" w:sz="8" w:space="0" w:color="auto"/>
              <w:right w:val="single" w:sz="8" w:space="0" w:color="auto"/>
            </w:tcBorders>
            <w:shd w:val="clear" w:color="auto" w:fill="auto"/>
            <w:vAlign w:val="center"/>
            <w:hideMark/>
          </w:tcPr>
          <w:p w:rsidR="00D47F11" w:rsidRPr="00690367" w:rsidRDefault="006A4231" w:rsidP="00690367">
            <w:pPr>
              <w:widowControl/>
              <w:autoSpaceDE/>
              <w:autoSpaceDN/>
              <w:adjustRightInd/>
              <w:jc w:val="center"/>
              <w:rPr>
                <w:color w:val="000000"/>
                <w:szCs w:val="20"/>
              </w:rPr>
            </w:pPr>
            <w:r>
              <w:rPr>
                <w:color w:val="000000"/>
                <w:szCs w:val="20"/>
              </w:rPr>
              <w:t>74.00</w:t>
            </w:r>
          </w:p>
        </w:tc>
        <w:tc>
          <w:tcPr>
            <w:tcW w:w="810" w:type="dxa"/>
            <w:tcBorders>
              <w:top w:val="nil"/>
              <w:left w:val="nil"/>
              <w:bottom w:val="single" w:sz="8" w:space="0" w:color="auto"/>
              <w:right w:val="single" w:sz="8" w:space="0" w:color="auto"/>
            </w:tcBorders>
            <w:shd w:val="clear" w:color="auto" w:fill="auto"/>
            <w:vAlign w:val="center"/>
            <w:hideMark/>
          </w:tcPr>
          <w:p w:rsidR="00D47F11" w:rsidRPr="00690367" w:rsidRDefault="00D47F11" w:rsidP="001A3D02">
            <w:pPr>
              <w:widowControl/>
              <w:autoSpaceDE/>
              <w:autoSpaceDN/>
              <w:adjustRightInd/>
              <w:jc w:val="center"/>
              <w:rPr>
                <w:color w:val="000000"/>
                <w:szCs w:val="20"/>
              </w:rPr>
            </w:pPr>
            <w:r w:rsidRPr="00690367">
              <w:rPr>
                <w:color w:val="000000"/>
                <w:szCs w:val="20"/>
              </w:rPr>
              <w:t>6</w:t>
            </w:r>
          </w:p>
        </w:tc>
      </w:tr>
      <w:tr w:rsidR="00D47F11" w:rsidRPr="00690367" w:rsidTr="00D47F11">
        <w:trPr>
          <w:trHeight w:val="315"/>
        </w:trPr>
        <w:tc>
          <w:tcPr>
            <w:tcW w:w="3330" w:type="dxa"/>
            <w:gridSpan w:val="2"/>
            <w:tcBorders>
              <w:top w:val="single" w:sz="4" w:space="0" w:color="auto"/>
              <w:left w:val="single" w:sz="4" w:space="0" w:color="auto"/>
              <w:bottom w:val="single" w:sz="8" w:space="0" w:color="auto"/>
              <w:right w:val="single" w:sz="4" w:space="0" w:color="auto"/>
            </w:tcBorders>
            <w:shd w:val="clear" w:color="000000" w:fill="D9D9D9"/>
            <w:vAlign w:val="center"/>
            <w:hideMark/>
          </w:tcPr>
          <w:p w:rsidR="00D47F11" w:rsidRPr="00690367" w:rsidRDefault="00D47F11" w:rsidP="00BF7D2A">
            <w:pPr>
              <w:widowControl/>
              <w:autoSpaceDE/>
              <w:autoSpaceDN/>
              <w:adjustRightInd/>
              <w:rPr>
                <w:b/>
                <w:bCs/>
                <w:color w:val="000000"/>
                <w:szCs w:val="20"/>
              </w:rPr>
            </w:pPr>
            <w:r w:rsidRPr="00690367">
              <w:rPr>
                <w:b/>
                <w:bCs/>
                <w:color w:val="000000"/>
                <w:szCs w:val="20"/>
              </w:rPr>
              <w:t>TOTAL</w:t>
            </w:r>
          </w:p>
        </w:tc>
        <w:tc>
          <w:tcPr>
            <w:tcW w:w="990" w:type="dxa"/>
            <w:tcBorders>
              <w:top w:val="single" w:sz="4" w:space="0" w:color="auto"/>
              <w:left w:val="single" w:sz="4" w:space="0" w:color="auto"/>
              <w:bottom w:val="single" w:sz="8" w:space="0" w:color="auto"/>
              <w:right w:val="single" w:sz="4" w:space="0" w:color="auto"/>
            </w:tcBorders>
            <w:shd w:val="clear" w:color="000000" w:fill="D9D9D9"/>
            <w:vAlign w:val="center"/>
            <w:hideMark/>
          </w:tcPr>
          <w:p w:rsidR="00D47F11" w:rsidRPr="00690367" w:rsidRDefault="00D47F11" w:rsidP="006A4235">
            <w:pPr>
              <w:widowControl/>
              <w:autoSpaceDE/>
              <w:autoSpaceDN/>
              <w:adjustRightInd/>
              <w:jc w:val="center"/>
              <w:rPr>
                <w:b/>
                <w:bCs/>
                <w:color w:val="000000"/>
                <w:szCs w:val="20"/>
              </w:rPr>
            </w:pPr>
            <w:r>
              <w:rPr>
                <w:b/>
                <w:bCs/>
                <w:color w:val="000000"/>
                <w:szCs w:val="20"/>
              </w:rPr>
              <w:t>68</w:t>
            </w:r>
          </w:p>
        </w:tc>
        <w:tc>
          <w:tcPr>
            <w:tcW w:w="1080" w:type="dxa"/>
            <w:tcBorders>
              <w:top w:val="single" w:sz="4" w:space="0" w:color="auto"/>
              <w:left w:val="single" w:sz="4" w:space="0" w:color="auto"/>
              <w:bottom w:val="single" w:sz="8" w:space="0" w:color="auto"/>
              <w:right w:val="single" w:sz="4" w:space="0" w:color="auto"/>
            </w:tcBorders>
            <w:shd w:val="clear" w:color="000000" w:fill="D9D9D9"/>
            <w:vAlign w:val="center"/>
            <w:hideMark/>
          </w:tcPr>
          <w:p w:rsidR="00D47F11" w:rsidRPr="00690367" w:rsidRDefault="00A75407" w:rsidP="00690367">
            <w:pPr>
              <w:widowControl/>
              <w:autoSpaceDE/>
              <w:autoSpaceDN/>
              <w:adjustRightInd/>
              <w:jc w:val="center"/>
              <w:rPr>
                <w:b/>
                <w:bCs/>
                <w:color w:val="000000"/>
                <w:szCs w:val="20"/>
              </w:rPr>
            </w:pPr>
            <w:r>
              <w:rPr>
                <w:b/>
                <w:bCs/>
                <w:color w:val="000000"/>
                <w:szCs w:val="20"/>
              </w:rPr>
              <w:t>--</w:t>
            </w:r>
          </w:p>
        </w:tc>
        <w:tc>
          <w:tcPr>
            <w:tcW w:w="1080" w:type="dxa"/>
            <w:tcBorders>
              <w:top w:val="single" w:sz="4" w:space="0" w:color="auto"/>
              <w:left w:val="single" w:sz="4" w:space="0" w:color="auto"/>
              <w:bottom w:val="single" w:sz="8" w:space="0" w:color="auto"/>
              <w:right w:val="single" w:sz="4" w:space="0" w:color="auto"/>
            </w:tcBorders>
            <w:shd w:val="clear" w:color="000000" w:fill="D9D9D9"/>
          </w:tcPr>
          <w:p w:rsidR="00D47F11" w:rsidRPr="00690367" w:rsidRDefault="00D47F11" w:rsidP="00D47F11">
            <w:pPr>
              <w:autoSpaceDE/>
              <w:autoSpaceDN/>
              <w:adjustRightInd/>
              <w:jc w:val="center"/>
              <w:rPr>
                <w:b/>
                <w:bCs/>
                <w:color w:val="000000"/>
                <w:szCs w:val="20"/>
              </w:rPr>
            </w:pPr>
            <w:r>
              <w:rPr>
                <w:b/>
                <w:bCs/>
                <w:color w:val="000000"/>
                <w:szCs w:val="20"/>
              </w:rPr>
              <w:t>73</w:t>
            </w:r>
          </w:p>
        </w:tc>
        <w:tc>
          <w:tcPr>
            <w:tcW w:w="1080" w:type="dxa"/>
            <w:tcBorders>
              <w:top w:val="single" w:sz="4" w:space="0" w:color="auto"/>
              <w:left w:val="single" w:sz="4" w:space="0" w:color="auto"/>
              <w:bottom w:val="single" w:sz="8" w:space="0" w:color="auto"/>
              <w:right w:val="single" w:sz="4" w:space="0" w:color="auto"/>
            </w:tcBorders>
            <w:shd w:val="clear" w:color="000000" w:fill="D9D9D9"/>
            <w:vAlign w:val="center"/>
            <w:hideMark/>
          </w:tcPr>
          <w:p w:rsidR="00D47F11" w:rsidRPr="00690367" w:rsidRDefault="00A75407" w:rsidP="00690367">
            <w:pPr>
              <w:widowControl/>
              <w:autoSpaceDE/>
              <w:autoSpaceDN/>
              <w:adjustRightInd/>
              <w:jc w:val="center"/>
              <w:rPr>
                <w:b/>
                <w:bCs/>
                <w:color w:val="000000"/>
                <w:szCs w:val="20"/>
              </w:rPr>
            </w:pPr>
            <w:r>
              <w:rPr>
                <w:b/>
                <w:bCs/>
                <w:color w:val="000000"/>
                <w:szCs w:val="20"/>
              </w:rPr>
              <w:t>Varies</w:t>
            </w:r>
          </w:p>
        </w:tc>
        <w:tc>
          <w:tcPr>
            <w:tcW w:w="864" w:type="dxa"/>
            <w:tcBorders>
              <w:top w:val="nil"/>
              <w:left w:val="single" w:sz="4" w:space="0" w:color="auto"/>
              <w:bottom w:val="single" w:sz="8" w:space="0" w:color="auto"/>
              <w:right w:val="single" w:sz="8" w:space="0" w:color="auto"/>
            </w:tcBorders>
            <w:shd w:val="clear" w:color="000000" w:fill="D9D9D9"/>
            <w:vAlign w:val="center"/>
            <w:hideMark/>
          </w:tcPr>
          <w:p w:rsidR="00D47F11" w:rsidRPr="00690367" w:rsidRDefault="00AA5990" w:rsidP="00690367">
            <w:pPr>
              <w:widowControl/>
              <w:autoSpaceDE/>
              <w:autoSpaceDN/>
              <w:adjustRightInd/>
              <w:jc w:val="center"/>
              <w:rPr>
                <w:b/>
                <w:bCs/>
                <w:color w:val="000000"/>
                <w:szCs w:val="20"/>
              </w:rPr>
            </w:pPr>
            <w:r>
              <w:rPr>
                <w:b/>
                <w:bCs/>
                <w:color w:val="000000"/>
                <w:szCs w:val="20"/>
              </w:rPr>
              <w:t>1.21</w:t>
            </w:r>
          </w:p>
        </w:tc>
        <w:tc>
          <w:tcPr>
            <w:tcW w:w="756" w:type="dxa"/>
            <w:tcBorders>
              <w:top w:val="nil"/>
              <w:left w:val="nil"/>
              <w:bottom w:val="single" w:sz="8" w:space="0" w:color="auto"/>
              <w:right w:val="single" w:sz="8" w:space="0" w:color="auto"/>
            </w:tcBorders>
            <w:shd w:val="clear" w:color="000000" w:fill="D9D9D9"/>
            <w:vAlign w:val="center"/>
            <w:hideMark/>
          </w:tcPr>
          <w:p w:rsidR="00D47F11" w:rsidRPr="00690367" w:rsidRDefault="006A4231" w:rsidP="00690367">
            <w:pPr>
              <w:widowControl/>
              <w:autoSpaceDE/>
              <w:autoSpaceDN/>
              <w:adjustRightInd/>
              <w:jc w:val="center"/>
              <w:rPr>
                <w:b/>
                <w:bCs/>
                <w:color w:val="000000"/>
                <w:szCs w:val="20"/>
              </w:rPr>
            </w:pPr>
            <w:r>
              <w:rPr>
                <w:color w:val="000000"/>
                <w:szCs w:val="20"/>
              </w:rPr>
              <w:t>74.00</w:t>
            </w:r>
          </w:p>
        </w:tc>
        <w:tc>
          <w:tcPr>
            <w:tcW w:w="810" w:type="dxa"/>
            <w:tcBorders>
              <w:top w:val="nil"/>
              <w:left w:val="nil"/>
              <w:bottom w:val="single" w:sz="8" w:space="0" w:color="auto"/>
              <w:right w:val="single" w:sz="8" w:space="0" w:color="auto"/>
            </w:tcBorders>
            <w:shd w:val="clear" w:color="000000" w:fill="D9D9D9"/>
            <w:vAlign w:val="center"/>
            <w:hideMark/>
          </w:tcPr>
          <w:p w:rsidR="00D47F11" w:rsidRPr="00690367" w:rsidRDefault="00AA5990" w:rsidP="00690367">
            <w:pPr>
              <w:widowControl/>
              <w:autoSpaceDE/>
              <w:autoSpaceDN/>
              <w:adjustRightInd/>
              <w:jc w:val="center"/>
              <w:rPr>
                <w:b/>
                <w:bCs/>
                <w:color w:val="000000"/>
                <w:szCs w:val="20"/>
              </w:rPr>
            </w:pPr>
            <w:r>
              <w:rPr>
                <w:b/>
                <w:bCs/>
                <w:color w:val="000000"/>
                <w:szCs w:val="20"/>
              </w:rPr>
              <w:t>90</w:t>
            </w:r>
          </w:p>
        </w:tc>
      </w:tr>
    </w:tbl>
    <w:p w:rsidR="008F1EB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90367" w:rsidRDefault="00690367"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690367" w:rsidSect="00690367">
          <w:endnotePr>
            <w:numFmt w:val="decimal"/>
          </w:endnotePr>
          <w:type w:val="continuous"/>
          <w:pgSz w:w="12240" w:h="15840"/>
          <w:pgMar w:top="720" w:right="720" w:bottom="720" w:left="720" w:header="1440" w:footer="1440" w:gutter="0"/>
          <w:cols w:space="720"/>
          <w:noEndnote/>
          <w:docGrid w:linePitch="272"/>
        </w:sectPr>
      </w:pPr>
    </w:p>
    <w:p w:rsidR="00422D9D" w:rsidRDefault="00422D9D"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22D9D" w:rsidRPr="00F051C2" w:rsidRDefault="00F051C2"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F051C2">
        <w:rPr>
          <w:i/>
          <w:sz w:val="24"/>
        </w:rPr>
        <w:t>Information Collection Instruments and Associated Instructions</w:t>
      </w:r>
    </w:p>
    <w:p w:rsidR="00422D9D" w:rsidRDefault="00422D9D"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051C2" w:rsidRDefault="00E10026"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0026">
        <w:rPr>
          <w:sz w:val="24"/>
        </w:rPr>
        <w:t>Request for Standardized Extracts of Medicare Claims Data for Our Enrollees</w:t>
      </w:r>
      <w:r w:rsidRPr="00E10026">
        <w:rPr>
          <w:sz w:val="24"/>
          <w:highlight w:val="yellow"/>
        </w:rPr>
        <w:t xml:space="preserve"> </w:t>
      </w:r>
    </w:p>
    <w:p w:rsidR="00E10026" w:rsidRDefault="00E10026"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10026">
        <w:rPr>
          <w:sz w:val="24"/>
        </w:rPr>
        <w:t>Certify Request for Standardized Extracts of Medicare Claims Data for Our Enrollees</w:t>
      </w:r>
    </w:p>
    <w:p w:rsidR="00E10026" w:rsidRDefault="00E10026"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13.</w:t>
      </w:r>
      <w:r>
        <w:rPr>
          <w:sz w:val="24"/>
        </w:rPr>
        <w:tab/>
      </w:r>
      <w:r>
        <w:rPr>
          <w:sz w:val="24"/>
          <w:u w:val="single"/>
        </w:rPr>
        <w:t>Capital Costs</w:t>
      </w:r>
    </w:p>
    <w:p w:rsidR="008F1EB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965DF"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capital costs.</w:t>
      </w:r>
    </w:p>
    <w:p w:rsidR="008F1EB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14.</w:t>
      </w:r>
      <w:r>
        <w:rPr>
          <w:sz w:val="24"/>
        </w:rPr>
        <w:tab/>
      </w:r>
      <w:r>
        <w:rPr>
          <w:sz w:val="24"/>
          <w:u w:val="single"/>
        </w:rPr>
        <w:t>Cost to Federal Government</w:t>
      </w:r>
    </w:p>
    <w:p w:rsidR="008F1EB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F965DF"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estimate that there will be a one-time cost of </w:t>
      </w:r>
      <w:r w:rsidR="00D833F4">
        <w:rPr>
          <w:sz w:val="24"/>
        </w:rPr>
        <w:t xml:space="preserve">approximately </w:t>
      </w:r>
      <w:r>
        <w:rPr>
          <w:sz w:val="24"/>
        </w:rPr>
        <w:t>$</w:t>
      </w:r>
      <w:r w:rsidR="00D833F4">
        <w:rPr>
          <w:sz w:val="24"/>
        </w:rPr>
        <w:t>385</w:t>
      </w:r>
      <w:r>
        <w:rPr>
          <w:sz w:val="24"/>
        </w:rPr>
        <w:t xml:space="preserve">,000 for CMS contractors to update the HPMS system. </w:t>
      </w:r>
    </w:p>
    <w:p w:rsidR="008F1EB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15.</w:t>
      </w:r>
      <w:r>
        <w:rPr>
          <w:sz w:val="24"/>
        </w:rPr>
        <w:tab/>
      </w:r>
      <w:r>
        <w:rPr>
          <w:sz w:val="24"/>
          <w:u w:val="single"/>
        </w:rPr>
        <w:t>Changes to Burden</w:t>
      </w:r>
    </w:p>
    <w:p w:rsidR="008F1EB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475F2D"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This is a new collection. </w:t>
      </w:r>
      <w:r w:rsidR="00C4398E">
        <w:rPr>
          <w:sz w:val="24"/>
        </w:rPr>
        <w:t xml:space="preserve">Consequently, there are no changes. </w:t>
      </w:r>
    </w:p>
    <w:p w:rsidR="00475F2D" w:rsidRDefault="00475F2D"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16.</w:t>
      </w:r>
      <w:r>
        <w:rPr>
          <w:sz w:val="24"/>
        </w:rPr>
        <w:tab/>
      </w:r>
      <w:r>
        <w:rPr>
          <w:sz w:val="24"/>
          <w:u w:val="single"/>
        </w:rPr>
        <w:t>Publication/Tabulation Dates</w:t>
      </w:r>
    </w:p>
    <w:p w:rsidR="008F1EB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75F2D" w:rsidRDefault="00475F2D"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publication/tabulation dates associated with this collection.</w:t>
      </w:r>
    </w:p>
    <w:p w:rsidR="008F1EB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17.</w:t>
      </w:r>
      <w:r>
        <w:rPr>
          <w:sz w:val="24"/>
        </w:rPr>
        <w:tab/>
      </w:r>
      <w:r>
        <w:rPr>
          <w:sz w:val="24"/>
          <w:u w:val="single"/>
        </w:rPr>
        <w:t>Expiration Date</w:t>
      </w:r>
    </w:p>
    <w:p w:rsidR="00475F2D" w:rsidRDefault="00475F2D"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This </w:t>
      </w:r>
      <w:r w:rsidR="00475F2D">
        <w:rPr>
          <w:sz w:val="24"/>
        </w:rPr>
        <w:t>expiration date</w:t>
      </w:r>
      <w:r w:rsidR="00C8103C">
        <w:rPr>
          <w:sz w:val="24"/>
        </w:rPr>
        <w:t xml:space="preserve"> will be displayed</w:t>
      </w:r>
      <w:r w:rsidR="00F96366">
        <w:rPr>
          <w:sz w:val="24"/>
        </w:rPr>
        <w:t xml:space="preserve"> once it becomes available.</w:t>
      </w:r>
    </w:p>
    <w:p w:rsidR="008F1EB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18.</w:t>
      </w:r>
      <w:r>
        <w:rPr>
          <w:sz w:val="24"/>
        </w:rPr>
        <w:tab/>
      </w:r>
      <w:r>
        <w:rPr>
          <w:sz w:val="24"/>
          <w:u w:val="single"/>
        </w:rPr>
        <w:t>Certification Statement</w:t>
      </w:r>
    </w:p>
    <w:p w:rsidR="008F1EB4" w:rsidRDefault="008F1EB4"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75F2D" w:rsidRDefault="00475F2D"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exceptions to the certification statement.</w:t>
      </w:r>
    </w:p>
    <w:p w:rsidR="000E1D0F" w:rsidRPr="004749BB" w:rsidRDefault="000E1D0F"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u w:val="single"/>
        </w:rPr>
      </w:pPr>
    </w:p>
    <w:p w:rsidR="004749BB" w:rsidRPr="004749BB" w:rsidRDefault="004749BB" w:rsidP="004749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4749BB">
        <w:rPr>
          <w:b/>
          <w:bCs/>
          <w:sz w:val="24"/>
        </w:rPr>
        <w:t>B.</w:t>
      </w:r>
      <w:r w:rsidR="00F22EF3">
        <w:rPr>
          <w:b/>
          <w:bCs/>
          <w:sz w:val="24"/>
        </w:rPr>
        <w:tab/>
      </w:r>
      <w:r w:rsidRPr="004749BB">
        <w:rPr>
          <w:b/>
          <w:bCs/>
          <w:sz w:val="24"/>
        </w:rPr>
        <w:t>Collection of Information Employing Statistical Methods</w:t>
      </w:r>
    </w:p>
    <w:p w:rsidR="004749BB" w:rsidRPr="004749BB" w:rsidRDefault="004749BB" w:rsidP="004749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9E0655" w:rsidRPr="004749BB" w:rsidRDefault="004749BB" w:rsidP="004749B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sidRPr="004749BB">
        <w:rPr>
          <w:bCs/>
          <w:sz w:val="24"/>
        </w:rPr>
        <w:t>There are no statistical methods.</w:t>
      </w:r>
    </w:p>
    <w:p w:rsidR="009E0655" w:rsidRPr="004749BB" w:rsidRDefault="009E0655" w:rsidP="006D7D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sectPr w:rsidR="009E0655" w:rsidRPr="004749BB">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7CB" w:rsidRDefault="00C657CB">
      <w:r>
        <w:separator/>
      </w:r>
    </w:p>
  </w:endnote>
  <w:endnote w:type="continuationSeparator" w:id="0">
    <w:p w:rsidR="00C657CB" w:rsidRDefault="00C6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1EB4" w:rsidRDefault="008F1EB4">
    <w:pPr>
      <w:spacing w:line="240" w:lineRule="exact"/>
    </w:pPr>
  </w:p>
  <w:p w:rsidR="008F1EB4" w:rsidRDefault="008F1EB4">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409AB">
      <w:rPr>
        <w:noProof/>
        <w:sz w:val="24"/>
      </w:rPr>
      <w:t>6</w:t>
    </w:r>
    <w:r>
      <w:rPr>
        <w:sz w:val="24"/>
      </w:rPr>
      <w:fldChar w:fldCharType="end"/>
    </w:r>
  </w:p>
  <w:p w:rsidR="008F1EB4" w:rsidRDefault="008F1EB4">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7CB" w:rsidRDefault="00C657CB">
      <w:r>
        <w:separator/>
      </w:r>
    </w:p>
  </w:footnote>
  <w:footnote w:type="continuationSeparator" w:id="0">
    <w:p w:rsidR="00C657CB" w:rsidRDefault="00C657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D4282"/>
    <w:multiLevelType w:val="hybridMultilevel"/>
    <w:tmpl w:val="E19E1726"/>
    <w:lvl w:ilvl="0" w:tplc="B900A6EA">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14293"/>
    <w:rsid w:val="00033674"/>
    <w:rsid w:val="00034FF6"/>
    <w:rsid w:val="00061455"/>
    <w:rsid w:val="000759EA"/>
    <w:rsid w:val="00096D24"/>
    <w:rsid w:val="000A74E8"/>
    <w:rsid w:val="000C7708"/>
    <w:rsid w:val="000E1D0F"/>
    <w:rsid w:val="000F3AF4"/>
    <w:rsid w:val="00135E5D"/>
    <w:rsid w:val="001543DD"/>
    <w:rsid w:val="00154D9D"/>
    <w:rsid w:val="00171D31"/>
    <w:rsid w:val="00183EDE"/>
    <w:rsid w:val="001909AD"/>
    <w:rsid w:val="001A3D02"/>
    <w:rsid w:val="001C584E"/>
    <w:rsid w:val="001E3FFD"/>
    <w:rsid w:val="001E4E8E"/>
    <w:rsid w:val="00203E16"/>
    <w:rsid w:val="002322EA"/>
    <w:rsid w:val="002755B9"/>
    <w:rsid w:val="002A465A"/>
    <w:rsid w:val="002E0D3F"/>
    <w:rsid w:val="00345F90"/>
    <w:rsid w:val="00353483"/>
    <w:rsid w:val="00381CA0"/>
    <w:rsid w:val="00390C4D"/>
    <w:rsid w:val="003A40B1"/>
    <w:rsid w:val="004051BC"/>
    <w:rsid w:val="004053B3"/>
    <w:rsid w:val="00422D9D"/>
    <w:rsid w:val="004326CB"/>
    <w:rsid w:val="004409AB"/>
    <w:rsid w:val="004749BB"/>
    <w:rsid w:val="00475F2D"/>
    <w:rsid w:val="00481B24"/>
    <w:rsid w:val="004933F2"/>
    <w:rsid w:val="004A505B"/>
    <w:rsid w:val="004C4280"/>
    <w:rsid w:val="004D1A25"/>
    <w:rsid w:val="004F48AD"/>
    <w:rsid w:val="00501BBD"/>
    <w:rsid w:val="005528F9"/>
    <w:rsid w:val="00570067"/>
    <w:rsid w:val="005A66F0"/>
    <w:rsid w:val="005F2010"/>
    <w:rsid w:val="00603E31"/>
    <w:rsid w:val="006348AF"/>
    <w:rsid w:val="006646B2"/>
    <w:rsid w:val="00690367"/>
    <w:rsid w:val="006A4231"/>
    <w:rsid w:val="006A4235"/>
    <w:rsid w:val="006B60F4"/>
    <w:rsid w:val="006D7DE6"/>
    <w:rsid w:val="006E5665"/>
    <w:rsid w:val="006F4A7C"/>
    <w:rsid w:val="006F5CA6"/>
    <w:rsid w:val="007425ED"/>
    <w:rsid w:val="00750B62"/>
    <w:rsid w:val="007624D1"/>
    <w:rsid w:val="00782EA7"/>
    <w:rsid w:val="007A5739"/>
    <w:rsid w:val="007C1EAC"/>
    <w:rsid w:val="008060D8"/>
    <w:rsid w:val="00870D59"/>
    <w:rsid w:val="00885F44"/>
    <w:rsid w:val="008F1EB4"/>
    <w:rsid w:val="009159AC"/>
    <w:rsid w:val="00917405"/>
    <w:rsid w:val="00933C80"/>
    <w:rsid w:val="0094478C"/>
    <w:rsid w:val="009C3EAF"/>
    <w:rsid w:val="009E0655"/>
    <w:rsid w:val="009E10DF"/>
    <w:rsid w:val="00A01DAC"/>
    <w:rsid w:val="00A345A5"/>
    <w:rsid w:val="00A36E9D"/>
    <w:rsid w:val="00A66209"/>
    <w:rsid w:val="00A75407"/>
    <w:rsid w:val="00AA5990"/>
    <w:rsid w:val="00AC12F6"/>
    <w:rsid w:val="00AC435E"/>
    <w:rsid w:val="00AD49AE"/>
    <w:rsid w:val="00AE58CD"/>
    <w:rsid w:val="00B353E6"/>
    <w:rsid w:val="00BD75FB"/>
    <w:rsid w:val="00BE07F9"/>
    <w:rsid w:val="00BF7D2A"/>
    <w:rsid w:val="00C22D2C"/>
    <w:rsid w:val="00C40432"/>
    <w:rsid w:val="00C4398E"/>
    <w:rsid w:val="00C657CB"/>
    <w:rsid w:val="00C8103C"/>
    <w:rsid w:val="00CD263D"/>
    <w:rsid w:val="00D13A0C"/>
    <w:rsid w:val="00D47F11"/>
    <w:rsid w:val="00D52C56"/>
    <w:rsid w:val="00D6092C"/>
    <w:rsid w:val="00D833F4"/>
    <w:rsid w:val="00DA2FDE"/>
    <w:rsid w:val="00E10026"/>
    <w:rsid w:val="00E73B07"/>
    <w:rsid w:val="00E90891"/>
    <w:rsid w:val="00EB0EE0"/>
    <w:rsid w:val="00ED4655"/>
    <w:rsid w:val="00EF5BD1"/>
    <w:rsid w:val="00F051C2"/>
    <w:rsid w:val="00F22EF3"/>
    <w:rsid w:val="00F246EC"/>
    <w:rsid w:val="00F645BD"/>
    <w:rsid w:val="00F74D68"/>
    <w:rsid w:val="00F82C86"/>
    <w:rsid w:val="00F92D2F"/>
    <w:rsid w:val="00F96366"/>
    <w:rsid w:val="00F965DF"/>
    <w:rsid w:val="00FA327E"/>
    <w:rsid w:val="00FD1135"/>
    <w:rsid w:val="00FE1BA2"/>
    <w:rsid w:val="00FF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2E0D3F"/>
    <w:rPr>
      <w:color w:val="0000FF"/>
      <w:u w:val="single"/>
    </w:rPr>
  </w:style>
  <w:style w:type="character" w:styleId="Emphasis">
    <w:name w:val="Emphasis"/>
    <w:uiPriority w:val="20"/>
    <w:qFormat/>
    <w:rsid w:val="002E0D3F"/>
    <w:rPr>
      <w:i/>
      <w:iCs/>
    </w:rPr>
  </w:style>
  <w:style w:type="character" w:customStyle="1" w:styleId="text">
    <w:name w:val="text"/>
    <w:rsid w:val="002E0D3F"/>
  </w:style>
  <w:style w:type="character" w:styleId="FollowedHyperlink">
    <w:name w:val="FollowedHyperlink"/>
    <w:rsid w:val="001E4E8E"/>
    <w:rPr>
      <w:color w:val="954F72"/>
      <w:u w:val="single"/>
    </w:rPr>
  </w:style>
  <w:style w:type="character" w:styleId="CommentReference">
    <w:name w:val="annotation reference"/>
    <w:rsid w:val="001C584E"/>
    <w:rPr>
      <w:sz w:val="16"/>
      <w:szCs w:val="16"/>
    </w:rPr>
  </w:style>
  <w:style w:type="paragraph" w:styleId="CommentText">
    <w:name w:val="annotation text"/>
    <w:basedOn w:val="Normal"/>
    <w:link w:val="CommentTextChar"/>
    <w:rsid w:val="001C584E"/>
    <w:rPr>
      <w:szCs w:val="20"/>
    </w:rPr>
  </w:style>
  <w:style w:type="character" w:customStyle="1" w:styleId="CommentTextChar">
    <w:name w:val="Comment Text Char"/>
    <w:basedOn w:val="DefaultParagraphFont"/>
    <w:link w:val="CommentText"/>
    <w:rsid w:val="001C584E"/>
  </w:style>
  <w:style w:type="paragraph" w:styleId="CommentSubject">
    <w:name w:val="annotation subject"/>
    <w:basedOn w:val="CommentText"/>
    <w:next w:val="CommentText"/>
    <w:link w:val="CommentSubjectChar"/>
    <w:rsid w:val="001C584E"/>
    <w:rPr>
      <w:b/>
      <w:bCs/>
    </w:rPr>
  </w:style>
  <w:style w:type="character" w:customStyle="1" w:styleId="CommentSubjectChar">
    <w:name w:val="Comment Subject Char"/>
    <w:link w:val="CommentSubject"/>
    <w:rsid w:val="001C584E"/>
    <w:rPr>
      <w:b/>
      <w:bCs/>
    </w:rPr>
  </w:style>
  <w:style w:type="paragraph" w:styleId="BalloonText">
    <w:name w:val="Balloon Text"/>
    <w:basedOn w:val="Normal"/>
    <w:link w:val="BalloonTextChar"/>
    <w:rsid w:val="001C584E"/>
    <w:rPr>
      <w:rFonts w:ascii="Segoe UI" w:hAnsi="Segoe UI" w:cs="Segoe UI"/>
      <w:sz w:val="18"/>
      <w:szCs w:val="18"/>
    </w:rPr>
  </w:style>
  <w:style w:type="character" w:customStyle="1" w:styleId="BalloonTextChar">
    <w:name w:val="Balloon Text Char"/>
    <w:link w:val="BalloonText"/>
    <w:rsid w:val="001C584E"/>
    <w:rPr>
      <w:rFonts w:ascii="Segoe UI" w:hAnsi="Segoe UI" w:cs="Segoe UI"/>
      <w:sz w:val="18"/>
      <w:szCs w:val="18"/>
    </w:rPr>
  </w:style>
  <w:style w:type="paragraph" w:customStyle="1" w:styleId="BodyA">
    <w:name w:val="Body A"/>
    <w:rsid w:val="00B353E6"/>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paragraph" w:customStyle="1" w:styleId="Body2">
    <w:name w:val="Body2"/>
    <w:basedOn w:val="Normal"/>
    <w:qFormat/>
    <w:rsid w:val="00603E31"/>
    <w:pPr>
      <w:widowControl/>
      <w:autoSpaceDE/>
      <w:autoSpaceDN/>
      <w:adjustRightInd/>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2E0D3F"/>
    <w:rPr>
      <w:color w:val="0000FF"/>
      <w:u w:val="single"/>
    </w:rPr>
  </w:style>
  <w:style w:type="character" w:styleId="Emphasis">
    <w:name w:val="Emphasis"/>
    <w:uiPriority w:val="20"/>
    <w:qFormat/>
    <w:rsid w:val="002E0D3F"/>
    <w:rPr>
      <w:i/>
      <w:iCs/>
    </w:rPr>
  </w:style>
  <w:style w:type="character" w:customStyle="1" w:styleId="text">
    <w:name w:val="text"/>
    <w:rsid w:val="002E0D3F"/>
  </w:style>
  <w:style w:type="character" w:styleId="FollowedHyperlink">
    <w:name w:val="FollowedHyperlink"/>
    <w:rsid w:val="001E4E8E"/>
    <w:rPr>
      <w:color w:val="954F72"/>
      <w:u w:val="single"/>
    </w:rPr>
  </w:style>
  <w:style w:type="character" w:styleId="CommentReference">
    <w:name w:val="annotation reference"/>
    <w:rsid w:val="001C584E"/>
    <w:rPr>
      <w:sz w:val="16"/>
      <w:szCs w:val="16"/>
    </w:rPr>
  </w:style>
  <w:style w:type="paragraph" w:styleId="CommentText">
    <w:name w:val="annotation text"/>
    <w:basedOn w:val="Normal"/>
    <w:link w:val="CommentTextChar"/>
    <w:rsid w:val="001C584E"/>
    <w:rPr>
      <w:szCs w:val="20"/>
    </w:rPr>
  </w:style>
  <w:style w:type="character" w:customStyle="1" w:styleId="CommentTextChar">
    <w:name w:val="Comment Text Char"/>
    <w:basedOn w:val="DefaultParagraphFont"/>
    <w:link w:val="CommentText"/>
    <w:rsid w:val="001C584E"/>
  </w:style>
  <w:style w:type="paragraph" w:styleId="CommentSubject">
    <w:name w:val="annotation subject"/>
    <w:basedOn w:val="CommentText"/>
    <w:next w:val="CommentText"/>
    <w:link w:val="CommentSubjectChar"/>
    <w:rsid w:val="001C584E"/>
    <w:rPr>
      <w:b/>
      <w:bCs/>
    </w:rPr>
  </w:style>
  <w:style w:type="character" w:customStyle="1" w:styleId="CommentSubjectChar">
    <w:name w:val="Comment Subject Char"/>
    <w:link w:val="CommentSubject"/>
    <w:rsid w:val="001C584E"/>
    <w:rPr>
      <w:b/>
      <w:bCs/>
    </w:rPr>
  </w:style>
  <w:style w:type="paragraph" w:styleId="BalloonText">
    <w:name w:val="Balloon Text"/>
    <w:basedOn w:val="Normal"/>
    <w:link w:val="BalloonTextChar"/>
    <w:rsid w:val="001C584E"/>
    <w:rPr>
      <w:rFonts w:ascii="Segoe UI" w:hAnsi="Segoe UI" w:cs="Segoe UI"/>
      <w:sz w:val="18"/>
      <w:szCs w:val="18"/>
    </w:rPr>
  </w:style>
  <w:style w:type="character" w:customStyle="1" w:styleId="BalloonTextChar">
    <w:name w:val="Balloon Text Char"/>
    <w:link w:val="BalloonText"/>
    <w:rsid w:val="001C584E"/>
    <w:rPr>
      <w:rFonts w:ascii="Segoe UI" w:hAnsi="Segoe UI" w:cs="Segoe UI"/>
      <w:sz w:val="18"/>
      <w:szCs w:val="18"/>
    </w:rPr>
  </w:style>
  <w:style w:type="paragraph" w:customStyle="1" w:styleId="BodyA">
    <w:name w:val="Body A"/>
    <w:rsid w:val="00B353E6"/>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paragraph" w:customStyle="1" w:styleId="Body2">
    <w:name w:val="Body2"/>
    <w:basedOn w:val="Normal"/>
    <w:qFormat/>
    <w:rsid w:val="00603E31"/>
    <w:pPr>
      <w:widowControl/>
      <w:autoSpaceDE/>
      <w:autoSpaceDN/>
      <w:adjustRightInd/>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787914">
      <w:bodyDiv w:val="1"/>
      <w:marLeft w:val="0"/>
      <w:marRight w:val="0"/>
      <w:marTop w:val="0"/>
      <w:marBottom w:val="0"/>
      <w:divBdr>
        <w:top w:val="none" w:sz="0" w:space="0" w:color="auto"/>
        <w:left w:val="none" w:sz="0" w:space="0" w:color="auto"/>
        <w:bottom w:val="none" w:sz="0" w:space="0" w:color="auto"/>
        <w:right w:val="none" w:sz="0" w:space="0" w:color="auto"/>
      </w:divBdr>
    </w:div>
    <w:div w:id="113784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1642</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10981</CharactersWithSpaces>
  <SharedDoc>false</SharedDoc>
  <HLinks>
    <vt:vector size="6" baseType="variant">
      <vt:variant>
        <vt:i4>3866661</vt:i4>
      </vt:variant>
      <vt:variant>
        <vt:i4>0</vt:i4>
      </vt:variant>
      <vt:variant>
        <vt:i4>0</vt:i4>
      </vt:variant>
      <vt:variant>
        <vt:i4>5</vt:i4>
      </vt:variant>
      <vt:variant>
        <vt:lpwstr>http://data.bls.gov/pdq/querytool.jsp?survey=ce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SYSTEM</cp:lastModifiedBy>
  <cp:revision>2</cp:revision>
  <cp:lastPrinted>2018-11-20T14:59:00Z</cp:lastPrinted>
  <dcterms:created xsi:type="dcterms:W3CDTF">2019-05-13T17:58:00Z</dcterms:created>
  <dcterms:modified xsi:type="dcterms:W3CDTF">2019-05-13T17:58:00Z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867981243</vt:i4>
  </property>
  <property fmtid="{D5CDD505-2E9C-101B-9397-08002B2CF9AE}" pid="3" name="_NewReviewCycle">
    <vt:lpwstr/>
  </property>
  <property fmtid="{D5CDD505-2E9C-101B-9397-08002B2CF9AE}" pid="4" name="_EmailSubject">
    <vt:lpwstr>Action Needed (CMS-4185-F) &gt; FW: 2 Quick Follow Up Questions (CMS-10691)</vt:lpwstr>
  </property>
  <property fmtid="{D5CDD505-2E9C-101B-9397-08002B2CF9AE}" pid="5" name="_AuthorEmail">
    <vt:lpwstr>Kari.Gaare@cms.hhs.gov</vt:lpwstr>
  </property>
  <property fmtid="{D5CDD505-2E9C-101B-9397-08002B2CF9AE}" pid="6" name="_AuthorEmailDisplayName">
    <vt:lpwstr>Gaare, Kari A. (CMS/OEDA)</vt:lpwstr>
  </property>
  <property fmtid="{D5CDD505-2E9C-101B-9397-08002B2CF9AE}" pid="7" name="_PreviousAdHocReviewCycleID">
    <vt:i4>463811933</vt:i4>
  </property>
  <property fmtid="{D5CDD505-2E9C-101B-9397-08002B2CF9AE}" pid="8" name="_ReviewingToolsShownOnce">
    <vt:lpwstr/>
  </property>
</Properties>
</file>