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EFFB" w14:textId="77777777" w:rsidR="00760D16" w:rsidRDefault="00760D16" w:rsidP="00760D16">
      <w:pPr>
        <w:jc w:val="center"/>
        <w:rPr>
          <w:rFonts w:eastAsia="Times New Roman"/>
          <w:b/>
        </w:rPr>
      </w:pPr>
      <w:bookmarkStart w:id="0" w:name="_GoBack"/>
      <w:bookmarkEnd w:id="0"/>
      <w:r>
        <w:rPr>
          <w:b/>
        </w:rPr>
        <w:t xml:space="preserve">Non-Substantive Change Request to 0938-0373 - </w:t>
      </w:r>
      <w:r w:rsidRPr="00111B25">
        <w:rPr>
          <w:rFonts w:eastAsia="Times New Roman"/>
          <w:b/>
        </w:rPr>
        <w:t>M</w:t>
      </w:r>
      <w:r w:rsidRPr="00111B25">
        <w:rPr>
          <w:rFonts w:eastAsia="Times New Roman"/>
          <w:b/>
          <w:spacing w:val="-1"/>
        </w:rPr>
        <w:t>e</w:t>
      </w:r>
      <w:r w:rsidRPr="00111B25">
        <w:rPr>
          <w:rFonts w:eastAsia="Times New Roman"/>
          <w:b/>
        </w:rPr>
        <w:t>di</w:t>
      </w:r>
      <w:r w:rsidRPr="00111B25">
        <w:rPr>
          <w:rFonts w:eastAsia="Times New Roman"/>
          <w:b/>
          <w:spacing w:val="-1"/>
        </w:rPr>
        <w:t>car</w:t>
      </w:r>
      <w:r w:rsidRPr="00111B25">
        <w:rPr>
          <w:rFonts w:eastAsia="Times New Roman"/>
          <w:b/>
        </w:rPr>
        <w:t>e</w:t>
      </w:r>
      <w:r w:rsidRPr="00111B25">
        <w:rPr>
          <w:rFonts w:eastAsia="Times New Roman"/>
          <w:b/>
          <w:spacing w:val="-1"/>
        </w:rPr>
        <w:t xml:space="preserve"> </w:t>
      </w:r>
      <w:r w:rsidRPr="00111B25">
        <w:rPr>
          <w:rFonts w:eastAsia="Times New Roman"/>
          <w:b/>
          <w:spacing w:val="1"/>
        </w:rPr>
        <w:t>P</w:t>
      </w:r>
      <w:r w:rsidRPr="00111B25">
        <w:rPr>
          <w:rFonts w:eastAsia="Times New Roman"/>
          <w:b/>
          <w:spacing w:val="-1"/>
        </w:rPr>
        <w:t>ar</w:t>
      </w:r>
      <w:r w:rsidRPr="00111B25">
        <w:rPr>
          <w:rFonts w:eastAsia="Times New Roman"/>
          <w:b/>
        </w:rPr>
        <w:t>ti</w:t>
      </w:r>
      <w:r w:rsidRPr="00111B25">
        <w:rPr>
          <w:rFonts w:eastAsia="Times New Roman"/>
          <w:b/>
          <w:spacing w:val="-1"/>
        </w:rPr>
        <w:t>c</w:t>
      </w:r>
      <w:r w:rsidRPr="00111B25">
        <w:rPr>
          <w:rFonts w:eastAsia="Times New Roman"/>
          <w:b/>
        </w:rPr>
        <w:t>ip</w:t>
      </w:r>
      <w:r w:rsidRPr="00111B25">
        <w:rPr>
          <w:rFonts w:eastAsia="Times New Roman"/>
          <w:b/>
          <w:spacing w:val="-1"/>
        </w:rPr>
        <w:t>a</w:t>
      </w:r>
      <w:r w:rsidRPr="00111B25">
        <w:rPr>
          <w:rFonts w:eastAsia="Times New Roman"/>
          <w:b/>
        </w:rPr>
        <w:t>tion A</w:t>
      </w:r>
      <w:r w:rsidRPr="00111B25">
        <w:rPr>
          <w:rFonts w:eastAsia="Times New Roman"/>
          <w:b/>
          <w:spacing w:val="-2"/>
        </w:rPr>
        <w:t>g</w:t>
      </w:r>
      <w:r w:rsidRPr="00111B25">
        <w:rPr>
          <w:rFonts w:eastAsia="Times New Roman"/>
          <w:b/>
          <w:spacing w:val="-1"/>
        </w:rPr>
        <w:t>ree</w:t>
      </w:r>
      <w:r w:rsidRPr="00111B25">
        <w:rPr>
          <w:rFonts w:eastAsia="Times New Roman"/>
          <w:b/>
        </w:rPr>
        <w:t>m</w:t>
      </w:r>
      <w:r w:rsidRPr="00111B25">
        <w:rPr>
          <w:rFonts w:eastAsia="Times New Roman"/>
          <w:b/>
          <w:spacing w:val="-1"/>
        </w:rPr>
        <w:t>e</w:t>
      </w:r>
      <w:r w:rsidRPr="00111B25">
        <w:rPr>
          <w:rFonts w:eastAsia="Times New Roman"/>
          <w:b/>
        </w:rPr>
        <w:t xml:space="preserve">nt </w:t>
      </w:r>
      <w:r w:rsidRPr="00111B25">
        <w:rPr>
          <w:rFonts w:eastAsia="Times New Roman"/>
          <w:b/>
          <w:spacing w:val="-1"/>
        </w:rPr>
        <w:t>f</w:t>
      </w:r>
      <w:r w:rsidRPr="00111B25">
        <w:rPr>
          <w:rFonts w:eastAsia="Times New Roman"/>
          <w:b/>
        </w:rPr>
        <w:t>or</w:t>
      </w:r>
      <w:r w:rsidRPr="00111B25">
        <w:rPr>
          <w:rFonts w:eastAsia="Times New Roman"/>
          <w:b/>
          <w:spacing w:val="-1"/>
        </w:rPr>
        <w:t xml:space="preserve"> </w:t>
      </w:r>
      <w:r w:rsidRPr="00111B25">
        <w:rPr>
          <w:rFonts w:eastAsia="Times New Roman"/>
          <w:b/>
          <w:spacing w:val="1"/>
        </w:rPr>
        <w:t>P</w:t>
      </w:r>
      <w:r w:rsidRPr="00111B25">
        <w:rPr>
          <w:rFonts w:eastAsia="Times New Roman"/>
          <w:b/>
        </w:rPr>
        <w:t>h</w:t>
      </w:r>
      <w:r w:rsidRPr="00111B25">
        <w:rPr>
          <w:rFonts w:eastAsia="Times New Roman"/>
          <w:b/>
          <w:spacing w:val="-7"/>
        </w:rPr>
        <w:t>y</w:t>
      </w:r>
      <w:r w:rsidRPr="00111B25">
        <w:rPr>
          <w:rFonts w:eastAsia="Times New Roman"/>
          <w:b/>
        </w:rPr>
        <w:t>si</w:t>
      </w:r>
      <w:r w:rsidRPr="00111B25">
        <w:rPr>
          <w:rFonts w:eastAsia="Times New Roman"/>
          <w:b/>
          <w:spacing w:val="-1"/>
        </w:rPr>
        <w:t>c</w:t>
      </w:r>
      <w:r w:rsidRPr="00111B25">
        <w:rPr>
          <w:rFonts w:eastAsia="Times New Roman"/>
          <w:b/>
        </w:rPr>
        <w:t>i</w:t>
      </w:r>
      <w:r w:rsidRPr="00111B25">
        <w:rPr>
          <w:rFonts w:eastAsia="Times New Roman"/>
          <w:b/>
          <w:spacing w:val="-1"/>
        </w:rPr>
        <w:t>a</w:t>
      </w:r>
      <w:r w:rsidRPr="00111B25">
        <w:rPr>
          <w:rFonts w:eastAsia="Times New Roman"/>
          <w:b/>
        </w:rPr>
        <w:t xml:space="preserve">ns </w:t>
      </w:r>
      <w:r w:rsidRPr="00111B25">
        <w:rPr>
          <w:rFonts w:eastAsia="Times New Roman"/>
          <w:b/>
          <w:spacing w:val="-1"/>
        </w:rPr>
        <w:t>a</w:t>
      </w:r>
      <w:r w:rsidRPr="00111B25">
        <w:rPr>
          <w:rFonts w:eastAsia="Times New Roman"/>
          <w:b/>
        </w:rPr>
        <w:t xml:space="preserve">nd </w:t>
      </w:r>
      <w:r w:rsidRPr="00111B25">
        <w:rPr>
          <w:rFonts w:eastAsia="Times New Roman"/>
          <w:b/>
          <w:spacing w:val="1"/>
        </w:rPr>
        <w:t>S</w:t>
      </w:r>
      <w:r w:rsidRPr="00111B25">
        <w:rPr>
          <w:rFonts w:eastAsia="Times New Roman"/>
          <w:b/>
        </w:rPr>
        <w:t>uppli</w:t>
      </w:r>
      <w:r w:rsidRPr="00111B25">
        <w:rPr>
          <w:rFonts w:eastAsia="Times New Roman"/>
          <w:b/>
          <w:spacing w:val="-1"/>
        </w:rPr>
        <w:t>er</w:t>
      </w:r>
      <w:r w:rsidRPr="00111B25">
        <w:rPr>
          <w:rFonts w:eastAsia="Times New Roman"/>
          <w:b/>
        </w:rPr>
        <w:t>s</w:t>
      </w:r>
      <w:r>
        <w:rPr>
          <w:rFonts w:eastAsia="Times New Roman"/>
          <w:b/>
        </w:rPr>
        <w:t xml:space="preserve"> </w:t>
      </w:r>
    </w:p>
    <w:p w14:paraId="763AEF0D" w14:textId="00CD472E" w:rsidR="00760D16" w:rsidRDefault="00760D16" w:rsidP="00760D16">
      <w:pPr>
        <w:jc w:val="center"/>
      </w:pPr>
      <w:r w:rsidRPr="00111B25">
        <w:rPr>
          <w:rFonts w:eastAsia="Times New Roman"/>
          <w:b/>
          <w:spacing w:val="1"/>
        </w:rPr>
        <w:t>C</w:t>
      </w:r>
      <w:r w:rsidRPr="00111B25">
        <w:rPr>
          <w:rFonts w:eastAsia="Times New Roman"/>
          <w:b/>
        </w:rPr>
        <w:t>M</w:t>
      </w:r>
      <w:r w:rsidRPr="00111B25">
        <w:rPr>
          <w:rFonts w:eastAsia="Times New Roman"/>
          <w:b/>
          <w:spacing w:val="1"/>
        </w:rPr>
        <w:t>S</w:t>
      </w:r>
      <w:r w:rsidRPr="00111B25">
        <w:rPr>
          <w:rFonts w:eastAsia="Times New Roman"/>
          <w:b/>
          <w:spacing w:val="-1"/>
        </w:rPr>
        <w:t>-</w:t>
      </w:r>
      <w:r w:rsidRPr="00111B25">
        <w:rPr>
          <w:rFonts w:eastAsia="Times New Roman"/>
          <w:b/>
        </w:rPr>
        <w:t>460</w:t>
      </w:r>
    </w:p>
    <w:p w14:paraId="35840C07" w14:textId="77777777" w:rsidR="00311DD2" w:rsidRDefault="00311DD2" w:rsidP="00760D16"/>
    <w:p w14:paraId="4DF1CCF8" w14:textId="407076A2" w:rsidR="00760D16" w:rsidRDefault="00760D16" w:rsidP="00760D16">
      <w:r>
        <w:t>May 9, 2019</w:t>
      </w:r>
    </w:p>
    <w:p w14:paraId="50511AB0" w14:textId="77777777" w:rsidR="00760D16" w:rsidRDefault="00760D16" w:rsidP="00760D16"/>
    <w:p w14:paraId="5279AE8C" w14:textId="1BF5BCE6" w:rsidR="00760D16" w:rsidRDefault="00760D16" w:rsidP="00760D16">
      <w:r>
        <w:t xml:space="preserve">This is a non-substantive change request to the instructions </w:t>
      </w:r>
      <w:r w:rsidR="00705AE6">
        <w:t>section</w:t>
      </w:r>
      <w:r>
        <w:t xml:space="preserve"> </w:t>
      </w:r>
      <w:r w:rsidR="00705AE6">
        <w:t>of the Medicare Participation Agreement for Physicians and Suppliers - CMS-460</w:t>
      </w:r>
      <w:r>
        <w:t xml:space="preserve"> that </w:t>
      </w:r>
      <w:r w:rsidR="00705AE6">
        <w:t>is</w:t>
      </w:r>
      <w:r>
        <w:t xml:space="preserve"> approved as OMB number 0938-</w:t>
      </w:r>
      <w:r w:rsidR="00705AE6">
        <w:t>0373</w:t>
      </w:r>
      <w:r>
        <w:t xml:space="preserve">. The change </w:t>
      </w:r>
      <w:r w:rsidR="00705AE6">
        <w:t>is</w:t>
      </w:r>
      <w:r>
        <w:t xml:space="preserve"> </w:t>
      </w:r>
      <w:r w:rsidR="00BB56EA">
        <w:t xml:space="preserve">to the </w:t>
      </w:r>
      <w:r>
        <w:t>follow</w:t>
      </w:r>
      <w:r w:rsidR="00BB56EA">
        <w:t>ing section</w:t>
      </w:r>
      <w:r>
        <w:t>:</w:t>
      </w:r>
    </w:p>
    <w:p w14:paraId="212A1E2F" w14:textId="358F9FA5" w:rsidR="00760D16" w:rsidRDefault="00760D16" w:rsidP="00760D16"/>
    <w:p w14:paraId="61EC4758" w14:textId="6A9A0CFE" w:rsidR="00BB56EA" w:rsidRPr="00BB56EA" w:rsidRDefault="00BB56EA" w:rsidP="00760D16">
      <w:pPr>
        <w:rPr>
          <w:u w:val="single"/>
        </w:rPr>
      </w:pPr>
      <w:r>
        <w:rPr>
          <w:u w:val="single"/>
        </w:rPr>
        <w:t>Instructions for The Medicare Participating Physician and Supplier Agreement (CMS-460)</w:t>
      </w:r>
    </w:p>
    <w:p w14:paraId="1F05226E" w14:textId="77777777" w:rsidR="00BB56EA" w:rsidRDefault="00BB56EA" w:rsidP="00760D16"/>
    <w:p w14:paraId="0604EC5E" w14:textId="58AD3ADB" w:rsidR="00E31F92" w:rsidRDefault="00BB56EA" w:rsidP="00A61CE2">
      <w:r>
        <w:t>O</w:t>
      </w:r>
      <w:r w:rsidR="00760D16">
        <w:t xml:space="preserve">n page 2, </w:t>
      </w:r>
      <w:r>
        <w:t xml:space="preserve">we are inserting a new sub-section entitled, </w:t>
      </w:r>
      <w:r w:rsidR="00D9031C">
        <w:t>“Do You Want to Opt Out of Medicare?” The purpose of this sub-section is to provide information related to opting out of Medicare</w:t>
      </w:r>
      <w:r w:rsidR="00233D80">
        <w:t xml:space="preserve"> for physicians and practitioners who </w:t>
      </w:r>
      <w:r w:rsidR="00291AA7">
        <w:t>choose not to bill</w:t>
      </w:r>
      <w:r w:rsidR="00233D80">
        <w:t xml:space="preserve"> the Medicare program when treating Medicare beneficiaries. This sub-section discusses</w:t>
      </w:r>
      <w:r w:rsidR="00A61CE2">
        <w:t xml:space="preserve"> considerations </w:t>
      </w:r>
      <w:r w:rsidR="007834BA">
        <w:t xml:space="preserve">of physicians and practitioners </w:t>
      </w:r>
      <w:r w:rsidR="00A61CE2">
        <w:t>for opting out such as</w:t>
      </w:r>
      <w:r w:rsidR="00311DD2">
        <w:t>:</w:t>
      </w:r>
      <w:r w:rsidR="00E31F92">
        <w:t xml:space="preserve"> </w:t>
      </w:r>
    </w:p>
    <w:p w14:paraId="5B1A5BF7" w14:textId="77777777" w:rsidR="00E31F92" w:rsidRDefault="00E31F92" w:rsidP="00A61CE2"/>
    <w:p w14:paraId="0B0AD5E4" w14:textId="08B7C0FF" w:rsidR="00311DD2" w:rsidRDefault="00311DD2" w:rsidP="00E31F92">
      <w:pPr>
        <w:pStyle w:val="ListParagraph"/>
        <w:numPr>
          <w:ilvl w:val="0"/>
          <w:numId w:val="5"/>
        </w:numPr>
      </w:pPr>
      <w:r>
        <w:t>T</w:t>
      </w:r>
      <w:r w:rsidR="00233D80">
        <w:t xml:space="preserve">he flexibility to set mutually acceptable payment terms through a negotiated private contract with </w:t>
      </w:r>
      <w:r w:rsidR="00291AA7">
        <w:t xml:space="preserve">Medicare </w:t>
      </w:r>
      <w:r w:rsidR="00233D80">
        <w:t>beneficiaries</w:t>
      </w:r>
      <w:r>
        <w:t>.</w:t>
      </w:r>
    </w:p>
    <w:p w14:paraId="06C3FA47" w14:textId="0C73BD86" w:rsidR="00311DD2" w:rsidRDefault="00311DD2" w:rsidP="00E31F92">
      <w:pPr>
        <w:pStyle w:val="ListParagraph"/>
        <w:numPr>
          <w:ilvl w:val="0"/>
          <w:numId w:val="5"/>
        </w:numPr>
      </w:pPr>
      <w:r>
        <w:t>T</w:t>
      </w:r>
      <w:r w:rsidR="00233D80">
        <w:t>he two-year opt</w:t>
      </w:r>
      <w:r w:rsidR="00291AA7">
        <w:t>-</w:t>
      </w:r>
      <w:r w:rsidR="00233D80">
        <w:t>out period</w:t>
      </w:r>
      <w:r w:rsidR="00A61CE2">
        <w:t xml:space="preserve">, which automatically renews for successive two-year periods unless the physician or practitioner affirmatively requests that his or her opt-out status not be renewed. </w:t>
      </w:r>
    </w:p>
    <w:p w14:paraId="231FADD2" w14:textId="13351D70" w:rsidR="007834BA" w:rsidRPr="000E0D1F" w:rsidRDefault="007834BA" w:rsidP="00E31F92">
      <w:pPr>
        <w:pStyle w:val="ListParagraph"/>
        <w:numPr>
          <w:ilvl w:val="0"/>
          <w:numId w:val="5"/>
        </w:numPr>
      </w:pPr>
      <w:r w:rsidRPr="000E0D1F">
        <w:rPr>
          <w:rStyle w:val="A7"/>
          <w:u w:val="none"/>
        </w:rPr>
        <w:t>The need to not consider certain Medicare requirements, such as deciding on a case-by-case basis whether to provide an advance beneficiary notice of Medicare non-coverage for services in compliance with Medicare rules and guidance.</w:t>
      </w:r>
    </w:p>
    <w:p w14:paraId="63CDA5FD" w14:textId="39BC4586" w:rsidR="00760D16" w:rsidRDefault="00A61CE2" w:rsidP="00E31F92">
      <w:pPr>
        <w:pStyle w:val="ListParagraph"/>
        <w:numPr>
          <w:ilvl w:val="0"/>
          <w:numId w:val="5"/>
        </w:numPr>
      </w:pPr>
      <w:r>
        <w:t xml:space="preserve">This subsection also directs physicians and practitioners to </w:t>
      </w:r>
      <w:r w:rsidRPr="00A61CE2">
        <w:t>the Medicare Opt</w:t>
      </w:r>
      <w:r w:rsidR="00D942D1">
        <w:t>-</w:t>
      </w:r>
      <w:r>
        <w:t>O</w:t>
      </w:r>
      <w:r w:rsidRPr="00A61CE2">
        <w:t xml:space="preserve">ut </w:t>
      </w:r>
      <w:r>
        <w:t>A</w:t>
      </w:r>
      <w:r w:rsidRPr="00A61CE2">
        <w:t>ffidavits website for further details</w:t>
      </w:r>
      <w:r>
        <w:t xml:space="preserve">. </w:t>
      </w:r>
    </w:p>
    <w:p w14:paraId="182C81B0" w14:textId="77777777" w:rsidR="00760D16" w:rsidRDefault="00760D16" w:rsidP="00760D16"/>
    <w:p w14:paraId="00E77989" w14:textId="11896EA0" w:rsidR="00D942D1" w:rsidRDefault="00D9031C" w:rsidP="00D9031C">
      <w:pPr>
        <w:rPr>
          <w:b/>
        </w:rPr>
      </w:pPr>
      <w:r w:rsidRPr="00760D16">
        <w:rPr>
          <w:b/>
        </w:rPr>
        <w:t>We consider th</w:t>
      </w:r>
      <w:r w:rsidR="00D942D1">
        <w:rPr>
          <w:b/>
        </w:rPr>
        <w:t>is</w:t>
      </w:r>
      <w:r w:rsidRPr="00760D16">
        <w:rPr>
          <w:b/>
        </w:rPr>
        <w:t xml:space="preserve"> change to be non</w:t>
      </w:r>
      <w:r w:rsidR="00291AA7">
        <w:rPr>
          <w:b/>
        </w:rPr>
        <w:t>-</w:t>
      </w:r>
      <w:r w:rsidRPr="00760D16">
        <w:rPr>
          <w:b/>
        </w:rPr>
        <w:t xml:space="preserve">substantial </w:t>
      </w:r>
      <w:r w:rsidR="00F25F61">
        <w:rPr>
          <w:b/>
        </w:rPr>
        <w:t>because</w:t>
      </w:r>
      <w:r w:rsidRPr="00760D16">
        <w:rPr>
          <w:b/>
        </w:rPr>
        <w:t xml:space="preserve"> </w:t>
      </w:r>
      <w:r w:rsidR="00D942D1">
        <w:rPr>
          <w:b/>
        </w:rPr>
        <w:t xml:space="preserve">it </w:t>
      </w:r>
      <w:r w:rsidR="00291AA7">
        <w:rPr>
          <w:b/>
        </w:rPr>
        <w:t>is informational in nature and simply describes</w:t>
      </w:r>
      <w:r w:rsidR="00D942D1" w:rsidRPr="00D942D1">
        <w:rPr>
          <w:b/>
        </w:rPr>
        <w:t xml:space="preserve"> existing provider options</w:t>
      </w:r>
      <w:r w:rsidR="00291AA7">
        <w:rPr>
          <w:b/>
        </w:rPr>
        <w:t>. Further, the additional informational language</w:t>
      </w:r>
      <w:r w:rsidR="00D942D1" w:rsidRPr="00D942D1">
        <w:rPr>
          <w:b/>
        </w:rPr>
        <w:t xml:space="preserve"> does not change the manner in which the form is filled out, </w:t>
      </w:r>
      <w:r w:rsidR="00291AA7">
        <w:rPr>
          <w:b/>
        </w:rPr>
        <w:t>n</w:t>
      </w:r>
      <w:r w:rsidR="00D942D1" w:rsidRPr="00D942D1">
        <w:rPr>
          <w:b/>
        </w:rPr>
        <w:t xml:space="preserve">or </w:t>
      </w:r>
      <w:r w:rsidR="00291AA7">
        <w:rPr>
          <w:b/>
        </w:rPr>
        <w:t xml:space="preserve">does it change or require </w:t>
      </w:r>
      <w:r w:rsidR="00D942D1" w:rsidRPr="00D942D1">
        <w:rPr>
          <w:b/>
        </w:rPr>
        <w:t>any</w:t>
      </w:r>
      <w:r w:rsidR="00291AA7">
        <w:rPr>
          <w:b/>
        </w:rPr>
        <w:t xml:space="preserve"> new</w:t>
      </w:r>
      <w:r w:rsidR="00D942D1" w:rsidRPr="00D942D1">
        <w:rPr>
          <w:b/>
        </w:rPr>
        <w:t xml:space="preserve"> data.  </w:t>
      </w:r>
      <w:r w:rsidR="00D942D1">
        <w:rPr>
          <w:b/>
        </w:rPr>
        <w:t xml:space="preserve">This </w:t>
      </w:r>
      <w:r w:rsidR="00291AA7">
        <w:rPr>
          <w:b/>
        </w:rPr>
        <w:t xml:space="preserve">informational </w:t>
      </w:r>
      <w:r w:rsidR="00D942D1">
        <w:rPr>
          <w:b/>
        </w:rPr>
        <w:t xml:space="preserve">change is to the instructions section only and has </w:t>
      </w:r>
      <w:r w:rsidR="00D942D1" w:rsidRPr="00D942D1">
        <w:rPr>
          <w:b/>
        </w:rPr>
        <w:t>no impact on the previously stated burden associated with this collection</w:t>
      </w:r>
      <w:r w:rsidR="00D942D1">
        <w:rPr>
          <w:b/>
        </w:rPr>
        <w:t>.</w:t>
      </w:r>
    </w:p>
    <w:p w14:paraId="48173A60" w14:textId="77777777" w:rsidR="00D942D1" w:rsidRDefault="00D942D1" w:rsidP="00D9031C">
      <w:pPr>
        <w:rPr>
          <w:b/>
        </w:rPr>
      </w:pPr>
    </w:p>
    <w:p w14:paraId="65E3289B" w14:textId="0339D726" w:rsidR="00705AE6" w:rsidRDefault="00756902">
      <w:r>
        <w:t>Within t</w:t>
      </w:r>
      <w:r w:rsidR="00207FD0">
        <w:t>he Notice of Office of Management and Budget Action dated, 06/08/2017, the Terms of Clearance stated the following:</w:t>
      </w:r>
    </w:p>
    <w:p w14:paraId="35009CE9" w14:textId="77777777" w:rsidR="00207FD0" w:rsidRDefault="00207FD0"/>
    <w:p w14:paraId="5CFF72B8" w14:textId="75248CDE" w:rsidR="00756902" w:rsidRDefault="00756902" w:rsidP="00756902">
      <w:pPr>
        <w:ind w:left="720"/>
      </w:pPr>
      <w:r>
        <w:t>This approval will be converted to a full 3-year approval upon the receipt and submission of the updated number of participation agreements received annually.</w:t>
      </w:r>
    </w:p>
    <w:p w14:paraId="6E9268A8" w14:textId="77777777" w:rsidR="00D33E7C" w:rsidRDefault="00D33E7C" w:rsidP="00D33E7C"/>
    <w:p w14:paraId="618BE6FF" w14:textId="0B2CC612" w:rsidR="00705AE6" w:rsidRDefault="00D33E7C">
      <w:r>
        <w:t xml:space="preserve">In accordance with this request, CMS estimates the number of participation agreements received annually to be approximately 29,000. </w:t>
      </w:r>
    </w:p>
    <w:p w14:paraId="0CCB07D0" w14:textId="63F76637" w:rsidR="00705AE6" w:rsidRDefault="00705AE6"/>
    <w:p w14:paraId="100A2F30" w14:textId="71C0F583" w:rsidR="00705AE6" w:rsidRDefault="00705AE6"/>
    <w:p w14:paraId="1264E646" w14:textId="43E2C606" w:rsidR="00705AE6" w:rsidRDefault="00705AE6"/>
    <w:sectPr w:rsidR="0070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173"/>
    <w:multiLevelType w:val="hybridMultilevel"/>
    <w:tmpl w:val="522AA36A"/>
    <w:lvl w:ilvl="0" w:tplc="A15E228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DD65D6"/>
    <w:multiLevelType w:val="hybridMultilevel"/>
    <w:tmpl w:val="1E74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6747C"/>
    <w:multiLevelType w:val="hybridMultilevel"/>
    <w:tmpl w:val="025C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E0D1F"/>
    <w:rsid w:val="00207FD0"/>
    <w:rsid w:val="00233D80"/>
    <w:rsid w:val="0027388E"/>
    <w:rsid w:val="00291AA7"/>
    <w:rsid w:val="00311DD2"/>
    <w:rsid w:val="003D0C8C"/>
    <w:rsid w:val="00497827"/>
    <w:rsid w:val="0051288A"/>
    <w:rsid w:val="006B2EE6"/>
    <w:rsid w:val="006B56EE"/>
    <w:rsid w:val="00705AE6"/>
    <w:rsid w:val="00756902"/>
    <w:rsid w:val="00760D16"/>
    <w:rsid w:val="007834BA"/>
    <w:rsid w:val="00A61CE2"/>
    <w:rsid w:val="00AA7490"/>
    <w:rsid w:val="00AE4F05"/>
    <w:rsid w:val="00BB56EA"/>
    <w:rsid w:val="00BD701F"/>
    <w:rsid w:val="00C6127E"/>
    <w:rsid w:val="00D33E7C"/>
    <w:rsid w:val="00D6526E"/>
    <w:rsid w:val="00D9031C"/>
    <w:rsid w:val="00D942D1"/>
    <w:rsid w:val="00E31F92"/>
    <w:rsid w:val="00F2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A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A7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7834BA"/>
    <w:rPr>
      <w:color w:val="221E1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EE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EE6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A7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7834BA"/>
    <w:rPr>
      <w:color w:val="221E1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EE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EE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baldwin</dc:creator>
  <cp:keywords/>
  <dc:description/>
  <cp:lastModifiedBy>SYSTEM</cp:lastModifiedBy>
  <cp:revision>2</cp:revision>
  <dcterms:created xsi:type="dcterms:W3CDTF">2019-05-14T19:54:00Z</dcterms:created>
  <dcterms:modified xsi:type="dcterms:W3CDTF">2019-05-14T19:54:00Z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426979940</vt:i4>
  </property>
  <property fmtid="{D5CDD505-2E9C-101B-9397-08002B2CF9AE}" pid="3" name="_NewReviewCycle">
    <vt:lpwstr/>
  </property>
  <property fmtid="{D5CDD505-2E9C-101B-9397-08002B2CF9AE}" pid="4" name="_EmailSubject">
    <vt:lpwstr>Form 460 PRA</vt:lpwstr>
  </property>
  <property fmtid="{D5CDD505-2E9C-101B-9397-08002B2CF9AE}" pid="5" name="_AuthorEmail">
    <vt:lpwstr>Mark.Baldwin@cms.hhs.gov</vt:lpwstr>
  </property>
  <property fmtid="{D5CDD505-2E9C-101B-9397-08002B2CF9AE}" pid="6" name="_AuthorEmailDisplayName">
    <vt:lpwstr>Baldwin, Mark G. (CMS/CM)</vt:lpwstr>
  </property>
  <property fmtid="{D5CDD505-2E9C-101B-9397-08002B2CF9AE}" pid="7" name="_ReviewingToolsShownOnce">
    <vt:lpwstr/>
  </property>
</Properties>
</file>