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782C0" w14:textId="378242C2" w:rsidR="00421095" w:rsidRPr="009F651E" w:rsidRDefault="00421095" w:rsidP="0042109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bookmarkStart w:id="0" w:name="_GoBack"/>
      <w:bookmarkEnd w:id="0"/>
      <w:r>
        <w:rPr>
          <w:b/>
          <w:bCs/>
        </w:rPr>
        <w:t>Part</w:t>
      </w:r>
      <w:r w:rsidR="00C83679">
        <w:rPr>
          <w:b/>
          <w:bCs/>
        </w:rPr>
        <w:t xml:space="preserve"> </w:t>
      </w:r>
      <w:r>
        <w:rPr>
          <w:b/>
          <w:bCs/>
        </w:rPr>
        <w:t>B.</w:t>
      </w:r>
      <w:r w:rsidR="00C83679">
        <w:rPr>
          <w:b/>
          <w:bCs/>
        </w:rPr>
        <w:t xml:space="preserve">  </w:t>
      </w:r>
      <w:r w:rsidRPr="009F651E">
        <w:rPr>
          <w:b/>
          <w:bCs/>
        </w:rPr>
        <w:t>Collection</w:t>
      </w:r>
      <w:r w:rsidR="00C83679">
        <w:rPr>
          <w:b/>
          <w:bCs/>
        </w:rPr>
        <w:t xml:space="preserve"> </w:t>
      </w:r>
      <w:r w:rsidRPr="009F651E">
        <w:rPr>
          <w:b/>
          <w:bCs/>
        </w:rPr>
        <w:t>of</w:t>
      </w:r>
      <w:r w:rsidR="00C83679">
        <w:rPr>
          <w:b/>
          <w:bCs/>
        </w:rPr>
        <w:t xml:space="preserve"> </w:t>
      </w:r>
      <w:r w:rsidRPr="009F651E">
        <w:rPr>
          <w:b/>
          <w:bCs/>
        </w:rPr>
        <w:t>Information</w:t>
      </w:r>
      <w:r w:rsidR="00C83679">
        <w:rPr>
          <w:b/>
          <w:bCs/>
        </w:rPr>
        <w:t xml:space="preserve"> </w:t>
      </w:r>
      <w:r w:rsidRPr="009F651E">
        <w:rPr>
          <w:b/>
          <w:bCs/>
        </w:rPr>
        <w:t>Employing</w:t>
      </w:r>
      <w:r w:rsidR="00C83679">
        <w:rPr>
          <w:b/>
          <w:bCs/>
        </w:rPr>
        <w:t xml:space="preserve"> </w:t>
      </w:r>
      <w:r w:rsidRPr="009F651E">
        <w:rPr>
          <w:b/>
          <w:bCs/>
        </w:rPr>
        <w:t>Statistical</w:t>
      </w:r>
      <w:r w:rsidR="00C83679">
        <w:rPr>
          <w:b/>
          <w:bCs/>
        </w:rPr>
        <w:t xml:space="preserve"> </w:t>
      </w:r>
      <w:r w:rsidRPr="009F651E">
        <w:rPr>
          <w:b/>
          <w:bCs/>
        </w:rPr>
        <w:t>Methods</w:t>
      </w:r>
    </w:p>
    <w:p w14:paraId="57EFCCED" w14:textId="77777777" w:rsidR="00421095"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957D63" w14:textId="77777777" w:rsidR="00421095" w:rsidRPr="00D63EE5" w:rsidRDefault="00851873" w:rsidP="00D901A8">
      <w:pPr>
        <w:pStyle w:val="ListParagraph"/>
        <w:numPr>
          <w:ilvl w:val="0"/>
          <w:numId w:val="1"/>
        </w:numPr>
        <w:ind w:left="360"/>
        <w:rPr>
          <w:b/>
          <w:u w:val="single"/>
        </w:rPr>
      </w:pPr>
      <w:r>
        <w:rPr>
          <w:b/>
          <w:u w:val="single"/>
        </w:rPr>
        <w:t>Respondent</w:t>
      </w:r>
      <w:r w:rsidR="00C83679">
        <w:rPr>
          <w:b/>
          <w:u w:val="single"/>
        </w:rPr>
        <w:t xml:space="preserve"> </w:t>
      </w:r>
      <w:r w:rsidR="00421095" w:rsidRPr="00D63EE5">
        <w:rPr>
          <w:b/>
          <w:u w:val="single"/>
        </w:rPr>
        <w:t>Universe</w:t>
      </w:r>
      <w:r w:rsidR="00C83679">
        <w:rPr>
          <w:b/>
          <w:u w:val="single"/>
        </w:rPr>
        <w:t xml:space="preserve"> </w:t>
      </w:r>
      <w:r w:rsidR="00421095" w:rsidRPr="00D63EE5">
        <w:rPr>
          <w:b/>
          <w:u w:val="single"/>
        </w:rPr>
        <w:t>and</w:t>
      </w:r>
      <w:r w:rsidR="00C83679">
        <w:rPr>
          <w:b/>
          <w:u w:val="single"/>
        </w:rPr>
        <w:t xml:space="preserve"> </w:t>
      </w:r>
      <w:r w:rsidR="00421095" w:rsidRPr="00D63EE5">
        <w:rPr>
          <w:b/>
          <w:u w:val="single"/>
        </w:rPr>
        <w:t>Selection</w:t>
      </w:r>
    </w:p>
    <w:p w14:paraId="72F7F7E8" w14:textId="77777777" w:rsidR="00B00F46" w:rsidRDefault="00B00F46" w:rsidP="00C87E0F">
      <w:pPr>
        <w:rPr>
          <w:b/>
          <w:u w:val="single"/>
        </w:rPr>
      </w:pPr>
    </w:p>
    <w:p w14:paraId="2DEE8149" w14:textId="36529163" w:rsidR="00851873" w:rsidRPr="00C87E0F" w:rsidRDefault="00851873" w:rsidP="00C87E0F">
      <w:pPr>
        <w:rPr>
          <w:i/>
        </w:rPr>
      </w:pPr>
      <w:r w:rsidRPr="00C87E0F">
        <w:rPr>
          <w:i/>
        </w:rPr>
        <w:t>Defining</w:t>
      </w:r>
      <w:r w:rsidR="00C83679">
        <w:rPr>
          <w:i/>
        </w:rPr>
        <w:t xml:space="preserve"> </w:t>
      </w:r>
      <w:r w:rsidRPr="00C87E0F">
        <w:rPr>
          <w:i/>
        </w:rPr>
        <w:t>the</w:t>
      </w:r>
      <w:r w:rsidR="00C83679">
        <w:rPr>
          <w:i/>
        </w:rPr>
        <w:t xml:space="preserve"> </w:t>
      </w:r>
      <w:r w:rsidRPr="00C87E0F">
        <w:rPr>
          <w:i/>
        </w:rPr>
        <w:t>tribal</w:t>
      </w:r>
      <w:r w:rsidR="00C83679">
        <w:rPr>
          <w:i/>
        </w:rPr>
        <w:t xml:space="preserve"> </w:t>
      </w:r>
      <w:r w:rsidR="008D31D9">
        <w:rPr>
          <w:i/>
        </w:rPr>
        <w:t>LE</w:t>
      </w:r>
      <w:r w:rsidR="00C83679">
        <w:rPr>
          <w:i/>
        </w:rPr>
        <w:t xml:space="preserve"> </w:t>
      </w:r>
      <w:r w:rsidRPr="00C87E0F">
        <w:rPr>
          <w:i/>
        </w:rPr>
        <w:t>agency</w:t>
      </w:r>
      <w:r w:rsidR="00C83679">
        <w:rPr>
          <w:i/>
        </w:rPr>
        <w:t xml:space="preserve"> </w:t>
      </w:r>
      <w:r w:rsidRPr="00C87E0F">
        <w:rPr>
          <w:i/>
        </w:rPr>
        <w:t>universe</w:t>
      </w:r>
    </w:p>
    <w:p w14:paraId="31E286B1" w14:textId="77777777" w:rsidR="00851873" w:rsidRPr="00C87E0F" w:rsidRDefault="00851873" w:rsidP="00C87E0F">
      <w:pPr>
        <w:rPr>
          <w:b/>
          <w:u w:val="single"/>
        </w:rPr>
      </w:pPr>
    </w:p>
    <w:p w14:paraId="5A55FE7A" w14:textId="5155377F" w:rsidR="00AD0772" w:rsidRDefault="000E4002" w:rsidP="00740244">
      <w:pPr>
        <w:rPr>
          <w:color w:val="000000" w:themeColor="text1"/>
        </w:rPr>
      </w:pPr>
      <w:r>
        <w:t xml:space="preserve">BJS and its data collection agent </w:t>
      </w:r>
      <w:r w:rsidR="00EB1EFE">
        <w:t>conducted</w:t>
      </w:r>
      <w:r>
        <w:t xml:space="preserve"> an extensive process to develop the universe list for the</w:t>
      </w:r>
      <w:r w:rsidR="00C83679">
        <w:t xml:space="preserve"> </w:t>
      </w:r>
      <w:r w:rsidR="008029E0">
        <w:t>201</w:t>
      </w:r>
      <w:r w:rsidR="00EB1EFE">
        <w:t>9</w:t>
      </w:r>
      <w:r w:rsidR="008029E0">
        <w:t xml:space="preserve"> </w:t>
      </w:r>
      <w:r w:rsidR="008B74F9" w:rsidRPr="005D7D54">
        <w:rPr>
          <w:color w:val="000000" w:themeColor="text1"/>
        </w:rPr>
        <w:t>Census</w:t>
      </w:r>
      <w:r w:rsidR="00C83679">
        <w:rPr>
          <w:color w:val="000000" w:themeColor="text1"/>
        </w:rPr>
        <w:t xml:space="preserve"> </w:t>
      </w:r>
      <w:r w:rsidR="008B74F9" w:rsidRPr="005D7D54">
        <w:rPr>
          <w:color w:val="000000" w:themeColor="text1"/>
        </w:rPr>
        <w:t>of</w:t>
      </w:r>
      <w:r w:rsidR="00C83679">
        <w:rPr>
          <w:color w:val="000000" w:themeColor="text1"/>
        </w:rPr>
        <w:t xml:space="preserve"> </w:t>
      </w:r>
      <w:r w:rsidR="008B74F9">
        <w:rPr>
          <w:color w:val="000000" w:themeColor="text1"/>
        </w:rPr>
        <w:t>Tribal</w:t>
      </w:r>
      <w:r w:rsidR="00C83679">
        <w:rPr>
          <w:color w:val="000000" w:themeColor="text1"/>
        </w:rPr>
        <w:t xml:space="preserve"> </w:t>
      </w:r>
      <w:r w:rsidR="008B74F9" w:rsidRPr="005D7D54">
        <w:rPr>
          <w:color w:val="000000" w:themeColor="text1"/>
        </w:rPr>
        <w:t>Law</w:t>
      </w:r>
      <w:r w:rsidR="00C83679">
        <w:rPr>
          <w:color w:val="000000" w:themeColor="text1"/>
        </w:rPr>
        <w:t xml:space="preserve"> </w:t>
      </w:r>
      <w:r w:rsidR="008B74F9" w:rsidRPr="005D7D54">
        <w:rPr>
          <w:color w:val="000000" w:themeColor="text1"/>
        </w:rPr>
        <w:t>Enforcement</w:t>
      </w:r>
      <w:r w:rsidR="00C83679">
        <w:rPr>
          <w:color w:val="000000" w:themeColor="text1"/>
        </w:rPr>
        <w:t xml:space="preserve"> </w:t>
      </w:r>
      <w:r w:rsidR="008B74F9" w:rsidRPr="005D7D54">
        <w:rPr>
          <w:color w:val="000000" w:themeColor="text1"/>
        </w:rPr>
        <w:t>Agencies</w:t>
      </w:r>
      <w:r w:rsidR="00C83679">
        <w:rPr>
          <w:color w:val="000000" w:themeColor="text1"/>
        </w:rPr>
        <w:t xml:space="preserve"> </w:t>
      </w:r>
      <w:r w:rsidR="008B74F9" w:rsidRPr="005D7D54">
        <w:rPr>
          <w:color w:val="000000" w:themeColor="text1"/>
        </w:rPr>
        <w:t>(CTL</w:t>
      </w:r>
      <w:r w:rsidR="008B74F9">
        <w:rPr>
          <w:color w:val="000000" w:themeColor="text1"/>
        </w:rPr>
        <w:t>EA</w:t>
      </w:r>
      <w:r w:rsidR="008B74F9" w:rsidRPr="005D7D54">
        <w:rPr>
          <w:color w:val="000000" w:themeColor="text1"/>
        </w:rPr>
        <w:t>)</w:t>
      </w:r>
      <w:r>
        <w:rPr>
          <w:color w:val="000000" w:themeColor="text1"/>
        </w:rPr>
        <w:t>. Since the CTLEA</w:t>
      </w:r>
      <w:r w:rsidR="00C83679">
        <w:rPr>
          <w:color w:val="000000" w:themeColor="text1"/>
        </w:rPr>
        <w:t xml:space="preserve"> </w:t>
      </w:r>
      <w:r w:rsidR="00851873">
        <w:rPr>
          <w:color w:val="000000" w:themeColor="text1"/>
        </w:rPr>
        <w:t>is</w:t>
      </w:r>
      <w:r w:rsidR="00C83679">
        <w:rPr>
          <w:color w:val="000000" w:themeColor="text1"/>
        </w:rPr>
        <w:t xml:space="preserve"> </w:t>
      </w:r>
      <w:r w:rsidR="000C70F9">
        <w:rPr>
          <w:color w:val="000000" w:themeColor="text1"/>
        </w:rPr>
        <w:t xml:space="preserve">the </w:t>
      </w:r>
      <w:r w:rsidR="00851873">
        <w:rPr>
          <w:color w:val="000000" w:themeColor="text1"/>
        </w:rPr>
        <w:t>first</w:t>
      </w:r>
      <w:r w:rsidR="00C83679">
        <w:rPr>
          <w:color w:val="000000" w:themeColor="text1"/>
        </w:rPr>
        <w:t xml:space="preserve"> </w:t>
      </w:r>
      <w:r w:rsidR="00851873">
        <w:rPr>
          <w:color w:val="000000" w:themeColor="text1"/>
        </w:rPr>
        <w:t>census</w:t>
      </w:r>
      <w:r w:rsidR="00C83679">
        <w:rPr>
          <w:color w:val="000000" w:themeColor="text1"/>
        </w:rPr>
        <w:t xml:space="preserve"> </w:t>
      </w:r>
      <w:r w:rsidR="00851873">
        <w:rPr>
          <w:color w:val="000000" w:themeColor="text1"/>
        </w:rPr>
        <w:t>of</w:t>
      </w:r>
      <w:r w:rsidR="00C83679">
        <w:rPr>
          <w:color w:val="000000" w:themeColor="text1"/>
        </w:rPr>
        <w:t xml:space="preserve"> </w:t>
      </w:r>
      <w:r w:rsidR="00851873">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00851873">
        <w:rPr>
          <w:color w:val="000000" w:themeColor="text1"/>
        </w:rPr>
        <w:t>agencies</w:t>
      </w:r>
      <w:r w:rsidR="00C83679">
        <w:rPr>
          <w:color w:val="000000" w:themeColor="text1"/>
        </w:rPr>
        <w:t xml:space="preserve"> </w:t>
      </w:r>
      <w:r w:rsidR="00E24E22">
        <w:rPr>
          <w:color w:val="000000" w:themeColor="text1"/>
        </w:rPr>
        <w:t>operating</w:t>
      </w:r>
      <w:r w:rsidR="00C83679">
        <w:rPr>
          <w:color w:val="000000" w:themeColor="text1"/>
        </w:rPr>
        <w:t xml:space="preserve"> </w:t>
      </w:r>
      <w:r w:rsidR="00E24E22">
        <w:rPr>
          <w:color w:val="000000" w:themeColor="text1"/>
        </w:rPr>
        <w:t>in</w:t>
      </w:r>
      <w:r w:rsidR="00C83679">
        <w:rPr>
          <w:color w:val="000000" w:themeColor="text1"/>
        </w:rPr>
        <w:t xml:space="preserve"> </w:t>
      </w:r>
      <w:r w:rsidR="00E24E22">
        <w:rPr>
          <w:color w:val="000000" w:themeColor="text1"/>
        </w:rPr>
        <w:t>the</w:t>
      </w:r>
      <w:r w:rsidR="00C83679">
        <w:rPr>
          <w:color w:val="000000" w:themeColor="text1"/>
        </w:rPr>
        <w:t xml:space="preserve"> </w:t>
      </w:r>
      <w:r w:rsidR="00E24E22">
        <w:rPr>
          <w:color w:val="000000" w:themeColor="text1"/>
        </w:rPr>
        <w:t>U.S</w:t>
      </w:r>
      <w:r>
        <w:rPr>
          <w:color w:val="000000" w:themeColor="text1"/>
        </w:rPr>
        <w:t>., t</w:t>
      </w:r>
      <w:r w:rsidR="00A8569F">
        <w:rPr>
          <w:color w:val="000000" w:themeColor="text1"/>
        </w:rPr>
        <w:t>he</w:t>
      </w:r>
      <w:r w:rsidR="00C83679">
        <w:rPr>
          <w:color w:val="000000" w:themeColor="text1"/>
        </w:rPr>
        <w:t xml:space="preserve"> </w:t>
      </w:r>
      <w:r w:rsidR="00A8569F">
        <w:rPr>
          <w:color w:val="000000" w:themeColor="text1"/>
        </w:rPr>
        <w:t>first</w:t>
      </w:r>
      <w:r w:rsidR="00C83679">
        <w:rPr>
          <w:color w:val="000000" w:themeColor="text1"/>
        </w:rPr>
        <w:t xml:space="preserve"> </w:t>
      </w:r>
      <w:r>
        <w:rPr>
          <w:color w:val="000000" w:themeColor="text1"/>
        </w:rPr>
        <w:t>task</w:t>
      </w:r>
      <w:r w:rsidR="00C83679">
        <w:rPr>
          <w:color w:val="000000" w:themeColor="text1"/>
        </w:rPr>
        <w:t xml:space="preserve"> </w:t>
      </w:r>
      <w:r w:rsidR="00A8569F">
        <w:rPr>
          <w:color w:val="000000" w:themeColor="text1"/>
        </w:rPr>
        <w:t>was</w:t>
      </w:r>
      <w:r w:rsidR="00C83679">
        <w:rPr>
          <w:color w:val="000000" w:themeColor="text1"/>
        </w:rPr>
        <w:t xml:space="preserve"> </w:t>
      </w:r>
      <w:r w:rsidR="00A8569F">
        <w:rPr>
          <w:color w:val="000000" w:themeColor="text1"/>
        </w:rPr>
        <w:t>to</w:t>
      </w:r>
      <w:r w:rsidR="00C83679">
        <w:rPr>
          <w:color w:val="000000" w:themeColor="text1"/>
        </w:rPr>
        <w:t xml:space="preserve"> </w:t>
      </w:r>
      <w:r w:rsidR="00A8569F">
        <w:rPr>
          <w:color w:val="000000" w:themeColor="text1"/>
        </w:rPr>
        <w:t>develop</w:t>
      </w:r>
      <w:r w:rsidR="00C83679">
        <w:rPr>
          <w:color w:val="000000" w:themeColor="text1"/>
        </w:rPr>
        <w:t xml:space="preserve"> </w:t>
      </w:r>
      <w:r w:rsidR="000C70F9">
        <w:rPr>
          <w:color w:val="000000" w:themeColor="text1"/>
        </w:rPr>
        <w:t xml:space="preserve">agency </w:t>
      </w:r>
      <w:r w:rsidR="00E24E22">
        <w:rPr>
          <w:color w:val="000000" w:themeColor="text1"/>
        </w:rPr>
        <w:t>eligibility</w:t>
      </w:r>
      <w:r w:rsidR="00C83679">
        <w:rPr>
          <w:color w:val="000000" w:themeColor="text1"/>
        </w:rPr>
        <w:t xml:space="preserve"> </w:t>
      </w:r>
      <w:r w:rsidR="000C70F9">
        <w:rPr>
          <w:color w:val="000000" w:themeColor="text1"/>
        </w:rPr>
        <w:t>criteria</w:t>
      </w:r>
      <w:r w:rsidR="00E24E22">
        <w:rPr>
          <w:color w:val="000000" w:themeColor="text1"/>
        </w:rPr>
        <w:t>.</w:t>
      </w:r>
      <w:r w:rsidR="00C83679">
        <w:rPr>
          <w:color w:val="000000" w:themeColor="text1"/>
        </w:rPr>
        <w:t xml:space="preserve">  </w:t>
      </w:r>
      <w:r w:rsidR="00E24E22">
        <w:rPr>
          <w:color w:val="000000" w:themeColor="text1"/>
        </w:rPr>
        <w:t>B</w:t>
      </w:r>
      <w:r w:rsidR="00AD0772">
        <w:rPr>
          <w:color w:val="000000" w:themeColor="text1"/>
        </w:rPr>
        <w:t>JS</w:t>
      </w:r>
      <w:r w:rsidR="00C83679">
        <w:rPr>
          <w:color w:val="000000" w:themeColor="text1"/>
        </w:rPr>
        <w:t xml:space="preserve"> </w:t>
      </w:r>
      <w:r w:rsidR="00E24E22">
        <w:rPr>
          <w:color w:val="000000" w:themeColor="text1"/>
        </w:rPr>
        <w:t>and</w:t>
      </w:r>
      <w:r w:rsidR="00C83679">
        <w:rPr>
          <w:color w:val="000000" w:themeColor="text1"/>
        </w:rPr>
        <w:t xml:space="preserve"> </w:t>
      </w:r>
      <w:r w:rsidR="00AD0772">
        <w:rPr>
          <w:color w:val="000000" w:themeColor="text1"/>
        </w:rPr>
        <w:t>its</w:t>
      </w:r>
      <w:r w:rsidR="00C83679">
        <w:rPr>
          <w:color w:val="000000" w:themeColor="text1"/>
        </w:rPr>
        <w:t xml:space="preserve"> </w:t>
      </w:r>
      <w:r w:rsidR="00E24E22">
        <w:rPr>
          <w:color w:val="000000" w:themeColor="text1"/>
        </w:rPr>
        <w:t>data</w:t>
      </w:r>
      <w:r w:rsidR="00C83679">
        <w:rPr>
          <w:color w:val="000000" w:themeColor="text1"/>
        </w:rPr>
        <w:t xml:space="preserve"> </w:t>
      </w:r>
      <w:r w:rsidR="00E24E22">
        <w:rPr>
          <w:color w:val="000000" w:themeColor="text1"/>
        </w:rPr>
        <w:t>collection</w:t>
      </w:r>
      <w:r w:rsidR="00C83679">
        <w:rPr>
          <w:color w:val="000000" w:themeColor="text1"/>
        </w:rPr>
        <w:t xml:space="preserve"> </w:t>
      </w:r>
      <w:r w:rsidR="00E24E22">
        <w:rPr>
          <w:color w:val="000000" w:themeColor="text1"/>
        </w:rPr>
        <w:t>agents</w:t>
      </w:r>
      <w:r w:rsidR="00C83679">
        <w:rPr>
          <w:color w:val="000000" w:themeColor="text1"/>
        </w:rPr>
        <w:t xml:space="preserve"> </w:t>
      </w:r>
      <w:r w:rsidR="00A8569F">
        <w:rPr>
          <w:color w:val="000000" w:themeColor="text1"/>
        </w:rPr>
        <w:t>(</w:t>
      </w:r>
      <w:r w:rsidR="00E24E22">
        <w:rPr>
          <w:color w:val="000000" w:themeColor="text1"/>
        </w:rPr>
        <w:t>NORC</w:t>
      </w:r>
      <w:r w:rsidR="00C83679">
        <w:rPr>
          <w:color w:val="000000" w:themeColor="text1"/>
        </w:rPr>
        <w:t xml:space="preserve"> </w:t>
      </w:r>
      <w:r w:rsidR="00E24E22">
        <w:rPr>
          <w:color w:val="000000" w:themeColor="text1"/>
        </w:rPr>
        <w:t>at</w:t>
      </w:r>
      <w:r w:rsidR="00C83679">
        <w:rPr>
          <w:color w:val="000000" w:themeColor="text1"/>
        </w:rPr>
        <w:t xml:space="preserve"> </w:t>
      </w:r>
      <w:r w:rsidR="00E24E22">
        <w:rPr>
          <w:color w:val="000000" w:themeColor="text1"/>
        </w:rPr>
        <w:t>the</w:t>
      </w:r>
      <w:r w:rsidR="00C83679">
        <w:rPr>
          <w:color w:val="000000" w:themeColor="text1"/>
        </w:rPr>
        <w:t xml:space="preserve"> </w:t>
      </w:r>
      <w:r w:rsidR="00E24E22">
        <w:rPr>
          <w:color w:val="000000" w:themeColor="text1"/>
        </w:rPr>
        <w:t>University</w:t>
      </w:r>
      <w:r w:rsidR="00C83679">
        <w:rPr>
          <w:color w:val="000000" w:themeColor="text1"/>
        </w:rPr>
        <w:t xml:space="preserve"> </w:t>
      </w:r>
      <w:r w:rsidR="00E24E22">
        <w:rPr>
          <w:color w:val="000000" w:themeColor="text1"/>
        </w:rPr>
        <w:t>of</w:t>
      </w:r>
      <w:r w:rsidR="00C83679">
        <w:rPr>
          <w:color w:val="000000" w:themeColor="text1"/>
        </w:rPr>
        <w:t xml:space="preserve"> </w:t>
      </w:r>
      <w:r w:rsidR="00E24E22">
        <w:rPr>
          <w:color w:val="000000" w:themeColor="text1"/>
        </w:rPr>
        <w:t>Chicago</w:t>
      </w:r>
      <w:r w:rsidR="00C83679">
        <w:rPr>
          <w:color w:val="000000" w:themeColor="text1"/>
        </w:rPr>
        <w:t xml:space="preserve"> </w:t>
      </w:r>
      <w:r w:rsidR="00E24E22">
        <w:rPr>
          <w:color w:val="000000" w:themeColor="text1"/>
        </w:rPr>
        <w:t>and</w:t>
      </w:r>
      <w:r w:rsidR="00C83679">
        <w:rPr>
          <w:color w:val="000000" w:themeColor="text1"/>
        </w:rPr>
        <w:t xml:space="preserve"> </w:t>
      </w:r>
      <w:r w:rsidR="00E24E22">
        <w:rPr>
          <w:color w:val="000000" w:themeColor="text1"/>
        </w:rPr>
        <w:t>the</w:t>
      </w:r>
      <w:r w:rsidR="00C83679">
        <w:rPr>
          <w:color w:val="000000" w:themeColor="text1"/>
        </w:rPr>
        <w:t xml:space="preserve"> </w:t>
      </w:r>
      <w:r w:rsidR="00E24E22">
        <w:rPr>
          <w:color w:val="000000" w:themeColor="text1"/>
        </w:rPr>
        <w:t>International</w:t>
      </w:r>
      <w:r w:rsidR="00C83679">
        <w:rPr>
          <w:color w:val="000000" w:themeColor="text1"/>
        </w:rPr>
        <w:t xml:space="preserve"> </w:t>
      </w:r>
      <w:r w:rsidR="00E24E22">
        <w:rPr>
          <w:color w:val="000000" w:themeColor="text1"/>
        </w:rPr>
        <w:t>Association</w:t>
      </w:r>
      <w:r w:rsidR="00C83679">
        <w:rPr>
          <w:color w:val="000000" w:themeColor="text1"/>
        </w:rPr>
        <w:t xml:space="preserve"> </w:t>
      </w:r>
      <w:r w:rsidR="00E24E22">
        <w:rPr>
          <w:color w:val="000000" w:themeColor="text1"/>
        </w:rPr>
        <w:t>of</w:t>
      </w:r>
      <w:r w:rsidR="00C83679">
        <w:rPr>
          <w:color w:val="000000" w:themeColor="text1"/>
        </w:rPr>
        <w:t xml:space="preserve"> </w:t>
      </w:r>
      <w:r w:rsidR="00E24E22">
        <w:rPr>
          <w:color w:val="000000" w:themeColor="text1"/>
        </w:rPr>
        <w:t>Chiefs</w:t>
      </w:r>
      <w:r w:rsidR="00C83679">
        <w:rPr>
          <w:color w:val="000000" w:themeColor="text1"/>
        </w:rPr>
        <w:t xml:space="preserve"> </w:t>
      </w:r>
      <w:r w:rsidR="00E24E22">
        <w:rPr>
          <w:color w:val="000000" w:themeColor="text1"/>
        </w:rPr>
        <w:t>of</w:t>
      </w:r>
      <w:r w:rsidR="00C83679">
        <w:rPr>
          <w:color w:val="000000" w:themeColor="text1"/>
        </w:rPr>
        <w:t xml:space="preserve"> </w:t>
      </w:r>
      <w:r w:rsidR="00E24E22">
        <w:rPr>
          <w:color w:val="000000" w:themeColor="text1"/>
        </w:rPr>
        <w:t>Police</w:t>
      </w:r>
      <w:r w:rsidR="00BB3FAE">
        <w:rPr>
          <w:color w:val="000000" w:themeColor="text1"/>
        </w:rPr>
        <w:t xml:space="preserve"> [IACP]</w:t>
      </w:r>
      <w:r w:rsidR="00A8569F">
        <w:rPr>
          <w:color w:val="000000" w:themeColor="text1"/>
        </w:rPr>
        <w:t>)</w:t>
      </w:r>
      <w:r w:rsidR="00C83679">
        <w:rPr>
          <w:color w:val="000000" w:themeColor="text1"/>
        </w:rPr>
        <w:t xml:space="preserve"> </w:t>
      </w:r>
      <w:r w:rsidR="00E24E22">
        <w:rPr>
          <w:color w:val="000000" w:themeColor="text1"/>
        </w:rPr>
        <w:t>collaborated</w:t>
      </w:r>
      <w:r w:rsidR="00C83679">
        <w:rPr>
          <w:color w:val="000000" w:themeColor="text1"/>
        </w:rPr>
        <w:t xml:space="preserve"> </w:t>
      </w:r>
      <w:r w:rsidR="00E24E22">
        <w:rPr>
          <w:color w:val="000000" w:themeColor="text1"/>
        </w:rPr>
        <w:t>with</w:t>
      </w:r>
      <w:r w:rsidR="00C83679">
        <w:rPr>
          <w:color w:val="000000" w:themeColor="text1"/>
        </w:rPr>
        <w:t xml:space="preserve"> </w:t>
      </w:r>
      <w:r w:rsidR="00E24E22">
        <w:rPr>
          <w:color w:val="000000" w:themeColor="text1"/>
        </w:rPr>
        <w:t>federal,</w:t>
      </w:r>
      <w:r w:rsidR="00C83679">
        <w:rPr>
          <w:color w:val="000000" w:themeColor="text1"/>
        </w:rPr>
        <w:t xml:space="preserve"> </w:t>
      </w:r>
      <w:r w:rsidR="00E24E22">
        <w:rPr>
          <w:color w:val="000000" w:themeColor="text1"/>
        </w:rPr>
        <w:t>state,</w:t>
      </w:r>
      <w:r w:rsidR="00C83679">
        <w:rPr>
          <w:color w:val="000000" w:themeColor="text1"/>
        </w:rPr>
        <w:t xml:space="preserve"> </w:t>
      </w:r>
      <w:r w:rsidR="005F4EA4">
        <w:rPr>
          <w:color w:val="000000" w:themeColor="text1"/>
        </w:rPr>
        <w:t xml:space="preserve">and </w:t>
      </w:r>
      <w:r w:rsidR="00E24E22">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00E24E22">
        <w:rPr>
          <w:color w:val="000000" w:themeColor="text1"/>
        </w:rPr>
        <w:t>agencies</w:t>
      </w:r>
      <w:r w:rsidR="00C83679">
        <w:rPr>
          <w:color w:val="000000" w:themeColor="text1"/>
        </w:rPr>
        <w:t xml:space="preserve"> </w:t>
      </w:r>
      <w:r w:rsidR="00E24E22">
        <w:rPr>
          <w:color w:val="000000" w:themeColor="text1"/>
        </w:rPr>
        <w:t>in</w:t>
      </w:r>
      <w:r w:rsidR="00C83679">
        <w:rPr>
          <w:color w:val="000000" w:themeColor="text1"/>
        </w:rPr>
        <w:t xml:space="preserve"> </w:t>
      </w:r>
      <w:r w:rsidR="00E24E22">
        <w:rPr>
          <w:color w:val="000000" w:themeColor="text1"/>
        </w:rPr>
        <w:t>the</w:t>
      </w:r>
      <w:r w:rsidR="00C83679">
        <w:rPr>
          <w:color w:val="000000" w:themeColor="text1"/>
        </w:rPr>
        <w:t xml:space="preserve"> </w:t>
      </w:r>
      <w:r w:rsidR="00E24E22">
        <w:rPr>
          <w:color w:val="000000" w:themeColor="text1"/>
        </w:rPr>
        <w:t>lower</w:t>
      </w:r>
      <w:r w:rsidR="00C83679">
        <w:rPr>
          <w:color w:val="000000" w:themeColor="text1"/>
        </w:rPr>
        <w:t xml:space="preserve"> </w:t>
      </w:r>
      <w:r w:rsidR="00E24E22">
        <w:rPr>
          <w:color w:val="000000" w:themeColor="text1"/>
        </w:rPr>
        <w:t>48</w:t>
      </w:r>
      <w:r w:rsidR="00C83679">
        <w:rPr>
          <w:color w:val="000000" w:themeColor="text1"/>
        </w:rPr>
        <w:t xml:space="preserve"> </w:t>
      </w:r>
      <w:r w:rsidR="00E24E22">
        <w:rPr>
          <w:color w:val="000000" w:themeColor="text1"/>
        </w:rPr>
        <w:t>states</w:t>
      </w:r>
      <w:r w:rsidR="00C83679">
        <w:rPr>
          <w:color w:val="000000" w:themeColor="text1"/>
        </w:rPr>
        <w:t xml:space="preserve"> </w:t>
      </w:r>
      <w:r w:rsidR="00E24E22">
        <w:rPr>
          <w:color w:val="000000" w:themeColor="text1"/>
        </w:rPr>
        <w:t>and</w:t>
      </w:r>
      <w:r w:rsidR="00C83679">
        <w:rPr>
          <w:color w:val="000000" w:themeColor="text1"/>
        </w:rPr>
        <w:t xml:space="preserve"> </w:t>
      </w:r>
      <w:r w:rsidR="00E24E22">
        <w:rPr>
          <w:color w:val="000000" w:themeColor="text1"/>
        </w:rPr>
        <w:t>Alaska</w:t>
      </w:r>
      <w:r w:rsidR="00C83679">
        <w:rPr>
          <w:color w:val="000000" w:themeColor="text1"/>
        </w:rPr>
        <w:t xml:space="preserve"> </w:t>
      </w:r>
      <w:r w:rsidR="00E24E22">
        <w:rPr>
          <w:color w:val="000000" w:themeColor="text1"/>
        </w:rPr>
        <w:t>to</w:t>
      </w:r>
      <w:r w:rsidR="00127384">
        <w:rPr>
          <w:color w:val="000000" w:themeColor="text1"/>
        </w:rPr>
        <w:t xml:space="preserve"> </w:t>
      </w:r>
      <w:r w:rsidR="00A8569F">
        <w:rPr>
          <w:color w:val="000000" w:themeColor="text1"/>
        </w:rPr>
        <w:t>develop</w:t>
      </w:r>
      <w:r w:rsidR="00C83679">
        <w:rPr>
          <w:color w:val="000000" w:themeColor="text1"/>
        </w:rPr>
        <w:t xml:space="preserve"> </w:t>
      </w:r>
      <w:r w:rsidR="00A8569F">
        <w:rPr>
          <w:color w:val="000000" w:themeColor="text1"/>
        </w:rPr>
        <w:t>th</w:t>
      </w:r>
      <w:r w:rsidR="00BC0B1A">
        <w:rPr>
          <w:color w:val="000000" w:themeColor="text1"/>
        </w:rPr>
        <w:t>ese</w:t>
      </w:r>
      <w:r w:rsidR="00C83679">
        <w:rPr>
          <w:color w:val="000000" w:themeColor="text1"/>
        </w:rPr>
        <w:t xml:space="preserve"> </w:t>
      </w:r>
      <w:r w:rsidR="00A8569F">
        <w:rPr>
          <w:color w:val="000000" w:themeColor="text1"/>
        </w:rPr>
        <w:t>criteria.</w:t>
      </w:r>
      <w:r w:rsidR="00C83679">
        <w:rPr>
          <w:color w:val="000000" w:themeColor="text1"/>
        </w:rPr>
        <w:t xml:space="preserve">  </w:t>
      </w:r>
      <w:r w:rsidR="008029E0">
        <w:rPr>
          <w:color w:val="000000" w:themeColor="text1"/>
        </w:rPr>
        <w:t>The</w:t>
      </w:r>
      <w:r w:rsidR="001569D1">
        <w:rPr>
          <w:color w:val="000000" w:themeColor="text1"/>
        </w:rPr>
        <w:t xml:space="preserve"> </w:t>
      </w:r>
      <w:r w:rsidR="00851873">
        <w:rPr>
          <w:color w:val="000000" w:themeColor="text1"/>
        </w:rPr>
        <w:t>CTLEA</w:t>
      </w:r>
      <w:r w:rsidR="00C83679">
        <w:rPr>
          <w:color w:val="000000" w:themeColor="text1"/>
        </w:rPr>
        <w:t xml:space="preserve"> </w:t>
      </w:r>
      <w:r w:rsidR="00E24E22">
        <w:rPr>
          <w:color w:val="000000" w:themeColor="text1"/>
        </w:rPr>
        <w:t>will</w:t>
      </w:r>
      <w:r w:rsidR="00C83679">
        <w:rPr>
          <w:color w:val="000000" w:themeColor="text1"/>
        </w:rPr>
        <w:t xml:space="preserve"> </w:t>
      </w:r>
      <w:r w:rsidR="008B74F9" w:rsidRPr="005D7D54">
        <w:rPr>
          <w:color w:val="000000" w:themeColor="text1"/>
        </w:rPr>
        <w:t>collect</w:t>
      </w:r>
      <w:r w:rsidR="00C83679">
        <w:rPr>
          <w:color w:val="000000" w:themeColor="text1"/>
        </w:rPr>
        <w:t xml:space="preserve"> </w:t>
      </w:r>
      <w:r w:rsidR="008B74F9" w:rsidRPr="005D7D54">
        <w:rPr>
          <w:color w:val="000000" w:themeColor="text1"/>
        </w:rPr>
        <w:t>data</w:t>
      </w:r>
      <w:r w:rsidR="00C83679">
        <w:rPr>
          <w:color w:val="000000" w:themeColor="text1"/>
        </w:rPr>
        <w:t xml:space="preserve"> </w:t>
      </w:r>
      <w:r w:rsidR="008B74F9">
        <w:rPr>
          <w:color w:val="000000" w:themeColor="text1"/>
        </w:rPr>
        <w:t>from</w:t>
      </w:r>
      <w:r w:rsidR="001569D1">
        <w:rPr>
          <w:color w:val="000000" w:themeColor="text1"/>
        </w:rPr>
        <w:t xml:space="preserve"> tribally-</w:t>
      </w:r>
      <w:r w:rsidR="00E24E22">
        <w:rPr>
          <w:color w:val="000000" w:themeColor="text1"/>
        </w:rPr>
        <w:t>operated</w:t>
      </w:r>
      <w:r w:rsidR="00C83679">
        <w:rPr>
          <w:color w:val="000000" w:themeColor="text1"/>
        </w:rPr>
        <w:t xml:space="preserve"> </w:t>
      </w:r>
      <w:r w:rsidR="00903FED">
        <w:rPr>
          <w:color w:val="000000" w:themeColor="text1"/>
        </w:rPr>
        <w:t>LE</w:t>
      </w:r>
      <w:r w:rsidR="00C83679">
        <w:rPr>
          <w:color w:val="000000" w:themeColor="text1"/>
        </w:rPr>
        <w:t xml:space="preserve"> </w:t>
      </w:r>
      <w:r w:rsidR="008B74F9">
        <w:rPr>
          <w:color w:val="000000" w:themeColor="text1"/>
        </w:rPr>
        <w:t>agencies</w:t>
      </w:r>
      <w:r w:rsidR="00C83679">
        <w:rPr>
          <w:color w:val="000000" w:themeColor="text1"/>
        </w:rPr>
        <w:t xml:space="preserve"> </w:t>
      </w:r>
      <w:r w:rsidR="008B74F9">
        <w:rPr>
          <w:color w:val="000000" w:themeColor="text1"/>
        </w:rPr>
        <w:t>that</w:t>
      </w:r>
      <w:r w:rsidR="00C83679">
        <w:rPr>
          <w:color w:val="000000" w:themeColor="text1"/>
        </w:rPr>
        <w:t xml:space="preserve"> </w:t>
      </w:r>
      <w:r w:rsidR="001569D1">
        <w:rPr>
          <w:color w:val="000000" w:themeColor="text1"/>
        </w:rPr>
        <w:t xml:space="preserve">1) </w:t>
      </w:r>
      <w:r w:rsidR="008B74F9">
        <w:rPr>
          <w:color w:val="000000" w:themeColor="text1"/>
        </w:rPr>
        <w:t>provide</w:t>
      </w:r>
      <w:r w:rsidR="00C83679">
        <w:rPr>
          <w:color w:val="000000" w:themeColor="text1"/>
        </w:rPr>
        <w:t xml:space="preserve"> </w:t>
      </w:r>
      <w:r w:rsidR="008B74F9">
        <w:rPr>
          <w:color w:val="000000" w:themeColor="text1"/>
        </w:rPr>
        <w:t>direct</w:t>
      </w:r>
      <w:r w:rsidR="00C83679">
        <w:rPr>
          <w:color w:val="000000" w:themeColor="text1"/>
        </w:rPr>
        <w:t xml:space="preserve"> </w:t>
      </w:r>
      <w:r w:rsidR="008B74F9">
        <w:rPr>
          <w:color w:val="000000" w:themeColor="text1"/>
        </w:rPr>
        <w:t>law</w:t>
      </w:r>
      <w:r w:rsidR="00C83679">
        <w:rPr>
          <w:color w:val="000000" w:themeColor="text1"/>
        </w:rPr>
        <w:t xml:space="preserve"> </w:t>
      </w:r>
      <w:r w:rsidR="008B74F9">
        <w:rPr>
          <w:color w:val="000000" w:themeColor="text1"/>
        </w:rPr>
        <w:t>enforcement</w:t>
      </w:r>
      <w:r w:rsidR="00C83679">
        <w:rPr>
          <w:color w:val="000000" w:themeColor="text1"/>
        </w:rPr>
        <w:t xml:space="preserve"> </w:t>
      </w:r>
      <w:r w:rsidR="008B74F9">
        <w:rPr>
          <w:color w:val="000000" w:themeColor="text1"/>
        </w:rPr>
        <w:t>services</w:t>
      </w:r>
      <w:r w:rsidR="00C83679">
        <w:rPr>
          <w:color w:val="000000" w:themeColor="text1"/>
        </w:rPr>
        <w:t xml:space="preserve"> </w:t>
      </w:r>
      <w:r w:rsidR="008B74F9">
        <w:rPr>
          <w:color w:val="000000" w:themeColor="text1"/>
        </w:rPr>
        <w:t>on</w:t>
      </w:r>
      <w:r w:rsidR="00C83679">
        <w:rPr>
          <w:color w:val="000000" w:themeColor="text1"/>
        </w:rPr>
        <w:t xml:space="preserve"> </w:t>
      </w:r>
      <w:r w:rsidR="008B74F9">
        <w:rPr>
          <w:color w:val="000000" w:themeColor="text1"/>
        </w:rPr>
        <w:t>tribal</w:t>
      </w:r>
      <w:r w:rsidR="00C83679">
        <w:rPr>
          <w:color w:val="000000" w:themeColor="text1"/>
        </w:rPr>
        <w:t xml:space="preserve"> </w:t>
      </w:r>
      <w:r w:rsidR="008B74F9">
        <w:rPr>
          <w:color w:val="000000" w:themeColor="text1"/>
        </w:rPr>
        <w:t>lands</w:t>
      </w:r>
      <w:r w:rsidR="001569D1">
        <w:rPr>
          <w:color w:val="000000" w:themeColor="text1"/>
        </w:rPr>
        <w:t>, 2)</w:t>
      </w:r>
      <w:r w:rsidR="00C83679">
        <w:rPr>
          <w:color w:val="000000" w:themeColor="text1"/>
        </w:rPr>
        <w:t xml:space="preserve"> </w:t>
      </w:r>
      <w:r w:rsidR="00A8569F">
        <w:rPr>
          <w:color w:val="000000" w:themeColor="text1"/>
        </w:rPr>
        <w:t>are</w:t>
      </w:r>
      <w:r w:rsidR="00C83679">
        <w:rPr>
          <w:color w:val="000000" w:themeColor="text1"/>
        </w:rPr>
        <w:t xml:space="preserve"> </w:t>
      </w:r>
      <w:r w:rsidR="00AD6411">
        <w:rPr>
          <w:color w:val="000000" w:themeColor="text1"/>
        </w:rPr>
        <w:t xml:space="preserve">funded by </w:t>
      </w:r>
      <w:r>
        <w:rPr>
          <w:color w:val="000000" w:themeColor="text1"/>
        </w:rPr>
        <w:t>a</w:t>
      </w:r>
      <w:r w:rsidR="00BE236B">
        <w:rPr>
          <w:color w:val="000000" w:themeColor="text1"/>
        </w:rPr>
        <w:t xml:space="preserve"> </w:t>
      </w:r>
      <w:r w:rsidR="00AD6411">
        <w:rPr>
          <w:color w:val="000000" w:themeColor="text1"/>
        </w:rPr>
        <w:t xml:space="preserve">tribe, 3) </w:t>
      </w:r>
      <w:r w:rsidR="0066306E">
        <w:rPr>
          <w:color w:val="000000" w:themeColor="text1"/>
        </w:rPr>
        <w:t xml:space="preserve">are </w:t>
      </w:r>
      <w:r w:rsidR="00740244" w:rsidRPr="00740244">
        <w:rPr>
          <w:color w:val="000000" w:themeColor="text1"/>
        </w:rPr>
        <w:t>responsible</w:t>
      </w:r>
      <w:r w:rsidR="00C83679">
        <w:rPr>
          <w:color w:val="000000" w:themeColor="text1"/>
        </w:rPr>
        <w:t xml:space="preserve"> </w:t>
      </w:r>
      <w:r w:rsidR="00740244" w:rsidRPr="00740244">
        <w:rPr>
          <w:color w:val="000000" w:themeColor="text1"/>
        </w:rPr>
        <w:t>for</w:t>
      </w:r>
      <w:r w:rsidR="00C83679">
        <w:rPr>
          <w:color w:val="000000" w:themeColor="text1"/>
        </w:rPr>
        <w:t xml:space="preserve"> </w:t>
      </w:r>
      <w:r w:rsidR="00740244" w:rsidRPr="00740244">
        <w:rPr>
          <w:color w:val="000000" w:themeColor="text1"/>
        </w:rPr>
        <w:t>maintaining</w:t>
      </w:r>
      <w:r w:rsidR="00C83679">
        <w:rPr>
          <w:color w:val="000000" w:themeColor="text1"/>
        </w:rPr>
        <w:t xml:space="preserve"> </w:t>
      </w:r>
      <w:r w:rsidR="00740244" w:rsidRPr="00740244">
        <w:rPr>
          <w:color w:val="000000" w:themeColor="text1"/>
        </w:rPr>
        <w:t>public</w:t>
      </w:r>
      <w:r w:rsidR="00C83679">
        <w:rPr>
          <w:color w:val="000000" w:themeColor="text1"/>
        </w:rPr>
        <w:t xml:space="preserve"> </w:t>
      </w:r>
      <w:r w:rsidR="00740244" w:rsidRPr="00740244">
        <w:rPr>
          <w:color w:val="000000" w:themeColor="text1"/>
        </w:rPr>
        <w:t>order</w:t>
      </w:r>
      <w:r w:rsidR="00C83679">
        <w:rPr>
          <w:color w:val="000000" w:themeColor="text1"/>
        </w:rPr>
        <w:t xml:space="preserve"> </w:t>
      </w:r>
      <w:r w:rsidR="00740244" w:rsidRPr="00740244">
        <w:rPr>
          <w:color w:val="000000" w:themeColor="text1"/>
        </w:rPr>
        <w:t>and</w:t>
      </w:r>
      <w:r w:rsidR="00C83679">
        <w:rPr>
          <w:color w:val="000000" w:themeColor="text1"/>
        </w:rPr>
        <w:t xml:space="preserve"> </w:t>
      </w:r>
      <w:r w:rsidR="00740244" w:rsidRPr="00740244">
        <w:rPr>
          <w:color w:val="000000" w:themeColor="text1"/>
        </w:rPr>
        <w:t>enforcing</w:t>
      </w:r>
      <w:r w:rsidR="00C83679">
        <w:rPr>
          <w:color w:val="000000" w:themeColor="text1"/>
        </w:rPr>
        <w:t xml:space="preserve"> </w:t>
      </w:r>
      <w:r w:rsidR="00740244" w:rsidRPr="00740244">
        <w:rPr>
          <w:color w:val="000000" w:themeColor="text1"/>
        </w:rPr>
        <w:t>the</w:t>
      </w:r>
      <w:r w:rsidR="00C83679">
        <w:rPr>
          <w:color w:val="000000" w:themeColor="text1"/>
        </w:rPr>
        <w:t xml:space="preserve"> </w:t>
      </w:r>
      <w:r w:rsidR="00740244" w:rsidRPr="00740244">
        <w:rPr>
          <w:color w:val="000000" w:themeColor="text1"/>
        </w:rPr>
        <w:t>law,</w:t>
      </w:r>
      <w:r w:rsidR="001569D1">
        <w:rPr>
          <w:color w:val="000000" w:themeColor="text1"/>
        </w:rPr>
        <w:t xml:space="preserve"> </w:t>
      </w:r>
      <w:r w:rsidR="00AD6411">
        <w:rPr>
          <w:color w:val="000000" w:themeColor="text1"/>
        </w:rPr>
        <w:t>4</w:t>
      </w:r>
      <w:r w:rsidR="001569D1">
        <w:rPr>
          <w:color w:val="000000" w:themeColor="text1"/>
        </w:rPr>
        <w:t>) are responsible</w:t>
      </w:r>
      <w:r w:rsidR="00C83679">
        <w:rPr>
          <w:color w:val="000000" w:themeColor="text1"/>
        </w:rPr>
        <w:t xml:space="preserve"> </w:t>
      </w:r>
      <w:r w:rsidR="00622519">
        <w:rPr>
          <w:color w:val="000000" w:themeColor="text1"/>
        </w:rPr>
        <w:t>for</w:t>
      </w:r>
      <w:r w:rsidR="00C83679">
        <w:rPr>
          <w:color w:val="000000" w:themeColor="text1"/>
        </w:rPr>
        <w:t xml:space="preserve"> </w:t>
      </w:r>
      <w:r w:rsidR="00622519">
        <w:rPr>
          <w:color w:val="000000" w:themeColor="text1"/>
        </w:rPr>
        <w:t>the</w:t>
      </w:r>
      <w:r w:rsidR="00C83679">
        <w:rPr>
          <w:color w:val="000000" w:themeColor="text1"/>
        </w:rPr>
        <w:t xml:space="preserve"> </w:t>
      </w:r>
      <w:r w:rsidR="00622519" w:rsidRPr="00740244">
        <w:rPr>
          <w:color w:val="000000" w:themeColor="text1"/>
        </w:rPr>
        <w:t>detection</w:t>
      </w:r>
      <w:r w:rsidR="00C83679">
        <w:rPr>
          <w:color w:val="000000" w:themeColor="text1"/>
        </w:rPr>
        <w:t xml:space="preserve"> </w:t>
      </w:r>
      <w:r w:rsidR="00622519" w:rsidRPr="00740244">
        <w:rPr>
          <w:color w:val="000000" w:themeColor="text1"/>
        </w:rPr>
        <w:t>and</w:t>
      </w:r>
      <w:r w:rsidR="00C83679">
        <w:rPr>
          <w:color w:val="000000" w:themeColor="text1"/>
        </w:rPr>
        <w:t xml:space="preserve"> </w:t>
      </w:r>
      <w:r w:rsidR="00740244" w:rsidRPr="00740244">
        <w:rPr>
          <w:color w:val="000000" w:themeColor="text1"/>
        </w:rPr>
        <w:t>investigation</w:t>
      </w:r>
      <w:r w:rsidR="00C83679">
        <w:rPr>
          <w:color w:val="000000" w:themeColor="text1"/>
        </w:rPr>
        <w:t xml:space="preserve"> </w:t>
      </w:r>
      <w:r w:rsidR="00740244" w:rsidRPr="00740244">
        <w:rPr>
          <w:color w:val="000000" w:themeColor="text1"/>
        </w:rPr>
        <w:t>of</w:t>
      </w:r>
      <w:r w:rsidR="00C83679">
        <w:rPr>
          <w:color w:val="000000" w:themeColor="text1"/>
        </w:rPr>
        <w:t xml:space="preserve"> </w:t>
      </w:r>
      <w:r w:rsidR="00740244" w:rsidRPr="00740244">
        <w:rPr>
          <w:color w:val="000000" w:themeColor="text1"/>
        </w:rPr>
        <w:t>crime</w:t>
      </w:r>
      <w:r w:rsidR="00622519">
        <w:rPr>
          <w:color w:val="000000" w:themeColor="text1"/>
        </w:rPr>
        <w:t>s</w:t>
      </w:r>
      <w:r w:rsidR="00C83679">
        <w:rPr>
          <w:color w:val="000000" w:themeColor="text1"/>
        </w:rPr>
        <w:t xml:space="preserve"> </w:t>
      </w:r>
      <w:r w:rsidR="00740244" w:rsidRPr="00740244">
        <w:rPr>
          <w:color w:val="000000" w:themeColor="text1"/>
        </w:rPr>
        <w:t>and</w:t>
      </w:r>
      <w:r w:rsidR="00C83679">
        <w:rPr>
          <w:color w:val="000000" w:themeColor="text1"/>
        </w:rPr>
        <w:t xml:space="preserve"> </w:t>
      </w:r>
      <w:r w:rsidR="00740244" w:rsidRPr="00740244">
        <w:rPr>
          <w:color w:val="000000" w:themeColor="text1"/>
        </w:rPr>
        <w:t>apprehension</w:t>
      </w:r>
      <w:r w:rsidR="00C83679">
        <w:rPr>
          <w:color w:val="000000" w:themeColor="text1"/>
        </w:rPr>
        <w:t xml:space="preserve"> </w:t>
      </w:r>
      <w:r w:rsidR="00740244" w:rsidRPr="00740244">
        <w:rPr>
          <w:color w:val="000000" w:themeColor="text1"/>
        </w:rPr>
        <w:t>of</w:t>
      </w:r>
      <w:r w:rsidR="00C83679">
        <w:rPr>
          <w:color w:val="000000" w:themeColor="text1"/>
        </w:rPr>
        <w:t xml:space="preserve"> </w:t>
      </w:r>
      <w:r w:rsidR="00740244" w:rsidRPr="00740244">
        <w:rPr>
          <w:color w:val="000000" w:themeColor="text1"/>
        </w:rPr>
        <w:t>criminals</w:t>
      </w:r>
      <w:r w:rsidR="001569D1">
        <w:rPr>
          <w:color w:val="000000" w:themeColor="text1"/>
        </w:rPr>
        <w:t xml:space="preserve"> and </w:t>
      </w:r>
      <w:r w:rsidR="00AD6411">
        <w:rPr>
          <w:color w:val="000000" w:themeColor="text1"/>
        </w:rPr>
        <w:t>5</w:t>
      </w:r>
      <w:r w:rsidR="001569D1">
        <w:rPr>
          <w:color w:val="000000" w:themeColor="text1"/>
        </w:rPr>
        <w:t>) have general arrest powers</w:t>
      </w:r>
      <w:r w:rsidR="008029E0">
        <w:rPr>
          <w:color w:val="000000" w:themeColor="text1"/>
        </w:rPr>
        <w:t xml:space="preserve"> or </w:t>
      </w:r>
      <w:r w:rsidR="008F3064">
        <w:rPr>
          <w:color w:val="000000" w:themeColor="text1"/>
        </w:rPr>
        <w:t>the authority</w:t>
      </w:r>
      <w:r w:rsidR="008029E0">
        <w:rPr>
          <w:color w:val="000000" w:themeColor="text1"/>
        </w:rPr>
        <w:t xml:space="preserve"> to issue citations</w:t>
      </w:r>
      <w:r w:rsidR="00740244" w:rsidRPr="00740244">
        <w:rPr>
          <w:color w:val="000000" w:themeColor="text1"/>
        </w:rPr>
        <w:t>.</w:t>
      </w:r>
      <w:r w:rsidR="00C83679">
        <w:rPr>
          <w:color w:val="000000" w:themeColor="text1"/>
        </w:rPr>
        <w:t xml:space="preserve"> </w:t>
      </w:r>
    </w:p>
    <w:p w14:paraId="301087C8" w14:textId="77777777" w:rsidR="00AD0772" w:rsidRDefault="00AD0772" w:rsidP="00740244">
      <w:pPr>
        <w:rPr>
          <w:color w:val="000000" w:themeColor="text1"/>
        </w:rPr>
      </w:pPr>
    </w:p>
    <w:p w14:paraId="0535C7FF" w14:textId="181CC032" w:rsidR="00740244" w:rsidRPr="00740244" w:rsidRDefault="00740244" w:rsidP="00740244">
      <w:pPr>
        <w:rPr>
          <w:color w:val="000000" w:themeColor="text1"/>
        </w:rPr>
      </w:pPr>
      <w:r w:rsidRPr="00740244">
        <w:rPr>
          <w:color w:val="000000" w:themeColor="text1"/>
        </w:rPr>
        <w:t>Authority</w:t>
      </w:r>
      <w:r w:rsidR="00C83679">
        <w:rPr>
          <w:color w:val="000000" w:themeColor="text1"/>
        </w:rPr>
        <w:t xml:space="preserve"> </w:t>
      </w:r>
      <w:r w:rsidRPr="00740244">
        <w:rPr>
          <w:color w:val="000000" w:themeColor="text1"/>
        </w:rPr>
        <w:t>for</w:t>
      </w:r>
      <w:r w:rsidR="00C83679">
        <w:rPr>
          <w:color w:val="000000" w:themeColor="text1"/>
        </w:rPr>
        <w:t xml:space="preserve"> </w:t>
      </w:r>
      <w:r w:rsidRPr="00740244">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Pr="00740244">
        <w:rPr>
          <w:color w:val="000000" w:themeColor="text1"/>
        </w:rPr>
        <w:t>agencies</w:t>
      </w:r>
      <w:r w:rsidR="00C83679">
        <w:rPr>
          <w:color w:val="000000" w:themeColor="text1"/>
        </w:rPr>
        <w:t xml:space="preserve"> </w:t>
      </w:r>
      <w:r w:rsidRPr="00740244">
        <w:rPr>
          <w:color w:val="000000" w:themeColor="text1"/>
        </w:rPr>
        <w:t>is</w:t>
      </w:r>
      <w:r w:rsidR="00C83679">
        <w:rPr>
          <w:color w:val="000000" w:themeColor="text1"/>
        </w:rPr>
        <w:t xml:space="preserve"> </w:t>
      </w:r>
      <w:r w:rsidRPr="00740244">
        <w:rPr>
          <w:color w:val="000000" w:themeColor="text1"/>
        </w:rPr>
        <w:t>granted</w:t>
      </w:r>
      <w:r w:rsidR="00C83679">
        <w:rPr>
          <w:color w:val="000000" w:themeColor="text1"/>
        </w:rPr>
        <w:t xml:space="preserve"> </w:t>
      </w:r>
      <w:r w:rsidRPr="00740244">
        <w:rPr>
          <w:color w:val="000000" w:themeColor="text1"/>
        </w:rPr>
        <w:t>by</w:t>
      </w:r>
      <w:r w:rsidR="00C83679">
        <w:rPr>
          <w:color w:val="000000" w:themeColor="text1"/>
        </w:rPr>
        <w:t xml:space="preserve"> </w:t>
      </w:r>
      <w:r w:rsidRPr="00740244">
        <w:rPr>
          <w:color w:val="000000" w:themeColor="text1"/>
        </w:rPr>
        <w:t>federally</w:t>
      </w:r>
      <w:r w:rsidR="00C83679">
        <w:rPr>
          <w:color w:val="000000" w:themeColor="text1"/>
        </w:rPr>
        <w:t xml:space="preserve"> </w:t>
      </w:r>
      <w:r w:rsidRPr="00740244">
        <w:rPr>
          <w:color w:val="000000" w:themeColor="text1"/>
        </w:rPr>
        <w:t>recognized</w:t>
      </w:r>
      <w:r w:rsidR="00C83679">
        <w:rPr>
          <w:color w:val="000000" w:themeColor="text1"/>
        </w:rPr>
        <w:t xml:space="preserve"> </w:t>
      </w:r>
      <w:r w:rsidRPr="00740244">
        <w:rPr>
          <w:color w:val="000000" w:themeColor="text1"/>
        </w:rPr>
        <w:t>tribes</w:t>
      </w:r>
      <w:r w:rsidR="00C83679">
        <w:rPr>
          <w:color w:val="000000" w:themeColor="text1"/>
        </w:rPr>
        <w:t xml:space="preserve"> </w:t>
      </w:r>
      <w:r w:rsidR="00E24E22">
        <w:rPr>
          <w:color w:val="000000" w:themeColor="text1"/>
        </w:rPr>
        <w:t>through</w:t>
      </w:r>
      <w:r w:rsidR="00C83679">
        <w:rPr>
          <w:color w:val="000000" w:themeColor="text1"/>
        </w:rPr>
        <w:t xml:space="preserve"> </w:t>
      </w:r>
      <w:r w:rsidR="00E24E22">
        <w:rPr>
          <w:color w:val="000000" w:themeColor="text1"/>
        </w:rPr>
        <w:t>tribal</w:t>
      </w:r>
      <w:r w:rsidR="00C83679">
        <w:rPr>
          <w:color w:val="000000" w:themeColor="text1"/>
        </w:rPr>
        <w:t xml:space="preserve"> </w:t>
      </w:r>
      <w:r w:rsidR="00E24E22">
        <w:rPr>
          <w:color w:val="000000" w:themeColor="text1"/>
        </w:rPr>
        <w:t>constitutions,</w:t>
      </w:r>
      <w:r w:rsidR="00C83679">
        <w:rPr>
          <w:color w:val="000000" w:themeColor="text1"/>
        </w:rPr>
        <w:t xml:space="preserve"> </w:t>
      </w:r>
      <w:r w:rsidR="00E24E22">
        <w:rPr>
          <w:color w:val="000000" w:themeColor="text1"/>
        </w:rPr>
        <w:t>statutes</w:t>
      </w:r>
      <w:r w:rsidR="00C83679">
        <w:rPr>
          <w:color w:val="000000" w:themeColor="text1"/>
        </w:rPr>
        <w:t xml:space="preserve"> </w:t>
      </w:r>
      <w:r w:rsidR="00E24E22">
        <w:rPr>
          <w:color w:val="000000" w:themeColor="text1"/>
        </w:rPr>
        <w:t>or</w:t>
      </w:r>
      <w:r w:rsidR="00C83679">
        <w:rPr>
          <w:color w:val="000000" w:themeColor="text1"/>
        </w:rPr>
        <w:t xml:space="preserve"> </w:t>
      </w:r>
      <w:r w:rsidR="00844A32">
        <w:rPr>
          <w:color w:val="000000" w:themeColor="text1"/>
        </w:rPr>
        <w:t>codes or</w:t>
      </w:r>
      <w:r w:rsidR="00C83679">
        <w:rPr>
          <w:color w:val="000000" w:themeColor="text1"/>
        </w:rPr>
        <w:t xml:space="preserve"> </w:t>
      </w:r>
      <w:r w:rsidR="00A8569F">
        <w:rPr>
          <w:color w:val="000000" w:themeColor="text1"/>
        </w:rPr>
        <w:t>by</w:t>
      </w:r>
      <w:r w:rsidR="00C83679">
        <w:rPr>
          <w:color w:val="000000" w:themeColor="text1"/>
        </w:rPr>
        <w:t xml:space="preserve"> </w:t>
      </w:r>
      <w:r w:rsidR="0006630B">
        <w:rPr>
          <w:color w:val="000000" w:themeColor="text1"/>
        </w:rPr>
        <w:t xml:space="preserve">638 compacts through </w:t>
      </w:r>
      <w:r w:rsidR="00622519">
        <w:rPr>
          <w:color w:val="000000" w:themeColor="text1"/>
        </w:rPr>
        <w:t>the</w:t>
      </w:r>
      <w:r w:rsidR="00C83679">
        <w:rPr>
          <w:color w:val="000000" w:themeColor="text1"/>
        </w:rPr>
        <w:t xml:space="preserve"> </w:t>
      </w:r>
      <w:r w:rsidRPr="00740244">
        <w:rPr>
          <w:color w:val="000000" w:themeColor="text1"/>
        </w:rPr>
        <w:t>Bureau</w:t>
      </w:r>
      <w:r w:rsidR="00C83679">
        <w:rPr>
          <w:color w:val="000000" w:themeColor="text1"/>
        </w:rPr>
        <w:t xml:space="preserve"> </w:t>
      </w:r>
      <w:r w:rsidRPr="00740244">
        <w:rPr>
          <w:color w:val="000000" w:themeColor="text1"/>
        </w:rPr>
        <w:t>of</w:t>
      </w:r>
      <w:r w:rsidR="00C83679">
        <w:rPr>
          <w:color w:val="000000" w:themeColor="text1"/>
        </w:rPr>
        <w:t xml:space="preserve"> </w:t>
      </w:r>
      <w:r w:rsidRPr="00740244">
        <w:rPr>
          <w:color w:val="000000" w:themeColor="text1"/>
        </w:rPr>
        <w:t>Indian</w:t>
      </w:r>
      <w:r w:rsidR="00C83679">
        <w:rPr>
          <w:color w:val="000000" w:themeColor="text1"/>
        </w:rPr>
        <w:t xml:space="preserve"> </w:t>
      </w:r>
      <w:r w:rsidRPr="00740244">
        <w:rPr>
          <w:color w:val="000000" w:themeColor="text1"/>
        </w:rPr>
        <w:t>Affairs</w:t>
      </w:r>
      <w:r w:rsidR="00C83679">
        <w:rPr>
          <w:color w:val="000000" w:themeColor="text1"/>
        </w:rPr>
        <w:t xml:space="preserve"> </w:t>
      </w:r>
      <w:r w:rsidRPr="00740244">
        <w:rPr>
          <w:color w:val="000000" w:themeColor="text1"/>
        </w:rPr>
        <w:t>(BIA</w:t>
      </w:r>
      <w:r w:rsidR="00A8569F" w:rsidRPr="00740244">
        <w:rPr>
          <w:color w:val="000000" w:themeColor="text1"/>
        </w:rPr>
        <w:t>)</w:t>
      </w:r>
      <w:r w:rsidR="00A8569F">
        <w:rPr>
          <w:color w:val="000000" w:themeColor="text1"/>
        </w:rPr>
        <w:t>.</w:t>
      </w:r>
      <w:r w:rsidR="008F4762">
        <w:rPr>
          <w:rStyle w:val="FootnoteReference"/>
          <w:color w:val="000000" w:themeColor="text1"/>
        </w:rPr>
        <w:footnoteReference w:id="1"/>
      </w:r>
      <w:r w:rsidR="00C83679">
        <w:rPr>
          <w:color w:val="000000" w:themeColor="text1"/>
        </w:rPr>
        <w:t xml:space="preserve">  </w:t>
      </w:r>
      <w:r w:rsidRPr="00740244">
        <w:rPr>
          <w:color w:val="000000" w:themeColor="text1"/>
        </w:rPr>
        <w:t>These</w:t>
      </w:r>
      <w:r w:rsidR="00C83679">
        <w:rPr>
          <w:color w:val="000000" w:themeColor="text1"/>
        </w:rPr>
        <w:t xml:space="preserve"> </w:t>
      </w:r>
      <w:r w:rsidR="000831B3">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00545EA2">
        <w:rPr>
          <w:color w:val="000000" w:themeColor="text1"/>
        </w:rPr>
        <w:t>agencies</w:t>
      </w:r>
      <w:r w:rsidR="00C83679">
        <w:rPr>
          <w:color w:val="000000" w:themeColor="text1"/>
        </w:rPr>
        <w:t xml:space="preserve"> </w:t>
      </w:r>
      <w:r w:rsidRPr="00740244">
        <w:rPr>
          <w:color w:val="000000" w:themeColor="text1"/>
        </w:rPr>
        <w:t>include</w:t>
      </w:r>
      <w:r w:rsidR="00C83679">
        <w:rPr>
          <w:color w:val="000000" w:themeColor="text1"/>
        </w:rPr>
        <w:t xml:space="preserve"> </w:t>
      </w:r>
      <w:r w:rsidRPr="00740244">
        <w:rPr>
          <w:color w:val="000000" w:themeColor="text1"/>
        </w:rPr>
        <w:t>any</w:t>
      </w:r>
      <w:r w:rsidR="00C83679">
        <w:rPr>
          <w:color w:val="000000" w:themeColor="text1"/>
        </w:rPr>
        <w:t xml:space="preserve"> </w:t>
      </w:r>
      <w:r w:rsidRPr="00740244">
        <w:rPr>
          <w:color w:val="000000" w:themeColor="text1"/>
        </w:rPr>
        <w:t>and</w:t>
      </w:r>
      <w:r w:rsidR="00C83679">
        <w:rPr>
          <w:color w:val="000000" w:themeColor="text1"/>
        </w:rPr>
        <w:t xml:space="preserve"> </w:t>
      </w:r>
      <w:r w:rsidRPr="00740244">
        <w:rPr>
          <w:color w:val="000000" w:themeColor="text1"/>
        </w:rPr>
        <w:t>all</w:t>
      </w:r>
      <w:r w:rsidR="00C83679">
        <w:rPr>
          <w:color w:val="000000" w:themeColor="text1"/>
        </w:rPr>
        <w:t xml:space="preserve"> </w:t>
      </w:r>
      <w:r w:rsidR="00C7410F">
        <w:rPr>
          <w:color w:val="000000" w:themeColor="text1"/>
        </w:rPr>
        <w:t>t</w:t>
      </w:r>
      <w:r w:rsidRPr="00740244">
        <w:rPr>
          <w:color w:val="000000" w:themeColor="text1"/>
        </w:rPr>
        <w:t>ribal</w:t>
      </w:r>
      <w:r w:rsidR="00C83679">
        <w:rPr>
          <w:color w:val="000000" w:themeColor="text1"/>
        </w:rPr>
        <w:t xml:space="preserve"> </w:t>
      </w:r>
      <w:r w:rsidRPr="00740244">
        <w:rPr>
          <w:color w:val="000000" w:themeColor="text1"/>
        </w:rPr>
        <w:t>police</w:t>
      </w:r>
      <w:r w:rsidR="00C83679">
        <w:rPr>
          <w:color w:val="000000" w:themeColor="text1"/>
        </w:rPr>
        <w:t xml:space="preserve"> </w:t>
      </w:r>
      <w:r w:rsidRPr="00740244">
        <w:rPr>
          <w:color w:val="000000" w:themeColor="text1"/>
        </w:rPr>
        <w:t>departments</w:t>
      </w:r>
      <w:r w:rsidR="000C70F9">
        <w:rPr>
          <w:color w:val="000000" w:themeColor="text1"/>
        </w:rPr>
        <w:t xml:space="preserve"> </w:t>
      </w:r>
      <w:r w:rsidRPr="00740244">
        <w:rPr>
          <w:color w:val="000000" w:themeColor="text1"/>
        </w:rPr>
        <w:t>and</w:t>
      </w:r>
      <w:r w:rsidR="00C83679">
        <w:rPr>
          <w:color w:val="000000" w:themeColor="text1"/>
        </w:rPr>
        <w:t xml:space="preserve"> </w:t>
      </w:r>
      <w:r w:rsidRPr="00740244">
        <w:rPr>
          <w:color w:val="000000" w:themeColor="text1"/>
        </w:rPr>
        <w:t>those</w:t>
      </w:r>
      <w:r w:rsidR="00C83679">
        <w:rPr>
          <w:color w:val="000000" w:themeColor="text1"/>
        </w:rPr>
        <w:t xml:space="preserve"> </w:t>
      </w:r>
      <w:r w:rsidRPr="00740244">
        <w:rPr>
          <w:color w:val="000000" w:themeColor="text1"/>
        </w:rPr>
        <w:t>agencies</w:t>
      </w:r>
      <w:r w:rsidR="00C83679">
        <w:rPr>
          <w:color w:val="000000" w:themeColor="text1"/>
        </w:rPr>
        <w:t xml:space="preserve"> </w:t>
      </w:r>
      <w:r w:rsidRPr="00740244">
        <w:rPr>
          <w:color w:val="000000" w:themeColor="text1"/>
        </w:rPr>
        <w:t>with</w:t>
      </w:r>
      <w:r w:rsidR="00C83679">
        <w:rPr>
          <w:color w:val="000000" w:themeColor="text1"/>
        </w:rPr>
        <w:t xml:space="preserve"> </w:t>
      </w:r>
      <w:r w:rsidRPr="00740244">
        <w:rPr>
          <w:color w:val="000000" w:themeColor="text1"/>
        </w:rPr>
        <w:t>special</w:t>
      </w:r>
      <w:r w:rsidR="00C83679">
        <w:rPr>
          <w:color w:val="000000" w:themeColor="text1"/>
        </w:rPr>
        <w:t xml:space="preserve"> </w:t>
      </w:r>
      <w:r w:rsidRPr="00740244">
        <w:rPr>
          <w:color w:val="000000" w:themeColor="text1"/>
        </w:rPr>
        <w:t>authority</w:t>
      </w:r>
      <w:r w:rsidR="00C83679">
        <w:rPr>
          <w:color w:val="000000" w:themeColor="text1"/>
        </w:rPr>
        <w:t xml:space="preserve"> </w:t>
      </w:r>
      <w:r w:rsidRPr="00740244">
        <w:rPr>
          <w:color w:val="000000" w:themeColor="text1"/>
        </w:rPr>
        <w:t>and/or</w:t>
      </w:r>
      <w:r w:rsidR="00C83679">
        <w:rPr>
          <w:color w:val="000000" w:themeColor="text1"/>
        </w:rPr>
        <w:t xml:space="preserve"> </w:t>
      </w:r>
      <w:r w:rsidRPr="00740244">
        <w:rPr>
          <w:color w:val="000000" w:themeColor="text1"/>
        </w:rPr>
        <w:t>functions</w:t>
      </w:r>
      <w:r w:rsidR="00C83679">
        <w:rPr>
          <w:color w:val="000000" w:themeColor="text1"/>
        </w:rPr>
        <w:t xml:space="preserve"> </w:t>
      </w:r>
      <w:r w:rsidRPr="00740244">
        <w:rPr>
          <w:color w:val="000000" w:themeColor="text1"/>
        </w:rPr>
        <w:t>operated</w:t>
      </w:r>
      <w:r w:rsidR="00C83679">
        <w:rPr>
          <w:color w:val="000000" w:themeColor="text1"/>
        </w:rPr>
        <w:t xml:space="preserve"> </w:t>
      </w:r>
      <w:r w:rsidRPr="00740244">
        <w:rPr>
          <w:color w:val="000000" w:themeColor="text1"/>
        </w:rPr>
        <w:t>by</w:t>
      </w:r>
      <w:r w:rsidR="00C83679">
        <w:rPr>
          <w:color w:val="000000" w:themeColor="text1"/>
        </w:rPr>
        <w:t xml:space="preserve"> </w:t>
      </w:r>
      <w:r w:rsidRPr="00740244">
        <w:rPr>
          <w:color w:val="000000" w:themeColor="text1"/>
        </w:rPr>
        <w:t>or</w:t>
      </w:r>
      <w:r w:rsidR="00C83679">
        <w:rPr>
          <w:color w:val="000000" w:themeColor="text1"/>
        </w:rPr>
        <w:t xml:space="preserve"> </w:t>
      </w:r>
      <w:r w:rsidRPr="00740244">
        <w:rPr>
          <w:color w:val="000000" w:themeColor="text1"/>
        </w:rPr>
        <w:t>on</w:t>
      </w:r>
      <w:r w:rsidR="00C83679">
        <w:rPr>
          <w:color w:val="000000" w:themeColor="text1"/>
        </w:rPr>
        <w:t xml:space="preserve"> </w:t>
      </w:r>
      <w:r w:rsidRPr="00740244">
        <w:rPr>
          <w:color w:val="000000" w:themeColor="text1"/>
        </w:rPr>
        <w:t>the</w:t>
      </w:r>
      <w:r w:rsidR="00C83679">
        <w:rPr>
          <w:color w:val="000000" w:themeColor="text1"/>
        </w:rPr>
        <w:t xml:space="preserve"> </w:t>
      </w:r>
      <w:r w:rsidRPr="00740244">
        <w:rPr>
          <w:color w:val="000000" w:themeColor="text1"/>
        </w:rPr>
        <w:t>behalf</w:t>
      </w:r>
      <w:r w:rsidR="00C83679">
        <w:rPr>
          <w:color w:val="000000" w:themeColor="text1"/>
        </w:rPr>
        <w:t xml:space="preserve"> </w:t>
      </w:r>
      <w:r w:rsidRPr="00740244">
        <w:rPr>
          <w:color w:val="000000" w:themeColor="text1"/>
        </w:rPr>
        <w:t>of</w:t>
      </w:r>
      <w:r w:rsidR="00C83679">
        <w:rPr>
          <w:color w:val="000000" w:themeColor="text1"/>
        </w:rPr>
        <w:t xml:space="preserve"> </w:t>
      </w:r>
      <w:r w:rsidRPr="00740244">
        <w:rPr>
          <w:color w:val="000000" w:themeColor="text1"/>
        </w:rPr>
        <w:t>tribal</w:t>
      </w:r>
      <w:r w:rsidR="00C83679">
        <w:rPr>
          <w:color w:val="000000" w:themeColor="text1"/>
        </w:rPr>
        <w:t xml:space="preserve"> </w:t>
      </w:r>
      <w:r w:rsidRPr="00740244">
        <w:rPr>
          <w:color w:val="000000" w:themeColor="text1"/>
        </w:rPr>
        <w:t>governments</w:t>
      </w:r>
      <w:r w:rsidR="00C83679">
        <w:rPr>
          <w:color w:val="000000" w:themeColor="text1"/>
        </w:rPr>
        <w:t xml:space="preserve"> </w:t>
      </w:r>
      <w:r w:rsidRPr="00740244">
        <w:rPr>
          <w:color w:val="000000" w:themeColor="text1"/>
        </w:rPr>
        <w:t>in</w:t>
      </w:r>
      <w:r w:rsidR="00C83679">
        <w:rPr>
          <w:color w:val="000000" w:themeColor="text1"/>
        </w:rPr>
        <w:t xml:space="preserve"> </w:t>
      </w:r>
      <w:r w:rsidRPr="00740244">
        <w:rPr>
          <w:color w:val="000000" w:themeColor="text1"/>
        </w:rPr>
        <w:t>Indian</w:t>
      </w:r>
      <w:r w:rsidR="00C83679">
        <w:rPr>
          <w:color w:val="000000" w:themeColor="text1"/>
        </w:rPr>
        <w:t xml:space="preserve"> </w:t>
      </w:r>
      <w:r w:rsidRPr="00740244">
        <w:rPr>
          <w:color w:val="000000" w:themeColor="text1"/>
        </w:rPr>
        <w:t>country,</w:t>
      </w:r>
      <w:r w:rsidR="00C83679">
        <w:rPr>
          <w:color w:val="000000" w:themeColor="text1"/>
        </w:rPr>
        <w:t xml:space="preserve"> </w:t>
      </w:r>
      <w:r w:rsidRPr="00740244">
        <w:rPr>
          <w:color w:val="000000" w:themeColor="text1"/>
        </w:rPr>
        <w:t>including</w:t>
      </w:r>
      <w:r w:rsidR="00C83679">
        <w:rPr>
          <w:color w:val="000000" w:themeColor="text1"/>
        </w:rPr>
        <w:t xml:space="preserve"> </w:t>
      </w:r>
      <w:r w:rsidR="00A8569F">
        <w:rPr>
          <w:color w:val="000000" w:themeColor="text1"/>
        </w:rPr>
        <w:t>c</w:t>
      </w:r>
      <w:r w:rsidR="00A8569F" w:rsidRPr="00740244">
        <w:rPr>
          <w:color w:val="000000" w:themeColor="text1"/>
        </w:rPr>
        <w:t>onservation</w:t>
      </w:r>
      <w:r w:rsidR="00C83679">
        <w:rPr>
          <w:color w:val="000000" w:themeColor="text1"/>
        </w:rPr>
        <w:t xml:space="preserve"> </w:t>
      </w:r>
      <w:r w:rsidRPr="00740244">
        <w:rPr>
          <w:color w:val="000000" w:themeColor="text1"/>
        </w:rPr>
        <w:t>and</w:t>
      </w:r>
      <w:r w:rsidR="00C83679">
        <w:rPr>
          <w:color w:val="000000" w:themeColor="text1"/>
        </w:rPr>
        <w:t xml:space="preserve"> </w:t>
      </w:r>
      <w:r w:rsidRPr="00740244">
        <w:rPr>
          <w:color w:val="000000" w:themeColor="text1"/>
        </w:rPr>
        <w:t>wildlife</w:t>
      </w:r>
      <w:r w:rsidR="00C83679">
        <w:rPr>
          <w:color w:val="000000" w:themeColor="text1"/>
        </w:rPr>
        <w:t xml:space="preserve"> </w:t>
      </w:r>
      <w:r w:rsidR="00A8569F">
        <w:rPr>
          <w:color w:val="000000" w:themeColor="text1"/>
        </w:rPr>
        <w:t>agencies</w:t>
      </w:r>
      <w:r w:rsidR="00C83679">
        <w:rPr>
          <w:color w:val="000000" w:themeColor="text1"/>
        </w:rPr>
        <w:t xml:space="preserve"> </w:t>
      </w:r>
      <w:r w:rsidR="00E24E22">
        <w:rPr>
          <w:color w:val="000000" w:themeColor="text1"/>
        </w:rPr>
        <w:t>and</w:t>
      </w:r>
      <w:r w:rsidR="00C83679">
        <w:rPr>
          <w:color w:val="000000" w:themeColor="text1"/>
        </w:rPr>
        <w:t xml:space="preserve"> </w:t>
      </w:r>
      <w:r w:rsidR="00622519">
        <w:rPr>
          <w:color w:val="000000" w:themeColor="text1"/>
        </w:rPr>
        <w:t>tribal</w:t>
      </w:r>
      <w:r w:rsidR="00C83679">
        <w:rPr>
          <w:color w:val="000000" w:themeColor="text1"/>
        </w:rPr>
        <w:t xml:space="preserve"> </w:t>
      </w:r>
      <w:r w:rsidR="00622519">
        <w:rPr>
          <w:color w:val="000000" w:themeColor="text1"/>
        </w:rPr>
        <w:t>college</w:t>
      </w:r>
      <w:r w:rsidR="00C83679">
        <w:rPr>
          <w:color w:val="000000" w:themeColor="text1"/>
        </w:rPr>
        <w:t xml:space="preserve"> </w:t>
      </w:r>
      <w:r w:rsidR="00622519">
        <w:rPr>
          <w:color w:val="000000" w:themeColor="text1"/>
        </w:rPr>
        <w:t>or</w:t>
      </w:r>
      <w:r w:rsidR="00C83679">
        <w:rPr>
          <w:color w:val="000000" w:themeColor="text1"/>
        </w:rPr>
        <w:t xml:space="preserve"> </w:t>
      </w:r>
      <w:r w:rsidR="00622519">
        <w:rPr>
          <w:color w:val="000000" w:themeColor="text1"/>
        </w:rPr>
        <w:t>university</w:t>
      </w:r>
      <w:r w:rsidR="00C83679">
        <w:rPr>
          <w:color w:val="000000" w:themeColor="text1"/>
        </w:rPr>
        <w:t xml:space="preserve"> </w:t>
      </w:r>
      <w:r w:rsidR="00622519">
        <w:rPr>
          <w:color w:val="000000" w:themeColor="text1"/>
        </w:rPr>
        <w:t>police</w:t>
      </w:r>
      <w:r w:rsidR="00C83679">
        <w:rPr>
          <w:color w:val="000000" w:themeColor="text1"/>
        </w:rPr>
        <w:t xml:space="preserve"> </w:t>
      </w:r>
      <w:r w:rsidR="00E24E22">
        <w:rPr>
          <w:color w:val="000000" w:themeColor="text1"/>
        </w:rPr>
        <w:t>operating</w:t>
      </w:r>
      <w:r w:rsidR="00C83679">
        <w:rPr>
          <w:color w:val="000000" w:themeColor="text1"/>
        </w:rPr>
        <w:t xml:space="preserve"> </w:t>
      </w:r>
      <w:r w:rsidR="00E24E22">
        <w:rPr>
          <w:color w:val="000000" w:themeColor="text1"/>
        </w:rPr>
        <w:t>in</w:t>
      </w:r>
      <w:r w:rsidR="00C83679">
        <w:rPr>
          <w:color w:val="000000" w:themeColor="text1"/>
        </w:rPr>
        <w:t xml:space="preserve"> </w:t>
      </w:r>
      <w:r w:rsidR="00E24E22">
        <w:rPr>
          <w:color w:val="000000" w:themeColor="text1"/>
        </w:rPr>
        <w:t>Indian</w:t>
      </w:r>
      <w:r w:rsidR="00C83679">
        <w:rPr>
          <w:color w:val="000000" w:themeColor="text1"/>
        </w:rPr>
        <w:t xml:space="preserve"> </w:t>
      </w:r>
      <w:r w:rsidR="00E24E22">
        <w:rPr>
          <w:color w:val="000000" w:themeColor="text1"/>
        </w:rPr>
        <w:t>country</w:t>
      </w:r>
      <w:r w:rsidR="000831B3">
        <w:rPr>
          <w:color w:val="000000" w:themeColor="text1"/>
        </w:rPr>
        <w:t>.</w:t>
      </w:r>
      <w:r w:rsidR="00AD0772">
        <w:rPr>
          <w:color w:val="000000" w:themeColor="text1"/>
        </w:rPr>
        <w:t xml:space="preserve"> </w:t>
      </w:r>
      <w:r w:rsidR="000C70F9">
        <w:rPr>
          <w:color w:val="000000" w:themeColor="text1"/>
        </w:rPr>
        <w:t>A s</w:t>
      </w:r>
      <w:r w:rsidR="00AD0772">
        <w:rPr>
          <w:color w:val="000000" w:themeColor="text1"/>
        </w:rPr>
        <w:t>creener question in the CTLEA questionnaire will confirm eligibility</w:t>
      </w:r>
      <w:r w:rsidR="000E4002">
        <w:rPr>
          <w:color w:val="000000" w:themeColor="text1"/>
        </w:rPr>
        <w:t>, asking specifically if the agency employed at least one sworn law enforcement officer with general arrest powers and/or the ability to issue citations</w:t>
      </w:r>
      <w:r w:rsidR="00AD0772">
        <w:rPr>
          <w:color w:val="000000" w:themeColor="text1"/>
        </w:rPr>
        <w:t xml:space="preserve">.  </w:t>
      </w:r>
      <w:r w:rsidR="009E6D8C">
        <w:rPr>
          <w:color w:val="000000" w:themeColor="text1"/>
        </w:rPr>
        <w:t xml:space="preserve">While eligibility was confirmed during the creation of the CTLEA universe list, this question confirms that agencies are still eligible at the time of data collection. </w:t>
      </w:r>
    </w:p>
    <w:p w14:paraId="7B4627EC" w14:textId="77777777" w:rsidR="00F166C6" w:rsidRDefault="00F166C6" w:rsidP="008B74F9">
      <w:pPr>
        <w:rPr>
          <w:color w:val="000000" w:themeColor="text1"/>
        </w:rPr>
      </w:pPr>
    </w:p>
    <w:p w14:paraId="4D7681F8" w14:textId="566AE18E" w:rsidR="00AD0772" w:rsidRDefault="002834BD" w:rsidP="0022602A">
      <w:pPr>
        <w:rPr>
          <w:color w:val="000000" w:themeColor="text1"/>
        </w:rPr>
      </w:pPr>
      <w:r>
        <w:rPr>
          <w:color w:val="000000" w:themeColor="text1"/>
        </w:rPr>
        <w:t>N</w:t>
      </w:r>
      <w:r w:rsidR="00E552FB">
        <w:rPr>
          <w:color w:val="000000" w:themeColor="text1"/>
        </w:rPr>
        <w:t>o</w:t>
      </w:r>
      <w:r w:rsidR="00C83679">
        <w:rPr>
          <w:color w:val="000000" w:themeColor="text1"/>
        </w:rPr>
        <w:t xml:space="preserve"> </w:t>
      </w:r>
      <w:r w:rsidR="00E552FB">
        <w:rPr>
          <w:color w:val="000000" w:themeColor="text1"/>
        </w:rPr>
        <w:t>comprehensive</w:t>
      </w:r>
      <w:r w:rsidR="00C83679">
        <w:rPr>
          <w:color w:val="000000" w:themeColor="text1"/>
        </w:rPr>
        <w:t xml:space="preserve"> </w:t>
      </w:r>
      <w:r w:rsidR="00E552FB">
        <w:rPr>
          <w:color w:val="000000" w:themeColor="text1"/>
        </w:rPr>
        <w:t>list</w:t>
      </w:r>
      <w:r w:rsidR="00C83679">
        <w:rPr>
          <w:color w:val="000000" w:themeColor="text1"/>
        </w:rPr>
        <w:t xml:space="preserve"> </w:t>
      </w:r>
      <w:r w:rsidR="00E552FB">
        <w:rPr>
          <w:color w:val="000000" w:themeColor="text1"/>
        </w:rPr>
        <w:t>of</w:t>
      </w:r>
      <w:r w:rsidR="00C83679">
        <w:rPr>
          <w:color w:val="000000" w:themeColor="text1"/>
        </w:rPr>
        <w:t xml:space="preserve"> </w:t>
      </w:r>
      <w:r w:rsidR="00E552FB">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00E552FB">
        <w:rPr>
          <w:color w:val="000000" w:themeColor="text1"/>
        </w:rPr>
        <w:t>agencies</w:t>
      </w:r>
      <w:r w:rsidR="00C83679">
        <w:rPr>
          <w:color w:val="000000" w:themeColor="text1"/>
        </w:rPr>
        <w:t xml:space="preserve"> </w:t>
      </w:r>
      <w:r w:rsidR="00E552FB">
        <w:rPr>
          <w:color w:val="000000" w:themeColor="text1"/>
        </w:rPr>
        <w:t>existed</w:t>
      </w:r>
      <w:r>
        <w:rPr>
          <w:color w:val="000000" w:themeColor="text1"/>
        </w:rPr>
        <w:t xml:space="preserve"> prior to the development of the 201</w:t>
      </w:r>
      <w:r w:rsidR="00EB1EFE">
        <w:rPr>
          <w:color w:val="000000" w:themeColor="text1"/>
        </w:rPr>
        <w:t>9</w:t>
      </w:r>
      <w:r>
        <w:rPr>
          <w:color w:val="000000" w:themeColor="text1"/>
        </w:rPr>
        <w:t xml:space="preserve"> CTLEA universe</w:t>
      </w:r>
      <w:r w:rsidR="00C4608A">
        <w:rPr>
          <w:color w:val="000000" w:themeColor="text1"/>
        </w:rPr>
        <w:t xml:space="preserve"> development</w:t>
      </w:r>
      <w:r w:rsidR="00E552FB">
        <w:rPr>
          <w:color w:val="000000" w:themeColor="text1"/>
        </w:rPr>
        <w:t>.</w:t>
      </w:r>
      <w:r w:rsidR="00C83679">
        <w:rPr>
          <w:color w:val="000000" w:themeColor="text1"/>
        </w:rPr>
        <w:t xml:space="preserve"> </w:t>
      </w:r>
      <w:r w:rsidR="00136156">
        <w:rPr>
          <w:color w:val="000000" w:themeColor="text1"/>
        </w:rPr>
        <w:t>To</w:t>
      </w:r>
      <w:r w:rsidR="00C83679">
        <w:rPr>
          <w:color w:val="000000" w:themeColor="text1"/>
        </w:rPr>
        <w:t xml:space="preserve"> </w:t>
      </w:r>
      <w:r w:rsidR="00136156">
        <w:rPr>
          <w:color w:val="000000" w:themeColor="text1"/>
        </w:rPr>
        <w:t>ensure</w:t>
      </w:r>
      <w:r w:rsidR="00C83679">
        <w:rPr>
          <w:color w:val="000000" w:themeColor="text1"/>
        </w:rPr>
        <w:t xml:space="preserve"> </w:t>
      </w:r>
      <w:r w:rsidR="00136156">
        <w:rPr>
          <w:color w:val="000000" w:themeColor="text1"/>
        </w:rPr>
        <w:t>that</w:t>
      </w:r>
      <w:r w:rsidR="00C83679">
        <w:rPr>
          <w:color w:val="000000" w:themeColor="text1"/>
        </w:rPr>
        <w:t xml:space="preserve"> </w:t>
      </w:r>
      <w:r w:rsidR="00903FED">
        <w:rPr>
          <w:color w:val="000000" w:themeColor="text1"/>
        </w:rPr>
        <w:t>LE</w:t>
      </w:r>
      <w:r w:rsidR="00C83679">
        <w:rPr>
          <w:color w:val="000000" w:themeColor="text1"/>
        </w:rPr>
        <w:t xml:space="preserve"> </w:t>
      </w:r>
      <w:r w:rsidR="00842B5F">
        <w:rPr>
          <w:color w:val="000000" w:themeColor="text1"/>
        </w:rPr>
        <w:t>agencies</w:t>
      </w:r>
      <w:r w:rsidR="00C83679">
        <w:rPr>
          <w:color w:val="000000" w:themeColor="text1"/>
        </w:rPr>
        <w:t xml:space="preserve"> </w:t>
      </w:r>
      <w:r w:rsidR="00136156">
        <w:rPr>
          <w:color w:val="000000" w:themeColor="text1"/>
        </w:rPr>
        <w:t>for</w:t>
      </w:r>
      <w:r w:rsidR="00C83679">
        <w:rPr>
          <w:color w:val="000000" w:themeColor="text1"/>
        </w:rPr>
        <w:t xml:space="preserve"> </w:t>
      </w:r>
      <w:r w:rsidR="00136156">
        <w:rPr>
          <w:color w:val="000000" w:themeColor="text1"/>
        </w:rPr>
        <w:t>each</w:t>
      </w:r>
      <w:r w:rsidR="00C83679">
        <w:rPr>
          <w:color w:val="000000" w:themeColor="text1"/>
        </w:rPr>
        <w:t xml:space="preserve"> </w:t>
      </w:r>
      <w:r>
        <w:rPr>
          <w:color w:val="000000" w:themeColor="text1"/>
        </w:rPr>
        <w:t xml:space="preserve">federally recognized </w:t>
      </w:r>
      <w:r w:rsidR="00136156">
        <w:rPr>
          <w:color w:val="000000" w:themeColor="text1"/>
        </w:rPr>
        <w:t>tribe</w:t>
      </w:r>
      <w:r w:rsidR="00C83679">
        <w:rPr>
          <w:color w:val="000000" w:themeColor="text1"/>
        </w:rPr>
        <w:t xml:space="preserve"> </w:t>
      </w:r>
      <w:r w:rsidR="003352B1">
        <w:rPr>
          <w:color w:val="000000" w:themeColor="text1"/>
        </w:rPr>
        <w:t>(</w:t>
      </w:r>
      <w:r w:rsidR="00136156">
        <w:rPr>
          <w:color w:val="000000" w:themeColor="text1"/>
        </w:rPr>
        <w:t>whether</w:t>
      </w:r>
      <w:r w:rsidR="00C83679">
        <w:rPr>
          <w:color w:val="000000" w:themeColor="text1"/>
        </w:rPr>
        <w:t xml:space="preserve"> </w:t>
      </w:r>
      <w:r w:rsidR="00136156">
        <w:rPr>
          <w:color w:val="000000" w:themeColor="text1"/>
        </w:rPr>
        <w:t>qualifying</w:t>
      </w:r>
      <w:r w:rsidR="00C83679">
        <w:rPr>
          <w:color w:val="000000" w:themeColor="text1"/>
        </w:rPr>
        <w:t xml:space="preserve"> </w:t>
      </w:r>
      <w:r w:rsidR="00136156">
        <w:rPr>
          <w:color w:val="000000" w:themeColor="text1"/>
        </w:rPr>
        <w:t>for</w:t>
      </w:r>
      <w:r w:rsidR="00C83679">
        <w:rPr>
          <w:color w:val="000000" w:themeColor="text1"/>
        </w:rPr>
        <w:t xml:space="preserve"> </w:t>
      </w:r>
      <w:r w:rsidR="00136156">
        <w:rPr>
          <w:color w:val="000000" w:themeColor="text1"/>
        </w:rPr>
        <w:t>the</w:t>
      </w:r>
      <w:r w:rsidR="00C83679">
        <w:rPr>
          <w:color w:val="000000" w:themeColor="text1"/>
        </w:rPr>
        <w:t xml:space="preserve"> </w:t>
      </w:r>
      <w:r w:rsidR="00136156">
        <w:rPr>
          <w:color w:val="000000" w:themeColor="text1"/>
        </w:rPr>
        <w:t>CTLEA</w:t>
      </w:r>
      <w:r w:rsidR="00C83679">
        <w:rPr>
          <w:color w:val="000000" w:themeColor="text1"/>
        </w:rPr>
        <w:t xml:space="preserve"> </w:t>
      </w:r>
      <w:r w:rsidR="00136156">
        <w:rPr>
          <w:color w:val="000000" w:themeColor="text1"/>
        </w:rPr>
        <w:t>or</w:t>
      </w:r>
      <w:r w:rsidR="00C83679">
        <w:rPr>
          <w:color w:val="000000" w:themeColor="text1"/>
        </w:rPr>
        <w:t xml:space="preserve"> </w:t>
      </w:r>
      <w:r w:rsidR="00136156">
        <w:rPr>
          <w:color w:val="000000" w:themeColor="text1"/>
        </w:rPr>
        <w:t>not</w:t>
      </w:r>
      <w:r w:rsidR="003352B1">
        <w:rPr>
          <w:color w:val="000000" w:themeColor="text1"/>
        </w:rPr>
        <w:t xml:space="preserve">) </w:t>
      </w:r>
      <w:r w:rsidR="00B50ED3">
        <w:rPr>
          <w:color w:val="000000" w:themeColor="text1"/>
        </w:rPr>
        <w:t xml:space="preserve">were </w:t>
      </w:r>
      <w:r w:rsidR="00136156">
        <w:rPr>
          <w:color w:val="000000" w:themeColor="text1"/>
        </w:rPr>
        <w:t>identified,</w:t>
      </w:r>
      <w:r w:rsidR="00C83679">
        <w:rPr>
          <w:color w:val="000000" w:themeColor="text1"/>
        </w:rPr>
        <w:t xml:space="preserve"> </w:t>
      </w:r>
      <w:r w:rsidR="00136156">
        <w:rPr>
          <w:color w:val="000000" w:themeColor="text1"/>
        </w:rPr>
        <w:t>the</w:t>
      </w:r>
      <w:r w:rsidR="00C83679">
        <w:rPr>
          <w:color w:val="000000" w:themeColor="text1"/>
        </w:rPr>
        <w:t xml:space="preserve"> </w:t>
      </w:r>
      <w:r w:rsidR="000831B3">
        <w:rPr>
          <w:color w:val="000000" w:themeColor="text1"/>
        </w:rPr>
        <w:t>development</w:t>
      </w:r>
      <w:r w:rsidR="00C83679">
        <w:rPr>
          <w:color w:val="000000" w:themeColor="text1"/>
        </w:rPr>
        <w:t xml:space="preserve"> </w:t>
      </w:r>
      <w:r w:rsidR="00E47ADB">
        <w:rPr>
          <w:color w:val="000000" w:themeColor="text1"/>
        </w:rPr>
        <w:t>was</w:t>
      </w:r>
      <w:r w:rsidR="00C83679">
        <w:rPr>
          <w:color w:val="000000" w:themeColor="text1"/>
        </w:rPr>
        <w:t xml:space="preserve"> </w:t>
      </w:r>
      <w:r w:rsidR="00E84A7F">
        <w:rPr>
          <w:color w:val="000000" w:themeColor="text1"/>
        </w:rPr>
        <w:t>initiated</w:t>
      </w:r>
      <w:r w:rsidR="00C83679">
        <w:rPr>
          <w:color w:val="000000" w:themeColor="text1"/>
        </w:rPr>
        <w:t xml:space="preserve"> </w:t>
      </w:r>
      <w:r w:rsidR="00E47ADB">
        <w:rPr>
          <w:color w:val="000000" w:themeColor="text1"/>
        </w:rPr>
        <w:t>using</w:t>
      </w:r>
      <w:r w:rsidR="00C83679">
        <w:rPr>
          <w:color w:val="000000" w:themeColor="text1"/>
        </w:rPr>
        <w:t xml:space="preserve"> </w:t>
      </w:r>
      <w:r w:rsidR="00E47ADB">
        <w:rPr>
          <w:color w:val="000000" w:themeColor="text1"/>
        </w:rPr>
        <w:t>the</w:t>
      </w:r>
      <w:r w:rsidR="0074569D">
        <w:rPr>
          <w:color w:val="000000" w:themeColor="text1"/>
        </w:rPr>
        <w:t xml:space="preserve"> 201</w:t>
      </w:r>
      <w:r w:rsidR="00856EDA">
        <w:rPr>
          <w:color w:val="000000" w:themeColor="text1"/>
        </w:rPr>
        <w:t>6</w:t>
      </w:r>
      <w:r w:rsidR="00C83679">
        <w:rPr>
          <w:color w:val="000000" w:themeColor="text1"/>
        </w:rPr>
        <w:t xml:space="preserve"> </w:t>
      </w:r>
      <w:r w:rsidR="0022602A" w:rsidRPr="00BC3D84">
        <w:rPr>
          <w:i/>
          <w:color w:val="000000" w:themeColor="text1"/>
        </w:rPr>
        <w:t>Federal</w:t>
      </w:r>
      <w:r w:rsidR="00C83679">
        <w:rPr>
          <w:i/>
          <w:color w:val="000000" w:themeColor="text1"/>
        </w:rPr>
        <w:t xml:space="preserve"> </w:t>
      </w:r>
      <w:r w:rsidR="0022602A" w:rsidRPr="00BC3D84">
        <w:rPr>
          <w:i/>
          <w:color w:val="000000" w:themeColor="text1"/>
        </w:rPr>
        <w:t>Register</w:t>
      </w:r>
      <w:r w:rsidR="00C83679">
        <w:rPr>
          <w:color w:val="000000" w:themeColor="text1"/>
        </w:rPr>
        <w:t xml:space="preserve"> </w:t>
      </w:r>
      <w:r w:rsidR="00C17D6A">
        <w:rPr>
          <w:color w:val="000000" w:themeColor="text1"/>
        </w:rPr>
        <w:t>to</w:t>
      </w:r>
      <w:r w:rsidR="00C83679">
        <w:rPr>
          <w:color w:val="000000" w:themeColor="text1"/>
        </w:rPr>
        <w:t xml:space="preserve"> </w:t>
      </w:r>
      <w:r w:rsidR="00044E0A">
        <w:rPr>
          <w:color w:val="000000" w:themeColor="text1"/>
        </w:rPr>
        <w:t xml:space="preserve">first obtain a list of </w:t>
      </w:r>
      <w:r w:rsidR="00C17D6A">
        <w:rPr>
          <w:color w:val="000000" w:themeColor="text1"/>
        </w:rPr>
        <w:t>the</w:t>
      </w:r>
      <w:r w:rsidR="00C83679">
        <w:rPr>
          <w:color w:val="000000" w:themeColor="text1"/>
        </w:rPr>
        <w:t xml:space="preserve"> </w:t>
      </w:r>
      <w:r w:rsidR="00E84A7F">
        <w:rPr>
          <w:color w:val="000000" w:themeColor="text1"/>
        </w:rPr>
        <w:t>56</w:t>
      </w:r>
      <w:r w:rsidR="00E24E22">
        <w:rPr>
          <w:color w:val="000000" w:themeColor="text1"/>
        </w:rPr>
        <w:t>7</w:t>
      </w:r>
      <w:r w:rsidR="00C83679">
        <w:rPr>
          <w:color w:val="000000" w:themeColor="text1"/>
        </w:rPr>
        <w:t xml:space="preserve"> </w:t>
      </w:r>
      <w:r w:rsidR="0022602A" w:rsidRPr="0022602A">
        <w:rPr>
          <w:color w:val="000000" w:themeColor="text1"/>
        </w:rPr>
        <w:t>federally</w:t>
      </w:r>
      <w:r w:rsidR="00C83679">
        <w:rPr>
          <w:color w:val="000000" w:themeColor="text1"/>
        </w:rPr>
        <w:t xml:space="preserve"> </w:t>
      </w:r>
      <w:r w:rsidR="0022602A" w:rsidRPr="0022602A">
        <w:rPr>
          <w:color w:val="000000" w:themeColor="text1"/>
        </w:rPr>
        <w:t>recognized</w:t>
      </w:r>
      <w:r w:rsidR="00C83679">
        <w:rPr>
          <w:color w:val="000000" w:themeColor="text1"/>
        </w:rPr>
        <w:t xml:space="preserve"> </w:t>
      </w:r>
      <w:r w:rsidR="0022602A" w:rsidRPr="0022602A">
        <w:rPr>
          <w:color w:val="000000" w:themeColor="text1"/>
        </w:rPr>
        <w:t>American</w:t>
      </w:r>
      <w:r w:rsidR="00C83679">
        <w:rPr>
          <w:color w:val="000000" w:themeColor="text1"/>
        </w:rPr>
        <w:t xml:space="preserve"> </w:t>
      </w:r>
      <w:r w:rsidR="0022602A" w:rsidRPr="0022602A">
        <w:rPr>
          <w:color w:val="000000" w:themeColor="text1"/>
        </w:rPr>
        <w:t>Indian</w:t>
      </w:r>
      <w:r w:rsidR="00C83679">
        <w:rPr>
          <w:color w:val="000000" w:themeColor="text1"/>
        </w:rPr>
        <w:t xml:space="preserve"> </w:t>
      </w:r>
      <w:r w:rsidR="0022602A" w:rsidRPr="0022602A">
        <w:rPr>
          <w:color w:val="000000" w:themeColor="text1"/>
        </w:rPr>
        <w:t>tribes</w:t>
      </w:r>
      <w:r w:rsidR="00E84A7F">
        <w:rPr>
          <w:color w:val="000000" w:themeColor="text1"/>
        </w:rPr>
        <w:t>.</w:t>
      </w:r>
      <w:r w:rsidR="00E84A7F">
        <w:rPr>
          <w:rStyle w:val="FootnoteReference"/>
          <w:color w:val="000000" w:themeColor="text1"/>
        </w:rPr>
        <w:footnoteReference w:id="2"/>
      </w:r>
      <w:r w:rsidR="00C83679">
        <w:rPr>
          <w:color w:val="000000" w:themeColor="text1"/>
        </w:rPr>
        <w:t xml:space="preserve"> </w:t>
      </w:r>
      <w:r w:rsidR="000B2149">
        <w:rPr>
          <w:color w:val="000000" w:themeColor="text1"/>
        </w:rPr>
        <w:t xml:space="preserve">BIA posts a list </w:t>
      </w:r>
      <w:r w:rsidR="00044E0A">
        <w:rPr>
          <w:color w:val="000000" w:themeColor="text1"/>
        </w:rPr>
        <w:t xml:space="preserve">of all federally recognized tribes </w:t>
      </w:r>
      <w:r w:rsidR="000B2149">
        <w:rPr>
          <w:color w:val="000000" w:themeColor="text1"/>
        </w:rPr>
        <w:t>in the Federal Register on an annual basis</w:t>
      </w:r>
      <w:r w:rsidR="00044E0A">
        <w:rPr>
          <w:color w:val="000000" w:themeColor="text1"/>
        </w:rPr>
        <w:t xml:space="preserve">.  </w:t>
      </w:r>
      <w:r w:rsidR="00E47ADB" w:rsidRPr="00044E0A">
        <w:rPr>
          <w:color w:val="000000" w:themeColor="text1"/>
        </w:rPr>
        <w:t>E</w:t>
      </w:r>
      <w:r w:rsidR="0022602A" w:rsidRPr="00044E0A">
        <w:rPr>
          <w:color w:val="000000" w:themeColor="text1"/>
        </w:rPr>
        <w:t>ach</w:t>
      </w:r>
      <w:r w:rsidR="00C83679">
        <w:rPr>
          <w:color w:val="000000" w:themeColor="text1"/>
        </w:rPr>
        <w:t xml:space="preserve"> </w:t>
      </w:r>
      <w:r w:rsidR="0022602A" w:rsidRPr="0022602A">
        <w:rPr>
          <w:color w:val="000000" w:themeColor="text1"/>
        </w:rPr>
        <w:t>tribe</w:t>
      </w:r>
      <w:r w:rsidR="00C83679">
        <w:rPr>
          <w:color w:val="000000" w:themeColor="text1"/>
        </w:rPr>
        <w:t xml:space="preserve"> </w:t>
      </w:r>
      <w:r w:rsidR="0022602A" w:rsidRPr="0022602A">
        <w:rPr>
          <w:color w:val="000000" w:themeColor="text1"/>
        </w:rPr>
        <w:t>and</w:t>
      </w:r>
      <w:r w:rsidR="00C83679">
        <w:rPr>
          <w:color w:val="000000" w:themeColor="text1"/>
        </w:rPr>
        <w:t xml:space="preserve"> </w:t>
      </w:r>
      <w:r w:rsidR="0022602A" w:rsidRPr="0022602A">
        <w:rPr>
          <w:color w:val="000000" w:themeColor="text1"/>
        </w:rPr>
        <w:t>native</w:t>
      </w:r>
      <w:r w:rsidR="00C83679">
        <w:rPr>
          <w:color w:val="000000" w:themeColor="text1"/>
        </w:rPr>
        <w:t xml:space="preserve"> </w:t>
      </w:r>
      <w:r w:rsidR="0022602A" w:rsidRPr="0022602A">
        <w:rPr>
          <w:color w:val="000000" w:themeColor="text1"/>
        </w:rPr>
        <w:t>village</w:t>
      </w:r>
      <w:r w:rsidR="00C83679">
        <w:rPr>
          <w:color w:val="000000" w:themeColor="text1"/>
        </w:rPr>
        <w:t xml:space="preserve"> </w:t>
      </w:r>
      <w:r w:rsidR="0022602A" w:rsidRPr="0022602A">
        <w:rPr>
          <w:color w:val="000000" w:themeColor="text1"/>
        </w:rPr>
        <w:t>listed</w:t>
      </w:r>
      <w:r w:rsidR="00C83679">
        <w:rPr>
          <w:color w:val="000000" w:themeColor="text1"/>
        </w:rPr>
        <w:t xml:space="preserve"> </w:t>
      </w:r>
      <w:r w:rsidR="0022602A" w:rsidRPr="0022602A">
        <w:rPr>
          <w:color w:val="000000" w:themeColor="text1"/>
        </w:rPr>
        <w:t>on</w:t>
      </w:r>
      <w:r w:rsidR="00C83679">
        <w:rPr>
          <w:color w:val="000000" w:themeColor="text1"/>
        </w:rPr>
        <w:t xml:space="preserve"> </w:t>
      </w:r>
      <w:r w:rsidR="0022602A" w:rsidRPr="0022602A">
        <w:rPr>
          <w:color w:val="000000" w:themeColor="text1"/>
        </w:rPr>
        <w:t>the</w:t>
      </w:r>
      <w:r w:rsidR="00C83679">
        <w:rPr>
          <w:color w:val="000000" w:themeColor="text1"/>
        </w:rPr>
        <w:t xml:space="preserve"> </w:t>
      </w:r>
      <w:r w:rsidR="0022602A" w:rsidRPr="00BE236B">
        <w:rPr>
          <w:i/>
          <w:color w:val="000000" w:themeColor="text1"/>
        </w:rPr>
        <w:t>Federal</w:t>
      </w:r>
      <w:r w:rsidR="00C83679" w:rsidRPr="00BE236B">
        <w:rPr>
          <w:i/>
          <w:color w:val="000000" w:themeColor="text1"/>
        </w:rPr>
        <w:t xml:space="preserve"> </w:t>
      </w:r>
      <w:r w:rsidR="0022602A" w:rsidRPr="00BE236B">
        <w:rPr>
          <w:i/>
          <w:color w:val="000000" w:themeColor="text1"/>
        </w:rPr>
        <w:t>Register</w:t>
      </w:r>
      <w:r w:rsidR="00C83679">
        <w:rPr>
          <w:color w:val="000000" w:themeColor="text1"/>
        </w:rPr>
        <w:t xml:space="preserve"> </w:t>
      </w:r>
      <w:r w:rsidR="0022602A" w:rsidRPr="0022602A">
        <w:rPr>
          <w:color w:val="000000" w:themeColor="text1"/>
        </w:rPr>
        <w:t>was</w:t>
      </w:r>
      <w:r w:rsidR="00C83679">
        <w:rPr>
          <w:color w:val="000000" w:themeColor="text1"/>
        </w:rPr>
        <w:t xml:space="preserve"> </w:t>
      </w:r>
      <w:r w:rsidR="0022602A" w:rsidRPr="0022602A">
        <w:rPr>
          <w:color w:val="000000" w:themeColor="text1"/>
        </w:rPr>
        <w:t>assigned</w:t>
      </w:r>
      <w:r w:rsidR="00C83679">
        <w:rPr>
          <w:color w:val="000000" w:themeColor="text1"/>
        </w:rPr>
        <w:t xml:space="preserve"> </w:t>
      </w:r>
      <w:r w:rsidR="0022602A" w:rsidRPr="0022602A">
        <w:rPr>
          <w:color w:val="000000" w:themeColor="text1"/>
        </w:rPr>
        <w:t>a</w:t>
      </w:r>
      <w:r w:rsidR="00C83679">
        <w:rPr>
          <w:color w:val="000000" w:themeColor="text1"/>
        </w:rPr>
        <w:t xml:space="preserve"> </w:t>
      </w:r>
      <w:r w:rsidR="00044E0A">
        <w:rPr>
          <w:color w:val="000000" w:themeColor="text1"/>
        </w:rPr>
        <w:t xml:space="preserve">CTLEA </w:t>
      </w:r>
      <w:r w:rsidR="0022602A" w:rsidRPr="0022602A">
        <w:rPr>
          <w:color w:val="000000" w:themeColor="text1"/>
        </w:rPr>
        <w:t>universe</w:t>
      </w:r>
      <w:r w:rsidR="00C83679">
        <w:rPr>
          <w:color w:val="000000" w:themeColor="text1"/>
        </w:rPr>
        <w:t xml:space="preserve"> </w:t>
      </w:r>
      <w:r w:rsidR="0022602A" w:rsidRPr="0022602A">
        <w:rPr>
          <w:color w:val="000000" w:themeColor="text1"/>
        </w:rPr>
        <w:t>identification</w:t>
      </w:r>
      <w:r w:rsidR="00C83679">
        <w:rPr>
          <w:color w:val="000000" w:themeColor="text1"/>
        </w:rPr>
        <w:t xml:space="preserve"> </w:t>
      </w:r>
      <w:r w:rsidR="0022602A" w:rsidRPr="0022602A">
        <w:rPr>
          <w:color w:val="000000" w:themeColor="text1"/>
        </w:rPr>
        <w:t>number</w:t>
      </w:r>
      <w:r w:rsidR="00044E0A">
        <w:rPr>
          <w:color w:val="000000" w:themeColor="text1"/>
        </w:rPr>
        <w:t>.  This number allowed</w:t>
      </w:r>
      <w:r w:rsidR="00C83679">
        <w:rPr>
          <w:color w:val="000000" w:themeColor="text1"/>
        </w:rPr>
        <w:t xml:space="preserve"> </w:t>
      </w:r>
      <w:r w:rsidR="0022602A" w:rsidRPr="0022602A">
        <w:rPr>
          <w:color w:val="000000" w:themeColor="text1"/>
        </w:rPr>
        <w:t>for</w:t>
      </w:r>
      <w:r w:rsidR="00C83679">
        <w:rPr>
          <w:color w:val="000000" w:themeColor="text1"/>
        </w:rPr>
        <w:t xml:space="preserve"> </w:t>
      </w:r>
      <w:r w:rsidR="0022602A" w:rsidRPr="0022602A">
        <w:rPr>
          <w:color w:val="000000" w:themeColor="text1"/>
        </w:rPr>
        <w:t>consistent</w:t>
      </w:r>
      <w:r w:rsidR="00C83679">
        <w:rPr>
          <w:color w:val="000000" w:themeColor="text1"/>
        </w:rPr>
        <w:t xml:space="preserve"> </w:t>
      </w:r>
      <w:r w:rsidR="0022602A" w:rsidRPr="0022602A">
        <w:rPr>
          <w:color w:val="000000" w:themeColor="text1"/>
        </w:rPr>
        <w:t>tracking</w:t>
      </w:r>
      <w:r w:rsidR="00C83679">
        <w:rPr>
          <w:color w:val="000000" w:themeColor="text1"/>
        </w:rPr>
        <w:t xml:space="preserve"> </w:t>
      </w:r>
      <w:r w:rsidR="0022602A" w:rsidRPr="0022602A">
        <w:rPr>
          <w:color w:val="000000" w:themeColor="text1"/>
        </w:rPr>
        <w:t>and</w:t>
      </w:r>
      <w:r w:rsidR="00C83679">
        <w:rPr>
          <w:color w:val="000000" w:themeColor="text1"/>
        </w:rPr>
        <w:t xml:space="preserve"> </w:t>
      </w:r>
      <w:r w:rsidR="0022602A" w:rsidRPr="0022602A">
        <w:rPr>
          <w:color w:val="000000" w:themeColor="text1"/>
        </w:rPr>
        <w:t>reference</w:t>
      </w:r>
      <w:r w:rsidR="00044E0A">
        <w:rPr>
          <w:color w:val="000000" w:themeColor="text1"/>
        </w:rPr>
        <w:t xml:space="preserve"> as research and outreach were conducted to determine whether each of the 567 federally recognized tribes is eligible for the CTLEA or not</w:t>
      </w:r>
      <w:r w:rsidR="0022602A" w:rsidRPr="0022602A">
        <w:rPr>
          <w:color w:val="000000" w:themeColor="text1"/>
        </w:rPr>
        <w:t>.</w:t>
      </w:r>
      <w:r w:rsidR="00C83679">
        <w:rPr>
          <w:color w:val="000000" w:themeColor="text1"/>
        </w:rPr>
        <w:t xml:space="preserve"> </w:t>
      </w:r>
    </w:p>
    <w:p w14:paraId="5664DD09" w14:textId="77777777" w:rsidR="00AD0772" w:rsidRDefault="00AD0772" w:rsidP="0022602A">
      <w:pPr>
        <w:rPr>
          <w:color w:val="000000" w:themeColor="text1"/>
        </w:rPr>
      </w:pPr>
    </w:p>
    <w:p w14:paraId="76808938" w14:textId="21F10082" w:rsidR="0022602A" w:rsidRDefault="0087274E" w:rsidP="0022602A">
      <w:pPr>
        <w:rPr>
          <w:color w:val="000000" w:themeColor="text1"/>
        </w:rPr>
      </w:pPr>
      <w:r>
        <w:rPr>
          <w:color w:val="000000" w:themeColor="text1"/>
        </w:rPr>
        <w:t>Using t</w:t>
      </w:r>
      <w:r w:rsidR="0022602A" w:rsidRPr="0022602A">
        <w:rPr>
          <w:color w:val="000000" w:themeColor="text1"/>
        </w:rPr>
        <w:t>he</w:t>
      </w:r>
      <w:r w:rsidR="00C83679">
        <w:rPr>
          <w:color w:val="000000" w:themeColor="text1"/>
        </w:rPr>
        <w:t xml:space="preserve"> </w:t>
      </w:r>
      <w:r w:rsidR="00BC047A">
        <w:rPr>
          <w:color w:val="000000" w:themeColor="text1"/>
        </w:rPr>
        <w:t>2015</w:t>
      </w:r>
      <w:r w:rsidR="00C83679">
        <w:rPr>
          <w:color w:val="000000" w:themeColor="text1"/>
        </w:rPr>
        <w:t xml:space="preserve"> </w:t>
      </w:r>
      <w:r w:rsidR="0022602A" w:rsidRPr="0022602A">
        <w:rPr>
          <w:color w:val="000000" w:themeColor="text1"/>
        </w:rPr>
        <w:t>Tribal</w:t>
      </w:r>
      <w:r w:rsidR="00C83679">
        <w:rPr>
          <w:color w:val="000000" w:themeColor="text1"/>
        </w:rPr>
        <w:t xml:space="preserve"> </w:t>
      </w:r>
      <w:r w:rsidR="0022602A" w:rsidRPr="0022602A">
        <w:rPr>
          <w:color w:val="000000" w:themeColor="text1"/>
        </w:rPr>
        <w:t>Leader</w:t>
      </w:r>
      <w:r w:rsidR="00BC047A">
        <w:rPr>
          <w:color w:val="000000" w:themeColor="text1"/>
        </w:rPr>
        <w:t>ship</w:t>
      </w:r>
      <w:r w:rsidR="00C83679">
        <w:rPr>
          <w:color w:val="000000" w:themeColor="text1"/>
        </w:rPr>
        <w:t xml:space="preserve"> </w:t>
      </w:r>
      <w:r w:rsidR="00BC047A">
        <w:rPr>
          <w:color w:val="000000" w:themeColor="text1"/>
        </w:rPr>
        <w:t>Directory</w:t>
      </w:r>
      <w:r>
        <w:rPr>
          <w:color w:val="000000" w:themeColor="text1"/>
        </w:rPr>
        <w:t>,</w:t>
      </w:r>
      <w:r w:rsidR="00C83679">
        <w:rPr>
          <w:color w:val="000000" w:themeColor="text1"/>
        </w:rPr>
        <w:t xml:space="preserve"> </w:t>
      </w:r>
      <w:r w:rsidR="0022602A" w:rsidRPr="0022602A">
        <w:rPr>
          <w:color w:val="000000" w:themeColor="text1"/>
        </w:rPr>
        <w:t>downloaded</w:t>
      </w:r>
      <w:r w:rsidR="00C83679">
        <w:rPr>
          <w:color w:val="000000" w:themeColor="text1"/>
        </w:rPr>
        <w:t xml:space="preserve"> </w:t>
      </w:r>
      <w:r w:rsidR="0022602A" w:rsidRPr="0022602A">
        <w:rPr>
          <w:color w:val="000000" w:themeColor="text1"/>
        </w:rPr>
        <w:t>from</w:t>
      </w:r>
      <w:r w:rsidR="00C83679">
        <w:rPr>
          <w:color w:val="000000" w:themeColor="text1"/>
        </w:rPr>
        <w:t xml:space="preserve"> </w:t>
      </w:r>
      <w:r w:rsidR="0022602A" w:rsidRPr="0022602A">
        <w:rPr>
          <w:color w:val="000000" w:themeColor="text1"/>
        </w:rPr>
        <w:t>the</w:t>
      </w:r>
      <w:r w:rsidR="00C83679">
        <w:rPr>
          <w:color w:val="000000" w:themeColor="text1"/>
        </w:rPr>
        <w:t xml:space="preserve"> </w:t>
      </w:r>
      <w:r w:rsidR="0022602A" w:rsidRPr="0022602A">
        <w:rPr>
          <w:color w:val="000000" w:themeColor="text1"/>
        </w:rPr>
        <w:t>BIA</w:t>
      </w:r>
      <w:r w:rsidR="00C83679">
        <w:rPr>
          <w:color w:val="000000" w:themeColor="text1"/>
        </w:rPr>
        <w:t xml:space="preserve"> </w:t>
      </w:r>
      <w:r w:rsidR="009007E0">
        <w:rPr>
          <w:color w:val="000000" w:themeColor="text1"/>
        </w:rPr>
        <w:t>website</w:t>
      </w:r>
      <w:r w:rsidR="00B50ED3">
        <w:rPr>
          <w:color w:val="000000" w:themeColor="text1"/>
        </w:rPr>
        <w:t>,</w:t>
      </w:r>
      <w:r w:rsidR="00C83679">
        <w:rPr>
          <w:color w:val="000000" w:themeColor="text1"/>
        </w:rPr>
        <w:t xml:space="preserve"> </w:t>
      </w:r>
      <w:r w:rsidR="00C17D6A">
        <w:rPr>
          <w:color w:val="000000" w:themeColor="text1"/>
        </w:rPr>
        <w:t>leadership</w:t>
      </w:r>
      <w:r w:rsidR="00C83679">
        <w:rPr>
          <w:color w:val="000000" w:themeColor="text1"/>
        </w:rPr>
        <w:t xml:space="preserve"> </w:t>
      </w:r>
      <w:r w:rsidR="00C17D6A">
        <w:rPr>
          <w:color w:val="000000" w:themeColor="text1"/>
        </w:rPr>
        <w:t>contact</w:t>
      </w:r>
      <w:r w:rsidR="00C83679">
        <w:rPr>
          <w:color w:val="000000" w:themeColor="text1"/>
        </w:rPr>
        <w:t xml:space="preserve"> </w:t>
      </w:r>
      <w:r w:rsidR="00C17D6A">
        <w:rPr>
          <w:color w:val="000000" w:themeColor="text1"/>
        </w:rPr>
        <w:t>and</w:t>
      </w:r>
      <w:r w:rsidR="00C83679">
        <w:rPr>
          <w:color w:val="000000" w:themeColor="text1"/>
        </w:rPr>
        <w:t xml:space="preserve"> </w:t>
      </w:r>
      <w:r w:rsidR="00FD5F3D">
        <w:rPr>
          <w:color w:val="000000" w:themeColor="text1"/>
        </w:rPr>
        <w:t>reservation</w:t>
      </w:r>
      <w:r w:rsidR="00C83679">
        <w:rPr>
          <w:color w:val="000000" w:themeColor="text1"/>
        </w:rPr>
        <w:t xml:space="preserve"> </w:t>
      </w:r>
      <w:r w:rsidR="00FD5F3D">
        <w:rPr>
          <w:color w:val="000000" w:themeColor="text1"/>
        </w:rPr>
        <w:t>information</w:t>
      </w:r>
      <w:r>
        <w:rPr>
          <w:color w:val="000000" w:themeColor="text1"/>
        </w:rPr>
        <w:t xml:space="preserve"> was obtained</w:t>
      </w:r>
      <w:r w:rsidR="005F4EA4">
        <w:rPr>
          <w:color w:val="000000" w:themeColor="text1"/>
        </w:rPr>
        <w:t xml:space="preserve"> for each federally recognized tribe</w:t>
      </w:r>
      <w:r w:rsidR="0022602A" w:rsidRPr="0022602A">
        <w:rPr>
          <w:color w:val="000000" w:themeColor="text1"/>
        </w:rPr>
        <w:t>.</w:t>
      </w:r>
      <w:r w:rsidR="00C83679">
        <w:rPr>
          <w:color w:val="000000" w:themeColor="text1"/>
        </w:rPr>
        <w:t xml:space="preserve"> </w:t>
      </w:r>
      <w:r w:rsidR="00BC047A">
        <w:rPr>
          <w:color w:val="000000" w:themeColor="text1"/>
        </w:rPr>
        <w:t>T</w:t>
      </w:r>
      <w:r w:rsidR="0022602A" w:rsidRPr="0022602A">
        <w:rPr>
          <w:color w:val="000000" w:themeColor="text1"/>
        </w:rPr>
        <w:t>he</w:t>
      </w:r>
      <w:r w:rsidR="00C83679">
        <w:rPr>
          <w:color w:val="000000" w:themeColor="text1"/>
        </w:rPr>
        <w:t xml:space="preserve"> </w:t>
      </w:r>
      <w:r w:rsidR="0022602A" w:rsidRPr="0022602A">
        <w:rPr>
          <w:color w:val="000000" w:themeColor="text1"/>
        </w:rPr>
        <w:t>BIA</w:t>
      </w:r>
      <w:r w:rsidR="00C83679">
        <w:rPr>
          <w:color w:val="000000" w:themeColor="text1"/>
        </w:rPr>
        <w:t xml:space="preserve"> </w:t>
      </w:r>
      <w:r w:rsidR="0022602A" w:rsidRPr="0022602A">
        <w:rPr>
          <w:color w:val="000000" w:themeColor="text1"/>
        </w:rPr>
        <w:t>Tribal</w:t>
      </w:r>
      <w:r w:rsidR="00C83679">
        <w:rPr>
          <w:color w:val="000000" w:themeColor="text1"/>
        </w:rPr>
        <w:t xml:space="preserve"> </w:t>
      </w:r>
      <w:r w:rsidR="0022602A" w:rsidRPr="0022602A">
        <w:rPr>
          <w:color w:val="000000" w:themeColor="text1"/>
        </w:rPr>
        <w:t>Leader</w:t>
      </w:r>
      <w:r w:rsidR="00BC047A">
        <w:rPr>
          <w:color w:val="000000" w:themeColor="text1"/>
        </w:rPr>
        <w:t>ship</w:t>
      </w:r>
      <w:r w:rsidR="00C83679">
        <w:rPr>
          <w:color w:val="000000" w:themeColor="text1"/>
        </w:rPr>
        <w:t xml:space="preserve"> </w:t>
      </w:r>
      <w:r w:rsidR="00BC047A">
        <w:rPr>
          <w:color w:val="000000" w:themeColor="text1"/>
        </w:rPr>
        <w:t>Directory</w:t>
      </w:r>
      <w:r w:rsidR="00C83679">
        <w:rPr>
          <w:color w:val="000000" w:themeColor="text1"/>
        </w:rPr>
        <w:t xml:space="preserve"> </w:t>
      </w:r>
      <w:r w:rsidR="0022602A" w:rsidRPr="0022602A">
        <w:rPr>
          <w:color w:val="000000" w:themeColor="text1"/>
        </w:rPr>
        <w:t>does</w:t>
      </w:r>
      <w:r w:rsidR="00C83679">
        <w:rPr>
          <w:color w:val="000000" w:themeColor="text1"/>
        </w:rPr>
        <w:t xml:space="preserve"> </w:t>
      </w:r>
      <w:r w:rsidR="0022602A" w:rsidRPr="0022602A">
        <w:rPr>
          <w:color w:val="000000" w:themeColor="text1"/>
        </w:rPr>
        <w:t>not</w:t>
      </w:r>
      <w:r w:rsidR="00C83679">
        <w:rPr>
          <w:color w:val="000000" w:themeColor="text1"/>
        </w:rPr>
        <w:t xml:space="preserve"> </w:t>
      </w:r>
      <w:r w:rsidR="0022602A" w:rsidRPr="0022602A">
        <w:rPr>
          <w:color w:val="000000" w:themeColor="text1"/>
        </w:rPr>
        <w:t>have</w:t>
      </w:r>
      <w:r w:rsidR="00C83679">
        <w:rPr>
          <w:color w:val="000000" w:themeColor="text1"/>
        </w:rPr>
        <w:t xml:space="preserve"> </w:t>
      </w:r>
      <w:r w:rsidR="0022602A" w:rsidRPr="0022602A">
        <w:rPr>
          <w:color w:val="000000" w:themeColor="text1"/>
        </w:rPr>
        <w:t>information</w:t>
      </w:r>
      <w:r w:rsidR="00C83679">
        <w:rPr>
          <w:color w:val="000000" w:themeColor="text1"/>
        </w:rPr>
        <w:t xml:space="preserve"> </w:t>
      </w:r>
      <w:r w:rsidR="0022602A" w:rsidRPr="0022602A">
        <w:rPr>
          <w:color w:val="000000" w:themeColor="text1"/>
        </w:rPr>
        <w:t>about</w:t>
      </w:r>
      <w:r w:rsidR="00C83679">
        <w:rPr>
          <w:color w:val="000000" w:themeColor="text1"/>
        </w:rPr>
        <w:t xml:space="preserve"> </w:t>
      </w:r>
      <w:r w:rsidR="0022602A" w:rsidRPr="0022602A">
        <w:rPr>
          <w:color w:val="000000" w:themeColor="text1"/>
        </w:rPr>
        <w:t>the</w:t>
      </w:r>
      <w:r w:rsidR="00C83679">
        <w:rPr>
          <w:color w:val="000000" w:themeColor="text1"/>
        </w:rPr>
        <w:t xml:space="preserve"> </w:t>
      </w:r>
      <w:r w:rsidR="0022602A" w:rsidRPr="0022602A">
        <w:rPr>
          <w:color w:val="000000" w:themeColor="text1"/>
        </w:rPr>
        <w:t>presence</w:t>
      </w:r>
      <w:r w:rsidR="00C83679">
        <w:rPr>
          <w:color w:val="000000" w:themeColor="text1"/>
        </w:rPr>
        <w:t xml:space="preserve"> </w:t>
      </w:r>
      <w:r w:rsidR="0022602A" w:rsidRPr="0022602A">
        <w:rPr>
          <w:color w:val="000000" w:themeColor="text1"/>
        </w:rPr>
        <w:t>of</w:t>
      </w:r>
      <w:r w:rsidR="00C83679">
        <w:rPr>
          <w:color w:val="000000" w:themeColor="text1"/>
        </w:rPr>
        <w:t xml:space="preserve"> </w:t>
      </w:r>
      <w:r w:rsidR="00903FED">
        <w:rPr>
          <w:color w:val="000000" w:themeColor="text1"/>
        </w:rPr>
        <w:t>LE</w:t>
      </w:r>
      <w:r w:rsidR="00C83679">
        <w:rPr>
          <w:color w:val="000000" w:themeColor="text1"/>
        </w:rPr>
        <w:t xml:space="preserve"> </w:t>
      </w:r>
      <w:r w:rsidR="0022602A" w:rsidRPr="0022602A">
        <w:rPr>
          <w:color w:val="000000" w:themeColor="text1"/>
        </w:rPr>
        <w:t>agencies</w:t>
      </w:r>
      <w:r w:rsidR="00C83679">
        <w:rPr>
          <w:color w:val="000000" w:themeColor="text1"/>
        </w:rPr>
        <w:t xml:space="preserve"> </w:t>
      </w:r>
      <w:r w:rsidR="0022602A" w:rsidRPr="0022602A">
        <w:rPr>
          <w:color w:val="000000" w:themeColor="text1"/>
        </w:rPr>
        <w:t>working</w:t>
      </w:r>
      <w:r w:rsidR="00C83679">
        <w:rPr>
          <w:color w:val="000000" w:themeColor="text1"/>
        </w:rPr>
        <w:t xml:space="preserve"> </w:t>
      </w:r>
      <w:r w:rsidR="0022602A" w:rsidRPr="0022602A">
        <w:rPr>
          <w:color w:val="000000" w:themeColor="text1"/>
        </w:rPr>
        <w:t>on</w:t>
      </w:r>
      <w:r w:rsidR="00C83679">
        <w:rPr>
          <w:color w:val="000000" w:themeColor="text1"/>
        </w:rPr>
        <w:t xml:space="preserve"> </w:t>
      </w:r>
      <w:r w:rsidR="0022602A" w:rsidRPr="0022602A">
        <w:rPr>
          <w:color w:val="000000" w:themeColor="text1"/>
        </w:rPr>
        <w:t>tribal</w:t>
      </w:r>
      <w:r w:rsidR="00C83679">
        <w:rPr>
          <w:color w:val="000000" w:themeColor="text1"/>
        </w:rPr>
        <w:t xml:space="preserve"> </w:t>
      </w:r>
      <w:r w:rsidR="0022602A" w:rsidRPr="0022602A">
        <w:rPr>
          <w:color w:val="000000" w:themeColor="text1"/>
        </w:rPr>
        <w:t>lands,</w:t>
      </w:r>
      <w:r w:rsidR="00C83679">
        <w:rPr>
          <w:color w:val="000000" w:themeColor="text1"/>
        </w:rPr>
        <w:t xml:space="preserve"> </w:t>
      </w:r>
      <w:r w:rsidR="00BC047A">
        <w:rPr>
          <w:color w:val="000000" w:themeColor="text1"/>
        </w:rPr>
        <w:t>so</w:t>
      </w:r>
      <w:r w:rsidR="00C83679">
        <w:rPr>
          <w:color w:val="000000" w:themeColor="text1"/>
        </w:rPr>
        <w:t xml:space="preserve"> </w:t>
      </w:r>
      <w:r w:rsidR="00746592">
        <w:rPr>
          <w:color w:val="000000" w:themeColor="text1"/>
        </w:rPr>
        <w:t>other</w:t>
      </w:r>
      <w:r w:rsidR="00C83679">
        <w:rPr>
          <w:color w:val="000000" w:themeColor="text1"/>
        </w:rPr>
        <w:t xml:space="preserve"> </w:t>
      </w:r>
      <w:r w:rsidR="00C17D6A">
        <w:rPr>
          <w:color w:val="000000" w:themeColor="text1"/>
        </w:rPr>
        <w:t>sources</w:t>
      </w:r>
      <w:r w:rsidR="00C83679">
        <w:rPr>
          <w:color w:val="000000" w:themeColor="text1"/>
        </w:rPr>
        <w:t xml:space="preserve"> </w:t>
      </w:r>
      <w:r w:rsidR="00C17D6A">
        <w:rPr>
          <w:color w:val="000000" w:themeColor="text1"/>
        </w:rPr>
        <w:t>were</w:t>
      </w:r>
      <w:r w:rsidR="00C83679">
        <w:rPr>
          <w:color w:val="000000" w:themeColor="text1"/>
        </w:rPr>
        <w:t xml:space="preserve"> </w:t>
      </w:r>
      <w:r w:rsidR="00746592">
        <w:rPr>
          <w:color w:val="000000" w:themeColor="text1"/>
        </w:rPr>
        <w:t>assessed</w:t>
      </w:r>
      <w:r w:rsidR="00C83679">
        <w:rPr>
          <w:color w:val="000000" w:themeColor="text1"/>
        </w:rPr>
        <w:t xml:space="preserve"> </w:t>
      </w:r>
      <w:r w:rsidR="000831B3">
        <w:rPr>
          <w:color w:val="000000" w:themeColor="text1"/>
        </w:rPr>
        <w:t>and</w:t>
      </w:r>
      <w:r w:rsidR="00C83679">
        <w:rPr>
          <w:color w:val="000000" w:themeColor="text1"/>
        </w:rPr>
        <w:t xml:space="preserve"> </w:t>
      </w:r>
      <w:r w:rsidR="000831B3">
        <w:rPr>
          <w:color w:val="000000" w:themeColor="text1"/>
        </w:rPr>
        <w:t>reconciled</w:t>
      </w:r>
      <w:r w:rsidR="00C83679">
        <w:rPr>
          <w:color w:val="000000" w:themeColor="text1"/>
        </w:rPr>
        <w:t xml:space="preserve"> </w:t>
      </w:r>
      <w:r w:rsidR="0022602A" w:rsidRPr="0022602A">
        <w:rPr>
          <w:color w:val="000000" w:themeColor="text1"/>
        </w:rPr>
        <w:t>to</w:t>
      </w:r>
      <w:r w:rsidR="00C83679">
        <w:rPr>
          <w:color w:val="000000" w:themeColor="text1"/>
        </w:rPr>
        <w:t xml:space="preserve"> </w:t>
      </w:r>
      <w:r w:rsidR="00AD0772">
        <w:rPr>
          <w:color w:val="000000" w:themeColor="text1"/>
        </w:rPr>
        <w:t>determine</w:t>
      </w:r>
      <w:r w:rsidR="00C83679">
        <w:rPr>
          <w:color w:val="000000" w:themeColor="text1"/>
        </w:rPr>
        <w:t xml:space="preserve"> </w:t>
      </w:r>
      <w:r w:rsidR="0022602A" w:rsidRPr="0022602A">
        <w:rPr>
          <w:color w:val="000000" w:themeColor="text1"/>
        </w:rPr>
        <w:t>the</w:t>
      </w:r>
      <w:r w:rsidR="00C83679">
        <w:rPr>
          <w:color w:val="000000" w:themeColor="text1"/>
        </w:rPr>
        <w:t xml:space="preserve"> </w:t>
      </w:r>
      <w:r w:rsidR="00C17D6A">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0022602A" w:rsidRPr="0022602A">
        <w:rPr>
          <w:color w:val="000000" w:themeColor="text1"/>
        </w:rPr>
        <w:lastRenderedPageBreak/>
        <w:t>agency</w:t>
      </w:r>
      <w:r w:rsidR="00C83679">
        <w:rPr>
          <w:color w:val="000000" w:themeColor="text1"/>
        </w:rPr>
        <w:t xml:space="preserve"> </w:t>
      </w:r>
      <w:r w:rsidR="0022602A" w:rsidRPr="0022602A">
        <w:rPr>
          <w:color w:val="000000" w:themeColor="text1"/>
        </w:rPr>
        <w:t>contact</w:t>
      </w:r>
      <w:r w:rsidR="00C83679">
        <w:rPr>
          <w:color w:val="000000" w:themeColor="text1"/>
        </w:rPr>
        <w:t xml:space="preserve"> </w:t>
      </w:r>
      <w:r w:rsidR="0022602A" w:rsidRPr="0022602A">
        <w:rPr>
          <w:color w:val="000000" w:themeColor="text1"/>
        </w:rPr>
        <w:t>information,</w:t>
      </w:r>
      <w:r w:rsidR="00C83679">
        <w:rPr>
          <w:color w:val="000000" w:themeColor="text1"/>
        </w:rPr>
        <w:t xml:space="preserve"> </w:t>
      </w:r>
      <w:r w:rsidR="0022602A" w:rsidRPr="0022602A">
        <w:rPr>
          <w:color w:val="000000" w:themeColor="text1"/>
        </w:rPr>
        <w:t>agency</w:t>
      </w:r>
      <w:r w:rsidR="00C83679">
        <w:rPr>
          <w:color w:val="000000" w:themeColor="text1"/>
        </w:rPr>
        <w:t xml:space="preserve"> </w:t>
      </w:r>
      <w:r w:rsidR="0022602A" w:rsidRPr="0022602A">
        <w:rPr>
          <w:color w:val="000000" w:themeColor="text1"/>
        </w:rPr>
        <w:t>type,</w:t>
      </w:r>
      <w:r w:rsidR="00C83679">
        <w:rPr>
          <w:color w:val="000000" w:themeColor="text1"/>
        </w:rPr>
        <w:t xml:space="preserve"> </w:t>
      </w:r>
      <w:r w:rsidR="0022602A" w:rsidRPr="0022602A">
        <w:rPr>
          <w:color w:val="000000" w:themeColor="text1"/>
        </w:rPr>
        <w:t>and</w:t>
      </w:r>
      <w:r w:rsidR="00C83679">
        <w:rPr>
          <w:color w:val="000000" w:themeColor="text1"/>
        </w:rPr>
        <w:t xml:space="preserve"> </w:t>
      </w:r>
      <w:r w:rsidR="0022602A" w:rsidRPr="0022602A">
        <w:rPr>
          <w:color w:val="000000" w:themeColor="text1"/>
        </w:rPr>
        <w:t>other</w:t>
      </w:r>
      <w:r w:rsidR="00C83679">
        <w:rPr>
          <w:color w:val="000000" w:themeColor="text1"/>
        </w:rPr>
        <w:t xml:space="preserve"> </w:t>
      </w:r>
      <w:r w:rsidR="00C17D6A">
        <w:rPr>
          <w:color w:val="000000" w:themeColor="text1"/>
        </w:rPr>
        <w:t>pertinent</w:t>
      </w:r>
      <w:r w:rsidR="00C83679">
        <w:rPr>
          <w:color w:val="000000" w:themeColor="text1"/>
        </w:rPr>
        <w:t xml:space="preserve"> </w:t>
      </w:r>
      <w:r w:rsidR="00C17D6A">
        <w:rPr>
          <w:color w:val="000000" w:themeColor="text1"/>
        </w:rPr>
        <w:t>data</w:t>
      </w:r>
      <w:r w:rsidR="00C83679">
        <w:rPr>
          <w:color w:val="000000" w:themeColor="text1"/>
        </w:rPr>
        <w:t xml:space="preserve"> </w:t>
      </w:r>
      <w:r w:rsidR="00C17D6A">
        <w:rPr>
          <w:color w:val="000000" w:themeColor="text1"/>
        </w:rPr>
        <w:t>to</w:t>
      </w:r>
      <w:r w:rsidR="00C83679">
        <w:rPr>
          <w:color w:val="000000" w:themeColor="text1"/>
        </w:rPr>
        <w:t xml:space="preserve"> </w:t>
      </w:r>
      <w:r w:rsidR="00C17D6A">
        <w:rPr>
          <w:color w:val="000000" w:themeColor="text1"/>
        </w:rPr>
        <w:t>determine</w:t>
      </w:r>
      <w:r>
        <w:rPr>
          <w:color w:val="000000" w:themeColor="text1"/>
        </w:rPr>
        <w:t xml:space="preserve"> initial</w:t>
      </w:r>
      <w:r w:rsidR="00C83679">
        <w:rPr>
          <w:color w:val="000000" w:themeColor="text1"/>
        </w:rPr>
        <w:t xml:space="preserve"> </w:t>
      </w:r>
      <w:r w:rsidR="00C17D6A">
        <w:rPr>
          <w:color w:val="000000" w:themeColor="text1"/>
        </w:rPr>
        <w:t>eligibility</w:t>
      </w:r>
      <w:r w:rsidR="0022602A" w:rsidRPr="0022602A">
        <w:rPr>
          <w:color w:val="000000" w:themeColor="text1"/>
        </w:rPr>
        <w:t>.</w:t>
      </w:r>
      <w:r w:rsidR="0094113F">
        <w:rPr>
          <w:color w:val="000000" w:themeColor="text1"/>
        </w:rPr>
        <w:t xml:space="preserve"> </w:t>
      </w:r>
      <w:r w:rsidR="0022602A" w:rsidRPr="0022602A">
        <w:rPr>
          <w:color w:val="000000" w:themeColor="text1"/>
        </w:rPr>
        <w:t>The</w:t>
      </w:r>
      <w:r w:rsidR="00C83679">
        <w:rPr>
          <w:color w:val="000000" w:themeColor="text1"/>
        </w:rPr>
        <w:t xml:space="preserve"> </w:t>
      </w:r>
      <w:r w:rsidR="00844A32" w:rsidRPr="0022602A">
        <w:rPr>
          <w:color w:val="000000" w:themeColor="text1"/>
        </w:rPr>
        <w:t>following</w:t>
      </w:r>
      <w:r w:rsidR="00844A32">
        <w:rPr>
          <w:color w:val="000000" w:themeColor="text1"/>
        </w:rPr>
        <w:t xml:space="preserve"> data</w:t>
      </w:r>
      <w:r w:rsidR="00C83679">
        <w:rPr>
          <w:color w:val="000000" w:themeColor="text1"/>
        </w:rPr>
        <w:t xml:space="preserve"> </w:t>
      </w:r>
      <w:r w:rsidR="0022602A" w:rsidRPr="0022602A">
        <w:rPr>
          <w:color w:val="000000" w:themeColor="text1"/>
        </w:rPr>
        <w:t>sets</w:t>
      </w:r>
      <w:r w:rsidR="00C83679">
        <w:rPr>
          <w:color w:val="000000" w:themeColor="text1"/>
        </w:rPr>
        <w:t xml:space="preserve"> </w:t>
      </w:r>
      <w:r w:rsidR="0022602A" w:rsidRPr="0022602A">
        <w:rPr>
          <w:color w:val="000000" w:themeColor="text1"/>
        </w:rPr>
        <w:t>were</w:t>
      </w:r>
      <w:r w:rsidR="00C83679">
        <w:rPr>
          <w:color w:val="000000" w:themeColor="text1"/>
        </w:rPr>
        <w:t xml:space="preserve"> </w:t>
      </w:r>
      <w:r w:rsidR="00E24E22">
        <w:rPr>
          <w:color w:val="000000" w:themeColor="text1"/>
        </w:rPr>
        <w:t>analyzed</w:t>
      </w:r>
      <w:r w:rsidR="003352B1">
        <w:rPr>
          <w:color w:val="000000" w:themeColor="text1"/>
        </w:rPr>
        <w:t>,</w:t>
      </w:r>
      <w:r w:rsidR="00C83679">
        <w:rPr>
          <w:color w:val="000000" w:themeColor="text1"/>
        </w:rPr>
        <w:t xml:space="preserve"> </w:t>
      </w:r>
      <w:r w:rsidR="0022602A" w:rsidRPr="0022602A">
        <w:rPr>
          <w:color w:val="000000" w:themeColor="text1"/>
        </w:rPr>
        <w:t>cross-referenced</w:t>
      </w:r>
      <w:r w:rsidR="00AD0772">
        <w:rPr>
          <w:color w:val="000000" w:themeColor="text1"/>
        </w:rPr>
        <w:t>,</w:t>
      </w:r>
      <w:r w:rsidR="00C83679">
        <w:rPr>
          <w:color w:val="000000" w:themeColor="text1"/>
        </w:rPr>
        <w:t xml:space="preserve"> </w:t>
      </w:r>
      <w:r w:rsidR="000831B3">
        <w:rPr>
          <w:color w:val="000000" w:themeColor="text1"/>
        </w:rPr>
        <w:t>and</w:t>
      </w:r>
      <w:r w:rsidR="00C83679">
        <w:rPr>
          <w:color w:val="000000" w:themeColor="text1"/>
        </w:rPr>
        <w:t xml:space="preserve"> </w:t>
      </w:r>
      <w:r w:rsidR="000831B3">
        <w:rPr>
          <w:color w:val="000000" w:themeColor="text1"/>
        </w:rPr>
        <w:t>compiled</w:t>
      </w:r>
      <w:r w:rsidR="00C83679">
        <w:rPr>
          <w:color w:val="000000" w:themeColor="text1"/>
        </w:rPr>
        <w:t xml:space="preserve"> </w:t>
      </w:r>
      <w:r w:rsidR="000831B3">
        <w:rPr>
          <w:color w:val="000000" w:themeColor="text1"/>
        </w:rPr>
        <w:t>to</w:t>
      </w:r>
      <w:r w:rsidR="00C83679">
        <w:rPr>
          <w:color w:val="000000" w:themeColor="text1"/>
        </w:rPr>
        <w:t xml:space="preserve"> </w:t>
      </w:r>
      <w:r w:rsidR="000831B3">
        <w:rPr>
          <w:color w:val="000000" w:themeColor="text1"/>
        </w:rPr>
        <w:t>produce</w:t>
      </w:r>
      <w:r w:rsidR="00C83679">
        <w:rPr>
          <w:color w:val="000000" w:themeColor="text1"/>
        </w:rPr>
        <w:t xml:space="preserve"> </w:t>
      </w:r>
      <w:r w:rsidR="000831B3">
        <w:rPr>
          <w:color w:val="000000" w:themeColor="text1"/>
        </w:rPr>
        <w:t>a</w:t>
      </w:r>
      <w:r w:rsidR="00C83679">
        <w:rPr>
          <w:color w:val="000000" w:themeColor="text1"/>
        </w:rPr>
        <w:t xml:space="preserve"> </w:t>
      </w:r>
      <w:r w:rsidR="0022602A" w:rsidRPr="0022602A">
        <w:rPr>
          <w:color w:val="000000" w:themeColor="text1"/>
        </w:rPr>
        <w:t>comprehensive</w:t>
      </w:r>
      <w:r w:rsidR="00C83679">
        <w:rPr>
          <w:color w:val="000000" w:themeColor="text1"/>
        </w:rPr>
        <w:t xml:space="preserve"> </w:t>
      </w:r>
      <w:r w:rsidR="000831B3">
        <w:rPr>
          <w:color w:val="000000" w:themeColor="text1"/>
        </w:rPr>
        <w:t>list</w:t>
      </w:r>
      <w:r w:rsidR="00C83679">
        <w:rPr>
          <w:color w:val="000000" w:themeColor="text1"/>
        </w:rPr>
        <w:t xml:space="preserve"> </w:t>
      </w:r>
      <w:r w:rsidR="000831B3">
        <w:rPr>
          <w:color w:val="000000" w:themeColor="text1"/>
        </w:rPr>
        <w:t>of</w:t>
      </w:r>
      <w:r w:rsidR="00C83679">
        <w:rPr>
          <w:color w:val="000000" w:themeColor="text1"/>
        </w:rPr>
        <w:t xml:space="preserve"> </w:t>
      </w:r>
      <w:r w:rsidR="00BC047A">
        <w:rPr>
          <w:color w:val="000000" w:themeColor="text1"/>
        </w:rPr>
        <w:t>contact</w:t>
      </w:r>
      <w:r w:rsidR="00C83679">
        <w:rPr>
          <w:color w:val="000000" w:themeColor="text1"/>
        </w:rPr>
        <w:t xml:space="preserve"> </w:t>
      </w:r>
      <w:r w:rsidR="00BC047A">
        <w:rPr>
          <w:color w:val="000000" w:themeColor="text1"/>
        </w:rPr>
        <w:t>information</w:t>
      </w:r>
      <w:r w:rsidR="00C83679">
        <w:rPr>
          <w:color w:val="000000" w:themeColor="text1"/>
        </w:rPr>
        <w:t xml:space="preserve"> </w:t>
      </w:r>
      <w:r w:rsidR="00BC047A">
        <w:rPr>
          <w:color w:val="000000" w:themeColor="text1"/>
        </w:rPr>
        <w:t>for</w:t>
      </w:r>
      <w:r w:rsidR="00C83679">
        <w:rPr>
          <w:color w:val="000000" w:themeColor="text1"/>
        </w:rPr>
        <w:t xml:space="preserve"> </w:t>
      </w:r>
      <w:r w:rsidR="0022602A" w:rsidRPr="0022602A">
        <w:rPr>
          <w:color w:val="000000" w:themeColor="text1"/>
        </w:rPr>
        <w:t>tribal</w:t>
      </w:r>
      <w:r w:rsidR="00C83679">
        <w:rPr>
          <w:color w:val="000000" w:themeColor="text1"/>
        </w:rPr>
        <w:t xml:space="preserve"> </w:t>
      </w:r>
      <w:r w:rsidR="0022602A" w:rsidRPr="0022602A">
        <w:rPr>
          <w:color w:val="000000" w:themeColor="text1"/>
        </w:rPr>
        <w:t>and</w:t>
      </w:r>
      <w:r w:rsidR="00C83679">
        <w:rPr>
          <w:color w:val="000000" w:themeColor="text1"/>
        </w:rPr>
        <w:t xml:space="preserve"> </w:t>
      </w:r>
      <w:r w:rsidR="00BC047A">
        <w:rPr>
          <w:color w:val="000000" w:themeColor="text1"/>
        </w:rPr>
        <w:t>BIA</w:t>
      </w:r>
      <w:r w:rsidR="00C83679">
        <w:rPr>
          <w:color w:val="000000" w:themeColor="text1"/>
        </w:rPr>
        <w:t xml:space="preserve"> </w:t>
      </w:r>
      <w:r w:rsidR="00903FED">
        <w:rPr>
          <w:color w:val="000000" w:themeColor="text1"/>
        </w:rPr>
        <w:t>LE</w:t>
      </w:r>
      <w:r w:rsidR="00C83679">
        <w:rPr>
          <w:color w:val="000000" w:themeColor="text1"/>
        </w:rPr>
        <w:t xml:space="preserve"> </w:t>
      </w:r>
      <w:r w:rsidR="0022602A" w:rsidRPr="0022602A">
        <w:rPr>
          <w:color w:val="000000" w:themeColor="text1"/>
        </w:rPr>
        <w:t>agencies</w:t>
      </w:r>
      <w:r w:rsidR="00C83679">
        <w:rPr>
          <w:color w:val="000000" w:themeColor="text1"/>
        </w:rPr>
        <w:t xml:space="preserve"> </w:t>
      </w:r>
      <w:r w:rsidR="00E24E22">
        <w:rPr>
          <w:color w:val="000000" w:themeColor="text1"/>
        </w:rPr>
        <w:t>operating</w:t>
      </w:r>
      <w:r w:rsidR="00C83679">
        <w:rPr>
          <w:color w:val="000000" w:themeColor="text1"/>
        </w:rPr>
        <w:t xml:space="preserve"> </w:t>
      </w:r>
      <w:r w:rsidR="00E24E22">
        <w:rPr>
          <w:color w:val="000000" w:themeColor="text1"/>
        </w:rPr>
        <w:t>in</w:t>
      </w:r>
      <w:r w:rsidR="00C83679">
        <w:rPr>
          <w:color w:val="000000" w:themeColor="text1"/>
        </w:rPr>
        <w:t xml:space="preserve"> </w:t>
      </w:r>
      <w:r w:rsidR="00E24E22">
        <w:rPr>
          <w:color w:val="000000" w:themeColor="text1"/>
        </w:rPr>
        <w:t>the</w:t>
      </w:r>
      <w:r w:rsidR="00C83679">
        <w:rPr>
          <w:color w:val="000000" w:themeColor="text1"/>
        </w:rPr>
        <w:t xml:space="preserve"> </w:t>
      </w:r>
      <w:r w:rsidR="00E24E22">
        <w:rPr>
          <w:color w:val="000000" w:themeColor="text1"/>
        </w:rPr>
        <w:t>U</w:t>
      </w:r>
      <w:r w:rsidR="00B93A80">
        <w:rPr>
          <w:color w:val="000000" w:themeColor="text1"/>
        </w:rPr>
        <w:t>.</w:t>
      </w:r>
      <w:r w:rsidR="00E24E22">
        <w:rPr>
          <w:color w:val="000000" w:themeColor="text1"/>
        </w:rPr>
        <w:t>S</w:t>
      </w:r>
      <w:r w:rsidR="00B93A80">
        <w:rPr>
          <w:color w:val="000000" w:themeColor="text1"/>
        </w:rPr>
        <w:t>.</w:t>
      </w:r>
      <w:r w:rsidR="00C83679">
        <w:rPr>
          <w:color w:val="000000" w:themeColor="text1"/>
        </w:rPr>
        <w:t xml:space="preserve"> </w:t>
      </w:r>
      <w:r w:rsidR="00A123CC">
        <w:rPr>
          <w:color w:val="000000" w:themeColor="text1"/>
        </w:rPr>
        <w:t>as of calendar year</w:t>
      </w:r>
      <w:r w:rsidR="00C83679">
        <w:rPr>
          <w:color w:val="000000" w:themeColor="text1"/>
        </w:rPr>
        <w:t xml:space="preserve"> </w:t>
      </w:r>
      <w:r w:rsidR="00E24E22">
        <w:rPr>
          <w:color w:val="000000" w:themeColor="text1"/>
        </w:rPr>
        <w:t>2016</w:t>
      </w:r>
      <w:r w:rsidR="0022602A" w:rsidRPr="0022602A">
        <w:rPr>
          <w:color w:val="000000" w:themeColor="text1"/>
        </w:rPr>
        <w:t>:</w:t>
      </w:r>
      <w:r w:rsidR="00C83679">
        <w:rPr>
          <w:color w:val="000000" w:themeColor="text1"/>
        </w:rPr>
        <w:t xml:space="preserve"> </w:t>
      </w:r>
    </w:p>
    <w:p w14:paraId="3C1D1936" w14:textId="77777777" w:rsidR="000E4A76" w:rsidRPr="0022602A" w:rsidRDefault="000E4A76" w:rsidP="0022602A">
      <w:pPr>
        <w:rPr>
          <w:color w:val="000000" w:themeColor="text1"/>
        </w:rPr>
      </w:pPr>
    </w:p>
    <w:p w14:paraId="435D0DCD" w14:textId="38C1D7E2" w:rsidR="0022602A" w:rsidRPr="00B93A80" w:rsidRDefault="0022602A" w:rsidP="00D901A8">
      <w:pPr>
        <w:pStyle w:val="ListParagraph"/>
        <w:numPr>
          <w:ilvl w:val="0"/>
          <w:numId w:val="3"/>
        </w:numPr>
        <w:rPr>
          <w:color w:val="000000" w:themeColor="text1"/>
        </w:rPr>
      </w:pPr>
      <w:r w:rsidRPr="00B93A80">
        <w:rPr>
          <w:b/>
          <w:color w:val="000000" w:themeColor="text1"/>
        </w:rPr>
        <w:t>Census</w:t>
      </w:r>
      <w:r w:rsidR="00C83679">
        <w:rPr>
          <w:b/>
          <w:color w:val="000000" w:themeColor="text1"/>
        </w:rPr>
        <w:t xml:space="preserve"> </w:t>
      </w:r>
      <w:r w:rsidRPr="00B93A80">
        <w:rPr>
          <w:b/>
          <w:color w:val="000000" w:themeColor="text1"/>
        </w:rPr>
        <w:t>of</w:t>
      </w:r>
      <w:r w:rsidR="00C83679">
        <w:rPr>
          <w:b/>
          <w:color w:val="000000" w:themeColor="text1"/>
        </w:rPr>
        <w:t xml:space="preserve"> </w:t>
      </w:r>
      <w:r w:rsidRPr="00B93A80">
        <w:rPr>
          <w:b/>
          <w:color w:val="000000" w:themeColor="text1"/>
        </w:rPr>
        <w:t>State</w:t>
      </w:r>
      <w:r w:rsidR="00C83679">
        <w:rPr>
          <w:b/>
          <w:color w:val="000000" w:themeColor="text1"/>
        </w:rPr>
        <w:t xml:space="preserve"> </w:t>
      </w:r>
      <w:r w:rsidRPr="00B93A80">
        <w:rPr>
          <w:b/>
          <w:color w:val="000000" w:themeColor="text1"/>
        </w:rPr>
        <w:t>and</w:t>
      </w:r>
      <w:r w:rsidR="00C83679">
        <w:rPr>
          <w:b/>
          <w:color w:val="000000" w:themeColor="text1"/>
        </w:rPr>
        <w:t xml:space="preserve"> </w:t>
      </w:r>
      <w:r w:rsidRPr="00B93A80">
        <w:rPr>
          <w:b/>
          <w:color w:val="000000" w:themeColor="text1"/>
        </w:rPr>
        <w:t>Local</w:t>
      </w:r>
      <w:r w:rsidR="00C83679">
        <w:rPr>
          <w:b/>
          <w:color w:val="000000" w:themeColor="text1"/>
        </w:rPr>
        <w:t xml:space="preserve"> </w:t>
      </w:r>
      <w:r w:rsidRPr="00B93A80">
        <w:rPr>
          <w:b/>
          <w:color w:val="000000" w:themeColor="text1"/>
        </w:rPr>
        <w:t>Law</w:t>
      </w:r>
      <w:r w:rsidR="00C83679">
        <w:rPr>
          <w:b/>
          <w:color w:val="000000" w:themeColor="text1"/>
        </w:rPr>
        <w:t xml:space="preserve"> </w:t>
      </w:r>
      <w:r w:rsidRPr="00B93A80">
        <w:rPr>
          <w:b/>
          <w:color w:val="000000" w:themeColor="text1"/>
        </w:rPr>
        <w:t>Enforcement</w:t>
      </w:r>
      <w:r w:rsidR="00C83679">
        <w:rPr>
          <w:b/>
          <w:color w:val="000000" w:themeColor="text1"/>
        </w:rPr>
        <w:t xml:space="preserve"> </w:t>
      </w:r>
      <w:r w:rsidRPr="00B93A80">
        <w:rPr>
          <w:b/>
          <w:color w:val="000000" w:themeColor="text1"/>
        </w:rPr>
        <w:t>Agencies,</w:t>
      </w:r>
      <w:r w:rsidR="00C83679">
        <w:rPr>
          <w:b/>
          <w:color w:val="000000" w:themeColor="text1"/>
        </w:rPr>
        <w:t xml:space="preserve"> </w:t>
      </w:r>
      <w:r w:rsidRPr="00B93A80">
        <w:rPr>
          <w:b/>
          <w:color w:val="000000" w:themeColor="text1"/>
        </w:rPr>
        <w:t>(CSLLEA)</w:t>
      </w:r>
      <w:r w:rsidR="00C83679">
        <w:rPr>
          <w:color w:val="000000" w:themeColor="text1"/>
        </w:rPr>
        <w:t xml:space="preserve"> </w:t>
      </w:r>
      <w:r w:rsidRPr="00B93A80">
        <w:rPr>
          <w:color w:val="000000" w:themeColor="text1"/>
        </w:rPr>
        <w:t>–</w:t>
      </w:r>
      <w:r w:rsidR="00C83679">
        <w:rPr>
          <w:color w:val="000000" w:themeColor="text1"/>
        </w:rPr>
        <w:t xml:space="preserve"> </w:t>
      </w:r>
      <w:r w:rsidR="00E24E22" w:rsidRPr="00B93A80">
        <w:rPr>
          <w:color w:val="000000" w:themeColor="text1"/>
        </w:rPr>
        <w:t>Since</w:t>
      </w:r>
      <w:r w:rsidR="00C83679">
        <w:rPr>
          <w:color w:val="000000" w:themeColor="text1"/>
        </w:rPr>
        <w:t xml:space="preserve"> </w:t>
      </w:r>
      <w:r w:rsidR="00E24E22" w:rsidRPr="00B93A80">
        <w:rPr>
          <w:color w:val="000000" w:themeColor="text1"/>
        </w:rPr>
        <w:t>1992,</w:t>
      </w:r>
      <w:r w:rsidR="00C83679">
        <w:rPr>
          <w:color w:val="000000" w:themeColor="text1"/>
        </w:rPr>
        <w:t xml:space="preserve"> </w:t>
      </w:r>
      <w:r w:rsidR="00B93A80">
        <w:rPr>
          <w:color w:val="000000" w:themeColor="text1"/>
        </w:rPr>
        <w:t>BJS</w:t>
      </w:r>
      <w:r w:rsidR="00C83679">
        <w:rPr>
          <w:color w:val="000000" w:themeColor="text1"/>
        </w:rPr>
        <w:t xml:space="preserve"> </w:t>
      </w:r>
      <w:r w:rsidR="00B93A80">
        <w:rPr>
          <w:color w:val="000000" w:themeColor="text1"/>
        </w:rPr>
        <w:t>has</w:t>
      </w:r>
      <w:r w:rsidR="00C83679">
        <w:rPr>
          <w:color w:val="000000" w:themeColor="text1"/>
        </w:rPr>
        <w:t xml:space="preserve"> </w:t>
      </w:r>
      <w:r w:rsidR="00B93A80">
        <w:rPr>
          <w:color w:val="000000" w:themeColor="text1"/>
        </w:rPr>
        <w:t>conducted</w:t>
      </w:r>
      <w:r w:rsidR="00C83679">
        <w:rPr>
          <w:color w:val="000000" w:themeColor="text1"/>
        </w:rPr>
        <w:t xml:space="preserve"> </w:t>
      </w:r>
      <w:r w:rsidR="00E24E22" w:rsidRPr="00B93A80">
        <w:rPr>
          <w:color w:val="000000" w:themeColor="text1"/>
        </w:rPr>
        <w:t>the</w:t>
      </w:r>
      <w:r w:rsidR="00C83679">
        <w:rPr>
          <w:color w:val="000000" w:themeColor="text1"/>
        </w:rPr>
        <w:t xml:space="preserve"> </w:t>
      </w:r>
      <w:r w:rsidR="00E24E22" w:rsidRPr="00B93A80">
        <w:rPr>
          <w:color w:val="000000" w:themeColor="text1"/>
        </w:rPr>
        <w:t>Census</w:t>
      </w:r>
      <w:r w:rsidR="00C83679">
        <w:rPr>
          <w:color w:val="000000" w:themeColor="text1"/>
        </w:rPr>
        <w:t xml:space="preserve"> </w:t>
      </w:r>
      <w:r w:rsidR="00E24E22" w:rsidRPr="00B93A80">
        <w:rPr>
          <w:color w:val="000000" w:themeColor="text1"/>
        </w:rPr>
        <w:t>of</w:t>
      </w:r>
      <w:r w:rsidR="00C83679">
        <w:rPr>
          <w:color w:val="000000" w:themeColor="text1"/>
        </w:rPr>
        <w:t xml:space="preserve"> </w:t>
      </w:r>
      <w:r w:rsidR="00E24E22" w:rsidRPr="00B93A80">
        <w:rPr>
          <w:color w:val="000000" w:themeColor="text1"/>
        </w:rPr>
        <w:t>State</w:t>
      </w:r>
      <w:r w:rsidR="00C83679">
        <w:rPr>
          <w:color w:val="000000" w:themeColor="text1"/>
        </w:rPr>
        <w:t xml:space="preserve"> </w:t>
      </w:r>
      <w:r w:rsidR="00E24E22" w:rsidRPr="00B93A80">
        <w:rPr>
          <w:color w:val="000000" w:themeColor="text1"/>
        </w:rPr>
        <w:t>and</w:t>
      </w:r>
      <w:r w:rsidR="00C83679">
        <w:rPr>
          <w:color w:val="000000" w:themeColor="text1"/>
        </w:rPr>
        <w:t xml:space="preserve"> </w:t>
      </w:r>
      <w:r w:rsidR="00E24E22" w:rsidRPr="00B93A80">
        <w:rPr>
          <w:color w:val="000000" w:themeColor="text1"/>
        </w:rPr>
        <w:t>Local</w:t>
      </w:r>
      <w:r w:rsidR="00C83679">
        <w:rPr>
          <w:color w:val="000000" w:themeColor="text1"/>
        </w:rPr>
        <w:t xml:space="preserve"> </w:t>
      </w:r>
      <w:r w:rsidR="00E24E22" w:rsidRPr="00B93A80">
        <w:rPr>
          <w:color w:val="000000" w:themeColor="text1"/>
        </w:rPr>
        <w:t>Law</w:t>
      </w:r>
      <w:r w:rsidR="00C83679">
        <w:rPr>
          <w:color w:val="000000" w:themeColor="text1"/>
        </w:rPr>
        <w:t xml:space="preserve"> </w:t>
      </w:r>
      <w:r w:rsidR="00E24E22" w:rsidRPr="00B93A80">
        <w:rPr>
          <w:color w:val="000000" w:themeColor="text1"/>
        </w:rPr>
        <w:t>Enforcement</w:t>
      </w:r>
      <w:r w:rsidR="00C83679">
        <w:rPr>
          <w:color w:val="000000" w:themeColor="text1"/>
        </w:rPr>
        <w:t xml:space="preserve"> </w:t>
      </w:r>
      <w:r w:rsidR="00E24E22" w:rsidRPr="00B93A80">
        <w:rPr>
          <w:color w:val="000000" w:themeColor="text1"/>
        </w:rPr>
        <w:t>Agencies</w:t>
      </w:r>
      <w:r w:rsidR="00C83679">
        <w:rPr>
          <w:color w:val="000000" w:themeColor="text1"/>
        </w:rPr>
        <w:t xml:space="preserve"> </w:t>
      </w:r>
      <w:r w:rsidR="00E24E22" w:rsidRPr="00B93A80">
        <w:rPr>
          <w:color w:val="000000" w:themeColor="text1"/>
        </w:rPr>
        <w:t>(CSLLEA)</w:t>
      </w:r>
      <w:r w:rsidR="00C83679">
        <w:rPr>
          <w:color w:val="000000" w:themeColor="text1"/>
        </w:rPr>
        <w:t xml:space="preserve">    </w:t>
      </w:r>
      <w:r w:rsidR="00B93A80">
        <w:rPr>
          <w:color w:val="000000" w:themeColor="text1"/>
        </w:rPr>
        <w:t>about</w:t>
      </w:r>
      <w:r w:rsidR="00C83679">
        <w:rPr>
          <w:color w:val="000000" w:themeColor="text1"/>
        </w:rPr>
        <w:t xml:space="preserve"> </w:t>
      </w:r>
      <w:r w:rsidR="00E24E22" w:rsidRPr="00B93A80">
        <w:rPr>
          <w:color w:val="000000" w:themeColor="text1"/>
        </w:rPr>
        <w:t>every</w:t>
      </w:r>
      <w:r w:rsidR="00C83679">
        <w:rPr>
          <w:color w:val="000000" w:themeColor="text1"/>
        </w:rPr>
        <w:t xml:space="preserve"> </w:t>
      </w:r>
      <w:r w:rsidR="00E24E22" w:rsidRPr="00B93A80">
        <w:rPr>
          <w:color w:val="000000" w:themeColor="text1"/>
        </w:rPr>
        <w:t>4</w:t>
      </w:r>
      <w:r w:rsidR="00C83679">
        <w:rPr>
          <w:color w:val="000000" w:themeColor="text1"/>
        </w:rPr>
        <w:t xml:space="preserve"> </w:t>
      </w:r>
      <w:r w:rsidR="00E24E22" w:rsidRPr="00B93A80">
        <w:rPr>
          <w:color w:val="000000" w:themeColor="text1"/>
        </w:rPr>
        <w:t>years</w:t>
      </w:r>
      <w:r w:rsidR="00C83679">
        <w:rPr>
          <w:color w:val="000000" w:themeColor="text1"/>
        </w:rPr>
        <w:t xml:space="preserve"> </w:t>
      </w:r>
      <w:r w:rsidR="00E24E22" w:rsidRPr="00B93A80">
        <w:rPr>
          <w:color w:val="000000" w:themeColor="text1"/>
        </w:rPr>
        <w:t>to</w:t>
      </w:r>
      <w:r w:rsidR="00C83679">
        <w:rPr>
          <w:color w:val="000000" w:themeColor="text1"/>
        </w:rPr>
        <w:t xml:space="preserve"> </w:t>
      </w:r>
      <w:r w:rsidR="00E24E22" w:rsidRPr="00B93A80">
        <w:rPr>
          <w:color w:val="000000" w:themeColor="text1"/>
        </w:rPr>
        <w:t>provide</w:t>
      </w:r>
      <w:r w:rsidR="00C83679">
        <w:rPr>
          <w:color w:val="000000" w:themeColor="text1"/>
        </w:rPr>
        <w:t xml:space="preserve"> </w:t>
      </w:r>
      <w:r w:rsidR="00E24E22" w:rsidRPr="00B93A80">
        <w:rPr>
          <w:color w:val="000000" w:themeColor="text1"/>
        </w:rPr>
        <w:t>a</w:t>
      </w:r>
      <w:r w:rsidR="00C83679">
        <w:rPr>
          <w:color w:val="000000" w:themeColor="text1"/>
        </w:rPr>
        <w:t xml:space="preserve"> </w:t>
      </w:r>
      <w:r w:rsidR="00E24E22" w:rsidRPr="00B93A80">
        <w:rPr>
          <w:color w:val="000000" w:themeColor="text1"/>
        </w:rPr>
        <w:t>complete</w:t>
      </w:r>
      <w:r w:rsidR="00C83679">
        <w:rPr>
          <w:color w:val="000000" w:themeColor="text1"/>
        </w:rPr>
        <w:t xml:space="preserve"> </w:t>
      </w:r>
      <w:r w:rsidR="00E24E22" w:rsidRPr="00B93A80">
        <w:rPr>
          <w:color w:val="000000" w:themeColor="text1"/>
        </w:rPr>
        <w:t>enumeration</w:t>
      </w:r>
      <w:r w:rsidR="00C83679">
        <w:rPr>
          <w:color w:val="000000" w:themeColor="text1"/>
        </w:rPr>
        <w:t xml:space="preserve"> </w:t>
      </w:r>
      <w:r w:rsidR="00E24E22" w:rsidRPr="00B93A80">
        <w:rPr>
          <w:color w:val="000000" w:themeColor="text1"/>
        </w:rPr>
        <w:t>of</w:t>
      </w:r>
      <w:r w:rsidR="00C83679">
        <w:rPr>
          <w:color w:val="000000" w:themeColor="text1"/>
        </w:rPr>
        <w:t xml:space="preserve"> </w:t>
      </w:r>
      <w:r w:rsidR="00E24E22" w:rsidRPr="00B93A80">
        <w:rPr>
          <w:color w:val="000000" w:themeColor="text1"/>
        </w:rPr>
        <w:t>state</w:t>
      </w:r>
      <w:r w:rsidR="00C83679">
        <w:rPr>
          <w:color w:val="000000" w:themeColor="text1"/>
        </w:rPr>
        <w:t xml:space="preserve"> </w:t>
      </w:r>
      <w:r w:rsidR="00E24E22" w:rsidRPr="00B93A80">
        <w:rPr>
          <w:color w:val="000000" w:themeColor="text1"/>
        </w:rPr>
        <w:t>and</w:t>
      </w:r>
      <w:r w:rsidR="00C83679">
        <w:rPr>
          <w:color w:val="000000" w:themeColor="text1"/>
        </w:rPr>
        <w:t xml:space="preserve"> </w:t>
      </w:r>
      <w:r w:rsidR="00E24E22" w:rsidRPr="00B93A80">
        <w:rPr>
          <w:color w:val="000000" w:themeColor="text1"/>
        </w:rPr>
        <w:t>local</w:t>
      </w:r>
      <w:r w:rsidR="00C83679">
        <w:rPr>
          <w:color w:val="000000" w:themeColor="text1"/>
        </w:rPr>
        <w:t xml:space="preserve"> </w:t>
      </w:r>
      <w:r w:rsidR="00E24E22" w:rsidRPr="00B93A80">
        <w:rPr>
          <w:color w:val="000000" w:themeColor="text1"/>
        </w:rPr>
        <w:t>agencies</w:t>
      </w:r>
      <w:r w:rsidR="00C83679">
        <w:rPr>
          <w:color w:val="000000" w:themeColor="text1"/>
        </w:rPr>
        <w:t xml:space="preserve"> </w:t>
      </w:r>
      <w:r w:rsidR="00B93A80">
        <w:rPr>
          <w:color w:val="000000" w:themeColor="text1"/>
        </w:rPr>
        <w:t>in</w:t>
      </w:r>
      <w:r w:rsidR="00C83679">
        <w:rPr>
          <w:color w:val="000000" w:themeColor="text1"/>
        </w:rPr>
        <w:t xml:space="preserve"> </w:t>
      </w:r>
      <w:r w:rsidR="00B93A80">
        <w:rPr>
          <w:color w:val="000000" w:themeColor="text1"/>
        </w:rPr>
        <w:t>the</w:t>
      </w:r>
      <w:r w:rsidR="00C83679">
        <w:rPr>
          <w:color w:val="000000" w:themeColor="text1"/>
        </w:rPr>
        <w:t xml:space="preserve"> </w:t>
      </w:r>
      <w:r w:rsidR="00B93A80">
        <w:rPr>
          <w:color w:val="000000" w:themeColor="text1"/>
        </w:rPr>
        <w:t>U.S</w:t>
      </w:r>
      <w:r w:rsidR="00E24E22" w:rsidRPr="00B93A80">
        <w:rPr>
          <w:color w:val="000000" w:themeColor="text1"/>
        </w:rPr>
        <w:t>.</w:t>
      </w:r>
      <w:r w:rsidR="00C83679">
        <w:rPr>
          <w:color w:val="000000" w:themeColor="text1"/>
        </w:rPr>
        <w:t xml:space="preserve"> </w:t>
      </w:r>
      <w:r w:rsidRPr="00B93A80">
        <w:rPr>
          <w:color w:val="000000" w:themeColor="text1"/>
        </w:rPr>
        <w:t>CSLLEA</w:t>
      </w:r>
      <w:r w:rsidR="00C83679">
        <w:rPr>
          <w:color w:val="000000" w:themeColor="text1"/>
        </w:rPr>
        <w:t xml:space="preserve"> </w:t>
      </w:r>
      <w:r w:rsidRPr="00B93A80">
        <w:rPr>
          <w:color w:val="000000" w:themeColor="text1"/>
        </w:rPr>
        <w:t>data</w:t>
      </w:r>
      <w:r w:rsidR="00C83679">
        <w:rPr>
          <w:color w:val="000000" w:themeColor="text1"/>
        </w:rPr>
        <w:t xml:space="preserve"> </w:t>
      </w:r>
      <w:r w:rsidRPr="00B93A80">
        <w:rPr>
          <w:color w:val="000000" w:themeColor="text1"/>
        </w:rPr>
        <w:t>file</w:t>
      </w:r>
      <w:r w:rsidR="00E24E22" w:rsidRPr="00B93A80">
        <w:rPr>
          <w:color w:val="000000" w:themeColor="text1"/>
        </w:rPr>
        <w:t>s</w:t>
      </w:r>
      <w:r w:rsidR="00FA21C8">
        <w:rPr>
          <w:color w:val="000000" w:themeColor="text1"/>
        </w:rPr>
        <w:t xml:space="preserve"> </w:t>
      </w:r>
      <w:r w:rsidR="004D7F18">
        <w:rPr>
          <w:color w:val="000000" w:themeColor="text1"/>
        </w:rPr>
        <w:t xml:space="preserve">from </w:t>
      </w:r>
      <w:r w:rsidR="00FA21C8">
        <w:rPr>
          <w:color w:val="000000" w:themeColor="text1"/>
        </w:rPr>
        <w:t>2004 and 2008 were reviewed to identify agencies that</w:t>
      </w:r>
      <w:r w:rsidR="00B523FD">
        <w:rPr>
          <w:color w:val="000000" w:themeColor="text1"/>
        </w:rPr>
        <w:t xml:space="preserve"> </w:t>
      </w:r>
      <w:r w:rsidR="00B523FD" w:rsidRPr="00B93A80">
        <w:rPr>
          <w:color w:val="000000" w:themeColor="text1"/>
        </w:rPr>
        <w:t>identified</w:t>
      </w:r>
      <w:r w:rsidR="00B523FD">
        <w:rPr>
          <w:color w:val="000000" w:themeColor="text1"/>
        </w:rPr>
        <w:t xml:space="preserve"> themselves </w:t>
      </w:r>
      <w:r w:rsidR="00B523FD" w:rsidRPr="00B93A80">
        <w:rPr>
          <w:color w:val="000000" w:themeColor="text1"/>
        </w:rPr>
        <w:t>as</w:t>
      </w:r>
      <w:r w:rsidR="00B523FD">
        <w:rPr>
          <w:color w:val="000000" w:themeColor="text1"/>
        </w:rPr>
        <w:t xml:space="preserve"> </w:t>
      </w:r>
      <w:r w:rsidR="00B523FD" w:rsidRPr="00B93A80">
        <w:rPr>
          <w:color w:val="000000" w:themeColor="text1"/>
        </w:rPr>
        <w:t>tribal</w:t>
      </w:r>
      <w:r w:rsidR="00B523FD">
        <w:rPr>
          <w:color w:val="000000" w:themeColor="text1"/>
        </w:rPr>
        <w:t xml:space="preserve"> </w:t>
      </w:r>
      <w:r w:rsidR="00B523FD" w:rsidRPr="00B93A80">
        <w:rPr>
          <w:color w:val="000000" w:themeColor="text1"/>
        </w:rPr>
        <w:t>police</w:t>
      </w:r>
      <w:r w:rsidR="00B523FD">
        <w:rPr>
          <w:color w:val="000000" w:themeColor="text1"/>
        </w:rPr>
        <w:t xml:space="preserve"> </w:t>
      </w:r>
      <w:r w:rsidR="00B523FD" w:rsidRPr="00B93A80">
        <w:rPr>
          <w:color w:val="000000" w:themeColor="text1"/>
        </w:rPr>
        <w:t>departments</w:t>
      </w:r>
      <w:r w:rsidR="00B523FD">
        <w:rPr>
          <w:color w:val="000000" w:themeColor="text1"/>
        </w:rPr>
        <w:t>.</w:t>
      </w:r>
      <w:r w:rsidR="00C83679">
        <w:rPr>
          <w:color w:val="000000" w:themeColor="text1"/>
        </w:rPr>
        <w:t xml:space="preserve">  </w:t>
      </w:r>
      <w:r w:rsidR="00E552FB" w:rsidRPr="00B93A80">
        <w:rPr>
          <w:color w:val="000000" w:themeColor="text1"/>
        </w:rPr>
        <w:t>For</w:t>
      </w:r>
      <w:r w:rsidR="00C83679">
        <w:rPr>
          <w:color w:val="000000" w:themeColor="text1"/>
        </w:rPr>
        <w:t xml:space="preserve"> </w:t>
      </w:r>
      <w:r w:rsidRPr="00B93A80">
        <w:rPr>
          <w:color w:val="000000" w:themeColor="text1"/>
        </w:rPr>
        <w:t>agencies</w:t>
      </w:r>
      <w:r w:rsidR="00C83679">
        <w:rPr>
          <w:color w:val="000000" w:themeColor="text1"/>
        </w:rPr>
        <w:t xml:space="preserve"> </w:t>
      </w:r>
      <w:r w:rsidR="00E552FB" w:rsidRPr="00B93A80">
        <w:rPr>
          <w:color w:val="000000" w:themeColor="text1"/>
        </w:rPr>
        <w:t>that</w:t>
      </w:r>
      <w:r w:rsidR="00C83679">
        <w:rPr>
          <w:color w:val="000000" w:themeColor="text1"/>
        </w:rPr>
        <w:t xml:space="preserve"> </w:t>
      </w:r>
      <w:r w:rsidRPr="00B93A80">
        <w:rPr>
          <w:color w:val="000000" w:themeColor="text1"/>
        </w:rPr>
        <w:t>had</w:t>
      </w:r>
      <w:r w:rsidR="00C83679">
        <w:rPr>
          <w:color w:val="000000" w:themeColor="text1"/>
        </w:rPr>
        <w:t xml:space="preserve"> </w:t>
      </w:r>
      <w:r w:rsidRPr="00B93A80">
        <w:rPr>
          <w:color w:val="000000" w:themeColor="text1"/>
        </w:rPr>
        <w:t>both</w:t>
      </w:r>
      <w:r w:rsidR="00C83679">
        <w:rPr>
          <w:color w:val="000000" w:themeColor="text1"/>
        </w:rPr>
        <w:t xml:space="preserve"> </w:t>
      </w:r>
      <w:r w:rsidRPr="00B93A80">
        <w:rPr>
          <w:color w:val="000000" w:themeColor="text1"/>
        </w:rPr>
        <w:t>a</w:t>
      </w:r>
      <w:r w:rsidR="00C83679">
        <w:rPr>
          <w:color w:val="000000" w:themeColor="text1"/>
        </w:rPr>
        <w:t xml:space="preserve"> </w:t>
      </w:r>
      <w:r w:rsidRPr="00B93A80">
        <w:rPr>
          <w:color w:val="000000" w:themeColor="text1"/>
        </w:rPr>
        <w:t>primary</w:t>
      </w:r>
      <w:r w:rsidR="00C83679">
        <w:rPr>
          <w:color w:val="000000" w:themeColor="text1"/>
        </w:rPr>
        <w:t xml:space="preserve"> </w:t>
      </w:r>
      <w:r w:rsidRPr="00B93A80">
        <w:rPr>
          <w:color w:val="000000" w:themeColor="text1"/>
        </w:rPr>
        <w:t>listing</w:t>
      </w:r>
      <w:r w:rsidR="00C83679">
        <w:rPr>
          <w:color w:val="000000" w:themeColor="text1"/>
        </w:rPr>
        <w:t xml:space="preserve"> </w:t>
      </w:r>
      <w:r w:rsidRPr="00B93A80">
        <w:rPr>
          <w:color w:val="000000" w:themeColor="text1"/>
        </w:rPr>
        <w:t>and</w:t>
      </w:r>
      <w:r w:rsidR="00C83679">
        <w:rPr>
          <w:color w:val="000000" w:themeColor="text1"/>
        </w:rPr>
        <w:t xml:space="preserve"> </w:t>
      </w:r>
      <w:r w:rsidR="00E552FB" w:rsidRPr="00B93A80">
        <w:rPr>
          <w:color w:val="000000" w:themeColor="text1"/>
        </w:rPr>
        <w:t>a</w:t>
      </w:r>
      <w:r w:rsidR="00C83679">
        <w:rPr>
          <w:color w:val="000000" w:themeColor="text1"/>
        </w:rPr>
        <w:t xml:space="preserve"> </w:t>
      </w:r>
      <w:r w:rsidR="00E552FB" w:rsidRPr="00B93A80">
        <w:rPr>
          <w:color w:val="000000" w:themeColor="text1"/>
        </w:rPr>
        <w:t>criminal</w:t>
      </w:r>
      <w:r w:rsidR="00C83679">
        <w:rPr>
          <w:color w:val="000000" w:themeColor="text1"/>
        </w:rPr>
        <w:t xml:space="preserve"> </w:t>
      </w:r>
      <w:r w:rsidR="00E552FB" w:rsidRPr="00B93A80">
        <w:rPr>
          <w:color w:val="000000" w:themeColor="text1"/>
        </w:rPr>
        <w:t>investigations</w:t>
      </w:r>
      <w:r w:rsidR="00C83679">
        <w:rPr>
          <w:color w:val="000000" w:themeColor="text1"/>
        </w:rPr>
        <w:t xml:space="preserve"> </w:t>
      </w:r>
      <w:r w:rsidR="00E552FB" w:rsidRPr="00B93A80">
        <w:rPr>
          <w:color w:val="000000" w:themeColor="text1"/>
        </w:rPr>
        <w:t>unit,</w:t>
      </w:r>
      <w:r w:rsidR="00C83679">
        <w:rPr>
          <w:color w:val="000000" w:themeColor="text1"/>
        </w:rPr>
        <w:t xml:space="preserve"> </w:t>
      </w:r>
      <w:r w:rsidR="00E552FB" w:rsidRPr="00B93A80">
        <w:rPr>
          <w:color w:val="000000" w:themeColor="text1"/>
        </w:rPr>
        <w:t>it</w:t>
      </w:r>
      <w:r w:rsidR="00C83679">
        <w:rPr>
          <w:color w:val="000000" w:themeColor="text1"/>
        </w:rPr>
        <w:t xml:space="preserve"> </w:t>
      </w:r>
      <w:r w:rsidRPr="00B93A80">
        <w:rPr>
          <w:color w:val="000000" w:themeColor="text1"/>
        </w:rPr>
        <w:t>was</w:t>
      </w:r>
      <w:r w:rsidR="00C83679">
        <w:rPr>
          <w:color w:val="000000" w:themeColor="text1"/>
        </w:rPr>
        <w:t xml:space="preserve"> </w:t>
      </w:r>
      <w:r w:rsidRPr="00B93A80">
        <w:rPr>
          <w:color w:val="000000" w:themeColor="text1"/>
        </w:rPr>
        <w:t>determined</w:t>
      </w:r>
      <w:r w:rsidR="00C83679">
        <w:rPr>
          <w:color w:val="000000" w:themeColor="text1"/>
        </w:rPr>
        <w:t xml:space="preserve"> </w:t>
      </w:r>
      <w:r w:rsidRPr="00B93A80">
        <w:rPr>
          <w:color w:val="000000" w:themeColor="text1"/>
        </w:rPr>
        <w:t>that</w:t>
      </w:r>
      <w:r w:rsidR="00C83679">
        <w:rPr>
          <w:color w:val="000000" w:themeColor="text1"/>
        </w:rPr>
        <w:t xml:space="preserve"> </w:t>
      </w:r>
      <w:r w:rsidRPr="00B93A80">
        <w:rPr>
          <w:color w:val="000000" w:themeColor="text1"/>
        </w:rPr>
        <w:t>only</w:t>
      </w:r>
      <w:r w:rsidR="00C83679">
        <w:rPr>
          <w:color w:val="000000" w:themeColor="text1"/>
        </w:rPr>
        <w:t xml:space="preserve"> </w:t>
      </w:r>
      <w:r w:rsidRPr="00B93A80">
        <w:rPr>
          <w:color w:val="000000" w:themeColor="text1"/>
        </w:rPr>
        <w:t>the</w:t>
      </w:r>
      <w:r w:rsidR="00C83679">
        <w:rPr>
          <w:color w:val="000000" w:themeColor="text1"/>
        </w:rPr>
        <w:t xml:space="preserve"> </w:t>
      </w:r>
      <w:r w:rsidRPr="00B93A80">
        <w:rPr>
          <w:color w:val="000000" w:themeColor="text1"/>
        </w:rPr>
        <w:t>main</w:t>
      </w:r>
      <w:r w:rsidR="00C83679">
        <w:rPr>
          <w:color w:val="000000" w:themeColor="text1"/>
        </w:rPr>
        <w:t xml:space="preserve"> </w:t>
      </w:r>
      <w:r w:rsidRPr="00B93A80">
        <w:rPr>
          <w:color w:val="000000" w:themeColor="text1"/>
        </w:rPr>
        <w:t>agency</w:t>
      </w:r>
      <w:r w:rsidR="00C83679">
        <w:rPr>
          <w:color w:val="000000" w:themeColor="text1"/>
        </w:rPr>
        <w:t xml:space="preserve"> </w:t>
      </w:r>
      <w:r w:rsidRPr="00B93A80">
        <w:rPr>
          <w:color w:val="000000" w:themeColor="text1"/>
        </w:rPr>
        <w:t>listing</w:t>
      </w:r>
      <w:r w:rsidR="00C83679">
        <w:rPr>
          <w:color w:val="000000" w:themeColor="text1"/>
        </w:rPr>
        <w:t xml:space="preserve"> </w:t>
      </w:r>
      <w:r w:rsidRPr="00B93A80">
        <w:rPr>
          <w:color w:val="000000" w:themeColor="text1"/>
        </w:rPr>
        <w:t>would</w:t>
      </w:r>
      <w:r w:rsidR="00C83679">
        <w:rPr>
          <w:color w:val="000000" w:themeColor="text1"/>
        </w:rPr>
        <w:t xml:space="preserve"> </w:t>
      </w:r>
      <w:r w:rsidRPr="00B93A80">
        <w:rPr>
          <w:color w:val="000000" w:themeColor="text1"/>
        </w:rPr>
        <w:t>be</w:t>
      </w:r>
      <w:r w:rsidR="00C83679">
        <w:rPr>
          <w:color w:val="000000" w:themeColor="text1"/>
        </w:rPr>
        <w:t xml:space="preserve"> </w:t>
      </w:r>
      <w:r w:rsidRPr="00B93A80">
        <w:rPr>
          <w:color w:val="000000" w:themeColor="text1"/>
        </w:rPr>
        <w:t>included,</w:t>
      </w:r>
      <w:r w:rsidR="00C83679">
        <w:rPr>
          <w:color w:val="000000" w:themeColor="text1"/>
        </w:rPr>
        <w:t xml:space="preserve"> </w:t>
      </w:r>
      <w:r w:rsidRPr="00B93A80">
        <w:rPr>
          <w:color w:val="000000" w:themeColor="text1"/>
        </w:rPr>
        <w:t>as</w:t>
      </w:r>
      <w:r w:rsidR="00C83679">
        <w:rPr>
          <w:color w:val="000000" w:themeColor="text1"/>
        </w:rPr>
        <w:t xml:space="preserve"> </w:t>
      </w:r>
      <w:r w:rsidRPr="00B93A80">
        <w:rPr>
          <w:color w:val="000000" w:themeColor="text1"/>
        </w:rPr>
        <w:t>it</w:t>
      </w:r>
      <w:r w:rsidR="00C83679">
        <w:rPr>
          <w:color w:val="000000" w:themeColor="text1"/>
        </w:rPr>
        <w:t xml:space="preserve"> </w:t>
      </w:r>
      <w:r w:rsidRPr="00B93A80">
        <w:rPr>
          <w:color w:val="000000" w:themeColor="text1"/>
        </w:rPr>
        <w:t>would</w:t>
      </w:r>
      <w:r w:rsidR="00C83679">
        <w:rPr>
          <w:color w:val="000000" w:themeColor="text1"/>
        </w:rPr>
        <w:t xml:space="preserve"> </w:t>
      </w:r>
      <w:r w:rsidRPr="00B93A80">
        <w:rPr>
          <w:color w:val="000000" w:themeColor="text1"/>
        </w:rPr>
        <w:t>encompass</w:t>
      </w:r>
      <w:r w:rsidR="00C83679">
        <w:rPr>
          <w:color w:val="000000" w:themeColor="text1"/>
        </w:rPr>
        <w:t xml:space="preserve"> </w:t>
      </w:r>
      <w:r w:rsidRPr="00B93A80">
        <w:rPr>
          <w:color w:val="000000" w:themeColor="text1"/>
        </w:rPr>
        <w:t>the</w:t>
      </w:r>
      <w:r w:rsidR="00C83679">
        <w:rPr>
          <w:color w:val="000000" w:themeColor="text1"/>
        </w:rPr>
        <w:t xml:space="preserve"> </w:t>
      </w:r>
      <w:r w:rsidRPr="00B93A80">
        <w:rPr>
          <w:color w:val="000000" w:themeColor="text1"/>
        </w:rPr>
        <w:t>investigations</w:t>
      </w:r>
      <w:r w:rsidR="00C83679">
        <w:rPr>
          <w:color w:val="000000" w:themeColor="text1"/>
        </w:rPr>
        <w:t xml:space="preserve"> </w:t>
      </w:r>
      <w:r w:rsidRPr="00B93A80">
        <w:rPr>
          <w:color w:val="000000" w:themeColor="text1"/>
        </w:rPr>
        <w:t>unit.</w:t>
      </w:r>
      <w:r w:rsidR="00C83679">
        <w:rPr>
          <w:color w:val="000000" w:themeColor="text1"/>
        </w:rPr>
        <w:t xml:space="preserve"> </w:t>
      </w:r>
      <w:r w:rsidR="0074569D">
        <w:rPr>
          <w:color w:val="000000" w:themeColor="text1"/>
        </w:rPr>
        <w:t>The CSLLEA is being conducted in 201</w:t>
      </w:r>
      <w:r w:rsidR="00EB1EFE">
        <w:rPr>
          <w:color w:val="000000" w:themeColor="text1"/>
        </w:rPr>
        <w:t>9</w:t>
      </w:r>
      <w:r w:rsidR="0074569D">
        <w:rPr>
          <w:color w:val="000000" w:themeColor="text1"/>
        </w:rPr>
        <w:t xml:space="preserve"> and the CTLEA universe will be updated with any new contact information or agencies found during the CSLLEA data collection. </w:t>
      </w:r>
      <w:r w:rsidR="00676BDF">
        <w:rPr>
          <w:color w:val="000000" w:themeColor="text1"/>
        </w:rPr>
        <w:t xml:space="preserve">The CSLLEA does not include </w:t>
      </w:r>
      <w:r w:rsidR="00E24E22" w:rsidRPr="00B93A80">
        <w:rPr>
          <w:color w:val="000000" w:themeColor="text1"/>
        </w:rPr>
        <w:t>federal</w:t>
      </w:r>
      <w:r w:rsidR="00C83679">
        <w:rPr>
          <w:color w:val="000000" w:themeColor="text1"/>
        </w:rPr>
        <w:t xml:space="preserve"> </w:t>
      </w:r>
      <w:r w:rsidR="00E24E22" w:rsidRPr="00B93A80">
        <w:rPr>
          <w:color w:val="000000" w:themeColor="text1"/>
        </w:rPr>
        <w:t>agencies</w:t>
      </w:r>
      <w:r w:rsidR="00C83679">
        <w:rPr>
          <w:color w:val="000000" w:themeColor="text1"/>
        </w:rPr>
        <w:t xml:space="preserve"> </w:t>
      </w:r>
      <w:r w:rsidR="00B93A80">
        <w:rPr>
          <w:color w:val="000000" w:themeColor="text1"/>
        </w:rPr>
        <w:t>(e.g.</w:t>
      </w:r>
      <w:r w:rsidR="00844A32">
        <w:rPr>
          <w:color w:val="000000" w:themeColor="text1"/>
        </w:rPr>
        <w:t>, the</w:t>
      </w:r>
      <w:r w:rsidR="00C83679">
        <w:rPr>
          <w:color w:val="000000" w:themeColor="text1"/>
        </w:rPr>
        <w:t xml:space="preserve"> </w:t>
      </w:r>
      <w:r w:rsidR="00E24E22" w:rsidRPr="00B93A80">
        <w:rPr>
          <w:color w:val="000000" w:themeColor="text1"/>
        </w:rPr>
        <w:t>Bureau</w:t>
      </w:r>
      <w:r w:rsidR="00C83679">
        <w:rPr>
          <w:color w:val="000000" w:themeColor="text1"/>
        </w:rPr>
        <w:t xml:space="preserve"> </w:t>
      </w:r>
      <w:r w:rsidR="00E24E22" w:rsidRPr="00B93A80">
        <w:rPr>
          <w:color w:val="000000" w:themeColor="text1"/>
        </w:rPr>
        <w:t>of</w:t>
      </w:r>
      <w:r w:rsidR="00C83679">
        <w:rPr>
          <w:color w:val="000000" w:themeColor="text1"/>
        </w:rPr>
        <w:t xml:space="preserve"> </w:t>
      </w:r>
      <w:r w:rsidR="00E24E22" w:rsidRPr="00B93A80">
        <w:rPr>
          <w:color w:val="000000" w:themeColor="text1"/>
        </w:rPr>
        <w:t>Indian</w:t>
      </w:r>
      <w:r w:rsidR="00C83679">
        <w:rPr>
          <w:color w:val="000000" w:themeColor="text1"/>
        </w:rPr>
        <w:t xml:space="preserve"> </w:t>
      </w:r>
      <w:r w:rsidR="00E24E22" w:rsidRPr="00B93A80">
        <w:rPr>
          <w:color w:val="000000" w:themeColor="text1"/>
        </w:rPr>
        <w:t>Affairs</w:t>
      </w:r>
      <w:r w:rsidR="00C83679">
        <w:rPr>
          <w:color w:val="000000" w:themeColor="text1"/>
        </w:rPr>
        <w:t xml:space="preserve"> </w:t>
      </w:r>
      <w:r w:rsidR="00E24E22" w:rsidRPr="00B93A80">
        <w:rPr>
          <w:color w:val="000000" w:themeColor="text1"/>
        </w:rPr>
        <w:t>police</w:t>
      </w:r>
      <w:r w:rsidR="00C83679">
        <w:rPr>
          <w:color w:val="000000" w:themeColor="text1"/>
        </w:rPr>
        <w:t xml:space="preserve"> </w:t>
      </w:r>
      <w:r w:rsidR="00E24E22" w:rsidRPr="00B93A80">
        <w:rPr>
          <w:color w:val="000000" w:themeColor="text1"/>
        </w:rPr>
        <w:t>agencies</w:t>
      </w:r>
      <w:r w:rsidR="00B93A80">
        <w:rPr>
          <w:color w:val="000000" w:themeColor="text1"/>
        </w:rPr>
        <w:t>)</w:t>
      </w:r>
      <w:r w:rsidR="00E24E22" w:rsidRPr="00B93A80">
        <w:rPr>
          <w:color w:val="000000" w:themeColor="text1"/>
        </w:rPr>
        <w:t>.</w:t>
      </w:r>
    </w:p>
    <w:p w14:paraId="63E73B80" w14:textId="651C8639" w:rsidR="00C17D6A" w:rsidRPr="00D47D6B" w:rsidRDefault="00263008" w:rsidP="00D901A8">
      <w:pPr>
        <w:pStyle w:val="ListParagraph"/>
        <w:numPr>
          <w:ilvl w:val="0"/>
          <w:numId w:val="3"/>
        </w:numPr>
        <w:rPr>
          <w:color w:val="000000" w:themeColor="text1"/>
        </w:rPr>
      </w:pPr>
      <w:r>
        <w:rPr>
          <w:b/>
          <w:color w:val="000000" w:themeColor="text1"/>
        </w:rPr>
        <w:t>BIA</w:t>
      </w:r>
      <w:r w:rsidR="00C83679">
        <w:rPr>
          <w:b/>
          <w:color w:val="000000" w:themeColor="text1"/>
        </w:rPr>
        <w:t xml:space="preserve"> </w:t>
      </w:r>
      <w:r w:rsidR="00C17D6A" w:rsidRPr="00D47D6B">
        <w:rPr>
          <w:b/>
          <w:color w:val="000000" w:themeColor="text1"/>
        </w:rPr>
        <w:t>Office</w:t>
      </w:r>
      <w:r w:rsidR="00C83679">
        <w:rPr>
          <w:b/>
          <w:color w:val="000000" w:themeColor="text1"/>
        </w:rPr>
        <w:t xml:space="preserve"> </w:t>
      </w:r>
      <w:r w:rsidR="00C17D6A" w:rsidRPr="00D47D6B">
        <w:rPr>
          <w:b/>
          <w:color w:val="000000" w:themeColor="text1"/>
        </w:rPr>
        <w:t>of</w:t>
      </w:r>
      <w:r w:rsidR="00C83679">
        <w:rPr>
          <w:b/>
          <w:color w:val="000000" w:themeColor="text1"/>
        </w:rPr>
        <w:t xml:space="preserve"> </w:t>
      </w:r>
      <w:r w:rsidR="00C17D6A" w:rsidRPr="00D47D6B">
        <w:rPr>
          <w:b/>
          <w:color w:val="000000" w:themeColor="text1"/>
        </w:rPr>
        <w:t>Justice</w:t>
      </w:r>
      <w:r w:rsidR="00C83679">
        <w:rPr>
          <w:b/>
          <w:color w:val="000000" w:themeColor="text1"/>
        </w:rPr>
        <w:t xml:space="preserve"> </w:t>
      </w:r>
      <w:r w:rsidR="00C17D6A" w:rsidRPr="00D47D6B">
        <w:rPr>
          <w:b/>
          <w:color w:val="000000" w:themeColor="text1"/>
        </w:rPr>
        <w:t>Services</w:t>
      </w:r>
      <w:r>
        <w:rPr>
          <w:b/>
          <w:color w:val="000000" w:themeColor="text1"/>
        </w:rPr>
        <w:t>’</w:t>
      </w:r>
      <w:r w:rsidR="00C83679">
        <w:rPr>
          <w:b/>
          <w:color w:val="000000" w:themeColor="text1"/>
        </w:rPr>
        <w:t xml:space="preserve"> </w:t>
      </w:r>
      <w:r w:rsidR="00E24E22">
        <w:rPr>
          <w:b/>
          <w:color w:val="000000" w:themeColor="text1"/>
        </w:rPr>
        <w:t>Law</w:t>
      </w:r>
      <w:r w:rsidR="00C83679">
        <w:rPr>
          <w:b/>
          <w:color w:val="000000" w:themeColor="text1"/>
        </w:rPr>
        <w:t xml:space="preserve"> </w:t>
      </w:r>
      <w:r w:rsidR="00E24E22">
        <w:rPr>
          <w:b/>
          <w:color w:val="000000" w:themeColor="text1"/>
        </w:rPr>
        <w:t>Enforcement</w:t>
      </w:r>
      <w:r w:rsidR="00C83679">
        <w:rPr>
          <w:b/>
          <w:color w:val="000000" w:themeColor="text1"/>
        </w:rPr>
        <w:t xml:space="preserve"> </w:t>
      </w:r>
      <w:r w:rsidR="00C17D6A" w:rsidRPr="00D47D6B">
        <w:rPr>
          <w:b/>
          <w:color w:val="000000" w:themeColor="text1"/>
        </w:rPr>
        <w:t>Directory</w:t>
      </w:r>
      <w:r w:rsidR="00C83679">
        <w:rPr>
          <w:color w:val="000000" w:themeColor="text1"/>
        </w:rPr>
        <w:t xml:space="preserve"> </w:t>
      </w:r>
      <w:r w:rsidR="00C17D6A" w:rsidRPr="00D47D6B">
        <w:rPr>
          <w:color w:val="000000" w:themeColor="text1"/>
        </w:rPr>
        <w:t>–</w:t>
      </w:r>
      <w:r w:rsidR="00C83679">
        <w:rPr>
          <w:color w:val="000000" w:themeColor="text1"/>
        </w:rPr>
        <w:t xml:space="preserve"> </w:t>
      </w:r>
      <w:r w:rsidR="00C17D6A" w:rsidRPr="00D47D6B">
        <w:rPr>
          <w:color w:val="000000" w:themeColor="text1"/>
        </w:rPr>
        <w:t>Through</w:t>
      </w:r>
      <w:r w:rsidR="00C83679">
        <w:rPr>
          <w:color w:val="000000" w:themeColor="text1"/>
        </w:rPr>
        <w:t xml:space="preserve"> </w:t>
      </w:r>
      <w:r w:rsidR="00E24E22">
        <w:rPr>
          <w:color w:val="000000" w:themeColor="text1"/>
        </w:rPr>
        <w:t>its</w:t>
      </w:r>
      <w:r w:rsidR="00C83679">
        <w:rPr>
          <w:color w:val="000000" w:themeColor="text1"/>
        </w:rPr>
        <w:t xml:space="preserve"> </w:t>
      </w:r>
      <w:r w:rsidR="00C17D6A" w:rsidRPr="00D47D6B">
        <w:rPr>
          <w:color w:val="000000" w:themeColor="text1"/>
        </w:rPr>
        <w:t>work</w:t>
      </w:r>
      <w:r w:rsidR="00C83679">
        <w:rPr>
          <w:color w:val="000000" w:themeColor="text1"/>
        </w:rPr>
        <w:t xml:space="preserve"> </w:t>
      </w:r>
      <w:r w:rsidR="00C17D6A" w:rsidRPr="00D47D6B">
        <w:rPr>
          <w:color w:val="000000" w:themeColor="text1"/>
        </w:rPr>
        <w:t>with</w:t>
      </w:r>
      <w:r w:rsidR="00C83679">
        <w:rPr>
          <w:color w:val="000000" w:themeColor="text1"/>
        </w:rPr>
        <w:t xml:space="preserve"> </w:t>
      </w:r>
      <w:r w:rsidR="00C17D6A" w:rsidRPr="00D47D6B">
        <w:rPr>
          <w:color w:val="000000" w:themeColor="text1"/>
        </w:rPr>
        <w:t>the</w:t>
      </w:r>
      <w:r w:rsidR="00C83679">
        <w:rPr>
          <w:color w:val="000000" w:themeColor="text1"/>
        </w:rPr>
        <w:t xml:space="preserve"> </w:t>
      </w:r>
      <w:r w:rsidR="00C17D6A" w:rsidRPr="00D47D6B">
        <w:rPr>
          <w:color w:val="000000" w:themeColor="text1"/>
        </w:rPr>
        <w:t>Indian</w:t>
      </w:r>
      <w:r w:rsidR="00C83679">
        <w:rPr>
          <w:color w:val="000000" w:themeColor="text1"/>
        </w:rPr>
        <w:t xml:space="preserve"> </w:t>
      </w:r>
      <w:r w:rsidR="00C17D6A" w:rsidRPr="00D47D6B">
        <w:rPr>
          <w:color w:val="000000" w:themeColor="text1"/>
        </w:rPr>
        <w:t>Country</w:t>
      </w:r>
      <w:r w:rsidR="00C83679">
        <w:rPr>
          <w:color w:val="000000" w:themeColor="text1"/>
        </w:rPr>
        <w:t xml:space="preserve"> </w:t>
      </w:r>
      <w:r w:rsidR="00C17D6A" w:rsidRPr="00D47D6B">
        <w:rPr>
          <w:color w:val="000000" w:themeColor="text1"/>
        </w:rPr>
        <w:t>Law</w:t>
      </w:r>
      <w:r w:rsidR="00C83679">
        <w:rPr>
          <w:color w:val="000000" w:themeColor="text1"/>
        </w:rPr>
        <w:t xml:space="preserve"> </w:t>
      </w:r>
      <w:r w:rsidR="00C17D6A" w:rsidRPr="00D47D6B">
        <w:rPr>
          <w:color w:val="000000" w:themeColor="text1"/>
        </w:rPr>
        <w:t>Enforcement</w:t>
      </w:r>
      <w:r w:rsidR="00C83679">
        <w:rPr>
          <w:color w:val="000000" w:themeColor="text1"/>
        </w:rPr>
        <w:t xml:space="preserve"> </w:t>
      </w:r>
      <w:r w:rsidR="00C17D6A" w:rsidRPr="00D47D6B">
        <w:rPr>
          <w:color w:val="000000" w:themeColor="text1"/>
        </w:rPr>
        <w:t>Section,</w:t>
      </w:r>
      <w:r w:rsidR="00C83679">
        <w:rPr>
          <w:color w:val="000000" w:themeColor="text1"/>
        </w:rPr>
        <w:t xml:space="preserve"> </w:t>
      </w:r>
      <w:r w:rsidR="00C17D6A" w:rsidRPr="00D47D6B">
        <w:rPr>
          <w:color w:val="000000" w:themeColor="text1"/>
        </w:rPr>
        <w:t>IACP</w:t>
      </w:r>
      <w:r w:rsidR="00C83679">
        <w:rPr>
          <w:color w:val="000000" w:themeColor="text1"/>
        </w:rPr>
        <w:t xml:space="preserve"> </w:t>
      </w:r>
      <w:r w:rsidR="00C5740C">
        <w:rPr>
          <w:color w:val="000000" w:themeColor="text1"/>
        </w:rPr>
        <w:t xml:space="preserve">obtained </w:t>
      </w:r>
      <w:r w:rsidR="00714F71">
        <w:rPr>
          <w:color w:val="000000" w:themeColor="text1"/>
        </w:rPr>
        <w:t>the 2015</w:t>
      </w:r>
      <w:r w:rsidR="00C83679">
        <w:rPr>
          <w:color w:val="000000" w:themeColor="text1"/>
        </w:rPr>
        <w:t xml:space="preserve"> </w:t>
      </w:r>
      <w:r w:rsidR="00C17D6A" w:rsidRPr="00D47D6B">
        <w:rPr>
          <w:color w:val="000000" w:themeColor="text1"/>
        </w:rPr>
        <w:t>directory</w:t>
      </w:r>
      <w:r w:rsidR="00C83679">
        <w:rPr>
          <w:color w:val="000000" w:themeColor="text1"/>
        </w:rPr>
        <w:t xml:space="preserve"> </w:t>
      </w:r>
      <w:r w:rsidR="00C17D6A" w:rsidRPr="00D47D6B">
        <w:rPr>
          <w:color w:val="000000" w:themeColor="text1"/>
        </w:rPr>
        <w:t>of</w:t>
      </w:r>
      <w:r w:rsidR="00C83679">
        <w:rPr>
          <w:color w:val="000000" w:themeColor="text1"/>
        </w:rPr>
        <w:t xml:space="preserve"> </w:t>
      </w:r>
      <w:r w:rsidR="00C17D6A" w:rsidRPr="00D47D6B">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00C17D6A" w:rsidRPr="00D47D6B">
        <w:rPr>
          <w:color w:val="000000" w:themeColor="text1"/>
        </w:rPr>
        <w:t>agencies</w:t>
      </w:r>
      <w:r w:rsidR="00C83679">
        <w:rPr>
          <w:color w:val="000000" w:themeColor="text1"/>
        </w:rPr>
        <w:t xml:space="preserve"> </w:t>
      </w:r>
      <w:r w:rsidR="00C17D6A" w:rsidRPr="00D47D6B">
        <w:rPr>
          <w:color w:val="000000" w:themeColor="text1"/>
        </w:rPr>
        <w:t>from</w:t>
      </w:r>
      <w:r w:rsidR="00C83679">
        <w:rPr>
          <w:color w:val="000000" w:themeColor="text1"/>
        </w:rPr>
        <w:t xml:space="preserve"> </w:t>
      </w:r>
      <w:r w:rsidR="00C17D6A" w:rsidRPr="00D47D6B">
        <w:rPr>
          <w:color w:val="000000" w:themeColor="text1"/>
        </w:rPr>
        <w:t>the</w:t>
      </w:r>
      <w:r w:rsidR="00C83679">
        <w:rPr>
          <w:color w:val="000000" w:themeColor="text1"/>
        </w:rPr>
        <w:t xml:space="preserve"> </w:t>
      </w:r>
      <w:r w:rsidR="00C17D6A" w:rsidRPr="00D47D6B">
        <w:rPr>
          <w:color w:val="000000" w:themeColor="text1"/>
        </w:rPr>
        <w:t>BIA</w:t>
      </w:r>
      <w:r w:rsidR="00C83679">
        <w:rPr>
          <w:color w:val="000000" w:themeColor="text1"/>
        </w:rPr>
        <w:t xml:space="preserve"> </w:t>
      </w:r>
      <w:r w:rsidR="00C17D6A" w:rsidRPr="00D47D6B">
        <w:rPr>
          <w:color w:val="000000" w:themeColor="text1"/>
        </w:rPr>
        <w:t>Office</w:t>
      </w:r>
      <w:r w:rsidR="00C83679">
        <w:rPr>
          <w:color w:val="000000" w:themeColor="text1"/>
        </w:rPr>
        <w:t xml:space="preserve"> </w:t>
      </w:r>
      <w:r w:rsidR="00C17D6A" w:rsidRPr="00D47D6B">
        <w:rPr>
          <w:color w:val="000000" w:themeColor="text1"/>
        </w:rPr>
        <w:t>of</w:t>
      </w:r>
      <w:r w:rsidR="00C83679">
        <w:rPr>
          <w:color w:val="000000" w:themeColor="text1"/>
        </w:rPr>
        <w:t xml:space="preserve"> </w:t>
      </w:r>
      <w:r w:rsidR="00C17D6A" w:rsidRPr="00D47D6B">
        <w:rPr>
          <w:color w:val="000000" w:themeColor="text1"/>
        </w:rPr>
        <w:t>Justice</w:t>
      </w:r>
      <w:r w:rsidR="00C83679">
        <w:rPr>
          <w:color w:val="000000" w:themeColor="text1"/>
        </w:rPr>
        <w:t xml:space="preserve"> </w:t>
      </w:r>
      <w:r w:rsidR="00C17D6A" w:rsidRPr="00D47D6B">
        <w:rPr>
          <w:color w:val="000000" w:themeColor="text1"/>
        </w:rPr>
        <w:t>Services.</w:t>
      </w:r>
      <w:r w:rsidR="00C83679">
        <w:rPr>
          <w:color w:val="000000" w:themeColor="text1"/>
        </w:rPr>
        <w:t xml:space="preserve"> </w:t>
      </w:r>
      <w:r w:rsidR="00C17D6A" w:rsidRPr="00D47D6B">
        <w:rPr>
          <w:color w:val="000000" w:themeColor="text1"/>
        </w:rPr>
        <w:t>This</w:t>
      </w:r>
      <w:r w:rsidR="00C83679">
        <w:rPr>
          <w:color w:val="000000" w:themeColor="text1"/>
        </w:rPr>
        <w:t xml:space="preserve"> </w:t>
      </w:r>
      <w:r w:rsidR="00C17D6A" w:rsidRPr="00D47D6B">
        <w:rPr>
          <w:color w:val="000000" w:themeColor="text1"/>
        </w:rPr>
        <w:t>directory</w:t>
      </w:r>
      <w:r w:rsidR="00C83679">
        <w:rPr>
          <w:color w:val="000000" w:themeColor="text1"/>
        </w:rPr>
        <w:t xml:space="preserve"> </w:t>
      </w:r>
      <w:r w:rsidR="00C17D6A" w:rsidRPr="00D47D6B">
        <w:rPr>
          <w:color w:val="000000" w:themeColor="text1"/>
        </w:rPr>
        <w:t>included</w:t>
      </w:r>
      <w:r w:rsidR="00C83679">
        <w:rPr>
          <w:color w:val="000000" w:themeColor="text1"/>
        </w:rPr>
        <w:t xml:space="preserve"> </w:t>
      </w:r>
      <w:r w:rsidR="00C17D6A" w:rsidRPr="00D47D6B">
        <w:rPr>
          <w:color w:val="000000" w:themeColor="text1"/>
        </w:rPr>
        <w:t>BIA</w:t>
      </w:r>
      <w:r w:rsidR="00C83679">
        <w:rPr>
          <w:color w:val="000000" w:themeColor="text1"/>
        </w:rPr>
        <w:t xml:space="preserve"> </w:t>
      </w:r>
      <w:r w:rsidR="00C17D6A" w:rsidRPr="00D47D6B">
        <w:rPr>
          <w:color w:val="000000" w:themeColor="text1"/>
        </w:rPr>
        <w:t>direct</w:t>
      </w:r>
      <w:r w:rsidR="00C83679">
        <w:rPr>
          <w:color w:val="000000" w:themeColor="text1"/>
        </w:rPr>
        <w:t xml:space="preserve"> </w:t>
      </w:r>
      <w:r w:rsidR="00C17D6A" w:rsidRPr="00D47D6B">
        <w:rPr>
          <w:color w:val="000000" w:themeColor="text1"/>
        </w:rPr>
        <w:t>service</w:t>
      </w:r>
      <w:r w:rsidR="00C83679">
        <w:rPr>
          <w:color w:val="000000" w:themeColor="text1"/>
        </w:rPr>
        <w:t xml:space="preserve"> </w:t>
      </w:r>
      <w:r w:rsidR="00C17D6A" w:rsidRPr="00D47D6B">
        <w:rPr>
          <w:color w:val="000000" w:themeColor="text1"/>
        </w:rPr>
        <w:t>agencies,</w:t>
      </w:r>
      <w:r w:rsidR="00C83679">
        <w:rPr>
          <w:color w:val="000000" w:themeColor="text1"/>
        </w:rPr>
        <w:t xml:space="preserve"> </w:t>
      </w:r>
      <w:r w:rsidR="00C17D6A" w:rsidRPr="00D47D6B">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00C17D6A" w:rsidRPr="00D47D6B">
        <w:rPr>
          <w:color w:val="000000" w:themeColor="text1"/>
        </w:rPr>
        <w:t>agencies,</w:t>
      </w:r>
      <w:r w:rsidR="00C83679">
        <w:rPr>
          <w:color w:val="000000" w:themeColor="text1"/>
        </w:rPr>
        <w:t xml:space="preserve"> </w:t>
      </w:r>
      <w:r w:rsidR="00C17D6A" w:rsidRPr="00D47D6B">
        <w:rPr>
          <w:color w:val="000000" w:themeColor="text1"/>
        </w:rPr>
        <w:t>and</w:t>
      </w:r>
      <w:r w:rsidR="00C83679">
        <w:rPr>
          <w:color w:val="000000" w:themeColor="text1"/>
        </w:rPr>
        <w:t xml:space="preserve"> </w:t>
      </w:r>
      <w:r w:rsidR="00C17D6A" w:rsidRPr="00D47D6B">
        <w:rPr>
          <w:color w:val="000000" w:themeColor="text1"/>
        </w:rPr>
        <w:t>tribal</w:t>
      </w:r>
      <w:r w:rsidR="00C83679">
        <w:rPr>
          <w:color w:val="000000" w:themeColor="text1"/>
        </w:rPr>
        <w:t xml:space="preserve"> </w:t>
      </w:r>
      <w:r w:rsidR="00C17D6A" w:rsidRPr="00D47D6B">
        <w:rPr>
          <w:color w:val="000000" w:themeColor="text1"/>
        </w:rPr>
        <w:t>conservation</w:t>
      </w:r>
      <w:r w:rsidR="00C83679">
        <w:rPr>
          <w:color w:val="000000" w:themeColor="text1"/>
        </w:rPr>
        <w:t xml:space="preserve"> </w:t>
      </w:r>
      <w:r w:rsidR="00C17D6A" w:rsidRPr="00D47D6B">
        <w:rPr>
          <w:color w:val="000000" w:themeColor="text1"/>
        </w:rPr>
        <w:t>agencies</w:t>
      </w:r>
      <w:r w:rsidR="00C83679">
        <w:rPr>
          <w:color w:val="000000" w:themeColor="text1"/>
        </w:rPr>
        <w:t xml:space="preserve"> </w:t>
      </w:r>
      <w:r w:rsidR="00C17D6A" w:rsidRPr="00D47D6B">
        <w:rPr>
          <w:color w:val="000000" w:themeColor="text1"/>
        </w:rPr>
        <w:t>with</w:t>
      </w:r>
      <w:r w:rsidR="00C83679">
        <w:rPr>
          <w:color w:val="000000" w:themeColor="text1"/>
        </w:rPr>
        <w:t xml:space="preserve"> </w:t>
      </w:r>
      <w:r w:rsidR="00C17D6A" w:rsidRPr="00D47D6B">
        <w:rPr>
          <w:color w:val="000000" w:themeColor="text1"/>
        </w:rPr>
        <w:t>a</w:t>
      </w:r>
      <w:r w:rsidR="00C83679">
        <w:rPr>
          <w:color w:val="000000" w:themeColor="text1"/>
        </w:rPr>
        <w:t xml:space="preserve"> </w:t>
      </w:r>
      <w:r w:rsidR="00C17D6A" w:rsidRPr="00D47D6B">
        <w:rPr>
          <w:color w:val="000000" w:themeColor="text1"/>
        </w:rPr>
        <w:t>law</w:t>
      </w:r>
      <w:r w:rsidR="00C83679">
        <w:rPr>
          <w:color w:val="000000" w:themeColor="text1"/>
        </w:rPr>
        <w:t xml:space="preserve"> </w:t>
      </w:r>
      <w:r w:rsidR="00C17D6A" w:rsidRPr="00D47D6B">
        <w:rPr>
          <w:color w:val="000000" w:themeColor="text1"/>
        </w:rPr>
        <w:t>enforcement</w:t>
      </w:r>
      <w:r w:rsidR="00C83679">
        <w:rPr>
          <w:color w:val="000000" w:themeColor="text1"/>
        </w:rPr>
        <w:t xml:space="preserve"> </w:t>
      </w:r>
      <w:r w:rsidR="00C17D6A" w:rsidRPr="00D47D6B">
        <w:rPr>
          <w:color w:val="000000" w:themeColor="text1"/>
        </w:rPr>
        <w:t>function.</w:t>
      </w:r>
      <w:r w:rsidR="0094113F">
        <w:rPr>
          <w:color w:val="000000" w:themeColor="text1"/>
        </w:rPr>
        <w:t xml:space="preserve"> </w:t>
      </w:r>
    </w:p>
    <w:p w14:paraId="38E28906" w14:textId="6BA218D9" w:rsidR="00C17D6A" w:rsidRPr="00C87E0F" w:rsidRDefault="00C17D6A" w:rsidP="00D901A8">
      <w:pPr>
        <w:pStyle w:val="ListParagraph"/>
        <w:numPr>
          <w:ilvl w:val="0"/>
          <w:numId w:val="3"/>
        </w:numPr>
        <w:rPr>
          <w:color w:val="000000" w:themeColor="text1"/>
        </w:rPr>
      </w:pPr>
      <w:r w:rsidRPr="00D47D6B">
        <w:rPr>
          <w:b/>
          <w:color w:val="000000" w:themeColor="text1"/>
        </w:rPr>
        <w:t>FBI</w:t>
      </w:r>
      <w:r w:rsidR="00C83679">
        <w:rPr>
          <w:b/>
          <w:color w:val="000000" w:themeColor="text1"/>
        </w:rPr>
        <w:t xml:space="preserve"> </w:t>
      </w:r>
      <w:r w:rsidRPr="00D47D6B">
        <w:rPr>
          <w:b/>
          <w:color w:val="000000" w:themeColor="text1"/>
        </w:rPr>
        <w:t>Tribal</w:t>
      </w:r>
      <w:r w:rsidR="00C83679">
        <w:rPr>
          <w:b/>
          <w:color w:val="000000" w:themeColor="text1"/>
        </w:rPr>
        <w:t xml:space="preserve"> </w:t>
      </w:r>
      <w:r w:rsidRPr="00D47D6B">
        <w:rPr>
          <w:b/>
          <w:color w:val="000000" w:themeColor="text1"/>
        </w:rPr>
        <w:t>Law</w:t>
      </w:r>
      <w:r w:rsidR="00C83679">
        <w:rPr>
          <w:b/>
          <w:color w:val="000000" w:themeColor="text1"/>
        </w:rPr>
        <w:t xml:space="preserve"> </w:t>
      </w:r>
      <w:r w:rsidRPr="00D47D6B">
        <w:rPr>
          <w:b/>
          <w:color w:val="000000" w:themeColor="text1"/>
        </w:rPr>
        <w:t>Enforcement</w:t>
      </w:r>
      <w:r w:rsidR="00C83679">
        <w:rPr>
          <w:b/>
          <w:color w:val="000000" w:themeColor="text1"/>
        </w:rPr>
        <w:t xml:space="preserve"> </w:t>
      </w:r>
      <w:r w:rsidRPr="00D47D6B">
        <w:rPr>
          <w:b/>
          <w:color w:val="000000" w:themeColor="text1"/>
        </w:rPr>
        <w:t>and</w:t>
      </w:r>
      <w:r w:rsidR="00C83679">
        <w:rPr>
          <w:b/>
          <w:color w:val="000000" w:themeColor="text1"/>
        </w:rPr>
        <w:t xml:space="preserve"> </w:t>
      </w:r>
      <w:r w:rsidRPr="00D47D6B">
        <w:rPr>
          <w:b/>
          <w:color w:val="000000" w:themeColor="text1"/>
        </w:rPr>
        <w:t>Justice</w:t>
      </w:r>
      <w:r w:rsidR="00C83679">
        <w:rPr>
          <w:b/>
          <w:color w:val="000000" w:themeColor="text1"/>
        </w:rPr>
        <w:t xml:space="preserve"> </w:t>
      </w:r>
      <w:r w:rsidRPr="00D47D6B">
        <w:rPr>
          <w:b/>
          <w:color w:val="000000" w:themeColor="text1"/>
        </w:rPr>
        <w:t>Agencies</w:t>
      </w:r>
      <w:r w:rsidR="00C83679">
        <w:rPr>
          <w:b/>
          <w:color w:val="000000" w:themeColor="text1"/>
        </w:rPr>
        <w:t xml:space="preserve"> </w:t>
      </w:r>
      <w:r w:rsidRPr="00D47D6B">
        <w:rPr>
          <w:b/>
          <w:color w:val="000000" w:themeColor="text1"/>
        </w:rPr>
        <w:t>Lists</w:t>
      </w:r>
      <w:r w:rsidR="00C83679">
        <w:rPr>
          <w:color w:val="000000" w:themeColor="text1"/>
        </w:rPr>
        <w:t xml:space="preserve"> </w:t>
      </w:r>
      <w:r w:rsidRPr="00D47D6B">
        <w:rPr>
          <w:color w:val="000000" w:themeColor="text1"/>
        </w:rPr>
        <w:t>–</w:t>
      </w:r>
      <w:r w:rsidR="00C83679">
        <w:rPr>
          <w:color w:val="000000" w:themeColor="text1"/>
        </w:rPr>
        <w:t xml:space="preserve"> </w:t>
      </w:r>
      <w:r w:rsidRPr="00D47D6B">
        <w:rPr>
          <w:color w:val="000000" w:themeColor="text1"/>
        </w:rPr>
        <w:t>The</w:t>
      </w:r>
      <w:r w:rsidR="00C83679">
        <w:rPr>
          <w:color w:val="000000" w:themeColor="text1"/>
        </w:rPr>
        <w:t xml:space="preserve"> </w:t>
      </w:r>
      <w:r w:rsidR="00EB1EFE">
        <w:rPr>
          <w:color w:val="000000" w:themeColor="text1"/>
        </w:rPr>
        <w:t>Federal Bureau of Investigation (</w:t>
      </w:r>
      <w:r w:rsidRPr="00D47D6B">
        <w:rPr>
          <w:color w:val="000000" w:themeColor="text1"/>
        </w:rPr>
        <w:t>FBI</w:t>
      </w:r>
      <w:r w:rsidR="00EB1EFE">
        <w:rPr>
          <w:color w:val="000000" w:themeColor="text1"/>
        </w:rPr>
        <w:t>)</w:t>
      </w:r>
      <w:r w:rsidR="00C83679">
        <w:rPr>
          <w:color w:val="000000" w:themeColor="text1"/>
        </w:rPr>
        <w:t xml:space="preserve"> </w:t>
      </w:r>
      <w:r w:rsidRPr="00D47D6B">
        <w:rPr>
          <w:color w:val="000000" w:themeColor="text1"/>
        </w:rPr>
        <w:t>provided</w:t>
      </w:r>
      <w:r w:rsidR="00C83679">
        <w:rPr>
          <w:color w:val="000000" w:themeColor="text1"/>
        </w:rPr>
        <w:t xml:space="preserve"> </w:t>
      </w:r>
      <w:r w:rsidRPr="00D47D6B">
        <w:rPr>
          <w:color w:val="000000" w:themeColor="text1"/>
        </w:rPr>
        <w:t>BJS</w:t>
      </w:r>
      <w:r w:rsidR="00C83679">
        <w:rPr>
          <w:color w:val="000000" w:themeColor="text1"/>
        </w:rPr>
        <w:t xml:space="preserve"> </w:t>
      </w:r>
      <w:r w:rsidRPr="00D47D6B">
        <w:rPr>
          <w:color w:val="000000" w:themeColor="text1"/>
        </w:rPr>
        <w:t>with</w:t>
      </w:r>
      <w:r w:rsidR="00C83679">
        <w:rPr>
          <w:color w:val="000000" w:themeColor="text1"/>
        </w:rPr>
        <w:t xml:space="preserve"> </w:t>
      </w:r>
      <w:r w:rsidRPr="00D47D6B">
        <w:rPr>
          <w:color w:val="000000" w:themeColor="text1"/>
        </w:rPr>
        <w:t>t</w:t>
      </w:r>
      <w:r>
        <w:rPr>
          <w:color w:val="000000" w:themeColor="text1"/>
        </w:rPr>
        <w:t>hree</w:t>
      </w:r>
      <w:r w:rsidR="00C83679">
        <w:rPr>
          <w:color w:val="000000" w:themeColor="text1"/>
        </w:rPr>
        <w:t xml:space="preserve"> </w:t>
      </w:r>
      <w:r w:rsidRPr="00D47D6B">
        <w:rPr>
          <w:color w:val="000000" w:themeColor="text1"/>
        </w:rPr>
        <w:t>lists,</w:t>
      </w:r>
      <w:r w:rsidR="00C83679">
        <w:rPr>
          <w:color w:val="000000" w:themeColor="text1"/>
        </w:rPr>
        <w:t xml:space="preserve"> </w:t>
      </w:r>
      <w:r w:rsidRPr="00D47D6B">
        <w:rPr>
          <w:color w:val="000000" w:themeColor="text1"/>
        </w:rPr>
        <w:t>one</w:t>
      </w:r>
      <w:r w:rsidR="00C83679">
        <w:rPr>
          <w:color w:val="000000" w:themeColor="text1"/>
        </w:rPr>
        <w:t xml:space="preserve"> </w:t>
      </w:r>
      <w:r w:rsidRPr="00D47D6B">
        <w:rPr>
          <w:color w:val="000000" w:themeColor="text1"/>
        </w:rPr>
        <w:t>of</w:t>
      </w:r>
      <w:r w:rsidR="00C83679">
        <w:rPr>
          <w:color w:val="000000" w:themeColor="text1"/>
        </w:rPr>
        <w:t xml:space="preserve"> </w:t>
      </w:r>
      <w:r w:rsidRPr="00D47D6B">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Pr="00D47D6B">
        <w:rPr>
          <w:color w:val="000000" w:themeColor="text1"/>
        </w:rPr>
        <w:t>agencies</w:t>
      </w:r>
      <w:r>
        <w:rPr>
          <w:color w:val="000000" w:themeColor="text1"/>
        </w:rPr>
        <w:t>,</w:t>
      </w:r>
      <w:r w:rsidR="00C83679">
        <w:rPr>
          <w:color w:val="000000" w:themeColor="text1"/>
        </w:rPr>
        <w:t xml:space="preserve"> </w:t>
      </w:r>
      <w:r w:rsidRPr="00D47D6B">
        <w:rPr>
          <w:color w:val="000000" w:themeColor="text1"/>
        </w:rPr>
        <w:t>one</w:t>
      </w:r>
      <w:r w:rsidR="00C83679">
        <w:rPr>
          <w:color w:val="000000" w:themeColor="text1"/>
        </w:rPr>
        <w:t xml:space="preserve"> </w:t>
      </w:r>
      <w:r w:rsidRPr="00D47D6B">
        <w:rPr>
          <w:color w:val="000000" w:themeColor="text1"/>
        </w:rPr>
        <w:t>of</w:t>
      </w:r>
      <w:r w:rsidR="00C83679">
        <w:rPr>
          <w:color w:val="000000" w:themeColor="text1"/>
        </w:rPr>
        <w:t xml:space="preserve"> </w:t>
      </w:r>
      <w:r w:rsidRPr="00D47D6B">
        <w:rPr>
          <w:color w:val="000000" w:themeColor="text1"/>
        </w:rPr>
        <w:t>tribal</w:t>
      </w:r>
      <w:r w:rsidR="00C83679">
        <w:rPr>
          <w:color w:val="000000" w:themeColor="text1"/>
        </w:rPr>
        <w:t xml:space="preserve"> </w:t>
      </w:r>
      <w:r w:rsidRPr="00D47D6B">
        <w:rPr>
          <w:color w:val="000000" w:themeColor="text1"/>
        </w:rPr>
        <w:t>justice</w:t>
      </w:r>
      <w:r w:rsidR="00C83679">
        <w:rPr>
          <w:color w:val="000000" w:themeColor="text1"/>
        </w:rPr>
        <w:t xml:space="preserve"> </w:t>
      </w:r>
      <w:r w:rsidRPr="00D47D6B">
        <w:rPr>
          <w:color w:val="000000" w:themeColor="text1"/>
        </w:rPr>
        <w:t>agencies</w:t>
      </w:r>
      <w:r>
        <w:rPr>
          <w:color w:val="000000" w:themeColor="text1"/>
        </w:rPr>
        <w:t>,</w:t>
      </w:r>
      <w:r w:rsidR="00C83679">
        <w:rPr>
          <w:color w:val="000000" w:themeColor="text1"/>
        </w:rPr>
        <w:t xml:space="preserve"> </w:t>
      </w:r>
      <w:r>
        <w:rPr>
          <w:color w:val="000000" w:themeColor="text1"/>
        </w:rPr>
        <w:t>and</w:t>
      </w:r>
      <w:r w:rsidR="00C83679">
        <w:rPr>
          <w:color w:val="000000" w:themeColor="text1"/>
        </w:rPr>
        <w:t xml:space="preserve"> </w:t>
      </w:r>
      <w:r>
        <w:rPr>
          <w:color w:val="000000" w:themeColor="text1"/>
        </w:rPr>
        <w:t>one</w:t>
      </w:r>
      <w:r w:rsidR="00C83679">
        <w:rPr>
          <w:color w:val="000000" w:themeColor="text1"/>
        </w:rPr>
        <w:t xml:space="preserve"> </w:t>
      </w:r>
      <w:r>
        <w:rPr>
          <w:color w:val="000000" w:themeColor="text1"/>
        </w:rPr>
        <w:t>of</w:t>
      </w:r>
      <w:r w:rsidR="00C83679">
        <w:rPr>
          <w:color w:val="000000" w:themeColor="text1"/>
        </w:rPr>
        <w:t xml:space="preserve"> </w:t>
      </w:r>
      <w:r>
        <w:rPr>
          <w:color w:val="000000" w:themeColor="text1"/>
        </w:rPr>
        <w:t>agencies</w:t>
      </w:r>
      <w:r w:rsidR="00C83679">
        <w:rPr>
          <w:color w:val="000000" w:themeColor="text1"/>
        </w:rPr>
        <w:t xml:space="preserve"> </w:t>
      </w:r>
      <w:r>
        <w:rPr>
          <w:color w:val="000000" w:themeColor="text1"/>
        </w:rPr>
        <w:t>identified</w:t>
      </w:r>
      <w:r w:rsidR="00C83679">
        <w:rPr>
          <w:color w:val="000000" w:themeColor="text1"/>
        </w:rPr>
        <w:t xml:space="preserve"> </w:t>
      </w:r>
      <w:r>
        <w:rPr>
          <w:color w:val="000000" w:themeColor="text1"/>
        </w:rPr>
        <w:t>as</w:t>
      </w:r>
      <w:r w:rsidR="00C83679">
        <w:rPr>
          <w:color w:val="000000" w:themeColor="text1"/>
        </w:rPr>
        <w:t xml:space="preserve"> </w:t>
      </w:r>
      <w:r>
        <w:rPr>
          <w:color w:val="000000" w:themeColor="text1"/>
        </w:rPr>
        <w:t>tribal</w:t>
      </w:r>
      <w:r w:rsidR="00C83679">
        <w:rPr>
          <w:color w:val="000000" w:themeColor="text1"/>
        </w:rPr>
        <w:t xml:space="preserve"> </w:t>
      </w:r>
      <w:r w:rsidR="00746592">
        <w:rPr>
          <w:color w:val="000000" w:themeColor="text1"/>
        </w:rPr>
        <w:t>with</w:t>
      </w:r>
      <w:r w:rsidR="00C83679">
        <w:rPr>
          <w:color w:val="000000" w:themeColor="text1"/>
        </w:rPr>
        <w:t xml:space="preserve"> </w:t>
      </w:r>
      <w:r w:rsidR="00746592">
        <w:rPr>
          <w:color w:val="000000" w:themeColor="text1"/>
        </w:rPr>
        <w:t>an</w:t>
      </w:r>
      <w:r w:rsidR="00C83679">
        <w:rPr>
          <w:color w:val="000000" w:themeColor="text1"/>
        </w:rPr>
        <w:t xml:space="preserve"> </w:t>
      </w:r>
      <w:r>
        <w:rPr>
          <w:color w:val="000000" w:themeColor="text1"/>
        </w:rPr>
        <w:t>assigned</w:t>
      </w:r>
      <w:r w:rsidR="00C83679">
        <w:rPr>
          <w:color w:val="000000" w:themeColor="text1"/>
        </w:rPr>
        <w:t xml:space="preserve"> </w:t>
      </w:r>
      <w:r>
        <w:rPr>
          <w:color w:val="000000" w:themeColor="text1"/>
        </w:rPr>
        <w:t>Originating</w:t>
      </w:r>
      <w:r w:rsidR="00C83679">
        <w:rPr>
          <w:color w:val="000000" w:themeColor="text1"/>
        </w:rPr>
        <w:t xml:space="preserve"> </w:t>
      </w:r>
      <w:r>
        <w:rPr>
          <w:color w:val="000000" w:themeColor="text1"/>
        </w:rPr>
        <w:t>Agency</w:t>
      </w:r>
      <w:r w:rsidR="00C83679">
        <w:rPr>
          <w:color w:val="000000" w:themeColor="text1"/>
        </w:rPr>
        <w:t xml:space="preserve"> </w:t>
      </w:r>
      <w:r>
        <w:rPr>
          <w:color w:val="000000" w:themeColor="text1"/>
        </w:rPr>
        <w:t>Identification</w:t>
      </w:r>
      <w:r w:rsidR="00C83679">
        <w:rPr>
          <w:color w:val="000000" w:themeColor="text1"/>
        </w:rPr>
        <w:t xml:space="preserve"> </w:t>
      </w:r>
      <w:r>
        <w:rPr>
          <w:color w:val="000000" w:themeColor="text1"/>
        </w:rPr>
        <w:t>(ORI)</w:t>
      </w:r>
      <w:r w:rsidR="00C83679">
        <w:rPr>
          <w:color w:val="000000" w:themeColor="text1"/>
        </w:rPr>
        <w:t xml:space="preserve"> </w:t>
      </w:r>
      <w:r>
        <w:rPr>
          <w:color w:val="000000" w:themeColor="text1"/>
        </w:rPr>
        <w:t>number</w:t>
      </w:r>
      <w:r w:rsidRPr="00D47D6B">
        <w:rPr>
          <w:color w:val="000000" w:themeColor="text1"/>
        </w:rPr>
        <w:t>.</w:t>
      </w:r>
      <w:r w:rsidR="00C83679">
        <w:rPr>
          <w:color w:val="000000" w:themeColor="text1"/>
        </w:rPr>
        <w:t xml:space="preserve"> </w:t>
      </w:r>
      <w:r w:rsidRPr="00D47D6B">
        <w:rPr>
          <w:color w:val="000000" w:themeColor="text1"/>
        </w:rPr>
        <w:t>The</w:t>
      </w:r>
      <w:r w:rsidR="00C83679">
        <w:rPr>
          <w:color w:val="000000" w:themeColor="text1"/>
        </w:rPr>
        <w:t xml:space="preserve"> </w:t>
      </w:r>
      <w:r w:rsidRPr="00D47D6B">
        <w:rPr>
          <w:color w:val="000000" w:themeColor="text1"/>
        </w:rPr>
        <w:t>tribal</w:t>
      </w:r>
      <w:r w:rsidR="00C83679">
        <w:rPr>
          <w:color w:val="000000" w:themeColor="text1"/>
        </w:rPr>
        <w:t xml:space="preserve"> </w:t>
      </w:r>
      <w:r w:rsidRPr="00D47D6B">
        <w:rPr>
          <w:color w:val="000000" w:themeColor="text1"/>
        </w:rPr>
        <w:t>justice</w:t>
      </w:r>
      <w:r w:rsidR="00C83679">
        <w:rPr>
          <w:color w:val="000000" w:themeColor="text1"/>
        </w:rPr>
        <w:t xml:space="preserve"> </w:t>
      </w:r>
      <w:r w:rsidRPr="00D47D6B">
        <w:rPr>
          <w:color w:val="000000" w:themeColor="text1"/>
        </w:rPr>
        <w:t>agencies</w:t>
      </w:r>
      <w:r w:rsidR="00C83679">
        <w:rPr>
          <w:color w:val="000000" w:themeColor="text1"/>
        </w:rPr>
        <w:t xml:space="preserve"> </w:t>
      </w:r>
      <w:r w:rsidRPr="00D47D6B">
        <w:rPr>
          <w:color w:val="000000" w:themeColor="text1"/>
        </w:rPr>
        <w:t>list</w:t>
      </w:r>
      <w:r w:rsidR="00C83679">
        <w:rPr>
          <w:color w:val="000000" w:themeColor="text1"/>
        </w:rPr>
        <w:t xml:space="preserve"> </w:t>
      </w:r>
      <w:r w:rsidRPr="00D47D6B">
        <w:rPr>
          <w:color w:val="000000" w:themeColor="text1"/>
        </w:rPr>
        <w:t>included</w:t>
      </w:r>
      <w:r w:rsidR="00C83679">
        <w:rPr>
          <w:color w:val="000000" w:themeColor="text1"/>
        </w:rPr>
        <w:t xml:space="preserve"> </w:t>
      </w:r>
      <w:r w:rsidRPr="00D47D6B">
        <w:rPr>
          <w:color w:val="000000" w:themeColor="text1"/>
        </w:rPr>
        <w:t>records</w:t>
      </w:r>
      <w:r w:rsidR="00C83679">
        <w:rPr>
          <w:color w:val="000000" w:themeColor="text1"/>
        </w:rPr>
        <w:t xml:space="preserve"> </w:t>
      </w:r>
      <w:r w:rsidRPr="00D47D6B">
        <w:rPr>
          <w:color w:val="000000" w:themeColor="text1"/>
        </w:rPr>
        <w:t>for</w:t>
      </w:r>
      <w:r w:rsidR="00C83679">
        <w:rPr>
          <w:color w:val="000000" w:themeColor="text1"/>
        </w:rPr>
        <w:t xml:space="preserve"> </w:t>
      </w:r>
      <w:r w:rsidRPr="00D47D6B">
        <w:rPr>
          <w:color w:val="000000" w:themeColor="text1"/>
        </w:rPr>
        <w:t>tribal</w:t>
      </w:r>
      <w:r w:rsidR="00C83679">
        <w:rPr>
          <w:color w:val="000000" w:themeColor="text1"/>
        </w:rPr>
        <w:t xml:space="preserve"> </w:t>
      </w:r>
      <w:r w:rsidRPr="00D47D6B">
        <w:rPr>
          <w:color w:val="000000" w:themeColor="text1"/>
        </w:rPr>
        <w:t>courts,</w:t>
      </w:r>
      <w:r w:rsidR="00C83679">
        <w:rPr>
          <w:color w:val="000000" w:themeColor="text1"/>
        </w:rPr>
        <w:t xml:space="preserve"> </w:t>
      </w:r>
      <w:r w:rsidRPr="00D47D6B">
        <w:rPr>
          <w:color w:val="000000" w:themeColor="text1"/>
        </w:rPr>
        <w:t>housing</w:t>
      </w:r>
      <w:r w:rsidR="00C83679">
        <w:rPr>
          <w:color w:val="000000" w:themeColor="text1"/>
        </w:rPr>
        <w:t xml:space="preserve"> </w:t>
      </w:r>
      <w:r w:rsidRPr="00D47D6B">
        <w:rPr>
          <w:color w:val="000000" w:themeColor="text1"/>
        </w:rPr>
        <w:t>authorities,</w:t>
      </w:r>
      <w:r w:rsidR="00C83679">
        <w:rPr>
          <w:color w:val="000000" w:themeColor="text1"/>
        </w:rPr>
        <w:t xml:space="preserve"> </w:t>
      </w:r>
      <w:r w:rsidRPr="00D47D6B">
        <w:rPr>
          <w:color w:val="000000" w:themeColor="text1"/>
        </w:rPr>
        <w:t>prosecutors,</w:t>
      </w:r>
      <w:r w:rsidR="00C83679">
        <w:rPr>
          <w:color w:val="000000" w:themeColor="text1"/>
        </w:rPr>
        <w:t xml:space="preserve"> </w:t>
      </w:r>
      <w:r w:rsidRPr="00D47D6B">
        <w:rPr>
          <w:color w:val="000000" w:themeColor="text1"/>
        </w:rPr>
        <w:t>and</w:t>
      </w:r>
      <w:r w:rsidR="00C83679">
        <w:rPr>
          <w:color w:val="000000" w:themeColor="text1"/>
        </w:rPr>
        <w:t xml:space="preserve"> </w:t>
      </w:r>
      <w:r w:rsidRPr="00D47D6B">
        <w:rPr>
          <w:color w:val="000000" w:themeColor="text1"/>
        </w:rPr>
        <w:t>other</w:t>
      </w:r>
      <w:r w:rsidR="00C83679">
        <w:rPr>
          <w:color w:val="000000" w:themeColor="text1"/>
        </w:rPr>
        <w:t xml:space="preserve"> </w:t>
      </w:r>
      <w:r w:rsidRPr="00D47D6B">
        <w:rPr>
          <w:color w:val="000000" w:themeColor="text1"/>
        </w:rPr>
        <w:t>tribal</w:t>
      </w:r>
      <w:r w:rsidR="00C83679">
        <w:rPr>
          <w:color w:val="000000" w:themeColor="text1"/>
        </w:rPr>
        <w:t xml:space="preserve"> </w:t>
      </w:r>
      <w:r w:rsidRPr="00D47D6B">
        <w:rPr>
          <w:color w:val="000000" w:themeColor="text1"/>
        </w:rPr>
        <w:t>departments,</w:t>
      </w:r>
      <w:r w:rsidR="00C83679">
        <w:rPr>
          <w:color w:val="000000" w:themeColor="text1"/>
        </w:rPr>
        <w:t xml:space="preserve"> </w:t>
      </w:r>
      <w:r w:rsidRPr="00D47D6B">
        <w:rPr>
          <w:color w:val="000000" w:themeColor="text1"/>
        </w:rPr>
        <w:t>many</w:t>
      </w:r>
      <w:r w:rsidR="00C83679">
        <w:rPr>
          <w:color w:val="000000" w:themeColor="text1"/>
        </w:rPr>
        <w:t xml:space="preserve"> </w:t>
      </w:r>
      <w:r w:rsidRPr="00D47D6B">
        <w:rPr>
          <w:color w:val="000000" w:themeColor="text1"/>
        </w:rPr>
        <w:t>of</w:t>
      </w:r>
      <w:r w:rsidR="00C83679">
        <w:rPr>
          <w:color w:val="000000" w:themeColor="text1"/>
        </w:rPr>
        <w:t xml:space="preserve"> </w:t>
      </w:r>
      <w:r w:rsidRPr="00D47D6B">
        <w:rPr>
          <w:color w:val="000000" w:themeColor="text1"/>
        </w:rPr>
        <w:t>which</w:t>
      </w:r>
      <w:r w:rsidR="00C83679">
        <w:rPr>
          <w:color w:val="000000" w:themeColor="text1"/>
        </w:rPr>
        <w:t xml:space="preserve"> </w:t>
      </w:r>
      <w:r w:rsidRPr="00D47D6B">
        <w:rPr>
          <w:color w:val="000000" w:themeColor="text1"/>
        </w:rPr>
        <w:t>were</w:t>
      </w:r>
      <w:r w:rsidR="00C83679">
        <w:rPr>
          <w:color w:val="000000" w:themeColor="text1"/>
        </w:rPr>
        <w:t xml:space="preserve"> </w:t>
      </w:r>
      <w:r w:rsidRPr="00D47D6B">
        <w:rPr>
          <w:color w:val="000000" w:themeColor="text1"/>
        </w:rPr>
        <w:t>deemed</w:t>
      </w:r>
      <w:r w:rsidR="00C83679">
        <w:rPr>
          <w:color w:val="000000" w:themeColor="text1"/>
        </w:rPr>
        <w:t xml:space="preserve"> </w:t>
      </w:r>
      <w:r w:rsidRPr="00D47D6B">
        <w:rPr>
          <w:color w:val="000000" w:themeColor="text1"/>
        </w:rPr>
        <w:t>ineligible</w:t>
      </w:r>
      <w:r w:rsidR="00C83679">
        <w:rPr>
          <w:color w:val="000000" w:themeColor="text1"/>
        </w:rPr>
        <w:t xml:space="preserve"> </w:t>
      </w:r>
      <w:r w:rsidRPr="00D47D6B">
        <w:rPr>
          <w:color w:val="000000" w:themeColor="text1"/>
        </w:rPr>
        <w:t>during</w:t>
      </w:r>
      <w:r w:rsidR="00C83679">
        <w:rPr>
          <w:color w:val="000000" w:themeColor="text1"/>
        </w:rPr>
        <w:t xml:space="preserve"> </w:t>
      </w:r>
      <w:r w:rsidRPr="00D47D6B">
        <w:rPr>
          <w:color w:val="000000" w:themeColor="text1"/>
        </w:rPr>
        <w:t>the</w:t>
      </w:r>
      <w:r w:rsidR="00C83679">
        <w:rPr>
          <w:color w:val="000000" w:themeColor="text1"/>
        </w:rPr>
        <w:t xml:space="preserve"> </w:t>
      </w:r>
      <w:r w:rsidRPr="00D47D6B">
        <w:rPr>
          <w:color w:val="000000" w:themeColor="text1"/>
        </w:rPr>
        <w:t>vetting</w:t>
      </w:r>
      <w:r w:rsidR="00C83679">
        <w:rPr>
          <w:color w:val="000000" w:themeColor="text1"/>
        </w:rPr>
        <w:t xml:space="preserve"> </w:t>
      </w:r>
      <w:r w:rsidRPr="00D47D6B">
        <w:rPr>
          <w:color w:val="000000" w:themeColor="text1"/>
        </w:rPr>
        <w:t>process</w:t>
      </w:r>
      <w:r w:rsidR="00FA21C8">
        <w:rPr>
          <w:color w:val="000000" w:themeColor="text1"/>
        </w:rPr>
        <w:t xml:space="preserve"> because they lacked a law enforcement function</w:t>
      </w:r>
      <w:r w:rsidRPr="00D47D6B">
        <w:rPr>
          <w:color w:val="000000" w:themeColor="text1"/>
        </w:rPr>
        <w:t>.</w:t>
      </w:r>
      <w:r w:rsidR="00C83679">
        <w:rPr>
          <w:color w:val="000000" w:themeColor="text1"/>
        </w:rPr>
        <w:t xml:space="preserve"> </w:t>
      </w:r>
      <w:r>
        <w:rPr>
          <w:color w:val="000000" w:themeColor="text1"/>
        </w:rPr>
        <w:t>The</w:t>
      </w:r>
      <w:r w:rsidR="00C83679">
        <w:rPr>
          <w:color w:val="000000" w:themeColor="text1"/>
        </w:rPr>
        <w:t xml:space="preserve"> </w:t>
      </w:r>
      <w:r w:rsidRPr="00D47D6B">
        <w:rPr>
          <w:color w:val="000000" w:themeColor="text1"/>
        </w:rPr>
        <w:t>FBI</w:t>
      </w:r>
      <w:r w:rsidR="00C83679">
        <w:rPr>
          <w:color w:val="000000" w:themeColor="text1"/>
        </w:rPr>
        <w:t xml:space="preserve"> </w:t>
      </w:r>
      <w:r w:rsidR="00FA21C8">
        <w:rPr>
          <w:color w:val="000000" w:themeColor="text1"/>
        </w:rPr>
        <w:t xml:space="preserve">Tribal Law Enforcement and ORI </w:t>
      </w:r>
      <w:r w:rsidRPr="00D47D6B">
        <w:rPr>
          <w:color w:val="000000" w:themeColor="text1"/>
        </w:rPr>
        <w:t>list</w:t>
      </w:r>
      <w:r w:rsidR="00664D4A">
        <w:rPr>
          <w:color w:val="000000" w:themeColor="text1"/>
        </w:rPr>
        <w:t>s</w:t>
      </w:r>
      <w:r w:rsidR="00C83679">
        <w:rPr>
          <w:color w:val="000000" w:themeColor="text1"/>
        </w:rPr>
        <w:t xml:space="preserve"> </w:t>
      </w:r>
      <w:r w:rsidRPr="00D47D6B">
        <w:rPr>
          <w:color w:val="000000" w:themeColor="text1"/>
        </w:rPr>
        <w:t>included</w:t>
      </w:r>
      <w:r w:rsidR="00C83679">
        <w:rPr>
          <w:color w:val="000000" w:themeColor="text1"/>
        </w:rPr>
        <w:t xml:space="preserve"> </w:t>
      </w:r>
      <w:r w:rsidRPr="00D47D6B">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Pr="00D47D6B">
        <w:rPr>
          <w:color w:val="000000" w:themeColor="text1"/>
        </w:rPr>
        <w:t>agencies,</w:t>
      </w:r>
      <w:r w:rsidR="00C83679">
        <w:rPr>
          <w:color w:val="000000" w:themeColor="text1"/>
        </w:rPr>
        <w:t xml:space="preserve"> </w:t>
      </w:r>
      <w:r w:rsidRPr="00D47D6B">
        <w:rPr>
          <w:color w:val="000000" w:themeColor="text1"/>
        </w:rPr>
        <w:t>BIA</w:t>
      </w:r>
      <w:r w:rsidR="00C83679">
        <w:rPr>
          <w:color w:val="000000" w:themeColor="text1"/>
        </w:rPr>
        <w:t xml:space="preserve"> </w:t>
      </w:r>
      <w:r w:rsidRPr="00D47D6B">
        <w:rPr>
          <w:color w:val="000000" w:themeColor="text1"/>
        </w:rPr>
        <w:t>agencies,</w:t>
      </w:r>
      <w:r w:rsidR="00C83679">
        <w:rPr>
          <w:color w:val="000000" w:themeColor="text1"/>
        </w:rPr>
        <w:t xml:space="preserve"> </w:t>
      </w:r>
      <w:r w:rsidRPr="00D47D6B">
        <w:rPr>
          <w:color w:val="000000" w:themeColor="text1"/>
        </w:rPr>
        <w:t>and</w:t>
      </w:r>
      <w:r w:rsidR="00C83679">
        <w:rPr>
          <w:color w:val="000000" w:themeColor="text1"/>
        </w:rPr>
        <w:t xml:space="preserve"> </w:t>
      </w:r>
      <w:r w:rsidRPr="00D47D6B">
        <w:rPr>
          <w:color w:val="000000" w:themeColor="text1"/>
        </w:rPr>
        <w:t>tribal</w:t>
      </w:r>
      <w:r w:rsidR="00C83679">
        <w:rPr>
          <w:color w:val="000000" w:themeColor="text1"/>
        </w:rPr>
        <w:t xml:space="preserve"> </w:t>
      </w:r>
      <w:r w:rsidRPr="00D47D6B">
        <w:rPr>
          <w:color w:val="000000" w:themeColor="text1"/>
        </w:rPr>
        <w:t>conservation</w:t>
      </w:r>
      <w:r w:rsidR="00C83679">
        <w:rPr>
          <w:color w:val="000000" w:themeColor="text1"/>
        </w:rPr>
        <w:t xml:space="preserve"> </w:t>
      </w:r>
      <w:r w:rsidRPr="00D47D6B">
        <w:rPr>
          <w:color w:val="000000" w:themeColor="text1"/>
        </w:rPr>
        <w:t>agencies.</w:t>
      </w:r>
    </w:p>
    <w:p w14:paraId="65AF77C1" w14:textId="51F65827" w:rsidR="0022602A" w:rsidRPr="00BC3D84" w:rsidRDefault="0022602A" w:rsidP="00D901A8">
      <w:pPr>
        <w:pStyle w:val="ListParagraph"/>
        <w:numPr>
          <w:ilvl w:val="0"/>
          <w:numId w:val="3"/>
        </w:numPr>
        <w:rPr>
          <w:color w:val="000000" w:themeColor="text1"/>
        </w:rPr>
      </w:pPr>
      <w:r w:rsidRPr="00BC3D84">
        <w:rPr>
          <w:b/>
          <w:color w:val="000000" w:themeColor="text1"/>
        </w:rPr>
        <w:t>IACP</w:t>
      </w:r>
      <w:r w:rsidR="00C83679">
        <w:rPr>
          <w:b/>
          <w:color w:val="000000" w:themeColor="text1"/>
        </w:rPr>
        <w:t xml:space="preserve"> </w:t>
      </w:r>
      <w:r w:rsidRPr="00BC3D84">
        <w:rPr>
          <w:b/>
          <w:color w:val="000000" w:themeColor="text1"/>
        </w:rPr>
        <w:t>Indian</w:t>
      </w:r>
      <w:r w:rsidR="00C83679">
        <w:rPr>
          <w:b/>
          <w:color w:val="000000" w:themeColor="text1"/>
        </w:rPr>
        <w:t xml:space="preserve"> </w:t>
      </w:r>
      <w:r w:rsidRPr="00BC3D84">
        <w:rPr>
          <w:b/>
          <w:color w:val="000000" w:themeColor="text1"/>
        </w:rPr>
        <w:t>Country</w:t>
      </w:r>
      <w:r w:rsidR="00C83679">
        <w:rPr>
          <w:b/>
          <w:color w:val="000000" w:themeColor="text1"/>
        </w:rPr>
        <w:t xml:space="preserve"> </w:t>
      </w:r>
      <w:r w:rsidRPr="00BC3D84">
        <w:rPr>
          <w:b/>
          <w:color w:val="000000" w:themeColor="text1"/>
        </w:rPr>
        <w:t>Section</w:t>
      </w:r>
      <w:r w:rsidR="00C83679">
        <w:rPr>
          <w:b/>
          <w:color w:val="000000" w:themeColor="text1"/>
        </w:rPr>
        <w:t xml:space="preserve"> </w:t>
      </w:r>
      <w:r w:rsidRPr="00BC3D84">
        <w:rPr>
          <w:b/>
          <w:color w:val="000000" w:themeColor="text1"/>
        </w:rPr>
        <w:t>Roster</w:t>
      </w:r>
      <w:r w:rsidR="00C83679">
        <w:rPr>
          <w:b/>
          <w:color w:val="000000" w:themeColor="text1"/>
        </w:rPr>
        <w:t xml:space="preserve"> </w:t>
      </w:r>
      <w:r w:rsidRPr="00BC3D84">
        <w:rPr>
          <w:b/>
          <w:color w:val="000000" w:themeColor="text1"/>
        </w:rPr>
        <w:t>and</w:t>
      </w:r>
      <w:r w:rsidR="00C83679">
        <w:rPr>
          <w:b/>
          <w:color w:val="000000" w:themeColor="text1"/>
        </w:rPr>
        <w:t xml:space="preserve"> </w:t>
      </w:r>
      <w:r w:rsidRPr="00BC3D84">
        <w:rPr>
          <w:b/>
          <w:color w:val="000000" w:themeColor="text1"/>
        </w:rPr>
        <w:t>membership</w:t>
      </w:r>
      <w:r w:rsidR="00C83679">
        <w:rPr>
          <w:b/>
          <w:color w:val="000000" w:themeColor="text1"/>
        </w:rPr>
        <w:t xml:space="preserve"> </w:t>
      </w:r>
      <w:r w:rsidRPr="00BC3D84">
        <w:rPr>
          <w:b/>
          <w:color w:val="000000" w:themeColor="text1"/>
        </w:rPr>
        <w:t>database</w:t>
      </w:r>
      <w:r w:rsidR="00C83679">
        <w:rPr>
          <w:color w:val="000000" w:themeColor="text1"/>
        </w:rPr>
        <w:t xml:space="preserve"> </w:t>
      </w:r>
      <w:r w:rsidRPr="00BC3D84">
        <w:rPr>
          <w:color w:val="000000" w:themeColor="text1"/>
        </w:rPr>
        <w:t>–</w:t>
      </w:r>
      <w:r w:rsidR="00C83679">
        <w:rPr>
          <w:color w:val="000000" w:themeColor="text1"/>
        </w:rPr>
        <w:t xml:space="preserve"> </w:t>
      </w:r>
      <w:r w:rsidRPr="00BC3D84">
        <w:rPr>
          <w:color w:val="000000" w:themeColor="text1"/>
        </w:rPr>
        <w:t>IACP</w:t>
      </w:r>
      <w:r w:rsidR="00C83679">
        <w:rPr>
          <w:color w:val="000000" w:themeColor="text1"/>
        </w:rPr>
        <w:t xml:space="preserve"> </w:t>
      </w:r>
      <w:r w:rsidRPr="00BC3D84">
        <w:rPr>
          <w:color w:val="000000" w:themeColor="text1"/>
        </w:rPr>
        <w:t>staff</w:t>
      </w:r>
      <w:r w:rsidR="00C83679">
        <w:rPr>
          <w:color w:val="000000" w:themeColor="text1"/>
        </w:rPr>
        <w:t xml:space="preserve"> </w:t>
      </w:r>
      <w:r w:rsidRPr="00BC3D84">
        <w:rPr>
          <w:color w:val="000000" w:themeColor="text1"/>
        </w:rPr>
        <w:t>gathered</w:t>
      </w:r>
      <w:r w:rsidR="00C83679">
        <w:rPr>
          <w:color w:val="000000" w:themeColor="text1"/>
        </w:rPr>
        <w:t xml:space="preserve"> </w:t>
      </w:r>
      <w:r w:rsidRPr="00BC3D84">
        <w:rPr>
          <w:color w:val="000000" w:themeColor="text1"/>
        </w:rPr>
        <w:t>lists</w:t>
      </w:r>
      <w:r w:rsidR="00C83679">
        <w:rPr>
          <w:color w:val="000000" w:themeColor="text1"/>
        </w:rPr>
        <w:t xml:space="preserve"> </w:t>
      </w:r>
      <w:r w:rsidRPr="00BC3D84">
        <w:rPr>
          <w:color w:val="000000" w:themeColor="text1"/>
        </w:rPr>
        <w:t>from</w:t>
      </w:r>
      <w:r w:rsidR="00C83679">
        <w:rPr>
          <w:color w:val="000000" w:themeColor="text1"/>
        </w:rPr>
        <w:t xml:space="preserve"> </w:t>
      </w:r>
      <w:r w:rsidRPr="00BC3D84">
        <w:rPr>
          <w:color w:val="000000" w:themeColor="text1"/>
        </w:rPr>
        <w:t>several</w:t>
      </w:r>
      <w:r w:rsidR="00C83679">
        <w:rPr>
          <w:color w:val="000000" w:themeColor="text1"/>
        </w:rPr>
        <w:t xml:space="preserve"> </w:t>
      </w:r>
      <w:r w:rsidRPr="00BC3D84">
        <w:rPr>
          <w:color w:val="000000" w:themeColor="text1"/>
        </w:rPr>
        <w:t>IACP</w:t>
      </w:r>
      <w:r w:rsidR="00C83679">
        <w:rPr>
          <w:color w:val="000000" w:themeColor="text1"/>
        </w:rPr>
        <w:t xml:space="preserve"> </w:t>
      </w:r>
      <w:r w:rsidRPr="00BC3D84">
        <w:rPr>
          <w:color w:val="000000" w:themeColor="text1"/>
        </w:rPr>
        <w:t>data</w:t>
      </w:r>
      <w:r w:rsidR="00C83679">
        <w:rPr>
          <w:color w:val="000000" w:themeColor="text1"/>
        </w:rPr>
        <w:t xml:space="preserve"> </w:t>
      </w:r>
      <w:r w:rsidRPr="00BC3D84">
        <w:rPr>
          <w:color w:val="000000" w:themeColor="text1"/>
        </w:rPr>
        <w:t>sources.</w:t>
      </w:r>
      <w:r w:rsidR="00C83679">
        <w:rPr>
          <w:color w:val="000000" w:themeColor="text1"/>
        </w:rPr>
        <w:t xml:space="preserve"> </w:t>
      </w:r>
      <w:r w:rsidRPr="00BC3D84">
        <w:rPr>
          <w:color w:val="000000" w:themeColor="text1"/>
        </w:rPr>
        <w:t>This</w:t>
      </w:r>
      <w:r w:rsidR="00C83679">
        <w:rPr>
          <w:color w:val="000000" w:themeColor="text1"/>
        </w:rPr>
        <w:t xml:space="preserve"> </w:t>
      </w:r>
      <w:r w:rsidRPr="00BC3D84">
        <w:rPr>
          <w:color w:val="000000" w:themeColor="text1"/>
        </w:rPr>
        <w:t>included</w:t>
      </w:r>
      <w:r w:rsidR="00C83679">
        <w:rPr>
          <w:color w:val="000000" w:themeColor="text1"/>
        </w:rPr>
        <w:t xml:space="preserve"> </w:t>
      </w:r>
      <w:r w:rsidRPr="00BC3D84">
        <w:rPr>
          <w:color w:val="000000" w:themeColor="text1"/>
        </w:rPr>
        <w:t>the</w:t>
      </w:r>
      <w:r w:rsidR="00C83679">
        <w:rPr>
          <w:color w:val="000000" w:themeColor="text1"/>
        </w:rPr>
        <w:t xml:space="preserve"> </w:t>
      </w:r>
      <w:r w:rsidRPr="00BC3D84">
        <w:rPr>
          <w:color w:val="000000" w:themeColor="text1"/>
        </w:rPr>
        <w:t>current</w:t>
      </w:r>
      <w:r w:rsidR="00C83679">
        <w:rPr>
          <w:color w:val="000000" w:themeColor="text1"/>
        </w:rPr>
        <w:t xml:space="preserve"> </w:t>
      </w:r>
      <w:r w:rsidRPr="00BC3D84">
        <w:rPr>
          <w:color w:val="000000" w:themeColor="text1"/>
        </w:rPr>
        <w:t>IACP</w:t>
      </w:r>
      <w:r w:rsidR="00C83679">
        <w:rPr>
          <w:color w:val="000000" w:themeColor="text1"/>
        </w:rPr>
        <w:t xml:space="preserve"> </w:t>
      </w:r>
      <w:r w:rsidRPr="00BC3D84">
        <w:rPr>
          <w:color w:val="000000" w:themeColor="text1"/>
        </w:rPr>
        <w:t>Indian</w:t>
      </w:r>
      <w:r w:rsidR="00C83679">
        <w:rPr>
          <w:color w:val="000000" w:themeColor="text1"/>
        </w:rPr>
        <w:t xml:space="preserve"> </w:t>
      </w:r>
      <w:r w:rsidRPr="00BC3D84">
        <w:rPr>
          <w:color w:val="000000" w:themeColor="text1"/>
        </w:rPr>
        <w:t>Country</w:t>
      </w:r>
      <w:r w:rsidR="00C83679">
        <w:rPr>
          <w:color w:val="000000" w:themeColor="text1"/>
        </w:rPr>
        <w:t xml:space="preserve"> </w:t>
      </w:r>
      <w:r w:rsidRPr="00BC3D84">
        <w:rPr>
          <w:color w:val="000000" w:themeColor="text1"/>
        </w:rPr>
        <w:t>Law</w:t>
      </w:r>
      <w:r w:rsidR="00C83679">
        <w:rPr>
          <w:color w:val="000000" w:themeColor="text1"/>
        </w:rPr>
        <w:t xml:space="preserve"> </w:t>
      </w:r>
      <w:r w:rsidRPr="00BC3D84">
        <w:rPr>
          <w:color w:val="000000" w:themeColor="text1"/>
        </w:rPr>
        <w:t>Enforcement</w:t>
      </w:r>
      <w:r w:rsidR="00C83679">
        <w:rPr>
          <w:color w:val="000000" w:themeColor="text1"/>
        </w:rPr>
        <w:t xml:space="preserve"> </w:t>
      </w:r>
      <w:r w:rsidRPr="00BC3D84">
        <w:rPr>
          <w:color w:val="000000" w:themeColor="text1"/>
        </w:rPr>
        <w:t>Section</w:t>
      </w:r>
      <w:r w:rsidR="00C83679">
        <w:rPr>
          <w:color w:val="000000" w:themeColor="text1"/>
        </w:rPr>
        <w:t xml:space="preserve"> </w:t>
      </w:r>
      <w:r w:rsidR="004B763F">
        <w:rPr>
          <w:color w:val="000000" w:themeColor="text1"/>
        </w:rPr>
        <w:t xml:space="preserve">(ICLES) </w:t>
      </w:r>
      <w:r w:rsidRPr="00BC3D84">
        <w:rPr>
          <w:color w:val="000000" w:themeColor="text1"/>
        </w:rPr>
        <w:t>roster.</w:t>
      </w:r>
      <w:r w:rsidR="00C83679">
        <w:rPr>
          <w:color w:val="000000" w:themeColor="text1"/>
        </w:rPr>
        <w:t xml:space="preserve"> </w:t>
      </w:r>
      <w:r w:rsidRPr="00BC3D84">
        <w:rPr>
          <w:color w:val="000000" w:themeColor="text1"/>
        </w:rPr>
        <w:t>Records</w:t>
      </w:r>
      <w:r w:rsidR="00C83679">
        <w:rPr>
          <w:color w:val="000000" w:themeColor="text1"/>
        </w:rPr>
        <w:t xml:space="preserve"> </w:t>
      </w:r>
      <w:r w:rsidRPr="00BC3D84">
        <w:rPr>
          <w:color w:val="000000" w:themeColor="text1"/>
        </w:rPr>
        <w:t>for</w:t>
      </w:r>
      <w:r w:rsidR="00C83679">
        <w:rPr>
          <w:color w:val="000000" w:themeColor="text1"/>
        </w:rPr>
        <w:t xml:space="preserve"> </w:t>
      </w:r>
      <w:r w:rsidRPr="00BC3D84">
        <w:rPr>
          <w:color w:val="000000" w:themeColor="text1"/>
        </w:rPr>
        <w:t>nontribal</w:t>
      </w:r>
      <w:r w:rsidR="00C83679">
        <w:rPr>
          <w:color w:val="000000" w:themeColor="text1"/>
        </w:rPr>
        <w:t xml:space="preserve"> </w:t>
      </w:r>
      <w:r w:rsidRPr="00BC3D84">
        <w:rPr>
          <w:color w:val="000000" w:themeColor="text1"/>
        </w:rPr>
        <w:t>agencies</w:t>
      </w:r>
      <w:r w:rsidR="00C83679">
        <w:rPr>
          <w:color w:val="000000" w:themeColor="text1"/>
        </w:rPr>
        <w:t xml:space="preserve"> </w:t>
      </w:r>
      <w:r w:rsidRPr="00BC3D84">
        <w:rPr>
          <w:color w:val="000000" w:themeColor="text1"/>
        </w:rPr>
        <w:t>were</w:t>
      </w:r>
      <w:r w:rsidR="00C83679">
        <w:rPr>
          <w:color w:val="000000" w:themeColor="text1"/>
        </w:rPr>
        <w:t xml:space="preserve"> </w:t>
      </w:r>
      <w:r w:rsidRPr="00BC3D84">
        <w:rPr>
          <w:color w:val="000000" w:themeColor="text1"/>
        </w:rPr>
        <w:t>excluded</w:t>
      </w:r>
      <w:r w:rsidR="00C83679">
        <w:rPr>
          <w:color w:val="000000" w:themeColor="text1"/>
        </w:rPr>
        <w:t xml:space="preserve"> </w:t>
      </w:r>
      <w:r w:rsidRPr="00BC3D84">
        <w:rPr>
          <w:color w:val="000000" w:themeColor="text1"/>
        </w:rPr>
        <w:t>from</w:t>
      </w:r>
      <w:r w:rsidR="00C83679">
        <w:rPr>
          <w:color w:val="000000" w:themeColor="text1"/>
        </w:rPr>
        <w:t xml:space="preserve"> </w:t>
      </w:r>
      <w:r w:rsidRPr="00BC3D84">
        <w:rPr>
          <w:color w:val="000000" w:themeColor="text1"/>
        </w:rPr>
        <w:t>the</w:t>
      </w:r>
      <w:r w:rsidR="00C83679">
        <w:rPr>
          <w:color w:val="000000" w:themeColor="text1"/>
        </w:rPr>
        <w:t xml:space="preserve"> </w:t>
      </w:r>
      <w:r w:rsidRPr="00BC3D84">
        <w:rPr>
          <w:color w:val="000000" w:themeColor="text1"/>
        </w:rPr>
        <w:t>universe</w:t>
      </w:r>
      <w:r w:rsidR="00C83679">
        <w:rPr>
          <w:color w:val="000000" w:themeColor="text1"/>
        </w:rPr>
        <w:t xml:space="preserve"> </w:t>
      </w:r>
      <w:r w:rsidRPr="00BC3D84">
        <w:rPr>
          <w:color w:val="000000" w:themeColor="text1"/>
        </w:rPr>
        <w:t>file.</w:t>
      </w:r>
      <w:r w:rsidR="00C83679">
        <w:rPr>
          <w:color w:val="000000" w:themeColor="text1"/>
        </w:rPr>
        <w:t xml:space="preserve"> </w:t>
      </w:r>
      <w:r w:rsidRPr="00BC3D84">
        <w:rPr>
          <w:color w:val="000000" w:themeColor="text1"/>
        </w:rPr>
        <w:t>Queries</w:t>
      </w:r>
      <w:r w:rsidR="00C83679">
        <w:rPr>
          <w:color w:val="000000" w:themeColor="text1"/>
        </w:rPr>
        <w:t xml:space="preserve"> </w:t>
      </w:r>
      <w:r w:rsidRPr="00BC3D84">
        <w:rPr>
          <w:color w:val="000000" w:themeColor="text1"/>
        </w:rPr>
        <w:t>of</w:t>
      </w:r>
      <w:r w:rsidR="00C83679">
        <w:rPr>
          <w:color w:val="000000" w:themeColor="text1"/>
        </w:rPr>
        <w:t xml:space="preserve"> </w:t>
      </w:r>
      <w:r w:rsidRPr="00BC3D84">
        <w:rPr>
          <w:color w:val="000000" w:themeColor="text1"/>
        </w:rPr>
        <w:t>IACP’s</w:t>
      </w:r>
      <w:r w:rsidR="00C83679">
        <w:rPr>
          <w:color w:val="000000" w:themeColor="text1"/>
        </w:rPr>
        <w:t xml:space="preserve"> </w:t>
      </w:r>
      <w:r w:rsidRPr="00BC3D84">
        <w:rPr>
          <w:color w:val="000000" w:themeColor="text1"/>
        </w:rPr>
        <w:t>customer</w:t>
      </w:r>
      <w:r w:rsidR="00C83679">
        <w:rPr>
          <w:color w:val="000000" w:themeColor="text1"/>
        </w:rPr>
        <w:t xml:space="preserve"> </w:t>
      </w:r>
      <w:r w:rsidRPr="00BC3D84">
        <w:rPr>
          <w:color w:val="000000" w:themeColor="text1"/>
        </w:rPr>
        <w:t>management</w:t>
      </w:r>
      <w:r w:rsidR="00C83679">
        <w:rPr>
          <w:color w:val="000000" w:themeColor="text1"/>
        </w:rPr>
        <w:t xml:space="preserve"> </w:t>
      </w:r>
      <w:r w:rsidRPr="00BC3D84">
        <w:rPr>
          <w:color w:val="000000" w:themeColor="text1"/>
        </w:rPr>
        <w:t>system</w:t>
      </w:r>
      <w:r w:rsidR="00C83679">
        <w:rPr>
          <w:color w:val="000000" w:themeColor="text1"/>
        </w:rPr>
        <w:t xml:space="preserve"> </w:t>
      </w:r>
      <w:r w:rsidRPr="00BC3D84">
        <w:rPr>
          <w:color w:val="000000" w:themeColor="text1"/>
        </w:rPr>
        <w:t>database</w:t>
      </w:r>
      <w:r w:rsidR="00C83679">
        <w:rPr>
          <w:color w:val="000000" w:themeColor="text1"/>
        </w:rPr>
        <w:t xml:space="preserve"> </w:t>
      </w:r>
      <w:r w:rsidRPr="00BC3D84">
        <w:rPr>
          <w:color w:val="000000" w:themeColor="text1"/>
        </w:rPr>
        <w:t>were</w:t>
      </w:r>
      <w:r w:rsidR="00C83679">
        <w:rPr>
          <w:color w:val="000000" w:themeColor="text1"/>
        </w:rPr>
        <w:t xml:space="preserve"> </w:t>
      </w:r>
      <w:r w:rsidRPr="00BC3D84">
        <w:rPr>
          <w:color w:val="000000" w:themeColor="text1"/>
        </w:rPr>
        <w:t>run</w:t>
      </w:r>
      <w:r w:rsidR="00C83679">
        <w:rPr>
          <w:color w:val="000000" w:themeColor="text1"/>
        </w:rPr>
        <w:t xml:space="preserve"> </w:t>
      </w:r>
      <w:r w:rsidRPr="00BC3D84">
        <w:rPr>
          <w:color w:val="000000" w:themeColor="text1"/>
        </w:rPr>
        <w:t>on</w:t>
      </w:r>
      <w:r w:rsidR="00C83679">
        <w:rPr>
          <w:color w:val="000000" w:themeColor="text1"/>
        </w:rPr>
        <w:t xml:space="preserve"> </w:t>
      </w:r>
      <w:r w:rsidRPr="00BC3D84">
        <w:rPr>
          <w:color w:val="000000" w:themeColor="text1"/>
        </w:rPr>
        <w:t>the</w:t>
      </w:r>
      <w:r w:rsidR="00C83679">
        <w:rPr>
          <w:color w:val="000000" w:themeColor="text1"/>
        </w:rPr>
        <w:t xml:space="preserve"> </w:t>
      </w:r>
      <w:r w:rsidRPr="00BC3D84">
        <w:rPr>
          <w:color w:val="000000" w:themeColor="text1"/>
        </w:rPr>
        <w:t>terms</w:t>
      </w:r>
      <w:r w:rsidR="00C83679">
        <w:rPr>
          <w:color w:val="000000" w:themeColor="text1"/>
        </w:rPr>
        <w:t xml:space="preserve"> </w:t>
      </w:r>
      <w:r w:rsidR="009007E0">
        <w:rPr>
          <w:color w:val="000000" w:themeColor="text1"/>
        </w:rPr>
        <w:t>‘</w:t>
      </w:r>
      <w:r w:rsidRPr="00BC3D84">
        <w:rPr>
          <w:color w:val="000000" w:themeColor="text1"/>
        </w:rPr>
        <w:t>tribal,</w:t>
      </w:r>
      <w:r w:rsidR="009007E0">
        <w:rPr>
          <w:color w:val="000000" w:themeColor="text1"/>
        </w:rPr>
        <w:t>’</w:t>
      </w:r>
      <w:r w:rsidR="00C83679">
        <w:rPr>
          <w:color w:val="000000" w:themeColor="text1"/>
        </w:rPr>
        <w:t xml:space="preserve"> </w:t>
      </w:r>
      <w:r w:rsidR="009007E0">
        <w:rPr>
          <w:color w:val="000000" w:themeColor="text1"/>
        </w:rPr>
        <w:t>‘</w:t>
      </w:r>
      <w:r w:rsidRPr="00BC3D84">
        <w:rPr>
          <w:color w:val="000000" w:themeColor="text1"/>
        </w:rPr>
        <w:t>Nation,</w:t>
      </w:r>
      <w:r w:rsidR="009007E0">
        <w:rPr>
          <w:color w:val="000000" w:themeColor="text1"/>
        </w:rPr>
        <w:t>’</w:t>
      </w:r>
      <w:r w:rsidR="00C83679">
        <w:rPr>
          <w:color w:val="000000" w:themeColor="text1"/>
        </w:rPr>
        <w:t xml:space="preserve"> </w:t>
      </w:r>
      <w:r w:rsidR="009007E0">
        <w:rPr>
          <w:color w:val="000000" w:themeColor="text1"/>
        </w:rPr>
        <w:t>‘</w:t>
      </w:r>
      <w:r w:rsidRPr="00BC3D84">
        <w:rPr>
          <w:color w:val="000000" w:themeColor="text1"/>
        </w:rPr>
        <w:t>Indian,</w:t>
      </w:r>
      <w:r w:rsidR="009007E0">
        <w:rPr>
          <w:color w:val="000000" w:themeColor="text1"/>
        </w:rPr>
        <w:t>’</w:t>
      </w:r>
      <w:r w:rsidR="00C83679">
        <w:rPr>
          <w:color w:val="000000" w:themeColor="text1"/>
        </w:rPr>
        <w:t xml:space="preserve"> </w:t>
      </w:r>
      <w:r w:rsidRPr="00BC3D84">
        <w:rPr>
          <w:color w:val="000000" w:themeColor="text1"/>
        </w:rPr>
        <w:t>and</w:t>
      </w:r>
      <w:r w:rsidR="00C83679">
        <w:rPr>
          <w:color w:val="000000" w:themeColor="text1"/>
        </w:rPr>
        <w:t xml:space="preserve"> </w:t>
      </w:r>
      <w:r w:rsidR="009007E0">
        <w:rPr>
          <w:color w:val="000000" w:themeColor="text1"/>
        </w:rPr>
        <w:t>‘</w:t>
      </w:r>
      <w:r w:rsidRPr="00BC3D84">
        <w:rPr>
          <w:color w:val="000000" w:themeColor="text1"/>
        </w:rPr>
        <w:t>Pueblo</w:t>
      </w:r>
      <w:r w:rsidR="009007E0">
        <w:rPr>
          <w:color w:val="000000" w:themeColor="text1"/>
        </w:rPr>
        <w:t>’</w:t>
      </w:r>
      <w:r w:rsidR="00C83679">
        <w:rPr>
          <w:color w:val="000000" w:themeColor="text1"/>
        </w:rPr>
        <w:t xml:space="preserve"> </w:t>
      </w:r>
      <w:r w:rsidRPr="00BC3D84">
        <w:rPr>
          <w:color w:val="000000" w:themeColor="text1"/>
        </w:rPr>
        <w:t>to</w:t>
      </w:r>
      <w:r w:rsidR="00C83679">
        <w:rPr>
          <w:color w:val="000000" w:themeColor="text1"/>
        </w:rPr>
        <w:t xml:space="preserve"> </w:t>
      </w:r>
      <w:r w:rsidRPr="00BC3D84">
        <w:rPr>
          <w:color w:val="000000" w:themeColor="text1"/>
        </w:rPr>
        <w:t>find</w:t>
      </w:r>
      <w:r w:rsidR="00C83679">
        <w:rPr>
          <w:color w:val="000000" w:themeColor="text1"/>
        </w:rPr>
        <w:t xml:space="preserve"> </w:t>
      </w:r>
      <w:r w:rsidRPr="00BC3D84">
        <w:rPr>
          <w:color w:val="000000" w:themeColor="text1"/>
        </w:rPr>
        <w:t>all</w:t>
      </w:r>
      <w:r w:rsidR="00C83679">
        <w:rPr>
          <w:color w:val="000000" w:themeColor="text1"/>
        </w:rPr>
        <w:t xml:space="preserve"> </w:t>
      </w:r>
      <w:r w:rsidR="00D47D6B">
        <w:rPr>
          <w:color w:val="000000" w:themeColor="text1"/>
        </w:rPr>
        <w:t>IACP</w:t>
      </w:r>
      <w:r w:rsidR="00C83679">
        <w:rPr>
          <w:color w:val="000000" w:themeColor="text1"/>
        </w:rPr>
        <w:t xml:space="preserve"> </w:t>
      </w:r>
      <w:r w:rsidRPr="00BC3D84">
        <w:rPr>
          <w:color w:val="000000" w:themeColor="text1"/>
        </w:rPr>
        <w:t>member</w:t>
      </w:r>
      <w:r w:rsidR="00C83679">
        <w:rPr>
          <w:color w:val="000000" w:themeColor="text1"/>
        </w:rPr>
        <w:t xml:space="preserve"> </w:t>
      </w:r>
      <w:r w:rsidRPr="00BC3D84">
        <w:rPr>
          <w:color w:val="000000" w:themeColor="text1"/>
        </w:rPr>
        <w:t>and</w:t>
      </w:r>
      <w:r w:rsidR="00C83679">
        <w:rPr>
          <w:color w:val="000000" w:themeColor="text1"/>
        </w:rPr>
        <w:t xml:space="preserve"> </w:t>
      </w:r>
      <w:r w:rsidRPr="00BC3D84">
        <w:rPr>
          <w:color w:val="000000" w:themeColor="text1"/>
        </w:rPr>
        <w:t>non-member</w:t>
      </w:r>
      <w:r w:rsidR="00C83679">
        <w:rPr>
          <w:color w:val="000000" w:themeColor="text1"/>
        </w:rPr>
        <w:t xml:space="preserve"> </w:t>
      </w:r>
      <w:r w:rsidRPr="00BC3D84">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00D47D6B">
        <w:rPr>
          <w:color w:val="000000" w:themeColor="text1"/>
        </w:rPr>
        <w:t>agency</w:t>
      </w:r>
      <w:r w:rsidR="00C83679">
        <w:rPr>
          <w:color w:val="000000" w:themeColor="text1"/>
        </w:rPr>
        <w:t xml:space="preserve"> </w:t>
      </w:r>
      <w:r w:rsidR="00D47D6B">
        <w:rPr>
          <w:color w:val="000000" w:themeColor="text1"/>
        </w:rPr>
        <w:t>contacts</w:t>
      </w:r>
      <w:r w:rsidR="00C83679">
        <w:rPr>
          <w:color w:val="000000" w:themeColor="text1"/>
        </w:rPr>
        <w:t xml:space="preserve"> </w:t>
      </w:r>
      <w:r w:rsidRPr="00BC3D84">
        <w:rPr>
          <w:color w:val="000000" w:themeColor="text1"/>
        </w:rPr>
        <w:t>that</w:t>
      </w:r>
      <w:r w:rsidR="00C83679">
        <w:rPr>
          <w:color w:val="000000" w:themeColor="text1"/>
        </w:rPr>
        <w:t xml:space="preserve"> </w:t>
      </w:r>
      <w:r w:rsidRPr="00BC3D84">
        <w:rPr>
          <w:color w:val="000000" w:themeColor="text1"/>
        </w:rPr>
        <w:t>had</w:t>
      </w:r>
      <w:r w:rsidR="00C83679">
        <w:rPr>
          <w:color w:val="000000" w:themeColor="text1"/>
        </w:rPr>
        <w:t xml:space="preserve"> </w:t>
      </w:r>
      <w:r w:rsidRPr="00BC3D84">
        <w:rPr>
          <w:color w:val="000000" w:themeColor="text1"/>
        </w:rPr>
        <w:t>interacted</w:t>
      </w:r>
      <w:r w:rsidR="00C83679">
        <w:rPr>
          <w:color w:val="000000" w:themeColor="text1"/>
        </w:rPr>
        <w:t xml:space="preserve"> </w:t>
      </w:r>
      <w:r w:rsidRPr="00BC3D84">
        <w:rPr>
          <w:color w:val="000000" w:themeColor="text1"/>
        </w:rPr>
        <w:t>with</w:t>
      </w:r>
      <w:r w:rsidR="00C83679">
        <w:rPr>
          <w:color w:val="000000" w:themeColor="text1"/>
        </w:rPr>
        <w:t xml:space="preserve"> </w:t>
      </w:r>
      <w:r w:rsidRPr="00BC3D84">
        <w:rPr>
          <w:color w:val="000000" w:themeColor="text1"/>
        </w:rPr>
        <w:t>IACP.</w:t>
      </w:r>
      <w:r w:rsidR="000956E9" w:rsidDel="000956E9">
        <w:rPr>
          <w:color w:val="000000" w:themeColor="text1"/>
        </w:rPr>
        <w:t xml:space="preserve"> </w:t>
      </w:r>
    </w:p>
    <w:p w14:paraId="17921962" w14:textId="51806C92" w:rsidR="00A87CC7" w:rsidRDefault="0022602A" w:rsidP="00D901A8">
      <w:pPr>
        <w:pStyle w:val="ListParagraph"/>
        <w:numPr>
          <w:ilvl w:val="0"/>
          <w:numId w:val="3"/>
        </w:numPr>
        <w:rPr>
          <w:color w:val="000000" w:themeColor="text1"/>
        </w:rPr>
      </w:pPr>
      <w:r w:rsidRPr="00A87CC7">
        <w:rPr>
          <w:b/>
          <w:color w:val="000000" w:themeColor="text1"/>
        </w:rPr>
        <w:t>National</w:t>
      </w:r>
      <w:r w:rsidR="00C83679">
        <w:rPr>
          <w:b/>
          <w:color w:val="000000" w:themeColor="text1"/>
        </w:rPr>
        <w:t xml:space="preserve"> </w:t>
      </w:r>
      <w:r w:rsidRPr="00A87CC7">
        <w:rPr>
          <w:b/>
          <w:color w:val="000000" w:themeColor="text1"/>
        </w:rPr>
        <w:t>Survey</w:t>
      </w:r>
      <w:r w:rsidR="00C83679">
        <w:rPr>
          <w:b/>
          <w:color w:val="000000" w:themeColor="text1"/>
        </w:rPr>
        <w:t xml:space="preserve"> </w:t>
      </w:r>
      <w:r w:rsidRPr="00A87CC7">
        <w:rPr>
          <w:b/>
          <w:color w:val="000000" w:themeColor="text1"/>
        </w:rPr>
        <w:t>of</w:t>
      </w:r>
      <w:r w:rsidR="00C83679">
        <w:rPr>
          <w:b/>
          <w:color w:val="000000" w:themeColor="text1"/>
        </w:rPr>
        <w:t xml:space="preserve"> </w:t>
      </w:r>
      <w:r w:rsidRPr="00A87CC7">
        <w:rPr>
          <w:b/>
          <w:color w:val="000000" w:themeColor="text1"/>
        </w:rPr>
        <w:t>Tribal</w:t>
      </w:r>
      <w:r w:rsidR="00C83679">
        <w:rPr>
          <w:b/>
          <w:color w:val="000000" w:themeColor="text1"/>
        </w:rPr>
        <w:t xml:space="preserve"> </w:t>
      </w:r>
      <w:r w:rsidRPr="00A87CC7">
        <w:rPr>
          <w:b/>
          <w:color w:val="000000" w:themeColor="text1"/>
        </w:rPr>
        <w:t>Court</w:t>
      </w:r>
      <w:r w:rsidR="00C83679">
        <w:rPr>
          <w:b/>
          <w:color w:val="000000" w:themeColor="text1"/>
        </w:rPr>
        <w:t xml:space="preserve"> </w:t>
      </w:r>
      <w:r w:rsidR="00746592">
        <w:rPr>
          <w:b/>
          <w:color w:val="000000" w:themeColor="text1"/>
        </w:rPr>
        <w:t>System</w:t>
      </w:r>
      <w:r w:rsidRPr="00A87CC7">
        <w:rPr>
          <w:b/>
          <w:color w:val="000000" w:themeColor="text1"/>
        </w:rPr>
        <w:t>s,</w:t>
      </w:r>
      <w:r w:rsidR="00C83679">
        <w:rPr>
          <w:b/>
          <w:color w:val="000000" w:themeColor="text1"/>
        </w:rPr>
        <w:t xml:space="preserve"> </w:t>
      </w:r>
      <w:r w:rsidRPr="00A87CC7">
        <w:rPr>
          <w:b/>
          <w:color w:val="000000" w:themeColor="text1"/>
        </w:rPr>
        <w:t>2014</w:t>
      </w:r>
      <w:r w:rsidR="00C83679">
        <w:rPr>
          <w:b/>
          <w:color w:val="000000" w:themeColor="text1"/>
        </w:rPr>
        <w:t xml:space="preserve"> </w:t>
      </w:r>
      <w:r w:rsidRPr="00A87CC7">
        <w:rPr>
          <w:b/>
          <w:color w:val="000000" w:themeColor="text1"/>
        </w:rPr>
        <w:t>(NSTC</w:t>
      </w:r>
      <w:r w:rsidR="00746592">
        <w:rPr>
          <w:b/>
          <w:color w:val="000000" w:themeColor="text1"/>
        </w:rPr>
        <w:t>S</w:t>
      </w:r>
      <w:r w:rsidRPr="00A87CC7">
        <w:rPr>
          <w:b/>
          <w:color w:val="000000" w:themeColor="text1"/>
        </w:rPr>
        <w:t>)</w:t>
      </w:r>
      <w:r w:rsidR="00C83679">
        <w:rPr>
          <w:b/>
          <w:color w:val="000000" w:themeColor="text1"/>
        </w:rPr>
        <w:t xml:space="preserve"> </w:t>
      </w:r>
      <w:r w:rsidRPr="00A87CC7">
        <w:rPr>
          <w:color w:val="000000" w:themeColor="text1"/>
        </w:rPr>
        <w:t>–</w:t>
      </w:r>
      <w:r w:rsidR="00C5740C">
        <w:rPr>
          <w:color w:val="000000" w:themeColor="text1"/>
        </w:rPr>
        <w:t xml:space="preserve"> The </w:t>
      </w:r>
      <w:r w:rsidRPr="00A87CC7">
        <w:rPr>
          <w:color w:val="000000" w:themeColor="text1"/>
        </w:rPr>
        <w:t>National</w:t>
      </w:r>
      <w:r w:rsidR="00C83679">
        <w:rPr>
          <w:color w:val="000000" w:themeColor="text1"/>
        </w:rPr>
        <w:t xml:space="preserve"> </w:t>
      </w:r>
      <w:r w:rsidRPr="00A87CC7">
        <w:rPr>
          <w:color w:val="000000" w:themeColor="text1"/>
        </w:rPr>
        <w:t>Survey</w:t>
      </w:r>
      <w:r w:rsidR="00C83679">
        <w:rPr>
          <w:color w:val="000000" w:themeColor="text1"/>
        </w:rPr>
        <w:t xml:space="preserve"> </w:t>
      </w:r>
      <w:r w:rsidRPr="00A87CC7">
        <w:rPr>
          <w:color w:val="000000" w:themeColor="text1"/>
        </w:rPr>
        <w:t>of</w:t>
      </w:r>
      <w:r w:rsidR="00C83679">
        <w:rPr>
          <w:color w:val="000000" w:themeColor="text1"/>
        </w:rPr>
        <w:t xml:space="preserve"> </w:t>
      </w:r>
      <w:r w:rsidRPr="00A87CC7">
        <w:rPr>
          <w:color w:val="000000" w:themeColor="text1"/>
        </w:rPr>
        <w:t>Tribal</w:t>
      </w:r>
      <w:r w:rsidR="00C83679">
        <w:rPr>
          <w:color w:val="000000" w:themeColor="text1"/>
        </w:rPr>
        <w:t xml:space="preserve"> </w:t>
      </w:r>
      <w:r w:rsidRPr="00A87CC7">
        <w:rPr>
          <w:color w:val="000000" w:themeColor="text1"/>
        </w:rPr>
        <w:t>Court</w:t>
      </w:r>
      <w:r w:rsidR="00C83679">
        <w:rPr>
          <w:color w:val="000000" w:themeColor="text1"/>
        </w:rPr>
        <w:t xml:space="preserve"> </w:t>
      </w:r>
      <w:r w:rsidR="00746592">
        <w:rPr>
          <w:color w:val="000000" w:themeColor="text1"/>
        </w:rPr>
        <w:t>System</w:t>
      </w:r>
      <w:r w:rsidRPr="00A87CC7">
        <w:rPr>
          <w:color w:val="000000" w:themeColor="text1"/>
        </w:rPr>
        <w:t>s</w:t>
      </w:r>
      <w:r w:rsidR="00C83679">
        <w:rPr>
          <w:color w:val="000000" w:themeColor="text1"/>
        </w:rPr>
        <w:t xml:space="preserve"> </w:t>
      </w:r>
      <w:r w:rsidR="00746592">
        <w:rPr>
          <w:color w:val="000000" w:themeColor="text1"/>
        </w:rPr>
        <w:t>(NSTCS)</w:t>
      </w:r>
      <w:r w:rsidR="00C83679">
        <w:rPr>
          <w:color w:val="000000" w:themeColor="text1"/>
        </w:rPr>
        <w:t xml:space="preserve"> </w:t>
      </w:r>
      <w:r w:rsidRPr="00A87CC7">
        <w:rPr>
          <w:color w:val="000000" w:themeColor="text1"/>
        </w:rPr>
        <w:t>data</w:t>
      </w:r>
      <w:r w:rsidR="00C83679">
        <w:rPr>
          <w:color w:val="000000" w:themeColor="text1"/>
        </w:rPr>
        <w:t xml:space="preserve"> </w:t>
      </w:r>
      <w:r w:rsidRPr="00A87CC7">
        <w:rPr>
          <w:color w:val="000000" w:themeColor="text1"/>
        </w:rPr>
        <w:t>collection</w:t>
      </w:r>
      <w:r w:rsidR="00C5740C">
        <w:rPr>
          <w:color w:val="000000" w:themeColor="text1"/>
        </w:rPr>
        <w:t xml:space="preserve"> provided</w:t>
      </w:r>
      <w:r w:rsidR="00C83679">
        <w:rPr>
          <w:color w:val="000000" w:themeColor="text1"/>
        </w:rPr>
        <w:t xml:space="preserve"> </w:t>
      </w:r>
      <w:r w:rsidRPr="00A87CC7">
        <w:rPr>
          <w:color w:val="000000" w:themeColor="text1"/>
        </w:rPr>
        <w:t>tribe</w:t>
      </w:r>
      <w:r w:rsidR="00C83679">
        <w:rPr>
          <w:color w:val="000000" w:themeColor="text1"/>
        </w:rPr>
        <w:t xml:space="preserve"> </w:t>
      </w:r>
      <w:r w:rsidRPr="00A87CC7">
        <w:rPr>
          <w:color w:val="000000" w:themeColor="text1"/>
        </w:rPr>
        <w:t>name,</w:t>
      </w:r>
      <w:r w:rsidR="00C83679">
        <w:rPr>
          <w:color w:val="000000" w:themeColor="text1"/>
        </w:rPr>
        <w:t xml:space="preserve"> </w:t>
      </w:r>
      <w:r w:rsidRPr="00A87CC7">
        <w:rPr>
          <w:color w:val="000000" w:themeColor="text1"/>
        </w:rPr>
        <w:t>tribal</w:t>
      </w:r>
      <w:r w:rsidR="00C83679">
        <w:rPr>
          <w:color w:val="000000" w:themeColor="text1"/>
        </w:rPr>
        <w:t xml:space="preserve"> </w:t>
      </w:r>
      <w:r w:rsidRPr="00A87CC7">
        <w:rPr>
          <w:color w:val="000000" w:themeColor="text1"/>
        </w:rPr>
        <w:t>agency</w:t>
      </w:r>
      <w:r w:rsidR="00C83679">
        <w:rPr>
          <w:color w:val="000000" w:themeColor="text1"/>
        </w:rPr>
        <w:t xml:space="preserve"> </w:t>
      </w:r>
      <w:r w:rsidRPr="00A87CC7">
        <w:rPr>
          <w:color w:val="000000" w:themeColor="text1"/>
        </w:rPr>
        <w:t>name,</w:t>
      </w:r>
      <w:r w:rsidR="00C83679">
        <w:rPr>
          <w:color w:val="000000" w:themeColor="text1"/>
        </w:rPr>
        <w:t xml:space="preserve"> </w:t>
      </w:r>
      <w:r w:rsidRPr="00A87CC7">
        <w:rPr>
          <w:color w:val="000000" w:themeColor="text1"/>
        </w:rPr>
        <w:t>city</w:t>
      </w:r>
      <w:r w:rsidR="00C83679">
        <w:rPr>
          <w:color w:val="000000" w:themeColor="text1"/>
        </w:rPr>
        <w:t xml:space="preserve"> </w:t>
      </w:r>
      <w:r w:rsidRPr="00A87CC7">
        <w:rPr>
          <w:color w:val="000000" w:themeColor="text1"/>
        </w:rPr>
        <w:t>name</w:t>
      </w:r>
      <w:r w:rsidR="00C83679">
        <w:rPr>
          <w:color w:val="000000" w:themeColor="text1"/>
        </w:rPr>
        <w:t xml:space="preserve"> </w:t>
      </w:r>
      <w:r w:rsidRPr="00A87CC7">
        <w:rPr>
          <w:color w:val="000000" w:themeColor="text1"/>
        </w:rPr>
        <w:t>of</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tribal</w:t>
      </w:r>
      <w:r w:rsidR="00C83679">
        <w:rPr>
          <w:color w:val="000000" w:themeColor="text1"/>
        </w:rPr>
        <w:t xml:space="preserve"> </w:t>
      </w:r>
      <w:r w:rsidRPr="00A87CC7">
        <w:rPr>
          <w:color w:val="000000" w:themeColor="text1"/>
        </w:rPr>
        <w:t>court,</w:t>
      </w:r>
      <w:r w:rsidR="00C83679">
        <w:rPr>
          <w:color w:val="000000" w:themeColor="text1"/>
        </w:rPr>
        <w:t xml:space="preserve"> </w:t>
      </w:r>
      <w:r w:rsidRPr="00A87CC7">
        <w:rPr>
          <w:color w:val="000000" w:themeColor="text1"/>
        </w:rPr>
        <w:t>state</w:t>
      </w:r>
      <w:r w:rsidR="00C83679">
        <w:rPr>
          <w:color w:val="000000" w:themeColor="text1"/>
        </w:rPr>
        <w:t xml:space="preserve"> </w:t>
      </w:r>
      <w:r w:rsidRPr="00A87CC7">
        <w:rPr>
          <w:color w:val="000000" w:themeColor="text1"/>
        </w:rPr>
        <w:t>of</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tribal</w:t>
      </w:r>
      <w:r w:rsidR="00C83679">
        <w:rPr>
          <w:color w:val="000000" w:themeColor="text1"/>
        </w:rPr>
        <w:t xml:space="preserve"> </w:t>
      </w:r>
      <w:r w:rsidRPr="00A87CC7">
        <w:rPr>
          <w:color w:val="000000" w:themeColor="text1"/>
        </w:rPr>
        <w:t>court</w:t>
      </w:r>
      <w:r w:rsidR="00C83679">
        <w:rPr>
          <w:color w:val="000000" w:themeColor="text1"/>
        </w:rPr>
        <w:t xml:space="preserve"> </w:t>
      </w:r>
      <w:r w:rsidRPr="00A87CC7">
        <w:rPr>
          <w:color w:val="000000" w:themeColor="text1"/>
        </w:rPr>
        <w:t>and</w:t>
      </w:r>
      <w:r w:rsidR="00C83679">
        <w:rPr>
          <w:color w:val="000000" w:themeColor="text1"/>
        </w:rPr>
        <w:t xml:space="preserve"> </w:t>
      </w:r>
      <w:r w:rsidRPr="00A87CC7">
        <w:rPr>
          <w:color w:val="000000" w:themeColor="text1"/>
        </w:rPr>
        <w:t>zip</w:t>
      </w:r>
      <w:r w:rsidR="00C83679">
        <w:rPr>
          <w:color w:val="000000" w:themeColor="text1"/>
        </w:rPr>
        <w:t xml:space="preserve"> </w:t>
      </w:r>
      <w:r w:rsidRPr="00A87CC7">
        <w:rPr>
          <w:color w:val="000000" w:themeColor="text1"/>
        </w:rPr>
        <w:t>code</w:t>
      </w:r>
      <w:r w:rsidR="00C83679">
        <w:rPr>
          <w:color w:val="000000" w:themeColor="text1"/>
        </w:rPr>
        <w:t xml:space="preserve"> </w:t>
      </w:r>
      <w:r w:rsidRPr="00A87CC7">
        <w:rPr>
          <w:color w:val="000000" w:themeColor="text1"/>
        </w:rPr>
        <w:t>of</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tribal</w:t>
      </w:r>
      <w:r w:rsidR="00C83679">
        <w:rPr>
          <w:color w:val="000000" w:themeColor="text1"/>
        </w:rPr>
        <w:t xml:space="preserve"> </w:t>
      </w:r>
      <w:r w:rsidRPr="00A87CC7">
        <w:rPr>
          <w:color w:val="000000" w:themeColor="text1"/>
        </w:rPr>
        <w:t>court.</w:t>
      </w:r>
      <w:r w:rsidR="00C83679">
        <w:rPr>
          <w:color w:val="000000" w:themeColor="text1"/>
        </w:rPr>
        <w:t xml:space="preserve">  </w:t>
      </w:r>
      <w:r w:rsidR="00746592" w:rsidRPr="00A87CC7">
        <w:rPr>
          <w:color w:val="000000" w:themeColor="text1"/>
        </w:rPr>
        <w:t>Th</w:t>
      </w:r>
      <w:r w:rsidR="00746592">
        <w:rPr>
          <w:color w:val="000000" w:themeColor="text1"/>
        </w:rPr>
        <w:t>ese</w:t>
      </w:r>
      <w:r w:rsidR="00C83679">
        <w:rPr>
          <w:color w:val="000000" w:themeColor="text1"/>
        </w:rPr>
        <w:t xml:space="preserve"> </w:t>
      </w:r>
      <w:r w:rsidR="00844A32" w:rsidRPr="00A87CC7">
        <w:rPr>
          <w:color w:val="000000" w:themeColor="text1"/>
        </w:rPr>
        <w:t>data</w:t>
      </w:r>
      <w:r w:rsidR="00844A32">
        <w:rPr>
          <w:color w:val="000000" w:themeColor="text1"/>
        </w:rPr>
        <w:t xml:space="preserve"> were</w:t>
      </w:r>
      <w:r w:rsidR="00C83679">
        <w:rPr>
          <w:color w:val="000000" w:themeColor="text1"/>
        </w:rPr>
        <w:t xml:space="preserve"> </w:t>
      </w:r>
      <w:r w:rsidRPr="00A87CC7">
        <w:rPr>
          <w:color w:val="000000" w:themeColor="text1"/>
        </w:rPr>
        <w:t>used</w:t>
      </w:r>
      <w:r w:rsidR="00C83679">
        <w:rPr>
          <w:color w:val="000000" w:themeColor="text1"/>
        </w:rPr>
        <w:t xml:space="preserve"> </w:t>
      </w:r>
      <w:r w:rsidRPr="00A87CC7">
        <w:rPr>
          <w:color w:val="000000" w:themeColor="text1"/>
        </w:rPr>
        <w:t>to</w:t>
      </w:r>
      <w:r w:rsidR="00C83679">
        <w:rPr>
          <w:color w:val="000000" w:themeColor="text1"/>
        </w:rPr>
        <w:t xml:space="preserve"> </w:t>
      </w:r>
      <w:r w:rsidR="00E24E22">
        <w:rPr>
          <w:color w:val="000000" w:themeColor="text1"/>
        </w:rPr>
        <w:t>verify</w:t>
      </w:r>
      <w:r w:rsidR="00C83679">
        <w:rPr>
          <w:color w:val="000000" w:themeColor="text1"/>
        </w:rPr>
        <w:t xml:space="preserve"> </w:t>
      </w:r>
      <w:r w:rsidR="00E24E22">
        <w:rPr>
          <w:color w:val="000000" w:themeColor="text1"/>
        </w:rPr>
        <w:t>and</w:t>
      </w:r>
      <w:r w:rsidR="00C83679">
        <w:rPr>
          <w:color w:val="000000" w:themeColor="text1"/>
        </w:rPr>
        <w:t xml:space="preserve"> </w:t>
      </w:r>
      <w:r w:rsidRPr="00A87CC7">
        <w:rPr>
          <w:color w:val="000000" w:themeColor="text1"/>
        </w:rPr>
        <w:t>validate</w:t>
      </w:r>
      <w:r w:rsidR="00C83679">
        <w:rPr>
          <w:color w:val="000000" w:themeColor="text1"/>
        </w:rPr>
        <w:t xml:space="preserve"> </w:t>
      </w:r>
      <w:r w:rsidRPr="00A87CC7">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Pr="00A87CC7">
        <w:rPr>
          <w:color w:val="000000" w:themeColor="text1"/>
        </w:rPr>
        <w:t>agency</w:t>
      </w:r>
      <w:r w:rsidR="00C83679">
        <w:rPr>
          <w:color w:val="000000" w:themeColor="text1"/>
        </w:rPr>
        <w:t xml:space="preserve"> </w:t>
      </w:r>
      <w:r w:rsidR="00E24E22">
        <w:rPr>
          <w:color w:val="000000" w:themeColor="text1"/>
        </w:rPr>
        <w:t>information</w:t>
      </w:r>
      <w:r w:rsidR="00C83679">
        <w:rPr>
          <w:color w:val="000000" w:themeColor="text1"/>
        </w:rPr>
        <w:t xml:space="preserve"> </w:t>
      </w:r>
      <w:r w:rsidR="008F4762">
        <w:rPr>
          <w:color w:val="000000" w:themeColor="text1"/>
        </w:rPr>
        <w:t xml:space="preserve">on the CTLEA list with the </w:t>
      </w:r>
      <w:r w:rsidR="00903FED">
        <w:rPr>
          <w:color w:val="000000" w:themeColor="text1"/>
        </w:rPr>
        <w:t>LE</w:t>
      </w:r>
      <w:r w:rsidR="008F4762">
        <w:rPr>
          <w:color w:val="000000" w:themeColor="text1"/>
        </w:rPr>
        <w:t xml:space="preserve"> agency information </w:t>
      </w:r>
      <w:r w:rsidR="00E24E22">
        <w:rPr>
          <w:color w:val="000000" w:themeColor="text1"/>
        </w:rPr>
        <w:t>reported</w:t>
      </w:r>
      <w:r w:rsidR="00C83679">
        <w:rPr>
          <w:color w:val="000000" w:themeColor="text1"/>
        </w:rPr>
        <w:t xml:space="preserve"> </w:t>
      </w:r>
      <w:r w:rsidR="008F4762">
        <w:rPr>
          <w:color w:val="000000" w:themeColor="text1"/>
        </w:rPr>
        <w:t xml:space="preserve">by tribal courts </w:t>
      </w:r>
      <w:r w:rsidRPr="00A87CC7">
        <w:rPr>
          <w:color w:val="000000" w:themeColor="text1"/>
        </w:rPr>
        <w:t>on</w:t>
      </w:r>
      <w:r w:rsidR="00C83679">
        <w:rPr>
          <w:color w:val="000000" w:themeColor="text1"/>
        </w:rPr>
        <w:t xml:space="preserve"> </w:t>
      </w:r>
      <w:r w:rsidR="00E24E22" w:rsidRPr="00A87CC7">
        <w:rPr>
          <w:color w:val="000000" w:themeColor="text1"/>
        </w:rPr>
        <w:t>the</w:t>
      </w:r>
      <w:r w:rsidR="00C83679">
        <w:rPr>
          <w:color w:val="000000" w:themeColor="text1"/>
        </w:rPr>
        <w:t xml:space="preserve"> </w:t>
      </w:r>
      <w:r w:rsidR="00E24E22">
        <w:rPr>
          <w:color w:val="000000" w:themeColor="text1"/>
        </w:rPr>
        <w:t>2014</w:t>
      </w:r>
      <w:r w:rsidR="00C83679">
        <w:rPr>
          <w:color w:val="000000" w:themeColor="text1"/>
        </w:rPr>
        <w:t xml:space="preserve"> </w:t>
      </w:r>
      <w:r w:rsidR="00E24E22">
        <w:rPr>
          <w:color w:val="000000" w:themeColor="text1"/>
        </w:rPr>
        <w:t>NSTCS</w:t>
      </w:r>
      <w:r w:rsidR="00C83679">
        <w:rPr>
          <w:color w:val="000000" w:themeColor="text1"/>
        </w:rPr>
        <w:t xml:space="preserve"> </w:t>
      </w:r>
      <w:r w:rsidRPr="00A87CC7">
        <w:rPr>
          <w:color w:val="000000" w:themeColor="text1"/>
        </w:rPr>
        <w:t>universe</w:t>
      </w:r>
      <w:r w:rsidR="00C83679">
        <w:rPr>
          <w:color w:val="000000" w:themeColor="text1"/>
        </w:rPr>
        <w:t xml:space="preserve"> </w:t>
      </w:r>
      <w:r w:rsidRPr="00A87CC7">
        <w:rPr>
          <w:color w:val="000000" w:themeColor="text1"/>
        </w:rPr>
        <w:t>list.</w:t>
      </w:r>
      <w:r w:rsidR="009B122B">
        <w:rPr>
          <w:color w:val="000000" w:themeColor="text1"/>
        </w:rPr>
        <w:t xml:space="preserve">  </w:t>
      </w:r>
    </w:p>
    <w:p w14:paraId="5AE47827" w14:textId="77777777" w:rsidR="00A87CC7" w:rsidRDefault="00A87CC7" w:rsidP="0022602A">
      <w:pPr>
        <w:rPr>
          <w:color w:val="000000" w:themeColor="text1"/>
        </w:rPr>
      </w:pPr>
    </w:p>
    <w:p w14:paraId="09E248D0" w14:textId="7FD668F5" w:rsidR="00AD0772" w:rsidRDefault="00844A32" w:rsidP="0022602A">
      <w:pPr>
        <w:rPr>
          <w:color w:val="000000" w:themeColor="text1"/>
        </w:rPr>
      </w:pPr>
      <w:r w:rsidRPr="00926CF7">
        <w:t>The</w:t>
      </w:r>
      <w:r>
        <w:t xml:space="preserve"> source</w:t>
      </w:r>
      <w:r w:rsidR="00C83679">
        <w:t xml:space="preserve"> </w:t>
      </w:r>
      <w:r w:rsidR="00926CF7" w:rsidRPr="00926CF7">
        <w:t>files</w:t>
      </w:r>
      <w:r w:rsidR="00C83679">
        <w:t xml:space="preserve"> </w:t>
      </w:r>
      <w:r w:rsidR="00926CF7" w:rsidRPr="00926CF7">
        <w:t>listed</w:t>
      </w:r>
      <w:r w:rsidR="00C83679">
        <w:t xml:space="preserve"> </w:t>
      </w:r>
      <w:r w:rsidR="00926CF7" w:rsidRPr="00926CF7">
        <w:t>above</w:t>
      </w:r>
      <w:r w:rsidR="00C83679">
        <w:t xml:space="preserve"> </w:t>
      </w:r>
      <w:r w:rsidR="00926CF7" w:rsidRPr="00926CF7">
        <w:t>were</w:t>
      </w:r>
      <w:r w:rsidR="00C83679">
        <w:t xml:space="preserve"> </w:t>
      </w:r>
      <w:r w:rsidR="00926CF7" w:rsidRPr="00926CF7">
        <w:t>used</w:t>
      </w:r>
      <w:r w:rsidR="00C83679">
        <w:t xml:space="preserve"> </w:t>
      </w:r>
      <w:r w:rsidR="00926CF7" w:rsidRPr="00926CF7">
        <w:t>to</w:t>
      </w:r>
      <w:r w:rsidR="00C83679">
        <w:t xml:space="preserve"> </w:t>
      </w:r>
      <w:r w:rsidR="00AC171B">
        <w:t>create</w:t>
      </w:r>
      <w:r w:rsidR="00C83679">
        <w:t xml:space="preserve"> </w:t>
      </w:r>
      <w:r w:rsidR="00AC171B">
        <w:t>a</w:t>
      </w:r>
      <w:r w:rsidR="00C5740C">
        <w:t>n initial</w:t>
      </w:r>
      <w:r w:rsidR="00C83679">
        <w:t xml:space="preserve"> </w:t>
      </w:r>
      <w:r w:rsidR="00AC171B">
        <w:t>comprehensive</w:t>
      </w:r>
      <w:r w:rsidR="00C83679">
        <w:t xml:space="preserve"> </w:t>
      </w:r>
      <w:r w:rsidR="00AC171B">
        <w:t>listing</w:t>
      </w:r>
      <w:r w:rsidR="00C83679">
        <w:t xml:space="preserve"> </w:t>
      </w:r>
      <w:r>
        <w:t>of tribal</w:t>
      </w:r>
      <w:r w:rsidR="00C83679">
        <w:t xml:space="preserve"> </w:t>
      </w:r>
      <w:r w:rsidR="00903FED">
        <w:t>LE</w:t>
      </w:r>
      <w:r w:rsidR="00C83679">
        <w:t xml:space="preserve"> </w:t>
      </w:r>
      <w:r w:rsidR="00926CF7" w:rsidRPr="00926CF7">
        <w:t>agenc</w:t>
      </w:r>
      <w:r w:rsidR="00664D4A">
        <w:t>ies with</w:t>
      </w:r>
      <w:r w:rsidR="00C83679">
        <w:t xml:space="preserve"> </w:t>
      </w:r>
      <w:r w:rsidR="00926CF7" w:rsidRPr="00926CF7">
        <w:t>contact</w:t>
      </w:r>
      <w:r w:rsidR="00C83679">
        <w:t xml:space="preserve"> </w:t>
      </w:r>
      <w:r w:rsidR="00926CF7" w:rsidRPr="00926CF7">
        <w:t>information.</w:t>
      </w:r>
      <w:r w:rsidR="00C83679">
        <w:t xml:space="preserve"> </w:t>
      </w:r>
      <w:r w:rsidR="00926CF7" w:rsidRPr="00926CF7">
        <w:t>When</w:t>
      </w:r>
      <w:r w:rsidR="00C83679">
        <w:t xml:space="preserve"> </w:t>
      </w:r>
      <w:r w:rsidR="00926CF7" w:rsidRPr="00926CF7">
        <w:t>there</w:t>
      </w:r>
      <w:r w:rsidR="00C83679">
        <w:t xml:space="preserve"> </w:t>
      </w:r>
      <w:r w:rsidR="00926CF7" w:rsidRPr="00926CF7">
        <w:t>were</w:t>
      </w:r>
      <w:r w:rsidR="00C83679">
        <w:t xml:space="preserve"> </w:t>
      </w:r>
      <w:r w:rsidR="00926CF7" w:rsidRPr="00926CF7">
        <w:t>discrepancies</w:t>
      </w:r>
      <w:r w:rsidR="00C83679">
        <w:t xml:space="preserve"> </w:t>
      </w:r>
      <w:r w:rsidR="00926CF7" w:rsidRPr="00926CF7">
        <w:t>between</w:t>
      </w:r>
      <w:r w:rsidR="00C83679">
        <w:t xml:space="preserve"> </w:t>
      </w:r>
      <w:r w:rsidR="00926CF7" w:rsidRPr="00926CF7">
        <w:t>the</w:t>
      </w:r>
      <w:r w:rsidR="00C83679">
        <w:t xml:space="preserve"> </w:t>
      </w:r>
      <w:r w:rsidR="00926CF7" w:rsidRPr="00926CF7">
        <w:t>sources</w:t>
      </w:r>
      <w:r w:rsidR="00C83679">
        <w:t xml:space="preserve"> </w:t>
      </w:r>
      <w:r w:rsidR="00926CF7" w:rsidRPr="00926CF7">
        <w:t>for</w:t>
      </w:r>
      <w:r w:rsidR="00C83679">
        <w:t xml:space="preserve"> </w:t>
      </w:r>
      <w:r w:rsidR="00926CF7" w:rsidRPr="00926CF7">
        <w:t>an</w:t>
      </w:r>
      <w:r w:rsidR="00C83679">
        <w:t xml:space="preserve"> </w:t>
      </w:r>
      <w:r w:rsidR="00926CF7" w:rsidRPr="00926CF7">
        <w:t>agency</w:t>
      </w:r>
      <w:r w:rsidR="00C83679">
        <w:t xml:space="preserve"> </w:t>
      </w:r>
      <w:r w:rsidR="00926CF7" w:rsidRPr="00926CF7">
        <w:t>name</w:t>
      </w:r>
      <w:r w:rsidR="00C83679">
        <w:t xml:space="preserve"> </w:t>
      </w:r>
      <w:r w:rsidR="00926CF7" w:rsidRPr="00926CF7">
        <w:t>(</w:t>
      </w:r>
      <w:r w:rsidR="00AD0772">
        <w:t>e.g.,</w:t>
      </w:r>
      <w:r w:rsidR="00C83679">
        <w:t xml:space="preserve"> </w:t>
      </w:r>
      <w:r w:rsidR="00926CF7" w:rsidRPr="00926CF7">
        <w:rPr>
          <w:i/>
        </w:rPr>
        <w:t>Nez</w:t>
      </w:r>
      <w:r w:rsidR="00C83679">
        <w:rPr>
          <w:i/>
        </w:rPr>
        <w:t xml:space="preserve"> </w:t>
      </w:r>
      <w:r w:rsidR="00926CF7" w:rsidRPr="00926CF7">
        <w:rPr>
          <w:i/>
        </w:rPr>
        <w:t>Perce</w:t>
      </w:r>
      <w:r w:rsidR="00C83679">
        <w:rPr>
          <w:i/>
        </w:rPr>
        <w:t xml:space="preserve"> </w:t>
      </w:r>
      <w:r w:rsidR="00926CF7" w:rsidRPr="00926CF7">
        <w:rPr>
          <w:i/>
        </w:rPr>
        <w:t>Police</w:t>
      </w:r>
      <w:r w:rsidR="00C83679">
        <w:rPr>
          <w:i/>
        </w:rPr>
        <w:t xml:space="preserve"> </w:t>
      </w:r>
      <w:r w:rsidR="00926CF7" w:rsidRPr="00926CF7">
        <w:rPr>
          <w:i/>
        </w:rPr>
        <w:t>Department</w:t>
      </w:r>
      <w:r w:rsidR="00C83679">
        <w:t xml:space="preserve"> </w:t>
      </w:r>
      <w:r w:rsidR="00926CF7" w:rsidRPr="00926CF7">
        <w:t>versus</w:t>
      </w:r>
      <w:r w:rsidR="00C83679">
        <w:t xml:space="preserve"> </w:t>
      </w:r>
      <w:r w:rsidR="00926CF7" w:rsidRPr="00926CF7">
        <w:rPr>
          <w:i/>
        </w:rPr>
        <w:t>Nez</w:t>
      </w:r>
      <w:r w:rsidR="00C83679">
        <w:rPr>
          <w:i/>
        </w:rPr>
        <w:t xml:space="preserve"> </w:t>
      </w:r>
      <w:r w:rsidR="00926CF7" w:rsidRPr="00926CF7">
        <w:rPr>
          <w:i/>
        </w:rPr>
        <w:t>Perce</w:t>
      </w:r>
      <w:r w:rsidR="00C83679">
        <w:rPr>
          <w:i/>
        </w:rPr>
        <w:t xml:space="preserve"> </w:t>
      </w:r>
      <w:r w:rsidR="00926CF7" w:rsidRPr="00926CF7">
        <w:rPr>
          <w:i/>
        </w:rPr>
        <w:t>Tribal</w:t>
      </w:r>
      <w:r w:rsidR="00C83679">
        <w:rPr>
          <w:i/>
        </w:rPr>
        <w:t xml:space="preserve"> </w:t>
      </w:r>
      <w:r w:rsidR="00926CF7" w:rsidRPr="00926CF7">
        <w:rPr>
          <w:i/>
        </w:rPr>
        <w:t>Police</w:t>
      </w:r>
      <w:r w:rsidR="00C83679">
        <w:rPr>
          <w:i/>
        </w:rPr>
        <w:t xml:space="preserve"> </w:t>
      </w:r>
      <w:r w:rsidR="00926CF7" w:rsidRPr="00926CF7">
        <w:rPr>
          <w:i/>
        </w:rPr>
        <w:t>Department</w:t>
      </w:r>
      <w:r w:rsidR="00926CF7" w:rsidRPr="00926CF7">
        <w:t>),</w:t>
      </w:r>
      <w:r w:rsidR="00C83679">
        <w:t xml:space="preserve"> </w:t>
      </w:r>
      <w:r w:rsidR="00926CF7" w:rsidRPr="00926CF7">
        <w:t>contacts,</w:t>
      </w:r>
      <w:r w:rsidR="00C83679">
        <w:t xml:space="preserve"> </w:t>
      </w:r>
      <w:r w:rsidR="00926CF7" w:rsidRPr="00926CF7">
        <w:t>or</w:t>
      </w:r>
      <w:r w:rsidR="00C83679">
        <w:t xml:space="preserve"> </w:t>
      </w:r>
      <w:r w:rsidR="00926CF7" w:rsidRPr="00926CF7">
        <w:t>address</w:t>
      </w:r>
      <w:r w:rsidR="009B122B">
        <w:t>es</w:t>
      </w:r>
      <w:r w:rsidR="00C83679">
        <w:t xml:space="preserve"> </w:t>
      </w:r>
      <w:r w:rsidR="00926CF7" w:rsidRPr="00926CF7">
        <w:t>(i.e.</w:t>
      </w:r>
      <w:r w:rsidR="00916AAD">
        <w:t>,</w:t>
      </w:r>
      <w:r w:rsidR="00C83679">
        <w:t xml:space="preserve"> </w:t>
      </w:r>
      <w:r w:rsidR="00926CF7" w:rsidRPr="00926CF7">
        <w:t>mailing</w:t>
      </w:r>
      <w:r w:rsidR="00C83679">
        <w:t xml:space="preserve"> </w:t>
      </w:r>
      <w:r w:rsidR="00926CF7" w:rsidRPr="00926CF7">
        <w:t>versus</w:t>
      </w:r>
      <w:r w:rsidR="00C83679">
        <w:t xml:space="preserve"> </w:t>
      </w:r>
      <w:r w:rsidR="00926CF7" w:rsidRPr="00926CF7">
        <w:t>physical</w:t>
      </w:r>
      <w:r w:rsidR="00C83679">
        <w:t xml:space="preserve"> </w:t>
      </w:r>
      <w:r w:rsidR="00926CF7" w:rsidRPr="00926CF7">
        <w:t>address),</w:t>
      </w:r>
      <w:r w:rsidR="00C83679">
        <w:t xml:space="preserve"> </w:t>
      </w:r>
      <w:r w:rsidR="002A6848">
        <w:t>follow</w:t>
      </w:r>
      <w:r w:rsidR="00C83679">
        <w:t xml:space="preserve"> </w:t>
      </w:r>
      <w:r w:rsidR="002A6848">
        <w:t>up</w:t>
      </w:r>
      <w:r w:rsidR="00C83679">
        <w:t xml:space="preserve"> </w:t>
      </w:r>
      <w:r w:rsidR="002A6848">
        <w:t>was</w:t>
      </w:r>
      <w:r w:rsidR="00C83679">
        <w:t xml:space="preserve"> </w:t>
      </w:r>
      <w:r w:rsidR="002A6848">
        <w:t>made</w:t>
      </w:r>
      <w:r w:rsidR="00C83679">
        <w:t xml:space="preserve"> </w:t>
      </w:r>
      <w:r w:rsidR="002A6848">
        <w:t>by</w:t>
      </w:r>
      <w:r w:rsidR="00C83679">
        <w:t xml:space="preserve"> checking </w:t>
      </w:r>
      <w:r w:rsidR="00926CF7" w:rsidRPr="00926CF7">
        <w:lastRenderedPageBreak/>
        <w:t>online</w:t>
      </w:r>
      <w:r w:rsidR="00C83679">
        <w:t xml:space="preserve"> </w:t>
      </w:r>
      <w:r w:rsidR="00926CF7" w:rsidRPr="00926CF7">
        <w:t>sources</w:t>
      </w:r>
      <w:r w:rsidR="00C83679">
        <w:t xml:space="preserve"> </w:t>
      </w:r>
      <w:r w:rsidR="00926CF7" w:rsidRPr="00926CF7">
        <w:t>or</w:t>
      </w:r>
      <w:r w:rsidR="00AA3BC8">
        <w:t>, in the event that the information could not be verified through other sources,</w:t>
      </w:r>
      <w:r w:rsidR="00C83679">
        <w:t xml:space="preserve"> </w:t>
      </w:r>
      <w:r w:rsidR="00926CF7" w:rsidRPr="00926CF7">
        <w:t>contact</w:t>
      </w:r>
      <w:r w:rsidR="002A6848">
        <w:t>ing</w:t>
      </w:r>
      <w:r w:rsidR="00C83679">
        <w:t xml:space="preserve"> </w:t>
      </w:r>
      <w:r w:rsidR="00926CF7" w:rsidRPr="00926CF7">
        <w:t>the</w:t>
      </w:r>
      <w:r w:rsidR="00C83679">
        <w:t xml:space="preserve"> </w:t>
      </w:r>
      <w:r w:rsidR="00926CF7" w:rsidRPr="00926CF7">
        <w:t>tribe</w:t>
      </w:r>
      <w:r w:rsidR="00C83679">
        <w:t xml:space="preserve"> </w:t>
      </w:r>
      <w:r w:rsidR="00926CF7" w:rsidRPr="00926CF7">
        <w:t>to</w:t>
      </w:r>
      <w:r w:rsidR="00C83679">
        <w:t xml:space="preserve"> </w:t>
      </w:r>
      <w:r w:rsidR="00926CF7" w:rsidRPr="00926CF7">
        <w:t>ensure</w:t>
      </w:r>
      <w:r w:rsidR="00C83679">
        <w:t xml:space="preserve"> </w:t>
      </w:r>
      <w:r w:rsidR="00926CF7" w:rsidRPr="00926CF7">
        <w:t>the</w:t>
      </w:r>
      <w:r w:rsidR="00C83679">
        <w:t xml:space="preserve"> </w:t>
      </w:r>
      <w:r w:rsidR="00926CF7" w:rsidRPr="00926CF7">
        <w:t>most</w:t>
      </w:r>
      <w:r w:rsidR="00C83679">
        <w:t xml:space="preserve"> </w:t>
      </w:r>
      <w:r w:rsidR="00926CF7" w:rsidRPr="00926CF7">
        <w:t>current</w:t>
      </w:r>
      <w:r w:rsidR="00C83679">
        <w:t xml:space="preserve"> </w:t>
      </w:r>
      <w:r w:rsidR="00926CF7" w:rsidRPr="00926CF7">
        <w:t>and</w:t>
      </w:r>
      <w:r w:rsidR="00C83679">
        <w:t xml:space="preserve"> </w:t>
      </w:r>
      <w:r w:rsidR="00926CF7" w:rsidRPr="00926CF7">
        <w:t>correct</w:t>
      </w:r>
      <w:r w:rsidR="00C83679">
        <w:t xml:space="preserve"> </w:t>
      </w:r>
      <w:r w:rsidR="00926CF7" w:rsidRPr="00926CF7">
        <w:t>information</w:t>
      </w:r>
      <w:r w:rsidR="00C83679">
        <w:t xml:space="preserve"> </w:t>
      </w:r>
      <w:r w:rsidR="00926CF7" w:rsidRPr="00926CF7">
        <w:t>was</w:t>
      </w:r>
      <w:r w:rsidR="00C83679">
        <w:t xml:space="preserve"> </w:t>
      </w:r>
      <w:r w:rsidR="00926CF7" w:rsidRPr="00926CF7">
        <w:t>included.</w:t>
      </w:r>
      <w:r w:rsidR="00C83679">
        <w:rPr>
          <w:color w:val="000000" w:themeColor="text1"/>
        </w:rPr>
        <w:t xml:space="preserve"> </w:t>
      </w:r>
    </w:p>
    <w:p w14:paraId="49100278" w14:textId="77777777" w:rsidR="00816A15" w:rsidRDefault="00816A15" w:rsidP="0022602A">
      <w:pPr>
        <w:rPr>
          <w:color w:val="000000" w:themeColor="text1"/>
        </w:rPr>
      </w:pPr>
    </w:p>
    <w:p w14:paraId="063B8433" w14:textId="38782BDE" w:rsidR="0022602A" w:rsidRDefault="00502F86" w:rsidP="0022602A">
      <w:pPr>
        <w:rPr>
          <w:color w:val="000000" w:themeColor="text1"/>
        </w:rPr>
      </w:pPr>
      <w:r>
        <w:rPr>
          <w:color w:val="000000" w:themeColor="text1"/>
        </w:rPr>
        <w:t xml:space="preserve">After compiling the </w:t>
      </w:r>
      <w:r w:rsidR="009B122B">
        <w:rPr>
          <w:color w:val="000000" w:themeColor="text1"/>
        </w:rPr>
        <w:t xml:space="preserve">draft </w:t>
      </w:r>
      <w:r>
        <w:rPr>
          <w:color w:val="000000" w:themeColor="text1"/>
        </w:rPr>
        <w:t>universe list from the sources described above, there were general categories of agencies that needed follow up to determine eligibility.  These included</w:t>
      </w:r>
      <w:r w:rsidR="00EF5F74">
        <w:rPr>
          <w:color w:val="000000" w:themeColor="text1"/>
        </w:rPr>
        <w:t xml:space="preserve"> the following</w:t>
      </w:r>
      <w:r>
        <w:rPr>
          <w:color w:val="000000" w:themeColor="text1"/>
        </w:rPr>
        <w:t xml:space="preserve">: </w:t>
      </w:r>
    </w:p>
    <w:p w14:paraId="344B3A65" w14:textId="77777777" w:rsidR="00510805" w:rsidRPr="0022602A" w:rsidRDefault="00510805" w:rsidP="0022602A">
      <w:pPr>
        <w:rPr>
          <w:color w:val="000000" w:themeColor="text1"/>
        </w:rPr>
      </w:pPr>
    </w:p>
    <w:p w14:paraId="450C126D" w14:textId="16740652" w:rsidR="00A87CC7" w:rsidRDefault="0022602A" w:rsidP="00D901A8">
      <w:pPr>
        <w:pStyle w:val="ListParagraph"/>
        <w:numPr>
          <w:ilvl w:val="0"/>
          <w:numId w:val="4"/>
        </w:numPr>
        <w:rPr>
          <w:color w:val="000000" w:themeColor="text1"/>
        </w:rPr>
      </w:pPr>
      <w:r w:rsidRPr="00A87CC7">
        <w:rPr>
          <w:b/>
          <w:color w:val="000000" w:themeColor="text1"/>
        </w:rPr>
        <w:t>No</w:t>
      </w:r>
      <w:r w:rsidR="00C83679">
        <w:rPr>
          <w:b/>
          <w:color w:val="000000" w:themeColor="text1"/>
        </w:rPr>
        <w:t xml:space="preserve"> </w:t>
      </w:r>
      <w:r w:rsidRPr="00A87CC7">
        <w:rPr>
          <w:b/>
          <w:color w:val="000000" w:themeColor="text1"/>
        </w:rPr>
        <w:t>Known</w:t>
      </w:r>
      <w:r w:rsidR="00C83679">
        <w:rPr>
          <w:b/>
          <w:color w:val="000000" w:themeColor="text1"/>
        </w:rPr>
        <w:t xml:space="preserve"> </w:t>
      </w:r>
      <w:r w:rsidRPr="00A87CC7">
        <w:rPr>
          <w:b/>
          <w:color w:val="000000" w:themeColor="text1"/>
        </w:rPr>
        <w:t>Law</w:t>
      </w:r>
      <w:r w:rsidR="00C83679">
        <w:rPr>
          <w:b/>
          <w:color w:val="000000" w:themeColor="text1"/>
        </w:rPr>
        <w:t xml:space="preserve"> </w:t>
      </w:r>
      <w:r w:rsidRPr="00A87CC7">
        <w:rPr>
          <w:b/>
          <w:color w:val="000000" w:themeColor="text1"/>
        </w:rPr>
        <w:t>Enforcement</w:t>
      </w:r>
      <w:r w:rsidR="00C83679">
        <w:rPr>
          <w:b/>
          <w:color w:val="000000" w:themeColor="text1"/>
        </w:rPr>
        <w:t xml:space="preserve"> </w:t>
      </w:r>
      <w:r w:rsidRPr="00A87CC7">
        <w:rPr>
          <w:b/>
          <w:color w:val="000000" w:themeColor="text1"/>
        </w:rPr>
        <w:t>Agency</w:t>
      </w:r>
      <w:r w:rsidR="00C83679">
        <w:rPr>
          <w:color w:val="000000" w:themeColor="text1"/>
        </w:rPr>
        <w:t xml:space="preserve"> </w:t>
      </w:r>
      <w:r w:rsidRPr="00A87CC7">
        <w:rPr>
          <w:color w:val="000000" w:themeColor="text1"/>
        </w:rPr>
        <w:t>–</w:t>
      </w:r>
      <w:r w:rsidR="00C83679">
        <w:rPr>
          <w:color w:val="000000" w:themeColor="text1"/>
        </w:rPr>
        <w:t xml:space="preserve"> </w:t>
      </w:r>
      <w:r w:rsidR="00C5740C">
        <w:rPr>
          <w:color w:val="000000" w:themeColor="text1"/>
        </w:rPr>
        <w:t xml:space="preserve">Based on </w:t>
      </w:r>
      <w:r w:rsidRPr="00A87CC7">
        <w:rPr>
          <w:color w:val="000000" w:themeColor="text1"/>
        </w:rPr>
        <w:t>the</w:t>
      </w:r>
      <w:r w:rsidR="00C83679">
        <w:rPr>
          <w:color w:val="000000" w:themeColor="text1"/>
        </w:rPr>
        <w:t xml:space="preserve"> </w:t>
      </w:r>
      <w:r w:rsidRPr="00A87CC7">
        <w:rPr>
          <w:color w:val="000000" w:themeColor="text1"/>
        </w:rPr>
        <w:t>universe</w:t>
      </w:r>
      <w:r w:rsidR="00C83679">
        <w:rPr>
          <w:color w:val="000000" w:themeColor="text1"/>
        </w:rPr>
        <w:t xml:space="preserve"> </w:t>
      </w:r>
      <w:r w:rsidRPr="00A87CC7">
        <w:rPr>
          <w:color w:val="000000" w:themeColor="text1"/>
        </w:rPr>
        <w:t>sources</w:t>
      </w:r>
      <w:r w:rsidR="00C83679">
        <w:rPr>
          <w:color w:val="000000" w:themeColor="text1"/>
        </w:rPr>
        <w:t xml:space="preserve"> </w:t>
      </w:r>
      <w:r w:rsidRPr="00A87CC7">
        <w:rPr>
          <w:color w:val="000000" w:themeColor="text1"/>
        </w:rPr>
        <w:t>listed</w:t>
      </w:r>
      <w:r w:rsidR="00C83679">
        <w:rPr>
          <w:color w:val="000000" w:themeColor="text1"/>
        </w:rPr>
        <w:t xml:space="preserve"> </w:t>
      </w:r>
      <w:r w:rsidR="00AB18BF" w:rsidRPr="00A87CC7">
        <w:rPr>
          <w:color w:val="000000" w:themeColor="text1"/>
        </w:rPr>
        <w:t>above</w:t>
      </w:r>
      <w:r w:rsidR="00AB18BF">
        <w:rPr>
          <w:color w:val="000000" w:themeColor="text1"/>
        </w:rPr>
        <w:t xml:space="preserve"> 87</w:t>
      </w:r>
      <w:r w:rsidR="00C83679">
        <w:rPr>
          <w:color w:val="000000" w:themeColor="text1"/>
        </w:rPr>
        <w:t xml:space="preserve"> </w:t>
      </w:r>
      <w:r w:rsidRPr="00A87CC7">
        <w:rPr>
          <w:color w:val="000000" w:themeColor="text1"/>
        </w:rPr>
        <w:t>tribes</w:t>
      </w:r>
      <w:r w:rsidR="00C83679">
        <w:rPr>
          <w:color w:val="000000" w:themeColor="text1"/>
        </w:rPr>
        <w:t xml:space="preserve"> </w:t>
      </w:r>
      <w:r w:rsidR="009D048D">
        <w:rPr>
          <w:color w:val="000000" w:themeColor="text1"/>
        </w:rPr>
        <w:t>could not be confirmed to</w:t>
      </w:r>
      <w:r w:rsidR="00C83679">
        <w:rPr>
          <w:color w:val="000000" w:themeColor="text1"/>
        </w:rPr>
        <w:t xml:space="preserve"> </w:t>
      </w:r>
      <w:r w:rsidRPr="00A87CC7">
        <w:rPr>
          <w:color w:val="000000" w:themeColor="text1"/>
        </w:rPr>
        <w:t>have</w:t>
      </w:r>
      <w:r w:rsidR="009D048D">
        <w:rPr>
          <w:color w:val="000000" w:themeColor="text1"/>
        </w:rPr>
        <w:t xml:space="preserve"> a</w:t>
      </w:r>
      <w:r w:rsidR="00C83679">
        <w:rPr>
          <w:color w:val="000000" w:themeColor="text1"/>
        </w:rPr>
        <w:t xml:space="preserve"> </w:t>
      </w:r>
      <w:r w:rsidR="00903FED">
        <w:rPr>
          <w:color w:val="000000" w:themeColor="text1"/>
        </w:rPr>
        <w:t>LE</w:t>
      </w:r>
      <w:r w:rsidR="00C83679">
        <w:rPr>
          <w:color w:val="000000" w:themeColor="text1"/>
        </w:rPr>
        <w:t xml:space="preserve"> </w:t>
      </w:r>
      <w:r w:rsidRPr="00A87CC7">
        <w:rPr>
          <w:color w:val="000000" w:themeColor="text1"/>
        </w:rPr>
        <w:t>agenc</w:t>
      </w:r>
      <w:r w:rsidR="009D048D">
        <w:rPr>
          <w:color w:val="000000" w:themeColor="text1"/>
        </w:rPr>
        <w:t>y</w:t>
      </w:r>
      <w:r w:rsidRPr="00A87CC7">
        <w:rPr>
          <w:color w:val="000000" w:themeColor="text1"/>
        </w:rPr>
        <w:t>.</w:t>
      </w:r>
      <w:r w:rsidR="00C83679">
        <w:rPr>
          <w:color w:val="000000" w:themeColor="text1"/>
        </w:rPr>
        <w:t xml:space="preserve"> </w:t>
      </w:r>
      <w:r w:rsidR="002A6848">
        <w:rPr>
          <w:color w:val="000000" w:themeColor="text1"/>
        </w:rPr>
        <w:t>Each</w:t>
      </w:r>
      <w:r w:rsidR="00C83679">
        <w:rPr>
          <w:color w:val="000000" w:themeColor="text1"/>
        </w:rPr>
        <w:t xml:space="preserve"> </w:t>
      </w:r>
      <w:r w:rsidRPr="00A87CC7">
        <w:rPr>
          <w:color w:val="000000" w:themeColor="text1"/>
        </w:rPr>
        <w:t>of</w:t>
      </w:r>
      <w:r w:rsidR="00C83679">
        <w:rPr>
          <w:color w:val="000000" w:themeColor="text1"/>
        </w:rPr>
        <w:t xml:space="preserve"> </w:t>
      </w:r>
      <w:r w:rsidRPr="00A87CC7">
        <w:rPr>
          <w:color w:val="000000" w:themeColor="text1"/>
        </w:rPr>
        <w:t>these</w:t>
      </w:r>
      <w:r w:rsidR="00C83679">
        <w:rPr>
          <w:color w:val="000000" w:themeColor="text1"/>
        </w:rPr>
        <w:t xml:space="preserve"> </w:t>
      </w:r>
      <w:r w:rsidRPr="00A87CC7">
        <w:rPr>
          <w:color w:val="000000" w:themeColor="text1"/>
        </w:rPr>
        <w:t>tribes</w:t>
      </w:r>
      <w:r w:rsidR="00C83679">
        <w:rPr>
          <w:color w:val="000000" w:themeColor="text1"/>
        </w:rPr>
        <w:t xml:space="preserve"> </w:t>
      </w:r>
      <w:r w:rsidR="002A6848">
        <w:rPr>
          <w:color w:val="000000" w:themeColor="text1"/>
        </w:rPr>
        <w:t>was</w:t>
      </w:r>
      <w:r w:rsidR="00C83679">
        <w:rPr>
          <w:color w:val="000000" w:themeColor="text1"/>
        </w:rPr>
        <w:t xml:space="preserve"> </w:t>
      </w:r>
      <w:r w:rsidR="002A6848">
        <w:rPr>
          <w:color w:val="000000" w:themeColor="text1"/>
        </w:rPr>
        <w:t>called</w:t>
      </w:r>
      <w:r w:rsidR="00C83679">
        <w:rPr>
          <w:color w:val="000000" w:themeColor="text1"/>
        </w:rPr>
        <w:t xml:space="preserve"> </w:t>
      </w:r>
      <w:r w:rsidR="00C5740C">
        <w:rPr>
          <w:color w:val="000000" w:themeColor="text1"/>
        </w:rPr>
        <w:t xml:space="preserve">and/or </w:t>
      </w:r>
      <w:r w:rsidRPr="00A87CC7">
        <w:rPr>
          <w:color w:val="000000" w:themeColor="text1"/>
        </w:rPr>
        <w:t>web</w:t>
      </w:r>
      <w:r w:rsidR="00C83679">
        <w:rPr>
          <w:color w:val="000000" w:themeColor="text1"/>
        </w:rPr>
        <w:t xml:space="preserve"> </w:t>
      </w:r>
      <w:r w:rsidRPr="00A87CC7">
        <w:rPr>
          <w:color w:val="000000" w:themeColor="text1"/>
        </w:rPr>
        <w:t>research</w:t>
      </w:r>
      <w:r w:rsidR="00C83679">
        <w:rPr>
          <w:color w:val="000000" w:themeColor="text1"/>
        </w:rPr>
        <w:t xml:space="preserve"> </w:t>
      </w:r>
      <w:r w:rsidR="002A6848">
        <w:rPr>
          <w:color w:val="000000" w:themeColor="text1"/>
        </w:rPr>
        <w:t>conducted</w:t>
      </w:r>
      <w:r w:rsidR="00C83679">
        <w:rPr>
          <w:color w:val="000000" w:themeColor="text1"/>
        </w:rPr>
        <w:t xml:space="preserve"> </w:t>
      </w:r>
      <w:r w:rsidRPr="00A87CC7">
        <w:rPr>
          <w:color w:val="000000" w:themeColor="text1"/>
        </w:rPr>
        <w:t>to</w:t>
      </w:r>
      <w:r w:rsidR="00C83679">
        <w:rPr>
          <w:color w:val="000000" w:themeColor="text1"/>
        </w:rPr>
        <w:t xml:space="preserve"> </w:t>
      </w:r>
      <w:r w:rsidRPr="00A87CC7">
        <w:rPr>
          <w:color w:val="000000" w:themeColor="text1"/>
        </w:rPr>
        <w:t>determine</w:t>
      </w:r>
      <w:r w:rsidR="00C83679">
        <w:rPr>
          <w:color w:val="000000" w:themeColor="text1"/>
        </w:rPr>
        <w:t xml:space="preserve"> </w:t>
      </w:r>
      <w:r w:rsidRPr="00A87CC7">
        <w:rPr>
          <w:color w:val="000000" w:themeColor="text1"/>
        </w:rPr>
        <w:t>if</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tribe</w:t>
      </w:r>
      <w:r w:rsidR="00C83679">
        <w:rPr>
          <w:color w:val="000000" w:themeColor="text1"/>
        </w:rPr>
        <w:t xml:space="preserve"> </w:t>
      </w:r>
      <w:r w:rsidRPr="00A87CC7">
        <w:rPr>
          <w:color w:val="000000" w:themeColor="text1"/>
        </w:rPr>
        <w:t>had</w:t>
      </w:r>
      <w:r w:rsidR="00C83679">
        <w:rPr>
          <w:color w:val="000000" w:themeColor="text1"/>
        </w:rPr>
        <w:t xml:space="preserve"> </w:t>
      </w:r>
      <w:r w:rsidRPr="00A87CC7">
        <w:rPr>
          <w:color w:val="000000" w:themeColor="text1"/>
        </w:rPr>
        <w:t>a</w:t>
      </w:r>
      <w:r w:rsidR="00C83679">
        <w:rPr>
          <w:color w:val="000000" w:themeColor="text1"/>
        </w:rPr>
        <w:t xml:space="preserve"> </w:t>
      </w:r>
      <w:r w:rsidRPr="00A87CC7">
        <w:rPr>
          <w:color w:val="000000" w:themeColor="text1"/>
        </w:rPr>
        <w:t>qualifying</w:t>
      </w:r>
      <w:r w:rsidR="00C83679">
        <w:rPr>
          <w:color w:val="000000" w:themeColor="text1"/>
        </w:rPr>
        <w:t xml:space="preserve"> </w:t>
      </w:r>
      <w:r w:rsidR="00903FED">
        <w:rPr>
          <w:color w:val="000000" w:themeColor="text1"/>
        </w:rPr>
        <w:t>LE</w:t>
      </w:r>
      <w:r w:rsidR="00C83679">
        <w:rPr>
          <w:color w:val="000000" w:themeColor="text1"/>
        </w:rPr>
        <w:t xml:space="preserve"> </w:t>
      </w:r>
      <w:r w:rsidRPr="00A87CC7">
        <w:rPr>
          <w:color w:val="000000" w:themeColor="text1"/>
        </w:rPr>
        <w:t>agency</w:t>
      </w:r>
      <w:r w:rsidR="00C83679">
        <w:rPr>
          <w:color w:val="000000" w:themeColor="text1"/>
        </w:rPr>
        <w:t xml:space="preserve"> </w:t>
      </w:r>
      <w:r w:rsidRPr="00A87CC7">
        <w:rPr>
          <w:color w:val="000000" w:themeColor="text1"/>
        </w:rPr>
        <w:t>or</w:t>
      </w:r>
      <w:r w:rsidR="00C83679">
        <w:rPr>
          <w:color w:val="000000" w:themeColor="text1"/>
        </w:rPr>
        <w:t xml:space="preserve"> </w:t>
      </w:r>
      <w:r w:rsidRPr="00A87CC7">
        <w:rPr>
          <w:color w:val="000000" w:themeColor="text1"/>
        </w:rPr>
        <w:t>if</w:t>
      </w:r>
      <w:r w:rsidR="00C83679">
        <w:rPr>
          <w:color w:val="000000" w:themeColor="text1"/>
        </w:rPr>
        <w:t xml:space="preserve"> </w:t>
      </w:r>
      <w:r w:rsidRPr="00A87CC7">
        <w:rPr>
          <w:color w:val="000000" w:themeColor="text1"/>
        </w:rPr>
        <w:t>it</w:t>
      </w:r>
      <w:r w:rsidR="00C83679">
        <w:rPr>
          <w:color w:val="000000" w:themeColor="text1"/>
        </w:rPr>
        <w:t xml:space="preserve"> </w:t>
      </w:r>
      <w:r w:rsidRPr="00A87CC7">
        <w:rPr>
          <w:color w:val="000000" w:themeColor="text1"/>
        </w:rPr>
        <w:t>was</w:t>
      </w:r>
      <w:r w:rsidR="00C83679">
        <w:rPr>
          <w:color w:val="000000" w:themeColor="text1"/>
        </w:rPr>
        <w:t xml:space="preserve"> </w:t>
      </w:r>
      <w:r w:rsidRPr="00A87CC7">
        <w:rPr>
          <w:color w:val="000000" w:themeColor="text1"/>
        </w:rPr>
        <w:t>covered</w:t>
      </w:r>
      <w:r w:rsidR="00C83679">
        <w:rPr>
          <w:color w:val="000000" w:themeColor="text1"/>
        </w:rPr>
        <w:t xml:space="preserve"> </w:t>
      </w:r>
      <w:r w:rsidRPr="00A87CC7">
        <w:rPr>
          <w:color w:val="000000" w:themeColor="text1"/>
        </w:rPr>
        <w:t>by</w:t>
      </w:r>
      <w:r w:rsidR="00C83679">
        <w:rPr>
          <w:color w:val="000000" w:themeColor="text1"/>
        </w:rPr>
        <w:t xml:space="preserve"> </w:t>
      </w:r>
      <w:r w:rsidRPr="00A87CC7">
        <w:rPr>
          <w:color w:val="000000" w:themeColor="text1"/>
        </w:rPr>
        <w:t>state,</w:t>
      </w:r>
      <w:r w:rsidR="00C83679">
        <w:rPr>
          <w:color w:val="000000" w:themeColor="text1"/>
        </w:rPr>
        <w:t xml:space="preserve"> </w:t>
      </w:r>
      <w:r w:rsidRPr="00A87CC7">
        <w:rPr>
          <w:color w:val="000000" w:themeColor="text1"/>
        </w:rPr>
        <w:t>local,</w:t>
      </w:r>
      <w:r w:rsidR="00C83679">
        <w:rPr>
          <w:color w:val="000000" w:themeColor="text1"/>
        </w:rPr>
        <w:t xml:space="preserve"> </w:t>
      </w:r>
      <w:r w:rsidRPr="00A87CC7">
        <w:rPr>
          <w:color w:val="000000" w:themeColor="text1"/>
        </w:rPr>
        <w:t>or</w:t>
      </w:r>
      <w:r w:rsidR="00C83679">
        <w:rPr>
          <w:color w:val="000000" w:themeColor="text1"/>
        </w:rPr>
        <w:t xml:space="preserve"> </w:t>
      </w:r>
      <w:r w:rsidRPr="00A87CC7">
        <w:rPr>
          <w:color w:val="000000" w:themeColor="text1"/>
        </w:rPr>
        <w:t>other</w:t>
      </w:r>
      <w:r w:rsidR="00C83679">
        <w:rPr>
          <w:color w:val="000000" w:themeColor="text1"/>
        </w:rPr>
        <w:t xml:space="preserve"> </w:t>
      </w:r>
      <w:r w:rsidRPr="00A87CC7">
        <w:rPr>
          <w:color w:val="000000" w:themeColor="text1"/>
        </w:rPr>
        <w:t>tribal</w:t>
      </w:r>
      <w:r w:rsidR="00C83679">
        <w:rPr>
          <w:color w:val="000000" w:themeColor="text1"/>
        </w:rPr>
        <w:t xml:space="preserve"> </w:t>
      </w:r>
      <w:r w:rsidRPr="00A87CC7">
        <w:rPr>
          <w:color w:val="000000" w:themeColor="text1"/>
        </w:rPr>
        <w:t>public</w:t>
      </w:r>
      <w:r w:rsidR="00C83679">
        <w:rPr>
          <w:color w:val="000000" w:themeColor="text1"/>
        </w:rPr>
        <w:t xml:space="preserve"> </w:t>
      </w:r>
      <w:r w:rsidRPr="00A87CC7">
        <w:rPr>
          <w:color w:val="000000" w:themeColor="text1"/>
        </w:rPr>
        <w:t>safety</w:t>
      </w:r>
      <w:r w:rsidR="00C83679">
        <w:rPr>
          <w:color w:val="000000" w:themeColor="text1"/>
        </w:rPr>
        <w:t xml:space="preserve"> </w:t>
      </w:r>
      <w:r w:rsidRPr="00A87CC7">
        <w:rPr>
          <w:color w:val="000000" w:themeColor="text1"/>
        </w:rPr>
        <w:t>services.</w:t>
      </w:r>
      <w:r w:rsidR="00C83679">
        <w:rPr>
          <w:color w:val="000000" w:themeColor="text1"/>
        </w:rPr>
        <w:t xml:space="preserve"> </w:t>
      </w:r>
    </w:p>
    <w:p w14:paraId="7B2BC25A" w14:textId="444CB898" w:rsidR="00A87CC7" w:rsidRDefault="00A87CC7" w:rsidP="00D901A8">
      <w:pPr>
        <w:pStyle w:val="ListParagraph"/>
        <w:numPr>
          <w:ilvl w:val="0"/>
          <w:numId w:val="4"/>
        </w:numPr>
        <w:rPr>
          <w:color w:val="000000" w:themeColor="text1"/>
        </w:rPr>
      </w:pPr>
      <w:r w:rsidRPr="00A87CC7">
        <w:rPr>
          <w:b/>
          <w:color w:val="000000" w:themeColor="text1"/>
        </w:rPr>
        <w:t>C</w:t>
      </w:r>
      <w:r w:rsidR="0022602A" w:rsidRPr="00A87CC7">
        <w:rPr>
          <w:b/>
          <w:color w:val="000000" w:themeColor="text1"/>
        </w:rPr>
        <w:t>onservation</w:t>
      </w:r>
      <w:r w:rsidR="00C83679">
        <w:rPr>
          <w:color w:val="000000" w:themeColor="text1"/>
        </w:rPr>
        <w:t xml:space="preserve"> </w:t>
      </w:r>
      <w:r w:rsidR="00254D90" w:rsidRPr="00097DB4">
        <w:rPr>
          <w:b/>
          <w:color w:val="000000" w:themeColor="text1"/>
        </w:rPr>
        <w:t>and wildlife agencies</w:t>
      </w:r>
      <w:r w:rsidR="00916AAD">
        <w:rPr>
          <w:b/>
          <w:color w:val="000000" w:themeColor="text1"/>
        </w:rPr>
        <w:t xml:space="preserve"> </w:t>
      </w:r>
      <w:r w:rsidR="0022602A" w:rsidRPr="00A87CC7">
        <w:rPr>
          <w:color w:val="000000" w:themeColor="text1"/>
        </w:rPr>
        <w:t>–</w:t>
      </w:r>
      <w:r w:rsidR="00C83679">
        <w:rPr>
          <w:color w:val="000000" w:themeColor="text1"/>
        </w:rPr>
        <w:t xml:space="preserve"> </w:t>
      </w:r>
      <w:r w:rsidR="00AB18BF">
        <w:rPr>
          <w:color w:val="000000" w:themeColor="text1"/>
        </w:rPr>
        <w:t>33</w:t>
      </w:r>
      <w:r w:rsidR="00C83679">
        <w:rPr>
          <w:color w:val="000000" w:themeColor="text1"/>
        </w:rPr>
        <w:t xml:space="preserve"> </w:t>
      </w:r>
      <w:r w:rsidR="0022602A" w:rsidRPr="00A87CC7">
        <w:rPr>
          <w:color w:val="000000" w:themeColor="text1"/>
        </w:rPr>
        <w:t>tribal</w:t>
      </w:r>
      <w:r w:rsidR="00C83679">
        <w:rPr>
          <w:color w:val="000000" w:themeColor="text1"/>
        </w:rPr>
        <w:t xml:space="preserve"> </w:t>
      </w:r>
      <w:r w:rsidR="0022602A" w:rsidRPr="00A87CC7">
        <w:rPr>
          <w:color w:val="000000" w:themeColor="text1"/>
        </w:rPr>
        <w:t>wildlife</w:t>
      </w:r>
      <w:r w:rsidR="00C83679">
        <w:rPr>
          <w:color w:val="000000" w:themeColor="text1"/>
        </w:rPr>
        <w:t xml:space="preserve"> </w:t>
      </w:r>
      <w:r w:rsidR="0022602A" w:rsidRPr="00A87CC7">
        <w:rPr>
          <w:color w:val="000000" w:themeColor="text1"/>
        </w:rPr>
        <w:t>and</w:t>
      </w:r>
      <w:r w:rsidR="00C83679">
        <w:rPr>
          <w:color w:val="000000" w:themeColor="text1"/>
        </w:rPr>
        <w:t xml:space="preserve"> </w:t>
      </w:r>
      <w:r w:rsidR="0022602A" w:rsidRPr="00A87CC7">
        <w:rPr>
          <w:color w:val="000000" w:themeColor="text1"/>
        </w:rPr>
        <w:t>conservation</w:t>
      </w:r>
      <w:r w:rsidR="00C83679">
        <w:rPr>
          <w:color w:val="000000" w:themeColor="text1"/>
        </w:rPr>
        <w:t xml:space="preserve"> </w:t>
      </w:r>
      <w:r w:rsidR="0022602A" w:rsidRPr="00A87CC7">
        <w:rPr>
          <w:color w:val="000000" w:themeColor="text1"/>
        </w:rPr>
        <w:t>agencies</w:t>
      </w:r>
      <w:r w:rsidR="00C83679">
        <w:rPr>
          <w:color w:val="000000" w:themeColor="text1"/>
        </w:rPr>
        <w:t xml:space="preserve"> </w:t>
      </w:r>
      <w:r w:rsidR="00C5740C">
        <w:rPr>
          <w:color w:val="000000" w:themeColor="text1"/>
        </w:rPr>
        <w:t xml:space="preserve">were </w:t>
      </w:r>
      <w:r w:rsidR="0022602A" w:rsidRPr="00A87CC7">
        <w:rPr>
          <w:color w:val="000000" w:themeColor="text1"/>
        </w:rPr>
        <w:t>found</w:t>
      </w:r>
      <w:r w:rsidR="00C83679">
        <w:rPr>
          <w:color w:val="000000" w:themeColor="text1"/>
        </w:rPr>
        <w:t xml:space="preserve"> </w:t>
      </w:r>
      <w:r w:rsidR="0022602A" w:rsidRPr="00A87CC7">
        <w:rPr>
          <w:color w:val="000000" w:themeColor="text1"/>
        </w:rPr>
        <w:t>through</w:t>
      </w:r>
      <w:r w:rsidR="00C83679">
        <w:rPr>
          <w:color w:val="000000" w:themeColor="text1"/>
        </w:rPr>
        <w:t xml:space="preserve"> </w:t>
      </w:r>
      <w:r w:rsidR="0022602A" w:rsidRPr="00A87CC7">
        <w:rPr>
          <w:color w:val="000000" w:themeColor="text1"/>
        </w:rPr>
        <w:t>the</w:t>
      </w:r>
      <w:r w:rsidR="00C83679">
        <w:rPr>
          <w:color w:val="000000" w:themeColor="text1"/>
        </w:rPr>
        <w:t xml:space="preserve"> </w:t>
      </w:r>
      <w:r w:rsidR="0022602A" w:rsidRPr="00A87CC7">
        <w:rPr>
          <w:color w:val="000000" w:themeColor="text1"/>
        </w:rPr>
        <w:t>various</w:t>
      </w:r>
      <w:r w:rsidR="00C83679">
        <w:rPr>
          <w:color w:val="000000" w:themeColor="text1"/>
        </w:rPr>
        <w:t xml:space="preserve"> </w:t>
      </w:r>
      <w:r w:rsidR="0022602A" w:rsidRPr="00A87CC7">
        <w:rPr>
          <w:color w:val="000000" w:themeColor="text1"/>
        </w:rPr>
        <w:t>universe</w:t>
      </w:r>
      <w:r w:rsidR="00C83679">
        <w:rPr>
          <w:color w:val="000000" w:themeColor="text1"/>
        </w:rPr>
        <w:t xml:space="preserve"> </w:t>
      </w:r>
      <w:r w:rsidR="0022602A" w:rsidRPr="00A87CC7">
        <w:rPr>
          <w:color w:val="000000" w:themeColor="text1"/>
        </w:rPr>
        <w:t>sources.</w:t>
      </w:r>
      <w:r w:rsidR="00955CF6">
        <w:rPr>
          <w:color w:val="000000" w:themeColor="text1"/>
        </w:rPr>
        <w:t xml:space="preserve"> Eighteen of the identified conservation and wildlife agencies </w:t>
      </w:r>
      <w:r w:rsidR="0066306E">
        <w:rPr>
          <w:color w:val="000000" w:themeColor="text1"/>
        </w:rPr>
        <w:t xml:space="preserve">were </w:t>
      </w:r>
      <w:r w:rsidR="00955CF6">
        <w:rPr>
          <w:color w:val="000000" w:themeColor="text1"/>
        </w:rPr>
        <w:t>derived from the CSLLEA data file</w:t>
      </w:r>
      <w:r w:rsidR="00E31ADF">
        <w:rPr>
          <w:color w:val="000000" w:themeColor="text1"/>
        </w:rPr>
        <w:t xml:space="preserve"> and were deemed eligible because</w:t>
      </w:r>
      <w:r w:rsidR="00955CF6">
        <w:rPr>
          <w:color w:val="000000" w:themeColor="text1"/>
        </w:rPr>
        <w:t xml:space="preserve"> </w:t>
      </w:r>
      <w:r w:rsidR="00714F71">
        <w:rPr>
          <w:color w:val="000000" w:themeColor="text1"/>
        </w:rPr>
        <w:t xml:space="preserve">CSLLEA </w:t>
      </w:r>
      <w:r w:rsidR="00EB1EFE">
        <w:rPr>
          <w:color w:val="000000" w:themeColor="text1"/>
        </w:rPr>
        <w:t xml:space="preserve">eligible agencies </w:t>
      </w:r>
      <w:r w:rsidR="0066306E">
        <w:rPr>
          <w:color w:val="000000" w:themeColor="text1"/>
        </w:rPr>
        <w:t xml:space="preserve">must have </w:t>
      </w:r>
      <w:r w:rsidR="00714F71">
        <w:rPr>
          <w:color w:val="000000" w:themeColor="text1"/>
        </w:rPr>
        <w:t xml:space="preserve">at least one full time sworn </w:t>
      </w:r>
      <w:r w:rsidR="00B523FD">
        <w:rPr>
          <w:color w:val="000000" w:themeColor="text1"/>
        </w:rPr>
        <w:t>officer</w:t>
      </w:r>
      <w:r w:rsidR="00254D90">
        <w:rPr>
          <w:color w:val="000000" w:themeColor="text1"/>
        </w:rPr>
        <w:t xml:space="preserve"> </w:t>
      </w:r>
      <w:r w:rsidR="00EB1EFE">
        <w:rPr>
          <w:color w:val="000000" w:themeColor="text1"/>
        </w:rPr>
        <w:t xml:space="preserve">with </w:t>
      </w:r>
      <w:r w:rsidR="00B523FD">
        <w:rPr>
          <w:color w:val="000000" w:themeColor="text1"/>
        </w:rPr>
        <w:t xml:space="preserve">general </w:t>
      </w:r>
      <w:r w:rsidR="00254D90">
        <w:rPr>
          <w:color w:val="000000" w:themeColor="text1"/>
        </w:rPr>
        <w:t>arrest powers</w:t>
      </w:r>
      <w:r w:rsidR="00B50ED3">
        <w:rPr>
          <w:color w:val="000000" w:themeColor="text1"/>
        </w:rPr>
        <w:t>.</w:t>
      </w:r>
      <w:r w:rsidR="009D048D">
        <w:rPr>
          <w:color w:val="000000" w:themeColor="text1"/>
        </w:rPr>
        <w:t xml:space="preserve"> </w:t>
      </w:r>
      <w:r w:rsidR="00955CF6">
        <w:rPr>
          <w:color w:val="000000" w:themeColor="text1"/>
        </w:rPr>
        <w:t xml:space="preserve">The remaining </w:t>
      </w:r>
      <w:r w:rsidR="00AB18BF">
        <w:rPr>
          <w:color w:val="000000" w:themeColor="text1"/>
        </w:rPr>
        <w:t>15</w:t>
      </w:r>
      <w:r w:rsidR="00955CF6">
        <w:rPr>
          <w:color w:val="000000" w:themeColor="text1"/>
        </w:rPr>
        <w:t xml:space="preserve"> agencies </w:t>
      </w:r>
      <w:r w:rsidR="009A0C42">
        <w:rPr>
          <w:color w:val="000000" w:themeColor="text1"/>
        </w:rPr>
        <w:t xml:space="preserve">that were </w:t>
      </w:r>
      <w:r w:rsidR="00955CF6">
        <w:rPr>
          <w:color w:val="000000" w:themeColor="text1"/>
        </w:rPr>
        <w:t xml:space="preserve">derived from other source files </w:t>
      </w:r>
      <w:r w:rsidR="0022602A" w:rsidRPr="00A87CC7">
        <w:rPr>
          <w:color w:val="000000" w:themeColor="text1"/>
        </w:rPr>
        <w:t>were</w:t>
      </w:r>
      <w:r w:rsidR="00C83679">
        <w:rPr>
          <w:color w:val="000000" w:themeColor="text1"/>
        </w:rPr>
        <w:t xml:space="preserve"> </w:t>
      </w:r>
      <w:r w:rsidR="00955CF6">
        <w:rPr>
          <w:color w:val="000000" w:themeColor="text1"/>
        </w:rPr>
        <w:t xml:space="preserve">contacted by telephone </w:t>
      </w:r>
      <w:r w:rsidR="0022602A" w:rsidRPr="00A87CC7">
        <w:rPr>
          <w:color w:val="000000" w:themeColor="text1"/>
        </w:rPr>
        <w:t>to</w:t>
      </w:r>
      <w:r w:rsidR="00C83679">
        <w:rPr>
          <w:color w:val="000000" w:themeColor="text1"/>
        </w:rPr>
        <w:t xml:space="preserve"> </w:t>
      </w:r>
      <w:r w:rsidR="0022602A" w:rsidRPr="00A87CC7">
        <w:rPr>
          <w:color w:val="000000" w:themeColor="text1"/>
        </w:rPr>
        <w:t>determine</w:t>
      </w:r>
      <w:r w:rsidR="00C83679">
        <w:rPr>
          <w:color w:val="000000" w:themeColor="text1"/>
        </w:rPr>
        <w:t xml:space="preserve"> </w:t>
      </w:r>
      <w:r w:rsidR="0022602A" w:rsidRPr="00A87CC7">
        <w:rPr>
          <w:color w:val="000000" w:themeColor="text1"/>
        </w:rPr>
        <w:t>if</w:t>
      </w:r>
      <w:r w:rsidR="00C83679">
        <w:rPr>
          <w:color w:val="000000" w:themeColor="text1"/>
        </w:rPr>
        <w:t xml:space="preserve"> </w:t>
      </w:r>
      <w:r w:rsidR="0022602A" w:rsidRPr="00A87CC7">
        <w:rPr>
          <w:color w:val="000000" w:themeColor="text1"/>
        </w:rPr>
        <w:t>the</w:t>
      </w:r>
      <w:r w:rsidR="00C83679">
        <w:rPr>
          <w:color w:val="000000" w:themeColor="text1"/>
        </w:rPr>
        <w:t xml:space="preserve"> </w:t>
      </w:r>
      <w:r w:rsidR="0022602A" w:rsidRPr="00A87CC7">
        <w:rPr>
          <w:color w:val="000000" w:themeColor="text1"/>
        </w:rPr>
        <w:t>agency</w:t>
      </w:r>
      <w:r w:rsidR="00C83679">
        <w:rPr>
          <w:color w:val="000000" w:themeColor="text1"/>
        </w:rPr>
        <w:t xml:space="preserve"> </w:t>
      </w:r>
      <w:r w:rsidR="00E31ADF">
        <w:rPr>
          <w:color w:val="000000" w:themeColor="text1"/>
        </w:rPr>
        <w:t>was eligible</w:t>
      </w:r>
      <w:r w:rsidR="0022602A" w:rsidRPr="00A87CC7">
        <w:rPr>
          <w:color w:val="000000" w:themeColor="text1"/>
        </w:rPr>
        <w:t>.</w:t>
      </w:r>
      <w:r w:rsidR="00C83679">
        <w:rPr>
          <w:color w:val="000000" w:themeColor="text1"/>
        </w:rPr>
        <w:t xml:space="preserve"> </w:t>
      </w:r>
      <w:r w:rsidR="001B63BD">
        <w:rPr>
          <w:color w:val="000000" w:themeColor="text1"/>
        </w:rPr>
        <w:t>Overall</w:t>
      </w:r>
      <w:r w:rsidR="0022602A" w:rsidRPr="00A87CC7">
        <w:rPr>
          <w:color w:val="000000" w:themeColor="text1"/>
        </w:rPr>
        <w:t>,</w:t>
      </w:r>
      <w:r w:rsidR="00C83679">
        <w:rPr>
          <w:color w:val="000000" w:themeColor="text1"/>
        </w:rPr>
        <w:t xml:space="preserve"> </w:t>
      </w:r>
      <w:r w:rsidR="008029E0">
        <w:t>31</w:t>
      </w:r>
      <w:r w:rsidR="008029E0" w:rsidRPr="001B78A1">
        <w:t xml:space="preserve"> </w:t>
      </w:r>
      <w:r w:rsidR="0021617B">
        <w:rPr>
          <w:color w:val="000000" w:themeColor="text1"/>
        </w:rPr>
        <w:t xml:space="preserve">of the 33 </w:t>
      </w:r>
      <w:r w:rsidR="0022602A" w:rsidRPr="00A87CC7">
        <w:rPr>
          <w:color w:val="000000" w:themeColor="text1"/>
        </w:rPr>
        <w:t>were</w:t>
      </w:r>
      <w:r w:rsidR="00C83679">
        <w:rPr>
          <w:color w:val="000000" w:themeColor="text1"/>
        </w:rPr>
        <w:t xml:space="preserve"> </w:t>
      </w:r>
      <w:r w:rsidR="0022602A" w:rsidRPr="00A87CC7">
        <w:rPr>
          <w:color w:val="000000" w:themeColor="text1"/>
        </w:rPr>
        <w:t>found</w:t>
      </w:r>
      <w:r w:rsidR="00C83679">
        <w:rPr>
          <w:color w:val="000000" w:themeColor="text1"/>
        </w:rPr>
        <w:t xml:space="preserve"> </w:t>
      </w:r>
      <w:r w:rsidR="0022602A" w:rsidRPr="00A87CC7">
        <w:rPr>
          <w:color w:val="000000" w:themeColor="text1"/>
        </w:rPr>
        <w:t>to</w:t>
      </w:r>
      <w:r w:rsidR="00C83679">
        <w:rPr>
          <w:color w:val="000000" w:themeColor="text1"/>
        </w:rPr>
        <w:t xml:space="preserve"> </w:t>
      </w:r>
      <w:r w:rsidR="0022602A" w:rsidRPr="00A87CC7">
        <w:rPr>
          <w:color w:val="000000" w:themeColor="text1"/>
        </w:rPr>
        <w:t>meet</w:t>
      </w:r>
      <w:r w:rsidR="00C83679">
        <w:rPr>
          <w:color w:val="000000" w:themeColor="text1"/>
        </w:rPr>
        <w:t xml:space="preserve"> </w:t>
      </w:r>
      <w:r w:rsidR="0022602A" w:rsidRPr="00A87CC7">
        <w:rPr>
          <w:color w:val="000000" w:themeColor="text1"/>
        </w:rPr>
        <w:t>the</w:t>
      </w:r>
      <w:r w:rsidR="00C83679">
        <w:rPr>
          <w:color w:val="000000" w:themeColor="text1"/>
        </w:rPr>
        <w:t xml:space="preserve"> </w:t>
      </w:r>
      <w:r w:rsidR="0022602A" w:rsidRPr="00A87CC7">
        <w:rPr>
          <w:color w:val="000000" w:themeColor="text1"/>
        </w:rPr>
        <w:t>criteria</w:t>
      </w:r>
      <w:r w:rsidR="00C83679">
        <w:rPr>
          <w:color w:val="000000" w:themeColor="text1"/>
        </w:rPr>
        <w:t xml:space="preserve"> </w:t>
      </w:r>
      <w:r w:rsidR="0022602A" w:rsidRPr="00A87CC7">
        <w:rPr>
          <w:color w:val="000000" w:themeColor="text1"/>
        </w:rPr>
        <w:t>for</w:t>
      </w:r>
      <w:r w:rsidR="00C83679">
        <w:rPr>
          <w:color w:val="000000" w:themeColor="text1"/>
        </w:rPr>
        <w:t xml:space="preserve"> </w:t>
      </w:r>
      <w:r w:rsidR="0022602A" w:rsidRPr="00A87CC7">
        <w:rPr>
          <w:color w:val="000000" w:themeColor="text1"/>
        </w:rPr>
        <w:t>inclusion.</w:t>
      </w:r>
      <w:r w:rsidR="00C83679">
        <w:rPr>
          <w:color w:val="000000" w:themeColor="text1"/>
        </w:rPr>
        <w:t xml:space="preserve"> </w:t>
      </w:r>
    </w:p>
    <w:p w14:paraId="58CBDFF8" w14:textId="69995087" w:rsidR="00A87CC7" w:rsidRDefault="0022602A" w:rsidP="00D901A8">
      <w:pPr>
        <w:pStyle w:val="ListParagraph"/>
        <w:numPr>
          <w:ilvl w:val="0"/>
          <w:numId w:val="4"/>
        </w:numPr>
        <w:rPr>
          <w:color w:val="000000" w:themeColor="text1"/>
        </w:rPr>
      </w:pPr>
      <w:r w:rsidRPr="00A87CC7">
        <w:rPr>
          <w:b/>
          <w:color w:val="000000" w:themeColor="text1"/>
        </w:rPr>
        <w:t>Judiciary</w:t>
      </w:r>
      <w:r w:rsidR="00C83679">
        <w:rPr>
          <w:color w:val="000000" w:themeColor="text1"/>
        </w:rPr>
        <w:t xml:space="preserve"> </w:t>
      </w:r>
      <w:r w:rsidRPr="00A87CC7">
        <w:rPr>
          <w:color w:val="000000" w:themeColor="text1"/>
        </w:rPr>
        <w:t>–</w:t>
      </w:r>
      <w:r w:rsidR="00C83679">
        <w:rPr>
          <w:color w:val="000000" w:themeColor="text1"/>
        </w:rPr>
        <w:t xml:space="preserve"> </w:t>
      </w:r>
      <w:r w:rsidRPr="00A87CC7">
        <w:rPr>
          <w:color w:val="000000" w:themeColor="text1"/>
        </w:rPr>
        <w:t>There</w:t>
      </w:r>
      <w:r w:rsidR="00C83679">
        <w:rPr>
          <w:color w:val="000000" w:themeColor="text1"/>
        </w:rPr>
        <w:t xml:space="preserve"> </w:t>
      </w:r>
      <w:r w:rsidRPr="00A87CC7">
        <w:rPr>
          <w:color w:val="000000" w:themeColor="text1"/>
        </w:rPr>
        <w:t>were</w:t>
      </w:r>
      <w:r w:rsidR="00C83679">
        <w:rPr>
          <w:color w:val="000000" w:themeColor="text1"/>
        </w:rPr>
        <w:t xml:space="preserve"> </w:t>
      </w:r>
      <w:r w:rsidRPr="00A87CC7">
        <w:rPr>
          <w:color w:val="000000" w:themeColor="text1"/>
        </w:rPr>
        <w:t>80</w:t>
      </w:r>
      <w:r w:rsidR="00C83679">
        <w:rPr>
          <w:color w:val="000000" w:themeColor="text1"/>
        </w:rPr>
        <w:t xml:space="preserve"> </w:t>
      </w:r>
      <w:r w:rsidRPr="00A87CC7">
        <w:rPr>
          <w:color w:val="000000" w:themeColor="text1"/>
        </w:rPr>
        <w:t>tribal</w:t>
      </w:r>
      <w:r w:rsidR="00C83679">
        <w:rPr>
          <w:color w:val="000000" w:themeColor="text1"/>
        </w:rPr>
        <w:t xml:space="preserve"> </w:t>
      </w:r>
      <w:r w:rsidRPr="00A87CC7">
        <w:rPr>
          <w:color w:val="000000" w:themeColor="text1"/>
        </w:rPr>
        <w:t>court</w:t>
      </w:r>
      <w:r w:rsidR="00C83679">
        <w:rPr>
          <w:color w:val="000000" w:themeColor="text1"/>
        </w:rPr>
        <w:t xml:space="preserve"> </w:t>
      </w:r>
      <w:r w:rsidRPr="00A87CC7">
        <w:rPr>
          <w:color w:val="000000" w:themeColor="text1"/>
        </w:rPr>
        <w:t>agencies</w:t>
      </w:r>
      <w:r w:rsidR="00C83679">
        <w:rPr>
          <w:color w:val="000000" w:themeColor="text1"/>
        </w:rPr>
        <w:t xml:space="preserve"> </w:t>
      </w:r>
      <w:r w:rsidR="00E31ADF">
        <w:rPr>
          <w:color w:val="000000" w:themeColor="text1"/>
        </w:rPr>
        <w:t xml:space="preserve">identified </w:t>
      </w:r>
      <w:r w:rsidRPr="00A87CC7">
        <w:rPr>
          <w:color w:val="000000" w:themeColor="text1"/>
        </w:rPr>
        <w:t>on</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FBI</w:t>
      </w:r>
      <w:r w:rsidR="00C83679">
        <w:rPr>
          <w:color w:val="000000" w:themeColor="text1"/>
        </w:rPr>
        <w:t xml:space="preserve"> </w:t>
      </w:r>
      <w:r w:rsidRPr="00A87CC7">
        <w:rPr>
          <w:color w:val="000000" w:themeColor="text1"/>
        </w:rPr>
        <w:t>Justice</w:t>
      </w:r>
      <w:r w:rsidR="00C83679">
        <w:rPr>
          <w:color w:val="000000" w:themeColor="text1"/>
        </w:rPr>
        <w:t xml:space="preserve"> </w:t>
      </w:r>
      <w:r w:rsidRPr="00A87CC7">
        <w:rPr>
          <w:color w:val="000000" w:themeColor="text1"/>
        </w:rPr>
        <w:t>Agencies</w:t>
      </w:r>
      <w:r w:rsidR="00C83679">
        <w:rPr>
          <w:color w:val="000000" w:themeColor="text1"/>
        </w:rPr>
        <w:t xml:space="preserve"> </w:t>
      </w:r>
      <w:r w:rsidRPr="00A87CC7">
        <w:rPr>
          <w:color w:val="000000" w:themeColor="text1"/>
        </w:rPr>
        <w:t>list,</w:t>
      </w:r>
      <w:r w:rsidR="00C83679">
        <w:rPr>
          <w:color w:val="000000" w:themeColor="text1"/>
        </w:rPr>
        <w:t xml:space="preserve"> </w:t>
      </w:r>
      <w:r w:rsidRPr="00A87CC7">
        <w:rPr>
          <w:color w:val="000000" w:themeColor="text1"/>
        </w:rPr>
        <w:t>including</w:t>
      </w:r>
      <w:r w:rsidR="00C83679">
        <w:rPr>
          <w:color w:val="000000" w:themeColor="text1"/>
        </w:rPr>
        <w:t xml:space="preserve"> </w:t>
      </w:r>
      <w:r w:rsidRPr="00A87CC7">
        <w:rPr>
          <w:color w:val="000000" w:themeColor="text1"/>
        </w:rPr>
        <w:t>courts,</w:t>
      </w:r>
      <w:r w:rsidR="00C83679">
        <w:rPr>
          <w:color w:val="000000" w:themeColor="text1"/>
        </w:rPr>
        <w:t xml:space="preserve"> </w:t>
      </w:r>
      <w:r w:rsidRPr="00A87CC7">
        <w:rPr>
          <w:color w:val="000000" w:themeColor="text1"/>
        </w:rPr>
        <w:t>prosecutor’s</w:t>
      </w:r>
      <w:r w:rsidR="00C83679">
        <w:rPr>
          <w:color w:val="000000" w:themeColor="text1"/>
        </w:rPr>
        <w:t xml:space="preserve"> </w:t>
      </w:r>
      <w:r w:rsidRPr="00A87CC7">
        <w:rPr>
          <w:color w:val="000000" w:themeColor="text1"/>
        </w:rPr>
        <w:t>offices,</w:t>
      </w:r>
      <w:r w:rsidR="00C83679">
        <w:rPr>
          <w:color w:val="000000" w:themeColor="text1"/>
        </w:rPr>
        <w:t xml:space="preserve"> </w:t>
      </w:r>
      <w:r w:rsidRPr="00A87CC7">
        <w:rPr>
          <w:color w:val="000000" w:themeColor="text1"/>
        </w:rPr>
        <w:t>detention</w:t>
      </w:r>
      <w:r w:rsidR="00C83679">
        <w:rPr>
          <w:color w:val="000000" w:themeColor="text1"/>
        </w:rPr>
        <w:t xml:space="preserve"> </w:t>
      </w:r>
      <w:r w:rsidRPr="00A87CC7">
        <w:rPr>
          <w:color w:val="000000" w:themeColor="text1"/>
        </w:rPr>
        <w:t>facilities,</w:t>
      </w:r>
      <w:r w:rsidR="00C83679">
        <w:rPr>
          <w:color w:val="000000" w:themeColor="text1"/>
        </w:rPr>
        <w:t xml:space="preserve"> </w:t>
      </w:r>
      <w:r w:rsidRPr="00A87CC7">
        <w:rPr>
          <w:color w:val="000000" w:themeColor="text1"/>
        </w:rPr>
        <w:t>and</w:t>
      </w:r>
      <w:r w:rsidR="00C83679">
        <w:rPr>
          <w:color w:val="000000" w:themeColor="text1"/>
        </w:rPr>
        <w:t xml:space="preserve"> </w:t>
      </w:r>
      <w:r w:rsidRPr="00A87CC7">
        <w:rPr>
          <w:color w:val="000000" w:themeColor="text1"/>
        </w:rPr>
        <w:t>related</w:t>
      </w:r>
      <w:r w:rsidR="00C83679">
        <w:rPr>
          <w:color w:val="000000" w:themeColor="text1"/>
        </w:rPr>
        <w:t xml:space="preserve"> </w:t>
      </w:r>
      <w:r w:rsidRPr="00A87CC7">
        <w:rPr>
          <w:color w:val="000000" w:themeColor="text1"/>
        </w:rPr>
        <w:t>agencies.</w:t>
      </w:r>
      <w:r w:rsidR="00C83679">
        <w:rPr>
          <w:color w:val="000000" w:themeColor="text1"/>
        </w:rPr>
        <w:t xml:space="preserve"> </w:t>
      </w:r>
      <w:r w:rsidR="0066306E">
        <w:rPr>
          <w:color w:val="000000" w:themeColor="text1"/>
        </w:rPr>
        <w:t xml:space="preserve">None </w:t>
      </w:r>
      <w:r w:rsidRPr="00A87CC7">
        <w:rPr>
          <w:color w:val="000000" w:themeColor="text1"/>
        </w:rPr>
        <w:t>were</w:t>
      </w:r>
      <w:r w:rsidR="00C83679">
        <w:rPr>
          <w:color w:val="000000" w:themeColor="text1"/>
        </w:rPr>
        <w:t xml:space="preserve"> </w:t>
      </w:r>
      <w:r w:rsidRPr="00A87CC7">
        <w:rPr>
          <w:color w:val="000000" w:themeColor="text1"/>
        </w:rPr>
        <w:t>determined</w:t>
      </w:r>
      <w:r w:rsidR="00C83679">
        <w:rPr>
          <w:color w:val="000000" w:themeColor="text1"/>
        </w:rPr>
        <w:t xml:space="preserve"> </w:t>
      </w:r>
      <w:r w:rsidRPr="00A87CC7">
        <w:rPr>
          <w:color w:val="000000" w:themeColor="text1"/>
        </w:rPr>
        <w:t>to</w:t>
      </w:r>
      <w:r w:rsidR="00C83679">
        <w:rPr>
          <w:color w:val="000000" w:themeColor="text1"/>
        </w:rPr>
        <w:t xml:space="preserve"> </w:t>
      </w:r>
      <w:r w:rsidRPr="00A87CC7">
        <w:rPr>
          <w:color w:val="000000" w:themeColor="text1"/>
        </w:rPr>
        <w:t>have</w:t>
      </w:r>
      <w:r w:rsidR="00C83679">
        <w:rPr>
          <w:color w:val="000000" w:themeColor="text1"/>
        </w:rPr>
        <w:t xml:space="preserve"> </w:t>
      </w:r>
      <w:r w:rsidRPr="00A87CC7">
        <w:rPr>
          <w:color w:val="000000" w:themeColor="text1"/>
        </w:rPr>
        <w:t>a</w:t>
      </w:r>
      <w:r w:rsidR="00C83679">
        <w:rPr>
          <w:color w:val="000000" w:themeColor="text1"/>
        </w:rPr>
        <w:t xml:space="preserve"> </w:t>
      </w:r>
      <w:r w:rsidRPr="00A87CC7">
        <w:rPr>
          <w:color w:val="000000" w:themeColor="text1"/>
        </w:rPr>
        <w:t>qualifying</w:t>
      </w:r>
      <w:r w:rsidR="00C83679">
        <w:rPr>
          <w:color w:val="000000" w:themeColor="text1"/>
        </w:rPr>
        <w:t xml:space="preserve"> </w:t>
      </w:r>
      <w:r w:rsidRPr="00A87CC7">
        <w:rPr>
          <w:color w:val="000000" w:themeColor="text1"/>
        </w:rPr>
        <w:t>law</w:t>
      </w:r>
      <w:r w:rsidR="00C83679">
        <w:rPr>
          <w:color w:val="000000" w:themeColor="text1"/>
        </w:rPr>
        <w:t xml:space="preserve"> </w:t>
      </w:r>
      <w:r w:rsidRPr="00A87CC7">
        <w:rPr>
          <w:color w:val="000000" w:themeColor="text1"/>
        </w:rPr>
        <w:t>enforcement</w:t>
      </w:r>
      <w:r w:rsidR="00C83679">
        <w:rPr>
          <w:color w:val="000000" w:themeColor="text1"/>
        </w:rPr>
        <w:t xml:space="preserve"> </w:t>
      </w:r>
      <w:r w:rsidRPr="00A87CC7">
        <w:rPr>
          <w:color w:val="000000" w:themeColor="text1"/>
        </w:rPr>
        <w:t>role</w:t>
      </w:r>
      <w:r w:rsidR="000B601C">
        <w:rPr>
          <w:color w:val="000000" w:themeColor="text1"/>
        </w:rPr>
        <w:t xml:space="preserve"> as officers do not make arrests or issue citations</w:t>
      </w:r>
      <w:r w:rsidRPr="00A87CC7">
        <w:rPr>
          <w:color w:val="000000" w:themeColor="text1"/>
        </w:rPr>
        <w:t>.</w:t>
      </w:r>
    </w:p>
    <w:p w14:paraId="205C0EE1" w14:textId="1D348FB8" w:rsidR="00A87CC7" w:rsidRDefault="0022602A" w:rsidP="00D901A8">
      <w:pPr>
        <w:pStyle w:val="ListParagraph"/>
        <w:numPr>
          <w:ilvl w:val="0"/>
          <w:numId w:val="4"/>
        </w:numPr>
        <w:rPr>
          <w:color w:val="000000" w:themeColor="text1"/>
        </w:rPr>
      </w:pPr>
      <w:r w:rsidRPr="00A87CC7">
        <w:rPr>
          <w:b/>
          <w:color w:val="000000" w:themeColor="text1"/>
        </w:rPr>
        <w:t>Housing</w:t>
      </w:r>
      <w:r w:rsidR="00C83679">
        <w:rPr>
          <w:color w:val="000000" w:themeColor="text1"/>
        </w:rPr>
        <w:t xml:space="preserve"> </w:t>
      </w:r>
      <w:r w:rsidRPr="00A87CC7">
        <w:rPr>
          <w:color w:val="000000" w:themeColor="text1"/>
        </w:rPr>
        <w:t>–</w:t>
      </w:r>
      <w:r w:rsidR="00C83679">
        <w:rPr>
          <w:color w:val="000000" w:themeColor="text1"/>
        </w:rPr>
        <w:t xml:space="preserve"> </w:t>
      </w:r>
      <w:r w:rsidRPr="00A87CC7">
        <w:rPr>
          <w:color w:val="000000" w:themeColor="text1"/>
        </w:rPr>
        <w:t>There</w:t>
      </w:r>
      <w:r w:rsidR="00C83679">
        <w:rPr>
          <w:color w:val="000000" w:themeColor="text1"/>
        </w:rPr>
        <w:t xml:space="preserve"> </w:t>
      </w:r>
      <w:r w:rsidRPr="00A87CC7">
        <w:rPr>
          <w:color w:val="000000" w:themeColor="text1"/>
        </w:rPr>
        <w:t>were</w:t>
      </w:r>
      <w:r w:rsidR="00C83679">
        <w:rPr>
          <w:color w:val="000000" w:themeColor="text1"/>
        </w:rPr>
        <w:t xml:space="preserve"> </w:t>
      </w:r>
      <w:r w:rsidRPr="00A87CC7">
        <w:rPr>
          <w:color w:val="000000" w:themeColor="text1"/>
        </w:rPr>
        <w:t>27</w:t>
      </w:r>
      <w:r w:rsidR="00C83679">
        <w:rPr>
          <w:color w:val="000000" w:themeColor="text1"/>
        </w:rPr>
        <w:t xml:space="preserve"> </w:t>
      </w:r>
      <w:r w:rsidRPr="00A87CC7">
        <w:rPr>
          <w:color w:val="000000" w:themeColor="text1"/>
        </w:rPr>
        <w:t>tribal</w:t>
      </w:r>
      <w:r w:rsidR="00C83679">
        <w:rPr>
          <w:color w:val="000000" w:themeColor="text1"/>
        </w:rPr>
        <w:t xml:space="preserve"> </w:t>
      </w:r>
      <w:r w:rsidRPr="00A87CC7">
        <w:rPr>
          <w:color w:val="000000" w:themeColor="text1"/>
        </w:rPr>
        <w:t>housing</w:t>
      </w:r>
      <w:r w:rsidR="00C83679">
        <w:rPr>
          <w:color w:val="000000" w:themeColor="text1"/>
        </w:rPr>
        <w:t xml:space="preserve"> </w:t>
      </w:r>
      <w:r w:rsidRPr="00A87CC7">
        <w:rPr>
          <w:color w:val="000000" w:themeColor="text1"/>
        </w:rPr>
        <w:t>agencies,</w:t>
      </w:r>
      <w:r w:rsidR="00C83679">
        <w:rPr>
          <w:color w:val="000000" w:themeColor="text1"/>
        </w:rPr>
        <w:t xml:space="preserve"> </w:t>
      </w:r>
      <w:r w:rsidR="00E31ADF">
        <w:rPr>
          <w:color w:val="000000" w:themeColor="text1"/>
        </w:rPr>
        <w:t xml:space="preserve">identified </w:t>
      </w:r>
      <w:r w:rsidRPr="00A87CC7">
        <w:rPr>
          <w:color w:val="000000" w:themeColor="text1"/>
        </w:rPr>
        <w:t>primarily</w:t>
      </w:r>
      <w:r w:rsidR="00C83679">
        <w:rPr>
          <w:color w:val="000000" w:themeColor="text1"/>
        </w:rPr>
        <w:t xml:space="preserve"> </w:t>
      </w:r>
      <w:r w:rsidRPr="00A87CC7">
        <w:rPr>
          <w:color w:val="000000" w:themeColor="text1"/>
        </w:rPr>
        <w:t>from</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FBI</w:t>
      </w:r>
      <w:r w:rsidR="00C83679">
        <w:rPr>
          <w:color w:val="000000" w:themeColor="text1"/>
        </w:rPr>
        <w:t xml:space="preserve"> </w:t>
      </w:r>
      <w:r w:rsidRPr="00A87CC7">
        <w:rPr>
          <w:color w:val="000000" w:themeColor="text1"/>
        </w:rPr>
        <w:t>Justice</w:t>
      </w:r>
      <w:r w:rsidR="00C83679">
        <w:rPr>
          <w:color w:val="000000" w:themeColor="text1"/>
        </w:rPr>
        <w:t xml:space="preserve"> </w:t>
      </w:r>
      <w:r w:rsidRPr="00A87CC7">
        <w:rPr>
          <w:color w:val="000000" w:themeColor="text1"/>
        </w:rPr>
        <w:t>Agencies</w:t>
      </w:r>
      <w:r w:rsidR="00C83679">
        <w:rPr>
          <w:color w:val="000000" w:themeColor="text1"/>
        </w:rPr>
        <w:t xml:space="preserve"> </w:t>
      </w:r>
      <w:r w:rsidRPr="00A87CC7">
        <w:rPr>
          <w:color w:val="000000" w:themeColor="text1"/>
        </w:rPr>
        <w:t>list.</w:t>
      </w:r>
      <w:r w:rsidR="00C83679">
        <w:rPr>
          <w:color w:val="000000" w:themeColor="text1"/>
        </w:rPr>
        <w:t xml:space="preserve"> </w:t>
      </w:r>
      <w:r w:rsidRPr="00A87CC7">
        <w:rPr>
          <w:color w:val="000000" w:themeColor="text1"/>
        </w:rPr>
        <w:t>Each</w:t>
      </w:r>
      <w:r w:rsidR="00C83679">
        <w:rPr>
          <w:color w:val="000000" w:themeColor="text1"/>
        </w:rPr>
        <w:t xml:space="preserve"> </w:t>
      </w:r>
      <w:r w:rsidRPr="00A87CC7">
        <w:rPr>
          <w:color w:val="000000" w:themeColor="text1"/>
        </w:rPr>
        <w:t>agency</w:t>
      </w:r>
      <w:r w:rsidR="00C83679">
        <w:rPr>
          <w:color w:val="000000" w:themeColor="text1"/>
        </w:rPr>
        <w:t xml:space="preserve"> </w:t>
      </w:r>
      <w:r w:rsidRPr="00A87CC7">
        <w:rPr>
          <w:color w:val="000000" w:themeColor="text1"/>
        </w:rPr>
        <w:t>was</w:t>
      </w:r>
      <w:r w:rsidR="00C83679">
        <w:rPr>
          <w:color w:val="000000" w:themeColor="text1"/>
        </w:rPr>
        <w:t xml:space="preserve"> </w:t>
      </w:r>
      <w:r w:rsidRPr="00A87CC7">
        <w:rPr>
          <w:color w:val="000000" w:themeColor="text1"/>
        </w:rPr>
        <w:t>called</w:t>
      </w:r>
      <w:r w:rsidR="00C83679">
        <w:rPr>
          <w:color w:val="000000" w:themeColor="text1"/>
        </w:rPr>
        <w:t xml:space="preserve"> </w:t>
      </w:r>
      <w:r w:rsidRPr="00A87CC7">
        <w:rPr>
          <w:color w:val="000000" w:themeColor="text1"/>
        </w:rPr>
        <w:t>to</w:t>
      </w:r>
      <w:r w:rsidR="00C83679">
        <w:rPr>
          <w:color w:val="000000" w:themeColor="text1"/>
        </w:rPr>
        <w:t xml:space="preserve"> </w:t>
      </w:r>
      <w:r w:rsidRPr="00A87CC7">
        <w:rPr>
          <w:color w:val="000000" w:themeColor="text1"/>
        </w:rPr>
        <w:t>determine</w:t>
      </w:r>
      <w:r w:rsidR="00C83679">
        <w:rPr>
          <w:color w:val="000000" w:themeColor="text1"/>
        </w:rPr>
        <w:t xml:space="preserve"> </w:t>
      </w:r>
      <w:r w:rsidRPr="00A87CC7">
        <w:rPr>
          <w:color w:val="000000" w:themeColor="text1"/>
        </w:rPr>
        <w:t>if</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agency</w:t>
      </w:r>
      <w:r w:rsidR="00C83679">
        <w:rPr>
          <w:color w:val="000000" w:themeColor="text1"/>
        </w:rPr>
        <w:t xml:space="preserve"> </w:t>
      </w:r>
      <w:r w:rsidRPr="00A87CC7">
        <w:rPr>
          <w:color w:val="000000" w:themeColor="text1"/>
        </w:rPr>
        <w:t>had</w:t>
      </w:r>
      <w:r w:rsidR="00C83679">
        <w:rPr>
          <w:color w:val="000000" w:themeColor="text1"/>
        </w:rPr>
        <w:t xml:space="preserve"> </w:t>
      </w:r>
      <w:r w:rsidRPr="00A87CC7">
        <w:rPr>
          <w:color w:val="000000" w:themeColor="text1"/>
        </w:rPr>
        <w:t>a</w:t>
      </w:r>
      <w:r w:rsidR="00C83679">
        <w:rPr>
          <w:color w:val="000000" w:themeColor="text1"/>
        </w:rPr>
        <w:t xml:space="preserve"> </w:t>
      </w:r>
      <w:r w:rsidRPr="00A87CC7">
        <w:rPr>
          <w:color w:val="000000" w:themeColor="text1"/>
        </w:rPr>
        <w:t>qualifying</w:t>
      </w:r>
      <w:r w:rsidR="00C83679">
        <w:rPr>
          <w:color w:val="000000" w:themeColor="text1"/>
        </w:rPr>
        <w:t xml:space="preserve"> </w:t>
      </w:r>
      <w:r w:rsidRPr="00A87CC7">
        <w:rPr>
          <w:color w:val="000000" w:themeColor="text1"/>
        </w:rPr>
        <w:t>law</w:t>
      </w:r>
      <w:r w:rsidR="00C83679">
        <w:rPr>
          <w:color w:val="000000" w:themeColor="text1"/>
        </w:rPr>
        <w:t xml:space="preserve"> </w:t>
      </w:r>
      <w:r w:rsidRPr="00A87CC7">
        <w:rPr>
          <w:color w:val="000000" w:themeColor="text1"/>
        </w:rPr>
        <w:t>enforcement</w:t>
      </w:r>
      <w:r w:rsidR="00C83679">
        <w:rPr>
          <w:color w:val="000000" w:themeColor="text1"/>
        </w:rPr>
        <w:t xml:space="preserve"> </w:t>
      </w:r>
      <w:r w:rsidRPr="00A87CC7">
        <w:rPr>
          <w:color w:val="000000" w:themeColor="text1"/>
        </w:rPr>
        <w:t>function.</w:t>
      </w:r>
      <w:r w:rsidR="00C83679">
        <w:rPr>
          <w:color w:val="000000" w:themeColor="text1"/>
        </w:rPr>
        <w:t xml:space="preserve"> </w:t>
      </w:r>
      <w:r w:rsidRPr="00A87CC7">
        <w:rPr>
          <w:color w:val="000000" w:themeColor="text1"/>
        </w:rPr>
        <w:t>None</w:t>
      </w:r>
      <w:r w:rsidR="00C83679">
        <w:rPr>
          <w:color w:val="000000" w:themeColor="text1"/>
        </w:rPr>
        <w:t xml:space="preserve"> </w:t>
      </w:r>
      <w:r w:rsidRPr="00A87CC7">
        <w:rPr>
          <w:color w:val="000000" w:themeColor="text1"/>
        </w:rPr>
        <w:t>were</w:t>
      </w:r>
      <w:r w:rsidR="00C83679">
        <w:rPr>
          <w:color w:val="000000" w:themeColor="text1"/>
        </w:rPr>
        <w:t xml:space="preserve"> </w:t>
      </w:r>
      <w:r w:rsidRPr="00A87CC7">
        <w:rPr>
          <w:color w:val="000000" w:themeColor="text1"/>
        </w:rPr>
        <w:t>determined</w:t>
      </w:r>
      <w:r w:rsidR="00C83679">
        <w:rPr>
          <w:color w:val="000000" w:themeColor="text1"/>
        </w:rPr>
        <w:t xml:space="preserve"> </w:t>
      </w:r>
      <w:r w:rsidRPr="00A87CC7">
        <w:rPr>
          <w:color w:val="000000" w:themeColor="text1"/>
        </w:rPr>
        <w:t>to</w:t>
      </w:r>
      <w:r w:rsidR="00C83679">
        <w:rPr>
          <w:color w:val="000000" w:themeColor="text1"/>
        </w:rPr>
        <w:t xml:space="preserve"> </w:t>
      </w:r>
      <w:r w:rsidRPr="00A87CC7">
        <w:rPr>
          <w:color w:val="000000" w:themeColor="text1"/>
        </w:rPr>
        <w:t>meet</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criteria</w:t>
      </w:r>
      <w:r w:rsidR="00C83679">
        <w:rPr>
          <w:color w:val="000000" w:themeColor="text1"/>
        </w:rPr>
        <w:t xml:space="preserve"> </w:t>
      </w:r>
      <w:r w:rsidRPr="00A87CC7">
        <w:rPr>
          <w:color w:val="000000" w:themeColor="text1"/>
        </w:rPr>
        <w:t>for</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survey.</w:t>
      </w:r>
    </w:p>
    <w:p w14:paraId="06B382CB" w14:textId="6FBDA4A7" w:rsidR="0022602A" w:rsidRDefault="0022602A" w:rsidP="00D901A8">
      <w:pPr>
        <w:pStyle w:val="ListParagraph"/>
        <w:numPr>
          <w:ilvl w:val="0"/>
          <w:numId w:val="4"/>
        </w:numPr>
        <w:rPr>
          <w:color w:val="000000" w:themeColor="text1"/>
        </w:rPr>
      </w:pPr>
      <w:r w:rsidRPr="00A87CC7">
        <w:rPr>
          <w:b/>
          <w:color w:val="000000" w:themeColor="text1"/>
        </w:rPr>
        <w:t>Tribal</w:t>
      </w:r>
      <w:r w:rsidR="00C83679">
        <w:rPr>
          <w:b/>
          <w:color w:val="000000" w:themeColor="text1"/>
        </w:rPr>
        <w:t xml:space="preserve"> </w:t>
      </w:r>
      <w:r w:rsidRPr="00A87CC7">
        <w:rPr>
          <w:b/>
          <w:color w:val="000000" w:themeColor="text1"/>
        </w:rPr>
        <w:t>Colleges</w:t>
      </w:r>
      <w:r w:rsidR="00C83679">
        <w:rPr>
          <w:b/>
          <w:color w:val="000000" w:themeColor="text1"/>
        </w:rPr>
        <w:t xml:space="preserve"> </w:t>
      </w:r>
      <w:r w:rsidRPr="00A87CC7">
        <w:rPr>
          <w:b/>
          <w:color w:val="000000" w:themeColor="text1"/>
        </w:rPr>
        <w:t>and</w:t>
      </w:r>
      <w:r w:rsidR="00C83679">
        <w:rPr>
          <w:b/>
          <w:color w:val="000000" w:themeColor="text1"/>
        </w:rPr>
        <w:t xml:space="preserve"> </w:t>
      </w:r>
      <w:r w:rsidRPr="00A87CC7">
        <w:rPr>
          <w:b/>
          <w:color w:val="000000" w:themeColor="text1"/>
        </w:rPr>
        <w:t>Universities</w:t>
      </w:r>
      <w:r w:rsidR="00916AAD">
        <w:rPr>
          <w:b/>
          <w:color w:val="000000" w:themeColor="text1"/>
        </w:rPr>
        <w:t xml:space="preserve"> </w:t>
      </w:r>
      <w:r w:rsidRPr="00A87CC7">
        <w:rPr>
          <w:color w:val="000000" w:themeColor="text1"/>
        </w:rPr>
        <w:t>–</w:t>
      </w:r>
      <w:r w:rsidR="00C83679">
        <w:rPr>
          <w:color w:val="000000" w:themeColor="text1"/>
        </w:rPr>
        <w:t xml:space="preserve"> </w:t>
      </w:r>
      <w:r w:rsidRPr="00A87CC7">
        <w:rPr>
          <w:color w:val="000000" w:themeColor="text1"/>
        </w:rPr>
        <w:t>A</w:t>
      </w:r>
      <w:r w:rsidR="00C83679">
        <w:rPr>
          <w:color w:val="000000" w:themeColor="text1"/>
        </w:rPr>
        <w:t xml:space="preserve"> </w:t>
      </w:r>
      <w:r w:rsidRPr="00A87CC7">
        <w:rPr>
          <w:color w:val="000000" w:themeColor="text1"/>
        </w:rPr>
        <w:t>list</w:t>
      </w:r>
      <w:r w:rsidR="00C83679">
        <w:rPr>
          <w:color w:val="000000" w:themeColor="text1"/>
        </w:rPr>
        <w:t xml:space="preserve"> </w:t>
      </w:r>
      <w:r w:rsidRPr="00A87CC7">
        <w:rPr>
          <w:color w:val="000000" w:themeColor="text1"/>
        </w:rPr>
        <w:t>of</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32</w:t>
      </w:r>
      <w:r w:rsidR="00C83679">
        <w:rPr>
          <w:color w:val="000000" w:themeColor="text1"/>
        </w:rPr>
        <w:t xml:space="preserve"> </w:t>
      </w:r>
      <w:r w:rsidRPr="00A87CC7">
        <w:rPr>
          <w:color w:val="000000" w:themeColor="text1"/>
        </w:rPr>
        <w:t>fully</w:t>
      </w:r>
      <w:r w:rsidR="000B601C">
        <w:rPr>
          <w:color w:val="000000" w:themeColor="text1"/>
        </w:rPr>
        <w:t>-</w:t>
      </w:r>
      <w:r w:rsidRPr="00A87CC7">
        <w:rPr>
          <w:color w:val="000000" w:themeColor="text1"/>
        </w:rPr>
        <w:t>accredited</w:t>
      </w:r>
      <w:r w:rsidR="00C83679">
        <w:rPr>
          <w:color w:val="000000" w:themeColor="text1"/>
        </w:rPr>
        <w:t xml:space="preserve"> </w:t>
      </w:r>
      <w:r w:rsidRPr="00A87CC7">
        <w:rPr>
          <w:color w:val="000000" w:themeColor="text1"/>
        </w:rPr>
        <w:t>tribal</w:t>
      </w:r>
      <w:r w:rsidR="00C83679">
        <w:rPr>
          <w:color w:val="000000" w:themeColor="text1"/>
        </w:rPr>
        <w:t xml:space="preserve"> </w:t>
      </w:r>
      <w:r w:rsidRPr="00A87CC7">
        <w:rPr>
          <w:color w:val="000000" w:themeColor="text1"/>
        </w:rPr>
        <w:t>colleges</w:t>
      </w:r>
      <w:r w:rsidR="00C83679">
        <w:rPr>
          <w:color w:val="000000" w:themeColor="text1"/>
        </w:rPr>
        <w:t xml:space="preserve"> </w:t>
      </w:r>
      <w:r w:rsidRPr="00A87CC7">
        <w:rPr>
          <w:color w:val="000000" w:themeColor="text1"/>
        </w:rPr>
        <w:t>and</w:t>
      </w:r>
      <w:r w:rsidR="00C83679">
        <w:rPr>
          <w:color w:val="000000" w:themeColor="text1"/>
        </w:rPr>
        <w:t xml:space="preserve"> </w:t>
      </w:r>
      <w:r w:rsidRPr="00A87CC7">
        <w:rPr>
          <w:color w:val="000000" w:themeColor="text1"/>
        </w:rPr>
        <w:t>universities</w:t>
      </w:r>
      <w:r w:rsidR="00C83679">
        <w:rPr>
          <w:color w:val="000000" w:themeColor="text1"/>
        </w:rPr>
        <w:t xml:space="preserve"> </w:t>
      </w:r>
      <w:r w:rsidRPr="00A87CC7">
        <w:rPr>
          <w:color w:val="000000" w:themeColor="text1"/>
        </w:rPr>
        <w:t>was</w:t>
      </w:r>
      <w:r w:rsidR="00C83679">
        <w:rPr>
          <w:color w:val="000000" w:themeColor="text1"/>
        </w:rPr>
        <w:t xml:space="preserve"> </w:t>
      </w:r>
      <w:r w:rsidRPr="00A87CC7">
        <w:rPr>
          <w:color w:val="000000" w:themeColor="text1"/>
        </w:rPr>
        <w:t>downloaded</w:t>
      </w:r>
      <w:r w:rsidR="00C83679">
        <w:rPr>
          <w:color w:val="000000" w:themeColor="text1"/>
        </w:rPr>
        <w:t xml:space="preserve"> </w:t>
      </w:r>
      <w:r w:rsidRPr="00A87CC7">
        <w:rPr>
          <w:color w:val="000000" w:themeColor="text1"/>
        </w:rPr>
        <w:t>from</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U.S.</w:t>
      </w:r>
      <w:r w:rsidR="00C83679">
        <w:rPr>
          <w:color w:val="000000" w:themeColor="text1"/>
        </w:rPr>
        <w:t xml:space="preserve"> </w:t>
      </w:r>
      <w:r w:rsidRPr="00A87CC7">
        <w:rPr>
          <w:color w:val="000000" w:themeColor="text1"/>
        </w:rPr>
        <w:t>Department</w:t>
      </w:r>
      <w:r w:rsidR="00C83679">
        <w:rPr>
          <w:color w:val="000000" w:themeColor="text1"/>
        </w:rPr>
        <w:t xml:space="preserve"> </w:t>
      </w:r>
      <w:r w:rsidRPr="00A87CC7">
        <w:rPr>
          <w:color w:val="000000" w:themeColor="text1"/>
        </w:rPr>
        <w:t>of</w:t>
      </w:r>
      <w:r w:rsidR="00C83679">
        <w:rPr>
          <w:color w:val="000000" w:themeColor="text1"/>
        </w:rPr>
        <w:t xml:space="preserve"> </w:t>
      </w:r>
      <w:r w:rsidRPr="00A87CC7">
        <w:rPr>
          <w:color w:val="000000" w:themeColor="text1"/>
        </w:rPr>
        <w:t>Education’s</w:t>
      </w:r>
      <w:r w:rsidR="00C83679">
        <w:rPr>
          <w:color w:val="000000" w:themeColor="text1"/>
        </w:rPr>
        <w:t xml:space="preserve"> </w:t>
      </w:r>
      <w:r w:rsidRPr="00A87CC7">
        <w:rPr>
          <w:color w:val="000000" w:themeColor="text1"/>
        </w:rPr>
        <w:t>White</w:t>
      </w:r>
      <w:r w:rsidR="00C83679">
        <w:rPr>
          <w:color w:val="000000" w:themeColor="text1"/>
        </w:rPr>
        <w:t xml:space="preserve"> </w:t>
      </w:r>
      <w:r w:rsidRPr="00A87CC7">
        <w:rPr>
          <w:color w:val="000000" w:themeColor="text1"/>
        </w:rPr>
        <w:t>House</w:t>
      </w:r>
      <w:r w:rsidR="00C83679">
        <w:rPr>
          <w:color w:val="000000" w:themeColor="text1"/>
        </w:rPr>
        <w:t xml:space="preserve"> </w:t>
      </w:r>
      <w:r w:rsidRPr="00A87CC7">
        <w:rPr>
          <w:color w:val="000000" w:themeColor="text1"/>
        </w:rPr>
        <w:t>Initiative</w:t>
      </w:r>
      <w:r w:rsidR="00C83679">
        <w:rPr>
          <w:color w:val="000000" w:themeColor="text1"/>
        </w:rPr>
        <w:t xml:space="preserve"> </w:t>
      </w:r>
      <w:r w:rsidRPr="00A87CC7">
        <w:rPr>
          <w:color w:val="000000" w:themeColor="text1"/>
        </w:rPr>
        <w:t>on</w:t>
      </w:r>
      <w:r w:rsidR="00C83679">
        <w:rPr>
          <w:color w:val="000000" w:themeColor="text1"/>
        </w:rPr>
        <w:t xml:space="preserve"> </w:t>
      </w:r>
      <w:r w:rsidRPr="00A87CC7">
        <w:rPr>
          <w:color w:val="000000" w:themeColor="text1"/>
        </w:rPr>
        <w:t>American</w:t>
      </w:r>
      <w:r w:rsidR="00C83679">
        <w:rPr>
          <w:color w:val="000000" w:themeColor="text1"/>
        </w:rPr>
        <w:t xml:space="preserve"> </w:t>
      </w:r>
      <w:r w:rsidRPr="00A87CC7">
        <w:rPr>
          <w:color w:val="000000" w:themeColor="text1"/>
        </w:rPr>
        <w:t>Indian</w:t>
      </w:r>
      <w:r w:rsidR="00C83679">
        <w:rPr>
          <w:color w:val="000000" w:themeColor="text1"/>
        </w:rPr>
        <w:t xml:space="preserve"> </w:t>
      </w:r>
      <w:r w:rsidRPr="00A87CC7">
        <w:rPr>
          <w:color w:val="000000" w:themeColor="text1"/>
        </w:rPr>
        <w:t>and</w:t>
      </w:r>
      <w:r w:rsidR="00C83679">
        <w:rPr>
          <w:color w:val="000000" w:themeColor="text1"/>
        </w:rPr>
        <w:t xml:space="preserve"> </w:t>
      </w:r>
      <w:r w:rsidRPr="00A87CC7">
        <w:rPr>
          <w:color w:val="000000" w:themeColor="text1"/>
        </w:rPr>
        <w:t>Alaska</w:t>
      </w:r>
      <w:r w:rsidR="00C83679">
        <w:rPr>
          <w:color w:val="000000" w:themeColor="text1"/>
        </w:rPr>
        <w:t xml:space="preserve"> </w:t>
      </w:r>
      <w:r w:rsidRPr="00A87CC7">
        <w:rPr>
          <w:color w:val="000000" w:themeColor="text1"/>
        </w:rPr>
        <w:t>Native</w:t>
      </w:r>
      <w:r w:rsidR="00C83679">
        <w:rPr>
          <w:color w:val="000000" w:themeColor="text1"/>
        </w:rPr>
        <w:t xml:space="preserve"> </w:t>
      </w:r>
      <w:r w:rsidRPr="00A87CC7">
        <w:rPr>
          <w:color w:val="000000" w:themeColor="text1"/>
        </w:rPr>
        <w:t>Education</w:t>
      </w:r>
      <w:r w:rsidR="00E31ADF">
        <w:rPr>
          <w:color w:val="000000" w:themeColor="text1"/>
        </w:rPr>
        <w:t xml:space="preserve"> website</w:t>
      </w:r>
      <w:r w:rsidRPr="00A87CC7">
        <w:rPr>
          <w:color w:val="000000" w:themeColor="text1"/>
        </w:rPr>
        <w:t>.</w:t>
      </w:r>
      <w:r w:rsidR="00C83679">
        <w:rPr>
          <w:color w:val="000000" w:themeColor="text1"/>
        </w:rPr>
        <w:t xml:space="preserve"> </w:t>
      </w:r>
      <w:r w:rsidRPr="00A87CC7">
        <w:rPr>
          <w:color w:val="000000" w:themeColor="text1"/>
        </w:rPr>
        <w:t>Phone</w:t>
      </w:r>
      <w:r w:rsidR="00C83679">
        <w:rPr>
          <w:color w:val="000000" w:themeColor="text1"/>
        </w:rPr>
        <w:t xml:space="preserve"> </w:t>
      </w:r>
      <w:r w:rsidRPr="00A87CC7">
        <w:rPr>
          <w:color w:val="000000" w:themeColor="text1"/>
        </w:rPr>
        <w:t>and</w:t>
      </w:r>
      <w:r w:rsidR="00C83679">
        <w:rPr>
          <w:color w:val="000000" w:themeColor="text1"/>
        </w:rPr>
        <w:t xml:space="preserve"> </w:t>
      </w:r>
      <w:r w:rsidRPr="00A87CC7">
        <w:rPr>
          <w:color w:val="000000" w:themeColor="text1"/>
        </w:rPr>
        <w:t>website</w:t>
      </w:r>
      <w:r w:rsidR="00C83679">
        <w:rPr>
          <w:color w:val="000000" w:themeColor="text1"/>
        </w:rPr>
        <w:t xml:space="preserve"> </w:t>
      </w:r>
      <w:r w:rsidRPr="00A87CC7">
        <w:rPr>
          <w:color w:val="000000" w:themeColor="text1"/>
        </w:rPr>
        <w:t>research</w:t>
      </w:r>
      <w:r w:rsidR="00C83679">
        <w:rPr>
          <w:color w:val="000000" w:themeColor="text1"/>
        </w:rPr>
        <w:t xml:space="preserve"> </w:t>
      </w:r>
      <w:r w:rsidRPr="00A87CC7">
        <w:rPr>
          <w:color w:val="000000" w:themeColor="text1"/>
        </w:rPr>
        <w:t>was</w:t>
      </w:r>
      <w:r w:rsidR="00C83679">
        <w:rPr>
          <w:color w:val="000000" w:themeColor="text1"/>
        </w:rPr>
        <w:t xml:space="preserve"> </w:t>
      </w:r>
      <w:r w:rsidRPr="00A87CC7">
        <w:rPr>
          <w:color w:val="000000" w:themeColor="text1"/>
        </w:rPr>
        <w:t>done</w:t>
      </w:r>
      <w:r w:rsidR="00C83679">
        <w:rPr>
          <w:color w:val="000000" w:themeColor="text1"/>
        </w:rPr>
        <w:t xml:space="preserve"> </w:t>
      </w:r>
      <w:r w:rsidRPr="00A87CC7">
        <w:rPr>
          <w:color w:val="000000" w:themeColor="text1"/>
        </w:rPr>
        <w:t>to</w:t>
      </w:r>
      <w:r w:rsidR="00C83679">
        <w:rPr>
          <w:color w:val="000000" w:themeColor="text1"/>
        </w:rPr>
        <w:t xml:space="preserve"> </w:t>
      </w:r>
      <w:r w:rsidRPr="00A87CC7">
        <w:rPr>
          <w:color w:val="000000" w:themeColor="text1"/>
        </w:rPr>
        <w:t>determine</w:t>
      </w:r>
      <w:r w:rsidR="00C83679">
        <w:rPr>
          <w:color w:val="000000" w:themeColor="text1"/>
        </w:rPr>
        <w:t xml:space="preserve"> </w:t>
      </w:r>
      <w:r w:rsidRPr="00A87CC7">
        <w:rPr>
          <w:color w:val="000000" w:themeColor="text1"/>
        </w:rPr>
        <w:t>which</w:t>
      </w:r>
      <w:r w:rsidR="00C83679">
        <w:rPr>
          <w:color w:val="000000" w:themeColor="text1"/>
        </w:rPr>
        <w:t xml:space="preserve"> </w:t>
      </w:r>
      <w:r w:rsidRPr="00A87CC7">
        <w:rPr>
          <w:color w:val="000000" w:themeColor="text1"/>
        </w:rPr>
        <w:t>of</w:t>
      </w:r>
      <w:r w:rsidR="00C83679">
        <w:rPr>
          <w:color w:val="000000" w:themeColor="text1"/>
        </w:rPr>
        <w:t xml:space="preserve"> </w:t>
      </w:r>
      <w:r w:rsidRPr="00A87CC7">
        <w:rPr>
          <w:color w:val="000000" w:themeColor="text1"/>
        </w:rPr>
        <w:t>these</w:t>
      </w:r>
      <w:r w:rsidR="00C83679">
        <w:rPr>
          <w:color w:val="000000" w:themeColor="text1"/>
        </w:rPr>
        <w:t xml:space="preserve"> </w:t>
      </w:r>
      <w:r w:rsidRPr="00A87CC7">
        <w:rPr>
          <w:color w:val="000000" w:themeColor="text1"/>
        </w:rPr>
        <w:t>colleges</w:t>
      </w:r>
      <w:r w:rsidR="00C83679">
        <w:rPr>
          <w:color w:val="000000" w:themeColor="text1"/>
        </w:rPr>
        <w:t xml:space="preserve"> </w:t>
      </w:r>
      <w:r w:rsidRPr="00A87CC7">
        <w:rPr>
          <w:color w:val="000000" w:themeColor="text1"/>
        </w:rPr>
        <w:t>and</w:t>
      </w:r>
      <w:r w:rsidR="00C83679">
        <w:rPr>
          <w:color w:val="000000" w:themeColor="text1"/>
        </w:rPr>
        <w:t xml:space="preserve"> </w:t>
      </w:r>
      <w:r w:rsidRPr="00A87CC7">
        <w:rPr>
          <w:color w:val="000000" w:themeColor="text1"/>
        </w:rPr>
        <w:t>universities</w:t>
      </w:r>
      <w:r w:rsidR="00C83679">
        <w:rPr>
          <w:color w:val="000000" w:themeColor="text1"/>
        </w:rPr>
        <w:t xml:space="preserve"> </w:t>
      </w:r>
      <w:r w:rsidRPr="00A87CC7">
        <w:rPr>
          <w:color w:val="000000" w:themeColor="text1"/>
        </w:rPr>
        <w:t>had</w:t>
      </w:r>
      <w:r w:rsidR="00C83679">
        <w:rPr>
          <w:color w:val="000000" w:themeColor="text1"/>
        </w:rPr>
        <w:t xml:space="preserve"> </w:t>
      </w:r>
      <w:r w:rsidRPr="00A87CC7">
        <w:rPr>
          <w:color w:val="000000" w:themeColor="text1"/>
        </w:rPr>
        <w:t>internal</w:t>
      </w:r>
      <w:r w:rsidR="00C83679">
        <w:rPr>
          <w:color w:val="000000" w:themeColor="text1"/>
        </w:rPr>
        <w:t xml:space="preserve"> </w:t>
      </w:r>
      <w:r w:rsidR="00903FED">
        <w:rPr>
          <w:color w:val="000000" w:themeColor="text1"/>
        </w:rPr>
        <w:t>LE</w:t>
      </w:r>
      <w:r w:rsidR="00C83679">
        <w:rPr>
          <w:color w:val="000000" w:themeColor="text1"/>
        </w:rPr>
        <w:t xml:space="preserve"> </w:t>
      </w:r>
      <w:r w:rsidRPr="00A87CC7">
        <w:rPr>
          <w:color w:val="000000" w:themeColor="text1"/>
        </w:rPr>
        <w:t>agencies.</w:t>
      </w:r>
      <w:r w:rsidR="00C83679">
        <w:rPr>
          <w:color w:val="000000" w:themeColor="text1"/>
        </w:rPr>
        <w:t xml:space="preserve"> </w:t>
      </w:r>
      <w:r w:rsidRPr="00A87CC7">
        <w:rPr>
          <w:color w:val="000000" w:themeColor="text1"/>
        </w:rPr>
        <w:t>Of</w:t>
      </w:r>
      <w:r w:rsidR="00C83679">
        <w:rPr>
          <w:color w:val="000000" w:themeColor="text1"/>
        </w:rPr>
        <w:t xml:space="preserve"> </w:t>
      </w:r>
      <w:r w:rsidRPr="00A87CC7">
        <w:rPr>
          <w:color w:val="000000" w:themeColor="text1"/>
        </w:rPr>
        <w:t>these</w:t>
      </w:r>
      <w:r w:rsidR="00C4067D">
        <w:rPr>
          <w:color w:val="000000" w:themeColor="text1"/>
        </w:rPr>
        <w:t>,</w:t>
      </w:r>
      <w:r w:rsidR="00C83679">
        <w:rPr>
          <w:color w:val="000000" w:themeColor="text1"/>
        </w:rPr>
        <w:t xml:space="preserve"> </w:t>
      </w:r>
      <w:r w:rsidRPr="001B78A1">
        <w:t>six</w:t>
      </w:r>
      <w:r w:rsidR="00C83679" w:rsidRPr="001B78A1">
        <w:t xml:space="preserve"> </w:t>
      </w:r>
      <w:r w:rsidR="002F141F">
        <w:rPr>
          <w:color w:val="000000" w:themeColor="text1"/>
        </w:rPr>
        <w:t>tribal</w:t>
      </w:r>
      <w:r w:rsidR="00C83679">
        <w:rPr>
          <w:color w:val="000000" w:themeColor="text1"/>
        </w:rPr>
        <w:t xml:space="preserve"> </w:t>
      </w:r>
      <w:r w:rsidR="002F141F">
        <w:rPr>
          <w:color w:val="000000" w:themeColor="text1"/>
        </w:rPr>
        <w:t>college</w:t>
      </w:r>
      <w:r w:rsidR="00C83679">
        <w:rPr>
          <w:color w:val="000000" w:themeColor="text1"/>
        </w:rPr>
        <w:t xml:space="preserve"> </w:t>
      </w:r>
      <w:r w:rsidR="002F141F">
        <w:rPr>
          <w:color w:val="000000" w:themeColor="text1"/>
        </w:rPr>
        <w:t>police</w:t>
      </w:r>
      <w:r w:rsidR="00C83679">
        <w:rPr>
          <w:color w:val="000000" w:themeColor="text1"/>
        </w:rPr>
        <w:t xml:space="preserve"> </w:t>
      </w:r>
      <w:r w:rsidR="002F141F">
        <w:rPr>
          <w:color w:val="000000" w:themeColor="text1"/>
        </w:rPr>
        <w:t>agencies</w:t>
      </w:r>
      <w:r w:rsidR="00C83679">
        <w:rPr>
          <w:color w:val="000000" w:themeColor="text1"/>
        </w:rPr>
        <w:t xml:space="preserve"> </w:t>
      </w:r>
      <w:r w:rsidRPr="00A87CC7">
        <w:rPr>
          <w:color w:val="000000" w:themeColor="text1"/>
        </w:rPr>
        <w:t>were</w:t>
      </w:r>
      <w:r w:rsidR="00C83679">
        <w:rPr>
          <w:color w:val="000000" w:themeColor="text1"/>
        </w:rPr>
        <w:t xml:space="preserve"> </w:t>
      </w:r>
      <w:r w:rsidRPr="00A87CC7">
        <w:rPr>
          <w:color w:val="000000" w:themeColor="text1"/>
        </w:rPr>
        <w:t>determined</w:t>
      </w:r>
      <w:r w:rsidR="00C83679">
        <w:rPr>
          <w:color w:val="000000" w:themeColor="text1"/>
        </w:rPr>
        <w:t xml:space="preserve"> </w:t>
      </w:r>
      <w:r w:rsidRPr="00A87CC7">
        <w:rPr>
          <w:color w:val="000000" w:themeColor="text1"/>
        </w:rPr>
        <w:t>to</w:t>
      </w:r>
      <w:r w:rsidR="00C83679">
        <w:rPr>
          <w:color w:val="000000" w:themeColor="text1"/>
        </w:rPr>
        <w:t xml:space="preserve"> </w:t>
      </w:r>
      <w:r w:rsidRPr="00A87CC7">
        <w:rPr>
          <w:color w:val="000000" w:themeColor="text1"/>
        </w:rPr>
        <w:t>meet</w:t>
      </w:r>
      <w:r w:rsidR="00C83679">
        <w:rPr>
          <w:color w:val="000000" w:themeColor="text1"/>
        </w:rPr>
        <w:t xml:space="preserve"> </w:t>
      </w:r>
      <w:r w:rsidRPr="00A87CC7">
        <w:rPr>
          <w:color w:val="000000" w:themeColor="text1"/>
        </w:rPr>
        <w:t>the</w:t>
      </w:r>
      <w:r w:rsidR="00C83679">
        <w:rPr>
          <w:color w:val="000000" w:themeColor="text1"/>
        </w:rPr>
        <w:t xml:space="preserve"> </w:t>
      </w:r>
      <w:r w:rsidRPr="00A87CC7">
        <w:rPr>
          <w:color w:val="000000" w:themeColor="text1"/>
        </w:rPr>
        <w:t>criteria</w:t>
      </w:r>
      <w:r w:rsidR="00C83679">
        <w:rPr>
          <w:color w:val="000000" w:themeColor="text1"/>
        </w:rPr>
        <w:t xml:space="preserve"> </w:t>
      </w:r>
      <w:r w:rsidRPr="00A87CC7">
        <w:rPr>
          <w:color w:val="000000" w:themeColor="text1"/>
        </w:rPr>
        <w:t>for</w:t>
      </w:r>
      <w:r w:rsidR="00C83679">
        <w:rPr>
          <w:color w:val="000000" w:themeColor="text1"/>
        </w:rPr>
        <w:t xml:space="preserve"> </w:t>
      </w:r>
      <w:r w:rsidRPr="00A87CC7">
        <w:rPr>
          <w:color w:val="000000" w:themeColor="text1"/>
        </w:rPr>
        <w:t>inclusion.</w:t>
      </w:r>
    </w:p>
    <w:p w14:paraId="2FAD49F0" w14:textId="36A87116" w:rsidR="00A87CC7" w:rsidRDefault="00A87CC7" w:rsidP="00D901A8">
      <w:pPr>
        <w:pStyle w:val="ListParagraph"/>
        <w:numPr>
          <w:ilvl w:val="0"/>
          <w:numId w:val="4"/>
        </w:numPr>
        <w:rPr>
          <w:color w:val="000000" w:themeColor="text1"/>
        </w:rPr>
      </w:pPr>
      <w:r>
        <w:rPr>
          <w:b/>
          <w:color w:val="000000" w:themeColor="text1"/>
        </w:rPr>
        <w:t>Alaska</w:t>
      </w:r>
      <w:r w:rsidR="00916AAD">
        <w:rPr>
          <w:b/>
          <w:color w:val="000000" w:themeColor="text1"/>
        </w:rPr>
        <w:t xml:space="preserve"> </w:t>
      </w:r>
      <w:r>
        <w:rPr>
          <w:color w:val="000000" w:themeColor="text1"/>
        </w:rPr>
        <w:t>–</w:t>
      </w:r>
      <w:r w:rsidR="00916AAD">
        <w:rPr>
          <w:color w:val="000000" w:themeColor="text1"/>
        </w:rPr>
        <w:t xml:space="preserve"> </w:t>
      </w:r>
      <w:r w:rsidR="00ED4FFB">
        <w:rPr>
          <w:color w:val="000000" w:themeColor="text1"/>
        </w:rPr>
        <w:t>Alaska</w:t>
      </w:r>
      <w:r w:rsidR="00C83679">
        <w:rPr>
          <w:color w:val="000000" w:themeColor="text1"/>
        </w:rPr>
        <w:t xml:space="preserve"> </w:t>
      </w:r>
      <w:r w:rsidR="00ED4FFB">
        <w:rPr>
          <w:color w:val="000000" w:themeColor="text1"/>
        </w:rPr>
        <w:t>has</w:t>
      </w:r>
      <w:r w:rsidR="00C83679">
        <w:rPr>
          <w:color w:val="000000" w:themeColor="text1"/>
        </w:rPr>
        <w:t xml:space="preserve"> </w:t>
      </w:r>
      <w:r w:rsidR="00ED4FFB">
        <w:rPr>
          <w:color w:val="000000" w:themeColor="text1"/>
        </w:rPr>
        <w:t>one</w:t>
      </w:r>
      <w:r w:rsidR="00C83679">
        <w:rPr>
          <w:color w:val="000000" w:themeColor="text1"/>
        </w:rPr>
        <w:t xml:space="preserve"> </w:t>
      </w:r>
      <w:r w:rsidR="00ED4FFB">
        <w:rPr>
          <w:color w:val="000000" w:themeColor="text1"/>
        </w:rPr>
        <w:t>reservation</w:t>
      </w:r>
      <w:r w:rsidR="00C83679">
        <w:rPr>
          <w:color w:val="000000" w:themeColor="text1"/>
        </w:rPr>
        <w:t xml:space="preserve"> </w:t>
      </w:r>
      <w:r w:rsidR="00ED4FFB">
        <w:rPr>
          <w:color w:val="000000" w:themeColor="text1"/>
        </w:rPr>
        <w:t>and</w:t>
      </w:r>
      <w:r w:rsidR="00C83679">
        <w:rPr>
          <w:color w:val="000000" w:themeColor="text1"/>
        </w:rPr>
        <w:t xml:space="preserve"> </w:t>
      </w:r>
      <w:r w:rsidR="00ED4FFB">
        <w:rPr>
          <w:color w:val="000000" w:themeColor="text1"/>
        </w:rPr>
        <w:t>over</w:t>
      </w:r>
      <w:r w:rsidR="00C83679">
        <w:rPr>
          <w:color w:val="000000" w:themeColor="text1"/>
        </w:rPr>
        <w:t xml:space="preserve"> </w:t>
      </w:r>
      <w:r w:rsidR="00ED4FFB">
        <w:rPr>
          <w:color w:val="000000" w:themeColor="text1"/>
        </w:rPr>
        <w:t>200</w:t>
      </w:r>
      <w:r w:rsidR="00C83679">
        <w:rPr>
          <w:color w:val="000000" w:themeColor="text1"/>
        </w:rPr>
        <w:t xml:space="preserve"> </w:t>
      </w:r>
      <w:r>
        <w:rPr>
          <w:color w:val="000000" w:themeColor="text1"/>
        </w:rPr>
        <w:t>Alaska</w:t>
      </w:r>
      <w:r w:rsidR="00C83679">
        <w:rPr>
          <w:color w:val="000000" w:themeColor="text1"/>
        </w:rPr>
        <w:t xml:space="preserve"> </w:t>
      </w:r>
      <w:r>
        <w:rPr>
          <w:color w:val="000000" w:themeColor="text1"/>
        </w:rPr>
        <w:t>Native</w:t>
      </w:r>
      <w:r w:rsidR="00C83679">
        <w:rPr>
          <w:color w:val="000000" w:themeColor="text1"/>
        </w:rPr>
        <w:t xml:space="preserve"> </w:t>
      </w:r>
      <w:r>
        <w:rPr>
          <w:color w:val="000000" w:themeColor="text1"/>
        </w:rPr>
        <w:t>Villages</w:t>
      </w:r>
      <w:r w:rsidR="00C83679">
        <w:rPr>
          <w:color w:val="000000" w:themeColor="text1"/>
        </w:rPr>
        <w:t xml:space="preserve"> </w:t>
      </w:r>
      <w:r w:rsidR="00ED4FFB">
        <w:rPr>
          <w:color w:val="000000" w:themeColor="text1"/>
        </w:rPr>
        <w:t>(ANVs).</w:t>
      </w:r>
      <w:r w:rsidR="00C83679">
        <w:rPr>
          <w:color w:val="000000" w:themeColor="text1"/>
        </w:rPr>
        <w:t xml:space="preserve"> </w:t>
      </w:r>
      <w:r w:rsidR="00ED4FFB">
        <w:rPr>
          <w:color w:val="000000" w:themeColor="text1"/>
        </w:rPr>
        <w:t>Law</w:t>
      </w:r>
      <w:r w:rsidR="00C83679">
        <w:rPr>
          <w:color w:val="000000" w:themeColor="text1"/>
        </w:rPr>
        <w:t xml:space="preserve"> </w:t>
      </w:r>
      <w:r w:rsidR="00ED4FFB">
        <w:rPr>
          <w:color w:val="000000" w:themeColor="text1"/>
        </w:rPr>
        <w:t>enforcement</w:t>
      </w:r>
      <w:r w:rsidR="00C83679">
        <w:rPr>
          <w:color w:val="000000" w:themeColor="text1"/>
        </w:rPr>
        <w:t xml:space="preserve"> </w:t>
      </w:r>
      <w:r w:rsidR="00ED4FFB">
        <w:rPr>
          <w:color w:val="000000" w:themeColor="text1"/>
        </w:rPr>
        <w:t>services</w:t>
      </w:r>
      <w:r w:rsidR="00C83679">
        <w:rPr>
          <w:color w:val="000000" w:themeColor="text1"/>
        </w:rPr>
        <w:t xml:space="preserve"> </w:t>
      </w:r>
      <w:r w:rsidR="00ED4FFB">
        <w:rPr>
          <w:color w:val="000000" w:themeColor="text1"/>
        </w:rPr>
        <w:t>are</w:t>
      </w:r>
      <w:r w:rsidR="00C83679">
        <w:rPr>
          <w:color w:val="000000" w:themeColor="text1"/>
        </w:rPr>
        <w:t xml:space="preserve"> </w:t>
      </w:r>
      <w:r w:rsidR="00ED4FFB">
        <w:rPr>
          <w:color w:val="000000" w:themeColor="text1"/>
        </w:rPr>
        <w:t>provided</w:t>
      </w:r>
      <w:r w:rsidR="00C83679">
        <w:rPr>
          <w:color w:val="000000" w:themeColor="text1"/>
        </w:rPr>
        <w:t xml:space="preserve"> </w:t>
      </w:r>
      <w:r w:rsidR="00ED4FFB">
        <w:rPr>
          <w:color w:val="000000" w:themeColor="text1"/>
        </w:rPr>
        <w:t>to</w:t>
      </w:r>
      <w:r w:rsidR="00C83679">
        <w:rPr>
          <w:color w:val="000000" w:themeColor="text1"/>
        </w:rPr>
        <w:t xml:space="preserve"> </w:t>
      </w:r>
      <w:r w:rsidR="00ED4FFB">
        <w:rPr>
          <w:color w:val="000000" w:themeColor="text1"/>
        </w:rPr>
        <w:t>the</w:t>
      </w:r>
      <w:r w:rsidR="00C83679">
        <w:rPr>
          <w:color w:val="000000" w:themeColor="text1"/>
        </w:rPr>
        <w:t xml:space="preserve"> </w:t>
      </w:r>
      <w:r w:rsidR="00ED4FFB">
        <w:rPr>
          <w:color w:val="000000" w:themeColor="text1"/>
        </w:rPr>
        <w:t>ANVs</w:t>
      </w:r>
      <w:r w:rsidR="00C83679">
        <w:rPr>
          <w:color w:val="000000" w:themeColor="text1"/>
        </w:rPr>
        <w:t xml:space="preserve"> </w:t>
      </w:r>
      <w:r w:rsidR="00CE011A">
        <w:rPr>
          <w:color w:val="000000" w:themeColor="text1"/>
        </w:rPr>
        <w:t>by</w:t>
      </w:r>
      <w:r w:rsidR="00C83679">
        <w:rPr>
          <w:color w:val="000000" w:themeColor="text1"/>
        </w:rPr>
        <w:t xml:space="preserve"> </w:t>
      </w:r>
      <w:r w:rsidR="00CE011A">
        <w:rPr>
          <w:color w:val="000000" w:themeColor="text1"/>
        </w:rPr>
        <w:t>the</w:t>
      </w:r>
      <w:r w:rsidR="00C83679">
        <w:rPr>
          <w:color w:val="000000" w:themeColor="text1"/>
        </w:rPr>
        <w:t xml:space="preserve"> </w:t>
      </w:r>
      <w:r w:rsidR="0021617B">
        <w:rPr>
          <w:color w:val="000000" w:themeColor="text1"/>
        </w:rPr>
        <w:t xml:space="preserve">State </w:t>
      </w:r>
      <w:r w:rsidR="00CE011A">
        <w:rPr>
          <w:color w:val="000000" w:themeColor="text1"/>
        </w:rPr>
        <w:t>of</w:t>
      </w:r>
      <w:r w:rsidR="00C83679">
        <w:rPr>
          <w:color w:val="000000" w:themeColor="text1"/>
        </w:rPr>
        <w:t xml:space="preserve"> </w:t>
      </w:r>
      <w:r w:rsidR="00CE011A">
        <w:rPr>
          <w:color w:val="000000" w:themeColor="text1"/>
        </w:rPr>
        <w:t>Alaska</w:t>
      </w:r>
      <w:r w:rsidR="00C83679">
        <w:rPr>
          <w:color w:val="000000" w:themeColor="text1"/>
        </w:rPr>
        <w:t xml:space="preserve"> </w:t>
      </w:r>
      <w:r w:rsidR="00CE011A">
        <w:rPr>
          <w:color w:val="000000" w:themeColor="text1"/>
        </w:rPr>
        <w:t>through</w:t>
      </w:r>
      <w:r w:rsidR="00C83679">
        <w:rPr>
          <w:color w:val="000000" w:themeColor="text1"/>
        </w:rPr>
        <w:t xml:space="preserve"> </w:t>
      </w:r>
      <w:r>
        <w:rPr>
          <w:color w:val="000000" w:themeColor="text1"/>
        </w:rPr>
        <w:t>Village</w:t>
      </w:r>
      <w:r w:rsidR="00C83679">
        <w:rPr>
          <w:color w:val="000000" w:themeColor="text1"/>
        </w:rPr>
        <w:t xml:space="preserve"> </w:t>
      </w:r>
      <w:r>
        <w:rPr>
          <w:color w:val="000000" w:themeColor="text1"/>
        </w:rPr>
        <w:t>Public</w:t>
      </w:r>
      <w:r w:rsidR="00C83679">
        <w:rPr>
          <w:color w:val="000000" w:themeColor="text1"/>
        </w:rPr>
        <w:t xml:space="preserve"> </w:t>
      </w:r>
      <w:r>
        <w:rPr>
          <w:color w:val="000000" w:themeColor="text1"/>
        </w:rPr>
        <w:t>Safety</w:t>
      </w:r>
      <w:r w:rsidR="00C83679">
        <w:rPr>
          <w:color w:val="000000" w:themeColor="text1"/>
        </w:rPr>
        <w:t xml:space="preserve"> </w:t>
      </w:r>
      <w:r>
        <w:rPr>
          <w:color w:val="000000" w:themeColor="text1"/>
        </w:rPr>
        <w:t>Officers</w:t>
      </w:r>
      <w:r w:rsidR="00C83679">
        <w:rPr>
          <w:color w:val="000000" w:themeColor="text1"/>
        </w:rPr>
        <w:t xml:space="preserve"> </w:t>
      </w:r>
      <w:r w:rsidR="00F62266">
        <w:rPr>
          <w:color w:val="000000" w:themeColor="text1"/>
        </w:rPr>
        <w:t>(VPSO</w:t>
      </w:r>
      <w:r w:rsidR="00ED4FFB">
        <w:rPr>
          <w:color w:val="000000" w:themeColor="text1"/>
        </w:rPr>
        <w:t>s</w:t>
      </w:r>
      <w:r w:rsidR="00F62266">
        <w:rPr>
          <w:color w:val="000000" w:themeColor="text1"/>
        </w:rPr>
        <w:t>)</w:t>
      </w:r>
      <w:r w:rsidR="00ED4FFB">
        <w:rPr>
          <w:color w:val="000000" w:themeColor="text1"/>
        </w:rPr>
        <w:t>,</w:t>
      </w:r>
      <w:r w:rsidR="0021617B">
        <w:rPr>
          <w:color w:val="000000" w:themeColor="text1"/>
        </w:rPr>
        <w:t xml:space="preserve"> a component of the Alaska State </w:t>
      </w:r>
      <w:r w:rsidR="005A209A">
        <w:rPr>
          <w:color w:val="000000" w:themeColor="text1"/>
        </w:rPr>
        <w:t>Troopers</w:t>
      </w:r>
      <w:r w:rsidR="00ED4FFB">
        <w:rPr>
          <w:color w:val="000000" w:themeColor="text1"/>
        </w:rPr>
        <w:t>.</w:t>
      </w:r>
      <w:r w:rsidR="00C83679">
        <w:rPr>
          <w:color w:val="000000" w:themeColor="text1"/>
        </w:rPr>
        <w:t xml:space="preserve">  </w:t>
      </w:r>
      <w:r w:rsidR="00802044">
        <w:rPr>
          <w:color w:val="000000" w:themeColor="text1"/>
        </w:rPr>
        <w:t>Two</w:t>
      </w:r>
      <w:r w:rsidR="00B50ED3">
        <w:rPr>
          <w:color w:val="000000" w:themeColor="text1"/>
        </w:rPr>
        <w:t xml:space="preserve"> </w:t>
      </w:r>
      <w:r w:rsidR="00ED4FFB" w:rsidRPr="00C87E0F">
        <w:rPr>
          <w:color w:val="000000" w:themeColor="text1"/>
        </w:rPr>
        <w:t>tribal</w:t>
      </w:r>
      <w:r w:rsidR="00C83679">
        <w:rPr>
          <w:color w:val="000000" w:themeColor="text1"/>
        </w:rPr>
        <w:t xml:space="preserve"> </w:t>
      </w:r>
      <w:r w:rsidR="00903FED">
        <w:rPr>
          <w:color w:val="000000" w:themeColor="text1"/>
        </w:rPr>
        <w:t>LE</w:t>
      </w:r>
      <w:r w:rsidR="00C83679">
        <w:rPr>
          <w:color w:val="000000" w:themeColor="text1"/>
        </w:rPr>
        <w:t xml:space="preserve"> </w:t>
      </w:r>
      <w:r w:rsidR="00ED4FFB" w:rsidRPr="00C87E0F">
        <w:rPr>
          <w:color w:val="000000" w:themeColor="text1"/>
        </w:rPr>
        <w:t>agencies</w:t>
      </w:r>
      <w:r w:rsidR="00C83679">
        <w:rPr>
          <w:color w:val="000000" w:themeColor="text1"/>
        </w:rPr>
        <w:t xml:space="preserve"> </w:t>
      </w:r>
      <w:r w:rsidR="00E31ADF">
        <w:rPr>
          <w:color w:val="000000" w:themeColor="text1"/>
        </w:rPr>
        <w:t xml:space="preserve">serve </w:t>
      </w:r>
      <w:r w:rsidR="00ED4FFB" w:rsidRPr="00C87E0F">
        <w:rPr>
          <w:color w:val="000000" w:themeColor="text1"/>
        </w:rPr>
        <w:t>reservation</w:t>
      </w:r>
      <w:r w:rsidR="00C83679">
        <w:rPr>
          <w:color w:val="000000" w:themeColor="text1"/>
        </w:rPr>
        <w:t xml:space="preserve"> </w:t>
      </w:r>
      <w:r w:rsidR="002F141F">
        <w:rPr>
          <w:color w:val="000000" w:themeColor="text1"/>
        </w:rPr>
        <w:t>or</w:t>
      </w:r>
      <w:r w:rsidR="00C83679">
        <w:rPr>
          <w:color w:val="000000" w:themeColor="text1"/>
        </w:rPr>
        <w:t xml:space="preserve"> </w:t>
      </w:r>
      <w:r w:rsidR="002F141F">
        <w:rPr>
          <w:color w:val="000000" w:themeColor="text1"/>
        </w:rPr>
        <w:t>Indian</w:t>
      </w:r>
      <w:r w:rsidR="00C83679">
        <w:rPr>
          <w:color w:val="000000" w:themeColor="text1"/>
        </w:rPr>
        <w:t xml:space="preserve"> </w:t>
      </w:r>
      <w:r w:rsidR="0021617B">
        <w:rPr>
          <w:color w:val="000000" w:themeColor="text1"/>
        </w:rPr>
        <w:t xml:space="preserve">trust land </w:t>
      </w:r>
      <w:r w:rsidR="002F141F">
        <w:rPr>
          <w:color w:val="000000" w:themeColor="text1"/>
        </w:rPr>
        <w:t>in</w:t>
      </w:r>
      <w:r w:rsidR="00C83679">
        <w:rPr>
          <w:color w:val="000000" w:themeColor="text1"/>
        </w:rPr>
        <w:t xml:space="preserve"> </w:t>
      </w:r>
      <w:r w:rsidR="002F141F">
        <w:rPr>
          <w:color w:val="000000" w:themeColor="text1"/>
        </w:rPr>
        <w:t>Alaska</w:t>
      </w:r>
      <w:r w:rsidR="00E31ADF">
        <w:rPr>
          <w:color w:val="000000" w:themeColor="text1"/>
        </w:rPr>
        <w:t xml:space="preserve"> and</w:t>
      </w:r>
      <w:r w:rsidR="005A209A">
        <w:rPr>
          <w:color w:val="000000" w:themeColor="text1"/>
        </w:rPr>
        <w:t xml:space="preserve"> both </w:t>
      </w:r>
      <w:r w:rsidR="00ED4FFB" w:rsidRPr="00C87E0F">
        <w:rPr>
          <w:color w:val="000000" w:themeColor="text1"/>
        </w:rPr>
        <w:t>are</w:t>
      </w:r>
      <w:r w:rsidR="00C83679">
        <w:rPr>
          <w:color w:val="000000" w:themeColor="text1"/>
        </w:rPr>
        <w:t xml:space="preserve"> </w:t>
      </w:r>
      <w:r w:rsidR="00ED4FFB" w:rsidRPr="00C87E0F">
        <w:rPr>
          <w:color w:val="000000" w:themeColor="text1"/>
        </w:rPr>
        <w:t>included</w:t>
      </w:r>
      <w:r w:rsidR="00C83679">
        <w:rPr>
          <w:color w:val="000000" w:themeColor="text1"/>
        </w:rPr>
        <w:t xml:space="preserve"> </w:t>
      </w:r>
      <w:r w:rsidR="00ED4FFB" w:rsidRPr="00C87E0F">
        <w:rPr>
          <w:color w:val="000000" w:themeColor="text1"/>
        </w:rPr>
        <w:t>on</w:t>
      </w:r>
      <w:r w:rsidR="00C83679">
        <w:rPr>
          <w:color w:val="000000" w:themeColor="text1"/>
        </w:rPr>
        <w:t xml:space="preserve"> </w:t>
      </w:r>
      <w:r w:rsidR="00ED4FFB" w:rsidRPr="00C87E0F">
        <w:rPr>
          <w:color w:val="000000" w:themeColor="text1"/>
        </w:rPr>
        <w:t>the</w:t>
      </w:r>
      <w:r w:rsidR="00C83679">
        <w:rPr>
          <w:color w:val="000000" w:themeColor="text1"/>
        </w:rPr>
        <w:t xml:space="preserve"> </w:t>
      </w:r>
      <w:r w:rsidR="001D350D">
        <w:rPr>
          <w:color w:val="000000" w:themeColor="text1"/>
        </w:rPr>
        <w:t>CTLEA</w:t>
      </w:r>
      <w:r w:rsidR="00C83679">
        <w:rPr>
          <w:color w:val="000000" w:themeColor="text1"/>
        </w:rPr>
        <w:t xml:space="preserve"> </w:t>
      </w:r>
      <w:r w:rsidR="00ED4FFB" w:rsidRPr="00C87E0F">
        <w:rPr>
          <w:color w:val="000000" w:themeColor="text1"/>
        </w:rPr>
        <w:t>universe</w:t>
      </w:r>
      <w:r w:rsidR="00C83679">
        <w:rPr>
          <w:color w:val="000000" w:themeColor="text1"/>
        </w:rPr>
        <w:t xml:space="preserve"> </w:t>
      </w:r>
      <w:r w:rsidR="00ED4FFB" w:rsidRPr="00C87E0F">
        <w:rPr>
          <w:color w:val="000000" w:themeColor="text1"/>
        </w:rPr>
        <w:t>list</w:t>
      </w:r>
      <w:r w:rsidR="0079295E">
        <w:rPr>
          <w:color w:val="000000" w:themeColor="text1"/>
        </w:rPr>
        <w:t xml:space="preserve">, in addition to the Alaska State </w:t>
      </w:r>
      <w:r w:rsidR="00160640">
        <w:rPr>
          <w:color w:val="000000" w:themeColor="text1"/>
        </w:rPr>
        <w:t>Troopers</w:t>
      </w:r>
      <w:r w:rsidR="00C4067D">
        <w:rPr>
          <w:color w:val="000000" w:themeColor="text1"/>
        </w:rPr>
        <w:t>.</w:t>
      </w:r>
      <w:r w:rsidR="002D1775">
        <w:rPr>
          <w:color w:val="000000" w:themeColor="text1"/>
        </w:rPr>
        <w:t xml:space="preserve"> Through contact with the Alaska State </w:t>
      </w:r>
      <w:r w:rsidR="00160640">
        <w:rPr>
          <w:color w:val="000000" w:themeColor="text1"/>
        </w:rPr>
        <w:t>Troopers</w:t>
      </w:r>
      <w:r w:rsidR="002D1775">
        <w:rPr>
          <w:color w:val="000000" w:themeColor="text1"/>
        </w:rPr>
        <w:t>, it was determined that a central office would be able to complete the TLE survey on behalf of all VPSOs and was considered eligible to participate.</w:t>
      </w:r>
    </w:p>
    <w:p w14:paraId="319B2B76" w14:textId="71EE49BA" w:rsidR="00EB30DB" w:rsidRPr="00C87E0F" w:rsidRDefault="00AB18BF" w:rsidP="00D901A8">
      <w:pPr>
        <w:pStyle w:val="ListParagraph"/>
        <w:numPr>
          <w:ilvl w:val="0"/>
          <w:numId w:val="4"/>
        </w:numPr>
        <w:rPr>
          <w:color w:val="000000" w:themeColor="text1"/>
        </w:rPr>
      </w:pPr>
      <w:r>
        <w:rPr>
          <w:b/>
          <w:color w:val="000000" w:themeColor="text1"/>
        </w:rPr>
        <w:t>BIA -</w:t>
      </w:r>
      <w:r w:rsidR="00732723">
        <w:rPr>
          <w:color w:val="000000" w:themeColor="text1"/>
        </w:rPr>
        <w:t xml:space="preserve"> The Bureau of Indian Affairs is responsible for </w:t>
      </w:r>
      <w:r w:rsidR="00160640">
        <w:rPr>
          <w:color w:val="000000" w:themeColor="text1"/>
        </w:rPr>
        <w:t xml:space="preserve">the </w:t>
      </w:r>
      <w:r w:rsidR="00732723">
        <w:rPr>
          <w:color w:val="000000" w:themeColor="text1"/>
        </w:rPr>
        <w:t xml:space="preserve">management and </w:t>
      </w:r>
      <w:r w:rsidR="0097573C">
        <w:rPr>
          <w:color w:val="000000" w:themeColor="text1"/>
        </w:rPr>
        <w:t>oversight</w:t>
      </w:r>
      <w:r w:rsidR="00732723">
        <w:rPr>
          <w:color w:val="000000" w:themeColor="text1"/>
        </w:rPr>
        <w:t xml:space="preserve"> of federally recognized tribes that do not have their own tribal </w:t>
      </w:r>
      <w:r w:rsidR="00903FED">
        <w:rPr>
          <w:color w:val="000000" w:themeColor="text1"/>
        </w:rPr>
        <w:t>LE</w:t>
      </w:r>
      <w:r w:rsidR="00732723">
        <w:rPr>
          <w:color w:val="000000" w:themeColor="text1"/>
        </w:rPr>
        <w:t xml:space="preserve"> agency, in addition to providing </w:t>
      </w:r>
      <w:r w:rsidR="0097573C">
        <w:rPr>
          <w:color w:val="000000" w:themeColor="text1"/>
        </w:rPr>
        <w:t>guidance and resources to</w:t>
      </w:r>
      <w:r w:rsidR="00732723">
        <w:rPr>
          <w:color w:val="000000" w:themeColor="text1"/>
        </w:rPr>
        <w:t xml:space="preserve"> other tribal police organizations. </w:t>
      </w:r>
      <w:r w:rsidR="00160640">
        <w:rPr>
          <w:color w:val="000000" w:themeColor="text1"/>
        </w:rPr>
        <w:t xml:space="preserve">BIA </w:t>
      </w:r>
      <w:r w:rsidR="00903FED">
        <w:rPr>
          <w:color w:val="000000" w:themeColor="text1"/>
        </w:rPr>
        <w:t>LE</w:t>
      </w:r>
      <w:r w:rsidR="00732723">
        <w:rPr>
          <w:color w:val="000000" w:themeColor="text1"/>
        </w:rPr>
        <w:t xml:space="preserve"> agencies are typically responsible for one or more tribes. BIA </w:t>
      </w:r>
      <w:r w:rsidR="00903FED">
        <w:rPr>
          <w:color w:val="000000" w:themeColor="text1"/>
        </w:rPr>
        <w:t>LE</w:t>
      </w:r>
      <w:r w:rsidR="00160640">
        <w:rPr>
          <w:color w:val="000000" w:themeColor="text1"/>
        </w:rPr>
        <w:t xml:space="preserve"> </w:t>
      </w:r>
      <w:r w:rsidR="00732723">
        <w:rPr>
          <w:color w:val="000000" w:themeColor="text1"/>
        </w:rPr>
        <w:t>agencies can respond to calls for service on tribal lands and currently have 27 active BIA offices.</w:t>
      </w:r>
    </w:p>
    <w:p w14:paraId="25FA4BC3" w14:textId="77777777" w:rsidR="00F62266" w:rsidRPr="00A87CC7" w:rsidRDefault="00F62266" w:rsidP="00F62266">
      <w:pPr>
        <w:pStyle w:val="ListParagraph"/>
        <w:rPr>
          <w:color w:val="000000" w:themeColor="text1"/>
        </w:rPr>
      </w:pPr>
    </w:p>
    <w:p w14:paraId="02BD96BC" w14:textId="5F0609AD" w:rsidR="00FC0AFC" w:rsidRDefault="00916AAD" w:rsidP="005842AF">
      <w:r>
        <w:rPr>
          <w:color w:val="000000" w:themeColor="text1"/>
        </w:rPr>
        <w:t>As a result of</w:t>
      </w:r>
      <w:r w:rsidR="00C83679" w:rsidRPr="000E0276">
        <w:rPr>
          <w:color w:val="000000" w:themeColor="text1"/>
        </w:rPr>
        <w:t xml:space="preserve"> </w:t>
      </w:r>
      <w:r w:rsidR="00F62266" w:rsidRPr="000E0276">
        <w:rPr>
          <w:color w:val="000000" w:themeColor="text1"/>
        </w:rPr>
        <w:t>the</w:t>
      </w:r>
      <w:r w:rsidR="00C83679" w:rsidRPr="000E0276">
        <w:rPr>
          <w:color w:val="000000" w:themeColor="text1"/>
        </w:rPr>
        <w:t xml:space="preserve"> </w:t>
      </w:r>
      <w:r w:rsidR="00F62266" w:rsidRPr="000E0276">
        <w:rPr>
          <w:color w:val="000000" w:themeColor="text1"/>
        </w:rPr>
        <w:t>development</w:t>
      </w:r>
      <w:r w:rsidR="00C83679" w:rsidRPr="000E0276">
        <w:rPr>
          <w:color w:val="000000" w:themeColor="text1"/>
        </w:rPr>
        <w:t xml:space="preserve"> </w:t>
      </w:r>
      <w:r w:rsidR="00F62266" w:rsidRPr="000E0276">
        <w:rPr>
          <w:color w:val="000000" w:themeColor="text1"/>
        </w:rPr>
        <w:t>process</w:t>
      </w:r>
      <w:r w:rsidR="00C83679" w:rsidRPr="000E0276">
        <w:rPr>
          <w:color w:val="000000" w:themeColor="text1"/>
        </w:rPr>
        <w:t xml:space="preserve"> </w:t>
      </w:r>
      <w:r w:rsidR="00F62266" w:rsidRPr="000E0276">
        <w:rPr>
          <w:color w:val="000000" w:themeColor="text1"/>
        </w:rPr>
        <w:t>outlined</w:t>
      </w:r>
      <w:r w:rsidR="00C83679" w:rsidRPr="000E0276">
        <w:rPr>
          <w:color w:val="000000" w:themeColor="text1"/>
        </w:rPr>
        <w:t xml:space="preserve"> </w:t>
      </w:r>
      <w:r w:rsidR="00F62266" w:rsidRPr="000E0276">
        <w:rPr>
          <w:color w:val="000000" w:themeColor="text1"/>
        </w:rPr>
        <w:t>above,</w:t>
      </w:r>
      <w:r w:rsidR="00C83679" w:rsidRPr="000E0276">
        <w:rPr>
          <w:color w:val="000000" w:themeColor="text1"/>
        </w:rPr>
        <w:t xml:space="preserve"> </w:t>
      </w:r>
      <w:r w:rsidR="006320B7">
        <w:rPr>
          <w:color w:val="000000" w:themeColor="text1"/>
        </w:rPr>
        <w:t>308</w:t>
      </w:r>
      <w:r w:rsidR="006320B7" w:rsidRPr="000E0276">
        <w:rPr>
          <w:color w:val="000000" w:themeColor="text1"/>
        </w:rPr>
        <w:t xml:space="preserve"> </w:t>
      </w:r>
      <w:r w:rsidR="0097573C">
        <w:rPr>
          <w:color w:val="000000" w:themeColor="text1"/>
        </w:rPr>
        <w:t xml:space="preserve">total </w:t>
      </w:r>
      <w:r w:rsidR="00903FED">
        <w:rPr>
          <w:color w:val="000000" w:themeColor="text1"/>
        </w:rPr>
        <w:t>LE</w:t>
      </w:r>
      <w:r w:rsidR="0021617B">
        <w:rPr>
          <w:color w:val="000000" w:themeColor="text1"/>
        </w:rPr>
        <w:t xml:space="preserve"> agencies </w:t>
      </w:r>
      <w:r w:rsidR="000E0276">
        <w:rPr>
          <w:color w:val="000000" w:themeColor="text1"/>
        </w:rPr>
        <w:t xml:space="preserve">were identified as </w:t>
      </w:r>
      <w:r w:rsidR="00191FF8">
        <w:rPr>
          <w:color w:val="000000" w:themeColor="text1"/>
        </w:rPr>
        <w:t>meeting the CTLEA eligibility criteria</w:t>
      </w:r>
      <w:r w:rsidR="00E44AE9">
        <w:rPr>
          <w:color w:val="000000" w:themeColor="text1"/>
        </w:rPr>
        <w:t>. D</w:t>
      </w:r>
      <w:r w:rsidR="000B601C">
        <w:rPr>
          <w:color w:val="000000" w:themeColor="text1"/>
        </w:rPr>
        <w:t>ata on</w:t>
      </w:r>
      <w:r w:rsidR="00FC0AFC">
        <w:rPr>
          <w:color w:val="000000" w:themeColor="text1"/>
        </w:rPr>
        <w:t xml:space="preserve"> </w:t>
      </w:r>
      <w:r w:rsidR="00E44AE9">
        <w:rPr>
          <w:color w:val="000000" w:themeColor="text1"/>
        </w:rPr>
        <w:t xml:space="preserve">the 27 </w:t>
      </w:r>
      <w:r w:rsidR="00FC0AFC">
        <w:rPr>
          <w:color w:val="000000" w:themeColor="text1"/>
        </w:rPr>
        <w:t xml:space="preserve">agencies </w:t>
      </w:r>
      <w:r w:rsidR="00253C85">
        <w:rPr>
          <w:color w:val="000000" w:themeColor="text1"/>
        </w:rPr>
        <w:t>operated</w:t>
      </w:r>
      <w:r w:rsidR="00FC0AFC">
        <w:rPr>
          <w:color w:val="000000" w:themeColor="text1"/>
        </w:rPr>
        <w:t xml:space="preserve"> by the BIA </w:t>
      </w:r>
      <w:r w:rsidR="000B601C">
        <w:rPr>
          <w:color w:val="000000" w:themeColor="text1"/>
        </w:rPr>
        <w:t>will be collected directly from the Department of Interior</w:t>
      </w:r>
      <w:r w:rsidR="002A75AD">
        <w:rPr>
          <w:color w:val="000000" w:themeColor="text1"/>
        </w:rPr>
        <w:t>, Office of Justice Services</w:t>
      </w:r>
      <w:r w:rsidR="00FC0AFC">
        <w:rPr>
          <w:color w:val="000000" w:themeColor="text1"/>
        </w:rPr>
        <w:t xml:space="preserve">. </w:t>
      </w:r>
      <w:r w:rsidR="002A75AD">
        <w:rPr>
          <w:color w:val="000000" w:themeColor="text1"/>
        </w:rPr>
        <w:t xml:space="preserve">Data from VPSOs will be collected from the central point of contact that manages </w:t>
      </w:r>
      <w:r w:rsidR="000A5B95">
        <w:rPr>
          <w:color w:val="000000" w:themeColor="text1"/>
        </w:rPr>
        <w:t xml:space="preserve">the </w:t>
      </w:r>
      <w:r w:rsidR="002A75AD">
        <w:rPr>
          <w:color w:val="000000" w:themeColor="text1"/>
        </w:rPr>
        <w:t>VPSO</w:t>
      </w:r>
      <w:r w:rsidR="000A5B95">
        <w:rPr>
          <w:color w:val="000000" w:themeColor="text1"/>
        </w:rPr>
        <w:t xml:space="preserve"> program</w:t>
      </w:r>
      <w:r w:rsidR="00AB18BF">
        <w:rPr>
          <w:color w:val="000000" w:themeColor="text1"/>
        </w:rPr>
        <w:t>, which provides services to the vast majority of ANVs in the state of Alaska</w:t>
      </w:r>
      <w:r w:rsidR="002A75AD">
        <w:rPr>
          <w:color w:val="000000" w:themeColor="text1"/>
        </w:rPr>
        <w:t>.</w:t>
      </w:r>
      <w:r w:rsidR="00AB18BF">
        <w:rPr>
          <w:color w:val="000000" w:themeColor="text1"/>
        </w:rPr>
        <w:t xml:space="preserve"> </w:t>
      </w:r>
      <w:r w:rsidR="000E0276">
        <w:rPr>
          <w:color w:val="000000" w:themeColor="text1"/>
        </w:rPr>
        <w:t xml:space="preserve">The </w:t>
      </w:r>
      <w:r w:rsidR="000B601C">
        <w:rPr>
          <w:color w:val="000000" w:themeColor="text1"/>
        </w:rPr>
        <w:t xml:space="preserve">remaining </w:t>
      </w:r>
      <w:r w:rsidR="00E44AE9">
        <w:rPr>
          <w:color w:val="000000" w:themeColor="text1"/>
        </w:rPr>
        <w:t xml:space="preserve">280 tribal-government-operated </w:t>
      </w:r>
      <w:r w:rsidR="000E0276">
        <w:rPr>
          <w:color w:val="000000" w:themeColor="text1"/>
        </w:rPr>
        <w:t xml:space="preserve">agencies provide services to </w:t>
      </w:r>
      <w:r w:rsidR="00E44AE9">
        <w:rPr>
          <w:color w:val="000000" w:themeColor="text1"/>
        </w:rPr>
        <w:t>a subset of the</w:t>
      </w:r>
      <w:r w:rsidR="000E0276">
        <w:rPr>
          <w:color w:val="000000" w:themeColor="text1"/>
        </w:rPr>
        <w:t xml:space="preserve"> </w:t>
      </w:r>
      <w:r w:rsidR="00BE236B">
        <w:rPr>
          <w:color w:val="000000" w:themeColor="text1"/>
        </w:rPr>
        <w:t>573</w:t>
      </w:r>
      <w:r w:rsidR="00C83679" w:rsidRPr="000E0276">
        <w:rPr>
          <w:color w:val="000000" w:themeColor="text1"/>
        </w:rPr>
        <w:t xml:space="preserve"> </w:t>
      </w:r>
      <w:r w:rsidR="00E87FE1" w:rsidRPr="000E0276">
        <w:rPr>
          <w:color w:val="000000" w:themeColor="text1"/>
        </w:rPr>
        <w:t>federally</w:t>
      </w:r>
      <w:r w:rsidR="00C83679" w:rsidRPr="000E0276">
        <w:rPr>
          <w:color w:val="000000" w:themeColor="text1"/>
        </w:rPr>
        <w:t xml:space="preserve"> </w:t>
      </w:r>
      <w:r w:rsidR="00E87FE1" w:rsidRPr="000E0276">
        <w:rPr>
          <w:color w:val="000000" w:themeColor="text1"/>
        </w:rPr>
        <w:t>recognized</w:t>
      </w:r>
      <w:r w:rsidR="00C83679" w:rsidRPr="000E0276">
        <w:rPr>
          <w:color w:val="000000" w:themeColor="text1"/>
        </w:rPr>
        <w:t xml:space="preserve"> </w:t>
      </w:r>
      <w:r w:rsidR="00E87FE1" w:rsidRPr="000E0276">
        <w:rPr>
          <w:color w:val="000000" w:themeColor="text1"/>
        </w:rPr>
        <w:t>tribes</w:t>
      </w:r>
      <w:r w:rsidR="000E0276">
        <w:rPr>
          <w:color w:val="000000" w:themeColor="text1"/>
        </w:rPr>
        <w:t xml:space="preserve">. </w:t>
      </w:r>
    </w:p>
    <w:p w14:paraId="633462DE" w14:textId="77777777" w:rsidR="00253C85" w:rsidRDefault="00253C85" w:rsidP="005842AF"/>
    <w:p w14:paraId="18A9EAD5" w14:textId="6C0020DF" w:rsidR="005842AF" w:rsidRDefault="005842AF" w:rsidP="005842AF">
      <w:r>
        <w:rPr>
          <w:color w:val="000000" w:themeColor="text1"/>
        </w:rPr>
        <w:t xml:space="preserve">To maintain the accuracy of the universe list, IACP regularly </w:t>
      </w:r>
      <w:r w:rsidR="00E31ADF">
        <w:rPr>
          <w:color w:val="000000" w:themeColor="text1"/>
        </w:rPr>
        <w:t xml:space="preserve">checks eligibility within </w:t>
      </w:r>
      <w:r>
        <w:rPr>
          <w:color w:val="000000" w:themeColor="text1"/>
        </w:rPr>
        <w:t xml:space="preserve">its member directory for new and updated tribal agency contacts and </w:t>
      </w:r>
      <w:r w:rsidR="00E31ADF">
        <w:rPr>
          <w:color w:val="000000" w:themeColor="text1"/>
        </w:rPr>
        <w:t xml:space="preserve">monitors </w:t>
      </w:r>
      <w:r>
        <w:rPr>
          <w:color w:val="000000" w:themeColor="text1"/>
        </w:rPr>
        <w:t xml:space="preserve">online alerts so that updates to chief and contact name </w:t>
      </w:r>
      <w:r w:rsidR="00E31ADF">
        <w:rPr>
          <w:color w:val="000000" w:themeColor="text1"/>
        </w:rPr>
        <w:t>are included</w:t>
      </w:r>
      <w:r>
        <w:rPr>
          <w:color w:val="000000" w:themeColor="text1"/>
        </w:rPr>
        <w:t xml:space="preserve"> in the universe file. </w:t>
      </w:r>
      <w:r w:rsidR="00E31ADF">
        <w:rPr>
          <w:color w:val="000000" w:themeColor="text1"/>
        </w:rPr>
        <w:t>Since 2016, four additional agencies were identified t</w:t>
      </w:r>
      <w:r>
        <w:rPr>
          <w:color w:val="000000" w:themeColor="text1"/>
        </w:rPr>
        <w:t xml:space="preserve">hrough these efforts. BJS </w:t>
      </w:r>
      <w:r w:rsidR="00E31ADF">
        <w:rPr>
          <w:color w:val="000000" w:themeColor="text1"/>
        </w:rPr>
        <w:t xml:space="preserve">identified </w:t>
      </w:r>
      <w:r>
        <w:rPr>
          <w:color w:val="000000" w:themeColor="text1"/>
        </w:rPr>
        <w:t xml:space="preserve">two tribes that </w:t>
      </w:r>
      <w:r w:rsidR="00AF1EB5">
        <w:rPr>
          <w:color w:val="000000" w:themeColor="text1"/>
        </w:rPr>
        <w:t xml:space="preserve">might </w:t>
      </w:r>
      <w:r>
        <w:rPr>
          <w:color w:val="000000" w:themeColor="text1"/>
        </w:rPr>
        <w:t xml:space="preserve">have tribal </w:t>
      </w:r>
      <w:r w:rsidR="00903FED">
        <w:rPr>
          <w:color w:val="000000" w:themeColor="text1"/>
        </w:rPr>
        <w:t>LE</w:t>
      </w:r>
      <w:r>
        <w:rPr>
          <w:color w:val="000000" w:themeColor="text1"/>
        </w:rPr>
        <w:t xml:space="preserve"> agencies</w:t>
      </w:r>
      <w:r w:rsidR="00E31ADF">
        <w:rPr>
          <w:color w:val="000000" w:themeColor="text1"/>
        </w:rPr>
        <w:t xml:space="preserve"> in late 2018</w:t>
      </w:r>
      <w:r>
        <w:rPr>
          <w:color w:val="000000" w:themeColor="text1"/>
        </w:rPr>
        <w:t xml:space="preserve">.  </w:t>
      </w:r>
      <w:r w:rsidR="00AF1EB5">
        <w:rPr>
          <w:color w:val="000000" w:themeColor="text1"/>
        </w:rPr>
        <w:t xml:space="preserve">These agencies were found as part of the universe development for the CSLLEA.  </w:t>
      </w:r>
      <w:r>
        <w:rPr>
          <w:color w:val="000000" w:themeColor="text1"/>
        </w:rPr>
        <w:t>One was confirmed as not having a tribal police agency and the second agency was added to the universe list.</w:t>
      </w:r>
      <w:r w:rsidR="009C557A">
        <w:rPr>
          <w:color w:val="000000" w:themeColor="text1"/>
        </w:rPr>
        <w:t xml:space="preserve"> On January 29, 2018, t</w:t>
      </w:r>
      <w:r w:rsidR="009C557A" w:rsidRPr="009C557A">
        <w:rPr>
          <w:color w:val="000000" w:themeColor="text1"/>
        </w:rPr>
        <w:t xml:space="preserve">he Thomasina E. Jordan Indian Tribes of </w:t>
      </w:r>
      <w:r w:rsidR="00EC7D58" w:rsidRPr="009C557A">
        <w:rPr>
          <w:color w:val="000000" w:themeColor="text1"/>
        </w:rPr>
        <w:t>Virginia</w:t>
      </w:r>
      <w:r w:rsidR="00EC7D58">
        <w:rPr>
          <w:color w:val="000000" w:themeColor="text1"/>
        </w:rPr>
        <w:t xml:space="preserve"> </w:t>
      </w:r>
      <w:r w:rsidR="00EC7D58" w:rsidRPr="009C557A">
        <w:rPr>
          <w:color w:val="000000" w:themeColor="text1"/>
        </w:rPr>
        <w:t>Federal</w:t>
      </w:r>
      <w:r w:rsidR="009C557A" w:rsidRPr="009C557A">
        <w:rPr>
          <w:color w:val="000000" w:themeColor="text1"/>
        </w:rPr>
        <w:t xml:space="preserve"> Recognition Act of 2017 recognize</w:t>
      </w:r>
      <w:r w:rsidR="009C557A">
        <w:rPr>
          <w:color w:val="000000" w:themeColor="text1"/>
        </w:rPr>
        <w:t>d</w:t>
      </w:r>
      <w:r w:rsidR="009C557A" w:rsidRPr="009C557A">
        <w:rPr>
          <w:color w:val="000000" w:themeColor="text1"/>
        </w:rPr>
        <w:t xml:space="preserve"> the Chickahominy, Eastern Chickahominy, Upper Mattaponi, Rappahannock, Monacan and Nansemond tribes as sovereign nations</w:t>
      </w:r>
      <w:r w:rsidR="009C557A">
        <w:rPr>
          <w:color w:val="000000" w:themeColor="text1"/>
        </w:rPr>
        <w:t xml:space="preserve">, taking the total number of federally recognized tribes to 573. It was confirmed that these tribes did not have qualifying </w:t>
      </w:r>
      <w:r w:rsidR="00903FED">
        <w:rPr>
          <w:color w:val="000000" w:themeColor="text1"/>
        </w:rPr>
        <w:t>LE</w:t>
      </w:r>
      <w:r w:rsidR="009C557A">
        <w:rPr>
          <w:color w:val="000000" w:themeColor="text1"/>
        </w:rPr>
        <w:t xml:space="preserve"> agencies.</w:t>
      </w:r>
      <w:r>
        <w:rPr>
          <w:color w:val="000000" w:themeColor="text1"/>
        </w:rPr>
        <w:t xml:space="preserve"> </w:t>
      </w:r>
      <w:r>
        <w:t>Additional edits to agency contact information will be incorporated into the universe list as new information is made publicly available</w:t>
      </w:r>
      <w:r w:rsidR="00AF1EB5">
        <w:t xml:space="preserve"> by the tribes via website updates, by BIA</w:t>
      </w:r>
      <w:r w:rsidR="00A123CC">
        <w:t>,</w:t>
      </w:r>
      <w:r w:rsidR="00AF1EB5">
        <w:t xml:space="preserve"> or </w:t>
      </w:r>
      <w:r w:rsidR="00A123CC">
        <w:t xml:space="preserve">through </w:t>
      </w:r>
      <w:r w:rsidR="00AF1EB5">
        <w:t>other public sources</w:t>
      </w:r>
      <w:r>
        <w:t xml:space="preserve">. </w:t>
      </w:r>
    </w:p>
    <w:p w14:paraId="58A3A9CD" w14:textId="77777777" w:rsidR="005842AF" w:rsidRDefault="005842AF" w:rsidP="0022602A"/>
    <w:p w14:paraId="55AD1A5A" w14:textId="7DE9FE57" w:rsidR="0014411D" w:rsidRDefault="00916AAD" w:rsidP="0022602A">
      <w:r>
        <w:t>All e</w:t>
      </w:r>
      <w:r w:rsidR="0021617B">
        <w:t xml:space="preserve">ligible tribal </w:t>
      </w:r>
      <w:r w:rsidR="00E87FE1">
        <w:t>police,</w:t>
      </w:r>
      <w:r w:rsidR="00C83679">
        <w:t xml:space="preserve"> </w:t>
      </w:r>
      <w:r w:rsidR="00E87FE1">
        <w:t>conservation</w:t>
      </w:r>
      <w:r w:rsidR="00C83679">
        <w:t xml:space="preserve"> </w:t>
      </w:r>
      <w:r w:rsidR="00E87FE1">
        <w:t>and</w:t>
      </w:r>
      <w:r w:rsidR="00C83679">
        <w:t xml:space="preserve"> </w:t>
      </w:r>
      <w:r w:rsidR="00E87FE1">
        <w:t>wildlife</w:t>
      </w:r>
      <w:r w:rsidR="00C83679">
        <w:t xml:space="preserve"> </w:t>
      </w:r>
      <w:r w:rsidR="00E87FE1">
        <w:t>offices,</w:t>
      </w:r>
      <w:r w:rsidR="00C83679">
        <w:t xml:space="preserve"> </w:t>
      </w:r>
      <w:r w:rsidR="00760761">
        <w:t xml:space="preserve">and </w:t>
      </w:r>
      <w:r w:rsidR="00E87FE1">
        <w:t>tribal</w:t>
      </w:r>
      <w:r w:rsidR="00C83679">
        <w:t xml:space="preserve"> </w:t>
      </w:r>
      <w:r w:rsidR="00E87FE1">
        <w:t>university</w:t>
      </w:r>
      <w:r w:rsidR="00C83679">
        <w:t xml:space="preserve"> </w:t>
      </w:r>
      <w:r w:rsidR="00E87FE1">
        <w:t>or</w:t>
      </w:r>
      <w:r w:rsidR="00C83679">
        <w:t xml:space="preserve"> </w:t>
      </w:r>
      <w:r w:rsidR="00E87FE1">
        <w:t>college</w:t>
      </w:r>
      <w:r w:rsidR="00C83679">
        <w:t xml:space="preserve"> </w:t>
      </w:r>
      <w:r w:rsidR="00E87FE1">
        <w:t>police</w:t>
      </w:r>
      <w:r w:rsidR="00C83679">
        <w:t xml:space="preserve"> </w:t>
      </w:r>
      <w:r w:rsidR="00E87FE1">
        <w:t>agencies</w:t>
      </w:r>
      <w:r w:rsidR="00C83679">
        <w:t xml:space="preserve"> </w:t>
      </w:r>
      <w:r w:rsidR="00E87FE1">
        <w:t>will</w:t>
      </w:r>
      <w:r w:rsidR="00C83679">
        <w:t xml:space="preserve"> </w:t>
      </w:r>
      <w:r w:rsidR="00E87FE1">
        <w:t>be</w:t>
      </w:r>
      <w:r w:rsidR="00C83679">
        <w:t xml:space="preserve"> </w:t>
      </w:r>
      <w:r w:rsidR="00E87FE1">
        <w:t>surveyed.</w:t>
      </w:r>
      <w:r w:rsidR="002D1775">
        <w:t xml:space="preserve"> BIA agencies will receive the survey through a central point of contact at the Department of the Interior, described further below.</w:t>
      </w:r>
      <w:r w:rsidR="00934989">
        <w:t xml:space="preserve"> </w:t>
      </w:r>
    </w:p>
    <w:p w14:paraId="570479BD" w14:textId="77777777" w:rsidR="0014411D" w:rsidRDefault="0014411D" w:rsidP="0022602A"/>
    <w:p w14:paraId="40C8CC86" w14:textId="0E7E8E6E" w:rsidR="0022602A" w:rsidRDefault="0021617B" w:rsidP="0022602A">
      <w:r>
        <w:t xml:space="preserve">A breakdown of the </w:t>
      </w:r>
      <w:r w:rsidR="00934989">
        <w:t>201</w:t>
      </w:r>
      <w:r w:rsidR="000A5B95">
        <w:t>9</w:t>
      </w:r>
      <w:r w:rsidR="00934989">
        <w:t xml:space="preserve"> CTLEA </w:t>
      </w:r>
      <w:r>
        <w:t>universe list can be found in Table 1.</w:t>
      </w:r>
    </w:p>
    <w:p w14:paraId="2AA696DE" w14:textId="77777777" w:rsidR="004B2B39" w:rsidRDefault="004B2B39" w:rsidP="0022602A"/>
    <w:p w14:paraId="53F692E5" w14:textId="32D48FFA" w:rsidR="003C4AF1" w:rsidRDefault="003C4AF1" w:rsidP="0014411D">
      <w:r>
        <w:t>Table</w:t>
      </w:r>
      <w:r w:rsidR="00C83679">
        <w:t xml:space="preserve"> </w:t>
      </w:r>
      <w:r w:rsidR="004A154F">
        <w:t>1</w:t>
      </w:r>
      <w:r>
        <w:t>.</w:t>
      </w:r>
      <w:r w:rsidR="00C83679">
        <w:t xml:space="preserve">   </w:t>
      </w:r>
      <w:r w:rsidR="00C0307A">
        <w:t xml:space="preserve">2019 </w:t>
      </w:r>
      <w:r>
        <w:t>CTLEA</w:t>
      </w:r>
      <w:r w:rsidR="00C83679">
        <w:t xml:space="preserve"> </w:t>
      </w:r>
      <w:r>
        <w:t>universe</w:t>
      </w:r>
      <w:r w:rsidR="00C83679">
        <w:t xml:space="preserve"> </w:t>
      </w:r>
      <w:r>
        <w:t>of</w:t>
      </w:r>
      <w:r w:rsidR="00C83679">
        <w:t xml:space="preserve"> </w:t>
      </w:r>
      <w:r>
        <w:t>tribal</w:t>
      </w:r>
      <w:r w:rsidR="00C83679">
        <w:t xml:space="preserve"> </w:t>
      </w:r>
      <w:r w:rsidR="00903FED">
        <w:t>LE</w:t>
      </w:r>
      <w:r w:rsidR="00C83679">
        <w:t xml:space="preserve"> </w:t>
      </w:r>
      <w:r>
        <w:t>agencies</w:t>
      </w:r>
    </w:p>
    <w:p w14:paraId="356E49A3" w14:textId="77777777" w:rsidR="003C4AF1" w:rsidRDefault="003C4AF1" w:rsidP="00B72BBE">
      <w:pPr>
        <w:jc w:val="center"/>
      </w:pPr>
    </w:p>
    <w:tbl>
      <w:tblPr>
        <w:tblStyle w:val="GridTable1Light2"/>
        <w:tblW w:w="9486" w:type="dxa"/>
        <w:jc w:val="center"/>
        <w:tblLook w:val="04A0" w:firstRow="1" w:lastRow="0" w:firstColumn="1" w:lastColumn="0" w:noHBand="0" w:noVBand="1"/>
      </w:tblPr>
      <w:tblGrid>
        <w:gridCol w:w="4001"/>
        <w:gridCol w:w="1584"/>
        <w:gridCol w:w="3901"/>
      </w:tblGrid>
      <w:tr w:rsidR="0021617B" w:rsidRPr="003C4AF1" w14:paraId="1A6B2CB5" w14:textId="77777777" w:rsidTr="00125DE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001" w:type="dxa"/>
            <w:noWrap/>
            <w:vAlign w:val="bottom"/>
          </w:tcPr>
          <w:p w14:paraId="630BC203" w14:textId="77777777" w:rsidR="0021617B" w:rsidRPr="003C4AF1" w:rsidDel="0021617B" w:rsidRDefault="00B72BBE" w:rsidP="00B72BBE">
            <w:r>
              <w:t>Type of agency</w:t>
            </w:r>
          </w:p>
        </w:tc>
        <w:tc>
          <w:tcPr>
            <w:tcW w:w="1584" w:type="dxa"/>
            <w:noWrap/>
            <w:vAlign w:val="bottom"/>
          </w:tcPr>
          <w:p w14:paraId="551ED816" w14:textId="77777777" w:rsidR="0021617B" w:rsidRDefault="00B72BBE" w:rsidP="00B72BBE">
            <w:pPr>
              <w:jc w:val="center"/>
              <w:cnfStyle w:val="100000000000" w:firstRow="1" w:lastRow="0" w:firstColumn="0" w:lastColumn="0" w:oddVBand="0" w:evenVBand="0" w:oddHBand="0" w:evenHBand="0" w:firstRowFirstColumn="0" w:firstRowLastColumn="0" w:lastRowFirstColumn="0" w:lastRowLastColumn="0"/>
            </w:pPr>
            <w:r>
              <w:t>Count</w:t>
            </w:r>
          </w:p>
        </w:tc>
        <w:tc>
          <w:tcPr>
            <w:tcW w:w="3901" w:type="dxa"/>
            <w:noWrap/>
            <w:vAlign w:val="bottom"/>
          </w:tcPr>
          <w:p w14:paraId="1B54AC85" w14:textId="77777777" w:rsidR="0021617B" w:rsidRPr="003C4AF1" w:rsidRDefault="00B72BBE" w:rsidP="00B72BBE">
            <w:pPr>
              <w:jc w:val="center"/>
              <w:cnfStyle w:val="100000000000" w:firstRow="1" w:lastRow="0" w:firstColumn="0" w:lastColumn="0" w:oddVBand="0" w:evenVBand="0" w:oddHBand="0" w:evenHBand="0" w:firstRowFirstColumn="0" w:firstRowLastColumn="0" w:lastRowFirstColumn="0" w:lastRowLastColumn="0"/>
            </w:pPr>
            <w:r>
              <w:t>Percent of universe</w:t>
            </w:r>
          </w:p>
        </w:tc>
      </w:tr>
      <w:tr w:rsidR="003C4AF1" w:rsidRPr="003C4AF1" w14:paraId="18ABB8DC"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noWrap/>
            <w:hideMark/>
          </w:tcPr>
          <w:p w14:paraId="1C9ECCAF" w14:textId="7BB34918" w:rsidR="003C4AF1" w:rsidRPr="0005601C" w:rsidRDefault="0097573C" w:rsidP="00B72BBE">
            <w:pPr>
              <w:rPr>
                <w:i/>
              </w:rPr>
            </w:pPr>
            <w:r w:rsidRPr="0005601C">
              <w:rPr>
                <w:i/>
              </w:rPr>
              <w:t xml:space="preserve">CTLEA </w:t>
            </w:r>
            <w:r w:rsidR="0021617B" w:rsidRPr="0005601C">
              <w:rPr>
                <w:i/>
              </w:rPr>
              <w:t>Universe</w:t>
            </w:r>
          </w:p>
        </w:tc>
        <w:tc>
          <w:tcPr>
            <w:tcW w:w="1584" w:type="dxa"/>
            <w:noWrap/>
            <w:vAlign w:val="bottom"/>
            <w:hideMark/>
          </w:tcPr>
          <w:p w14:paraId="131F2081" w14:textId="00A1E603" w:rsidR="003C4AF1" w:rsidRPr="0005601C" w:rsidRDefault="006A6E6D" w:rsidP="00B72BBE">
            <w:pPr>
              <w:jc w:val="center"/>
              <w:cnfStyle w:val="000000000000" w:firstRow="0" w:lastRow="0" w:firstColumn="0" w:lastColumn="0" w:oddVBand="0" w:evenVBand="0" w:oddHBand="0" w:evenHBand="0" w:firstRowFirstColumn="0" w:firstRowLastColumn="0" w:lastRowFirstColumn="0" w:lastRowLastColumn="0"/>
              <w:rPr>
                <w:b/>
                <w:i/>
              </w:rPr>
            </w:pPr>
            <w:r w:rsidRPr="0005601C">
              <w:rPr>
                <w:b/>
                <w:i/>
              </w:rPr>
              <w:t>308</w:t>
            </w:r>
          </w:p>
        </w:tc>
        <w:tc>
          <w:tcPr>
            <w:tcW w:w="3901" w:type="dxa"/>
            <w:noWrap/>
            <w:vAlign w:val="bottom"/>
            <w:hideMark/>
          </w:tcPr>
          <w:p w14:paraId="2C2EC0EB" w14:textId="58F1EC54" w:rsidR="003C4AF1" w:rsidRPr="0005601C" w:rsidRDefault="003C4AF1" w:rsidP="00B72BBE">
            <w:pPr>
              <w:jc w:val="center"/>
              <w:cnfStyle w:val="000000000000" w:firstRow="0" w:lastRow="0" w:firstColumn="0" w:lastColumn="0" w:oddVBand="0" w:evenVBand="0" w:oddHBand="0" w:evenHBand="0" w:firstRowFirstColumn="0" w:firstRowLastColumn="0" w:lastRowFirstColumn="0" w:lastRowLastColumn="0"/>
              <w:rPr>
                <w:b/>
                <w:i/>
              </w:rPr>
            </w:pPr>
            <w:r w:rsidRPr="0005601C">
              <w:rPr>
                <w:b/>
                <w:i/>
              </w:rPr>
              <w:t>100%</w:t>
            </w:r>
          </w:p>
        </w:tc>
      </w:tr>
      <w:tr w:rsidR="0097573C" w:rsidRPr="003C4AF1" w14:paraId="104715E9"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noWrap/>
          </w:tcPr>
          <w:p w14:paraId="3BFC0835" w14:textId="77777777" w:rsidR="0097573C" w:rsidRDefault="0097573C" w:rsidP="00B72BBE"/>
        </w:tc>
        <w:tc>
          <w:tcPr>
            <w:tcW w:w="1584" w:type="dxa"/>
            <w:noWrap/>
            <w:vAlign w:val="bottom"/>
          </w:tcPr>
          <w:p w14:paraId="4ED3B664" w14:textId="77777777" w:rsidR="0097573C" w:rsidRPr="003C4AF1" w:rsidRDefault="0097573C" w:rsidP="00B72BBE">
            <w:pPr>
              <w:jc w:val="center"/>
              <w:cnfStyle w:val="000000000000" w:firstRow="0" w:lastRow="0" w:firstColumn="0" w:lastColumn="0" w:oddVBand="0" w:evenVBand="0" w:oddHBand="0" w:evenHBand="0" w:firstRowFirstColumn="0" w:firstRowLastColumn="0" w:lastRowFirstColumn="0" w:lastRowLastColumn="0"/>
            </w:pPr>
          </w:p>
        </w:tc>
        <w:tc>
          <w:tcPr>
            <w:tcW w:w="3901" w:type="dxa"/>
            <w:noWrap/>
            <w:vAlign w:val="bottom"/>
          </w:tcPr>
          <w:p w14:paraId="2B08EBB4" w14:textId="77777777" w:rsidR="0097573C" w:rsidRDefault="0097573C" w:rsidP="00B72BBE">
            <w:pPr>
              <w:jc w:val="center"/>
              <w:cnfStyle w:val="000000000000" w:firstRow="0" w:lastRow="0" w:firstColumn="0" w:lastColumn="0" w:oddVBand="0" w:evenVBand="0" w:oddHBand="0" w:evenHBand="0" w:firstRowFirstColumn="0" w:firstRowLastColumn="0" w:lastRowFirstColumn="0" w:lastRowLastColumn="0"/>
            </w:pPr>
          </w:p>
        </w:tc>
      </w:tr>
      <w:tr w:rsidR="0097573C" w:rsidRPr="003C4AF1" w14:paraId="5EF63F63"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noWrap/>
          </w:tcPr>
          <w:p w14:paraId="28709279" w14:textId="7049BEBB" w:rsidR="0097573C" w:rsidRPr="0005601C" w:rsidRDefault="0097573C" w:rsidP="00B72BBE">
            <w:pPr>
              <w:rPr>
                <w:i/>
              </w:rPr>
            </w:pPr>
            <w:r w:rsidRPr="0005601C">
              <w:rPr>
                <w:i/>
              </w:rPr>
              <w:t xml:space="preserve">  Total tribal operated agencies</w:t>
            </w:r>
          </w:p>
        </w:tc>
        <w:tc>
          <w:tcPr>
            <w:tcW w:w="1584" w:type="dxa"/>
            <w:noWrap/>
            <w:vAlign w:val="bottom"/>
          </w:tcPr>
          <w:p w14:paraId="01AFFCA9" w14:textId="5826F967" w:rsidR="0097573C" w:rsidRPr="0005601C" w:rsidRDefault="0097573C" w:rsidP="00B72BBE">
            <w:pPr>
              <w:jc w:val="center"/>
              <w:cnfStyle w:val="000000000000" w:firstRow="0" w:lastRow="0" w:firstColumn="0" w:lastColumn="0" w:oddVBand="0" w:evenVBand="0" w:oddHBand="0" w:evenHBand="0" w:firstRowFirstColumn="0" w:firstRowLastColumn="0" w:lastRowFirstColumn="0" w:lastRowLastColumn="0"/>
              <w:rPr>
                <w:b/>
                <w:i/>
              </w:rPr>
            </w:pPr>
            <w:r w:rsidRPr="0005601C">
              <w:rPr>
                <w:b/>
                <w:i/>
              </w:rPr>
              <w:t>280</w:t>
            </w:r>
          </w:p>
        </w:tc>
        <w:tc>
          <w:tcPr>
            <w:tcW w:w="3901" w:type="dxa"/>
            <w:noWrap/>
            <w:vAlign w:val="bottom"/>
          </w:tcPr>
          <w:p w14:paraId="577C848F" w14:textId="7BAF90FC" w:rsidR="0097573C" w:rsidRPr="0005601C" w:rsidRDefault="0097573C" w:rsidP="0097573C">
            <w:pPr>
              <w:jc w:val="center"/>
              <w:cnfStyle w:val="000000000000" w:firstRow="0" w:lastRow="0" w:firstColumn="0" w:lastColumn="0" w:oddVBand="0" w:evenVBand="0" w:oddHBand="0" w:evenHBand="0" w:firstRowFirstColumn="0" w:firstRowLastColumn="0" w:lastRowFirstColumn="0" w:lastRowLastColumn="0"/>
              <w:rPr>
                <w:b/>
                <w:i/>
              </w:rPr>
            </w:pPr>
            <w:r w:rsidRPr="0005601C">
              <w:rPr>
                <w:b/>
                <w:i/>
              </w:rPr>
              <w:t>91%</w:t>
            </w:r>
          </w:p>
        </w:tc>
      </w:tr>
      <w:tr w:rsidR="0097573C" w:rsidRPr="003C4AF1" w14:paraId="5234B868"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shd w:val="clear" w:color="auto" w:fill="000000" w:themeFill="text1"/>
            <w:noWrap/>
          </w:tcPr>
          <w:p w14:paraId="1EA0C1DF" w14:textId="77777777" w:rsidR="0097573C" w:rsidRPr="0005601C" w:rsidRDefault="0097573C" w:rsidP="0097573C">
            <w:pPr>
              <w:jc w:val="right"/>
              <w:rPr>
                <w:i/>
              </w:rPr>
            </w:pPr>
          </w:p>
        </w:tc>
        <w:tc>
          <w:tcPr>
            <w:tcW w:w="1584" w:type="dxa"/>
            <w:shd w:val="clear" w:color="auto" w:fill="000000" w:themeFill="text1"/>
            <w:noWrap/>
            <w:vAlign w:val="bottom"/>
          </w:tcPr>
          <w:p w14:paraId="183A392B" w14:textId="77777777" w:rsidR="0097573C" w:rsidRPr="0005601C" w:rsidRDefault="0097573C" w:rsidP="00B72BBE">
            <w:pPr>
              <w:jc w:val="center"/>
              <w:cnfStyle w:val="000000000000" w:firstRow="0" w:lastRow="0" w:firstColumn="0" w:lastColumn="0" w:oddVBand="0" w:evenVBand="0" w:oddHBand="0" w:evenHBand="0" w:firstRowFirstColumn="0" w:firstRowLastColumn="0" w:lastRowFirstColumn="0" w:lastRowLastColumn="0"/>
              <w:rPr>
                <w:i/>
              </w:rPr>
            </w:pPr>
          </w:p>
        </w:tc>
        <w:tc>
          <w:tcPr>
            <w:tcW w:w="3901" w:type="dxa"/>
            <w:shd w:val="clear" w:color="auto" w:fill="000000" w:themeFill="text1"/>
            <w:noWrap/>
            <w:vAlign w:val="bottom"/>
          </w:tcPr>
          <w:p w14:paraId="0CAFE018" w14:textId="77777777" w:rsidR="0097573C" w:rsidRPr="0005601C" w:rsidRDefault="0097573C" w:rsidP="00B72BBE">
            <w:pPr>
              <w:jc w:val="center"/>
              <w:cnfStyle w:val="000000000000" w:firstRow="0" w:lastRow="0" w:firstColumn="0" w:lastColumn="0" w:oddVBand="0" w:evenVBand="0" w:oddHBand="0" w:evenHBand="0" w:firstRowFirstColumn="0" w:firstRowLastColumn="0" w:lastRowFirstColumn="0" w:lastRowLastColumn="0"/>
              <w:rPr>
                <w:i/>
              </w:rPr>
            </w:pPr>
          </w:p>
        </w:tc>
      </w:tr>
      <w:tr w:rsidR="003C4AF1" w:rsidRPr="003C4AF1" w14:paraId="4D556ADC"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noWrap/>
            <w:hideMark/>
          </w:tcPr>
          <w:p w14:paraId="0EDFA053" w14:textId="3269A591" w:rsidR="003C4AF1" w:rsidRPr="00B72BBE" w:rsidRDefault="00B72BBE" w:rsidP="0097573C">
            <w:pPr>
              <w:jc w:val="right"/>
              <w:rPr>
                <w:b w:val="0"/>
              </w:rPr>
            </w:pPr>
            <w:r w:rsidRPr="00B72BBE">
              <w:rPr>
                <w:b w:val="0"/>
              </w:rPr>
              <w:t xml:space="preserve">   </w:t>
            </w:r>
            <w:r w:rsidR="0097573C">
              <w:rPr>
                <w:b w:val="0"/>
              </w:rPr>
              <w:t>Tribal law enforcement agencies</w:t>
            </w:r>
          </w:p>
        </w:tc>
        <w:tc>
          <w:tcPr>
            <w:tcW w:w="1584" w:type="dxa"/>
            <w:noWrap/>
            <w:vAlign w:val="bottom"/>
            <w:hideMark/>
          </w:tcPr>
          <w:p w14:paraId="34163FCF" w14:textId="5772119D" w:rsidR="003C4AF1" w:rsidRPr="003C4AF1" w:rsidRDefault="00CD6CED" w:rsidP="00B72BBE">
            <w:pPr>
              <w:jc w:val="center"/>
              <w:cnfStyle w:val="000000000000" w:firstRow="0" w:lastRow="0" w:firstColumn="0" w:lastColumn="0" w:oddVBand="0" w:evenVBand="0" w:oddHBand="0" w:evenHBand="0" w:firstRowFirstColumn="0" w:firstRowLastColumn="0" w:lastRowFirstColumn="0" w:lastRowLastColumn="0"/>
            </w:pPr>
            <w:r w:rsidRPr="003C4AF1">
              <w:t>22</w:t>
            </w:r>
            <w:r>
              <w:t>9</w:t>
            </w:r>
          </w:p>
        </w:tc>
        <w:tc>
          <w:tcPr>
            <w:tcW w:w="3901" w:type="dxa"/>
            <w:noWrap/>
            <w:vAlign w:val="bottom"/>
            <w:hideMark/>
          </w:tcPr>
          <w:p w14:paraId="549AAFC1" w14:textId="016ABC82" w:rsidR="003C4AF1" w:rsidRPr="003C4AF1" w:rsidRDefault="00A538BE" w:rsidP="00B72BBE">
            <w:pPr>
              <w:jc w:val="center"/>
              <w:cnfStyle w:val="000000000000" w:firstRow="0" w:lastRow="0" w:firstColumn="0" w:lastColumn="0" w:oddVBand="0" w:evenVBand="0" w:oddHBand="0" w:evenHBand="0" w:firstRowFirstColumn="0" w:firstRowLastColumn="0" w:lastRowFirstColumn="0" w:lastRowLastColumn="0"/>
            </w:pPr>
            <w:r>
              <w:t>74%</w:t>
            </w:r>
          </w:p>
        </w:tc>
      </w:tr>
      <w:tr w:rsidR="003C4AF1" w:rsidRPr="003C4AF1" w14:paraId="42752B17"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noWrap/>
            <w:hideMark/>
          </w:tcPr>
          <w:p w14:paraId="60F15B67" w14:textId="77777777" w:rsidR="003C4AF1" w:rsidRPr="00B72BBE" w:rsidRDefault="00B72BBE" w:rsidP="0097573C">
            <w:pPr>
              <w:jc w:val="right"/>
              <w:rPr>
                <w:b w:val="0"/>
              </w:rPr>
            </w:pPr>
            <w:r w:rsidRPr="00B72BBE">
              <w:rPr>
                <w:b w:val="0"/>
              </w:rPr>
              <w:t xml:space="preserve">   </w:t>
            </w:r>
            <w:r w:rsidR="003C4AF1" w:rsidRPr="00B72BBE">
              <w:rPr>
                <w:b w:val="0"/>
              </w:rPr>
              <w:t>Conservation/Wildlife</w:t>
            </w:r>
            <w:r w:rsidRPr="00B72BBE">
              <w:rPr>
                <w:b w:val="0"/>
              </w:rPr>
              <w:br/>
              <w:t xml:space="preserve">     </w:t>
            </w:r>
            <w:r w:rsidR="00C83679" w:rsidRPr="00B72BBE">
              <w:rPr>
                <w:b w:val="0"/>
              </w:rPr>
              <w:t xml:space="preserve"> </w:t>
            </w:r>
            <w:r w:rsidR="00984062" w:rsidRPr="00B72BBE">
              <w:rPr>
                <w:b w:val="0"/>
              </w:rPr>
              <w:t>e</w:t>
            </w:r>
            <w:r w:rsidR="003C4AF1" w:rsidRPr="00B72BBE">
              <w:rPr>
                <w:b w:val="0"/>
              </w:rPr>
              <w:t>nforcement</w:t>
            </w:r>
            <w:r w:rsidR="00C83679" w:rsidRPr="00B72BBE">
              <w:rPr>
                <w:b w:val="0"/>
              </w:rPr>
              <w:t xml:space="preserve"> </w:t>
            </w:r>
            <w:r w:rsidR="003C4AF1" w:rsidRPr="00B72BBE">
              <w:rPr>
                <w:b w:val="0"/>
              </w:rPr>
              <w:t>agencies</w:t>
            </w:r>
          </w:p>
        </w:tc>
        <w:tc>
          <w:tcPr>
            <w:tcW w:w="1584" w:type="dxa"/>
            <w:noWrap/>
            <w:vAlign w:val="bottom"/>
            <w:hideMark/>
          </w:tcPr>
          <w:p w14:paraId="264C6453" w14:textId="6C7C6396" w:rsidR="003C4AF1" w:rsidRPr="003C4AF1" w:rsidRDefault="006A6E6D" w:rsidP="00B72BBE">
            <w:pPr>
              <w:jc w:val="center"/>
              <w:cnfStyle w:val="000000000000" w:firstRow="0" w:lastRow="0" w:firstColumn="0" w:lastColumn="0" w:oddVBand="0" w:evenVBand="0" w:oddHBand="0" w:evenHBand="0" w:firstRowFirstColumn="0" w:firstRowLastColumn="0" w:lastRowFirstColumn="0" w:lastRowLastColumn="0"/>
            </w:pPr>
            <w:r>
              <w:t>45</w:t>
            </w:r>
          </w:p>
        </w:tc>
        <w:tc>
          <w:tcPr>
            <w:tcW w:w="3901" w:type="dxa"/>
            <w:noWrap/>
            <w:vAlign w:val="bottom"/>
            <w:hideMark/>
          </w:tcPr>
          <w:p w14:paraId="5BB178D3" w14:textId="15E58518" w:rsidR="003C4AF1" w:rsidRPr="003C4AF1" w:rsidRDefault="00A538BE" w:rsidP="006A6E6D">
            <w:pPr>
              <w:jc w:val="center"/>
              <w:cnfStyle w:val="000000000000" w:firstRow="0" w:lastRow="0" w:firstColumn="0" w:lastColumn="0" w:oddVBand="0" w:evenVBand="0" w:oddHBand="0" w:evenHBand="0" w:firstRowFirstColumn="0" w:firstRowLastColumn="0" w:lastRowFirstColumn="0" w:lastRowLastColumn="0"/>
            </w:pPr>
            <w:r>
              <w:t>15%</w:t>
            </w:r>
          </w:p>
        </w:tc>
      </w:tr>
      <w:tr w:rsidR="003C4AF1" w:rsidRPr="003C4AF1" w14:paraId="4B541F8F"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noWrap/>
            <w:hideMark/>
          </w:tcPr>
          <w:p w14:paraId="2402F589" w14:textId="77777777" w:rsidR="003C4AF1" w:rsidRPr="00B72BBE" w:rsidRDefault="00B72BBE" w:rsidP="0097573C">
            <w:pPr>
              <w:jc w:val="right"/>
              <w:rPr>
                <w:b w:val="0"/>
              </w:rPr>
            </w:pPr>
            <w:r w:rsidRPr="00B72BBE">
              <w:rPr>
                <w:b w:val="0"/>
              </w:rPr>
              <w:t xml:space="preserve">   </w:t>
            </w:r>
            <w:r w:rsidR="003C4AF1" w:rsidRPr="00B72BBE">
              <w:rPr>
                <w:b w:val="0"/>
              </w:rPr>
              <w:t>Tribal</w:t>
            </w:r>
            <w:r w:rsidR="00C83679" w:rsidRPr="00B72BBE">
              <w:rPr>
                <w:b w:val="0"/>
              </w:rPr>
              <w:t xml:space="preserve"> </w:t>
            </w:r>
            <w:r w:rsidR="003C4AF1" w:rsidRPr="00B72BBE">
              <w:rPr>
                <w:b w:val="0"/>
              </w:rPr>
              <w:t>university/college</w:t>
            </w:r>
            <w:r w:rsidR="00C83679" w:rsidRPr="00B72BBE">
              <w:rPr>
                <w:b w:val="0"/>
              </w:rPr>
              <w:t xml:space="preserve"> </w:t>
            </w:r>
            <w:r w:rsidR="003C4AF1" w:rsidRPr="00B72BBE">
              <w:rPr>
                <w:b w:val="0"/>
              </w:rPr>
              <w:t>police</w:t>
            </w:r>
          </w:p>
        </w:tc>
        <w:tc>
          <w:tcPr>
            <w:tcW w:w="1584" w:type="dxa"/>
            <w:noWrap/>
            <w:vAlign w:val="bottom"/>
            <w:hideMark/>
          </w:tcPr>
          <w:p w14:paraId="20925CFE" w14:textId="77777777" w:rsidR="003C4AF1" w:rsidRPr="003C4AF1" w:rsidRDefault="003C4AF1" w:rsidP="00B72BBE">
            <w:pPr>
              <w:jc w:val="center"/>
              <w:cnfStyle w:val="000000000000" w:firstRow="0" w:lastRow="0" w:firstColumn="0" w:lastColumn="0" w:oddVBand="0" w:evenVBand="0" w:oddHBand="0" w:evenHBand="0" w:firstRowFirstColumn="0" w:firstRowLastColumn="0" w:lastRowFirstColumn="0" w:lastRowLastColumn="0"/>
            </w:pPr>
            <w:r w:rsidRPr="003C4AF1">
              <w:t>6</w:t>
            </w:r>
          </w:p>
        </w:tc>
        <w:tc>
          <w:tcPr>
            <w:tcW w:w="3901" w:type="dxa"/>
            <w:noWrap/>
            <w:vAlign w:val="bottom"/>
            <w:hideMark/>
          </w:tcPr>
          <w:p w14:paraId="2A06360B" w14:textId="3B271368" w:rsidR="003C4AF1" w:rsidRPr="003C4AF1" w:rsidRDefault="00A538BE" w:rsidP="0093667A">
            <w:pPr>
              <w:jc w:val="center"/>
              <w:cnfStyle w:val="000000000000" w:firstRow="0" w:lastRow="0" w:firstColumn="0" w:lastColumn="0" w:oddVBand="0" w:evenVBand="0" w:oddHBand="0" w:evenHBand="0" w:firstRowFirstColumn="0" w:firstRowLastColumn="0" w:lastRowFirstColumn="0" w:lastRowLastColumn="0"/>
            </w:pPr>
            <w:r>
              <w:t>1.9%</w:t>
            </w:r>
          </w:p>
        </w:tc>
      </w:tr>
      <w:tr w:rsidR="0097573C" w:rsidRPr="003C4AF1" w14:paraId="4B658708" w14:textId="77777777" w:rsidTr="00125DEB">
        <w:trPr>
          <w:trHeight w:val="124"/>
          <w:jc w:val="center"/>
        </w:trPr>
        <w:tc>
          <w:tcPr>
            <w:cnfStyle w:val="001000000000" w:firstRow="0" w:lastRow="0" w:firstColumn="1" w:lastColumn="0" w:oddVBand="0" w:evenVBand="0" w:oddHBand="0" w:evenHBand="0" w:firstRowFirstColumn="0" w:firstRowLastColumn="0" w:lastRowFirstColumn="0" w:lastRowLastColumn="0"/>
            <w:tcW w:w="4001" w:type="dxa"/>
            <w:noWrap/>
          </w:tcPr>
          <w:p w14:paraId="5191DA2D" w14:textId="77777777" w:rsidR="0097573C" w:rsidRPr="00160640" w:rsidRDefault="0097573C" w:rsidP="000A5B95"/>
        </w:tc>
        <w:tc>
          <w:tcPr>
            <w:tcW w:w="1584" w:type="dxa"/>
            <w:shd w:val="clear" w:color="auto" w:fill="auto"/>
            <w:noWrap/>
            <w:vAlign w:val="bottom"/>
          </w:tcPr>
          <w:p w14:paraId="636BCB3C" w14:textId="77777777" w:rsidR="0097573C" w:rsidRPr="0003770C" w:rsidRDefault="0097573C" w:rsidP="00B72BBE">
            <w:pPr>
              <w:jc w:val="center"/>
              <w:cnfStyle w:val="000000000000" w:firstRow="0" w:lastRow="0" w:firstColumn="0" w:lastColumn="0" w:oddVBand="0" w:evenVBand="0" w:oddHBand="0" w:evenHBand="0" w:firstRowFirstColumn="0" w:firstRowLastColumn="0" w:lastRowFirstColumn="0" w:lastRowLastColumn="0"/>
            </w:pPr>
          </w:p>
        </w:tc>
        <w:tc>
          <w:tcPr>
            <w:tcW w:w="3901" w:type="dxa"/>
            <w:shd w:val="clear" w:color="auto" w:fill="auto"/>
            <w:noWrap/>
            <w:vAlign w:val="bottom"/>
          </w:tcPr>
          <w:p w14:paraId="3960A34D" w14:textId="77777777" w:rsidR="0097573C" w:rsidRPr="0003770C" w:rsidRDefault="0097573C" w:rsidP="0093667A">
            <w:pPr>
              <w:jc w:val="center"/>
              <w:cnfStyle w:val="000000000000" w:firstRow="0" w:lastRow="0" w:firstColumn="0" w:lastColumn="0" w:oddVBand="0" w:evenVBand="0" w:oddHBand="0" w:evenHBand="0" w:firstRowFirstColumn="0" w:firstRowLastColumn="0" w:lastRowFirstColumn="0" w:lastRowLastColumn="0"/>
            </w:pPr>
          </w:p>
        </w:tc>
      </w:tr>
      <w:tr w:rsidR="0097573C" w:rsidRPr="003C4AF1" w14:paraId="6DBB94BF"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noWrap/>
          </w:tcPr>
          <w:p w14:paraId="36314A4D" w14:textId="22D90C22" w:rsidR="0097573C" w:rsidRPr="0005601C" w:rsidRDefault="0097573C" w:rsidP="000A5B95">
            <w:pPr>
              <w:rPr>
                <w:i/>
              </w:rPr>
            </w:pPr>
            <w:r w:rsidRPr="0005601C">
              <w:rPr>
                <w:i/>
              </w:rPr>
              <w:t>Total Federal and State operated agencies/programs</w:t>
            </w:r>
          </w:p>
        </w:tc>
        <w:tc>
          <w:tcPr>
            <w:tcW w:w="1584" w:type="dxa"/>
            <w:shd w:val="clear" w:color="auto" w:fill="auto"/>
            <w:noWrap/>
            <w:vAlign w:val="bottom"/>
          </w:tcPr>
          <w:p w14:paraId="1BFC461D" w14:textId="6479770D" w:rsidR="0097573C" w:rsidRPr="0005601C" w:rsidRDefault="0097573C" w:rsidP="00B72BBE">
            <w:pPr>
              <w:jc w:val="center"/>
              <w:cnfStyle w:val="000000000000" w:firstRow="0" w:lastRow="0" w:firstColumn="0" w:lastColumn="0" w:oddVBand="0" w:evenVBand="0" w:oddHBand="0" w:evenHBand="0" w:firstRowFirstColumn="0" w:firstRowLastColumn="0" w:lastRowFirstColumn="0" w:lastRowLastColumn="0"/>
              <w:rPr>
                <w:b/>
                <w:i/>
              </w:rPr>
            </w:pPr>
            <w:r w:rsidRPr="0005601C">
              <w:rPr>
                <w:b/>
                <w:i/>
              </w:rPr>
              <w:t>28</w:t>
            </w:r>
          </w:p>
        </w:tc>
        <w:tc>
          <w:tcPr>
            <w:tcW w:w="3901" w:type="dxa"/>
            <w:shd w:val="clear" w:color="auto" w:fill="auto"/>
            <w:noWrap/>
            <w:vAlign w:val="bottom"/>
          </w:tcPr>
          <w:p w14:paraId="381A8DB8" w14:textId="437E6FAB" w:rsidR="0097573C" w:rsidRPr="0005601C" w:rsidRDefault="0097573C" w:rsidP="0093667A">
            <w:pPr>
              <w:jc w:val="center"/>
              <w:cnfStyle w:val="000000000000" w:firstRow="0" w:lastRow="0" w:firstColumn="0" w:lastColumn="0" w:oddVBand="0" w:evenVBand="0" w:oddHBand="0" w:evenHBand="0" w:firstRowFirstColumn="0" w:firstRowLastColumn="0" w:lastRowFirstColumn="0" w:lastRowLastColumn="0"/>
              <w:rPr>
                <w:b/>
                <w:i/>
              </w:rPr>
            </w:pPr>
            <w:r w:rsidRPr="0005601C">
              <w:rPr>
                <w:b/>
                <w:i/>
              </w:rPr>
              <w:t>9%</w:t>
            </w:r>
          </w:p>
        </w:tc>
      </w:tr>
      <w:tr w:rsidR="0097573C" w:rsidRPr="003C4AF1" w14:paraId="3B004E92"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shd w:val="clear" w:color="auto" w:fill="000000" w:themeFill="text1"/>
            <w:noWrap/>
          </w:tcPr>
          <w:p w14:paraId="1C838F96" w14:textId="77777777" w:rsidR="0097573C" w:rsidRDefault="0097573C" w:rsidP="0097573C">
            <w:pPr>
              <w:jc w:val="right"/>
            </w:pPr>
          </w:p>
        </w:tc>
        <w:tc>
          <w:tcPr>
            <w:tcW w:w="1584" w:type="dxa"/>
            <w:shd w:val="clear" w:color="auto" w:fill="000000" w:themeFill="text1"/>
            <w:noWrap/>
            <w:vAlign w:val="bottom"/>
          </w:tcPr>
          <w:p w14:paraId="7E283904" w14:textId="77777777" w:rsidR="0097573C" w:rsidRPr="00FF5A97" w:rsidRDefault="0097573C" w:rsidP="0097573C">
            <w:pPr>
              <w:jc w:val="center"/>
              <w:cnfStyle w:val="000000000000" w:firstRow="0" w:lastRow="0" w:firstColumn="0" w:lastColumn="0" w:oddVBand="0" w:evenVBand="0" w:oddHBand="0" w:evenHBand="0" w:firstRowFirstColumn="0" w:firstRowLastColumn="0" w:lastRowFirstColumn="0" w:lastRowLastColumn="0"/>
            </w:pPr>
          </w:p>
        </w:tc>
        <w:tc>
          <w:tcPr>
            <w:tcW w:w="3901" w:type="dxa"/>
            <w:shd w:val="clear" w:color="auto" w:fill="000000" w:themeFill="text1"/>
            <w:noWrap/>
            <w:vAlign w:val="bottom"/>
          </w:tcPr>
          <w:p w14:paraId="68205240" w14:textId="77777777" w:rsidR="0097573C" w:rsidRPr="00FF5A97" w:rsidRDefault="0097573C" w:rsidP="0097573C">
            <w:pPr>
              <w:jc w:val="center"/>
              <w:cnfStyle w:val="000000000000" w:firstRow="0" w:lastRow="0" w:firstColumn="0" w:lastColumn="0" w:oddVBand="0" w:evenVBand="0" w:oddHBand="0" w:evenHBand="0" w:firstRowFirstColumn="0" w:firstRowLastColumn="0" w:lastRowFirstColumn="0" w:lastRowLastColumn="0"/>
            </w:pPr>
          </w:p>
        </w:tc>
      </w:tr>
      <w:tr w:rsidR="0097573C" w:rsidRPr="003C4AF1" w14:paraId="66E94D8A"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noWrap/>
          </w:tcPr>
          <w:p w14:paraId="52A07A64" w14:textId="6AC2B5DF" w:rsidR="0097573C" w:rsidRPr="00160640" w:rsidRDefault="0097573C" w:rsidP="0005601C">
            <w:pPr>
              <w:jc w:val="right"/>
            </w:pPr>
            <w:r>
              <w:t xml:space="preserve">   </w:t>
            </w:r>
            <w:r w:rsidRPr="00C4608A">
              <w:rPr>
                <w:b w:val="0"/>
              </w:rPr>
              <w:t>Bureau of Indian Affairs</w:t>
            </w:r>
            <w:r w:rsidR="0005601C">
              <w:rPr>
                <w:b w:val="0"/>
              </w:rPr>
              <w:t xml:space="preserve"> police agencies</w:t>
            </w:r>
          </w:p>
        </w:tc>
        <w:tc>
          <w:tcPr>
            <w:tcW w:w="1584" w:type="dxa"/>
            <w:shd w:val="clear" w:color="auto" w:fill="auto"/>
            <w:noWrap/>
            <w:vAlign w:val="bottom"/>
          </w:tcPr>
          <w:p w14:paraId="71842F22" w14:textId="55196F86" w:rsidR="0097573C" w:rsidRPr="0003770C" w:rsidRDefault="0097573C" w:rsidP="0097573C">
            <w:pPr>
              <w:jc w:val="center"/>
              <w:cnfStyle w:val="000000000000" w:firstRow="0" w:lastRow="0" w:firstColumn="0" w:lastColumn="0" w:oddVBand="0" w:evenVBand="0" w:oddHBand="0" w:evenHBand="0" w:firstRowFirstColumn="0" w:firstRowLastColumn="0" w:lastRowFirstColumn="0" w:lastRowLastColumn="0"/>
            </w:pPr>
            <w:r w:rsidRPr="00FF5A97">
              <w:t>27</w:t>
            </w:r>
          </w:p>
        </w:tc>
        <w:tc>
          <w:tcPr>
            <w:tcW w:w="3901" w:type="dxa"/>
            <w:shd w:val="clear" w:color="auto" w:fill="auto"/>
            <w:noWrap/>
            <w:vAlign w:val="bottom"/>
          </w:tcPr>
          <w:p w14:paraId="77111F43" w14:textId="4BD8493C" w:rsidR="0097573C" w:rsidRPr="0003770C" w:rsidRDefault="0097573C" w:rsidP="0097573C">
            <w:pPr>
              <w:jc w:val="center"/>
              <w:cnfStyle w:val="000000000000" w:firstRow="0" w:lastRow="0" w:firstColumn="0" w:lastColumn="0" w:oddVBand="0" w:evenVBand="0" w:oddHBand="0" w:evenHBand="0" w:firstRowFirstColumn="0" w:firstRowLastColumn="0" w:lastRowFirstColumn="0" w:lastRowLastColumn="0"/>
            </w:pPr>
            <w:r w:rsidRPr="00FF5A97">
              <w:t>8.7%</w:t>
            </w:r>
          </w:p>
        </w:tc>
      </w:tr>
      <w:tr w:rsidR="00E7002B" w:rsidRPr="003C4AF1" w14:paraId="3A98347B" w14:textId="77777777" w:rsidTr="00125DEB">
        <w:trPr>
          <w:trHeight w:val="255"/>
          <w:jc w:val="center"/>
        </w:trPr>
        <w:tc>
          <w:tcPr>
            <w:cnfStyle w:val="001000000000" w:firstRow="0" w:lastRow="0" w:firstColumn="1" w:lastColumn="0" w:oddVBand="0" w:evenVBand="0" w:oddHBand="0" w:evenHBand="0" w:firstRowFirstColumn="0" w:firstRowLastColumn="0" w:lastRowFirstColumn="0" w:lastRowLastColumn="0"/>
            <w:tcW w:w="4001" w:type="dxa"/>
            <w:noWrap/>
          </w:tcPr>
          <w:p w14:paraId="28EFB3F3" w14:textId="0E942C74" w:rsidR="00E7002B" w:rsidRPr="000A5B95" w:rsidRDefault="00E7002B" w:rsidP="0097573C">
            <w:pPr>
              <w:jc w:val="right"/>
              <w:rPr>
                <w:b w:val="0"/>
              </w:rPr>
            </w:pPr>
            <w:r w:rsidRPr="00160640">
              <w:t xml:space="preserve">   </w:t>
            </w:r>
            <w:r w:rsidR="000A5B95">
              <w:rPr>
                <w:b w:val="0"/>
              </w:rPr>
              <w:t>Alaska</w:t>
            </w:r>
            <w:r w:rsidR="000A5B95" w:rsidRPr="000A5B95">
              <w:t xml:space="preserve"> </w:t>
            </w:r>
            <w:r w:rsidRPr="00A123CC">
              <w:rPr>
                <w:b w:val="0"/>
              </w:rPr>
              <w:t xml:space="preserve">State </w:t>
            </w:r>
            <w:r w:rsidR="00160640" w:rsidRPr="00A123CC">
              <w:rPr>
                <w:b w:val="0"/>
              </w:rPr>
              <w:t>Troopers</w:t>
            </w:r>
            <w:r w:rsidR="00160640" w:rsidRPr="000A5B95">
              <w:t xml:space="preserve"> </w:t>
            </w:r>
          </w:p>
        </w:tc>
        <w:tc>
          <w:tcPr>
            <w:tcW w:w="1584" w:type="dxa"/>
            <w:shd w:val="clear" w:color="auto" w:fill="auto"/>
            <w:noWrap/>
            <w:vAlign w:val="bottom"/>
          </w:tcPr>
          <w:p w14:paraId="0ED735D7" w14:textId="45A5A744" w:rsidR="00E7002B" w:rsidRPr="0003770C" w:rsidRDefault="00E7002B" w:rsidP="00B72BBE">
            <w:pPr>
              <w:jc w:val="center"/>
              <w:cnfStyle w:val="000000000000" w:firstRow="0" w:lastRow="0" w:firstColumn="0" w:lastColumn="0" w:oddVBand="0" w:evenVBand="0" w:oddHBand="0" w:evenHBand="0" w:firstRowFirstColumn="0" w:firstRowLastColumn="0" w:lastRowFirstColumn="0" w:lastRowLastColumn="0"/>
            </w:pPr>
            <w:r w:rsidRPr="0003770C">
              <w:t>1</w:t>
            </w:r>
          </w:p>
        </w:tc>
        <w:tc>
          <w:tcPr>
            <w:tcW w:w="3901" w:type="dxa"/>
            <w:shd w:val="clear" w:color="auto" w:fill="auto"/>
            <w:noWrap/>
            <w:vAlign w:val="bottom"/>
          </w:tcPr>
          <w:p w14:paraId="7139344C" w14:textId="37A49698" w:rsidR="00E7002B" w:rsidRPr="0003770C" w:rsidRDefault="00A538BE" w:rsidP="0093667A">
            <w:pPr>
              <w:jc w:val="center"/>
              <w:cnfStyle w:val="000000000000" w:firstRow="0" w:lastRow="0" w:firstColumn="0" w:lastColumn="0" w:oddVBand="0" w:evenVBand="0" w:oddHBand="0" w:evenHBand="0" w:firstRowFirstColumn="0" w:firstRowLastColumn="0" w:lastRowFirstColumn="0" w:lastRowLastColumn="0"/>
            </w:pPr>
            <w:r w:rsidRPr="0003770C">
              <w:t>0.3%</w:t>
            </w:r>
          </w:p>
        </w:tc>
      </w:tr>
    </w:tbl>
    <w:p w14:paraId="6E366CDB" w14:textId="0B9FFDEB" w:rsidR="00A05916" w:rsidRDefault="00A05916" w:rsidP="0022602A"/>
    <w:p w14:paraId="34F441EE" w14:textId="5105D329" w:rsidR="00B923A7" w:rsidRDefault="00B923A7" w:rsidP="0022602A"/>
    <w:p w14:paraId="08AD8BCB" w14:textId="77777777" w:rsidR="00B923A7" w:rsidRDefault="00B923A7" w:rsidP="0022602A"/>
    <w:p w14:paraId="715E3571" w14:textId="77777777" w:rsidR="00B00F46" w:rsidRDefault="00B00F46" w:rsidP="009C22B8">
      <w:pPr>
        <w:pStyle w:val="SP-SglSpPara"/>
        <w:tabs>
          <w:tab w:val="clear" w:pos="576"/>
          <w:tab w:val="left" w:pos="720"/>
        </w:tabs>
        <w:ind w:firstLine="0"/>
        <w:jc w:val="left"/>
        <w:rPr>
          <w:sz w:val="24"/>
          <w:szCs w:val="24"/>
        </w:rPr>
      </w:pPr>
    </w:p>
    <w:p w14:paraId="46351DF8" w14:textId="59D8FF95" w:rsidR="009121A1" w:rsidRDefault="001C6875" w:rsidP="00D901A8">
      <w:pPr>
        <w:pStyle w:val="ListParagraph"/>
        <w:numPr>
          <w:ilvl w:val="0"/>
          <w:numId w:val="1"/>
        </w:numPr>
        <w:ind w:left="360"/>
        <w:rPr>
          <w:b/>
          <w:u w:val="single"/>
        </w:rPr>
      </w:pPr>
      <w:r>
        <w:rPr>
          <w:b/>
          <w:u w:val="single"/>
        </w:rPr>
        <w:t xml:space="preserve">Survey Development and </w:t>
      </w:r>
      <w:r w:rsidR="009121A1" w:rsidRPr="009121A1">
        <w:rPr>
          <w:b/>
          <w:u w:val="single"/>
        </w:rPr>
        <w:t>Procedures</w:t>
      </w:r>
      <w:r w:rsidR="00C83679">
        <w:rPr>
          <w:b/>
          <w:u w:val="single"/>
        </w:rPr>
        <w:t xml:space="preserve"> </w:t>
      </w:r>
      <w:r w:rsidR="009121A1" w:rsidRPr="009121A1">
        <w:rPr>
          <w:b/>
          <w:u w:val="single"/>
        </w:rPr>
        <w:t>for</w:t>
      </w:r>
      <w:r w:rsidR="00C83679">
        <w:rPr>
          <w:b/>
          <w:u w:val="single"/>
        </w:rPr>
        <w:t xml:space="preserve"> </w:t>
      </w:r>
      <w:r w:rsidR="009121A1" w:rsidRPr="009121A1">
        <w:rPr>
          <w:b/>
          <w:u w:val="single"/>
        </w:rPr>
        <w:t>Collection</w:t>
      </w:r>
      <w:r w:rsidR="006A2499">
        <w:rPr>
          <w:b/>
          <w:u w:val="single"/>
        </w:rPr>
        <w:t xml:space="preserve"> of</w:t>
      </w:r>
      <w:r w:rsidR="00C83679">
        <w:rPr>
          <w:b/>
          <w:u w:val="single"/>
        </w:rPr>
        <w:t xml:space="preserve"> </w:t>
      </w:r>
      <w:r w:rsidR="009121A1" w:rsidRPr="009121A1">
        <w:rPr>
          <w:b/>
          <w:u w:val="single"/>
        </w:rPr>
        <w:t>Information</w:t>
      </w:r>
    </w:p>
    <w:p w14:paraId="12A6D976" w14:textId="77777777" w:rsidR="001C6875" w:rsidRPr="00E2256A" w:rsidRDefault="001C6875" w:rsidP="001C6875">
      <w:pPr>
        <w:pStyle w:val="Default"/>
        <w:ind w:left="360"/>
        <w:rPr>
          <w:rFonts w:ascii="Times New Roman" w:hAnsi="Times New Roman" w:cs="Times New Roman"/>
          <w:b/>
          <w:color w:val="auto"/>
          <w:u w:val="single"/>
        </w:rPr>
      </w:pPr>
    </w:p>
    <w:p w14:paraId="25F13074" w14:textId="3380A6C8" w:rsidR="001C6875" w:rsidRDefault="001C6875" w:rsidP="001C6875">
      <w:pPr>
        <w:rPr>
          <w:i/>
        </w:rPr>
      </w:pPr>
      <w:r>
        <w:rPr>
          <w:i/>
        </w:rPr>
        <w:t>Survey development</w:t>
      </w:r>
    </w:p>
    <w:p w14:paraId="30DC888A" w14:textId="77777777" w:rsidR="001C6875" w:rsidRPr="005E592C" w:rsidRDefault="001C6875" w:rsidP="001C6875">
      <w:pPr>
        <w:rPr>
          <w:i/>
        </w:rPr>
      </w:pPr>
    </w:p>
    <w:p w14:paraId="176EEB08" w14:textId="74C8A05D" w:rsidR="001C6875" w:rsidRDefault="001C6875" w:rsidP="001C6875">
      <w:r>
        <w:t xml:space="preserve">Given the unique nature of this data collection effort and that much of the information requested in the survey is not available from any existing source, it was necessary to develop new survey questions to collect data on topics most critical to tribes, tribal justice experts, tribal </w:t>
      </w:r>
      <w:r w:rsidR="00903FED">
        <w:t>LE</w:t>
      </w:r>
      <w:r>
        <w:t xml:space="preserve"> agencies and federal agencies. </w:t>
      </w:r>
    </w:p>
    <w:p w14:paraId="153B3DAB" w14:textId="77777777" w:rsidR="001C6875" w:rsidRDefault="001C6875" w:rsidP="001C6875"/>
    <w:p w14:paraId="1CB97F99" w14:textId="0E4281D4" w:rsidR="001C6875" w:rsidRDefault="001C6875" w:rsidP="001C6875">
      <w:r>
        <w:t xml:space="preserve">The </w:t>
      </w:r>
      <w:r w:rsidR="008C7A53">
        <w:t>initial</w:t>
      </w:r>
      <w:r>
        <w:t xml:space="preserve"> questionnaire development involved a literature review, a review of legislation, and interviews with subject matter experts. </w:t>
      </w:r>
      <w:r w:rsidRPr="006E3F14">
        <w:t xml:space="preserve">The literature review </w:t>
      </w:r>
      <w:r>
        <w:t>identified existing research on tribal law enforcement, as well as the gaps in knowledge that could be addressed through the CTLEA.</w:t>
      </w:r>
      <w:r w:rsidRPr="006E3F14">
        <w:t xml:space="preserve"> </w:t>
      </w:r>
    </w:p>
    <w:p w14:paraId="1360C615" w14:textId="77777777" w:rsidR="001C6875" w:rsidRDefault="001C6875" w:rsidP="001C6875"/>
    <w:p w14:paraId="029BE1A2" w14:textId="2174A198" w:rsidR="001C6875" w:rsidRDefault="00E31ADF" w:rsidP="001C6875">
      <w:r>
        <w:t xml:space="preserve">The CTLEA survey went through an extensive development process as described in Part A. </w:t>
      </w:r>
      <w:r w:rsidR="001C6875">
        <w:t>Once the CTLEA questions were</w:t>
      </w:r>
      <w:r w:rsidR="008C7A53">
        <w:t xml:space="preserve"> identified and</w:t>
      </w:r>
      <w:r w:rsidR="001C6875">
        <w:t xml:space="preserve"> developed, </w:t>
      </w:r>
      <w:r>
        <w:t xml:space="preserve">nine </w:t>
      </w:r>
      <w:r w:rsidR="001C6875" w:rsidRPr="0038182E">
        <w:t xml:space="preserve">eligible agencies were </w:t>
      </w:r>
      <w:r w:rsidR="001C6875">
        <w:t>selected</w:t>
      </w:r>
      <w:r w:rsidR="001C6875" w:rsidRPr="0038182E">
        <w:t xml:space="preserve"> </w:t>
      </w:r>
      <w:r w:rsidR="001C6875">
        <w:t>fo</w:t>
      </w:r>
      <w:r w:rsidR="008C7A53">
        <w:t xml:space="preserve">r </w:t>
      </w:r>
      <w:r w:rsidR="00094073">
        <w:t xml:space="preserve">a </w:t>
      </w:r>
      <w:r w:rsidR="008C7A53">
        <w:t xml:space="preserve">survey development </w:t>
      </w:r>
      <w:r w:rsidR="00A05916">
        <w:t xml:space="preserve">pilot </w:t>
      </w:r>
      <w:r w:rsidR="008C7A53">
        <w:t xml:space="preserve">test. </w:t>
      </w:r>
      <w:r w:rsidR="00A05916">
        <w:t xml:space="preserve">The goal of the survey development pilot was to obtain feedback from tribal </w:t>
      </w:r>
      <w:r w:rsidR="00903FED">
        <w:t>LE</w:t>
      </w:r>
      <w:r w:rsidR="00A05916">
        <w:t xml:space="preserve"> agencies on the survey content and burden. </w:t>
      </w:r>
      <w:r w:rsidR="001C6875">
        <w:t xml:space="preserve">Agencies were selected from a list provided </w:t>
      </w:r>
      <w:r w:rsidR="001C6875" w:rsidRPr="0038182E">
        <w:t>by members of IACP’s ICLES</w:t>
      </w:r>
      <w:r w:rsidR="001C6875">
        <w:t>.  Selection criteria was</w:t>
      </w:r>
      <w:r w:rsidR="001C6875" w:rsidRPr="0038182E">
        <w:t xml:space="preserve"> based on geographic location and the size of the population over which the agency had jurisdiction.</w:t>
      </w:r>
      <w:r w:rsidR="001C6875">
        <w:t xml:space="preserve">  Eight of the nine agencies selected </w:t>
      </w:r>
      <w:r w:rsidR="00253C85">
        <w:t xml:space="preserve">for the initial </w:t>
      </w:r>
      <w:r w:rsidR="00A05916">
        <w:t xml:space="preserve">survey development </w:t>
      </w:r>
      <w:r w:rsidR="00253C85">
        <w:t xml:space="preserve">pilot test </w:t>
      </w:r>
      <w:r w:rsidR="001C6875">
        <w:t xml:space="preserve">completed </w:t>
      </w:r>
      <w:r w:rsidR="00253C85">
        <w:t xml:space="preserve">the </w:t>
      </w:r>
      <w:r w:rsidR="001C6875">
        <w:t xml:space="preserve">survey and five agencies participated in a debriefing interview. </w:t>
      </w:r>
    </w:p>
    <w:p w14:paraId="5A81E870" w14:textId="77777777" w:rsidR="00253C85" w:rsidRDefault="00253C85" w:rsidP="001C6875"/>
    <w:p w14:paraId="75A63D5E" w14:textId="326E9DFA" w:rsidR="001C6875" w:rsidRDefault="005E229F" w:rsidP="001C6875">
      <w:r>
        <w:t>The table below</w:t>
      </w:r>
      <w:r w:rsidR="001C6875">
        <w:t xml:space="preserve"> summarizes the pilot test agenc</w:t>
      </w:r>
      <w:r w:rsidR="00A05916">
        <w:t>y</w:t>
      </w:r>
      <w:r>
        <w:t xml:space="preserve"> locations and public law 280 status (Table 2).</w:t>
      </w:r>
    </w:p>
    <w:p w14:paraId="058D35EA" w14:textId="77777777" w:rsidR="001C6875" w:rsidRDefault="001C6875" w:rsidP="001C6875">
      <w:pPr>
        <w:rPr>
          <w:b/>
          <w:i/>
        </w:rPr>
      </w:pPr>
    </w:p>
    <w:p w14:paraId="155A01BD" w14:textId="657A1DAE" w:rsidR="001C6875" w:rsidRPr="00D901A8" w:rsidRDefault="001C6875" w:rsidP="005E229F">
      <w:r w:rsidRPr="00D901A8">
        <w:t xml:space="preserve">Table </w:t>
      </w:r>
      <w:r w:rsidR="00554751">
        <w:t>2</w:t>
      </w:r>
      <w:r w:rsidRPr="00D901A8">
        <w:t>. 201</w:t>
      </w:r>
      <w:r w:rsidR="000A5B95">
        <w:t>9</w:t>
      </w:r>
      <w:r w:rsidRPr="00D901A8">
        <w:t xml:space="preserve"> CTLEA </w:t>
      </w:r>
      <w:r>
        <w:t>survey development</w:t>
      </w:r>
      <w:r w:rsidRPr="00D901A8">
        <w:t xml:space="preserve"> </w:t>
      </w:r>
      <w:r w:rsidR="00A05916">
        <w:t xml:space="preserve">pilot </w:t>
      </w:r>
      <w:r w:rsidRPr="00D901A8">
        <w:t>test sites</w:t>
      </w:r>
      <w:r w:rsidR="005E229F">
        <w:t xml:space="preserve"> </w:t>
      </w:r>
      <w:r w:rsidRPr="00D901A8">
        <w:t>2017</w:t>
      </w:r>
    </w:p>
    <w:p w14:paraId="39017E30" w14:textId="77777777" w:rsidR="001C6875" w:rsidRPr="00E638F2" w:rsidRDefault="001C6875" w:rsidP="001C6875">
      <w:pPr>
        <w:rPr>
          <w:b/>
          <w:i/>
        </w:rPr>
      </w:pPr>
    </w:p>
    <w:tbl>
      <w:tblPr>
        <w:tblStyle w:val="GridTable1Light1"/>
        <w:tblW w:w="9171" w:type="dxa"/>
        <w:jc w:val="center"/>
        <w:tblLook w:val="04A0" w:firstRow="1" w:lastRow="0" w:firstColumn="1" w:lastColumn="0" w:noHBand="0" w:noVBand="1"/>
      </w:tblPr>
      <w:tblGrid>
        <w:gridCol w:w="2514"/>
        <w:gridCol w:w="1529"/>
        <w:gridCol w:w="2174"/>
        <w:gridCol w:w="2954"/>
      </w:tblGrid>
      <w:tr w:rsidR="00094073" w:rsidRPr="0038182E" w14:paraId="7A3FF584" w14:textId="77777777" w:rsidTr="00C4608A">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0952B8B4" w14:textId="77777777" w:rsidR="00094073" w:rsidRPr="0038182E" w:rsidRDefault="00094073" w:rsidP="001C6875">
            <w:pPr>
              <w:jc w:val="center"/>
              <w:rPr>
                <w:color w:val="000000"/>
                <w:sz w:val="22"/>
                <w:szCs w:val="22"/>
              </w:rPr>
            </w:pPr>
            <w:r w:rsidRPr="0038182E">
              <w:rPr>
                <w:color w:val="000000"/>
                <w:sz w:val="22"/>
                <w:szCs w:val="22"/>
              </w:rPr>
              <w:t>Tribe/Agency</w:t>
            </w:r>
          </w:p>
        </w:tc>
        <w:tc>
          <w:tcPr>
            <w:tcW w:w="1529" w:type="dxa"/>
            <w:noWrap/>
            <w:vAlign w:val="bottom"/>
            <w:hideMark/>
          </w:tcPr>
          <w:p w14:paraId="45848CE2" w14:textId="77777777" w:rsidR="00094073" w:rsidRPr="0038182E" w:rsidRDefault="00094073" w:rsidP="001C6875">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Agency Type</w:t>
            </w:r>
          </w:p>
        </w:tc>
        <w:tc>
          <w:tcPr>
            <w:tcW w:w="2174" w:type="dxa"/>
            <w:noWrap/>
            <w:vAlign w:val="bottom"/>
            <w:hideMark/>
          </w:tcPr>
          <w:p w14:paraId="091D9C7C" w14:textId="77777777" w:rsidR="00094073" w:rsidRPr="0038182E" w:rsidRDefault="00094073" w:rsidP="001C6875">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City</w:t>
            </w:r>
          </w:p>
        </w:tc>
        <w:tc>
          <w:tcPr>
            <w:tcW w:w="2954" w:type="dxa"/>
          </w:tcPr>
          <w:p w14:paraId="5009077B" w14:textId="069E4B39" w:rsidR="00094073" w:rsidRPr="0038182E" w:rsidRDefault="00C4608A" w:rsidP="001C6875">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PL 280  Status</w:t>
            </w:r>
          </w:p>
        </w:tc>
      </w:tr>
      <w:tr w:rsidR="00094073" w:rsidRPr="0038182E" w14:paraId="5C3DEC99" w14:textId="77777777" w:rsidTr="00C4608A">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02BAB275" w14:textId="77777777" w:rsidR="00094073" w:rsidRPr="0038182E" w:rsidRDefault="00094073" w:rsidP="001C6875">
            <w:pPr>
              <w:rPr>
                <w:b w:val="0"/>
                <w:color w:val="000000"/>
                <w:sz w:val="22"/>
                <w:szCs w:val="22"/>
              </w:rPr>
            </w:pPr>
            <w:r w:rsidRPr="0038182E">
              <w:rPr>
                <w:b w:val="0"/>
                <w:color w:val="000000"/>
                <w:sz w:val="22"/>
                <w:szCs w:val="22"/>
              </w:rPr>
              <w:t>Fort McDowell Police Department</w:t>
            </w:r>
          </w:p>
        </w:tc>
        <w:tc>
          <w:tcPr>
            <w:tcW w:w="1529" w:type="dxa"/>
            <w:noWrap/>
            <w:vAlign w:val="bottom"/>
            <w:hideMark/>
          </w:tcPr>
          <w:p w14:paraId="4F5CDC63"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Tribal</w:t>
            </w:r>
          </w:p>
        </w:tc>
        <w:tc>
          <w:tcPr>
            <w:tcW w:w="2174" w:type="dxa"/>
            <w:noWrap/>
            <w:vAlign w:val="bottom"/>
            <w:hideMark/>
          </w:tcPr>
          <w:p w14:paraId="387FB06A" w14:textId="77777777" w:rsidR="00094073" w:rsidRPr="0038182E" w:rsidRDefault="00094073" w:rsidP="001C687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Fort McDowell, AZ</w:t>
            </w:r>
          </w:p>
        </w:tc>
        <w:tc>
          <w:tcPr>
            <w:tcW w:w="2954" w:type="dxa"/>
          </w:tcPr>
          <w:p w14:paraId="159F92F3"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Optional, concurrent Federal juris.</w:t>
            </w:r>
          </w:p>
        </w:tc>
      </w:tr>
      <w:tr w:rsidR="00094073" w:rsidRPr="0038182E" w14:paraId="7E619F9B" w14:textId="77777777" w:rsidTr="00C4608A">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4EAAA058" w14:textId="77777777" w:rsidR="00094073" w:rsidRPr="0038182E" w:rsidRDefault="00094073" w:rsidP="001C6875">
            <w:pPr>
              <w:rPr>
                <w:b w:val="0"/>
                <w:color w:val="000000"/>
                <w:sz w:val="22"/>
                <w:szCs w:val="22"/>
              </w:rPr>
            </w:pPr>
            <w:r w:rsidRPr="0038182E">
              <w:rPr>
                <w:b w:val="0"/>
                <w:color w:val="000000"/>
                <w:sz w:val="22"/>
                <w:szCs w:val="22"/>
              </w:rPr>
              <w:t>Sycuan Tribal Police Department</w:t>
            </w:r>
          </w:p>
        </w:tc>
        <w:tc>
          <w:tcPr>
            <w:tcW w:w="1529" w:type="dxa"/>
            <w:noWrap/>
            <w:vAlign w:val="bottom"/>
            <w:hideMark/>
          </w:tcPr>
          <w:p w14:paraId="02D625FE"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Tribal</w:t>
            </w:r>
          </w:p>
        </w:tc>
        <w:tc>
          <w:tcPr>
            <w:tcW w:w="2174" w:type="dxa"/>
            <w:noWrap/>
            <w:vAlign w:val="bottom"/>
            <w:hideMark/>
          </w:tcPr>
          <w:p w14:paraId="6C7C2277" w14:textId="77777777" w:rsidR="00094073" w:rsidRPr="0038182E" w:rsidRDefault="00094073" w:rsidP="001C687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El Cajon, CA</w:t>
            </w:r>
          </w:p>
        </w:tc>
        <w:tc>
          <w:tcPr>
            <w:tcW w:w="2954" w:type="dxa"/>
          </w:tcPr>
          <w:p w14:paraId="71431AFA"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Mandatory</w:t>
            </w:r>
          </w:p>
        </w:tc>
      </w:tr>
      <w:tr w:rsidR="00094073" w:rsidRPr="0038182E" w14:paraId="46178B11" w14:textId="77777777" w:rsidTr="00C4608A">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0234EDEE" w14:textId="77777777" w:rsidR="00094073" w:rsidRPr="0038182E" w:rsidRDefault="00094073" w:rsidP="001C6875">
            <w:pPr>
              <w:rPr>
                <w:b w:val="0"/>
                <w:color w:val="000000"/>
                <w:sz w:val="22"/>
                <w:szCs w:val="22"/>
              </w:rPr>
            </w:pPr>
            <w:r w:rsidRPr="0038182E">
              <w:rPr>
                <w:b w:val="0"/>
                <w:color w:val="000000"/>
                <w:sz w:val="22"/>
                <w:szCs w:val="22"/>
              </w:rPr>
              <w:t>Southern Ute Tribal Police Department</w:t>
            </w:r>
          </w:p>
        </w:tc>
        <w:tc>
          <w:tcPr>
            <w:tcW w:w="1529" w:type="dxa"/>
            <w:noWrap/>
            <w:vAlign w:val="bottom"/>
            <w:hideMark/>
          </w:tcPr>
          <w:p w14:paraId="4398773D"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Tribal</w:t>
            </w:r>
          </w:p>
        </w:tc>
        <w:tc>
          <w:tcPr>
            <w:tcW w:w="2174" w:type="dxa"/>
            <w:noWrap/>
            <w:vAlign w:val="bottom"/>
            <w:hideMark/>
          </w:tcPr>
          <w:p w14:paraId="4B232658" w14:textId="77777777" w:rsidR="00094073" w:rsidRPr="0038182E" w:rsidRDefault="00094073" w:rsidP="001C687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Ignacio, CO</w:t>
            </w:r>
          </w:p>
        </w:tc>
        <w:tc>
          <w:tcPr>
            <w:tcW w:w="2954" w:type="dxa"/>
          </w:tcPr>
          <w:p w14:paraId="1E82DDE1"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Non-PL 280</w:t>
            </w:r>
          </w:p>
        </w:tc>
      </w:tr>
      <w:tr w:rsidR="00094073" w:rsidRPr="0038182E" w14:paraId="0494DF22" w14:textId="77777777" w:rsidTr="00C4608A">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103EEC96" w14:textId="77777777" w:rsidR="00094073" w:rsidRPr="0038182E" w:rsidRDefault="00094073" w:rsidP="001C6875">
            <w:pPr>
              <w:rPr>
                <w:b w:val="0"/>
                <w:color w:val="000000"/>
                <w:sz w:val="22"/>
                <w:szCs w:val="22"/>
              </w:rPr>
            </w:pPr>
            <w:r w:rsidRPr="0038182E">
              <w:rPr>
                <w:b w:val="0"/>
                <w:color w:val="000000"/>
                <w:sz w:val="22"/>
                <w:szCs w:val="22"/>
              </w:rPr>
              <w:t>Leech Lake Police Department</w:t>
            </w:r>
          </w:p>
        </w:tc>
        <w:tc>
          <w:tcPr>
            <w:tcW w:w="1529" w:type="dxa"/>
            <w:noWrap/>
            <w:vAlign w:val="bottom"/>
            <w:hideMark/>
          </w:tcPr>
          <w:p w14:paraId="5906EF10"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Tribal</w:t>
            </w:r>
          </w:p>
        </w:tc>
        <w:tc>
          <w:tcPr>
            <w:tcW w:w="2174" w:type="dxa"/>
            <w:noWrap/>
            <w:vAlign w:val="bottom"/>
            <w:hideMark/>
          </w:tcPr>
          <w:p w14:paraId="7A0E17F8" w14:textId="77777777" w:rsidR="00094073" w:rsidRPr="0038182E" w:rsidRDefault="00094073" w:rsidP="001C687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Cass Lake, MN</w:t>
            </w:r>
          </w:p>
        </w:tc>
        <w:tc>
          <w:tcPr>
            <w:tcW w:w="2954" w:type="dxa"/>
          </w:tcPr>
          <w:p w14:paraId="09BA7929"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Mandatory</w:t>
            </w:r>
          </w:p>
        </w:tc>
      </w:tr>
      <w:tr w:rsidR="00094073" w:rsidRPr="0038182E" w14:paraId="3528AB7E" w14:textId="77777777" w:rsidTr="00C4608A">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5E40BC2B" w14:textId="77777777" w:rsidR="00094073" w:rsidRPr="0038182E" w:rsidRDefault="00094073" w:rsidP="001C6875">
            <w:pPr>
              <w:rPr>
                <w:b w:val="0"/>
                <w:color w:val="000000"/>
                <w:sz w:val="22"/>
                <w:szCs w:val="22"/>
              </w:rPr>
            </w:pPr>
            <w:r w:rsidRPr="0038182E">
              <w:rPr>
                <w:b w:val="0"/>
                <w:color w:val="000000"/>
                <w:sz w:val="22"/>
                <w:szCs w:val="22"/>
              </w:rPr>
              <w:t>Duckwater Tribal Police</w:t>
            </w:r>
          </w:p>
        </w:tc>
        <w:tc>
          <w:tcPr>
            <w:tcW w:w="1529" w:type="dxa"/>
            <w:noWrap/>
            <w:vAlign w:val="bottom"/>
            <w:hideMark/>
          </w:tcPr>
          <w:p w14:paraId="747FACE3"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Tribal</w:t>
            </w:r>
          </w:p>
        </w:tc>
        <w:tc>
          <w:tcPr>
            <w:tcW w:w="2174" w:type="dxa"/>
            <w:noWrap/>
            <w:vAlign w:val="bottom"/>
            <w:hideMark/>
          </w:tcPr>
          <w:p w14:paraId="6118768D" w14:textId="77777777" w:rsidR="00094073" w:rsidRPr="0038182E" w:rsidRDefault="00094073" w:rsidP="001C687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Duckwater, NV</w:t>
            </w:r>
          </w:p>
        </w:tc>
        <w:tc>
          <w:tcPr>
            <w:tcW w:w="2954" w:type="dxa"/>
          </w:tcPr>
          <w:p w14:paraId="0288E342"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Optional, concurrent Federal juris.</w:t>
            </w:r>
          </w:p>
        </w:tc>
      </w:tr>
      <w:tr w:rsidR="00094073" w:rsidRPr="0038182E" w14:paraId="28BA6852" w14:textId="77777777" w:rsidTr="00C4608A">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7447D73D" w14:textId="77777777" w:rsidR="00094073" w:rsidRPr="0038182E" w:rsidRDefault="00094073" w:rsidP="001C6875">
            <w:pPr>
              <w:rPr>
                <w:b w:val="0"/>
                <w:color w:val="000000"/>
                <w:sz w:val="22"/>
                <w:szCs w:val="22"/>
              </w:rPr>
            </w:pPr>
            <w:r w:rsidRPr="0038182E">
              <w:rPr>
                <w:b w:val="0"/>
                <w:color w:val="000000"/>
                <w:sz w:val="22"/>
                <w:szCs w:val="22"/>
              </w:rPr>
              <w:t>Lummi Nation Police Department</w:t>
            </w:r>
          </w:p>
        </w:tc>
        <w:tc>
          <w:tcPr>
            <w:tcW w:w="1529" w:type="dxa"/>
            <w:noWrap/>
            <w:vAlign w:val="bottom"/>
            <w:hideMark/>
          </w:tcPr>
          <w:p w14:paraId="03193088"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Tribal</w:t>
            </w:r>
          </w:p>
        </w:tc>
        <w:tc>
          <w:tcPr>
            <w:tcW w:w="2174" w:type="dxa"/>
            <w:noWrap/>
            <w:vAlign w:val="bottom"/>
            <w:hideMark/>
          </w:tcPr>
          <w:p w14:paraId="78677E23" w14:textId="77777777" w:rsidR="00094073" w:rsidRPr="0038182E" w:rsidRDefault="00094073" w:rsidP="001C687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Bellingham, WA</w:t>
            </w:r>
          </w:p>
        </w:tc>
        <w:tc>
          <w:tcPr>
            <w:tcW w:w="2954" w:type="dxa"/>
          </w:tcPr>
          <w:p w14:paraId="355EEF6B"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Optional, concurrent Federal juris.</w:t>
            </w:r>
          </w:p>
        </w:tc>
      </w:tr>
      <w:tr w:rsidR="00094073" w:rsidRPr="0038182E" w14:paraId="0CB099E4" w14:textId="77777777" w:rsidTr="00C4608A">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1240EB1B" w14:textId="77777777" w:rsidR="00094073" w:rsidRPr="0038182E" w:rsidRDefault="00094073" w:rsidP="001C6875">
            <w:pPr>
              <w:rPr>
                <w:b w:val="0"/>
                <w:color w:val="000000"/>
                <w:sz w:val="22"/>
                <w:szCs w:val="22"/>
              </w:rPr>
            </w:pPr>
            <w:r w:rsidRPr="0038182E">
              <w:rPr>
                <w:b w:val="0"/>
                <w:color w:val="000000"/>
                <w:sz w:val="22"/>
                <w:szCs w:val="22"/>
              </w:rPr>
              <w:t>St. Croix Tribal Police Department</w:t>
            </w:r>
          </w:p>
        </w:tc>
        <w:tc>
          <w:tcPr>
            <w:tcW w:w="1529" w:type="dxa"/>
            <w:noWrap/>
            <w:vAlign w:val="bottom"/>
            <w:hideMark/>
          </w:tcPr>
          <w:p w14:paraId="5F883210"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Tribal</w:t>
            </w:r>
          </w:p>
        </w:tc>
        <w:tc>
          <w:tcPr>
            <w:tcW w:w="2174" w:type="dxa"/>
            <w:noWrap/>
            <w:vAlign w:val="bottom"/>
            <w:hideMark/>
          </w:tcPr>
          <w:p w14:paraId="06F5860E" w14:textId="77777777" w:rsidR="00094073" w:rsidRPr="0038182E" w:rsidRDefault="00094073" w:rsidP="001C687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Webster, WI</w:t>
            </w:r>
          </w:p>
        </w:tc>
        <w:tc>
          <w:tcPr>
            <w:tcW w:w="2954" w:type="dxa"/>
          </w:tcPr>
          <w:p w14:paraId="14246C54"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Mandatory</w:t>
            </w:r>
          </w:p>
        </w:tc>
      </w:tr>
      <w:tr w:rsidR="00094073" w:rsidRPr="0038182E" w14:paraId="64116FB9" w14:textId="77777777" w:rsidTr="00C4608A">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6E0C764C" w14:textId="77777777" w:rsidR="00094073" w:rsidRPr="0038182E" w:rsidRDefault="00094073" w:rsidP="001C6875">
            <w:pPr>
              <w:rPr>
                <w:b w:val="0"/>
                <w:color w:val="000000"/>
                <w:sz w:val="22"/>
                <w:szCs w:val="22"/>
              </w:rPr>
            </w:pPr>
            <w:r w:rsidRPr="0038182E">
              <w:rPr>
                <w:b w:val="0"/>
                <w:color w:val="000000"/>
                <w:sz w:val="22"/>
                <w:szCs w:val="22"/>
              </w:rPr>
              <w:t>Northern Cheyenne Agency</w:t>
            </w:r>
          </w:p>
        </w:tc>
        <w:tc>
          <w:tcPr>
            <w:tcW w:w="1529" w:type="dxa"/>
            <w:noWrap/>
            <w:vAlign w:val="bottom"/>
            <w:hideMark/>
          </w:tcPr>
          <w:p w14:paraId="6F2343D5"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BIA</w:t>
            </w:r>
          </w:p>
        </w:tc>
        <w:tc>
          <w:tcPr>
            <w:tcW w:w="2174" w:type="dxa"/>
            <w:noWrap/>
            <w:vAlign w:val="bottom"/>
            <w:hideMark/>
          </w:tcPr>
          <w:p w14:paraId="36EE36E5" w14:textId="77777777" w:rsidR="00094073" w:rsidRPr="0038182E" w:rsidRDefault="00094073" w:rsidP="001C687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Lame Deer, MT</w:t>
            </w:r>
          </w:p>
        </w:tc>
        <w:tc>
          <w:tcPr>
            <w:tcW w:w="2954" w:type="dxa"/>
          </w:tcPr>
          <w:p w14:paraId="6BBCB40C"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Optional, concurrent Federal juris.</w:t>
            </w:r>
          </w:p>
        </w:tc>
      </w:tr>
      <w:tr w:rsidR="00094073" w:rsidRPr="0038182E" w14:paraId="2534C8FF" w14:textId="77777777" w:rsidTr="00C4608A">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0BF7EAB2" w14:textId="77777777" w:rsidR="00094073" w:rsidRPr="0038182E" w:rsidRDefault="00094073" w:rsidP="001C6875">
            <w:pPr>
              <w:rPr>
                <w:b w:val="0"/>
                <w:color w:val="000000"/>
                <w:sz w:val="22"/>
                <w:szCs w:val="22"/>
              </w:rPr>
            </w:pPr>
            <w:r w:rsidRPr="0038182E">
              <w:rPr>
                <w:b w:val="0"/>
                <w:color w:val="000000"/>
                <w:sz w:val="22"/>
                <w:szCs w:val="22"/>
              </w:rPr>
              <w:t>Mescalero Agency</w:t>
            </w:r>
          </w:p>
        </w:tc>
        <w:tc>
          <w:tcPr>
            <w:tcW w:w="1529" w:type="dxa"/>
            <w:noWrap/>
            <w:vAlign w:val="bottom"/>
            <w:hideMark/>
          </w:tcPr>
          <w:p w14:paraId="40F36403"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BIA</w:t>
            </w:r>
          </w:p>
        </w:tc>
        <w:tc>
          <w:tcPr>
            <w:tcW w:w="2174" w:type="dxa"/>
            <w:noWrap/>
            <w:vAlign w:val="bottom"/>
            <w:hideMark/>
          </w:tcPr>
          <w:p w14:paraId="5450AD84" w14:textId="77777777" w:rsidR="00094073" w:rsidRPr="0038182E" w:rsidRDefault="00094073" w:rsidP="001C6875">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Mescalero, NM</w:t>
            </w:r>
          </w:p>
        </w:tc>
        <w:tc>
          <w:tcPr>
            <w:tcW w:w="2954" w:type="dxa"/>
          </w:tcPr>
          <w:p w14:paraId="361D8668" w14:textId="77777777" w:rsidR="00094073" w:rsidRPr="0038182E" w:rsidRDefault="00094073" w:rsidP="001C687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Non-Pl 280</w:t>
            </w:r>
          </w:p>
        </w:tc>
      </w:tr>
    </w:tbl>
    <w:p w14:paraId="73BB194E" w14:textId="55B08428" w:rsidR="001C6875" w:rsidRDefault="001C6875" w:rsidP="001C6875"/>
    <w:p w14:paraId="6BC6B80C" w14:textId="09EF0212" w:rsidR="001C6875" w:rsidRDefault="001C6875" w:rsidP="001C6875">
      <w:pPr>
        <w:rPr>
          <w:i/>
        </w:rPr>
      </w:pPr>
      <w:r>
        <w:rPr>
          <w:i/>
        </w:rPr>
        <w:t>Survey development</w:t>
      </w:r>
      <w:r w:rsidRPr="00E638F2">
        <w:rPr>
          <w:i/>
        </w:rPr>
        <w:t xml:space="preserve"> </w:t>
      </w:r>
      <w:r w:rsidR="00A05916">
        <w:rPr>
          <w:i/>
        </w:rPr>
        <w:t xml:space="preserve">pilot </w:t>
      </w:r>
      <w:r w:rsidR="008C7A53">
        <w:rPr>
          <w:i/>
        </w:rPr>
        <w:t xml:space="preserve">test </w:t>
      </w:r>
      <w:r w:rsidRPr="00E638F2">
        <w:rPr>
          <w:i/>
        </w:rPr>
        <w:t>procedures</w:t>
      </w:r>
    </w:p>
    <w:p w14:paraId="418FA829" w14:textId="77777777" w:rsidR="001C6875" w:rsidRPr="00E638F2" w:rsidRDefault="001C6875" w:rsidP="001C6875">
      <w:pPr>
        <w:rPr>
          <w:i/>
        </w:rPr>
      </w:pPr>
    </w:p>
    <w:p w14:paraId="3F32F3DA" w14:textId="3E1125BC" w:rsidR="001C6875" w:rsidRDefault="001C6875" w:rsidP="001C6875">
      <w:pPr>
        <w:autoSpaceDE w:val="0"/>
        <w:autoSpaceDN w:val="0"/>
        <w:adjustRightInd w:val="0"/>
      </w:pPr>
      <w:r w:rsidRPr="005A7E98">
        <w:t>The</w:t>
      </w:r>
      <w:r w:rsidRPr="0038182E">
        <w:t xml:space="preserve"> </w:t>
      </w:r>
      <w:r>
        <w:t>survey development</w:t>
      </w:r>
      <w:r w:rsidRPr="0038182E">
        <w:t xml:space="preserve"> test</w:t>
      </w:r>
      <w:r w:rsidR="006A2499">
        <w:t xml:space="preserve"> of the pilot survey</w:t>
      </w:r>
      <w:r w:rsidRPr="0038182E">
        <w:t xml:space="preserve"> began on December 6, 2016</w:t>
      </w:r>
      <w:r>
        <w:t>,</w:t>
      </w:r>
      <w:r w:rsidRPr="0038182E">
        <w:t xml:space="preserve"> and closed on January 27, 2017. </w:t>
      </w:r>
      <w:r w:rsidR="00EB30DB">
        <w:t xml:space="preserve">At the time of the initial survey development </w:t>
      </w:r>
      <w:r w:rsidR="00FC282F">
        <w:t xml:space="preserve">pilot test, both tribal and BIA </w:t>
      </w:r>
      <w:r w:rsidR="00903FED">
        <w:t>LE</w:t>
      </w:r>
      <w:r w:rsidR="00FC282F">
        <w:t xml:space="preserve"> agencies were to be included in the CTLEA survey data collection activity.  Therefore, BIA agencies were included in the survey development pilot test and received a survey specific to BIA agencies. The survey development test served to pilot the survey questions and response choices.  It also assessed survey burden.  </w:t>
      </w:r>
      <w:r w:rsidRPr="0038182E">
        <w:t xml:space="preserve">Selected agencies were contacted by both mail and email </w:t>
      </w:r>
      <w:r w:rsidRPr="002A7B60">
        <w:t>at the start of the data collection period. Included in the correspondence was a letter from BJS</w:t>
      </w:r>
      <w:r>
        <w:t xml:space="preserve"> (</w:t>
      </w:r>
      <w:r w:rsidRPr="00130332">
        <w:rPr>
          <w:b/>
        </w:rPr>
        <w:t xml:space="preserve">Attachment </w:t>
      </w:r>
      <w:r w:rsidR="008C24DC">
        <w:rPr>
          <w:b/>
        </w:rPr>
        <w:t>20</w:t>
      </w:r>
      <w:r>
        <w:t>)</w:t>
      </w:r>
      <w:r w:rsidRPr="002A7B60">
        <w:t>, a project summary page</w:t>
      </w:r>
      <w:r>
        <w:t xml:space="preserve"> (</w:t>
      </w:r>
      <w:r w:rsidRPr="00130332">
        <w:rPr>
          <w:b/>
        </w:rPr>
        <w:t xml:space="preserve">Attachment </w:t>
      </w:r>
      <w:r w:rsidR="008C24DC">
        <w:rPr>
          <w:b/>
        </w:rPr>
        <w:t>21</w:t>
      </w:r>
      <w:r>
        <w:rPr>
          <w:b/>
        </w:rPr>
        <w:t>)</w:t>
      </w:r>
      <w:r w:rsidRPr="002A7B60">
        <w:t xml:space="preserve">, and a copy of the </w:t>
      </w:r>
      <w:r>
        <w:t xml:space="preserve">draft </w:t>
      </w:r>
      <w:r w:rsidRPr="002A7B60">
        <w:t>questionnaire appropriate for the agency type</w:t>
      </w:r>
      <w:r>
        <w:t xml:space="preserve"> (</w:t>
      </w:r>
      <w:r w:rsidRPr="00130332">
        <w:rPr>
          <w:b/>
        </w:rPr>
        <w:t xml:space="preserve">Attachments </w:t>
      </w:r>
      <w:r w:rsidR="008C24DC">
        <w:rPr>
          <w:b/>
        </w:rPr>
        <w:t>22</w:t>
      </w:r>
      <w:r w:rsidRPr="00130332">
        <w:rPr>
          <w:b/>
        </w:rPr>
        <w:t xml:space="preserve"> </w:t>
      </w:r>
      <w:r w:rsidRPr="00C34832">
        <w:t>and</w:t>
      </w:r>
      <w:r w:rsidRPr="00130332">
        <w:rPr>
          <w:b/>
        </w:rPr>
        <w:t xml:space="preserve"> </w:t>
      </w:r>
      <w:r w:rsidR="008C24DC">
        <w:rPr>
          <w:b/>
        </w:rPr>
        <w:t>23</w:t>
      </w:r>
      <w:r>
        <w:t>)</w:t>
      </w:r>
      <w:r w:rsidRPr="002A7B60">
        <w:t xml:space="preserve">. </w:t>
      </w:r>
      <w:r>
        <w:t>For those agencies that had not returned a completed survey within two weeks of the initial mailing, a follow up email was sent to each agency with an attached PDF letter from BJS (</w:t>
      </w:r>
      <w:r w:rsidRPr="00A0076E">
        <w:rPr>
          <w:b/>
        </w:rPr>
        <w:t xml:space="preserve">Attachment </w:t>
      </w:r>
      <w:r w:rsidR="008C24DC">
        <w:rPr>
          <w:b/>
        </w:rPr>
        <w:t>24</w:t>
      </w:r>
      <w:r>
        <w:t>). A replacement survey was mailed as needed with a cover letter signed by BJS (</w:t>
      </w:r>
      <w:r w:rsidRPr="00A0076E">
        <w:rPr>
          <w:b/>
        </w:rPr>
        <w:t xml:space="preserve">Attachment </w:t>
      </w:r>
      <w:r w:rsidR="008C24DC">
        <w:rPr>
          <w:b/>
        </w:rPr>
        <w:t>25</w:t>
      </w:r>
      <w:r>
        <w:rPr>
          <w:b/>
        </w:rPr>
        <w:t>).</w:t>
      </w:r>
    </w:p>
    <w:p w14:paraId="20C1CC90" w14:textId="77777777" w:rsidR="001C6875" w:rsidRDefault="001C6875" w:rsidP="001C6875">
      <w:pPr>
        <w:autoSpaceDE w:val="0"/>
        <w:autoSpaceDN w:val="0"/>
        <w:adjustRightInd w:val="0"/>
      </w:pPr>
    </w:p>
    <w:p w14:paraId="3C6CB39B" w14:textId="55ADA847" w:rsidR="000D36D5" w:rsidRDefault="009C5556" w:rsidP="007B3533">
      <w:pPr>
        <w:rPr>
          <w:i/>
        </w:rPr>
      </w:pPr>
      <w:r>
        <w:t>Based on the results of the survey development pilot test and to</w:t>
      </w:r>
      <w:r w:rsidR="001C6875">
        <w:t xml:space="preserve"> reduce the respondent burden hours and ensure high unit and item response rates with tribal </w:t>
      </w:r>
      <w:r w:rsidR="00903FED">
        <w:t>LE</w:t>
      </w:r>
      <w:r w:rsidR="001C6875">
        <w:t xml:space="preserve"> agencies, </w:t>
      </w:r>
      <w:r w:rsidR="006A2499">
        <w:t xml:space="preserve">significant </w:t>
      </w:r>
      <w:r w:rsidR="001C6875">
        <w:t xml:space="preserve">revisions were made to the tribal </w:t>
      </w:r>
      <w:r w:rsidR="00903FED">
        <w:t>LE</w:t>
      </w:r>
      <w:r w:rsidR="001C6875">
        <w:t xml:space="preserve"> agency survey </w:t>
      </w:r>
      <w:r w:rsidR="006A2499">
        <w:t xml:space="preserve">(CTLEA) </w:t>
      </w:r>
      <w:r w:rsidR="001C6875">
        <w:t xml:space="preserve">including the removal of the most burdensome questions, specifically those which asked agencies for specific types of arrest statistics and counts of incidents investigated by offense category. </w:t>
      </w:r>
      <w:r w:rsidR="000F7B14">
        <w:t xml:space="preserve">Also after the pilot test, the scope of the survey data collection was modified.  </w:t>
      </w:r>
      <w:r w:rsidR="000F7B14">
        <w:rPr>
          <w:bCs/>
        </w:rPr>
        <w:t>As</w:t>
      </w:r>
      <w:r w:rsidR="00253C85">
        <w:rPr>
          <w:bCs/>
        </w:rPr>
        <w:t xml:space="preserve"> BIA </w:t>
      </w:r>
      <w:r w:rsidR="00903FED">
        <w:rPr>
          <w:bCs/>
        </w:rPr>
        <w:t>LE</w:t>
      </w:r>
      <w:r w:rsidR="000F7B14">
        <w:rPr>
          <w:bCs/>
        </w:rPr>
        <w:t xml:space="preserve"> </w:t>
      </w:r>
      <w:r w:rsidR="00253C85">
        <w:rPr>
          <w:bCs/>
        </w:rPr>
        <w:t xml:space="preserve">agencies </w:t>
      </w:r>
      <w:r w:rsidR="000F7B14">
        <w:rPr>
          <w:bCs/>
        </w:rPr>
        <w:t xml:space="preserve">are </w:t>
      </w:r>
      <w:r w:rsidR="00253C85">
        <w:rPr>
          <w:bCs/>
        </w:rPr>
        <w:t>operated by the U.S. Department of Interior, a federal agency, they will be excluded from the CTLEA’s direct data collection</w:t>
      </w:r>
      <w:r w:rsidR="000F7B14">
        <w:rPr>
          <w:bCs/>
        </w:rPr>
        <w:t xml:space="preserve">.  Instead of collection data directly from each BIA </w:t>
      </w:r>
      <w:r w:rsidR="00903FED">
        <w:rPr>
          <w:bCs/>
        </w:rPr>
        <w:t>LE</w:t>
      </w:r>
      <w:r w:rsidR="000F7B14">
        <w:rPr>
          <w:bCs/>
        </w:rPr>
        <w:t xml:space="preserve"> agency, </w:t>
      </w:r>
      <w:r w:rsidR="00253C85">
        <w:rPr>
          <w:bCs/>
        </w:rPr>
        <w:t>BJS will work directly with the BIA to collect the required information</w:t>
      </w:r>
      <w:r w:rsidR="000F7B14">
        <w:rPr>
          <w:bCs/>
        </w:rPr>
        <w:t>.</w:t>
      </w:r>
      <w:r w:rsidR="000F7B14" w:rsidDel="000F7B14">
        <w:rPr>
          <w:bCs/>
          <w:sz w:val="22"/>
          <w:szCs w:val="22"/>
        </w:rPr>
        <w:t xml:space="preserve"> </w:t>
      </w:r>
      <w:r w:rsidR="007B3533" w:rsidRPr="007B3533">
        <w:rPr>
          <w:i/>
        </w:rPr>
        <w:t xml:space="preserve"> </w:t>
      </w:r>
    </w:p>
    <w:p w14:paraId="1290DC5D" w14:textId="77777777" w:rsidR="000D36D5" w:rsidRDefault="000D36D5" w:rsidP="007B3533">
      <w:pPr>
        <w:rPr>
          <w:i/>
        </w:rPr>
      </w:pPr>
    </w:p>
    <w:p w14:paraId="3E201BE1" w14:textId="313327F6" w:rsidR="007B3533" w:rsidRDefault="007B3533" w:rsidP="007B3533">
      <w:pPr>
        <w:rPr>
          <w:i/>
        </w:rPr>
      </w:pPr>
      <w:r>
        <w:rPr>
          <w:i/>
        </w:rPr>
        <w:t xml:space="preserve">Cognitive pilot test </w:t>
      </w:r>
      <w:r w:rsidRPr="00E638F2">
        <w:rPr>
          <w:i/>
        </w:rPr>
        <w:t>procedures</w:t>
      </w:r>
    </w:p>
    <w:p w14:paraId="57B0B468" w14:textId="77777777" w:rsidR="001C6875" w:rsidRDefault="001C6875"/>
    <w:p w14:paraId="649C5F75" w14:textId="5B0E7109" w:rsidR="005B23CB" w:rsidRPr="00CA384B" w:rsidRDefault="000F7B14" w:rsidP="005B23CB">
      <w:pPr>
        <w:rPr>
          <w:b/>
        </w:rPr>
      </w:pPr>
      <w:r>
        <w:t xml:space="preserve">With BIA agencies </w:t>
      </w:r>
      <w:r w:rsidR="00A948CD">
        <w:t>being collected separately,</w:t>
      </w:r>
      <w:r>
        <w:t xml:space="preserve"> t</w:t>
      </w:r>
      <w:r w:rsidR="00F62348">
        <w:t xml:space="preserve">here is </w:t>
      </w:r>
      <w:r w:rsidR="00673907">
        <w:t xml:space="preserve">now </w:t>
      </w:r>
      <w:r>
        <w:t>one</w:t>
      </w:r>
      <w:r w:rsidR="00F62348">
        <w:t xml:space="preserve"> CTLEA survey form</w:t>
      </w:r>
      <w:r>
        <w:t xml:space="preserve"> that will be sent to eligible tribal </w:t>
      </w:r>
      <w:r w:rsidR="00903FED">
        <w:t>LE</w:t>
      </w:r>
      <w:r>
        <w:t xml:space="preserve"> agencies </w:t>
      </w:r>
      <w:r w:rsidR="00F62348">
        <w:t>(</w:t>
      </w:r>
      <w:r w:rsidR="00F62348">
        <w:rPr>
          <w:b/>
        </w:rPr>
        <w:t xml:space="preserve">Attachment </w:t>
      </w:r>
      <w:r w:rsidR="008C24DC">
        <w:rPr>
          <w:b/>
        </w:rPr>
        <w:t>15</w:t>
      </w:r>
      <w:r w:rsidR="00F62348">
        <w:rPr>
          <w:b/>
        </w:rPr>
        <w:t xml:space="preserve">).  </w:t>
      </w:r>
      <w:r w:rsidR="000A5B95">
        <w:t xml:space="preserve">A separate survey, specific to BIA, will be circulated by BIA.  </w:t>
      </w:r>
      <w:r>
        <w:t xml:space="preserve">As extensive edits were made to the tribal </w:t>
      </w:r>
      <w:r w:rsidR="00903FED">
        <w:t>LE</w:t>
      </w:r>
      <w:r>
        <w:t xml:space="preserve"> agency survey after the survey development pilot test, it was determined that </w:t>
      </w:r>
      <w:r w:rsidR="00A948CD">
        <w:t>a cognitive</w:t>
      </w:r>
      <w:r w:rsidR="00CA384B" w:rsidRPr="00CA384B">
        <w:t xml:space="preserve"> </w:t>
      </w:r>
      <w:r>
        <w:t xml:space="preserve">pilot </w:t>
      </w:r>
      <w:r w:rsidR="00CA384B" w:rsidRPr="00CA384B">
        <w:t>test</w:t>
      </w:r>
      <w:r>
        <w:t xml:space="preserve"> would be conducted to re-assess the survey burden and question content. </w:t>
      </w:r>
      <w:r w:rsidR="007A48BA">
        <w:t xml:space="preserve"> </w:t>
      </w:r>
    </w:p>
    <w:p w14:paraId="5E06ED6F" w14:textId="77777777" w:rsidR="005B23CB" w:rsidRDefault="005B23CB" w:rsidP="005B23CB"/>
    <w:p w14:paraId="2B2D383C" w14:textId="01120D9D" w:rsidR="00A56FB3" w:rsidRDefault="005B23CB" w:rsidP="002B713E">
      <w:r w:rsidRPr="00CA384B">
        <w:rPr>
          <w:b/>
        </w:rPr>
        <w:t>CTLEA cognitive testing</w:t>
      </w:r>
      <w:r>
        <w:t xml:space="preserve">.  BJS </w:t>
      </w:r>
      <w:r w:rsidR="008E1F71">
        <w:t xml:space="preserve">conducted a </w:t>
      </w:r>
      <w:r w:rsidR="004C2FC1">
        <w:t>pilot</w:t>
      </w:r>
      <w:r>
        <w:t xml:space="preserve"> test</w:t>
      </w:r>
      <w:r w:rsidR="008E1F71">
        <w:t xml:space="preserve"> using</w:t>
      </w:r>
      <w:r>
        <w:t xml:space="preserve"> the revised CTLEA survey to perform both cognitive testing and assess the respondent burden. </w:t>
      </w:r>
      <w:r w:rsidR="00E44AE9">
        <w:t xml:space="preserve">The pilot testing was conducted under the BJS “Generic Clearance for Cognitive, Pilot and Field Studies for Bureau of Justice Statistics Data Collection Activities” (OMB Control Number </w:t>
      </w:r>
      <w:r w:rsidR="00E44AE9" w:rsidRPr="00004A34">
        <w:t>1121-0339</w:t>
      </w:r>
      <w:r w:rsidR="00E44AE9">
        <w:t xml:space="preserve">), with the request approved by OMB in May 2018 (ICR Reference Number </w:t>
      </w:r>
      <w:r w:rsidR="00E44AE9" w:rsidRPr="00995914">
        <w:t>201512-1121-004</w:t>
      </w:r>
      <w:r w:rsidR="00E44AE9">
        <w:t>).</w:t>
      </w:r>
      <w:r>
        <w:t xml:space="preserve"> </w:t>
      </w:r>
      <w:r w:rsidR="004C2FC1">
        <w:t xml:space="preserve">Twenty </w:t>
      </w:r>
      <w:r>
        <w:t xml:space="preserve">tribal </w:t>
      </w:r>
      <w:r w:rsidR="00903FED">
        <w:t>LE</w:t>
      </w:r>
      <w:r>
        <w:t xml:space="preserve"> agencies </w:t>
      </w:r>
      <w:r w:rsidR="004C2FC1">
        <w:t xml:space="preserve">were </w:t>
      </w:r>
      <w:r>
        <w:t>selected from both Public Law 280 jurisdictions and non-PL 280 areas, based on size of resident population</w:t>
      </w:r>
      <w:r w:rsidR="004C2FC1">
        <w:t>, geographic location, and PL-280 status</w:t>
      </w:r>
      <w:r w:rsidR="008E1F71">
        <w:t>.  T</w:t>
      </w:r>
      <w:r w:rsidR="004C2FC1">
        <w:t xml:space="preserve">wo additional sites </w:t>
      </w:r>
      <w:r w:rsidR="008E1F71">
        <w:t xml:space="preserve">were </w:t>
      </w:r>
      <w:r w:rsidR="004C2FC1">
        <w:t>identified as alternates</w:t>
      </w:r>
      <w:r>
        <w:t xml:space="preserve">.  </w:t>
      </w:r>
      <w:r w:rsidR="00A04C9F">
        <w:t>A break out of the agency selection criteria for the cognitive testing is</w:t>
      </w:r>
      <w:r w:rsidR="007B3533">
        <w:t xml:space="preserve"> shown</w:t>
      </w:r>
      <w:r w:rsidR="00A04C9F">
        <w:t xml:space="preserve"> in Table </w:t>
      </w:r>
      <w:r w:rsidR="00554751">
        <w:t>3</w:t>
      </w:r>
      <w:r w:rsidR="00A04C9F">
        <w:t xml:space="preserve">. </w:t>
      </w:r>
    </w:p>
    <w:p w14:paraId="4998384A" w14:textId="77777777" w:rsidR="00A538BE" w:rsidRDefault="00A538BE" w:rsidP="002B713E"/>
    <w:p w14:paraId="79C279E4" w14:textId="77777777" w:rsidR="00A538BE" w:rsidRDefault="00A538BE" w:rsidP="002B713E"/>
    <w:p w14:paraId="080BE6DB" w14:textId="77777777" w:rsidR="009A2D46" w:rsidRDefault="009A2D46">
      <w:pPr>
        <w:spacing w:after="200" w:line="276" w:lineRule="auto"/>
      </w:pPr>
      <w:r>
        <w:br w:type="page"/>
      </w:r>
    </w:p>
    <w:p w14:paraId="3D89DDBB" w14:textId="5625ED42" w:rsidR="00281542" w:rsidRPr="007F1D24" w:rsidRDefault="00A04C9F" w:rsidP="002B713E">
      <w:r>
        <w:t xml:space="preserve">Table </w:t>
      </w:r>
      <w:r w:rsidR="00554751">
        <w:t>3</w:t>
      </w:r>
      <w:r>
        <w:t xml:space="preserve">.   </w:t>
      </w:r>
      <w:r w:rsidR="007B3533">
        <w:t>C</w:t>
      </w:r>
      <w:r>
        <w:t>ognitive testing agency selection criteria</w:t>
      </w:r>
    </w:p>
    <w:tbl>
      <w:tblPr>
        <w:tblStyle w:val="GridTable1Light1"/>
        <w:tblW w:w="9350" w:type="dxa"/>
        <w:jc w:val="center"/>
        <w:tblLook w:val="04A0" w:firstRow="1" w:lastRow="0" w:firstColumn="1" w:lastColumn="0" w:noHBand="0" w:noVBand="1"/>
      </w:tblPr>
      <w:tblGrid>
        <w:gridCol w:w="2514"/>
        <w:gridCol w:w="1529"/>
        <w:gridCol w:w="1193"/>
        <w:gridCol w:w="1940"/>
        <w:gridCol w:w="2174"/>
      </w:tblGrid>
      <w:tr w:rsidR="001D13D1" w:rsidRPr="0038182E" w14:paraId="63F7D39C" w14:textId="77777777" w:rsidTr="001D13D1">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hideMark/>
          </w:tcPr>
          <w:p w14:paraId="41C15D83" w14:textId="77777777" w:rsidR="001D13D1" w:rsidRPr="0038182E" w:rsidRDefault="001D13D1" w:rsidP="001D13D1">
            <w:pPr>
              <w:jc w:val="center"/>
              <w:rPr>
                <w:color w:val="000000"/>
                <w:sz w:val="22"/>
                <w:szCs w:val="22"/>
              </w:rPr>
            </w:pPr>
            <w:r w:rsidRPr="0038182E">
              <w:rPr>
                <w:color w:val="000000"/>
                <w:sz w:val="22"/>
                <w:szCs w:val="22"/>
              </w:rPr>
              <w:t>Tribe/Agency</w:t>
            </w:r>
          </w:p>
        </w:tc>
        <w:tc>
          <w:tcPr>
            <w:tcW w:w="1529" w:type="dxa"/>
            <w:noWrap/>
            <w:vAlign w:val="bottom"/>
            <w:hideMark/>
          </w:tcPr>
          <w:p w14:paraId="322D50F1" w14:textId="7EFD4FAE" w:rsidR="001D13D1" w:rsidRPr="0038182E" w:rsidRDefault="001D13D1" w:rsidP="001D13D1">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Geographic Region</w:t>
            </w:r>
          </w:p>
        </w:tc>
        <w:tc>
          <w:tcPr>
            <w:tcW w:w="1193" w:type="dxa"/>
          </w:tcPr>
          <w:p w14:paraId="1B8533C0" w14:textId="235BDA4F" w:rsidR="001D13D1" w:rsidRPr="0038182E" w:rsidRDefault="001D13D1" w:rsidP="001D13D1">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Size</w:t>
            </w:r>
          </w:p>
        </w:tc>
        <w:tc>
          <w:tcPr>
            <w:tcW w:w="1940" w:type="dxa"/>
          </w:tcPr>
          <w:p w14:paraId="7AD572D0" w14:textId="14AE7487" w:rsidR="001D13D1" w:rsidRPr="0038182E" w:rsidRDefault="001D13D1" w:rsidP="001D13D1">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PL 280  Status</w:t>
            </w:r>
          </w:p>
        </w:tc>
        <w:tc>
          <w:tcPr>
            <w:tcW w:w="2174" w:type="dxa"/>
            <w:noWrap/>
            <w:vAlign w:val="bottom"/>
            <w:hideMark/>
          </w:tcPr>
          <w:p w14:paraId="0F870C0A" w14:textId="0241E228" w:rsidR="001D13D1" w:rsidRPr="0038182E" w:rsidRDefault="001D13D1" w:rsidP="001D13D1">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38182E">
              <w:rPr>
                <w:color w:val="000000"/>
                <w:sz w:val="22"/>
                <w:szCs w:val="22"/>
              </w:rPr>
              <w:t>City</w:t>
            </w:r>
          </w:p>
        </w:tc>
      </w:tr>
      <w:tr w:rsidR="009A2D46" w:rsidRPr="0038182E" w14:paraId="4C464279"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2F1785D8" w14:textId="60521192" w:rsidR="009A2D46" w:rsidRPr="001D13D1" w:rsidRDefault="009A2D46" w:rsidP="009A2D46">
            <w:pPr>
              <w:rPr>
                <w:b w:val="0"/>
                <w:color w:val="000000"/>
                <w:sz w:val="22"/>
                <w:szCs w:val="22"/>
              </w:rPr>
            </w:pPr>
            <w:r w:rsidRPr="001D13D1">
              <w:rPr>
                <w:b w:val="0"/>
                <w:color w:val="000000"/>
                <w:sz w:val="22"/>
                <w:szCs w:val="22"/>
              </w:rPr>
              <w:t xml:space="preserve">Coquille Tribal Police Department  </w:t>
            </w:r>
          </w:p>
        </w:tc>
        <w:tc>
          <w:tcPr>
            <w:tcW w:w="1529" w:type="dxa"/>
            <w:noWrap/>
            <w:vAlign w:val="center"/>
          </w:tcPr>
          <w:p w14:paraId="347671C8" w14:textId="53C0CED7"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West</w:t>
            </w:r>
          </w:p>
        </w:tc>
        <w:tc>
          <w:tcPr>
            <w:tcW w:w="1193" w:type="dxa"/>
            <w:vAlign w:val="center"/>
          </w:tcPr>
          <w:p w14:paraId="220D6F16" w14:textId="15D2C7DE"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Small</w:t>
            </w:r>
          </w:p>
        </w:tc>
        <w:tc>
          <w:tcPr>
            <w:tcW w:w="1940" w:type="dxa"/>
            <w:vAlign w:val="center"/>
          </w:tcPr>
          <w:p w14:paraId="1EAB82B1" w14:textId="076A1C4B"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PL-280</w:t>
            </w:r>
          </w:p>
        </w:tc>
        <w:tc>
          <w:tcPr>
            <w:tcW w:w="2174" w:type="dxa"/>
            <w:noWrap/>
            <w:vAlign w:val="center"/>
          </w:tcPr>
          <w:p w14:paraId="3EF7D5FB" w14:textId="16CF9A5F"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North Bend, OR</w:t>
            </w:r>
          </w:p>
        </w:tc>
      </w:tr>
      <w:tr w:rsidR="009A2D46" w:rsidRPr="0038182E" w14:paraId="7FDD855A"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tcPr>
          <w:p w14:paraId="5BF6EABD" w14:textId="4778F990" w:rsidR="009A2D46" w:rsidRPr="001D13D1" w:rsidRDefault="009A2D46" w:rsidP="009A2D46">
            <w:pPr>
              <w:rPr>
                <w:b w:val="0"/>
                <w:color w:val="000000"/>
                <w:sz w:val="22"/>
                <w:szCs w:val="22"/>
              </w:rPr>
            </w:pPr>
            <w:r w:rsidRPr="001D13D1">
              <w:rPr>
                <w:b w:val="0"/>
                <w:color w:val="000000"/>
                <w:sz w:val="22"/>
                <w:szCs w:val="22"/>
              </w:rPr>
              <w:t>Cahto Tribal Police Department</w:t>
            </w:r>
          </w:p>
        </w:tc>
        <w:tc>
          <w:tcPr>
            <w:tcW w:w="1529" w:type="dxa"/>
            <w:noWrap/>
            <w:vAlign w:val="center"/>
          </w:tcPr>
          <w:p w14:paraId="2A983ACA" w14:textId="26CBF0CA"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West</w:t>
            </w:r>
          </w:p>
        </w:tc>
        <w:tc>
          <w:tcPr>
            <w:tcW w:w="1193" w:type="dxa"/>
            <w:vAlign w:val="center"/>
          </w:tcPr>
          <w:p w14:paraId="4C132B8E" w14:textId="06B30C27"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Small</w:t>
            </w:r>
          </w:p>
        </w:tc>
        <w:tc>
          <w:tcPr>
            <w:tcW w:w="1940" w:type="dxa"/>
            <w:vAlign w:val="center"/>
          </w:tcPr>
          <w:p w14:paraId="7F5AAA3E" w14:textId="7F0AA25B"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PL-280</w:t>
            </w:r>
          </w:p>
        </w:tc>
        <w:tc>
          <w:tcPr>
            <w:tcW w:w="2174" w:type="dxa"/>
            <w:noWrap/>
            <w:vAlign w:val="center"/>
          </w:tcPr>
          <w:p w14:paraId="2D1420F7" w14:textId="3561DB78"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Laytonville, CA</w:t>
            </w:r>
          </w:p>
        </w:tc>
      </w:tr>
      <w:tr w:rsidR="009A2D46" w:rsidRPr="0038182E" w14:paraId="4B31898F"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5691F403" w14:textId="070AD5E5" w:rsidR="009A2D46" w:rsidRPr="001D13D1" w:rsidRDefault="009A2D46" w:rsidP="009A2D46">
            <w:pPr>
              <w:rPr>
                <w:b w:val="0"/>
                <w:color w:val="000000"/>
                <w:sz w:val="22"/>
                <w:szCs w:val="22"/>
              </w:rPr>
            </w:pPr>
            <w:r w:rsidRPr="001D13D1">
              <w:rPr>
                <w:b w:val="0"/>
                <w:color w:val="000000"/>
                <w:sz w:val="22"/>
                <w:szCs w:val="22"/>
              </w:rPr>
              <w:t>Prairie Island Tribal Police Department</w:t>
            </w:r>
          </w:p>
        </w:tc>
        <w:tc>
          <w:tcPr>
            <w:tcW w:w="1529" w:type="dxa"/>
            <w:noWrap/>
            <w:vAlign w:val="center"/>
          </w:tcPr>
          <w:p w14:paraId="384AEE75" w14:textId="78E13153"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North</w:t>
            </w:r>
          </w:p>
        </w:tc>
        <w:tc>
          <w:tcPr>
            <w:tcW w:w="1193" w:type="dxa"/>
            <w:vAlign w:val="center"/>
          </w:tcPr>
          <w:p w14:paraId="7C5D7C7A" w14:textId="1DE5F01D"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Small</w:t>
            </w:r>
          </w:p>
        </w:tc>
        <w:tc>
          <w:tcPr>
            <w:tcW w:w="1940" w:type="dxa"/>
            <w:vAlign w:val="center"/>
          </w:tcPr>
          <w:p w14:paraId="03D839F1" w14:textId="61D5A877"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PL-280</w:t>
            </w:r>
          </w:p>
        </w:tc>
        <w:tc>
          <w:tcPr>
            <w:tcW w:w="2174" w:type="dxa"/>
            <w:noWrap/>
            <w:vAlign w:val="center"/>
          </w:tcPr>
          <w:p w14:paraId="2DAAD067" w14:textId="062D63D6"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Welch, MN</w:t>
            </w:r>
          </w:p>
        </w:tc>
      </w:tr>
      <w:tr w:rsidR="009A2D46" w:rsidRPr="0038182E" w14:paraId="3EECFA52"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01397AC8" w14:textId="45BC57BB" w:rsidR="009A2D46" w:rsidRPr="001D13D1" w:rsidRDefault="009A2D46" w:rsidP="009A2D46">
            <w:pPr>
              <w:rPr>
                <w:b w:val="0"/>
                <w:color w:val="000000"/>
                <w:sz w:val="22"/>
                <w:szCs w:val="22"/>
              </w:rPr>
            </w:pPr>
            <w:r w:rsidRPr="001D13D1">
              <w:rPr>
                <w:b w:val="0"/>
                <w:color w:val="000000"/>
                <w:sz w:val="22"/>
                <w:szCs w:val="22"/>
              </w:rPr>
              <w:t>Lac Du Flambeau Police Department</w:t>
            </w:r>
          </w:p>
        </w:tc>
        <w:tc>
          <w:tcPr>
            <w:tcW w:w="1529" w:type="dxa"/>
            <w:noWrap/>
            <w:vAlign w:val="center"/>
          </w:tcPr>
          <w:p w14:paraId="1527ED34" w14:textId="722E22FA"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North</w:t>
            </w:r>
          </w:p>
        </w:tc>
        <w:tc>
          <w:tcPr>
            <w:tcW w:w="1193" w:type="dxa"/>
            <w:vAlign w:val="center"/>
          </w:tcPr>
          <w:p w14:paraId="45DBC48D" w14:textId="19394801"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Medium</w:t>
            </w:r>
          </w:p>
        </w:tc>
        <w:tc>
          <w:tcPr>
            <w:tcW w:w="1940" w:type="dxa"/>
            <w:vAlign w:val="center"/>
          </w:tcPr>
          <w:p w14:paraId="67593B58" w14:textId="18AE269B"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PL-280</w:t>
            </w:r>
          </w:p>
        </w:tc>
        <w:tc>
          <w:tcPr>
            <w:tcW w:w="2174" w:type="dxa"/>
            <w:noWrap/>
            <w:vAlign w:val="center"/>
          </w:tcPr>
          <w:p w14:paraId="37C398C0" w14:textId="165BC909"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Lac Du Flambeau, WI</w:t>
            </w:r>
          </w:p>
        </w:tc>
      </w:tr>
      <w:tr w:rsidR="009A2D46" w:rsidRPr="0038182E" w14:paraId="0AEFFEF8"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743E0852" w14:textId="657E7AD8" w:rsidR="009A2D46" w:rsidRPr="001D13D1" w:rsidRDefault="009A2D46" w:rsidP="009A2D46">
            <w:pPr>
              <w:rPr>
                <w:b w:val="0"/>
                <w:color w:val="000000"/>
                <w:sz w:val="22"/>
                <w:szCs w:val="22"/>
              </w:rPr>
            </w:pPr>
            <w:r w:rsidRPr="001D13D1">
              <w:rPr>
                <w:b w:val="0"/>
                <w:color w:val="000000"/>
                <w:sz w:val="22"/>
                <w:szCs w:val="22"/>
              </w:rPr>
              <w:t>Hoopa Valley Tribal Police Department</w:t>
            </w:r>
          </w:p>
        </w:tc>
        <w:tc>
          <w:tcPr>
            <w:tcW w:w="1529" w:type="dxa"/>
            <w:noWrap/>
            <w:vAlign w:val="center"/>
          </w:tcPr>
          <w:p w14:paraId="0AD22256" w14:textId="6F00CB53"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West</w:t>
            </w:r>
          </w:p>
        </w:tc>
        <w:tc>
          <w:tcPr>
            <w:tcW w:w="1193" w:type="dxa"/>
            <w:vAlign w:val="center"/>
          </w:tcPr>
          <w:p w14:paraId="5629B326" w14:textId="458BFC12"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Medium</w:t>
            </w:r>
          </w:p>
        </w:tc>
        <w:tc>
          <w:tcPr>
            <w:tcW w:w="1940" w:type="dxa"/>
            <w:vAlign w:val="center"/>
          </w:tcPr>
          <w:p w14:paraId="5EC8AA03" w14:textId="524922B2"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PL-280</w:t>
            </w:r>
          </w:p>
        </w:tc>
        <w:tc>
          <w:tcPr>
            <w:tcW w:w="2174" w:type="dxa"/>
            <w:noWrap/>
            <w:vAlign w:val="center"/>
          </w:tcPr>
          <w:p w14:paraId="3A7BEA20" w14:textId="5A3C0BE6"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Hoopa, CA</w:t>
            </w:r>
          </w:p>
        </w:tc>
      </w:tr>
      <w:tr w:rsidR="009A2D46" w:rsidRPr="0038182E" w14:paraId="2330637D"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6C004357" w14:textId="403BAF79" w:rsidR="009A2D46" w:rsidRPr="001D13D1" w:rsidRDefault="009A2D46" w:rsidP="009A2D46">
            <w:pPr>
              <w:rPr>
                <w:b w:val="0"/>
                <w:color w:val="000000"/>
                <w:sz w:val="22"/>
                <w:szCs w:val="22"/>
              </w:rPr>
            </w:pPr>
            <w:r w:rsidRPr="001D13D1">
              <w:rPr>
                <w:b w:val="0"/>
                <w:color w:val="000000"/>
                <w:sz w:val="22"/>
                <w:szCs w:val="22"/>
              </w:rPr>
              <w:t>Fond Du Lac Police Department</w:t>
            </w:r>
          </w:p>
        </w:tc>
        <w:tc>
          <w:tcPr>
            <w:tcW w:w="1529" w:type="dxa"/>
            <w:noWrap/>
            <w:vAlign w:val="center"/>
          </w:tcPr>
          <w:p w14:paraId="612449E1" w14:textId="0C852EC2"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North</w:t>
            </w:r>
          </w:p>
        </w:tc>
        <w:tc>
          <w:tcPr>
            <w:tcW w:w="1193" w:type="dxa"/>
            <w:vAlign w:val="center"/>
          </w:tcPr>
          <w:p w14:paraId="2F79A954" w14:textId="265210BD"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Medium</w:t>
            </w:r>
          </w:p>
        </w:tc>
        <w:tc>
          <w:tcPr>
            <w:tcW w:w="1940" w:type="dxa"/>
            <w:vAlign w:val="center"/>
          </w:tcPr>
          <w:p w14:paraId="5181996E" w14:textId="76E4998F"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PL-280</w:t>
            </w:r>
          </w:p>
        </w:tc>
        <w:tc>
          <w:tcPr>
            <w:tcW w:w="2174" w:type="dxa"/>
            <w:noWrap/>
            <w:vAlign w:val="center"/>
          </w:tcPr>
          <w:p w14:paraId="48331E85" w14:textId="4CA16825"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Cloquet, MN</w:t>
            </w:r>
          </w:p>
        </w:tc>
      </w:tr>
      <w:tr w:rsidR="009A2D46" w:rsidRPr="0038182E" w14:paraId="3F23E42C"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233724C4" w14:textId="4CC78A3A" w:rsidR="009A2D46" w:rsidRPr="001D13D1" w:rsidRDefault="009A2D46" w:rsidP="009A2D46">
            <w:pPr>
              <w:rPr>
                <w:b w:val="0"/>
                <w:color w:val="000000"/>
                <w:sz w:val="22"/>
                <w:szCs w:val="22"/>
              </w:rPr>
            </w:pPr>
            <w:r w:rsidRPr="001D13D1">
              <w:rPr>
                <w:b w:val="0"/>
                <w:color w:val="000000"/>
                <w:sz w:val="22"/>
                <w:szCs w:val="22"/>
              </w:rPr>
              <w:t>Lac Courte Oreilles Police Department</w:t>
            </w:r>
          </w:p>
        </w:tc>
        <w:tc>
          <w:tcPr>
            <w:tcW w:w="1529" w:type="dxa"/>
            <w:noWrap/>
            <w:vAlign w:val="center"/>
          </w:tcPr>
          <w:p w14:paraId="158A40FB" w14:textId="6C5F88D6"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North</w:t>
            </w:r>
          </w:p>
        </w:tc>
        <w:tc>
          <w:tcPr>
            <w:tcW w:w="1193" w:type="dxa"/>
            <w:vAlign w:val="center"/>
          </w:tcPr>
          <w:p w14:paraId="6803C415" w14:textId="3558E01A"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Medium</w:t>
            </w:r>
          </w:p>
        </w:tc>
        <w:tc>
          <w:tcPr>
            <w:tcW w:w="1940" w:type="dxa"/>
            <w:vAlign w:val="center"/>
          </w:tcPr>
          <w:p w14:paraId="25DC4CFB" w14:textId="0EA0F044"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PL-280</w:t>
            </w:r>
          </w:p>
        </w:tc>
        <w:tc>
          <w:tcPr>
            <w:tcW w:w="2174" w:type="dxa"/>
            <w:noWrap/>
            <w:vAlign w:val="center"/>
          </w:tcPr>
          <w:p w14:paraId="73EBA57D" w14:textId="67253B5D"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Hayward, WI</w:t>
            </w:r>
          </w:p>
        </w:tc>
      </w:tr>
      <w:tr w:rsidR="009A2D46" w:rsidRPr="0038182E" w14:paraId="359CEEDE"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766CFAE4" w14:textId="1E0EA1AC" w:rsidR="009A2D46" w:rsidRPr="001D13D1" w:rsidRDefault="009A2D46" w:rsidP="009A2D46">
            <w:pPr>
              <w:rPr>
                <w:b w:val="0"/>
                <w:color w:val="000000"/>
                <w:sz w:val="22"/>
                <w:szCs w:val="22"/>
              </w:rPr>
            </w:pPr>
            <w:r w:rsidRPr="001D13D1">
              <w:rPr>
                <w:b w:val="0"/>
                <w:color w:val="000000"/>
                <w:sz w:val="22"/>
                <w:szCs w:val="22"/>
              </w:rPr>
              <w:t>Oneida Police Department</w:t>
            </w:r>
          </w:p>
        </w:tc>
        <w:tc>
          <w:tcPr>
            <w:tcW w:w="1529" w:type="dxa"/>
            <w:noWrap/>
            <w:vAlign w:val="center"/>
          </w:tcPr>
          <w:p w14:paraId="4DE1E281" w14:textId="28117B12"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North</w:t>
            </w:r>
          </w:p>
        </w:tc>
        <w:tc>
          <w:tcPr>
            <w:tcW w:w="1193" w:type="dxa"/>
            <w:vAlign w:val="center"/>
          </w:tcPr>
          <w:p w14:paraId="03AFB7E0" w14:textId="6796D45A"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Large</w:t>
            </w:r>
          </w:p>
        </w:tc>
        <w:tc>
          <w:tcPr>
            <w:tcW w:w="1940" w:type="dxa"/>
            <w:vAlign w:val="center"/>
          </w:tcPr>
          <w:p w14:paraId="06F65A58" w14:textId="54A2107E"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PL-280</w:t>
            </w:r>
          </w:p>
        </w:tc>
        <w:tc>
          <w:tcPr>
            <w:tcW w:w="2174" w:type="dxa"/>
            <w:noWrap/>
            <w:vAlign w:val="center"/>
          </w:tcPr>
          <w:p w14:paraId="6DBB5B6F" w14:textId="1A635C84"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Oneida, WI</w:t>
            </w:r>
          </w:p>
        </w:tc>
      </w:tr>
      <w:tr w:rsidR="009A2D46" w:rsidRPr="0038182E" w14:paraId="0986FB18"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210B8EF3" w14:textId="325D0BB7" w:rsidR="009A2D46" w:rsidRPr="001D13D1" w:rsidRDefault="009A2D46" w:rsidP="009A2D46">
            <w:pPr>
              <w:rPr>
                <w:b w:val="0"/>
                <w:color w:val="000000"/>
                <w:sz w:val="22"/>
                <w:szCs w:val="22"/>
              </w:rPr>
            </w:pPr>
            <w:r w:rsidRPr="001D13D1">
              <w:rPr>
                <w:b w:val="0"/>
                <w:color w:val="000000"/>
                <w:sz w:val="22"/>
                <w:szCs w:val="22"/>
              </w:rPr>
              <w:t>Chickaloon Tribal Justice Law Enforcement Department</w:t>
            </w:r>
          </w:p>
        </w:tc>
        <w:tc>
          <w:tcPr>
            <w:tcW w:w="1529" w:type="dxa"/>
            <w:noWrap/>
            <w:vAlign w:val="center"/>
          </w:tcPr>
          <w:p w14:paraId="5377C73C" w14:textId="41AB28CC"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North</w:t>
            </w:r>
          </w:p>
        </w:tc>
        <w:tc>
          <w:tcPr>
            <w:tcW w:w="1193" w:type="dxa"/>
            <w:vAlign w:val="center"/>
          </w:tcPr>
          <w:p w14:paraId="00232B83" w14:textId="2D457784"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Large</w:t>
            </w:r>
          </w:p>
        </w:tc>
        <w:tc>
          <w:tcPr>
            <w:tcW w:w="1940" w:type="dxa"/>
            <w:vAlign w:val="center"/>
          </w:tcPr>
          <w:p w14:paraId="4B662D72" w14:textId="0D73829D"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PL-280</w:t>
            </w:r>
          </w:p>
        </w:tc>
        <w:tc>
          <w:tcPr>
            <w:tcW w:w="2174" w:type="dxa"/>
            <w:noWrap/>
            <w:vAlign w:val="center"/>
          </w:tcPr>
          <w:p w14:paraId="35232329" w14:textId="70E105D9"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Chickaloon, AK</w:t>
            </w:r>
          </w:p>
        </w:tc>
      </w:tr>
      <w:tr w:rsidR="009A2D46" w:rsidRPr="0038182E" w14:paraId="2A915ADF"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5A3BB564" w14:textId="36974937" w:rsidR="009A2D46" w:rsidRPr="001D13D1" w:rsidRDefault="009A2D46" w:rsidP="009A2D46">
            <w:pPr>
              <w:rPr>
                <w:b w:val="0"/>
                <w:color w:val="000000"/>
                <w:sz w:val="22"/>
                <w:szCs w:val="22"/>
              </w:rPr>
            </w:pPr>
            <w:r w:rsidRPr="001D13D1">
              <w:rPr>
                <w:b w:val="0"/>
                <w:color w:val="000000"/>
                <w:sz w:val="22"/>
                <w:szCs w:val="22"/>
              </w:rPr>
              <w:t xml:space="preserve">Penobscot Nation Police Department </w:t>
            </w:r>
          </w:p>
        </w:tc>
        <w:tc>
          <w:tcPr>
            <w:tcW w:w="1529" w:type="dxa"/>
            <w:noWrap/>
            <w:vAlign w:val="center"/>
          </w:tcPr>
          <w:p w14:paraId="3FAA9286" w14:textId="5E48E9FB"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East</w:t>
            </w:r>
          </w:p>
        </w:tc>
        <w:tc>
          <w:tcPr>
            <w:tcW w:w="1193" w:type="dxa"/>
            <w:vAlign w:val="center"/>
          </w:tcPr>
          <w:p w14:paraId="67CE189C" w14:textId="205D7390"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Small</w:t>
            </w:r>
          </w:p>
        </w:tc>
        <w:tc>
          <w:tcPr>
            <w:tcW w:w="1940" w:type="dxa"/>
            <w:vAlign w:val="center"/>
          </w:tcPr>
          <w:p w14:paraId="1B13C099" w14:textId="23666F91"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Non-PL-280</w:t>
            </w:r>
          </w:p>
        </w:tc>
        <w:tc>
          <w:tcPr>
            <w:tcW w:w="2174" w:type="dxa"/>
            <w:noWrap/>
            <w:vAlign w:val="center"/>
          </w:tcPr>
          <w:p w14:paraId="0DC3E651" w14:textId="03AA4421"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Indian Island, ME</w:t>
            </w:r>
          </w:p>
        </w:tc>
      </w:tr>
      <w:tr w:rsidR="009A2D46" w:rsidRPr="0038182E" w14:paraId="389308A6"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44537727" w14:textId="64E0A5BC" w:rsidR="009A2D46" w:rsidRPr="001D13D1" w:rsidRDefault="009A2D46" w:rsidP="009A2D46">
            <w:pPr>
              <w:rPr>
                <w:b w:val="0"/>
                <w:color w:val="000000"/>
                <w:sz w:val="22"/>
                <w:szCs w:val="22"/>
              </w:rPr>
            </w:pPr>
            <w:r w:rsidRPr="001D13D1">
              <w:rPr>
                <w:b w:val="0"/>
                <w:color w:val="000000"/>
                <w:sz w:val="22"/>
                <w:szCs w:val="22"/>
              </w:rPr>
              <w:t>Chitimacha Tribal Police Department</w:t>
            </w:r>
          </w:p>
        </w:tc>
        <w:tc>
          <w:tcPr>
            <w:tcW w:w="1529" w:type="dxa"/>
            <w:noWrap/>
            <w:vAlign w:val="center"/>
          </w:tcPr>
          <w:p w14:paraId="510EE6F0" w14:textId="2E453427"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South</w:t>
            </w:r>
          </w:p>
        </w:tc>
        <w:tc>
          <w:tcPr>
            <w:tcW w:w="1193" w:type="dxa"/>
            <w:vAlign w:val="center"/>
          </w:tcPr>
          <w:p w14:paraId="69FB0B6A" w14:textId="3C27203F"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Small</w:t>
            </w:r>
          </w:p>
        </w:tc>
        <w:tc>
          <w:tcPr>
            <w:tcW w:w="1940" w:type="dxa"/>
            <w:vAlign w:val="center"/>
          </w:tcPr>
          <w:p w14:paraId="5C4FDE45" w14:textId="1F1948B9"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Non-PL-280</w:t>
            </w:r>
          </w:p>
        </w:tc>
        <w:tc>
          <w:tcPr>
            <w:tcW w:w="2174" w:type="dxa"/>
            <w:noWrap/>
            <w:vAlign w:val="center"/>
          </w:tcPr>
          <w:p w14:paraId="43BE78E0" w14:textId="360467DA"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Charenton, LA</w:t>
            </w:r>
          </w:p>
        </w:tc>
      </w:tr>
      <w:tr w:rsidR="009A2D46" w:rsidRPr="0038182E" w14:paraId="225DCCC0"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5C4FC5F9" w14:textId="19430693" w:rsidR="009A2D46" w:rsidRPr="001D13D1" w:rsidRDefault="009A2D46" w:rsidP="009A2D46">
            <w:pPr>
              <w:rPr>
                <w:b w:val="0"/>
                <w:color w:val="000000"/>
                <w:sz w:val="22"/>
                <w:szCs w:val="22"/>
              </w:rPr>
            </w:pPr>
            <w:r w:rsidRPr="001D13D1">
              <w:rPr>
                <w:b w:val="0"/>
                <w:color w:val="000000"/>
                <w:sz w:val="22"/>
                <w:szCs w:val="22"/>
              </w:rPr>
              <w:t>Laguna Tribal Police Department</w:t>
            </w:r>
          </w:p>
        </w:tc>
        <w:tc>
          <w:tcPr>
            <w:tcW w:w="1529" w:type="dxa"/>
            <w:noWrap/>
            <w:vAlign w:val="center"/>
          </w:tcPr>
          <w:p w14:paraId="7B6ABE97" w14:textId="2FEE7A36"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West</w:t>
            </w:r>
          </w:p>
        </w:tc>
        <w:tc>
          <w:tcPr>
            <w:tcW w:w="1193" w:type="dxa"/>
            <w:vAlign w:val="center"/>
          </w:tcPr>
          <w:p w14:paraId="7B9E8C23" w14:textId="440CEEEC"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Small</w:t>
            </w:r>
          </w:p>
        </w:tc>
        <w:tc>
          <w:tcPr>
            <w:tcW w:w="1940" w:type="dxa"/>
            <w:vAlign w:val="center"/>
          </w:tcPr>
          <w:p w14:paraId="78BBC3EA" w14:textId="28079DD3"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Non-PL-280</w:t>
            </w:r>
          </w:p>
        </w:tc>
        <w:tc>
          <w:tcPr>
            <w:tcW w:w="2174" w:type="dxa"/>
            <w:noWrap/>
            <w:vAlign w:val="center"/>
          </w:tcPr>
          <w:p w14:paraId="491E9E97" w14:textId="6210E312"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Laguna, NM</w:t>
            </w:r>
          </w:p>
        </w:tc>
      </w:tr>
      <w:tr w:rsidR="009A2D46" w:rsidRPr="0038182E" w14:paraId="5FE5BE24"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11BFAEA3" w14:textId="3B5FF0BF" w:rsidR="009A2D46" w:rsidRPr="001D13D1" w:rsidRDefault="009A2D46" w:rsidP="009A2D46">
            <w:pPr>
              <w:rPr>
                <w:b w:val="0"/>
                <w:color w:val="000000"/>
                <w:sz w:val="22"/>
                <w:szCs w:val="22"/>
              </w:rPr>
            </w:pPr>
            <w:r w:rsidRPr="001D13D1">
              <w:rPr>
                <w:b w:val="0"/>
                <w:color w:val="000000"/>
                <w:sz w:val="22"/>
                <w:szCs w:val="22"/>
              </w:rPr>
              <w:t xml:space="preserve">Zuni Tribal Police Department </w:t>
            </w:r>
          </w:p>
        </w:tc>
        <w:tc>
          <w:tcPr>
            <w:tcW w:w="1529" w:type="dxa"/>
            <w:noWrap/>
            <w:vAlign w:val="center"/>
          </w:tcPr>
          <w:p w14:paraId="019B678E" w14:textId="6AD32C60"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West</w:t>
            </w:r>
          </w:p>
        </w:tc>
        <w:tc>
          <w:tcPr>
            <w:tcW w:w="1193" w:type="dxa"/>
            <w:vAlign w:val="center"/>
          </w:tcPr>
          <w:p w14:paraId="36A8BD72" w14:textId="0B80EEA2"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Medium</w:t>
            </w:r>
          </w:p>
        </w:tc>
        <w:tc>
          <w:tcPr>
            <w:tcW w:w="1940" w:type="dxa"/>
            <w:vAlign w:val="center"/>
          </w:tcPr>
          <w:p w14:paraId="03914718" w14:textId="473E7F78"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Non-PL-280</w:t>
            </w:r>
          </w:p>
        </w:tc>
        <w:tc>
          <w:tcPr>
            <w:tcW w:w="2174" w:type="dxa"/>
            <w:noWrap/>
            <w:vAlign w:val="center"/>
          </w:tcPr>
          <w:p w14:paraId="41E058E0" w14:textId="3CE41151"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Zuni, NM</w:t>
            </w:r>
          </w:p>
        </w:tc>
      </w:tr>
      <w:tr w:rsidR="009A2D46" w:rsidRPr="0038182E" w14:paraId="1347F06F"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432E96F0" w14:textId="6AA3A3D4" w:rsidR="009A2D46" w:rsidRPr="001D13D1" w:rsidRDefault="009A2D46" w:rsidP="009A2D46">
            <w:pPr>
              <w:rPr>
                <w:b w:val="0"/>
                <w:color w:val="000000"/>
                <w:sz w:val="22"/>
                <w:szCs w:val="22"/>
              </w:rPr>
            </w:pPr>
            <w:r w:rsidRPr="001D13D1">
              <w:rPr>
                <w:b w:val="0"/>
                <w:color w:val="000000"/>
                <w:sz w:val="22"/>
                <w:szCs w:val="22"/>
              </w:rPr>
              <w:t xml:space="preserve">Chickasaw Nation Lighthorse Police </w:t>
            </w:r>
          </w:p>
        </w:tc>
        <w:tc>
          <w:tcPr>
            <w:tcW w:w="1529" w:type="dxa"/>
            <w:noWrap/>
            <w:vAlign w:val="center"/>
          </w:tcPr>
          <w:p w14:paraId="6D614FB3" w14:textId="425A5902"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South</w:t>
            </w:r>
          </w:p>
        </w:tc>
        <w:tc>
          <w:tcPr>
            <w:tcW w:w="1193" w:type="dxa"/>
            <w:vAlign w:val="center"/>
          </w:tcPr>
          <w:p w14:paraId="680E206E" w14:textId="6C4F8634"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Large</w:t>
            </w:r>
          </w:p>
        </w:tc>
        <w:tc>
          <w:tcPr>
            <w:tcW w:w="1940" w:type="dxa"/>
            <w:vAlign w:val="center"/>
          </w:tcPr>
          <w:p w14:paraId="6402BC7B" w14:textId="43ACF3F0" w:rsidR="009A2D46" w:rsidRPr="009A2D46" w:rsidRDefault="009A2D46" w:rsidP="009A2D46">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Non-PL-280</w:t>
            </w:r>
          </w:p>
        </w:tc>
        <w:tc>
          <w:tcPr>
            <w:tcW w:w="2174" w:type="dxa"/>
            <w:noWrap/>
            <w:vAlign w:val="center"/>
          </w:tcPr>
          <w:p w14:paraId="493B700D" w14:textId="147919DC" w:rsidR="009A2D46" w:rsidRPr="009A2D46" w:rsidRDefault="009A2D46" w:rsidP="009A2D46">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Ada, OK</w:t>
            </w:r>
          </w:p>
        </w:tc>
      </w:tr>
      <w:tr w:rsidR="00942293" w:rsidRPr="0038182E" w14:paraId="65B13E1F"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7BB33429" w14:textId="22D0F10E" w:rsidR="00942293" w:rsidRPr="001D13D1" w:rsidRDefault="00942293" w:rsidP="00942293">
            <w:pPr>
              <w:rPr>
                <w:b w:val="0"/>
                <w:color w:val="000000"/>
                <w:sz w:val="22"/>
                <w:szCs w:val="22"/>
              </w:rPr>
            </w:pPr>
            <w:r w:rsidRPr="001D13D1">
              <w:rPr>
                <w:b w:val="0"/>
                <w:color w:val="000000"/>
                <w:sz w:val="22"/>
                <w:szCs w:val="22"/>
              </w:rPr>
              <w:t>Choctaw Tribal Police Department </w:t>
            </w:r>
          </w:p>
        </w:tc>
        <w:tc>
          <w:tcPr>
            <w:tcW w:w="1529" w:type="dxa"/>
            <w:noWrap/>
            <w:vAlign w:val="center"/>
          </w:tcPr>
          <w:p w14:paraId="24E4F04C" w14:textId="1F157E91"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South</w:t>
            </w:r>
          </w:p>
        </w:tc>
        <w:tc>
          <w:tcPr>
            <w:tcW w:w="1193" w:type="dxa"/>
            <w:vAlign w:val="center"/>
          </w:tcPr>
          <w:p w14:paraId="51DAAE9E" w14:textId="41DC726D"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Large</w:t>
            </w:r>
          </w:p>
        </w:tc>
        <w:tc>
          <w:tcPr>
            <w:tcW w:w="1940" w:type="dxa"/>
            <w:vAlign w:val="center"/>
          </w:tcPr>
          <w:p w14:paraId="698165F4" w14:textId="573716C7"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Non-PL-280</w:t>
            </w:r>
          </w:p>
        </w:tc>
        <w:tc>
          <w:tcPr>
            <w:tcW w:w="2174" w:type="dxa"/>
            <w:noWrap/>
            <w:vAlign w:val="center"/>
          </w:tcPr>
          <w:p w14:paraId="7DE3608F" w14:textId="04E1C0B4" w:rsidR="00942293" w:rsidRPr="009A2D46" w:rsidRDefault="00942293" w:rsidP="00942293">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Durant, OK</w:t>
            </w:r>
          </w:p>
        </w:tc>
      </w:tr>
      <w:tr w:rsidR="00942293" w:rsidRPr="0038182E" w14:paraId="23137B34"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23230A44" w14:textId="44BC7549" w:rsidR="00942293" w:rsidRPr="001D13D1" w:rsidRDefault="00942293" w:rsidP="00942293">
            <w:pPr>
              <w:rPr>
                <w:b w:val="0"/>
                <w:color w:val="000000"/>
                <w:sz w:val="22"/>
                <w:szCs w:val="22"/>
              </w:rPr>
            </w:pPr>
            <w:r w:rsidRPr="001D13D1">
              <w:rPr>
                <w:b w:val="0"/>
                <w:color w:val="000000"/>
                <w:sz w:val="22"/>
                <w:szCs w:val="22"/>
              </w:rPr>
              <w:t xml:space="preserve">Navajo Nation Police Department </w:t>
            </w:r>
          </w:p>
        </w:tc>
        <w:tc>
          <w:tcPr>
            <w:tcW w:w="1529" w:type="dxa"/>
            <w:noWrap/>
            <w:vAlign w:val="center"/>
          </w:tcPr>
          <w:p w14:paraId="124DA401" w14:textId="16A5362D"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West</w:t>
            </w:r>
          </w:p>
        </w:tc>
        <w:tc>
          <w:tcPr>
            <w:tcW w:w="1193" w:type="dxa"/>
            <w:vAlign w:val="center"/>
          </w:tcPr>
          <w:p w14:paraId="6F9B871E" w14:textId="411E8B0D"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Mega</w:t>
            </w:r>
          </w:p>
        </w:tc>
        <w:tc>
          <w:tcPr>
            <w:tcW w:w="1940" w:type="dxa"/>
            <w:vAlign w:val="center"/>
          </w:tcPr>
          <w:p w14:paraId="0CE6791D" w14:textId="5E0D6782"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Optional PL-280</w:t>
            </w:r>
          </w:p>
        </w:tc>
        <w:tc>
          <w:tcPr>
            <w:tcW w:w="2174" w:type="dxa"/>
            <w:noWrap/>
            <w:vAlign w:val="center"/>
          </w:tcPr>
          <w:p w14:paraId="479970E9" w14:textId="63AA5A35" w:rsidR="00942293" w:rsidRPr="009A2D46" w:rsidRDefault="00942293" w:rsidP="00942293">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Window Rock, AZ</w:t>
            </w:r>
          </w:p>
        </w:tc>
      </w:tr>
      <w:tr w:rsidR="00942293" w:rsidRPr="0038182E" w14:paraId="7F7E3886"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center"/>
          </w:tcPr>
          <w:p w14:paraId="726E3AE3" w14:textId="0CEC4B23" w:rsidR="00942293" w:rsidRPr="001D13D1" w:rsidRDefault="00942293" w:rsidP="00942293">
            <w:pPr>
              <w:rPr>
                <w:b w:val="0"/>
                <w:color w:val="000000"/>
                <w:sz w:val="22"/>
                <w:szCs w:val="22"/>
              </w:rPr>
            </w:pPr>
            <w:r w:rsidRPr="001D13D1">
              <w:rPr>
                <w:b w:val="0"/>
                <w:color w:val="000000"/>
                <w:sz w:val="22"/>
                <w:szCs w:val="22"/>
              </w:rPr>
              <w:t>Muscogee Creek Lighthorse Police Department</w:t>
            </w:r>
          </w:p>
        </w:tc>
        <w:tc>
          <w:tcPr>
            <w:tcW w:w="1529" w:type="dxa"/>
            <w:noWrap/>
            <w:vAlign w:val="center"/>
          </w:tcPr>
          <w:p w14:paraId="09D60E6E" w14:textId="5B1C2A59"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West</w:t>
            </w:r>
          </w:p>
        </w:tc>
        <w:tc>
          <w:tcPr>
            <w:tcW w:w="1193" w:type="dxa"/>
            <w:vAlign w:val="center"/>
          </w:tcPr>
          <w:p w14:paraId="3387165E" w14:textId="4BC94831"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Mega</w:t>
            </w:r>
          </w:p>
        </w:tc>
        <w:tc>
          <w:tcPr>
            <w:tcW w:w="1940" w:type="dxa"/>
            <w:vAlign w:val="center"/>
          </w:tcPr>
          <w:p w14:paraId="0A41BFE2" w14:textId="34963449"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Non-PL-280</w:t>
            </w:r>
          </w:p>
        </w:tc>
        <w:tc>
          <w:tcPr>
            <w:tcW w:w="2174" w:type="dxa"/>
            <w:noWrap/>
            <w:vAlign w:val="center"/>
          </w:tcPr>
          <w:p w14:paraId="73F43E17" w14:textId="19539286" w:rsidR="00942293" w:rsidRPr="009A2D46" w:rsidRDefault="00942293" w:rsidP="00942293">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Okmulgee, OK</w:t>
            </w:r>
          </w:p>
        </w:tc>
      </w:tr>
      <w:tr w:rsidR="00942293" w:rsidRPr="0038182E" w14:paraId="748186CF" w14:textId="77777777" w:rsidTr="009A2D46">
        <w:trPr>
          <w:trHeight w:val="276"/>
          <w:jc w:val="center"/>
        </w:trPr>
        <w:tc>
          <w:tcPr>
            <w:cnfStyle w:val="001000000000" w:firstRow="0" w:lastRow="0" w:firstColumn="1" w:lastColumn="0" w:oddVBand="0" w:evenVBand="0" w:oddHBand="0" w:evenHBand="0" w:firstRowFirstColumn="0" w:firstRowLastColumn="0" w:lastRowFirstColumn="0" w:lastRowLastColumn="0"/>
            <w:tcW w:w="2514" w:type="dxa"/>
            <w:noWrap/>
            <w:vAlign w:val="bottom"/>
          </w:tcPr>
          <w:p w14:paraId="345A2485" w14:textId="600B3A7B" w:rsidR="00942293" w:rsidRPr="001D13D1" w:rsidRDefault="00942293" w:rsidP="00942293">
            <w:pPr>
              <w:rPr>
                <w:b w:val="0"/>
                <w:color w:val="000000"/>
                <w:sz w:val="22"/>
                <w:szCs w:val="22"/>
              </w:rPr>
            </w:pPr>
            <w:r w:rsidRPr="001D13D1">
              <w:rPr>
                <w:b w:val="0"/>
                <w:color w:val="000000"/>
                <w:sz w:val="22"/>
                <w:szCs w:val="22"/>
              </w:rPr>
              <w:t>White Mountain Apache Police Department</w:t>
            </w:r>
          </w:p>
        </w:tc>
        <w:tc>
          <w:tcPr>
            <w:tcW w:w="1529" w:type="dxa"/>
            <w:noWrap/>
            <w:vAlign w:val="center"/>
          </w:tcPr>
          <w:p w14:paraId="0137C59B" w14:textId="6291758B"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West</w:t>
            </w:r>
          </w:p>
        </w:tc>
        <w:tc>
          <w:tcPr>
            <w:tcW w:w="1193" w:type="dxa"/>
            <w:vAlign w:val="center"/>
          </w:tcPr>
          <w:p w14:paraId="0B039445" w14:textId="03E34ACF"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Medium</w:t>
            </w:r>
          </w:p>
        </w:tc>
        <w:tc>
          <w:tcPr>
            <w:tcW w:w="1940" w:type="dxa"/>
            <w:vAlign w:val="center"/>
          </w:tcPr>
          <w:p w14:paraId="7C4FB948" w14:textId="2BD2DFCC" w:rsidR="00942293" w:rsidRPr="009A2D46" w:rsidRDefault="00942293" w:rsidP="0094229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Optional PL-280</w:t>
            </w:r>
          </w:p>
        </w:tc>
        <w:tc>
          <w:tcPr>
            <w:tcW w:w="2174" w:type="dxa"/>
            <w:noWrap/>
            <w:vAlign w:val="center"/>
          </w:tcPr>
          <w:p w14:paraId="53A48321" w14:textId="3628EE68" w:rsidR="00942293" w:rsidRPr="009A2D46" w:rsidRDefault="00942293" w:rsidP="00942293">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9A2D46">
              <w:rPr>
                <w:color w:val="000000"/>
                <w:sz w:val="22"/>
                <w:szCs w:val="22"/>
              </w:rPr>
              <w:t>Whiteriver, AZ</w:t>
            </w:r>
          </w:p>
        </w:tc>
      </w:tr>
    </w:tbl>
    <w:p w14:paraId="1F47E938" w14:textId="77777777" w:rsidR="001D13D1" w:rsidRDefault="001D13D1" w:rsidP="002B713E"/>
    <w:p w14:paraId="24CABDDF" w14:textId="1E45FEDD" w:rsidR="001D13D1" w:rsidRDefault="001D13D1" w:rsidP="002B713E"/>
    <w:p w14:paraId="4ACFA4AC" w14:textId="3EC7A64D" w:rsidR="00D910C5" w:rsidRDefault="005B23CB" w:rsidP="002B713E">
      <w:r>
        <w:t xml:space="preserve">The collection period for the cognitive testing </w:t>
      </w:r>
      <w:r w:rsidR="004C2FC1">
        <w:t>was</w:t>
      </w:r>
      <w:r>
        <w:t xml:space="preserve"> </w:t>
      </w:r>
      <w:r w:rsidR="004C2FC1">
        <w:t xml:space="preserve">12 </w:t>
      </w:r>
      <w:r>
        <w:t>week</w:t>
      </w:r>
      <w:r w:rsidR="00F62348">
        <w:t>s.</w:t>
      </w:r>
      <w:r w:rsidR="00D910C5">
        <w:t xml:space="preserve"> </w:t>
      </w:r>
      <w:r w:rsidR="004C2FC1">
        <w:t xml:space="preserve"> A total of 18 of the </w:t>
      </w:r>
      <w:r w:rsidR="00281542">
        <w:t xml:space="preserve">20 </w:t>
      </w:r>
      <w:r w:rsidR="004C2FC1">
        <w:t xml:space="preserve">agencies completed and returned surveys within the </w:t>
      </w:r>
      <w:r w:rsidR="00094073">
        <w:t>testing</w:t>
      </w:r>
      <w:r w:rsidR="004C2FC1">
        <w:t xml:space="preserve"> period, which lasted from May 15, 2018 to August 15, 2018. Of the 18 sites that returned completed surveys, 16 </w:t>
      </w:r>
      <w:r w:rsidR="007A48BA">
        <w:t>also</w:t>
      </w:r>
      <w:r w:rsidR="004C2FC1">
        <w:t xml:space="preserve"> </w:t>
      </w:r>
      <w:r w:rsidR="00281542">
        <w:t>completed a</w:t>
      </w:r>
      <w:r w:rsidR="007A48BA">
        <w:t xml:space="preserve"> </w:t>
      </w:r>
      <w:r w:rsidR="004C2FC1">
        <w:t>cognitive interview.</w:t>
      </w:r>
    </w:p>
    <w:p w14:paraId="1AED4329" w14:textId="77777777" w:rsidR="00D910C5" w:rsidRDefault="00D910C5" w:rsidP="002B713E"/>
    <w:p w14:paraId="1B364C38" w14:textId="33D5F4E6" w:rsidR="002B713E" w:rsidRDefault="00CA384B" w:rsidP="002B713E">
      <w:r>
        <w:t>T</w:t>
      </w:r>
      <w:r w:rsidR="002B713E" w:rsidRPr="002E308B">
        <w:t xml:space="preserve">he </w:t>
      </w:r>
      <w:r w:rsidR="002B713E">
        <w:t xml:space="preserve">CTLEA cognitive test </w:t>
      </w:r>
      <w:r w:rsidR="004C2FC1">
        <w:t>was</w:t>
      </w:r>
      <w:r w:rsidR="004C2FC1" w:rsidRPr="002E308B">
        <w:t xml:space="preserve"> </w:t>
      </w:r>
      <w:r w:rsidR="002B713E" w:rsidRPr="002E308B">
        <w:t xml:space="preserve">divided into </w:t>
      </w:r>
      <w:r w:rsidR="002B713E">
        <w:t>three</w:t>
      </w:r>
      <w:r w:rsidR="002B713E" w:rsidRPr="002E308B">
        <w:t xml:space="preserve"> phases</w:t>
      </w:r>
      <w:r w:rsidR="002B713E" w:rsidRPr="00173D3F">
        <w:rPr>
          <w:i/>
        </w:rPr>
        <w:t xml:space="preserve">: </w:t>
      </w:r>
      <w:r w:rsidR="002B713E" w:rsidRPr="002B713E">
        <w:rPr>
          <w:i/>
        </w:rPr>
        <w:t xml:space="preserve">outreach </w:t>
      </w:r>
      <w:r w:rsidR="002B713E" w:rsidRPr="00D04276">
        <w:rPr>
          <w:i/>
        </w:rPr>
        <w:t>and data collection; nonresponse follow-up;</w:t>
      </w:r>
      <w:r w:rsidR="002B713E" w:rsidRPr="00CA384B">
        <w:rPr>
          <w:i/>
        </w:rPr>
        <w:t xml:space="preserve"> and cognitive interview</w:t>
      </w:r>
      <w:r>
        <w:rPr>
          <w:i/>
        </w:rPr>
        <w:t>s and feedback</w:t>
      </w:r>
      <w:r w:rsidR="002B713E">
        <w:t>.</w:t>
      </w:r>
      <w:r w:rsidR="00D04276">
        <w:t xml:space="preserve"> </w:t>
      </w:r>
    </w:p>
    <w:p w14:paraId="0D16CF66" w14:textId="77777777" w:rsidR="00D04276" w:rsidRDefault="00D04276" w:rsidP="002B713E"/>
    <w:p w14:paraId="3F1F215F" w14:textId="77777777" w:rsidR="00D04276" w:rsidRPr="00C87E0F" w:rsidRDefault="00D04276" w:rsidP="00D04276">
      <w:pPr>
        <w:rPr>
          <w:b/>
        </w:rPr>
      </w:pPr>
      <w:r w:rsidRPr="00C87E0F">
        <w:rPr>
          <w:b/>
        </w:rPr>
        <w:t>Phase</w:t>
      </w:r>
      <w:r>
        <w:rPr>
          <w:b/>
        </w:rPr>
        <w:t xml:space="preserve"> </w:t>
      </w:r>
      <w:r w:rsidRPr="00C87E0F">
        <w:rPr>
          <w:b/>
        </w:rPr>
        <w:t>1:</w:t>
      </w:r>
      <w:r>
        <w:rPr>
          <w:b/>
        </w:rPr>
        <w:t xml:space="preserve">  Selection, o</w:t>
      </w:r>
      <w:r w:rsidRPr="00C87E0F">
        <w:rPr>
          <w:b/>
        </w:rPr>
        <w:t>utreach</w:t>
      </w:r>
      <w:r>
        <w:rPr>
          <w:b/>
        </w:rPr>
        <w:t xml:space="preserve"> </w:t>
      </w:r>
      <w:r w:rsidRPr="00C87E0F">
        <w:rPr>
          <w:b/>
        </w:rPr>
        <w:t>and</w:t>
      </w:r>
      <w:r>
        <w:rPr>
          <w:b/>
        </w:rPr>
        <w:t xml:space="preserve"> </w:t>
      </w:r>
      <w:r w:rsidRPr="00C87E0F">
        <w:rPr>
          <w:b/>
        </w:rPr>
        <w:t>data</w:t>
      </w:r>
      <w:r>
        <w:rPr>
          <w:b/>
        </w:rPr>
        <w:t xml:space="preserve"> </w:t>
      </w:r>
      <w:r w:rsidRPr="00C87E0F">
        <w:rPr>
          <w:b/>
        </w:rPr>
        <w:t>collection</w:t>
      </w:r>
      <w:r>
        <w:rPr>
          <w:b/>
        </w:rPr>
        <w:t xml:space="preserve"> for cognitive testing of the CTLEA.</w:t>
      </w:r>
    </w:p>
    <w:p w14:paraId="53F5AC34" w14:textId="1FF44002" w:rsidR="00DD0041" w:rsidRDefault="00DD0041" w:rsidP="00253C85"/>
    <w:p w14:paraId="1FE41952" w14:textId="74FAF43C" w:rsidR="00DD4DAD" w:rsidRPr="000B304F" w:rsidRDefault="00D04276" w:rsidP="00D901A8">
      <w:pPr>
        <w:pStyle w:val="ListParagraph"/>
        <w:numPr>
          <w:ilvl w:val="0"/>
          <w:numId w:val="13"/>
        </w:numPr>
        <w:rPr>
          <w:i/>
        </w:rPr>
      </w:pPr>
      <w:r w:rsidRPr="00DD4DAD">
        <w:rPr>
          <w:i/>
        </w:rPr>
        <w:t xml:space="preserve">Step </w:t>
      </w:r>
      <w:r w:rsidR="007A48BA">
        <w:rPr>
          <w:i/>
        </w:rPr>
        <w:t>1</w:t>
      </w:r>
      <w:r w:rsidRPr="00DD4DAD">
        <w:rPr>
          <w:i/>
        </w:rPr>
        <w:t>.  Send participation</w:t>
      </w:r>
      <w:r w:rsidR="006E5C2A" w:rsidRPr="00DD4DAD">
        <w:rPr>
          <w:i/>
        </w:rPr>
        <w:t xml:space="preserve"> request</w:t>
      </w:r>
      <w:r w:rsidRPr="00DD4DAD">
        <w:rPr>
          <w:i/>
        </w:rPr>
        <w:t xml:space="preserve"> letter</w:t>
      </w:r>
      <w:r w:rsidR="00F63FC8">
        <w:rPr>
          <w:i/>
        </w:rPr>
        <w:t xml:space="preserve"> and email</w:t>
      </w:r>
      <w:r w:rsidRPr="00DD4DAD">
        <w:rPr>
          <w:i/>
        </w:rPr>
        <w:t xml:space="preserve">.  </w:t>
      </w:r>
      <w:r w:rsidR="00F9022A">
        <w:t>T</w:t>
      </w:r>
      <w:r w:rsidRPr="00B9565A">
        <w:t xml:space="preserve">he CTLEA </w:t>
      </w:r>
      <w:r>
        <w:t>cognitive test</w:t>
      </w:r>
      <w:r w:rsidR="00F9022A">
        <w:t xml:space="preserve"> </w:t>
      </w:r>
      <w:r w:rsidR="004A3077">
        <w:t>began</w:t>
      </w:r>
      <w:r w:rsidR="00F9022A">
        <w:t xml:space="preserve"> with a mailing and e-mail.</w:t>
      </w:r>
      <w:r w:rsidRPr="00B9565A">
        <w:t xml:space="preserve"> </w:t>
      </w:r>
      <w:r w:rsidR="00F9022A">
        <w:t>A</w:t>
      </w:r>
      <w:r w:rsidRPr="00B9565A">
        <w:t xml:space="preserve"> letter (</w:t>
      </w:r>
      <w:r w:rsidRPr="00DD4DAD">
        <w:rPr>
          <w:b/>
        </w:rPr>
        <w:t xml:space="preserve">Attachment </w:t>
      </w:r>
      <w:r w:rsidR="008C24DC">
        <w:rPr>
          <w:b/>
        </w:rPr>
        <w:t>14</w:t>
      </w:r>
      <w:r w:rsidRPr="00B9565A">
        <w:t xml:space="preserve">) </w:t>
      </w:r>
      <w:r w:rsidR="004A3077">
        <w:t>was</w:t>
      </w:r>
      <w:r w:rsidRPr="00B9565A">
        <w:t xml:space="preserve"> </w:t>
      </w:r>
      <w:r>
        <w:t>mailed</w:t>
      </w:r>
      <w:r w:rsidRPr="00B9565A">
        <w:t xml:space="preserve"> to </w:t>
      </w:r>
      <w:r>
        <w:t xml:space="preserve">the </w:t>
      </w:r>
      <w:r w:rsidR="004A3077">
        <w:t xml:space="preserve">twenty </w:t>
      </w:r>
      <w:r w:rsidR="00DD4DAD">
        <w:t xml:space="preserve">sites </w:t>
      </w:r>
      <w:r>
        <w:t xml:space="preserve">selected </w:t>
      </w:r>
      <w:r w:rsidR="00DD4DAD">
        <w:t xml:space="preserve">by </w:t>
      </w:r>
      <w:r w:rsidR="00993EB1">
        <w:t xml:space="preserve">the </w:t>
      </w:r>
      <w:r w:rsidR="00DD4DAD">
        <w:t xml:space="preserve">IACP </w:t>
      </w:r>
      <w:r w:rsidR="000A5B95">
        <w:t>ICLES</w:t>
      </w:r>
      <w:r w:rsidR="004A3077">
        <w:t xml:space="preserve"> and BJS</w:t>
      </w:r>
      <w:r w:rsidR="00B52088">
        <w:t xml:space="preserve"> </w:t>
      </w:r>
      <w:r w:rsidR="00094073">
        <w:t xml:space="preserve">requesting </w:t>
      </w:r>
      <w:r w:rsidR="00A95A07">
        <w:t xml:space="preserve">the agency’s </w:t>
      </w:r>
      <w:r>
        <w:t xml:space="preserve">participation in the </w:t>
      </w:r>
      <w:r w:rsidR="004A3077">
        <w:t xml:space="preserve">cognitive </w:t>
      </w:r>
      <w:r>
        <w:t xml:space="preserve">test, </w:t>
      </w:r>
      <w:r w:rsidR="00094073">
        <w:t xml:space="preserve">describing </w:t>
      </w:r>
      <w:r>
        <w:t xml:space="preserve">the </w:t>
      </w:r>
      <w:r w:rsidR="00A95A07">
        <w:t>requested</w:t>
      </w:r>
      <w:r>
        <w:t xml:space="preserve"> information, and </w:t>
      </w:r>
      <w:r w:rsidR="00094073">
        <w:t xml:space="preserve">underscoring </w:t>
      </w:r>
      <w:r>
        <w:t xml:space="preserve">the importance of participation and benefits of the project to all tribes. </w:t>
      </w:r>
      <w:r w:rsidR="00DD4DAD">
        <w:t xml:space="preserve">The packet </w:t>
      </w:r>
      <w:r w:rsidR="00A95A07">
        <w:t>also include</w:t>
      </w:r>
      <w:r w:rsidR="004A3077">
        <w:t>d</w:t>
      </w:r>
      <w:r w:rsidR="00DD4DAD">
        <w:t xml:space="preserve"> the CTLEA questionnaire </w:t>
      </w:r>
      <w:r w:rsidR="00993EB1">
        <w:t>(</w:t>
      </w:r>
      <w:r w:rsidR="00993EB1">
        <w:rPr>
          <w:b/>
        </w:rPr>
        <w:t xml:space="preserve">Attachment </w:t>
      </w:r>
      <w:r w:rsidR="008C24DC">
        <w:rPr>
          <w:b/>
        </w:rPr>
        <w:t>15</w:t>
      </w:r>
      <w:r w:rsidR="00993EB1">
        <w:t>)</w:t>
      </w:r>
      <w:r w:rsidR="004A3077">
        <w:t xml:space="preserve"> </w:t>
      </w:r>
      <w:r w:rsidR="00DD4DAD">
        <w:t>and a pre-paid business-reply envelope</w:t>
      </w:r>
      <w:r w:rsidR="00094073">
        <w:t xml:space="preserve"> </w:t>
      </w:r>
      <w:r w:rsidR="00DD4DAD">
        <w:t xml:space="preserve">for respondents to send the completed hard copy questionnaire to the data collection agent. </w:t>
      </w:r>
      <w:r>
        <w:t xml:space="preserve">The letter </w:t>
      </w:r>
      <w:r w:rsidR="00A95A07">
        <w:t>list</w:t>
      </w:r>
      <w:r w:rsidR="004A3077">
        <w:t>ed</w:t>
      </w:r>
      <w:r w:rsidR="00A95A07">
        <w:t xml:space="preserve"> the </w:t>
      </w:r>
      <w:r>
        <w:t>telephone and email contact information for the BJS Project Officer</w:t>
      </w:r>
      <w:r w:rsidR="000A5B95">
        <w:t>.</w:t>
      </w:r>
    </w:p>
    <w:p w14:paraId="5A789782" w14:textId="77777777" w:rsidR="000B304F" w:rsidRPr="000B304F" w:rsidRDefault="000B304F" w:rsidP="000B304F">
      <w:pPr>
        <w:ind w:left="360"/>
        <w:rPr>
          <w:i/>
        </w:rPr>
      </w:pPr>
    </w:p>
    <w:p w14:paraId="7E83BC4D" w14:textId="7D09C1CC" w:rsidR="00DF05FE" w:rsidRDefault="006E5C2A" w:rsidP="00B6460D">
      <w:pPr>
        <w:pStyle w:val="ListParagraph"/>
        <w:numPr>
          <w:ilvl w:val="0"/>
          <w:numId w:val="13"/>
        </w:numPr>
      </w:pPr>
      <w:r w:rsidRPr="00B6460D">
        <w:rPr>
          <w:i/>
        </w:rPr>
        <w:t xml:space="preserve">Step </w:t>
      </w:r>
      <w:r w:rsidR="007A48BA" w:rsidRPr="00B6460D">
        <w:rPr>
          <w:i/>
        </w:rPr>
        <w:t>2</w:t>
      </w:r>
      <w:r w:rsidRPr="00B6460D">
        <w:rPr>
          <w:i/>
        </w:rPr>
        <w:t xml:space="preserve">.  </w:t>
      </w:r>
      <w:r w:rsidR="00DD4DAD" w:rsidRPr="00B6460D">
        <w:rPr>
          <w:i/>
        </w:rPr>
        <w:t xml:space="preserve">Nonresponse follow-up.  </w:t>
      </w:r>
      <w:r w:rsidR="00B52631">
        <w:t xml:space="preserve">One </w:t>
      </w:r>
      <w:r>
        <w:t xml:space="preserve">week after the initial </w:t>
      </w:r>
      <w:r w:rsidR="00094073">
        <w:t>mailing</w:t>
      </w:r>
      <w:r>
        <w:t xml:space="preserve">, NORC and </w:t>
      </w:r>
      <w:r w:rsidR="00281542">
        <w:t>IACP attempted</w:t>
      </w:r>
      <w:r w:rsidR="004A3077">
        <w:t xml:space="preserve"> to make contact by phone to confirm receipt of the questionnaire</w:t>
      </w:r>
      <w:r w:rsidR="00B6460D">
        <w:t xml:space="preserve"> (</w:t>
      </w:r>
      <w:r w:rsidR="00B6460D" w:rsidRPr="00BE236B">
        <w:rPr>
          <w:b/>
        </w:rPr>
        <w:t xml:space="preserve">Attachment </w:t>
      </w:r>
      <w:r w:rsidR="008C24DC">
        <w:rPr>
          <w:b/>
        </w:rPr>
        <w:t>16</w:t>
      </w:r>
      <w:r w:rsidR="00B6460D">
        <w:t>)</w:t>
      </w:r>
      <w:r w:rsidR="004A3077">
        <w:t xml:space="preserve">. Agencies were provided an opportunity to ask questions about the </w:t>
      </w:r>
      <w:r w:rsidR="00094073">
        <w:t xml:space="preserve">test </w:t>
      </w:r>
      <w:r w:rsidR="004A3077">
        <w:t xml:space="preserve">survey, the project, and about specific questions on the questionnaire. Once receipt of the survey was confirmed with an agency, they were not contacted again by phone until either they returned the completed survey so that </w:t>
      </w:r>
      <w:r w:rsidR="000A5B95">
        <w:t xml:space="preserve">a </w:t>
      </w:r>
      <w:r w:rsidR="004A3077">
        <w:t xml:space="preserve">debriefing could be scheduled or the deadline for returning the survey had elapsed and a prompting call was needed. </w:t>
      </w:r>
      <w:r w:rsidR="00DD4DAD">
        <w:t>During</w:t>
      </w:r>
      <w:r w:rsidRPr="00511745">
        <w:t xml:space="preserve"> week</w:t>
      </w:r>
      <w:r>
        <w:t xml:space="preserve"> 4 of the </w:t>
      </w:r>
      <w:r w:rsidR="00DD4DAD">
        <w:t>cognitive testing</w:t>
      </w:r>
      <w:r>
        <w:t xml:space="preserve">, dependent on contact information on file for the agency, a reminder </w:t>
      </w:r>
      <w:r w:rsidR="00DD4DAD">
        <w:t>email</w:t>
      </w:r>
      <w:r w:rsidR="00C94D38">
        <w:t xml:space="preserve"> </w:t>
      </w:r>
      <w:r w:rsidR="00FB513F">
        <w:t xml:space="preserve">or second hard copy of the survey </w:t>
      </w:r>
      <w:r w:rsidR="00DF05FE">
        <w:t xml:space="preserve">was </w:t>
      </w:r>
      <w:r>
        <w:t>sent to all non-responding agencies</w:t>
      </w:r>
      <w:r w:rsidR="00993EB1">
        <w:t xml:space="preserve"> (</w:t>
      </w:r>
      <w:r w:rsidR="00993EB1" w:rsidRPr="00B6460D">
        <w:rPr>
          <w:b/>
        </w:rPr>
        <w:t xml:space="preserve">Attachment </w:t>
      </w:r>
      <w:r w:rsidR="008C24DC">
        <w:rPr>
          <w:b/>
        </w:rPr>
        <w:t>17</w:t>
      </w:r>
      <w:r w:rsidR="00993EB1" w:rsidRPr="00B6460D">
        <w:rPr>
          <w:b/>
        </w:rPr>
        <w:t>)</w:t>
      </w:r>
      <w:r>
        <w:t>.  If an agency contact ha</w:t>
      </w:r>
      <w:r w:rsidR="00602870">
        <w:t>d</w:t>
      </w:r>
      <w:r>
        <w:t xml:space="preserve"> an email address, an email reminder </w:t>
      </w:r>
      <w:r w:rsidR="00DF05FE">
        <w:t>was also</w:t>
      </w:r>
      <w:r>
        <w:t xml:space="preserve"> sent</w:t>
      </w:r>
      <w:r w:rsidR="00B6460D">
        <w:t xml:space="preserve"> (</w:t>
      </w:r>
      <w:r w:rsidR="00B6460D" w:rsidRPr="00BE236B">
        <w:rPr>
          <w:b/>
        </w:rPr>
        <w:t xml:space="preserve">Attachment </w:t>
      </w:r>
      <w:r w:rsidR="008C24DC">
        <w:rPr>
          <w:b/>
        </w:rPr>
        <w:t>18</w:t>
      </w:r>
      <w:r w:rsidR="00B6460D">
        <w:t>).</w:t>
      </w:r>
      <w:r>
        <w:t xml:space="preserve"> The email</w:t>
      </w:r>
      <w:r w:rsidR="00DF05FE">
        <w:t xml:space="preserve"> </w:t>
      </w:r>
      <w:r w:rsidR="00281542">
        <w:t>contact provided</w:t>
      </w:r>
      <w:r>
        <w:t xml:space="preserve"> a different form of contact to gain the respondent’s attention, stress the importance of the study, and prompt for the return of the questionnaire.</w:t>
      </w:r>
    </w:p>
    <w:p w14:paraId="7169BCE4" w14:textId="77777777" w:rsidR="00DF05FE" w:rsidRDefault="00DF05FE" w:rsidP="00253C85"/>
    <w:p w14:paraId="579A8B4F" w14:textId="214793DA" w:rsidR="00DF05FE" w:rsidRDefault="00DF05FE" w:rsidP="00253C85">
      <w:pPr>
        <w:ind w:left="720"/>
      </w:pPr>
      <w:r>
        <w:t xml:space="preserve">In general, agencies typically required a combination of at least three follow up contacts by phone or email to complete and return the survey, but some agencies were contacted many more times to first return the survey and then schedule a cognitive interview. Contacts included phone calls and emails based on the method that the agency was most responsive to. Some agencies were contacted only by staff at NORC while others that had a prior working relationship with IACP were first contacted by </w:t>
      </w:r>
      <w:r w:rsidR="00CD297A">
        <w:t>IA</w:t>
      </w:r>
      <w:r w:rsidR="00B52088">
        <w:t>C</w:t>
      </w:r>
      <w:r w:rsidR="00CD297A">
        <w:t xml:space="preserve">P </w:t>
      </w:r>
      <w:r>
        <w:t>staff.</w:t>
      </w:r>
    </w:p>
    <w:p w14:paraId="452AD3FD" w14:textId="77777777" w:rsidR="00CA384B" w:rsidRDefault="00CA384B" w:rsidP="00253C85"/>
    <w:p w14:paraId="54C2AD7F" w14:textId="54EBD8DD" w:rsidR="00DF05FE" w:rsidRDefault="00DD4DAD" w:rsidP="00DF05FE">
      <w:pPr>
        <w:pStyle w:val="ListParagraph"/>
        <w:numPr>
          <w:ilvl w:val="0"/>
          <w:numId w:val="13"/>
        </w:numPr>
      </w:pPr>
      <w:r w:rsidRPr="00D901A8">
        <w:rPr>
          <w:i/>
        </w:rPr>
        <w:t xml:space="preserve">Step </w:t>
      </w:r>
      <w:r w:rsidR="00602870">
        <w:rPr>
          <w:i/>
        </w:rPr>
        <w:t>3</w:t>
      </w:r>
      <w:r>
        <w:t xml:space="preserve">. </w:t>
      </w:r>
      <w:r w:rsidRPr="000155B5">
        <w:rPr>
          <w:i/>
        </w:rPr>
        <w:t>Cognitive</w:t>
      </w:r>
      <w:r w:rsidR="00FB513F" w:rsidRPr="000155B5">
        <w:rPr>
          <w:i/>
        </w:rPr>
        <w:t xml:space="preserve"> interviews and feedback</w:t>
      </w:r>
      <w:r w:rsidR="00FB513F">
        <w:t xml:space="preserve">.  </w:t>
      </w:r>
      <w:r w:rsidR="00DF05FE">
        <w:t xml:space="preserve">As surveys were completed and returned, research staff attempted to immediately contact the pilot agencies to schedule a debriefing call. The calls were anticipated to last between 10 to 20 minutes, with some completed on the spot due to the relatively short time period required. The intent of the call was to </w:t>
      </w:r>
      <w:r w:rsidR="00602870">
        <w:t>obtain</w:t>
      </w:r>
      <w:r w:rsidR="00DF05FE">
        <w:t xml:space="preserve"> general feedback on </w:t>
      </w:r>
      <w:r w:rsidR="00602870">
        <w:t xml:space="preserve">agency </w:t>
      </w:r>
      <w:r w:rsidR="00DF05FE">
        <w:t>contact</w:t>
      </w:r>
      <w:r w:rsidR="00602870">
        <w:t>ing</w:t>
      </w:r>
      <w:r w:rsidR="00DF05FE">
        <w:t xml:space="preserve"> protocols and </w:t>
      </w:r>
      <w:r w:rsidR="00602870">
        <w:t>to</w:t>
      </w:r>
      <w:r w:rsidR="00DF05FE">
        <w:t xml:space="preserve"> review specific questions and the provided responses. Toward the end of the data collection period, a list of the cognitive interview questions </w:t>
      </w:r>
      <w:r w:rsidR="00602870">
        <w:t>were</w:t>
      </w:r>
      <w:r w:rsidR="00DF05FE">
        <w:t xml:space="preserve"> emailed to three agencies that had not yet </w:t>
      </w:r>
      <w:r w:rsidR="00602870">
        <w:t>completed the cognitive interview</w:t>
      </w:r>
      <w:r w:rsidR="00DF05FE">
        <w:t xml:space="preserve">. One of the </w:t>
      </w:r>
      <w:r w:rsidR="007F1D24">
        <w:t>17</w:t>
      </w:r>
      <w:r w:rsidR="00DF05FE">
        <w:t xml:space="preserve"> agencies returned their responses by email, with the rest responding </w:t>
      </w:r>
      <w:r w:rsidR="00DA6F42">
        <w:t>by telephone</w:t>
      </w:r>
      <w:r w:rsidR="00DF05FE">
        <w:t>.</w:t>
      </w:r>
    </w:p>
    <w:p w14:paraId="03B861CE" w14:textId="77777777" w:rsidR="00DF05FE" w:rsidRDefault="00DF05FE" w:rsidP="00253C85">
      <w:pPr>
        <w:ind w:left="720"/>
      </w:pPr>
    </w:p>
    <w:p w14:paraId="32907EA4" w14:textId="10E044D9" w:rsidR="00893F82" w:rsidRDefault="00893F82" w:rsidP="00253C85">
      <w:pPr>
        <w:rPr>
          <w:rFonts w:cs="Garamond"/>
        </w:rPr>
      </w:pPr>
      <w:r>
        <w:t xml:space="preserve">Response burden reported by agencies was relatively low compared to previous iterations of the survey, with agencies reporting that the </w:t>
      </w:r>
      <w:r>
        <w:rPr>
          <w:rFonts w:cs="Garamond"/>
        </w:rPr>
        <w:t xml:space="preserve">time to complete the survey for all but one was between 15 minutes to about an hour. On average, disregarding </w:t>
      </w:r>
      <w:r w:rsidR="002058AF">
        <w:rPr>
          <w:rFonts w:cs="Garamond"/>
        </w:rPr>
        <w:t xml:space="preserve">the </w:t>
      </w:r>
      <w:r>
        <w:rPr>
          <w:rFonts w:cs="Garamond"/>
        </w:rPr>
        <w:t xml:space="preserve">high estimate of four hours provided by one site, the average </w:t>
      </w:r>
      <w:r w:rsidR="002058AF">
        <w:rPr>
          <w:rFonts w:cs="Garamond"/>
        </w:rPr>
        <w:t xml:space="preserve">time </w:t>
      </w:r>
      <w:r>
        <w:rPr>
          <w:rFonts w:cs="Garamond"/>
        </w:rPr>
        <w:t xml:space="preserve">to complete the survey was </w:t>
      </w:r>
      <w:r w:rsidR="00BE236B">
        <w:rPr>
          <w:rFonts w:cs="Garamond"/>
        </w:rPr>
        <w:t>30</w:t>
      </w:r>
      <w:r>
        <w:rPr>
          <w:rFonts w:cs="Garamond"/>
        </w:rPr>
        <w:t xml:space="preserve"> minutes. Across agencies, the vast majority reported no difficulties in providing numeric information regarding staffing counts for sworn officers, calls for service, or adult and juvenile arrests. Agencies reported that the planning and thought put into the survey was evident, with questions being clear, response categories exhaustive, and </w:t>
      </w:r>
      <w:r w:rsidR="002058AF">
        <w:rPr>
          <w:rFonts w:cs="Garamond"/>
        </w:rPr>
        <w:t xml:space="preserve">appropriate </w:t>
      </w:r>
      <w:r>
        <w:rPr>
          <w:rFonts w:cs="Garamond"/>
        </w:rPr>
        <w:t xml:space="preserve">terminology </w:t>
      </w:r>
      <w:r w:rsidR="002058AF">
        <w:rPr>
          <w:rFonts w:cs="Garamond"/>
        </w:rPr>
        <w:t xml:space="preserve">was </w:t>
      </w:r>
      <w:r>
        <w:rPr>
          <w:rFonts w:cs="Garamond"/>
        </w:rPr>
        <w:t>used to capture the concepts being measured. I</w:t>
      </w:r>
      <w:r w:rsidR="00BB0DB1">
        <w:rPr>
          <w:rFonts w:cs="Garamond"/>
        </w:rPr>
        <w:t>tem</w:t>
      </w:r>
      <w:r w:rsidR="00B6460D">
        <w:rPr>
          <w:rFonts w:cs="Garamond"/>
        </w:rPr>
        <w:t xml:space="preserve"> </w:t>
      </w:r>
      <w:r>
        <w:rPr>
          <w:rFonts w:cs="Garamond"/>
        </w:rPr>
        <w:t>non-response</w:t>
      </w:r>
      <w:r w:rsidR="00BB0DB1">
        <w:rPr>
          <w:rFonts w:cs="Garamond"/>
        </w:rPr>
        <w:t xml:space="preserve"> was low across all </w:t>
      </w:r>
      <w:r>
        <w:rPr>
          <w:rFonts w:cs="Garamond"/>
        </w:rPr>
        <w:t>questions. One agency, which had a survey completed by a staff member that was not the chief of police, initially had many missing responses. Upon prompting, the agency was able to provide responses to most questions.</w:t>
      </w:r>
    </w:p>
    <w:p w14:paraId="680065AE" w14:textId="77777777" w:rsidR="00893F82" w:rsidRDefault="00893F82" w:rsidP="00253C85">
      <w:pPr>
        <w:rPr>
          <w:rFonts w:cs="Garamond"/>
        </w:rPr>
      </w:pPr>
    </w:p>
    <w:p w14:paraId="1568AB57" w14:textId="2D256E8F" w:rsidR="00893F82" w:rsidRPr="00253C85" w:rsidRDefault="00893F82" w:rsidP="00253C85">
      <w:pPr>
        <w:rPr>
          <w:rFonts w:cs="Garamond"/>
        </w:rPr>
      </w:pPr>
      <w:r w:rsidRPr="00893F82">
        <w:rPr>
          <w:rFonts w:cs="Garamond"/>
        </w:rPr>
        <w:t xml:space="preserve">Based on feedback from the </w:t>
      </w:r>
      <w:r w:rsidR="00C6141F">
        <w:rPr>
          <w:rFonts w:cs="Garamond"/>
        </w:rPr>
        <w:t>c</w:t>
      </w:r>
      <w:r w:rsidRPr="00893F82">
        <w:rPr>
          <w:rFonts w:cs="Garamond"/>
        </w:rPr>
        <w:t xml:space="preserve">ognitive </w:t>
      </w:r>
      <w:r w:rsidR="00C6141F">
        <w:rPr>
          <w:rFonts w:cs="Garamond"/>
        </w:rPr>
        <w:t>t</w:t>
      </w:r>
      <w:r w:rsidR="00BB0DB1">
        <w:rPr>
          <w:rFonts w:cs="Garamond"/>
        </w:rPr>
        <w:t>est</w:t>
      </w:r>
      <w:r w:rsidRPr="00893F82">
        <w:rPr>
          <w:rFonts w:cs="Garamond"/>
        </w:rPr>
        <w:t>, minor revisions were made</w:t>
      </w:r>
      <w:r w:rsidR="00BB0DB1">
        <w:rPr>
          <w:rFonts w:cs="Garamond"/>
        </w:rPr>
        <w:t xml:space="preserve"> to the CTLEA survey</w:t>
      </w:r>
      <w:r w:rsidRPr="00893F82">
        <w:rPr>
          <w:rFonts w:cs="Garamond"/>
        </w:rPr>
        <w:t xml:space="preserve">, including clarification of one term, modifying the order of two questions in the survey, and making contact information more prominent throughout the survey if assistance </w:t>
      </w:r>
      <w:r w:rsidR="00B6460D">
        <w:rPr>
          <w:rFonts w:cs="Garamond"/>
        </w:rPr>
        <w:t>was</w:t>
      </w:r>
      <w:r w:rsidRPr="00F77480">
        <w:rPr>
          <w:rFonts w:cs="Garamond"/>
        </w:rPr>
        <w:t xml:space="preserve"> needed to complete the survey.</w:t>
      </w:r>
    </w:p>
    <w:p w14:paraId="5FD34F55" w14:textId="77777777" w:rsidR="005B23CB" w:rsidRDefault="005B23CB" w:rsidP="005B23CB"/>
    <w:p w14:paraId="702D998B" w14:textId="76EB74D7" w:rsidR="005B23CB" w:rsidRPr="00BE236B" w:rsidRDefault="00CD297A" w:rsidP="005B23CB">
      <w:pPr>
        <w:rPr>
          <w:i/>
        </w:rPr>
      </w:pPr>
      <w:r w:rsidRPr="00BE236B">
        <w:rPr>
          <w:i/>
        </w:rPr>
        <w:t xml:space="preserve">Procedures for full </w:t>
      </w:r>
      <w:r w:rsidR="007D176A">
        <w:rPr>
          <w:i/>
        </w:rPr>
        <w:t>201</w:t>
      </w:r>
      <w:r w:rsidR="00DA6F42">
        <w:rPr>
          <w:i/>
        </w:rPr>
        <w:t>9</w:t>
      </w:r>
      <w:r w:rsidR="007D176A">
        <w:rPr>
          <w:i/>
        </w:rPr>
        <w:t xml:space="preserve"> </w:t>
      </w:r>
      <w:r w:rsidR="006A2499" w:rsidRPr="00C6141F">
        <w:rPr>
          <w:i/>
        </w:rPr>
        <w:t>CTLEA data collection</w:t>
      </w:r>
    </w:p>
    <w:p w14:paraId="25B24909" w14:textId="77777777" w:rsidR="00CD297A" w:rsidRPr="00BE236B" w:rsidRDefault="00CD297A" w:rsidP="005B23CB">
      <w:pPr>
        <w:rPr>
          <w:i/>
          <w:sz w:val="32"/>
          <w:szCs w:val="32"/>
        </w:rPr>
      </w:pPr>
    </w:p>
    <w:p w14:paraId="206868BA" w14:textId="38F49BA0" w:rsidR="005B23CB" w:rsidRDefault="00C6141F" w:rsidP="00F62348">
      <w:r>
        <w:t xml:space="preserve">The full data collection </w:t>
      </w:r>
      <w:r w:rsidR="00DA6F42">
        <w:t xml:space="preserve">effort </w:t>
      </w:r>
      <w:r>
        <w:t xml:space="preserve">will include all </w:t>
      </w:r>
      <w:r w:rsidR="00FE3897">
        <w:t xml:space="preserve">308 </w:t>
      </w:r>
      <w:r w:rsidR="00AA7AC6">
        <w:t>eligible</w:t>
      </w:r>
      <w:r w:rsidR="00EC6D86">
        <w:t xml:space="preserve"> </w:t>
      </w:r>
      <w:r w:rsidR="00462339">
        <w:t xml:space="preserve">agencies identified in the </w:t>
      </w:r>
      <w:r w:rsidR="00EC6D86">
        <w:t>tribal</w:t>
      </w:r>
      <w:r w:rsidR="005B23CB">
        <w:t xml:space="preserve"> </w:t>
      </w:r>
      <w:r w:rsidR="00903FED">
        <w:t>LE</w:t>
      </w:r>
      <w:r w:rsidR="005B23CB">
        <w:t xml:space="preserve"> agenc</w:t>
      </w:r>
      <w:r w:rsidR="00CF3EA1">
        <w:t>y universe list.</w:t>
      </w:r>
      <w:r w:rsidR="005B23CB">
        <w:t xml:space="preserve"> The collection period for the </w:t>
      </w:r>
      <w:r>
        <w:t>CTLEA</w:t>
      </w:r>
      <w:r w:rsidR="005B23CB">
        <w:t xml:space="preserve"> is 16 weeks</w:t>
      </w:r>
      <w:r w:rsidR="00732E22">
        <w:t>, anticipated to begin</w:t>
      </w:r>
      <w:r w:rsidR="00867D08">
        <w:t xml:space="preserve"> in </w:t>
      </w:r>
      <w:r w:rsidR="00DA6F42">
        <w:t>September</w:t>
      </w:r>
      <w:r w:rsidR="00867D08">
        <w:t xml:space="preserve"> 2019</w:t>
      </w:r>
      <w:r w:rsidR="00DA6F42">
        <w:t>,</w:t>
      </w:r>
      <w:r w:rsidR="00732E22">
        <w:t xml:space="preserve"> </w:t>
      </w:r>
      <w:r>
        <w:t>pending OMB approval</w:t>
      </w:r>
      <w:r w:rsidR="00DA6F42">
        <w:t>.</w:t>
      </w:r>
      <w:r w:rsidR="00A47EAF">
        <w:t xml:space="preserve"> </w:t>
      </w:r>
    </w:p>
    <w:p w14:paraId="60866B87" w14:textId="77777777" w:rsidR="005B23CB" w:rsidRDefault="005B23CB" w:rsidP="005B23CB"/>
    <w:p w14:paraId="1FD81095" w14:textId="13A61F91" w:rsidR="00D910C5" w:rsidRDefault="00C6141F" w:rsidP="00D910C5">
      <w:r>
        <w:t>Based on the experience with the cognitive testing,</w:t>
      </w:r>
      <w:r w:rsidRPr="002E308B">
        <w:t xml:space="preserve"> </w:t>
      </w:r>
      <w:r w:rsidR="00D910C5">
        <w:t xml:space="preserve">full </w:t>
      </w:r>
      <w:r w:rsidR="00D910C5" w:rsidRPr="00A2735D">
        <w:t>data collection</w:t>
      </w:r>
      <w:r w:rsidR="00D910C5" w:rsidRPr="002E308B">
        <w:t xml:space="preserve"> </w:t>
      </w:r>
      <w:r w:rsidR="00D910C5">
        <w:t>will be</w:t>
      </w:r>
      <w:r w:rsidR="00D910C5" w:rsidRPr="002E308B">
        <w:t xml:space="preserve"> divided into four phases</w:t>
      </w:r>
      <w:r w:rsidR="00D910C5" w:rsidRPr="00A2735D">
        <w:rPr>
          <w:i/>
        </w:rPr>
        <w:t>: outreach and data collection; nonresponse follow-up; post data collection verification, validation and editing; and weighting for unit non-response and item imputation phases</w:t>
      </w:r>
      <w:r w:rsidR="00D910C5">
        <w:t>.</w:t>
      </w:r>
    </w:p>
    <w:p w14:paraId="3F00E53E" w14:textId="77777777" w:rsidR="00D910C5" w:rsidRDefault="00D910C5" w:rsidP="00D910C5"/>
    <w:p w14:paraId="20674F72" w14:textId="47E7FCD5" w:rsidR="00D910C5" w:rsidRPr="00C87E0F" w:rsidRDefault="00D910C5" w:rsidP="007B7F05">
      <w:pPr>
        <w:rPr>
          <w:b/>
        </w:rPr>
      </w:pPr>
      <w:r w:rsidRPr="00C87E0F">
        <w:rPr>
          <w:b/>
        </w:rPr>
        <w:t>Phase</w:t>
      </w:r>
      <w:r>
        <w:rPr>
          <w:b/>
        </w:rPr>
        <w:t xml:space="preserve"> </w:t>
      </w:r>
      <w:r w:rsidRPr="00C87E0F">
        <w:rPr>
          <w:b/>
        </w:rPr>
        <w:t>1:</w:t>
      </w:r>
      <w:r>
        <w:rPr>
          <w:b/>
        </w:rPr>
        <w:t xml:space="preserve">  </w:t>
      </w:r>
      <w:r w:rsidRPr="00C87E0F">
        <w:rPr>
          <w:b/>
        </w:rPr>
        <w:t>Outreach</w:t>
      </w:r>
      <w:r>
        <w:rPr>
          <w:b/>
        </w:rPr>
        <w:t xml:space="preserve"> </w:t>
      </w:r>
      <w:r w:rsidRPr="00C87E0F">
        <w:rPr>
          <w:b/>
        </w:rPr>
        <w:t>and</w:t>
      </w:r>
      <w:r>
        <w:rPr>
          <w:b/>
        </w:rPr>
        <w:t xml:space="preserve"> </w:t>
      </w:r>
      <w:r w:rsidRPr="00C87E0F">
        <w:rPr>
          <w:b/>
        </w:rPr>
        <w:t>data</w:t>
      </w:r>
      <w:r>
        <w:rPr>
          <w:b/>
        </w:rPr>
        <w:t xml:space="preserve"> </w:t>
      </w:r>
      <w:r w:rsidRPr="00C87E0F">
        <w:rPr>
          <w:b/>
        </w:rPr>
        <w:t>collection</w:t>
      </w:r>
      <w:r>
        <w:rPr>
          <w:b/>
        </w:rPr>
        <w:t xml:space="preserve"> </w:t>
      </w:r>
      <w:r w:rsidR="00AA7AC6">
        <w:rPr>
          <w:b/>
        </w:rPr>
        <w:t>for the Tribal Law Enforcement survey</w:t>
      </w:r>
    </w:p>
    <w:p w14:paraId="365F8CAD" w14:textId="77777777" w:rsidR="00D910C5" w:rsidRDefault="00D910C5" w:rsidP="00D910C5"/>
    <w:p w14:paraId="2E86F479" w14:textId="4CFDAD95" w:rsidR="005F627A" w:rsidRDefault="00D910C5" w:rsidP="005F627A">
      <w:pPr>
        <w:pStyle w:val="ListParagraph"/>
        <w:numPr>
          <w:ilvl w:val="0"/>
          <w:numId w:val="27"/>
        </w:numPr>
      </w:pPr>
      <w:r w:rsidRPr="005F627A">
        <w:rPr>
          <w:i/>
        </w:rPr>
        <w:t xml:space="preserve">Step </w:t>
      </w:r>
      <w:r w:rsidR="001E2E38">
        <w:rPr>
          <w:i/>
        </w:rPr>
        <w:t>1</w:t>
      </w:r>
      <w:r w:rsidRPr="005F627A">
        <w:rPr>
          <w:i/>
        </w:rPr>
        <w:t xml:space="preserve">.  Data collection begins.  </w:t>
      </w:r>
      <w:r w:rsidRPr="004B763F">
        <w:t xml:space="preserve">During week </w:t>
      </w:r>
      <w:r>
        <w:t>1</w:t>
      </w:r>
      <w:r w:rsidRPr="004B763F">
        <w:t xml:space="preserve"> of data collection, NORC</w:t>
      </w:r>
      <w:r>
        <w:t xml:space="preserve"> will mail a questionnaire packet to all </w:t>
      </w:r>
      <w:r w:rsidR="00FE3897">
        <w:t xml:space="preserve">280 </w:t>
      </w:r>
      <w:r w:rsidR="004C6E75">
        <w:t xml:space="preserve">tribal-government-operated </w:t>
      </w:r>
      <w:r w:rsidR="00BE236B">
        <w:t>agencies</w:t>
      </w:r>
      <w:r>
        <w:t xml:space="preserve"> via first class USPS mail. </w:t>
      </w:r>
      <w:r w:rsidR="00EF5F74">
        <w:t xml:space="preserve">(The remaining 28 eligible agencies—27 BIA LE agencies and the Alaska State Troopers—will be surveyed through a separate protocol detailed below.) </w:t>
      </w:r>
      <w:r>
        <w:t xml:space="preserve">The questionnaire packet will contain the CTLEA agency invitation letter from the BJS director </w:t>
      </w:r>
      <w:r w:rsidR="00723915">
        <w:t xml:space="preserve">addressed </w:t>
      </w:r>
      <w:r>
        <w:t xml:space="preserve">to the tribal </w:t>
      </w:r>
      <w:r w:rsidR="00903FED">
        <w:t>LE</w:t>
      </w:r>
      <w:r>
        <w:t xml:space="preserve"> agency (</w:t>
      </w:r>
      <w:r w:rsidRPr="005F627A">
        <w:rPr>
          <w:b/>
        </w:rPr>
        <w:t xml:space="preserve">Attachment </w:t>
      </w:r>
      <w:r w:rsidR="008C24DC">
        <w:rPr>
          <w:b/>
        </w:rPr>
        <w:t>2</w:t>
      </w:r>
      <w:r>
        <w:t xml:space="preserve">); </w:t>
      </w:r>
      <w:r w:rsidR="00723915">
        <w:t xml:space="preserve">the CTLEA </w:t>
      </w:r>
      <w:r>
        <w:t>questionnaire (</w:t>
      </w:r>
      <w:r w:rsidRPr="005F627A">
        <w:rPr>
          <w:b/>
        </w:rPr>
        <w:t xml:space="preserve">Attachments </w:t>
      </w:r>
      <w:r w:rsidR="008C24DC">
        <w:rPr>
          <w:b/>
        </w:rPr>
        <w:t>1</w:t>
      </w:r>
      <w:r>
        <w:t>); a letter of support from IACP and their Indian Country Law Enforcement Section</w:t>
      </w:r>
      <w:r w:rsidDel="001D0B68">
        <w:t xml:space="preserve"> </w:t>
      </w:r>
      <w:r>
        <w:t>(</w:t>
      </w:r>
      <w:r w:rsidRPr="005F627A">
        <w:rPr>
          <w:b/>
        </w:rPr>
        <w:t xml:space="preserve">Attachment </w:t>
      </w:r>
      <w:r w:rsidR="008C24DC">
        <w:rPr>
          <w:b/>
        </w:rPr>
        <w:t>3</w:t>
      </w:r>
      <w:r>
        <w:t xml:space="preserve">); and a pre-paid business-reply envelope for respondents to send the completed hard copy questionnaire to the data collection agent. </w:t>
      </w:r>
    </w:p>
    <w:p w14:paraId="0A5DA27F" w14:textId="77777777" w:rsidR="005F627A" w:rsidRDefault="005F627A" w:rsidP="00D901A8">
      <w:pPr>
        <w:pStyle w:val="ListParagraph"/>
      </w:pPr>
    </w:p>
    <w:p w14:paraId="452FA220" w14:textId="362B73A2" w:rsidR="00D910C5" w:rsidRDefault="00D910C5" w:rsidP="005F627A">
      <w:pPr>
        <w:pStyle w:val="ListParagraph"/>
        <w:numPr>
          <w:ilvl w:val="0"/>
          <w:numId w:val="26"/>
        </w:numPr>
      </w:pPr>
      <w:r w:rsidRPr="005F627A">
        <w:rPr>
          <w:i/>
        </w:rPr>
        <w:t xml:space="preserve">Step </w:t>
      </w:r>
      <w:r w:rsidR="001E2E38">
        <w:rPr>
          <w:i/>
        </w:rPr>
        <w:t>2</w:t>
      </w:r>
      <w:r w:rsidRPr="005F627A">
        <w:rPr>
          <w:i/>
        </w:rPr>
        <w:t xml:space="preserve">. Confirm receipt instruments.  </w:t>
      </w:r>
      <w:r>
        <w:t>Two weeks after the initial survey mailing, NORC will conduct one round of telephone outreach to all agencies that have not responded to the survey</w:t>
      </w:r>
      <w:r w:rsidR="00723915">
        <w:t>,</w:t>
      </w:r>
      <w:r>
        <w:t xml:space="preserve"> confirming receipt of the materials, </w:t>
      </w:r>
      <w:r w:rsidR="00723915">
        <w:t>responding to</w:t>
      </w:r>
      <w:r>
        <w:t xml:space="preserve"> questions, and encourag</w:t>
      </w:r>
      <w:r w:rsidR="00723915">
        <w:t>ing</w:t>
      </w:r>
      <w:r>
        <w:t xml:space="preserve"> timely submission. A copy of the confirmation script is included as </w:t>
      </w:r>
      <w:r w:rsidRPr="005F627A">
        <w:rPr>
          <w:b/>
        </w:rPr>
        <w:t xml:space="preserve">Attachment </w:t>
      </w:r>
      <w:r w:rsidR="008C24DC">
        <w:rPr>
          <w:b/>
        </w:rPr>
        <w:t>4</w:t>
      </w:r>
      <w:r>
        <w:t xml:space="preserve">. </w:t>
      </w:r>
    </w:p>
    <w:p w14:paraId="4F6B841C" w14:textId="77777777" w:rsidR="00D910C5" w:rsidRDefault="00D910C5" w:rsidP="00D910C5"/>
    <w:p w14:paraId="6AB801E2" w14:textId="219C8F0E" w:rsidR="00D910C5" w:rsidRPr="00C87E0F" w:rsidRDefault="00D910C5" w:rsidP="00D910C5">
      <w:pPr>
        <w:rPr>
          <w:b/>
        </w:rPr>
      </w:pPr>
      <w:r w:rsidRPr="00C87E0F">
        <w:rPr>
          <w:b/>
        </w:rPr>
        <w:t>Phase</w:t>
      </w:r>
      <w:r>
        <w:rPr>
          <w:b/>
        </w:rPr>
        <w:t xml:space="preserve"> </w:t>
      </w:r>
      <w:r w:rsidRPr="00C87E0F">
        <w:rPr>
          <w:b/>
        </w:rPr>
        <w:t>2.</w:t>
      </w:r>
      <w:r>
        <w:rPr>
          <w:b/>
        </w:rPr>
        <w:t xml:space="preserve">  </w:t>
      </w:r>
      <w:r w:rsidRPr="00C87E0F">
        <w:rPr>
          <w:b/>
        </w:rPr>
        <w:t>Nonresponse</w:t>
      </w:r>
      <w:r>
        <w:rPr>
          <w:b/>
        </w:rPr>
        <w:t xml:space="preserve"> </w:t>
      </w:r>
      <w:r w:rsidRPr="00C87E0F">
        <w:rPr>
          <w:b/>
        </w:rPr>
        <w:t>follow-up</w:t>
      </w:r>
      <w:r>
        <w:rPr>
          <w:b/>
        </w:rPr>
        <w:t xml:space="preserve"> </w:t>
      </w:r>
      <w:r w:rsidRPr="00C87E0F">
        <w:rPr>
          <w:b/>
        </w:rPr>
        <w:t>strategy</w:t>
      </w:r>
      <w:r w:rsidR="00AA7AC6">
        <w:rPr>
          <w:b/>
        </w:rPr>
        <w:t xml:space="preserve"> for the Tribal Law Enforcement survey</w:t>
      </w:r>
    </w:p>
    <w:p w14:paraId="302D2188" w14:textId="77777777" w:rsidR="00D910C5" w:rsidRDefault="00D910C5" w:rsidP="00D910C5"/>
    <w:p w14:paraId="4E6C1D7F" w14:textId="3BFFED03" w:rsidR="00D910C5" w:rsidRDefault="00D910C5" w:rsidP="00D910C5">
      <w:pPr>
        <w:pStyle w:val="ListParagraph"/>
        <w:numPr>
          <w:ilvl w:val="0"/>
          <w:numId w:val="5"/>
        </w:numPr>
      </w:pPr>
      <w:r w:rsidRPr="00451EE7">
        <w:rPr>
          <w:i/>
        </w:rPr>
        <w:t>Step</w:t>
      </w:r>
      <w:r>
        <w:rPr>
          <w:i/>
        </w:rPr>
        <w:t xml:space="preserve"> </w:t>
      </w:r>
      <w:r w:rsidR="001E2E38">
        <w:rPr>
          <w:i/>
        </w:rPr>
        <w:t>3</w:t>
      </w:r>
      <w:r w:rsidRPr="00451EE7">
        <w:rPr>
          <w:i/>
        </w:rPr>
        <w:t>.</w:t>
      </w:r>
      <w:r>
        <w:rPr>
          <w:i/>
        </w:rPr>
        <w:t xml:space="preserve">  </w:t>
      </w:r>
      <w:r w:rsidRPr="00451EE7">
        <w:rPr>
          <w:i/>
        </w:rPr>
        <w:t>Reminder</w:t>
      </w:r>
      <w:r>
        <w:rPr>
          <w:i/>
        </w:rPr>
        <w:t xml:space="preserve"> </w:t>
      </w:r>
      <w:r w:rsidRPr="00451EE7">
        <w:rPr>
          <w:i/>
        </w:rPr>
        <w:t>postcard</w:t>
      </w:r>
      <w:r>
        <w:rPr>
          <w:i/>
        </w:rPr>
        <w:t xml:space="preserve"> </w:t>
      </w:r>
      <w:r w:rsidRPr="00451EE7">
        <w:rPr>
          <w:i/>
        </w:rPr>
        <w:t>prompt.</w:t>
      </w:r>
      <w:r>
        <w:rPr>
          <w:i/>
        </w:rPr>
        <w:t xml:space="preserve">  </w:t>
      </w:r>
      <w:r w:rsidRPr="009E69ED">
        <w:t>One month after the start of data collection,</w:t>
      </w:r>
      <w:r>
        <w:t xml:space="preserve"> NORC will mail a reminder postcard (</w:t>
      </w:r>
      <w:r w:rsidRPr="006D6B1E">
        <w:rPr>
          <w:b/>
        </w:rPr>
        <w:t xml:space="preserve">Attachment </w:t>
      </w:r>
      <w:r w:rsidR="008C24DC">
        <w:rPr>
          <w:b/>
        </w:rPr>
        <w:t>5</w:t>
      </w:r>
      <w:r>
        <w:t>) to non-responding agencies.  The agency-specific postcard will be mailed approximately 2 weeks after the telephone calls. This postcard will encourage non-responders to complete and return the survey.</w:t>
      </w:r>
    </w:p>
    <w:p w14:paraId="24B468BB" w14:textId="77777777" w:rsidR="00D910C5" w:rsidRDefault="00D910C5" w:rsidP="00D910C5"/>
    <w:p w14:paraId="38228E5F" w14:textId="643459CA" w:rsidR="00D910C5" w:rsidRDefault="00D910C5" w:rsidP="00D910C5">
      <w:pPr>
        <w:pStyle w:val="ListParagraph"/>
        <w:numPr>
          <w:ilvl w:val="0"/>
          <w:numId w:val="5"/>
        </w:numPr>
        <w:autoSpaceDE w:val="0"/>
        <w:autoSpaceDN w:val="0"/>
        <w:adjustRightInd w:val="0"/>
      </w:pPr>
      <w:r w:rsidRPr="00451EE7">
        <w:rPr>
          <w:i/>
        </w:rPr>
        <w:t>Step</w:t>
      </w:r>
      <w:r>
        <w:rPr>
          <w:i/>
        </w:rPr>
        <w:t xml:space="preserve"> </w:t>
      </w:r>
      <w:r w:rsidR="001E2E38">
        <w:rPr>
          <w:i/>
        </w:rPr>
        <w:t>4</w:t>
      </w:r>
      <w:r w:rsidRPr="00451EE7">
        <w:rPr>
          <w:i/>
        </w:rPr>
        <w:t>.</w:t>
      </w:r>
      <w:r>
        <w:rPr>
          <w:i/>
        </w:rPr>
        <w:t xml:space="preserve">  </w:t>
      </w:r>
      <w:r w:rsidRPr="00451EE7">
        <w:rPr>
          <w:i/>
        </w:rPr>
        <w:t>Telephone</w:t>
      </w:r>
      <w:r>
        <w:rPr>
          <w:i/>
        </w:rPr>
        <w:t xml:space="preserve"> </w:t>
      </w:r>
      <w:r w:rsidRPr="00451EE7">
        <w:rPr>
          <w:i/>
        </w:rPr>
        <w:t>prompt.</w:t>
      </w:r>
      <w:r>
        <w:rPr>
          <w:i/>
        </w:rPr>
        <w:t xml:space="preserve">  </w:t>
      </w:r>
      <w:r>
        <w:t xml:space="preserve">Two weeks after the reminder postcard is mailed, NORC and IACP will conduct one round of telephone outreach to all non-responding agencies. </w:t>
      </w:r>
      <w:r w:rsidRPr="00277DB2">
        <w:t>This</w:t>
      </w:r>
      <w:r>
        <w:t xml:space="preserve"> </w:t>
      </w:r>
      <w:r w:rsidRPr="00277DB2">
        <w:t>round</w:t>
      </w:r>
      <w:r>
        <w:t xml:space="preserve"> </w:t>
      </w:r>
      <w:r w:rsidRPr="00277DB2">
        <w:t>of</w:t>
      </w:r>
      <w:r>
        <w:t xml:space="preserve"> </w:t>
      </w:r>
      <w:r w:rsidRPr="00277DB2">
        <w:t>telephone</w:t>
      </w:r>
      <w:r>
        <w:t xml:space="preserve"> </w:t>
      </w:r>
      <w:r w:rsidRPr="00277DB2">
        <w:t>calls</w:t>
      </w:r>
      <w:r>
        <w:t xml:space="preserve"> </w:t>
      </w:r>
      <w:r w:rsidRPr="00277DB2">
        <w:t>will</w:t>
      </w:r>
      <w:r>
        <w:t xml:space="preserve"> </w:t>
      </w:r>
      <w:r w:rsidRPr="00277DB2">
        <w:t>serve</w:t>
      </w:r>
      <w:r>
        <w:t xml:space="preserve"> </w:t>
      </w:r>
      <w:r w:rsidRPr="00277DB2">
        <w:t>to</w:t>
      </w:r>
      <w:r>
        <w:t xml:space="preserve"> determine progress on the survey, </w:t>
      </w:r>
      <w:r w:rsidR="00C6141F">
        <w:t xml:space="preserve">obtain an </w:t>
      </w:r>
      <w:r>
        <w:t xml:space="preserve">anticipated timeline for submission </w:t>
      </w:r>
      <w:r w:rsidRPr="00277DB2">
        <w:t>and</w:t>
      </w:r>
      <w:r>
        <w:t xml:space="preserve"> </w:t>
      </w:r>
      <w:r w:rsidRPr="00277DB2">
        <w:t>encourage</w:t>
      </w:r>
      <w:r>
        <w:t xml:space="preserve"> </w:t>
      </w:r>
      <w:r w:rsidRPr="00277DB2">
        <w:t>response.</w:t>
      </w:r>
      <w:r>
        <w:t xml:space="preserve"> </w:t>
      </w:r>
      <w:r w:rsidRPr="00277DB2">
        <w:t>Telephone</w:t>
      </w:r>
      <w:r>
        <w:t xml:space="preserve"> </w:t>
      </w:r>
      <w:r w:rsidRPr="00277DB2">
        <w:t>interviewers</w:t>
      </w:r>
      <w:r>
        <w:t xml:space="preserve"> </w:t>
      </w:r>
      <w:r w:rsidRPr="00277DB2">
        <w:t>will</w:t>
      </w:r>
      <w:r>
        <w:t xml:space="preserve"> </w:t>
      </w:r>
      <w:r w:rsidRPr="00277DB2">
        <w:t>also</w:t>
      </w:r>
      <w:r>
        <w:t xml:space="preserve"> </w:t>
      </w:r>
      <w:r w:rsidR="00C6141F">
        <w:t xml:space="preserve">be </w:t>
      </w:r>
      <w:r w:rsidRPr="00277DB2">
        <w:t>offer</w:t>
      </w:r>
      <w:r w:rsidR="00C6141F">
        <w:t>ed</w:t>
      </w:r>
      <w:r>
        <w:t xml:space="preserve"> </w:t>
      </w:r>
      <w:r w:rsidRPr="00277DB2">
        <w:t>to</w:t>
      </w:r>
      <w:r>
        <w:t xml:space="preserve"> </w:t>
      </w:r>
      <w:r w:rsidR="00C6141F">
        <w:t xml:space="preserve">those who want to </w:t>
      </w:r>
      <w:r w:rsidRPr="00277DB2">
        <w:t>complete</w:t>
      </w:r>
      <w:r>
        <w:t xml:space="preserve"> </w:t>
      </w:r>
      <w:r w:rsidRPr="00277DB2">
        <w:t>the</w:t>
      </w:r>
      <w:r>
        <w:t xml:space="preserve"> </w:t>
      </w:r>
      <w:r w:rsidRPr="00277DB2">
        <w:t>survey</w:t>
      </w:r>
      <w:r>
        <w:t xml:space="preserve"> </w:t>
      </w:r>
      <w:r w:rsidRPr="00277DB2">
        <w:t>over</w:t>
      </w:r>
      <w:r>
        <w:t xml:space="preserve"> </w:t>
      </w:r>
      <w:r w:rsidRPr="00277DB2">
        <w:t>the</w:t>
      </w:r>
      <w:r>
        <w:t xml:space="preserve"> </w:t>
      </w:r>
      <w:r w:rsidRPr="00277DB2">
        <w:t>telephone.</w:t>
      </w:r>
      <w:r>
        <w:t xml:space="preserve"> A copy of the prompting script is included as </w:t>
      </w:r>
      <w:r w:rsidRPr="006D6B1E">
        <w:rPr>
          <w:b/>
        </w:rPr>
        <w:t xml:space="preserve">Attachment </w:t>
      </w:r>
      <w:r w:rsidR="008C24DC">
        <w:rPr>
          <w:b/>
        </w:rPr>
        <w:t>6</w:t>
      </w:r>
      <w:r>
        <w:t>.</w:t>
      </w:r>
    </w:p>
    <w:p w14:paraId="20BCB472" w14:textId="77777777" w:rsidR="00D910C5" w:rsidRDefault="00D910C5" w:rsidP="00D910C5"/>
    <w:p w14:paraId="02633C67" w14:textId="47658215" w:rsidR="00D910C5" w:rsidRDefault="00D910C5" w:rsidP="00D910C5">
      <w:pPr>
        <w:pStyle w:val="ListParagraph"/>
        <w:numPr>
          <w:ilvl w:val="0"/>
          <w:numId w:val="5"/>
        </w:numPr>
      </w:pPr>
      <w:r w:rsidRPr="00451EE7">
        <w:rPr>
          <w:i/>
        </w:rPr>
        <w:t>Step</w:t>
      </w:r>
      <w:r>
        <w:rPr>
          <w:i/>
        </w:rPr>
        <w:t xml:space="preserve"> </w:t>
      </w:r>
      <w:r w:rsidR="001E2E38">
        <w:rPr>
          <w:i/>
        </w:rPr>
        <w:t>5</w:t>
      </w:r>
      <w:r w:rsidRPr="00451EE7">
        <w:rPr>
          <w:i/>
        </w:rPr>
        <w:t>.</w:t>
      </w:r>
      <w:r>
        <w:rPr>
          <w:i/>
        </w:rPr>
        <w:t xml:space="preserve">  </w:t>
      </w:r>
      <w:r w:rsidRPr="00451EE7">
        <w:rPr>
          <w:i/>
        </w:rPr>
        <w:t>Email</w:t>
      </w:r>
      <w:r>
        <w:rPr>
          <w:i/>
        </w:rPr>
        <w:t xml:space="preserve"> and/or </w:t>
      </w:r>
      <w:r w:rsidRPr="00451EE7">
        <w:rPr>
          <w:i/>
        </w:rPr>
        <w:t>fax</w:t>
      </w:r>
      <w:r>
        <w:rPr>
          <w:i/>
        </w:rPr>
        <w:t xml:space="preserve"> </w:t>
      </w:r>
      <w:r w:rsidRPr="00451EE7">
        <w:rPr>
          <w:i/>
        </w:rPr>
        <w:t>prompt.</w:t>
      </w:r>
      <w:r>
        <w:rPr>
          <w:i/>
        </w:rPr>
        <w:t xml:space="preserve">  </w:t>
      </w:r>
      <w:r w:rsidRPr="00511745">
        <w:t>During week</w:t>
      </w:r>
      <w:r>
        <w:t xml:space="preserve"> 8 of the data collection a fax and/or email reminder (</w:t>
      </w:r>
      <w:r w:rsidRPr="00CA5B17">
        <w:rPr>
          <w:b/>
        </w:rPr>
        <w:t xml:space="preserve">Attachment </w:t>
      </w:r>
      <w:r w:rsidR="008C24DC">
        <w:rPr>
          <w:b/>
        </w:rPr>
        <w:t>7</w:t>
      </w:r>
      <w:r>
        <w:t xml:space="preserve">) will be sent to all non-responding agencies.  If an agency contact has an email address, an email reminder will be sent.  If a fax number only is available, a fax will be sent to the agency. </w:t>
      </w:r>
      <w:r w:rsidR="002D38BA">
        <w:t xml:space="preserve">If both a fax and e-mail are available, both will be sent. </w:t>
      </w:r>
      <w:r>
        <w:t>The fax/email will provide a different form of contact to gain the respondent’s attention, stress the importance of the study, and prompt for the return of the questionnaire.</w:t>
      </w:r>
    </w:p>
    <w:p w14:paraId="3410FDBB" w14:textId="77777777" w:rsidR="00D910C5" w:rsidRDefault="00D910C5" w:rsidP="00D910C5"/>
    <w:p w14:paraId="0AE2BF43" w14:textId="1C3C4875" w:rsidR="00D910C5" w:rsidRDefault="00D910C5" w:rsidP="00D910C5">
      <w:pPr>
        <w:pStyle w:val="ListParagraph"/>
        <w:numPr>
          <w:ilvl w:val="0"/>
          <w:numId w:val="8"/>
        </w:numPr>
      </w:pPr>
      <w:r w:rsidRPr="00451EE7">
        <w:rPr>
          <w:i/>
        </w:rPr>
        <w:t>Ste</w:t>
      </w:r>
      <w:r>
        <w:rPr>
          <w:i/>
        </w:rPr>
        <w:t xml:space="preserve">p </w:t>
      </w:r>
      <w:r w:rsidR="001E2E38">
        <w:rPr>
          <w:i/>
        </w:rPr>
        <w:t>6</w:t>
      </w:r>
      <w:r>
        <w:rPr>
          <w:i/>
        </w:rPr>
        <w:t xml:space="preserve">.  Second hardcopy mailing.  </w:t>
      </w:r>
      <w:r w:rsidRPr="00511745">
        <w:t>One month prior to the end of data collection, all</w:t>
      </w:r>
      <w:r>
        <w:t xml:space="preserve"> remaining non-responding agencies will be mailed a second hardcopy questionnaire via USPS first class mail. The package will contain a personalized letter from the BJS director that urges the agency to respond (</w:t>
      </w:r>
      <w:r w:rsidRPr="00CA5B17">
        <w:rPr>
          <w:b/>
        </w:rPr>
        <w:t xml:space="preserve">Attachment </w:t>
      </w:r>
      <w:r w:rsidR="008C24DC">
        <w:rPr>
          <w:b/>
        </w:rPr>
        <w:t>8</w:t>
      </w:r>
      <w:r>
        <w:t>), a copy of the questionnaire based on the agency’s sample type, and an envelope in which to return the completed survey.</w:t>
      </w:r>
    </w:p>
    <w:p w14:paraId="37D02D08" w14:textId="77777777" w:rsidR="00D910C5" w:rsidRDefault="00D910C5" w:rsidP="00D910C5">
      <w:pPr>
        <w:pStyle w:val="ListParagraph"/>
      </w:pPr>
      <w:r>
        <w:t xml:space="preserve">  </w:t>
      </w:r>
    </w:p>
    <w:p w14:paraId="485C4E84" w14:textId="3FDF7C70" w:rsidR="00D910C5" w:rsidRPr="00472FE2" w:rsidRDefault="00D910C5" w:rsidP="00D910C5">
      <w:pPr>
        <w:pStyle w:val="ListParagraph"/>
        <w:numPr>
          <w:ilvl w:val="0"/>
          <w:numId w:val="8"/>
        </w:numPr>
      </w:pPr>
      <w:r w:rsidRPr="00472FE2">
        <w:rPr>
          <w:i/>
        </w:rPr>
        <w:t xml:space="preserve">Step </w:t>
      </w:r>
      <w:r w:rsidR="001E2E38">
        <w:rPr>
          <w:i/>
        </w:rPr>
        <w:t>7</w:t>
      </w:r>
      <w:r w:rsidRPr="00472FE2">
        <w:t xml:space="preserve">.  </w:t>
      </w:r>
      <w:r w:rsidRPr="00472FE2">
        <w:rPr>
          <w:i/>
        </w:rPr>
        <w:t>Nonresponse follow-up.</w:t>
      </w:r>
      <w:r w:rsidRPr="00472FE2">
        <w:t xml:space="preserve">  </w:t>
      </w:r>
      <w:r>
        <w:t>Some p</w:t>
      </w:r>
      <w:r w:rsidRPr="00472FE2">
        <w:t xml:space="preserve">artner organizations that participated in </w:t>
      </w:r>
      <w:r>
        <w:t xml:space="preserve">the </w:t>
      </w:r>
      <w:r w:rsidRPr="00472FE2">
        <w:t xml:space="preserve">development of the CTLEA </w:t>
      </w:r>
      <w:r>
        <w:t xml:space="preserve">surveys </w:t>
      </w:r>
      <w:r w:rsidRPr="00472FE2">
        <w:t xml:space="preserve">will be asked to assist in the nonresponse follow-up.  </w:t>
      </w:r>
      <w:r>
        <w:t>These p</w:t>
      </w:r>
      <w:r w:rsidRPr="00472FE2">
        <w:t>artnering organizations have regular contact with or work within Indian country</w:t>
      </w:r>
      <w:r>
        <w:t xml:space="preserve">. One week following the second hardcopy mailing, IACP Indian Country Section members will </w:t>
      </w:r>
      <w:r w:rsidR="002D38BA">
        <w:t xml:space="preserve">conduct </w:t>
      </w:r>
      <w:r>
        <w:t>outreach to non-responding agencies</w:t>
      </w:r>
      <w:r w:rsidR="00AE3459">
        <w:t xml:space="preserve"> (Attachment 18)</w:t>
      </w:r>
      <w:r>
        <w:t xml:space="preserve">. </w:t>
      </w:r>
    </w:p>
    <w:p w14:paraId="183D0A27" w14:textId="77777777" w:rsidR="00D910C5" w:rsidRDefault="00D910C5" w:rsidP="00D910C5">
      <w:pPr>
        <w:pStyle w:val="ListParagraph"/>
      </w:pPr>
    </w:p>
    <w:p w14:paraId="2FD5DC02" w14:textId="77777777" w:rsidR="00942293" w:rsidRDefault="00D910C5" w:rsidP="00942293">
      <w:pPr>
        <w:pStyle w:val="ListParagraph"/>
        <w:numPr>
          <w:ilvl w:val="0"/>
          <w:numId w:val="8"/>
        </w:numPr>
      </w:pPr>
      <w:r w:rsidRPr="00B9565A">
        <w:rPr>
          <w:i/>
        </w:rPr>
        <w:t xml:space="preserve">Step </w:t>
      </w:r>
      <w:r w:rsidR="001E2E38">
        <w:rPr>
          <w:i/>
        </w:rPr>
        <w:t>8</w:t>
      </w:r>
      <w:r w:rsidRPr="00B9565A">
        <w:rPr>
          <w:i/>
        </w:rPr>
        <w:t xml:space="preserve">.  </w:t>
      </w:r>
      <w:r>
        <w:rPr>
          <w:i/>
        </w:rPr>
        <w:t>L</w:t>
      </w:r>
      <w:r w:rsidRPr="00B9565A">
        <w:rPr>
          <w:i/>
        </w:rPr>
        <w:t xml:space="preserve">ast chance post card.  </w:t>
      </w:r>
      <w:r w:rsidRPr="00B9565A">
        <w:t xml:space="preserve">Two weeks prior to the end of data collection, </w:t>
      </w:r>
      <w:r>
        <w:t>a</w:t>
      </w:r>
      <w:r w:rsidRPr="00B9565A">
        <w:t xml:space="preserve"> Last Chance postcard notice (</w:t>
      </w:r>
      <w:r w:rsidRPr="006D6B1E">
        <w:rPr>
          <w:b/>
        </w:rPr>
        <w:t xml:space="preserve">Attachment </w:t>
      </w:r>
      <w:r w:rsidR="008C24DC">
        <w:rPr>
          <w:b/>
        </w:rPr>
        <w:t>9</w:t>
      </w:r>
      <w:r w:rsidRPr="00B9565A">
        <w:t xml:space="preserve">) will be </w:t>
      </w:r>
      <w:r>
        <w:t>mailed</w:t>
      </w:r>
      <w:r w:rsidRPr="00B9565A">
        <w:t xml:space="preserve"> via USPS first class mail alerting </w:t>
      </w:r>
      <w:r>
        <w:t xml:space="preserve">non-responding agencies </w:t>
      </w:r>
      <w:r w:rsidRPr="00B9565A">
        <w:t>of the scheduled data collection end date.</w:t>
      </w:r>
      <w:r>
        <w:t xml:space="preserve"> An email announcement will also be sent to those agencies with an email address on file. </w:t>
      </w:r>
    </w:p>
    <w:p w14:paraId="68693381" w14:textId="77777777" w:rsidR="00942293" w:rsidRPr="00942293" w:rsidRDefault="00942293" w:rsidP="00942293"/>
    <w:p w14:paraId="26E9C30B" w14:textId="77777777" w:rsidR="00942293" w:rsidRPr="00942293" w:rsidRDefault="00942293" w:rsidP="00942293">
      <w:pPr>
        <w:pStyle w:val="ListParagraph"/>
        <w:rPr>
          <w:b/>
        </w:rPr>
      </w:pPr>
    </w:p>
    <w:p w14:paraId="01C6C380" w14:textId="3A65F57E" w:rsidR="00942293" w:rsidRPr="00942293" w:rsidRDefault="00C91792" w:rsidP="00942293">
      <w:r w:rsidRPr="00942293">
        <w:rPr>
          <w:b/>
        </w:rPr>
        <w:t>Phase 1 and 2 for BIA data collection and nonresponse follow u</w:t>
      </w:r>
      <w:r w:rsidR="00AA7AC6" w:rsidRPr="00942293">
        <w:rPr>
          <w:b/>
        </w:rPr>
        <w:t>p</w:t>
      </w:r>
      <w:r w:rsidR="00A538BE" w:rsidRPr="00942293">
        <w:rPr>
          <w:b/>
        </w:rPr>
        <w:t xml:space="preserve">.  </w:t>
      </w:r>
    </w:p>
    <w:p w14:paraId="52C58E63" w14:textId="77777777" w:rsidR="00942293" w:rsidRDefault="00942293" w:rsidP="00942293">
      <w:pPr>
        <w:rPr>
          <w:b/>
        </w:rPr>
      </w:pPr>
    </w:p>
    <w:p w14:paraId="1030A925" w14:textId="529CBD32" w:rsidR="00AA7AC6" w:rsidRPr="00942293" w:rsidRDefault="00AA7AC6" w:rsidP="00942293">
      <w:r w:rsidRPr="00942293">
        <w:t xml:space="preserve">Unlike the data collection and </w:t>
      </w:r>
      <w:r w:rsidR="004C6E75">
        <w:t xml:space="preserve">follow up effort described for tribal </w:t>
      </w:r>
      <w:r w:rsidRPr="00942293">
        <w:t xml:space="preserve">LE agencies, the project will rely on central </w:t>
      </w:r>
      <w:r w:rsidR="00F16022">
        <w:t>offices</w:t>
      </w:r>
      <w:r w:rsidRPr="00942293">
        <w:t xml:space="preserve"> within the </w:t>
      </w:r>
      <w:r w:rsidR="00C91792" w:rsidRPr="00AA7AC6">
        <w:t>BIA and A</w:t>
      </w:r>
      <w:r w:rsidR="00C91792" w:rsidRPr="00F4548B">
        <w:t xml:space="preserve">laska </w:t>
      </w:r>
      <w:r w:rsidRPr="00942293">
        <w:t>State</w:t>
      </w:r>
      <w:r w:rsidR="00F16022">
        <w:t xml:space="preserve"> </w:t>
      </w:r>
      <w:r w:rsidR="00160640">
        <w:t>Troopers</w:t>
      </w:r>
      <w:r w:rsidRPr="00942293">
        <w:t xml:space="preserve"> for distribution, follow up, and</w:t>
      </w:r>
      <w:r w:rsidR="00F16022">
        <w:t>, where appropriate,</w:t>
      </w:r>
      <w:r w:rsidRPr="00942293">
        <w:t xml:space="preserve"> completion of surveys. At the start of the data collection period, the following actions will be taken by the project:</w:t>
      </w:r>
    </w:p>
    <w:p w14:paraId="6079DA7B" w14:textId="77777777" w:rsidR="00AA7AC6" w:rsidRDefault="00AA7AC6" w:rsidP="00942293"/>
    <w:p w14:paraId="250FF437" w14:textId="05E109F1" w:rsidR="00F4548B" w:rsidRDefault="00F4548B" w:rsidP="00942293">
      <w:pPr>
        <w:pStyle w:val="ListParagraph"/>
        <w:numPr>
          <w:ilvl w:val="0"/>
          <w:numId w:val="45"/>
        </w:numPr>
      </w:pPr>
      <w:r w:rsidRPr="00942293">
        <w:rPr>
          <w:b/>
        </w:rPr>
        <w:t xml:space="preserve">Alaska State </w:t>
      </w:r>
      <w:r w:rsidR="00160640">
        <w:rPr>
          <w:b/>
        </w:rPr>
        <w:t>Troopers</w:t>
      </w:r>
      <w:r>
        <w:t xml:space="preserve">: A copy of the </w:t>
      </w:r>
      <w:r w:rsidR="00DA6F42">
        <w:t xml:space="preserve">CTLEA </w:t>
      </w:r>
      <w:r>
        <w:t xml:space="preserve">survey </w:t>
      </w:r>
      <w:r w:rsidR="00F16022">
        <w:t xml:space="preserve">will be forwarded to the central office for the Alaska State </w:t>
      </w:r>
      <w:r w:rsidR="00160640">
        <w:t>Troopers</w:t>
      </w:r>
      <w:r w:rsidR="00F16022">
        <w:t xml:space="preserve">. </w:t>
      </w:r>
      <w:r w:rsidR="00160640">
        <w:t>One</w:t>
      </w:r>
      <w:r w:rsidR="00F16022">
        <w:t xml:space="preserve"> survey will be completed on behalf of all VPSOs</w:t>
      </w:r>
      <w:r w:rsidR="004F7A4A">
        <w:t xml:space="preserve">, with aggregate data used to populate the survey. The Alaska State </w:t>
      </w:r>
      <w:r w:rsidR="00160640">
        <w:t>Troopers</w:t>
      </w:r>
      <w:r w:rsidR="004F7A4A">
        <w:t xml:space="preserve"> have confirmed their ability to provide aggregate data and complete the </w:t>
      </w:r>
      <w:r w:rsidR="00DA6F42">
        <w:t xml:space="preserve">CTLEA </w:t>
      </w:r>
      <w:r w:rsidR="004F7A4A">
        <w:t>survey as written.</w:t>
      </w:r>
    </w:p>
    <w:p w14:paraId="6DD3AB0E" w14:textId="1405D864" w:rsidR="00C91792" w:rsidRPr="00F4548B" w:rsidRDefault="004F7A4A" w:rsidP="00942293">
      <w:pPr>
        <w:pStyle w:val="ListParagraph"/>
        <w:numPr>
          <w:ilvl w:val="0"/>
          <w:numId w:val="45"/>
        </w:numPr>
      </w:pPr>
      <w:r w:rsidRPr="00942293">
        <w:rPr>
          <w:b/>
        </w:rPr>
        <w:t>Bureau of Indian Affairs offices:</w:t>
      </w:r>
      <w:r>
        <w:t xml:space="preserve"> </w:t>
      </w:r>
      <w:r w:rsidR="00160640">
        <w:t>C</w:t>
      </w:r>
      <w:r>
        <w:t>opies of the BIA survey (</w:t>
      </w:r>
      <w:r w:rsidR="007118B5" w:rsidRPr="00C94D38">
        <w:rPr>
          <w:b/>
        </w:rPr>
        <w:t>Attachment 10</w:t>
      </w:r>
      <w:r>
        <w:t xml:space="preserve">) will be provided to </w:t>
      </w:r>
      <w:r w:rsidR="00DA6F42">
        <w:t xml:space="preserve">BIA’s </w:t>
      </w:r>
      <w:r w:rsidR="00160640">
        <w:t>O</w:t>
      </w:r>
      <w:r w:rsidR="00C91792" w:rsidRPr="00AA7AC6">
        <w:t>ffice of Justice Services</w:t>
      </w:r>
      <w:r>
        <w:t xml:space="preserve">. In turn, the </w:t>
      </w:r>
      <w:r w:rsidR="00160640">
        <w:t>O</w:t>
      </w:r>
      <w:r>
        <w:t xml:space="preserve">ffice of Justice </w:t>
      </w:r>
      <w:r w:rsidR="00160640">
        <w:t>Services</w:t>
      </w:r>
      <w:r>
        <w:t xml:space="preserve"> </w:t>
      </w:r>
      <w:r w:rsidR="00C91792" w:rsidRPr="00AA7AC6">
        <w:t xml:space="preserve">will forward </w:t>
      </w:r>
      <w:r w:rsidR="00160640">
        <w:t xml:space="preserve">the survey </w:t>
      </w:r>
      <w:r w:rsidR="00C91792" w:rsidRPr="00AA7AC6">
        <w:t xml:space="preserve">to individual </w:t>
      </w:r>
      <w:r w:rsidR="00160640">
        <w:t xml:space="preserve">BIA </w:t>
      </w:r>
      <w:r w:rsidR="00903FED">
        <w:t>LE</w:t>
      </w:r>
      <w:r w:rsidR="00160640">
        <w:t xml:space="preserve"> agencies</w:t>
      </w:r>
      <w:r w:rsidR="00C91792" w:rsidRPr="00AA7AC6">
        <w:t xml:space="preserve"> for completion</w:t>
      </w:r>
      <w:r w:rsidR="00160640">
        <w:t>. BIA</w:t>
      </w:r>
      <w:r w:rsidR="007118B5">
        <w:t xml:space="preserve"> surveys</w:t>
      </w:r>
      <w:r w:rsidR="00160640">
        <w:t xml:space="preserve"> will be</w:t>
      </w:r>
      <w:r w:rsidR="007118B5">
        <w:t xml:space="preserve"> </w:t>
      </w:r>
      <w:r w:rsidR="00C91792" w:rsidRPr="00AA7AC6">
        <w:t>return</w:t>
      </w:r>
      <w:r>
        <w:t>ed</w:t>
      </w:r>
      <w:r w:rsidR="00C91792" w:rsidRPr="00AA7AC6">
        <w:t xml:space="preserve"> to </w:t>
      </w:r>
      <w:r w:rsidR="00DA6F42">
        <w:t>NORC, the BJS contractor,</w:t>
      </w:r>
      <w:r>
        <w:t xml:space="preserve"> upon completion</w:t>
      </w:r>
      <w:r w:rsidR="00C91792" w:rsidRPr="00F4548B">
        <w:t>. Similar steps as outlined above will be followed to ensure receipt of the surveys</w:t>
      </w:r>
      <w:r>
        <w:t>, though all direct follow up activities will be conducted by the Office of Justice Services</w:t>
      </w:r>
      <w:r w:rsidR="00C91792" w:rsidRPr="00F4548B">
        <w:t xml:space="preserve">. </w:t>
      </w:r>
    </w:p>
    <w:p w14:paraId="645FB207" w14:textId="77777777" w:rsidR="007D176A" w:rsidRDefault="007D176A" w:rsidP="00D910C5">
      <w:pPr>
        <w:rPr>
          <w:b/>
        </w:rPr>
      </w:pPr>
    </w:p>
    <w:p w14:paraId="463DB506" w14:textId="77777777" w:rsidR="007D176A" w:rsidRDefault="007D176A" w:rsidP="00D910C5">
      <w:pPr>
        <w:rPr>
          <w:b/>
        </w:rPr>
      </w:pPr>
    </w:p>
    <w:p w14:paraId="594E6C64" w14:textId="77777777" w:rsidR="00D910C5" w:rsidRDefault="00D910C5" w:rsidP="00D910C5">
      <w:pPr>
        <w:rPr>
          <w:b/>
        </w:rPr>
      </w:pPr>
      <w:r w:rsidRPr="00C87E0F">
        <w:rPr>
          <w:b/>
        </w:rPr>
        <w:t>Phase</w:t>
      </w:r>
      <w:r>
        <w:rPr>
          <w:b/>
        </w:rPr>
        <w:t xml:space="preserve"> </w:t>
      </w:r>
      <w:r w:rsidRPr="00C87E0F">
        <w:rPr>
          <w:b/>
        </w:rPr>
        <w:t>3.</w:t>
      </w:r>
      <w:r>
        <w:rPr>
          <w:b/>
        </w:rPr>
        <w:t xml:space="preserve">  </w:t>
      </w:r>
      <w:r w:rsidRPr="00C87E0F">
        <w:rPr>
          <w:b/>
        </w:rPr>
        <w:t>Post</w:t>
      </w:r>
      <w:r>
        <w:rPr>
          <w:b/>
        </w:rPr>
        <w:t xml:space="preserve"> </w:t>
      </w:r>
      <w:r w:rsidRPr="00C87E0F">
        <w:rPr>
          <w:b/>
        </w:rPr>
        <w:t>data</w:t>
      </w:r>
      <w:r>
        <w:rPr>
          <w:b/>
        </w:rPr>
        <w:t xml:space="preserve"> </w:t>
      </w:r>
      <w:r w:rsidRPr="00C87E0F">
        <w:rPr>
          <w:b/>
        </w:rPr>
        <w:t>collection</w:t>
      </w:r>
      <w:r>
        <w:rPr>
          <w:b/>
        </w:rPr>
        <w:t xml:space="preserve"> </w:t>
      </w:r>
      <w:r w:rsidRPr="00C87E0F">
        <w:rPr>
          <w:b/>
        </w:rPr>
        <w:t>verification,</w:t>
      </w:r>
      <w:r>
        <w:rPr>
          <w:b/>
        </w:rPr>
        <w:t xml:space="preserve"> </w:t>
      </w:r>
      <w:r w:rsidRPr="00C87E0F">
        <w:rPr>
          <w:b/>
        </w:rPr>
        <w:t>validation</w:t>
      </w:r>
      <w:r>
        <w:rPr>
          <w:b/>
        </w:rPr>
        <w:t xml:space="preserve"> </w:t>
      </w:r>
      <w:r w:rsidRPr="00C87E0F">
        <w:rPr>
          <w:b/>
        </w:rPr>
        <w:t>and</w:t>
      </w:r>
      <w:r>
        <w:rPr>
          <w:b/>
        </w:rPr>
        <w:t xml:space="preserve"> </w:t>
      </w:r>
      <w:r w:rsidRPr="00C87E0F">
        <w:rPr>
          <w:b/>
        </w:rPr>
        <w:t>editing</w:t>
      </w:r>
    </w:p>
    <w:p w14:paraId="30A12593" w14:textId="77777777" w:rsidR="00D910C5" w:rsidRDefault="00D910C5" w:rsidP="00D910C5">
      <w:pPr>
        <w:rPr>
          <w:b/>
        </w:rPr>
      </w:pPr>
    </w:p>
    <w:p w14:paraId="312B4BCC" w14:textId="068C6E97" w:rsidR="00D910C5" w:rsidRDefault="00D910C5" w:rsidP="00D901A8">
      <w:pPr>
        <w:pStyle w:val="ListParagraph"/>
        <w:widowControl w:val="0"/>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sidRPr="00D901A8">
        <w:rPr>
          <w:i/>
          <w:color w:val="000000" w:themeColor="text1"/>
        </w:rPr>
        <w:t>Step 1. Data editing and retrieval</w:t>
      </w:r>
      <w:r w:rsidR="00DD0041" w:rsidRPr="00D901A8">
        <w:rPr>
          <w:i/>
          <w:color w:val="000000" w:themeColor="text1"/>
        </w:rPr>
        <w:t>.</w:t>
      </w:r>
      <w:r w:rsidR="00DD0041">
        <w:rPr>
          <w:color w:val="000000" w:themeColor="text1"/>
        </w:rPr>
        <w:t xml:space="preserve"> </w:t>
      </w:r>
      <w:r w:rsidRPr="00D4615D">
        <w:rPr>
          <w:color w:val="000000" w:themeColor="text1"/>
        </w:rPr>
        <w:t>NORC staff will edit completed surveys to assess whether missing information can be imputed based on survey responses, if values are within range and if inconsistencies can be</w:t>
      </w:r>
      <w:r w:rsidRPr="005F627A">
        <w:rPr>
          <w:color w:val="000000" w:themeColor="text1"/>
        </w:rPr>
        <w:t xml:space="preserve"> resolved. When it is determined that additional data are needed because of errors, inconsistencies, or missing data that cannot be corrected using the editing specifications, the data collection agent will contact (</w:t>
      </w:r>
      <w:r w:rsidRPr="005F627A">
        <w:rPr>
          <w:b/>
          <w:color w:val="000000" w:themeColor="text1"/>
        </w:rPr>
        <w:t xml:space="preserve">Attachment </w:t>
      </w:r>
      <w:r w:rsidR="008C24DC">
        <w:rPr>
          <w:b/>
          <w:color w:val="000000" w:themeColor="text1"/>
        </w:rPr>
        <w:t>11</w:t>
      </w:r>
      <w:r w:rsidRPr="005F627A">
        <w:rPr>
          <w:color w:val="000000" w:themeColor="text1"/>
        </w:rPr>
        <w:t xml:space="preserve">) the data provider for clarification as </w:t>
      </w:r>
      <w:r w:rsidR="002D38BA">
        <w:rPr>
          <w:color w:val="000000" w:themeColor="text1"/>
        </w:rPr>
        <w:t>close</w:t>
      </w:r>
      <w:r w:rsidR="002D38BA" w:rsidRPr="005F627A">
        <w:rPr>
          <w:color w:val="000000" w:themeColor="text1"/>
        </w:rPr>
        <w:t xml:space="preserve"> </w:t>
      </w:r>
      <w:r w:rsidRPr="005F627A">
        <w:rPr>
          <w:color w:val="000000" w:themeColor="text1"/>
        </w:rPr>
        <w:t xml:space="preserve">as possible to the date of submission of the questionnaire. </w:t>
      </w:r>
    </w:p>
    <w:p w14:paraId="6507B151" w14:textId="02CF5FE6" w:rsidR="00D910C5" w:rsidRDefault="00D910C5" w:rsidP="00D910C5">
      <w:pPr>
        <w:pStyle w:val="ListParagraph"/>
        <w:numPr>
          <w:ilvl w:val="0"/>
          <w:numId w:val="25"/>
        </w:numPr>
        <w:autoSpaceDE w:val="0"/>
        <w:autoSpaceDN w:val="0"/>
        <w:adjustRightInd w:val="0"/>
        <w:rPr>
          <w:color w:val="000000" w:themeColor="text1"/>
        </w:rPr>
      </w:pPr>
      <w:r w:rsidRPr="00D901A8">
        <w:rPr>
          <w:i/>
          <w:color w:val="000000" w:themeColor="text1"/>
        </w:rPr>
        <w:t>Step 2. Data entry</w:t>
      </w:r>
      <w:r w:rsidR="00DD0041" w:rsidRPr="00D901A8">
        <w:rPr>
          <w:i/>
          <w:color w:val="000000" w:themeColor="text1"/>
        </w:rPr>
        <w:t>.</w:t>
      </w:r>
      <w:r w:rsidR="00DD0041">
        <w:rPr>
          <w:b/>
          <w:color w:val="000000" w:themeColor="text1"/>
        </w:rPr>
        <w:t xml:space="preserve"> </w:t>
      </w:r>
      <w:r w:rsidRPr="00A2735D">
        <w:rPr>
          <w:color w:val="000000" w:themeColor="text1"/>
        </w:rPr>
        <w:t xml:space="preserve"> </w:t>
      </w:r>
      <w:r w:rsidR="002D38BA">
        <w:rPr>
          <w:color w:val="000000" w:themeColor="text1"/>
        </w:rPr>
        <w:t xml:space="preserve">As editing and data retrieval is completed, survey data will be keyed into a database by NORC.  </w:t>
      </w:r>
    </w:p>
    <w:p w14:paraId="732A52F4" w14:textId="77777777" w:rsidR="005F627A" w:rsidRPr="00A2735D" w:rsidRDefault="005F627A" w:rsidP="00DD0041">
      <w:pPr>
        <w:pStyle w:val="ListParagraph"/>
        <w:autoSpaceDE w:val="0"/>
        <w:autoSpaceDN w:val="0"/>
        <w:adjustRightInd w:val="0"/>
        <w:ind w:left="1080"/>
        <w:rPr>
          <w:color w:val="000000" w:themeColor="text1"/>
        </w:rPr>
      </w:pPr>
    </w:p>
    <w:p w14:paraId="39BD5560" w14:textId="77777777" w:rsidR="00D910C5" w:rsidRDefault="00D910C5" w:rsidP="00D910C5"/>
    <w:p w14:paraId="2F810BBC" w14:textId="77777777" w:rsidR="0091222E" w:rsidRPr="00FC26BC" w:rsidRDefault="0091222E" w:rsidP="0091222E">
      <w:pPr>
        <w:pStyle w:val="Default"/>
        <w:rPr>
          <w:rFonts w:ascii="Times New Roman" w:hAnsi="Times New Roman" w:cs="Times New Roman"/>
          <w:b/>
        </w:rPr>
      </w:pPr>
      <w:r w:rsidRPr="00FC26BC">
        <w:rPr>
          <w:rFonts w:ascii="Times New Roman" w:hAnsi="Times New Roman" w:cs="Times New Roman"/>
          <w:b/>
        </w:rPr>
        <w:t>Phase 4:  Weighting for unit non-response and item imputation</w:t>
      </w:r>
    </w:p>
    <w:p w14:paraId="04ABE632" w14:textId="77777777" w:rsidR="0091222E" w:rsidRDefault="0091222E" w:rsidP="0091222E">
      <w:pPr>
        <w:pStyle w:val="Default"/>
        <w:rPr>
          <w:rFonts w:ascii="Times New Roman" w:hAnsi="Times New Roman" w:cs="Times New Roman"/>
          <w:b/>
          <w:color w:val="auto"/>
        </w:rPr>
      </w:pPr>
    </w:p>
    <w:p w14:paraId="7C654A8F" w14:textId="689EB4D9" w:rsidR="002D38BA" w:rsidRDefault="0091222E" w:rsidP="0091222E">
      <w:pPr>
        <w:pStyle w:val="SP-SglSpPara"/>
        <w:tabs>
          <w:tab w:val="left" w:pos="720"/>
        </w:tabs>
        <w:ind w:firstLine="0"/>
        <w:jc w:val="left"/>
        <w:rPr>
          <w:i/>
        </w:rPr>
      </w:pPr>
      <w:r w:rsidRPr="0093299C">
        <w:rPr>
          <w:i/>
        </w:rPr>
        <w:t>Weighting for Unit Non-Respons</w:t>
      </w:r>
      <w:r w:rsidR="005F627A">
        <w:rPr>
          <w:color w:val="000000" w:themeColor="text1"/>
        </w:rPr>
        <w:t>e</w:t>
      </w:r>
      <w:r w:rsidR="005F627A">
        <w:rPr>
          <w:i/>
        </w:rPr>
        <w:t xml:space="preserve">  </w:t>
      </w:r>
    </w:p>
    <w:p w14:paraId="51AAB6CC" w14:textId="4E231B5D" w:rsidR="0091222E" w:rsidRDefault="0091222E" w:rsidP="0091222E">
      <w:pPr>
        <w:pStyle w:val="SP-SglSpPara"/>
        <w:tabs>
          <w:tab w:val="left" w:pos="720"/>
        </w:tabs>
        <w:ind w:firstLine="0"/>
        <w:jc w:val="left"/>
        <w:rPr>
          <w:color w:val="000000" w:themeColor="text1"/>
          <w:sz w:val="24"/>
          <w:szCs w:val="24"/>
        </w:rPr>
      </w:pPr>
      <w:r w:rsidRPr="005757BA">
        <w:rPr>
          <w:color w:val="000000" w:themeColor="text1"/>
          <w:sz w:val="24"/>
          <w:szCs w:val="24"/>
        </w:rPr>
        <w:t xml:space="preserve">Although it is anticipated that the steps mentioned above will result in participation from a large number of agencies, there will </w:t>
      </w:r>
      <w:r w:rsidR="002D38BA">
        <w:rPr>
          <w:color w:val="000000" w:themeColor="text1"/>
          <w:sz w:val="24"/>
          <w:szCs w:val="24"/>
        </w:rPr>
        <w:t>likely</w:t>
      </w:r>
      <w:r w:rsidR="002D38BA" w:rsidRPr="005757BA">
        <w:rPr>
          <w:color w:val="000000" w:themeColor="text1"/>
          <w:sz w:val="24"/>
          <w:szCs w:val="24"/>
        </w:rPr>
        <w:t xml:space="preserve"> </w:t>
      </w:r>
      <w:r w:rsidRPr="005757BA">
        <w:rPr>
          <w:color w:val="000000" w:themeColor="text1"/>
          <w:sz w:val="24"/>
          <w:szCs w:val="24"/>
        </w:rPr>
        <w:t xml:space="preserve">be a percentage that do not complete the survey in a timely manner. </w:t>
      </w:r>
      <w:r w:rsidR="002D38BA">
        <w:rPr>
          <w:color w:val="000000" w:themeColor="text1"/>
          <w:sz w:val="24"/>
          <w:szCs w:val="24"/>
        </w:rPr>
        <w:t xml:space="preserve">While the </w:t>
      </w:r>
      <w:r>
        <w:rPr>
          <w:color w:val="000000" w:themeColor="text1"/>
          <w:sz w:val="24"/>
          <w:szCs w:val="24"/>
        </w:rPr>
        <w:t>CTLEA</w:t>
      </w:r>
      <w:r w:rsidRPr="004E2724">
        <w:rPr>
          <w:color w:val="000000" w:themeColor="text1"/>
          <w:sz w:val="24"/>
          <w:szCs w:val="24"/>
        </w:rPr>
        <w:t xml:space="preserve"> is </w:t>
      </w:r>
      <w:r>
        <w:rPr>
          <w:color w:val="000000" w:themeColor="text1"/>
          <w:sz w:val="24"/>
          <w:szCs w:val="24"/>
        </w:rPr>
        <w:t xml:space="preserve">intended to be </w:t>
      </w:r>
      <w:r w:rsidRPr="004E2724">
        <w:rPr>
          <w:color w:val="000000" w:themeColor="text1"/>
          <w:sz w:val="24"/>
          <w:szCs w:val="24"/>
        </w:rPr>
        <w:t xml:space="preserve">a census, the final </w:t>
      </w:r>
      <w:r>
        <w:rPr>
          <w:color w:val="000000" w:themeColor="text1"/>
          <w:sz w:val="24"/>
          <w:szCs w:val="24"/>
        </w:rPr>
        <w:t xml:space="preserve">list of </w:t>
      </w:r>
      <w:r w:rsidRPr="004E2724">
        <w:rPr>
          <w:color w:val="000000" w:themeColor="text1"/>
          <w:sz w:val="24"/>
          <w:szCs w:val="24"/>
        </w:rPr>
        <w:t>respond</w:t>
      </w:r>
      <w:r>
        <w:rPr>
          <w:color w:val="000000" w:themeColor="text1"/>
          <w:sz w:val="24"/>
          <w:szCs w:val="24"/>
        </w:rPr>
        <w:t>ing agencies</w:t>
      </w:r>
      <w:r w:rsidRPr="004E2724">
        <w:rPr>
          <w:color w:val="000000" w:themeColor="text1"/>
          <w:sz w:val="24"/>
          <w:szCs w:val="24"/>
        </w:rPr>
        <w:t xml:space="preserve"> is likely to be a nonrandom sample of the study population due to di</w:t>
      </w:r>
      <w:r>
        <w:rPr>
          <w:color w:val="000000" w:themeColor="text1"/>
          <w:sz w:val="24"/>
          <w:szCs w:val="24"/>
        </w:rPr>
        <w:t xml:space="preserve">fferential response rate across </w:t>
      </w:r>
      <w:r w:rsidRPr="004E2724">
        <w:rPr>
          <w:color w:val="000000" w:themeColor="text1"/>
          <w:sz w:val="24"/>
          <w:szCs w:val="24"/>
        </w:rPr>
        <w:t xml:space="preserve">subpopulations. </w:t>
      </w:r>
      <w:r w:rsidRPr="00D32CAA">
        <w:rPr>
          <w:color w:val="000000" w:themeColor="text1"/>
          <w:sz w:val="24"/>
          <w:szCs w:val="24"/>
        </w:rPr>
        <w:t xml:space="preserve">NORC </w:t>
      </w:r>
      <w:r w:rsidR="00AD271C">
        <w:rPr>
          <w:color w:val="000000" w:themeColor="text1"/>
          <w:sz w:val="24"/>
          <w:szCs w:val="24"/>
        </w:rPr>
        <w:t>will</w:t>
      </w:r>
      <w:r w:rsidRPr="00D32CAA">
        <w:rPr>
          <w:color w:val="000000" w:themeColor="text1"/>
          <w:sz w:val="24"/>
          <w:szCs w:val="24"/>
        </w:rPr>
        <w:t xml:space="preserve"> develop an analysis weight for each respondent through a two-step weighting adjustment procedure. The sample base weight is 1 for all sample members</w:t>
      </w:r>
      <w:r>
        <w:rPr>
          <w:color w:val="000000" w:themeColor="text1"/>
          <w:sz w:val="24"/>
          <w:szCs w:val="24"/>
        </w:rPr>
        <w:t xml:space="preserve"> because it is a census</w:t>
      </w:r>
      <w:r w:rsidRPr="00D32CAA">
        <w:rPr>
          <w:color w:val="000000" w:themeColor="text1"/>
          <w:sz w:val="24"/>
          <w:szCs w:val="24"/>
        </w:rPr>
        <w:t xml:space="preserve">. </w:t>
      </w:r>
      <w:r>
        <w:rPr>
          <w:color w:val="000000" w:themeColor="text1"/>
          <w:sz w:val="24"/>
          <w:szCs w:val="24"/>
        </w:rPr>
        <w:t xml:space="preserve">The first step is an eligibility step. If any respondents are found to be ineligible, the </w:t>
      </w:r>
      <w:r w:rsidR="00AD271C">
        <w:rPr>
          <w:color w:val="000000" w:themeColor="text1"/>
          <w:sz w:val="24"/>
          <w:szCs w:val="24"/>
        </w:rPr>
        <w:t xml:space="preserve">base </w:t>
      </w:r>
      <w:r>
        <w:rPr>
          <w:color w:val="000000" w:themeColor="text1"/>
          <w:sz w:val="24"/>
          <w:szCs w:val="24"/>
        </w:rPr>
        <w:t xml:space="preserve">weight will be set to zero at this step. It is not expected that </w:t>
      </w:r>
      <w:r w:rsidR="00AD271C">
        <w:rPr>
          <w:color w:val="000000" w:themeColor="text1"/>
          <w:sz w:val="24"/>
          <w:szCs w:val="24"/>
        </w:rPr>
        <w:t xml:space="preserve">many </w:t>
      </w:r>
      <w:r>
        <w:rPr>
          <w:color w:val="000000" w:themeColor="text1"/>
          <w:sz w:val="24"/>
          <w:szCs w:val="24"/>
        </w:rPr>
        <w:t>agencies will be found to be ineligible</w:t>
      </w:r>
      <w:r w:rsidR="00AD271C">
        <w:rPr>
          <w:color w:val="000000" w:themeColor="text1"/>
          <w:sz w:val="24"/>
          <w:szCs w:val="24"/>
        </w:rPr>
        <w:t xml:space="preserve"> as a</w:t>
      </w:r>
      <w:r>
        <w:rPr>
          <w:color w:val="000000" w:themeColor="text1"/>
          <w:sz w:val="24"/>
          <w:szCs w:val="24"/>
        </w:rPr>
        <w:t>ll agencies were screened during the universe development stage.</w:t>
      </w:r>
    </w:p>
    <w:p w14:paraId="1D339783" w14:textId="77777777" w:rsidR="0091222E" w:rsidRDefault="0091222E" w:rsidP="0091222E">
      <w:pPr>
        <w:pStyle w:val="SP-SglSpPara"/>
        <w:tabs>
          <w:tab w:val="left" w:pos="720"/>
        </w:tabs>
        <w:ind w:firstLine="0"/>
        <w:jc w:val="left"/>
        <w:rPr>
          <w:color w:val="000000" w:themeColor="text1"/>
          <w:sz w:val="24"/>
          <w:szCs w:val="24"/>
        </w:rPr>
      </w:pPr>
    </w:p>
    <w:p w14:paraId="5F48498A" w14:textId="19948868" w:rsidR="0091222E" w:rsidRPr="003A35BF" w:rsidRDefault="0091222E" w:rsidP="0091222E">
      <w:pPr>
        <w:rPr>
          <w:color w:val="000000" w:themeColor="text1"/>
        </w:rPr>
      </w:pPr>
      <w:r w:rsidRPr="00D32CAA">
        <w:rPr>
          <w:color w:val="000000" w:themeColor="text1"/>
        </w:rPr>
        <w:t xml:space="preserve">The second step </w:t>
      </w:r>
      <w:r>
        <w:rPr>
          <w:color w:val="000000" w:themeColor="text1"/>
        </w:rPr>
        <w:t>is a</w:t>
      </w:r>
      <w:r w:rsidRPr="00D32CAA">
        <w:rPr>
          <w:color w:val="000000" w:themeColor="text1"/>
        </w:rPr>
        <w:t xml:space="preserve"> nonresponse</w:t>
      </w:r>
      <w:r>
        <w:rPr>
          <w:color w:val="000000" w:themeColor="text1"/>
        </w:rPr>
        <w:t xml:space="preserve"> weight adjustment step</w:t>
      </w:r>
      <w:r w:rsidRPr="00D32CAA">
        <w:rPr>
          <w:color w:val="000000" w:themeColor="text1"/>
        </w:rPr>
        <w:t>. Through this adjustment, the weight carried by non</w:t>
      </w:r>
      <w:r>
        <w:rPr>
          <w:color w:val="000000" w:themeColor="text1"/>
        </w:rPr>
        <w:t>-</w:t>
      </w:r>
      <w:r w:rsidRPr="00D32CAA">
        <w:rPr>
          <w:color w:val="000000" w:themeColor="text1"/>
        </w:rPr>
        <w:t xml:space="preserve">respondents </w:t>
      </w:r>
      <w:r>
        <w:rPr>
          <w:color w:val="000000" w:themeColor="text1"/>
        </w:rPr>
        <w:t>is</w:t>
      </w:r>
      <w:r w:rsidRPr="00D32CAA">
        <w:rPr>
          <w:color w:val="000000" w:themeColor="text1"/>
        </w:rPr>
        <w:t xml:space="preserve"> transferred to respondents within each adjustment cell</w:t>
      </w:r>
      <w:r w:rsidR="00AD271C">
        <w:rPr>
          <w:color w:val="000000" w:themeColor="text1"/>
        </w:rPr>
        <w:t xml:space="preserve"> so</w:t>
      </w:r>
      <w:r>
        <w:rPr>
          <w:color w:val="000000" w:themeColor="text1"/>
        </w:rPr>
        <w:t xml:space="preserve"> each responding agency will represent a portion of the non-responding agencies and the sum of the weights will be the total number of eligible agencies (</w:t>
      </w:r>
      <w:r w:rsidR="00DF1665">
        <w:rPr>
          <w:color w:val="000000" w:themeColor="text1"/>
        </w:rPr>
        <w:t>280</w:t>
      </w:r>
      <w:r>
        <w:rPr>
          <w:color w:val="000000" w:themeColor="text1"/>
        </w:rPr>
        <w:t xml:space="preserve">). To determine which variables should be used to create the adjustment cells, a non-response bias analysis to compare response rates among different subgroups will be carried out. Variables analyzed will include the source of inclusion (i.e. the IACP, CSLLEA, FBI, BIA, and Tribal Leader lists), Law Enforcement Agency Type, PL-280 Status, Native American Land type, </w:t>
      </w:r>
      <w:r w:rsidRPr="004E2724">
        <w:rPr>
          <w:color w:val="000000" w:themeColor="text1"/>
        </w:rPr>
        <w:t>agency location</w:t>
      </w:r>
      <w:r>
        <w:rPr>
          <w:color w:val="000000" w:themeColor="text1"/>
        </w:rPr>
        <w:t xml:space="preserve"> (state or region), </w:t>
      </w:r>
      <w:r w:rsidR="00AD271C">
        <w:rPr>
          <w:color w:val="000000" w:themeColor="text1"/>
        </w:rPr>
        <w:t>American Community Survey (</w:t>
      </w:r>
      <w:r w:rsidRPr="008C7C21">
        <w:rPr>
          <w:color w:val="000000" w:themeColor="text1"/>
        </w:rPr>
        <w:t>ACS</w:t>
      </w:r>
      <w:r w:rsidR="00AD271C">
        <w:rPr>
          <w:color w:val="000000" w:themeColor="text1"/>
        </w:rPr>
        <w:t>)</w:t>
      </w:r>
      <w:r w:rsidRPr="008C7C21">
        <w:rPr>
          <w:color w:val="000000" w:themeColor="text1"/>
        </w:rPr>
        <w:t xml:space="preserve"> Reservation Population Estimate</w:t>
      </w:r>
      <w:r>
        <w:rPr>
          <w:color w:val="000000" w:themeColor="text1"/>
        </w:rPr>
        <w:t xml:space="preserve"> (as a proxy for agency population size), and other ACS variables such as the percentage of the population that is American Indian. Response rates by land size (in square mile) categories will also be explored. Variables where subgroups have the largest differential response rates will be used to define the adjustment cells for the nonresponse weight adjustment. The details of these analyses will be included in a non-response bias analysis report.</w:t>
      </w:r>
      <w:r w:rsidRPr="007835A3" w:rsidDel="006464DF">
        <w:rPr>
          <w:color w:val="000000" w:themeColor="text1"/>
        </w:rPr>
        <w:t xml:space="preserve"> </w:t>
      </w:r>
      <w:r>
        <w:rPr>
          <w:color w:val="000000" w:themeColor="text1"/>
        </w:rPr>
        <w:t xml:space="preserve">To avoid introducing unnecessary weight variation, each adjustment cell </w:t>
      </w:r>
      <w:r w:rsidR="00AD271C">
        <w:rPr>
          <w:color w:val="000000" w:themeColor="text1"/>
        </w:rPr>
        <w:t xml:space="preserve">must </w:t>
      </w:r>
      <w:r>
        <w:rPr>
          <w:color w:val="000000" w:themeColor="text1"/>
        </w:rPr>
        <w:t xml:space="preserve">contain at least 20 cases. </w:t>
      </w:r>
    </w:p>
    <w:p w14:paraId="733A21E0" w14:textId="77777777" w:rsidR="0091222E" w:rsidRDefault="0091222E" w:rsidP="0091222E">
      <w:pPr>
        <w:pStyle w:val="Default"/>
        <w:rPr>
          <w:rFonts w:ascii="Times New Roman" w:hAnsi="Times New Roman" w:cs="Times New Roman"/>
          <w:color w:val="auto"/>
        </w:rPr>
      </w:pPr>
    </w:p>
    <w:p w14:paraId="18327A0D" w14:textId="77777777" w:rsidR="0091222E" w:rsidRPr="0093299C" w:rsidRDefault="0091222E" w:rsidP="0091222E">
      <w:pPr>
        <w:pStyle w:val="Default"/>
        <w:rPr>
          <w:rFonts w:ascii="Times New Roman" w:hAnsi="Times New Roman" w:cs="Times New Roman"/>
          <w:i/>
          <w:color w:val="auto"/>
        </w:rPr>
      </w:pPr>
      <w:r w:rsidRPr="0093299C">
        <w:rPr>
          <w:rFonts w:ascii="Times New Roman" w:hAnsi="Times New Roman" w:cs="Times New Roman"/>
          <w:i/>
          <w:color w:val="auto"/>
        </w:rPr>
        <w:t>Imputation for Item Non-Response</w:t>
      </w:r>
    </w:p>
    <w:p w14:paraId="6380F8F2" w14:textId="77777777" w:rsidR="0091222E" w:rsidRDefault="0091222E" w:rsidP="0091222E">
      <w:pPr>
        <w:pStyle w:val="Default"/>
        <w:rPr>
          <w:rFonts w:ascii="Times New Roman" w:hAnsi="Times New Roman" w:cs="Times New Roman"/>
          <w:b/>
          <w:color w:val="auto"/>
          <w:u w:val="single"/>
        </w:rPr>
      </w:pPr>
    </w:p>
    <w:p w14:paraId="65DB4CE7" w14:textId="7CE3FED8" w:rsidR="0091222E" w:rsidRDefault="0091222E" w:rsidP="0091222E">
      <w:pPr>
        <w:rPr>
          <w:color w:val="000000"/>
        </w:rPr>
      </w:pPr>
      <w:r w:rsidRPr="00B80372">
        <w:rPr>
          <w:color w:val="000000" w:themeColor="text1"/>
        </w:rPr>
        <w:t xml:space="preserve">While high item response is anticipated, </w:t>
      </w:r>
      <w:r>
        <w:rPr>
          <w:color w:val="000000" w:themeColor="text1"/>
        </w:rPr>
        <w:t>agencies</w:t>
      </w:r>
      <w:r w:rsidRPr="00B80372">
        <w:rPr>
          <w:color w:val="000000" w:themeColor="text1"/>
        </w:rPr>
        <w:t xml:space="preserve"> may leave items blank due to lack of access to the information or the fact that the data are not being recorded by the agency’s records management system. </w:t>
      </w:r>
      <w:r>
        <w:rPr>
          <w:color w:val="000000" w:themeColor="text1"/>
        </w:rPr>
        <w:t xml:space="preserve">NORC proposes to </w:t>
      </w:r>
      <w:r w:rsidRPr="00B80372">
        <w:rPr>
          <w:color w:val="000000" w:themeColor="text1"/>
        </w:rPr>
        <w:t xml:space="preserve">use hot-deck method for imputation to ensure </w:t>
      </w:r>
      <w:r>
        <w:rPr>
          <w:color w:val="000000" w:themeColor="text1"/>
        </w:rPr>
        <w:t xml:space="preserve">a </w:t>
      </w:r>
      <w:r w:rsidRPr="00B80372">
        <w:rPr>
          <w:color w:val="000000" w:themeColor="text1"/>
        </w:rPr>
        <w:t xml:space="preserve">complete data file. </w:t>
      </w:r>
      <w:r>
        <w:rPr>
          <w:color w:val="000000" w:themeColor="text1"/>
        </w:rPr>
        <w:t xml:space="preserve">Hot deck imputation is a cost-efficient imputation method that protects relationships between variables that are observed in the non-missing data. The proposed method and program has been used for many other NORC studies, including the Survey of Doctorate Recipients and the National Immunization Survey. Any imputed values will be merged into the data file (and </w:t>
      </w:r>
      <w:r w:rsidR="00AD271C">
        <w:rPr>
          <w:color w:val="000000" w:themeColor="text1"/>
        </w:rPr>
        <w:t>flagged</w:t>
      </w:r>
      <w:r>
        <w:rPr>
          <w:color w:val="000000" w:themeColor="text1"/>
        </w:rPr>
        <w:t xml:space="preserve">) prior to delivery to BJS and subsequent archiving. </w:t>
      </w:r>
      <w:r>
        <w:rPr>
          <w:color w:val="000000"/>
        </w:rPr>
        <w:t>This single-imputation method does result in an under-representation in variance. If there is a high non-response rate for certain items (20 percent or more), hot-deck will not work as well due to the necessary re-use of donors. In this case, the more</w:t>
      </w:r>
      <w:r w:rsidRPr="00E42ECD">
        <w:rPr>
          <w:color w:val="000000" w:themeColor="text1"/>
        </w:rPr>
        <w:t xml:space="preserve"> costly </w:t>
      </w:r>
      <w:r>
        <w:rPr>
          <w:color w:val="000000"/>
        </w:rPr>
        <w:t xml:space="preserve">multiple imputation could be used for some or all of the variables. </w:t>
      </w:r>
    </w:p>
    <w:p w14:paraId="292236D3" w14:textId="77777777" w:rsidR="0091222E" w:rsidRDefault="0091222E" w:rsidP="0091222E">
      <w:pPr>
        <w:rPr>
          <w:color w:val="000000"/>
        </w:rPr>
      </w:pPr>
    </w:p>
    <w:p w14:paraId="2BAFCD49" w14:textId="7241B9B9" w:rsidR="0091222E" w:rsidRDefault="0091222E" w:rsidP="009122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rPr>
      </w:pPr>
      <w:r>
        <w:rPr>
          <w:color w:val="000000"/>
        </w:rPr>
        <w:t xml:space="preserve">Multiple imputation involves model building for multiple related variables in which all are imputed together or sequentially. </w:t>
      </w:r>
      <w:r w:rsidR="00BC2647">
        <w:rPr>
          <w:color w:val="000000"/>
        </w:rPr>
        <w:t>NORC has</w:t>
      </w:r>
      <w:r>
        <w:rPr>
          <w:color w:val="000000"/>
        </w:rPr>
        <w:t xml:space="preserve"> multiply-imputed data for many projects, including the National Immunization Survey and the Truth Initiative project. Multiple imputation can better reduce non-response bias in items with high missing data rates (greater than 20%) than hot deck imputation. </w:t>
      </w:r>
      <w:r>
        <w:rPr>
          <w:color w:val="000000" w:themeColor="text1"/>
        </w:rPr>
        <w:t xml:space="preserve">For each variable to be imputed with our hot-deck method, the file will be sorted by variables that have correlations with the variable to be imputed. These “sort” variables will be chosen based on models in which the variable to be imputed is the dependent variable and the independent variables (sort variable candidates) will be other questionnaire items or variables known for all </w:t>
      </w:r>
      <w:r w:rsidR="00DF1665">
        <w:rPr>
          <w:color w:val="000000" w:themeColor="text1"/>
        </w:rPr>
        <w:t>280</w:t>
      </w:r>
      <w:r w:rsidR="00C91792">
        <w:rPr>
          <w:color w:val="000000" w:themeColor="text1"/>
        </w:rPr>
        <w:t xml:space="preserve"> </w:t>
      </w:r>
      <w:r>
        <w:rPr>
          <w:color w:val="000000" w:themeColor="text1"/>
        </w:rPr>
        <w:t xml:space="preserve">eligible agencies considered for weighting (see above). These sort variable candidates can be quantitative or qualitative, but quantitative sort variables chosen will be converted to categorical variables during imputation so that later variables in the sort order can still have an impact on the sorting of the file. Once the file is sorted, our hot-deck imputation then uses the nearest neighbor as the donor for the missing value. Each variable to be imputed will be sorted according to its own set of sort variables. </w:t>
      </w:r>
    </w:p>
    <w:p w14:paraId="1620DACD" w14:textId="77777777" w:rsidR="00281542" w:rsidRDefault="00281542" w:rsidP="003D60CD">
      <w:pPr>
        <w:pStyle w:val="Default"/>
        <w:rPr>
          <w:rFonts w:ascii="Times New Roman" w:hAnsi="Times New Roman" w:cs="Times New Roman"/>
          <w:b/>
          <w:color w:val="auto"/>
          <w:u w:val="single"/>
        </w:rPr>
      </w:pPr>
    </w:p>
    <w:p w14:paraId="6D977130" w14:textId="77777777" w:rsidR="00421095" w:rsidRDefault="00421095" w:rsidP="00D901A8">
      <w:pPr>
        <w:pStyle w:val="ListParagraph"/>
        <w:numPr>
          <w:ilvl w:val="0"/>
          <w:numId w:val="1"/>
        </w:numPr>
        <w:ind w:left="360"/>
        <w:rPr>
          <w:b/>
          <w:u w:val="single"/>
        </w:rPr>
      </w:pPr>
      <w:r w:rsidRPr="008D7CC0">
        <w:rPr>
          <w:b/>
          <w:u w:val="single"/>
        </w:rPr>
        <w:t>Methods</w:t>
      </w:r>
      <w:r w:rsidR="00C83679">
        <w:rPr>
          <w:b/>
          <w:u w:val="single"/>
        </w:rPr>
        <w:t xml:space="preserve"> </w:t>
      </w:r>
      <w:r w:rsidRPr="008D7CC0">
        <w:rPr>
          <w:b/>
          <w:u w:val="single"/>
        </w:rPr>
        <w:t>to</w:t>
      </w:r>
      <w:r w:rsidR="00C83679">
        <w:rPr>
          <w:b/>
          <w:u w:val="single"/>
        </w:rPr>
        <w:t xml:space="preserve"> </w:t>
      </w:r>
      <w:r w:rsidRPr="008D7CC0">
        <w:rPr>
          <w:b/>
          <w:u w:val="single"/>
        </w:rPr>
        <w:t>Maximize</w:t>
      </w:r>
      <w:r w:rsidR="00C83679">
        <w:rPr>
          <w:b/>
          <w:u w:val="single"/>
        </w:rPr>
        <w:t xml:space="preserve"> </w:t>
      </w:r>
      <w:r w:rsidRPr="008D7CC0">
        <w:rPr>
          <w:b/>
          <w:u w:val="single"/>
        </w:rPr>
        <w:t>Response</w:t>
      </w:r>
      <w:r w:rsidR="00C83679">
        <w:rPr>
          <w:b/>
          <w:u w:val="single"/>
        </w:rPr>
        <w:t xml:space="preserve"> </w:t>
      </w:r>
      <w:r w:rsidRPr="008D7CC0">
        <w:rPr>
          <w:b/>
          <w:u w:val="single"/>
        </w:rPr>
        <w:t>Rates</w:t>
      </w:r>
    </w:p>
    <w:p w14:paraId="65DE3ECA" w14:textId="77777777" w:rsidR="00B00F46" w:rsidRPr="008D7CC0" w:rsidRDefault="00B00F46" w:rsidP="00B00F46">
      <w:pPr>
        <w:pStyle w:val="ListParagraph"/>
        <w:ind w:left="360"/>
        <w:rPr>
          <w:b/>
          <w:u w:val="single"/>
        </w:rPr>
      </w:pPr>
    </w:p>
    <w:p w14:paraId="1A1BAB12" w14:textId="40E6DFA5" w:rsidR="003E0F55" w:rsidRDefault="00286E20" w:rsidP="00ED1322">
      <w:r>
        <w:t>The</w:t>
      </w:r>
      <w:r w:rsidR="00C83679">
        <w:t xml:space="preserve"> </w:t>
      </w:r>
      <w:r w:rsidR="007C5CAC">
        <w:t>CTLEA</w:t>
      </w:r>
      <w:r w:rsidR="00C83679">
        <w:t xml:space="preserve"> </w:t>
      </w:r>
      <w:r>
        <w:t xml:space="preserve">aims to </w:t>
      </w:r>
      <w:r w:rsidR="00823847">
        <w:t>obtain</w:t>
      </w:r>
      <w:r w:rsidR="00C83679">
        <w:t xml:space="preserve"> </w:t>
      </w:r>
      <w:r w:rsidR="008831EA">
        <w:t>a</w:t>
      </w:r>
      <w:r w:rsidR="00C83679">
        <w:t xml:space="preserve"> </w:t>
      </w:r>
      <w:r w:rsidR="007C5CAC">
        <w:t>response</w:t>
      </w:r>
      <w:r w:rsidR="00C83679">
        <w:t xml:space="preserve"> </w:t>
      </w:r>
      <w:r w:rsidR="004E651C" w:rsidRPr="004E651C">
        <w:t>rate</w:t>
      </w:r>
      <w:r w:rsidR="00C83679">
        <w:t xml:space="preserve"> </w:t>
      </w:r>
      <w:r w:rsidR="004E651C" w:rsidRPr="004E651C">
        <w:t>of</w:t>
      </w:r>
      <w:r w:rsidR="00C83679">
        <w:t xml:space="preserve"> </w:t>
      </w:r>
      <w:r w:rsidR="004E651C" w:rsidRPr="004E651C">
        <w:t>90%</w:t>
      </w:r>
      <w:r w:rsidR="00C83679">
        <w:t xml:space="preserve"> </w:t>
      </w:r>
      <w:r w:rsidR="007C5CAC">
        <w:t>or</w:t>
      </w:r>
      <w:r w:rsidR="00C83679">
        <w:t xml:space="preserve"> </w:t>
      </w:r>
      <w:r w:rsidR="007C5CAC">
        <w:t>more</w:t>
      </w:r>
      <w:r w:rsidR="004E651C">
        <w:t>.</w:t>
      </w:r>
      <w:r w:rsidR="00C83679">
        <w:t xml:space="preserve">  </w:t>
      </w:r>
      <w:r>
        <w:t>Since t</w:t>
      </w:r>
      <w:r w:rsidR="00ED1322">
        <w:t>he</w:t>
      </w:r>
      <w:r w:rsidR="00C83679">
        <w:t xml:space="preserve"> </w:t>
      </w:r>
      <w:r w:rsidR="00ED1322">
        <w:t>CTLEA</w:t>
      </w:r>
      <w:r w:rsidR="00C83679">
        <w:t xml:space="preserve"> </w:t>
      </w:r>
      <w:r w:rsidR="00ED1322">
        <w:t>is</w:t>
      </w:r>
      <w:r w:rsidR="00C83679">
        <w:t xml:space="preserve"> </w:t>
      </w:r>
      <w:r w:rsidR="00ED1322">
        <w:t>a</w:t>
      </w:r>
      <w:r w:rsidR="00C83679">
        <w:t xml:space="preserve"> </w:t>
      </w:r>
      <w:r w:rsidR="00ED1322">
        <w:t>new</w:t>
      </w:r>
      <w:r w:rsidR="00C83679">
        <w:t xml:space="preserve"> </w:t>
      </w:r>
      <w:r w:rsidR="00834CA9">
        <w:t xml:space="preserve">tribal specific </w:t>
      </w:r>
      <w:r w:rsidR="00ED1322">
        <w:t>data</w:t>
      </w:r>
      <w:r w:rsidR="00C83679">
        <w:t xml:space="preserve"> </w:t>
      </w:r>
      <w:r w:rsidR="00ED1322">
        <w:t>collection</w:t>
      </w:r>
      <w:r w:rsidR="00C83679">
        <w:t xml:space="preserve"> </w:t>
      </w:r>
      <w:r w:rsidR="00ED1322">
        <w:t>effort</w:t>
      </w:r>
      <w:r>
        <w:t>,</w:t>
      </w:r>
      <w:r w:rsidR="00BE236B">
        <w:t xml:space="preserve"> </w:t>
      </w:r>
      <w:r w:rsidR="00ED1322">
        <w:t>historical</w:t>
      </w:r>
      <w:r w:rsidR="00C83679">
        <w:t xml:space="preserve"> </w:t>
      </w:r>
      <w:r w:rsidR="00ED1322">
        <w:t>response</w:t>
      </w:r>
      <w:r w:rsidR="00C83679">
        <w:t xml:space="preserve"> </w:t>
      </w:r>
      <w:r w:rsidR="00ED1322">
        <w:t>rates</w:t>
      </w:r>
      <w:r w:rsidR="00C83679">
        <w:t xml:space="preserve"> </w:t>
      </w:r>
      <w:r w:rsidR="00ED1322">
        <w:t>are</w:t>
      </w:r>
      <w:r w:rsidR="00C83679">
        <w:t xml:space="preserve"> </w:t>
      </w:r>
      <w:r w:rsidR="00ED1322">
        <w:t>not</w:t>
      </w:r>
      <w:r w:rsidR="00C83679">
        <w:t xml:space="preserve"> </w:t>
      </w:r>
      <w:r w:rsidR="00ED1322">
        <w:t>available.</w:t>
      </w:r>
      <w:r w:rsidR="00C83679">
        <w:t xml:space="preserve">  </w:t>
      </w:r>
      <w:r w:rsidR="003E0F55">
        <w:t xml:space="preserve">However, </w:t>
      </w:r>
      <w:r w:rsidR="00834CA9">
        <w:t xml:space="preserve">the BJS 2008 </w:t>
      </w:r>
      <w:r w:rsidR="00ED1322">
        <w:t>Census</w:t>
      </w:r>
      <w:r w:rsidR="00C83679">
        <w:t xml:space="preserve"> </w:t>
      </w:r>
      <w:r w:rsidR="00ED1322">
        <w:t>of</w:t>
      </w:r>
      <w:r w:rsidR="00C83679">
        <w:t xml:space="preserve"> </w:t>
      </w:r>
      <w:r w:rsidR="00ED1322">
        <w:t>State</w:t>
      </w:r>
      <w:r w:rsidR="00C83679">
        <w:t xml:space="preserve"> </w:t>
      </w:r>
      <w:r w:rsidR="00ED1322">
        <w:t>and</w:t>
      </w:r>
      <w:r w:rsidR="00C83679">
        <w:t xml:space="preserve"> </w:t>
      </w:r>
      <w:r w:rsidR="00ED1322">
        <w:t>Local</w:t>
      </w:r>
      <w:r w:rsidR="00C83679">
        <w:t xml:space="preserve"> </w:t>
      </w:r>
      <w:r w:rsidR="00ED1322">
        <w:t>Law</w:t>
      </w:r>
      <w:r w:rsidR="00C83679">
        <w:t xml:space="preserve"> </w:t>
      </w:r>
      <w:r w:rsidR="00ED1322">
        <w:t>Enforcement</w:t>
      </w:r>
      <w:r w:rsidR="00C83679">
        <w:t xml:space="preserve"> </w:t>
      </w:r>
      <w:r w:rsidR="00ED1322">
        <w:t>Agencies</w:t>
      </w:r>
      <w:r w:rsidR="00C83679">
        <w:t xml:space="preserve"> </w:t>
      </w:r>
      <w:r w:rsidR="00ED1322">
        <w:t>(CSLLEA)</w:t>
      </w:r>
      <w:r w:rsidR="00C83679">
        <w:t xml:space="preserve"> </w:t>
      </w:r>
      <w:r w:rsidR="00ED1322">
        <w:t>data</w:t>
      </w:r>
      <w:r w:rsidR="00C83679">
        <w:t xml:space="preserve"> </w:t>
      </w:r>
      <w:r w:rsidR="00ED1322">
        <w:t>collection</w:t>
      </w:r>
      <w:r w:rsidR="00B67263">
        <w:t xml:space="preserve"> </w:t>
      </w:r>
      <w:r w:rsidR="00834CA9">
        <w:t xml:space="preserve">included 178 tribal </w:t>
      </w:r>
      <w:r w:rsidR="00903FED">
        <w:t>LE</w:t>
      </w:r>
      <w:r w:rsidR="00834CA9">
        <w:t xml:space="preserve"> agencies </w:t>
      </w:r>
      <w:r w:rsidR="00377ED6">
        <w:t xml:space="preserve">and </w:t>
      </w:r>
      <w:r w:rsidR="00834CA9">
        <w:t>obtained a response rate around</w:t>
      </w:r>
      <w:r w:rsidR="00C83679">
        <w:t xml:space="preserve"> </w:t>
      </w:r>
      <w:r w:rsidR="00D56EC7">
        <w:t>95</w:t>
      </w:r>
      <w:r w:rsidR="00ED1322">
        <w:t>%</w:t>
      </w:r>
      <w:r w:rsidR="00834CA9">
        <w:t>.</w:t>
      </w:r>
    </w:p>
    <w:p w14:paraId="327E834B" w14:textId="77777777" w:rsidR="003E0F55" w:rsidRDefault="003E0F55" w:rsidP="00ED1322"/>
    <w:p w14:paraId="4D076D87" w14:textId="50F4C2C2" w:rsidR="00241166" w:rsidRDefault="007C5CAC" w:rsidP="00ED1322">
      <w:r>
        <w:t>BJS</w:t>
      </w:r>
      <w:r w:rsidR="00C83679">
        <w:t xml:space="preserve"> </w:t>
      </w:r>
      <w:r>
        <w:t>and</w:t>
      </w:r>
      <w:r w:rsidR="00C83679">
        <w:t xml:space="preserve"> </w:t>
      </w:r>
      <w:r>
        <w:t>NORC</w:t>
      </w:r>
      <w:r w:rsidR="00C83679">
        <w:t xml:space="preserve"> </w:t>
      </w:r>
      <w:r w:rsidR="003E0F55">
        <w:t>ha</w:t>
      </w:r>
      <w:r w:rsidR="00B67263">
        <w:t>ve</w:t>
      </w:r>
      <w:r w:rsidR="003E0F55">
        <w:t xml:space="preserve"> and will continue to </w:t>
      </w:r>
      <w:r w:rsidR="00844A32">
        <w:t>undertake</w:t>
      </w:r>
      <w:r w:rsidR="00C83679">
        <w:t xml:space="preserve"> </w:t>
      </w:r>
      <w:r>
        <w:t>various</w:t>
      </w:r>
      <w:r w:rsidR="00C83679">
        <w:t xml:space="preserve"> </w:t>
      </w:r>
      <w:r>
        <w:t>steps</w:t>
      </w:r>
      <w:r w:rsidR="00C83679">
        <w:t xml:space="preserve"> </w:t>
      </w:r>
      <w:r>
        <w:t>to</w:t>
      </w:r>
      <w:r w:rsidR="00C83679">
        <w:t xml:space="preserve"> </w:t>
      </w:r>
      <w:r w:rsidR="003E0F55">
        <w:t xml:space="preserve">help </w:t>
      </w:r>
      <w:r w:rsidR="00844A32">
        <w:t>facilitate</w:t>
      </w:r>
      <w:r w:rsidR="007914C9">
        <w:t xml:space="preserve"> </w:t>
      </w:r>
      <w:r>
        <w:t>high</w:t>
      </w:r>
      <w:r w:rsidR="00C83679">
        <w:t xml:space="preserve"> </w:t>
      </w:r>
      <w:r>
        <w:t>response</w:t>
      </w:r>
      <w:r w:rsidR="00C83679">
        <w:t xml:space="preserve"> </w:t>
      </w:r>
      <w:r>
        <w:t>rates</w:t>
      </w:r>
      <w:r w:rsidR="00C83679">
        <w:t xml:space="preserve"> </w:t>
      </w:r>
      <w:r w:rsidR="00823847">
        <w:t>for</w:t>
      </w:r>
      <w:r w:rsidR="00C83679">
        <w:t xml:space="preserve"> </w:t>
      </w:r>
      <w:r w:rsidR="00823847">
        <w:t>both</w:t>
      </w:r>
      <w:r w:rsidR="00C83679">
        <w:t xml:space="preserve"> </w:t>
      </w:r>
      <w:r w:rsidR="00823847">
        <w:t>versions</w:t>
      </w:r>
      <w:r w:rsidR="00C83679">
        <w:t xml:space="preserve"> </w:t>
      </w:r>
      <w:r w:rsidR="00823847">
        <w:t>of</w:t>
      </w:r>
      <w:r w:rsidR="00C83679">
        <w:t xml:space="preserve"> </w:t>
      </w:r>
      <w:r w:rsidR="00823847">
        <w:t>the</w:t>
      </w:r>
      <w:r w:rsidR="00C83679">
        <w:t xml:space="preserve"> </w:t>
      </w:r>
      <w:r w:rsidR="00823847">
        <w:t>CTLEA</w:t>
      </w:r>
      <w:r w:rsidR="00C83679">
        <w:t xml:space="preserve"> </w:t>
      </w:r>
      <w:r w:rsidR="00823847">
        <w:t>survey.</w:t>
      </w:r>
      <w:r w:rsidR="003E0F55">
        <w:t xml:space="preserve"> </w:t>
      </w:r>
      <w:r w:rsidR="003D60CD">
        <w:t>In addition to the various survey methodolog</w:t>
      </w:r>
      <w:r w:rsidR="000C76A0">
        <w:t>y</w:t>
      </w:r>
      <w:r w:rsidR="003D60CD">
        <w:t xml:space="preserve"> strategies discussed</w:t>
      </w:r>
      <w:r w:rsidR="00F21937">
        <w:t xml:space="preserve"> in the data collection section above</w:t>
      </w:r>
      <w:r w:rsidR="003D60CD">
        <w:t xml:space="preserve">, best practices </w:t>
      </w:r>
      <w:r w:rsidR="000C76A0">
        <w:t>learned for collecting data from tribal justice agencies</w:t>
      </w:r>
      <w:r w:rsidR="002372EB">
        <w:t xml:space="preserve"> will be incorporated</w:t>
      </w:r>
      <w:r w:rsidR="000C76A0">
        <w:t xml:space="preserve">. </w:t>
      </w:r>
      <w:r w:rsidR="003E0F55">
        <w:t>For example</w:t>
      </w:r>
      <w:r w:rsidR="003D60CD">
        <w:t xml:space="preserve">, </w:t>
      </w:r>
      <w:r w:rsidR="00823847">
        <w:t>BJS</w:t>
      </w:r>
      <w:r w:rsidR="00C83679">
        <w:t xml:space="preserve"> </w:t>
      </w:r>
      <w:r w:rsidR="00823847">
        <w:t>has</w:t>
      </w:r>
      <w:r w:rsidR="00C83679">
        <w:t xml:space="preserve"> </w:t>
      </w:r>
      <w:r w:rsidR="00823847">
        <w:t>taken</w:t>
      </w:r>
      <w:r w:rsidR="00C83679">
        <w:t xml:space="preserve"> </w:t>
      </w:r>
      <w:r w:rsidR="00823847">
        <w:t>a</w:t>
      </w:r>
      <w:r w:rsidR="00C83679">
        <w:t xml:space="preserve"> </w:t>
      </w:r>
      <w:r w:rsidR="00823847">
        <w:t>proactive</w:t>
      </w:r>
      <w:r w:rsidR="00C83679">
        <w:t xml:space="preserve"> </w:t>
      </w:r>
      <w:r w:rsidR="00823847">
        <w:t>approach</w:t>
      </w:r>
      <w:r w:rsidR="00C83679">
        <w:t xml:space="preserve"> </w:t>
      </w:r>
      <w:r w:rsidR="00823847">
        <w:t>to</w:t>
      </w:r>
      <w:r w:rsidR="00DA6073">
        <w:t xml:space="preserve"> seek information from and</w:t>
      </w:r>
      <w:r w:rsidR="00C83679">
        <w:t xml:space="preserve"> </w:t>
      </w:r>
      <w:r w:rsidR="00823847">
        <w:t>inform</w:t>
      </w:r>
      <w:r w:rsidR="00C83679">
        <w:t xml:space="preserve"> </w:t>
      </w:r>
      <w:r w:rsidR="00823847">
        <w:t>tribal</w:t>
      </w:r>
      <w:r w:rsidR="00C83679">
        <w:t xml:space="preserve"> </w:t>
      </w:r>
      <w:r w:rsidR="00823847">
        <w:t>nations</w:t>
      </w:r>
      <w:r w:rsidR="00C83679">
        <w:t xml:space="preserve"> </w:t>
      </w:r>
      <w:r w:rsidR="00823847">
        <w:t>about</w:t>
      </w:r>
      <w:r w:rsidR="00C83679">
        <w:t xml:space="preserve"> </w:t>
      </w:r>
      <w:r w:rsidR="00823847">
        <w:t>the</w:t>
      </w:r>
      <w:r w:rsidR="00C83679">
        <w:t xml:space="preserve"> </w:t>
      </w:r>
      <w:r w:rsidR="00823847">
        <w:t>CTLEA,</w:t>
      </w:r>
      <w:r w:rsidR="00C83679">
        <w:t xml:space="preserve"> </w:t>
      </w:r>
      <w:r w:rsidR="00823847">
        <w:t>as</w:t>
      </w:r>
      <w:r w:rsidR="00C83679">
        <w:t xml:space="preserve"> </w:t>
      </w:r>
      <w:r w:rsidR="00823847">
        <w:t>well</w:t>
      </w:r>
      <w:r w:rsidR="00C83679">
        <w:t xml:space="preserve"> </w:t>
      </w:r>
      <w:r w:rsidR="00823847">
        <w:t>as</w:t>
      </w:r>
      <w:r w:rsidR="00C83679">
        <w:t xml:space="preserve"> </w:t>
      </w:r>
      <w:r w:rsidR="00823847">
        <w:t>coordinate</w:t>
      </w:r>
      <w:r w:rsidR="00C83679">
        <w:t xml:space="preserve"> </w:t>
      </w:r>
      <w:r w:rsidR="00823847">
        <w:t>with</w:t>
      </w:r>
      <w:r w:rsidR="00C83679">
        <w:t xml:space="preserve"> </w:t>
      </w:r>
      <w:r w:rsidR="00B67263">
        <w:t xml:space="preserve">BIA and </w:t>
      </w:r>
      <w:r w:rsidR="00BE236B">
        <w:t xml:space="preserve">tribal organizations </w:t>
      </w:r>
      <w:r w:rsidR="00823847">
        <w:t>and</w:t>
      </w:r>
      <w:r w:rsidR="00C83679">
        <w:t xml:space="preserve"> </w:t>
      </w:r>
      <w:r w:rsidR="00823847">
        <w:t>tribal</w:t>
      </w:r>
      <w:r w:rsidR="00C83679">
        <w:t xml:space="preserve"> </w:t>
      </w:r>
      <w:r w:rsidR="00903FED">
        <w:t>LE</w:t>
      </w:r>
      <w:r w:rsidR="00C83679">
        <w:t xml:space="preserve"> </w:t>
      </w:r>
      <w:r w:rsidR="00823847">
        <w:t>experts</w:t>
      </w:r>
      <w:r w:rsidR="00C83679">
        <w:t xml:space="preserve"> </w:t>
      </w:r>
      <w:r w:rsidR="00823847">
        <w:t>from</w:t>
      </w:r>
      <w:r w:rsidR="00C83679">
        <w:t xml:space="preserve"> </w:t>
      </w:r>
      <w:r w:rsidR="00823847">
        <w:t>around</w:t>
      </w:r>
      <w:r w:rsidR="00C83679">
        <w:t xml:space="preserve"> </w:t>
      </w:r>
      <w:r w:rsidR="00823847">
        <w:t>the</w:t>
      </w:r>
      <w:r w:rsidR="00C83679">
        <w:t xml:space="preserve"> </w:t>
      </w:r>
      <w:r w:rsidR="00823847">
        <w:t>country</w:t>
      </w:r>
      <w:r w:rsidR="00C83679">
        <w:t xml:space="preserve"> </w:t>
      </w:r>
      <w:r w:rsidR="00823847">
        <w:t>to</w:t>
      </w:r>
      <w:r w:rsidR="00C83679">
        <w:t xml:space="preserve"> </w:t>
      </w:r>
      <w:r w:rsidR="00823847">
        <w:t>design</w:t>
      </w:r>
      <w:r w:rsidR="00C83679">
        <w:t xml:space="preserve"> </w:t>
      </w:r>
      <w:r w:rsidR="00823847">
        <w:t>the</w:t>
      </w:r>
      <w:r w:rsidR="00C83679">
        <w:t xml:space="preserve"> </w:t>
      </w:r>
      <w:r w:rsidR="00823847">
        <w:t>CTLEA</w:t>
      </w:r>
      <w:r w:rsidR="00C83679">
        <w:t xml:space="preserve"> </w:t>
      </w:r>
      <w:r w:rsidR="00823847">
        <w:t>survey</w:t>
      </w:r>
      <w:r w:rsidR="00C83679">
        <w:t xml:space="preserve"> </w:t>
      </w:r>
      <w:r w:rsidR="00823847">
        <w:t>instruments.</w:t>
      </w:r>
      <w:r w:rsidR="00C83679">
        <w:t xml:space="preserve">  </w:t>
      </w:r>
      <w:r w:rsidR="00241166">
        <w:t>The</w:t>
      </w:r>
      <w:r w:rsidR="00C83679">
        <w:t xml:space="preserve"> </w:t>
      </w:r>
      <w:r w:rsidR="00241166">
        <w:t>development</w:t>
      </w:r>
      <w:r w:rsidR="00C83679">
        <w:t xml:space="preserve"> </w:t>
      </w:r>
      <w:r w:rsidR="00241166">
        <w:t>of</w:t>
      </w:r>
      <w:r w:rsidR="00C83679">
        <w:t xml:space="preserve"> </w:t>
      </w:r>
      <w:r w:rsidR="00241166">
        <w:t>the</w:t>
      </w:r>
      <w:r w:rsidR="00C83679">
        <w:t xml:space="preserve"> </w:t>
      </w:r>
      <w:r w:rsidR="00241166">
        <w:t>CTLEA</w:t>
      </w:r>
      <w:r w:rsidR="00C83679">
        <w:t xml:space="preserve"> </w:t>
      </w:r>
      <w:r w:rsidR="00B67263">
        <w:t xml:space="preserve">surveys </w:t>
      </w:r>
      <w:r w:rsidR="00241166">
        <w:t>with</w:t>
      </w:r>
      <w:r w:rsidR="00C83679">
        <w:t xml:space="preserve"> </w:t>
      </w:r>
      <w:r w:rsidR="00241166">
        <w:t>the</w:t>
      </w:r>
      <w:r w:rsidR="00C83679">
        <w:t xml:space="preserve"> </w:t>
      </w:r>
      <w:r w:rsidR="00916615">
        <w:t xml:space="preserve">input and </w:t>
      </w:r>
      <w:r w:rsidR="00241166">
        <w:t>support</w:t>
      </w:r>
      <w:r w:rsidR="00C83679">
        <w:t xml:space="preserve"> </w:t>
      </w:r>
      <w:r w:rsidR="00241166">
        <w:t>of</w:t>
      </w:r>
      <w:r w:rsidR="00C83679">
        <w:t xml:space="preserve"> </w:t>
      </w:r>
      <w:r w:rsidR="00241166">
        <w:t>tribal</w:t>
      </w:r>
      <w:r w:rsidR="00C83679">
        <w:t xml:space="preserve"> </w:t>
      </w:r>
      <w:r w:rsidR="00903FED">
        <w:t>LE</w:t>
      </w:r>
      <w:r w:rsidR="00C83679">
        <w:t xml:space="preserve"> </w:t>
      </w:r>
      <w:r w:rsidR="00241166">
        <w:t>practitioners</w:t>
      </w:r>
      <w:r w:rsidR="00C83679">
        <w:t xml:space="preserve"> </w:t>
      </w:r>
      <w:r w:rsidR="00241166">
        <w:t>working</w:t>
      </w:r>
      <w:r w:rsidR="00C83679">
        <w:t xml:space="preserve"> </w:t>
      </w:r>
      <w:r w:rsidR="00241166">
        <w:t>in</w:t>
      </w:r>
      <w:r w:rsidR="00C83679">
        <w:t xml:space="preserve"> </w:t>
      </w:r>
      <w:r w:rsidR="00241166">
        <w:t>Indian</w:t>
      </w:r>
      <w:r w:rsidR="00C83679">
        <w:t xml:space="preserve"> </w:t>
      </w:r>
      <w:r w:rsidR="00241166">
        <w:t>country</w:t>
      </w:r>
      <w:r w:rsidR="00C83679">
        <w:t xml:space="preserve"> </w:t>
      </w:r>
      <w:r w:rsidR="00241166">
        <w:t>was</w:t>
      </w:r>
      <w:r w:rsidR="00916615">
        <w:t xml:space="preserve"> essential to the development of </w:t>
      </w:r>
      <w:r w:rsidR="00554751">
        <w:t xml:space="preserve">the </w:t>
      </w:r>
      <w:r w:rsidR="00241166">
        <w:t>culturally</w:t>
      </w:r>
      <w:r w:rsidR="00B418DD">
        <w:t>-</w:t>
      </w:r>
      <w:r w:rsidR="00241166">
        <w:t>centered</w:t>
      </w:r>
      <w:r w:rsidR="00C83679">
        <w:t xml:space="preserve"> </w:t>
      </w:r>
      <w:r w:rsidR="00241166">
        <w:t>survey</w:t>
      </w:r>
      <w:r w:rsidR="00C83679">
        <w:t xml:space="preserve"> </w:t>
      </w:r>
      <w:r w:rsidR="00554751">
        <w:t>and also served</w:t>
      </w:r>
      <w:r w:rsidR="00916615">
        <w:t xml:space="preserve"> to </w:t>
      </w:r>
      <w:r w:rsidR="003E0F55">
        <w:t xml:space="preserve">inform tribal nations about the project </w:t>
      </w:r>
      <w:r w:rsidR="00834CA9">
        <w:t xml:space="preserve">early </w:t>
      </w:r>
      <w:r w:rsidR="00916615">
        <w:t xml:space="preserve">on. </w:t>
      </w:r>
      <w:r w:rsidR="00DF187F">
        <w:t xml:space="preserve"> </w:t>
      </w:r>
      <w:r w:rsidR="00554751">
        <w:t>In September 2016, a</w:t>
      </w:r>
      <w:r w:rsidR="00281542">
        <w:t>n</w:t>
      </w:r>
      <w:r w:rsidR="00C83679">
        <w:t xml:space="preserve"> </w:t>
      </w:r>
      <w:r w:rsidR="008831EA">
        <w:t>introduction</w:t>
      </w:r>
      <w:r w:rsidR="00C83679">
        <w:t xml:space="preserve"> </w:t>
      </w:r>
      <w:r w:rsidR="008831EA">
        <w:t>letter</w:t>
      </w:r>
      <w:r w:rsidR="00C83679">
        <w:t xml:space="preserve"> </w:t>
      </w:r>
      <w:r w:rsidR="00B418DD">
        <w:t>(</w:t>
      </w:r>
      <w:r w:rsidR="00B418DD" w:rsidRPr="00CA5B17">
        <w:rPr>
          <w:b/>
        </w:rPr>
        <w:t xml:space="preserve">Attachment </w:t>
      </w:r>
      <w:r w:rsidR="00B10891">
        <w:rPr>
          <w:b/>
        </w:rPr>
        <w:t>19</w:t>
      </w:r>
      <w:r w:rsidR="00B418DD">
        <w:t xml:space="preserve">) </w:t>
      </w:r>
      <w:r w:rsidR="005E0C66">
        <w:t>and</w:t>
      </w:r>
      <w:r w:rsidR="00C83679">
        <w:t xml:space="preserve"> </w:t>
      </w:r>
      <w:r w:rsidR="004939F5">
        <w:t>one</w:t>
      </w:r>
      <w:r w:rsidR="004C6E75">
        <w:t>-</w:t>
      </w:r>
      <w:r w:rsidR="004939F5">
        <w:t>page</w:t>
      </w:r>
      <w:r w:rsidR="00C83679">
        <w:t xml:space="preserve"> </w:t>
      </w:r>
      <w:r w:rsidR="004939F5">
        <w:t>flyer</w:t>
      </w:r>
      <w:r w:rsidR="00B67263">
        <w:t xml:space="preserve"> summarizing project activities</w:t>
      </w:r>
      <w:r w:rsidR="00C83679">
        <w:t xml:space="preserve"> </w:t>
      </w:r>
      <w:r w:rsidR="00B418DD">
        <w:t>(</w:t>
      </w:r>
      <w:r w:rsidR="00B418DD" w:rsidRPr="00A0076E">
        <w:rPr>
          <w:b/>
        </w:rPr>
        <w:t xml:space="preserve">Attachment </w:t>
      </w:r>
      <w:r w:rsidR="00B10891">
        <w:rPr>
          <w:b/>
        </w:rPr>
        <w:t>21</w:t>
      </w:r>
      <w:r w:rsidR="00B418DD">
        <w:t xml:space="preserve">) were </w:t>
      </w:r>
      <w:r w:rsidR="004A4AAB">
        <w:t>sent</w:t>
      </w:r>
      <w:r w:rsidR="00C83679">
        <w:t xml:space="preserve"> </w:t>
      </w:r>
      <w:r w:rsidR="004A4AAB">
        <w:t>to</w:t>
      </w:r>
      <w:r w:rsidR="00C83679">
        <w:t xml:space="preserve"> </w:t>
      </w:r>
      <w:r w:rsidR="00B418DD">
        <w:t xml:space="preserve">tribal </w:t>
      </w:r>
      <w:r w:rsidR="004A4AAB">
        <w:t>leaders</w:t>
      </w:r>
      <w:r w:rsidR="00C83679">
        <w:t xml:space="preserve"> </w:t>
      </w:r>
      <w:r w:rsidR="004A4AAB">
        <w:t>of</w:t>
      </w:r>
      <w:r w:rsidR="00C83679">
        <w:t xml:space="preserve"> </w:t>
      </w:r>
      <w:r w:rsidR="00B67263">
        <w:t xml:space="preserve">all </w:t>
      </w:r>
      <w:r w:rsidR="004A4AAB">
        <w:t>federally</w:t>
      </w:r>
      <w:r w:rsidR="00C83679">
        <w:t xml:space="preserve"> </w:t>
      </w:r>
      <w:r w:rsidR="004A4AAB">
        <w:t>recognized</w:t>
      </w:r>
      <w:r w:rsidR="00C83679">
        <w:t xml:space="preserve"> </w:t>
      </w:r>
      <w:r w:rsidR="004A4AAB">
        <w:t>tribes</w:t>
      </w:r>
      <w:r w:rsidR="00C83679">
        <w:t xml:space="preserve"> </w:t>
      </w:r>
      <w:r w:rsidR="004A4AAB">
        <w:t>informing</w:t>
      </w:r>
      <w:r w:rsidR="00C83679">
        <w:t xml:space="preserve"> </w:t>
      </w:r>
      <w:r w:rsidR="004A4AAB">
        <w:t>them</w:t>
      </w:r>
      <w:r w:rsidR="00C83679">
        <w:t xml:space="preserve"> </w:t>
      </w:r>
      <w:r w:rsidR="004A4AAB">
        <w:t>of</w:t>
      </w:r>
      <w:r w:rsidR="00C83679">
        <w:t xml:space="preserve"> </w:t>
      </w:r>
      <w:r w:rsidR="004A4AAB">
        <w:t>the</w:t>
      </w:r>
      <w:r w:rsidR="00C83679">
        <w:t xml:space="preserve"> </w:t>
      </w:r>
      <w:r w:rsidR="00ED1322">
        <w:t>CTLEA</w:t>
      </w:r>
      <w:r w:rsidR="00C83679">
        <w:t xml:space="preserve"> </w:t>
      </w:r>
      <w:r w:rsidR="004A4AAB">
        <w:t>project</w:t>
      </w:r>
      <w:r w:rsidR="00ED1322">
        <w:t>,</w:t>
      </w:r>
      <w:r w:rsidR="00C83679">
        <w:t xml:space="preserve"> </w:t>
      </w:r>
      <w:r w:rsidR="00ED1322">
        <w:t>the</w:t>
      </w:r>
      <w:r w:rsidR="00C83679">
        <w:t xml:space="preserve"> </w:t>
      </w:r>
      <w:r w:rsidR="004A4AAB">
        <w:t>types</w:t>
      </w:r>
      <w:r w:rsidR="00C83679">
        <w:t xml:space="preserve"> </w:t>
      </w:r>
      <w:r w:rsidR="004A4AAB">
        <w:t>of</w:t>
      </w:r>
      <w:r w:rsidR="00C83679">
        <w:t xml:space="preserve"> </w:t>
      </w:r>
      <w:r w:rsidR="00ED1322">
        <w:t>data</w:t>
      </w:r>
      <w:r w:rsidR="00C83679">
        <w:t xml:space="preserve"> </w:t>
      </w:r>
      <w:r w:rsidR="00ED1322">
        <w:t>to</w:t>
      </w:r>
      <w:r w:rsidR="00C83679">
        <w:t xml:space="preserve"> </w:t>
      </w:r>
      <w:r w:rsidR="00ED1322">
        <w:t>be</w:t>
      </w:r>
      <w:r w:rsidR="00C83679">
        <w:t xml:space="preserve"> </w:t>
      </w:r>
      <w:r w:rsidR="00ED1322">
        <w:t>collected</w:t>
      </w:r>
      <w:r w:rsidR="004A4AAB">
        <w:t>,</w:t>
      </w:r>
      <w:r w:rsidR="00B67263">
        <w:t xml:space="preserve"> </w:t>
      </w:r>
      <w:r w:rsidR="004A4AAB">
        <w:t>the</w:t>
      </w:r>
      <w:r w:rsidR="00C83679">
        <w:t xml:space="preserve"> </w:t>
      </w:r>
      <w:r w:rsidR="00B418DD">
        <w:t>reasons for the collection</w:t>
      </w:r>
      <w:r w:rsidR="004A4AAB">
        <w:t>,</w:t>
      </w:r>
      <w:r w:rsidR="00C83679">
        <w:t xml:space="preserve"> </w:t>
      </w:r>
      <w:r w:rsidR="004A4AAB">
        <w:t>and</w:t>
      </w:r>
      <w:r w:rsidR="00C83679">
        <w:t xml:space="preserve"> </w:t>
      </w:r>
      <w:r w:rsidR="004A4AAB">
        <w:t>requesting</w:t>
      </w:r>
      <w:r w:rsidR="00C83679">
        <w:t xml:space="preserve"> </w:t>
      </w:r>
      <w:r w:rsidR="004A4AAB">
        <w:t>their</w:t>
      </w:r>
      <w:r w:rsidR="00C83679">
        <w:t xml:space="preserve"> </w:t>
      </w:r>
      <w:r w:rsidR="004A4AAB">
        <w:t>support.</w:t>
      </w:r>
      <w:r w:rsidR="00C83679">
        <w:t xml:space="preserve">  </w:t>
      </w:r>
    </w:p>
    <w:p w14:paraId="74D58F77" w14:textId="77777777" w:rsidR="004C6E75" w:rsidRDefault="004C6E75" w:rsidP="00ED1322"/>
    <w:p w14:paraId="3101C004" w14:textId="7D7F39DF" w:rsidR="004939F5" w:rsidRDefault="005177B2" w:rsidP="008B166B">
      <w:pPr>
        <w:tabs>
          <w:tab w:val="left" w:pos="8892"/>
        </w:tabs>
      </w:pPr>
      <w:r w:rsidRPr="00C87E0F">
        <w:rPr>
          <w:b/>
        </w:rPr>
        <w:t>Indian</w:t>
      </w:r>
      <w:r w:rsidR="00C83679">
        <w:rPr>
          <w:b/>
        </w:rPr>
        <w:t xml:space="preserve"> </w:t>
      </w:r>
      <w:r w:rsidRPr="00C87E0F">
        <w:rPr>
          <w:b/>
        </w:rPr>
        <w:t>country</w:t>
      </w:r>
      <w:r w:rsidR="00C83679">
        <w:rPr>
          <w:b/>
        </w:rPr>
        <w:t xml:space="preserve"> </w:t>
      </w:r>
      <w:r w:rsidRPr="00C87E0F">
        <w:rPr>
          <w:b/>
        </w:rPr>
        <w:t>law</w:t>
      </w:r>
      <w:r w:rsidR="00C83679">
        <w:rPr>
          <w:b/>
        </w:rPr>
        <w:t xml:space="preserve"> </w:t>
      </w:r>
      <w:r w:rsidRPr="00C87E0F">
        <w:rPr>
          <w:b/>
        </w:rPr>
        <w:t>enforcement</w:t>
      </w:r>
      <w:r w:rsidR="00C83679">
        <w:rPr>
          <w:b/>
        </w:rPr>
        <w:t xml:space="preserve"> </w:t>
      </w:r>
      <w:r w:rsidRPr="00C87E0F">
        <w:rPr>
          <w:b/>
        </w:rPr>
        <w:t>expert</w:t>
      </w:r>
      <w:r w:rsidR="00C83679">
        <w:rPr>
          <w:b/>
        </w:rPr>
        <w:t xml:space="preserve"> </w:t>
      </w:r>
      <w:r w:rsidRPr="00C87E0F">
        <w:rPr>
          <w:b/>
        </w:rPr>
        <w:t>panel.</w:t>
      </w:r>
      <w:r w:rsidR="00C83679">
        <w:t xml:space="preserve">  </w:t>
      </w:r>
      <w:r w:rsidR="00554751">
        <w:t>As described in Part A, t</w:t>
      </w:r>
      <w:r w:rsidR="000023E1">
        <w:t>o</w:t>
      </w:r>
      <w:r w:rsidR="00C83679">
        <w:t xml:space="preserve"> </w:t>
      </w:r>
      <w:r w:rsidR="004939F5">
        <w:t>ensure</w:t>
      </w:r>
      <w:r w:rsidR="00C83679">
        <w:t xml:space="preserve"> </w:t>
      </w:r>
      <w:r w:rsidR="000A01FF">
        <w:t xml:space="preserve">that the </w:t>
      </w:r>
      <w:r w:rsidR="004939F5">
        <w:t>CTLEA</w:t>
      </w:r>
      <w:r w:rsidR="00C83679">
        <w:t xml:space="preserve"> </w:t>
      </w:r>
      <w:r w:rsidR="000A01FF">
        <w:t xml:space="preserve">survey </w:t>
      </w:r>
      <w:r w:rsidR="00241166">
        <w:t>capture</w:t>
      </w:r>
      <w:r w:rsidR="00315A00">
        <w:t>s</w:t>
      </w:r>
      <w:r w:rsidR="00C83679">
        <w:t xml:space="preserve"> </w:t>
      </w:r>
      <w:r w:rsidR="00A947F1">
        <w:t>key</w:t>
      </w:r>
      <w:r w:rsidR="00C83679">
        <w:t xml:space="preserve"> </w:t>
      </w:r>
      <w:r w:rsidR="00241166">
        <w:t>measures</w:t>
      </w:r>
      <w:r w:rsidR="00C83679">
        <w:t xml:space="preserve"> </w:t>
      </w:r>
      <w:r w:rsidR="00D56EC7">
        <w:t>on</w:t>
      </w:r>
      <w:r w:rsidR="00C83679">
        <w:t xml:space="preserve"> </w:t>
      </w:r>
      <w:r w:rsidR="00241166">
        <w:t>the</w:t>
      </w:r>
      <w:r w:rsidR="00C83679">
        <w:t xml:space="preserve"> </w:t>
      </w:r>
      <w:r w:rsidR="00241166">
        <w:t>administration</w:t>
      </w:r>
      <w:r w:rsidR="00C83679">
        <w:t xml:space="preserve"> </w:t>
      </w:r>
      <w:r w:rsidR="00241166">
        <w:t>and</w:t>
      </w:r>
      <w:r w:rsidR="00C83679">
        <w:t xml:space="preserve"> </w:t>
      </w:r>
      <w:r w:rsidR="00241166">
        <w:t>operation</w:t>
      </w:r>
      <w:r w:rsidR="00C83679">
        <w:t xml:space="preserve"> </w:t>
      </w:r>
      <w:r w:rsidR="00241166">
        <w:t>of</w:t>
      </w:r>
      <w:r w:rsidR="00C83679">
        <w:t xml:space="preserve"> </w:t>
      </w:r>
      <w:r w:rsidR="00241166">
        <w:t>tribal</w:t>
      </w:r>
      <w:r w:rsidR="00C83679">
        <w:t xml:space="preserve"> </w:t>
      </w:r>
      <w:r w:rsidR="00903FED">
        <w:t>LE</w:t>
      </w:r>
      <w:r w:rsidR="00C83679">
        <w:t xml:space="preserve"> </w:t>
      </w:r>
      <w:r w:rsidR="00241166">
        <w:t>agencies</w:t>
      </w:r>
      <w:r w:rsidR="00D93FB4">
        <w:t xml:space="preserve"> with clarity and an informed perspective</w:t>
      </w:r>
      <w:r w:rsidR="00377ED6">
        <w:t xml:space="preserve"> from tribal </w:t>
      </w:r>
      <w:r w:rsidR="00903FED">
        <w:t>LE</w:t>
      </w:r>
      <w:r w:rsidR="00377ED6">
        <w:t xml:space="preserve"> professionals</w:t>
      </w:r>
      <w:r w:rsidR="004939F5">
        <w:t>,</w:t>
      </w:r>
      <w:r w:rsidR="00C83679">
        <w:t xml:space="preserve"> </w:t>
      </w:r>
      <w:r w:rsidR="004939F5">
        <w:t>BJS</w:t>
      </w:r>
      <w:r w:rsidR="00C83679">
        <w:t xml:space="preserve"> </w:t>
      </w:r>
      <w:r w:rsidR="004939F5">
        <w:t>hosted</w:t>
      </w:r>
      <w:r w:rsidR="00C83679">
        <w:t xml:space="preserve"> </w:t>
      </w:r>
      <w:r w:rsidR="004939F5">
        <w:t>a</w:t>
      </w:r>
      <w:r w:rsidR="00C83679">
        <w:t xml:space="preserve"> </w:t>
      </w:r>
      <w:r w:rsidR="004939F5">
        <w:t>two</w:t>
      </w:r>
      <w:r w:rsidR="00AE6E7C">
        <w:t>-</w:t>
      </w:r>
      <w:r w:rsidR="004939F5">
        <w:t>day</w:t>
      </w:r>
      <w:r w:rsidR="00C83679">
        <w:t xml:space="preserve"> </w:t>
      </w:r>
      <w:r w:rsidR="004939F5">
        <w:t>expert</w:t>
      </w:r>
      <w:r w:rsidR="00C83679">
        <w:t xml:space="preserve"> </w:t>
      </w:r>
      <w:r w:rsidR="004939F5">
        <w:t>panel</w:t>
      </w:r>
      <w:r w:rsidR="00C83679">
        <w:t xml:space="preserve"> </w:t>
      </w:r>
      <w:r w:rsidR="004939F5">
        <w:t>meeting</w:t>
      </w:r>
      <w:r w:rsidR="00C83679">
        <w:t xml:space="preserve"> </w:t>
      </w:r>
      <w:r w:rsidR="004939F5">
        <w:t>in</w:t>
      </w:r>
      <w:r w:rsidR="00C83679">
        <w:t xml:space="preserve"> </w:t>
      </w:r>
      <w:r w:rsidR="004939F5">
        <w:t>Phoenix,</w:t>
      </w:r>
      <w:r w:rsidR="00C83679">
        <w:t xml:space="preserve"> </w:t>
      </w:r>
      <w:r w:rsidR="004939F5">
        <w:t>Arizona</w:t>
      </w:r>
      <w:r w:rsidR="00C83679">
        <w:t xml:space="preserve"> </w:t>
      </w:r>
      <w:r w:rsidR="00B21544">
        <w:t xml:space="preserve">in </w:t>
      </w:r>
      <w:r w:rsidR="00241166">
        <w:t>October</w:t>
      </w:r>
      <w:r w:rsidR="00C83679">
        <w:t xml:space="preserve"> </w:t>
      </w:r>
      <w:r w:rsidR="00241166">
        <w:t>2016</w:t>
      </w:r>
      <w:r w:rsidR="00C83679">
        <w:t xml:space="preserve"> </w:t>
      </w:r>
      <w:r w:rsidR="000023E1">
        <w:t>comprised</w:t>
      </w:r>
      <w:r w:rsidR="00C83679">
        <w:t xml:space="preserve"> </w:t>
      </w:r>
      <w:r w:rsidR="000023E1">
        <w:t>of</w:t>
      </w:r>
      <w:r w:rsidR="00C83679">
        <w:t xml:space="preserve"> </w:t>
      </w:r>
      <w:r w:rsidR="00AE6E7C">
        <w:t xml:space="preserve">representatives from </w:t>
      </w:r>
      <w:r w:rsidR="000023E1">
        <w:t>various</w:t>
      </w:r>
      <w:r w:rsidR="00C83679">
        <w:t xml:space="preserve"> </w:t>
      </w:r>
      <w:r w:rsidR="00903FED">
        <w:t>LE</w:t>
      </w:r>
      <w:r w:rsidR="00C83679">
        <w:t xml:space="preserve"> </w:t>
      </w:r>
      <w:r w:rsidR="000023E1">
        <w:t>agencies</w:t>
      </w:r>
      <w:r w:rsidR="00C83679">
        <w:t xml:space="preserve"> </w:t>
      </w:r>
      <w:r w:rsidR="000023E1">
        <w:t>that</w:t>
      </w:r>
      <w:r w:rsidR="00C83679">
        <w:t xml:space="preserve"> </w:t>
      </w:r>
      <w:r w:rsidR="000023E1">
        <w:t>work</w:t>
      </w:r>
      <w:r w:rsidR="00C83679">
        <w:t xml:space="preserve"> </w:t>
      </w:r>
      <w:r w:rsidR="000023E1">
        <w:t>directly</w:t>
      </w:r>
      <w:r w:rsidR="00C83679">
        <w:t xml:space="preserve"> </w:t>
      </w:r>
      <w:r w:rsidR="000023E1">
        <w:t>in</w:t>
      </w:r>
      <w:r w:rsidR="00C83679">
        <w:t xml:space="preserve"> </w:t>
      </w:r>
      <w:r w:rsidR="000023E1">
        <w:t>Indian</w:t>
      </w:r>
      <w:r w:rsidR="00C83679">
        <w:t xml:space="preserve"> </w:t>
      </w:r>
      <w:r w:rsidR="000023E1">
        <w:t>country</w:t>
      </w:r>
      <w:r w:rsidR="00A947F1">
        <w:t>.</w:t>
      </w:r>
      <w:r w:rsidR="00C83679">
        <w:t xml:space="preserve"> </w:t>
      </w:r>
      <w:r w:rsidR="00A947F1">
        <w:t>Twenty</w:t>
      </w:r>
      <w:r w:rsidR="008B166B">
        <w:t>-</w:t>
      </w:r>
      <w:r w:rsidR="00A947F1">
        <w:t>four</w:t>
      </w:r>
      <w:r w:rsidR="00C83679">
        <w:t xml:space="preserve"> </w:t>
      </w:r>
      <w:r w:rsidR="004939F5">
        <w:t>representatives</w:t>
      </w:r>
      <w:r w:rsidR="00C83679">
        <w:t xml:space="preserve"> </w:t>
      </w:r>
      <w:r w:rsidR="00B21544">
        <w:t xml:space="preserve">from </w:t>
      </w:r>
      <w:r w:rsidR="004939F5">
        <w:t>tribal</w:t>
      </w:r>
      <w:r w:rsidR="00C83679">
        <w:t xml:space="preserve"> </w:t>
      </w:r>
      <w:r w:rsidR="004939F5">
        <w:t>police</w:t>
      </w:r>
      <w:r w:rsidR="00C83679">
        <w:t xml:space="preserve"> </w:t>
      </w:r>
      <w:r w:rsidR="004939F5">
        <w:t>departments,</w:t>
      </w:r>
      <w:r w:rsidR="00C83679">
        <w:t xml:space="preserve"> </w:t>
      </w:r>
      <w:r w:rsidR="004939F5">
        <w:t>BIA</w:t>
      </w:r>
      <w:r w:rsidR="00C83679">
        <w:t xml:space="preserve"> </w:t>
      </w:r>
      <w:r w:rsidR="004939F5">
        <w:t>agencies,</w:t>
      </w:r>
      <w:r w:rsidR="00C83679">
        <w:t xml:space="preserve"> </w:t>
      </w:r>
      <w:r w:rsidR="004939F5">
        <w:t>Alaska</w:t>
      </w:r>
      <w:r w:rsidR="00C83679">
        <w:t xml:space="preserve"> </w:t>
      </w:r>
      <w:r w:rsidR="004939F5">
        <w:t>State</w:t>
      </w:r>
      <w:r w:rsidR="00C83679">
        <w:t xml:space="preserve"> </w:t>
      </w:r>
      <w:r w:rsidR="004939F5">
        <w:t>Troopers</w:t>
      </w:r>
      <w:r w:rsidR="00C83679">
        <w:t xml:space="preserve"> </w:t>
      </w:r>
      <w:r w:rsidR="004939F5">
        <w:t>and</w:t>
      </w:r>
      <w:r w:rsidR="00C83679">
        <w:t xml:space="preserve"> </w:t>
      </w:r>
      <w:r w:rsidR="004939F5">
        <w:t>Village</w:t>
      </w:r>
      <w:r w:rsidR="00C83679">
        <w:t xml:space="preserve"> </w:t>
      </w:r>
      <w:r w:rsidR="004939F5">
        <w:t>Public</w:t>
      </w:r>
      <w:r w:rsidR="00C83679">
        <w:t xml:space="preserve"> </w:t>
      </w:r>
      <w:r w:rsidR="004939F5">
        <w:t>Safety</w:t>
      </w:r>
      <w:r w:rsidR="00C83679">
        <w:t xml:space="preserve"> </w:t>
      </w:r>
      <w:r w:rsidR="004F06A2">
        <w:t xml:space="preserve">Officer </w:t>
      </w:r>
      <w:r w:rsidR="004939F5">
        <w:t>Coordinators,</w:t>
      </w:r>
      <w:r w:rsidR="00C83679">
        <w:t xml:space="preserve"> </w:t>
      </w:r>
      <w:r w:rsidR="004939F5" w:rsidRPr="004939F5">
        <w:t>DOJ’s</w:t>
      </w:r>
      <w:r w:rsidR="00C83679">
        <w:t xml:space="preserve"> </w:t>
      </w:r>
      <w:r w:rsidR="00FF3160">
        <w:t>Office</w:t>
      </w:r>
      <w:r w:rsidR="00C83679">
        <w:t xml:space="preserve"> </w:t>
      </w:r>
      <w:r w:rsidR="00FF3160">
        <w:t>of</w:t>
      </w:r>
      <w:r w:rsidR="00C83679">
        <w:t xml:space="preserve"> </w:t>
      </w:r>
      <w:r w:rsidR="00FF3160">
        <w:t>Tribal</w:t>
      </w:r>
      <w:r w:rsidR="00C83679">
        <w:t xml:space="preserve"> </w:t>
      </w:r>
      <w:r w:rsidR="00FF3160">
        <w:t>Justice,</w:t>
      </w:r>
      <w:r w:rsidR="00C83679">
        <w:t xml:space="preserve"> </w:t>
      </w:r>
      <w:r w:rsidR="00FF3160">
        <w:t>the</w:t>
      </w:r>
      <w:r w:rsidR="00C83679">
        <w:t xml:space="preserve"> </w:t>
      </w:r>
      <w:r w:rsidR="004939F5" w:rsidRPr="004939F5">
        <w:t>FBI</w:t>
      </w:r>
      <w:r w:rsidR="008B166B">
        <w:t>’s</w:t>
      </w:r>
      <w:r w:rsidR="00C83679">
        <w:t xml:space="preserve"> </w:t>
      </w:r>
      <w:r w:rsidR="00241166">
        <w:t>Indian</w:t>
      </w:r>
      <w:r w:rsidR="00C83679">
        <w:t xml:space="preserve"> </w:t>
      </w:r>
      <w:r w:rsidR="00241166">
        <w:t>Crimes</w:t>
      </w:r>
      <w:r w:rsidR="00C83679">
        <w:t xml:space="preserve"> </w:t>
      </w:r>
      <w:r w:rsidR="00241166">
        <w:t>Unit,</w:t>
      </w:r>
      <w:r w:rsidR="00C83679">
        <w:t xml:space="preserve"> </w:t>
      </w:r>
      <w:r w:rsidR="004939F5" w:rsidRPr="004939F5">
        <w:t>Community</w:t>
      </w:r>
      <w:r w:rsidR="00C83679">
        <w:t xml:space="preserve"> </w:t>
      </w:r>
      <w:r w:rsidR="004939F5" w:rsidRPr="004939F5">
        <w:t>Oriented</w:t>
      </w:r>
      <w:r w:rsidR="00C83679">
        <w:t xml:space="preserve"> </w:t>
      </w:r>
      <w:r w:rsidR="004939F5" w:rsidRPr="004939F5">
        <w:t>Policing</w:t>
      </w:r>
      <w:r w:rsidR="00C83679">
        <w:t xml:space="preserve"> </w:t>
      </w:r>
      <w:r w:rsidR="004939F5" w:rsidRPr="004939F5">
        <w:t>Services</w:t>
      </w:r>
      <w:r w:rsidR="00C83679">
        <w:t xml:space="preserve"> </w:t>
      </w:r>
      <w:r w:rsidR="004939F5" w:rsidRPr="004939F5">
        <w:t>(COPS)</w:t>
      </w:r>
      <w:r w:rsidR="00C83679">
        <w:t xml:space="preserve"> </w:t>
      </w:r>
      <w:r w:rsidR="00823847">
        <w:t>and</w:t>
      </w:r>
      <w:r w:rsidR="00C83679">
        <w:t xml:space="preserve"> </w:t>
      </w:r>
      <w:r w:rsidR="008831EA">
        <w:t>the</w:t>
      </w:r>
      <w:r w:rsidR="00C83679">
        <w:t xml:space="preserve"> </w:t>
      </w:r>
      <w:r w:rsidR="00823847">
        <w:t>U</w:t>
      </w:r>
      <w:r w:rsidR="008B166B">
        <w:t>.</w:t>
      </w:r>
      <w:r w:rsidR="00823847">
        <w:t>S</w:t>
      </w:r>
      <w:r w:rsidR="008B166B">
        <w:t>.</w:t>
      </w:r>
      <w:r w:rsidR="00C83679">
        <w:t xml:space="preserve"> </w:t>
      </w:r>
      <w:r w:rsidR="00823847">
        <w:t>Attorney</w:t>
      </w:r>
      <w:r w:rsidR="008B166B">
        <w:t>s</w:t>
      </w:r>
      <w:r w:rsidR="00C83679">
        <w:t xml:space="preserve"> </w:t>
      </w:r>
      <w:r w:rsidR="000023E1">
        <w:t>served</w:t>
      </w:r>
      <w:r w:rsidR="00C83679">
        <w:t xml:space="preserve"> </w:t>
      </w:r>
      <w:r w:rsidR="000023E1">
        <w:t>as</w:t>
      </w:r>
      <w:r w:rsidR="00C83679">
        <w:t xml:space="preserve"> </w:t>
      </w:r>
      <w:r w:rsidR="000023E1">
        <w:t>panelists</w:t>
      </w:r>
      <w:r w:rsidR="004939F5">
        <w:t>.</w:t>
      </w:r>
      <w:r w:rsidR="00C83679">
        <w:t xml:space="preserve">  </w:t>
      </w:r>
      <w:r w:rsidR="000023E1">
        <w:t>P</w:t>
      </w:r>
      <w:r w:rsidR="00823847">
        <w:t>anel</w:t>
      </w:r>
      <w:r w:rsidR="00C83679">
        <w:t xml:space="preserve"> </w:t>
      </w:r>
      <w:r w:rsidR="00823847">
        <w:t>members</w:t>
      </w:r>
      <w:r w:rsidR="00C83679">
        <w:t xml:space="preserve"> </w:t>
      </w:r>
      <w:r w:rsidR="00823847">
        <w:t>helped</w:t>
      </w:r>
      <w:r w:rsidR="00C83679">
        <w:t xml:space="preserve"> </w:t>
      </w:r>
      <w:r w:rsidR="00823847">
        <w:t>to</w:t>
      </w:r>
      <w:r w:rsidR="00C83679">
        <w:t xml:space="preserve"> </w:t>
      </w:r>
      <w:r w:rsidR="00823847">
        <w:t>improve</w:t>
      </w:r>
      <w:r w:rsidR="00C83679">
        <w:t xml:space="preserve"> </w:t>
      </w:r>
      <w:r w:rsidR="00823847">
        <w:t>the</w:t>
      </w:r>
      <w:r w:rsidR="00C83679">
        <w:t xml:space="preserve"> </w:t>
      </w:r>
      <w:r w:rsidR="00823847">
        <w:t>initial</w:t>
      </w:r>
      <w:r w:rsidR="00C83679">
        <w:t xml:space="preserve"> </w:t>
      </w:r>
      <w:r w:rsidR="00823847">
        <w:t>draft</w:t>
      </w:r>
      <w:r w:rsidR="00C83679">
        <w:t xml:space="preserve"> </w:t>
      </w:r>
      <w:r w:rsidR="00823847">
        <w:t>survey</w:t>
      </w:r>
      <w:r w:rsidR="00C83679">
        <w:t xml:space="preserve"> </w:t>
      </w:r>
      <w:r w:rsidR="003353C2">
        <w:t xml:space="preserve">questions </w:t>
      </w:r>
      <w:r w:rsidR="000023E1">
        <w:t>and</w:t>
      </w:r>
      <w:r w:rsidR="00C83679">
        <w:t xml:space="preserve"> </w:t>
      </w:r>
      <w:r w:rsidR="000023E1">
        <w:t>provided</w:t>
      </w:r>
      <w:r w:rsidR="00DA2384">
        <w:t xml:space="preserve"> content and survey item</w:t>
      </w:r>
      <w:r w:rsidR="00C83679">
        <w:t xml:space="preserve"> </w:t>
      </w:r>
      <w:r w:rsidR="00D93FB4">
        <w:t xml:space="preserve">suggestions </w:t>
      </w:r>
      <w:r w:rsidR="000023E1">
        <w:t>to</w:t>
      </w:r>
      <w:r w:rsidR="00C83679">
        <w:t xml:space="preserve"> </w:t>
      </w:r>
      <w:r w:rsidR="00D93FB4">
        <w:t xml:space="preserve">ensure a high </w:t>
      </w:r>
      <w:r w:rsidR="000023E1">
        <w:t>response</w:t>
      </w:r>
      <w:r w:rsidR="00C83679">
        <w:t xml:space="preserve"> </w:t>
      </w:r>
      <w:r w:rsidR="000023E1">
        <w:t>rate.</w:t>
      </w:r>
      <w:r w:rsidR="00C83679">
        <w:t xml:space="preserve">  </w:t>
      </w:r>
      <w:r w:rsidR="000023E1">
        <w:t>T</w:t>
      </w:r>
      <w:r w:rsidR="00823847">
        <w:t>he</w:t>
      </w:r>
      <w:r w:rsidR="00C83679">
        <w:t xml:space="preserve"> </w:t>
      </w:r>
      <w:r w:rsidR="00823847">
        <w:t>panel</w:t>
      </w:r>
      <w:r w:rsidR="00C83679">
        <w:t xml:space="preserve"> </w:t>
      </w:r>
      <w:r w:rsidR="00823847">
        <w:t>members</w:t>
      </w:r>
      <w:r w:rsidR="00C83679">
        <w:t xml:space="preserve"> </w:t>
      </w:r>
      <w:r w:rsidR="00241166">
        <w:t>conducted</w:t>
      </w:r>
      <w:r w:rsidR="00C83679">
        <w:t xml:space="preserve"> </w:t>
      </w:r>
      <w:r w:rsidR="00241166">
        <w:t>a</w:t>
      </w:r>
      <w:r w:rsidR="00C83679">
        <w:t xml:space="preserve"> </w:t>
      </w:r>
      <w:r w:rsidR="00241166">
        <w:t>detailed</w:t>
      </w:r>
      <w:r w:rsidR="00C83679">
        <w:t xml:space="preserve"> </w:t>
      </w:r>
      <w:r w:rsidR="00241166">
        <w:t>review</w:t>
      </w:r>
      <w:r w:rsidR="00C83679">
        <w:t xml:space="preserve"> </w:t>
      </w:r>
      <w:r w:rsidR="00823847">
        <w:t>of</w:t>
      </w:r>
      <w:r w:rsidR="00C83679">
        <w:t xml:space="preserve"> </w:t>
      </w:r>
      <w:r w:rsidR="00823847">
        <w:t>the</w:t>
      </w:r>
      <w:r w:rsidR="00C83679">
        <w:t xml:space="preserve"> </w:t>
      </w:r>
      <w:r w:rsidR="00823847">
        <w:t>survey</w:t>
      </w:r>
      <w:r w:rsidR="00C83679">
        <w:t xml:space="preserve"> </w:t>
      </w:r>
      <w:r w:rsidR="00241166">
        <w:t>content</w:t>
      </w:r>
      <w:r w:rsidR="00C83679">
        <w:t xml:space="preserve"> </w:t>
      </w:r>
      <w:r w:rsidR="00241166">
        <w:t>and</w:t>
      </w:r>
      <w:r w:rsidR="00C83679">
        <w:t xml:space="preserve"> </w:t>
      </w:r>
      <w:r w:rsidR="00241166">
        <w:t>questions</w:t>
      </w:r>
      <w:r w:rsidR="00C83679">
        <w:t xml:space="preserve"> </w:t>
      </w:r>
      <w:r w:rsidR="00823847">
        <w:t>section</w:t>
      </w:r>
      <w:r w:rsidR="00C83679">
        <w:t xml:space="preserve"> </w:t>
      </w:r>
      <w:r w:rsidR="00823847">
        <w:t>by</w:t>
      </w:r>
      <w:r w:rsidR="00C83679">
        <w:t xml:space="preserve"> </w:t>
      </w:r>
      <w:r w:rsidR="00823847">
        <w:t>section.</w:t>
      </w:r>
      <w:r w:rsidR="00C83679">
        <w:t xml:space="preserve">  </w:t>
      </w:r>
      <w:r w:rsidR="0094113F">
        <w:t>In addition, the panelist</w:t>
      </w:r>
      <w:r w:rsidR="00B21544">
        <w:t>s</w:t>
      </w:r>
      <w:r w:rsidR="0094113F">
        <w:t xml:space="preserve"> also discussed the utility of the information gathered for tribal </w:t>
      </w:r>
      <w:r w:rsidR="00903FED">
        <w:t>LE</w:t>
      </w:r>
      <w:r w:rsidR="0094113F">
        <w:t xml:space="preserve"> agencies</w:t>
      </w:r>
      <w:r w:rsidR="005E1CC3">
        <w:t xml:space="preserve"> and whether</w:t>
      </w:r>
      <w:r w:rsidR="0094113F">
        <w:t xml:space="preserve"> the types of data requested </w:t>
      </w:r>
      <w:r w:rsidR="005E1CC3">
        <w:t xml:space="preserve">in the CTLEA would </w:t>
      </w:r>
      <w:r w:rsidR="00B21544">
        <w:t xml:space="preserve">be </w:t>
      </w:r>
      <w:r w:rsidR="005E1CC3">
        <w:t xml:space="preserve">readily available to the respondents.  </w:t>
      </w:r>
      <w:r w:rsidR="00823847">
        <w:t>The</w:t>
      </w:r>
      <w:r w:rsidR="00C83679">
        <w:t xml:space="preserve"> </w:t>
      </w:r>
      <w:r w:rsidR="00241166">
        <w:t>CTLEA</w:t>
      </w:r>
      <w:r w:rsidR="00C83679">
        <w:t xml:space="preserve"> </w:t>
      </w:r>
      <w:r w:rsidR="00241166">
        <w:t>t</w:t>
      </w:r>
      <w:r w:rsidR="00823847">
        <w:t>ribal</w:t>
      </w:r>
      <w:r w:rsidR="00C83679">
        <w:t xml:space="preserve"> </w:t>
      </w:r>
      <w:r w:rsidR="00903FED">
        <w:t>LE</w:t>
      </w:r>
      <w:r w:rsidR="00C83679">
        <w:t xml:space="preserve"> </w:t>
      </w:r>
      <w:r w:rsidR="00241166">
        <w:t>expert</w:t>
      </w:r>
      <w:r w:rsidR="00C83679">
        <w:t xml:space="preserve"> </w:t>
      </w:r>
      <w:r w:rsidR="00823847">
        <w:t>panel</w:t>
      </w:r>
      <w:r w:rsidR="00C83679">
        <w:t xml:space="preserve"> </w:t>
      </w:r>
      <w:r w:rsidR="00823847">
        <w:t>participants</w:t>
      </w:r>
      <w:r w:rsidR="00C83679">
        <w:t xml:space="preserve"> </w:t>
      </w:r>
      <w:r w:rsidR="00241166">
        <w:t>included</w:t>
      </w:r>
      <w:r w:rsidR="00C83679">
        <w:t xml:space="preserve"> </w:t>
      </w:r>
      <w:r w:rsidR="00823847">
        <w:t>the</w:t>
      </w:r>
      <w:r w:rsidR="00C83679">
        <w:t xml:space="preserve"> </w:t>
      </w:r>
      <w:r w:rsidR="00823847">
        <w:t>following</w:t>
      </w:r>
      <w:r w:rsidR="00C83679">
        <w:t xml:space="preserve"> </w:t>
      </w:r>
      <w:r w:rsidR="00823847">
        <w:t>tribes</w:t>
      </w:r>
      <w:r w:rsidR="00C83679">
        <w:t xml:space="preserve"> </w:t>
      </w:r>
      <w:r w:rsidR="00823847">
        <w:t>or</w:t>
      </w:r>
      <w:r w:rsidR="00C83679">
        <w:t xml:space="preserve"> </w:t>
      </w:r>
      <w:r w:rsidR="00823847">
        <w:t>organizations:</w:t>
      </w:r>
    </w:p>
    <w:p w14:paraId="2B30297A" w14:textId="77777777" w:rsidR="00241166" w:rsidRDefault="00241166" w:rsidP="00ED1322"/>
    <w:p w14:paraId="5F7B58AB" w14:textId="36B8C067" w:rsidR="005A3226" w:rsidRDefault="005177B2" w:rsidP="00ED1322">
      <w:r w:rsidRPr="00C87E0F">
        <w:rPr>
          <w:b/>
        </w:rPr>
        <w:t>Indian</w:t>
      </w:r>
      <w:r w:rsidR="00C83679">
        <w:rPr>
          <w:b/>
        </w:rPr>
        <w:t xml:space="preserve"> </w:t>
      </w:r>
      <w:r w:rsidRPr="00C87E0F">
        <w:rPr>
          <w:b/>
        </w:rPr>
        <w:t>Country</w:t>
      </w:r>
      <w:r w:rsidR="00C83679">
        <w:rPr>
          <w:b/>
        </w:rPr>
        <w:t xml:space="preserve"> </w:t>
      </w:r>
      <w:r w:rsidRPr="00C87E0F">
        <w:rPr>
          <w:b/>
        </w:rPr>
        <w:t>justice</w:t>
      </w:r>
      <w:r w:rsidR="00C83679">
        <w:rPr>
          <w:b/>
        </w:rPr>
        <w:t xml:space="preserve"> </w:t>
      </w:r>
      <w:r w:rsidRPr="00C87E0F">
        <w:rPr>
          <w:b/>
        </w:rPr>
        <w:t>agencies</w:t>
      </w:r>
      <w:r w:rsidR="00C83679">
        <w:rPr>
          <w:b/>
        </w:rPr>
        <w:t xml:space="preserve"> </w:t>
      </w:r>
      <w:r w:rsidRPr="00C87E0F">
        <w:rPr>
          <w:b/>
        </w:rPr>
        <w:t>marketing</w:t>
      </w:r>
      <w:r w:rsidR="00C83679">
        <w:rPr>
          <w:b/>
        </w:rPr>
        <w:t xml:space="preserve"> </w:t>
      </w:r>
      <w:r w:rsidRPr="00C87E0F">
        <w:rPr>
          <w:b/>
        </w:rPr>
        <w:t>strategy</w:t>
      </w:r>
      <w:r>
        <w:t>.</w:t>
      </w:r>
      <w:r w:rsidR="00C83679">
        <w:t xml:space="preserve">  </w:t>
      </w:r>
      <w:r w:rsidR="00B452C5">
        <w:t>At</w:t>
      </w:r>
      <w:r w:rsidR="00C83679">
        <w:t xml:space="preserve"> </w:t>
      </w:r>
      <w:r w:rsidR="007C1DDD">
        <w:t>the</w:t>
      </w:r>
      <w:r w:rsidR="00C83679">
        <w:t xml:space="preserve"> </w:t>
      </w:r>
      <w:r w:rsidR="007C1DDD">
        <w:t>start</w:t>
      </w:r>
      <w:r w:rsidR="00C83679">
        <w:t xml:space="preserve"> </w:t>
      </w:r>
      <w:r w:rsidR="007C1DDD">
        <w:t>of</w:t>
      </w:r>
      <w:r w:rsidR="00C83679">
        <w:t xml:space="preserve"> </w:t>
      </w:r>
      <w:r w:rsidR="005A3226">
        <w:t>data</w:t>
      </w:r>
      <w:r w:rsidR="00C83679">
        <w:t xml:space="preserve"> </w:t>
      </w:r>
      <w:r w:rsidR="005A3226">
        <w:t>collection,</w:t>
      </w:r>
      <w:r w:rsidR="00C83679">
        <w:t xml:space="preserve"> </w:t>
      </w:r>
      <w:r>
        <w:t>a</w:t>
      </w:r>
      <w:r w:rsidR="00C83679">
        <w:t xml:space="preserve"> </w:t>
      </w:r>
      <w:r>
        <w:t>CTLEA</w:t>
      </w:r>
      <w:r w:rsidR="00C83679">
        <w:t xml:space="preserve"> </w:t>
      </w:r>
      <w:r w:rsidR="00EC6D86">
        <w:t>project summary</w:t>
      </w:r>
      <w:r w:rsidR="00C83679">
        <w:t xml:space="preserve"> </w:t>
      </w:r>
      <w:r w:rsidR="005A3226">
        <w:t>will</w:t>
      </w:r>
      <w:r w:rsidR="00C83679">
        <w:t xml:space="preserve"> </w:t>
      </w:r>
      <w:r w:rsidR="005A3226">
        <w:t>be</w:t>
      </w:r>
      <w:r w:rsidR="00C83679">
        <w:t xml:space="preserve"> </w:t>
      </w:r>
      <w:r w:rsidR="005A3226">
        <w:t>sent</w:t>
      </w:r>
      <w:r w:rsidR="00C83679">
        <w:t xml:space="preserve"> </w:t>
      </w:r>
      <w:r w:rsidR="0094113F">
        <w:t xml:space="preserve">by </w:t>
      </w:r>
      <w:r w:rsidR="00EC6D86">
        <w:t xml:space="preserve">NORC </w:t>
      </w:r>
      <w:r w:rsidR="005A3226">
        <w:t>to</w:t>
      </w:r>
      <w:r w:rsidR="00C83679">
        <w:t xml:space="preserve"> </w:t>
      </w:r>
      <w:r w:rsidR="005A3226">
        <w:t>various</w:t>
      </w:r>
      <w:r w:rsidR="00C83679">
        <w:t xml:space="preserve"> </w:t>
      </w:r>
      <w:r>
        <w:t>Native</w:t>
      </w:r>
      <w:r w:rsidR="00C83679">
        <w:t xml:space="preserve"> </w:t>
      </w:r>
      <w:r>
        <w:t>American</w:t>
      </w:r>
      <w:r w:rsidR="00C83679">
        <w:t xml:space="preserve"> </w:t>
      </w:r>
      <w:r w:rsidR="00DF187F">
        <w:t xml:space="preserve">media, </w:t>
      </w:r>
      <w:r>
        <w:t>professional</w:t>
      </w:r>
      <w:r w:rsidR="00C83679">
        <w:t xml:space="preserve"> </w:t>
      </w:r>
      <w:r>
        <w:t>associations</w:t>
      </w:r>
      <w:r w:rsidR="00C83679">
        <w:t xml:space="preserve"> </w:t>
      </w:r>
      <w:r>
        <w:t>and</w:t>
      </w:r>
      <w:r w:rsidR="00C83679">
        <w:t xml:space="preserve"> </w:t>
      </w:r>
      <w:r>
        <w:t>organizations</w:t>
      </w:r>
      <w:r w:rsidR="00C83679">
        <w:t xml:space="preserve"> </w:t>
      </w:r>
      <w:r w:rsidR="005748A5">
        <w:t>asking that they distribute materials</w:t>
      </w:r>
      <w:r w:rsidR="000A01FF">
        <w:t xml:space="preserve"> about the project</w:t>
      </w:r>
      <w:r w:rsidR="00B21544">
        <w:t xml:space="preserve">.  </w:t>
      </w:r>
      <w:r w:rsidR="00433C60">
        <w:t xml:space="preserve">A </w:t>
      </w:r>
      <w:r w:rsidR="00BE236B">
        <w:t>NORC</w:t>
      </w:r>
      <w:r w:rsidR="00433C60">
        <w:t xml:space="preserve"> </w:t>
      </w:r>
      <w:r w:rsidR="00B21544">
        <w:t xml:space="preserve">press release will describe </w:t>
      </w:r>
      <w:r w:rsidR="005A3226">
        <w:t>the</w:t>
      </w:r>
      <w:r w:rsidR="00C83679">
        <w:t xml:space="preserve"> </w:t>
      </w:r>
      <w:r w:rsidR="005A3226">
        <w:t>utility</w:t>
      </w:r>
      <w:r w:rsidR="00C83679">
        <w:t xml:space="preserve"> </w:t>
      </w:r>
      <w:r w:rsidR="005A3226">
        <w:t>and</w:t>
      </w:r>
      <w:r w:rsidR="00C83679">
        <w:t xml:space="preserve"> </w:t>
      </w:r>
      <w:r w:rsidR="005A3226">
        <w:t>benefits</w:t>
      </w:r>
      <w:r w:rsidR="00C83679">
        <w:t xml:space="preserve"> </w:t>
      </w:r>
      <w:r w:rsidR="005A3226">
        <w:t>of</w:t>
      </w:r>
      <w:r w:rsidR="00C83679">
        <w:t xml:space="preserve"> </w:t>
      </w:r>
      <w:r w:rsidR="000346A5">
        <w:t>CTLEA</w:t>
      </w:r>
      <w:r w:rsidR="00C83679">
        <w:t xml:space="preserve"> </w:t>
      </w:r>
      <w:r w:rsidR="005A3226">
        <w:t>results</w:t>
      </w:r>
      <w:r w:rsidR="00C83679">
        <w:t xml:space="preserve"> </w:t>
      </w:r>
      <w:r w:rsidR="000A01FF">
        <w:t>in</w:t>
      </w:r>
      <w:r w:rsidR="00C83679">
        <w:t xml:space="preserve"> </w:t>
      </w:r>
      <w:r w:rsidR="005A3226">
        <w:t>understanding</w:t>
      </w:r>
      <w:r w:rsidR="00C83679">
        <w:t xml:space="preserve"> </w:t>
      </w:r>
      <w:r w:rsidR="005A3226">
        <w:t>the</w:t>
      </w:r>
      <w:r w:rsidR="00C83679">
        <w:t xml:space="preserve"> </w:t>
      </w:r>
      <w:r w:rsidR="00844A32">
        <w:t>challenges of</w:t>
      </w:r>
      <w:r w:rsidR="00C83679">
        <w:t xml:space="preserve"> </w:t>
      </w:r>
      <w:r w:rsidR="005A3226">
        <w:t>crime</w:t>
      </w:r>
      <w:r w:rsidR="00C83679">
        <w:t xml:space="preserve"> </w:t>
      </w:r>
      <w:r w:rsidR="005A3226">
        <w:t>and</w:t>
      </w:r>
      <w:r w:rsidR="00C83679">
        <w:t xml:space="preserve"> </w:t>
      </w:r>
      <w:r w:rsidR="005A3226">
        <w:t>justice</w:t>
      </w:r>
      <w:r w:rsidR="00C83679">
        <w:t xml:space="preserve"> </w:t>
      </w:r>
      <w:r w:rsidR="005A3226">
        <w:t>in</w:t>
      </w:r>
      <w:r w:rsidR="00C83679">
        <w:t xml:space="preserve"> </w:t>
      </w:r>
      <w:r w:rsidR="005A3226">
        <w:t>Indian</w:t>
      </w:r>
      <w:r w:rsidR="00C83679">
        <w:t xml:space="preserve"> </w:t>
      </w:r>
      <w:r w:rsidR="005A3226">
        <w:t>country</w:t>
      </w:r>
      <w:r w:rsidR="00433C60">
        <w:t xml:space="preserve"> and it</w:t>
      </w:r>
      <w:r w:rsidR="000346A5">
        <w:t xml:space="preserve"> will also indicate </w:t>
      </w:r>
      <w:r w:rsidR="00D93FB4">
        <w:t xml:space="preserve">the types of information that will </w:t>
      </w:r>
      <w:r w:rsidR="003353C2">
        <w:t xml:space="preserve">be </w:t>
      </w:r>
      <w:r w:rsidR="00D93FB4">
        <w:t xml:space="preserve">collected, including </w:t>
      </w:r>
      <w:r w:rsidR="00AC3072">
        <w:t>budget</w:t>
      </w:r>
      <w:r w:rsidR="00D93FB4">
        <w:t>s</w:t>
      </w:r>
      <w:r w:rsidR="000346A5">
        <w:t>,</w:t>
      </w:r>
      <w:r w:rsidR="00C83679">
        <w:t xml:space="preserve"> </w:t>
      </w:r>
      <w:r w:rsidR="00AC3072">
        <w:t>staffing</w:t>
      </w:r>
      <w:r w:rsidR="00C83679">
        <w:t xml:space="preserve"> </w:t>
      </w:r>
      <w:r w:rsidR="00AC3072">
        <w:t>and</w:t>
      </w:r>
      <w:r w:rsidR="00C83679">
        <w:t xml:space="preserve"> </w:t>
      </w:r>
      <w:r w:rsidR="00D93FB4">
        <w:t>work activities.</w:t>
      </w:r>
    </w:p>
    <w:p w14:paraId="1A058944" w14:textId="77777777" w:rsidR="005A3226" w:rsidRDefault="005A3226" w:rsidP="00ED1322"/>
    <w:p w14:paraId="616FB3D1" w14:textId="72DEA770" w:rsidR="00A947F1" w:rsidRPr="00C87E0F" w:rsidRDefault="00A947F1" w:rsidP="00ED1322">
      <w:r w:rsidRPr="00C87E0F">
        <w:rPr>
          <w:b/>
        </w:rPr>
        <w:t>Letter</w:t>
      </w:r>
      <w:r w:rsidR="00C83679">
        <w:rPr>
          <w:b/>
        </w:rPr>
        <w:t xml:space="preserve"> </w:t>
      </w:r>
      <w:r w:rsidRPr="00C87E0F">
        <w:rPr>
          <w:b/>
        </w:rPr>
        <w:t>of</w:t>
      </w:r>
      <w:r w:rsidR="00C83679">
        <w:rPr>
          <w:b/>
        </w:rPr>
        <w:t xml:space="preserve"> </w:t>
      </w:r>
      <w:r w:rsidRPr="00C87E0F">
        <w:rPr>
          <w:b/>
        </w:rPr>
        <w:t>support.</w:t>
      </w:r>
      <w:r w:rsidR="00C83679">
        <w:t xml:space="preserve">  </w:t>
      </w:r>
      <w:r w:rsidRPr="00C87E0F">
        <w:t>A</w:t>
      </w:r>
      <w:r w:rsidR="00C83679">
        <w:t xml:space="preserve"> </w:t>
      </w:r>
      <w:r w:rsidRPr="00C87E0F">
        <w:t>letter</w:t>
      </w:r>
      <w:r w:rsidR="00C83679">
        <w:t xml:space="preserve"> </w:t>
      </w:r>
      <w:r w:rsidRPr="00C87E0F">
        <w:t>of</w:t>
      </w:r>
      <w:r w:rsidR="00C83679">
        <w:t xml:space="preserve"> </w:t>
      </w:r>
      <w:r w:rsidRPr="00C87E0F">
        <w:t>support</w:t>
      </w:r>
      <w:r w:rsidR="00C83679">
        <w:t xml:space="preserve"> </w:t>
      </w:r>
      <w:r w:rsidR="00331BB3">
        <w:t>(</w:t>
      </w:r>
      <w:r w:rsidR="00331BB3" w:rsidRPr="00CA5B17">
        <w:rPr>
          <w:b/>
        </w:rPr>
        <w:t xml:space="preserve">Attachment </w:t>
      </w:r>
      <w:r w:rsidR="00B10891">
        <w:rPr>
          <w:b/>
        </w:rPr>
        <w:t>3</w:t>
      </w:r>
      <w:r w:rsidR="00331BB3">
        <w:t xml:space="preserve">) </w:t>
      </w:r>
      <w:r w:rsidRPr="00C87E0F">
        <w:t>from</w:t>
      </w:r>
      <w:r w:rsidR="00C83679">
        <w:t xml:space="preserve"> </w:t>
      </w:r>
      <w:r w:rsidR="000048DB">
        <w:t xml:space="preserve">IACP/ICLES </w:t>
      </w:r>
      <w:r w:rsidRPr="00C87E0F">
        <w:t>will</w:t>
      </w:r>
      <w:r w:rsidR="00C83679">
        <w:t xml:space="preserve"> </w:t>
      </w:r>
      <w:r w:rsidRPr="00C87E0F">
        <w:t>accompany</w:t>
      </w:r>
      <w:r w:rsidR="00C83679">
        <w:t xml:space="preserve"> </w:t>
      </w:r>
      <w:r w:rsidRPr="00C87E0F">
        <w:t>the</w:t>
      </w:r>
      <w:r w:rsidR="00C83679">
        <w:t xml:space="preserve"> </w:t>
      </w:r>
      <w:r w:rsidRPr="00C87E0F">
        <w:t>initial</w:t>
      </w:r>
      <w:r w:rsidR="00C83679">
        <w:t xml:space="preserve"> </w:t>
      </w:r>
      <w:r w:rsidRPr="00C87E0F">
        <w:t>survey</w:t>
      </w:r>
      <w:r w:rsidR="00C83679">
        <w:t xml:space="preserve"> </w:t>
      </w:r>
      <w:r w:rsidRPr="00C87E0F">
        <w:t>mailing.</w:t>
      </w:r>
      <w:r w:rsidR="00C83679">
        <w:t xml:space="preserve">  </w:t>
      </w:r>
      <w:r w:rsidR="000346A5">
        <w:t xml:space="preserve">Subsequent </w:t>
      </w:r>
      <w:r w:rsidRPr="00C87E0F">
        <w:t>updates</w:t>
      </w:r>
      <w:r w:rsidR="00C83679">
        <w:t xml:space="preserve"> </w:t>
      </w:r>
      <w:r w:rsidRPr="00C87E0F">
        <w:t>about</w:t>
      </w:r>
      <w:r w:rsidR="00C83679">
        <w:t xml:space="preserve"> </w:t>
      </w:r>
      <w:r w:rsidRPr="00C87E0F">
        <w:t>the</w:t>
      </w:r>
      <w:r w:rsidR="00C83679">
        <w:t xml:space="preserve"> </w:t>
      </w:r>
      <w:r w:rsidR="000346A5">
        <w:t xml:space="preserve">value of the </w:t>
      </w:r>
      <w:r w:rsidRPr="00C87E0F">
        <w:t>survey</w:t>
      </w:r>
      <w:r w:rsidR="00C83679">
        <w:t xml:space="preserve"> </w:t>
      </w:r>
      <w:r w:rsidRPr="00C87E0F">
        <w:t>will</w:t>
      </w:r>
      <w:r w:rsidR="00C83679">
        <w:t xml:space="preserve"> </w:t>
      </w:r>
      <w:r w:rsidR="00D06D4E">
        <w:t xml:space="preserve">continue to </w:t>
      </w:r>
      <w:r w:rsidRPr="00C87E0F">
        <w:t>be</w:t>
      </w:r>
      <w:r w:rsidR="00C83679">
        <w:t xml:space="preserve"> </w:t>
      </w:r>
      <w:r w:rsidRPr="00C87E0F">
        <w:t>communicated</w:t>
      </w:r>
      <w:r w:rsidR="00C83679">
        <w:t xml:space="preserve"> </w:t>
      </w:r>
      <w:r w:rsidRPr="00C87E0F">
        <w:t>to</w:t>
      </w:r>
      <w:r w:rsidR="00C83679">
        <w:t xml:space="preserve"> </w:t>
      </w:r>
      <w:r w:rsidRPr="00C87E0F">
        <w:t>IACP’s</w:t>
      </w:r>
      <w:r w:rsidR="00C83679">
        <w:t xml:space="preserve"> </w:t>
      </w:r>
      <w:r w:rsidRPr="00C87E0F">
        <w:t>membership</w:t>
      </w:r>
      <w:r w:rsidR="00C83679">
        <w:t xml:space="preserve"> </w:t>
      </w:r>
      <w:r w:rsidR="000346A5">
        <w:t xml:space="preserve">through its </w:t>
      </w:r>
      <w:r w:rsidR="009F070D">
        <w:t>ICLES</w:t>
      </w:r>
      <w:r w:rsidR="000346A5">
        <w:t xml:space="preserve">, </w:t>
      </w:r>
      <w:r w:rsidRPr="00C87E0F">
        <w:t>which</w:t>
      </w:r>
      <w:r w:rsidR="00C83679">
        <w:t xml:space="preserve"> </w:t>
      </w:r>
      <w:r w:rsidR="000346A5">
        <w:t xml:space="preserve">has </w:t>
      </w:r>
      <w:r w:rsidRPr="00C87E0F">
        <w:t>many</w:t>
      </w:r>
      <w:r w:rsidR="00C83679">
        <w:t xml:space="preserve"> </w:t>
      </w:r>
      <w:r w:rsidRPr="00C87E0F">
        <w:t>tribal</w:t>
      </w:r>
      <w:r w:rsidR="00C83679">
        <w:t xml:space="preserve"> </w:t>
      </w:r>
      <w:r w:rsidRPr="00C87E0F">
        <w:t>law</w:t>
      </w:r>
      <w:r w:rsidR="00C83679">
        <w:t xml:space="preserve"> </w:t>
      </w:r>
      <w:r w:rsidRPr="00C87E0F">
        <w:t>enforcement</w:t>
      </w:r>
      <w:r w:rsidR="00C83679">
        <w:t xml:space="preserve"> </w:t>
      </w:r>
      <w:r w:rsidRPr="00C87E0F">
        <w:t>chiefs</w:t>
      </w:r>
      <w:r w:rsidR="00C83679">
        <w:t xml:space="preserve"> </w:t>
      </w:r>
      <w:r w:rsidR="00B65C3A">
        <w:t xml:space="preserve">as </w:t>
      </w:r>
      <w:r w:rsidRPr="00C87E0F">
        <w:t>members.</w:t>
      </w:r>
      <w:r w:rsidR="00C83679">
        <w:t xml:space="preserve"> </w:t>
      </w:r>
      <w:r w:rsidR="00D06D4E">
        <w:t xml:space="preserve">IACP will also issue project updates via their Twitter </w:t>
      </w:r>
      <w:r w:rsidR="00433C60">
        <w:t xml:space="preserve">account plus </w:t>
      </w:r>
      <w:r w:rsidR="00D06D4E">
        <w:t xml:space="preserve">other social media outlets. </w:t>
      </w:r>
    </w:p>
    <w:p w14:paraId="15524905" w14:textId="77777777" w:rsidR="00A947F1" w:rsidRDefault="00A947F1" w:rsidP="00ED1322">
      <w:pPr>
        <w:rPr>
          <w:b/>
        </w:rPr>
      </w:pPr>
    </w:p>
    <w:p w14:paraId="10C81478" w14:textId="76B681BC" w:rsidR="00D414C8" w:rsidRDefault="00CF4ABE" w:rsidP="00ED1322">
      <w:r w:rsidRPr="00C87E0F">
        <w:rPr>
          <w:b/>
        </w:rPr>
        <w:t>Response</w:t>
      </w:r>
      <w:r w:rsidR="00C83679">
        <w:rPr>
          <w:b/>
        </w:rPr>
        <w:t xml:space="preserve"> </w:t>
      </w:r>
      <w:r w:rsidRPr="00C87E0F">
        <w:rPr>
          <w:b/>
        </w:rPr>
        <w:t>modes</w:t>
      </w:r>
      <w:r>
        <w:t>.</w:t>
      </w:r>
      <w:r w:rsidR="00C83679">
        <w:t xml:space="preserve">  </w:t>
      </w:r>
      <w:r w:rsidR="00433C60">
        <w:t>T</w:t>
      </w:r>
      <w:r w:rsidR="00ED1322">
        <w:t>he</w:t>
      </w:r>
      <w:r w:rsidR="00C83679">
        <w:t xml:space="preserve"> </w:t>
      </w:r>
      <w:r w:rsidR="00ED1322">
        <w:t>data</w:t>
      </w:r>
      <w:r w:rsidR="00C83679">
        <w:t xml:space="preserve"> </w:t>
      </w:r>
      <w:r w:rsidR="00ED1322">
        <w:t>collection</w:t>
      </w:r>
      <w:r w:rsidR="00C83679">
        <w:t xml:space="preserve"> </w:t>
      </w:r>
      <w:r w:rsidR="00ED1322">
        <w:t>plan</w:t>
      </w:r>
      <w:r w:rsidR="00C83679">
        <w:t xml:space="preserve"> </w:t>
      </w:r>
      <w:r w:rsidR="00ED1322">
        <w:t>includes</w:t>
      </w:r>
      <w:r w:rsidR="00C83679">
        <w:t xml:space="preserve"> </w:t>
      </w:r>
      <w:r w:rsidR="00ED1322">
        <w:t>a</w:t>
      </w:r>
      <w:r w:rsidR="00C83679">
        <w:t xml:space="preserve"> </w:t>
      </w:r>
      <w:r w:rsidR="00ED1322">
        <w:t>multi-mode</w:t>
      </w:r>
      <w:r w:rsidR="00C83679">
        <w:t xml:space="preserve"> </w:t>
      </w:r>
      <w:r w:rsidR="0065508E">
        <w:t>collection</w:t>
      </w:r>
      <w:r w:rsidR="00C83679">
        <w:t xml:space="preserve"> </w:t>
      </w:r>
      <w:r w:rsidR="00ED1322">
        <w:t>strategy</w:t>
      </w:r>
      <w:r w:rsidR="00C83679">
        <w:t xml:space="preserve"> </w:t>
      </w:r>
      <w:r w:rsidR="00ED1322">
        <w:t>so</w:t>
      </w:r>
      <w:r w:rsidR="00C83679">
        <w:t xml:space="preserve"> </w:t>
      </w:r>
      <w:r w:rsidR="00ED1322">
        <w:t>that</w:t>
      </w:r>
      <w:r w:rsidR="00C83679">
        <w:t xml:space="preserve"> </w:t>
      </w:r>
      <w:r w:rsidR="0065508E">
        <w:t>s</w:t>
      </w:r>
      <w:r w:rsidR="00ED1322">
        <w:t>urveys</w:t>
      </w:r>
      <w:r w:rsidR="00C83679">
        <w:t xml:space="preserve"> </w:t>
      </w:r>
      <w:r w:rsidR="00ED1322">
        <w:t>may</w:t>
      </w:r>
      <w:r w:rsidR="00C83679">
        <w:t xml:space="preserve"> </w:t>
      </w:r>
      <w:r w:rsidR="00ED1322">
        <w:t>be</w:t>
      </w:r>
      <w:r w:rsidR="00C83679">
        <w:t xml:space="preserve"> </w:t>
      </w:r>
      <w:r w:rsidR="00ED1322">
        <w:t>returned</w:t>
      </w:r>
      <w:r w:rsidR="00C83679">
        <w:t xml:space="preserve"> </w:t>
      </w:r>
      <w:r w:rsidR="00ED1322">
        <w:t>to</w:t>
      </w:r>
      <w:r w:rsidR="00C83679">
        <w:t xml:space="preserve"> </w:t>
      </w:r>
      <w:r w:rsidR="00ED1322">
        <w:t>the</w:t>
      </w:r>
      <w:r w:rsidR="00C83679">
        <w:t xml:space="preserve"> </w:t>
      </w:r>
      <w:r w:rsidR="00ED1322">
        <w:t>data</w:t>
      </w:r>
      <w:r w:rsidR="00C83679">
        <w:t xml:space="preserve"> </w:t>
      </w:r>
      <w:r w:rsidR="00ED1322">
        <w:t>collection</w:t>
      </w:r>
      <w:r w:rsidR="00C83679">
        <w:t xml:space="preserve"> </w:t>
      </w:r>
      <w:r w:rsidR="00ED1322">
        <w:t>agent</w:t>
      </w:r>
      <w:r w:rsidR="00C83679">
        <w:t xml:space="preserve"> </w:t>
      </w:r>
      <w:r w:rsidR="00ED1322">
        <w:t>via</w:t>
      </w:r>
      <w:r w:rsidR="00C83679">
        <w:t xml:space="preserve"> </w:t>
      </w:r>
      <w:r w:rsidR="00ED1322">
        <w:t>mail,</w:t>
      </w:r>
      <w:r w:rsidR="00C83679">
        <w:t xml:space="preserve"> </w:t>
      </w:r>
      <w:r w:rsidR="00ED1322">
        <w:t>fax</w:t>
      </w:r>
      <w:r w:rsidR="00C83679">
        <w:t xml:space="preserve"> </w:t>
      </w:r>
      <w:r w:rsidR="00ED1322">
        <w:t>or</w:t>
      </w:r>
      <w:r w:rsidR="00C83679">
        <w:t xml:space="preserve"> </w:t>
      </w:r>
      <w:r w:rsidR="00ED1322">
        <w:t>email.</w:t>
      </w:r>
      <w:r w:rsidR="00C83679">
        <w:t xml:space="preserve"> </w:t>
      </w:r>
      <w:r w:rsidR="00ED1322">
        <w:t>A</w:t>
      </w:r>
      <w:r w:rsidR="00C83679">
        <w:t xml:space="preserve"> </w:t>
      </w:r>
      <w:r w:rsidR="00ED1322">
        <w:t>web</w:t>
      </w:r>
      <w:r w:rsidR="00C83679">
        <w:t xml:space="preserve"> </w:t>
      </w:r>
      <w:r w:rsidR="00ED1322">
        <w:t>option</w:t>
      </w:r>
      <w:r w:rsidR="00C83679">
        <w:t xml:space="preserve"> </w:t>
      </w:r>
      <w:r w:rsidR="00ED1322">
        <w:t>is</w:t>
      </w:r>
      <w:r w:rsidR="00C83679">
        <w:t xml:space="preserve"> </w:t>
      </w:r>
      <w:r w:rsidR="00ED1322">
        <w:t>not</w:t>
      </w:r>
      <w:r w:rsidR="00C83679">
        <w:t xml:space="preserve"> </w:t>
      </w:r>
      <w:r w:rsidR="00ED1322">
        <w:t>offered</w:t>
      </w:r>
      <w:r w:rsidR="00C83679">
        <w:t xml:space="preserve"> </w:t>
      </w:r>
      <w:r w:rsidR="00ED1322">
        <w:t>for</w:t>
      </w:r>
      <w:r w:rsidR="00C83679">
        <w:t xml:space="preserve"> </w:t>
      </w:r>
      <w:r w:rsidR="00ED1322">
        <w:t>this</w:t>
      </w:r>
      <w:r w:rsidR="00C83679">
        <w:t xml:space="preserve"> </w:t>
      </w:r>
      <w:r w:rsidR="00ED1322">
        <w:t>data</w:t>
      </w:r>
      <w:r w:rsidR="00C83679">
        <w:t xml:space="preserve"> </w:t>
      </w:r>
      <w:r w:rsidR="00ED1322">
        <w:t>collection</w:t>
      </w:r>
      <w:r w:rsidR="0065508E">
        <w:t>,</w:t>
      </w:r>
      <w:r w:rsidR="00C83679">
        <w:t xml:space="preserve"> </w:t>
      </w:r>
      <w:r w:rsidR="00ED1322">
        <w:t>as</w:t>
      </w:r>
      <w:r w:rsidR="00C83679">
        <w:t xml:space="preserve"> </w:t>
      </w:r>
      <w:r w:rsidR="00586311">
        <w:t>the</w:t>
      </w:r>
      <w:r w:rsidR="00C83679">
        <w:t xml:space="preserve"> </w:t>
      </w:r>
      <w:r w:rsidR="00586311">
        <w:t>small</w:t>
      </w:r>
      <w:r w:rsidR="00C83679">
        <w:t xml:space="preserve"> </w:t>
      </w:r>
      <w:r w:rsidR="00586311">
        <w:t>sample</w:t>
      </w:r>
      <w:r w:rsidR="00C83679">
        <w:t xml:space="preserve"> </w:t>
      </w:r>
      <w:r w:rsidR="00586311">
        <w:t>size</w:t>
      </w:r>
      <w:r w:rsidR="00C83679">
        <w:t xml:space="preserve"> </w:t>
      </w:r>
      <w:r w:rsidR="00586311">
        <w:t>and</w:t>
      </w:r>
      <w:r w:rsidR="00C83679">
        <w:t xml:space="preserve"> </w:t>
      </w:r>
      <w:r w:rsidR="00586311">
        <w:t>inconsistent</w:t>
      </w:r>
      <w:r w:rsidR="00C83679">
        <w:t xml:space="preserve"> </w:t>
      </w:r>
      <w:r w:rsidR="00586311">
        <w:t>internet</w:t>
      </w:r>
      <w:r w:rsidR="00C83679">
        <w:t xml:space="preserve"> </w:t>
      </w:r>
      <w:r w:rsidR="00586311">
        <w:t>availability</w:t>
      </w:r>
      <w:r w:rsidR="00C83679">
        <w:t xml:space="preserve"> </w:t>
      </w:r>
      <w:r w:rsidR="00586311">
        <w:t>and</w:t>
      </w:r>
      <w:r w:rsidR="00C83679">
        <w:t xml:space="preserve"> </w:t>
      </w:r>
      <w:r w:rsidR="00586311">
        <w:t>access</w:t>
      </w:r>
      <w:r w:rsidR="00C83679">
        <w:t xml:space="preserve"> </w:t>
      </w:r>
      <w:r w:rsidR="00586311">
        <w:t>across</w:t>
      </w:r>
      <w:r w:rsidR="00C83679">
        <w:t xml:space="preserve"> </w:t>
      </w:r>
      <w:r w:rsidR="00586311">
        <w:t>Indian</w:t>
      </w:r>
      <w:r w:rsidR="00C83679">
        <w:t xml:space="preserve"> </w:t>
      </w:r>
      <w:r w:rsidR="00586311">
        <w:t>country</w:t>
      </w:r>
      <w:r w:rsidR="00C83679">
        <w:t xml:space="preserve"> </w:t>
      </w:r>
      <w:r w:rsidR="00433C60">
        <w:t xml:space="preserve">does </w:t>
      </w:r>
      <w:r w:rsidR="00586311">
        <w:t>not</w:t>
      </w:r>
      <w:r w:rsidR="00C83679">
        <w:t xml:space="preserve"> </w:t>
      </w:r>
      <w:r w:rsidR="00586311">
        <w:t>warrant</w:t>
      </w:r>
      <w:r w:rsidR="00C83679">
        <w:t xml:space="preserve"> </w:t>
      </w:r>
      <w:r w:rsidR="00586311">
        <w:t>the</w:t>
      </w:r>
      <w:r w:rsidR="00C83679">
        <w:t xml:space="preserve"> </w:t>
      </w:r>
      <w:r w:rsidR="00586311">
        <w:t>costs.</w:t>
      </w:r>
      <w:r w:rsidR="00C83679">
        <w:t xml:space="preserve">  </w:t>
      </w:r>
    </w:p>
    <w:p w14:paraId="66C5F64A" w14:textId="77777777" w:rsidR="000C76A0" w:rsidRDefault="000C76A0" w:rsidP="00ED1322"/>
    <w:p w14:paraId="416438C8" w14:textId="77777777" w:rsidR="00BE236B" w:rsidRDefault="000C76A0" w:rsidP="00BE236B">
      <w:r>
        <w:t xml:space="preserve">Additionally, NORC will monitor a project specific email address and toll-free number, both of which allows respondents to contact NORC with questions on the survey </w:t>
      </w:r>
      <w:r w:rsidR="00F21937">
        <w:t xml:space="preserve">or issues they encounter. </w:t>
      </w:r>
    </w:p>
    <w:p w14:paraId="71FBFAA4" w14:textId="77777777" w:rsidR="00BE236B" w:rsidRDefault="00BE236B" w:rsidP="00BE236B"/>
    <w:p w14:paraId="381FF7B5" w14:textId="6BD1916B" w:rsidR="00421095" w:rsidRDefault="00421095" w:rsidP="00BE236B">
      <w:pPr>
        <w:rPr>
          <w:b/>
          <w:u w:val="single"/>
        </w:rPr>
      </w:pPr>
      <w:r w:rsidRPr="008D7CC0">
        <w:rPr>
          <w:b/>
          <w:u w:val="single"/>
        </w:rPr>
        <w:t>Contacts</w:t>
      </w:r>
      <w:r w:rsidR="00C83679">
        <w:rPr>
          <w:b/>
          <w:u w:val="single"/>
        </w:rPr>
        <w:t xml:space="preserve"> </w:t>
      </w:r>
      <w:r w:rsidRPr="008D7CC0">
        <w:rPr>
          <w:b/>
          <w:u w:val="single"/>
        </w:rPr>
        <w:t>for</w:t>
      </w:r>
      <w:r w:rsidR="00C83679">
        <w:rPr>
          <w:b/>
          <w:u w:val="single"/>
        </w:rPr>
        <w:t xml:space="preserve"> </w:t>
      </w:r>
      <w:r w:rsidRPr="008D7CC0">
        <w:rPr>
          <w:b/>
          <w:u w:val="single"/>
        </w:rPr>
        <w:t>Statistical</w:t>
      </w:r>
      <w:r w:rsidR="00C83679">
        <w:rPr>
          <w:b/>
          <w:u w:val="single"/>
        </w:rPr>
        <w:t xml:space="preserve"> </w:t>
      </w:r>
      <w:r w:rsidRPr="008D7CC0">
        <w:rPr>
          <w:b/>
          <w:u w:val="single"/>
        </w:rPr>
        <w:t>Aspects</w:t>
      </w:r>
      <w:r w:rsidR="00C83679">
        <w:rPr>
          <w:b/>
          <w:u w:val="single"/>
        </w:rPr>
        <w:t xml:space="preserve"> </w:t>
      </w:r>
      <w:r w:rsidRPr="008D7CC0">
        <w:rPr>
          <w:b/>
          <w:u w:val="single"/>
        </w:rPr>
        <w:t>and</w:t>
      </w:r>
      <w:r w:rsidR="00C83679">
        <w:rPr>
          <w:b/>
          <w:u w:val="single"/>
        </w:rPr>
        <w:t xml:space="preserve"> </w:t>
      </w:r>
      <w:r w:rsidRPr="008D7CC0">
        <w:rPr>
          <w:b/>
          <w:u w:val="single"/>
        </w:rPr>
        <w:t>Data</w:t>
      </w:r>
      <w:r w:rsidR="00C83679">
        <w:rPr>
          <w:b/>
          <w:u w:val="single"/>
        </w:rPr>
        <w:t xml:space="preserve"> </w:t>
      </w:r>
      <w:r w:rsidRPr="008D7CC0">
        <w:rPr>
          <w:b/>
          <w:u w:val="single"/>
        </w:rPr>
        <w:t>Collection</w:t>
      </w:r>
    </w:p>
    <w:p w14:paraId="3D6EAFA6" w14:textId="77777777" w:rsidR="00B10FDB" w:rsidRPr="008D7CC0" w:rsidRDefault="00B10FDB" w:rsidP="00B10FDB">
      <w:pPr>
        <w:pStyle w:val="ListParagraph"/>
        <w:ind w:left="360"/>
        <w:rPr>
          <w:b/>
          <w:u w:val="single"/>
        </w:rPr>
      </w:pPr>
    </w:p>
    <w:p w14:paraId="5A55456D" w14:textId="77777777" w:rsidR="00842A7E" w:rsidRDefault="00842A7E" w:rsidP="00842A7E">
      <w:r>
        <w:t>The</w:t>
      </w:r>
      <w:r w:rsidR="00C83679">
        <w:t xml:space="preserve"> </w:t>
      </w:r>
      <w:r>
        <w:t>Bureau</w:t>
      </w:r>
      <w:r w:rsidR="00C83679">
        <w:t xml:space="preserve"> </w:t>
      </w:r>
      <w:r>
        <w:t>of</w:t>
      </w:r>
      <w:r w:rsidR="00C83679">
        <w:t xml:space="preserve"> </w:t>
      </w:r>
      <w:r>
        <w:t>Justice</w:t>
      </w:r>
      <w:r w:rsidR="00C83679">
        <w:t xml:space="preserve"> </w:t>
      </w:r>
      <w:r>
        <w:t>Statistics</w:t>
      </w:r>
      <w:r w:rsidR="00B66D34">
        <w:t xml:space="preserve"> within</w:t>
      </w:r>
      <w:r w:rsidR="00C83679">
        <w:t xml:space="preserve"> </w:t>
      </w:r>
      <w:r w:rsidR="00F44864">
        <w:t>the</w:t>
      </w:r>
      <w:r w:rsidR="00C83679">
        <w:t xml:space="preserve"> </w:t>
      </w:r>
      <w:r w:rsidR="00D81CA3">
        <w:t>U.</w:t>
      </w:r>
      <w:r w:rsidR="00C83679">
        <w:t xml:space="preserve"> </w:t>
      </w:r>
      <w:r w:rsidR="00D81CA3">
        <w:t>S.</w:t>
      </w:r>
      <w:r w:rsidR="00C83679">
        <w:t xml:space="preserve"> </w:t>
      </w:r>
      <w:r w:rsidR="00D81CA3">
        <w:t>Department</w:t>
      </w:r>
      <w:r w:rsidR="00C83679">
        <w:t xml:space="preserve"> </w:t>
      </w:r>
      <w:r w:rsidR="00F44864">
        <w:t>of</w:t>
      </w:r>
      <w:r w:rsidR="00C83679">
        <w:t xml:space="preserve"> </w:t>
      </w:r>
      <w:r w:rsidR="00F44864">
        <w:t>Justice</w:t>
      </w:r>
      <w:r w:rsidR="00C83679">
        <w:t xml:space="preserve"> </w:t>
      </w:r>
      <w:r w:rsidR="00D81CA3">
        <w:t>is</w:t>
      </w:r>
      <w:r w:rsidR="00C83679">
        <w:t xml:space="preserve"> </w:t>
      </w:r>
      <w:r w:rsidR="00D81CA3">
        <w:t>the</w:t>
      </w:r>
      <w:r w:rsidR="00C83679">
        <w:t xml:space="preserve"> </w:t>
      </w:r>
      <w:r w:rsidR="002372EB">
        <w:t>sponsoring</w:t>
      </w:r>
      <w:r w:rsidR="00C83679">
        <w:t xml:space="preserve"> </w:t>
      </w:r>
      <w:r w:rsidR="00D81CA3">
        <w:t>agency</w:t>
      </w:r>
      <w:r w:rsidR="00C83679">
        <w:t xml:space="preserve"> </w:t>
      </w:r>
      <w:r w:rsidR="00D81CA3">
        <w:t>for</w:t>
      </w:r>
      <w:r w:rsidR="00C83679">
        <w:t xml:space="preserve"> </w:t>
      </w:r>
      <w:r w:rsidR="00D81CA3">
        <w:t>the</w:t>
      </w:r>
      <w:r w:rsidR="00C83679">
        <w:t xml:space="preserve"> </w:t>
      </w:r>
      <w:r w:rsidR="007A6E56">
        <w:t>CTLEA</w:t>
      </w:r>
      <w:r w:rsidR="00D81CA3">
        <w:t>.</w:t>
      </w:r>
      <w:r w:rsidR="00C83679">
        <w:t xml:space="preserve">  </w:t>
      </w:r>
      <w:r w:rsidR="00D81CA3">
        <w:t>NORC</w:t>
      </w:r>
      <w:r w:rsidR="00C83679">
        <w:t xml:space="preserve"> </w:t>
      </w:r>
      <w:r w:rsidR="00D81CA3">
        <w:t>is</w:t>
      </w:r>
      <w:r w:rsidR="00C83679">
        <w:t xml:space="preserve"> </w:t>
      </w:r>
      <w:r w:rsidR="00D81CA3">
        <w:t>the</w:t>
      </w:r>
      <w:r w:rsidR="00C83679">
        <w:t xml:space="preserve"> </w:t>
      </w:r>
      <w:r w:rsidR="00D81CA3">
        <w:t>data</w:t>
      </w:r>
      <w:r w:rsidR="00C83679">
        <w:t xml:space="preserve"> </w:t>
      </w:r>
      <w:r w:rsidR="00D81CA3">
        <w:t>collection</w:t>
      </w:r>
      <w:r w:rsidR="00C83679">
        <w:t xml:space="preserve"> </w:t>
      </w:r>
      <w:r w:rsidR="00D81CA3">
        <w:t>agent</w:t>
      </w:r>
      <w:r>
        <w:t>.</w:t>
      </w:r>
      <w:r w:rsidR="00C83679">
        <w:t xml:space="preserve">  </w:t>
      </w:r>
      <w:r w:rsidR="001B3AAC">
        <w:t xml:space="preserve">NORC’s efforts are supported through a subcontract to IACP, specifically </w:t>
      </w:r>
      <w:r w:rsidR="001B3AAC" w:rsidRPr="00BC3D84">
        <w:rPr>
          <w:color w:val="000000" w:themeColor="text1"/>
        </w:rPr>
        <w:t>IACP</w:t>
      </w:r>
      <w:r w:rsidR="001B3AAC">
        <w:rPr>
          <w:color w:val="000000" w:themeColor="text1"/>
        </w:rPr>
        <w:t xml:space="preserve">’s </w:t>
      </w:r>
      <w:r w:rsidR="001B3AAC" w:rsidRPr="00BC3D84">
        <w:rPr>
          <w:color w:val="000000" w:themeColor="text1"/>
        </w:rPr>
        <w:t>Indian</w:t>
      </w:r>
      <w:r w:rsidR="001B3AAC">
        <w:rPr>
          <w:color w:val="000000" w:themeColor="text1"/>
        </w:rPr>
        <w:t xml:space="preserve"> </w:t>
      </w:r>
      <w:r w:rsidR="001B3AAC" w:rsidRPr="00BC3D84">
        <w:rPr>
          <w:color w:val="000000" w:themeColor="text1"/>
        </w:rPr>
        <w:t>Country</w:t>
      </w:r>
      <w:r w:rsidR="001B3AAC">
        <w:rPr>
          <w:color w:val="000000" w:themeColor="text1"/>
        </w:rPr>
        <w:t xml:space="preserve"> </w:t>
      </w:r>
      <w:r w:rsidR="001B3AAC" w:rsidRPr="00BC3D84">
        <w:rPr>
          <w:color w:val="000000" w:themeColor="text1"/>
        </w:rPr>
        <w:t>Law</w:t>
      </w:r>
      <w:r w:rsidR="001B3AAC">
        <w:rPr>
          <w:color w:val="000000" w:themeColor="text1"/>
        </w:rPr>
        <w:t xml:space="preserve"> </w:t>
      </w:r>
      <w:r w:rsidR="001B3AAC" w:rsidRPr="00BC3D84">
        <w:rPr>
          <w:color w:val="000000" w:themeColor="text1"/>
        </w:rPr>
        <w:t>Enforcement</w:t>
      </w:r>
      <w:r w:rsidR="001B3AAC">
        <w:rPr>
          <w:color w:val="000000" w:themeColor="text1"/>
        </w:rPr>
        <w:t xml:space="preserve"> </w:t>
      </w:r>
      <w:r w:rsidR="001B3AAC" w:rsidRPr="00BC3D84">
        <w:rPr>
          <w:color w:val="000000" w:themeColor="text1"/>
        </w:rPr>
        <w:t>Section</w:t>
      </w:r>
      <w:r w:rsidR="001B3AAC">
        <w:rPr>
          <w:color w:val="000000" w:themeColor="text1"/>
        </w:rPr>
        <w:t>.</w:t>
      </w:r>
    </w:p>
    <w:p w14:paraId="14554370" w14:textId="77777777" w:rsidR="00842A7E" w:rsidRDefault="00842A7E" w:rsidP="00842A7E"/>
    <w:p w14:paraId="2608D530" w14:textId="77777777" w:rsidR="00842A7E" w:rsidRPr="00052F2A" w:rsidRDefault="00842A7E" w:rsidP="00D901A8">
      <w:pPr>
        <w:pStyle w:val="ListParagraph"/>
        <w:numPr>
          <w:ilvl w:val="0"/>
          <w:numId w:val="2"/>
        </w:numPr>
      </w:pPr>
      <w:r w:rsidRPr="00052F2A">
        <w:t>BJS</w:t>
      </w:r>
      <w:r w:rsidR="00C83679">
        <w:t xml:space="preserve"> </w:t>
      </w:r>
      <w:r w:rsidR="00B82CDA">
        <w:t>contact</w:t>
      </w:r>
      <w:r w:rsidR="008A3B1D">
        <w:t xml:space="preserve"> </w:t>
      </w:r>
      <w:r w:rsidR="008A3B1D" w:rsidRPr="00A87CC7">
        <w:rPr>
          <w:color w:val="000000" w:themeColor="text1"/>
        </w:rPr>
        <w:t>–</w:t>
      </w:r>
      <w:r w:rsidR="00C83679">
        <w:t xml:space="preserve"> </w:t>
      </w:r>
    </w:p>
    <w:p w14:paraId="3BE76070" w14:textId="77777777" w:rsidR="00842A7E" w:rsidRDefault="00842A7E" w:rsidP="00842A7E"/>
    <w:p w14:paraId="366B85E6" w14:textId="77777777" w:rsidR="00842A7E" w:rsidRDefault="007A6E56" w:rsidP="00842A7E">
      <w:pPr>
        <w:ind w:firstLine="720"/>
      </w:pPr>
      <w:r>
        <w:t>Steven</w:t>
      </w:r>
      <w:r w:rsidR="00C83679">
        <w:t xml:space="preserve"> </w:t>
      </w:r>
      <w:r w:rsidR="0038182E">
        <w:t xml:space="preserve">W. </w:t>
      </w:r>
      <w:r>
        <w:t>Perry</w:t>
      </w:r>
      <w:r w:rsidR="00211045">
        <w:t>,</w:t>
      </w:r>
      <w:r w:rsidR="00C83679">
        <w:t xml:space="preserve"> </w:t>
      </w:r>
      <w:r w:rsidR="00211045">
        <w:t>Statistician</w:t>
      </w:r>
    </w:p>
    <w:p w14:paraId="55FCA0E5" w14:textId="77777777" w:rsidR="00F44864" w:rsidRDefault="00F44864" w:rsidP="00842A7E">
      <w:pPr>
        <w:ind w:firstLine="720"/>
      </w:pPr>
      <w:r>
        <w:t>810</w:t>
      </w:r>
      <w:r w:rsidR="00C83679">
        <w:t xml:space="preserve"> </w:t>
      </w:r>
      <w:r>
        <w:t>Seventh</w:t>
      </w:r>
      <w:r w:rsidR="00C83679">
        <w:t xml:space="preserve"> </w:t>
      </w:r>
      <w:r>
        <w:t>Street</w:t>
      </w:r>
      <w:r w:rsidR="00C83679">
        <w:t xml:space="preserve"> </w:t>
      </w:r>
      <w:r>
        <w:t>NW</w:t>
      </w:r>
    </w:p>
    <w:p w14:paraId="57B550F3" w14:textId="77777777" w:rsidR="00F44864" w:rsidRDefault="00F44864" w:rsidP="00842A7E">
      <w:pPr>
        <w:ind w:firstLine="720"/>
      </w:pPr>
      <w:r>
        <w:t>Washington,</w:t>
      </w:r>
      <w:r w:rsidR="00C83679">
        <w:t xml:space="preserve"> </w:t>
      </w:r>
      <w:r>
        <w:t>DC</w:t>
      </w:r>
      <w:r w:rsidR="00C83679">
        <w:t xml:space="preserve"> </w:t>
      </w:r>
      <w:r>
        <w:t>20531</w:t>
      </w:r>
    </w:p>
    <w:p w14:paraId="61EF595C" w14:textId="77777777" w:rsidR="00F44864" w:rsidRDefault="00F44864" w:rsidP="00842A7E">
      <w:pPr>
        <w:ind w:firstLine="720"/>
      </w:pPr>
      <w:r>
        <w:t>(202</w:t>
      </w:r>
      <w:r w:rsidR="00D5545A">
        <w:t>)</w:t>
      </w:r>
      <w:r>
        <w:t>-307-0777</w:t>
      </w:r>
    </w:p>
    <w:p w14:paraId="36440B85" w14:textId="77777777" w:rsidR="00211045" w:rsidRPr="002A2CC9" w:rsidRDefault="00D11411" w:rsidP="007A6E56">
      <w:pPr>
        <w:ind w:firstLine="720"/>
        <w:rPr>
          <w:color w:val="000000" w:themeColor="text1"/>
          <w:u w:val="single"/>
        </w:rPr>
      </w:pPr>
      <w:hyperlink r:id="rId10" w:history="1">
        <w:r w:rsidR="007A6E56" w:rsidRPr="002A2CC9">
          <w:rPr>
            <w:color w:val="000000" w:themeColor="text1"/>
            <w:u w:val="single"/>
          </w:rPr>
          <w:t>Steven.W.Perry@usdoj.gov</w:t>
        </w:r>
      </w:hyperlink>
    </w:p>
    <w:p w14:paraId="6B7AB2C6" w14:textId="77777777" w:rsidR="002A2CC9" w:rsidRDefault="002A2CC9" w:rsidP="007A6E56">
      <w:pPr>
        <w:ind w:firstLine="720"/>
      </w:pPr>
    </w:p>
    <w:p w14:paraId="5D293E61" w14:textId="77777777" w:rsidR="00BD6D8D" w:rsidRPr="002A2CC9" w:rsidRDefault="00BD6D8D" w:rsidP="00D901A8">
      <w:pPr>
        <w:rPr>
          <w:color w:val="000000" w:themeColor="text1"/>
        </w:rPr>
      </w:pPr>
    </w:p>
    <w:p w14:paraId="124AF12C" w14:textId="77777777" w:rsidR="00842A7E" w:rsidRDefault="00B82CDA" w:rsidP="00D901A8">
      <w:pPr>
        <w:pStyle w:val="ListParagraph"/>
        <w:numPr>
          <w:ilvl w:val="0"/>
          <w:numId w:val="2"/>
        </w:numPr>
      </w:pPr>
      <w:r>
        <w:t>NORC</w:t>
      </w:r>
      <w:r w:rsidR="00C83679">
        <w:t xml:space="preserve"> </w:t>
      </w:r>
      <w:r>
        <w:t>contact</w:t>
      </w:r>
      <w:r w:rsidR="008A3B1D">
        <w:t xml:space="preserve"> </w:t>
      </w:r>
      <w:r w:rsidR="008A3B1D" w:rsidRPr="00A87CC7">
        <w:rPr>
          <w:color w:val="000000" w:themeColor="text1"/>
        </w:rPr>
        <w:t>–</w:t>
      </w:r>
    </w:p>
    <w:p w14:paraId="6012E7F8" w14:textId="77777777" w:rsidR="00842A7E" w:rsidRDefault="00842A7E" w:rsidP="00C87E0F">
      <w:pPr>
        <w:ind w:left="720"/>
      </w:pPr>
    </w:p>
    <w:p w14:paraId="5059FDC5" w14:textId="77777777" w:rsidR="00842A7E" w:rsidRDefault="00211045"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Pam</w:t>
      </w:r>
      <w:r w:rsidR="00C83679">
        <w:t xml:space="preserve"> </w:t>
      </w:r>
      <w:r>
        <w:t>Loose</w:t>
      </w:r>
      <w:r w:rsidR="00E9135E">
        <w:t>,</w:t>
      </w:r>
      <w:r w:rsidR="00C83679">
        <w:t xml:space="preserve"> </w:t>
      </w:r>
      <w:r w:rsidR="00E40492">
        <w:t>Senior Research Director</w:t>
      </w:r>
    </w:p>
    <w:p w14:paraId="27693EE4" w14:textId="77777777" w:rsidR="00E9135E" w:rsidRDefault="00E9135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NORC</w:t>
      </w:r>
      <w:r w:rsidR="00E40492">
        <w:t xml:space="preserve"> at the University of Chicago</w:t>
      </w:r>
    </w:p>
    <w:p w14:paraId="0B9E7FE2" w14:textId="77777777" w:rsidR="00E9135E" w:rsidRDefault="00E40492"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55 E. Monroe</w:t>
      </w:r>
    </w:p>
    <w:p w14:paraId="5A9CA66A" w14:textId="77777777" w:rsidR="00E40492" w:rsidRDefault="00E40492"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Chicago, IL 60603</w:t>
      </w:r>
    </w:p>
    <w:p w14:paraId="46A91BE1" w14:textId="77777777" w:rsidR="00E9135E" w:rsidRPr="002A2CC9" w:rsidRDefault="00D5545A"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r>
        <w:t>(</w:t>
      </w:r>
      <w:r w:rsidR="00E40492">
        <w:t>312</w:t>
      </w:r>
      <w:r>
        <w:t>)</w:t>
      </w:r>
      <w:r w:rsidR="00E40492">
        <w:t>-759-4000</w:t>
      </w:r>
    </w:p>
    <w:p w14:paraId="609F6BBD" w14:textId="77777777" w:rsidR="00BD6D8D" w:rsidRPr="002A2CC9" w:rsidRDefault="00D11411" w:rsidP="00C87E0F">
      <w:pPr>
        <w:tabs>
          <w:tab w:val="left" w:pos="0"/>
          <w:tab w:val="left" w:pos="720"/>
          <w:tab w:val="left" w:pos="1440"/>
          <w:tab w:val="left" w:pos="2160"/>
          <w:tab w:val="left" w:pos="2880"/>
          <w:tab w:val="left" w:pos="3600"/>
          <w:tab w:val="center" w:pos="5040"/>
        </w:tabs>
        <w:ind w:left="720"/>
        <w:rPr>
          <w:color w:val="000000" w:themeColor="text1"/>
        </w:rPr>
      </w:pPr>
      <w:hyperlink r:id="rId11" w:history="1">
        <w:r w:rsidR="00BD6D8D" w:rsidRPr="002A2CC9">
          <w:rPr>
            <w:rStyle w:val="Hyperlink"/>
            <w:color w:val="000000" w:themeColor="text1"/>
          </w:rPr>
          <w:t>Loose-Pamela@norc.org</w:t>
        </w:r>
      </w:hyperlink>
      <w:r w:rsidR="00842A7E" w:rsidRPr="002A2CC9">
        <w:rPr>
          <w:color w:val="000000" w:themeColor="text1"/>
        </w:rPr>
        <w:tab/>
      </w:r>
    </w:p>
    <w:p w14:paraId="5EF52C2B" w14:textId="77777777" w:rsidR="00842A7E" w:rsidRPr="002A2CC9" w:rsidRDefault="00E9135E" w:rsidP="00C87E0F">
      <w:pPr>
        <w:tabs>
          <w:tab w:val="left" w:pos="0"/>
          <w:tab w:val="left" w:pos="720"/>
          <w:tab w:val="left" w:pos="1440"/>
          <w:tab w:val="left" w:pos="2160"/>
          <w:tab w:val="left" w:pos="2880"/>
          <w:tab w:val="left" w:pos="3600"/>
          <w:tab w:val="center" w:pos="5040"/>
        </w:tabs>
        <w:ind w:left="720"/>
        <w:rPr>
          <w:color w:val="000000" w:themeColor="text1"/>
        </w:rPr>
      </w:pPr>
      <w:r w:rsidRPr="002A2CC9">
        <w:rPr>
          <w:color w:val="000000" w:themeColor="text1"/>
        </w:rPr>
        <w:tab/>
      </w:r>
    </w:p>
    <w:p w14:paraId="7EAC46C8" w14:textId="77777777" w:rsidR="00842A7E" w:rsidRDefault="00842A7E" w:rsidP="0084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8B26C3" w14:textId="77777777" w:rsidR="00ED1322" w:rsidRDefault="00ED1322" w:rsidP="00ED1322">
      <w:pPr>
        <w:rPr>
          <w:u w:val="single"/>
        </w:rPr>
      </w:pPr>
      <w:r w:rsidRPr="001C4542">
        <w:rPr>
          <w:u w:val="single"/>
        </w:rPr>
        <w:t>Attachments</w:t>
      </w:r>
    </w:p>
    <w:p w14:paraId="055AF5D0" w14:textId="77777777" w:rsidR="004B2B39" w:rsidRPr="001C4542" w:rsidRDefault="004B2B39" w:rsidP="00ED1322">
      <w:pPr>
        <w:rPr>
          <w:u w:val="single"/>
        </w:rPr>
      </w:pPr>
    </w:p>
    <w:p w14:paraId="7D730D65" w14:textId="77777777" w:rsidR="002A147A" w:rsidRPr="00942293" w:rsidRDefault="002A147A" w:rsidP="002A147A">
      <w:pPr>
        <w:tabs>
          <w:tab w:val="left" w:leader="dot" w:pos="8640"/>
        </w:tabs>
        <w:rPr>
          <w:b/>
        </w:rPr>
      </w:pPr>
      <w:r w:rsidRPr="00942293">
        <w:rPr>
          <w:b/>
        </w:rPr>
        <w:t>Final Data Collection Phase</w:t>
      </w:r>
    </w:p>
    <w:p w14:paraId="41D5E988" w14:textId="2B8DFF87" w:rsidR="002A147A" w:rsidRPr="00442C33" w:rsidRDefault="002A147A" w:rsidP="002A147A">
      <w:pPr>
        <w:pStyle w:val="ListParagraph"/>
        <w:numPr>
          <w:ilvl w:val="0"/>
          <w:numId w:val="29"/>
        </w:numPr>
        <w:tabs>
          <w:tab w:val="left" w:leader="dot" w:pos="8640"/>
        </w:tabs>
      </w:pPr>
      <w:r w:rsidRPr="00442C33">
        <w:t xml:space="preserve">CTLEA Data Collection </w:t>
      </w:r>
      <w:r>
        <w:t xml:space="preserve">TLE </w:t>
      </w:r>
      <w:r w:rsidRPr="00442C33">
        <w:t>Survey</w:t>
      </w:r>
    </w:p>
    <w:p w14:paraId="466CDA67" w14:textId="2686BAD0" w:rsidR="002A147A" w:rsidRPr="00442C33" w:rsidRDefault="002A147A" w:rsidP="002A147A">
      <w:pPr>
        <w:pStyle w:val="ListParagraph"/>
        <w:numPr>
          <w:ilvl w:val="0"/>
          <w:numId w:val="29"/>
        </w:numPr>
        <w:tabs>
          <w:tab w:val="left" w:leader="dot" w:pos="8640"/>
        </w:tabs>
      </w:pPr>
      <w:r w:rsidRPr="00442C33">
        <w:t>CTLEA Data Collection Invite Letter</w:t>
      </w:r>
    </w:p>
    <w:p w14:paraId="59036CA5" w14:textId="7BF8955F" w:rsidR="002A147A" w:rsidRPr="00442C33" w:rsidRDefault="002A147A" w:rsidP="002A147A">
      <w:pPr>
        <w:pStyle w:val="ListParagraph"/>
        <w:numPr>
          <w:ilvl w:val="0"/>
          <w:numId w:val="29"/>
        </w:numPr>
        <w:tabs>
          <w:tab w:val="left" w:leader="dot" w:pos="8640"/>
        </w:tabs>
      </w:pPr>
      <w:r w:rsidRPr="00442C33">
        <w:t>IACP/ICLES Letter of Support</w:t>
      </w:r>
    </w:p>
    <w:p w14:paraId="736BDDDD" w14:textId="02AC3F2A" w:rsidR="002A147A" w:rsidRPr="00442C33" w:rsidRDefault="002A147A" w:rsidP="002A147A">
      <w:pPr>
        <w:pStyle w:val="ListParagraph"/>
        <w:numPr>
          <w:ilvl w:val="0"/>
          <w:numId w:val="29"/>
        </w:numPr>
        <w:tabs>
          <w:tab w:val="left" w:leader="dot" w:pos="8640"/>
        </w:tabs>
      </w:pPr>
      <w:r w:rsidRPr="00442C33">
        <w:t>CTLEA Data Collection Confirmation Script</w:t>
      </w:r>
    </w:p>
    <w:p w14:paraId="0C2B6505" w14:textId="09D10076" w:rsidR="002A147A" w:rsidRPr="00442C33" w:rsidRDefault="002A147A" w:rsidP="002A147A">
      <w:pPr>
        <w:pStyle w:val="ListParagraph"/>
        <w:numPr>
          <w:ilvl w:val="0"/>
          <w:numId w:val="29"/>
        </w:numPr>
        <w:tabs>
          <w:tab w:val="left" w:leader="dot" w:pos="8640"/>
        </w:tabs>
      </w:pPr>
      <w:r w:rsidRPr="00442C33">
        <w:t>CTLEA Data Collection Reminder Postcard</w:t>
      </w:r>
    </w:p>
    <w:p w14:paraId="77CF1C7F" w14:textId="7D0A3622" w:rsidR="002A147A" w:rsidRPr="00442C33" w:rsidRDefault="002A147A" w:rsidP="002A147A">
      <w:pPr>
        <w:pStyle w:val="ListParagraph"/>
        <w:numPr>
          <w:ilvl w:val="0"/>
          <w:numId w:val="29"/>
        </w:numPr>
        <w:tabs>
          <w:tab w:val="left" w:leader="dot" w:pos="8640"/>
        </w:tabs>
      </w:pPr>
      <w:r w:rsidRPr="00442C33">
        <w:t>CTLEA Data Collection Prompting Script</w:t>
      </w:r>
    </w:p>
    <w:p w14:paraId="5F85305E" w14:textId="2035C233" w:rsidR="002A147A" w:rsidRPr="00442C33" w:rsidRDefault="002A147A" w:rsidP="002A147A">
      <w:pPr>
        <w:pStyle w:val="ListParagraph"/>
        <w:numPr>
          <w:ilvl w:val="0"/>
          <w:numId w:val="29"/>
        </w:numPr>
        <w:tabs>
          <w:tab w:val="left" w:leader="dot" w:pos="8640"/>
        </w:tabs>
      </w:pPr>
      <w:r w:rsidRPr="00442C33">
        <w:t>CTLEA Data Collection Email/Fax</w:t>
      </w:r>
    </w:p>
    <w:p w14:paraId="139D6649" w14:textId="300CD53C" w:rsidR="002A147A" w:rsidRPr="00442C33" w:rsidRDefault="002A147A" w:rsidP="002A147A">
      <w:pPr>
        <w:pStyle w:val="ListParagraph"/>
        <w:numPr>
          <w:ilvl w:val="0"/>
          <w:numId w:val="29"/>
        </w:numPr>
        <w:tabs>
          <w:tab w:val="left" w:leader="dot" w:pos="8640"/>
        </w:tabs>
      </w:pPr>
      <w:r w:rsidRPr="00442C33">
        <w:t>CTLEA Data Collection Follow Up Letter</w:t>
      </w:r>
    </w:p>
    <w:p w14:paraId="1869B3B9" w14:textId="4A9B21B1" w:rsidR="002A147A" w:rsidRDefault="002A147A" w:rsidP="002A147A">
      <w:pPr>
        <w:pStyle w:val="ListParagraph"/>
        <w:numPr>
          <w:ilvl w:val="0"/>
          <w:numId w:val="29"/>
        </w:numPr>
        <w:tabs>
          <w:tab w:val="left" w:leader="dot" w:pos="8640"/>
        </w:tabs>
      </w:pPr>
      <w:r w:rsidRPr="00442C33">
        <w:t>CTLEA Data Collection Last Chance Postcard</w:t>
      </w:r>
    </w:p>
    <w:p w14:paraId="2A207256" w14:textId="77777777" w:rsidR="002A147A" w:rsidRPr="00442C33" w:rsidRDefault="002A147A" w:rsidP="002A147A">
      <w:pPr>
        <w:pStyle w:val="ListParagraph"/>
        <w:numPr>
          <w:ilvl w:val="0"/>
          <w:numId w:val="29"/>
        </w:numPr>
        <w:tabs>
          <w:tab w:val="left" w:leader="dot" w:pos="8640"/>
        </w:tabs>
      </w:pPr>
      <w:r>
        <w:t>CTLEA Data Collection BIA Survey</w:t>
      </w:r>
    </w:p>
    <w:p w14:paraId="39CF1493" w14:textId="0DEEDB8B" w:rsidR="002A147A" w:rsidRPr="00442C33" w:rsidRDefault="002A147A" w:rsidP="002A147A">
      <w:pPr>
        <w:pStyle w:val="ListParagraph"/>
        <w:numPr>
          <w:ilvl w:val="0"/>
          <w:numId w:val="29"/>
        </w:numPr>
        <w:tabs>
          <w:tab w:val="left" w:leader="dot" w:pos="8640"/>
        </w:tabs>
      </w:pPr>
      <w:r w:rsidRPr="00442C33">
        <w:t>CTLEA Telephone Retrieval Script</w:t>
      </w:r>
    </w:p>
    <w:p w14:paraId="5855223E" w14:textId="22A74B11" w:rsidR="002A147A" w:rsidRPr="00442C33" w:rsidRDefault="002A147A" w:rsidP="002A147A">
      <w:pPr>
        <w:pStyle w:val="ListParagraph"/>
        <w:numPr>
          <w:ilvl w:val="0"/>
          <w:numId w:val="29"/>
        </w:numPr>
        <w:tabs>
          <w:tab w:val="left" w:leader="dot" w:pos="8640"/>
        </w:tabs>
      </w:pPr>
      <w:r w:rsidRPr="00442C33">
        <w:t>Tribal Leader Announcement Letter</w:t>
      </w:r>
    </w:p>
    <w:p w14:paraId="550F925E" w14:textId="6315780F" w:rsidR="002A147A" w:rsidRPr="00442C33" w:rsidRDefault="002A147A" w:rsidP="002A147A">
      <w:pPr>
        <w:pStyle w:val="ListParagraph"/>
        <w:numPr>
          <w:ilvl w:val="0"/>
          <w:numId w:val="29"/>
        </w:numPr>
        <w:tabs>
          <w:tab w:val="left" w:leader="dot" w:pos="8640"/>
        </w:tabs>
      </w:pPr>
      <w:r w:rsidRPr="00442C33">
        <w:t>CTLEA Data Collection Project Summary BJS</w:t>
      </w:r>
    </w:p>
    <w:p w14:paraId="516F04ED" w14:textId="77777777" w:rsidR="002A147A" w:rsidRDefault="002A147A" w:rsidP="002A147A">
      <w:pPr>
        <w:tabs>
          <w:tab w:val="left" w:leader="dot" w:pos="8640"/>
        </w:tabs>
      </w:pPr>
    </w:p>
    <w:p w14:paraId="2B1CDDB4" w14:textId="77777777" w:rsidR="002A147A" w:rsidRPr="00942293" w:rsidRDefault="002A147A" w:rsidP="002A147A">
      <w:pPr>
        <w:tabs>
          <w:tab w:val="left" w:leader="dot" w:pos="8640"/>
        </w:tabs>
        <w:rPr>
          <w:b/>
        </w:rPr>
      </w:pPr>
      <w:r w:rsidRPr="00942293">
        <w:rPr>
          <w:b/>
        </w:rPr>
        <w:t>Cognitive Interview Phase</w:t>
      </w:r>
    </w:p>
    <w:p w14:paraId="0D72018F" w14:textId="5BD6E8E1" w:rsidR="002A147A" w:rsidRPr="00442C33" w:rsidRDefault="002A147A" w:rsidP="002A147A">
      <w:pPr>
        <w:pStyle w:val="ListParagraph"/>
        <w:numPr>
          <w:ilvl w:val="0"/>
          <w:numId w:val="29"/>
        </w:numPr>
        <w:tabs>
          <w:tab w:val="left" w:leader="dot" w:pos="8640"/>
        </w:tabs>
      </w:pPr>
      <w:r w:rsidRPr="00442C33">
        <w:t>CTLEA Cognitive Test Invite Letter</w:t>
      </w:r>
    </w:p>
    <w:p w14:paraId="69B28325" w14:textId="38F052CA" w:rsidR="002A147A" w:rsidRPr="00442C33" w:rsidRDefault="002A147A" w:rsidP="002A147A">
      <w:pPr>
        <w:pStyle w:val="ListParagraph"/>
        <w:numPr>
          <w:ilvl w:val="0"/>
          <w:numId w:val="29"/>
        </w:numPr>
        <w:tabs>
          <w:tab w:val="left" w:leader="dot" w:pos="8640"/>
        </w:tabs>
      </w:pPr>
      <w:r w:rsidRPr="00442C33">
        <w:t>CTLEA Cognitive Test Survey</w:t>
      </w:r>
    </w:p>
    <w:p w14:paraId="005E0520" w14:textId="30EA11FE" w:rsidR="002A147A" w:rsidRPr="00442C33" w:rsidRDefault="002A147A" w:rsidP="002A147A">
      <w:pPr>
        <w:pStyle w:val="ListParagraph"/>
        <w:numPr>
          <w:ilvl w:val="0"/>
          <w:numId w:val="29"/>
        </w:numPr>
        <w:tabs>
          <w:tab w:val="left" w:leader="dot" w:pos="8640"/>
        </w:tabs>
      </w:pPr>
      <w:r w:rsidRPr="00442C33">
        <w:t>CTLEA Cognitive Test Prompting Script</w:t>
      </w:r>
    </w:p>
    <w:p w14:paraId="31F75892" w14:textId="6C1179B6" w:rsidR="002A147A" w:rsidRPr="00442C33" w:rsidRDefault="002A147A" w:rsidP="002A147A">
      <w:pPr>
        <w:pStyle w:val="ListParagraph"/>
        <w:numPr>
          <w:ilvl w:val="0"/>
          <w:numId w:val="29"/>
        </w:numPr>
        <w:tabs>
          <w:tab w:val="left" w:leader="dot" w:pos="8640"/>
        </w:tabs>
      </w:pPr>
      <w:r w:rsidRPr="00442C33">
        <w:t>CTLEA Cognitive Test Follow Up Letter</w:t>
      </w:r>
    </w:p>
    <w:p w14:paraId="790D9880" w14:textId="77E124EA" w:rsidR="002A147A" w:rsidRPr="00442C33" w:rsidRDefault="002A147A" w:rsidP="002A147A">
      <w:pPr>
        <w:pStyle w:val="ListParagraph"/>
        <w:numPr>
          <w:ilvl w:val="0"/>
          <w:numId w:val="29"/>
        </w:numPr>
        <w:tabs>
          <w:tab w:val="left" w:leader="dot" w:pos="8640"/>
        </w:tabs>
      </w:pPr>
      <w:r w:rsidRPr="00442C33">
        <w:t>CTLEA Cognitive Test Survey Email Template</w:t>
      </w:r>
    </w:p>
    <w:p w14:paraId="19A06F52" w14:textId="77777777" w:rsidR="002A147A" w:rsidRPr="00942293" w:rsidRDefault="002A147A" w:rsidP="002A147A">
      <w:pPr>
        <w:tabs>
          <w:tab w:val="left" w:leader="dot" w:pos="8640"/>
        </w:tabs>
        <w:rPr>
          <w:b/>
        </w:rPr>
      </w:pPr>
    </w:p>
    <w:p w14:paraId="3ADB6A57" w14:textId="77777777" w:rsidR="002A147A" w:rsidRPr="00942293" w:rsidRDefault="002A147A" w:rsidP="002A147A">
      <w:pPr>
        <w:tabs>
          <w:tab w:val="left" w:leader="dot" w:pos="8640"/>
        </w:tabs>
        <w:rPr>
          <w:b/>
        </w:rPr>
      </w:pPr>
      <w:r w:rsidRPr="00942293">
        <w:rPr>
          <w:b/>
        </w:rPr>
        <w:t>Initial Survey Development Phase</w:t>
      </w:r>
    </w:p>
    <w:p w14:paraId="0E8B655F" w14:textId="2B4CB0C3" w:rsidR="002A147A" w:rsidRPr="00442C33" w:rsidRDefault="002A147A" w:rsidP="002A147A">
      <w:pPr>
        <w:pStyle w:val="ListParagraph"/>
        <w:numPr>
          <w:ilvl w:val="0"/>
          <w:numId w:val="29"/>
        </w:numPr>
        <w:tabs>
          <w:tab w:val="left" w:leader="dot" w:pos="8640"/>
        </w:tabs>
      </w:pPr>
      <w:r w:rsidRPr="00442C33">
        <w:t>CTLEA Tribal Leader Announcement Letter</w:t>
      </w:r>
    </w:p>
    <w:p w14:paraId="14BCB838" w14:textId="47A4E1C7" w:rsidR="002A147A" w:rsidRPr="00442C33" w:rsidRDefault="002A147A" w:rsidP="002A147A">
      <w:pPr>
        <w:pStyle w:val="ListParagraph"/>
        <w:numPr>
          <w:ilvl w:val="0"/>
          <w:numId w:val="29"/>
        </w:numPr>
        <w:tabs>
          <w:tab w:val="left" w:leader="dot" w:pos="8640"/>
        </w:tabs>
      </w:pPr>
      <w:r w:rsidRPr="00442C33">
        <w:t>CTLEA Pilot Invite Letter</w:t>
      </w:r>
    </w:p>
    <w:p w14:paraId="26F3F37E" w14:textId="197909D9" w:rsidR="002A147A" w:rsidRPr="00442C33" w:rsidRDefault="002A147A" w:rsidP="002A147A">
      <w:pPr>
        <w:pStyle w:val="ListParagraph"/>
        <w:numPr>
          <w:ilvl w:val="0"/>
          <w:numId w:val="29"/>
        </w:numPr>
        <w:tabs>
          <w:tab w:val="left" w:leader="dot" w:pos="8640"/>
        </w:tabs>
      </w:pPr>
      <w:r w:rsidRPr="00442C33">
        <w:t>BJS CTLEA Summary December 2015</w:t>
      </w:r>
    </w:p>
    <w:p w14:paraId="77D0F69F" w14:textId="6885B1C5" w:rsidR="002A147A" w:rsidRPr="00442C33" w:rsidRDefault="002A147A" w:rsidP="002A147A">
      <w:pPr>
        <w:pStyle w:val="ListParagraph"/>
        <w:numPr>
          <w:ilvl w:val="0"/>
          <w:numId w:val="29"/>
        </w:numPr>
        <w:tabs>
          <w:tab w:val="left" w:leader="dot" w:pos="8640"/>
        </w:tabs>
      </w:pPr>
      <w:r w:rsidRPr="00442C33">
        <w:t>Pilot Survey CTLEA</w:t>
      </w:r>
    </w:p>
    <w:p w14:paraId="26922767" w14:textId="07459C47" w:rsidR="002A147A" w:rsidRPr="00442C33" w:rsidRDefault="002A147A" w:rsidP="002A147A">
      <w:pPr>
        <w:pStyle w:val="ListParagraph"/>
        <w:numPr>
          <w:ilvl w:val="0"/>
          <w:numId w:val="29"/>
        </w:numPr>
        <w:tabs>
          <w:tab w:val="left" w:leader="dot" w:pos="8640"/>
        </w:tabs>
      </w:pPr>
      <w:r w:rsidRPr="00442C33">
        <w:t>Pilot Survey BIA</w:t>
      </w:r>
    </w:p>
    <w:p w14:paraId="4FFE54C9" w14:textId="507D88C1" w:rsidR="002A147A" w:rsidRPr="00442C33" w:rsidRDefault="002A147A" w:rsidP="002A147A">
      <w:pPr>
        <w:pStyle w:val="ListParagraph"/>
        <w:numPr>
          <w:ilvl w:val="0"/>
          <w:numId w:val="29"/>
        </w:numPr>
        <w:tabs>
          <w:tab w:val="left" w:leader="dot" w:pos="8640"/>
        </w:tabs>
      </w:pPr>
      <w:r w:rsidRPr="00442C33">
        <w:t>CTLEA Pilot Survey Email Template</w:t>
      </w:r>
    </w:p>
    <w:p w14:paraId="6B078FF7" w14:textId="5F87BEC8" w:rsidR="002A147A" w:rsidRPr="00442C33" w:rsidRDefault="002A147A" w:rsidP="002A147A">
      <w:pPr>
        <w:pStyle w:val="ListParagraph"/>
        <w:numPr>
          <w:ilvl w:val="0"/>
          <w:numId w:val="29"/>
        </w:numPr>
        <w:tabs>
          <w:tab w:val="left" w:leader="dot" w:pos="8640"/>
        </w:tabs>
      </w:pPr>
      <w:r w:rsidRPr="00442C33">
        <w:t>CTLEA Pilot Follow Up Letter</w:t>
      </w:r>
    </w:p>
    <w:p w14:paraId="186A94AF" w14:textId="77777777" w:rsidR="004C7B82" w:rsidRPr="00B82CDA" w:rsidRDefault="004C7B82" w:rsidP="00211045">
      <w:pPr>
        <w:spacing w:after="120"/>
        <w:rPr>
          <w:b/>
          <w:u w:val="single"/>
        </w:rPr>
      </w:pPr>
    </w:p>
    <w:sectPr w:rsidR="004C7B82" w:rsidRPr="00B82CDA" w:rsidSect="006133B8">
      <w:footerReference w:type="default" r:id="rId1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BC271" w14:textId="77777777" w:rsidR="00CF2A63" w:rsidRDefault="00CF2A63" w:rsidP="00421095">
      <w:r>
        <w:separator/>
      </w:r>
    </w:p>
  </w:endnote>
  <w:endnote w:type="continuationSeparator" w:id="0">
    <w:p w14:paraId="22EF7A11" w14:textId="77777777" w:rsidR="00CF2A63" w:rsidRDefault="00CF2A63"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7AA53" w14:textId="76155F54" w:rsidR="00CF2A63" w:rsidRDefault="00CF2A63">
    <w:pPr>
      <w:pStyle w:val="Footer"/>
      <w:jc w:val="center"/>
    </w:pPr>
    <w:r>
      <w:fldChar w:fldCharType="begin"/>
    </w:r>
    <w:r>
      <w:instrText xml:space="preserve"> PAGE   \* MERGEFORMAT </w:instrText>
    </w:r>
    <w:r>
      <w:fldChar w:fldCharType="separate"/>
    </w:r>
    <w:r w:rsidR="00D11411">
      <w:rPr>
        <w:noProof/>
      </w:rPr>
      <w:t>1</w:t>
    </w:r>
    <w:r>
      <w:rPr>
        <w:noProof/>
      </w:rPr>
      <w:fldChar w:fldCharType="end"/>
    </w:r>
  </w:p>
  <w:p w14:paraId="602DED1F" w14:textId="77777777" w:rsidR="00CF2A63" w:rsidRDefault="00CF2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EBF28" w14:textId="77777777" w:rsidR="00CF2A63" w:rsidRDefault="00CF2A63" w:rsidP="00421095">
      <w:r>
        <w:separator/>
      </w:r>
    </w:p>
  </w:footnote>
  <w:footnote w:type="continuationSeparator" w:id="0">
    <w:p w14:paraId="3C69AE1D" w14:textId="77777777" w:rsidR="00CF2A63" w:rsidRDefault="00CF2A63" w:rsidP="00421095">
      <w:r>
        <w:continuationSeparator/>
      </w:r>
    </w:p>
  </w:footnote>
  <w:footnote w:id="1">
    <w:p w14:paraId="2BFAD406" w14:textId="77777777" w:rsidR="00CF2A63" w:rsidRDefault="00CF2A63">
      <w:pPr>
        <w:pStyle w:val="FootnoteText"/>
      </w:pPr>
      <w:r>
        <w:rPr>
          <w:rStyle w:val="FootnoteReference"/>
        </w:rPr>
        <w:footnoteRef/>
      </w:r>
      <w:r>
        <w:t xml:space="preserve"> Title </w:t>
      </w:r>
      <w:r w:rsidRPr="008F4762">
        <w:t>25 U.S. Code § 2802 - Indian law enforcement responsibilities</w:t>
      </w:r>
    </w:p>
  </w:footnote>
  <w:footnote w:id="2">
    <w:p w14:paraId="50A4AF0A" w14:textId="5BB49BE5" w:rsidR="00CF2A63" w:rsidRDefault="00CF2A63">
      <w:pPr>
        <w:pStyle w:val="FootnoteText"/>
      </w:pPr>
      <w:r>
        <w:rPr>
          <w:rStyle w:val="FootnoteReference"/>
        </w:rPr>
        <w:footnoteRef/>
      </w:r>
      <w:r>
        <w:t xml:space="preserve"> “</w:t>
      </w:r>
      <w:r w:rsidRPr="008E6F7A">
        <w:t>Indian Entities Recognized and Eligible To Receive Services From the United States Bureau of Indian Affairs</w:t>
      </w:r>
      <w:r>
        <w:t>.” Federal Register 82: 10 (January 17, 2017) p. 4915</w:t>
      </w:r>
      <w:r w:rsidRPr="00E24E22">
        <w:t>:</w:t>
      </w:r>
      <w:r>
        <w:t xml:space="preserve">  </w:t>
      </w:r>
      <w:hyperlink r:id="rId1" w:history="1">
        <w:r w:rsidRPr="000C21CF">
          <w:rPr>
            <w:rStyle w:val="Hyperlink"/>
          </w:rPr>
          <w:t>https://www.gpo.gov/fdsys/pkg/FR-2017-01-17/pdf/2017-00912.pdf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887"/>
    <w:multiLevelType w:val="hybridMultilevel"/>
    <w:tmpl w:val="2AA21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89541C"/>
    <w:multiLevelType w:val="hybridMultilevel"/>
    <w:tmpl w:val="7F543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8F7E76"/>
    <w:multiLevelType w:val="hybridMultilevel"/>
    <w:tmpl w:val="791240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3B2F4D"/>
    <w:multiLevelType w:val="hybridMultilevel"/>
    <w:tmpl w:val="B38221A8"/>
    <w:lvl w:ilvl="0" w:tplc="0409000F">
      <w:start w:val="4"/>
      <w:numFmt w:val="decimal"/>
      <w:lvlText w:val="%1."/>
      <w:lvlJc w:val="left"/>
      <w:pPr>
        <w:ind w:left="360" w:hanging="360"/>
      </w:pPr>
      <w:rPr>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BE04261"/>
    <w:multiLevelType w:val="hybridMultilevel"/>
    <w:tmpl w:val="89D8B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FB4256D"/>
    <w:multiLevelType w:val="hybridMultilevel"/>
    <w:tmpl w:val="83E68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786F3E"/>
    <w:multiLevelType w:val="hybridMultilevel"/>
    <w:tmpl w:val="64E07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24B0125"/>
    <w:multiLevelType w:val="hybridMultilevel"/>
    <w:tmpl w:val="46023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1C31A7"/>
    <w:multiLevelType w:val="hybridMultilevel"/>
    <w:tmpl w:val="E7984F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ABD0884"/>
    <w:multiLevelType w:val="hybridMultilevel"/>
    <w:tmpl w:val="3174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36C99"/>
    <w:multiLevelType w:val="hybridMultilevel"/>
    <w:tmpl w:val="5E6C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C207E4"/>
    <w:multiLevelType w:val="hybridMultilevel"/>
    <w:tmpl w:val="B804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74E32"/>
    <w:multiLevelType w:val="hybridMultilevel"/>
    <w:tmpl w:val="127A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4933883"/>
    <w:multiLevelType w:val="hybridMultilevel"/>
    <w:tmpl w:val="66401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132BDB"/>
    <w:multiLevelType w:val="hybridMultilevel"/>
    <w:tmpl w:val="41D4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9517B1"/>
    <w:multiLevelType w:val="hybridMultilevel"/>
    <w:tmpl w:val="2D5ED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310B5D"/>
    <w:multiLevelType w:val="hybridMultilevel"/>
    <w:tmpl w:val="366C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503C61"/>
    <w:multiLevelType w:val="hybridMultilevel"/>
    <w:tmpl w:val="BBF88C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A60117"/>
    <w:multiLevelType w:val="multilevel"/>
    <w:tmpl w:val="EE6069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CF933E2"/>
    <w:multiLevelType w:val="hybridMultilevel"/>
    <w:tmpl w:val="66F2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F6E692E"/>
    <w:multiLevelType w:val="hybridMultilevel"/>
    <w:tmpl w:val="A56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88581C"/>
    <w:multiLevelType w:val="hybridMultilevel"/>
    <w:tmpl w:val="C6DA0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C951BB2"/>
    <w:multiLevelType w:val="hybridMultilevel"/>
    <w:tmpl w:val="41049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E2D416A"/>
    <w:multiLevelType w:val="hybridMultilevel"/>
    <w:tmpl w:val="7AD0F4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1F719F8"/>
    <w:multiLevelType w:val="hybridMultilevel"/>
    <w:tmpl w:val="02BA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A817B5"/>
    <w:multiLevelType w:val="hybridMultilevel"/>
    <w:tmpl w:val="635C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013679B"/>
    <w:multiLevelType w:val="hybridMultilevel"/>
    <w:tmpl w:val="695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3F4B34"/>
    <w:multiLevelType w:val="hybridMultilevel"/>
    <w:tmpl w:val="5A54A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774438E8"/>
    <w:multiLevelType w:val="hybridMultilevel"/>
    <w:tmpl w:val="B85423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AE734B8"/>
    <w:multiLevelType w:val="hybridMultilevel"/>
    <w:tmpl w:val="89E0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45D33"/>
    <w:multiLevelType w:val="hybridMultilevel"/>
    <w:tmpl w:val="40706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BE254C8"/>
    <w:multiLevelType w:val="hybridMultilevel"/>
    <w:tmpl w:val="28D4A32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C506C05"/>
    <w:multiLevelType w:val="hybridMultilevel"/>
    <w:tmpl w:val="B2C0F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DBC7A46"/>
    <w:multiLevelType w:val="hybridMultilevel"/>
    <w:tmpl w:val="68863F7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8"/>
  </w:num>
  <w:num w:numId="3">
    <w:abstractNumId w:val="26"/>
  </w:num>
  <w:num w:numId="4">
    <w:abstractNumId w:val="16"/>
  </w:num>
  <w:num w:numId="5">
    <w:abstractNumId w:val="32"/>
  </w:num>
  <w:num w:numId="6">
    <w:abstractNumId w:val="7"/>
  </w:num>
  <w:num w:numId="7">
    <w:abstractNumId w:val="23"/>
  </w:num>
  <w:num w:numId="8">
    <w:abstractNumId w:val="30"/>
  </w:num>
  <w:num w:numId="9">
    <w:abstractNumId w:val="13"/>
  </w:num>
  <w:num w:numId="10">
    <w:abstractNumId w:val="15"/>
  </w:num>
  <w:num w:numId="11">
    <w:abstractNumId w:val="28"/>
  </w:num>
  <w:num w:numId="12">
    <w:abstractNumId w:val="11"/>
  </w:num>
  <w:num w:numId="13">
    <w:abstractNumId w:val="9"/>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2"/>
  </w:num>
  <w:num w:numId="27">
    <w:abstractNumId w:val="14"/>
  </w:num>
  <w:num w:numId="28">
    <w:abstractNumId w:val="5"/>
  </w:num>
  <w:num w:numId="29">
    <w:abstractNumId w:val="33"/>
  </w:num>
  <w:num w:numId="30">
    <w:abstractNumId w:val="2"/>
  </w:num>
  <w:num w:numId="31">
    <w:abstractNumId w:val="24"/>
  </w:num>
  <w:num w:numId="32">
    <w:abstractNumId w:val="20"/>
  </w:num>
  <w:num w:numId="33">
    <w:abstractNumId w:val="2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2"/>
  </w:num>
  <w:num w:numId="39">
    <w:abstractNumId w:val="1"/>
  </w:num>
  <w:num w:numId="40">
    <w:abstractNumId w:val="6"/>
  </w:num>
  <w:num w:numId="41">
    <w:abstractNumId w:val="19"/>
  </w:num>
  <w:num w:numId="42">
    <w:abstractNumId w:val="10"/>
  </w:num>
  <w:num w:numId="43">
    <w:abstractNumId w:val="17"/>
  </w:num>
  <w:num w:numId="44">
    <w:abstractNumId w:val="3"/>
  </w:num>
  <w:num w:numId="4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95"/>
    <w:rsid w:val="000004FC"/>
    <w:rsid w:val="000005B9"/>
    <w:rsid w:val="000023E1"/>
    <w:rsid w:val="00003B03"/>
    <w:rsid w:val="000048DB"/>
    <w:rsid w:val="00004D02"/>
    <w:rsid w:val="00006813"/>
    <w:rsid w:val="000109DA"/>
    <w:rsid w:val="000155B5"/>
    <w:rsid w:val="00020E4D"/>
    <w:rsid w:val="00026C1A"/>
    <w:rsid w:val="0002726A"/>
    <w:rsid w:val="000273BD"/>
    <w:rsid w:val="0003234E"/>
    <w:rsid w:val="000346A5"/>
    <w:rsid w:val="0003770C"/>
    <w:rsid w:val="00043C71"/>
    <w:rsid w:val="00044E0A"/>
    <w:rsid w:val="000470C0"/>
    <w:rsid w:val="00047ACB"/>
    <w:rsid w:val="0005229C"/>
    <w:rsid w:val="00052E71"/>
    <w:rsid w:val="0005601C"/>
    <w:rsid w:val="0005674A"/>
    <w:rsid w:val="00057580"/>
    <w:rsid w:val="0006198C"/>
    <w:rsid w:val="0006630B"/>
    <w:rsid w:val="0007151C"/>
    <w:rsid w:val="000739A0"/>
    <w:rsid w:val="00073FF4"/>
    <w:rsid w:val="0008010B"/>
    <w:rsid w:val="000807A7"/>
    <w:rsid w:val="000831B3"/>
    <w:rsid w:val="00083A88"/>
    <w:rsid w:val="00085D62"/>
    <w:rsid w:val="00090365"/>
    <w:rsid w:val="0009206B"/>
    <w:rsid w:val="00094073"/>
    <w:rsid w:val="000956E9"/>
    <w:rsid w:val="00097A62"/>
    <w:rsid w:val="00097DB4"/>
    <w:rsid w:val="000A01FF"/>
    <w:rsid w:val="000A360A"/>
    <w:rsid w:val="000A3FF3"/>
    <w:rsid w:val="000A5B95"/>
    <w:rsid w:val="000A634B"/>
    <w:rsid w:val="000A7F87"/>
    <w:rsid w:val="000B2149"/>
    <w:rsid w:val="000B2C6B"/>
    <w:rsid w:val="000B304F"/>
    <w:rsid w:val="000B3303"/>
    <w:rsid w:val="000B5191"/>
    <w:rsid w:val="000B57BF"/>
    <w:rsid w:val="000B601C"/>
    <w:rsid w:val="000C1D89"/>
    <w:rsid w:val="000C2709"/>
    <w:rsid w:val="000C4560"/>
    <w:rsid w:val="000C594A"/>
    <w:rsid w:val="000C65B7"/>
    <w:rsid w:val="000C70F9"/>
    <w:rsid w:val="000C76A0"/>
    <w:rsid w:val="000D086B"/>
    <w:rsid w:val="000D36D5"/>
    <w:rsid w:val="000E0276"/>
    <w:rsid w:val="000E4002"/>
    <w:rsid w:val="000E4A76"/>
    <w:rsid w:val="000E7A74"/>
    <w:rsid w:val="000F2C49"/>
    <w:rsid w:val="000F3872"/>
    <w:rsid w:val="000F39F4"/>
    <w:rsid w:val="000F7B14"/>
    <w:rsid w:val="001055AE"/>
    <w:rsid w:val="00111186"/>
    <w:rsid w:val="00111355"/>
    <w:rsid w:val="001119C7"/>
    <w:rsid w:val="00113B06"/>
    <w:rsid w:val="00121205"/>
    <w:rsid w:val="00125DEB"/>
    <w:rsid w:val="00127384"/>
    <w:rsid w:val="00130332"/>
    <w:rsid w:val="00130B95"/>
    <w:rsid w:val="00131DA6"/>
    <w:rsid w:val="001338D3"/>
    <w:rsid w:val="00136156"/>
    <w:rsid w:val="00141863"/>
    <w:rsid w:val="00141EC7"/>
    <w:rsid w:val="0014332D"/>
    <w:rsid w:val="0014411D"/>
    <w:rsid w:val="0015067A"/>
    <w:rsid w:val="00155A75"/>
    <w:rsid w:val="001569D1"/>
    <w:rsid w:val="00156A5D"/>
    <w:rsid w:val="00156D1E"/>
    <w:rsid w:val="00160640"/>
    <w:rsid w:val="00161C0B"/>
    <w:rsid w:val="0016531D"/>
    <w:rsid w:val="0017272B"/>
    <w:rsid w:val="001763C2"/>
    <w:rsid w:val="00177D1F"/>
    <w:rsid w:val="001806D6"/>
    <w:rsid w:val="001823E4"/>
    <w:rsid w:val="001829BC"/>
    <w:rsid w:val="00183967"/>
    <w:rsid w:val="00183AD7"/>
    <w:rsid w:val="0018761D"/>
    <w:rsid w:val="001913B4"/>
    <w:rsid w:val="00191506"/>
    <w:rsid w:val="00191C1D"/>
    <w:rsid w:val="00191FF8"/>
    <w:rsid w:val="001A3278"/>
    <w:rsid w:val="001A3899"/>
    <w:rsid w:val="001A3D63"/>
    <w:rsid w:val="001A6451"/>
    <w:rsid w:val="001A6EE3"/>
    <w:rsid w:val="001B2465"/>
    <w:rsid w:val="001B3AAC"/>
    <w:rsid w:val="001B5CB1"/>
    <w:rsid w:val="001B63BD"/>
    <w:rsid w:val="001B7742"/>
    <w:rsid w:val="001B78A1"/>
    <w:rsid w:val="001C0470"/>
    <w:rsid w:val="001C6875"/>
    <w:rsid w:val="001C7D5C"/>
    <w:rsid w:val="001C7E67"/>
    <w:rsid w:val="001D0B68"/>
    <w:rsid w:val="001D13D1"/>
    <w:rsid w:val="001D295B"/>
    <w:rsid w:val="001D350D"/>
    <w:rsid w:val="001D48CA"/>
    <w:rsid w:val="001D7C6F"/>
    <w:rsid w:val="001E2E38"/>
    <w:rsid w:val="001E7C9C"/>
    <w:rsid w:val="001F1A38"/>
    <w:rsid w:val="001F4549"/>
    <w:rsid w:val="002004FE"/>
    <w:rsid w:val="002010F7"/>
    <w:rsid w:val="002017E1"/>
    <w:rsid w:val="002058AF"/>
    <w:rsid w:val="002071C0"/>
    <w:rsid w:val="0021003D"/>
    <w:rsid w:val="00211045"/>
    <w:rsid w:val="0021617B"/>
    <w:rsid w:val="0021674B"/>
    <w:rsid w:val="00216C4E"/>
    <w:rsid w:val="002205F4"/>
    <w:rsid w:val="00220E67"/>
    <w:rsid w:val="0022303A"/>
    <w:rsid w:val="00224148"/>
    <w:rsid w:val="00224ABF"/>
    <w:rsid w:val="0022594C"/>
    <w:rsid w:val="00225D77"/>
    <w:rsid w:val="0022602A"/>
    <w:rsid w:val="002372EB"/>
    <w:rsid w:val="00241166"/>
    <w:rsid w:val="002454FB"/>
    <w:rsid w:val="00245A9A"/>
    <w:rsid w:val="002461A9"/>
    <w:rsid w:val="00246A24"/>
    <w:rsid w:val="00252DF8"/>
    <w:rsid w:val="002535B4"/>
    <w:rsid w:val="00253C85"/>
    <w:rsid w:val="00253D4D"/>
    <w:rsid w:val="00254D90"/>
    <w:rsid w:val="002574B2"/>
    <w:rsid w:val="00260FE7"/>
    <w:rsid w:val="00263008"/>
    <w:rsid w:val="0026336D"/>
    <w:rsid w:val="00271B34"/>
    <w:rsid w:val="0027433B"/>
    <w:rsid w:val="002765C0"/>
    <w:rsid w:val="00277396"/>
    <w:rsid w:val="00277613"/>
    <w:rsid w:val="00277DB2"/>
    <w:rsid w:val="00281163"/>
    <w:rsid w:val="00281542"/>
    <w:rsid w:val="002834BD"/>
    <w:rsid w:val="00286C7A"/>
    <w:rsid w:val="00286E20"/>
    <w:rsid w:val="00287111"/>
    <w:rsid w:val="002908C2"/>
    <w:rsid w:val="002928EB"/>
    <w:rsid w:val="0029426C"/>
    <w:rsid w:val="00295BD1"/>
    <w:rsid w:val="00297B7A"/>
    <w:rsid w:val="002A0783"/>
    <w:rsid w:val="002A147A"/>
    <w:rsid w:val="002A2CC9"/>
    <w:rsid w:val="002A2D48"/>
    <w:rsid w:val="002A6848"/>
    <w:rsid w:val="002A7506"/>
    <w:rsid w:val="002A75AD"/>
    <w:rsid w:val="002A780B"/>
    <w:rsid w:val="002A7B60"/>
    <w:rsid w:val="002A7D54"/>
    <w:rsid w:val="002B0880"/>
    <w:rsid w:val="002B18E5"/>
    <w:rsid w:val="002B41F5"/>
    <w:rsid w:val="002B713E"/>
    <w:rsid w:val="002C1EF0"/>
    <w:rsid w:val="002C7C30"/>
    <w:rsid w:val="002D1775"/>
    <w:rsid w:val="002D345D"/>
    <w:rsid w:val="002D38BA"/>
    <w:rsid w:val="002D5260"/>
    <w:rsid w:val="002E308B"/>
    <w:rsid w:val="002E7A7D"/>
    <w:rsid w:val="002F141F"/>
    <w:rsid w:val="002F322D"/>
    <w:rsid w:val="002F3307"/>
    <w:rsid w:val="002F5094"/>
    <w:rsid w:val="002F7A9C"/>
    <w:rsid w:val="003002B7"/>
    <w:rsid w:val="00302E84"/>
    <w:rsid w:val="00305023"/>
    <w:rsid w:val="00311945"/>
    <w:rsid w:val="0031236F"/>
    <w:rsid w:val="00315A00"/>
    <w:rsid w:val="0031747B"/>
    <w:rsid w:val="00320882"/>
    <w:rsid w:val="003264AB"/>
    <w:rsid w:val="003265DA"/>
    <w:rsid w:val="00327CCD"/>
    <w:rsid w:val="00330106"/>
    <w:rsid w:val="00331BB3"/>
    <w:rsid w:val="00332951"/>
    <w:rsid w:val="003352B1"/>
    <w:rsid w:val="003353C2"/>
    <w:rsid w:val="00335DBC"/>
    <w:rsid w:val="00336976"/>
    <w:rsid w:val="0034166F"/>
    <w:rsid w:val="003424CC"/>
    <w:rsid w:val="00345CAA"/>
    <w:rsid w:val="00346798"/>
    <w:rsid w:val="0035341F"/>
    <w:rsid w:val="003577B6"/>
    <w:rsid w:val="00357BBC"/>
    <w:rsid w:val="003629AA"/>
    <w:rsid w:val="00370A3D"/>
    <w:rsid w:val="00373E25"/>
    <w:rsid w:val="003746AF"/>
    <w:rsid w:val="0037538C"/>
    <w:rsid w:val="00377ED6"/>
    <w:rsid w:val="003802DA"/>
    <w:rsid w:val="00380ADB"/>
    <w:rsid w:val="0038182E"/>
    <w:rsid w:val="003873E2"/>
    <w:rsid w:val="003904E1"/>
    <w:rsid w:val="00393737"/>
    <w:rsid w:val="00393810"/>
    <w:rsid w:val="00394FAB"/>
    <w:rsid w:val="003956FE"/>
    <w:rsid w:val="003A0A55"/>
    <w:rsid w:val="003A1C56"/>
    <w:rsid w:val="003A2279"/>
    <w:rsid w:val="003A6A09"/>
    <w:rsid w:val="003B13B5"/>
    <w:rsid w:val="003B33AB"/>
    <w:rsid w:val="003C34E6"/>
    <w:rsid w:val="003C4AF1"/>
    <w:rsid w:val="003C6CCC"/>
    <w:rsid w:val="003D03F6"/>
    <w:rsid w:val="003D404F"/>
    <w:rsid w:val="003D60CD"/>
    <w:rsid w:val="003E0F55"/>
    <w:rsid w:val="003E5558"/>
    <w:rsid w:val="003E6189"/>
    <w:rsid w:val="003E6E4B"/>
    <w:rsid w:val="003E7E36"/>
    <w:rsid w:val="003F0D60"/>
    <w:rsid w:val="003F21BF"/>
    <w:rsid w:val="003F2A83"/>
    <w:rsid w:val="003F2DFE"/>
    <w:rsid w:val="003F3D7B"/>
    <w:rsid w:val="00400815"/>
    <w:rsid w:val="00405F9F"/>
    <w:rsid w:val="00406800"/>
    <w:rsid w:val="00413235"/>
    <w:rsid w:val="00420CDC"/>
    <w:rsid w:val="00421095"/>
    <w:rsid w:val="00421312"/>
    <w:rsid w:val="00422A17"/>
    <w:rsid w:val="00425435"/>
    <w:rsid w:val="00425AB7"/>
    <w:rsid w:val="00426423"/>
    <w:rsid w:val="00426F07"/>
    <w:rsid w:val="00427D84"/>
    <w:rsid w:val="00433C60"/>
    <w:rsid w:val="004345BC"/>
    <w:rsid w:val="00440716"/>
    <w:rsid w:val="004418C5"/>
    <w:rsid w:val="00445B4E"/>
    <w:rsid w:val="00451ABA"/>
    <w:rsid w:val="00451EE7"/>
    <w:rsid w:val="00456DE8"/>
    <w:rsid w:val="00462339"/>
    <w:rsid w:val="00470431"/>
    <w:rsid w:val="0047279C"/>
    <w:rsid w:val="00472FE2"/>
    <w:rsid w:val="004740DF"/>
    <w:rsid w:val="00474327"/>
    <w:rsid w:val="00476094"/>
    <w:rsid w:val="00483EB4"/>
    <w:rsid w:val="004867F3"/>
    <w:rsid w:val="0049082B"/>
    <w:rsid w:val="004908E3"/>
    <w:rsid w:val="004921F7"/>
    <w:rsid w:val="004939F5"/>
    <w:rsid w:val="00495D71"/>
    <w:rsid w:val="004A07C7"/>
    <w:rsid w:val="004A154F"/>
    <w:rsid w:val="004A3077"/>
    <w:rsid w:val="004A42FF"/>
    <w:rsid w:val="004A4AAB"/>
    <w:rsid w:val="004A7404"/>
    <w:rsid w:val="004B05D2"/>
    <w:rsid w:val="004B2B39"/>
    <w:rsid w:val="004B3728"/>
    <w:rsid w:val="004B5490"/>
    <w:rsid w:val="004B60A5"/>
    <w:rsid w:val="004B763F"/>
    <w:rsid w:val="004C0D8D"/>
    <w:rsid w:val="004C2FC1"/>
    <w:rsid w:val="004C3585"/>
    <w:rsid w:val="004C5B0D"/>
    <w:rsid w:val="004C62CF"/>
    <w:rsid w:val="004C6E75"/>
    <w:rsid w:val="004C7B82"/>
    <w:rsid w:val="004D1E33"/>
    <w:rsid w:val="004D44C6"/>
    <w:rsid w:val="004D4BE8"/>
    <w:rsid w:val="004D70D9"/>
    <w:rsid w:val="004D7DFE"/>
    <w:rsid w:val="004D7F18"/>
    <w:rsid w:val="004E436D"/>
    <w:rsid w:val="004E5C66"/>
    <w:rsid w:val="004E651C"/>
    <w:rsid w:val="004E6CBE"/>
    <w:rsid w:val="004E7B8F"/>
    <w:rsid w:val="004F01A0"/>
    <w:rsid w:val="004F06A2"/>
    <w:rsid w:val="004F0D61"/>
    <w:rsid w:val="004F1D90"/>
    <w:rsid w:val="004F2551"/>
    <w:rsid w:val="004F2CF6"/>
    <w:rsid w:val="004F3FC8"/>
    <w:rsid w:val="004F4890"/>
    <w:rsid w:val="004F7A4A"/>
    <w:rsid w:val="00502F86"/>
    <w:rsid w:val="00505B28"/>
    <w:rsid w:val="00505DFA"/>
    <w:rsid w:val="00506DFD"/>
    <w:rsid w:val="00507610"/>
    <w:rsid w:val="00507EF9"/>
    <w:rsid w:val="00510805"/>
    <w:rsid w:val="00511745"/>
    <w:rsid w:val="005177B2"/>
    <w:rsid w:val="005222BC"/>
    <w:rsid w:val="00522D0E"/>
    <w:rsid w:val="0052426C"/>
    <w:rsid w:val="005260A2"/>
    <w:rsid w:val="005370D8"/>
    <w:rsid w:val="005373F3"/>
    <w:rsid w:val="00545EA2"/>
    <w:rsid w:val="00546104"/>
    <w:rsid w:val="005513BC"/>
    <w:rsid w:val="00553647"/>
    <w:rsid w:val="00554751"/>
    <w:rsid w:val="00557384"/>
    <w:rsid w:val="005601C0"/>
    <w:rsid w:val="00561625"/>
    <w:rsid w:val="00564CD1"/>
    <w:rsid w:val="00565331"/>
    <w:rsid w:val="005714F4"/>
    <w:rsid w:val="005748A5"/>
    <w:rsid w:val="0057644F"/>
    <w:rsid w:val="0058326B"/>
    <w:rsid w:val="005842AF"/>
    <w:rsid w:val="00586311"/>
    <w:rsid w:val="005868A5"/>
    <w:rsid w:val="005877A6"/>
    <w:rsid w:val="005918A1"/>
    <w:rsid w:val="005A209A"/>
    <w:rsid w:val="005A3226"/>
    <w:rsid w:val="005A4A6A"/>
    <w:rsid w:val="005A6CF8"/>
    <w:rsid w:val="005A7E98"/>
    <w:rsid w:val="005B0037"/>
    <w:rsid w:val="005B129F"/>
    <w:rsid w:val="005B23CB"/>
    <w:rsid w:val="005B298A"/>
    <w:rsid w:val="005B4E87"/>
    <w:rsid w:val="005B6693"/>
    <w:rsid w:val="005C0A65"/>
    <w:rsid w:val="005C2B7C"/>
    <w:rsid w:val="005C651D"/>
    <w:rsid w:val="005C6C54"/>
    <w:rsid w:val="005D28BA"/>
    <w:rsid w:val="005D60D7"/>
    <w:rsid w:val="005E0C66"/>
    <w:rsid w:val="005E11C6"/>
    <w:rsid w:val="005E1CC3"/>
    <w:rsid w:val="005E229F"/>
    <w:rsid w:val="005E2AE1"/>
    <w:rsid w:val="005E3B3E"/>
    <w:rsid w:val="005E3BCB"/>
    <w:rsid w:val="005E48D0"/>
    <w:rsid w:val="005E592C"/>
    <w:rsid w:val="005F4EA4"/>
    <w:rsid w:val="005F627A"/>
    <w:rsid w:val="005F69E9"/>
    <w:rsid w:val="00600126"/>
    <w:rsid w:val="00600E47"/>
    <w:rsid w:val="0060119F"/>
    <w:rsid w:val="006011C2"/>
    <w:rsid w:val="00602870"/>
    <w:rsid w:val="00605F32"/>
    <w:rsid w:val="00607A5D"/>
    <w:rsid w:val="00610590"/>
    <w:rsid w:val="006133B8"/>
    <w:rsid w:val="006146C5"/>
    <w:rsid w:val="006203A3"/>
    <w:rsid w:val="0062089A"/>
    <w:rsid w:val="00621B4B"/>
    <w:rsid w:val="00622519"/>
    <w:rsid w:val="006227B2"/>
    <w:rsid w:val="00623749"/>
    <w:rsid w:val="00623CC8"/>
    <w:rsid w:val="006320B7"/>
    <w:rsid w:val="00632C83"/>
    <w:rsid w:val="00634B4A"/>
    <w:rsid w:val="0063560A"/>
    <w:rsid w:val="00637033"/>
    <w:rsid w:val="00643D36"/>
    <w:rsid w:val="006464DF"/>
    <w:rsid w:val="006508CD"/>
    <w:rsid w:val="0065508E"/>
    <w:rsid w:val="00656410"/>
    <w:rsid w:val="00657FA3"/>
    <w:rsid w:val="006615FC"/>
    <w:rsid w:val="0066306E"/>
    <w:rsid w:val="00664D4A"/>
    <w:rsid w:val="00666337"/>
    <w:rsid w:val="006703BB"/>
    <w:rsid w:val="00673907"/>
    <w:rsid w:val="00676BDF"/>
    <w:rsid w:val="0067742B"/>
    <w:rsid w:val="00677FD6"/>
    <w:rsid w:val="00681881"/>
    <w:rsid w:val="00690F07"/>
    <w:rsid w:val="006911F9"/>
    <w:rsid w:val="00691614"/>
    <w:rsid w:val="00692FA3"/>
    <w:rsid w:val="00693958"/>
    <w:rsid w:val="006946EA"/>
    <w:rsid w:val="006949BD"/>
    <w:rsid w:val="006A0BA6"/>
    <w:rsid w:val="006A2438"/>
    <w:rsid w:val="006A2499"/>
    <w:rsid w:val="006A69A0"/>
    <w:rsid w:val="006A6E6D"/>
    <w:rsid w:val="006B1830"/>
    <w:rsid w:val="006C7425"/>
    <w:rsid w:val="006D3191"/>
    <w:rsid w:val="006D469E"/>
    <w:rsid w:val="006D49F4"/>
    <w:rsid w:val="006D6A4F"/>
    <w:rsid w:val="006D6B1E"/>
    <w:rsid w:val="006D746E"/>
    <w:rsid w:val="006E07D7"/>
    <w:rsid w:val="006E36D3"/>
    <w:rsid w:val="006E5C2A"/>
    <w:rsid w:val="006F0B18"/>
    <w:rsid w:val="007005F9"/>
    <w:rsid w:val="007038E2"/>
    <w:rsid w:val="007118B5"/>
    <w:rsid w:val="00714F71"/>
    <w:rsid w:val="0071797A"/>
    <w:rsid w:val="00723915"/>
    <w:rsid w:val="007239A3"/>
    <w:rsid w:val="00726265"/>
    <w:rsid w:val="00732723"/>
    <w:rsid w:val="00732E22"/>
    <w:rsid w:val="00733B7A"/>
    <w:rsid w:val="007360A5"/>
    <w:rsid w:val="0073663E"/>
    <w:rsid w:val="00740244"/>
    <w:rsid w:val="00740E43"/>
    <w:rsid w:val="0074569D"/>
    <w:rsid w:val="00746592"/>
    <w:rsid w:val="00752303"/>
    <w:rsid w:val="00753EBE"/>
    <w:rsid w:val="00754C08"/>
    <w:rsid w:val="00760761"/>
    <w:rsid w:val="00761390"/>
    <w:rsid w:val="0076189B"/>
    <w:rsid w:val="0076324C"/>
    <w:rsid w:val="007707F9"/>
    <w:rsid w:val="00771C52"/>
    <w:rsid w:val="00773EDE"/>
    <w:rsid w:val="00775FA0"/>
    <w:rsid w:val="00781F1A"/>
    <w:rsid w:val="00782FDF"/>
    <w:rsid w:val="007830EA"/>
    <w:rsid w:val="00783288"/>
    <w:rsid w:val="00783684"/>
    <w:rsid w:val="0078417B"/>
    <w:rsid w:val="0078505B"/>
    <w:rsid w:val="007879EE"/>
    <w:rsid w:val="007914C9"/>
    <w:rsid w:val="0079231C"/>
    <w:rsid w:val="0079295E"/>
    <w:rsid w:val="0079320F"/>
    <w:rsid w:val="00794369"/>
    <w:rsid w:val="007A068D"/>
    <w:rsid w:val="007A3C2D"/>
    <w:rsid w:val="007A48BA"/>
    <w:rsid w:val="007A6E56"/>
    <w:rsid w:val="007B167F"/>
    <w:rsid w:val="007B3533"/>
    <w:rsid w:val="007B637F"/>
    <w:rsid w:val="007B7145"/>
    <w:rsid w:val="007B7CEA"/>
    <w:rsid w:val="007B7F05"/>
    <w:rsid w:val="007C1DDD"/>
    <w:rsid w:val="007C2CEC"/>
    <w:rsid w:val="007C4760"/>
    <w:rsid w:val="007C5CAC"/>
    <w:rsid w:val="007D176A"/>
    <w:rsid w:val="007D1EFF"/>
    <w:rsid w:val="007D4DA1"/>
    <w:rsid w:val="007E1842"/>
    <w:rsid w:val="007E2EA0"/>
    <w:rsid w:val="007E3A18"/>
    <w:rsid w:val="007E3CAC"/>
    <w:rsid w:val="007E4306"/>
    <w:rsid w:val="007F1D24"/>
    <w:rsid w:val="007F2295"/>
    <w:rsid w:val="007F30FD"/>
    <w:rsid w:val="007F54CB"/>
    <w:rsid w:val="007F6B6A"/>
    <w:rsid w:val="0080202F"/>
    <w:rsid w:val="00802044"/>
    <w:rsid w:val="008029E0"/>
    <w:rsid w:val="0081025A"/>
    <w:rsid w:val="0081111D"/>
    <w:rsid w:val="0081113C"/>
    <w:rsid w:val="00816257"/>
    <w:rsid w:val="00816A15"/>
    <w:rsid w:val="0082256B"/>
    <w:rsid w:val="00823847"/>
    <w:rsid w:val="00823D58"/>
    <w:rsid w:val="00830551"/>
    <w:rsid w:val="0083343B"/>
    <w:rsid w:val="00833867"/>
    <w:rsid w:val="00834CA9"/>
    <w:rsid w:val="00836E8F"/>
    <w:rsid w:val="008420CD"/>
    <w:rsid w:val="00842A7E"/>
    <w:rsid w:val="00842AAE"/>
    <w:rsid w:val="00842B5F"/>
    <w:rsid w:val="00844A32"/>
    <w:rsid w:val="00851873"/>
    <w:rsid w:val="00852D06"/>
    <w:rsid w:val="00856EDA"/>
    <w:rsid w:val="0086461E"/>
    <w:rsid w:val="0086509D"/>
    <w:rsid w:val="0086516D"/>
    <w:rsid w:val="00865EFD"/>
    <w:rsid w:val="00866485"/>
    <w:rsid w:val="00867D08"/>
    <w:rsid w:val="00871A8F"/>
    <w:rsid w:val="0087274E"/>
    <w:rsid w:val="00872C5A"/>
    <w:rsid w:val="00876BDF"/>
    <w:rsid w:val="00882393"/>
    <w:rsid w:val="00882C33"/>
    <w:rsid w:val="008831EA"/>
    <w:rsid w:val="00884A58"/>
    <w:rsid w:val="0088557D"/>
    <w:rsid w:val="0088606E"/>
    <w:rsid w:val="00886388"/>
    <w:rsid w:val="00891403"/>
    <w:rsid w:val="00893F82"/>
    <w:rsid w:val="00894231"/>
    <w:rsid w:val="008950AE"/>
    <w:rsid w:val="008952E8"/>
    <w:rsid w:val="00895514"/>
    <w:rsid w:val="008A3B1D"/>
    <w:rsid w:val="008B166B"/>
    <w:rsid w:val="008B54BF"/>
    <w:rsid w:val="008B74F9"/>
    <w:rsid w:val="008B77B4"/>
    <w:rsid w:val="008C24DC"/>
    <w:rsid w:val="008C559D"/>
    <w:rsid w:val="008C7A53"/>
    <w:rsid w:val="008C7C21"/>
    <w:rsid w:val="008D31D9"/>
    <w:rsid w:val="008D3544"/>
    <w:rsid w:val="008D408D"/>
    <w:rsid w:val="008D6C45"/>
    <w:rsid w:val="008D72BE"/>
    <w:rsid w:val="008E148A"/>
    <w:rsid w:val="008E1F71"/>
    <w:rsid w:val="008E4AEC"/>
    <w:rsid w:val="008E6F7A"/>
    <w:rsid w:val="008E71B3"/>
    <w:rsid w:val="008E7E7B"/>
    <w:rsid w:val="008F183C"/>
    <w:rsid w:val="008F3064"/>
    <w:rsid w:val="008F4762"/>
    <w:rsid w:val="008F6CA0"/>
    <w:rsid w:val="009007E0"/>
    <w:rsid w:val="009038C0"/>
    <w:rsid w:val="00903FED"/>
    <w:rsid w:val="00904636"/>
    <w:rsid w:val="0090592D"/>
    <w:rsid w:val="009121A1"/>
    <w:rsid w:val="0091222E"/>
    <w:rsid w:val="00916615"/>
    <w:rsid w:val="0091689D"/>
    <w:rsid w:val="00916AAD"/>
    <w:rsid w:val="00920D2E"/>
    <w:rsid w:val="00925540"/>
    <w:rsid w:val="00925C14"/>
    <w:rsid w:val="00925F1F"/>
    <w:rsid w:val="00926501"/>
    <w:rsid w:val="00926CF7"/>
    <w:rsid w:val="009279F5"/>
    <w:rsid w:val="00931E58"/>
    <w:rsid w:val="009347C5"/>
    <w:rsid w:val="00934989"/>
    <w:rsid w:val="0093667A"/>
    <w:rsid w:val="00936AC2"/>
    <w:rsid w:val="0094113F"/>
    <w:rsid w:val="009416F0"/>
    <w:rsid w:val="00942293"/>
    <w:rsid w:val="0094586F"/>
    <w:rsid w:val="009524FB"/>
    <w:rsid w:val="00953DF7"/>
    <w:rsid w:val="00954853"/>
    <w:rsid w:val="00955CF6"/>
    <w:rsid w:val="00955F9D"/>
    <w:rsid w:val="00956260"/>
    <w:rsid w:val="00961937"/>
    <w:rsid w:val="009725A7"/>
    <w:rsid w:val="00973447"/>
    <w:rsid w:val="0097573C"/>
    <w:rsid w:val="009769F9"/>
    <w:rsid w:val="009816EE"/>
    <w:rsid w:val="009829AC"/>
    <w:rsid w:val="00984062"/>
    <w:rsid w:val="00993EB1"/>
    <w:rsid w:val="009951EB"/>
    <w:rsid w:val="009A0C42"/>
    <w:rsid w:val="009A29B2"/>
    <w:rsid w:val="009A2D46"/>
    <w:rsid w:val="009A3751"/>
    <w:rsid w:val="009B122B"/>
    <w:rsid w:val="009B29A3"/>
    <w:rsid w:val="009B42CA"/>
    <w:rsid w:val="009C22B8"/>
    <w:rsid w:val="009C5556"/>
    <w:rsid w:val="009C557A"/>
    <w:rsid w:val="009C5B99"/>
    <w:rsid w:val="009C61A4"/>
    <w:rsid w:val="009D0211"/>
    <w:rsid w:val="009D048D"/>
    <w:rsid w:val="009D3387"/>
    <w:rsid w:val="009D70B8"/>
    <w:rsid w:val="009E0475"/>
    <w:rsid w:val="009E3B0A"/>
    <w:rsid w:val="009E42AE"/>
    <w:rsid w:val="009E69ED"/>
    <w:rsid w:val="009E6D8C"/>
    <w:rsid w:val="009E7391"/>
    <w:rsid w:val="009F070D"/>
    <w:rsid w:val="009F3801"/>
    <w:rsid w:val="009F5719"/>
    <w:rsid w:val="009F7683"/>
    <w:rsid w:val="00A0076E"/>
    <w:rsid w:val="00A02F7B"/>
    <w:rsid w:val="00A034BE"/>
    <w:rsid w:val="00A042A3"/>
    <w:rsid w:val="00A04C9F"/>
    <w:rsid w:val="00A05916"/>
    <w:rsid w:val="00A070AB"/>
    <w:rsid w:val="00A10B66"/>
    <w:rsid w:val="00A123CC"/>
    <w:rsid w:val="00A12875"/>
    <w:rsid w:val="00A1318C"/>
    <w:rsid w:val="00A1371A"/>
    <w:rsid w:val="00A13C29"/>
    <w:rsid w:val="00A1469C"/>
    <w:rsid w:val="00A14AE5"/>
    <w:rsid w:val="00A2090C"/>
    <w:rsid w:val="00A2649A"/>
    <w:rsid w:val="00A267BD"/>
    <w:rsid w:val="00A26A2B"/>
    <w:rsid w:val="00A3264D"/>
    <w:rsid w:val="00A3362E"/>
    <w:rsid w:val="00A350AC"/>
    <w:rsid w:val="00A42329"/>
    <w:rsid w:val="00A43B39"/>
    <w:rsid w:val="00A47EAF"/>
    <w:rsid w:val="00A527E2"/>
    <w:rsid w:val="00A538BE"/>
    <w:rsid w:val="00A56FB3"/>
    <w:rsid w:val="00A57912"/>
    <w:rsid w:val="00A60CC1"/>
    <w:rsid w:val="00A60E25"/>
    <w:rsid w:val="00A6110A"/>
    <w:rsid w:val="00A61693"/>
    <w:rsid w:val="00A672BA"/>
    <w:rsid w:val="00A73E60"/>
    <w:rsid w:val="00A75792"/>
    <w:rsid w:val="00A75A5C"/>
    <w:rsid w:val="00A805B1"/>
    <w:rsid w:val="00A84305"/>
    <w:rsid w:val="00A84BDB"/>
    <w:rsid w:val="00A8569F"/>
    <w:rsid w:val="00A87CC7"/>
    <w:rsid w:val="00A87FDC"/>
    <w:rsid w:val="00A947F1"/>
    <w:rsid w:val="00A948CD"/>
    <w:rsid w:val="00A95A07"/>
    <w:rsid w:val="00AA06A9"/>
    <w:rsid w:val="00AA17A2"/>
    <w:rsid w:val="00AA3BC8"/>
    <w:rsid w:val="00AA76CC"/>
    <w:rsid w:val="00AA7AC6"/>
    <w:rsid w:val="00AB05E7"/>
    <w:rsid w:val="00AB18BF"/>
    <w:rsid w:val="00AB28F7"/>
    <w:rsid w:val="00AB60DB"/>
    <w:rsid w:val="00AB61A5"/>
    <w:rsid w:val="00AC171B"/>
    <w:rsid w:val="00AC3072"/>
    <w:rsid w:val="00AC586A"/>
    <w:rsid w:val="00AC70AA"/>
    <w:rsid w:val="00AD0772"/>
    <w:rsid w:val="00AD1D1E"/>
    <w:rsid w:val="00AD271C"/>
    <w:rsid w:val="00AD6411"/>
    <w:rsid w:val="00AD64BF"/>
    <w:rsid w:val="00AD7CF3"/>
    <w:rsid w:val="00AE2A5A"/>
    <w:rsid w:val="00AE3459"/>
    <w:rsid w:val="00AE6E7C"/>
    <w:rsid w:val="00AF0956"/>
    <w:rsid w:val="00AF187C"/>
    <w:rsid w:val="00AF1EB5"/>
    <w:rsid w:val="00AF70DB"/>
    <w:rsid w:val="00B00F46"/>
    <w:rsid w:val="00B01247"/>
    <w:rsid w:val="00B046F5"/>
    <w:rsid w:val="00B0573A"/>
    <w:rsid w:val="00B06EE0"/>
    <w:rsid w:val="00B0782D"/>
    <w:rsid w:val="00B10891"/>
    <w:rsid w:val="00B10FDB"/>
    <w:rsid w:val="00B13F82"/>
    <w:rsid w:val="00B1492E"/>
    <w:rsid w:val="00B21544"/>
    <w:rsid w:val="00B25708"/>
    <w:rsid w:val="00B32202"/>
    <w:rsid w:val="00B3277B"/>
    <w:rsid w:val="00B33037"/>
    <w:rsid w:val="00B35175"/>
    <w:rsid w:val="00B418DD"/>
    <w:rsid w:val="00B452C5"/>
    <w:rsid w:val="00B46A68"/>
    <w:rsid w:val="00B46E11"/>
    <w:rsid w:val="00B50ED3"/>
    <w:rsid w:val="00B52088"/>
    <w:rsid w:val="00B523FD"/>
    <w:rsid w:val="00B52631"/>
    <w:rsid w:val="00B53985"/>
    <w:rsid w:val="00B5710F"/>
    <w:rsid w:val="00B609AA"/>
    <w:rsid w:val="00B61D26"/>
    <w:rsid w:val="00B631E1"/>
    <w:rsid w:val="00B6460D"/>
    <w:rsid w:val="00B652EA"/>
    <w:rsid w:val="00B65C3A"/>
    <w:rsid w:val="00B66D34"/>
    <w:rsid w:val="00B67263"/>
    <w:rsid w:val="00B72BBE"/>
    <w:rsid w:val="00B76544"/>
    <w:rsid w:val="00B82CDA"/>
    <w:rsid w:val="00B830CB"/>
    <w:rsid w:val="00B92034"/>
    <w:rsid w:val="00B923A7"/>
    <w:rsid w:val="00B92728"/>
    <w:rsid w:val="00B93A80"/>
    <w:rsid w:val="00B94A73"/>
    <w:rsid w:val="00B9565A"/>
    <w:rsid w:val="00BA0128"/>
    <w:rsid w:val="00BA040A"/>
    <w:rsid w:val="00BA32FC"/>
    <w:rsid w:val="00BA5EA4"/>
    <w:rsid w:val="00BB0DB1"/>
    <w:rsid w:val="00BB112A"/>
    <w:rsid w:val="00BB3FAE"/>
    <w:rsid w:val="00BB45EF"/>
    <w:rsid w:val="00BB5847"/>
    <w:rsid w:val="00BC047A"/>
    <w:rsid w:val="00BC0B1A"/>
    <w:rsid w:val="00BC2647"/>
    <w:rsid w:val="00BC370A"/>
    <w:rsid w:val="00BC3D84"/>
    <w:rsid w:val="00BC3E7A"/>
    <w:rsid w:val="00BD2A4D"/>
    <w:rsid w:val="00BD6D8D"/>
    <w:rsid w:val="00BE14FD"/>
    <w:rsid w:val="00BE1CB4"/>
    <w:rsid w:val="00BE236B"/>
    <w:rsid w:val="00BE5B98"/>
    <w:rsid w:val="00BE6080"/>
    <w:rsid w:val="00BF1583"/>
    <w:rsid w:val="00BF480C"/>
    <w:rsid w:val="00BF6505"/>
    <w:rsid w:val="00C0307A"/>
    <w:rsid w:val="00C03391"/>
    <w:rsid w:val="00C0579B"/>
    <w:rsid w:val="00C05EC2"/>
    <w:rsid w:val="00C074A5"/>
    <w:rsid w:val="00C07802"/>
    <w:rsid w:val="00C12E50"/>
    <w:rsid w:val="00C14E2D"/>
    <w:rsid w:val="00C173F9"/>
    <w:rsid w:val="00C17D6A"/>
    <w:rsid w:val="00C30439"/>
    <w:rsid w:val="00C322F5"/>
    <w:rsid w:val="00C34832"/>
    <w:rsid w:val="00C34B60"/>
    <w:rsid w:val="00C34BD0"/>
    <w:rsid w:val="00C355EC"/>
    <w:rsid w:val="00C35DAD"/>
    <w:rsid w:val="00C4067D"/>
    <w:rsid w:val="00C40E5F"/>
    <w:rsid w:val="00C41A63"/>
    <w:rsid w:val="00C44449"/>
    <w:rsid w:val="00C452ED"/>
    <w:rsid w:val="00C4608A"/>
    <w:rsid w:val="00C51448"/>
    <w:rsid w:val="00C54C35"/>
    <w:rsid w:val="00C5740C"/>
    <w:rsid w:val="00C57DC4"/>
    <w:rsid w:val="00C6141F"/>
    <w:rsid w:val="00C62317"/>
    <w:rsid w:val="00C62E76"/>
    <w:rsid w:val="00C7410F"/>
    <w:rsid w:val="00C75F4E"/>
    <w:rsid w:val="00C81131"/>
    <w:rsid w:val="00C81286"/>
    <w:rsid w:val="00C82728"/>
    <w:rsid w:val="00C82E74"/>
    <w:rsid w:val="00C83679"/>
    <w:rsid w:val="00C85ADD"/>
    <w:rsid w:val="00C879CA"/>
    <w:rsid w:val="00C87E0F"/>
    <w:rsid w:val="00C9109D"/>
    <w:rsid w:val="00C9119C"/>
    <w:rsid w:val="00C91792"/>
    <w:rsid w:val="00C921D5"/>
    <w:rsid w:val="00C93FFC"/>
    <w:rsid w:val="00C94D38"/>
    <w:rsid w:val="00CA100A"/>
    <w:rsid w:val="00CA384B"/>
    <w:rsid w:val="00CA3B45"/>
    <w:rsid w:val="00CA5B17"/>
    <w:rsid w:val="00CC116C"/>
    <w:rsid w:val="00CC122F"/>
    <w:rsid w:val="00CD0B55"/>
    <w:rsid w:val="00CD148B"/>
    <w:rsid w:val="00CD297A"/>
    <w:rsid w:val="00CD4E3C"/>
    <w:rsid w:val="00CD4E52"/>
    <w:rsid w:val="00CD5130"/>
    <w:rsid w:val="00CD67EF"/>
    <w:rsid w:val="00CD6CED"/>
    <w:rsid w:val="00CD7B98"/>
    <w:rsid w:val="00CE011A"/>
    <w:rsid w:val="00CE1079"/>
    <w:rsid w:val="00CE2B37"/>
    <w:rsid w:val="00CE2E69"/>
    <w:rsid w:val="00CE35E8"/>
    <w:rsid w:val="00CF1675"/>
    <w:rsid w:val="00CF2A63"/>
    <w:rsid w:val="00CF3EA1"/>
    <w:rsid w:val="00CF4ABE"/>
    <w:rsid w:val="00CF6F4B"/>
    <w:rsid w:val="00D04276"/>
    <w:rsid w:val="00D06D4E"/>
    <w:rsid w:val="00D10CA5"/>
    <w:rsid w:val="00D11411"/>
    <w:rsid w:val="00D15A78"/>
    <w:rsid w:val="00D17AB6"/>
    <w:rsid w:val="00D21AAB"/>
    <w:rsid w:val="00D22821"/>
    <w:rsid w:val="00D24001"/>
    <w:rsid w:val="00D30E75"/>
    <w:rsid w:val="00D3159D"/>
    <w:rsid w:val="00D3631D"/>
    <w:rsid w:val="00D379C3"/>
    <w:rsid w:val="00D414C8"/>
    <w:rsid w:val="00D429CD"/>
    <w:rsid w:val="00D42D7F"/>
    <w:rsid w:val="00D457E1"/>
    <w:rsid w:val="00D4597B"/>
    <w:rsid w:val="00D4615D"/>
    <w:rsid w:val="00D46DBB"/>
    <w:rsid w:val="00D47D6B"/>
    <w:rsid w:val="00D511E4"/>
    <w:rsid w:val="00D5545A"/>
    <w:rsid w:val="00D56EC7"/>
    <w:rsid w:val="00D63EE5"/>
    <w:rsid w:val="00D65FC4"/>
    <w:rsid w:val="00D6631E"/>
    <w:rsid w:val="00D71E69"/>
    <w:rsid w:val="00D71E74"/>
    <w:rsid w:val="00D736CA"/>
    <w:rsid w:val="00D74DAD"/>
    <w:rsid w:val="00D77E4B"/>
    <w:rsid w:val="00D81CA3"/>
    <w:rsid w:val="00D82F1D"/>
    <w:rsid w:val="00D83889"/>
    <w:rsid w:val="00D8451F"/>
    <w:rsid w:val="00D901A8"/>
    <w:rsid w:val="00D910C5"/>
    <w:rsid w:val="00D93FB4"/>
    <w:rsid w:val="00D965C4"/>
    <w:rsid w:val="00D972E7"/>
    <w:rsid w:val="00DA2384"/>
    <w:rsid w:val="00DA2EBC"/>
    <w:rsid w:val="00DA3734"/>
    <w:rsid w:val="00DA3DF2"/>
    <w:rsid w:val="00DA6073"/>
    <w:rsid w:val="00DA6F42"/>
    <w:rsid w:val="00DA6FD6"/>
    <w:rsid w:val="00DA71D6"/>
    <w:rsid w:val="00DB4C76"/>
    <w:rsid w:val="00DB78CB"/>
    <w:rsid w:val="00DC60A7"/>
    <w:rsid w:val="00DD0041"/>
    <w:rsid w:val="00DD067D"/>
    <w:rsid w:val="00DD287C"/>
    <w:rsid w:val="00DD3512"/>
    <w:rsid w:val="00DD4074"/>
    <w:rsid w:val="00DD4DAD"/>
    <w:rsid w:val="00DE4B7A"/>
    <w:rsid w:val="00DE633A"/>
    <w:rsid w:val="00DE68E9"/>
    <w:rsid w:val="00DE7413"/>
    <w:rsid w:val="00DF05FE"/>
    <w:rsid w:val="00DF1665"/>
    <w:rsid w:val="00DF187F"/>
    <w:rsid w:val="00DF34D6"/>
    <w:rsid w:val="00DF44E4"/>
    <w:rsid w:val="00E02507"/>
    <w:rsid w:val="00E02777"/>
    <w:rsid w:val="00E039A7"/>
    <w:rsid w:val="00E04C57"/>
    <w:rsid w:val="00E04DB5"/>
    <w:rsid w:val="00E05748"/>
    <w:rsid w:val="00E057FD"/>
    <w:rsid w:val="00E1158E"/>
    <w:rsid w:val="00E12B5A"/>
    <w:rsid w:val="00E14EED"/>
    <w:rsid w:val="00E2256A"/>
    <w:rsid w:val="00E22DAC"/>
    <w:rsid w:val="00E24601"/>
    <w:rsid w:val="00E24DA3"/>
    <w:rsid w:val="00E24E22"/>
    <w:rsid w:val="00E267EC"/>
    <w:rsid w:val="00E26915"/>
    <w:rsid w:val="00E27282"/>
    <w:rsid w:val="00E31ADF"/>
    <w:rsid w:val="00E40492"/>
    <w:rsid w:val="00E40D16"/>
    <w:rsid w:val="00E42ECD"/>
    <w:rsid w:val="00E43581"/>
    <w:rsid w:val="00E4400B"/>
    <w:rsid w:val="00E44176"/>
    <w:rsid w:val="00E44AE9"/>
    <w:rsid w:val="00E46BD6"/>
    <w:rsid w:val="00E47ADB"/>
    <w:rsid w:val="00E50876"/>
    <w:rsid w:val="00E552FB"/>
    <w:rsid w:val="00E57DCE"/>
    <w:rsid w:val="00E61B08"/>
    <w:rsid w:val="00E62134"/>
    <w:rsid w:val="00E62E84"/>
    <w:rsid w:val="00E633C3"/>
    <w:rsid w:val="00E638F2"/>
    <w:rsid w:val="00E64714"/>
    <w:rsid w:val="00E66DBA"/>
    <w:rsid w:val="00E7002B"/>
    <w:rsid w:val="00E72220"/>
    <w:rsid w:val="00E7273B"/>
    <w:rsid w:val="00E7525A"/>
    <w:rsid w:val="00E7573C"/>
    <w:rsid w:val="00E76D30"/>
    <w:rsid w:val="00E84A7F"/>
    <w:rsid w:val="00E87FE1"/>
    <w:rsid w:val="00E9020F"/>
    <w:rsid w:val="00E91258"/>
    <w:rsid w:val="00E9135E"/>
    <w:rsid w:val="00E93517"/>
    <w:rsid w:val="00E93A75"/>
    <w:rsid w:val="00E94DA1"/>
    <w:rsid w:val="00EA00D8"/>
    <w:rsid w:val="00EA70F8"/>
    <w:rsid w:val="00EB1EFE"/>
    <w:rsid w:val="00EB30DB"/>
    <w:rsid w:val="00EC4568"/>
    <w:rsid w:val="00EC45B5"/>
    <w:rsid w:val="00EC55A4"/>
    <w:rsid w:val="00EC6D86"/>
    <w:rsid w:val="00EC7D58"/>
    <w:rsid w:val="00EC7E6A"/>
    <w:rsid w:val="00ED1322"/>
    <w:rsid w:val="00ED1C2E"/>
    <w:rsid w:val="00ED3577"/>
    <w:rsid w:val="00ED358B"/>
    <w:rsid w:val="00ED4FFB"/>
    <w:rsid w:val="00ED68C9"/>
    <w:rsid w:val="00ED6BBB"/>
    <w:rsid w:val="00ED7B60"/>
    <w:rsid w:val="00EE158F"/>
    <w:rsid w:val="00EE4E86"/>
    <w:rsid w:val="00EE6B9C"/>
    <w:rsid w:val="00EF5F74"/>
    <w:rsid w:val="00F00593"/>
    <w:rsid w:val="00F016B4"/>
    <w:rsid w:val="00F01A04"/>
    <w:rsid w:val="00F06482"/>
    <w:rsid w:val="00F10F87"/>
    <w:rsid w:val="00F15C7F"/>
    <w:rsid w:val="00F16022"/>
    <w:rsid w:val="00F166C6"/>
    <w:rsid w:val="00F21560"/>
    <w:rsid w:val="00F21937"/>
    <w:rsid w:val="00F25737"/>
    <w:rsid w:val="00F26688"/>
    <w:rsid w:val="00F276C8"/>
    <w:rsid w:val="00F30755"/>
    <w:rsid w:val="00F30F1A"/>
    <w:rsid w:val="00F31656"/>
    <w:rsid w:val="00F32BE1"/>
    <w:rsid w:val="00F337DA"/>
    <w:rsid w:val="00F34C38"/>
    <w:rsid w:val="00F34E2B"/>
    <w:rsid w:val="00F37D58"/>
    <w:rsid w:val="00F4014B"/>
    <w:rsid w:val="00F40186"/>
    <w:rsid w:val="00F42F30"/>
    <w:rsid w:val="00F44864"/>
    <w:rsid w:val="00F44AB8"/>
    <w:rsid w:val="00F45190"/>
    <w:rsid w:val="00F4548B"/>
    <w:rsid w:val="00F468B4"/>
    <w:rsid w:val="00F46BA8"/>
    <w:rsid w:val="00F4708F"/>
    <w:rsid w:val="00F47211"/>
    <w:rsid w:val="00F5119F"/>
    <w:rsid w:val="00F52A58"/>
    <w:rsid w:val="00F52FDC"/>
    <w:rsid w:val="00F54552"/>
    <w:rsid w:val="00F55890"/>
    <w:rsid w:val="00F56131"/>
    <w:rsid w:val="00F62266"/>
    <w:rsid w:val="00F62348"/>
    <w:rsid w:val="00F63FC8"/>
    <w:rsid w:val="00F64068"/>
    <w:rsid w:val="00F6478D"/>
    <w:rsid w:val="00F740AF"/>
    <w:rsid w:val="00F7479A"/>
    <w:rsid w:val="00F759AF"/>
    <w:rsid w:val="00F77480"/>
    <w:rsid w:val="00F84077"/>
    <w:rsid w:val="00F866F9"/>
    <w:rsid w:val="00F9022A"/>
    <w:rsid w:val="00F95464"/>
    <w:rsid w:val="00F9723D"/>
    <w:rsid w:val="00FA0045"/>
    <w:rsid w:val="00FA21C8"/>
    <w:rsid w:val="00FA255D"/>
    <w:rsid w:val="00FA2BF3"/>
    <w:rsid w:val="00FA4F13"/>
    <w:rsid w:val="00FA5438"/>
    <w:rsid w:val="00FB2C63"/>
    <w:rsid w:val="00FB46B1"/>
    <w:rsid w:val="00FB513F"/>
    <w:rsid w:val="00FB7F56"/>
    <w:rsid w:val="00FC0AFC"/>
    <w:rsid w:val="00FC26BC"/>
    <w:rsid w:val="00FC282F"/>
    <w:rsid w:val="00FC446E"/>
    <w:rsid w:val="00FD2ED5"/>
    <w:rsid w:val="00FD5F3D"/>
    <w:rsid w:val="00FE09AB"/>
    <w:rsid w:val="00FE2D51"/>
    <w:rsid w:val="00FE3401"/>
    <w:rsid w:val="00FE3897"/>
    <w:rsid w:val="00FE5069"/>
    <w:rsid w:val="00FE5BC3"/>
    <w:rsid w:val="00FE67D0"/>
    <w:rsid w:val="00FF2D29"/>
    <w:rsid w:val="00FF3160"/>
    <w:rsid w:val="00FF5A97"/>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30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00593"/>
    <w:pPr>
      <w:keepNext/>
      <w:keepLines/>
      <w:spacing w:line="360" w:lineRule="auto"/>
      <w:outlineLvl w:val="2"/>
    </w:pPr>
    <w:rPr>
      <w:rFonts w:ascii="Arial" w:eastAsiaTheme="majorEastAsia" w:hAnsi="Arial" w:cstheme="majorBidi"/>
      <w:b/>
      <w:bCs/>
      <w:color w:val="F390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rsid w:val="00421095"/>
    <w:rPr>
      <w:sz w:val="20"/>
      <w:szCs w:val="20"/>
    </w:rPr>
  </w:style>
  <w:style w:type="character" w:customStyle="1" w:styleId="FootnoteTextChar">
    <w:name w:val="Footnote Text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rsid w:val="00421095"/>
    <w:rPr>
      <w:rFonts w:cs="Times New Roman"/>
      <w:sz w:val="16"/>
    </w:rPr>
  </w:style>
  <w:style w:type="paragraph" w:styleId="CommentText">
    <w:name w:val="annotation text"/>
    <w:basedOn w:val="Normal"/>
    <w:link w:val="CommentTextChar"/>
    <w:uiPriority w:val="99"/>
    <w:rsid w:val="00421095"/>
    <w:rPr>
      <w:sz w:val="20"/>
      <w:szCs w:val="20"/>
    </w:rPr>
  </w:style>
  <w:style w:type="character" w:customStyle="1" w:styleId="CommentTextChar">
    <w:name w:val="Comment Text Char"/>
    <w:basedOn w:val="DefaultParagraphFont"/>
    <w:link w:val="CommentText"/>
    <w:uiPriority w:val="99"/>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BodyText">
    <w:name w:val="Body Text"/>
    <w:basedOn w:val="Normal"/>
    <w:link w:val="BodyTextChar"/>
    <w:uiPriority w:val="99"/>
    <w:unhideWhenUsed/>
    <w:rsid w:val="00657FA3"/>
    <w:pPr>
      <w:spacing w:after="240" w:line="360" w:lineRule="auto"/>
    </w:pPr>
    <w:rPr>
      <w:rFonts w:eastAsiaTheme="minorEastAsia"/>
      <w:sz w:val="22"/>
    </w:rPr>
  </w:style>
  <w:style w:type="character" w:customStyle="1" w:styleId="BodyTextChar">
    <w:name w:val="Body Text Char"/>
    <w:basedOn w:val="DefaultParagraphFont"/>
    <w:link w:val="BodyText"/>
    <w:uiPriority w:val="99"/>
    <w:rsid w:val="00657FA3"/>
    <w:rPr>
      <w:rFonts w:ascii="Times New Roman" w:eastAsiaTheme="minorEastAsia" w:hAnsi="Times New Roman" w:cs="Times New Roman"/>
      <w:szCs w:val="24"/>
    </w:rPr>
  </w:style>
  <w:style w:type="character" w:customStyle="1" w:styleId="Heading3Char">
    <w:name w:val="Heading 3 Char"/>
    <w:basedOn w:val="DefaultParagraphFont"/>
    <w:link w:val="Heading3"/>
    <w:uiPriority w:val="9"/>
    <w:rsid w:val="00F00593"/>
    <w:rPr>
      <w:rFonts w:ascii="Arial" w:eastAsiaTheme="majorEastAsia" w:hAnsi="Arial" w:cstheme="majorBidi"/>
      <w:b/>
      <w:bCs/>
      <w:color w:val="F3901D"/>
      <w:sz w:val="24"/>
      <w:szCs w:val="24"/>
    </w:rPr>
  </w:style>
  <w:style w:type="character" w:styleId="PlaceholderText">
    <w:name w:val="Placeholder Text"/>
    <w:basedOn w:val="DefaultParagraphFont"/>
    <w:uiPriority w:val="99"/>
    <w:semiHidden/>
    <w:rsid w:val="003A0A55"/>
    <w:rPr>
      <w:color w:val="808080"/>
    </w:rPr>
  </w:style>
  <w:style w:type="character" w:customStyle="1" w:styleId="maintitle">
    <w:name w:val="maintitle"/>
    <w:basedOn w:val="DefaultParagraphFont"/>
    <w:rsid w:val="005373F3"/>
  </w:style>
  <w:style w:type="character" w:customStyle="1" w:styleId="Heading1Char">
    <w:name w:val="Heading 1 Char"/>
    <w:basedOn w:val="DefaultParagraphFont"/>
    <w:link w:val="Heading1"/>
    <w:uiPriority w:val="9"/>
    <w:rsid w:val="00B33037"/>
    <w:rPr>
      <w:rFonts w:asciiTheme="majorHAnsi" w:eastAsiaTheme="majorEastAsia" w:hAnsiTheme="majorHAnsi" w:cstheme="majorBidi"/>
      <w:b/>
      <w:bCs/>
      <w:color w:val="365F91" w:themeColor="accent1" w:themeShade="BF"/>
      <w:sz w:val="28"/>
      <w:szCs w:val="28"/>
    </w:rPr>
  </w:style>
  <w:style w:type="character" w:customStyle="1" w:styleId="BodyTextCharChar">
    <w:name w:val="Body Text Char Char"/>
    <w:rsid w:val="00CF6F4B"/>
    <w:rPr>
      <w:sz w:val="24"/>
      <w:szCs w:val="24"/>
      <w:lang w:val="en-US" w:eastAsia="en-US" w:bidi="ar-SA"/>
    </w:rPr>
  </w:style>
  <w:style w:type="character" w:customStyle="1" w:styleId="NORCInlineLevel3ItalicsNoBold">
    <w:name w:val="NORC Inline Level 3 (Italics No Bold)"/>
    <w:qFormat/>
    <w:rsid w:val="00CF6F4B"/>
    <w:rPr>
      <w:rFonts w:ascii="Arial Narrow" w:hAnsi="Arial Narrow"/>
      <w:b w:val="0"/>
      <w:i/>
      <w:sz w:val="24"/>
    </w:rPr>
  </w:style>
  <w:style w:type="paragraph" w:customStyle="1" w:styleId="H2">
    <w:name w:val="H2"/>
    <w:basedOn w:val="Normal"/>
    <w:next w:val="Normal"/>
    <w:uiPriority w:val="99"/>
    <w:rsid w:val="00B3277B"/>
    <w:pPr>
      <w:keepNext/>
      <w:autoSpaceDE w:val="0"/>
      <w:autoSpaceDN w:val="0"/>
      <w:adjustRightInd w:val="0"/>
      <w:spacing w:before="100" w:after="100"/>
      <w:outlineLvl w:val="2"/>
    </w:pPr>
    <w:rPr>
      <w:rFonts w:eastAsiaTheme="minorHAnsi"/>
      <w:b/>
      <w:bCs/>
      <w:sz w:val="36"/>
      <w:szCs w:val="36"/>
    </w:rPr>
  </w:style>
  <w:style w:type="table" w:customStyle="1" w:styleId="TableGridLight1">
    <w:name w:val="Table Grid Light1"/>
    <w:basedOn w:val="TableNormal"/>
    <w:uiPriority w:val="40"/>
    <w:rsid w:val="000068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B00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3C4A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D358B"/>
    <w:rPr>
      <w:color w:val="800080" w:themeColor="followedHyperlink"/>
      <w:u w:val="single"/>
    </w:rPr>
  </w:style>
  <w:style w:type="character" w:styleId="Emphasis">
    <w:name w:val="Emphasis"/>
    <w:basedOn w:val="DefaultParagraphFont"/>
    <w:uiPriority w:val="20"/>
    <w:qFormat/>
    <w:rsid w:val="00802044"/>
    <w:rPr>
      <w:b/>
      <w:bCs/>
      <w:i w:val="0"/>
      <w:iCs w:val="0"/>
    </w:rPr>
  </w:style>
  <w:style w:type="table" w:styleId="LightList">
    <w:name w:val="Light List"/>
    <w:basedOn w:val="TableNormal"/>
    <w:uiPriority w:val="61"/>
    <w:semiHidden/>
    <w:unhideWhenUsed/>
    <w:rsid w:val="0080204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
    <w:name w:val="Grid Table 1 Light"/>
    <w:basedOn w:val="TableNormal"/>
    <w:uiPriority w:val="46"/>
    <w:rsid w:val="0080204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6133B8"/>
    <w:pPr>
      <w:spacing w:after="0" w:line="240" w:lineRule="auto"/>
    </w:pPr>
    <w:rPr>
      <w:rFonts w:eastAsiaTheme="minorEastAsia"/>
    </w:rPr>
  </w:style>
  <w:style w:type="character" w:customStyle="1" w:styleId="NoSpacingChar">
    <w:name w:val="No Spacing Char"/>
    <w:basedOn w:val="DefaultParagraphFont"/>
    <w:link w:val="NoSpacing"/>
    <w:uiPriority w:val="1"/>
    <w:rsid w:val="006133B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30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00593"/>
    <w:pPr>
      <w:keepNext/>
      <w:keepLines/>
      <w:spacing w:line="360" w:lineRule="auto"/>
      <w:outlineLvl w:val="2"/>
    </w:pPr>
    <w:rPr>
      <w:rFonts w:ascii="Arial" w:eastAsiaTheme="majorEastAsia" w:hAnsi="Arial" w:cstheme="majorBidi"/>
      <w:b/>
      <w:bCs/>
      <w:color w:val="F390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rsid w:val="00421095"/>
    <w:rPr>
      <w:sz w:val="20"/>
      <w:szCs w:val="20"/>
    </w:rPr>
  </w:style>
  <w:style w:type="character" w:customStyle="1" w:styleId="FootnoteTextChar">
    <w:name w:val="Footnote Text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rsid w:val="00421095"/>
    <w:rPr>
      <w:rFonts w:cs="Times New Roman"/>
      <w:sz w:val="16"/>
    </w:rPr>
  </w:style>
  <w:style w:type="paragraph" w:styleId="CommentText">
    <w:name w:val="annotation text"/>
    <w:basedOn w:val="Normal"/>
    <w:link w:val="CommentTextChar"/>
    <w:uiPriority w:val="99"/>
    <w:rsid w:val="00421095"/>
    <w:rPr>
      <w:sz w:val="20"/>
      <w:szCs w:val="20"/>
    </w:rPr>
  </w:style>
  <w:style w:type="character" w:customStyle="1" w:styleId="CommentTextChar">
    <w:name w:val="Comment Text Char"/>
    <w:basedOn w:val="DefaultParagraphFont"/>
    <w:link w:val="CommentText"/>
    <w:uiPriority w:val="99"/>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BodyText">
    <w:name w:val="Body Text"/>
    <w:basedOn w:val="Normal"/>
    <w:link w:val="BodyTextChar"/>
    <w:uiPriority w:val="99"/>
    <w:unhideWhenUsed/>
    <w:rsid w:val="00657FA3"/>
    <w:pPr>
      <w:spacing w:after="240" w:line="360" w:lineRule="auto"/>
    </w:pPr>
    <w:rPr>
      <w:rFonts w:eastAsiaTheme="minorEastAsia"/>
      <w:sz w:val="22"/>
    </w:rPr>
  </w:style>
  <w:style w:type="character" w:customStyle="1" w:styleId="BodyTextChar">
    <w:name w:val="Body Text Char"/>
    <w:basedOn w:val="DefaultParagraphFont"/>
    <w:link w:val="BodyText"/>
    <w:uiPriority w:val="99"/>
    <w:rsid w:val="00657FA3"/>
    <w:rPr>
      <w:rFonts w:ascii="Times New Roman" w:eastAsiaTheme="minorEastAsia" w:hAnsi="Times New Roman" w:cs="Times New Roman"/>
      <w:szCs w:val="24"/>
    </w:rPr>
  </w:style>
  <w:style w:type="character" w:customStyle="1" w:styleId="Heading3Char">
    <w:name w:val="Heading 3 Char"/>
    <w:basedOn w:val="DefaultParagraphFont"/>
    <w:link w:val="Heading3"/>
    <w:uiPriority w:val="9"/>
    <w:rsid w:val="00F00593"/>
    <w:rPr>
      <w:rFonts w:ascii="Arial" w:eastAsiaTheme="majorEastAsia" w:hAnsi="Arial" w:cstheme="majorBidi"/>
      <w:b/>
      <w:bCs/>
      <w:color w:val="F3901D"/>
      <w:sz w:val="24"/>
      <w:szCs w:val="24"/>
    </w:rPr>
  </w:style>
  <w:style w:type="character" w:styleId="PlaceholderText">
    <w:name w:val="Placeholder Text"/>
    <w:basedOn w:val="DefaultParagraphFont"/>
    <w:uiPriority w:val="99"/>
    <w:semiHidden/>
    <w:rsid w:val="003A0A55"/>
    <w:rPr>
      <w:color w:val="808080"/>
    </w:rPr>
  </w:style>
  <w:style w:type="character" w:customStyle="1" w:styleId="maintitle">
    <w:name w:val="maintitle"/>
    <w:basedOn w:val="DefaultParagraphFont"/>
    <w:rsid w:val="005373F3"/>
  </w:style>
  <w:style w:type="character" w:customStyle="1" w:styleId="Heading1Char">
    <w:name w:val="Heading 1 Char"/>
    <w:basedOn w:val="DefaultParagraphFont"/>
    <w:link w:val="Heading1"/>
    <w:uiPriority w:val="9"/>
    <w:rsid w:val="00B33037"/>
    <w:rPr>
      <w:rFonts w:asciiTheme="majorHAnsi" w:eastAsiaTheme="majorEastAsia" w:hAnsiTheme="majorHAnsi" w:cstheme="majorBidi"/>
      <w:b/>
      <w:bCs/>
      <w:color w:val="365F91" w:themeColor="accent1" w:themeShade="BF"/>
      <w:sz w:val="28"/>
      <w:szCs w:val="28"/>
    </w:rPr>
  </w:style>
  <w:style w:type="character" w:customStyle="1" w:styleId="BodyTextCharChar">
    <w:name w:val="Body Text Char Char"/>
    <w:rsid w:val="00CF6F4B"/>
    <w:rPr>
      <w:sz w:val="24"/>
      <w:szCs w:val="24"/>
      <w:lang w:val="en-US" w:eastAsia="en-US" w:bidi="ar-SA"/>
    </w:rPr>
  </w:style>
  <w:style w:type="character" w:customStyle="1" w:styleId="NORCInlineLevel3ItalicsNoBold">
    <w:name w:val="NORC Inline Level 3 (Italics No Bold)"/>
    <w:qFormat/>
    <w:rsid w:val="00CF6F4B"/>
    <w:rPr>
      <w:rFonts w:ascii="Arial Narrow" w:hAnsi="Arial Narrow"/>
      <w:b w:val="0"/>
      <w:i/>
      <w:sz w:val="24"/>
    </w:rPr>
  </w:style>
  <w:style w:type="paragraph" w:customStyle="1" w:styleId="H2">
    <w:name w:val="H2"/>
    <w:basedOn w:val="Normal"/>
    <w:next w:val="Normal"/>
    <w:uiPriority w:val="99"/>
    <w:rsid w:val="00B3277B"/>
    <w:pPr>
      <w:keepNext/>
      <w:autoSpaceDE w:val="0"/>
      <w:autoSpaceDN w:val="0"/>
      <w:adjustRightInd w:val="0"/>
      <w:spacing w:before="100" w:after="100"/>
      <w:outlineLvl w:val="2"/>
    </w:pPr>
    <w:rPr>
      <w:rFonts w:eastAsiaTheme="minorHAnsi"/>
      <w:b/>
      <w:bCs/>
      <w:sz w:val="36"/>
      <w:szCs w:val="36"/>
    </w:rPr>
  </w:style>
  <w:style w:type="table" w:customStyle="1" w:styleId="TableGridLight1">
    <w:name w:val="Table Grid Light1"/>
    <w:basedOn w:val="TableNormal"/>
    <w:uiPriority w:val="40"/>
    <w:rsid w:val="000068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B00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3C4A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D358B"/>
    <w:rPr>
      <w:color w:val="800080" w:themeColor="followedHyperlink"/>
      <w:u w:val="single"/>
    </w:rPr>
  </w:style>
  <w:style w:type="character" w:styleId="Emphasis">
    <w:name w:val="Emphasis"/>
    <w:basedOn w:val="DefaultParagraphFont"/>
    <w:uiPriority w:val="20"/>
    <w:qFormat/>
    <w:rsid w:val="00802044"/>
    <w:rPr>
      <w:b/>
      <w:bCs/>
      <w:i w:val="0"/>
      <w:iCs w:val="0"/>
    </w:rPr>
  </w:style>
  <w:style w:type="table" w:styleId="LightList">
    <w:name w:val="Light List"/>
    <w:basedOn w:val="TableNormal"/>
    <w:uiPriority w:val="61"/>
    <w:semiHidden/>
    <w:unhideWhenUsed/>
    <w:rsid w:val="0080204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
    <w:name w:val="Grid Table 1 Light"/>
    <w:basedOn w:val="TableNormal"/>
    <w:uiPriority w:val="46"/>
    <w:rsid w:val="0080204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6133B8"/>
    <w:pPr>
      <w:spacing w:after="0" w:line="240" w:lineRule="auto"/>
    </w:pPr>
    <w:rPr>
      <w:rFonts w:eastAsiaTheme="minorEastAsia"/>
    </w:rPr>
  </w:style>
  <w:style w:type="character" w:customStyle="1" w:styleId="NoSpacingChar">
    <w:name w:val="No Spacing Char"/>
    <w:basedOn w:val="DefaultParagraphFont"/>
    <w:link w:val="NoSpacing"/>
    <w:uiPriority w:val="1"/>
    <w:rsid w:val="006133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3945">
      <w:bodyDiv w:val="1"/>
      <w:marLeft w:val="0"/>
      <w:marRight w:val="0"/>
      <w:marTop w:val="0"/>
      <w:marBottom w:val="0"/>
      <w:divBdr>
        <w:top w:val="none" w:sz="0" w:space="0" w:color="auto"/>
        <w:left w:val="none" w:sz="0" w:space="0" w:color="auto"/>
        <w:bottom w:val="none" w:sz="0" w:space="0" w:color="auto"/>
        <w:right w:val="none" w:sz="0" w:space="0" w:color="auto"/>
      </w:divBdr>
    </w:div>
    <w:div w:id="135224152">
      <w:bodyDiv w:val="1"/>
      <w:marLeft w:val="0"/>
      <w:marRight w:val="0"/>
      <w:marTop w:val="0"/>
      <w:marBottom w:val="0"/>
      <w:divBdr>
        <w:top w:val="none" w:sz="0" w:space="0" w:color="auto"/>
        <w:left w:val="none" w:sz="0" w:space="0" w:color="auto"/>
        <w:bottom w:val="none" w:sz="0" w:space="0" w:color="auto"/>
        <w:right w:val="none" w:sz="0" w:space="0" w:color="auto"/>
      </w:divBdr>
    </w:div>
    <w:div w:id="138037061">
      <w:bodyDiv w:val="1"/>
      <w:marLeft w:val="0"/>
      <w:marRight w:val="0"/>
      <w:marTop w:val="0"/>
      <w:marBottom w:val="0"/>
      <w:divBdr>
        <w:top w:val="none" w:sz="0" w:space="0" w:color="auto"/>
        <w:left w:val="none" w:sz="0" w:space="0" w:color="auto"/>
        <w:bottom w:val="none" w:sz="0" w:space="0" w:color="auto"/>
        <w:right w:val="none" w:sz="0" w:space="0" w:color="auto"/>
      </w:divBdr>
    </w:div>
    <w:div w:id="335763830">
      <w:bodyDiv w:val="1"/>
      <w:marLeft w:val="0"/>
      <w:marRight w:val="0"/>
      <w:marTop w:val="0"/>
      <w:marBottom w:val="0"/>
      <w:divBdr>
        <w:top w:val="none" w:sz="0" w:space="0" w:color="auto"/>
        <w:left w:val="none" w:sz="0" w:space="0" w:color="auto"/>
        <w:bottom w:val="none" w:sz="0" w:space="0" w:color="auto"/>
        <w:right w:val="none" w:sz="0" w:space="0" w:color="auto"/>
      </w:divBdr>
    </w:div>
    <w:div w:id="375158312">
      <w:bodyDiv w:val="1"/>
      <w:marLeft w:val="750"/>
      <w:marRight w:val="750"/>
      <w:marTop w:val="0"/>
      <w:marBottom w:val="0"/>
      <w:divBdr>
        <w:top w:val="none" w:sz="0" w:space="0" w:color="auto"/>
        <w:left w:val="none" w:sz="0" w:space="0" w:color="auto"/>
        <w:bottom w:val="none" w:sz="0" w:space="0" w:color="auto"/>
        <w:right w:val="none" w:sz="0" w:space="0" w:color="auto"/>
      </w:divBdr>
    </w:div>
    <w:div w:id="524758158">
      <w:bodyDiv w:val="1"/>
      <w:marLeft w:val="0"/>
      <w:marRight w:val="0"/>
      <w:marTop w:val="0"/>
      <w:marBottom w:val="0"/>
      <w:divBdr>
        <w:top w:val="none" w:sz="0" w:space="0" w:color="auto"/>
        <w:left w:val="none" w:sz="0" w:space="0" w:color="auto"/>
        <w:bottom w:val="none" w:sz="0" w:space="0" w:color="auto"/>
        <w:right w:val="none" w:sz="0" w:space="0" w:color="auto"/>
      </w:divBdr>
    </w:div>
    <w:div w:id="619075568">
      <w:bodyDiv w:val="1"/>
      <w:marLeft w:val="0"/>
      <w:marRight w:val="0"/>
      <w:marTop w:val="0"/>
      <w:marBottom w:val="0"/>
      <w:divBdr>
        <w:top w:val="none" w:sz="0" w:space="0" w:color="auto"/>
        <w:left w:val="none" w:sz="0" w:space="0" w:color="auto"/>
        <w:bottom w:val="none" w:sz="0" w:space="0" w:color="auto"/>
        <w:right w:val="none" w:sz="0" w:space="0" w:color="auto"/>
      </w:divBdr>
    </w:div>
    <w:div w:id="650447875">
      <w:bodyDiv w:val="1"/>
      <w:marLeft w:val="0"/>
      <w:marRight w:val="0"/>
      <w:marTop w:val="0"/>
      <w:marBottom w:val="0"/>
      <w:divBdr>
        <w:top w:val="none" w:sz="0" w:space="0" w:color="auto"/>
        <w:left w:val="none" w:sz="0" w:space="0" w:color="auto"/>
        <w:bottom w:val="none" w:sz="0" w:space="0" w:color="auto"/>
        <w:right w:val="none" w:sz="0" w:space="0" w:color="auto"/>
      </w:divBdr>
    </w:div>
    <w:div w:id="669452473">
      <w:bodyDiv w:val="1"/>
      <w:marLeft w:val="0"/>
      <w:marRight w:val="0"/>
      <w:marTop w:val="0"/>
      <w:marBottom w:val="0"/>
      <w:divBdr>
        <w:top w:val="none" w:sz="0" w:space="0" w:color="auto"/>
        <w:left w:val="none" w:sz="0" w:space="0" w:color="auto"/>
        <w:bottom w:val="none" w:sz="0" w:space="0" w:color="auto"/>
        <w:right w:val="none" w:sz="0" w:space="0" w:color="auto"/>
      </w:divBdr>
    </w:div>
    <w:div w:id="703949141">
      <w:bodyDiv w:val="1"/>
      <w:marLeft w:val="0"/>
      <w:marRight w:val="0"/>
      <w:marTop w:val="0"/>
      <w:marBottom w:val="0"/>
      <w:divBdr>
        <w:top w:val="none" w:sz="0" w:space="0" w:color="auto"/>
        <w:left w:val="none" w:sz="0" w:space="0" w:color="auto"/>
        <w:bottom w:val="none" w:sz="0" w:space="0" w:color="auto"/>
        <w:right w:val="none" w:sz="0" w:space="0" w:color="auto"/>
      </w:divBdr>
    </w:div>
    <w:div w:id="706224153">
      <w:bodyDiv w:val="1"/>
      <w:marLeft w:val="0"/>
      <w:marRight w:val="0"/>
      <w:marTop w:val="0"/>
      <w:marBottom w:val="0"/>
      <w:divBdr>
        <w:top w:val="none" w:sz="0" w:space="0" w:color="auto"/>
        <w:left w:val="none" w:sz="0" w:space="0" w:color="auto"/>
        <w:bottom w:val="none" w:sz="0" w:space="0" w:color="auto"/>
        <w:right w:val="none" w:sz="0" w:space="0" w:color="auto"/>
      </w:divBdr>
    </w:div>
    <w:div w:id="710149259">
      <w:bodyDiv w:val="1"/>
      <w:marLeft w:val="0"/>
      <w:marRight w:val="0"/>
      <w:marTop w:val="0"/>
      <w:marBottom w:val="0"/>
      <w:divBdr>
        <w:top w:val="none" w:sz="0" w:space="0" w:color="auto"/>
        <w:left w:val="none" w:sz="0" w:space="0" w:color="auto"/>
        <w:bottom w:val="none" w:sz="0" w:space="0" w:color="auto"/>
        <w:right w:val="none" w:sz="0" w:space="0" w:color="auto"/>
      </w:divBdr>
    </w:div>
    <w:div w:id="855315465">
      <w:bodyDiv w:val="1"/>
      <w:marLeft w:val="0"/>
      <w:marRight w:val="0"/>
      <w:marTop w:val="0"/>
      <w:marBottom w:val="0"/>
      <w:divBdr>
        <w:top w:val="none" w:sz="0" w:space="0" w:color="auto"/>
        <w:left w:val="none" w:sz="0" w:space="0" w:color="auto"/>
        <w:bottom w:val="none" w:sz="0" w:space="0" w:color="auto"/>
        <w:right w:val="none" w:sz="0" w:space="0" w:color="auto"/>
      </w:divBdr>
    </w:div>
    <w:div w:id="907885300">
      <w:bodyDiv w:val="1"/>
      <w:marLeft w:val="0"/>
      <w:marRight w:val="0"/>
      <w:marTop w:val="0"/>
      <w:marBottom w:val="0"/>
      <w:divBdr>
        <w:top w:val="none" w:sz="0" w:space="0" w:color="auto"/>
        <w:left w:val="none" w:sz="0" w:space="0" w:color="auto"/>
        <w:bottom w:val="none" w:sz="0" w:space="0" w:color="auto"/>
        <w:right w:val="none" w:sz="0" w:space="0" w:color="auto"/>
      </w:divBdr>
    </w:div>
    <w:div w:id="1027172767">
      <w:bodyDiv w:val="1"/>
      <w:marLeft w:val="0"/>
      <w:marRight w:val="0"/>
      <w:marTop w:val="0"/>
      <w:marBottom w:val="0"/>
      <w:divBdr>
        <w:top w:val="none" w:sz="0" w:space="0" w:color="auto"/>
        <w:left w:val="none" w:sz="0" w:space="0" w:color="auto"/>
        <w:bottom w:val="none" w:sz="0" w:space="0" w:color="auto"/>
        <w:right w:val="none" w:sz="0" w:space="0" w:color="auto"/>
      </w:divBdr>
    </w:div>
    <w:div w:id="1117945454">
      <w:bodyDiv w:val="1"/>
      <w:marLeft w:val="0"/>
      <w:marRight w:val="0"/>
      <w:marTop w:val="0"/>
      <w:marBottom w:val="0"/>
      <w:divBdr>
        <w:top w:val="none" w:sz="0" w:space="0" w:color="auto"/>
        <w:left w:val="none" w:sz="0" w:space="0" w:color="auto"/>
        <w:bottom w:val="none" w:sz="0" w:space="0" w:color="auto"/>
        <w:right w:val="none" w:sz="0" w:space="0" w:color="auto"/>
      </w:divBdr>
    </w:div>
    <w:div w:id="1123614810">
      <w:bodyDiv w:val="1"/>
      <w:marLeft w:val="0"/>
      <w:marRight w:val="0"/>
      <w:marTop w:val="0"/>
      <w:marBottom w:val="0"/>
      <w:divBdr>
        <w:top w:val="none" w:sz="0" w:space="0" w:color="auto"/>
        <w:left w:val="none" w:sz="0" w:space="0" w:color="auto"/>
        <w:bottom w:val="none" w:sz="0" w:space="0" w:color="auto"/>
        <w:right w:val="none" w:sz="0" w:space="0" w:color="auto"/>
      </w:divBdr>
    </w:div>
    <w:div w:id="1234705801">
      <w:bodyDiv w:val="1"/>
      <w:marLeft w:val="0"/>
      <w:marRight w:val="0"/>
      <w:marTop w:val="0"/>
      <w:marBottom w:val="0"/>
      <w:divBdr>
        <w:top w:val="none" w:sz="0" w:space="0" w:color="auto"/>
        <w:left w:val="none" w:sz="0" w:space="0" w:color="auto"/>
        <w:bottom w:val="none" w:sz="0" w:space="0" w:color="auto"/>
        <w:right w:val="none" w:sz="0" w:space="0" w:color="auto"/>
      </w:divBdr>
    </w:div>
    <w:div w:id="1308435524">
      <w:bodyDiv w:val="1"/>
      <w:marLeft w:val="0"/>
      <w:marRight w:val="0"/>
      <w:marTop w:val="0"/>
      <w:marBottom w:val="0"/>
      <w:divBdr>
        <w:top w:val="none" w:sz="0" w:space="0" w:color="auto"/>
        <w:left w:val="none" w:sz="0" w:space="0" w:color="auto"/>
        <w:bottom w:val="none" w:sz="0" w:space="0" w:color="auto"/>
        <w:right w:val="none" w:sz="0" w:space="0" w:color="auto"/>
      </w:divBdr>
    </w:div>
    <w:div w:id="1310130691">
      <w:bodyDiv w:val="1"/>
      <w:marLeft w:val="0"/>
      <w:marRight w:val="0"/>
      <w:marTop w:val="0"/>
      <w:marBottom w:val="0"/>
      <w:divBdr>
        <w:top w:val="none" w:sz="0" w:space="0" w:color="auto"/>
        <w:left w:val="none" w:sz="0" w:space="0" w:color="auto"/>
        <w:bottom w:val="none" w:sz="0" w:space="0" w:color="auto"/>
        <w:right w:val="none" w:sz="0" w:space="0" w:color="auto"/>
      </w:divBdr>
    </w:div>
    <w:div w:id="1339119017">
      <w:bodyDiv w:val="1"/>
      <w:marLeft w:val="0"/>
      <w:marRight w:val="0"/>
      <w:marTop w:val="0"/>
      <w:marBottom w:val="0"/>
      <w:divBdr>
        <w:top w:val="none" w:sz="0" w:space="0" w:color="auto"/>
        <w:left w:val="none" w:sz="0" w:space="0" w:color="auto"/>
        <w:bottom w:val="none" w:sz="0" w:space="0" w:color="auto"/>
        <w:right w:val="none" w:sz="0" w:space="0" w:color="auto"/>
      </w:divBdr>
    </w:div>
    <w:div w:id="1425571233">
      <w:bodyDiv w:val="1"/>
      <w:marLeft w:val="0"/>
      <w:marRight w:val="0"/>
      <w:marTop w:val="0"/>
      <w:marBottom w:val="0"/>
      <w:divBdr>
        <w:top w:val="none" w:sz="0" w:space="0" w:color="auto"/>
        <w:left w:val="none" w:sz="0" w:space="0" w:color="auto"/>
        <w:bottom w:val="none" w:sz="0" w:space="0" w:color="auto"/>
        <w:right w:val="none" w:sz="0" w:space="0" w:color="auto"/>
      </w:divBdr>
    </w:div>
    <w:div w:id="1614749697">
      <w:bodyDiv w:val="1"/>
      <w:marLeft w:val="0"/>
      <w:marRight w:val="0"/>
      <w:marTop w:val="0"/>
      <w:marBottom w:val="0"/>
      <w:divBdr>
        <w:top w:val="none" w:sz="0" w:space="0" w:color="auto"/>
        <w:left w:val="none" w:sz="0" w:space="0" w:color="auto"/>
        <w:bottom w:val="none" w:sz="0" w:space="0" w:color="auto"/>
        <w:right w:val="none" w:sz="0" w:space="0" w:color="auto"/>
      </w:divBdr>
    </w:div>
    <w:div w:id="1747606514">
      <w:bodyDiv w:val="1"/>
      <w:marLeft w:val="0"/>
      <w:marRight w:val="0"/>
      <w:marTop w:val="0"/>
      <w:marBottom w:val="0"/>
      <w:divBdr>
        <w:top w:val="none" w:sz="0" w:space="0" w:color="auto"/>
        <w:left w:val="none" w:sz="0" w:space="0" w:color="auto"/>
        <w:bottom w:val="none" w:sz="0" w:space="0" w:color="auto"/>
        <w:right w:val="none" w:sz="0" w:space="0" w:color="auto"/>
      </w:divBdr>
      <w:divsChild>
        <w:div w:id="1081441835">
          <w:marLeft w:val="0"/>
          <w:marRight w:val="0"/>
          <w:marTop w:val="0"/>
          <w:marBottom w:val="0"/>
          <w:divBdr>
            <w:top w:val="none" w:sz="0" w:space="0" w:color="auto"/>
            <w:left w:val="none" w:sz="0" w:space="0" w:color="auto"/>
            <w:bottom w:val="none" w:sz="0" w:space="0" w:color="auto"/>
            <w:right w:val="none" w:sz="0" w:space="0" w:color="auto"/>
          </w:divBdr>
          <w:divsChild>
            <w:div w:id="815684346">
              <w:marLeft w:val="0"/>
              <w:marRight w:val="0"/>
              <w:marTop w:val="0"/>
              <w:marBottom w:val="0"/>
              <w:divBdr>
                <w:top w:val="single" w:sz="6" w:space="0" w:color="CCCCCC"/>
                <w:left w:val="single" w:sz="6" w:space="0" w:color="CCCCCC"/>
                <w:bottom w:val="single" w:sz="2" w:space="0" w:color="CCCCCC"/>
                <w:right w:val="single" w:sz="6" w:space="0" w:color="CCCCCC"/>
              </w:divBdr>
              <w:divsChild>
                <w:div w:id="511534172">
                  <w:marLeft w:val="0"/>
                  <w:marRight w:val="0"/>
                  <w:marTop w:val="0"/>
                  <w:marBottom w:val="0"/>
                  <w:divBdr>
                    <w:top w:val="none" w:sz="0" w:space="0" w:color="auto"/>
                    <w:left w:val="none" w:sz="0" w:space="0" w:color="auto"/>
                    <w:bottom w:val="none" w:sz="0" w:space="0" w:color="auto"/>
                    <w:right w:val="none" w:sz="0" w:space="0" w:color="auto"/>
                  </w:divBdr>
                  <w:divsChild>
                    <w:div w:id="1421412343">
                      <w:marLeft w:val="0"/>
                      <w:marRight w:val="0"/>
                      <w:marTop w:val="0"/>
                      <w:marBottom w:val="0"/>
                      <w:divBdr>
                        <w:top w:val="none" w:sz="0" w:space="0" w:color="auto"/>
                        <w:left w:val="none" w:sz="0" w:space="0" w:color="auto"/>
                        <w:bottom w:val="none" w:sz="0" w:space="0" w:color="auto"/>
                        <w:right w:val="none" w:sz="0" w:space="0" w:color="auto"/>
                      </w:divBdr>
                      <w:divsChild>
                        <w:div w:id="737482892">
                          <w:marLeft w:val="0"/>
                          <w:marRight w:val="0"/>
                          <w:marTop w:val="0"/>
                          <w:marBottom w:val="0"/>
                          <w:divBdr>
                            <w:top w:val="none" w:sz="0" w:space="0" w:color="auto"/>
                            <w:left w:val="none" w:sz="0" w:space="0" w:color="auto"/>
                            <w:bottom w:val="single" w:sz="6" w:space="8" w:color="CCCCCC"/>
                            <w:right w:val="single" w:sz="6" w:space="15" w:color="CCCCCC"/>
                          </w:divBdr>
                          <w:divsChild>
                            <w:div w:id="739985354">
                              <w:marLeft w:val="0"/>
                              <w:marRight w:val="0"/>
                              <w:marTop w:val="0"/>
                              <w:marBottom w:val="0"/>
                              <w:divBdr>
                                <w:top w:val="none" w:sz="0" w:space="0" w:color="auto"/>
                                <w:left w:val="none" w:sz="0" w:space="0" w:color="auto"/>
                                <w:bottom w:val="none" w:sz="0" w:space="0" w:color="auto"/>
                                <w:right w:val="none" w:sz="0" w:space="0" w:color="auto"/>
                              </w:divBdr>
                              <w:divsChild>
                                <w:div w:id="20603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557614">
      <w:bodyDiv w:val="1"/>
      <w:marLeft w:val="0"/>
      <w:marRight w:val="0"/>
      <w:marTop w:val="0"/>
      <w:marBottom w:val="0"/>
      <w:divBdr>
        <w:top w:val="none" w:sz="0" w:space="0" w:color="auto"/>
        <w:left w:val="none" w:sz="0" w:space="0" w:color="auto"/>
        <w:bottom w:val="none" w:sz="0" w:space="0" w:color="auto"/>
        <w:right w:val="none" w:sz="0" w:space="0" w:color="auto"/>
      </w:divBdr>
    </w:div>
    <w:div w:id="1813789383">
      <w:bodyDiv w:val="1"/>
      <w:marLeft w:val="0"/>
      <w:marRight w:val="0"/>
      <w:marTop w:val="0"/>
      <w:marBottom w:val="0"/>
      <w:divBdr>
        <w:top w:val="none" w:sz="0" w:space="0" w:color="auto"/>
        <w:left w:val="none" w:sz="0" w:space="0" w:color="auto"/>
        <w:bottom w:val="none" w:sz="0" w:space="0" w:color="auto"/>
        <w:right w:val="none" w:sz="0" w:space="0" w:color="auto"/>
      </w:divBdr>
    </w:div>
    <w:div w:id="1814444890">
      <w:bodyDiv w:val="1"/>
      <w:marLeft w:val="0"/>
      <w:marRight w:val="0"/>
      <w:marTop w:val="0"/>
      <w:marBottom w:val="0"/>
      <w:divBdr>
        <w:top w:val="none" w:sz="0" w:space="0" w:color="auto"/>
        <w:left w:val="none" w:sz="0" w:space="0" w:color="auto"/>
        <w:bottom w:val="none" w:sz="0" w:space="0" w:color="auto"/>
        <w:right w:val="none" w:sz="0" w:space="0" w:color="auto"/>
      </w:divBdr>
    </w:div>
    <w:div w:id="1889293545">
      <w:bodyDiv w:val="1"/>
      <w:marLeft w:val="0"/>
      <w:marRight w:val="0"/>
      <w:marTop w:val="0"/>
      <w:marBottom w:val="0"/>
      <w:divBdr>
        <w:top w:val="none" w:sz="0" w:space="0" w:color="auto"/>
        <w:left w:val="none" w:sz="0" w:space="0" w:color="auto"/>
        <w:bottom w:val="none" w:sz="0" w:space="0" w:color="auto"/>
        <w:right w:val="none" w:sz="0" w:space="0" w:color="auto"/>
      </w:divBdr>
    </w:div>
    <w:div w:id="2041586190">
      <w:bodyDiv w:val="1"/>
      <w:marLeft w:val="0"/>
      <w:marRight w:val="0"/>
      <w:marTop w:val="0"/>
      <w:marBottom w:val="0"/>
      <w:divBdr>
        <w:top w:val="none" w:sz="0" w:space="0" w:color="auto"/>
        <w:left w:val="none" w:sz="0" w:space="0" w:color="auto"/>
        <w:bottom w:val="none" w:sz="0" w:space="0" w:color="auto"/>
        <w:right w:val="none" w:sz="0" w:space="0" w:color="auto"/>
      </w:divBdr>
    </w:div>
    <w:div w:id="21154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ose-Pamela@norc.org" TargetMode="External"/><Relationship Id="rId5" Type="http://schemas.microsoft.com/office/2007/relationships/stylesWithEffects" Target="stylesWithEffects.xml"/><Relationship Id="rId10" Type="http://schemas.openxmlformats.org/officeDocument/2006/relationships/hyperlink" Target="mailto:Steven.W.Perry@usdoj.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po.gov/fdsys/pkg/FR-2017-01-17/pdf/2017-009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Part A Supporting Statement…….....     Page 1 
Part B Collection of Information Employing Statistical Methods….   Page 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7FFB8-8C1A-4A97-B2E3-D7FD7259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6153</Words>
  <Characters>35077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CENSUS OF TRIBAL LAW ENFORCEMENT AGENCIES, 2019</vt:lpstr>
    </vt:vector>
  </TitlesOfParts>
  <Company>DOJ</Company>
  <LinksUpToDate>false</LinksUpToDate>
  <CharactersWithSpaces>41148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OF TRIBAL LAW ENFORCEMENT AGENCIES, 2019</dc:title>
  <dc:subject>Bureau of Justice Statistics</dc:subject>
  <dc:creator>Perry, Steven</dc:creator>
  <cp:lastModifiedBy>SYSTEM</cp:lastModifiedBy>
  <cp:revision>2</cp:revision>
  <cp:lastPrinted>2019-04-30T13:48:00Z</cp:lastPrinted>
  <dcterms:created xsi:type="dcterms:W3CDTF">2019-05-16T15:51:00Z</dcterms:created>
  <dcterms:modified xsi:type="dcterms:W3CDTF">2019-05-16T15:51:00Z</dcterms:modified>
</cp:coreProperties>
</file>