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9DB" w:rsidRPr="004E1167" w:rsidRDefault="007319DB" w:rsidP="007319DB">
      <w:pPr>
        <w:pStyle w:val="Title"/>
        <w:jc w:val="center"/>
      </w:pPr>
      <w:bookmarkStart w:id="0" w:name="_GoBack"/>
      <w:bookmarkEnd w:id="0"/>
      <w:r w:rsidRPr="004E1167">
        <w:t>Department of Justice</w:t>
      </w:r>
    </w:p>
    <w:p w:rsidR="007319DB" w:rsidRPr="004E1167" w:rsidRDefault="007319DB" w:rsidP="007319DB">
      <w:pPr>
        <w:pStyle w:val="Title"/>
        <w:jc w:val="center"/>
      </w:pPr>
      <w:r w:rsidRPr="004E1167">
        <w:t>Bureau of Alcohol, Tobacco, Firearms and Explosives</w:t>
      </w:r>
    </w:p>
    <w:p w:rsidR="007319DB" w:rsidRPr="004E1167" w:rsidRDefault="007319DB" w:rsidP="007319DB">
      <w:pPr>
        <w:pStyle w:val="Title"/>
        <w:jc w:val="center"/>
      </w:pPr>
      <w:r w:rsidRPr="004E1167">
        <w:t>Information Collection Request</w:t>
      </w:r>
    </w:p>
    <w:p w:rsidR="007319DB" w:rsidRPr="004E1167" w:rsidRDefault="007319DB" w:rsidP="007319DB">
      <w:pPr>
        <w:jc w:val="center"/>
      </w:pPr>
    </w:p>
    <w:p w:rsidR="007319DB" w:rsidRPr="004E1167" w:rsidRDefault="007319DB" w:rsidP="007319DB">
      <w:pPr>
        <w:pStyle w:val="Subtitle"/>
        <w:jc w:val="center"/>
      </w:pPr>
      <w:r w:rsidRPr="004E1167">
        <w:t>Appeals of Background Checks</w:t>
      </w:r>
    </w:p>
    <w:p w:rsidR="007319DB" w:rsidRPr="004E1167" w:rsidRDefault="007319DB" w:rsidP="007319DB">
      <w:pPr>
        <w:pStyle w:val="Subtitle"/>
        <w:jc w:val="center"/>
      </w:pPr>
      <w:r w:rsidRPr="004E1167">
        <w:t>O</w:t>
      </w:r>
      <w:r w:rsidR="00C2488C">
        <w:t>MB</w:t>
      </w:r>
      <w:r w:rsidRPr="004E1167">
        <w:t xml:space="preserve"> Number 1140-0081</w:t>
      </w:r>
    </w:p>
    <w:p w:rsidR="007319DB" w:rsidRPr="004E1167" w:rsidRDefault="007319DB" w:rsidP="007319DB">
      <w:pPr>
        <w:jc w:val="center"/>
      </w:pPr>
    </w:p>
    <w:p w:rsidR="007319DB" w:rsidRPr="004E1167" w:rsidRDefault="007319DB" w:rsidP="00187EB4">
      <w:pPr>
        <w:pStyle w:val="Heading1"/>
        <w:ind w:left="144"/>
        <w:rPr>
          <w:rFonts w:cs="Times New Roman"/>
        </w:rPr>
      </w:pPr>
      <w:r w:rsidRPr="004E1167">
        <w:rPr>
          <w:rFonts w:cs="Times New Roman"/>
        </w:rPr>
        <w:t>A.</w:t>
      </w:r>
      <w:r w:rsidRPr="004E1167">
        <w:rPr>
          <w:rFonts w:cs="Times New Roman"/>
        </w:rPr>
        <w:tab/>
        <w:t>Justification</w:t>
      </w:r>
    </w:p>
    <w:p w:rsidR="007319DB" w:rsidRPr="004E1167" w:rsidRDefault="007319DB" w:rsidP="007319DB">
      <w:pPr>
        <w:rPr>
          <w:b/>
          <w:bCs/>
        </w:rPr>
      </w:pPr>
    </w:p>
    <w:p w:rsidR="007319DB" w:rsidRPr="004E1167" w:rsidRDefault="007319DB" w:rsidP="00187EB4">
      <w:pPr>
        <w:tabs>
          <w:tab w:val="left" w:pos="1170"/>
        </w:tabs>
        <w:ind w:left="720"/>
        <w:rPr>
          <w:u w:val="single"/>
        </w:rPr>
      </w:pPr>
      <w:r w:rsidRPr="004E1167">
        <w:t>1.</w:t>
      </w:r>
      <w:r w:rsidRPr="004E1167">
        <w:tab/>
      </w:r>
      <w:r w:rsidRPr="004E1167">
        <w:rPr>
          <w:u w:val="single"/>
        </w:rPr>
        <w:t>Necessity of Information Collection</w:t>
      </w:r>
    </w:p>
    <w:p w:rsidR="007319DB" w:rsidRPr="004E1167" w:rsidRDefault="007319DB" w:rsidP="00187EB4">
      <w:pPr>
        <w:ind w:left="720" w:hanging="720"/>
      </w:pPr>
    </w:p>
    <w:p w:rsidR="007319DB" w:rsidRPr="004E1167" w:rsidRDefault="007319DB" w:rsidP="00187EB4">
      <w:pPr>
        <w:ind w:left="1170"/>
      </w:pPr>
      <w:r w:rsidRPr="004E1167">
        <w:t xml:space="preserve">ATF is </w:t>
      </w:r>
      <w:r w:rsidR="00CA5185">
        <w:t xml:space="preserve">responsible </w:t>
      </w:r>
      <w:r w:rsidRPr="004E1167">
        <w:t xml:space="preserve">for enforcing Title XI of the Organized Crime Control Act (the Act) of 1970 and implementing regulations contained </w:t>
      </w:r>
      <w:r w:rsidR="00B56782">
        <w:t xml:space="preserve">in </w:t>
      </w:r>
      <w:r w:rsidRPr="004E1167">
        <w:t>27 CFR, Part 555. Subtitle C of Public Law No.</w:t>
      </w:r>
      <w:r w:rsidR="00410486">
        <w:t xml:space="preserve"> </w:t>
      </w:r>
      <w:r w:rsidRPr="004E1167">
        <w:t>107-296, the Safe Explosives Act, enacted November 25, 2003, amended the Act to require that an application for a Federal explosives license or permit</w:t>
      </w:r>
      <w:r w:rsidR="00CA5185">
        <w:t xml:space="preserve">, also </w:t>
      </w:r>
      <w:r w:rsidRPr="004E1167">
        <w:t xml:space="preserve">include certain information </w:t>
      </w:r>
      <w:r w:rsidR="00CA5185">
        <w:t>about</w:t>
      </w:r>
      <w:r w:rsidR="00CA5185" w:rsidRPr="004E1167">
        <w:t xml:space="preserve"> </w:t>
      </w:r>
      <w:r w:rsidRPr="004E1167">
        <w:t xml:space="preserve">responsible persons and persons authorized to possess explosives </w:t>
      </w:r>
      <w:r w:rsidR="00B56782">
        <w:t>to fulfill their</w:t>
      </w:r>
      <w:r w:rsidRPr="004E1167">
        <w:t xml:space="preserve"> duties</w:t>
      </w:r>
      <w:r w:rsidR="00B56782">
        <w:t>,</w:t>
      </w:r>
      <w:r w:rsidRPr="004E1167">
        <w:t xml:space="preserve"> as an employee of the applicant.</w:t>
      </w:r>
      <w:r w:rsidR="00410486">
        <w:t xml:space="preserve"> </w:t>
      </w:r>
      <w:r w:rsidRPr="004E1167">
        <w:t xml:space="preserve">18 U.S.C. Section 843(h) requires the Attorney General to conduct background checks on the persons whose names and descriptions accompany the </w:t>
      </w:r>
      <w:r w:rsidR="00F9318D" w:rsidRPr="00F9318D">
        <w:t>Feder</w:t>
      </w:r>
      <w:r w:rsidR="00F9318D">
        <w:t>al explosives license or permit</w:t>
      </w:r>
      <w:r w:rsidR="00D37EC1">
        <w:t xml:space="preserve"> </w:t>
      </w:r>
      <w:r w:rsidRPr="004E1167">
        <w:t>applications.</w:t>
      </w:r>
      <w:r w:rsidR="00410486">
        <w:t xml:space="preserve"> </w:t>
      </w:r>
      <w:r w:rsidRPr="004E1167">
        <w:t xml:space="preserve">This section further </w:t>
      </w:r>
      <w:r w:rsidR="00FA0AAD">
        <w:t>obligates</w:t>
      </w:r>
      <w:r w:rsidR="00FA0AAD" w:rsidRPr="004E1167">
        <w:t xml:space="preserve"> </w:t>
      </w:r>
      <w:r w:rsidRPr="004E1167">
        <w:t xml:space="preserve">that the Attorney General </w:t>
      </w:r>
      <w:r w:rsidR="00D37EC1" w:rsidRPr="004E1167">
        <w:t>provide</w:t>
      </w:r>
      <w:r w:rsidRPr="004E1167">
        <w:t xml:space="preserve"> notification </w:t>
      </w:r>
      <w:r w:rsidR="00D37EC1">
        <w:t xml:space="preserve">of disability </w:t>
      </w:r>
      <w:r w:rsidRPr="004E1167">
        <w:t>to any</w:t>
      </w:r>
      <w:r w:rsidR="00D37EC1">
        <w:t>one</w:t>
      </w:r>
      <w:r w:rsidRPr="004E1167">
        <w:t xml:space="preserve"> </w:t>
      </w:r>
      <w:r w:rsidR="00D37EC1">
        <w:t xml:space="preserve">who is </w:t>
      </w:r>
      <w:r w:rsidRPr="004E1167">
        <w:t xml:space="preserve">determined to be </w:t>
      </w:r>
      <w:r w:rsidR="00D37EC1">
        <w:t xml:space="preserve">so </w:t>
      </w:r>
      <w:r w:rsidRPr="004E1167">
        <w:t xml:space="preserve">under Section 842(i) of this Chapter, as well as information </w:t>
      </w:r>
      <w:r w:rsidR="00D37EC1">
        <w:t>about</w:t>
      </w:r>
      <w:r w:rsidR="00D37EC1" w:rsidRPr="004E1167">
        <w:t xml:space="preserve"> </w:t>
      </w:r>
      <w:r w:rsidRPr="004E1167">
        <w:t xml:space="preserve">how </w:t>
      </w:r>
      <w:r w:rsidR="00FA0AAD">
        <w:t xml:space="preserve">individuals </w:t>
      </w:r>
      <w:r w:rsidR="00D37EC1">
        <w:t>can apply for relief from</w:t>
      </w:r>
      <w:r w:rsidRPr="004E1167">
        <w:t xml:space="preserve"> </w:t>
      </w:r>
      <w:r w:rsidR="00FA0AAD">
        <w:t xml:space="preserve">a </w:t>
      </w:r>
      <w:r w:rsidRPr="004E1167">
        <w:t>disability</w:t>
      </w:r>
      <w:r w:rsidR="00FA0AAD">
        <w:t xml:space="preserve"> determination</w:t>
      </w:r>
      <w:r w:rsidRPr="004E1167">
        <w:t xml:space="preserve">. The regulations at 27 CFR, Section 555.33 </w:t>
      </w:r>
      <w:r w:rsidR="00D37EC1">
        <w:t xml:space="preserve">also </w:t>
      </w:r>
      <w:r w:rsidRPr="004E1167">
        <w:t>state</w:t>
      </w:r>
      <w:r w:rsidR="00D37EC1">
        <w:t>s</w:t>
      </w:r>
      <w:r w:rsidRPr="004E1167">
        <w:t xml:space="preserve"> that an</w:t>
      </w:r>
      <w:r w:rsidR="00FA0AAD">
        <w:t xml:space="preserve">yone </w:t>
      </w:r>
      <w:r w:rsidRPr="004E1167">
        <w:t xml:space="preserve">who wishes to challenge a </w:t>
      </w:r>
      <w:r w:rsidR="00FA0AAD">
        <w:t xml:space="preserve">disability </w:t>
      </w:r>
      <w:r w:rsidRPr="004E1167">
        <w:t xml:space="preserve">determination may direct their </w:t>
      </w:r>
      <w:r w:rsidR="00F9318D">
        <w:t>appeal</w:t>
      </w:r>
      <w:r w:rsidR="00F9318D" w:rsidRPr="004E1167">
        <w:t xml:space="preserve"> </w:t>
      </w:r>
      <w:r w:rsidRPr="004E1167">
        <w:t>to the Director.</w:t>
      </w:r>
      <w:r w:rsidR="00FA0AAD">
        <w:t xml:space="preserve"> </w:t>
      </w:r>
      <w:r w:rsidRPr="004E1167">
        <w:t>Further, such appeals must be accompanied by two properly completed fingerprint cards.</w:t>
      </w:r>
    </w:p>
    <w:p w:rsidR="007319DB" w:rsidRPr="004E1167" w:rsidRDefault="007319DB" w:rsidP="00187EB4">
      <w:pPr>
        <w:ind w:left="720"/>
      </w:pPr>
    </w:p>
    <w:p w:rsidR="007319DB" w:rsidRPr="004E1167" w:rsidRDefault="007319DB" w:rsidP="00187EB4">
      <w:pPr>
        <w:ind w:left="1170" w:hanging="450"/>
      </w:pPr>
      <w:r w:rsidRPr="004E1167">
        <w:t>2.</w:t>
      </w:r>
      <w:r w:rsidRPr="004E1167">
        <w:tab/>
      </w:r>
      <w:r w:rsidRPr="004E1167">
        <w:rPr>
          <w:u w:val="single"/>
        </w:rPr>
        <w:t>Needs and Uses</w:t>
      </w:r>
    </w:p>
    <w:p w:rsidR="007319DB" w:rsidRPr="004E1167" w:rsidRDefault="007319DB" w:rsidP="00187EB4">
      <w:pPr>
        <w:ind w:left="1170" w:hanging="450"/>
      </w:pPr>
    </w:p>
    <w:p w:rsidR="007319DB" w:rsidRPr="004E1167" w:rsidRDefault="007319DB" w:rsidP="00187EB4">
      <w:pPr>
        <w:tabs>
          <w:tab w:val="left" w:pos="1170"/>
        </w:tabs>
        <w:ind w:left="1170"/>
      </w:pPr>
      <w:r w:rsidRPr="004E1167">
        <w:t xml:space="preserve">This information </w:t>
      </w:r>
      <w:r w:rsidR="00FA0AAD">
        <w:t xml:space="preserve">collection </w:t>
      </w:r>
      <w:r w:rsidRPr="004E1167">
        <w:t>will be used by ATF to reexamine determinations of disability</w:t>
      </w:r>
      <w:r w:rsidR="00FA0AAD">
        <w:t xml:space="preserve"> and</w:t>
      </w:r>
      <w:r w:rsidRPr="004E1167">
        <w:t xml:space="preserve"> accompanying applications for explosives licenses and permits. A responsible person or employee may challenge the adverse determination set out in the letter of denial in writing</w:t>
      </w:r>
      <w:r w:rsidR="00FA0AAD">
        <w:t xml:space="preserve">, </w:t>
      </w:r>
      <w:r w:rsidRPr="004E1167">
        <w:t xml:space="preserve">within 45 days of </w:t>
      </w:r>
      <w:r w:rsidR="0005435C">
        <w:t xml:space="preserve">the </w:t>
      </w:r>
      <w:r w:rsidRPr="004E1167">
        <w:t xml:space="preserve">issuance of </w:t>
      </w:r>
      <w:r w:rsidR="00FA0AAD">
        <w:t>such</w:t>
      </w:r>
      <w:r w:rsidR="00FA0AAD" w:rsidRPr="004E1167">
        <w:t xml:space="preserve"> </w:t>
      </w:r>
      <w:r w:rsidRPr="004E1167">
        <w:t>determination</w:t>
      </w:r>
      <w:r w:rsidR="00410486">
        <w:t xml:space="preserve">. Specifically, they may </w:t>
      </w:r>
      <w:r w:rsidRPr="004E1167">
        <w:t xml:space="preserve">direct </w:t>
      </w:r>
      <w:r w:rsidR="00410486">
        <w:t xml:space="preserve">their </w:t>
      </w:r>
      <w:r w:rsidRPr="004E1167">
        <w:t>challenge</w:t>
      </w:r>
      <w:r w:rsidR="00410486">
        <w:t xml:space="preserve"> to the Director, about</w:t>
      </w:r>
      <w:r w:rsidRPr="004E1167">
        <w:t xml:space="preserve"> the basis for the adverse determination, or the accuracy of the record upon which the adverse determination is based. The appeal request must include appropriate documentation or record(s) establishing the legal and/or factual basis for the challenge. Any record or document </w:t>
      </w:r>
      <w:r w:rsidR="00410486">
        <w:t xml:space="preserve">from </w:t>
      </w:r>
      <w:r w:rsidRPr="004E1167">
        <w:t>a court or other governmental entity or official furnished in support of an appeal</w:t>
      </w:r>
      <w:r w:rsidR="00FA0AAD">
        <w:t>,</w:t>
      </w:r>
      <w:r w:rsidRPr="004E1167">
        <w:t xml:space="preserve"> must be certified as a true copy.  In the case of an employee or responsible person who did not</w:t>
      </w:r>
      <w:r w:rsidR="00FA0AAD">
        <w:t xml:space="preserve"> previously</w:t>
      </w:r>
      <w:r w:rsidRPr="004E1167">
        <w:t xml:space="preserve"> submit fingerprints</w:t>
      </w:r>
      <w:r w:rsidR="00FA0AAD">
        <w:t xml:space="preserve"> to accompany their initial application</w:t>
      </w:r>
      <w:r w:rsidRPr="004E1167">
        <w:t>,</w:t>
      </w:r>
      <w:r w:rsidR="00FA0AAD">
        <w:t xml:space="preserve"> they must include</w:t>
      </w:r>
      <w:r w:rsidR="00FA0AAD" w:rsidRPr="00FA0AAD">
        <w:t xml:space="preserve"> two properly completed FBI Forms FD-258 (fingerprint card</w:t>
      </w:r>
      <w:r w:rsidR="00FA0AAD">
        <w:t>s) with</w:t>
      </w:r>
      <w:r w:rsidR="00FA0AAD" w:rsidRPr="00FA0AAD" w:rsidDel="00410486">
        <w:t xml:space="preserve"> </w:t>
      </w:r>
      <w:r w:rsidR="00410486">
        <w:t xml:space="preserve">their </w:t>
      </w:r>
      <w:r w:rsidRPr="004E1167">
        <w:t xml:space="preserve">appeal </w:t>
      </w:r>
      <w:r w:rsidR="00F9318D">
        <w:t>application</w:t>
      </w:r>
      <w:r w:rsidRPr="004E1167">
        <w:t xml:space="preserve">.  The Director </w:t>
      </w:r>
      <w:r w:rsidR="00FA0AAD">
        <w:t xml:space="preserve">must </w:t>
      </w:r>
      <w:r w:rsidRPr="004E1167">
        <w:t xml:space="preserve">advise the </w:t>
      </w:r>
      <w:r w:rsidR="00FA0AAD">
        <w:t xml:space="preserve">appellant </w:t>
      </w:r>
      <w:r w:rsidRPr="004E1167">
        <w:t xml:space="preserve">in writing </w:t>
      </w:r>
      <w:r w:rsidR="00410486">
        <w:t>about</w:t>
      </w:r>
      <w:r w:rsidR="00410486" w:rsidRPr="004E1167">
        <w:t xml:space="preserve"> </w:t>
      </w:r>
      <w:r w:rsidRPr="004E1167">
        <w:t>his decision</w:t>
      </w:r>
      <w:r w:rsidR="00FA0AAD">
        <w:t xml:space="preserve"> regarding an appeal application</w:t>
      </w:r>
      <w:r w:rsidR="0005435C">
        <w:t>,</w:t>
      </w:r>
      <w:r w:rsidRPr="004E1167">
        <w:t xml:space="preserve"> and</w:t>
      </w:r>
      <w:r w:rsidR="00FA0AAD">
        <w:t xml:space="preserve"> the basis</w:t>
      </w:r>
      <w:r w:rsidRPr="004E1167">
        <w:t xml:space="preserve"> for </w:t>
      </w:r>
      <w:r w:rsidR="00FA0AAD">
        <w:t xml:space="preserve">his </w:t>
      </w:r>
      <w:r w:rsidRPr="004E1167">
        <w:t>decision.</w:t>
      </w:r>
    </w:p>
    <w:p w:rsidR="007319DB" w:rsidRPr="004E1167" w:rsidRDefault="007319DB" w:rsidP="00187EB4">
      <w:pPr>
        <w:ind w:left="720"/>
      </w:pPr>
    </w:p>
    <w:p w:rsidR="007319DB" w:rsidRPr="004E1167" w:rsidRDefault="007319DB" w:rsidP="00187EB4">
      <w:pPr>
        <w:ind w:left="1170" w:hanging="450"/>
      </w:pPr>
      <w:r w:rsidRPr="004E1167">
        <w:lastRenderedPageBreak/>
        <w:t>3.</w:t>
      </w:r>
      <w:r w:rsidRPr="004E1167">
        <w:tab/>
      </w:r>
      <w:r w:rsidRPr="004E1167">
        <w:rPr>
          <w:u w:val="single"/>
        </w:rPr>
        <w:t>Use of Information Technology</w:t>
      </w:r>
    </w:p>
    <w:p w:rsidR="007319DB" w:rsidRPr="004E1167" w:rsidRDefault="007319DB" w:rsidP="00187EB4">
      <w:pPr>
        <w:ind w:left="1170" w:hanging="450"/>
      </w:pPr>
    </w:p>
    <w:p w:rsidR="007319DB" w:rsidRPr="004E1167" w:rsidRDefault="007319DB" w:rsidP="00187EB4">
      <w:pPr>
        <w:ind w:left="1170"/>
      </w:pPr>
      <w:r w:rsidRPr="004E1167">
        <w:t>Submissions will contain certified copies of court documents and fingerprint cards. Therefore, it is impractical to use automated, electronic, or other mechanical collection techniques.</w:t>
      </w:r>
    </w:p>
    <w:p w:rsidR="007319DB" w:rsidRPr="004E1167" w:rsidRDefault="007319DB" w:rsidP="00187EB4">
      <w:pPr>
        <w:ind w:left="1170" w:hanging="450"/>
      </w:pPr>
    </w:p>
    <w:p w:rsidR="007319DB" w:rsidRPr="004E1167" w:rsidRDefault="007319DB" w:rsidP="00187EB4">
      <w:pPr>
        <w:ind w:left="1170" w:hanging="450"/>
        <w:rPr>
          <w:u w:val="single"/>
        </w:rPr>
      </w:pPr>
      <w:r w:rsidRPr="004E1167">
        <w:t>4.</w:t>
      </w:r>
      <w:r w:rsidRPr="004E1167">
        <w:tab/>
      </w:r>
      <w:r w:rsidRPr="004E1167">
        <w:rPr>
          <w:u w:val="single"/>
        </w:rPr>
        <w:t>Efforts to Identify Duplication</w:t>
      </w:r>
    </w:p>
    <w:p w:rsidR="007319DB" w:rsidRPr="004E1167" w:rsidRDefault="007319DB" w:rsidP="00187EB4">
      <w:pPr>
        <w:ind w:left="1170" w:hanging="450"/>
      </w:pPr>
    </w:p>
    <w:p w:rsidR="007319DB" w:rsidRPr="004E1167" w:rsidRDefault="007319DB" w:rsidP="00187EB4">
      <w:pPr>
        <w:ind w:left="1170"/>
      </w:pPr>
      <w:r w:rsidRPr="004E1167">
        <w:t>ATF uses a uniform subject classification system to identify duplication and to ensure that any similar information already available cannot be used or modified for use for the purpose of this information collection.</w:t>
      </w:r>
    </w:p>
    <w:p w:rsidR="007319DB" w:rsidRPr="004E1167" w:rsidRDefault="007319DB" w:rsidP="00187EB4">
      <w:pPr>
        <w:ind w:left="1170" w:hanging="450"/>
      </w:pPr>
    </w:p>
    <w:p w:rsidR="007319DB" w:rsidRPr="004E1167" w:rsidRDefault="007319DB" w:rsidP="00187EB4">
      <w:pPr>
        <w:ind w:left="1170" w:hanging="450"/>
      </w:pPr>
      <w:r w:rsidRPr="004E1167">
        <w:t>5.</w:t>
      </w:r>
      <w:r w:rsidRPr="004E1167">
        <w:tab/>
      </w:r>
      <w:r w:rsidRPr="004E1167">
        <w:rPr>
          <w:u w:val="single"/>
        </w:rPr>
        <w:t>Minimizing Burden on Small Businesses</w:t>
      </w:r>
    </w:p>
    <w:p w:rsidR="007319DB" w:rsidRPr="004E1167" w:rsidRDefault="007319DB" w:rsidP="00187EB4">
      <w:pPr>
        <w:ind w:left="1170" w:hanging="450"/>
      </w:pPr>
    </w:p>
    <w:p w:rsidR="007319DB" w:rsidRPr="004E1167" w:rsidRDefault="007319DB" w:rsidP="00187EB4">
      <w:pPr>
        <w:ind w:left="1170"/>
      </w:pPr>
      <w:r w:rsidRPr="004E1167">
        <w:t>This collection will not affect small businesses.</w:t>
      </w:r>
    </w:p>
    <w:p w:rsidR="007319DB" w:rsidRPr="004E1167" w:rsidRDefault="007319DB" w:rsidP="00187EB4">
      <w:pPr>
        <w:ind w:left="1170" w:hanging="450"/>
      </w:pPr>
    </w:p>
    <w:p w:rsidR="007319DB" w:rsidRPr="004E1167" w:rsidRDefault="007319DB" w:rsidP="00187EB4">
      <w:pPr>
        <w:ind w:left="1170" w:hanging="450"/>
      </w:pPr>
      <w:r w:rsidRPr="004E1167">
        <w:t>6.</w:t>
      </w:r>
      <w:r w:rsidRPr="004E1167">
        <w:tab/>
      </w:r>
      <w:r w:rsidRPr="004E1167">
        <w:rPr>
          <w:u w:val="single"/>
        </w:rPr>
        <w:t>Consequences of not conducting or less frequent Collection</w:t>
      </w:r>
    </w:p>
    <w:p w:rsidR="007319DB" w:rsidRPr="004E1167" w:rsidRDefault="007319DB" w:rsidP="00187EB4">
      <w:pPr>
        <w:ind w:left="1170" w:hanging="450"/>
      </w:pPr>
    </w:p>
    <w:p w:rsidR="007319DB" w:rsidRPr="004E1167" w:rsidRDefault="007319DB" w:rsidP="00187EB4">
      <w:pPr>
        <w:ind w:left="1170"/>
      </w:pPr>
      <w:r w:rsidRPr="004E1167">
        <w:t xml:space="preserve">This collection allows applicants, employees, or other affected personnel the opportunity to appeal the results of background checks. Without this </w:t>
      </w:r>
      <w:r w:rsidR="008E5958" w:rsidRPr="004E1167">
        <w:t>collection,</w:t>
      </w:r>
      <w:r w:rsidRPr="004E1167">
        <w:t xml:space="preserve"> there would </w:t>
      </w:r>
      <w:r w:rsidR="006E6465">
        <w:t>not be</w:t>
      </w:r>
      <w:r w:rsidRPr="004E1167">
        <w:t xml:space="preserve"> a second opportunity </w:t>
      </w:r>
      <w:r w:rsidR="008E5958">
        <w:t xml:space="preserve">for individuals to apply </w:t>
      </w:r>
      <w:r w:rsidRPr="004E1167">
        <w:t>to possess explosive materials.</w:t>
      </w:r>
    </w:p>
    <w:p w:rsidR="007319DB" w:rsidRPr="004E1167" w:rsidRDefault="007319DB" w:rsidP="00187EB4">
      <w:pPr>
        <w:ind w:left="1170" w:hanging="450"/>
      </w:pPr>
    </w:p>
    <w:p w:rsidR="007319DB" w:rsidRPr="004E1167" w:rsidRDefault="007319DB" w:rsidP="00187EB4">
      <w:pPr>
        <w:ind w:left="1170" w:hanging="450"/>
      </w:pPr>
      <w:r w:rsidRPr="004E1167">
        <w:t>7.</w:t>
      </w:r>
      <w:r w:rsidRPr="004E1167">
        <w:tab/>
      </w:r>
      <w:r w:rsidRPr="004E1167">
        <w:rPr>
          <w:u w:val="single"/>
        </w:rPr>
        <w:t>Special Circumstances</w:t>
      </w:r>
    </w:p>
    <w:p w:rsidR="007319DB" w:rsidRPr="004E1167" w:rsidRDefault="007319DB" w:rsidP="00187EB4">
      <w:pPr>
        <w:ind w:left="1170" w:hanging="450"/>
      </w:pPr>
    </w:p>
    <w:p w:rsidR="007319DB" w:rsidRPr="004E1167" w:rsidRDefault="007319DB" w:rsidP="00187EB4">
      <w:pPr>
        <w:ind w:left="1170"/>
      </w:pPr>
      <w:r w:rsidRPr="004E1167">
        <w:t>There are no special circumstances regarding this collection.</w:t>
      </w:r>
    </w:p>
    <w:p w:rsidR="007319DB" w:rsidRPr="004E1167" w:rsidRDefault="007319DB" w:rsidP="00187EB4">
      <w:pPr>
        <w:ind w:left="1170" w:hanging="450"/>
      </w:pPr>
    </w:p>
    <w:p w:rsidR="007319DB" w:rsidRPr="004E1167" w:rsidRDefault="007319DB" w:rsidP="00187EB4">
      <w:pPr>
        <w:ind w:left="1170" w:hanging="450"/>
        <w:rPr>
          <w:u w:val="single"/>
        </w:rPr>
      </w:pPr>
      <w:r w:rsidRPr="004E1167">
        <w:t>8.</w:t>
      </w:r>
      <w:r w:rsidRPr="004E1167">
        <w:tab/>
      </w:r>
      <w:r w:rsidRPr="004E1167">
        <w:rPr>
          <w:u w:val="single"/>
        </w:rPr>
        <w:t>Public Comments and Consultations</w:t>
      </w:r>
    </w:p>
    <w:p w:rsidR="007319DB" w:rsidRPr="004E1167" w:rsidRDefault="007319DB" w:rsidP="00187EB4">
      <w:pPr>
        <w:ind w:left="1170" w:hanging="450"/>
      </w:pPr>
    </w:p>
    <w:p w:rsidR="006E6465" w:rsidRDefault="00B629A0" w:rsidP="00187EB4">
      <w:pPr>
        <w:ind w:left="1170"/>
      </w:pPr>
      <w:r>
        <w:t xml:space="preserve">No comments were received during </w:t>
      </w:r>
      <w:r w:rsidR="00787025">
        <w:t>either</w:t>
      </w:r>
      <w:r w:rsidR="002A18FA">
        <w:t xml:space="preserve"> </w:t>
      </w:r>
      <w:r>
        <w:t xml:space="preserve">the </w:t>
      </w:r>
      <w:r w:rsidR="007319DB" w:rsidRPr="004E1167">
        <w:t>60-day</w:t>
      </w:r>
      <w:r w:rsidR="002A18FA">
        <w:t xml:space="preserve"> </w:t>
      </w:r>
      <w:r w:rsidR="00787025">
        <w:t>or</w:t>
      </w:r>
      <w:r w:rsidR="002A18FA">
        <w:t xml:space="preserve"> 30-day</w:t>
      </w:r>
      <w:r w:rsidR="007319DB" w:rsidRPr="004E1167">
        <w:t xml:space="preserve"> </w:t>
      </w:r>
      <w:r>
        <w:t>F</w:t>
      </w:r>
      <w:r w:rsidR="00AB4297">
        <w:t xml:space="preserve">ederal </w:t>
      </w:r>
      <w:r>
        <w:t>R</w:t>
      </w:r>
      <w:r w:rsidR="00AB4297">
        <w:t>egister n</w:t>
      </w:r>
      <w:r>
        <w:t>otice period</w:t>
      </w:r>
      <w:r w:rsidR="00787025">
        <w:t>s.</w:t>
      </w:r>
      <w:r>
        <w:t xml:space="preserve"> </w:t>
      </w:r>
    </w:p>
    <w:p w:rsidR="007319DB" w:rsidRPr="004E1167" w:rsidRDefault="007319DB" w:rsidP="00187EB4">
      <w:pPr>
        <w:ind w:left="1170" w:hanging="450"/>
      </w:pPr>
    </w:p>
    <w:p w:rsidR="007319DB" w:rsidRPr="004E1167" w:rsidRDefault="007319DB" w:rsidP="00187EB4">
      <w:pPr>
        <w:ind w:left="1170" w:hanging="450"/>
      </w:pPr>
      <w:r w:rsidRPr="004E1167">
        <w:t>9.</w:t>
      </w:r>
      <w:r w:rsidRPr="004E1167">
        <w:tab/>
      </w:r>
      <w:r w:rsidRPr="004E1167">
        <w:rPr>
          <w:u w:val="single"/>
        </w:rPr>
        <w:t>Provision of Payments or Gifts to Respondents</w:t>
      </w:r>
    </w:p>
    <w:p w:rsidR="007319DB" w:rsidRPr="004E1167" w:rsidRDefault="007319DB" w:rsidP="00187EB4">
      <w:pPr>
        <w:ind w:left="1170" w:hanging="450"/>
      </w:pPr>
    </w:p>
    <w:p w:rsidR="007319DB" w:rsidRPr="004E1167" w:rsidRDefault="007319DB" w:rsidP="00187EB4">
      <w:pPr>
        <w:ind w:left="1170"/>
      </w:pPr>
      <w:r w:rsidRPr="004E1167">
        <w:t>No payment or gift is associated with this collection.</w:t>
      </w:r>
    </w:p>
    <w:p w:rsidR="007319DB" w:rsidRPr="004E1167" w:rsidRDefault="007319DB" w:rsidP="00187EB4">
      <w:pPr>
        <w:ind w:left="1170" w:hanging="450"/>
      </w:pPr>
    </w:p>
    <w:p w:rsidR="007319DB" w:rsidRPr="004E1167" w:rsidRDefault="007319DB" w:rsidP="00187EB4">
      <w:pPr>
        <w:ind w:left="1170" w:hanging="450"/>
        <w:rPr>
          <w:u w:val="single"/>
        </w:rPr>
      </w:pPr>
      <w:r w:rsidRPr="004E1167">
        <w:t xml:space="preserve">10. </w:t>
      </w:r>
      <w:r w:rsidRPr="004E1167">
        <w:tab/>
      </w:r>
      <w:r w:rsidRPr="004E1167">
        <w:rPr>
          <w:u w:val="single"/>
        </w:rPr>
        <w:t>Assurance of Confidentiality</w:t>
      </w:r>
    </w:p>
    <w:p w:rsidR="007319DB" w:rsidRPr="004E1167" w:rsidRDefault="007319DB" w:rsidP="00187EB4">
      <w:pPr>
        <w:ind w:left="1170" w:hanging="450"/>
        <w:rPr>
          <w:u w:val="single"/>
        </w:rPr>
      </w:pPr>
    </w:p>
    <w:p w:rsidR="007319DB" w:rsidRPr="004E1167" w:rsidRDefault="007319DB" w:rsidP="00187EB4">
      <w:pPr>
        <w:ind w:left="1170"/>
      </w:pPr>
      <w:r w:rsidRPr="004E1167">
        <w:t>All documentation related to this information collection will be kept in a secured location. Confidentiality is not assured.</w:t>
      </w:r>
    </w:p>
    <w:p w:rsidR="007319DB" w:rsidRPr="004E1167" w:rsidRDefault="007319DB" w:rsidP="00187EB4">
      <w:pPr>
        <w:ind w:left="1170" w:hanging="450"/>
      </w:pPr>
    </w:p>
    <w:p w:rsidR="007319DB" w:rsidRPr="004E1167" w:rsidRDefault="007319DB" w:rsidP="00187EB4">
      <w:pPr>
        <w:ind w:left="1170" w:hanging="450"/>
        <w:rPr>
          <w:u w:val="single"/>
        </w:rPr>
      </w:pPr>
      <w:r w:rsidRPr="004E1167">
        <w:t>11.</w:t>
      </w:r>
      <w:r w:rsidRPr="004E1167">
        <w:tab/>
      </w:r>
      <w:r w:rsidRPr="004E1167">
        <w:rPr>
          <w:u w:val="single"/>
        </w:rPr>
        <w:t>Justification for Sensitive Questions</w:t>
      </w:r>
    </w:p>
    <w:p w:rsidR="007319DB" w:rsidRPr="004E1167" w:rsidRDefault="007319DB" w:rsidP="00187EB4">
      <w:pPr>
        <w:ind w:left="1170" w:hanging="450"/>
      </w:pPr>
    </w:p>
    <w:p w:rsidR="007319DB" w:rsidRPr="004E1167" w:rsidRDefault="007319DB" w:rsidP="00187EB4">
      <w:pPr>
        <w:ind w:left="1170"/>
      </w:pPr>
      <w:r w:rsidRPr="004E1167">
        <w:t>No questions of a sensitive nature are asked.</w:t>
      </w:r>
    </w:p>
    <w:p w:rsidR="007319DB" w:rsidRPr="004E1167" w:rsidRDefault="007319DB" w:rsidP="00187EB4">
      <w:pPr>
        <w:ind w:left="1170" w:hanging="450"/>
      </w:pPr>
    </w:p>
    <w:p w:rsidR="007319DB" w:rsidRPr="004E1167" w:rsidRDefault="007319DB" w:rsidP="00187EB4">
      <w:pPr>
        <w:ind w:left="1170" w:hanging="450"/>
        <w:rPr>
          <w:u w:val="single"/>
        </w:rPr>
      </w:pPr>
      <w:r w:rsidRPr="004E1167">
        <w:t>12.</w:t>
      </w:r>
      <w:r w:rsidRPr="004E1167">
        <w:tab/>
      </w:r>
      <w:bookmarkStart w:id="1" w:name="OLE_LINK1"/>
      <w:r w:rsidRPr="004E1167">
        <w:rPr>
          <w:u w:val="single"/>
        </w:rPr>
        <w:t>Estimate of Respondent’s Burden</w:t>
      </w:r>
    </w:p>
    <w:p w:rsidR="007319DB" w:rsidRPr="004E1167" w:rsidRDefault="007319DB" w:rsidP="00187EB4">
      <w:pPr>
        <w:ind w:left="1170" w:hanging="450"/>
      </w:pPr>
    </w:p>
    <w:p w:rsidR="007319DB" w:rsidRPr="004E1167" w:rsidRDefault="007319DB" w:rsidP="00187EB4">
      <w:pPr>
        <w:ind w:left="1170"/>
      </w:pPr>
      <w:r w:rsidRPr="004E1167">
        <w:t xml:space="preserve">We estimate that there are 500 respondents </w:t>
      </w:r>
      <w:r w:rsidR="006E6465">
        <w:t xml:space="preserve">associated </w:t>
      </w:r>
      <w:r w:rsidR="0005435C">
        <w:t>with</w:t>
      </w:r>
      <w:r w:rsidRPr="004E1167">
        <w:t xml:space="preserve"> this information collection request. The total number of responses is 500. We estimate that each respondent will spend approximately 2 hours completing the required </w:t>
      </w:r>
      <w:r w:rsidR="006E6465">
        <w:t xml:space="preserve">appeal </w:t>
      </w:r>
      <w:r w:rsidRPr="004E1167">
        <w:t xml:space="preserve">documentation. The total annual burden hours associated with this </w:t>
      </w:r>
      <w:r w:rsidR="008E5958">
        <w:t>information collection</w:t>
      </w:r>
      <w:r w:rsidRPr="004E1167">
        <w:t xml:space="preserve"> 1</w:t>
      </w:r>
      <w:r w:rsidR="0005435C">
        <w:t>,</w:t>
      </w:r>
      <w:r w:rsidRPr="004E1167">
        <w:t>000 hours.</w:t>
      </w:r>
      <w:bookmarkEnd w:id="1"/>
      <w:r w:rsidRPr="004E1167">
        <w:t xml:space="preserve"> </w:t>
      </w:r>
    </w:p>
    <w:p w:rsidR="007319DB" w:rsidRPr="004E1167" w:rsidRDefault="007319DB" w:rsidP="00187EB4">
      <w:pPr>
        <w:ind w:left="1170" w:hanging="450"/>
      </w:pPr>
    </w:p>
    <w:p w:rsidR="007319DB" w:rsidRPr="004E1167" w:rsidRDefault="007319DB" w:rsidP="00187EB4">
      <w:pPr>
        <w:ind w:left="1170" w:hanging="450"/>
      </w:pPr>
      <w:r w:rsidRPr="004E1167">
        <w:t>13.</w:t>
      </w:r>
      <w:r w:rsidRPr="004E1167">
        <w:tab/>
      </w:r>
      <w:r w:rsidRPr="004E1167">
        <w:rPr>
          <w:u w:val="single"/>
        </w:rPr>
        <w:t>Estimate of Cost Burden</w:t>
      </w:r>
    </w:p>
    <w:p w:rsidR="007319DB" w:rsidRPr="004E1167" w:rsidRDefault="007319DB" w:rsidP="00187EB4">
      <w:pPr>
        <w:ind w:left="1170" w:hanging="450"/>
      </w:pPr>
    </w:p>
    <w:p w:rsidR="007319DB" w:rsidRPr="004E1167" w:rsidRDefault="007319DB" w:rsidP="00187EB4">
      <w:pPr>
        <w:ind w:left="1170"/>
      </w:pPr>
      <w:r w:rsidRPr="004E1167">
        <w:t>There is no cost burden to the respondents.</w:t>
      </w:r>
    </w:p>
    <w:p w:rsidR="007319DB" w:rsidRPr="004E1167" w:rsidRDefault="007319DB" w:rsidP="00187EB4">
      <w:pPr>
        <w:ind w:left="1170" w:hanging="450"/>
      </w:pPr>
    </w:p>
    <w:p w:rsidR="007319DB" w:rsidRPr="004E1167" w:rsidRDefault="007319DB" w:rsidP="00187EB4">
      <w:pPr>
        <w:ind w:left="1170" w:hanging="450"/>
        <w:rPr>
          <w:u w:val="single"/>
        </w:rPr>
      </w:pPr>
      <w:r w:rsidRPr="004E1167">
        <w:t>14.</w:t>
      </w:r>
      <w:r w:rsidRPr="004E1167">
        <w:tab/>
      </w:r>
      <w:r w:rsidRPr="004E1167">
        <w:rPr>
          <w:u w:val="single"/>
        </w:rPr>
        <w:t>Cost to Federal Government</w:t>
      </w:r>
    </w:p>
    <w:p w:rsidR="007319DB" w:rsidRPr="004E1167" w:rsidRDefault="007319DB" w:rsidP="00187EB4">
      <w:pPr>
        <w:ind w:left="1170" w:hanging="450"/>
        <w:rPr>
          <w:u w:val="single"/>
        </w:rPr>
      </w:pPr>
    </w:p>
    <w:p w:rsidR="007319DB" w:rsidRPr="004E1167" w:rsidRDefault="007319DB" w:rsidP="00187EB4">
      <w:pPr>
        <w:ind w:left="1170"/>
      </w:pPr>
      <w:r w:rsidRPr="004E1167">
        <w:t>There is no cost to the Federal government.</w:t>
      </w:r>
    </w:p>
    <w:p w:rsidR="007319DB" w:rsidRPr="004E1167" w:rsidRDefault="007319DB" w:rsidP="00187EB4">
      <w:pPr>
        <w:ind w:left="1170" w:hanging="450"/>
      </w:pPr>
    </w:p>
    <w:p w:rsidR="007319DB" w:rsidRPr="004E1167" w:rsidRDefault="007319DB" w:rsidP="00187EB4">
      <w:pPr>
        <w:ind w:left="1170" w:hanging="450"/>
        <w:rPr>
          <w:u w:val="single"/>
        </w:rPr>
      </w:pPr>
      <w:r w:rsidRPr="004E1167">
        <w:t>15.</w:t>
      </w:r>
      <w:r w:rsidRPr="004E1167">
        <w:tab/>
      </w:r>
      <w:r w:rsidRPr="004E1167">
        <w:rPr>
          <w:u w:val="single"/>
        </w:rPr>
        <w:t>Reason for Change in Burden</w:t>
      </w:r>
    </w:p>
    <w:p w:rsidR="007319DB" w:rsidRPr="004E1167" w:rsidRDefault="007319DB" w:rsidP="00187EB4">
      <w:pPr>
        <w:ind w:left="1170" w:hanging="450"/>
      </w:pPr>
    </w:p>
    <w:p w:rsidR="007319DB" w:rsidRPr="004E1167" w:rsidRDefault="007319DB" w:rsidP="00187EB4">
      <w:pPr>
        <w:ind w:left="1170"/>
      </w:pPr>
      <w:r w:rsidRPr="004E1167">
        <w:t>There are no program changes or adjustments associated with this collection.</w:t>
      </w:r>
    </w:p>
    <w:p w:rsidR="007319DB" w:rsidRPr="004E1167" w:rsidRDefault="007319DB" w:rsidP="00187EB4">
      <w:pPr>
        <w:ind w:left="1170" w:hanging="450"/>
      </w:pPr>
    </w:p>
    <w:p w:rsidR="007319DB" w:rsidRPr="004E1167" w:rsidRDefault="007319DB" w:rsidP="00187EB4">
      <w:pPr>
        <w:ind w:left="1170" w:hanging="450"/>
      </w:pPr>
      <w:r w:rsidRPr="004E1167">
        <w:t>16.</w:t>
      </w:r>
      <w:r w:rsidRPr="004E1167">
        <w:tab/>
      </w:r>
      <w:r w:rsidRPr="004E1167">
        <w:rPr>
          <w:u w:val="single"/>
        </w:rPr>
        <w:t>Anticipated Publication Plan and Schedule</w:t>
      </w:r>
    </w:p>
    <w:p w:rsidR="007319DB" w:rsidRPr="004E1167" w:rsidRDefault="007319DB" w:rsidP="00187EB4">
      <w:pPr>
        <w:ind w:left="1170" w:hanging="450"/>
      </w:pPr>
    </w:p>
    <w:p w:rsidR="007319DB" w:rsidRPr="004E1167" w:rsidRDefault="007319DB" w:rsidP="00187EB4">
      <w:pPr>
        <w:ind w:left="1170"/>
      </w:pPr>
      <w:r w:rsidRPr="004E1167">
        <w:t xml:space="preserve">The results of this </w:t>
      </w:r>
      <w:r w:rsidR="008E5958">
        <w:t xml:space="preserve">information </w:t>
      </w:r>
      <w:r w:rsidRPr="004E1167">
        <w:t>collection will not be published.</w:t>
      </w:r>
    </w:p>
    <w:p w:rsidR="007319DB" w:rsidRPr="004E1167" w:rsidRDefault="007319DB" w:rsidP="00187EB4">
      <w:pPr>
        <w:ind w:left="1170" w:hanging="450"/>
      </w:pPr>
    </w:p>
    <w:p w:rsidR="007319DB" w:rsidRPr="004E1167" w:rsidRDefault="007319DB" w:rsidP="00187EB4">
      <w:pPr>
        <w:ind w:left="1170" w:hanging="450"/>
        <w:rPr>
          <w:u w:val="single"/>
        </w:rPr>
      </w:pPr>
      <w:r w:rsidRPr="004E1167">
        <w:t>17.</w:t>
      </w:r>
      <w:r w:rsidRPr="004E1167">
        <w:tab/>
      </w:r>
      <w:r w:rsidRPr="004E1167">
        <w:rPr>
          <w:u w:val="single"/>
        </w:rPr>
        <w:t>Display of Expiration Date</w:t>
      </w:r>
    </w:p>
    <w:p w:rsidR="007319DB" w:rsidRPr="004E1167" w:rsidRDefault="007319DB" w:rsidP="00187EB4">
      <w:pPr>
        <w:ind w:left="1170" w:hanging="450"/>
      </w:pPr>
    </w:p>
    <w:p w:rsidR="007319DB" w:rsidRPr="004E1167" w:rsidRDefault="007319DB" w:rsidP="00187EB4">
      <w:pPr>
        <w:ind w:left="1170"/>
      </w:pPr>
      <w:r w:rsidRPr="004E1167">
        <w:t>ATF does not request approval to not display the expiration date of OMB approval for this collection.</w:t>
      </w:r>
    </w:p>
    <w:p w:rsidR="007319DB" w:rsidRPr="004E1167" w:rsidRDefault="007319DB" w:rsidP="00187EB4">
      <w:pPr>
        <w:ind w:left="1170" w:hanging="450"/>
      </w:pPr>
    </w:p>
    <w:p w:rsidR="007319DB" w:rsidRPr="004E1167" w:rsidRDefault="007319DB" w:rsidP="00187EB4">
      <w:pPr>
        <w:ind w:left="1170" w:hanging="450"/>
        <w:rPr>
          <w:u w:val="single"/>
        </w:rPr>
      </w:pPr>
      <w:r w:rsidRPr="004E1167">
        <w:t>18.</w:t>
      </w:r>
      <w:r w:rsidRPr="004E1167">
        <w:tab/>
      </w:r>
      <w:r w:rsidRPr="004E1167">
        <w:rPr>
          <w:u w:val="single"/>
        </w:rPr>
        <w:t>Exception to the Certification Statement</w:t>
      </w:r>
    </w:p>
    <w:p w:rsidR="007319DB" w:rsidRPr="004E1167" w:rsidRDefault="007319DB" w:rsidP="00187EB4">
      <w:pPr>
        <w:ind w:left="1170" w:hanging="450"/>
        <w:rPr>
          <w:u w:val="single"/>
        </w:rPr>
      </w:pPr>
    </w:p>
    <w:p w:rsidR="007319DB" w:rsidRPr="004E1167" w:rsidRDefault="007319DB" w:rsidP="00187EB4">
      <w:pPr>
        <w:ind w:left="1170"/>
      </w:pPr>
      <w:r w:rsidRPr="004E1167">
        <w:t>There are no exceptions to the certification statement.</w:t>
      </w:r>
    </w:p>
    <w:p w:rsidR="007319DB" w:rsidRPr="004E1167" w:rsidRDefault="007319DB" w:rsidP="009B30EA">
      <w:pPr>
        <w:ind w:hanging="720"/>
      </w:pPr>
    </w:p>
    <w:p w:rsidR="007319DB" w:rsidRPr="004E1167" w:rsidRDefault="007319DB" w:rsidP="00187EB4">
      <w:pPr>
        <w:pStyle w:val="Heading2"/>
        <w:tabs>
          <w:tab w:val="left" w:pos="720"/>
        </w:tabs>
        <w:ind w:left="180"/>
      </w:pPr>
      <w:r w:rsidRPr="004E1167">
        <w:t>B.</w:t>
      </w:r>
      <w:r w:rsidRPr="004E1167">
        <w:tab/>
        <w:t>Collections of Information Employing Statistical Methods.</w:t>
      </w:r>
    </w:p>
    <w:p w:rsidR="007319DB" w:rsidRPr="004E1167" w:rsidRDefault="007319DB" w:rsidP="007319DB">
      <w:pPr>
        <w:ind w:left="360"/>
        <w:rPr>
          <w:b/>
          <w:bCs/>
        </w:rPr>
      </w:pPr>
    </w:p>
    <w:p w:rsidR="007319DB" w:rsidRPr="004E1167" w:rsidRDefault="007319DB" w:rsidP="00187EB4">
      <w:pPr>
        <w:ind w:firstLine="720"/>
      </w:pPr>
      <w:r w:rsidRPr="004E1167">
        <w:t>This collection of information employs no statistical methods.</w:t>
      </w:r>
    </w:p>
    <w:p w:rsidR="00382726" w:rsidRDefault="00382726" w:rsidP="007319DB"/>
    <w:sectPr w:rsidR="003827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9DB"/>
    <w:rsid w:val="0005435C"/>
    <w:rsid w:val="00187EB4"/>
    <w:rsid w:val="002735BA"/>
    <w:rsid w:val="002A18FA"/>
    <w:rsid w:val="00382726"/>
    <w:rsid w:val="00410486"/>
    <w:rsid w:val="005D3C05"/>
    <w:rsid w:val="005F5F5E"/>
    <w:rsid w:val="00606C26"/>
    <w:rsid w:val="0064508C"/>
    <w:rsid w:val="006E6465"/>
    <w:rsid w:val="006F2A5F"/>
    <w:rsid w:val="007319DB"/>
    <w:rsid w:val="00787025"/>
    <w:rsid w:val="0085509A"/>
    <w:rsid w:val="008E5958"/>
    <w:rsid w:val="009B30EA"/>
    <w:rsid w:val="009C3553"/>
    <w:rsid w:val="00AB4297"/>
    <w:rsid w:val="00B17B51"/>
    <w:rsid w:val="00B56782"/>
    <w:rsid w:val="00B629A0"/>
    <w:rsid w:val="00BB3813"/>
    <w:rsid w:val="00C2488C"/>
    <w:rsid w:val="00CA5185"/>
    <w:rsid w:val="00D37EC1"/>
    <w:rsid w:val="00F254A5"/>
    <w:rsid w:val="00F40F05"/>
    <w:rsid w:val="00F9318D"/>
    <w:rsid w:val="00FA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9D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319DB"/>
    <w:pPr>
      <w:keepNext/>
      <w:outlineLvl w:val="0"/>
    </w:pPr>
    <w:rPr>
      <w:rFonts w:cs="Courier New"/>
      <w:b/>
      <w:bCs/>
    </w:rPr>
  </w:style>
  <w:style w:type="paragraph" w:styleId="Heading2">
    <w:name w:val="heading 2"/>
    <w:basedOn w:val="Normal"/>
    <w:next w:val="Normal"/>
    <w:link w:val="Heading2Char"/>
    <w:uiPriority w:val="9"/>
    <w:unhideWhenUsed/>
    <w:qFormat/>
    <w:rsid w:val="007319DB"/>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19DB"/>
    <w:rPr>
      <w:rFonts w:ascii="Times New Roman" w:eastAsia="Times New Roman" w:hAnsi="Times New Roman" w:cs="Courier New"/>
      <w:b/>
      <w:bCs/>
      <w:sz w:val="24"/>
      <w:szCs w:val="24"/>
    </w:rPr>
  </w:style>
  <w:style w:type="paragraph" w:styleId="BodyText">
    <w:name w:val="Body Text"/>
    <w:basedOn w:val="Normal"/>
    <w:link w:val="BodyTextChar"/>
    <w:rsid w:val="007319DB"/>
    <w:rPr>
      <w:rFonts w:ascii="Courier New" w:hAnsi="Courier New" w:cs="Courier New"/>
      <w:b/>
      <w:bCs/>
    </w:rPr>
  </w:style>
  <w:style w:type="character" w:customStyle="1" w:styleId="BodyTextChar">
    <w:name w:val="Body Text Char"/>
    <w:basedOn w:val="DefaultParagraphFont"/>
    <w:link w:val="BodyText"/>
    <w:rsid w:val="007319DB"/>
    <w:rPr>
      <w:rFonts w:ascii="Courier New" w:eastAsia="Times New Roman" w:hAnsi="Courier New" w:cs="Courier New"/>
      <w:b/>
      <w:bCs/>
      <w:sz w:val="24"/>
      <w:szCs w:val="24"/>
    </w:rPr>
  </w:style>
  <w:style w:type="paragraph" w:styleId="BodyTextIndent">
    <w:name w:val="Body Text Indent"/>
    <w:basedOn w:val="Normal"/>
    <w:link w:val="BodyTextIndentChar"/>
    <w:rsid w:val="007319DB"/>
    <w:pPr>
      <w:ind w:left="360"/>
    </w:pPr>
    <w:rPr>
      <w:rFonts w:ascii="Courier New" w:hAnsi="Courier New" w:cs="Courier New"/>
    </w:rPr>
  </w:style>
  <w:style w:type="character" w:customStyle="1" w:styleId="BodyTextIndentChar">
    <w:name w:val="Body Text Indent Char"/>
    <w:basedOn w:val="DefaultParagraphFont"/>
    <w:link w:val="BodyTextIndent"/>
    <w:rsid w:val="007319DB"/>
    <w:rPr>
      <w:rFonts w:ascii="Courier New" w:eastAsia="Times New Roman" w:hAnsi="Courier New" w:cs="Courier New"/>
      <w:sz w:val="24"/>
      <w:szCs w:val="24"/>
    </w:rPr>
  </w:style>
  <w:style w:type="paragraph" w:styleId="Title">
    <w:name w:val="Title"/>
    <w:basedOn w:val="Normal"/>
    <w:next w:val="Normal"/>
    <w:link w:val="TitleChar"/>
    <w:uiPriority w:val="10"/>
    <w:qFormat/>
    <w:rsid w:val="007319DB"/>
    <w:p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7319DB"/>
    <w:rPr>
      <w:rFonts w:ascii="Times New Roman" w:eastAsiaTheme="majorEastAsia" w:hAnsi="Times New Roman" w:cstheme="majorBidi"/>
      <w:b/>
      <w:spacing w:val="-10"/>
      <w:kern w:val="28"/>
      <w:sz w:val="24"/>
      <w:szCs w:val="56"/>
    </w:rPr>
  </w:style>
  <w:style w:type="paragraph" w:styleId="Subtitle">
    <w:name w:val="Subtitle"/>
    <w:basedOn w:val="Normal"/>
    <w:next w:val="Normal"/>
    <w:link w:val="SubtitleChar"/>
    <w:uiPriority w:val="11"/>
    <w:qFormat/>
    <w:rsid w:val="007319DB"/>
    <w:pPr>
      <w:numPr>
        <w:ilvl w:val="1"/>
      </w:numPr>
    </w:pPr>
    <w:rPr>
      <w:rFonts w:eastAsiaTheme="minorEastAsia" w:cstheme="minorBidi"/>
      <w:spacing w:val="15"/>
      <w:sz w:val="22"/>
      <w:szCs w:val="22"/>
    </w:rPr>
  </w:style>
  <w:style w:type="character" w:customStyle="1" w:styleId="SubtitleChar">
    <w:name w:val="Subtitle Char"/>
    <w:basedOn w:val="DefaultParagraphFont"/>
    <w:link w:val="Subtitle"/>
    <w:uiPriority w:val="11"/>
    <w:rsid w:val="007319DB"/>
    <w:rPr>
      <w:rFonts w:ascii="Times New Roman" w:eastAsiaTheme="minorEastAsia" w:hAnsi="Times New Roman"/>
      <w:spacing w:val="15"/>
    </w:rPr>
  </w:style>
  <w:style w:type="character" w:customStyle="1" w:styleId="Heading2Char">
    <w:name w:val="Heading 2 Char"/>
    <w:basedOn w:val="DefaultParagraphFont"/>
    <w:link w:val="Heading2"/>
    <w:uiPriority w:val="9"/>
    <w:rsid w:val="007319DB"/>
    <w:rPr>
      <w:rFonts w:ascii="Times New Roman" w:eastAsiaTheme="majorEastAsia" w:hAnsi="Times New Roman" w:cstheme="majorBidi"/>
      <w:b/>
      <w:sz w:val="24"/>
      <w:szCs w:val="26"/>
    </w:rPr>
  </w:style>
  <w:style w:type="paragraph" w:styleId="BalloonText">
    <w:name w:val="Balloon Text"/>
    <w:basedOn w:val="Normal"/>
    <w:link w:val="BalloonTextChar"/>
    <w:uiPriority w:val="99"/>
    <w:semiHidden/>
    <w:unhideWhenUsed/>
    <w:rsid w:val="00CA51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18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9D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319DB"/>
    <w:pPr>
      <w:keepNext/>
      <w:outlineLvl w:val="0"/>
    </w:pPr>
    <w:rPr>
      <w:rFonts w:cs="Courier New"/>
      <w:b/>
      <w:bCs/>
    </w:rPr>
  </w:style>
  <w:style w:type="paragraph" w:styleId="Heading2">
    <w:name w:val="heading 2"/>
    <w:basedOn w:val="Normal"/>
    <w:next w:val="Normal"/>
    <w:link w:val="Heading2Char"/>
    <w:uiPriority w:val="9"/>
    <w:unhideWhenUsed/>
    <w:qFormat/>
    <w:rsid w:val="007319DB"/>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19DB"/>
    <w:rPr>
      <w:rFonts w:ascii="Times New Roman" w:eastAsia="Times New Roman" w:hAnsi="Times New Roman" w:cs="Courier New"/>
      <w:b/>
      <w:bCs/>
      <w:sz w:val="24"/>
      <w:szCs w:val="24"/>
    </w:rPr>
  </w:style>
  <w:style w:type="paragraph" w:styleId="BodyText">
    <w:name w:val="Body Text"/>
    <w:basedOn w:val="Normal"/>
    <w:link w:val="BodyTextChar"/>
    <w:rsid w:val="007319DB"/>
    <w:rPr>
      <w:rFonts w:ascii="Courier New" w:hAnsi="Courier New" w:cs="Courier New"/>
      <w:b/>
      <w:bCs/>
    </w:rPr>
  </w:style>
  <w:style w:type="character" w:customStyle="1" w:styleId="BodyTextChar">
    <w:name w:val="Body Text Char"/>
    <w:basedOn w:val="DefaultParagraphFont"/>
    <w:link w:val="BodyText"/>
    <w:rsid w:val="007319DB"/>
    <w:rPr>
      <w:rFonts w:ascii="Courier New" w:eastAsia="Times New Roman" w:hAnsi="Courier New" w:cs="Courier New"/>
      <w:b/>
      <w:bCs/>
      <w:sz w:val="24"/>
      <w:szCs w:val="24"/>
    </w:rPr>
  </w:style>
  <w:style w:type="paragraph" w:styleId="BodyTextIndent">
    <w:name w:val="Body Text Indent"/>
    <w:basedOn w:val="Normal"/>
    <w:link w:val="BodyTextIndentChar"/>
    <w:rsid w:val="007319DB"/>
    <w:pPr>
      <w:ind w:left="360"/>
    </w:pPr>
    <w:rPr>
      <w:rFonts w:ascii="Courier New" w:hAnsi="Courier New" w:cs="Courier New"/>
    </w:rPr>
  </w:style>
  <w:style w:type="character" w:customStyle="1" w:styleId="BodyTextIndentChar">
    <w:name w:val="Body Text Indent Char"/>
    <w:basedOn w:val="DefaultParagraphFont"/>
    <w:link w:val="BodyTextIndent"/>
    <w:rsid w:val="007319DB"/>
    <w:rPr>
      <w:rFonts w:ascii="Courier New" w:eastAsia="Times New Roman" w:hAnsi="Courier New" w:cs="Courier New"/>
      <w:sz w:val="24"/>
      <w:szCs w:val="24"/>
    </w:rPr>
  </w:style>
  <w:style w:type="paragraph" w:styleId="Title">
    <w:name w:val="Title"/>
    <w:basedOn w:val="Normal"/>
    <w:next w:val="Normal"/>
    <w:link w:val="TitleChar"/>
    <w:uiPriority w:val="10"/>
    <w:qFormat/>
    <w:rsid w:val="007319DB"/>
    <w:p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7319DB"/>
    <w:rPr>
      <w:rFonts w:ascii="Times New Roman" w:eastAsiaTheme="majorEastAsia" w:hAnsi="Times New Roman" w:cstheme="majorBidi"/>
      <w:b/>
      <w:spacing w:val="-10"/>
      <w:kern w:val="28"/>
      <w:sz w:val="24"/>
      <w:szCs w:val="56"/>
    </w:rPr>
  </w:style>
  <w:style w:type="paragraph" w:styleId="Subtitle">
    <w:name w:val="Subtitle"/>
    <w:basedOn w:val="Normal"/>
    <w:next w:val="Normal"/>
    <w:link w:val="SubtitleChar"/>
    <w:uiPriority w:val="11"/>
    <w:qFormat/>
    <w:rsid w:val="007319DB"/>
    <w:pPr>
      <w:numPr>
        <w:ilvl w:val="1"/>
      </w:numPr>
    </w:pPr>
    <w:rPr>
      <w:rFonts w:eastAsiaTheme="minorEastAsia" w:cstheme="minorBidi"/>
      <w:spacing w:val="15"/>
      <w:sz w:val="22"/>
      <w:szCs w:val="22"/>
    </w:rPr>
  </w:style>
  <w:style w:type="character" w:customStyle="1" w:styleId="SubtitleChar">
    <w:name w:val="Subtitle Char"/>
    <w:basedOn w:val="DefaultParagraphFont"/>
    <w:link w:val="Subtitle"/>
    <w:uiPriority w:val="11"/>
    <w:rsid w:val="007319DB"/>
    <w:rPr>
      <w:rFonts w:ascii="Times New Roman" w:eastAsiaTheme="minorEastAsia" w:hAnsi="Times New Roman"/>
      <w:spacing w:val="15"/>
    </w:rPr>
  </w:style>
  <w:style w:type="character" w:customStyle="1" w:styleId="Heading2Char">
    <w:name w:val="Heading 2 Char"/>
    <w:basedOn w:val="DefaultParagraphFont"/>
    <w:link w:val="Heading2"/>
    <w:uiPriority w:val="9"/>
    <w:rsid w:val="007319DB"/>
    <w:rPr>
      <w:rFonts w:ascii="Times New Roman" w:eastAsiaTheme="majorEastAsia" w:hAnsi="Times New Roman" w:cstheme="majorBidi"/>
      <w:b/>
      <w:sz w:val="24"/>
      <w:szCs w:val="26"/>
    </w:rPr>
  </w:style>
  <w:style w:type="paragraph" w:styleId="BalloonText">
    <w:name w:val="Balloon Text"/>
    <w:basedOn w:val="Normal"/>
    <w:link w:val="BalloonTextChar"/>
    <w:uiPriority w:val="99"/>
    <w:semiHidden/>
    <w:unhideWhenUsed/>
    <w:rsid w:val="00CA51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1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10A0B-576A-4627-ADD5-F6F7FCD98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Heishman, Allison L.</dc:creator>
  <cp:keywords/>
  <dc:description/>
  <cp:lastModifiedBy>SYSTEM</cp:lastModifiedBy>
  <cp:revision>2</cp:revision>
  <cp:lastPrinted>2019-05-22T15:54:00Z</cp:lastPrinted>
  <dcterms:created xsi:type="dcterms:W3CDTF">2019-05-22T18:00:00Z</dcterms:created>
  <dcterms:modified xsi:type="dcterms:W3CDTF">2019-05-22T18:00:00Z</dcterms:modified>
</cp:coreProperties>
</file>