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19C320" w14:textId="77777777" w:rsidR="00FF2150" w:rsidRDefault="00FF2150" w:rsidP="001C743E">
      <w:pPr>
        <w:ind w:left="2160"/>
        <w:jc w:val="center"/>
        <w:rPr>
          <w:sz w:val="18"/>
        </w:rPr>
      </w:pPr>
      <w:bookmarkStart w:id="0" w:name="_GoBack"/>
      <w:bookmarkEnd w:id="0"/>
    </w:p>
    <w:p w14:paraId="2A5F94D1" w14:textId="77777777" w:rsidR="00FF2150" w:rsidRDefault="00FF2150" w:rsidP="001C743E">
      <w:pPr>
        <w:jc w:val="center"/>
      </w:pPr>
      <w:r w:rsidRPr="00FF2150">
        <w:t>Department of Justice</w:t>
      </w:r>
    </w:p>
    <w:p w14:paraId="2FDCE8DF" w14:textId="77777777" w:rsidR="00FF2150" w:rsidRDefault="00FF2150" w:rsidP="001C743E">
      <w:pPr>
        <w:jc w:val="center"/>
      </w:pPr>
      <w:r w:rsidRPr="00FF2150">
        <w:t>Bureau of Alcohol, Tobacco, Firearms and Explosives</w:t>
      </w:r>
    </w:p>
    <w:p w14:paraId="48DE8FC6" w14:textId="77777777" w:rsidR="002477FA" w:rsidRDefault="002477FA" w:rsidP="00DD0D23">
      <w:pPr>
        <w:spacing w:before="240" w:after="240"/>
        <w:jc w:val="center"/>
      </w:pPr>
      <w:r>
        <w:t>Information Collection Supporting Statement</w:t>
      </w:r>
    </w:p>
    <w:p w14:paraId="1D3E73D3" w14:textId="77777777" w:rsidR="002477FA" w:rsidRDefault="002477FA" w:rsidP="001C743E">
      <w:pPr>
        <w:jc w:val="center"/>
      </w:pPr>
      <w:r>
        <w:t>OMB Control Number 1140-0025</w:t>
      </w:r>
    </w:p>
    <w:p w14:paraId="7FEE37C5" w14:textId="77777777" w:rsidR="002477FA" w:rsidRDefault="002477FA" w:rsidP="001C743E">
      <w:pPr>
        <w:jc w:val="center"/>
      </w:pPr>
      <w:r>
        <w:t>Limited Permittee Transaction Report</w:t>
      </w:r>
    </w:p>
    <w:p w14:paraId="70DE83C3" w14:textId="77777777" w:rsidR="002477FA" w:rsidRDefault="002477FA" w:rsidP="00ED6313">
      <w:pPr>
        <w:spacing w:after="240"/>
        <w:jc w:val="center"/>
      </w:pPr>
      <w:r>
        <w:t>ATF F 5400.4</w:t>
      </w:r>
    </w:p>
    <w:p w14:paraId="2371D224" w14:textId="77777777" w:rsidR="002477FA" w:rsidRPr="00D84F66" w:rsidRDefault="002477FA" w:rsidP="00ED6313">
      <w:pPr>
        <w:numPr>
          <w:ilvl w:val="0"/>
          <w:numId w:val="1"/>
        </w:numPr>
        <w:spacing w:after="240"/>
        <w:rPr>
          <w:b/>
        </w:rPr>
      </w:pPr>
      <w:r w:rsidRPr="00D84F66">
        <w:rPr>
          <w:b/>
        </w:rPr>
        <w:t>Justification</w:t>
      </w:r>
    </w:p>
    <w:p w14:paraId="6097841F" w14:textId="77777777" w:rsidR="008C0F06" w:rsidRDefault="008C0F06" w:rsidP="00D84F66">
      <w:pPr>
        <w:numPr>
          <w:ilvl w:val="1"/>
          <w:numId w:val="1"/>
        </w:numPr>
        <w:spacing w:after="240"/>
        <w:jc w:val="both"/>
      </w:pPr>
      <w:r>
        <w:rPr>
          <w:u w:val="single"/>
        </w:rPr>
        <w:t>Necessity of Information Collection</w:t>
      </w:r>
    </w:p>
    <w:p w14:paraId="399F1362" w14:textId="07FB96CD" w:rsidR="00860D1F" w:rsidRDefault="002477FA" w:rsidP="00CA0A89">
      <w:pPr>
        <w:spacing w:after="240"/>
        <w:ind w:left="720"/>
      </w:pPr>
      <w:r>
        <w:t>The Bureau of Alcohol, Tobacco, Firearms, and Explosives (ATF) is charged with enforcing the provisions of Title XI of the Organized Crime Control Act of 1970 and its implementing regulation 27 CFR Part 555. One of the primary purposes of the Act is to protect interstate and foreign commerce against interference and interruption</w:t>
      </w:r>
      <w:r w:rsidR="0059300A">
        <w:t>,</w:t>
      </w:r>
      <w:r>
        <w:t xml:space="preserve"> by reducing the hazard to persons and property</w:t>
      </w:r>
      <w:r w:rsidR="00A805FD">
        <w:t>,</w:t>
      </w:r>
      <w:r>
        <w:t xml:space="preserve"> arising from the misuse of explosive materials.</w:t>
      </w:r>
      <w:r w:rsidR="00CA0A89">
        <w:t xml:space="preserve"> </w:t>
      </w:r>
      <w:r>
        <w:t xml:space="preserve">This responsibility has been expanded by the </w:t>
      </w:r>
      <w:r w:rsidR="00CA0A89">
        <w:t>recent enactment of legislation</w:t>
      </w:r>
      <w:r>
        <w:t xml:space="preserve"> to combat terrorism and defend th</w:t>
      </w:r>
      <w:r w:rsidR="00CA0A89">
        <w:t>e Nation against terrorist acts,</w:t>
      </w:r>
      <w:r>
        <w:t xml:space="preserve"> among other purposes. The Safe Explosives Act of 2002, in part, has amended 18 U.S.C. Chapter 40</w:t>
      </w:r>
      <w:r w:rsidR="00771A9C">
        <w:t>,</w:t>
      </w:r>
      <w:r>
        <w:t xml:space="preserve"> to require that all persons receiving explosives on and after May 24, 2003, obtain a Federal permit. </w:t>
      </w:r>
    </w:p>
    <w:p w14:paraId="66CBCBEF" w14:textId="410E5D5C" w:rsidR="002477FA" w:rsidRDefault="002477FA" w:rsidP="005E07ED">
      <w:pPr>
        <w:spacing w:after="240"/>
        <w:ind w:left="720"/>
      </w:pPr>
      <w:r>
        <w:t xml:space="preserve">The Act created an additional type of permit, the “limited permit,” </w:t>
      </w:r>
      <w:r w:rsidR="0059300A">
        <w:t>which</w:t>
      </w:r>
      <w:r>
        <w:t xml:space="preserve"> </w:t>
      </w:r>
      <w:r w:rsidR="0059300A">
        <w:t xml:space="preserve">is valid for one year and </w:t>
      </w:r>
      <w:r>
        <w:t>authorize</w:t>
      </w:r>
      <w:r w:rsidR="0059300A">
        <w:t>s</w:t>
      </w:r>
      <w:r>
        <w:t xml:space="preserve"> the holder to receive explosive materials only within his State of residence </w:t>
      </w:r>
      <w:r w:rsidR="002C5E7F">
        <w:t xml:space="preserve">on </w:t>
      </w:r>
      <w:r w:rsidR="0059300A">
        <w:t>a maximum six (</w:t>
      </w:r>
      <w:r>
        <w:t>6</w:t>
      </w:r>
      <w:r w:rsidR="0059300A">
        <w:t>)</w:t>
      </w:r>
      <w:r>
        <w:t xml:space="preserve"> separate occasions. The </w:t>
      </w:r>
      <w:r w:rsidRPr="001C743E">
        <w:t>interim</w:t>
      </w:r>
      <w:r>
        <w:t xml:space="preserve"> implementing regulations amended 27 CFR 555.105 and </w:t>
      </w:r>
      <w:r w:rsidR="00F62BEF">
        <w:t>27 CFR 555</w:t>
      </w:r>
      <w:r>
        <w:t>.126</w:t>
      </w:r>
      <w:r w:rsidR="00CA0A89">
        <w:t>,</w:t>
      </w:r>
      <w:r w:rsidR="00F62BEF">
        <w:t xml:space="preserve"> also</w:t>
      </w:r>
      <w:r>
        <w:t xml:space="preserve"> provide for explosive transactions involving holders of limited permits. The amended regulations, in part,</w:t>
      </w:r>
      <w:r w:rsidR="00F62BEF">
        <w:t xml:space="preserve"> require that</w:t>
      </w:r>
      <w:r>
        <w:t xml:space="preserve"> </w:t>
      </w:r>
      <w:r w:rsidR="00F62BEF" w:rsidRPr="00F62BEF">
        <w:t>a limited permittee complete the appropriate section o</w:t>
      </w:r>
      <w:r w:rsidR="002C5E7F">
        <w:t>f</w:t>
      </w:r>
      <w:r w:rsidR="00CA0A89">
        <w:t xml:space="preserve"> the</w:t>
      </w:r>
      <w:r w:rsidR="00F62BEF" w:rsidRPr="00F62BEF">
        <w:t xml:space="preserve"> Limited Permittee Transaction Report</w:t>
      </w:r>
      <w:r w:rsidR="00CA0A89">
        <w:t xml:space="preserve"> (</w:t>
      </w:r>
      <w:r w:rsidR="00CA0A89" w:rsidRPr="00F62BEF">
        <w:t>ATF F 5400.4</w:t>
      </w:r>
      <w:r w:rsidR="00CA0A89">
        <w:t>)</w:t>
      </w:r>
      <w:r w:rsidR="00F62BEF" w:rsidRPr="00F62BEF">
        <w:t>, and affix to the form one of his six original Intrastate Purchase of Explosives Coupons (IPECs)</w:t>
      </w:r>
      <w:r w:rsidR="00F62BEF">
        <w:t>,</w:t>
      </w:r>
      <w:r>
        <w:t xml:space="preserve"> prior to</w:t>
      </w:r>
      <w:r w:rsidR="00C90F85">
        <w:t xml:space="preserve"> delivery of</w:t>
      </w:r>
      <w:r>
        <w:t xml:space="preserve"> explosive materials.</w:t>
      </w:r>
      <w:r w:rsidR="00CA0A89">
        <w:t xml:space="preserve"> T</w:t>
      </w:r>
      <w:r w:rsidR="00CA0A89" w:rsidRPr="00CA0A89">
        <w:t xml:space="preserve">he Limited Permittee Transaction Report </w:t>
      </w:r>
      <w:r w:rsidR="002C5E7F">
        <w:t xml:space="preserve">also </w:t>
      </w:r>
      <w:r>
        <w:t>verifies that all persons who are purchasing explosive materials have the proper Federal permit</w:t>
      </w:r>
      <w:r w:rsidR="00860D1F">
        <w:t>,</w:t>
      </w:r>
      <w:r>
        <w:t xml:space="preserve"> and </w:t>
      </w:r>
      <w:r w:rsidR="00BA4EF9">
        <w:t xml:space="preserve">requires certification </w:t>
      </w:r>
      <w:r>
        <w:t>that such person</w:t>
      </w:r>
      <w:r w:rsidR="00673E3D" w:rsidRPr="001C743E">
        <w:t>s</w:t>
      </w:r>
      <w:r>
        <w:t xml:space="preserve"> have appropriate </w:t>
      </w:r>
      <w:r w:rsidR="00860D1F">
        <w:t xml:space="preserve">storage </w:t>
      </w:r>
      <w:r>
        <w:t>facilities for explosive materials</w:t>
      </w:r>
      <w:r w:rsidR="00673E3D" w:rsidRPr="001C743E">
        <w:t>.</w:t>
      </w:r>
    </w:p>
    <w:p w14:paraId="335B908D" w14:textId="77777777" w:rsidR="008C0F06" w:rsidRDefault="008C0F06" w:rsidP="00D84F66">
      <w:pPr>
        <w:pStyle w:val="ListParagraph"/>
        <w:numPr>
          <w:ilvl w:val="1"/>
          <w:numId w:val="1"/>
        </w:numPr>
        <w:spacing w:after="240"/>
      </w:pPr>
      <w:r w:rsidRPr="00D84F66">
        <w:rPr>
          <w:u w:val="single"/>
        </w:rPr>
        <w:t>Needs and Uses</w:t>
      </w:r>
    </w:p>
    <w:p w14:paraId="5E33B29A" w14:textId="07A4E8C9" w:rsidR="002477FA" w:rsidRDefault="002477FA" w:rsidP="00A67699">
      <w:pPr>
        <w:spacing w:after="240"/>
        <w:ind w:left="720"/>
      </w:pPr>
      <w:r>
        <w:t xml:space="preserve">Limited permittees </w:t>
      </w:r>
      <w:r w:rsidR="00FE50C6">
        <w:t xml:space="preserve">are </w:t>
      </w:r>
      <w:r>
        <w:t xml:space="preserve">required to complete </w:t>
      </w:r>
      <w:r w:rsidR="00CA0A89">
        <w:t xml:space="preserve">the </w:t>
      </w:r>
      <w:r>
        <w:t>Limited Permittee Transaction Report</w:t>
      </w:r>
      <w:r w:rsidR="00CA0A89" w:rsidRPr="00CA0A89">
        <w:t xml:space="preserve"> </w:t>
      </w:r>
      <w:r w:rsidR="00CA0A89">
        <w:t>(ATF F 5400.4)</w:t>
      </w:r>
      <w:r>
        <w:t>, prior to receiving explosive materials. This form requires those persons to p</w:t>
      </w:r>
      <w:r w:rsidR="00CA0A89">
        <w:t>rovide an IPEC and information about</w:t>
      </w:r>
      <w:r>
        <w:t xml:space="preserve"> the intended use of the explosive materials. It </w:t>
      </w:r>
      <w:r w:rsidR="00860D1F">
        <w:t xml:space="preserve">also </w:t>
      </w:r>
      <w:r>
        <w:t xml:space="preserve">requires </w:t>
      </w:r>
      <w:r w:rsidR="00860D1F">
        <w:t xml:space="preserve">that </w:t>
      </w:r>
      <w:r>
        <w:t>distributors of explosive materials to limited permittees</w:t>
      </w:r>
      <w:r w:rsidR="00CA0A89">
        <w:t>,</w:t>
      </w:r>
      <w:r>
        <w:t xml:space="preserve"> provide information </w:t>
      </w:r>
      <w:r w:rsidR="002C5E7F">
        <w:t xml:space="preserve">about </w:t>
      </w:r>
      <w:r>
        <w:t>the type and amount of explosive materials received</w:t>
      </w:r>
      <w:r w:rsidR="00860D1F">
        <w:t>,</w:t>
      </w:r>
      <w:r>
        <w:t xml:space="preserve"> and the type of identification used to verify the limited permittee’s (or their agent’s) identity.</w:t>
      </w:r>
      <w:r w:rsidR="00860D1F">
        <w:t xml:space="preserve"> </w:t>
      </w:r>
      <w:r>
        <w:t>One copy of the completed form is to be submitted to ATF</w:t>
      </w:r>
      <w:r w:rsidR="00CA0A89">
        <w:t>,</w:t>
      </w:r>
      <w:r>
        <w:t xml:space="preserve"> and one copy is to be kept </w:t>
      </w:r>
      <w:r w:rsidR="00860D1F">
        <w:t xml:space="preserve">on </w:t>
      </w:r>
      <w:r>
        <w:t xml:space="preserve">the </w:t>
      </w:r>
      <w:r w:rsidR="00860D1F">
        <w:t xml:space="preserve">premises of the </w:t>
      </w:r>
      <w:r>
        <w:t>licensed dealer or permittee (in the case of disposition of surplus stocks), in chronological order by date of disposition, or in alphabetical order by name of licensed permittee, for a period of 5 years.</w:t>
      </w:r>
    </w:p>
    <w:p w14:paraId="0057B529" w14:textId="76D6F159" w:rsidR="002477FA" w:rsidRDefault="002477FA" w:rsidP="00D84F66">
      <w:pPr>
        <w:spacing w:after="240"/>
        <w:ind w:left="720"/>
      </w:pPr>
      <w:r>
        <w:lastRenderedPageBreak/>
        <w:t>This information</w:t>
      </w:r>
      <w:r w:rsidR="00860D1F">
        <w:t xml:space="preserve"> </w:t>
      </w:r>
      <w:r w:rsidR="00B573F7">
        <w:t>is</w:t>
      </w:r>
      <w:r>
        <w:t xml:space="preserve"> maintained by licensed dealers and certain permittees</w:t>
      </w:r>
      <w:r w:rsidR="00B573F7">
        <w:t xml:space="preserve"> </w:t>
      </w:r>
      <w:r w:rsidR="00C12DCB">
        <w:t>and</w:t>
      </w:r>
      <w:r w:rsidR="002C5E7F">
        <w:t xml:space="preserve"> provides</w:t>
      </w:r>
      <w:r>
        <w:t xml:space="preserve"> ATF with valuable information in cases where explosive materials are traced.  This information </w:t>
      </w:r>
      <w:r w:rsidR="00FE152E">
        <w:t>may also be</w:t>
      </w:r>
      <w:r>
        <w:t xml:space="preserve"> useful for ATF </w:t>
      </w:r>
      <w:r w:rsidR="005E07ED">
        <w:t>investigators</w:t>
      </w:r>
      <w:r>
        <w:t xml:space="preserve"> </w:t>
      </w:r>
      <w:r w:rsidR="00FE152E">
        <w:t xml:space="preserve">responsible for </w:t>
      </w:r>
      <w:r>
        <w:t xml:space="preserve">verifying inventory and </w:t>
      </w:r>
      <w:r w:rsidR="00FE152E">
        <w:t xml:space="preserve">validating </w:t>
      </w:r>
      <w:r>
        <w:t xml:space="preserve">proper conduct of business activities </w:t>
      </w:r>
      <w:r w:rsidR="00FE152E">
        <w:t xml:space="preserve">during </w:t>
      </w:r>
      <w:r>
        <w:t>explosives compliance inspections.</w:t>
      </w:r>
    </w:p>
    <w:p w14:paraId="3FCD98FF" w14:textId="77777777" w:rsidR="008C0F06" w:rsidRDefault="008C0F06" w:rsidP="00D84F66">
      <w:pPr>
        <w:pStyle w:val="ListParagraph"/>
        <w:numPr>
          <w:ilvl w:val="1"/>
          <w:numId w:val="1"/>
        </w:numPr>
        <w:tabs>
          <w:tab w:val="left" w:pos="720"/>
        </w:tabs>
        <w:spacing w:after="240"/>
      </w:pPr>
      <w:r w:rsidRPr="00D84F66">
        <w:rPr>
          <w:u w:val="single"/>
        </w:rPr>
        <w:t>Use of Information Technology</w:t>
      </w:r>
    </w:p>
    <w:p w14:paraId="4D7343D5" w14:textId="31B9F1AC" w:rsidR="002477FA" w:rsidRDefault="00FE152E" w:rsidP="00FE4D5C">
      <w:pPr>
        <w:spacing w:after="240"/>
        <w:ind w:left="720"/>
      </w:pPr>
      <w:r>
        <w:t xml:space="preserve">The </w:t>
      </w:r>
      <w:r w:rsidRPr="00FE152E">
        <w:t>Limited Permittee Transaction Report</w:t>
      </w:r>
      <w:r>
        <w:t xml:space="preserve"> (ATF F 5400.4) </w:t>
      </w:r>
      <w:r w:rsidR="002477FA">
        <w:t>is available on the internet.  However, the form cannot be completed or su</w:t>
      </w:r>
      <w:r w:rsidR="00CD529A">
        <w:t>bmitted electronically to ATF</w:t>
      </w:r>
      <w:r w:rsidR="00CA0A89">
        <w:t>,</w:t>
      </w:r>
      <w:r w:rsidR="00CD529A">
        <w:t xml:space="preserve"> </w:t>
      </w:r>
      <w:r w:rsidR="00915845">
        <w:t>because</w:t>
      </w:r>
      <w:r w:rsidR="00CD529A">
        <w:t xml:space="preserve"> the form requires </w:t>
      </w:r>
      <w:r w:rsidR="00CD529A" w:rsidRPr="001C743E">
        <w:t xml:space="preserve">an </w:t>
      </w:r>
      <w:r w:rsidR="00673E3D" w:rsidRPr="001C743E">
        <w:t>original Intrastate Purchase of Explosives Coupon (IPEC) be affixed to the form and</w:t>
      </w:r>
      <w:r w:rsidR="00673E3D">
        <w:t xml:space="preserve"> an </w:t>
      </w:r>
      <w:r w:rsidR="00CD529A">
        <w:t xml:space="preserve">original signature.  The respondent </w:t>
      </w:r>
      <w:r>
        <w:t>can electronically sign the form, if they possess this capability</w:t>
      </w:r>
      <w:r w:rsidR="00BE1EA6">
        <w:t>.</w:t>
      </w:r>
      <w:r w:rsidR="00915845">
        <w:t xml:space="preserve"> </w:t>
      </w:r>
      <w:r w:rsidR="005E07ED">
        <w:t xml:space="preserve">Individuals with disabilities (508 Compliant) can access this form.  </w:t>
      </w:r>
    </w:p>
    <w:p w14:paraId="59FE1865" w14:textId="77777777" w:rsidR="008C0F06" w:rsidRDefault="008C0F06" w:rsidP="00D84F66">
      <w:pPr>
        <w:pStyle w:val="ListParagraph"/>
        <w:numPr>
          <w:ilvl w:val="1"/>
          <w:numId w:val="1"/>
        </w:numPr>
        <w:spacing w:after="240"/>
      </w:pPr>
      <w:r w:rsidRPr="00D84F66">
        <w:rPr>
          <w:u w:val="single"/>
        </w:rPr>
        <w:t>Efforts to Identify Duplication</w:t>
      </w:r>
    </w:p>
    <w:p w14:paraId="03FAC89D" w14:textId="17A63233" w:rsidR="002477FA" w:rsidRDefault="0000733A" w:rsidP="00FE4D5C">
      <w:pPr>
        <w:spacing w:after="240"/>
        <w:ind w:left="720"/>
      </w:pPr>
      <w:r>
        <w:t>ATF uses a uniform subject classification system to identify duplication and to ensure that any similar information already available</w:t>
      </w:r>
      <w:r w:rsidR="00CA0A89">
        <w:t>,</w:t>
      </w:r>
      <w:r>
        <w:t xml:space="preserve"> cannot be used or modified for use for the purpose of this information collection.</w:t>
      </w:r>
    </w:p>
    <w:p w14:paraId="46EEF46B" w14:textId="77777777" w:rsidR="008C0F06" w:rsidRDefault="008C0F06" w:rsidP="00ED6313">
      <w:pPr>
        <w:numPr>
          <w:ilvl w:val="1"/>
          <w:numId w:val="1"/>
        </w:numPr>
        <w:spacing w:after="240"/>
      </w:pPr>
      <w:r>
        <w:rPr>
          <w:u w:val="single"/>
        </w:rPr>
        <w:t>Minimizing Burden on Small Businesses</w:t>
      </w:r>
    </w:p>
    <w:p w14:paraId="58238E5A" w14:textId="77777777" w:rsidR="002477FA" w:rsidRDefault="002477FA" w:rsidP="00FE4D5C">
      <w:pPr>
        <w:spacing w:after="240"/>
        <w:ind w:left="720"/>
      </w:pPr>
      <w:r>
        <w:t>T</w:t>
      </w:r>
      <w:r w:rsidR="00BA435F">
        <w:t xml:space="preserve">his collection of information has </w:t>
      </w:r>
      <w:r w:rsidR="0000733A">
        <w:t>no significant impact on</w:t>
      </w:r>
      <w:r>
        <w:t xml:space="preserve"> small businesses.</w:t>
      </w:r>
    </w:p>
    <w:p w14:paraId="6718F899" w14:textId="77777777" w:rsidR="00493342" w:rsidRDefault="00493342" w:rsidP="00ED6313">
      <w:pPr>
        <w:numPr>
          <w:ilvl w:val="1"/>
          <w:numId w:val="1"/>
        </w:numPr>
        <w:spacing w:after="240"/>
      </w:pPr>
      <w:r>
        <w:rPr>
          <w:u w:val="single"/>
        </w:rPr>
        <w:t xml:space="preserve">Consequences of Not Conducting or </w:t>
      </w:r>
      <w:r w:rsidR="00673E3D">
        <w:rPr>
          <w:u w:val="single"/>
        </w:rPr>
        <w:t>L</w:t>
      </w:r>
      <w:r>
        <w:rPr>
          <w:u w:val="single"/>
        </w:rPr>
        <w:t xml:space="preserve">ess </w:t>
      </w:r>
      <w:r w:rsidR="00673E3D">
        <w:rPr>
          <w:u w:val="single"/>
        </w:rPr>
        <w:t>F</w:t>
      </w:r>
      <w:r>
        <w:rPr>
          <w:u w:val="single"/>
        </w:rPr>
        <w:t>requent Collection</w:t>
      </w:r>
    </w:p>
    <w:p w14:paraId="4405E09F" w14:textId="77777777" w:rsidR="002477FA" w:rsidRDefault="002477FA" w:rsidP="00FE4D5C">
      <w:pPr>
        <w:spacing w:after="240"/>
        <w:ind w:left="720"/>
      </w:pPr>
      <w:r>
        <w:t xml:space="preserve">Failure to collect this information would hinder ATF’s ability to carry out its responsibility to ensure that limited permittees do not exceed the </w:t>
      </w:r>
      <w:r w:rsidR="00FE152E">
        <w:t>six (</w:t>
      </w:r>
      <w:r>
        <w:t>6</w:t>
      </w:r>
      <w:r w:rsidR="00FE152E">
        <w:t>)</w:t>
      </w:r>
      <w:r>
        <w:t xml:space="preserve"> transactions authorized by the permit</w:t>
      </w:r>
      <w:r w:rsidR="00FE152E">
        <w:t>,</w:t>
      </w:r>
      <w:r>
        <w:t xml:space="preserve"> and that the identity of the permit holder (or his agent) is appropriately verified.</w:t>
      </w:r>
    </w:p>
    <w:p w14:paraId="308701D7" w14:textId="77777777" w:rsidR="00493342" w:rsidRPr="00493342" w:rsidRDefault="00493342" w:rsidP="00ED6313">
      <w:pPr>
        <w:numPr>
          <w:ilvl w:val="1"/>
          <w:numId w:val="1"/>
        </w:numPr>
        <w:spacing w:after="240"/>
      </w:pPr>
      <w:r>
        <w:rPr>
          <w:u w:val="single"/>
        </w:rPr>
        <w:t>Special Circumstances</w:t>
      </w:r>
    </w:p>
    <w:p w14:paraId="2B9FFBF5" w14:textId="52E0098B" w:rsidR="002477FA" w:rsidRDefault="0022230F" w:rsidP="00A67699">
      <w:pPr>
        <w:spacing w:after="240"/>
        <w:ind w:left="720"/>
      </w:pPr>
      <w:r>
        <w:t xml:space="preserve">There are no special circumstances associated with this collection. </w:t>
      </w:r>
      <w:r w:rsidR="002477FA">
        <w:t>Dealers are required to report information only as often as necessitated by criminal enforcement and regulatory activities.</w:t>
      </w:r>
      <w:r w:rsidR="000A3E5A">
        <w:t xml:space="preserve"> </w:t>
      </w:r>
      <w:r w:rsidR="002477FA">
        <w:t>Dealers are required to maintain the information on their business premises, in chronological order by date of disposition, or in alphabetical order by name of licensed permittee, for a period of 5 years.</w:t>
      </w:r>
    </w:p>
    <w:p w14:paraId="33919FC6" w14:textId="77777777" w:rsidR="00493342" w:rsidRPr="00493342" w:rsidRDefault="00493342" w:rsidP="00ED6313">
      <w:pPr>
        <w:numPr>
          <w:ilvl w:val="1"/>
          <w:numId w:val="1"/>
        </w:numPr>
        <w:spacing w:after="240"/>
      </w:pPr>
      <w:r>
        <w:rPr>
          <w:u w:val="single"/>
        </w:rPr>
        <w:t>Public Comments and Consultations</w:t>
      </w:r>
    </w:p>
    <w:p w14:paraId="08CC3CBD" w14:textId="7243C422" w:rsidR="004E2CEF" w:rsidRDefault="004E2CEF" w:rsidP="004E2CEF">
      <w:pPr>
        <w:tabs>
          <w:tab w:val="left" w:pos="720"/>
        </w:tabs>
        <w:ind w:left="720"/>
      </w:pPr>
      <w:r>
        <w:t xml:space="preserve">No comments were received during </w:t>
      </w:r>
      <w:r w:rsidR="006C00FF">
        <w:t xml:space="preserve">either </w:t>
      </w:r>
      <w:r>
        <w:t>the 60-day</w:t>
      </w:r>
      <w:r w:rsidR="006C00FF">
        <w:t xml:space="preserve"> or 30-day</w:t>
      </w:r>
      <w:r>
        <w:t xml:space="preserve"> Federal Register notice period</w:t>
      </w:r>
      <w:r w:rsidR="006C00FF">
        <w:t>s.</w:t>
      </w:r>
      <w:r>
        <w:t xml:space="preserve"> </w:t>
      </w:r>
    </w:p>
    <w:p w14:paraId="50D3D103" w14:textId="77777777" w:rsidR="004E2CEF" w:rsidRDefault="004E2CEF" w:rsidP="004E2CEF">
      <w:pPr>
        <w:tabs>
          <w:tab w:val="left" w:pos="720"/>
        </w:tabs>
        <w:ind w:left="720"/>
      </w:pPr>
    </w:p>
    <w:p w14:paraId="6A559C43" w14:textId="77777777" w:rsidR="00493342" w:rsidRPr="00493342" w:rsidRDefault="00493342" w:rsidP="00ED6313">
      <w:pPr>
        <w:numPr>
          <w:ilvl w:val="1"/>
          <w:numId w:val="1"/>
        </w:numPr>
        <w:spacing w:after="240"/>
      </w:pPr>
      <w:r>
        <w:rPr>
          <w:u w:val="single"/>
        </w:rPr>
        <w:t>Provision of Payments or Gifts to Respondents</w:t>
      </w:r>
    </w:p>
    <w:p w14:paraId="7158A41B" w14:textId="77777777" w:rsidR="002477FA" w:rsidRDefault="002970FF" w:rsidP="00FE4D5C">
      <w:pPr>
        <w:spacing w:after="240"/>
        <w:ind w:left="144" w:firstLine="585"/>
      </w:pPr>
      <w:r>
        <w:t xml:space="preserve">No </w:t>
      </w:r>
      <w:r w:rsidR="002477FA">
        <w:t>payment or gift is associated with this collection.</w:t>
      </w:r>
    </w:p>
    <w:p w14:paraId="709CA3FB" w14:textId="77777777" w:rsidR="00493342" w:rsidRDefault="00493342" w:rsidP="00ED6313">
      <w:pPr>
        <w:numPr>
          <w:ilvl w:val="1"/>
          <w:numId w:val="1"/>
        </w:numPr>
        <w:spacing w:after="240"/>
      </w:pPr>
      <w:r>
        <w:rPr>
          <w:u w:val="single"/>
        </w:rPr>
        <w:lastRenderedPageBreak/>
        <w:t>Assurance of Confidentiality</w:t>
      </w:r>
    </w:p>
    <w:p w14:paraId="444BBDE8" w14:textId="77777777" w:rsidR="002477FA" w:rsidRDefault="0022230F" w:rsidP="00FE4D5C">
      <w:pPr>
        <w:spacing w:after="240"/>
        <w:ind w:left="720"/>
      </w:pPr>
      <w:r>
        <w:t>Documentation regarding this information is kept in a secured location</w:t>
      </w:r>
      <w:r w:rsidR="00BA435F">
        <w:t xml:space="preserve">.  </w:t>
      </w:r>
      <w:r w:rsidR="00546A34">
        <w:t>Confidentiality is not assured.</w:t>
      </w:r>
    </w:p>
    <w:p w14:paraId="28C15283" w14:textId="77777777" w:rsidR="00493342" w:rsidRDefault="00493342" w:rsidP="00ED6313">
      <w:pPr>
        <w:numPr>
          <w:ilvl w:val="1"/>
          <w:numId w:val="1"/>
        </w:numPr>
        <w:spacing w:after="240"/>
      </w:pPr>
      <w:r>
        <w:rPr>
          <w:u w:val="single"/>
        </w:rPr>
        <w:t>Justification for Service Questions</w:t>
      </w:r>
    </w:p>
    <w:p w14:paraId="1B872E47" w14:textId="77777777" w:rsidR="002477FA" w:rsidRDefault="002477FA" w:rsidP="00FE4D5C">
      <w:pPr>
        <w:spacing w:after="240"/>
        <w:ind w:left="144" w:firstLine="585"/>
      </w:pPr>
      <w:r>
        <w:t>Questions of a sensitive nature do not apply to this collection.</w:t>
      </w:r>
    </w:p>
    <w:p w14:paraId="2C072699" w14:textId="77777777" w:rsidR="00493342" w:rsidRDefault="00493342" w:rsidP="00ED6313">
      <w:pPr>
        <w:numPr>
          <w:ilvl w:val="1"/>
          <w:numId w:val="1"/>
        </w:numPr>
        <w:spacing w:after="240"/>
      </w:pPr>
      <w:r>
        <w:rPr>
          <w:u w:val="single"/>
        </w:rPr>
        <w:t>Estimate of Respondent’s Burden</w:t>
      </w:r>
    </w:p>
    <w:p w14:paraId="29607607" w14:textId="4303271C" w:rsidR="002477FA" w:rsidRDefault="002477FA" w:rsidP="00FE4D5C">
      <w:pPr>
        <w:spacing w:after="240"/>
        <w:ind w:left="720"/>
      </w:pPr>
      <w:r>
        <w:t xml:space="preserve">ATF estimates that </w:t>
      </w:r>
      <w:r w:rsidR="00AF35EA">
        <w:t>1</w:t>
      </w:r>
      <w:r w:rsidR="00B533A6">
        <w:t>2</w:t>
      </w:r>
      <w:r w:rsidR="0059121A">
        <w:t>5</w:t>
      </w:r>
      <w:r>
        <w:t xml:space="preserve"> respondents </w:t>
      </w:r>
      <w:r w:rsidR="00CC41DC">
        <w:t xml:space="preserve">will </w:t>
      </w:r>
      <w:r w:rsidR="000A3E5A">
        <w:t xml:space="preserve">take 20 minutes to </w:t>
      </w:r>
      <w:r>
        <w:t>complete the form</w:t>
      </w:r>
      <w:r w:rsidR="00CC41DC">
        <w:t xml:space="preserve"> annually</w:t>
      </w:r>
      <w:r>
        <w:t>.  Each respondent may complete this form no more than 6 times</w:t>
      </w:r>
      <w:r w:rsidR="000A3E5A">
        <w:t xml:space="preserve"> annually as follows</w:t>
      </w:r>
      <w:r w:rsidR="00CC41DC">
        <w:t>:</w:t>
      </w:r>
      <w:r w:rsidR="00CA0A89">
        <w:t xml:space="preserve"> </w:t>
      </w:r>
      <w:r>
        <w:t>(</w:t>
      </w:r>
      <w:r w:rsidR="0059121A">
        <w:t>1</w:t>
      </w:r>
      <w:r w:rsidR="00B533A6">
        <w:t>2</w:t>
      </w:r>
      <w:r w:rsidR="00AF35EA">
        <w:t>5</w:t>
      </w:r>
      <w:r>
        <w:t xml:space="preserve"> respondents x 6 submissions annually = </w:t>
      </w:r>
      <w:r w:rsidR="00B533A6">
        <w:t>750</w:t>
      </w:r>
      <w:r w:rsidR="00CC41DC">
        <w:t xml:space="preserve"> total responses</w:t>
      </w:r>
      <w:r>
        <w:t xml:space="preserve">. The total burden </w:t>
      </w:r>
      <w:r w:rsidR="00CC41DC">
        <w:t xml:space="preserve">hours </w:t>
      </w:r>
      <w:r>
        <w:t>for this information collection</w:t>
      </w:r>
      <w:r w:rsidR="0049212C">
        <w:t xml:space="preserve"> is </w:t>
      </w:r>
      <w:r w:rsidR="00B533A6">
        <w:t>250</w:t>
      </w:r>
      <w:r w:rsidR="0059121A">
        <w:t xml:space="preserve"> </w:t>
      </w:r>
      <w:r w:rsidR="00FA234A">
        <w:t xml:space="preserve">which </w:t>
      </w:r>
      <w:r w:rsidR="00CC41DC">
        <w:t xml:space="preserve">is equal to </w:t>
      </w:r>
      <w:r w:rsidR="008D4861">
        <w:t>125 (# of respondents) * 6 (# of responses per respondents) * .333333 (20 mins)</w:t>
      </w:r>
      <w:r w:rsidR="0049212C">
        <w:t>.</w:t>
      </w:r>
    </w:p>
    <w:p w14:paraId="749CB817" w14:textId="77777777" w:rsidR="00493342" w:rsidRPr="00493342" w:rsidRDefault="00493342" w:rsidP="00ED6313">
      <w:pPr>
        <w:numPr>
          <w:ilvl w:val="1"/>
          <w:numId w:val="1"/>
        </w:numPr>
        <w:spacing w:after="240"/>
      </w:pPr>
      <w:r>
        <w:rPr>
          <w:u w:val="single"/>
        </w:rPr>
        <w:t>Estimate of Cost Burden</w:t>
      </w:r>
    </w:p>
    <w:p w14:paraId="3B4F4A7C" w14:textId="77777777" w:rsidR="002477FA" w:rsidRDefault="002477FA" w:rsidP="00FE4D5C">
      <w:pPr>
        <w:spacing w:after="240"/>
        <w:ind w:left="720"/>
      </w:pPr>
      <w:r>
        <w:t>The cost to the respondent is postage to mail one copy of the form to ATF.  T</w:t>
      </w:r>
      <w:r w:rsidR="00546A34">
        <w:t xml:space="preserve">his cost is estimated to be </w:t>
      </w:r>
      <w:r w:rsidR="00673E3D" w:rsidRPr="001C743E">
        <w:t>$</w:t>
      </w:r>
      <w:r w:rsidR="00052CBF">
        <w:t>413</w:t>
      </w:r>
      <w:r w:rsidR="00673E3D" w:rsidRPr="001C743E">
        <w:t xml:space="preserve"> (</w:t>
      </w:r>
      <w:r w:rsidR="00B533A6">
        <w:t>750</w:t>
      </w:r>
      <w:r w:rsidR="00673E3D" w:rsidRPr="001C743E">
        <w:t xml:space="preserve"> responses x $0.</w:t>
      </w:r>
      <w:r w:rsidR="00052CBF">
        <w:t>55</w:t>
      </w:r>
      <w:r w:rsidR="00673E3D" w:rsidRPr="001C743E">
        <w:t xml:space="preserve"> postage)</w:t>
      </w:r>
      <w:r w:rsidR="00673E3D">
        <w:t xml:space="preserve"> </w:t>
      </w:r>
      <w:r>
        <w:t>annually.</w:t>
      </w:r>
    </w:p>
    <w:p w14:paraId="6BE941E6" w14:textId="77777777" w:rsidR="00344ACB" w:rsidRDefault="00344ACB" w:rsidP="00ED6313">
      <w:pPr>
        <w:numPr>
          <w:ilvl w:val="1"/>
          <w:numId w:val="1"/>
        </w:numPr>
        <w:spacing w:after="240"/>
      </w:pPr>
      <w:r>
        <w:rPr>
          <w:u w:val="single"/>
        </w:rPr>
        <w:t>Cost of Federal Government</w:t>
      </w:r>
    </w:p>
    <w:p w14:paraId="6E920000" w14:textId="77777777" w:rsidR="002477FA" w:rsidRDefault="00DD0D23" w:rsidP="00FE4D5C">
      <w:pPr>
        <w:spacing w:after="240"/>
        <w:ind w:left="720"/>
      </w:pPr>
      <w:r w:rsidRPr="00DA1C18">
        <w:t xml:space="preserve">There is no cost to the Federal government.  </w:t>
      </w:r>
      <w:r w:rsidR="002477FA">
        <w:t xml:space="preserve">The </w:t>
      </w:r>
      <w:r>
        <w:t xml:space="preserve">form is available online and may be printed or downloaded from </w:t>
      </w:r>
      <w:r w:rsidRPr="00BE1EA6">
        <w:t>www.atf.gov</w:t>
      </w:r>
      <w:r w:rsidR="002477FA">
        <w:t>.</w:t>
      </w:r>
    </w:p>
    <w:p w14:paraId="7216EC1E" w14:textId="77777777" w:rsidR="00344ACB" w:rsidRPr="00344ACB" w:rsidRDefault="00344ACB" w:rsidP="00ED6313">
      <w:pPr>
        <w:numPr>
          <w:ilvl w:val="1"/>
          <w:numId w:val="1"/>
        </w:numPr>
        <w:spacing w:after="240"/>
      </w:pPr>
      <w:r>
        <w:rPr>
          <w:u w:val="single"/>
        </w:rPr>
        <w:t>Reason for Change in Burden</w:t>
      </w:r>
    </w:p>
    <w:p w14:paraId="746D3F4B" w14:textId="6D3E31E6" w:rsidR="002477FA" w:rsidRPr="00E016B8" w:rsidRDefault="00E016B8" w:rsidP="00FE4D5C">
      <w:pPr>
        <w:spacing w:after="240"/>
        <w:ind w:left="720"/>
      </w:pPr>
      <w:r w:rsidRPr="00E016B8">
        <w:t xml:space="preserve">There </w:t>
      </w:r>
      <w:r w:rsidR="00052CBF">
        <w:t>is an</w:t>
      </w:r>
      <w:r w:rsidRPr="00E016B8">
        <w:t xml:space="preserve"> adjustment associated with this collection.  </w:t>
      </w:r>
      <w:r w:rsidR="00052CBF">
        <w:t>T</w:t>
      </w:r>
      <w:r w:rsidR="00673E3D" w:rsidRPr="001C743E">
        <w:t>here was a posta</w:t>
      </w:r>
      <w:r w:rsidR="001C52D9">
        <w:t>ge</w:t>
      </w:r>
      <w:r w:rsidR="00673E3D" w:rsidRPr="001C743E">
        <w:t xml:space="preserve"> rate increase </w:t>
      </w:r>
      <w:r w:rsidR="00AC5BD6">
        <w:t>from 4</w:t>
      </w:r>
      <w:r w:rsidR="00E35817">
        <w:t>5</w:t>
      </w:r>
      <w:r w:rsidR="004849B7">
        <w:t xml:space="preserve"> cents</w:t>
      </w:r>
      <w:r w:rsidR="00AC5BD6">
        <w:t xml:space="preserve"> </w:t>
      </w:r>
      <w:r w:rsidR="004849B7">
        <w:t>to 55 cents</w:t>
      </w:r>
      <w:r w:rsidR="00673E3D" w:rsidRPr="001C743E">
        <w:t xml:space="preserve"> in January 201</w:t>
      </w:r>
      <w:r w:rsidR="00052CBF">
        <w:t>9</w:t>
      </w:r>
      <w:r w:rsidR="00673E3D" w:rsidRPr="001C743E">
        <w:t>.  Th</w:t>
      </w:r>
      <w:r w:rsidR="00052CBF">
        <w:t>is</w:t>
      </w:r>
      <w:r w:rsidR="004849B7">
        <w:t xml:space="preserve"> adjustment caused an increase in the public cost burden</w:t>
      </w:r>
      <w:r w:rsidR="00673E3D" w:rsidRPr="001C743E">
        <w:t xml:space="preserve"> </w:t>
      </w:r>
      <w:r w:rsidR="00CA0A89">
        <w:t>by a total</w:t>
      </w:r>
      <w:r w:rsidR="004849B7">
        <w:t xml:space="preserve"> $</w:t>
      </w:r>
      <w:r w:rsidR="00E35817">
        <w:t>68</w:t>
      </w:r>
      <w:r w:rsidR="00CA0A89">
        <w:t xml:space="preserve"> </w:t>
      </w:r>
      <w:r w:rsidR="00673E3D" w:rsidRPr="001C743E">
        <w:t>from $</w:t>
      </w:r>
      <w:r w:rsidR="00052CBF">
        <w:t>3</w:t>
      </w:r>
      <w:r w:rsidR="00E35817">
        <w:t>45</w:t>
      </w:r>
      <w:r w:rsidR="00673E3D" w:rsidRPr="001C743E">
        <w:t xml:space="preserve"> </w:t>
      </w:r>
      <w:r w:rsidR="00CA0A89">
        <w:t xml:space="preserve">in 2016, </w:t>
      </w:r>
      <w:r w:rsidR="00673E3D" w:rsidRPr="001C743E">
        <w:t>to $</w:t>
      </w:r>
      <w:r w:rsidR="00052CBF">
        <w:t>413</w:t>
      </w:r>
      <w:r w:rsidR="00CA0A89">
        <w:t xml:space="preserve"> </w:t>
      </w:r>
      <w:r w:rsidR="004849B7">
        <w:t>in 2019</w:t>
      </w:r>
      <w:r w:rsidR="00673E3D" w:rsidRPr="001C743E">
        <w:t>.</w:t>
      </w:r>
    </w:p>
    <w:p w14:paraId="1E221EF4" w14:textId="77777777" w:rsidR="00344ACB" w:rsidRPr="00344ACB" w:rsidRDefault="00344ACB" w:rsidP="00ED6313">
      <w:pPr>
        <w:numPr>
          <w:ilvl w:val="1"/>
          <w:numId w:val="1"/>
        </w:numPr>
        <w:spacing w:after="240"/>
      </w:pPr>
      <w:r>
        <w:rPr>
          <w:u w:val="single"/>
        </w:rPr>
        <w:t>Anticipated Publication Plan and Schedule</w:t>
      </w:r>
    </w:p>
    <w:p w14:paraId="1E0A301D" w14:textId="77777777" w:rsidR="002477FA" w:rsidRDefault="002477FA" w:rsidP="00FE4D5C">
      <w:pPr>
        <w:spacing w:after="240"/>
        <w:ind w:left="144" w:firstLine="585"/>
      </w:pPr>
      <w:r>
        <w:t xml:space="preserve">The results of this collection will not be published. </w:t>
      </w:r>
    </w:p>
    <w:p w14:paraId="07E4883A" w14:textId="77777777" w:rsidR="00344ACB" w:rsidRDefault="00344ACB" w:rsidP="00ED6313">
      <w:pPr>
        <w:numPr>
          <w:ilvl w:val="1"/>
          <w:numId w:val="1"/>
        </w:numPr>
        <w:spacing w:after="240"/>
      </w:pPr>
      <w:r>
        <w:rPr>
          <w:u w:val="single"/>
        </w:rPr>
        <w:t>Display of Expiration Date</w:t>
      </w:r>
    </w:p>
    <w:p w14:paraId="654ADBAE" w14:textId="1774E798" w:rsidR="002477FA" w:rsidRDefault="00344ACB" w:rsidP="00FE4D5C">
      <w:pPr>
        <w:spacing w:after="240"/>
        <w:ind w:left="720"/>
      </w:pPr>
      <w:r>
        <w:t>T</w:t>
      </w:r>
      <w:r w:rsidR="002477FA">
        <w:t xml:space="preserve">he </w:t>
      </w:r>
      <w:r w:rsidR="00CA0A89">
        <w:t xml:space="preserve">time </w:t>
      </w:r>
      <w:r w:rsidR="002477FA">
        <w:t>during which the current edition of this form in this package will continue to be utilized cannot be predicted.  It could very easily span the several cycles of review and OMB clearance renewal.  Additionally, a substantive inventory of forms in the supply line is necessary to meet the demand of the explosives industry.  For these reasons, we request authorization to omit printing of the expiration date on the form in this package.</w:t>
      </w:r>
    </w:p>
    <w:p w14:paraId="03DA8E69" w14:textId="77777777" w:rsidR="00344ACB" w:rsidRPr="00344ACB" w:rsidRDefault="00344ACB" w:rsidP="00ED6313">
      <w:pPr>
        <w:numPr>
          <w:ilvl w:val="1"/>
          <w:numId w:val="1"/>
        </w:numPr>
        <w:spacing w:after="240"/>
        <w:rPr>
          <w:u w:val="single"/>
        </w:rPr>
      </w:pPr>
      <w:r w:rsidRPr="00344ACB">
        <w:rPr>
          <w:u w:val="single"/>
        </w:rPr>
        <w:t>Exception to the Certification Statement</w:t>
      </w:r>
    </w:p>
    <w:p w14:paraId="729610B5" w14:textId="77777777" w:rsidR="002477FA" w:rsidRDefault="002477FA" w:rsidP="00FE4D5C">
      <w:pPr>
        <w:spacing w:after="240"/>
        <w:ind w:left="144" w:firstLine="585"/>
      </w:pPr>
      <w:r>
        <w:t xml:space="preserve">There are no exceptions to the certification statement. </w:t>
      </w:r>
    </w:p>
    <w:p w14:paraId="020BE34C" w14:textId="77777777" w:rsidR="002477FA" w:rsidRDefault="002477FA" w:rsidP="00ED6313">
      <w:pPr>
        <w:numPr>
          <w:ilvl w:val="0"/>
          <w:numId w:val="1"/>
        </w:numPr>
        <w:spacing w:after="240"/>
        <w:rPr>
          <w:b/>
          <w:bCs/>
        </w:rPr>
      </w:pPr>
      <w:r>
        <w:rPr>
          <w:b/>
          <w:bCs/>
        </w:rPr>
        <w:t>Collections of Information Employing Statistical Methods.</w:t>
      </w:r>
    </w:p>
    <w:p w14:paraId="1D1B91AF" w14:textId="77777777" w:rsidR="002477FA" w:rsidRDefault="002477FA" w:rsidP="00FE4D5C">
      <w:pPr>
        <w:ind w:left="360"/>
      </w:pPr>
      <w:r>
        <w:t xml:space="preserve">This collection of information employs no statistical methods. </w:t>
      </w:r>
    </w:p>
    <w:sectPr w:rsidR="002477FA" w:rsidSect="001C743E">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D5883E" w14:textId="77777777" w:rsidR="0042295C" w:rsidRDefault="0042295C">
      <w:r>
        <w:separator/>
      </w:r>
    </w:p>
  </w:endnote>
  <w:endnote w:type="continuationSeparator" w:id="0">
    <w:p w14:paraId="2AAD930E" w14:textId="77777777" w:rsidR="0042295C" w:rsidRDefault="0042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1F7CC" w14:textId="77777777" w:rsidR="001C743E" w:rsidRDefault="001C74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7C2DC4" w14:textId="77777777" w:rsidR="001C743E" w:rsidRDefault="001C74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832046"/>
      <w:docPartObj>
        <w:docPartGallery w:val="Page Numbers (Bottom of Page)"/>
        <w:docPartUnique/>
      </w:docPartObj>
    </w:sdtPr>
    <w:sdtEndPr>
      <w:rPr>
        <w:noProof/>
      </w:rPr>
    </w:sdtEndPr>
    <w:sdtContent>
      <w:p w14:paraId="51652CCB" w14:textId="6042880D" w:rsidR="00FE4D5C" w:rsidRDefault="00FE4D5C">
        <w:pPr>
          <w:pStyle w:val="Footer"/>
          <w:jc w:val="center"/>
        </w:pPr>
        <w:r>
          <w:fldChar w:fldCharType="begin"/>
        </w:r>
        <w:r>
          <w:instrText xml:space="preserve"> PAGE   \* MERGEFORMAT </w:instrText>
        </w:r>
        <w:r>
          <w:fldChar w:fldCharType="separate"/>
        </w:r>
        <w:r w:rsidR="00AE2175">
          <w:rPr>
            <w:noProof/>
          </w:rPr>
          <w:t>2</w:t>
        </w:r>
        <w:r>
          <w:rPr>
            <w:noProof/>
          </w:rPr>
          <w:fldChar w:fldCharType="end"/>
        </w:r>
      </w:p>
    </w:sdtContent>
  </w:sdt>
  <w:p w14:paraId="317438AB" w14:textId="77777777" w:rsidR="001C743E" w:rsidRDefault="001C74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473A97" w14:textId="77777777" w:rsidR="0042295C" w:rsidRDefault="0042295C">
      <w:r>
        <w:separator/>
      </w:r>
    </w:p>
  </w:footnote>
  <w:footnote w:type="continuationSeparator" w:id="0">
    <w:p w14:paraId="1C12D5E4" w14:textId="77777777" w:rsidR="0042295C" w:rsidRDefault="00422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960CC"/>
    <w:multiLevelType w:val="hybridMultilevel"/>
    <w:tmpl w:val="AFB8B67C"/>
    <w:lvl w:ilvl="0" w:tplc="22F6B3E2">
      <w:start w:val="1"/>
      <w:numFmt w:val="upperLetter"/>
      <w:lvlText w:val="%1."/>
      <w:lvlJc w:val="left"/>
      <w:pPr>
        <w:tabs>
          <w:tab w:val="num" w:pos="360"/>
        </w:tabs>
        <w:ind w:left="360" w:hanging="360"/>
      </w:pPr>
      <w:rPr>
        <w:rFonts w:hint="default"/>
      </w:rPr>
    </w:lvl>
    <w:lvl w:ilvl="1" w:tplc="F8CC506E">
      <w:start w:val="1"/>
      <w:numFmt w:val="decimal"/>
      <w:lvlText w:val="%2."/>
      <w:lvlJc w:val="left"/>
      <w:pPr>
        <w:tabs>
          <w:tab w:val="num" w:pos="360"/>
        </w:tabs>
        <w:ind w:left="144" w:firstLine="216"/>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B9B694A"/>
    <w:multiLevelType w:val="hybridMultilevel"/>
    <w:tmpl w:val="0D643A64"/>
    <w:lvl w:ilvl="0" w:tplc="04090001">
      <w:start w:val="1"/>
      <w:numFmt w:val="bullet"/>
      <w:lvlText w:val=""/>
      <w:lvlJc w:val="left"/>
      <w:pPr>
        <w:tabs>
          <w:tab w:val="num" w:pos="1665"/>
        </w:tabs>
        <w:ind w:left="1665" w:hanging="360"/>
      </w:pPr>
      <w:rPr>
        <w:rFonts w:ascii="Symbol" w:hAnsi="Symbol" w:hint="default"/>
      </w:rPr>
    </w:lvl>
    <w:lvl w:ilvl="1" w:tplc="04090003" w:tentative="1">
      <w:start w:val="1"/>
      <w:numFmt w:val="bullet"/>
      <w:lvlText w:val="o"/>
      <w:lvlJc w:val="left"/>
      <w:pPr>
        <w:tabs>
          <w:tab w:val="num" w:pos="2385"/>
        </w:tabs>
        <w:ind w:left="2385" w:hanging="360"/>
      </w:pPr>
      <w:rPr>
        <w:rFonts w:ascii="Courier New" w:hAnsi="Courier New" w:hint="default"/>
      </w:rPr>
    </w:lvl>
    <w:lvl w:ilvl="2" w:tplc="04090005" w:tentative="1">
      <w:start w:val="1"/>
      <w:numFmt w:val="bullet"/>
      <w:lvlText w:val=""/>
      <w:lvlJc w:val="left"/>
      <w:pPr>
        <w:tabs>
          <w:tab w:val="num" w:pos="3105"/>
        </w:tabs>
        <w:ind w:left="3105" w:hanging="360"/>
      </w:pPr>
      <w:rPr>
        <w:rFonts w:ascii="Wingdings" w:hAnsi="Wingdings" w:hint="default"/>
      </w:rPr>
    </w:lvl>
    <w:lvl w:ilvl="3" w:tplc="04090001" w:tentative="1">
      <w:start w:val="1"/>
      <w:numFmt w:val="bullet"/>
      <w:lvlText w:val=""/>
      <w:lvlJc w:val="left"/>
      <w:pPr>
        <w:tabs>
          <w:tab w:val="num" w:pos="3825"/>
        </w:tabs>
        <w:ind w:left="3825" w:hanging="360"/>
      </w:pPr>
      <w:rPr>
        <w:rFonts w:ascii="Symbol" w:hAnsi="Symbol" w:hint="default"/>
      </w:rPr>
    </w:lvl>
    <w:lvl w:ilvl="4" w:tplc="04090003" w:tentative="1">
      <w:start w:val="1"/>
      <w:numFmt w:val="bullet"/>
      <w:lvlText w:val="o"/>
      <w:lvlJc w:val="left"/>
      <w:pPr>
        <w:tabs>
          <w:tab w:val="num" w:pos="4545"/>
        </w:tabs>
        <w:ind w:left="4545" w:hanging="360"/>
      </w:pPr>
      <w:rPr>
        <w:rFonts w:ascii="Courier New" w:hAnsi="Courier New" w:hint="default"/>
      </w:rPr>
    </w:lvl>
    <w:lvl w:ilvl="5" w:tplc="04090005" w:tentative="1">
      <w:start w:val="1"/>
      <w:numFmt w:val="bullet"/>
      <w:lvlText w:val=""/>
      <w:lvlJc w:val="left"/>
      <w:pPr>
        <w:tabs>
          <w:tab w:val="num" w:pos="5265"/>
        </w:tabs>
        <w:ind w:left="5265" w:hanging="360"/>
      </w:pPr>
      <w:rPr>
        <w:rFonts w:ascii="Wingdings" w:hAnsi="Wingdings" w:hint="default"/>
      </w:rPr>
    </w:lvl>
    <w:lvl w:ilvl="6" w:tplc="04090001" w:tentative="1">
      <w:start w:val="1"/>
      <w:numFmt w:val="bullet"/>
      <w:lvlText w:val=""/>
      <w:lvlJc w:val="left"/>
      <w:pPr>
        <w:tabs>
          <w:tab w:val="num" w:pos="5985"/>
        </w:tabs>
        <w:ind w:left="5985" w:hanging="360"/>
      </w:pPr>
      <w:rPr>
        <w:rFonts w:ascii="Symbol" w:hAnsi="Symbol" w:hint="default"/>
      </w:rPr>
    </w:lvl>
    <w:lvl w:ilvl="7" w:tplc="04090003" w:tentative="1">
      <w:start w:val="1"/>
      <w:numFmt w:val="bullet"/>
      <w:lvlText w:val="o"/>
      <w:lvlJc w:val="left"/>
      <w:pPr>
        <w:tabs>
          <w:tab w:val="num" w:pos="6705"/>
        </w:tabs>
        <w:ind w:left="6705" w:hanging="360"/>
      </w:pPr>
      <w:rPr>
        <w:rFonts w:ascii="Courier New" w:hAnsi="Courier New" w:hint="default"/>
      </w:rPr>
    </w:lvl>
    <w:lvl w:ilvl="8" w:tplc="04090005" w:tentative="1">
      <w:start w:val="1"/>
      <w:numFmt w:val="bullet"/>
      <w:lvlText w:val=""/>
      <w:lvlJc w:val="left"/>
      <w:pPr>
        <w:tabs>
          <w:tab w:val="num" w:pos="7425"/>
        </w:tabs>
        <w:ind w:left="7425" w:hanging="360"/>
      </w:pPr>
      <w:rPr>
        <w:rFonts w:ascii="Wingdings" w:hAnsi="Wingdings" w:hint="default"/>
      </w:rPr>
    </w:lvl>
  </w:abstractNum>
  <w:abstractNum w:abstractNumId="2">
    <w:nsid w:val="402A3EE5"/>
    <w:multiLevelType w:val="hybridMultilevel"/>
    <w:tmpl w:val="27FC6BFA"/>
    <w:lvl w:ilvl="0" w:tplc="F8CC506E">
      <w:start w:val="1"/>
      <w:numFmt w:val="decimal"/>
      <w:lvlText w:val="%1."/>
      <w:lvlJc w:val="left"/>
      <w:pPr>
        <w:tabs>
          <w:tab w:val="num" w:pos="720"/>
        </w:tabs>
        <w:ind w:left="504" w:firstLine="216"/>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
    <w:nsid w:val="5E0F2BCD"/>
    <w:multiLevelType w:val="hybridMultilevel"/>
    <w:tmpl w:val="13D09780"/>
    <w:lvl w:ilvl="0" w:tplc="04090001">
      <w:start w:val="1"/>
      <w:numFmt w:val="bullet"/>
      <w:lvlText w:val=""/>
      <w:lvlJc w:val="left"/>
      <w:pPr>
        <w:tabs>
          <w:tab w:val="num" w:pos="2025"/>
        </w:tabs>
        <w:ind w:left="2025" w:hanging="360"/>
      </w:pPr>
      <w:rPr>
        <w:rFonts w:ascii="Symbol" w:hAnsi="Symbol" w:hint="default"/>
      </w:rPr>
    </w:lvl>
    <w:lvl w:ilvl="1" w:tplc="04090003" w:tentative="1">
      <w:start w:val="1"/>
      <w:numFmt w:val="bullet"/>
      <w:lvlText w:val="o"/>
      <w:lvlJc w:val="left"/>
      <w:pPr>
        <w:tabs>
          <w:tab w:val="num" w:pos="2745"/>
        </w:tabs>
        <w:ind w:left="2745" w:hanging="360"/>
      </w:pPr>
      <w:rPr>
        <w:rFonts w:ascii="Courier New" w:hAnsi="Courier New" w:hint="default"/>
      </w:rPr>
    </w:lvl>
    <w:lvl w:ilvl="2" w:tplc="04090005" w:tentative="1">
      <w:start w:val="1"/>
      <w:numFmt w:val="bullet"/>
      <w:lvlText w:val=""/>
      <w:lvlJc w:val="left"/>
      <w:pPr>
        <w:tabs>
          <w:tab w:val="num" w:pos="3465"/>
        </w:tabs>
        <w:ind w:left="3465" w:hanging="360"/>
      </w:pPr>
      <w:rPr>
        <w:rFonts w:ascii="Wingdings" w:hAnsi="Wingdings" w:hint="default"/>
      </w:rPr>
    </w:lvl>
    <w:lvl w:ilvl="3" w:tplc="04090001" w:tentative="1">
      <w:start w:val="1"/>
      <w:numFmt w:val="bullet"/>
      <w:lvlText w:val=""/>
      <w:lvlJc w:val="left"/>
      <w:pPr>
        <w:tabs>
          <w:tab w:val="num" w:pos="4185"/>
        </w:tabs>
        <w:ind w:left="4185" w:hanging="360"/>
      </w:pPr>
      <w:rPr>
        <w:rFonts w:ascii="Symbol" w:hAnsi="Symbol" w:hint="default"/>
      </w:rPr>
    </w:lvl>
    <w:lvl w:ilvl="4" w:tplc="04090003" w:tentative="1">
      <w:start w:val="1"/>
      <w:numFmt w:val="bullet"/>
      <w:lvlText w:val="o"/>
      <w:lvlJc w:val="left"/>
      <w:pPr>
        <w:tabs>
          <w:tab w:val="num" w:pos="4905"/>
        </w:tabs>
        <w:ind w:left="4905" w:hanging="360"/>
      </w:pPr>
      <w:rPr>
        <w:rFonts w:ascii="Courier New" w:hAnsi="Courier New" w:hint="default"/>
      </w:rPr>
    </w:lvl>
    <w:lvl w:ilvl="5" w:tplc="04090005" w:tentative="1">
      <w:start w:val="1"/>
      <w:numFmt w:val="bullet"/>
      <w:lvlText w:val=""/>
      <w:lvlJc w:val="left"/>
      <w:pPr>
        <w:tabs>
          <w:tab w:val="num" w:pos="5625"/>
        </w:tabs>
        <w:ind w:left="5625" w:hanging="360"/>
      </w:pPr>
      <w:rPr>
        <w:rFonts w:ascii="Wingdings" w:hAnsi="Wingdings" w:hint="default"/>
      </w:rPr>
    </w:lvl>
    <w:lvl w:ilvl="6" w:tplc="04090001" w:tentative="1">
      <w:start w:val="1"/>
      <w:numFmt w:val="bullet"/>
      <w:lvlText w:val=""/>
      <w:lvlJc w:val="left"/>
      <w:pPr>
        <w:tabs>
          <w:tab w:val="num" w:pos="6345"/>
        </w:tabs>
        <w:ind w:left="6345" w:hanging="360"/>
      </w:pPr>
      <w:rPr>
        <w:rFonts w:ascii="Symbol" w:hAnsi="Symbol" w:hint="default"/>
      </w:rPr>
    </w:lvl>
    <w:lvl w:ilvl="7" w:tplc="04090003" w:tentative="1">
      <w:start w:val="1"/>
      <w:numFmt w:val="bullet"/>
      <w:lvlText w:val="o"/>
      <w:lvlJc w:val="left"/>
      <w:pPr>
        <w:tabs>
          <w:tab w:val="num" w:pos="7065"/>
        </w:tabs>
        <w:ind w:left="7065" w:hanging="360"/>
      </w:pPr>
      <w:rPr>
        <w:rFonts w:ascii="Courier New" w:hAnsi="Courier New" w:hint="default"/>
      </w:rPr>
    </w:lvl>
    <w:lvl w:ilvl="8" w:tplc="04090005" w:tentative="1">
      <w:start w:val="1"/>
      <w:numFmt w:val="bullet"/>
      <w:lvlText w:val=""/>
      <w:lvlJc w:val="left"/>
      <w:pPr>
        <w:tabs>
          <w:tab w:val="num" w:pos="7785"/>
        </w:tabs>
        <w:ind w:left="7785"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F06"/>
    <w:rsid w:val="0000733A"/>
    <w:rsid w:val="00052194"/>
    <w:rsid w:val="00052CBF"/>
    <w:rsid w:val="00073FC0"/>
    <w:rsid w:val="00083C70"/>
    <w:rsid w:val="000A3E5A"/>
    <w:rsid w:val="000C2AA0"/>
    <w:rsid w:val="000D2E88"/>
    <w:rsid w:val="001C52D9"/>
    <w:rsid w:val="001C743E"/>
    <w:rsid w:val="0022230F"/>
    <w:rsid w:val="00241C1E"/>
    <w:rsid w:val="002477FA"/>
    <w:rsid w:val="0026311B"/>
    <w:rsid w:val="002970FF"/>
    <w:rsid w:val="002C3D49"/>
    <w:rsid w:val="002C5E7F"/>
    <w:rsid w:val="00344ACB"/>
    <w:rsid w:val="003806D7"/>
    <w:rsid w:val="0042295C"/>
    <w:rsid w:val="0044366E"/>
    <w:rsid w:val="004849B7"/>
    <w:rsid w:val="0049212C"/>
    <w:rsid w:val="00493342"/>
    <w:rsid w:val="004B3B6D"/>
    <w:rsid w:val="004E2CEF"/>
    <w:rsid w:val="00546A34"/>
    <w:rsid w:val="0059121A"/>
    <w:rsid w:val="0059300A"/>
    <w:rsid w:val="005E07ED"/>
    <w:rsid w:val="005F1F47"/>
    <w:rsid w:val="005F5744"/>
    <w:rsid w:val="00626E06"/>
    <w:rsid w:val="00673E3D"/>
    <w:rsid w:val="006B04C9"/>
    <w:rsid w:val="006C006C"/>
    <w:rsid w:val="006C00FF"/>
    <w:rsid w:val="0070636B"/>
    <w:rsid w:val="00717667"/>
    <w:rsid w:val="00771A9C"/>
    <w:rsid w:val="0079677D"/>
    <w:rsid w:val="00824015"/>
    <w:rsid w:val="008328DF"/>
    <w:rsid w:val="00860957"/>
    <w:rsid w:val="00860D1F"/>
    <w:rsid w:val="0086311B"/>
    <w:rsid w:val="008B1E7A"/>
    <w:rsid w:val="008C0F06"/>
    <w:rsid w:val="008D4861"/>
    <w:rsid w:val="008F2D45"/>
    <w:rsid w:val="00910424"/>
    <w:rsid w:val="00915845"/>
    <w:rsid w:val="009971C4"/>
    <w:rsid w:val="00A67699"/>
    <w:rsid w:val="00A805FD"/>
    <w:rsid w:val="00AC5BD6"/>
    <w:rsid w:val="00AE2175"/>
    <w:rsid w:val="00AF35EA"/>
    <w:rsid w:val="00B533A6"/>
    <w:rsid w:val="00B573F7"/>
    <w:rsid w:val="00BA435F"/>
    <w:rsid w:val="00BA4EF9"/>
    <w:rsid w:val="00BB40E2"/>
    <w:rsid w:val="00BE1EA6"/>
    <w:rsid w:val="00BE2D8A"/>
    <w:rsid w:val="00C12DCB"/>
    <w:rsid w:val="00C90F85"/>
    <w:rsid w:val="00CA0A89"/>
    <w:rsid w:val="00CC41DC"/>
    <w:rsid w:val="00CD529A"/>
    <w:rsid w:val="00CF69F4"/>
    <w:rsid w:val="00D62A63"/>
    <w:rsid w:val="00D84F66"/>
    <w:rsid w:val="00DD0D23"/>
    <w:rsid w:val="00E016B8"/>
    <w:rsid w:val="00E24702"/>
    <w:rsid w:val="00E33D43"/>
    <w:rsid w:val="00E35817"/>
    <w:rsid w:val="00E57535"/>
    <w:rsid w:val="00E664FF"/>
    <w:rsid w:val="00E73614"/>
    <w:rsid w:val="00E92A50"/>
    <w:rsid w:val="00ED02C3"/>
    <w:rsid w:val="00ED6313"/>
    <w:rsid w:val="00F42E19"/>
    <w:rsid w:val="00F619AF"/>
    <w:rsid w:val="00F62BEF"/>
    <w:rsid w:val="00F715DB"/>
    <w:rsid w:val="00FA234A"/>
    <w:rsid w:val="00FE152E"/>
    <w:rsid w:val="00FE4D5C"/>
    <w:rsid w:val="00FE50C6"/>
    <w:rsid w:val="00FF2150"/>
    <w:rsid w:val="00FF6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D1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ind w:left="130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autoSpaceDE w:val="0"/>
      <w:autoSpaceDN w:val="0"/>
      <w:adjustRightInd w:val="0"/>
      <w:ind w:left="1305"/>
    </w:pPr>
    <w:rPr>
      <w:szCs w:val="20"/>
    </w:rPr>
  </w:style>
  <w:style w:type="paragraph" w:styleId="Title">
    <w:name w:val="Title"/>
    <w:basedOn w:val="Normal"/>
    <w:qFormat/>
    <w:pPr>
      <w:jc w:val="center"/>
    </w:pPr>
    <w:rPr>
      <w:b/>
      <w:bCs/>
      <w:sz w:val="1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DD0D23"/>
    <w:rPr>
      <w:color w:val="0563C1" w:themeColor="hyperlink"/>
      <w:u w:val="single"/>
    </w:rPr>
  </w:style>
  <w:style w:type="paragraph" w:styleId="ListParagraph">
    <w:name w:val="List Paragraph"/>
    <w:basedOn w:val="Normal"/>
    <w:uiPriority w:val="34"/>
    <w:qFormat/>
    <w:rsid w:val="00D84F66"/>
    <w:pPr>
      <w:ind w:left="720"/>
      <w:contextualSpacing/>
    </w:pPr>
  </w:style>
  <w:style w:type="paragraph" w:styleId="Header">
    <w:name w:val="header"/>
    <w:basedOn w:val="Normal"/>
    <w:link w:val="HeaderChar"/>
    <w:rsid w:val="00FE4D5C"/>
    <w:pPr>
      <w:tabs>
        <w:tab w:val="center" w:pos="4680"/>
        <w:tab w:val="right" w:pos="9360"/>
      </w:tabs>
    </w:pPr>
  </w:style>
  <w:style w:type="character" w:customStyle="1" w:styleId="HeaderChar">
    <w:name w:val="Header Char"/>
    <w:basedOn w:val="DefaultParagraphFont"/>
    <w:link w:val="Header"/>
    <w:rsid w:val="00FE4D5C"/>
    <w:rPr>
      <w:sz w:val="24"/>
      <w:szCs w:val="24"/>
    </w:rPr>
  </w:style>
  <w:style w:type="character" w:customStyle="1" w:styleId="FooterChar">
    <w:name w:val="Footer Char"/>
    <w:basedOn w:val="DefaultParagraphFont"/>
    <w:link w:val="Footer"/>
    <w:uiPriority w:val="99"/>
    <w:rsid w:val="00FE4D5C"/>
    <w:rPr>
      <w:sz w:val="24"/>
      <w:szCs w:val="24"/>
    </w:rPr>
  </w:style>
  <w:style w:type="paragraph" w:styleId="BalloonText">
    <w:name w:val="Balloon Text"/>
    <w:basedOn w:val="Normal"/>
    <w:link w:val="BalloonTextChar"/>
    <w:rsid w:val="00A67699"/>
    <w:rPr>
      <w:rFonts w:ascii="Segoe UI" w:hAnsi="Segoe UI" w:cs="Segoe UI"/>
      <w:sz w:val="18"/>
      <w:szCs w:val="18"/>
    </w:rPr>
  </w:style>
  <w:style w:type="character" w:customStyle="1" w:styleId="BalloonTextChar">
    <w:name w:val="Balloon Text Char"/>
    <w:basedOn w:val="DefaultParagraphFont"/>
    <w:link w:val="BalloonText"/>
    <w:rsid w:val="00A67699"/>
    <w:rPr>
      <w:rFonts w:ascii="Segoe UI" w:hAnsi="Segoe UI" w:cs="Segoe UI"/>
      <w:sz w:val="18"/>
      <w:szCs w:val="18"/>
    </w:rPr>
  </w:style>
  <w:style w:type="character" w:styleId="CommentReference">
    <w:name w:val="annotation reference"/>
    <w:basedOn w:val="DefaultParagraphFont"/>
    <w:rsid w:val="00FE50C6"/>
    <w:rPr>
      <w:sz w:val="16"/>
      <w:szCs w:val="16"/>
    </w:rPr>
  </w:style>
  <w:style w:type="paragraph" w:styleId="CommentText">
    <w:name w:val="annotation text"/>
    <w:basedOn w:val="Normal"/>
    <w:link w:val="CommentTextChar"/>
    <w:rsid w:val="00FE50C6"/>
    <w:rPr>
      <w:sz w:val="20"/>
      <w:szCs w:val="20"/>
    </w:rPr>
  </w:style>
  <w:style w:type="character" w:customStyle="1" w:styleId="CommentTextChar">
    <w:name w:val="Comment Text Char"/>
    <w:basedOn w:val="DefaultParagraphFont"/>
    <w:link w:val="CommentText"/>
    <w:rsid w:val="00FE50C6"/>
  </w:style>
  <w:style w:type="paragraph" w:styleId="CommentSubject">
    <w:name w:val="annotation subject"/>
    <w:basedOn w:val="CommentText"/>
    <w:next w:val="CommentText"/>
    <w:link w:val="CommentSubjectChar"/>
    <w:rsid w:val="00FE50C6"/>
    <w:rPr>
      <w:b/>
      <w:bCs/>
    </w:rPr>
  </w:style>
  <w:style w:type="character" w:customStyle="1" w:styleId="CommentSubjectChar">
    <w:name w:val="Comment Subject Char"/>
    <w:basedOn w:val="CommentTextChar"/>
    <w:link w:val="CommentSubject"/>
    <w:rsid w:val="00FE50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ind w:left="130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autoSpaceDE w:val="0"/>
      <w:autoSpaceDN w:val="0"/>
      <w:adjustRightInd w:val="0"/>
      <w:ind w:left="1305"/>
    </w:pPr>
    <w:rPr>
      <w:szCs w:val="20"/>
    </w:rPr>
  </w:style>
  <w:style w:type="paragraph" w:styleId="Title">
    <w:name w:val="Title"/>
    <w:basedOn w:val="Normal"/>
    <w:qFormat/>
    <w:pPr>
      <w:jc w:val="center"/>
    </w:pPr>
    <w:rPr>
      <w:b/>
      <w:bCs/>
      <w:sz w:val="1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DD0D23"/>
    <w:rPr>
      <w:color w:val="0563C1" w:themeColor="hyperlink"/>
      <w:u w:val="single"/>
    </w:rPr>
  </w:style>
  <w:style w:type="paragraph" w:styleId="ListParagraph">
    <w:name w:val="List Paragraph"/>
    <w:basedOn w:val="Normal"/>
    <w:uiPriority w:val="34"/>
    <w:qFormat/>
    <w:rsid w:val="00D84F66"/>
    <w:pPr>
      <w:ind w:left="720"/>
      <w:contextualSpacing/>
    </w:pPr>
  </w:style>
  <w:style w:type="paragraph" w:styleId="Header">
    <w:name w:val="header"/>
    <w:basedOn w:val="Normal"/>
    <w:link w:val="HeaderChar"/>
    <w:rsid w:val="00FE4D5C"/>
    <w:pPr>
      <w:tabs>
        <w:tab w:val="center" w:pos="4680"/>
        <w:tab w:val="right" w:pos="9360"/>
      </w:tabs>
    </w:pPr>
  </w:style>
  <w:style w:type="character" w:customStyle="1" w:styleId="HeaderChar">
    <w:name w:val="Header Char"/>
    <w:basedOn w:val="DefaultParagraphFont"/>
    <w:link w:val="Header"/>
    <w:rsid w:val="00FE4D5C"/>
    <w:rPr>
      <w:sz w:val="24"/>
      <w:szCs w:val="24"/>
    </w:rPr>
  </w:style>
  <w:style w:type="character" w:customStyle="1" w:styleId="FooterChar">
    <w:name w:val="Footer Char"/>
    <w:basedOn w:val="DefaultParagraphFont"/>
    <w:link w:val="Footer"/>
    <w:uiPriority w:val="99"/>
    <w:rsid w:val="00FE4D5C"/>
    <w:rPr>
      <w:sz w:val="24"/>
      <w:szCs w:val="24"/>
    </w:rPr>
  </w:style>
  <w:style w:type="paragraph" w:styleId="BalloonText">
    <w:name w:val="Balloon Text"/>
    <w:basedOn w:val="Normal"/>
    <w:link w:val="BalloonTextChar"/>
    <w:rsid w:val="00A67699"/>
    <w:rPr>
      <w:rFonts w:ascii="Segoe UI" w:hAnsi="Segoe UI" w:cs="Segoe UI"/>
      <w:sz w:val="18"/>
      <w:szCs w:val="18"/>
    </w:rPr>
  </w:style>
  <w:style w:type="character" w:customStyle="1" w:styleId="BalloonTextChar">
    <w:name w:val="Balloon Text Char"/>
    <w:basedOn w:val="DefaultParagraphFont"/>
    <w:link w:val="BalloonText"/>
    <w:rsid w:val="00A67699"/>
    <w:rPr>
      <w:rFonts w:ascii="Segoe UI" w:hAnsi="Segoe UI" w:cs="Segoe UI"/>
      <w:sz w:val="18"/>
      <w:szCs w:val="18"/>
    </w:rPr>
  </w:style>
  <w:style w:type="character" w:styleId="CommentReference">
    <w:name w:val="annotation reference"/>
    <w:basedOn w:val="DefaultParagraphFont"/>
    <w:rsid w:val="00FE50C6"/>
    <w:rPr>
      <w:sz w:val="16"/>
      <w:szCs w:val="16"/>
    </w:rPr>
  </w:style>
  <w:style w:type="paragraph" w:styleId="CommentText">
    <w:name w:val="annotation text"/>
    <w:basedOn w:val="Normal"/>
    <w:link w:val="CommentTextChar"/>
    <w:rsid w:val="00FE50C6"/>
    <w:rPr>
      <w:sz w:val="20"/>
      <w:szCs w:val="20"/>
    </w:rPr>
  </w:style>
  <w:style w:type="character" w:customStyle="1" w:styleId="CommentTextChar">
    <w:name w:val="Comment Text Char"/>
    <w:basedOn w:val="DefaultParagraphFont"/>
    <w:link w:val="CommentText"/>
    <w:rsid w:val="00FE50C6"/>
  </w:style>
  <w:style w:type="paragraph" w:styleId="CommentSubject">
    <w:name w:val="annotation subject"/>
    <w:basedOn w:val="CommentText"/>
    <w:next w:val="CommentText"/>
    <w:link w:val="CommentSubjectChar"/>
    <w:rsid w:val="00FE50C6"/>
    <w:rPr>
      <w:b/>
      <w:bCs/>
    </w:rPr>
  </w:style>
  <w:style w:type="character" w:customStyle="1" w:styleId="CommentSubjectChar">
    <w:name w:val="Comment Subject Char"/>
    <w:basedOn w:val="CommentTextChar"/>
    <w:link w:val="CommentSubject"/>
    <w:rsid w:val="00FE50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566246">
      <w:bodyDiv w:val="1"/>
      <w:marLeft w:val="0"/>
      <w:marRight w:val="0"/>
      <w:marTop w:val="0"/>
      <w:marBottom w:val="0"/>
      <w:divBdr>
        <w:top w:val="none" w:sz="0" w:space="0" w:color="auto"/>
        <w:left w:val="none" w:sz="0" w:space="0" w:color="auto"/>
        <w:bottom w:val="none" w:sz="0" w:space="0" w:color="auto"/>
        <w:right w:val="none" w:sz="0" w:space="0" w:color="auto"/>
      </w:divBdr>
    </w:div>
    <w:div w:id="195324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Department of the Treasury</vt:lpstr>
    </vt:vector>
  </TitlesOfParts>
  <Company>ATF</Company>
  <LinksUpToDate>false</LinksUpToDate>
  <CharactersWithSpaces>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Treasury</dc:title>
  <dc:subject/>
  <dc:creator>ATF</dc:creator>
  <cp:keywords/>
  <dc:description/>
  <cp:lastModifiedBy>SYSTEM</cp:lastModifiedBy>
  <cp:revision>2</cp:revision>
  <cp:lastPrinted>2019-05-23T15:17:00Z</cp:lastPrinted>
  <dcterms:created xsi:type="dcterms:W3CDTF">2019-05-23T16:14:00Z</dcterms:created>
  <dcterms:modified xsi:type="dcterms:W3CDTF">2019-05-23T16:14:00Z</dcterms:modified>
</cp:coreProperties>
</file>