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7D" w:rsidRPr="0001447D" w:rsidRDefault="0001447D" w:rsidP="0001447D">
      <w:pPr>
        <w:spacing w:after="0" w:line="240" w:lineRule="auto"/>
        <w:contextualSpacing/>
        <w:jc w:val="center"/>
        <w:rPr>
          <w:rFonts w:ascii="Times New Roman" w:eastAsiaTheme="majorEastAsia" w:hAnsi="Times New Roman" w:cstheme="majorBidi"/>
          <w:b/>
          <w:spacing w:val="-10"/>
          <w:kern w:val="28"/>
          <w:sz w:val="28"/>
          <w:szCs w:val="56"/>
        </w:rPr>
      </w:pPr>
      <w:bookmarkStart w:id="0" w:name="_GoBack"/>
      <w:bookmarkEnd w:id="0"/>
      <w:r w:rsidRPr="0001447D">
        <w:rPr>
          <w:rFonts w:ascii="Times New Roman" w:eastAsiaTheme="majorEastAsia" w:hAnsi="Times New Roman" w:cstheme="majorBidi"/>
          <w:b/>
          <w:spacing w:val="-10"/>
          <w:kern w:val="28"/>
          <w:sz w:val="28"/>
          <w:szCs w:val="56"/>
        </w:rPr>
        <w:t>Department of Justice</w:t>
      </w:r>
    </w:p>
    <w:p w:rsidR="0001447D" w:rsidRPr="0001447D" w:rsidRDefault="0001447D" w:rsidP="0001447D">
      <w:pPr>
        <w:spacing w:after="0" w:line="240" w:lineRule="auto"/>
        <w:contextualSpacing/>
        <w:jc w:val="center"/>
        <w:rPr>
          <w:rFonts w:ascii="Times New Roman" w:eastAsiaTheme="majorEastAsia" w:hAnsi="Times New Roman" w:cstheme="majorBidi"/>
          <w:b/>
          <w:spacing w:val="-10"/>
          <w:kern w:val="28"/>
          <w:sz w:val="28"/>
          <w:szCs w:val="56"/>
        </w:rPr>
      </w:pPr>
      <w:r w:rsidRPr="0001447D">
        <w:rPr>
          <w:rFonts w:ascii="Times New Roman" w:eastAsiaTheme="majorEastAsia" w:hAnsi="Times New Roman" w:cstheme="majorBidi"/>
          <w:b/>
          <w:spacing w:val="-10"/>
          <w:kern w:val="28"/>
          <w:sz w:val="28"/>
          <w:szCs w:val="56"/>
        </w:rPr>
        <w:t>Bureau of Alcohol, Tobacco, Firearms and Explosives</w:t>
      </w:r>
    </w:p>
    <w:p w:rsidR="0001447D" w:rsidRPr="0001447D" w:rsidRDefault="0001447D" w:rsidP="0001447D">
      <w:pPr>
        <w:spacing w:after="0" w:line="240" w:lineRule="auto"/>
        <w:contextualSpacing/>
        <w:jc w:val="center"/>
        <w:rPr>
          <w:rFonts w:ascii="Times New Roman" w:eastAsiaTheme="majorEastAsia" w:hAnsi="Times New Roman" w:cstheme="majorBidi"/>
          <w:b/>
          <w:spacing w:val="-10"/>
          <w:kern w:val="28"/>
          <w:sz w:val="28"/>
          <w:szCs w:val="56"/>
        </w:rPr>
      </w:pPr>
      <w:r w:rsidRPr="0001447D">
        <w:rPr>
          <w:rFonts w:ascii="Times New Roman" w:eastAsiaTheme="majorEastAsia" w:hAnsi="Times New Roman" w:cstheme="majorBidi"/>
          <w:b/>
          <w:spacing w:val="-10"/>
          <w:kern w:val="28"/>
          <w:sz w:val="28"/>
          <w:szCs w:val="56"/>
        </w:rPr>
        <w:t>Supporting Statement</w:t>
      </w:r>
    </w:p>
    <w:p w:rsidR="0001447D" w:rsidRPr="0001447D" w:rsidRDefault="0001447D" w:rsidP="0001447D">
      <w:pPr>
        <w:spacing w:after="0" w:line="240" w:lineRule="auto"/>
        <w:rPr>
          <w:rFonts w:ascii="Times New Roman" w:eastAsia="Times New Roman" w:hAnsi="Times New Roman" w:cs="Times New Roman"/>
          <w:sz w:val="24"/>
          <w:szCs w:val="20"/>
        </w:rPr>
      </w:pPr>
    </w:p>
    <w:p w:rsidR="0001447D" w:rsidRPr="0001447D" w:rsidRDefault="0001447D" w:rsidP="0001447D">
      <w:pPr>
        <w:spacing w:after="0" w:line="240" w:lineRule="auto"/>
        <w:jc w:val="center"/>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OMB Control No. 1140-0009</w:t>
      </w:r>
    </w:p>
    <w:p w:rsidR="0001447D" w:rsidRPr="0001447D" w:rsidRDefault="0001447D" w:rsidP="0001447D">
      <w:pPr>
        <w:spacing w:after="0" w:line="240" w:lineRule="auto"/>
        <w:jc w:val="center"/>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Application to Register as an Importer of U.S. Munitions Import List Articles </w:t>
      </w:r>
    </w:p>
    <w:p w:rsidR="0001447D" w:rsidRPr="0001447D" w:rsidRDefault="0001447D" w:rsidP="0001447D">
      <w:pPr>
        <w:spacing w:after="0" w:line="240" w:lineRule="auto"/>
        <w:jc w:val="center"/>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 (ATF Form 4587 (5330.4)</w:t>
      </w:r>
    </w:p>
    <w:p w:rsidR="0001447D" w:rsidRPr="0001447D" w:rsidRDefault="0001447D" w:rsidP="0001447D">
      <w:pPr>
        <w:spacing w:after="0" w:line="240" w:lineRule="auto"/>
        <w:rPr>
          <w:rFonts w:ascii="Times New Roman" w:eastAsia="Times New Roman" w:hAnsi="Times New Roman" w:cs="Times New Roman"/>
          <w:sz w:val="24"/>
          <w:szCs w:val="20"/>
        </w:rPr>
      </w:pPr>
    </w:p>
    <w:p w:rsidR="0001447D" w:rsidRPr="0001447D" w:rsidRDefault="0001447D" w:rsidP="0001447D">
      <w:pPr>
        <w:keepNext/>
        <w:keepLines/>
        <w:numPr>
          <w:ilvl w:val="0"/>
          <w:numId w:val="1"/>
        </w:numPr>
        <w:spacing w:after="0" w:line="240" w:lineRule="auto"/>
        <w:outlineLvl w:val="0"/>
        <w:rPr>
          <w:rFonts w:ascii="Times New Roman" w:eastAsiaTheme="majorEastAsia" w:hAnsi="Times New Roman" w:cstheme="majorBidi"/>
          <w:b/>
          <w:sz w:val="24"/>
          <w:szCs w:val="32"/>
        </w:rPr>
      </w:pPr>
      <w:r w:rsidRPr="0001447D">
        <w:rPr>
          <w:rFonts w:ascii="Times New Roman" w:eastAsiaTheme="majorEastAsia" w:hAnsi="Times New Roman" w:cstheme="majorBidi"/>
          <w:b/>
          <w:sz w:val="24"/>
          <w:szCs w:val="32"/>
        </w:rPr>
        <w:t>Justification</w:t>
      </w:r>
    </w:p>
    <w:p w:rsidR="0001447D" w:rsidRPr="0001447D" w:rsidRDefault="0001447D" w:rsidP="0001447D">
      <w:pPr>
        <w:spacing w:after="0" w:line="240" w:lineRule="auto"/>
        <w:ind w:left="720"/>
        <w:contextualSpacing/>
        <w:rPr>
          <w:rFonts w:ascii="Times New Roman" w:eastAsia="Times New Roman" w:hAnsi="Times New Roman" w:cs="Times New Roman"/>
          <w:sz w:val="24"/>
          <w:szCs w:val="20"/>
        </w:rPr>
      </w:pPr>
    </w:p>
    <w:p w:rsidR="0001447D" w:rsidRPr="0001447D" w:rsidRDefault="0001447D" w:rsidP="0001447D">
      <w:pPr>
        <w:numPr>
          <w:ilvl w:val="1"/>
          <w:numId w:val="1"/>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Through eligibility and permit requirements, the Arms Export Control Act of 1976 established a comprehensive system for regulating the importation of defense articles and defense services. This information collection informs potential respondents about specifications for the collection of information mandated or authorized by statue or regulations, with respect to the importation of such articles. According to 22 USC 2778 and the implementing regulations in 27</w:t>
      </w:r>
      <w:r w:rsidR="004B544C">
        <w:rPr>
          <w:rFonts w:ascii="Times New Roman" w:eastAsia="Times New Roman" w:hAnsi="Times New Roman" w:cs="Times New Roman"/>
          <w:sz w:val="24"/>
          <w:szCs w:val="20"/>
        </w:rPr>
        <w:t xml:space="preserve"> CFR Part 447, any individuals</w:t>
      </w:r>
      <w:r w:rsidRPr="0001447D">
        <w:rPr>
          <w:rFonts w:ascii="Times New Roman" w:eastAsia="Times New Roman" w:hAnsi="Times New Roman" w:cs="Times New Roman"/>
          <w:sz w:val="24"/>
          <w:szCs w:val="20"/>
        </w:rPr>
        <w:t xml:space="preserve"> engaged in the business of importing defense articles and defense services, must register with the Bureau of Alcohol, Tobacco, Firearms and Explosive</w:t>
      </w:r>
      <w:r w:rsidR="00A409B6">
        <w:rPr>
          <w:rFonts w:ascii="Times New Roman" w:eastAsia="Times New Roman" w:hAnsi="Times New Roman" w:cs="Times New Roman"/>
          <w:sz w:val="24"/>
          <w:szCs w:val="20"/>
        </w:rPr>
        <w:t>s</w:t>
      </w:r>
      <w:r w:rsidRPr="0001447D">
        <w:rPr>
          <w:rFonts w:ascii="Times New Roman" w:eastAsia="Times New Roman" w:hAnsi="Times New Roman" w:cs="Times New Roman"/>
          <w:sz w:val="24"/>
          <w:szCs w:val="20"/>
        </w:rPr>
        <w:t xml:space="preserve"> (ATF)</w:t>
      </w:r>
      <w:r w:rsidR="004B544C">
        <w:rPr>
          <w:rFonts w:ascii="Times New Roman" w:eastAsia="Times New Roman" w:hAnsi="Times New Roman" w:cs="Times New Roman"/>
          <w:sz w:val="24"/>
          <w:szCs w:val="20"/>
        </w:rPr>
        <w:t>. Specifically, the</w:t>
      </w:r>
      <w:r w:rsidR="00A409B6">
        <w:rPr>
          <w:rFonts w:ascii="Times New Roman" w:eastAsia="Times New Roman" w:hAnsi="Times New Roman" w:cs="Times New Roman"/>
          <w:sz w:val="24"/>
          <w:szCs w:val="20"/>
        </w:rPr>
        <w:t>y</w:t>
      </w:r>
      <w:r w:rsidR="004B544C">
        <w:rPr>
          <w:rFonts w:ascii="Times New Roman" w:eastAsia="Times New Roman" w:hAnsi="Times New Roman" w:cs="Times New Roman"/>
          <w:sz w:val="24"/>
          <w:szCs w:val="20"/>
        </w:rPr>
        <w:t xml:space="preserve"> must register</w:t>
      </w:r>
      <w:r w:rsidRPr="0001447D">
        <w:rPr>
          <w:rFonts w:ascii="Times New Roman" w:eastAsia="Times New Roman" w:hAnsi="Times New Roman" w:cs="Times New Roman"/>
          <w:sz w:val="24"/>
          <w:szCs w:val="20"/>
        </w:rPr>
        <w:t xml:space="preserve"> using the Application to Register as an Importer of U.S. Munitions Import List Articles (ATF F 4587 (5330.4)) and pay a registration fee. </w:t>
      </w:r>
    </w:p>
    <w:p w:rsidR="0001447D" w:rsidRPr="0001447D" w:rsidRDefault="0001447D" w:rsidP="0001447D">
      <w:pPr>
        <w:spacing w:after="0" w:line="240" w:lineRule="auto"/>
        <w:ind w:left="630"/>
        <w:rPr>
          <w:rFonts w:ascii="Times New Roman" w:eastAsia="Times New Roman" w:hAnsi="Times New Roman" w:cs="Times New Roman"/>
          <w:sz w:val="24"/>
          <w:szCs w:val="20"/>
        </w:rPr>
      </w:pPr>
    </w:p>
    <w:p w:rsidR="0001447D" w:rsidRPr="0001447D" w:rsidRDefault="0001447D" w:rsidP="0001447D">
      <w:pPr>
        <w:spacing w:after="0" w:line="240" w:lineRule="auto"/>
        <w:ind w:left="720"/>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On December 6, 1984, the Department of State published a final rule (49 FR 47684) revising the International Traffic in Arms Regulations (ITAR). ATF subsequently published a final rule (50 FR 42157 (1985) to conform 27 CFR 447 to the revised ITAR. The final rule became effective on October 11, 1985. The procedures to register as an importer have not changed. An explanation of the circumstances that make the collection of information necessary, follows for each data element that appears on the information collection request ATF F 4587 (5330.4):</w:t>
      </w:r>
    </w:p>
    <w:p w:rsidR="0001447D" w:rsidRPr="0001447D" w:rsidRDefault="0001447D" w:rsidP="0001447D">
      <w:pPr>
        <w:spacing w:after="0" w:line="240" w:lineRule="auto"/>
        <w:ind w:left="720"/>
        <w:rPr>
          <w:rFonts w:ascii="Times New Roman" w:eastAsia="Times New Roman" w:hAnsi="Times New Roman" w:cs="Times New Roman"/>
          <w:sz w:val="24"/>
          <w:szCs w:val="20"/>
        </w:rPr>
      </w:pPr>
    </w:p>
    <w:p w:rsidR="0001447D" w:rsidRPr="0001447D" w:rsidRDefault="0001447D" w:rsidP="0001447D">
      <w:pPr>
        <w:numPr>
          <w:ilvl w:val="0"/>
          <w:numId w:val="2"/>
        </w:numPr>
        <w:spacing w:after="0" w:line="240" w:lineRule="auto"/>
        <w:ind w:left="126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The name and address are necessary in order to return the application to the applicant, to correspond with and ensure that the registrant has suitable premises to conduct business and maintain required records.  </w:t>
      </w:r>
    </w:p>
    <w:p w:rsidR="0001447D" w:rsidRPr="0001447D" w:rsidRDefault="0001447D" w:rsidP="0001447D">
      <w:pPr>
        <w:numPr>
          <w:ilvl w:val="0"/>
          <w:numId w:val="2"/>
        </w:numPr>
        <w:spacing w:after="0" w:line="240" w:lineRule="auto"/>
        <w:ind w:left="1260" w:hanging="27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 telephone number expedites processing of the completed application, by allowing ATF to communicate directly with the applicant or registrant to resolve questions quickly, thereby eliminating the need for formal and time-consuming correspondence.</w:t>
      </w:r>
    </w:p>
    <w:p w:rsidR="0001447D" w:rsidRPr="0001447D" w:rsidRDefault="0001447D" w:rsidP="0001447D">
      <w:pPr>
        <w:numPr>
          <w:ilvl w:val="0"/>
          <w:numId w:val="2"/>
        </w:numPr>
        <w:spacing w:after="0" w:line="240" w:lineRule="auto"/>
        <w:ind w:left="1260" w:hanging="27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The current AECA registration number expedites processing of the application, by allowing ATF to verify if the applicant is already registered, </w:t>
      </w:r>
      <w:r w:rsidR="00A409B6">
        <w:rPr>
          <w:rFonts w:ascii="Times New Roman" w:eastAsia="Times New Roman" w:hAnsi="Times New Roman" w:cs="Times New Roman"/>
          <w:sz w:val="24"/>
          <w:szCs w:val="20"/>
        </w:rPr>
        <w:t>to validate a</w:t>
      </w:r>
      <w:r w:rsidRPr="0001447D">
        <w:rPr>
          <w:rFonts w:ascii="Times New Roman" w:eastAsia="Times New Roman" w:hAnsi="Times New Roman" w:cs="Times New Roman"/>
          <w:sz w:val="24"/>
          <w:szCs w:val="20"/>
        </w:rPr>
        <w:t xml:space="preserve"> previous registration date, and </w:t>
      </w:r>
      <w:r w:rsidR="00A409B6">
        <w:rPr>
          <w:rFonts w:ascii="Times New Roman" w:eastAsia="Times New Roman" w:hAnsi="Times New Roman" w:cs="Times New Roman"/>
          <w:sz w:val="24"/>
          <w:szCs w:val="20"/>
        </w:rPr>
        <w:t>to assign</w:t>
      </w:r>
      <w:r w:rsidRPr="0001447D">
        <w:rPr>
          <w:rFonts w:ascii="Times New Roman" w:eastAsia="Times New Roman" w:hAnsi="Times New Roman" w:cs="Times New Roman"/>
          <w:sz w:val="24"/>
          <w:szCs w:val="20"/>
        </w:rPr>
        <w:t xml:space="preserve"> a</w:t>
      </w:r>
      <w:r w:rsidRPr="0001447D">
        <w:rPr>
          <w:rFonts w:ascii="Times New Roman" w:eastAsia="Times New Roman" w:hAnsi="Times New Roman" w:cs="Times New Roman"/>
          <w:i/>
          <w:sz w:val="24"/>
          <w:szCs w:val="20"/>
        </w:rPr>
        <w:t xml:space="preserve"> </w:t>
      </w:r>
      <w:r w:rsidRPr="0001447D">
        <w:rPr>
          <w:rFonts w:ascii="Times New Roman" w:eastAsia="Times New Roman" w:hAnsi="Times New Roman" w:cs="Times New Roman"/>
          <w:sz w:val="24"/>
          <w:szCs w:val="20"/>
        </w:rPr>
        <w:t xml:space="preserve">new expiration date.  </w:t>
      </w:r>
    </w:p>
    <w:p w:rsidR="0001447D" w:rsidRPr="0001447D" w:rsidRDefault="0001447D" w:rsidP="0001447D">
      <w:pPr>
        <w:numPr>
          <w:ilvl w:val="0"/>
          <w:numId w:val="2"/>
        </w:numPr>
        <w:spacing w:after="0" w:line="240" w:lineRule="auto"/>
        <w:ind w:left="1260" w:hanging="18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The applicant has the option by regulation (27 CFR 47.32) to register for a period of 1 to 5 years. This block implements that regulation and provides a record after the check or money order has been deposited.  </w:t>
      </w:r>
    </w:p>
    <w:p w:rsidR="0001447D" w:rsidRPr="0001447D" w:rsidRDefault="0001447D" w:rsidP="0001447D">
      <w:pPr>
        <w:numPr>
          <w:ilvl w:val="0"/>
          <w:numId w:val="2"/>
        </w:numPr>
        <w:spacing w:after="0" w:line="240" w:lineRule="auto"/>
        <w:ind w:left="1260" w:hanging="18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It is necessary to determine whether the business entity making application is an individual, partnership, corporation or other legal entity, as well as the following particulars:</w:t>
      </w:r>
    </w:p>
    <w:p w:rsidR="0001447D" w:rsidRPr="0001447D" w:rsidRDefault="0001447D" w:rsidP="0001447D">
      <w:pPr>
        <w:numPr>
          <w:ilvl w:val="0"/>
          <w:numId w:val="3"/>
        </w:numPr>
        <w:tabs>
          <w:tab w:val="left" w:pos="1440"/>
        </w:tabs>
        <w:spacing w:after="0" w:line="240" w:lineRule="auto"/>
        <w:ind w:left="1620" w:hanging="18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 That the applicant is a legitimate business enterprise,</w:t>
      </w:r>
    </w:p>
    <w:p w:rsidR="0001447D" w:rsidRPr="0001447D" w:rsidRDefault="0001447D" w:rsidP="0001447D">
      <w:pPr>
        <w:numPr>
          <w:ilvl w:val="0"/>
          <w:numId w:val="3"/>
        </w:numPr>
        <w:tabs>
          <w:tab w:val="left" w:pos="1440"/>
        </w:tabs>
        <w:spacing w:after="0" w:line="240" w:lineRule="auto"/>
        <w:ind w:left="1620" w:hanging="180"/>
        <w:contextualSpacing/>
        <w:rPr>
          <w:rFonts w:ascii="Times New Roman" w:eastAsia="Times New Roman" w:hAnsi="Times New Roman" w:cs="Times New Roman"/>
          <w:sz w:val="24"/>
          <w:szCs w:val="20"/>
        </w:rPr>
      </w:pPr>
      <w:r w:rsidRPr="0001447D" w:rsidDel="001C2CE3">
        <w:rPr>
          <w:rFonts w:ascii="Times New Roman" w:eastAsia="Times New Roman" w:hAnsi="Times New Roman" w:cs="Times New Roman"/>
          <w:sz w:val="24"/>
          <w:szCs w:val="20"/>
        </w:rPr>
        <w:lastRenderedPageBreak/>
        <w:t xml:space="preserve"> </w:t>
      </w:r>
      <w:r w:rsidRPr="0001447D">
        <w:rPr>
          <w:rFonts w:ascii="Times New Roman" w:eastAsia="Times New Roman" w:hAnsi="Times New Roman" w:cs="Times New Roman"/>
          <w:sz w:val="24"/>
          <w:szCs w:val="20"/>
        </w:rPr>
        <w:t>The proper licensing and</w:t>
      </w:r>
      <w:r w:rsidRPr="0001447D">
        <w:rPr>
          <w:rFonts w:ascii="Times New Roman" w:eastAsia="Times New Roman" w:hAnsi="Times New Roman" w:cs="Times New Roman"/>
          <w:i/>
          <w:sz w:val="24"/>
          <w:szCs w:val="20"/>
        </w:rPr>
        <w:t xml:space="preserve"> </w:t>
      </w:r>
      <w:r w:rsidRPr="0001447D">
        <w:rPr>
          <w:rFonts w:ascii="Times New Roman" w:eastAsia="Times New Roman" w:hAnsi="Times New Roman" w:cs="Times New Roman"/>
          <w:sz w:val="24"/>
          <w:szCs w:val="20"/>
        </w:rPr>
        <w:t xml:space="preserve">registration requirements for the particular entity, and </w:t>
      </w:r>
    </w:p>
    <w:p w:rsidR="0001447D" w:rsidRPr="0001447D" w:rsidRDefault="0001447D" w:rsidP="0001447D">
      <w:pPr>
        <w:numPr>
          <w:ilvl w:val="0"/>
          <w:numId w:val="3"/>
        </w:numPr>
        <w:tabs>
          <w:tab w:val="left" w:pos="1440"/>
        </w:tabs>
        <w:spacing w:after="0" w:line="240" w:lineRule="auto"/>
        <w:ind w:left="1530" w:hanging="9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 That the application to register and subsequent applications to import are executed by properly authorized persons. </w:t>
      </w:r>
    </w:p>
    <w:p w:rsidR="0001447D" w:rsidRPr="0001447D" w:rsidRDefault="0001447D" w:rsidP="0001447D">
      <w:pPr>
        <w:numPr>
          <w:ilvl w:val="0"/>
          <w:numId w:val="2"/>
        </w:numPr>
        <w:tabs>
          <w:tab w:val="left" w:pos="1440"/>
        </w:tabs>
        <w:spacing w:after="0" w:line="240" w:lineRule="auto"/>
        <w:ind w:left="1260" w:hanging="18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The date and place of incorporation or commencement of business are necessary to ensure that the applicant is a legitimate business entity and, in the case of foreign entities and individuals, authorized to conduct business in the United States.  </w:t>
      </w:r>
    </w:p>
    <w:p w:rsidR="0001447D" w:rsidRPr="0001447D" w:rsidRDefault="0001447D" w:rsidP="0001447D">
      <w:pPr>
        <w:numPr>
          <w:ilvl w:val="0"/>
          <w:numId w:val="2"/>
        </w:numPr>
        <w:tabs>
          <w:tab w:val="left" w:pos="1440"/>
        </w:tabs>
        <w:spacing w:after="0" w:line="240" w:lineRule="auto"/>
        <w:ind w:left="1260" w:hanging="9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 importation of firearms, ammunition, and</w:t>
      </w:r>
      <w:r w:rsidRPr="0001447D">
        <w:rPr>
          <w:rFonts w:ascii="Times New Roman" w:eastAsia="Times New Roman" w:hAnsi="Times New Roman" w:cs="Times New Roman"/>
          <w:i/>
          <w:sz w:val="24"/>
          <w:szCs w:val="20"/>
        </w:rPr>
        <w:t xml:space="preserve"> </w:t>
      </w:r>
      <w:r w:rsidRPr="0001447D">
        <w:rPr>
          <w:rFonts w:ascii="Times New Roman" w:eastAsia="Times New Roman" w:hAnsi="Times New Roman" w:cs="Times New Roman"/>
          <w:sz w:val="24"/>
          <w:szCs w:val="20"/>
        </w:rPr>
        <w:t xml:space="preserve">implements of war are subject to licensing and registration requirements of the Gun Control Act (18 U.S.C. Chapter 44) and the National Firearms Act (26 U.S. C. Chapter 53), as well as the Arms Export Control Act (22 U.S. C. 2778). </w:t>
      </w:r>
    </w:p>
    <w:p w:rsidR="0001447D" w:rsidRPr="0001447D" w:rsidRDefault="0001447D" w:rsidP="0001447D">
      <w:pPr>
        <w:numPr>
          <w:ilvl w:val="0"/>
          <w:numId w:val="2"/>
        </w:numPr>
        <w:tabs>
          <w:tab w:val="left" w:pos="1440"/>
        </w:tabs>
        <w:spacing w:after="0" w:line="240" w:lineRule="auto"/>
        <w:ind w:left="1260" w:hanging="9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In order to approve an application to import firearms, ammunition, and implements of war, it is necessary to verify that the registrant has become properly licensed and registered under the GCA and the NFA, if required.  </w:t>
      </w:r>
    </w:p>
    <w:p w:rsidR="0001447D" w:rsidRPr="0001447D" w:rsidRDefault="0001447D" w:rsidP="0001447D">
      <w:pPr>
        <w:numPr>
          <w:ilvl w:val="0"/>
          <w:numId w:val="2"/>
        </w:numPr>
        <w:tabs>
          <w:tab w:val="left" w:pos="1440"/>
        </w:tabs>
        <w:spacing w:after="0" w:line="240" w:lineRule="auto"/>
        <w:ind w:left="1260" w:hanging="9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 information required for each individual owner, partner, and principal officer is necessary to verify that the business entity and persons are legitimate</w:t>
      </w:r>
      <w:r w:rsidR="00A409B6">
        <w:rPr>
          <w:rFonts w:ascii="Times New Roman" w:eastAsia="Times New Roman" w:hAnsi="Times New Roman" w:cs="Times New Roman"/>
          <w:sz w:val="24"/>
          <w:szCs w:val="20"/>
        </w:rPr>
        <w:t>,</w:t>
      </w:r>
      <w:r w:rsidRPr="0001447D">
        <w:rPr>
          <w:rFonts w:ascii="Times New Roman" w:eastAsia="Times New Roman" w:hAnsi="Times New Roman" w:cs="Times New Roman"/>
          <w:sz w:val="24"/>
          <w:szCs w:val="20"/>
        </w:rPr>
        <w:t xml:space="preserve"> and that the registration and subsequent applications are executed by properly authorized individuals. This information also enables the identification of persons who may be involved in illegal activity.  </w:t>
      </w:r>
    </w:p>
    <w:p w:rsidR="0001447D" w:rsidRPr="0001447D" w:rsidRDefault="0001447D" w:rsidP="0001447D">
      <w:pPr>
        <w:numPr>
          <w:ilvl w:val="0"/>
          <w:numId w:val="2"/>
        </w:numPr>
        <w:tabs>
          <w:tab w:val="left" w:pos="1440"/>
        </w:tabs>
        <w:spacing w:after="0" w:line="240" w:lineRule="auto"/>
        <w:ind w:left="1260" w:hanging="9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 information that is required in blocks 10-13, enables ATF to determine if registration under the AECA is actually required and what, if any, additional licensing and registration requirements must be met. Fees are returned if ATF determines that registration is not required.</w:t>
      </w:r>
    </w:p>
    <w:p w:rsidR="0001447D" w:rsidRPr="0001447D" w:rsidRDefault="0001447D" w:rsidP="0001447D">
      <w:pPr>
        <w:numPr>
          <w:ilvl w:val="0"/>
          <w:numId w:val="2"/>
        </w:numPr>
        <w:tabs>
          <w:tab w:val="left" w:pos="1440"/>
        </w:tabs>
        <w:spacing w:after="0" w:line="240" w:lineRule="auto"/>
        <w:ind w:left="1260" w:hanging="9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 signature, title, and date in blocks 14-16 are necessary to ensure that the application is properly executed by an authorized person.</w:t>
      </w:r>
      <w:r w:rsidRPr="0001447D">
        <w:rPr>
          <w:rFonts w:ascii="Times New Roman" w:eastAsia="Times New Roman" w:hAnsi="Times New Roman" w:cs="Times New Roman"/>
          <w:sz w:val="24"/>
          <w:szCs w:val="20"/>
        </w:rPr>
        <w:softHyphen/>
      </w:r>
    </w:p>
    <w:p w:rsidR="0001447D" w:rsidRPr="0001447D" w:rsidRDefault="0001447D" w:rsidP="0001447D">
      <w:pPr>
        <w:spacing w:after="0" w:line="240" w:lineRule="auto"/>
        <w:rPr>
          <w:rFonts w:ascii="Times New Roman" w:eastAsia="Times New Roman" w:hAnsi="Times New Roman" w:cs="Times New Roman"/>
          <w:sz w:val="24"/>
          <w:szCs w:val="20"/>
        </w:rPr>
      </w:pPr>
    </w:p>
    <w:p w:rsidR="0001447D" w:rsidRPr="0001447D" w:rsidRDefault="0001447D" w:rsidP="0001447D">
      <w:pPr>
        <w:spacing w:after="0" w:line="240" w:lineRule="auto"/>
        <w:rPr>
          <w:rFonts w:ascii="Times New Roman" w:eastAsia="Times New Roman" w:hAnsi="Times New Roman" w:cs="Times New Roman"/>
          <w:sz w:val="24"/>
          <w:szCs w:val="20"/>
        </w:rPr>
      </w:pPr>
    </w:p>
    <w:p w:rsidR="0001447D" w:rsidRPr="0001447D" w:rsidRDefault="0001447D" w:rsidP="0001447D">
      <w:pPr>
        <w:numPr>
          <w:ilvl w:val="1"/>
          <w:numId w:val="1"/>
        </w:numPr>
        <w:tabs>
          <w:tab w:val="left" w:pos="360"/>
          <w:tab w:val="left" w:pos="720"/>
        </w:tabs>
        <w:spacing w:after="0" w:line="240" w:lineRule="auto"/>
        <w:ind w:hanging="45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 data provided through this information collection is used by ATF personnel to:</w:t>
      </w:r>
    </w:p>
    <w:p w:rsidR="0001447D" w:rsidRDefault="0001447D" w:rsidP="0001447D">
      <w:pPr>
        <w:numPr>
          <w:ilvl w:val="0"/>
          <w:numId w:val="4"/>
        </w:numPr>
        <w:tabs>
          <w:tab w:val="left" w:pos="360"/>
          <w:tab w:val="left" w:pos="720"/>
          <w:tab w:val="left" w:pos="1170"/>
        </w:tabs>
        <w:spacing w:after="0" w:line="240" w:lineRule="auto"/>
        <w:ind w:left="126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Determine if the applicant is required to register as an importer,</w:t>
      </w:r>
    </w:p>
    <w:p w:rsidR="00397366" w:rsidRDefault="00397366" w:rsidP="00397366">
      <w:pPr>
        <w:numPr>
          <w:ilvl w:val="0"/>
          <w:numId w:val="4"/>
        </w:numPr>
        <w:tabs>
          <w:tab w:val="left" w:pos="360"/>
          <w:tab w:val="left" w:pos="720"/>
          <w:tab w:val="left" w:pos="1170"/>
        </w:tabs>
        <w:spacing w:after="0" w:line="240" w:lineRule="auto"/>
        <w:ind w:left="126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Effect the registration</w:t>
      </w:r>
      <w:r w:rsidR="002D33C4">
        <w:rPr>
          <w:rFonts w:ascii="Times New Roman" w:eastAsia="Times New Roman" w:hAnsi="Times New Roman" w:cs="Times New Roman"/>
          <w:sz w:val="24"/>
          <w:szCs w:val="20"/>
        </w:rPr>
        <w:t>,</w:t>
      </w:r>
      <w:r w:rsidRPr="0001447D">
        <w:rPr>
          <w:rFonts w:ascii="Times New Roman" w:eastAsia="Times New Roman" w:hAnsi="Times New Roman" w:cs="Times New Roman"/>
          <w:sz w:val="24"/>
          <w:szCs w:val="20"/>
        </w:rPr>
        <w:t xml:space="preserve"> and</w:t>
      </w:r>
    </w:p>
    <w:p w:rsidR="00397366" w:rsidRPr="0001447D" w:rsidRDefault="00397366" w:rsidP="00397366">
      <w:pPr>
        <w:numPr>
          <w:ilvl w:val="0"/>
          <w:numId w:val="4"/>
        </w:numPr>
        <w:tabs>
          <w:tab w:val="left" w:pos="360"/>
          <w:tab w:val="left" w:pos="720"/>
          <w:tab w:val="left" w:pos="1170"/>
        </w:tabs>
        <w:spacing w:after="0" w:line="240" w:lineRule="auto"/>
        <w:ind w:left="126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Facilitate the collection of the registration fees.</w:t>
      </w:r>
    </w:p>
    <w:p w:rsidR="0001447D" w:rsidRPr="0001447D" w:rsidRDefault="0001447D" w:rsidP="00397366">
      <w:pPr>
        <w:tabs>
          <w:tab w:val="left" w:pos="360"/>
          <w:tab w:val="left" w:pos="720"/>
          <w:tab w:val="left" w:pos="1260"/>
        </w:tabs>
        <w:spacing w:after="0" w:line="240" w:lineRule="auto"/>
        <w:ind w:left="720"/>
        <w:outlineLvl w:val="0"/>
        <w:rPr>
          <w:rFonts w:ascii="Times New Roman" w:eastAsia="Times New Roman" w:hAnsi="Times New Roman" w:cs="Times New Roman"/>
          <w:sz w:val="24"/>
          <w:szCs w:val="20"/>
        </w:rPr>
      </w:pPr>
    </w:p>
    <w:p w:rsidR="0001447D" w:rsidRDefault="0001447D" w:rsidP="0001447D">
      <w:pPr>
        <w:tabs>
          <w:tab w:val="left" w:pos="360"/>
          <w:tab w:val="left" w:pos="720"/>
          <w:tab w:val="left" w:pos="1260"/>
        </w:tabs>
        <w:spacing w:after="0" w:line="240" w:lineRule="auto"/>
        <w:ind w:left="720"/>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In addition, the information is used to aid ATF in its law enforcement and regulatory activities with respect to the regulation of firearms and ammunition. The information may also be disclosed to other Federal, State, foreign and local law enforcement and regulatory agency personnel. Specifically, application content may be shared with these </w:t>
      </w:r>
      <w:r w:rsidR="002D33C4">
        <w:rPr>
          <w:rFonts w:ascii="Times New Roman" w:eastAsia="Times New Roman" w:hAnsi="Times New Roman" w:cs="Times New Roman"/>
          <w:sz w:val="24"/>
          <w:szCs w:val="20"/>
        </w:rPr>
        <w:t>entities</w:t>
      </w:r>
      <w:r w:rsidRPr="0001447D">
        <w:rPr>
          <w:rFonts w:ascii="Times New Roman" w:eastAsia="Times New Roman" w:hAnsi="Times New Roman" w:cs="Times New Roman"/>
          <w:sz w:val="24"/>
          <w:szCs w:val="20"/>
        </w:rPr>
        <w:t xml:space="preserve"> to </w:t>
      </w:r>
      <w:r w:rsidR="002D33C4">
        <w:rPr>
          <w:rFonts w:ascii="Times New Roman" w:eastAsia="Times New Roman" w:hAnsi="Times New Roman" w:cs="Times New Roman"/>
          <w:sz w:val="24"/>
          <w:szCs w:val="20"/>
        </w:rPr>
        <w:t>validate</w:t>
      </w:r>
      <w:r w:rsidRPr="0001447D">
        <w:rPr>
          <w:rFonts w:ascii="Times New Roman" w:eastAsia="Times New Roman" w:hAnsi="Times New Roman" w:cs="Times New Roman"/>
          <w:sz w:val="24"/>
          <w:szCs w:val="20"/>
        </w:rPr>
        <w:t xml:space="preserve"> the information on the application, and verify the performance of individual duties with respect to the regulation of firearms and ammunition. This information may also help the State Department to determine if there is any connection between an individual and any duties and responsibilities in the area of foreign affairs. The information may be disclosed to the Justice Department, if it appears that information has been falsified, which may constitute a violation of Federal law.</w:t>
      </w:r>
    </w:p>
    <w:p w:rsidR="002D33C4" w:rsidRPr="0001447D" w:rsidRDefault="002D33C4" w:rsidP="0001447D">
      <w:pPr>
        <w:tabs>
          <w:tab w:val="left" w:pos="360"/>
          <w:tab w:val="left" w:pos="720"/>
          <w:tab w:val="left" w:pos="1260"/>
        </w:tabs>
        <w:spacing w:after="0" w:line="240" w:lineRule="auto"/>
        <w:ind w:left="720"/>
        <w:rPr>
          <w:rFonts w:ascii="Times New Roman" w:eastAsia="Times New Roman" w:hAnsi="Times New Roman" w:cs="Times New Roman"/>
          <w:sz w:val="24"/>
          <w:szCs w:val="20"/>
        </w:rPr>
      </w:pPr>
    </w:p>
    <w:p w:rsidR="0001447D" w:rsidRPr="0001447D" w:rsidRDefault="0001447D" w:rsidP="002D33C4">
      <w:pPr>
        <w:numPr>
          <w:ilvl w:val="1"/>
          <w:numId w:val="1"/>
        </w:numPr>
        <w:tabs>
          <w:tab w:val="left" w:pos="360"/>
          <w:tab w:val="left" w:pos="720"/>
          <w:tab w:val="left" w:pos="1260"/>
        </w:tabs>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ATF accepts signed electronic copies of this form through Pay.gov. Individuals with disabilities can also access</w:t>
      </w:r>
      <w:r w:rsidR="002D33C4">
        <w:rPr>
          <w:rFonts w:ascii="Times New Roman" w:eastAsia="Times New Roman" w:hAnsi="Times New Roman" w:cs="Times New Roman"/>
          <w:sz w:val="24"/>
          <w:szCs w:val="20"/>
        </w:rPr>
        <w:t>, complete and submit</w:t>
      </w:r>
      <w:r w:rsidRPr="0001447D">
        <w:rPr>
          <w:rFonts w:ascii="Times New Roman" w:eastAsia="Times New Roman" w:hAnsi="Times New Roman" w:cs="Times New Roman"/>
          <w:sz w:val="24"/>
          <w:szCs w:val="20"/>
        </w:rPr>
        <w:t xml:space="preserve"> this form. Respondents may also mail the application (ATF F 4587), which includes an original signature in duplicate form, along with the registration fee to the ATF lock box address located in Portland, Oregon. </w:t>
      </w:r>
      <w:r w:rsidRPr="0001447D">
        <w:rPr>
          <w:rFonts w:ascii="Times New Roman" w:eastAsia="Times New Roman" w:hAnsi="Times New Roman" w:cs="Times New Roman"/>
          <w:sz w:val="24"/>
          <w:szCs w:val="20"/>
        </w:rPr>
        <w:lastRenderedPageBreak/>
        <w:t>The lock box allows fee deposits, photocopies of checks and/or money orders, and facilitates the transmission of duplicate form and photocopies to ATF Headquarters.</w:t>
      </w:r>
    </w:p>
    <w:p w:rsidR="0001447D" w:rsidRPr="0001447D" w:rsidRDefault="0001447D" w:rsidP="0001447D">
      <w:pPr>
        <w:spacing w:after="0" w:line="240" w:lineRule="auto"/>
        <w:ind w:left="720"/>
        <w:contextualSpacing/>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ATF uses a uniform subject classification system to identify duplication and ensure that any similar information already available cannot be used or modified for the purpose of this information collection.</w:t>
      </w:r>
    </w:p>
    <w:p w:rsidR="0001447D" w:rsidRPr="0001447D" w:rsidRDefault="0001447D" w:rsidP="0001447D">
      <w:pPr>
        <w:spacing w:after="0" w:line="240" w:lineRule="auto"/>
        <w:ind w:left="810"/>
        <w:contextualSpacing/>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There is no impact on small businesses. </w:t>
      </w:r>
    </w:p>
    <w:p w:rsidR="0001447D" w:rsidRPr="0001447D" w:rsidRDefault="0001447D" w:rsidP="0001447D">
      <w:pPr>
        <w:spacing w:after="0" w:line="240" w:lineRule="auto"/>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 xml:space="preserve">Infrequent collection of this information would substantially increase the potential for </w:t>
      </w:r>
      <w:r w:rsidR="002D33C4">
        <w:rPr>
          <w:rFonts w:ascii="Times New Roman" w:eastAsia="Times New Roman" w:hAnsi="Times New Roman" w:cs="Times New Roman"/>
          <w:sz w:val="24"/>
          <w:szCs w:val="20"/>
        </w:rPr>
        <w:t xml:space="preserve">the </w:t>
      </w:r>
      <w:r w:rsidRPr="0001447D">
        <w:rPr>
          <w:rFonts w:ascii="Times New Roman" w:eastAsia="Times New Roman" w:hAnsi="Times New Roman" w:cs="Times New Roman"/>
          <w:sz w:val="24"/>
          <w:szCs w:val="20"/>
        </w:rPr>
        <w:t>illegal introduction</w:t>
      </w:r>
      <w:r w:rsidR="002D33C4">
        <w:rPr>
          <w:rFonts w:ascii="Times New Roman" w:eastAsia="Times New Roman" w:hAnsi="Times New Roman" w:cs="Times New Roman"/>
          <w:sz w:val="24"/>
          <w:szCs w:val="20"/>
        </w:rPr>
        <w:t xml:space="preserve"> </w:t>
      </w:r>
      <w:r w:rsidR="002D33C4" w:rsidRPr="0001447D">
        <w:rPr>
          <w:rFonts w:ascii="Times New Roman" w:eastAsia="Times New Roman" w:hAnsi="Times New Roman" w:cs="Times New Roman"/>
          <w:sz w:val="24"/>
          <w:szCs w:val="20"/>
        </w:rPr>
        <w:t>of firearms, ammunition and implements of war</w:t>
      </w:r>
      <w:r w:rsidRPr="0001447D">
        <w:rPr>
          <w:rFonts w:ascii="Times New Roman" w:eastAsia="Times New Roman" w:hAnsi="Times New Roman" w:cs="Times New Roman"/>
          <w:sz w:val="24"/>
          <w:szCs w:val="20"/>
        </w:rPr>
        <w:t xml:space="preserve"> into domestic commerce. This would pose a threat to public safety by exacerbating c</w:t>
      </w:r>
      <w:r w:rsidR="002D33C4">
        <w:rPr>
          <w:rFonts w:ascii="Times New Roman" w:eastAsia="Times New Roman" w:hAnsi="Times New Roman" w:cs="Times New Roman"/>
          <w:sz w:val="24"/>
          <w:szCs w:val="20"/>
        </w:rPr>
        <w:t>rime and violence, and undermining</w:t>
      </w:r>
      <w:r w:rsidRPr="0001447D">
        <w:rPr>
          <w:rFonts w:ascii="Times New Roman" w:eastAsia="Times New Roman" w:hAnsi="Times New Roman" w:cs="Times New Roman"/>
          <w:sz w:val="24"/>
          <w:szCs w:val="20"/>
        </w:rPr>
        <w:t xml:space="preserve"> the declared law enforcement, foreign policy, and/or revenue purposes.</w:t>
      </w:r>
    </w:p>
    <w:p w:rsidR="0001447D" w:rsidRPr="0001447D" w:rsidRDefault="0001447D" w:rsidP="002D33C4">
      <w:pPr>
        <w:spacing w:after="0" w:line="240" w:lineRule="auto"/>
        <w:ind w:left="720" w:hanging="360"/>
        <w:contextualSpacing/>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This collection of information is conducted in a manner consistent with the guidelines of 5 CFR 1320.6.</w:t>
      </w:r>
    </w:p>
    <w:p w:rsidR="0001447D" w:rsidRPr="0001447D" w:rsidRDefault="0001447D" w:rsidP="002D33C4">
      <w:pPr>
        <w:spacing w:after="0" w:line="240" w:lineRule="auto"/>
        <w:ind w:left="720" w:hanging="360"/>
        <w:contextualSpacing/>
        <w:rPr>
          <w:rFonts w:ascii="Times New Roman" w:eastAsia="Times New Roman" w:hAnsi="Times New Roman" w:cs="Times New Roman"/>
          <w:sz w:val="24"/>
          <w:szCs w:val="20"/>
        </w:rPr>
      </w:pPr>
    </w:p>
    <w:p w:rsidR="0001447D" w:rsidRDefault="00B92FCA" w:rsidP="008B48BF">
      <w:pPr>
        <w:numPr>
          <w:ilvl w:val="0"/>
          <w:numId w:val="5"/>
        </w:numPr>
        <w:spacing w:after="0" w:line="240" w:lineRule="auto"/>
        <w:ind w:left="720"/>
        <w:contextualSpacing/>
        <w:rPr>
          <w:rFonts w:ascii="Times New Roman" w:eastAsia="Times New Roman" w:hAnsi="Times New Roman" w:cs="Times New Roman"/>
          <w:sz w:val="24"/>
          <w:szCs w:val="20"/>
        </w:rPr>
      </w:pPr>
      <w:r w:rsidRPr="001E0EA5">
        <w:rPr>
          <w:rFonts w:ascii="Times New Roman" w:eastAsia="Times New Roman" w:hAnsi="Times New Roman" w:cs="Times New Roman"/>
          <w:sz w:val="24"/>
          <w:szCs w:val="20"/>
        </w:rPr>
        <w:t xml:space="preserve">No comment were received during </w:t>
      </w:r>
      <w:r w:rsidR="001E0EA5" w:rsidRPr="001E0EA5">
        <w:rPr>
          <w:rFonts w:ascii="Times New Roman" w:eastAsia="Times New Roman" w:hAnsi="Times New Roman" w:cs="Times New Roman"/>
          <w:sz w:val="24"/>
          <w:szCs w:val="20"/>
        </w:rPr>
        <w:t xml:space="preserve">either </w:t>
      </w:r>
      <w:r w:rsidRPr="001E0EA5">
        <w:rPr>
          <w:rFonts w:ascii="Times New Roman" w:eastAsia="Times New Roman" w:hAnsi="Times New Roman" w:cs="Times New Roman"/>
          <w:sz w:val="24"/>
          <w:szCs w:val="20"/>
        </w:rPr>
        <w:t xml:space="preserve">the </w:t>
      </w:r>
      <w:r w:rsidR="0001447D" w:rsidRPr="001E0EA5">
        <w:rPr>
          <w:rFonts w:ascii="Times New Roman" w:eastAsia="Times New Roman" w:hAnsi="Times New Roman" w:cs="Times New Roman"/>
          <w:sz w:val="24"/>
          <w:szCs w:val="20"/>
        </w:rPr>
        <w:t>60-day</w:t>
      </w:r>
      <w:r w:rsidRPr="001E0EA5">
        <w:rPr>
          <w:rFonts w:ascii="Times New Roman" w:eastAsia="Times New Roman" w:hAnsi="Times New Roman" w:cs="Times New Roman"/>
          <w:sz w:val="24"/>
          <w:szCs w:val="20"/>
        </w:rPr>
        <w:t xml:space="preserve"> </w:t>
      </w:r>
      <w:r w:rsidR="001E0EA5">
        <w:rPr>
          <w:rFonts w:ascii="Times New Roman" w:eastAsia="Times New Roman" w:hAnsi="Times New Roman" w:cs="Times New Roman"/>
          <w:sz w:val="24"/>
          <w:szCs w:val="20"/>
        </w:rPr>
        <w:t xml:space="preserve">or </w:t>
      </w:r>
      <w:r w:rsidR="001E0EA5" w:rsidRPr="001E0EA5">
        <w:rPr>
          <w:rFonts w:ascii="Times New Roman" w:eastAsia="Times New Roman" w:hAnsi="Times New Roman" w:cs="Times New Roman"/>
          <w:sz w:val="24"/>
          <w:szCs w:val="20"/>
        </w:rPr>
        <w:t xml:space="preserve">the 30-day </w:t>
      </w:r>
      <w:r w:rsidRPr="001E0EA5">
        <w:rPr>
          <w:rFonts w:ascii="Times New Roman" w:eastAsia="Times New Roman" w:hAnsi="Times New Roman" w:cs="Times New Roman"/>
          <w:sz w:val="24"/>
          <w:szCs w:val="20"/>
        </w:rPr>
        <w:t>Federal Register notice period</w:t>
      </w:r>
      <w:r w:rsidR="001E0EA5" w:rsidRPr="001E0EA5">
        <w:rPr>
          <w:rFonts w:ascii="Times New Roman" w:eastAsia="Times New Roman" w:hAnsi="Times New Roman" w:cs="Times New Roman"/>
          <w:sz w:val="24"/>
          <w:szCs w:val="20"/>
        </w:rPr>
        <w:t>s</w:t>
      </w:r>
      <w:r w:rsidRPr="001E0EA5">
        <w:rPr>
          <w:rFonts w:ascii="Times New Roman" w:eastAsia="Times New Roman" w:hAnsi="Times New Roman" w:cs="Times New Roman"/>
          <w:sz w:val="24"/>
          <w:szCs w:val="20"/>
        </w:rPr>
        <w:t xml:space="preserve">. </w:t>
      </w:r>
    </w:p>
    <w:p w:rsidR="001E0EA5" w:rsidRPr="001E0EA5" w:rsidRDefault="001E0EA5" w:rsidP="001E0EA5">
      <w:pPr>
        <w:spacing w:after="0" w:line="240" w:lineRule="auto"/>
        <w:contextualSpacing/>
        <w:rPr>
          <w:rFonts w:ascii="Times New Roman" w:eastAsia="Times New Roman" w:hAnsi="Times New Roman" w:cs="Times New Roman"/>
          <w:sz w:val="24"/>
          <w:szCs w:val="20"/>
        </w:rPr>
      </w:pPr>
    </w:p>
    <w:p w:rsidR="0001447D" w:rsidRPr="0001447D" w:rsidRDefault="002D33C4" w:rsidP="002D33C4">
      <w:pPr>
        <w:numPr>
          <w:ilvl w:val="0"/>
          <w:numId w:val="5"/>
        </w:numPr>
        <w:spacing w:after="0" w:line="240" w:lineRule="auto"/>
        <w:ind w:left="72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No</w:t>
      </w:r>
      <w:r w:rsidR="0001447D" w:rsidRPr="0001447D">
        <w:rPr>
          <w:rFonts w:ascii="Times New Roman" w:eastAsia="Times New Roman" w:hAnsi="Times New Roman" w:cs="Times New Roman"/>
          <w:sz w:val="24"/>
          <w:szCs w:val="20"/>
        </w:rPr>
        <w:t xml:space="preserve"> payment or gift is associated with this collection.</w:t>
      </w:r>
    </w:p>
    <w:p w:rsidR="0001447D" w:rsidRPr="0001447D" w:rsidRDefault="0001447D" w:rsidP="002D33C4">
      <w:pPr>
        <w:spacing w:after="0" w:line="240" w:lineRule="auto"/>
        <w:ind w:left="720" w:hanging="360"/>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 confidentiality of information obtained by ATF from regulated individuals is protected under the provisions of 5 U.S.C. 552 and 26 U.S.C. 6103. Confidentially is not assured.</w:t>
      </w:r>
    </w:p>
    <w:p w:rsidR="0001447D" w:rsidRPr="0001447D" w:rsidRDefault="0001447D" w:rsidP="002D33C4">
      <w:pPr>
        <w:spacing w:after="0" w:line="240" w:lineRule="auto"/>
        <w:ind w:left="720" w:hanging="360"/>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There are no questions of a sensitive nature.</w:t>
      </w:r>
    </w:p>
    <w:p w:rsidR="0001447D" w:rsidRPr="0001447D" w:rsidRDefault="0001447D" w:rsidP="002D33C4">
      <w:pPr>
        <w:spacing w:after="0" w:line="240" w:lineRule="auto"/>
        <w:ind w:left="720" w:hanging="360"/>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There are 300 re</w:t>
      </w:r>
      <w:r w:rsidR="002D33C4">
        <w:rPr>
          <w:rFonts w:ascii="Times New Roman" w:eastAsia="Times New Roman" w:hAnsi="Times New Roman" w:cs="Times New Roman"/>
          <w:sz w:val="24"/>
          <w:szCs w:val="20"/>
        </w:rPr>
        <w:t xml:space="preserve">spondents for this collection. </w:t>
      </w:r>
      <w:r w:rsidRPr="0001447D">
        <w:rPr>
          <w:rFonts w:ascii="Times New Roman" w:eastAsia="Times New Roman" w:hAnsi="Times New Roman" w:cs="Times New Roman"/>
          <w:sz w:val="24"/>
          <w:szCs w:val="20"/>
        </w:rPr>
        <w:t xml:space="preserve">The respondents </w:t>
      </w:r>
      <w:r w:rsidR="002D33C4">
        <w:rPr>
          <w:rFonts w:ascii="Times New Roman" w:eastAsia="Times New Roman" w:hAnsi="Times New Roman" w:cs="Times New Roman"/>
          <w:sz w:val="24"/>
          <w:szCs w:val="20"/>
        </w:rPr>
        <w:t>will respond</w:t>
      </w:r>
      <w:r w:rsidRPr="0001447D">
        <w:rPr>
          <w:rFonts w:ascii="Times New Roman" w:eastAsia="Times New Roman" w:hAnsi="Times New Roman" w:cs="Times New Roman"/>
          <w:sz w:val="24"/>
          <w:szCs w:val="20"/>
        </w:rPr>
        <w:t xml:space="preserve"> one (1) time to this information collection for a</w:t>
      </w:r>
      <w:r w:rsidR="002D33C4">
        <w:rPr>
          <w:rFonts w:ascii="Times New Roman" w:eastAsia="Times New Roman" w:hAnsi="Times New Roman" w:cs="Times New Roman"/>
          <w:sz w:val="24"/>
          <w:szCs w:val="20"/>
        </w:rPr>
        <w:t xml:space="preserve"> total 300 responses annually. </w:t>
      </w:r>
      <w:r w:rsidRPr="0001447D">
        <w:rPr>
          <w:rFonts w:ascii="Times New Roman" w:eastAsia="Times New Roman" w:hAnsi="Times New Roman" w:cs="Times New Roman"/>
          <w:sz w:val="24"/>
          <w:szCs w:val="20"/>
        </w:rPr>
        <w:t>The form</w:t>
      </w:r>
      <w:r w:rsidR="002D33C4">
        <w:rPr>
          <w:rFonts w:ascii="Times New Roman" w:eastAsia="Times New Roman" w:hAnsi="Times New Roman" w:cs="Times New Roman"/>
          <w:sz w:val="24"/>
          <w:szCs w:val="20"/>
        </w:rPr>
        <w:t xml:space="preserve"> takes 30 minutes to complete. </w:t>
      </w:r>
      <w:r w:rsidRPr="0001447D">
        <w:rPr>
          <w:rFonts w:ascii="Times New Roman" w:eastAsia="Times New Roman" w:hAnsi="Times New Roman" w:cs="Times New Roman"/>
          <w:sz w:val="24"/>
          <w:szCs w:val="20"/>
        </w:rPr>
        <w:t>Therefore, the tot</w:t>
      </w:r>
      <w:r w:rsidR="002D33C4">
        <w:rPr>
          <w:rFonts w:ascii="Times New Roman" w:eastAsia="Times New Roman" w:hAnsi="Times New Roman" w:cs="Times New Roman"/>
          <w:sz w:val="24"/>
          <w:szCs w:val="20"/>
        </w:rPr>
        <w:t>al annual burden hours is 150. The record-</w:t>
      </w:r>
      <w:r w:rsidRPr="0001447D">
        <w:rPr>
          <w:rFonts w:ascii="Times New Roman" w:eastAsia="Times New Roman" w:hAnsi="Times New Roman" w:cs="Times New Roman"/>
          <w:sz w:val="24"/>
          <w:szCs w:val="20"/>
        </w:rPr>
        <w:t>keeping requirement for this information collection is 6 years.</w:t>
      </w:r>
    </w:p>
    <w:p w:rsidR="0001447D" w:rsidRPr="0001447D" w:rsidRDefault="0001447D" w:rsidP="002D33C4">
      <w:pPr>
        <w:spacing w:after="0" w:line="240" w:lineRule="auto"/>
        <w:ind w:left="720" w:hanging="360"/>
        <w:contextualSpacing/>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There is no start-up cost to the respondent.  The only cost to th</w:t>
      </w:r>
      <w:r w:rsidR="002D33C4">
        <w:rPr>
          <w:rFonts w:ascii="Times New Roman" w:eastAsia="Times New Roman" w:hAnsi="Times New Roman" w:cs="Times New Roman"/>
          <w:sz w:val="24"/>
          <w:szCs w:val="20"/>
        </w:rPr>
        <w:t>e respondent is postage, totaling</w:t>
      </w:r>
      <w:r w:rsidRPr="0001447D">
        <w:rPr>
          <w:rFonts w:ascii="Times New Roman" w:eastAsia="Times New Roman" w:hAnsi="Times New Roman" w:cs="Times New Roman"/>
          <w:sz w:val="24"/>
          <w:szCs w:val="20"/>
        </w:rPr>
        <w:t xml:space="preserve"> $150.00</w:t>
      </w:r>
      <w:r w:rsidR="002D33C4">
        <w:rPr>
          <w:rFonts w:ascii="Times New Roman" w:eastAsia="Times New Roman" w:hAnsi="Times New Roman" w:cs="Times New Roman"/>
          <w:sz w:val="24"/>
          <w:szCs w:val="20"/>
        </w:rPr>
        <w:t xml:space="preserve"> annually</w:t>
      </w:r>
      <w:r w:rsidRPr="0001447D">
        <w:rPr>
          <w:rFonts w:ascii="Times New Roman" w:eastAsia="Times New Roman" w:hAnsi="Times New Roman" w:cs="Times New Roman"/>
          <w:sz w:val="24"/>
          <w:szCs w:val="20"/>
        </w:rPr>
        <w:t>.</w:t>
      </w:r>
    </w:p>
    <w:p w:rsidR="0001447D" w:rsidRPr="0001447D" w:rsidRDefault="0001447D" w:rsidP="002D33C4">
      <w:pPr>
        <w:spacing w:after="0" w:line="240" w:lineRule="auto"/>
        <w:ind w:left="720" w:hanging="360"/>
        <w:rPr>
          <w:rFonts w:ascii="Times New Roman" w:eastAsia="Times New Roman" w:hAnsi="Times New Roman" w:cs="Times New Roman"/>
          <w:sz w:val="24"/>
          <w:szCs w:val="20"/>
        </w:rPr>
      </w:pPr>
    </w:p>
    <w:p w:rsidR="00397366" w:rsidRPr="00397366"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u w:val="single"/>
        </w:rPr>
      </w:pPr>
      <w:r w:rsidRPr="00397366">
        <w:rPr>
          <w:rFonts w:ascii="Times New Roman" w:eastAsia="Times New Roman" w:hAnsi="Times New Roman" w:cs="Times New Roman"/>
          <w:sz w:val="24"/>
          <w:szCs w:val="20"/>
        </w:rPr>
        <w:t xml:space="preserve">The estimated annual cost to the Federal Government of collecting and processing the information collected through the use of this collection request is as follows: </w:t>
      </w:r>
      <w:r w:rsidRPr="00397366">
        <w:rPr>
          <w:rFonts w:ascii="Times New Roman" w:eastAsia="Times New Roman" w:hAnsi="Times New Roman" w:cs="Times New Roman"/>
          <w:sz w:val="24"/>
          <w:szCs w:val="20"/>
        </w:rPr>
        <w:tab/>
        <w:t xml:space="preserve">Printing </w:t>
      </w:r>
      <w:r w:rsidRPr="00397366">
        <w:rPr>
          <w:rFonts w:ascii="Times New Roman" w:eastAsia="Times New Roman" w:hAnsi="Times New Roman" w:cs="Times New Roman"/>
          <w:sz w:val="24"/>
          <w:szCs w:val="20"/>
        </w:rPr>
        <w:tab/>
      </w:r>
      <w:r w:rsidR="004D3083">
        <w:rPr>
          <w:rFonts w:ascii="Times New Roman" w:eastAsia="Times New Roman" w:hAnsi="Times New Roman" w:cs="Times New Roman"/>
          <w:sz w:val="24"/>
          <w:szCs w:val="20"/>
        </w:rPr>
        <w:t xml:space="preserve">      </w:t>
      </w:r>
      <w:r w:rsidRPr="00397366">
        <w:rPr>
          <w:rFonts w:ascii="Times New Roman" w:eastAsia="Times New Roman" w:hAnsi="Times New Roman" w:cs="Times New Roman"/>
          <w:sz w:val="24"/>
          <w:szCs w:val="20"/>
        </w:rPr>
        <w:t>$300</w:t>
      </w:r>
    </w:p>
    <w:p w:rsidR="0001447D" w:rsidRPr="00397366" w:rsidRDefault="0001447D" w:rsidP="002D33C4">
      <w:pPr>
        <w:spacing w:after="0" w:line="240" w:lineRule="auto"/>
        <w:ind w:left="720" w:firstLine="720"/>
        <w:contextualSpacing/>
        <w:rPr>
          <w:rFonts w:ascii="Times New Roman" w:eastAsia="Times New Roman" w:hAnsi="Times New Roman" w:cs="Times New Roman"/>
          <w:sz w:val="24"/>
          <w:szCs w:val="20"/>
          <w:u w:val="single"/>
        </w:rPr>
      </w:pPr>
      <w:r w:rsidRPr="00397366">
        <w:rPr>
          <w:rFonts w:ascii="Times New Roman" w:eastAsia="Times New Roman" w:hAnsi="Times New Roman" w:cs="Times New Roman"/>
          <w:sz w:val="24"/>
          <w:szCs w:val="20"/>
        </w:rPr>
        <w:t xml:space="preserve">Labor </w:t>
      </w:r>
      <w:r w:rsidRPr="00397366">
        <w:rPr>
          <w:rFonts w:ascii="Times New Roman" w:eastAsia="Times New Roman" w:hAnsi="Times New Roman" w:cs="Times New Roman"/>
          <w:sz w:val="24"/>
          <w:szCs w:val="20"/>
        </w:rPr>
        <w:tab/>
      </w:r>
      <w:r w:rsidRPr="00397366">
        <w:rPr>
          <w:rFonts w:ascii="Times New Roman" w:eastAsia="Times New Roman" w:hAnsi="Times New Roman" w:cs="Times New Roman"/>
          <w:sz w:val="24"/>
          <w:szCs w:val="20"/>
        </w:rPr>
        <w:tab/>
      </w:r>
      <w:r w:rsidRPr="00397366">
        <w:rPr>
          <w:rFonts w:ascii="Times New Roman" w:eastAsia="Times New Roman" w:hAnsi="Times New Roman" w:cs="Times New Roman"/>
          <w:sz w:val="24"/>
          <w:szCs w:val="20"/>
          <w:u w:val="single"/>
        </w:rPr>
        <w:t>$11, 600</w:t>
      </w:r>
    </w:p>
    <w:p w:rsidR="0001447D" w:rsidRPr="0001447D" w:rsidRDefault="0001447D" w:rsidP="002D33C4">
      <w:pPr>
        <w:spacing w:after="0" w:line="240" w:lineRule="auto"/>
        <w:ind w:left="720" w:firstLine="720"/>
        <w:contextualSpacing/>
        <w:rPr>
          <w:rFonts w:ascii="Times New Roman" w:eastAsia="Times New Roman" w:hAnsi="Times New Roman" w:cs="Times New Roman"/>
          <w:sz w:val="24"/>
          <w:szCs w:val="20"/>
          <w:u w:val="single"/>
        </w:rPr>
      </w:pPr>
      <w:r w:rsidRPr="0001447D">
        <w:rPr>
          <w:rFonts w:ascii="Times New Roman" w:eastAsia="Times New Roman" w:hAnsi="Times New Roman" w:cs="Times New Roman"/>
          <w:sz w:val="24"/>
          <w:szCs w:val="20"/>
        </w:rPr>
        <w:t xml:space="preserve">Total </w:t>
      </w:r>
      <w:r w:rsidRPr="0001447D">
        <w:rPr>
          <w:rFonts w:ascii="Times New Roman" w:eastAsia="Times New Roman" w:hAnsi="Times New Roman" w:cs="Times New Roman"/>
          <w:sz w:val="24"/>
          <w:szCs w:val="20"/>
        </w:rPr>
        <w:tab/>
      </w:r>
      <w:r w:rsidRPr="0001447D">
        <w:rPr>
          <w:rFonts w:ascii="Times New Roman" w:eastAsia="Times New Roman" w:hAnsi="Times New Roman" w:cs="Times New Roman"/>
          <w:sz w:val="24"/>
          <w:szCs w:val="20"/>
        </w:rPr>
        <w:tab/>
      </w:r>
      <w:r w:rsidRPr="0001447D">
        <w:rPr>
          <w:rFonts w:ascii="Times New Roman" w:eastAsia="Times New Roman" w:hAnsi="Times New Roman" w:cs="Times New Roman"/>
          <w:sz w:val="24"/>
          <w:szCs w:val="20"/>
          <w:u w:val="single"/>
        </w:rPr>
        <w:t>$11, 900</w:t>
      </w:r>
    </w:p>
    <w:p w:rsidR="0001447D" w:rsidRPr="0001447D" w:rsidRDefault="0001447D" w:rsidP="002D33C4">
      <w:pPr>
        <w:spacing w:after="0" w:line="240" w:lineRule="auto"/>
        <w:ind w:left="720" w:hanging="360"/>
        <w:contextualSpacing/>
        <w:rPr>
          <w:rFonts w:ascii="Times New Roman" w:eastAsia="Times New Roman" w:hAnsi="Times New Roman" w:cs="Times New Roman"/>
          <w:sz w:val="24"/>
          <w:szCs w:val="20"/>
          <w:u w:val="single"/>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There are no program changes or adjustments associated with this collection since the last renewal.</w:t>
      </w:r>
    </w:p>
    <w:p w:rsidR="0001447D" w:rsidRPr="0001447D" w:rsidRDefault="0001447D" w:rsidP="002D33C4">
      <w:pPr>
        <w:spacing w:after="0" w:line="240" w:lineRule="auto"/>
        <w:ind w:left="720" w:hanging="360"/>
        <w:contextualSpacing/>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 results of this information collection will not be published.</w:t>
      </w:r>
    </w:p>
    <w:p w:rsidR="0001447D" w:rsidRPr="0001447D" w:rsidRDefault="0001447D" w:rsidP="0001447D">
      <w:pPr>
        <w:spacing w:after="0" w:line="240" w:lineRule="auto"/>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ATF does not request approval to not display the expiration date of OMB approval for this collection.</w:t>
      </w:r>
    </w:p>
    <w:p w:rsidR="0001447D" w:rsidRPr="0001447D" w:rsidRDefault="0001447D" w:rsidP="0001447D">
      <w:pPr>
        <w:spacing w:after="0" w:line="240" w:lineRule="auto"/>
        <w:rPr>
          <w:rFonts w:ascii="Times New Roman" w:eastAsia="Times New Roman" w:hAnsi="Times New Roman" w:cs="Times New Roman"/>
          <w:sz w:val="24"/>
          <w:szCs w:val="20"/>
        </w:rPr>
      </w:pPr>
    </w:p>
    <w:p w:rsidR="0001447D" w:rsidRPr="0001447D" w:rsidRDefault="0001447D" w:rsidP="002D33C4">
      <w:pPr>
        <w:numPr>
          <w:ilvl w:val="0"/>
          <w:numId w:val="5"/>
        </w:numPr>
        <w:spacing w:after="0" w:line="240" w:lineRule="auto"/>
        <w:ind w:left="720"/>
        <w:contextualSpacing/>
        <w:rPr>
          <w:rFonts w:ascii="Times New Roman" w:eastAsia="Times New Roman" w:hAnsi="Times New Roman" w:cs="Times New Roman"/>
          <w:sz w:val="24"/>
          <w:szCs w:val="20"/>
        </w:rPr>
      </w:pPr>
      <w:r w:rsidRPr="0001447D">
        <w:rPr>
          <w:rFonts w:ascii="Times New Roman" w:eastAsia="Times New Roman" w:hAnsi="Times New Roman" w:cs="Times New Roman"/>
          <w:sz w:val="24"/>
          <w:szCs w:val="20"/>
        </w:rPr>
        <w:t>There are no exceptions to the certification statement.</w:t>
      </w:r>
    </w:p>
    <w:p w:rsidR="0001447D" w:rsidRPr="0001447D" w:rsidRDefault="0001447D" w:rsidP="0001447D">
      <w:pPr>
        <w:spacing w:after="0" w:line="240" w:lineRule="auto"/>
        <w:ind w:left="810"/>
        <w:contextualSpacing/>
        <w:rPr>
          <w:rFonts w:ascii="Times New Roman" w:eastAsia="Times New Roman" w:hAnsi="Times New Roman" w:cs="Times New Roman"/>
          <w:sz w:val="24"/>
          <w:szCs w:val="20"/>
        </w:rPr>
      </w:pPr>
    </w:p>
    <w:p w:rsidR="0001447D" w:rsidRPr="0001447D" w:rsidRDefault="0001447D" w:rsidP="0001447D">
      <w:pPr>
        <w:numPr>
          <w:ilvl w:val="0"/>
          <w:numId w:val="1"/>
        </w:numPr>
        <w:spacing w:after="0" w:line="240" w:lineRule="auto"/>
        <w:contextualSpacing/>
        <w:rPr>
          <w:rFonts w:ascii="Times New Roman" w:eastAsia="Times New Roman" w:hAnsi="Times New Roman" w:cs="Times New Roman"/>
          <w:sz w:val="24"/>
          <w:szCs w:val="20"/>
        </w:rPr>
      </w:pPr>
      <w:r w:rsidRPr="0001447D">
        <w:rPr>
          <w:rFonts w:ascii="Times New Roman" w:eastAsia="Times New Roman" w:hAnsi="Times New Roman" w:cs="Times New Roman"/>
          <w:b/>
          <w:sz w:val="24"/>
          <w:szCs w:val="20"/>
        </w:rPr>
        <w:t>Collections of Information Employing Statistical Methods</w:t>
      </w:r>
    </w:p>
    <w:p w:rsidR="0001447D" w:rsidRPr="0001447D" w:rsidRDefault="0001447D" w:rsidP="0001447D">
      <w:pPr>
        <w:spacing w:after="0" w:line="240" w:lineRule="auto"/>
        <w:ind w:left="360"/>
        <w:contextualSpacing/>
        <w:rPr>
          <w:rFonts w:ascii="Times New Roman" w:eastAsia="Times New Roman" w:hAnsi="Times New Roman" w:cs="Times New Roman"/>
          <w:sz w:val="24"/>
          <w:szCs w:val="24"/>
        </w:rPr>
      </w:pPr>
    </w:p>
    <w:p w:rsidR="0001447D" w:rsidRPr="0001447D" w:rsidRDefault="0001447D" w:rsidP="0001447D">
      <w:pPr>
        <w:spacing w:after="0" w:line="240" w:lineRule="auto"/>
        <w:ind w:firstLine="360"/>
        <w:rPr>
          <w:rFonts w:ascii="Times New Roman" w:eastAsia="Times New Roman" w:hAnsi="Times New Roman" w:cs="Times New Roman"/>
          <w:sz w:val="24"/>
          <w:szCs w:val="20"/>
        </w:rPr>
      </w:pPr>
      <w:r w:rsidRPr="0001447D">
        <w:rPr>
          <w:rFonts w:ascii="Times New Roman" w:eastAsia="Times New Roman" w:hAnsi="Times New Roman" w:cs="Times New Roman"/>
          <w:sz w:val="24"/>
          <w:szCs w:val="24"/>
        </w:rPr>
        <w:t>This information collection request does not employ statistical methods</w:t>
      </w:r>
    </w:p>
    <w:p w:rsidR="004B3564" w:rsidRDefault="004B3564"/>
    <w:sectPr w:rsidR="004B35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3FC" w:rsidRDefault="00A763FC">
      <w:pPr>
        <w:spacing w:after="0" w:line="240" w:lineRule="auto"/>
      </w:pPr>
      <w:r>
        <w:separator/>
      </w:r>
    </w:p>
  </w:endnote>
  <w:endnote w:type="continuationSeparator" w:id="0">
    <w:p w:rsidR="00A763FC" w:rsidRDefault="00A7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169640"/>
      <w:docPartObj>
        <w:docPartGallery w:val="Page Numbers (Bottom of Page)"/>
        <w:docPartUnique/>
      </w:docPartObj>
    </w:sdtPr>
    <w:sdtEndPr>
      <w:rPr>
        <w:noProof/>
      </w:rPr>
    </w:sdtEndPr>
    <w:sdtContent>
      <w:p w:rsidR="002B3CD9" w:rsidRDefault="0001447D">
        <w:pPr>
          <w:pStyle w:val="Footer"/>
          <w:jc w:val="center"/>
        </w:pPr>
        <w:r>
          <w:fldChar w:fldCharType="begin"/>
        </w:r>
        <w:r>
          <w:instrText xml:space="preserve"> PAGE   \* MERGEFORMAT </w:instrText>
        </w:r>
        <w:r>
          <w:fldChar w:fldCharType="separate"/>
        </w:r>
        <w:r w:rsidR="004B1372">
          <w:rPr>
            <w:noProof/>
          </w:rPr>
          <w:t>1</w:t>
        </w:r>
        <w:r>
          <w:rPr>
            <w:noProof/>
          </w:rPr>
          <w:fldChar w:fldCharType="end"/>
        </w:r>
      </w:p>
    </w:sdtContent>
  </w:sdt>
  <w:p w:rsidR="002B3CD9" w:rsidRDefault="004B1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3FC" w:rsidRDefault="00A763FC">
      <w:pPr>
        <w:spacing w:after="0" w:line="240" w:lineRule="auto"/>
      </w:pPr>
      <w:r>
        <w:separator/>
      </w:r>
    </w:p>
  </w:footnote>
  <w:footnote w:type="continuationSeparator" w:id="0">
    <w:p w:rsidR="00A763FC" w:rsidRDefault="00A76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156FB"/>
    <w:multiLevelType w:val="hybridMultilevel"/>
    <w:tmpl w:val="A7B8BFB6"/>
    <w:lvl w:ilvl="0" w:tplc="0409001B">
      <w:start w:val="1"/>
      <w:numFmt w:val="lowerRoman"/>
      <w:lvlText w:val="%1."/>
      <w:lvlJc w:val="right"/>
      <w:pPr>
        <w:ind w:left="2220" w:hanging="360"/>
      </w:pPr>
    </w:lvl>
    <w:lvl w:ilvl="1" w:tplc="04090019">
      <w:start w:val="1"/>
      <w:numFmt w:val="lowerLetter"/>
      <w:lvlText w:val="%2."/>
      <w:lvlJc w:val="left"/>
      <w:pPr>
        <w:ind w:left="2940" w:hanging="360"/>
      </w:pPr>
    </w:lvl>
    <w:lvl w:ilvl="2" w:tplc="5074D744">
      <w:start w:val="1"/>
      <w:numFmt w:val="upperRoman"/>
      <w:lvlText w:val="%3."/>
      <w:lvlJc w:val="left"/>
      <w:pPr>
        <w:ind w:left="4200" w:hanging="720"/>
      </w:pPr>
      <w:rPr>
        <w:rFonts w:hint="default"/>
      </w:r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
    <w:nsid w:val="51346F88"/>
    <w:multiLevelType w:val="hybridMultilevel"/>
    <w:tmpl w:val="24402898"/>
    <w:lvl w:ilvl="0" w:tplc="04090013">
      <w:start w:val="1"/>
      <w:numFmt w:val="upperRoman"/>
      <w:lvlText w:val="%1."/>
      <w:lvlJc w:val="right"/>
      <w:pPr>
        <w:ind w:left="117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5166CAE"/>
    <w:multiLevelType w:val="hybridMultilevel"/>
    <w:tmpl w:val="99724AA8"/>
    <w:lvl w:ilvl="0" w:tplc="6FB041E2">
      <w:start w:val="1"/>
      <w:numFmt w:val="upperLetter"/>
      <w:lvlText w:val="%1."/>
      <w:lvlJc w:val="left"/>
      <w:pPr>
        <w:ind w:left="360" w:hanging="360"/>
      </w:pPr>
      <w:rPr>
        <w:b/>
      </w:rPr>
    </w:lvl>
    <w:lvl w:ilvl="1" w:tplc="0409000F">
      <w:start w:val="1"/>
      <w:numFmt w:val="decimal"/>
      <w:lvlText w:val="%2."/>
      <w:lvlJc w:val="left"/>
      <w:pPr>
        <w:ind w:left="81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B9264B"/>
    <w:multiLevelType w:val="hybridMultilevel"/>
    <w:tmpl w:val="0E20596E"/>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3447E9"/>
    <w:multiLevelType w:val="hybridMultilevel"/>
    <w:tmpl w:val="DCCAED8C"/>
    <w:lvl w:ilvl="0" w:tplc="0820FEF0">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7D"/>
    <w:rsid w:val="0001447D"/>
    <w:rsid w:val="00040191"/>
    <w:rsid w:val="000F21F8"/>
    <w:rsid w:val="001E0EA5"/>
    <w:rsid w:val="002D33C4"/>
    <w:rsid w:val="00397366"/>
    <w:rsid w:val="003D61F8"/>
    <w:rsid w:val="0049289E"/>
    <w:rsid w:val="004B1372"/>
    <w:rsid w:val="004B3564"/>
    <w:rsid w:val="004B544C"/>
    <w:rsid w:val="004D3083"/>
    <w:rsid w:val="00810419"/>
    <w:rsid w:val="0095778C"/>
    <w:rsid w:val="00A110FF"/>
    <w:rsid w:val="00A409B6"/>
    <w:rsid w:val="00A763FC"/>
    <w:rsid w:val="00B92FCA"/>
    <w:rsid w:val="00E87292"/>
    <w:rsid w:val="00FE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447D"/>
    <w:rPr>
      <w:sz w:val="16"/>
      <w:szCs w:val="16"/>
    </w:rPr>
  </w:style>
  <w:style w:type="paragraph" w:styleId="CommentText">
    <w:name w:val="annotation text"/>
    <w:basedOn w:val="Normal"/>
    <w:link w:val="CommentTextChar"/>
    <w:uiPriority w:val="99"/>
    <w:semiHidden/>
    <w:unhideWhenUsed/>
    <w:rsid w:val="0001447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447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447D"/>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01447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14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47D"/>
    <w:rPr>
      <w:rFonts w:ascii="Segoe UI" w:hAnsi="Segoe UI" w:cs="Segoe UI"/>
      <w:sz w:val="18"/>
      <w:szCs w:val="18"/>
    </w:rPr>
  </w:style>
  <w:style w:type="paragraph" w:styleId="ListParagraph">
    <w:name w:val="List Paragraph"/>
    <w:basedOn w:val="Normal"/>
    <w:uiPriority w:val="34"/>
    <w:qFormat/>
    <w:rsid w:val="00397366"/>
    <w:pPr>
      <w:ind w:left="720"/>
      <w:contextualSpacing/>
    </w:pPr>
  </w:style>
  <w:style w:type="paragraph" w:styleId="Revision">
    <w:name w:val="Revision"/>
    <w:hidden/>
    <w:uiPriority w:val="99"/>
    <w:semiHidden/>
    <w:rsid w:val="004928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447D"/>
    <w:rPr>
      <w:sz w:val="16"/>
      <w:szCs w:val="16"/>
    </w:rPr>
  </w:style>
  <w:style w:type="paragraph" w:styleId="CommentText">
    <w:name w:val="annotation text"/>
    <w:basedOn w:val="Normal"/>
    <w:link w:val="CommentTextChar"/>
    <w:uiPriority w:val="99"/>
    <w:semiHidden/>
    <w:unhideWhenUsed/>
    <w:rsid w:val="0001447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447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447D"/>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01447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14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47D"/>
    <w:rPr>
      <w:rFonts w:ascii="Segoe UI" w:hAnsi="Segoe UI" w:cs="Segoe UI"/>
      <w:sz w:val="18"/>
      <w:szCs w:val="18"/>
    </w:rPr>
  </w:style>
  <w:style w:type="paragraph" w:styleId="ListParagraph">
    <w:name w:val="List Paragraph"/>
    <w:basedOn w:val="Normal"/>
    <w:uiPriority w:val="34"/>
    <w:qFormat/>
    <w:rsid w:val="00397366"/>
    <w:pPr>
      <w:ind w:left="720"/>
      <w:contextualSpacing/>
    </w:pPr>
  </w:style>
  <w:style w:type="paragraph" w:styleId="Revision">
    <w:name w:val="Revision"/>
    <w:hidden/>
    <w:uiPriority w:val="99"/>
    <w:semiHidden/>
    <w:rsid w:val="004928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Hilda L.</dc:creator>
  <cp:keywords/>
  <dc:description/>
  <cp:lastModifiedBy>SYSTEM</cp:lastModifiedBy>
  <cp:revision>2</cp:revision>
  <dcterms:created xsi:type="dcterms:W3CDTF">2019-05-28T12:20:00Z</dcterms:created>
  <dcterms:modified xsi:type="dcterms:W3CDTF">2019-05-28T12:20:00Z</dcterms:modified>
</cp:coreProperties>
</file>