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16EB" w:rsidR="00C97D02" w:rsidP="00C97D02" w:rsidRDefault="00C97D02" w14:paraId="66649566" w14:textId="365E4C5A">
      <w:pPr>
        <w:spacing w:after="0" w:line="240" w:lineRule="auto"/>
        <w:jc w:val="center"/>
        <w:rPr>
          <w:rFonts w:ascii="Times New Roman" w:hAnsi="Times New Roman" w:eastAsia="Times New Roman" w:cs="Times New Roman"/>
          <w:b/>
        </w:rPr>
      </w:pPr>
      <w:r w:rsidRPr="00D016EB">
        <w:rPr>
          <w:rFonts w:ascii="Times New Roman" w:hAnsi="Times New Roman" w:eastAsia="Times New Roman" w:cs="Times New Roman"/>
          <w:b/>
          <w:color w:val="000000"/>
        </w:rPr>
        <w:t>F</w:t>
      </w:r>
      <w:r w:rsidRPr="00D016EB" w:rsidR="00E45924">
        <w:rPr>
          <w:rFonts w:ascii="Times New Roman" w:hAnsi="Times New Roman" w:eastAsia="Times New Roman" w:cs="Times New Roman"/>
          <w:b/>
        </w:rPr>
        <w:t xml:space="preserve">unding Opportunity </w:t>
      </w:r>
      <w:r w:rsidRPr="00D016EB" w:rsidR="001C4718">
        <w:rPr>
          <w:rFonts w:ascii="Times New Roman" w:hAnsi="Times New Roman" w:eastAsia="Times New Roman" w:cs="Times New Roman"/>
          <w:b/>
        </w:rPr>
        <w:t>Announcement</w:t>
      </w:r>
    </w:p>
    <w:p w:rsidR="00D11C87" w:rsidP="00C97D02" w:rsidRDefault="000F5C7F" w14:paraId="408AAD10" w14:textId="466729DE">
      <w:pPr>
        <w:widowControl w:val="0"/>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Fidelity Bonding Demonstration Grants</w:t>
      </w:r>
    </w:p>
    <w:p w:rsidRPr="008E3C93" w:rsidR="00C97D02" w:rsidP="00C97D02" w:rsidRDefault="00C97D02" w14:paraId="742E1132" w14:textId="4903804E">
      <w:pPr>
        <w:widowControl w:val="0"/>
        <w:spacing w:after="0" w:line="240" w:lineRule="auto"/>
        <w:jc w:val="center"/>
        <w:rPr>
          <w:rFonts w:ascii="Times New Roman" w:hAnsi="Times New Roman" w:eastAsia="Times New Roman" w:cs="Times New Roman"/>
        </w:rPr>
      </w:pPr>
      <w:r w:rsidRPr="00D016EB">
        <w:rPr>
          <w:rFonts w:ascii="Times New Roman" w:hAnsi="Times New Roman" w:eastAsia="Times New Roman" w:cs="Times New Roman"/>
          <w:b/>
        </w:rPr>
        <w:t>Supplemental Justification</w:t>
      </w:r>
    </w:p>
    <w:p w:rsidRPr="008E3C93" w:rsidR="00C97D02" w:rsidP="00C97D02" w:rsidRDefault="00C97D02" w14:paraId="2656A35A" w14:textId="77777777">
      <w:pPr>
        <w:spacing w:after="0" w:line="240" w:lineRule="auto"/>
        <w:jc w:val="center"/>
        <w:rPr>
          <w:rFonts w:ascii="Times New Roman" w:hAnsi="Times New Roman" w:eastAsia="Times New Roman" w:cs="Times New Roman"/>
          <w:b/>
        </w:rPr>
      </w:pPr>
    </w:p>
    <w:p w:rsidRPr="008E3C93" w:rsidR="00C97D02" w:rsidP="00C97D02" w:rsidRDefault="00C97D02" w14:paraId="64C574A8" w14:textId="77777777">
      <w:pPr>
        <w:autoSpaceDE w:val="0"/>
        <w:autoSpaceDN w:val="0"/>
        <w:adjustRightInd w:val="0"/>
        <w:spacing w:after="0" w:line="240" w:lineRule="auto"/>
        <w:rPr>
          <w:rFonts w:ascii="Times New Roman" w:hAnsi="Times New Roman" w:eastAsia="Times New Roman" w:cs="Times New Roman"/>
          <w:b/>
          <w:i/>
          <w:u w:val="single"/>
        </w:rPr>
      </w:pPr>
      <w:r w:rsidRPr="008E3C93">
        <w:rPr>
          <w:rFonts w:ascii="Times New Roman" w:hAnsi="Times New Roman" w:eastAsia="Times New Roman" w:cs="Times New Roman"/>
          <w:b/>
          <w:i/>
          <w:u w:val="single"/>
        </w:rPr>
        <w:t>Supplemental Supporting Statement A: Justification</w:t>
      </w:r>
    </w:p>
    <w:p w:rsidRPr="008E3C93" w:rsidR="00C97D02" w:rsidP="00C97D02" w:rsidRDefault="00C97D02" w14:paraId="06193D62" w14:textId="77777777">
      <w:pPr>
        <w:autoSpaceDE w:val="0"/>
        <w:autoSpaceDN w:val="0"/>
        <w:adjustRightInd w:val="0"/>
        <w:spacing w:after="0" w:line="240" w:lineRule="auto"/>
        <w:rPr>
          <w:rFonts w:ascii="Times New Roman" w:hAnsi="Times New Roman" w:eastAsia="Times New Roman" w:cs="Times New Roman"/>
          <w:b/>
          <w:u w:val="single"/>
        </w:rPr>
      </w:pPr>
    </w:p>
    <w:p w:rsidR="006E795C" w:rsidP="009C2067" w:rsidRDefault="00C97D02" w14:paraId="508AA313" w14:textId="0B50C1FB">
      <w:pPr>
        <w:pStyle w:val="Text1"/>
        <w:rPr>
          <w:sz w:val="22"/>
          <w:szCs w:val="22"/>
        </w:rPr>
      </w:pPr>
      <w:bookmarkStart w:name="_Toc207778202" w:id="0"/>
      <w:bookmarkStart w:name="_Toc208654602" w:id="1"/>
      <w:bookmarkStart w:name="_Toc228885476" w:id="2"/>
      <w:bookmarkStart w:name="_Toc229889134" w:id="3"/>
      <w:r w:rsidRPr="008E1541">
        <w:rPr>
          <w:sz w:val="22"/>
          <w:szCs w:val="22"/>
        </w:rPr>
        <w:t>This request seeks OMB approval under the Paperwork Reduction Act for the unique information collection requirements in the</w:t>
      </w:r>
      <w:r w:rsidRPr="008E1541" w:rsidR="00A32568">
        <w:rPr>
          <w:sz w:val="22"/>
          <w:szCs w:val="22"/>
        </w:rPr>
        <w:t xml:space="preserve"> </w:t>
      </w:r>
      <w:r w:rsidR="000F5C7F">
        <w:rPr>
          <w:sz w:val="22"/>
          <w:szCs w:val="22"/>
        </w:rPr>
        <w:t>Fidelity Bonding Demonstration</w:t>
      </w:r>
      <w:r w:rsidR="006E795C">
        <w:rPr>
          <w:sz w:val="22"/>
          <w:szCs w:val="22"/>
        </w:rPr>
        <w:t xml:space="preserve"> </w:t>
      </w:r>
      <w:r w:rsidR="009C2067">
        <w:rPr>
          <w:sz w:val="22"/>
          <w:szCs w:val="22"/>
        </w:rPr>
        <w:t>Grant</w:t>
      </w:r>
      <w:r w:rsidR="000F5C7F">
        <w:rPr>
          <w:sz w:val="22"/>
          <w:szCs w:val="22"/>
        </w:rPr>
        <w:t>s</w:t>
      </w:r>
      <w:r w:rsidR="009C2067">
        <w:rPr>
          <w:sz w:val="22"/>
          <w:szCs w:val="22"/>
        </w:rPr>
        <w:t xml:space="preserve"> Program</w:t>
      </w:r>
      <w:r w:rsidRPr="008E1541" w:rsidR="008E1541">
        <w:rPr>
          <w:sz w:val="22"/>
          <w:szCs w:val="22"/>
        </w:rPr>
        <w:t xml:space="preserve">.  </w:t>
      </w:r>
      <w:r w:rsidRPr="009C2067" w:rsidR="009C2067">
        <w:rPr>
          <w:sz w:val="22"/>
          <w:szCs w:val="22"/>
        </w:rPr>
        <w:t xml:space="preserve">The Employment and Training Administration (ETA), U.S. Department of Labor </w:t>
      </w:r>
      <w:r w:rsidR="009C2067">
        <w:rPr>
          <w:sz w:val="22"/>
          <w:szCs w:val="22"/>
        </w:rPr>
        <w:t xml:space="preserve">will </w:t>
      </w:r>
      <w:r w:rsidRPr="009C2067" w:rsidR="009C2067">
        <w:rPr>
          <w:sz w:val="22"/>
          <w:szCs w:val="22"/>
        </w:rPr>
        <w:t xml:space="preserve">announce the availability of </w:t>
      </w:r>
      <w:r w:rsidR="000F5C7F">
        <w:rPr>
          <w:sz w:val="22"/>
          <w:szCs w:val="22"/>
        </w:rPr>
        <w:t xml:space="preserve">up to </w:t>
      </w:r>
      <w:r w:rsidRPr="009C2067" w:rsidR="009C2067">
        <w:rPr>
          <w:sz w:val="22"/>
          <w:szCs w:val="22"/>
        </w:rPr>
        <w:t>$</w:t>
      </w:r>
      <w:r w:rsidR="000F5C7F">
        <w:rPr>
          <w:sz w:val="22"/>
          <w:szCs w:val="22"/>
        </w:rPr>
        <w:t>3.3</w:t>
      </w:r>
      <w:r w:rsidRPr="009C2067" w:rsidR="009C2067">
        <w:rPr>
          <w:sz w:val="22"/>
          <w:szCs w:val="22"/>
        </w:rPr>
        <w:t xml:space="preserve"> million in grant funds authorized under </w:t>
      </w:r>
      <w:r w:rsidR="006E795C">
        <w:rPr>
          <w:sz w:val="22"/>
          <w:szCs w:val="22"/>
        </w:rPr>
        <w:t xml:space="preserve">Section 169 of </w:t>
      </w:r>
      <w:r w:rsidR="00CE1C6D">
        <w:rPr>
          <w:sz w:val="22"/>
          <w:szCs w:val="22"/>
        </w:rPr>
        <w:t xml:space="preserve">the </w:t>
      </w:r>
      <w:r w:rsidRPr="00CE1C6D" w:rsidR="00CE1C6D">
        <w:rPr>
          <w:sz w:val="22"/>
          <w:szCs w:val="22"/>
        </w:rPr>
        <w:t xml:space="preserve">Workforce Innovation and Opportunity Act (WIOA) (Pub. L. 113-128) </w:t>
      </w:r>
      <w:r w:rsidRPr="009C2067" w:rsidR="009C2067">
        <w:rPr>
          <w:sz w:val="22"/>
          <w:szCs w:val="22"/>
        </w:rPr>
        <w:t xml:space="preserve">for the </w:t>
      </w:r>
      <w:r w:rsidR="000F5C7F">
        <w:rPr>
          <w:sz w:val="22"/>
          <w:szCs w:val="22"/>
        </w:rPr>
        <w:t>Fidelity Bonding Demonstration Grants</w:t>
      </w:r>
      <w:r w:rsidR="006E795C">
        <w:rPr>
          <w:sz w:val="22"/>
          <w:szCs w:val="22"/>
        </w:rPr>
        <w:t xml:space="preserve"> Program</w:t>
      </w:r>
      <w:r w:rsidR="000F5C7F">
        <w:rPr>
          <w:sz w:val="22"/>
          <w:szCs w:val="22"/>
        </w:rPr>
        <w:t>.</w:t>
      </w:r>
      <w:r w:rsidR="00567FA4">
        <w:rPr>
          <w:sz w:val="22"/>
          <w:szCs w:val="22"/>
        </w:rPr>
        <w:t xml:space="preserve"> </w:t>
      </w:r>
      <w:r w:rsidRPr="006E795C" w:rsidR="006E795C">
        <w:rPr>
          <w:sz w:val="22"/>
          <w:szCs w:val="22"/>
        </w:rPr>
        <w:t xml:space="preserve"> These </w:t>
      </w:r>
      <w:r w:rsidR="00567FA4">
        <w:rPr>
          <w:sz w:val="22"/>
          <w:szCs w:val="22"/>
        </w:rPr>
        <w:t xml:space="preserve">demonstration grants </w:t>
      </w:r>
      <w:r w:rsidRPr="000F5C7F" w:rsidR="000F5C7F">
        <w:rPr>
          <w:sz w:val="22"/>
          <w:szCs w:val="22"/>
        </w:rPr>
        <w:t xml:space="preserve">will enable states to expand their use of fidelity bonds to help persons with criminal records, </w:t>
      </w:r>
      <w:r w:rsidRPr="00D1011D" w:rsidR="00D1011D">
        <w:rPr>
          <w:sz w:val="22"/>
          <w:szCs w:val="22"/>
        </w:rPr>
        <w:t>including ex-offenders recovering from opioid and other drug addictions, obtain employment in family-sustaining jobs; better inform employers about the knowledge, skills, and abilities of this population; and advanc</w:t>
      </w:r>
      <w:r w:rsidR="00CF5A2D">
        <w:rPr>
          <w:sz w:val="22"/>
          <w:szCs w:val="22"/>
        </w:rPr>
        <w:t>e</w:t>
      </w:r>
      <w:r w:rsidRPr="00D1011D" w:rsidR="00D1011D">
        <w:rPr>
          <w:sz w:val="22"/>
          <w:szCs w:val="22"/>
        </w:rPr>
        <w:t xml:space="preserve"> strategies to address the barriers to reemployment.  Through the Federal Bonding Program (FBP), ETA provides fidelity bonds to employers to help reduce the risks of hiring individuals whose criminal backgrounds pose barriers to securing employment.  </w:t>
      </w:r>
    </w:p>
    <w:p w:rsidRPr="009C2067" w:rsidR="000F5C7F" w:rsidP="009C2067" w:rsidRDefault="000F5C7F" w14:paraId="6FA5B968" w14:textId="77777777">
      <w:pPr>
        <w:pStyle w:val="Text1"/>
        <w:rPr>
          <w:sz w:val="22"/>
          <w:szCs w:val="22"/>
        </w:rPr>
      </w:pPr>
    </w:p>
    <w:p w:rsidRPr="00B20FD3" w:rsidR="00B20FD3" w:rsidP="00B20FD3" w:rsidRDefault="00B20FD3" w14:paraId="6CBC11FC" w14:textId="77777777">
      <w:pPr>
        <w:rPr>
          <w:rFonts w:ascii="Times New Roman" w:hAnsi="Times New Roman" w:cs="Times New Roman"/>
        </w:rPr>
      </w:pPr>
      <w:r w:rsidRPr="00B20FD3">
        <w:rPr>
          <w:rFonts w:ascii="Times New Roman" w:hAnsi="Times New Roman" w:cs="Times New Roman"/>
        </w:rPr>
        <w:t xml:space="preserve">Over the years, FBP remained a small program, but in June 2019, the Department awarded $2,234,122 for Fidelity Bonding Demonstration Grants to 23 states and one outlying area to expand their use of fidelity bonds to help persons with criminal records get employment.  The Department now wishes to further increase the use of fidelity bonds by offering funds to the states and outlying areas that did not receive grants last year.  State Workforce Agencies apply for the grant on behalf of their respective states and states will operate this grant through their current FBP.  States </w:t>
      </w:r>
      <w:r w:rsidRPr="00B20FD3">
        <w:rPr>
          <w:rFonts w:ascii="Times New Roman" w:hAnsi="Times New Roman" w:cs="Times New Roman"/>
        </w:rPr>
        <w:lastRenderedPageBreak/>
        <w:t>that do not currently operate a FBP must designate a staff person to serve as the state bonding coordinator for this grant.  States will use their own procurement policies and procedures to select an insurance provider to purchase bonds or may continue to purchase fidelity bonds through the Department of Labor’s FBP contractor, as long as they comply with state contracting procedures.  State bonding coordinators may certify bonds or delegate the authority to certify bonds to other staff.</w:t>
      </w:r>
      <w:r>
        <w:rPr>
          <w:rFonts w:ascii="Times New Roman" w:hAnsi="Times New Roman" w:cs="Times New Roman"/>
        </w:rPr>
        <w:t xml:space="preserve">  </w:t>
      </w:r>
      <w:r w:rsidRPr="00B20FD3">
        <w:rPr>
          <w:rFonts w:ascii="Times New Roman" w:hAnsi="Times New Roman" w:cs="Times New Roman"/>
        </w:rPr>
        <w:t xml:space="preserve">The goals of this demonstration include the following: </w:t>
      </w:r>
    </w:p>
    <w:p w:rsidRPr="00B20FD3" w:rsidR="00B20FD3" w:rsidP="00B20FD3" w:rsidRDefault="00B20FD3" w14:paraId="060AD7CD" w14:textId="05316D7E">
      <w:pPr>
        <w:pStyle w:val="ListParagraph"/>
        <w:numPr>
          <w:ilvl w:val="0"/>
          <w:numId w:val="10"/>
        </w:numPr>
        <w:rPr>
          <w:rFonts w:ascii="Times New Roman" w:hAnsi="Times New Roman"/>
        </w:rPr>
      </w:pPr>
      <w:r w:rsidRPr="00B20FD3">
        <w:rPr>
          <w:rFonts w:ascii="Times New Roman" w:hAnsi="Times New Roman"/>
        </w:rPr>
        <w:t xml:space="preserve">Improving employment outcomes, which in turn decreases recidivism, for persons with criminal records by encouraging states and workforce development partners to provide fidelity bonds to employers as a hiring tool for persons with criminal records; </w:t>
      </w:r>
    </w:p>
    <w:p w:rsidRPr="00B20FD3" w:rsidR="00B20FD3" w:rsidP="00B20FD3" w:rsidRDefault="00B20FD3" w14:paraId="690592A3" w14:textId="4599D2E5">
      <w:pPr>
        <w:pStyle w:val="ListParagraph"/>
        <w:numPr>
          <w:ilvl w:val="0"/>
          <w:numId w:val="10"/>
        </w:numPr>
        <w:rPr>
          <w:rFonts w:ascii="Times New Roman" w:hAnsi="Times New Roman"/>
        </w:rPr>
      </w:pPr>
      <w:r w:rsidRPr="00B20FD3">
        <w:rPr>
          <w:rFonts w:ascii="Times New Roman" w:hAnsi="Times New Roman"/>
        </w:rPr>
        <w:t>Educating employers and the public on the availability and benefits of fidelity bonds for persons with criminal records; and</w:t>
      </w:r>
    </w:p>
    <w:p w:rsidRPr="00B20FD3" w:rsidR="00B20FD3" w:rsidP="00B20FD3" w:rsidRDefault="00B20FD3" w14:paraId="70002CB0" w14:textId="7EFBADC2">
      <w:pPr>
        <w:pStyle w:val="ListParagraph"/>
        <w:numPr>
          <w:ilvl w:val="0"/>
          <w:numId w:val="10"/>
        </w:numPr>
        <w:rPr>
          <w:rFonts w:ascii="Times New Roman" w:hAnsi="Times New Roman"/>
        </w:rPr>
      </w:pPr>
      <w:r w:rsidRPr="00B20FD3">
        <w:rPr>
          <w:rFonts w:ascii="Times New Roman" w:hAnsi="Times New Roman"/>
        </w:rPr>
        <w:t>Providing outreach to employers to encourage them to hire persons with criminal records.</w:t>
      </w:r>
    </w:p>
    <w:p w:rsidR="006E795C" w:rsidP="00B20FD3" w:rsidRDefault="006E795C" w14:paraId="0CB67117" w14:textId="334F92A9">
      <w:pPr>
        <w:pStyle w:val="Text1"/>
        <w:rPr>
          <w:sz w:val="22"/>
          <w:szCs w:val="22"/>
        </w:rPr>
      </w:pPr>
    </w:p>
    <w:p w:rsidRPr="008E3C93" w:rsidR="003C1992" w:rsidP="00FE1FAA" w:rsidRDefault="00C97D02" w14:paraId="1584842B" w14:textId="5DCD9546">
      <w:pPr>
        <w:autoSpaceDE w:val="0"/>
        <w:autoSpaceDN w:val="0"/>
        <w:adjustRightInd w:val="0"/>
        <w:spacing w:after="0" w:line="240" w:lineRule="auto"/>
        <w:rPr>
          <w:rFonts w:ascii="Times New Roman" w:hAnsi="Times New Roman" w:eastAsia="Times New Roman" w:cs="Times New Roman"/>
        </w:rPr>
      </w:pPr>
      <w:r w:rsidRPr="00D53EC6">
        <w:rPr>
          <w:rFonts w:ascii="Times New Roman" w:hAnsi="Times New Roman" w:eastAsia="Times New Roman" w:cs="Times New Roman"/>
        </w:rPr>
        <w:t>Applications will include the foll</w:t>
      </w:r>
      <w:r w:rsidRPr="00D53EC6" w:rsidR="0011723F">
        <w:rPr>
          <w:rFonts w:ascii="Times New Roman" w:hAnsi="Times New Roman" w:eastAsia="Times New Roman" w:cs="Times New Roman"/>
        </w:rPr>
        <w:t xml:space="preserve">owing information collections: </w:t>
      </w:r>
      <w:r w:rsidRPr="00D53EC6">
        <w:rPr>
          <w:rFonts w:ascii="Times New Roman" w:hAnsi="Times New Roman" w:eastAsia="Times New Roman" w:cs="Times New Roman"/>
        </w:rPr>
        <w:t xml:space="preserve">1) Form SF-424 “Application for Federal Assistance,” separately cleared under OMB control number </w:t>
      </w:r>
      <w:r w:rsidRPr="00D53EC6" w:rsidR="00517E2A">
        <w:rPr>
          <w:rFonts w:ascii="Times New Roman" w:hAnsi="Times New Roman" w:eastAsia="Times New Roman" w:cs="Times New Roman"/>
        </w:rPr>
        <w:t>4040-0004</w:t>
      </w:r>
      <w:r w:rsidRPr="00D53EC6">
        <w:rPr>
          <w:rFonts w:ascii="Times New Roman" w:hAnsi="Times New Roman" w:eastAsia="Times New Roman" w:cs="Times New Roman"/>
        </w:rPr>
        <w:t>, 2) Project Budget, 3) Project Narrative, and 4) Attachments to the Project Narrative.</w:t>
      </w:r>
      <w:r w:rsidRPr="008E3C93">
        <w:rPr>
          <w:rFonts w:ascii="Times New Roman" w:hAnsi="Times New Roman" w:eastAsia="Times New Roman" w:cs="Times New Roman"/>
        </w:rPr>
        <w:t xml:space="preserve">  </w:t>
      </w:r>
      <w:bookmarkEnd w:id="0"/>
      <w:bookmarkEnd w:id="1"/>
      <w:bookmarkEnd w:id="2"/>
      <w:bookmarkEnd w:id="3"/>
    </w:p>
    <w:p w:rsidRPr="008E3C93" w:rsidR="003C1992" w:rsidP="00C97D02" w:rsidRDefault="003C1992" w14:paraId="55341811" w14:textId="66FB15B9">
      <w:pPr>
        <w:spacing w:after="0" w:line="240" w:lineRule="auto"/>
        <w:rPr>
          <w:rFonts w:ascii="Times New Roman" w:hAnsi="Times New Roman" w:eastAsia="Times New Roman" w:cs="Times New Roman"/>
          <w:b/>
          <w:u w:val="single"/>
        </w:rPr>
      </w:pPr>
    </w:p>
    <w:p w:rsidRPr="008E3C93" w:rsidR="00C97D02" w:rsidP="00C97D02" w:rsidRDefault="00C97D02" w14:paraId="4FB6D460" w14:textId="360CF971">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Electronic availability:</w:t>
      </w:r>
    </w:p>
    <w:p w:rsidRPr="008E3C93" w:rsidR="00C97D02" w:rsidP="00C97D02" w:rsidRDefault="00C97D02" w14:paraId="33FE51B9" w14:textId="77777777">
      <w:pPr>
        <w:spacing w:after="0" w:line="240" w:lineRule="auto"/>
        <w:rPr>
          <w:rFonts w:ascii="Times New Roman" w:hAnsi="Times New Roman" w:eastAsia="Times New Roman" w:cs="Times New Roman"/>
        </w:rPr>
      </w:pPr>
    </w:p>
    <w:p w:rsidRPr="008E3C93" w:rsidR="00C97D02" w:rsidP="00C97D02" w:rsidRDefault="00C97D02" w14:paraId="3E9200CC" w14:textId="72EFD528">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 xml:space="preserve">This grant solicitation is available on the grants.gov </w:t>
      </w:r>
      <w:r w:rsidR="00BF311C">
        <w:rPr>
          <w:rFonts w:ascii="Times New Roman" w:hAnsi="Times New Roman" w:eastAsia="Times New Roman" w:cs="Times New Roman"/>
        </w:rPr>
        <w:t>web</w:t>
      </w:r>
      <w:r w:rsidRPr="008E3C93">
        <w:rPr>
          <w:rFonts w:ascii="Times New Roman" w:hAnsi="Times New Roman" w:eastAsia="Times New Roman" w:cs="Times New Roman"/>
        </w:rPr>
        <w:t>site.  Based on past DOL experience, the Department anticipates</w:t>
      </w:r>
      <w:r w:rsidRPr="008E3C93" w:rsidR="00D2022F">
        <w:rPr>
          <w:rFonts w:ascii="Times New Roman" w:hAnsi="Times New Roman" w:eastAsia="Times New Roman" w:cs="Times New Roman"/>
        </w:rPr>
        <w:t xml:space="preserve"> that </w:t>
      </w:r>
      <w:r w:rsidRPr="00D016EB" w:rsidR="00D2022F">
        <w:rPr>
          <w:rFonts w:ascii="Times New Roman" w:hAnsi="Times New Roman" w:eastAsia="Times New Roman" w:cs="Times New Roman"/>
        </w:rPr>
        <w:t xml:space="preserve">at least </w:t>
      </w:r>
      <w:r w:rsidRPr="00D016EB" w:rsidR="00A649BB">
        <w:rPr>
          <w:rFonts w:ascii="Times New Roman" w:hAnsi="Times New Roman" w:eastAsia="Times New Roman" w:cs="Times New Roman"/>
        </w:rPr>
        <w:t xml:space="preserve">80 </w:t>
      </w:r>
      <w:r w:rsidRPr="00D016EB">
        <w:rPr>
          <w:rFonts w:ascii="Times New Roman" w:hAnsi="Times New Roman" w:eastAsia="Times New Roman" w:cs="Times New Roman"/>
        </w:rPr>
        <w:t xml:space="preserve">percent </w:t>
      </w:r>
      <w:r w:rsidRPr="008E3C93">
        <w:rPr>
          <w:rFonts w:ascii="Times New Roman" w:hAnsi="Times New Roman" w:eastAsia="Times New Roman" w:cs="Times New Roman"/>
        </w:rPr>
        <w:t>of responses will be submitted electronically.</w:t>
      </w:r>
    </w:p>
    <w:p w:rsidRPr="008E3C93" w:rsidR="00612771" w:rsidP="00C97D02" w:rsidRDefault="00612771" w14:paraId="02355CBE" w14:textId="77777777">
      <w:pPr>
        <w:spacing w:after="0" w:line="240" w:lineRule="auto"/>
        <w:rPr>
          <w:rFonts w:ascii="Times New Roman" w:hAnsi="Times New Roman" w:eastAsia="Times New Roman" w:cs="Times New Roman"/>
          <w:b/>
          <w:u w:val="single"/>
        </w:rPr>
      </w:pPr>
    </w:p>
    <w:p w:rsidRPr="008E3C93" w:rsidR="00C97D02" w:rsidP="00C97D02" w:rsidRDefault="00C97D02" w14:paraId="5433953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lastRenderedPageBreak/>
        <w:t>Small Entities:</w:t>
      </w:r>
    </w:p>
    <w:p w:rsidRPr="008E3C93" w:rsidR="00C97D02" w:rsidP="00C97D02" w:rsidRDefault="00C97D02" w14:paraId="59EFBDDD" w14:textId="77777777">
      <w:pPr>
        <w:spacing w:after="0" w:line="240" w:lineRule="auto"/>
        <w:rPr>
          <w:rFonts w:ascii="Times New Roman" w:hAnsi="Times New Roman" w:eastAsia="Times New Roman" w:cs="Times New Roman"/>
        </w:rPr>
      </w:pPr>
    </w:p>
    <w:p w:rsidRPr="008E3C93" w:rsidR="00C97D02" w:rsidP="00C97D02" w:rsidRDefault="00C97D02" w14:paraId="5D53AD30" w14:textId="2A90EA39">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information collection will not have a significant impact on a substantial number of small entities.</w:t>
      </w:r>
    </w:p>
    <w:p w:rsidR="00C97D02" w:rsidP="00C97D02" w:rsidRDefault="00C97D02" w14:paraId="6E27E579" w14:textId="065654BF">
      <w:pPr>
        <w:spacing w:after="0" w:line="240" w:lineRule="auto"/>
        <w:rPr>
          <w:rFonts w:ascii="Times New Roman" w:hAnsi="Times New Roman" w:eastAsia="Times New Roman" w:cs="Times New Roman"/>
        </w:rPr>
      </w:pPr>
    </w:p>
    <w:p w:rsidRPr="008E3C93" w:rsidR="00C97D02" w:rsidP="00C97D02" w:rsidRDefault="00C97D02" w14:paraId="0B9B4766" w14:textId="77777777">
      <w:pPr>
        <w:autoSpaceDE w:val="0"/>
        <w:autoSpaceDN w:val="0"/>
        <w:adjustRightInd w:val="0"/>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Assurances of confidentiality:</w:t>
      </w:r>
    </w:p>
    <w:p w:rsidRPr="008E3C93" w:rsidR="00C97D02" w:rsidP="00C97D02" w:rsidRDefault="00C97D02" w14:paraId="5F0ED205" w14:textId="77777777">
      <w:pPr>
        <w:spacing w:after="0" w:line="240" w:lineRule="auto"/>
        <w:rPr>
          <w:rFonts w:ascii="Times New Roman" w:hAnsi="Times New Roman" w:eastAsia="Times New Roman" w:cs="Times New Roman"/>
        </w:rPr>
      </w:pPr>
    </w:p>
    <w:p w:rsidRPr="008E3C93" w:rsidR="00C97D02" w:rsidP="00C97D02" w:rsidRDefault="00C97D02" w14:paraId="569BEBF9"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These grant solicitations do not offer applicants assurances of confidentiality.</w:t>
      </w:r>
    </w:p>
    <w:p w:rsidRPr="008E3C93" w:rsidR="00C97D02" w:rsidP="00C97D02" w:rsidRDefault="00C97D02" w14:paraId="36B88759" w14:textId="77777777">
      <w:pPr>
        <w:spacing w:after="0" w:line="240" w:lineRule="auto"/>
        <w:rPr>
          <w:rFonts w:ascii="Times New Roman" w:hAnsi="Times New Roman" w:eastAsia="Times New Roman" w:cs="Times New Roman"/>
        </w:rPr>
      </w:pPr>
    </w:p>
    <w:p w:rsidRPr="008E3C93" w:rsidR="00C97D02" w:rsidP="00C97D02" w:rsidRDefault="00C97D02" w14:paraId="602D3DA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Special circumstances:</w:t>
      </w:r>
    </w:p>
    <w:p w:rsidRPr="008E3C93" w:rsidR="00C97D02" w:rsidP="00C97D02" w:rsidRDefault="00C97D02" w14:paraId="42A2B463" w14:textId="77777777">
      <w:pPr>
        <w:spacing w:after="0" w:line="240" w:lineRule="auto"/>
        <w:rPr>
          <w:rFonts w:ascii="Times New Roman" w:hAnsi="Times New Roman" w:eastAsia="Times New Roman" w:cs="Times New Roman"/>
        </w:rPr>
      </w:pPr>
    </w:p>
    <w:p w:rsidRPr="008E3C93" w:rsidR="00C97D02" w:rsidP="00C97D02" w:rsidRDefault="00C97D02" w14:paraId="76EF24CF"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FOA implicates no special circumstances.</w:t>
      </w:r>
    </w:p>
    <w:p w:rsidRPr="008E3C93" w:rsidR="00C97D02" w:rsidP="00C97D02" w:rsidRDefault="00C97D02" w14:paraId="4F641A26" w14:textId="77777777">
      <w:pPr>
        <w:spacing w:after="0" w:line="240" w:lineRule="auto"/>
        <w:rPr>
          <w:rFonts w:ascii="Times New Roman" w:hAnsi="Times New Roman" w:eastAsia="Times New Roman" w:cs="Times New Roman"/>
          <w:b/>
          <w:u w:val="single"/>
        </w:rPr>
      </w:pPr>
    </w:p>
    <w:p w:rsidRPr="008E3C93" w:rsidR="00C97D02" w:rsidP="00C97D02" w:rsidRDefault="00C97D02" w14:paraId="4E4C14DF"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Burden:</w:t>
      </w:r>
    </w:p>
    <w:p w:rsidRPr="008E3C93" w:rsidR="00C97D02" w:rsidP="00C97D02" w:rsidRDefault="00C97D02" w14:paraId="57C98C85" w14:textId="77777777">
      <w:pPr>
        <w:spacing w:after="0" w:line="240" w:lineRule="auto"/>
        <w:rPr>
          <w:rFonts w:ascii="Times New Roman" w:hAnsi="Times New Roman" w:eastAsia="Times New Roman" w:cs="Times New Roman"/>
        </w:rPr>
      </w:pPr>
    </w:p>
    <w:p w:rsidRPr="008E3C93" w:rsidR="00C97D02" w:rsidP="00C97D02" w:rsidRDefault="00C97D02" w14:paraId="6A20BE87" w14:textId="4D553948">
      <w:pPr>
        <w:spacing w:after="0" w:line="240" w:lineRule="auto"/>
        <w:rPr>
          <w:rFonts w:ascii="Times New Roman" w:hAnsi="Times New Roman" w:eastAsia="Calibri" w:cs="Times New Roman"/>
        </w:rPr>
      </w:pPr>
      <w:r w:rsidRPr="008E3C93">
        <w:rPr>
          <w:rFonts w:ascii="Times New Roman" w:hAnsi="Times New Roman" w:eastAsia="Calibri" w:cs="Times New Roman"/>
        </w:rPr>
        <w:t xml:space="preserve">Based on past experience, the DOL expects to receive approximately </w:t>
      </w:r>
      <w:r w:rsidR="00B20FD3">
        <w:rPr>
          <w:rFonts w:ascii="Times New Roman" w:hAnsi="Times New Roman" w:eastAsia="Calibri" w:cs="Times New Roman"/>
        </w:rPr>
        <w:t>33</w:t>
      </w:r>
      <w:r w:rsidRPr="008E3C93" w:rsidR="00A35ACB">
        <w:rPr>
          <w:rFonts w:ascii="Times New Roman" w:hAnsi="Times New Roman" w:eastAsia="Calibri" w:cs="Times New Roman"/>
        </w:rPr>
        <w:t xml:space="preserve"> </w:t>
      </w:r>
      <w:r w:rsidRPr="008E3C93">
        <w:rPr>
          <w:rFonts w:ascii="Times New Roman" w:hAnsi="Times New Roman" w:eastAsia="Calibri" w:cs="Times New Roman"/>
        </w:rPr>
        <w:t>applications from a</w:t>
      </w:r>
      <w:r w:rsidRPr="008E3C93" w:rsidR="00C0692E">
        <w:rPr>
          <w:rFonts w:ascii="Times New Roman" w:hAnsi="Times New Roman" w:eastAsia="Calibri" w:cs="Times New Roman"/>
        </w:rPr>
        <w:t>n equal number of respondents. </w:t>
      </w:r>
      <w:r w:rsidRPr="008E3C93" w:rsidR="003C1992">
        <w:rPr>
          <w:rFonts w:ascii="Times New Roman" w:hAnsi="Times New Roman" w:eastAsia="Calibri" w:cs="Times New Roman"/>
        </w:rPr>
        <w:t xml:space="preserve"> </w:t>
      </w:r>
      <w:r w:rsidRPr="008E3C93">
        <w:rPr>
          <w:rFonts w:ascii="Times New Roman" w:hAnsi="Times New Roman" w:eastAsia="Calibri" w:cs="Times New Roman"/>
        </w:rPr>
        <w:t>The ETA estimates publ</w:t>
      </w:r>
      <w:bookmarkStart w:name="_GoBack" w:id="4"/>
      <w:bookmarkEnd w:id="4"/>
      <w:r w:rsidRPr="008E3C93">
        <w:rPr>
          <w:rFonts w:ascii="Times New Roman" w:hAnsi="Times New Roman" w:eastAsia="Calibri" w:cs="Times New Roman"/>
        </w:rPr>
        <w:t xml:space="preserve">ic reporting burden for the information collection to average </w:t>
      </w:r>
      <w:r w:rsidRPr="008E3C93" w:rsidR="00C56380">
        <w:rPr>
          <w:rFonts w:ascii="Times New Roman" w:hAnsi="Times New Roman" w:eastAsia="Calibri" w:cs="Times New Roman"/>
        </w:rPr>
        <w:t>20</w:t>
      </w:r>
      <w:r w:rsidRPr="008E3C93">
        <w:rPr>
          <w:rFonts w:ascii="Times New Roman" w:hAnsi="Times New Roman" w:eastAsia="Calibri" w:cs="Times New Roman"/>
        </w:rPr>
        <w:t xml:space="preserve"> hours per response for reviewing instructions, searching existing data sources, gathering and maintaining needed data, and completing and reviewing the collection of information.</w:t>
      </w:r>
    </w:p>
    <w:p w:rsidRPr="008E3C93" w:rsidR="00C97D02" w:rsidP="00C97D02" w:rsidRDefault="00C97D02" w14:paraId="053A36AF" w14:textId="77777777">
      <w:pPr>
        <w:spacing w:after="0" w:line="240" w:lineRule="auto"/>
        <w:rPr>
          <w:rFonts w:ascii="Times New Roman" w:hAnsi="Times New Roman" w:eastAsia="Calibri" w:cs="Times New Roman"/>
        </w:rPr>
      </w:pPr>
    </w:p>
    <w:p w:rsidRPr="008E3C93" w:rsidR="00C97D02" w:rsidP="00C97D02" w:rsidRDefault="00B20FD3" w14:paraId="255091CC" w14:textId="09B1ABA0">
      <w:pPr>
        <w:spacing w:after="0" w:line="240" w:lineRule="auto"/>
        <w:rPr>
          <w:rFonts w:ascii="Times New Roman" w:hAnsi="Times New Roman" w:eastAsia="Calibri" w:cs="Times New Roman"/>
          <w:color w:val="000000"/>
        </w:rPr>
      </w:pPr>
      <w:r>
        <w:rPr>
          <w:rFonts w:ascii="Times New Roman" w:hAnsi="Times New Roman" w:eastAsia="Calibri" w:cs="Times New Roman"/>
        </w:rPr>
        <w:t>33</w:t>
      </w:r>
      <w:r w:rsidRPr="008E3C93" w:rsidR="00A272EF">
        <w:rPr>
          <w:rFonts w:ascii="Times New Roman" w:hAnsi="Times New Roman" w:eastAsia="Calibri" w:cs="Times New Roman"/>
        </w:rPr>
        <w:t xml:space="preserve"> </w:t>
      </w:r>
      <w:r w:rsidRPr="008E3C93" w:rsidR="00C97D02">
        <w:rPr>
          <w:rFonts w:ascii="Times New Roman" w:hAnsi="Times New Roman" w:eastAsia="Calibri" w:cs="Times New Roman"/>
        </w:rPr>
        <w:t xml:space="preserve">applications x </w:t>
      </w:r>
      <w:r w:rsidRPr="008E3C93" w:rsidR="00C54AA8">
        <w:rPr>
          <w:rFonts w:ascii="Times New Roman" w:hAnsi="Times New Roman" w:eastAsia="Calibri" w:cs="Times New Roman"/>
        </w:rPr>
        <w:t>20</w:t>
      </w:r>
      <w:r w:rsidRPr="008E3C93" w:rsidR="00C97D02">
        <w:rPr>
          <w:rFonts w:ascii="Times New Roman" w:hAnsi="Times New Roman" w:eastAsia="Calibri" w:cs="Times New Roman"/>
        </w:rPr>
        <w:t xml:space="preserve"> </w:t>
      </w:r>
      <w:r w:rsidRPr="008E3C93" w:rsidR="00C97D02">
        <w:rPr>
          <w:rFonts w:ascii="Times New Roman" w:hAnsi="Times New Roman" w:eastAsia="Calibri" w:cs="Times New Roman"/>
          <w:color w:val="000000"/>
        </w:rPr>
        <w:t xml:space="preserve">hours = </w:t>
      </w:r>
      <w:r>
        <w:rPr>
          <w:rFonts w:ascii="Times New Roman" w:hAnsi="Times New Roman" w:eastAsia="Calibri" w:cs="Times New Roman"/>
          <w:color w:val="000000"/>
        </w:rPr>
        <w:t>660</w:t>
      </w:r>
      <w:r w:rsidR="00D016EB">
        <w:rPr>
          <w:rFonts w:ascii="Times New Roman" w:hAnsi="Times New Roman" w:eastAsia="Calibri" w:cs="Times New Roman"/>
          <w:color w:val="000000"/>
        </w:rPr>
        <w:t xml:space="preserve"> hours</w:t>
      </w:r>
    </w:p>
    <w:p w:rsidRPr="008E3C93" w:rsidR="00C97D02" w:rsidP="00C97D02" w:rsidRDefault="00C97D02" w14:paraId="1EF5F7C2" w14:textId="77777777">
      <w:pPr>
        <w:spacing w:after="0" w:line="240" w:lineRule="auto"/>
        <w:rPr>
          <w:rFonts w:ascii="Times New Roman" w:hAnsi="Times New Roman" w:eastAsia="Calibri" w:cs="Times New Roman"/>
          <w:color w:val="000000"/>
        </w:rPr>
      </w:pPr>
    </w:p>
    <w:p w:rsidR="00E220E1" w:rsidP="00172784" w:rsidRDefault="00E220E1" w14:paraId="39F38075" w14:textId="350286A6">
      <w:pPr>
        <w:spacing w:after="0" w:line="240" w:lineRule="auto"/>
        <w:rPr>
          <w:rFonts w:ascii="Times New Roman" w:hAnsi="Times New Roman" w:eastAsia="Calibri" w:cs="Times New Roman"/>
          <w:color w:val="000000"/>
        </w:rPr>
      </w:pPr>
      <w:r w:rsidRPr="00E220E1">
        <w:rPr>
          <w:rFonts w:ascii="Times New Roman" w:hAnsi="Times New Roman" w:eastAsia="Calibri" w:cs="Times New Roman"/>
          <w:color w:val="000000"/>
        </w:rPr>
        <w:t>The DOL uses the average hourly earnings in the professional and business services industry of $3</w:t>
      </w:r>
      <w:r w:rsidR="00B20FD3">
        <w:rPr>
          <w:rFonts w:ascii="Times New Roman" w:hAnsi="Times New Roman" w:eastAsia="Calibri" w:cs="Times New Roman"/>
          <w:color w:val="000000"/>
        </w:rPr>
        <w:t xml:space="preserve">5.19 </w:t>
      </w:r>
      <w:r w:rsidRPr="00E220E1">
        <w:rPr>
          <w:rFonts w:ascii="Times New Roman" w:hAnsi="Times New Roman" w:eastAsia="Calibri" w:cs="Times New Roman"/>
          <w:color w:val="000000"/>
        </w:rPr>
        <w:t>per hour to monetize this burden.  See The Employment Situation—</w:t>
      </w:r>
      <w:r w:rsidR="003F1A75">
        <w:rPr>
          <w:rFonts w:ascii="Times New Roman" w:hAnsi="Times New Roman" w:eastAsia="Calibri" w:cs="Times New Roman"/>
          <w:color w:val="000000"/>
        </w:rPr>
        <w:t>October</w:t>
      </w:r>
      <w:r w:rsidRPr="00E220E1">
        <w:rPr>
          <w:rFonts w:ascii="Times New Roman" w:hAnsi="Times New Roman" w:eastAsia="Calibri" w:cs="Times New Roman"/>
          <w:color w:val="000000"/>
        </w:rPr>
        <w:t xml:space="preserve"> 2020, DOL, Bureau of Labor Statistics, </w:t>
      </w:r>
      <w:hyperlink w:history="1" r:id="rId11">
        <w:r w:rsidRPr="0002428E" w:rsidR="008E1541">
          <w:rPr>
            <w:rStyle w:val="Hyperlink"/>
            <w:rFonts w:ascii="Times New Roman" w:hAnsi="Times New Roman" w:eastAsia="Calibri" w:cs="Times New Roman"/>
          </w:rPr>
          <w:t>https://www.bls.gov/news.release/pdf/empsit.pdf</w:t>
        </w:r>
      </w:hyperlink>
      <w:r w:rsidR="008E1541">
        <w:rPr>
          <w:rFonts w:ascii="Times New Roman" w:hAnsi="Times New Roman" w:eastAsia="Calibri" w:cs="Times New Roman"/>
          <w:color w:val="000000"/>
        </w:rPr>
        <w:t xml:space="preserve"> </w:t>
      </w:r>
      <w:r w:rsidRPr="00E220E1">
        <w:rPr>
          <w:rFonts w:ascii="Times New Roman" w:hAnsi="Times New Roman" w:eastAsia="Calibri" w:cs="Times New Roman"/>
          <w:color w:val="000000"/>
        </w:rPr>
        <w:t> at page 3</w:t>
      </w:r>
      <w:r w:rsidR="003F1A75">
        <w:rPr>
          <w:rFonts w:ascii="Times New Roman" w:hAnsi="Times New Roman" w:eastAsia="Calibri" w:cs="Times New Roman"/>
          <w:color w:val="000000"/>
        </w:rPr>
        <w:t>6</w:t>
      </w:r>
      <w:r w:rsidRPr="00E220E1">
        <w:rPr>
          <w:rFonts w:ascii="Times New Roman" w:hAnsi="Times New Roman" w:eastAsia="Calibri" w:cs="Times New Roman"/>
          <w:color w:val="000000"/>
        </w:rPr>
        <w:t>.</w:t>
      </w:r>
    </w:p>
    <w:p w:rsidRPr="008E3C93" w:rsidR="00C97D02" w:rsidP="00C97D02" w:rsidRDefault="00C97D02" w14:paraId="5DED4D1A" w14:textId="77777777">
      <w:pPr>
        <w:spacing w:after="0" w:line="240" w:lineRule="auto"/>
        <w:rPr>
          <w:rFonts w:ascii="Times New Roman" w:hAnsi="Times New Roman" w:eastAsia="Calibri" w:cs="Times New Roman"/>
          <w:color w:val="000000"/>
        </w:rPr>
      </w:pPr>
    </w:p>
    <w:p w:rsidRPr="008E3C93" w:rsidR="00C97D02" w:rsidP="00C97D02" w:rsidRDefault="00B20FD3" w14:paraId="73B3C685" w14:textId="5B7FB675">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660</w:t>
      </w:r>
      <w:r w:rsidR="00851F89">
        <w:rPr>
          <w:rFonts w:ascii="Times New Roman" w:hAnsi="Times New Roman" w:eastAsia="Calibri" w:cs="Times New Roman"/>
          <w:color w:val="000000"/>
        </w:rPr>
        <w:t xml:space="preserve"> </w:t>
      </w:r>
      <w:r w:rsidRPr="008E3C93" w:rsidR="00C97D02">
        <w:rPr>
          <w:rFonts w:ascii="Times New Roman" w:hAnsi="Times New Roman" w:eastAsia="Calibri" w:cs="Times New Roman"/>
          <w:color w:val="000000"/>
        </w:rPr>
        <w:t>hours x $</w:t>
      </w:r>
      <w:r w:rsidRPr="00E220E1" w:rsidR="00E220E1">
        <w:rPr>
          <w:rFonts w:ascii="Times New Roman" w:hAnsi="Times New Roman" w:eastAsia="Calibri" w:cs="Times New Roman"/>
          <w:color w:val="000000"/>
        </w:rPr>
        <w:t>3</w:t>
      </w:r>
      <w:r>
        <w:rPr>
          <w:rFonts w:ascii="Times New Roman" w:hAnsi="Times New Roman" w:eastAsia="Calibri" w:cs="Times New Roman"/>
          <w:color w:val="000000"/>
        </w:rPr>
        <w:t>5.19</w:t>
      </w:r>
      <w:r w:rsidRPr="00E220E1" w:rsidR="00E220E1">
        <w:rPr>
          <w:rFonts w:ascii="Times New Roman" w:hAnsi="Times New Roman" w:eastAsia="Calibri" w:cs="Times New Roman"/>
          <w:color w:val="000000"/>
        </w:rPr>
        <w:t xml:space="preserve"> </w:t>
      </w:r>
      <w:r w:rsidRPr="008E3C93" w:rsidR="00C97D02">
        <w:rPr>
          <w:rFonts w:ascii="Times New Roman" w:hAnsi="Times New Roman" w:eastAsia="Calibri" w:cs="Times New Roman"/>
          <w:color w:val="000000"/>
        </w:rPr>
        <w:t>= $</w:t>
      </w:r>
      <w:r>
        <w:rPr>
          <w:rFonts w:ascii="Times New Roman" w:hAnsi="Times New Roman" w:eastAsia="Calibri" w:cs="Times New Roman"/>
          <w:color w:val="000000"/>
        </w:rPr>
        <w:t>23,225.40</w:t>
      </w:r>
    </w:p>
    <w:p w:rsidRPr="008E3C93" w:rsidR="00C97D02" w:rsidP="00C97D02" w:rsidRDefault="00C97D02" w14:paraId="52D3C19E" w14:textId="77777777">
      <w:pPr>
        <w:spacing w:after="0" w:line="240" w:lineRule="auto"/>
        <w:rPr>
          <w:rFonts w:ascii="Times New Roman" w:hAnsi="Times New Roman" w:eastAsia="Times New Roman" w:cs="Times New Roman"/>
          <w:color w:val="000000"/>
        </w:rPr>
      </w:pPr>
    </w:p>
    <w:p w:rsidRPr="008E3C93" w:rsidR="00C97D02" w:rsidP="00C97D02" w:rsidRDefault="00C97D02" w14:paraId="20B7BA6B"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color w:val="000000"/>
        </w:rPr>
        <w:lastRenderedPageBreak/>
        <w:t xml:space="preserve">The DOL associates no other burden costs with this information collection.  In addition to the application, each grantee will be required to submit quarterly financial, performance, and narrative reports to the ETA.  Those information collection </w:t>
      </w:r>
      <w:r w:rsidRPr="008E3C93">
        <w:rPr>
          <w:rFonts w:ascii="Times New Roman" w:hAnsi="Times New Roman" w:eastAsia="Times New Roman" w:cs="Times New Roman"/>
        </w:rPr>
        <w:t>requirements will be cleared under a separate control number.</w:t>
      </w:r>
    </w:p>
    <w:p w:rsidRPr="008E3C93" w:rsidR="00C97D02" w:rsidP="00C97D02" w:rsidRDefault="00C97D02" w14:paraId="4377638D" w14:textId="77777777">
      <w:pPr>
        <w:spacing w:after="0" w:line="240" w:lineRule="auto"/>
        <w:rPr>
          <w:rFonts w:ascii="Times New Roman" w:hAnsi="Times New Roman" w:eastAsia="Times New Roman" w:cs="Times New Roman"/>
        </w:rPr>
      </w:pPr>
    </w:p>
    <w:p w:rsidRPr="008E3C93" w:rsidR="00C97D02" w:rsidP="00C97D02" w:rsidRDefault="00C97D02" w14:paraId="5632F967" w14:textId="29BF735E">
      <w:pPr>
        <w:spacing w:after="0" w:line="240" w:lineRule="auto"/>
        <w:rPr>
          <w:rFonts w:ascii="Times New Roman" w:hAnsi="Times New Roman" w:eastAsia="Times New Roman" w:cs="Times New Roman"/>
          <w:i/>
          <w:color w:val="000000"/>
        </w:rPr>
      </w:pPr>
      <w:r w:rsidRPr="008E3C93">
        <w:rPr>
          <w:rFonts w:ascii="Times New Roman" w:hAnsi="Times New Roman" w:eastAsia="Times New Roman" w:cs="Times New Roman"/>
          <w:i/>
        </w:rPr>
        <w:t xml:space="preserve">Total burden: </w:t>
      </w:r>
      <w:r w:rsidR="00B20FD3">
        <w:rPr>
          <w:rFonts w:ascii="Times New Roman" w:hAnsi="Times New Roman" w:eastAsia="Times New Roman" w:cs="Times New Roman"/>
          <w:i/>
        </w:rPr>
        <w:t>33</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respondents,</w:t>
      </w:r>
      <w:r w:rsidRPr="008E3C93" w:rsidR="00C56380">
        <w:rPr>
          <w:rFonts w:ascii="Times New Roman" w:hAnsi="Times New Roman" w:eastAsia="Times New Roman" w:cs="Times New Roman"/>
          <w:i/>
        </w:rPr>
        <w:t xml:space="preserve"> </w:t>
      </w:r>
      <w:r w:rsidR="00B20FD3">
        <w:rPr>
          <w:rFonts w:ascii="Times New Roman" w:hAnsi="Times New Roman" w:eastAsia="Times New Roman" w:cs="Times New Roman"/>
          <w:i/>
        </w:rPr>
        <w:t>33</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responses,</w:t>
      </w:r>
      <w:r w:rsidRPr="008E3C93" w:rsidR="00C56380">
        <w:rPr>
          <w:rFonts w:ascii="Times New Roman" w:hAnsi="Times New Roman" w:eastAsia="Times New Roman" w:cs="Times New Roman"/>
          <w:i/>
        </w:rPr>
        <w:t xml:space="preserve"> </w:t>
      </w:r>
      <w:r w:rsidR="00234116">
        <w:rPr>
          <w:rFonts w:ascii="Times New Roman" w:hAnsi="Times New Roman" w:eastAsia="Times New Roman" w:cs="Times New Roman"/>
          <w:i/>
        </w:rPr>
        <w:t>660</w:t>
      </w:r>
      <w:r w:rsidR="00851F89">
        <w:rPr>
          <w:rFonts w:ascii="Times New Roman" w:hAnsi="Times New Roman" w:eastAsia="Times New Roman" w:cs="Times New Roman"/>
          <w:i/>
        </w:rPr>
        <w:t xml:space="preserve"> hour</w:t>
      </w:r>
      <w:r w:rsidRPr="008E3C93">
        <w:rPr>
          <w:rFonts w:ascii="Times New Roman" w:hAnsi="Times New Roman" w:eastAsia="Times New Roman" w:cs="Times New Roman"/>
          <w:i/>
        </w:rPr>
        <w:t>s, $</w:t>
      </w:r>
      <w:r w:rsidRPr="008E3C93" w:rsidR="000306E2">
        <w:rPr>
          <w:rFonts w:ascii="Times New Roman" w:hAnsi="Times New Roman" w:eastAsia="Times New Roman" w:cs="Times New Roman"/>
          <w:i/>
        </w:rPr>
        <w:t>0</w:t>
      </w:r>
      <w:r w:rsidRPr="008E3C93">
        <w:rPr>
          <w:rFonts w:ascii="Times New Roman" w:hAnsi="Times New Roman" w:eastAsia="Times New Roman" w:cs="Times New Roman"/>
          <w:i/>
        </w:rPr>
        <w:t xml:space="preserve"> </w:t>
      </w:r>
      <w:r w:rsidRPr="008E3C93">
        <w:rPr>
          <w:rFonts w:ascii="Times New Roman" w:hAnsi="Times New Roman" w:eastAsia="Times New Roman" w:cs="Times New Roman"/>
          <w:i/>
          <w:color w:val="000000"/>
        </w:rPr>
        <w:t>other cost burden.</w:t>
      </w:r>
    </w:p>
    <w:p w:rsidRPr="008E3C93" w:rsidR="00C97D02" w:rsidP="00C97D02" w:rsidRDefault="00C97D02" w14:paraId="7C96D4CF" w14:textId="77777777">
      <w:pPr>
        <w:spacing w:after="0" w:line="240" w:lineRule="auto"/>
        <w:rPr>
          <w:rFonts w:ascii="Times New Roman" w:hAnsi="Times New Roman" w:eastAsia="Times New Roman" w:cs="Times New Roman"/>
          <w:b/>
          <w:color w:val="000000"/>
          <w:u w:val="single"/>
        </w:rPr>
      </w:pPr>
    </w:p>
    <w:p w:rsidRPr="008E3C93" w:rsidR="00C97D02" w:rsidP="00C97D02" w:rsidRDefault="00C97D02" w14:paraId="416EF4B9" w14:textId="77777777">
      <w:pPr>
        <w:spacing w:after="0" w:line="240" w:lineRule="auto"/>
        <w:rPr>
          <w:rFonts w:ascii="Times New Roman" w:hAnsi="Times New Roman" w:eastAsia="Times New Roman" w:cs="Times New Roman"/>
          <w:b/>
          <w:i/>
          <w:color w:val="000000"/>
          <w:u w:val="single"/>
        </w:rPr>
      </w:pPr>
      <w:r w:rsidRPr="008E3C93">
        <w:rPr>
          <w:rFonts w:ascii="Times New Roman" w:hAnsi="Times New Roman" w:eastAsia="Times New Roman" w:cs="Times New Roman"/>
          <w:b/>
          <w:i/>
          <w:color w:val="000000"/>
          <w:u w:val="single"/>
        </w:rPr>
        <w:t>Supplemental Supporting Statement B: Statistical Methods</w:t>
      </w:r>
    </w:p>
    <w:p w:rsidRPr="008E3C93" w:rsidR="00C97D02" w:rsidP="00C97D02" w:rsidRDefault="00C97D02" w14:paraId="58AF29DC" w14:textId="77777777">
      <w:pPr>
        <w:spacing w:after="0" w:line="240" w:lineRule="auto"/>
        <w:rPr>
          <w:rFonts w:ascii="Times New Roman" w:hAnsi="Times New Roman" w:eastAsia="Times New Roman" w:cs="Times New Roman"/>
          <w:color w:val="000000"/>
        </w:rPr>
      </w:pPr>
    </w:p>
    <w:p w:rsidRPr="008E3C93" w:rsidR="00033FCA" w:rsidP="00A86BFB" w:rsidRDefault="00C97D02" w14:paraId="52E5AFCB" w14:textId="77777777">
      <w:pPr>
        <w:spacing w:after="0" w:line="240" w:lineRule="auto"/>
        <w:rPr>
          <w:rFonts w:ascii="Times New Roman" w:hAnsi="Times New Roman" w:cs="Times New Roman"/>
        </w:rPr>
      </w:pPr>
      <w:r w:rsidRPr="008E3C93">
        <w:rPr>
          <w:rFonts w:ascii="Times New Roman" w:hAnsi="Times New Roman" w:eastAsia="Times New Roman" w:cs="Times New Roman"/>
          <w:color w:val="000000"/>
        </w:rPr>
        <w:t>This information collection does not employ statistical methods.</w:t>
      </w:r>
    </w:p>
    <w:sectPr w:rsidRPr="008E3C93" w:rsidR="00033FC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F654A" w14:textId="77777777" w:rsidR="00FF712D" w:rsidRDefault="00FF712D" w:rsidP="00C97D02">
      <w:pPr>
        <w:spacing w:after="0" w:line="240" w:lineRule="auto"/>
      </w:pPr>
      <w:r>
        <w:separator/>
      </w:r>
    </w:p>
  </w:endnote>
  <w:endnote w:type="continuationSeparator" w:id="0">
    <w:p w14:paraId="61B48653" w14:textId="77777777" w:rsidR="00FF712D" w:rsidRDefault="00FF712D"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916011"/>
      <w:docPartObj>
        <w:docPartGallery w:val="Page Numbers (Bottom of Page)"/>
        <w:docPartUnique/>
      </w:docPartObj>
    </w:sdtPr>
    <w:sdtEndPr>
      <w:rPr>
        <w:noProof/>
      </w:rPr>
    </w:sdtEndPr>
    <w:sdtContent>
      <w:p w14:paraId="759DFF6A" w14:textId="3938BD2C" w:rsidR="0051557A" w:rsidRDefault="0051557A">
        <w:pPr>
          <w:pStyle w:val="Footer"/>
          <w:jc w:val="center"/>
        </w:pPr>
        <w:r>
          <w:fldChar w:fldCharType="begin"/>
        </w:r>
        <w:r>
          <w:instrText xml:space="preserve"> PAGE   \* MERGEFORMAT </w:instrText>
        </w:r>
        <w:r>
          <w:fldChar w:fldCharType="separate"/>
        </w:r>
        <w:r w:rsidR="00234116">
          <w:rPr>
            <w:noProof/>
          </w:rPr>
          <w:t>2</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DE0A5" w14:textId="77777777" w:rsidR="00FF712D" w:rsidRDefault="00FF712D" w:rsidP="00C97D02">
      <w:pPr>
        <w:spacing w:after="0" w:line="240" w:lineRule="auto"/>
      </w:pPr>
      <w:r>
        <w:separator/>
      </w:r>
    </w:p>
  </w:footnote>
  <w:footnote w:type="continuationSeparator" w:id="0">
    <w:p w14:paraId="60774A3B" w14:textId="77777777" w:rsidR="00FF712D" w:rsidRDefault="00FF712D" w:rsidP="00C97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EDF"/>
    <w:multiLevelType w:val="hybridMultilevel"/>
    <w:tmpl w:val="693818EC"/>
    <w:lvl w:ilvl="0" w:tplc="0C1CE53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6000B96"/>
    <w:multiLevelType w:val="hybridMultilevel"/>
    <w:tmpl w:val="66A8B0AA"/>
    <w:lvl w:ilvl="0" w:tplc="0C1CE53A">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D37DC4"/>
    <w:multiLevelType w:val="hybridMultilevel"/>
    <w:tmpl w:val="1460EC0C"/>
    <w:lvl w:ilvl="0" w:tplc="0B18EFE0">
      <w:start w:val="1"/>
      <w:numFmt w:val="lowerRoman"/>
      <w:lvlText w:val="%1."/>
      <w:lvlJc w:val="left"/>
      <w:pPr>
        <w:ind w:left="1080"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380971"/>
    <w:multiLevelType w:val="hybridMultilevel"/>
    <w:tmpl w:val="AD9C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54410BDD"/>
    <w:multiLevelType w:val="hybridMultilevel"/>
    <w:tmpl w:val="B38C77FE"/>
    <w:lvl w:ilvl="0" w:tplc="0C1CE53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75213844"/>
    <w:multiLevelType w:val="hybridMultilevel"/>
    <w:tmpl w:val="75CEDDD0"/>
    <w:lvl w:ilvl="0" w:tplc="0C1CE53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8"/>
  </w:num>
  <w:num w:numId="5">
    <w:abstractNumId w:val="6"/>
  </w:num>
  <w:num w:numId="6">
    <w:abstractNumId w:val="4"/>
  </w:num>
  <w:num w:numId="7">
    <w:abstractNumId w:val="0"/>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02"/>
    <w:rsid w:val="00000897"/>
    <w:rsid w:val="00006DE9"/>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B3754"/>
    <w:rsid w:val="000C2781"/>
    <w:rsid w:val="000D0095"/>
    <w:rsid w:val="000D13C4"/>
    <w:rsid w:val="000D77F4"/>
    <w:rsid w:val="000E36A8"/>
    <w:rsid w:val="000E6452"/>
    <w:rsid w:val="000F0F36"/>
    <w:rsid w:val="000F5C7F"/>
    <w:rsid w:val="0010164B"/>
    <w:rsid w:val="001127D3"/>
    <w:rsid w:val="001142E2"/>
    <w:rsid w:val="0011723F"/>
    <w:rsid w:val="00126CC3"/>
    <w:rsid w:val="00131D17"/>
    <w:rsid w:val="001331CD"/>
    <w:rsid w:val="0013526F"/>
    <w:rsid w:val="00137E47"/>
    <w:rsid w:val="00143CF1"/>
    <w:rsid w:val="0015387B"/>
    <w:rsid w:val="00160139"/>
    <w:rsid w:val="00163140"/>
    <w:rsid w:val="00167E40"/>
    <w:rsid w:val="00172784"/>
    <w:rsid w:val="00177050"/>
    <w:rsid w:val="00177C8C"/>
    <w:rsid w:val="00191499"/>
    <w:rsid w:val="0019195A"/>
    <w:rsid w:val="001A4030"/>
    <w:rsid w:val="001B6554"/>
    <w:rsid w:val="001C4718"/>
    <w:rsid w:val="001C5076"/>
    <w:rsid w:val="001D1F85"/>
    <w:rsid w:val="001D4CBB"/>
    <w:rsid w:val="001F3A5D"/>
    <w:rsid w:val="00201541"/>
    <w:rsid w:val="00212261"/>
    <w:rsid w:val="00212BDF"/>
    <w:rsid w:val="00214597"/>
    <w:rsid w:val="00215F4E"/>
    <w:rsid w:val="0021695B"/>
    <w:rsid w:val="00221EB2"/>
    <w:rsid w:val="002220B6"/>
    <w:rsid w:val="00234116"/>
    <w:rsid w:val="0024004B"/>
    <w:rsid w:val="00245521"/>
    <w:rsid w:val="002460A8"/>
    <w:rsid w:val="002468BA"/>
    <w:rsid w:val="002528B1"/>
    <w:rsid w:val="0025433B"/>
    <w:rsid w:val="0026171B"/>
    <w:rsid w:val="00270D50"/>
    <w:rsid w:val="002717AD"/>
    <w:rsid w:val="00276526"/>
    <w:rsid w:val="00280875"/>
    <w:rsid w:val="00282C52"/>
    <w:rsid w:val="00283359"/>
    <w:rsid w:val="00285E2D"/>
    <w:rsid w:val="00286289"/>
    <w:rsid w:val="00296DDE"/>
    <w:rsid w:val="002A0B8D"/>
    <w:rsid w:val="002A2F36"/>
    <w:rsid w:val="002B3647"/>
    <w:rsid w:val="002B3B0A"/>
    <w:rsid w:val="002B6BCF"/>
    <w:rsid w:val="002C4631"/>
    <w:rsid w:val="002D12E2"/>
    <w:rsid w:val="002D1A6C"/>
    <w:rsid w:val="002D1EC1"/>
    <w:rsid w:val="002D2A16"/>
    <w:rsid w:val="002D6AEE"/>
    <w:rsid w:val="002E0740"/>
    <w:rsid w:val="002E5475"/>
    <w:rsid w:val="002F56E8"/>
    <w:rsid w:val="003021B4"/>
    <w:rsid w:val="003070CF"/>
    <w:rsid w:val="00320E77"/>
    <w:rsid w:val="00323359"/>
    <w:rsid w:val="0033099A"/>
    <w:rsid w:val="00332BE0"/>
    <w:rsid w:val="0033472F"/>
    <w:rsid w:val="00357969"/>
    <w:rsid w:val="003664FB"/>
    <w:rsid w:val="003719E6"/>
    <w:rsid w:val="00371CF3"/>
    <w:rsid w:val="0037647B"/>
    <w:rsid w:val="00385150"/>
    <w:rsid w:val="003B58AD"/>
    <w:rsid w:val="003C1992"/>
    <w:rsid w:val="003C249A"/>
    <w:rsid w:val="003C3F45"/>
    <w:rsid w:val="003C5EEC"/>
    <w:rsid w:val="003D038F"/>
    <w:rsid w:val="003E6555"/>
    <w:rsid w:val="003E7305"/>
    <w:rsid w:val="003F1A75"/>
    <w:rsid w:val="003F6226"/>
    <w:rsid w:val="00410C78"/>
    <w:rsid w:val="0041166A"/>
    <w:rsid w:val="00411E18"/>
    <w:rsid w:val="00413F86"/>
    <w:rsid w:val="0043347F"/>
    <w:rsid w:val="00454A2A"/>
    <w:rsid w:val="00457E5A"/>
    <w:rsid w:val="00466209"/>
    <w:rsid w:val="00471D5F"/>
    <w:rsid w:val="00472CBD"/>
    <w:rsid w:val="00474DAA"/>
    <w:rsid w:val="00474E78"/>
    <w:rsid w:val="004842AF"/>
    <w:rsid w:val="0048667B"/>
    <w:rsid w:val="004A0700"/>
    <w:rsid w:val="004B0703"/>
    <w:rsid w:val="004B40ED"/>
    <w:rsid w:val="004B5DD0"/>
    <w:rsid w:val="004B760D"/>
    <w:rsid w:val="004C3B63"/>
    <w:rsid w:val="004C4CB6"/>
    <w:rsid w:val="004D3316"/>
    <w:rsid w:val="004D3BA3"/>
    <w:rsid w:val="004E5D51"/>
    <w:rsid w:val="004E6CC4"/>
    <w:rsid w:val="004F00C4"/>
    <w:rsid w:val="004F4A2C"/>
    <w:rsid w:val="004F4ED0"/>
    <w:rsid w:val="00501302"/>
    <w:rsid w:val="00503D95"/>
    <w:rsid w:val="0051557A"/>
    <w:rsid w:val="00515A5A"/>
    <w:rsid w:val="0051635D"/>
    <w:rsid w:val="00517E2A"/>
    <w:rsid w:val="00521BE1"/>
    <w:rsid w:val="00526F79"/>
    <w:rsid w:val="005439BD"/>
    <w:rsid w:val="0056684F"/>
    <w:rsid w:val="00567FA4"/>
    <w:rsid w:val="00570FAD"/>
    <w:rsid w:val="00587656"/>
    <w:rsid w:val="0059216E"/>
    <w:rsid w:val="005934FD"/>
    <w:rsid w:val="005A34DF"/>
    <w:rsid w:val="005B3BCB"/>
    <w:rsid w:val="005B667B"/>
    <w:rsid w:val="005C4DA7"/>
    <w:rsid w:val="005D47A1"/>
    <w:rsid w:val="005D79CE"/>
    <w:rsid w:val="005E1A27"/>
    <w:rsid w:val="005E3012"/>
    <w:rsid w:val="005E5DA3"/>
    <w:rsid w:val="005E6A31"/>
    <w:rsid w:val="005E79E9"/>
    <w:rsid w:val="005F078E"/>
    <w:rsid w:val="005F42D6"/>
    <w:rsid w:val="005F5E12"/>
    <w:rsid w:val="005F66E6"/>
    <w:rsid w:val="005F6B2E"/>
    <w:rsid w:val="00603FB4"/>
    <w:rsid w:val="00607EE3"/>
    <w:rsid w:val="00612771"/>
    <w:rsid w:val="00624753"/>
    <w:rsid w:val="00625F8E"/>
    <w:rsid w:val="00626D51"/>
    <w:rsid w:val="006334E6"/>
    <w:rsid w:val="00633991"/>
    <w:rsid w:val="00637DD5"/>
    <w:rsid w:val="00642198"/>
    <w:rsid w:val="00644A3B"/>
    <w:rsid w:val="00655DEC"/>
    <w:rsid w:val="00657BAA"/>
    <w:rsid w:val="00661610"/>
    <w:rsid w:val="00664A39"/>
    <w:rsid w:val="00665A0C"/>
    <w:rsid w:val="006808AA"/>
    <w:rsid w:val="0068481D"/>
    <w:rsid w:val="006934C7"/>
    <w:rsid w:val="006A6570"/>
    <w:rsid w:val="006B6049"/>
    <w:rsid w:val="006E1189"/>
    <w:rsid w:val="006E3A55"/>
    <w:rsid w:val="006E613D"/>
    <w:rsid w:val="006E795C"/>
    <w:rsid w:val="006F3105"/>
    <w:rsid w:val="00706BE5"/>
    <w:rsid w:val="00715E3B"/>
    <w:rsid w:val="007447EB"/>
    <w:rsid w:val="00753F76"/>
    <w:rsid w:val="00754A05"/>
    <w:rsid w:val="00760C81"/>
    <w:rsid w:val="00763E01"/>
    <w:rsid w:val="00776DE2"/>
    <w:rsid w:val="0078096C"/>
    <w:rsid w:val="00784C72"/>
    <w:rsid w:val="00790EB1"/>
    <w:rsid w:val="007930CE"/>
    <w:rsid w:val="007A74DE"/>
    <w:rsid w:val="007A75C7"/>
    <w:rsid w:val="007B283B"/>
    <w:rsid w:val="007B4E6B"/>
    <w:rsid w:val="007B76A8"/>
    <w:rsid w:val="007C0285"/>
    <w:rsid w:val="007D756D"/>
    <w:rsid w:val="007E610A"/>
    <w:rsid w:val="007F013B"/>
    <w:rsid w:val="00804B47"/>
    <w:rsid w:val="00810904"/>
    <w:rsid w:val="008218BF"/>
    <w:rsid w:val="008315E9"/>
    <w:rsid w:val="00833E5A"/>
    <w:rsid w:val="00834C46"/>
    <w:rsid w:val="00842A61"/>
    <w:rsid w:val="00851DB7"/>
    <w:rsid w:val="00851F89"/>
    <w:rsid w:val="00851FB8"/>
    <w:rsid w:val="00861225"/>
    <w:rsid w:val="0087015F"/>
    <w:rsid w:val="008766D8"/>
    <w:rsid w:val="00876B4F"/>
    <w:rsid w:val="00876C1F"/>
    <w:rsid w:val="0087702E"/>
    <w:rsid w:val="00897D92"/>
    <w:rsid w:val="008A44E6"/>
    <w:rsid w:val="008B3547"/>
    <w:rsid w:val="008C6F18"/>
    <w:rsid w:val="008D0FA9"/>
    <w:rsid w:val="008D179A"/>
    <w:rsid w:val="008D505F"/>
    <w:rsid w:val="008D573D"/>
    <w:rsid w:val="008E0B8D"/>
    <w:rsid w:val="008E1541"/>
    <w:rsid w:val="008E3C93"/>
    <w:rsid w:val="008F4B48"/>
    <w:rsid w:val="008F78FE"/>
    <w:rsid w:val="00913352"/>
    <w:rsid w:val="009239C6"/>
    <w:rsid w:val="00926998"/>
    <w:rsid w:val="00931874"/>
    <w:rsid w:val="00931D79"/>
    <w:rsid w:val="009335C1"/>
    <w:rsid w:val="00934F65"/>
    <w:rsid w:val="00942E9A"/>
    <w:rsid w:val="00956787"/>
    <w:rsid w:val="0095680F"/>
    <w:rsid w:val="0095681D"/>
    <w:rsid w:val="0096052D"/>
    <w:rsid w:val="00966104"/>
    <w:rsid w:val="00966A2D"/>
    <w:rsid w:val="009728FE"/>
    <w:rsid w:val="00981A55"/>
    <w:rsid w:val="009870B0"/>
    <w:rsid w:val="00991433"/>
    <w:rsid w:val="00992694"/>
    <w:rsid w:val="009A5F3A"/>
    <w:rsid w:val="009C2067"/>
    <w:rsid w:val="009C31A7"/>
    <w:rsid w:val="009D7827"/>
    <w:rsid w:val="009F00EE"/>
    <w:rsid w:val="009F1E66"/>
    <w:rsid w:val="009F2CEB"/>
    <w:rsid w:val="00A02531"/>
    <w:rsid w:val="00A20C1A"/>
    <w:rsid w:val="00A249EF"/>
    <w:rsid w:val="00A272EF"/>
    <w:rsid w:val="00A32568"/>
    <w:rsid w:val="00A35ACB"/>
    <w:rsid w:val="00A37128"/>
    <w:rsid w:val="00A40983"/>
    <w:rsid w:val="00A42B24"/>
    <w:rsid w:val="00A50071"/>
    <w:rsid w:val="00A50716"/>
    <w:rsid w:val="00A53500"/>
    <w:rsid w:val="00A55AFF"/>
    <w:rsid w:val="00A63065"/>
    <w:rsid w:val="00A649BB"/>
    <w:rsid w:val="00A86BFB"/>
    <w:rsid w:val="00A873D4"/>
    <w:rsid w:val="00AA4FB1"/>
    <w:rsid w:val="00AB5ED2"/>
    <w:rsid w:val="00AC1A3D"/>
    <w:rsid w:val="00AC23D5"/>
    <w:rsid w:val="00AC6E24"/>
    <w:rsid w:val="00AE2A86"/>
    <w:rsid w:val="00AE5A98"/>
    <w:rsid w:val="00AE691D"/>
    <w:rsid w:val="00AF084F"/>
    <w:rsid w:val="00B0326F"/>
    <w:rsid w:val="00B12344"/>
    <w:rsid w:val="00B137D2"/>
    <w:rsid w:val="00B20FD3"/>
    <w:rsid w:val="00B42645"/>
    <w:rsid w:val="00B452CC"/>
    <w:rsid w:val="00B560C1"/>
    <w:rsid w:val="00B56961"/>
    <w:rsid w:val="00B57154"/>
    <w:rsid w:val="00B618CB"/>
    <w:rsid w:val="00B64DB5"/>
    <w:rsid w:val="00B661EF"/>
    <w:rsid w:val="00B67BC2"/>
    <w:rsid w:val="00B72F5F"/>
    <w:rsid w:val="00B83CAA"/>
    <w:rsid w:val="00B85B2D"/>
    <w:rsid w:val="00B863FF"/>
    <w:rsid w:val="00BA1A09"/>
    <w:rsid w:val="00BA1C80"/>
    <w:rsid w:val="00BA1DE7"/>
    <w:rsid w:val="00BA4E82"/>
    <w:rsid w:val="00BB0424"/>
    <w:rsid w:val="00BB663A"/>
    <w:rsid w:val="00BC0E37"/>
    <w:rsid w:val="00BC0F38"/>
    <w:rsid w:val="00BC1C82"/>
    <w:rsid w:val="00BC642A"/>
    <w:rsid w:val="00BD08A9"/>
    <w:rsid w:val="00BD3BC9"/>
    <w:rsid w:val="00BD5406"/>
    <w:rsid w:val="00BE355C"/>
    <w:rsid w:val="00BF0768"/>
    <w:rsid w:val="00BF311C"/>
    <w:rsid w:val="00BF4378"/>
    <w:rsid w:val="00BF792F"/>
    <w:rsid w:val="00C0026A"/>
    <w:rsid w:val="00C0432E"/>
    <w:rsid w:val="00C048EC"/>
    <w:rsid w:val="00C0692E"/>
    <w:rsid w:val="00C11B68"/>
    <w:rsid w:val="00C34505"/>
    <w:rsid w:val="00C540E4"/>
    <w:rsid w:val="00C54AA8"/>
    <w:rsid w:val="00C56380"/>
    <w:rsid w:val="00C57116"/>
    <w:rsid w:val="00C57E70"/>
    <w:rsid w:val="00C80CCE"/>
    <w:rsid w:val="00C846C1"/>
    <w:rsid w:val="00C95FFC"/>
    <w:rsid w:val="00C97D02"/>
    <w:rsid w:val="00CA0F40"/>
    <w:rsid w:val="00CA2146"/>
    <w:rsid w:val="00CA586F"/>
    <w:rsid w:val="00CB61F8"/>
    <w:rsid w:val="00CD079A"/>
    <w:rsid w:val="00CD6CE4"/>
    <w:rsid w:val="00CE1C6D"/>
    <w:rsid w:val="00CF5A2D"/>
    <w:rsid w:val="00CF7E6B"/>
    <w:rsid w:val="00D016EB"/>
    <w:rsid w:val="00D03E9A"/>
    <w:rsid w:val="00D06ED4"/>
    <w:rsid w:val="00D07AF1"/>
    <w:rsid w:val="00D07F63"/>
    <w:rsid w:val="00D1011D"/>
    <w:rsid w:val="00D107B1"/>
    <w:rsid w:val="00D11C87"/>
    <w:rsid w:val="00D16E56"/>
    <w:rsid w:val="00D2022F"/>
    <w:rsid w:val="00D33C49"/>
    <w:rsid w:val="00D35E0E"/>
    <w:rsid w:val="00D464BA"/>
    <w:rsid w:val="00D47F8F"/>
    <w:rsid w:val="00D521FD"/>
    <w:rsid w:val="00D53EC6"/>
    <w:rsid w:val="00D62192"/>
    <w:rsid w:val="00D623D4"/>
    <w:rsid w:val="00D63B0B"/>
    <w:rsid w:val="00D70C6D"/>
    <w:rsid w:val="00D71F8F"/>
    <w:rsid w:val="00D94816"/>
    <w:rsid w:val="00DA2F04"/>
    <w:rsid w:val="00DA7C6B"/>
    <w:rsid w:val="00DB37CC"/>
    <w:rsid w:val="00DB7B49"/>
    <w:rsid w:val="00DC095D"/>
    <w:rsid w:val="00DC1648"/>
    <w:rsid w:val="00DD7F4D"/>
    <w:rsid w:val="00DF1B67"/>
    <w:rsid w:val="00DF7A89"/>
    <w:rsid w:val="00E023D7"/>
    <w:rsid w:val="00E024FF"/>
    <w:rsid w:val="00E03DC4"/>
    <w:rsid w:val="00E17D04"/>
    <w:rsid w:val="00E216E5"/>
    <w:rsid w:val="00E220E1"/>
    <w:rsid w:val="00E235C6"/>
    <w:rsid w:val="00E242D9"/>
    <w:rsid w:val="00E304C2"/>
    <w:rsid w:val="00E31A8F"/>
    <w:rsid w:val="00E3370F"/>
    <w:rsid w:val="00E41241"/>
    <w:rsid w:val="00E45924"/>
    <w:rsid w:val="00E51C74"/>
    <w:rsid w:val="00E534E7"/>
    <w:rsid w:val="00E5450F"/>
    <w:rsid w:val="00E67CC2"/>
    <w:rsid w:val="00E9234F"/>
    <w:rsid w:val="00E95BDB"/>
    <w:rsid w:val="00EC62C8"/>
    <w:rsid w:val="00EC686C"/>
    <w:rsid w:val="00ED0C8E"/>
    <w:rsid w:val="00ED5C1E"/>
    <w:rsid w:val="00ED7155"/>
    <w:rsid w:val="00ED74FA"/>
    <w:rsid w:val="00EE1915"/>
    <w:rsid w:val="00EE1F57"/>
    <w:rsid w:val="00EF64BA"/>
    <w:rsid w:val="00EF7F10"/>
    <w:rsid w:val="00F00D9B"/>
    <w:rsid w:val="00F06A76"/>
    <w:rsid w:val="00F3022A"/>
    <w:rsid w:val="00F327C3"/>
    <w:rsid w:val="00F51508"/>
    <w:rsid w:val="00F5653C"/>
    <w:rsid w:val="00F60E29"/>
    <w:rsid w:val="00F71A4D"/>
    <w:rsid w:val="00F95D02"/>
    <w:rsid w:val="00FA1C68"/>
    <w:rsid w:val="00FA7C17"/>
    <w:rsid w:val="00FB757B"/>
    <w:rsid w:val="00FD2AB3"/>
    <w:rsid w:val="00FE1FAA"/>
    <w:rsid w:val="00FE6E8C"/>
    <w:rsid w:val="00FE7030"/>
    <w:rsid w:val="00FF0EBF"/>
    <w:rsid w:val="00FF2B98"/>
    <w:rsid w:val="00FF36C6"/>
    <w:rsid w:val="00FF3B5E"/>
    <w:rsid w:val="00FF5CE8"/>
    <w:rsid w:val="00FF71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 w:type="paragraph" w:customStyle="1" w:styleId="Text1">
    <w:name w:val="Text 1"/>
    <w:basedOn w:val="Normal"/>
    <w:link w:val="Text1Char"/>
    <w:uiPriority w:val="1"/>
    <w:qFormat/>
    <w:rsid w:val="008E1541"/>
    <w:pPr>
      <w:spacing w:after="0" w:line="259" w:lineRule="auto"/>
    </w:pPr>
    <w:rPr>
      <w:rFonts w:ascii="Times New Roman" w:hAnsi="Times New Roman" w:cs="Times New Roman"/>
      <w:sz w:val="24"/>
      <w:szCs w:val="24"/>
    </w:rPr>
  </w:style>
  <w:style w:type="character" w:customStyle="1" w:styleId="Text1Char">
    <w:name w:val="Text 1 Char"/>
    <w:basedOn w:val="DefaultParagraphFont"/>
    <w:link w:val="Text1"/>
    <w:uiPriority w:val="1"/>
    <w:rsid w:val="008E15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mpsit.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B130-C680-416B-BB72-26F6C0EE1BD2}">
  <ds:schemaRef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2b487234-2a61-45b0-86e3-998bf12a0e9d"/>
    <ds:schemaRef ds:uri="2a1ba486-ff2f-4459-80ac-1ab5aa17f82f"/>
    <ds:schemaRef ds:uri="http://purl.org/dc/terms/"/>
  </ds:schemaRefs>
</ds:datastoreItem>
</file>

<file path=customXml/itemProps2.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3.xml><?xml version="1.0" encoding="utf-8"?>
<ds:datastoreItem xmlns:ds="http://schemas.openxmlformats.org/officeDocument/2006/customXml" ds:itemID="{A9D52A82-7E36-4F74-89A8-56632EE32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CAB52-3E59-4C7B-A890-01D35FD6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MSB</cp:lastModifiedBy>
  <cp:revision>3</cp:revision>
  <cp:lastPrinted>2019-10-21T15:30:00Z</cp:lastPrinted>
  <dcterms:created xsi:type="dcterms:W3CDTF">2020-12-02T16:24:00Z</dcterms:created>
  <dcterms:modified xsi:type="dcterms:W3CDTF">2020-12-02T16:28:00Z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