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C97D02" w14:paraId="66649566" w14:textId="365E4C5A">
      <w:pPr>
        <w:spacing w:after="0" w:line="240" w:lineRule="auto"/>
        <w:jc w:val="center"/>
        <w:rPr>
          <w:rFonts w:ascii="Times New Roman" w:hAnsi="Times New Roman" w:eastAsia="Times New Roman" w:cs="Times New Roman"/>
          <w:b/>
        </w:rPr>
      </w:pPr>
      <w:bookmarkStart w:name="_GoBack" w:id="0"/>
      <w:bookmarkEnd w:id="0"/>
      <w:r w:rsidRPr="00D016EB">
        <w:rPr>
          <w:rFonts w:ascii="Times New Roman" w:hAnsi="Times New Roman" w:eastAsia="Times New Roman" w:cs="Times New Roman"/>
          <w:b/>
          <w:color w:val="000000"/>
        </w:rPr>
        <w:t>F</w:t>
      </w:r>
      <w:r w:rsidRPr="00D016EB" w:rsidR="00E45924">
        <w:rPr>
          <w:rFonts w:ascii="Times New Roman" w:hAnsi="Times New Roman" w:eastAsia="Times New Roman" w:cs="Times New Roman"/>
          <w:b/>
        </w:rPr>
        <w:t xml:space="preserve">unding Opportunity </w:t>
      </w:r>
      <w:r w:rsidRPr="00D016EB" w:rsidR="001C4718">
        <w:rPr>
          <w:rFonts w:ascii="Times New Roman" w:hAnsi="Times New Roman" w:eastAsia="Times New Roman" w:cs="Times New Roman"/>
          <w:b/>
        </w:rPr>
        <w:t>Announcement</w:t>
      </w:r>
    </w:p>
    <w:p w:rsidR="006D5142" w:rsidP="00C97D02" w:rsidRDefault="006D5142" w14:paraId="11E068BE" w14:textId="77777777">
      <w:pPr>
        <w:widowControl w:val="0"/>
        <w:spacing w:after="0" w:line="240" w:lineRule="auto"/>
        <w:jc w:val="center"/>
        <w:rPr>
          <w:rFonts w:ascii="Times New Roman" w:hAnsi="Times New Roman" w:eastAsia="Times New Roman" w:cs="Times New Roman"/>
          <w:b/>
        </w:rPr>
      </w:pPr>
      <w:r w:rsidRPr="006D5142">
        <w:rPr>
          <w:rFonts w:ascii="Times New Roman" w:hAnsi="Times New Roman" w:eastAsia="Times New Roman" w:cs="Times New Roman"/>
          <w:b/>
        </w:rPr>
        <w:t xml:space="preserve">The National Farmworker Jobs Program (NFJP) </w:t>
      </w:r>
    </w:p>
    <w:p w:rsidR="006D5142" w:rsidP="00C97D02" w:rsidRDefault="006D5142" w14:paraId="5CA3B0CC" w14:textId="60829E4D">
      <w:pPr>
        <w:widowControl w:val="0"/>
        <w:spacing w:after="0" w:line="240" w:lineRule="auto"/>
        <w:jc w:val="center"/>
        <w:rPr>
          <w:rFonts w:ascii="Times New Roman" w:hAnsi="Times New Roman" w:eastAsia="Times New Roman" w:cs="Times New Roman"/>
          <w:b/>
        </w:rPr>
      </w:pPr>
      <w:r w:rsidRPr="006D5142">
        <w:rPr>
          <w:rFonts w:ascii="Times New Roman" w:hAnsi="Times New Roman" w:eastAsia="Times New Roman" w:cs="Times New Roman"/>
          <w:b/>
        </w:rPr>
        <w:t>Career Services and Training Grants Reopening for Select Service Areas</w:t>
      </w:r>
    </w:p>
    <w:p w:rsidRPr="008E3C93" w:rsidR="00C97D02" w:rsidP="00C97D02" w:rsidRDefault="00C97D02" w14:paraId="742E1132" w14:textId="0E51367A">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009C2067" w:rsidP="009C2067" w:rsidRDefault="00C97D02" w14:paraId="68279C43" w14:textId="063FC010">
      <w:pPr>
        <w:pStyle w:val="Text1"/>
        <w:rPr>
          <w:sz w:val="22"/>
          <w:szCs w:val="22"/>
        </w:rPr>
      </w:pPr>
      <w:bookmarkStart w:name="_Toc207778202" w:id="1"/>
      <w:bookmarkStart w:name="_Toc208654602" w:id="2"/>
      <w:bookmarkStart w:name="_Toc228885476" w:id="3"/>
      <w:bookmarkStart w:name="_Toc229889134" w:id="4"/>
      <w:r w:rsidRPr="008E1541">
        <w:rPr>
          <w:sz w:val="22"/>
          <w:szCs w:val="22"/>
        </w:rPr>
        <w:t>This request seeks OMB approval under the Paperwork Reduction Act for the unique information collection requirements in the</w:t>
      </w:r>
      <w:r w:rsidRPr="006D5142" w:rsidR="006D5142">
        <w:rPr>
          <w:sz w:val="22"/>
          <w:szCs w:val="22"/>
        </w:rPr>
        <w:t xml:space="preserve"> National Farmworker Jobs Program (NFJP) Career Services and Training Grants Reopening for Select Service Areas</w:t>
      </w:r>
      <w:r w:rsidRPr="008E1541" w:rsidR="008E1541">
        <w:rPr>
          <w:sz w:val="22"/>
          <w:szCs w:val="22"/>
        </w:rPr>
        <w:t xml:space="preserve">.  </w:t>
      </w:r>
      <w:r w:rsidRPr="00263DFF" w:rsidR="009C2067">
        <w:rPr>
          <w:sz w:val="22"/>
          <w:szCs w:val="22"/>
        </w:rPr>
        <w:t>The Employment and Training Administration (ETA), U.S. Department of Labor announce</w:t>
      </w:r>
      <w:r w:rsidR="009C4785">
        <w:rPr>
          <w:sz w:val="22"/>
          <w:szCs w:val="22"/>
        </w:rPr>
        <w:t>d</w:t>
      </w:r>
      <w:r w:rsidRPr="00263DFF" w:rsidR="009C2067">
        <w:rPr>
          <w:sz w:val="22"/>
          <w:szCs w:val="22"/>
        </w:rPr>
        <w:t xml:space="preserve"> </w:t>
      </w:r>
      <w:r w:rsidRPr="00263DFF" w:rsidR="00263DFF">
        <w:rPr>
          <w:sz w:val="22"/>
          <w:szCs w:val="22"/>
        </w:rPr>
        <w:t>the availability of approximately $91,351,000 in grant funds authorized by the Workforce Innovation and Opportunity Act (WIOA) Section 167 for Migrant and Seasonal Farmworker Programs, also known as the National Farmworker Jobs Program (NFJP).  Of the approximately $91,351,000 available for NFJP grants, the Department intended to award approximately $85,229,000 for Career Services and Training Grants to fund an estimated 52 grants.  However, for the April 2020 Funding Opportunity Announcement (FOA) (FOA-ETA-20-08) the Department did not receive competitive applications for certain NFJP service areas.  With this new FOA (FOA-ETA-20-08-A), the Department intends to award approximately $3,555,619 for an estimated six to eight NFJP Career Services and Training grants in Connecticut and Rhode Island (a combined service area), Hawaii, New Hampshire, Massachusetts, Maine, and key counties in the Central Coast, South Coast, and desert agricultural regions of California.</w:t>
      </w:r>
    </w:p>
    <w:p w:rsidRPr="009C2067" w:rsidR="006E795C" w:rsidP="009C2067" w:rsidRDefault="006E795C" w14:paraId="508AA313" w14:textId="77777777">
      <w:pPr>
        <w:pStyle w:val="Text1"/>
        <w:rPr>
          <w:sz w:val="22"/>
          <w:szCs w:val="22"/>
        </w:rPr>
      </w:pPr>
    </w:p>
    <w:p w:rsidR="006E795C" w:rsidP="008E1541" w:rsidRDefault="006C1FDD" w14:paraId="0CB67117" w14:textId="502704B6">
      <w:pPr>
        <w:pStyle w:val="Text1"/>
        <w:rPr>
          <w:sz w:val="22"/>
          <w:szCs w:val="22"/>
        </w:rPr>
      </w:pPr>
      <w:r w:rsidRPr="006C1FDD">
        <w:rPr>
          <w:sz w:val="22"/>
          <w:szCs w:val="22"/>
        </w:rPr>
        <w:t xml:space="preserve">Under this FOA, DOL will award Career Services and Training grants through a competitive process to organizations providing career services, </w:t>
      </w:r>
      <w:r w:rsidRPr="006C1FDD">
        <w:rPr>
          <w:sz w:val="22"/>
          <w:szCs w:val="22"/>
        </w:rPr>
        <w:lastRenderedPageBreak/>
        <w:t>training services, youth services, related assistance services, and housing assistance to eligible migrant and seasonal farmworkers and their dependents only in the service areas specified above.  Through the provision of these services, grantees will work toward the goals of NFJP:  to help farmworkers and their dependents acquire necessary skills to either stabilize or advance in their agricultural jobs or obtain employment in new industries or occupations.</w:t>
      </w:r>
    </w:p>
    <w:p w:rsidR="006C1FDD" w:rsidP="008E1541" w:rsidRDefault="006C1FDD" w14:paraId="03EC8978" w14:textId="77777777">
      <w:pPr>
        <w:pStyle w:val="Text1"/>
        <w:rPr>
          <w:sz w:val="22"/>
          <w:szCs w:val="22"/>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D53EC6">
        <w:rPr>
          <w:rFonts w:ascii="Times New Roman" w:hAnsi="Times New Roman" w:eastAsia="Times New Roman" w:cs="Times New Roman"/>
        </w:rPr>
        <w:t>Applications will include the foll</w:t>
      </w:r>
      <w:r w:rsidRPr="00D53EC6" w:rsidR="0011723F">
        <w:rPr>
          <w:rFonts w:ascii="Times New Roman" w:hAnsi="Times New Roman" w:eastAsia="Times New Roman" w:cs="Times New Roman"/>
        </w:rPr>
        <w:t xml:space="preserve">owing information collections: </w:t>
      </w:r>
      <w:r w:rsidRPr="00D53EC6">
        <w:rPr>
          <w:rFonts w:ascii="Times New Roman" w:hAnsi="Times New Roman" w:eastAsia="Times New Roman" w:cs="Times New Roman"/>
        </w:rPr>
        <w:t xml:space="preserve">1) Form SF-424 “Application for Federal Assistance,” separately cleared under OMB control number </w:t>
      </w:r>
      <w:r w:rsidRPr="00D53EC6" w:rsidR="00517E2A">
        <w:rPr>
          <w:rFonts w:ascii="Times New Roman" w:hAnsi="Times New Roman" w:eastAsia="Times New Roman" w:cs="Times New Roman"/>
        </w:rPr>
        <w:t>4040-0004</w:t>
      </w:r>
      <w:r w:rsidRPr="00D53EC6">
        <w:rPr>
          <w:rFonts w:ascii="Times New Roman" w:hAnsi="Times New Roman" w:eastAsia="Times New Roman" w:cs="Times New Roman"/>
        </w:rPr>
        <w:t>, 2) Project Budget, 3) Project Narrative, and 4) Attachments to the Project Narrative.</w:t>
      </w:r>
      <w:r w:rsidRPr="008E3C93">
        <w:rPr>
          <w:rFonts w:ascii="Times New Roman" w:hAnsi="Times New Roman" w:eastAsia="Times New Roman" w:cs="Times New Roman"/>
        </w:rPr>
        <w:t xml:space="preserve">  </w:t>
      </w:r>
      <w:bookmarkEnd w:id="1"/>
      <w:bookmarkEnd w:id="2"/>
      <w:bookmarkEnd w:id="3"/>
      <w:bookmarkEnd w:id="4"/>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25F20BAD">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008152A0">
        <w:rPr>
          <w:rFonts w:ascii="Times New Roman" w:hAnsi="Times New Roman" w:eastAsia="Times New Roman" w:cs="Times New Roman"/>
        </w:rPr>
        <w:t>100</w:t>
      </w:r>
      <w:r w:rsidRPr="00D016EB" w:rsidR="00A649BB">
        <w:rPr>
          <w:rFonts w:ascii="Times New Roman" w:hAnsi="Times New Roman" w:eastAsia="Times New Roman" w:cs="Times New Roman"/>
        </w:rPr>
        <w:t xml:space="preserve">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00C97D02" w:rsidP="00C97D02" w:rsidRDefault="00C97D02" w14:paraId="6E27E579" w14:textId="065654BF">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lastRenderedPageBreak/>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3EA2576F">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D07FDF">
        <w:rPr>
          <w:rFonts w:ascii="Times New Roman" w:hAnsi="Times New Roman" w:eastAsia="Calibri" w:cs="Times New Roman"/>
        </w:rPr>
        <w:t>1</w:t>
      </w:r>
      <w:r w:rsidR="00177050">
        <w:rPr>
          <w:rFonts w:ascii="Times New Roman" w:hAnsi="Times New Roman" w:eastAsia="Calibri" w:cs="Times New Roman"/>
        </w:rPr>
        <w:t>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D07FDF" w14:paraId="255091CC" w14:textId="606F0A03">
      <w:pPr>
        <w:spacing w:after="0" w:line="240" w:lineRule="auto"/>
        <w:rPr>
          <w:rFonts w:ascii="Times New Roman" w:hAnsi="Times New Roman" w:eastAsia="Calibri" w:cs="Times New Roman"/>
          <w:color w:val="000000"/>
        </w:rPr>
      </w:pPr>
      <w:r>
        <w:rPr>
          <w:rFonts w:ascii="Times New Roman" w:hAnsi="Times New Roman" w:eastAsia="Calibri" w:cs="Times New Roman"/>
        </w:rPr>
        <w:t>1</w:t>
      </w:r>
      <w:r w:rsidR="00177050">
        <w:rPr>
          <w:rFonts w:ascii="Times New Roman" w:hAnsi="Times New Roman" w:eastAsia="Calibri" w:cs="Times New Roman"/>
        </w:rPr>
        <w:t>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2</w:t>
      </w:r>
      <w:r w:rsidR="00E024FF">
        <w:rPr>
          <w:rFonts w:ascii="Times New Roman" w:hAnsi="Times New Roman" w:eastAsia="Calibri" w:cs="Times New Roman"/>
          <w:color w:val="000000"/>
        </w:rPr>
        <w:t>00</w:t>
      </w:r>
      <w:r w:rsidR="00D016EB">
        <w:rPr>
          <w:rFonts w:ascii="Times New Roman" w:hAnsi="Times New Roman" w:eastAsia="Calibri" w:cs="Times New Roman"/>
          <w:color w:val="000000"/>
        </w:rPr>
        <w:t xml:space="preserve">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00E220E1" w:rsidP="00172784" w:rsidRDefault="00E220E1" w14:paraId="39F38075" w14:textId="67E00602">
      <w:pPr>
        <w:spacing w:after="0" w:line="240" w:lineRule="auto"/>
        <w:rPr>
          <w:rFonts w:ascii="Times New Roman" w:hAnsi="Times New Roman" w:eastAsia="Calibri" w:cs="Times New Roman"/>
          <w:color w:val="000000"/>
        </w:rPr>
      </w:pPr>
      <w:r w:rsidRPr="00E220E1">
        <w:rPr>
          <w:rFonts w:ascii="Times New Roman" w:hAnsi="Times New Roman" w:eastAsia="Calibri" w:cs="Times New Roman"/>
          <w:color w:val="000000"/>
        </w:rPr>
        <w:t>The DOL uses the average hourly earnings in the professional and business services industry of $3</w:t>
      </w:r>
      <w:r w:rsidR="003F1A75">
        <w:rPr>
          <w:rFonts w:ascii="Times New Roman" w:hAnsi="Times New Roman" w:eastAsia="Calibri" w:cs="Times New Roman"/>
          <w:color w:val="000000"/>
        </w:rPr>
        <w:t>5.</w:t>
      </w:r>
      <w:r w:rsidR="00821893">
        <w:rPr>
          <w:rFonts w:ascii="Times New Roman" w:hAnsi="Times New Roman" w:eastAsia="Calibri" w:cs="Times New Roman"/>
          <w:color w:val="000000"/>
        </w:rPr>
        <w:t>19</w:t>
      </w:r>
      <w:r w:rsidRPr="00E220E1">
        <w:rPr>
          <w:rFonts w:ascii="Times New Roman" w:hAnsi="Times New Roman" w:eastAsia="Calibri" w:cs="Times New Roman"/>
          <w:color w:val="000000"/>
        </w:rPr>
        <w:t xml:space="preserve"> per hour to monetize this burden.  See The Employment Situation—</w:t>
      </w:r>
      <w:r w:rsidR="003F1A75">
        <w:rPr>
          <w:rFonts w:ascii="Times New Roman" w:hAnsi="Times New Roman" w:eastAsia="Calibri" w:cs="Times New Roman"/>
          <w:color w:val="000000"/>
        </w:rPr>
        <w:t>October</w:t>
      </w:r>
      <w:r w:rsidRPr="00E220E1">
        <w:rPr>
          <w:rFonts w:ascii="Times New Roman" w:hAnsi="Times New Roman" w:eastAsia="Calibri" w:cs="Times New Roman"/>
          <w:color w:val="000000"/>
        </w:rPr>
        <w:t xml:space="preserve"> 2020, DOL, Bureau of Labor Statistics, </w:t>
      </w:r>
      <w:hyperlink w:history="1" r:id="rId11">
        <w:r w:rsidRPr="0002428E" w:rsidR="008E1541">
          <w:rPr>
            <w:rStyle w:val="Hyperlink"/>
            <w:rFonts w:ascii="Times New Roman" w:hAnsi="Times New Roman" w:eastAsia="Calibri" w:cs="Times New Roman"/>
          </w:rPr>
          <w:t>https://www.bls.gov/news.release/pdf/empsit.pdf</w:t>
        </w:r>
      </w:hyperlink>
      <w:r w:rsidR="008E1541">
        <w:rPr>
          <w:rFonts w:ascii="Times New Roman" w:hAnsi="Times New Roman" w:eastAsia="Calibri" w:cs="Times New Roman"/>
          <w:color w:val="000000"/>
        </w:rPr>
        <w:t xml:space="preserve"> </w:t>
      </w:r>
      <w:r w:rsidRPr="00E220E1">
        <w:rPr>
          <w:rFonts w:ascii="Times New Roman" w:hAnsi="Times New Roman" w:eastAsia="Calibri" w:cs="Times New Roman"/>
          <w:color w:val="000000"/>
        </w:rPr>
        <w:t> at page 3</w:t>
      </w:r>
      <w:r w:rsidR="003F1A75">
        <w:rPr>
          <w:rFonts w:ascii="Times New Roman" w:hAnsi="Times New Roman" w:eastAsia="Calibri" w:cs="Times New Roman"/>
          <w:color w:val="000000"/>
        </w:rPr>
        <w:t>6</w:t>
      </w:r>
      <w:r w:rsidRPr="00E220E1">
        <w:rPr>
          <w:rFonts w:ascii="Times New Roman" w:hAnsi="Times New Roman" w:eastAsia="Calibri" w:cs="Times New Roman"/>
          <w:color w:val="000000"/>
        </w:rPr>
        <w:t>.</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D07FDF" w14:paraId="73B3C685" w14:textId="4BA98E93">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2</w:t>
      </w:r>
      <w:r w:rsidR="00DF1B67">
        <w:rPr>
          <w:rFonts w:ascii="Times New Roman" w:hAnsi="Times New Roman" w:eastAsia="Calibri" w:cs="Times New Roman"/>
          <w:color w:val="000000"/>
        </w:rPr>
        <w:t>00</w:t>
      </w:r>
      <w:r w:rsidR="00851F89">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hours x $</w:t>
      </w:r>
      <w:r w:rsidRPr="00E220E1" w:rsidR="00E220E1">
        <w:rPr>
          <w:rFonts w:ascii="Times New Roman" w:hAnsi="Times New Roman" w:eastAsia="Calibri" w:cs="Times New Roman"/>
          <w:color w:val="000000"/>
        </w:rPr>
        <w:t>3</w:t>
      </w:r>
      <w:r w:rsidR="003F1A75">
        <w:rPr>
          <w:rFonts w:ascii="Times New Roman" w:hAnsi="Times New Roman" w:eastAsia="Calibri" w:cs="Times New Roman"/>
          <w:color w:val="000000"/>
        </w:rPr>
        <w:t>5.</w:t>
      </w:r>
      <w:r w:rsidR="00821893">
        <w:rPr>
          <w:rFonts w:ascii="Times New Roman" w:hAnsi="Times New Roman" w:eastAsia="Calibri" w:cs="Times New Roman"/>
          <w:color w:val="000000"/>
        </w:rPr>
        <w:t>19</w:t>
      </w:r>
      <w:r w:rsidRPr="00E220E1" w:rsidR="00E220E1">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 $</w:t>
      </w:r>
      <w:r>
        <w:rPr>
          <w:rFonts w:ascii="Times New Roman" w:hAnsi="Times New Roman" w:eastAsia="Calibri" w:cs="Times New Roman"/>
          <w:color w:val="000000"/>
        </w:rPr>
        <w:t>7038</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31FFF1C4">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D07FDF">
        <w:rPr>
          <w:rFonts w:ascii="Times New Roman" w:hAnsi="Times New Roman" w:eastAsia="Times New Roman" w:cs="Times New Roman"/>
          <w:i/>
        </w:rPr>
        <w:t>1</w:t>
      </w:r>
      <w:r w:rsidR="00177050">
        <w:rPr>
          <w:rFonts w:ascii="Times New Roman" w:hAnsi="Times New Roman" w:eastAsia="Times New Roman" w:cs="Times New Roman"/>
          <w:i/>
        </w:rPr>
        <w:t>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D07FDF">
        <w:rPr>
          <w:rFonts w:ascii="Times New Roman" w:hAnsi="Times New Roman" w:eastAsia="Times New Roman" w:cs="Times New Roman"/>
          <w:i/>
        </w:rPr>
        <w:t>1</w:t>
      </w:r>
      <w:r w:rsidR="002A2F36">
        <w:rPr>
          <w:rFonts w:ascii="Times New Roman" w:hAnsi="Times New Roman" w:eastAsia="Times New Roman" w:cs="Times New Roman"/>
          <w:i/>
        </w:rPr>
        <w:t>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D07FDF">
        <w:rPr>
          <w:rFonts w:ascii="Times New Roman" w:hAnsi="Times New Roman" w:eastAsia="Times New Roman" w:cs="Times New Roman"/>
          <w:i/>
        </w:rPr>
        <w:t>2</w:t>
      </w:r>
      <w:r w:rsidR="00E024FF">
        <w:rPr>
          <w:rFonts w:ascii="Times New Roman" w:hAnsi="Times New Roman" w:eastAsia="Times New Roman" w:cs="Times New Roman"/>
          <w:i/>
        </w:rPr>
        <w:t>00</w:t>
      </w:r>
      <w:r w:rsidR="00851F89">
        <w:rPr>
          <w:rFonts w:ascii="Times New Roman" w:hAnsi="Times New Roman" w:eastAsia="Times New Roman" w:cs="Times New Roman"/>
          <w:i/>
        </w:rPr>
        <w:t xml:space="preserve">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17B1BA29" w:rsidR="0051557A" w:rsidRDefault="0051557A">
        <w:pPr>
          <w:pStyle w:val="Footer"/>
          <w:jc w:val="center"/>
        </w:pPr>
        <w:r>
          <w:fldChar w:fldCharType="begin"/>
        </w:r>
        <w:r>
          <w:instrText xml:space="preserve"> PAGE   \* MERGEFORMAT </w:instrText>
        </w:r>
        <w:r>
          <w:fldChar w:fldCharType="separate"/>
        </w:r>
        <w:r w:rsidR="00EC7DE0">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050"/>
    <w:rsid w:val="00177C8C"/>
    <w:rsid w:val="00191499"/>
    <w:rsid w:val="0019195A"/>
    <w:rsid w:val="001A4030"/>
    <w:rsid w:val="001B6554"/>
    <w:rsid w:val="001C4718"/>
    <w:rsid w:val="001C5076"/>
    <w:rsid w:val="001D1F85"/>
    <w:rsid w:val="001D4CBB"/>
    <w:rsid w:val="001F3A5D"/>
    <w:rsid w:val="00201541"/>
    <w:rsid w:val="00212261"/>
    <w:rsid w:val="00212BDF"/>
    <w:rsid w:val="00214597"/>
    <w:rsid w:val="00215F4E"/>
    <w:rsid w:val="0021695B"/>
    <w:rsid w:val="00221EB2"/>
    <w:rsid w:val="002220B6"/>
    <w:rsid w:val="0024004B"/>
    <w:rsid w:val="00245521"/>
    <w:rsid w:val="002460A8"/>
    <w:rsid w:val="002468BA"/>
    <w:rsid w:val="002528B1"/>
    <w:rsid w:val="0025433B"/>
    <w:rsid w:val="0026171B"/>
    <w:rsid w:val="00263DFF"/>
    <w:rsid w:val="00270D50"/>
    <w:rsid w:val="002717AD"/>
    <w:rsid w:val="00276526"/>
    <w:rsid w:val="00280875"/>
    <w:rsid w:val="00282C52"/>
    <w:rsid w:val="00283359"/>
    <w:rsid w:val="00285E2D"/>
    <w:rsid w:val="00286289"/>
    <w:rsid w:val="00296DDE"/>
    <w:rsid w:val="002A0B8D"/>
    <w:rsid w:val="002A2F36"/>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C3F45"/>
    <w:rsid w:val="003C5EEC"/>
    <w:rsid w:val="003D038F"/>
    <w:rsid w:val="003E6555"/>
    <w:rsid w:val="003E7305"/>
    <w:rsid w:val="003F1A75"/>
    <w:rsid w:val="003F6226"/>
    <w:rsid w:val="00410C78"/>
    <w:rsid w:val="0041166A"/>
    <w:rsid w:val="00411E18"/>
    <w:rsid w:val="00413F86"/>
    <w:rsid w:val="0043347F"/>
    <w:rsid w:val="00454A2A"/>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E6CC4"/>
    <w:rsid w:val="004F00C4"/>
    <w:rsid w:val="004F4A2C"/>
    <w:rsid w:val="004F4ED0"/>
    <w:rsid w:val="00501302"/>
    <w:rsid w:val="00503D95"/>
    <w:rsid w:val="0051557A"/>
    <w:rsid w:val="00515A5A"/>
    <w:rsid w:val="0051635D"/>
    <w:rsid w:val="00517E2A"/>
    <w:rsid w:val="00521BE1"/>
    <w:rsid w:val="00526F79"/>
    <w:rsid w:val="005439BD"/>
    <w:rsid w:val="0056684F"/>
    <w:rsid w:val="00567FA4"/>
    <w:rsid w:val="00570FAD"/>
    <w:rsid w:val="00574A3A"/>
    <w:rsid w:val="00587656"/>
    <w:rsid w:val="0059216E"/>
    <w:rsid w:val="005934FD"/>
    <w:rsid w:val="005A34DF"/>
    <w:rsid w:val="005B3BCB"/>
    <w:rsid w:val="005B667B"/>
    <w:rsid w:val="005C4DA7"/>
    <w:rsid w:val="005D47A1"/>
    <w:rsid w:val="005D79CE"/>
    <w:rsid w:val="005E1A27"/>
    <w:rsid w:val="005E3012"/>
    <w:rsid w:val="005E5DA3"/>
    <w:rsid w:val="005E6A31"/>
    <w:rsid w:val="005E79E9"/>
    <w:rsid w:val="005F078E"/>
    <w:rsid w:val="005F42D6"/>
    <w:rsid w:val="005F66E6"/>
    <w:rsid w:val="005F6B2E"/>
    <w:rsid w:val="00603FB4"/>
    <w:rsid w:val="00607EE3"/>
    <w:rsid w:val="00612771"/>
    <w:rsid w:val="00624753"/>
    <w:rsid w:val="00625F8E"/>
    <w:rsid w:val="00626D51"/>
    <w:rsid w:val="006334E6"/>
    <w:rsid w:val="00633991"/>
    <w:rsid w:val="00637DD5"/>
    <w:rsid w:val="00642198"/>
    <w:rsid w:val="00644A3B"/>
    <w:rsid w:val="00655DEC"/>
    <w:rsid w:val="00657BAA"/>
    <w:rsid w:val="00661610"/>
    <w:rsid w:val="00664A39"/>
    <w:rsid w:val="00665A0C"/>
    <w:rsid w:val="006808AA"/>
    <w:rsid w:val="0068481D"/>
    <w:rsid w:val="006934C7"/>
    <w:rsid w:val="006A6570"/>
    <w:rsid w:val="006B6049"/>
    <w:rsid w:val="006C1FDD"/>
    <w:rsid w:val="006D5142"/>
    <w:rsid w:val="006E1189"/>
    <w:rsid w:val="006E3A55"/>
    <w:rsid w:val="006E613D"/>
    <w:rsid w:val="006E795C"/>
    <w:rsid w:val="006F3105"/>
    <w:rsid w:val="00706BE5"/>
    <w:rsid w:val="00715E3B"/>
    <w:rsid w:val="007447E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152A0"/>
    <w:rsid w:val="00821893"/>
    <w:rsid w:val="008218BF"/>
    <w:rsid w:val="008315E9"/>
    <w:rsid w:val="00833E5A"/>
    <w:rsid w:val="00834C46"/>
    <w:rsid w:val="00842A61"/>
    <w:rsid w:val="00851DB7"/>
    <w:rsid w:val="00851F89"/>
    <w:rsid w:val="00851FB8"/>
    <w:rsid w:val="00861225"/>
    <w:rsid w:val="0087015F"/>
    <w:rsid w:val="008766D8"/>
    <w:rsid w:val="00876C1F"/>
    <w:rsid w:val="0087702E"/>
    <w:rsid w:val="00897D92"/>
    <w:rsid w:val="008A44E6"/>
    <w:rsid w:val="008B3547"/>
    <w:rsid w:val="008C6F18"/>
    <w:rsid w:val="008D0FA9"/>
    <w:rsid w:val="008D179A"/>
    <w:rsid w:val="008D505F"/>
    <w:rsid w:val="008D573D"/>
    <w:rsid w:val="008E0B8D"/>
    <w:rsid w:val="008E1541"/>
    <w:rsid w:val="008E3C93"/>
    <w:rsid w:val="008F4B48"/>
    <w:rsid w:val="008F78FE"/>
    <w:rsid w:val="00913352"/>
    <w:rsid w:val="009239C6"/>
    <w:rsid w:val="00926998"/>
    <w:rsid w:val="00931874"/>
    <w:rsid w:val="00931D79"/>
    <w:rsid w:val="009335C1"/>
    <w:rsid w:val="00934F65"/>
    <w:rsid w:val="00942E9A"/>
    <w:rsid w:val="00956787"/>
    <w:rsid w:val="0095680F"/>
    <w:rsid w:val="0095681D"/>
    <w:rsid w:val="0096052D"/>
    <w:rsid w:val="00966104"/>
    <w:rsid w:val="00966A2D"/>
    <w:rsid w:val="009728FE"/>
    <w:rsid w:val="00981A55"/>
    <w:rsid w:val="009870B0"/>
    <w:rsid w:val="00991433"/>
    <w:rsid w:val="00992694"/>
    <w:rsid w:val="009A5F3A"/>
    <w:rsid w:val="009C2067"/>
    <w:rsid w:val="009C31A7"/>
    <w:rsid w:val="009C4785"/>
    <w:rsid w:val="009D7827"/>
    <w:rsid w:val="009F00EE"/>
    <w:rsid w:val="009F1E66"/>
    <w:rsid w:val="009F2CEB"/>
    <w:rsid w:val="00A02531"/>
    <w:rsid w:val="00A20C1A"/>
    <w:rsid w:val="00A249EF"/>
    <w:rsid w:val="00A272EF"/>
    <w:rsid w:val="00A32568"/>
    <w:rsid w:val="00A35ACB"/>
    <w:rsid w:val="00A37128"/>
    <w:rsid w:val="00A40983"/>
    <w:rsid w:val="00A42B24"/>
    <w:rsid w:val="00A50071"/>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0C1"/>
    <w:rsid w:val="00B56961"/>
    <w:rsid w:val="00B57154"/>
    <w:rsid w:val="00B618CB"/>
    <w:rsid w:val="00B64DB5"/>
    <w:rsid w:val="00B661EF"/>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5FFC"/>
    <w:rsid w:val="00C97D02"/>
    <w:rsid w:val="00CA0F40"/>
    <w:rsid w:val="00CA2146"/>
    <w:rsid w:val="00CA586F"/>
    <w:rsid w:val="00CB61F8"/>
    <w:rsid w:val="00CD079A"/>
    <w:rsid w:val="00CD6CE4"/>
    <w:rsid w:val="00CE1C6D"/>
    <w:rsid w:val="00CF7E6B"/>
    <w:rsid w:val="00D016EB"/>
    <w:rsid w:val="00D03E9A"/>
    <w:rsid w:val="00D06ED4"/>
    <w:rsid w:val="00D07AF1"/>
    <w:rsid w:val="00D07F63"/>
    <w:rsid w:val="00D07FDF"/>
    <w:rsid w:val="00D107B1"/>
    <w:rsid w:val="00D11C87"/>
    <w:rsid w:val="00D16E56"/>
    <w:rsid w:val="00D2022F"/>
    <w:rsid w:val="00D33C49"/>
    <w:rsid w:val="00D35E0E"/>
    <w:rsid w:val="00D464BA"/>
    <w:rsid w:val="00D47F8F"/>
    <w:rsid w:val="00D521FD"/>
    <w:rsid w:val="00D53EC6"/>
    <w:rsid w:val="00D62192"/>
    <w:rsid w:val="00D623D4"/>
    <w:rsid w:val="00D63B0B"/>
    <w:rsid w:val="00D70C6D"/>
    <w:rsid w:val="00D71F8F"/>
    <w:rsid w:val="00D94816"/>
    <w:rsid w:val="00DA2F04"/>
    <w:rsid w:val="00DA7C6B"/>
    <w:rsid w:val="00DB37CC"/>
    <w:rsid w:val="00DB7B49"/>
    <w:rsid w:val="00DC095D"/>
    <w:rsid w:val="00DC1648"/>
    <w:rsid w:val="00DD7F4D"/>
    <w:rsid w:val="00DF1B67"/>
    <w:rsid w:val="00DF7A89"/>
    <w:rsid w:val="00E023D7"/>
    <w:rsid w:val="00E024FF"/>
    <w:rsid w:val="00E03DC4"/>
    <w:rsid w:val="00E17D04"/>
    <w:rsid w:val="00E216E5"/>
    <w:rsid w:val="00E220E1"/>
    <w:rsid w:val="00E235C6"/>
    <w:rsid w:val="00E242D9"/>
    <w:rsid w:val="00E304C2"/>
    <w:rsid w:val="00E31A8F"/>
    <w:rsid w:val="00E3370F"/>
    <w:rsid w:val="00E41241"/>
    <w:rsid w:val="00E45924"/>
    <w:rsid w:val="00E51C74"/>
    <w:rsid w:val="00E534E7"/>
    <w:rsid w:val="00E5450F"/>
    <w:rsid w:val="00E67CC2"/>
    <w:rsid w:val="00E9234F"/>
    <w:rsid w:val="00E95BDB"/>
    <w:rsid w:val="00EC62C8"/>
    <w:rsid w:val="00EC686C"/>
    <w:rsid w:val="00EC7DE0"/>
    <w:rsid w:val="00ED0C8E"/>
    <w:rsid w:val="00ED5C1E"/>
    <w:rsid w:val="00ED7155"/>
    <w:rsid w:val="00ED74FA"/>
    <w:rsid w:val="00EE1915"/>
    <w:rsid w:val="00EE1F57"/>
    <w:rsid w:val="00EF64BA"/>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FAA"/>
    <w:rsid w:val="00FE6E8C"/>
    <w:rsid w:val="00FE7030"/>
    <w:rsid w:val="00FF0EBF"/>
    <w:rsid w:val="00FF2B98"/>
    <w:rsid w:val="00FF36C6"/>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 w:type="paragraph" w:customStyle="1" w:styleId="Text1">
    <w:name w:val="Text 1"/>
    <w:basedOn w:val="Normal"/>
    <w:link w:val="Text1Char"/>
    <w:uiPriority w:val="1"/>
    <w:qFormat/>
    <w:rsid w:val="008E1541"/>
    <w:pPr>
      <w:spacing w:after="0" w:line="259" w:lineRule="auto"/>
    </w:pPr>
    <w:rPr>
      <w:rFonts w:ascii="Times New Roman" w:hAnsi="Times New Roman" w:cs="Times New Roman"/>
      <w:sz w:val="24"/>
      <w:szCs w:val="24"/>
    </w:rPr>
  </w:style>
  <w:style w:type="character" w:customStyle="1" w:styleId="Text1Char">
    <w:name w:val="Text 1 Char"/>
    <w:basedOn w:val="DefaultParagraphFont"/>
    <w:link w:val="Text1"/>
    <w:uiPriority w:val="1"/>
    <w:rsid w:val="008E15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mpsi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B130-C680-416B-BB72-26F6C0EE1BD2}">
  <ds:schemaRefs>
    <ds:schemaRef ds:uri="http://purl.org/dc/terms/"/>
    <ds:schemaRef ds:uri="http://schemas.microsoft.com/office/infopath/2007/PartnerControls"/>
    <ds:schemaRef ds:uri="http://schemas.microsoft.com/office/2006/documentManagement/types"/>
    <ds:schemaRef ds:uri="2b487234-2a61-45b0-86e3-998bf12a0e9d"/>
    <ds:schemaRef ds:uri="http://schemas.microsoft.com/office/2006/metadata/properties"/>
    <ds:schemaRef ds:uri="http://www.w3.org/XML/1998/namespace"/>
    <ds:schemaRef ds:uri="http://purl.org/dc/elements/1.1/"/>
    <ds:schemaRef ds:uri="2a1ba486-ff2f-4459-80ac-1ab5aa17f82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3.xml><?xml version="1.0" encoding="utf-8"?>
<ds:datastoreItem xmlns:ds="http://schemas.openxmlformats.org/officeDocument/2006/customXml" ds:itemID="{0B911629-E274-4750-AA18-E7BDF19C4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FCC70-EC65-4475-A182-31772C52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MSB</cp:lastModifiedBy>
  <cp:revision>2</cp:revision>
  <cp:lastPrinted>2019-10-21T15:30:00Z</cp:lastPrinted>
  <dcterms:created xsi:type="dcterms:W3CDTF">2020-12-07T22:05:00Z</dcterms:created>
  <dcterms:modified xsi:type="dcterms:W3CDTF">2020-12-07T22:05:00Z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