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49566" w14:textId="77777777" w:rsidR="00C97D02" w:rsidRPr="009D7827" w:rsidRDefault="00C97D02" w:rsidP="00C97D02">
      <w:pPr>
        <w:spacing w:after="0" w:line="240" w:lineRule="auto"/>
        <w:jc w:val="center"/>
        <w:rPr>
          <w:rFonts w:ascii="Times New Roman" w:eastAsia="Times New Roman" w:hAnsi="Times New Roman" w:cs="Times New Roman"/>
          <w:b/>
        </w:rPr>
      </w:pPr>
      <w:bookmarkStart w:id="0" w:name="_GoBack"/>
      <w:bookmarkEnd w:id="0"/>
      <w:r w:rsidRPr="00466209">
        <w:rPr>
          <w:rFonts w:ascii="Times New Roman" w:eastAsia="Times New Roman" w:hAnsi="Times New Roman" w:cs="Times New Roman"/>
          <w:b/>
          <w:color w:val="000000"/>
        </w:rPr>
        <w:t>F</w:t>
      </w:r>
      <w:r w:rsidR="00E45924" w:rsidRPr="009D7827">
        <w:rPr>
          <w:rFonts w:ascii="Times New Roman" w:eastAsia="Times New Roman" w:hAnsi="Times New Roman" w:cs="Times New Roman"/>
          <w:b/>
        </w:rPr>
        <w:t xml:space="preserve">unding Opportunity </w:t>
      </w:r>
      <w:r w:rsidR="001C4718" w:rsidRPr="009D7827">
        <w:rPr>
          <w:rFonts w:ascii="Times New Roman" w:eastAsia="Times New Roman" w:hAnsi="Times New Roman" w:cs="Times New Roman"/>
          <w:b/>
        </w:rPr>
        <w:t>Announcement</w:t>
      </w:r>
    </w:p>
    <w:p w14:paraId="6DE09C47" w14:textId="77777777" w:rsidR="00AE5A98" w:rsidRPr="009D7827" w:rsidRDefault="00AE5A98" w:rsidP="00AE5A98">
      <w:pPr>
        <w:widowControl w:val="0"/>
        <w:spacing w:after="0" w:line="240" w:lineRule="auto"/>
        <w:jc w:val="center"/>
        <w:rPr>
          <w:rFonts w:ascii="Times New Roman" w:eastAsia="Times New Roman" w:hAnsi="Times New Roman" w:cs="Times New Roman"/>
          <w:b/>
        </w:rPr>
      </w:pPr>
      <w:r w:rsidRPr="009D7827">
        <w:rPr>
          <w:rFonts w:ascii="Times New Roman" w:eastAsia="Times New Roman" w:hAnsi="Times New Roman" w:cs="Times New Roman"/>
          <w:b/>
        </w:rPr>
        <w:t>Job Corps Scholars Program</w:t>
      </w:r>
    </w:p>
    <w:p w14:paraId="742E1132" w14:textId="77777777" w:rsidR="00C97D02" w:rsidRPr="009D7827" w:rsidRDefault="00C97D02" w:rsidP="00C97D02">
      <w:pPr>
        <w:widowControl w:val="0"/>
        <w:spacing w:after="0" w:line="240" w:lineRule="auto"/>
        <w:jc w:val="center"/>
        <w:rPr>
          <w:rFonts w:ascii="Times New Roman" w:eastAsia="Times New Roman" w:hAnsi="Times New Roman" w:cs="Times New Roman"/>
        </w:rPr>
      </w:pPr>
      <w:r w:rsidRPr="009D7827">
        <w:rPr>
          <w:rFonts w:ascii="Times New Roman" w:eastAsia="Times New Roman" w:hAnsi="Times New Roman" w:cs="Times New Roman"/>
          <w:b/>
        </w:rPr>
        <w:t>Supplemental Justification</w:t>
      </w:r>
    </w:p>
    <w:p w14:paraId="2656A35A" w14:textId="77777777" w:rsidR="00C97D02" w:rsidRPr="009D7827" w:rsidRDefault="00C97D02" w:rsidP="00C97D02">
      <w:pPr>
        <w:spacing w:after="0" w:line="240" w:lineRule="auto"/>
        <w:jc w:val="center"/>
        <w:rPr>
          <w:rFonts w:ascii="Times New Roman" w:eastAsia="Times New Roman" w:hAnsi="Times New Roman" w:cs="Times New Roman"/>
          <w:b/>
        </w:rPr>
      </w:pPr>
    </w:p>
    <w:p w14:paraId="64C574A8" w14:textId="77777777" w:rsidR="00C97D02" w:rsidRPr="009D7827" w:rsidRDefault="00C97D02" w:rsidP="00C97D02">
      <w:pPr>
        <w:autoSpaceDE w:val="0"/>
        <w:autoSpaceDN w:val="0"/>
        <w:adjustRightInd w:val="0"/>
        <w:spacing w:after="0" w:line="240" w:lineRule="auto"/>
        <w:rPr>
          <w:rFonts w:ascii="Times New Roman" w:eastAsia="Times New Roman" w:hAnsi="Times New Roman" w:cs="Times New Roman"/>
          <w:b/>
          <w:i/>
          <w:u w:val="single"/>
        </w:rPr>
      </w:pPr>
      <w:r w:rsidRPr="009D7827">
        <w:rPr>
          <w:rFonts w:ascii="Times New Roman" w:eastAsia="Times New Roman" w:hAnsi="Times New Roman" w:cs="Times New Roman"/>
          <w:b/>
          <w:i/>
          <w:u w:val="single"/>
        </w:rPr>
        <w:t>Supplemental Supporting Statement A: Justification</w:t>
      </w:r>
    </w:p>
    <w:p w14:paraId="06193D62" w14:textId="77777777" w:rsidR="00C97D02" w:rsidRPr="009D7827" w:rsidRDefault="00C97D02" w:rsidP="00C97D02">
      <w:pPr>
        <w:autoSpaceDE w:val="0"/>
        <w:autoSpaceDN w:val="0"/>
        <w:adjustRightInd w:val="0"/>
        <w:spacing w:after="0" w:line="240" w:lineRule="auto"/>
        <w:rPr>
          <w:rFonts w:ascii="Times New Roman" w:eastAsia="Times New Roman" w:hAnsi="Times New Roman" w:cs="Times New Roman"/>
          <w:b/>
          <w:u w:val="single"/>
        </w:rPr>
      </w:pPr>
    </w:p>
    <w:p w14:paraId="11547EBE" w14:textId="7288EAB5" w:rsidR="006334E6" w:rsidRPr="009D7827" w:rsidRDefault="00C97D02" w:rsidP="00466209">
      <w:pPr>
        <w:spacing w:after="0" w:line="240" w:lineRule="auto"/>
        <w:rPr>
          <w:rFonts w:ascii="Times New Roman" w:hAnsi="Times New Roman" w:cs="Times New Roman"/>
        </w:rPr>
      </w:pPr>
      <w:bookmarkStart w:id="1" w:name="_Toc207778202"/>
      <w:bookmarkStart w:id="2" w:name="_Toc208654602"/>
      <w:bookmarkStart w:id="3" w:name="_Toc228885476"/>
      <w:bookmarkStart w:id="4" w:name="_Toc229889134"/>
      <w:r w:rsidRPr="009D7827">
        <w:rPr>
          <w:rFonts w:ascii="Times New Roman" w:hAnsi="Times New Roman" w:cs="Times New Roman"/>
        </w:rPr>
        <w:t xml:space="preserve">This request seeks OMB approval under the Paperwork Reduction Act for the unique information collection requirements in the </w:t>
      </w:r>
      <w:r w:rsidR="00163140" w:rsidRPr="009D7827">
        <w:rPr>
          <w:rFonts w:ascii="Times New Roman" w:hAnsi="Times New Roman" w:cs="Times New Roman"/>
        </w:rPr>
        <w:t>“</w:t>
      </w:r>
      <w:r w:rsidR="00AE5A98" w:rsidRPr="009D7827">
        <w:rPr>
          <w:rFonts w:ascii="Times New Roman" w:hAnsi="Times New Roman" w:cs="Times New Roman"/>
        </w:rPr>
        <w:t>Job Corps Scholars Program</w:t>
      </w:r>
      <w:r w:rsidR="00471D5F" w:rsidRPr="009D7827">
        <w:rPr>
          <w:rFonts w:ascii="Times New Roman" w:hAnsi="Times New Roman" w:cs="Times New Roman"/>
        </w:rPr>
        <w:t xml:space="preserve">,” </w:t>
      </w:r>
      <w:r w:rsidRPr="009D7827">
        <w:rPr>
          <w:rFonts w:ascii="Times New Roman" w:hAnsi="Times New Roman" w:cs="Times New Roman"/>
        </w:rPr>
        <w:t>Funding O</w:t>
      </w:r>
      <w:r w:rsidR="006334E6" w:rsidRPr="009D7827">
        <w:rPr>
          <w:rFonts w:ascii="Times New Roman" w:hAnsi="Times New Roman" w:cs="Times New Roman"/>
        </w:rPr>
        <w:t xml:space="preserve">pportunity Announcement (FOA). </w:t>
      </w:r>
      <w:r w:rsidR="00163140" w:rsidRPr="009D7827">
        <w:rPr>
          <w:rFonts w:ascii="Times New Roman" w:hAnsi="Times New Roman" w:cs="Times New Roman"/>
        </w:rPr>
        <w:t>T</w:t>
      </w:r>
      <w:r w:rsidR="006E613D" w:rsidRPr="009D7827">
        <w:rPr>
          <w:rFonts w:ascii="Times New Roman" w:hAnsi="Times New Roman" w:cs="Times New Roman"/>
        </w:rPr>
        <w:t xml:space="preserve">he Department will announce the availability of approximately </w:t>
      </w:r>
      <w:r w:rsidR="00212261" w:rsidRPr="009D7827">
        <w:rPr>
          <w:rFonts w:asciiTheme="majorHAnsi" w:hAnsiTheme="majorHAnsi"/>
        </w:rPr>
        <w:t xml:space="preserve">$23,738,000 </w:t>
      </w:r>
      <w:r w:rsidR="00FF3B5E" w:rsidRPr="009D7827">
        <w:rPr>
          <w:rFonts w:ascii="Times New Roman" w:hAnsi="Times New Roman" w:cs="Times New Roman"/>
        </w:rPr>
        <w:t>in</w:t>
      </w:r>
      <w:r w:rsidR="006E613D" w:rsidRPr="009D7827">
        <w:rPr>
          <w:rFonts w:ascii="Times New Roman" w:hAnsi="Times New Roman" w:cs="Times New Roman"/>
        </w:rPr>
        <w:t xml:space="preserve"> grant funds authorized </w:t>
      </w:r>
      <w:r w:rsidR="00410C78" w:rsidRPr="009D7827">
        <w:rPr>
          <w:rFonts w:ascii="Times New Roman" w:hAnsi="Times New Roman" w:cs="Times New Roman"/>
        </w:rPr>
        <w:t xml:space="preserve">by the </w:t>
      </w:r>
      <w:r w:rsidR="00AE5A98" w:rsidRPr="009D7827">
        <w:rPr>
          <w:rFonts w:ascii="Times New Roman" w:hAnsi="Times New Roman" w:cs="Times New Roman"/>
        </w:rPr>
        <w:t>Workforce Innovation and Opportunity Act, Section 156 (a) (29 U.S.C. 3193(a)) and Section 189(c) (29 U.S.C._3249(c)) for Job Corps Scholars Program Partnership.</w:t>
      </w:r>
    </w:p>
    <w:p w14:paraId="718F03F4" w14:textId="191C9158" w:rsidR="006334E6" w:rsidRDefault="006334E6" w:rsidP="006334E6">
      <w:pPr>
        <w:pStyle w:val="ListParagraph"/>
        <w:ind w:left="0"/>
        <w:rPr>
          <w:rFonts w:ascii="Times New Roman" w:hAnsi="Times New Roman"/>
          <w:sz w:val="22"/>
        </w:rPr>
      </w:pPr>
    </w:p>
    <w:p w14:paraId="3240EE05" w14:textId="5BBF679D" w:rsidR="0078096C" w:rsidRPr="0078096C" w:rsidRDefault="0078096C" w:rsidP="0078096C">
      <w:pPr>
        <w:pStyle w:val="ListParagraph"/>
        <w:ind w:left="0"/>
        <w:rPr>
          <w:rFonts w:ascii="Times New Roman" w:hAnsi="Times New Roman"/>
          <w:sz w:val="22"/>
        </w:rPr>
      </w:pPr>
      <w:r w:rsidRPr="0078096C">
        <w:rPr>
          <w:rFonts w:ascii="Times New Roman" w:hAnsi="Times New Roman"/>
          <w:sz w:val="22"/>
        </w:rPr>
        <w:t xml:space="preserve">DOL will competitively award grants to accredited, two-year, public community colleges; accredited, public two- and four-year historically Black colleges and universities (HBCUs); and accredited tribally controlled colleges and universities (TCCUs) as part of a “Job Corps Scholars Program” demonstration project.  Grantees must enroll Job Corps eligible youth and provide those enrolled with intensive counseling services to support and facilitate each student’s employment and career success.  </w:t>
      </w:r>
    </w:p>
    <w:p w14:paraId="7FF80D67" w14:textId="77777777" w:rsidR="0078096C" w:rsidRPr="0078096C" w:rsidRDefault="0078096C" w:rsidP="0078096C">
      <w:pPr>
        <w:pStyle w:val="ListParagraph"/>
        <w:ind w:left="0"/>
        <w:rPr>
          <w:rFonts w:ascii="Times New Roman" w:hAnsi="Times New Roman"/>
          <w:sz w:val="22"/>
        </w:rPr>
      </w:pPr>
    </w:p>
    <w:p w14:paraId="6A273595" w14:textId="77777777" w:rsidR="0078096C" w:rsidRPr="0078096C" w:rsidRDefault="0078096C" w:rsidP="0078096C">
      <w:pPr>
        <w:pStyle w:val="ListParagraph"/>
        <w:ind w:left="0"/>
        <w:rPr>
          <w:rFonts w:ascii="Times New Roman" w:hAnsi="Times New Roman"/>
          <w:sz w:val="22"/>
        </w:rPr>
      </w:pPr>
      <w:r w:rsidRPr="0078096C">
        <w:rPr>
          <w:rFonts w:ascii="Times New Roman" w:hAnsi="Times New Roman"/>
          <w:sz w:val="22"/>
        </w:rPr>
        <w:t xml:space="preserve">DOL expects grantees to provide these services throughout each student’s participation in the 12-month career technical training component of the Job Corps Scholars Program and the up to 12-month employment placement period following separation from the program.  Grantees may also fund developmental coursework where necessary for student entry into the technical training component. The time necessary to complete such coursework does not count against the 12 months allotted for the career technical training component. Separation is defined, for the purpose of the demonstration project, as the successful completion and exit from the career technical training.  All counseling should encompass activities that aim to ensure each student’s employment success.  </w:t>
      </w:r>
    </w:p>
    <w:p w14:paraId="7D3F770F" w14:textId="77777777" w:rsidR="0078096C" w:rsidRPr="0078096C" w:rsidRDefault="0078096C" w:rsidP="0078096C">
      <w:pPr>
        <w:pStyle w:val="ListParagraph"/>
        <w:ind w:left="0"/>
        <w:rPr>
          <w:rFonts w:ascii="Times New Roman" w:hAnsi="Times New Roman"/>
          <w:sz w:val="22"/>
        </w:rPr>
      </w:pPr>
    </w:p>
    <w:p w14:paraId="06C763CD" w14:textId="6653719E" w:rsidR="0078096C" w:rsidRPr="0078096C" w:rsidRDefault="0078096C" w:rsidP="0078096C">
      <w:pPr>
        <w:pStyle w:val="ListParagraph"/>
        <w:ind w:left="0"/>
        <w:rPr>
          <w:rFonts w:ascii="Times New Roman" w:hAnsi="Times New Roman"/>
          <w:sz w:val="22"/>
        </w:rPr>
      </w:pPr>
      <w:r w:rsidRPr="0078096C">
        <w:rPr>
          <w:rFonts w:ascii="Times New Roman" w:hAnsi="Times New Roman"/>
          <w:sz w:val="22"/>
        </w:rPr>
        <w:t xml:space="preserve">DOL expects to serve 1,600 students through the award of approximately twenty (20) grants to accredited, two-year, public community colleges; accredited, public, two- and four-year HBCUs; and accredited, two- and four-year  TCCUs.  These students must be new enrollees, that is, not previously admitted or currently attending classes at the community college, HBCU, or TCCU.  Transfer students are not considered new enrollees for the purpose of this program.  </w:t>
      </w:r>
    </w:p>
    <w:p w14:paraId="78008AAC" w14:textId="243230CC" w:rsidR="0078096C" w:rsidRDefault="0078096C" w:rsidP="0078096C">
      <w:pPr>
        <w:pStyle w:val="ListParagraph"/>
        <w:ind w:left="0"/>
        <w:rPr>
          <w:rFonts w:ascii="Times New Roman" w:hAnsi="Times New Roman"/>
          <w:sz w:val="22"/>
        </w:rPr>
      </w:pPr>
    </w:p>
    <w:p w14:paraId="5D6AE1EE" w14:textId="77777777" w:rsidR="00C97D02" w:rsidRPr="009D7827" w:rsidRDefault="00C97D02" w:rsidP="00C97D02">
      <w:pPr>
        <w:autoSpaceDE w:val="0"/>
        <w:autoSpaceDN w:val="0"/>
        <w:adjustRightInd w:val="0"/>
        <w:spacing w:after="0" w:line="240" w:lineRule="auto"/>
        <w:rPr>
          <w:rFonts w:ascii="Times New Roman" w:eastAsia="Times New Roman" w:hAnsi="Times New Roman" w:cs="Times New Roman"/>
        </w:rPr>
      </w:pPr>
      <w:r w:rsidRPr="009D7827">
        <w:rPr>
          <w:rFonts w:ascii="Times New Roman" w:eastAsia="Times New Roman" w:hAnsi="Times New Roman" w:cs="Times New Roman"/>
        </w:rPr>
        <w:t>Applications will include the foll</w:t>
      </w:r>
      <w:r w:rsidR="0011723F" w:rsidRPr="009D7827">
        <w:rPr>
          <w:rFonts w:ascii="Times New Roman" w:eastAsia="Times New Roman" w:hAnsi="Times New Roman" w:cs="Times New Roman"/>
        </w:rPr>
        <w:t xml:space="preserve">owing information collections: </w:t>
      </w:r>
      <w:r w:rsidRPr="009D7827">
        <w:rPr>
          <w:rFonts w:ascii="Times New Roman" w:eastAsia="Times New Roman" w:hAnsi="Times New Roman" w:cs="Times New Roman"/>
        </w:rPr>
        <w:t xml:space="preserve">1) Form SF-424 “Application for Federal Assistance,” separately cleared under OMB control number </w:t>
      </w:r>
      <w:r w:rsidR="00517E2A" w:rsidRPr="009D7827">
        <w:rPr>
          <w:rFonts w:ascii="Times New Roman" w:eastAsia="Times New Roman" w:hAnsi="Times New Roman" w:cs="Times New Roman"/>
        </w:rPr>
        <w:t>4040-0004</w:t>
      </w:r>
      <w:r w:rsidRPr="009D7827">
        <w:rPr>
          <w:rFonts w:ascii="Times New Roman" w:eastAsia="Times New Roman" w:hAnsi="Times New Roman" w:cs="Times New Roman"/>
        </w:rPr>
        <w:t xml:space="preserve">, 2) Project Budget, 3) Project Narrative, and 4) Attachments to the Project Narrative.  </w:t>
      </w:r>
    </w:p>
    <w:bookmarkEnd w:id="1"/>
    <w:bookmarkEnd w:id="2"/>
    <w:bookmarkEnd w:id="3"/>
    <w:bookmarkEnd w:id="4"/>
    <w:p w14:paraId="2ACA40BD" w14:textId="77777777" w:rsidR="00191499" w:rsidRPr="009D7827" w:rsidRDefault="00191499" w:rsidP="00C97D02">
      <w:pPr>
        <w:spacing w:after="0" w:line="240" w:lineRule="auto"/>
        <w:rPr>
          <w:rFonts w:ascii="Times New Roman" w:eastAsia="Times New Roman" w:hAnsi="Times New Roman" w:cs="Times New Roman"/>
          <w:b/>
          <w:u w:val="single"/>
        </w:rPr>
      </w:pPr>
    </w:p>
    <w:p w14:paraId="4FB6D460" w14:textId="360CF971" w:rsidR="00C97D02" w:rsidRPr="009D7827" w:rsidRDefault="00C97D02" w:rsidP="00C97D02">
      <w:pPr>
        <w:spacing w:after="0" w:line="240" w:lineRule="auto"/>
        <w:rPr>
          <w:rFonts w:ascii="Times New Roman" w:eastAsia="Times New Roman" w:hAnsi="Times New Roman" w:cs="Times New Roman"/>
          <w:b/>
          <w:u w:val="single"/>
        </w:rPr>
      </w:pPr>
      <w:r w:rsidRPr="009D7827">
        <w:rPr>
          <w:rFonts w:ascii="Times New Roman" w:eastAsia="Times New Roman" w:hAnsi="Times New Roman" w:cs="Times New Roman"/>
          <w:b/>
          <w:u w:val="single"/>
        </w:rPr>
        <w:t>Electronic availability:</w:t>
      </w:r>
    </w:p>
    <w:p w14:paraId="33FE51B9" w14:textId="77777777" w:rsidR="00C97D02" w:rsidRPr="009D7827" w:rsidRDefault="00C97D02" w:rsidP="00C97D02">
      <w:pPr>
        <w:spacing w:after="0" w:line="240" w:lineRule="auto"/>
        <w:rPr>
          <w:rFonts w:ascii="Times New Roman" w:eastAsia="Times New Roman" w:hAnsi="Times New Roman" w:cs="Times New Roman"/>
        </w:rPr>
      </w:pPr>
    </w:p>
    <w:p w14:paraId="3E9200CC" w14:textId="64CF7300" w:rsidR="00C97D02" w:rsidRPr="009D7827" w:rsidRDefault="00C97D02" w:rsidP="00C97D02">
      <w:pPr>
        <w:spacing w:after="0" w:line="240" w:lineRule="auto"/>
        <w:rPr>
          <w:rFonts w:ascii="Times New Roman" w:eastAsia="Times New Roman" w:hAnsi="Times New Roman" w:cs="Times New Roman"/>
        </w:rPr>
      </w:pPr>
      <w:r w:rsidRPr="009D7827">
        <w:rPr>
          <w:rFonts w:ascii="Times New Roman" w:eastAsia="Times New Roman" w:hAnsi="Times New Roman" w:cs="Times New Roman"/>
        </w:rPr>
        <w:t>This grant solicitation is available on the grants.gov Web site.  Based on past DOL experience, the Department anticipates</w:t>
      </w:r>
      <w:r w:rsidR="00D2022F" w:rsidRPr="009D7827">
        <w:rPr>
          <w:rFonts w:ascii="Times New Roman" w:eastAsia="Times New Roman" w:hAnsi="Times New Roman" w:cs="Times New Roman"/>
        </w:rPr>
        <w:t xml:space="preserve"> that at least </w:t>
      </w:r>
      <w:r w:rsidR="00A649BB" w:rsidRPr="009D7827">
        <w:rPr>
          <w:rFonts w:ascii="Times New Roman" w:eastAsia="Times New Roman" w:hAnsi="Times New Roman" w:cs="Times New Roman"/>
        </w:rPr>
        <w:t xml:space="preserve">80 </w:t>
      </w:r>
      <w:r w:rsidRPr="009D7827">
        <w:rPr>
          <w:rFonts w:ascii="Times New Roman" w:eastAsia="Times New Roman" w:hAnsi="Times New Roman" w:cs="Times New Roman"/>
        </w:rPr>
        <w:t>percent of responses will be submitted electronically.</w:t>
      </w:r>
    </w:p>
    <w:p w14:paraId="02355CBE" w14:textId="77777777" w:rsidR="00612771" w:rsidRPr="009D7827" w:rsidRDefault="00612771" w:rsidP="00C97D02">
      <w:pPr>
        <w:spacing w:after="0" w:line="240" w:lineRule="auto"/>
        <w:rPr>
          <w:rFonts w:ascii="Times New Roman" w:eastAsia="Times New Roman" w:hAnsi="Times New Roman" w:cs="Times New Roman"/>
          <w:b/>
          <w:u w:val="single"/>
        </w:rPr>
      </w:pPr>
    </w:p>
    <w:p w14:paraId="54339534" w14:textId="77777777" w:rsidR="00C97D02" w:rsidRPr="009D7827" w:rsidRDefault="00C97D02" w:rsidP="00C97D02">
      <w:pPr>
        <w:spacing w:after="0" w:line="240" w:lineRule="auto"/>
        <w:rPr>
          <w:rFonts w:ascii="Times New Roman" w:eastAsia="Times New Roman" w:hAnsi="Times New Roman" w:cs="Times New Roman"/>
          <w:b/>
          <w:u w:val="single"/>
        </w:rPr>
      </w:pPr>
      <w:r w:rsidRPr="009D7827">
        <w:rPr>
          <w:rFonts w:ascii="Times New Roman" w:eastAsia="Times New Roman" w:hAnsi="Times New Roman" w:cs="Times New Roman"/>
          <w:b/>
          <w:u w:val="single"/>
        </w:rPr>
        <w:t>Small Entities:</w:t>
      </w:r>
    </w:p>
    <w:p w14:paraId="59EFBDDD" w14:textId="77777777" w:rsidR="00C97D02" w:rsidRPr="009D7827" w:rsidRDefault="00C97D02" w:rsidP="00C97D02">
      <w:pPr>
        <w:spacing w:after="0" w:line="240" w:lineRule="auto"/>
        <w:rPr>
          <w:rFonts w:ascii="Times New Roman" w:eastAsia="Times New Roman" w:hAnsi="Times New Roman" w:cs="Times New Roman"/>
        </w:rPr>
      </w:pPr>
    </w:p>
    <w:p w14:paraId="5D53AD30" w14:textId="77777777" w:rsidR="00C97D02" w:rsidRPr="009D7827" w:rsidRDefault="00C97D02" w:rsidP="00C97D02">
      <w:pPr>
        <w:spacing w:after="0" w:line="240" w:lineRule="auto"/>
        <w:rPr>
          <w:rFonts w:ascii="Times New Roman" w:eastAsia="Times New Roman" w:hAnsi="Times New Roman" w:cs="Times New Roman"/>
        </w:rPr>
      </w:pPr>
      <w:r w:rsidRPr="009D7827">
        <w:rPr>
          <w:rFonts w:ascii="Times New Roman" w:eastAsia="Times New Roman" w:hAnsi="Times New Roman" w:cs="Times New Roman"/>
        </w:rPr>
        <w:t>This information collection will not have a significant impact on a substantial number of small entities.</w:t>
      </w:r>
    </w:p>
    <w:p w14:paraId="6E27E579" w14:textId="772A521D" w:rsidR="00C97D02" w:rsidRPr="009D7827" w:rsidRDefault="00C97D02" w:rsidP="00C97D02">
      <w:pPr>
        <w:spacing w:after="0" w:line="240" w:lineRule="auto"/>
        <w:rPr>
          <w:rFonts w:ascii="Times New Roman" w:eastAsia="Times New Roman" w:hAnsi="Times New Roman" w:cs="Times New Roman"/>
        </w:rPr>
      </w:pPr>
    </w:p>
    <w:p w14:paraId="2D9D0BBC" w14:textId="354E8D35" w:rsidR="009D7827" w:rsidRPr="009D7827" w:rsidRDefault="009D7827" w:rsidP="00C97D02">
      <w:pPr>
        <w:spacing w:after="0" w:line="240" w:lineRule="auto"/>
        <w:rPr>
          <w:rFonts w:ascii="Times New Roman" w:eastAsia="Times New Roman" w:hAnsi="Times New Roman" w:cs="Times New Roman"/>
        </w:rPr>
      </w:pPr>
    </w:p>
    <w:p w14:paraId="218C02E5" w14:textId="77777777" w:rsidR="009D7827" w:rsidRPr="009D7827" w:rsidRDefault="009D7827" w:rsidP="00C97D02">
      <w:pPr>
        <w:spacing w:after="0" w:line="240" w:lineRule="auto"/>
        <w:rPr>
          <w:rFonts w:ascii="Times New Roman" w:eastAsia="Times New Roman" w:hAnsi="Times New Roman" w:cs="Times New Roman"/>
        </w:rPr>
      </w:pPr>
    </w:p>
    <w:p w14:paraId="0B9B4766" w14:textId="77777777" w:rsidR="00C97D02" w:rsidRPr="009D7827" w:rsidRDefault="00C97D02" w:rsidP="00C97D02">
      <w:pPr>
        <w:autoSpaceDE w:val="0"/>
        <w:autoSpaceDN w:val="0"/>
        <w:adjustRightInd w:val="0"/>
        <w:spacing w:after="0" w:line="240" w:lineRule="auto"/>
        <w:rPr>
          <w:rFonts w:ascii="Times New Roman" w:eastAsia="Times New Roman" w:hAnsi="Times New Roman" w:cs="Times New Roman"/>
          <w:b/>
          <w:u w:val="single"/>
        </w:rPr>
      </w:pPr>
      <w:r w:rsidRPr="009D7827">
        <w:rPr>
          <w:rFonts w:ascii="Times New Roman" w:eastAsia="Times New Roman" w:hAnsi="Times New Roman" w:cs="Times New Roman"/>
          <w:b/>
          <w:u w:val="single"/>
        </w:rPr>
        <w:t>Assurances of confidentiality:</w:t>
      </w:r>
    </w:p>
    <w:p w14:paraId="5F0ED205" w14:textId="77777777" w:rsidR="00C97D02" w:rsidRPr="009D7827" w:rsidRDefault="00C97D02" w:rsidP="00C97D02">
      <w:pPr>
        <w:spacing w:after="0" w:line="240" w:lineRule="auto"/>
        <w:rPr>
          <w:rFonts w:ascii="Times New Roman" w:eastAsia="Times New Roman" w:hAnsi="Times New Roman" w:cs="Times New Roman"/>
        </w:rPr>
      </w:pPr>
    </w:p>
    <w:p w14:paraId="569BEBF9" w14:textId="77777777" w:rsidR="00C97D02" w:rsidRPr="009D7827" w:rsidRDefault="00C97D02" w:rsidP="00C97D02">
      <w:pPr>
        <w:spacing w:after="0" w:line="240" w:lineRule="auto"/>
        <w:rPr>
          <w:rFonts w:ascii="Times New Roman" w:eastAsia="Times New Roman" w:hAnsi="Times New Roman" w:cs="Times New Roman"/>
        </w:rPr>
      </w:pPr>
      <w:r w:rsidRPr="009D7827">
        <w:rPr>
          <w:rFonts w:ascii="Times New Roman" w:eastAsia="Times New Roman" w:hAnsi="Times New Roman" w:cs="Times New Roman"/>
        </w:rPr>
        <w:t>These grant solicitations do not offer applicants assurances of confidentiality.</w:t>
      </w:r>
    </w:p>
    <w:p w14:paraId="36B88759" w14:textId="77777777" w:rsidR="00C97D02" w:rsidRPr="009D7827" w:rsidRDefault="00C97D02" w:rsidP="00C97D02">
      <w:pPr>
        <w:spacing w:after="0" w:line="240" w:lineRule="auto"/>
        <w:rPr>
          <w:rFonts w:ascii="Times New Roman" w:eastAsia="Times New Roman" w:hAnsi="Times New Roman" w:cs="Times New Roman"/>
        </w:rPr>
      </w:pPr>
    </w:p>
    <w:p w14:paraId="602D3DA4" w14:textId="77777777" w:rsidR="00C97D02" w:rsidRPr="009D7827" w:rsidRDefault="00C97D02" w:rsidP="00C97D02">
      <w:pPr>
        <w:spacing w:after="0" w:line="240" w:lineRule="auto"/>
        <w:rPr>
          <w:rFonts w:ascii="Times New Roman" w:eastAsia="Times New Roman" w:hAnsi="Times New Roman" w:cs="Times New Roman"/>
          <w:b/>
          <w:u w:val="single"/>
        </w:rPr>
      </w:pPr>
      <w:r w:rsidRPr="009D7827">
        <w:rPr>
          <w:rFonts w:ascii="Times New Roman" w:eastAsia="Times New Roman" w:hAnsi="Times New Roman" w:cs="Times New Roman"/>
          <w:b/>
          <w:u w:val="single"/>
        </w:rPr>
        <w:t>Special circumstances:</w:t>
      </w:r>
    </w:p>
    <w:p w14:paraId="42A2B463" w14:textId="77777777" w:rsidR="00C97D02" w:rsidRPr="009D7827" w:rsidRDefault="00C97D02" w:rsidP="00C97D02">
      <w:pPr>
        <w:spacing w:after="0" w:line="240" w:lineRule="auto"/>
        <w:rPr>
          <w:rFonts w:ascii="Times New Roman" w:eastAsia="Times New Roman" w:hAnsi="Times New Roman" w:cs="Times New Roman"/>
        </w:rPr>
      </w:pPr>
    </w:p>
    <w:p w14:paraId="76EF24CF" w14:textId="77777777" w:rsidR="00C97D02" w:rsidRPr="009D7827" w:rsidRDefault="00C97D02" w:rsidP="00C97D02">
      <w:pPr>
        <w:spacing w:after="0" w:line="240" w:lineRule="auto"/>
        <w:rPr>
          <w:rFonts w:ascii="Times New Roman" w:eastAsia="Times New Roman" w:hAnsi="Times New Roman" w:cs="Times New Roman"/>
        </w:rPr>
      </w:pPr>
      <w:r w:rsidRPr="009D7827">
        <w:rPr>
          <w:rFonts w:ascii="Times New Roman" w:eastAsia="Times New Roman" w:hAnsi="Times New Roman" w:cs="Times New Roman"/>
        </w:rPr>
        <w:t>This FOA implicates no special circumstances.</w:t>
      </w:r>
    </w:p>
    <w:p w14:paraId="4F641A26" w14:textId="77777777" w:rsidR="00C97D02" w:rsidRPr="009D7827" w:rsidRDefault="00C97D02" w:rsidP="00C97D02">
      <w:pPr>
        <w:spacing w:after="0" w:line="240" w:lineRule="auto"/>
        <w:rPr>
          <w:rFonts w:ascii="Times New Roman" w:eastAsia="Times New Roman" w:hAnsi="Times New Roman" w:cs="Times New Roman"/>
          <w:b/>
          <w:u w:val="single"/>
        </w:rPr>
      </w:pPr>
    </w:p>
    <w:p w14:paraId="4E4C14DF" w14:textId="77777777" w:rsidR="00C97D02" w:rsidRPr="009D7827" w:rsidRDefault="00C97D02" w:rsidP="00C97D02">
      <w:pPr>
        <w:spacing w:after="0" w:line="240" w:lineRule="auto"/>
        <w:rPr>
          <w:rFonts w:ascii="Times New Roman" w:eastAsia="Times New Roman" w:hAnsi="Times New Roman" w:cs="Times New Roman"/>
          <w:b/>
          <w:u w:val="single"/>
        </w:rPr>
      </w:pPr>
      <w:r w:rsidRPr="009D7827">
        <w:rPr>
          <w:rFonts w:ascii="Times New Roman" w:eastAsia="Times New Roman" w:hAnsi="Times New Roman" w:cs="Times New Roman"/>
          <w:b/>
          <w:u w:val="single"/>
        </w:rPr>
        <w:t>Burden:</w:t>
      </w:r>
    </w:p>
    <w:p w14:paraId="57C98C85" w14:textId="77777777" w:rsidR="00C97D02" w:rsidRPr="009D7827" w:rsidRDefault="00C97D02" w:rsidP="00C97D02">
      <w:pPr>
        <w:spacing w:after="0" w:line="240" w:lineRule="auto"/>
        <w:rPr>
          <w:rFonts w:ascii="Times New Roman" w:eastAsia="Times New Roman" w:hAnsi="Times New Roman" w:cs="Times New Roman"/>
        </w:rPr>
      </w:pPr>
    </w:p>
    <w:p w14:paraId="6A20BE87" w14:textId="4D65053C" w:rsidR="00C97D02" w:rsidRPr="009D7827" w:rsidRDefault="00C97D02" w:rsidP="00C97D02">
      <w:pPr>
        <w:spacing w:after="0" w:line="240" w:lineRule="auto"/>
        <w:rPr>
          <w:rFonts w:ascii="Times New Roman" w:eastAsia="Calibri" w:hAnsi="Times New Roman" w:cs="Times New Roman"/>
        </w:rPr>
      </w:pPr>
      <w:r w:rsidRPr="009D7827">
        <w:rPr>
          <w:rFonts w:ascii="Times New Roman" w:eastAsia="Calibri" w:hAnsi="Times New Roman" w:cs="Times New Roman"/>
        </w:rPr>
        <w:t xml:space="preserve">Based on past experience, the DOL expects to receive approximately </w:t>
      </w:r>
      <w:r w:rsidR="00AE5A98" w:rsidRPr="009D7827">
        <w:rPr>
          <w:rFonts w:ascii="Times New Roman" w:eastAsia="Calibri" w:hAnsi="Times New Roman" w:cs="Times New Roman"/>
        </w:rPr>
        <w:t>10</w:t>
      </w:r>
      <w:r w:rsidR="00E023D7" w:rsidRPr="009D7827">
        <w:rPr>
          <w:rFonts w:ascii="Times New Roman" w:eastAsia="Calibri" w:hAnsi="Times New Roman" w:cs="Times New Roman"/>
        </w:rPr>
        <w:t>0</w:t>
      </w:r>
      <w:r w:rsidR="004F4ED0" w:rsidRPr="009D7827">
        <w:rPr>
          <w:rFonts w:ascii="Times New Roman" w:eastAsia="Calibri" w:hAnsi="Times New Roman" w:cs="Times New Roman"/>
        </w:rPr>
        <w:t xml:space="preserve"> </w:t>
      </w:r>
      <w:r w:rsidRPr="009D7827">
        <w:rPr>
          <w:rFonts w:ascii="Times New Roman" w:eastAsia="Calibri" w:hAnsi="Times New Roman" w:cs="Times New Roman"/>
        </w:rPr>
        <w:t>applications from a</w:t>
      </w:r>
      <w:r w:rsidR="00C0692E" w:rsidRPr="009D7827">
        <w:rPr>
          <w:rFonts w:ascii="Times New Roman" w:eastAsia="Calibri" w:hAnsi="Times New Roman" w:cs="Times New Roman"/>
        </w:rPr>
        <w:t>n equal number of respondents. </w:t>
      </w:r>
      <w:r w:rsidRPr="009D7827">
        <w:rPr>
          <w:rFonts w:ascii="Times New Roman" w:eastAsia="Calibri" w:hAnsi="Times New Roman" w:cs="Times New Roman"/>
        </w:rPr>
        <w:t xml:space="preserve">The ETA estimates public reporting burden for the information collection to average </w:t>
      </w:r>
      <w:r w:rsidR="00C56380" w:rsidRPr="009D7827">
        <w:rPr>
          <w:rFonts w:ascii="Times New Roman" w:eastAsia="Calibri" w:hAnsi="Times New Roman" w:cs="Times New Roman"/>
        </w:rPr>
        <w:t>20</w:t>
      </w:r>
      <w:r w:rsidRPr="009D7827">
        <w:rPr>
          <w:rFonts w:ascii="Times New Roman" w:eastAsia="Calibri" w:hAnsi="Times New Roman" w:cs="Times New Roman"/>
        </w:rPr>
        <w:t xml:space="preserve"> hours per response for reviewing instructions, searching existing data sources, gathering and maintaining needed data, and completing and reviewing the collection of information.</w:t>
      </w:r>
    </w:p>
    <w:p w14:paraId="053A36AF" w14:textId="77777777" w:rsidR="00C97D02" w:rsidRPr="009D7827" w:rsidRDefault="00C97D02" w:rsidP="00C97D02">
      <w:pPr>
        <w:spacing w:after="0" w:line="240" w:lineRule="auto"/>
        <w:rPr>
          <w:rFonts w:ascii="Times New Roman" w:eastAsia="Calibri" w:hAnsi="Times New Roman" w:cs="Times New Roman"/>
        </w:rPr>
      </w:pPr>
    </w:p>
    <w:p w14:paraId="255091CC" w14:textId="0BD626BF" w:rsidR="00C97D02" w:rsidRPr="00466209" w:rsidRDefault="00AE5A98" w:rsidP="00C97D02">
      <w:pPr>
        <w:spacing w:after="0" w:line="240" w:lineRule="auto"/>
        <w:rPr>
          <w:rFonts w:ascii="Times New Roman" w:eastAsia="Calibri" w:hAnsi="Times New Roman" w:cs="Times New Roman"/>
          <w:color w:val="000000"/>
        </w:rPr>
      </w:pPr>
      <w:r w:rsidRPr="009D7827">
        <w:rPr>
          <w:rFonts w:ascii="Times New Roman" w:eastAsia="Calibri" w:hAnsi="Times New Roman" w:cs="Times New Roman"/>
        </w:rPr>
        <w:t>100</w:t>
      </w:r>
      <w:r w:rsidR="00C97D02" w:rsidRPr="009D7827">
        <w:rPr>
          <w:rFonts w:ascii="Times New Roman" w:eastAsia="Calibri" w:hAnsi="Times New Roman" w:cs="Times New Roman"/>
        </w:rPr>
        <w:t xml:space="preserve"> applications x </w:t>
      </w:r>
      <w:r w:rsidR="00C54AA8" w:rsidRPr="009D7827">
        <w:rPr>
          <w:rFonts w:ascii="Times New Roman" w:eastAsia="Calibri" w:hAnsi="Times New Roman" w:cs="Times New Roman"/>
        </w:rPr>
        <w:t>20</w:t>
      </w:r>
      <w:r w:rsidR="00C97D02" w:rsidRPr="009D7827">
        <w:rPr>
          <w:rFonts w:ascii="Times New Roman" w:eastAsia="Calibri" w:hAnsi="Times New Roman" w:cs="Times New Roman"/>
        </w:rPr>
        <w:t xml:space="preserve"> </w:t>
      </w:r>
      <w:r w:rsidR="00C97D02" w:rsidRPr="00466209">
        <w:rPr>
          <w:rFonts w:ascii="Times New Roman" w:eastAsia="Calibri" w:hAnsi="Times New Roman" w:cs="Times New Roman"/>
          <w:color w:val="000000"/>
        </w:rPr>
        <w:t xml:space="preserve">hours = </w:t>
      </w:r>
      <w:r>
        <w:rPr>
          <w:rFonts w:ascii="Times New Roman" w:eastAsia="Calibri" w:hAnsi="Times New Roman" w:cs="Times New Roman"/>
          <w:color w:val="000000"/>
        </w:rPr>
        <w:t>2</w:t>
      </w:r>
      <w:r w:rsidR="00790EB1">
        <w:rPr>
          <w:rFonts w:ascii="Times New Roman" w:eastAsia="Calibri" w:hAnsi="Times New Roman" w:cs="Times New Roman"/>
          <w:color w:val="000000"/>
        </w:rPr>
        <w:t>0</w:t>
      </w:r>
      <w:r w:rsidR="00642198">
        <w:rPr>
          <w:rFonts w:ascii="Times New Roman" w:eastAsia="Calibri" w:hAnsi="Times New Roman" w:cs="Times New Roman"/>
          <w:color w:val="000000"/>
        </w:rPr>
        <w:t>00</w:t>
      </w:r>
      <w:r w:rsidR="00C97D02" w:rsidRPr="00466209">
        <w:rPr>
          <w:rFonts w:ascii="Times New Roman" w:eastAsia="Calibri" w:hAnsi="Times New Roman" w:cs="Times New Roman"/>
          <w:color w:val="000000"/>
        </w:rPr>
        <w:t xml:space="preserve"> hours.</w:t>
      </w:r>
    </w:p>
    <w:p w14:paraId="1EF5F7C2" w14:textId="77777777" w:rsidR="00C97D02" w:rsidRPr="00466209" w:rsidRDefault="00C97D02" w:rsidP="00C97D02">
      <w:pPr>
        <w:spacing w:after="0" w:line="240" w:lineRule="auto"/>
        <w:rPr>
          <w:rFonts w:ascii="Times New Roman" w:eastAsia="Calibri" w:hAnsi="Times New Roman" w:cs="Times New Roman"/>
          <w:color w:val="000000"/>
        </w:rPr>
      </w:pPr>
    </w:p>
    <w:p w14:paraId="5D2E8D3D" w14:textId="39A328C8" w:rsidR="00466209" w:rsidRPr="00466209" w:rsidRDefault="00466209" w:rsidP="00466209">
      <w:pPr>
        <w:spacing w:after="0" w:line="240" w:lineRule="auto"/>
        <w:rPr>
          <w:rFonts w:ascii="Calibri" w:eastAsia="Calibri" w:hAnsi="Calibri" w:cs="Times New Roman"/>
          <w:color w:val="1F497D"/>
        </w:rPr>
      </w:pPr>
      <w:r w:rsidRPr="00466209">
        <w:rPr>
          <w:rFonts w:ascii="Times New Roman" w:eastAsia="Calibri" w:hAnsi="Times New Roman" w:cs="Times New Roman"/>
          <w:color w:val="000000"/>
        </w:rPr>
        <w:t>The DOL has increased the average hourly earnings in the professional and business services industry to $</w:t>
      </w:r>
      <w:r w:rsidR="00026A25">
        <w:rPr>
          <w:rFonts w:ascii="Times New Roman" w:eastAsia="Calibri" w:hAnsi="Times New Roman" w:cs="Times New Roman"/>
          <w:color w:val="000000"/>
        </w:rPr>
        <w:t>33.</w:t>
      </w:r>
      <w:r w:rsidR="003E6555">
        <w:rPr>
          <w:rFonts w:ascii="Times New Roman" w:eastAsia="Calibri" w:hAnsi="Times New Roman" w:cs="Times New Roman"/>
          <w:color w:val="000000"/>
        </w:rPr>
        <w:t>46</w:t>
      </w:r>
      <w:r w:rsidRPr="00466209">
        <w:rPr>
          <w:rFonts w:ascii="Times New Roman" w:eastAsia="Calibri" w:hAnsi="Times New Roman" w:cs="Times New Roman"/>
          <w:color w:val="000000"/>
        </w:rPr>
        <w:t xml:space="preserve"> per hour to monetize this burden.  See The Employment Situation—</w:t>
      </w:r>
      <w:r w:rsidR="00026A25">
        <w:rPr>
          <w:rFonts w:ascii="Times New Roman" w:eastAsia="Calibri" w:hAnsi="Times New Roman" w:cs="Times New Roman"/>
          <w:color w:val="000000"/>
        </w:rPr>
        <w:t>July 2019</w:t>
      </w:r>
      <w:r w:rsidRPr="00466209">
        <w:rPr>
          <w:rFonts w:ascii="Times New Roman" w:eastAsia="Calibri" w:hAnsi="Times New Roman" w:cs="Times New Roman"/>
          <w:color w:val="000000"/>
        </w:rPr>
        <w:t xml:space="preserve">, DOL, Bureau of Labor Statistics, </w:t>
      </w:r>
      <w:hyperlink r:id="rId11" w:history="1">
        <w:r w:rsidR="00A37128" w:rsidRPr="00AC7749">
          <w:rPr>
            <w:rStyle w:val="Hyperlink"/>
            <w:rFonts w:ascii="Times New Roman" w:eastAsia="Calibri" w:hAnsi="Times New Roman" w:cs="Times New Roman"/>
          </w:rPr>
          <w:t>https://www.bls.gov/news.release/pdf/empsit.pdf</w:t>
        </w:r>
      </w:hyperlink>
      <w:r w:rsidR="00A37128">
        <w:rPr>
          <w:rStyle w:val="Hyperlink"/>
          <w:rFonts w:ascii="Times New Roman" w:eastAsia="Calibri" w:hAnsi="Times New Roman" w:cs="Times New Roman"/>
        </w:rPr>
        <w:t xml:space="preserve"> </w:t>
      </w:r>
      <w:r w:rsidRPr="00466209">
        <w:rPr>
          <w:rFonts w:ascii="Times New Roman" w:eastAsia="Calibri" w:hAnsi="Times New Roman" w:cs="Times New Roman"/>
          <w:color w:val="000000"/>
        </w:rPr>
        <w:t xml:space="preserve"> at page 3</w:t>
      </w:r>
      <w:r w:rsidR="00E023D7">
        <w:rPr>
          <w:rFonts w:ascii="Times New Roman" w:eastAsia="Calibri" w:hAnsi="Times New Roman" w:cs="Times New Roman"/>
          <w:color w:val="000000"/>
        </w:rPr>
        <w:t>3</w:t>
      </w:r>
      <w:r w:rsidRPr="00466209">
        <w:rPr>
          <w:rFonts w:ascii="Times New Roman" w:eastAsia="Calibri" w:hAnsi="Times New Roman" w:cs="Times New Roman"/>
          <w:color w:val="000000"/>
        </w:rPr>
        <w:t>.</w:t>
      </w:r>
    </w:p>
    <w:p w14:paraId="5DED4D1A" w14:textId="77777777" w:rsidR="00C97D02" w:rsidRPr="00466209" w:rsidRDefault="00C97D02" w:rsidP="00C97D02">
      <w:pPr>
        <w:spacing w:after="0" w:line="240" w:lineRule="auto"/>
        <w:rPr>
          <w:rFonts w:ascii="Times New Roman" w:eastAsia="Calibri" w:hAnsi="Times New Roman" w:cs="Times New Roman"/>
          <w:color w:val="000000"/>
        </w:rPr>
      </w:pPr>
    </w:p>
    <w:p w14:paraId="73B3C685" w14:textId="350BB66B" w:rsidR="00C97D02" w:rsidRPr="00466209" w:rsidRDefault="00AE5A98" w:rsidP="00C97D02">
      <w:pPr>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2</w:t>
      </w:r>
      <w:r w:rsidR="00790EB1">
        <w:rPr>
          <w:rFonts w:ascii="Times New Roman" w:eastAsia="Calibri" w:hAnsi="Times New Roman" w:cs="Times New Roman"/>
          <w:color w:val="000000"/>
        </w:rPr>
        <w:t>0</w:t>
      </w:r>
      <w:r w:rsidR="00642198">
        <w:rPr>
          <w:rFonts w:ascii="Times New Roman" w:eastAsia="Calibri" w:hAnsi="Times New Roman" w:cs="Times New Roman"/>
          <w:color w:val="000000"/>
        </w:rPr>
        <w:t>00</w:t>
      </w:r>
      <w:r w:rsidR="00C97D02" w:rsidRPr="00466209">
        <w:rPr>
          <w:rFonts w:ascii="Times New Roman" w:eastAsia="Calibri" w:hAnsi="Times New Roman" w:cs="Times New Roman"/>
          <w:color w:val="000000"/>
        </w:rPr>
        <w:t xml:space="preserve"> hours x $</w:t>
      </w:r>
      <w:r w:rsidR="00466209">
        <w:rPr>
          <w:rFonts w:ascii="Times New Roman" w:eastAsia="Calibri" w:hAnsi="Times New Roman" w:cs="Times New Roman"/>
          <w:color w:val="000000"/>
        </w:rPr>
        <w:t>3</w:t>
      </w:r>
      <w:r w:rsidR="00026A25">
        <w:rPr>
          <w:rFonts w:ascii="Times New Roman" w:eastAsia="Calibri" w:hAnsi="Times New Roman" w:cs="Times New Roman"/>
          <w:color w:val="000000"/>
        </w:rPr>
        <w:t>3.</w:t>
      </w:r>
      <w:r w:rsidR="003E6555">
        <w:rPr>
          <w:rFonts w:ascii="Times New Roman" w:eastAsia="Calibri" w:hAnsi="Times New Roman" w:cs="Times New Roman"/>
          <w:color w:val="000000"/>
        </w:rPr>
        <w:t>46</w:t>
      </w:r>
      <w:r w:rsidR="00C97D02" w:rsidRPr="00466209">
        <w:rPr>
          <w:rFonts w:ascii="Times New Roman" w:eastAsia="Calibri" w:hAnsi="Times New Roman" w:cs="Times New Roman"/>
          <w:color w:val="000000"/>
        </w:rPr>
        <w:t xml:space="preserve"> = $</w:t>
      </w:r>
      <w:r w:rsidR="004842AF">
        <w:rPr>
          <w:rFonts w:ascii="Times New Roman" w:eastAsia="Calibri" w:hAnsi="Times New Roman" w:cs="Times New Roman"/>
          <w:color w:val="000000"/>
        </w:rPr>
        <w:t>6</w:t>
      </w:r>
      <w:r w:rsidR="001D4CBB">
        <w:rPr>
          <w:rFonts w:ascii="Times New Roman" w:eastAsia="Calibri" w:hAnsi="Times New Roman" w:cs="Times New Roman"/>
          <w:color w:val="000000"/>
        </w:rPr>
        <w:t>6</w:t>
      </w:r>
      <w:r w:rsidR="004842AF">
        <w:rPr>
          <w:rFonts w:ascii="Times New Roman" w:eastAsia="Calibri" w:hAnsi="Times New Roman" w:cs="Times New Roman"/>
          <w:color w:val="000000"/>
        </w:rPr>
        <w:t>,</w:t>
      </w:r>
      <w:r w:rsidR="001D4CBB">
        <w:rPr>
          <w:rFonts w:ascii="Times New Roman" w:eastAsia="Calibri" w:hAnsi="Times New Roman" w:cs="Times New Roman"/>
          <w:color w:val="000000"/>
        </w:rPr>
        <w:t>920</w:t>
      </w:r>
    </w:p>
    <w:p w14:paraId="52D3C19E" w14:textId="77777777" w:rsidR="00C97D02" w:rsidRPr="00466209" w:rsidRDefault="00C97D02" w:rsidP="00C97D02">
      <w:pPr>
        <w:spacing w:after="0" w:line="240" w:lineRule="auto"/>
        <w:rPr>
          <w:rFonts w:ascii="Times New Roman" w:eastAsia="Times New Roman" w:hAnsi="Times New Roman" w:cs="Times New Roman"/>
          <w:color w:val="000000"/>
        </w:rPr>
      </w:pPr>
    </w:p>
    <w:p w14:paraId="20B7BA6B" w14:textId="77777777" w:rsidR="00C97D02" w:rsidRPr="009D7827" w:rsidRDefault="00C97D02" w:rsidP="00C97D02">
      <w:pPr>
        <w:spacing w:after="0" w:line="240" w:lineRule="auto"/>
        <w:rPr>
          <w:rFonts w:ascii="Times New Roman" w:eastAsia="Times New Roman" w:hAnsi="Times New Roman" w:cs="Times New Roman"/>
        </w:rPr>
      </w:pPr>
      <w:r w:rsidRPr="00466209">
        <w:rPr>
          <w:rFonts w:ascii="Times New Roman" w:eastAsia="Times New Roman" w:hAnsi="Times New Roman" w:cs="Times New Roman"/>
          <w:color w:val="000000"/>
        </w:rPr>
        <w:t xml:space="preserve">The DOL associates no other burden costs with this information collection.  In addition to the application, each grantee will be required to submit quarterly financial, performance, and narrative reports to the ETA.  Those information collection </w:t>
      </w:r>
      <w:r w:rsidRPr="009D7827">
        <w:rPr>
          <w:rFonts w:ascii="Times New Roman" w:eastAsia="Times New Roman" w:hAnsi="Times New Roman" w:cs="Times New Roman"/>
        </w:rPr>
        <w:t>requirements will be cleared under a separate control number.</w:t>
      </w:r>
    </w:p>
    <w:p w14:paraId="4377638D" w14:textId="77777777" w:rsidR="00C97D02" w:rsidRPr="009D7827" w:rsidRDefault="00C97D02" w:rsidP="00C97D02">
      <w:pPr>
        <w:spacing w:after="0" w:line="240" w:lineRule="auto"/>
        <w:rPr>
          <w:rFonts w:ascii="Times New Roman" w:eastAsia="Times New Roman" w:hAnsi="Times New Roman" w:cs="Times New Roman"/>
        </w:rPr>
      </w:pPr>
    </w:p>
    <w:p w14:paraId="5632F967" w14:textId="0F61C88E" w:rsidR="00C97D02" w:rsidRPr="00466209" w:rsidRDefault="00C97D02" w:rsidP="00C97D02">
      <w:pPr>
        <w:spacing w:after="0" w:line="240" w:lineRule="auto"/>
        <w:rPr>
          <w:rFonts w:ascii="Times New Roman" w:eastAsia="Times New Roman" w:hAnsi="Times New Roman" w:cs="Times New Roman"/>
          <w:i/>
          <w:color w:val="000000"/>
        </w:rPr>
      </w:pPr>
      <w:r w:rsidRPr="009D7827">
        <w:rPr>
          <w:rFonts w:ascii="Times New Roman" w:eastAsia="Times New Roman" w:hAnsi="Times New Roman" w:cs="Times New Roman"/>
          <w:i/>
        </w:rPr>
        <w:t xml:space="preserve">Total burden: </w:t>
      </w:r>
      <w:r w:rsidR="00AE5A98" w:rsidRPr="009D7827">
        <w:rPr>
          <w:rFonts w:ascii="Times New Roman" w:eastAsia="Times New Roman" w:hAnsi="Times New Roman" w:cs="Times New Roman"/>
          <w:i/>
        </w:rPr>
        <w:t>1</w:t>
      </w:r>
      <w:r w:rsidR="002F56E8" w:rsidRPr="009D7827">
        <w:rPr>
          <w:rFonts w:ascii="Times New Roman" w:eastAsia="Times New Roman" w:hAnsi="Times New Roman" w:cs="Times New Roman"/>
          <w:i/>
        </w:rPr>
        <w:t>0</w:t>
      </w:r>
      <w:r w:rsidR="00E023D7" w:rsidRPr="009D7827">
        <w:rPr>
          <w:rFonts w:ascii="Times New Roman" w:eastAsia="Times New Roman" w:hAnsi="Times New Roman" w:cs="Times New Roman"/>
          <w:i/>
        </w:rPr>
        <w:t xml:space="preserve">0 </w:t>
      </w:r>
      <w:r w:rsidRPr="009D7827">
        <w:rPr>
          <w:rFonts w:ascii="Times New Roman" w:eastAsia="Times New Roman" w:hAnsi="Times New Roman" w:cs="Times New Roman"/>
          <w:i/>
        </w:rPr>
        <w:t>respondents,</w:t>
      </w:r>
      <w:r w:rsidR="00C56380" w:rsidRPr="009D7827">
        <w:rPr>
          <w:rFonts w:ascii="Times New Roman" w:eastAsia="Times New Roman" w:hAnsi="Times New Roman" w:cs="Times New Roman"/>
          <w:i/>
        </w:rPr>
        <w:t xml:space="preserve"> </w:t>
      </w:r>
      <w:r w:rsidR="00AE5A98" w:rsidRPr="009D7827">
        <w:rPr>
          <w:rFonts w:ascii="Times New Roman" w:eastAsia="Times New Roman" w:hAnsi="Times New Roman" w:cs="Times New Roman"/>
          <w:i/>
        </w:rPr>
        <w:t>1</w:t>
      </w:r>
      <w:r w:rsidR="002F56E8" w:rsidRPr="009D7827">
        <w:rPr>
          <w:rFonts w:ascii="Times New Roman" w:eastAsia="Times New Roman" w:hAnsi="Times New Roman" w:cs="Times New Roman"/>
          <w:i/>
        </w:rPr>
        <w:t>0</w:t>
      </w:r>
      <w:r w:rsidR="00E023D7" w:rsidRPr="009D7827">
        <w:rPr>
          <w:rFonts w:ascii="Times New Roman" w:eastAsia="Times New Roman" w:hAnsi="Times New Roman" w:cs="Times New Roman"/>
          <w:i/>
        </w:rPr>
        <w:t xml:space="preserve">0 </w:t>
      </w:r>
      <w:r w:rsidRPr="009D7827">
        <w:rPr>
          <w:rFonts w:ascii="Times New Roman" w:eastAsia="Times New Roman" w:hAnsi="Times New Roman" w:cs="Times New Roman"/>
          <w:i/>
        </w:rPr>
        <w:t>responses,</w:t>
      </w:r>
      <w:r w:rsidR="00C56380" w:rsidRPr="009D7827">
        <w:rPr>
          <w:rFonts w:ascii="Times New Roman" w:eastAsia="Times New Roman" w:hAnsi="Times New Roman" w:cs="Times New Roman"/>
          <w:i/>
        </w:rPr>
        <w:t xml:space="preserve"> </w:t>
      </w:r>
      <w:r w:rsidR="00AE5A98" w:rsidRPr="009D7827">
        <w:rPr>
          <w:rFonts w:ascii="Times New Roman" w:eastAsia="Times New Roman" w:hAnsi="Times New Roman" w:cs="Times New Roman"/>
          <w:i/>
        </w:rPr>
        <w:t>2</w:t>
      </w:r>
      <w:r w:rsidR="00790EB1" w:rsidRPr="009D7827">
        <w:rPr>
          <w:rFonts w:ascii="Times New Roman" w:eastAsia="Times New Roman" w:hAnsi="Times New Roman" w:cs="Times New Roman"/>
          <w:i/>
        </w:rPr>
        <w:t>000</w:t>
      </w:r>
      <w:r w:rsidRPr="009D7827">
        <w:rPr>
          <w:rFonts w:ascii="Times New Roman" w:eastAsia="Times New Roman" w:hAnsi="Times New Roman" w:cs="Times New Roman"/>
          <w:i/>
        </w:rPr>
        <w:t xml:space="preserve"> hours, $</w:t>
      </w:r>
      <w:r w:rsidR="000306E2" w:rsidRPr="009D7827">
        <w:rPr>
          <w:rFonts w:ascii="Times New Roman" w:eastAsia="Times New Roman" w:hAnsi="Times New Roman" w:cs="Times New Roman"/>
          <w:i/>
        </w:rPr>
        <w:t>0</w:t>
      </w:r>
      <w:r w:rsidRPr="009D7827">
        <w:rPr>
          <w:rFonts w:ascii="Times New Roman" w:eastAsia="Times New Roman" w:hAnsi="Times New Roman" w:cs="Times New Roman"/>
          <w:i/>
        </w:rPr>
        <w:t xml:space="preserve"> </w:t>
      </w:r>
      <w:r w:rsidRPr="00466209">
        <w:rPr>
          <w:rFonts w:ascii="Times New Roman" w:eastAsia="Times New Roman" w:hAnsi="Times New Roman" w:cs="Times New Roman"/>
          <w:i/>
          <w:color w:val="000000"/>
        </w:rPr>
        <w:t>other cost burden.</w:t>
      </w:r>
    </w:p>
    <w:p w14:paraId="7C96D4CF" w14:textId="77777777" w:rsidR="00C97D02" w:rsidRPr="00466209" w:rsidRDefault="00C97D02" w:rsidP="00C97D02">
      <w:pPr>
        <w:spacing w:after="0" w:line="240" w:lineRule="auto"/>
        <w:rPr>
          <w:rFonts w:ascii="Times New Roman" w:eastAsia="Times New Roman" w:hAnsi="Times New Roman" w:cs="Times New Roman"/>
          <w:b/>
          <w:color w:val="000000"/>
          <w:u w:val="single"/>
        </w:rPr>
      </w:pPr>
    </w:p>
    <w:p w14:paraId="416EF4B9" w14:textId="77777777" w:rsidR="00C97D02" w:rsidRPr="00466209" w:rsidRDefault="00C97D02" w:rsidP="00C97D02">
      <w:pPr>
        <w:spacing w:after="0" w:line="240" w:lineRule="auto"/>
        <w:rPr>
          <w:rFonts w:ascii="Times New Roman" w:eastAsia="Times New Roman" w:hAnsi="Times New Roman" w:cs="Times New Roman"/>
          <w:b/>
          <w:i/>
          <w:color w:val="000000"/>
          <w:u w:val="single"/>
        </w:rPr>
      </w:pPr>
      <w:r w:rsidRPr="00466209">
        <w:rPr>
          <w:rFonts w:ascii="Times New Roman" w:eastAsia="Times New Roman" w:hAnsi="Times New Roman" w:cs="Times New Roman"/>
          <w:b/>
          <w:i/>
          <w:color w:val="000000"/>
          <w:u w:val="single"/>
        </w:rPr>
        <w:t>Supplemental Supporting Statement B: Statistical Methods</w:t>
      </w:r>
    </w:p>
    <w:p w14:paraId="58AF29DC" w14:textId="77777777" w:rsidR="00C97D02" w:rsidRPr="00466209" w:rsidRDefault="00C97D02" w:rsidP="00C97D02">
      <w:pPr>
        <w:spacing w:after="0" w:line="240" w:lineRule="auto"/>
        <w:rPr>
          <w:rFonts w:ascii="Times New Roman" w:eastAsia="Times New Roman" w:hAnsi="Times New Roman" w:cs="Times New Roman"/>
          <w:color w:val="000000"/>
        </w:rPr>
      </w:pPr>
    </w:p>
    <w:p w14:paraId="52E5AFCB" w14:textId="77777777" w:rsidR="00033FCA" w:rsidRPr="00466209" w:rsidRDefault="00C97D02" w:rsidP="00A86BFB">
      <w:pPr>
        <w:spacing w:after="0" w:line="240" w:lineRule="auto"/>
        <w:rPr>
          <w:rFonts w:ascii="Times New Roman" w:hAnsi="Times New Roman" w:cs="Times New Roman"/>
        </w:rPr>
      </w:pPr>
      <w:r w:rsidRPr="00466209">
        <w:rPr>
          <w:rFonts w:ascii="Times New Roman" w:eastAsia="Times New Roman" w:hAnsi="Times New Roman" w:cs="Times New Roman"/>
          <w:color w:val="000000"/>
        </w:rPr>
        <w:t>This information collection does not employ statistical methods.</w:t>
      </w:r>
    </w:p>
    <w:sectPr w:rsidR="00033FCA" w:rsidRPr="0046620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93F74" w14:textId="77777777" w:rsidR="0087702E" w:rsidRDefault="0087702E" w:rsidP="00C97D02">
      <w:pPr>
        <w:spacing w:after="0" w:line="240" w:lineRule="auto"/>
      </w:pPr>
      <w:r>
        <w:separator/>
      </w:r>
    </w:p>
  </w:endnote>
  <w:endnote w:type="continuationSeparator" w:id="0">
    <w:p w14:paraId="1CC632A9" w14:textId="77777777" w:rsidR="0087702E" w:rsidRDefault="0087702E"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14:paraId="759DFF6A" w14:textId="1BE00EE4" w:rsidR="0051557A" w:rsidRDefault="0051557A">
        <w:pPr>
          <w:pStyle w:val="Footer"/>
          <w:jc w:val="center"/>
        </w:pPr>
        <w:r>
          <w:fldChar w:fldCharType="begin"/>
        </w:r>
        <w:r>
          <w:instrText xml:space="preserve"> PAGE   \* MERGEFORMAT </w:instrText>
        </w:r>
        <w:r>
          <w:fldChar w:fldCharType="separate"/>
        </w:r>
        <w:r w:rsidR="00AA5112">
          <w:rPr>
            <w:noProof/>
          </w:rPr>
          <w:t>1</w:t>
        </w:r>
        <w:r>
          <w:rPr>
            <w:noProof/>
          </w:rPr>
          <w:fldChar w:fldCharType="end"/>
        </w:r>
      </w:p>
    </w:sdtContent>
  </w:sdt>
  <w:p w14:paraId="495C6A49" w14:textId="77777777"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6A5416" w14:textId="77777777" w:rsidR="0087702E" w:rsidRDefault="0087702E" w:rsidP="00C97D02">
      <w:pPr>
        <w:spacing w:after="0" w:line="240" w:lineRule="auto"/>
      </w:pPr>
      <w:r>
        <w:separator/>
      </w:r>
    </w:p>
  </w:footnote>
  <w:footnote w:type="continuationSeparator" w:id="0">
    <w:p w14:paraId="6F29F275" w14:textId="77777777" w:rsidR="0087702E" w:rsidRDefault="0087702E"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5C36"/>
    <w:rsid w:val="00026A25"/>
    <w:rsid w:val="000278E8"/>
    <w:rsid w:val="000306E2"/>
    <w:rsid w:val="00033FCA"/>
    <w:rsid w:val="00036333"/>
    <w:rsid w:val="00070B66"/>
    <w:rsid w:val="00075A18"/>
    <w:rsid w:val="00097E0B"/>
    <w:rsid w:val="000A4A71"/>
    <w:rsid w:val="000B3754"/>
    <w:rsid w:val="000C2781"/>
    <w:rsid w:val="000D0095"/>
    <w:rsid w:val="000D13C4"/>
    <w:rsid w:val="000D77F4"/>
    <w:rsid w:val="000E36A8"/>
    <w:rsid w:val="000E6452"/>
    <w:rsid w:val="000F0F36"/>
    <w:rsid w:val="001127D3"/>
    <w:rsid w:val="001142E2"/>
    <w:rsid w:val="0011723F"/>
    <w:rsid w:val="00126CC3"/>
    <w:rsid w:val="00131D17"/>
    <w:rsid w:val="001331CD"/>
    <w:rsid w:val="0013526F"/>
    <w:rsid w:val="00137E47"/>
    <w:rsid w:val="00143CF1"/>
    <w:rsid w:val="0015387B"/>
    <w:rsid w:val="00160139"/>
    <w:rsid w:val="00163140"/>
    <w:rsid w:val="00167E40"/>
    <w:rsid w:val="00177C8C"/>
    <w:rsid w:val="00191499"/>
    <w:rsid w:val="001B6554"/>
    <w:rsid w:val="001C4718"/>
    <w:rsid w:val="001C5076"/>
    <w:rsid w:val="001D1F85"/>
    <w:rsid w:val="001D4CBB"/>
    <w:rsid w:val="001F3A5D"/>
    <w:rsid w:val="00212261"/>
    <w:rsid w:val="002220B6"/>
    <w:rsid w:val="0024004B"/>
    <w:rsid w:val="002460A8"/>
    <w:rsid w:val="002468BA"/>
    <w:rsid w:val="002528B1"/>
    <w:rsid w:val="0025433B"/>
    <w:rsid w:val="00270D50"/>
    <w:rsid w:val="00276526"/>
    <w:rsid w:val="00280875"/>
    <w:rsid w:val="00282C52"/>
    <w:rsid w:val="00283359"/>
    <w:rsid w:val="00285E2D"/>
    <w:rsid w:val="00296DDE"/>
    <w:rsid w:val="002B3647"/>
    <w:rsid w:val="002B3B0A"/>
    <w:rsid w:val="002B6BCF"/>
    <w:rsid w:val="002C4631"/>
    <w:rsid w:val="002D1A6C"/>
    <w:rsid w:val="002D1EC1"/>
    <w:rsid w:val="002D2A16"/>
    <w:rsid w:val="002E0740"/>
    <w:rsid w:val="002F56E8"/>
    <w:rsid w:val="003021B4"/>
    <w:rsid w:val="00320E77"/>
    <w:rsid w:val="00323359"/>
    <w:rsid w:val="0033099A"/>
    <w:rsid w:val="00332BE0"/>
    <w:rsid w:val="00357969"/>
    <w:rsid w:val="003664FB"/>
    <w:rsid w:val="003719E6"/>
    <w:rsid w:val="00385150"/>
    <w:rsid w:val="003B58AD"/>
    <w:rsid w:val="003C249A"/>
    <w:rsid w:val="003E6555"/>
    <w:rsid w:val="003E7305"/>
    <w:rsid w:val="003F6226"/>
    <w:rsid w:val="00410C78"/>
    <w:rsid w:val="0041166A"/>
    <w:rsid w:val="00413F86"/>
    <w:rsid w:val="0043347F"/>
    <w:rsid w:val="00466209"/>
    <w:rsid w:val="00471D5F"/>
    <w:rsid w:val="00474DAA"/>
    <w:rsid w:val="00474E78"/>
    <w:rsid w:val="004842AF"/>
    <w:rsid w:val="0048667B"/>
    <w:rsid w:val="004A0700"/>
    <w:rsid w:val="004B0703"/>
    <w:rsid w:val="004B40ED"/>
    <w:rsid w:val="004B5DD0"/>
    <w:rsid w:val="004B760D"/>
    <w:rsid w:val="004C3B63"/>
    <w:rsid w:val="004D3316"/>
    <w:rsid w:val="004D3BA3"/>
    <w:rsid w:val="004E5D51"/>
    <w:rsid w:val="004F00C4"/>
    <w:rsid w:val="004F4A2C"/>
    <w:rsid w:val="004F4ED0"/>
    <w:rsid w:val="0051557A"/>
    <w:rsid w:val="00515A5A"/>
    <w:rsid w:val="00517E2A"/>
    <w:rsid w:val="00526F79"/>
    <w:rsid w:val="0056684F"/>
    <w:rsid w:val="00570FAD"/>
    <w:rsid w:val="00587656"/>
    <w:rsid w:val="0059216E"/>
    <w:rsid w:val="005934FD"/>
    <w:rsid w:val="005A34DF"/>
    <w:rsid w:val="005B3BCB"/>
    <w:rsid w:val="005B667B"/>
    <w:rsid w:val="005C4DA7"/>
    <w:rsid w:val="005E1A27"/>
    <w:rsid w:val="005E3012"/>
    <w:rsid w:val="005E6A31"/>
    <w:rsid w:val="005E79E9"/>
    <w:rsid w:val="005F078E"/>
    <w:rsid w:val="005F42D6"/>
    <w:rsid w:val="005F66E6"/>
    <w:rsid w:val="00607EE3"/>
    <w:rsid w:val="00612771"/>
    <w:rsid w:val="00624753"/>
    <w:rsid w:val="00625F8E"/>
    <w:rsid w:val="00626D51"/>
    <w:rsid w:val="006334E6"/>
    <w:rsid w:val="00633991"/>
    <w:rsid w:val="00642198"/>
    <w:rsid w:val="00655DEC"/>
    <w:rsid w:val="00657BAA"/>
    <w:rsid w:val="00661610"/>
    <w:rsid w:val="00664A39"/>
    <w:rsid w:val="00665A0C"/>
    <w:rsid w:val="006808AA"/>
    <w:rsid w:val="0068481D"/>
    <w:rsid w:val="006934C7"/>
    <w:rsid w:val="006A6570"/>
    <w:rsid w:val="006B6049"/>
    <w:rsid w:val="006E613D"/>
    <w:rsid w:val="006F3105"/>
    <w:rsid w:val="00715E3B"/>
    <w:rsid w:val="00753F76"/>
    <w:rsid w:val="00754A05"/>
    <w:rsid w:val="00760C81"/>
    <w:rsid w:val="00763E01"/>
    <w:rsid w:val="00776DE2"/>
    <w:rsid w:val="0078096C"/>
    <w:rsid w:val="00784C72"/>
    <w:rsid w:val="00790EB1"/>
    <w:rsid w:val="007930CE"/>
    <w:rsid w:val="007A74DE"/>
    <w:rsid w:val="007A75C7"/>
    <w:rsid w:val="007B283B"/>
    <w:rsid w:val="007B4E6B"/>
    <w:rsid w:val="007B76A8"/>
    <w:rsid w:val="007C0285"/>
    <w:rsid w:val="007D756D"/>
    <w:rsid w:val="007E610A"/>
    <w:rsid w:val="007F013B"/>
    <w:rsid w:val="00804B47"/>
    <w:rsid w:val="00810904"/>
    <w:rsid w:val="008218BF"/>
    <w:rsid w:val="008315E9"/>
    <w:rsid w:val="00834C46"/>
    <w:rsid w:val="00851DB7"/>
    <w:rsid w:val="00851FB8"/>
    <w:rsid w:val="00861225"/>
    <w:rsid w:val="0087015F"/>
    <w:rsid w:val="008766D8"/>
    <w:rsid w:val="0087702E"/>
    <w:rsid w:val="00897D92"/>
    <w:rsid w:val="008A44E6"/>
    <w:rsid w:val="008B3547"/>
    <w:rsid w:val="008D0FA9"/>
    <w:rsid w:val="008D179A"/>
    <w:rsid w:val="008D573D"/>
    <w:rsid w:val="008E0B8D"/>
    <w:rsid w:val="008F4B48"/>
    <w:rsid w:val="008F78FE"/>
    <w:rsid w:val="00913352"/>
    <w:rsid w:val="00926998"/>
    <w:rsid w:val="00931874"/>
    <w:rsid w:val="00931D79"/>
    <w:rsid w:val="009335C1"/>
    <w:rsid w:val="00934F65"/>
    <w:rsid w:val="00956787"/>
    <w:rsid w:val="0095680F"/>
    <w:rsid w:val="0095681D"/>
    <w:rsid w:val="00966104"/>
    <w:rsid w:val="00966A2D"/>
    <w:rsid w:val="00981A55"/>
    <w:rsid w:val="009870B0"/>
    <w:rsid w:val="00991433"/>
    <w:rsid w:val="009A5F3A"/>
    <w:rsid w:val="009C31A7"/>
    <w:rsid w:val="009D7827"/>
    <w:rsid w:val="009F00EE"/>
    <w:rsid w:val="00A02531"/>
    <w:rsid w:val="00A249EF"/>
    <w:rsid w:val="00A25ACC"/>
    <w:rsid w:val="00A37128"/>
    <w:rsid w:val="00A42B24"/>
    <w:rsid w:val="00A50716"/>
    <w:rsid w:val="00A53500"/>
    <w:rsid w:val="00A55AFF"/>
    <w:rsid w:val="00A63065"/>
    <w:rsid w:val="00A649BB"/>
    <w:rsid w:val="00A86BFB"/>
    <w:rsid w:val="00AA4FB1"/>
    <w:rsid w:val="00AA5112"/>
    <w:rsid w:val="00AC1A3D"/>
    <w:rsid w:val="00AC23D5"/>
    <w:rsid w:val="00AC6E24"/>
    <w:rsid w:val="00AE2A86"/>
    <w:rsid w:val="00AE5A98"/>
    <w:rsid w:val="00AE691D"/>
    <w:rsid w:val="00AF084F"/>
    <w:rsid w:val="00B0326F"/>
    <w:rsid w:val="00B12344"/>
    <w:rsid w:val="00B137D2"/>
    <w:rsid w:val="00B452CC"/>
    <w:rsid w:val="00B56961"/>
    <w:rsid w:val="00B618CB"/>
    <w:rsid w:val="00B64DB5"/>
    <w:rsid w:val="00B67BC2"/>
    <w:rsid w:val="00B72F5F"/>
    <w:rsid w:val="00B83CAA"/>
    <w:rsid w:val="00B863FF"/>
    <w:rsid w:val="00BA1A09"/>
    <w:rsid w:val="00BA1C80"/>
    <w:rsid w:val="00BA1DE7"/>
    <w:rsid w:val="00BB0424"/>
    <w:rsid w:val="00BC0E37"/>
    <w:rsid w:val="00BC0F38"/>
    <w:rsid w:val="00BC642A"/>
    <w:rsid w:val="00BE355C"/>
    <w:rsid w:val="00BF0768"/>
    <w:rsid w:val="00BF4378"/>
    <w:rsid w:val="00BF792F"/>
    <w:rsid w:val="00C048EC"/>
    <w:rsid w:val="00C0692E"/>
    <w:rsid w:val="00C11B68"/>
    <w:rsid w:val="00C34505"/>
    <w:rsid w:val="00C540E4"/>
    <w:rsid w:val="00C54AA8"/>
    <w:rsid w:val="00C56380"/>
    <w:rsid w:val="00C57116"/>
    <w:rsid w:val="00C80CCE"/>
    <w:rsid w:val="00C97D02"/>
    <w:rsid w:val="00CA2146"/>
    <w:rsid w:val="00CA586F"/>
    <w:rsid w:val="00CD079A"/>
    <w:rsid w:val="00CD6CE4"/>
    <w:rsid w:val="00CF7E6B"/>
    <w:rsid w:val="00D07AF1"/>
    <w:rsid w:val="00D07F63"/>
    <w:rsid w:val="00D107B1"/>
    <w:rsid w:val="00D16E56"/>
    <w:rsid w:val="00D2022F"/>
    <w:rsid w:val="00D33C49"/>
    <w:rsid w:val="00D35E0E"/>
    <w:rsid w:val="00D464BA"/>
    <w:rsid w:val="00D47F8F"/>
    <w:rsid w:val="00D521FD"/>
    <w:rsid w:val="00D62192"/>
    <w:rsid w:val="00D623D4"/>
    <w:rsid w:val="00D63B0B"/>
    <w:rsid w:val="00D70C6D"/>
    <w:rsid w:val="00D71F8F"/>
    <w:rsid w:val="00D94816"/>
    <w:rsid w:val="00DA2F04"/>
    <w:rsid w:val="00DA7C6B"/>
    <w:rsid w:val="00DC095D"/>
    <w:rsid w:val="00DC1648"/>
    <w:rsid w:val="00DD7F4D"/>
    <w:rsid w:val="00E023D7"/>
    <w:rsid w:val="00E03DC4"/>
    <w:rsid w:val="00E216E5"/>
    <w:rsid w:val="00E235C6"/>
    <w:rsid w:val="00E242D9"/>
    <w:rsid w:val="00E31A8F"/>
    <w:rsid w:val="00E3370F"/>
    <w:rsid w:val="00E41241"/>
    <w:rsid w:val="00E45924"/>
    <w:rsid w:val="00E51C74"/>
    <w:rsid w:val="00E5450F"/>
    <w:rsid w:val="00E9234F"/>
    <w:rsid w:val="00EC62C8"/>
    <w:rsid w:val="00EC686C"/>
    <w:rsid w:val="00ED0C8E"/>
    <w:rsid w:val="00ED74FA"/>
    <w:rsid w:val="00EE1F57"/>
    <w:rsid w:val="00EF7F10"/>
    <w:rsid w:val="00F00D9B"/>
    <w:rsid w:val="00F06A76"/>
    <w:rsid w:val="00F3022A"/>
    <w:rsid w:val="00F327C3"/>
    <w:rsid w:val="00F51508"/>
    <w:rsid w:val="00F5653C"/>
    <w:rsid w:val="00F71A4D"/>
    <w:rsid w:val="00F95D02"/>
    <w:rsid w:val="00FB757B"/>
    <w:rsid w:val="00FD2AB3"/>
    <w:rsid w:val="00FE7030"/>
    <w:rsid w:val="00FF2B98"/>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7D02"/>
    <w:rPr>
      <w:rFonts w:ascii="Times New Roman" w:eastAsia="Times New Roman" w:hAnsi="Times New Roman" w:cs="Times New Roman"/>
      <w:sz w:val="20"/>
      <w:szCs w:val="20"/>
    </w:rPr>
  </w:style>
  <w:style w:type="character" w:styleId="CommentReference">
    <w:name w:val="annotation reference"/>
    <w:uiPriority w:val="99"/>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IntenseEmphasis">
    <w:name w:val="Intense Emphasis"/>
    <w:uiPriority w:val="21"/>
    <w:qFormat/>
    <w:rsid w:val="006334E6"/>
    <w:rPr>
      <w:b/>
      <w:bCs/>
    </w:rPr>
  </w:style>
  <w:style w:type="paragraph" w:styleId="PlainText">
    <w:name w:val="Plain Text"/>
    <w:basedOn w:val="Normal"/>
    <w:link w:val="PlainTextChar"/>
    <w:uiPriority w:val="99"/>
    <w:rsid w:val="00D2022F"/>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2022F"/>
    <w:rPr>
      <w:rFonts w:ascii="Courier New" w:eastAsia="Times New Roman" w:hAnsi="Courier New" w:cs="Times New Roman"/>
      <w:sz w:val="20"/>
      <w:szCs w:val="20"/>
      <w:lang w:val="x-none" w:eastAsia="x-none"/>
    </w:rPr>
  </w:style>
  <w:style w:type="paragraph" w:styleId="Revision">
    <w:name w:val="Revision"/>
    <w:hidden/>
    <w:uiPriority w:val="99"/>
    <w:semiHidden/>
    <w:rsid w:val="007B4E6B"/>
    <w:pPr>
      <w:spacing w:after="0" w:line="240" w:lineRule="auto"/>
    </w:pPr>
  </w:style>
  <w:style w:type="character" w:styleId="FollowedHyperlink">
    <w:name w:val="FollowedHyperlink"/>
    <w:basedOn w:val="DefaultParagraphFont"/>
    <w:uiPriority w:val="99"/>
    <w:semiHidden/>
    <w:unhideWhenUsed/>
    <w:rsid w:val="00E023D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97D0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97D02"/>
    <w:rPr>
      <w:rFonts w:ascii="Times New Roman" w:eastAsia="Times New Roman" w:hAnsi="Times New Roman" w:cs="Times New Roman"/>
      <w:sz w:val="20"/>
      <w:szCs w:val="20"/>
    </w:rPr>
  </w:style>
  <w:style w:type="character" w:styleId="CommentReference">
    <w:name w:val="annotation reference"/>
    <w:uiPriority w:val="99"/>
    <w:semiHidden/>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basedOn w:val="Normal"/>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styleId="IntenseEmphasis">
    <w:name w:val="Intense Emphasis"/>
    <w:uiPriority w:val="21"/>
    <w:qFormat/>
    <w:rsid w:val="006334E6"/>
    <w:rPr>
      <w:b/>
      <w:bCs/>
    </w:rPr>
  </w:style>
  <w:style w:type="paragraph" w:styleId="PlainText">
    <w:name w:val="Plain Text"/>
    <w:basedOn w:val="Normal"/>
    <w:link w:val="PlainTextChar"/>
    <w:uiPriority w:val="99"/>
    <w:rsid w:val="00D2022F"/>
    <w:pPr>
      <w:spacing w:before="100" w:beforeAutospacing="1" w:after="100" w:afterAutospacing="1"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uiPriority w:val="99"/>
    <w:rsid w:val="00D2022F"/>
    <w:rPr>
      <w:rFonts w:ascii="Courier New" w:eastAsia="Times New Roman" w:hAnsi="Courier New" w:cs="Times New Roman"/>
      <w:sz w:val="20"/>
      <w:szCs w:val="20"/>
      <w:lang w:val="x-none" w:eastAsia="x-none"/>
    </w:rPr>
  </w:style>
  <w:style w:type="paragraph" w:styleId="Revision">
    <w:name w:val="Revision"/>
    <w:hidden/>
    <w:uiPriority w:val="99"/>
    <w:semiHidden/>
    <w:rsid w:val="007B4E6B"/>
    <w:pPr>
      <w:spacing w:after="0" w:line="240" w:lineRule="auto"/>
    </w:pPr>
  </w:style>
  <w:style w:type="character" w:styleId="FollowedHyperlink">
    <w:name w:val="FollowedHyperlink"/>
    <w:basedOn w:val="DefaultParagraphFont"/>
    <w:uiPriority w:val="99"/>
    <w:semiHidden/>
    <w:unhideWhenUsed/>
    <w:rsid w:val="00E023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bls.gov/news.release/pdf/empsit.pdf"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5504A48BBBBA419771C51534CA3A04" ma:contentTypeVersion="7" ma:contentTypeDescription="Create a new document." ma:contentTypeScope="" ma:versionID="25a314f6001de04205a7c1206e730380">
  <xsd:schema xmlns:xsd="http://www.w3.org/2001/XMLSchema" xmlns:xs="http://www.w3.org/2001/XMLSchema" xmlns:p="http://schemas.microsoft.com/office/2006/metadata/properties" xmlns:ns3="c6d363e6-6c4c-4798-9db5-d57f1d53b58b" targetNamespace="http://schemas.microsoft.com/office/2006/metadata/properties" ma:root="true" ma:fieldsID="9878c72f4ffb66f0dd8573d4d2f8c252" ns3:_="">
    <xsd:import namespace="c6d363e6-6c4c-4798-9db5-d57f1d53b58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363e6-6c4c-4798-9db5-d57f1d53b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D362C-669B-413A-8BF5-56266690546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6d363e6-6c4c-4798-9db5-d57f1d53b58b"/>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3A3FEEE0-E4D3-4CFD-BFF2-99BB2C4ECB62}">
  <ds:schemaRefs>
    <ds:schemaRef ds:uri="http://schemas.microsoft.com/sharepoint/v3/contenttype/forms"/>
  </ds:schemaRefs>
</ds:datastoreItem>
</file>

<file path=customXml/itemProps3.xml><?xml version="1.0" encoding="utf-8"?>
<ds:datastoreItem xmlns:ds="http://schemas.openxmlformats.org/officeDocument/2006/customXml" ds:itemID="{B27F98C6-0F8F-4C7C-9EBD-8CFFB4A84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363e6-6c4c-4798-9db5-d57f1d53b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cp:lastPrinted>2019-09-23T16:49:00Z</cp:lastPrinted>
  <dcterms:created xsi:type="dcterms:W3CDTF">2019-09-23T17:17:00Z</dcterms:created>
  <dcterms:modified xsi:type="dcterms:W3CDTF">2019-09-23T17:17:00Z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0x0101005A5504A48BBBBA419771C51534CA3A04</vt:lpwstr>
  </property>
</Properties>
</file>