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F9D57" w14:textId="4B4AEB17" w:rsidR="00DD372B" w:rsidRPr="00B8644F" w:rsidRDefault="00DD372B" w:rsidP="00B8644F">
      <w:pPr>
        <w:jc w:val="center"/>
        <w:rPr>
          <w:b/>
          <w:sz w:val="28"/>
          <w:szCs w:val="28"/>
        </w:rPr>
      </w:pPr>
      <w:bookmarkStart w:id="0" w:name="_Toc329341099"/>
      <w:bookmarkStart w:id="1" w:name="_Toc400377718"/>
      <w:bookmarkStart w:id="2" w:name="_Toc409090900"/>
      <w:bookmarkStart w:id="3" w:name="_Toc474235251"/>
      <w:bookmarkStart w:id="4" w:name="_Toc290021780"/>
      <w:bookmarkStart w:id="5" w:name="_Toc286158948"/>
      <w:bookmarkStart w:id="6" w:name="_Toc286160537"/>
      <w:bookmarkStart w:id="7" w:name="_Toc290021760"/>
      <w:bookmarkStart w:id="8" w:name="_Toc282506023"/>
      <w:bookmarkStart w:id="9" w:name="_Toc329675296"/>
      <w:bookmarkStart w:id="10" w:name="_Toc329675884"/>
      <w:bookmarkStart w:id="11" w:name="_GoBack"/>
      <w:bookmarkEnd w:id="11"/>
      <w:r w:rsidRPr="00B8644F">
        <w:rPr>
          <w:b/>
          <w:sz w:val="28"/>
          <w:szCs w:val="28"/>
        </w:rPr>
        <w:t>PART B. COLLECTIONS OF INFORMATION EMPLOYING STATISTICAL METHODS</w:t>
      </w:r>
    </w:p>
    <w:p w14:paraId="2E83B779" w14:textId="77777777" w:rsidR="00125F6D" w:rsidRPr="003A4D22" w:rsidRDefault="00125F6D" w:rsidP="003A4D22">
      <w:pPr>
        <w:pStyle w:val="Heading1"/>
      </w:pPr>
    </w:p>
    <w:p w14:paraId="0E225E86" w14:textId="77777777" w:rsidR="00471DC7" w:rsidRPr="00D5437E" w:rsidRDefault="00125F6D" w:rsidP="009724F9">
      <w:pPr>
        <w:pStyle w:val="BodyText"/>
        <w:jc w:val="left"/>
        <w:rPr>
          <w:sz w:val="24"/>
          <w:szCs w:val="24"/>
        </w:rPr>
      </w:pPr>
      <w:r w:rsidRPr="00D5437E">
        <w:rPr>
          <w:sz w:val="24"/>
          <w:szCs w:val="24"/>
        </w:rPr>
        <w:t xml:space="preserve">In this document, we discuss the statistical methods to be used in the data collection activities for the </w:t>
      </w:r>
      <w:r w:rsidRPr="00D5437E">
        <w:rPr>
          <w:i/>
          <w:sz w:val="24"/>
          <w:szCs w:val="24"/>
        </w:rPr>
        <w:t>Evaluation of Strategies Used in the TechHire and Strengthening Working Families Initiative (SWFI) Grant Programs.</w:t>
      </w:r>
      <w:r w:rsidRPr="00D5437E">
        <w:rPr>
          <w:sz w:val="24"/>
          <w:szCs w:val="24"/>
        </w:rPr>
        <w:t xml:space="preserve"> This study is</w:t>
      </w:r>
      <w:r w:rsidRPr="00D5437E">
        <w:rPr>
          <w:i/>
          <w:sz w:val="24"/>
          <w:szCs w:val="24"/>
        </w:rPr>
        <w:t xml:space="preserve"> </w:t>
      </w:r>
      <w:r w:rsidRPr="00D5437E">
        <w:rPr>
          <w:sz w:val="24"/>
          <w:szCs w:val="24"/>
        </w:rPr>
        <w:t>sponsored by the Chief Evaluation Office (CEO) and Employment and Training Administration (ETA) in the U.S. Department of Labor.</w:t>
      </w:r>
      <w:r w:rsidR="00471DC7" w:rsidRPr="00D5437E">
        <w:rPr>
          <w:sz w:val="24"/>
          <w:szCs w:val="24"/>
        </w:rPr>
        <w:t xml:space="preserve"> The p</w:t>
      </w:r>
      <w:r w:rsidR="00326859">
        <w:rPr>
          <w:sz w:val="24"/>
          <w:szCs w:val="24"/>
        </w:rPr>
        <w:t>ur</w:t>
      </w:r>
      <w:r w:rsidR="00471DC7" w:rsidRPr="00D5437E">
        <w:rPr>
          <w:sz w:val="24"/>
          <w:szCs w:val="24"/>
        </w:rPr>
        <w:t xml:space="preserve">pose of the evaluation is to identify </w:t>
      </w:r>
      <w:r w:rsidR="00600A4E">
        <w:rPr>
          <w:sz w:val="24"/>
          <w:szCs w:val="24"/>
        </w:rPr>
        <w:t>w</w:t>
      </w:r>
      <w:r w:rsidR="00440C32">
        <w:rPr>
          <w:sz w:val="24"/>
          <w:szCs w:val="24"/>
        </w:rPr>
        <w:t>h</w:t>
      </w:r>
      <w:r w:rsidR="00600A4E">
        <w:rPr>
          <w:sz w:val="24"/>
          <w:szCs w:val="24"/>
        </w:rPr>
        <w:t>ether the grants help</w:t>
      </w:r>
      <w:r w:rsidR="00471DC7" w:rsidRPr="00D5437E">
        <w:rPr>
          <w:sz w:val="24"/>
          <w:szCs w:val="24"/>
        </w:rPr>
        <w:t xml:space="preserve"> low-wage workers obtain employment in and advance in H-1B industries and occupations</w:t>
      </w:r>
      <w:r w:rsidR="00600A4E">
        <w:rPr>
          <w:sz w:val="24"/>
          <w:szCs w:val="24"/>
        </w:rPr>
        <w:t xml:space="preserve"> and, if so, which strategies are most helpful</w:t>
      </w:r>
      <w:r w:rsidR="00471DC7" w:rsidRPr="00D5437E">
        <w:rPr>
          <w:sz w:val="24"/>
          <w:szCs w:val="24"/>
        </w:rPr>
        <w:t xml:space="preserve">. CEO has contracted with Westat and its subcontractor, MDRC, to conduct this evaluation.  The evaluation includes three components: an implementation study, a randomized controlled trial (RCT) study, and a quasi-experimental design (QED) study. </w:t>
      </w:r>
    </w:p>
    <w:p w14:paraId="2BBD122E" w14:textId="56767E81" w:rsidR="0000048D" w:rsidRDefault="00471DC7" w:rsidP="009724F9">
      <w:pPr>
        <w:pStyle w:val="BodyText"/>
        <w:jc w:val="left"/>
        <w:rPr>
          <w:sz w:val="24"/>
          <w:szCs w:val="24"/>
        </w:rPr>
      </w:pPr>
      <w:r w:rsidRPr="00D5437E">
        <w:rPr>
          <w:sz w:val="24"/>
          <w:szCs w:val="24"/>
        </w:rPr>
        <w:t xml:space="preserve">This request for clearance includes the </w:t>
      </w:r>
      <w:r w:rsidR="003E10F4">
        <w:rPr>
          <w:sz w:val="24"/>
          <w:szCs w:val="24"/>
        </w:rPr>
        <w:t>18-month follow-up survey.</w:t>
      </w:r>
    </w:p>
    <w:p w14:paraId="4910AC41" w14:textId="77777777" w:rsidR="0045281F" w:rsidRPr="00D5437E" w:rsidRDefault="0045281F" w:rsidP="009724F9">
      <w:pPr>
        <w:jc w:val="left"/>
        <w:rPr>
          <w:sz w:val="24"/>
          <w:szCs w:val="24"/>
        </w:rPr>
      </w:pPr>
    </w:p>
    <w:p w14:paraId="1FAD0285" w14:textId="77777777" w:rsidR="008A6A7C" w:rsidRPr="00D5437E" w:rsidRDefault="008A6A7C" w:rsidP="009724F9">
      <w:pPr>
        <w:pStyle w:val="Heading1"/>
        <w:spacing w:line="276" w:lineRule="auto"/>
        <w:jc w:val="left"/>
        <w:rPr>
          <w:sz w:val="24"/>
          <w:szCs w:val="24"/>
        </w:rPr>
      </w:pPr>
      <w:r w:rsidRPr="00D5437E">
        <w:rPr>
          <w:sz w:val="24"/>
          <w:szCs w:val="24"/>
        </w:rPr>
        <w:t>B.1</w:t>
      </w:r>
      <w:r w:rsidR="00125F6D" w:rsidRPr="00D5437E">
        <w:rPr>
          <w:sz w:val="24"/>
          <w:szCs w:val="24"/>
        </w:rPr>
        <w:tab/>
      </w:r>
      <w:r w:rsidRPr="00D5437E">
        <w:rPr>
          <w:sz w:val="24"/>
          <w:szCs w:val="24"/>
        </w:rPr>
        <w:t>Respondent Universe and Sampling Methods</w:t>
      </w:r>
      <w:bookmarkEnd w:id="0"/>
      <w:bookmarkEnd w:id="1"/>
      <w:bookmarkEnd w:id="2"/>
      <w:bookmarkEnd w:id="3"/>
    </w:p>
    <w:p w14:paraId="4B46780A" w14:textId="77777777" w:rsidR="00E73A85" w:rsidRPr="00D5437E" w:rsidRDefault="00E73A85" w:rsidP="009724F9">
      <w:pPr>
        <w:pStyle w:val="L1-FlLSp12"/>
        <w:spacing w:line="276" w:lineRule="auto"/>
        <w:jc w:val="left"/>
        <w:rPr>
          <w:sz w:val="24"/>
          <w:szCs w:val="24"/>
        </w:rPr>
      </w:pPr>
      <w:bookmarkStart w:id="12" w:name="_Toc290021779"/>
    </w:p>
    <w:p w14:paraId="6977FBA9" w14:textId="77777777" w:rsidR="008A6A7C" w:rsidRPr="00D5437E" w:rsidRDefault="004B3BBF" w:rsidP="009724F9">
      <w:pPr>
        <w:pStyle w:val="Heading1"/>
        <w:spacing w:line="276" w:lineRule="auto"/>
        <w:ind w:left="0" w:firstLine="0"/>
        <w:jc w:val="left"/>
        <w:rPr>
          <w:sz w:val="24"/>
          <w:szCs w:val="24"/>
        </w:rPr>
      </w:pPr>
      <w:bookmarkStart w:id="13" w:name="_Toc400377720"/>
      <w:bookmarkStart w:id="14" w:name="_Toc474235252"/>
      <w:bookmarkEnd w:id="12"/>
      <w:r w:rsidRPr="00D5437E">
        <w:rPr>
          <w:sz w:val="24"/>
          <w:szCs w:val="24"/>
        </w:rPr>
        <w:t xml:space="preserve">B.1.1 </w:t>
      </w:r>
      <w:r w:rsidR="008A6A7C" w:rsidRPr="00D5437E">
        <w:rPr>
          <w:sz w:val="24"/>
          <w:szCs w:val="24"/>
        </w:rPr>
        <w:t>Respondent Universe</w:t>
      </w:r>
      <w:bookmarkEnd w:id="13"/>
      <w:bookmarkEnd w:id="14"/>
    </w:p>
    <w:p w14:paraId="3AFE6F0B" w14:textId="77777777" w:rsidR="004B3BBF" w:rsidRPr="00D5437E" w:rsidRDefault="004B3BBF" w:rsidP="009724F9">
      <w:pPr>
        <w:jc w:val="left"/>
        <w:rPr>
          <w:sz w:val="24"/>
          <w:szCs w:val="24"/>
        </w:rPr>
      </w:pPr>
    </w:p>
    <w:p w14:paraId="22F55BB7" w14:textId="0D9F4023" w:rsidR="00584E67" w:rsidRDefault="00E05EBC" w:rsidP="009724F9">
      <w:pPr>
        <w:jc w:val="left"/>
        <w:rPr>
          <w:sz w:val="24"/>
          <w:szCs w:val="24"/>
        </w:rPr>
      </w:pPr>
      <w:r w:rsidRPr="00D5437E">
        <w:rPr>
          <w:sz w:val="24"/>
          <w:szCs w:val="24"/>
        </w:rPr>
        <w:t xml:space="preserve">The respondent universe consists of all individuals who are randomized to participate in the TechHire or SWFI treatment or the control group during the study intake period (between </w:t>
      </w:r>
      <w:r w:rsidR="001F1D4E">
        <w:rPr>
          <w:sz w:val="24"/>
          <w:szCs w:val="24"/>
        </w:rPr>
        <w:t>April</w:t>
      </w:r>
      <w:r w:rsidRPr="00D5437E">
        <w:rPr>
          <w:sz w:val="24"/>
          <w:szCs w:val="24"/>
        </w:rPr>
        <w:t xml:space="preserve"> 2018 and </w:t>
      </w:r>
      <w:r w:rsidR="00356214">
        <w:rPr>
          <w:sz w:val="24"/>
          <w:szCs w:val="24"/>
        </w:rPr>
        <w:t>October</w:t>
      </w:r>
      <w:r w:rsidR="00356214" w:rsidRPr="00356214">
        <w:rPr>
          <w:sz w:val="24"/>
          <w:szCs w:val="24"/>
        </w:rPr>
        <w:t xml:space="preserve"> </w:t>
      </w:r>
      <w:r w:rsidRPr="00D244AE">
        <w:rPr>
          <w:sz w:val="24"/>
          <w:szCs w:val="24"/>
        </w:rPr>
        <w:t>2019</w:t>
      </w:r>
      <w:r w:rsidRPr="00D5437E">
        <w:rPr>
          <w:sz w:val="24"/>
          <w:szCs w:val="24"/>
        </w:rPr>
        <w:t xml:space="preserve">).  </w:t>
      </w:r>
      <w:r w:rsidR="00584E67" w:rsidRPr="00D5437E">
        <w:rPr>
          <w:sz w:val="24"/>
          <w:szCs w:val="24"/>
        </w:rPr>
        <w:t>We do not plan to select a sample.</w:t>
      </w:r>
      <w:r w:rsidR="00584E67">
        <w:rPr>
          <w:sz w:val="24"/>
          <w:szCs w:val="24"/>
        </w:rPr>
        <w:t xml:space="preserve"> Table B.1.1 shows the expected enrollment in each RCT site.</w:t>
      </w:r>
      <w:r w:rsidR="003B6398">
        <w:rPr>
          <w:sz w:val="24"/>
          <w:szCs w:val="24"/>
        </w:rPr>
        <w:t xml:space="preserve">We expect that a total of 1,704 individuals will be randomly assigned (852 in the treatment group and 852 in the control group). </w:t>
      </w:r>
    </w:p>
    <w:p w14:paraId="508DEEBC" w14:textId="507C0D9C" w:rsidR="00C7122D" w:rsidRDefault="00C7122D" w:rsidP="00356214">
      <w:pPr>
        <w:rPr>
          <w:sz w:val="24"/>
          <w:szCs w:val="24"/>
        </w:rPr>
      </w:pPr>
    </w:p>
    <w:p w14:paraId="5755FE56" w14:textId="4AFB82C9" w:rsidR="00C7122D" w:rsidRDefault="00C7122D" w:rsidP="00C7122D">
      <w:pPr>
        <w:pStyle w:val="L1-FlLSp12"/>
        <w:spacing w:line="276" w:lineRule="auto"/>
        <w:rPr>
          <w:b/>
          <w:szCs w:val="24"/>
        </w:rPr>
      </w:pPr>
      <w:r w:rsidRPr="00FD004E">
        <w:rPr>
          <w:b/>
          <w:szCs w:val="24"/>
        </w:rPr>
        <w:t xml:space="preserve">Table </w:t>
      </w:r>
      <w:r w:rsidR="00A71FD2">
        <w:rPr>
          <w:b/>
          <w:szCs w:val="24"/>
        </w:rPr>
        <w:t>B.1.1</w:t>
      </w:r>
      <w:r w:rsidRPr="00FD004E">
        <w:rPr>
          <w:b/>
          <w:szCs w:val="24"/>
        </w:rPr>
        <w:tab/>
      </w:r>
      <w:r>
        <w:rPr>
          <w:b/>
          <w:szCs w:val="24"/>
        </w:rPr>
        <w:t xml:space="preserve">  </w:t>
      </w:r>
      <w:r w:rsidR="005B0D9A">
        <w:rPr>
          <w:b/>
          <w:szCs w:val="24"/>
        </w:rPr>
        <w:t xml:space="preserve">Expected RCT Assignment </w:t>
      </w:r>
    </w:p>
    <w:tbl>
      <w:tblPr>
        <w:tblStyle w:val="TableGrid"/>
        <w:tblW w:w="8635" w:type="dxa"/>
        <w:tblLook w:val="04A0" w:firstRow="1" w:lastRow="0" w:firstColumn="1" w:lastColumn="0" w:noHBand="0" w:noVBand="1"/>
      </w:tblPr>
      <w:tblGrid>
        <w:gridCol w:w="3175"/>
        <w:gridCol w:w="1306"/>
        <w:gridCol w:w="1530"/>
        <w:gridCol w:w="1530"/>
        <w:gridCol w:w="1094"/>
      </w:tblGrid>
      <w:tr w:rsidR="00343D76" w14:paraId="00A3008E" w14:textId="77777777" w:rsidTr="00C7122D">
        <w:tc>
          <w:tcPr>
            <w:tcW w:w="3175" w:type="dxa"/>
          </w:tcPr>
          <w:p w14:paraId="48AB110B" w14:textId="42BF5B81" w:rsidR="00343D76" w:rsidRPr="00356214" w:rsidRDefault="00343D76" w:rsidP="003C051A">
            <w:pPr>
              <w:pStyle w:val="L1-FlLSp12"/>
              <w:spacing w:line="276" w:lineRule="auto"/>
              <w:rPr>
                <w:rFonts w:ascii="Times New Roman" w:hAnsi="Times New Roman" w:cs="Times New Roman"/>
                <w:b/>
                <w:sz w:val="20"/>
                <w:szCs w:val="20"/>
              </w:rPr>
            </w:pPr>
            <w:r w:rsidRPr="00356214">
              <w:rPr>
                <w:b/>
                <w:sz w:val="20"/>
                <w:szCs w:val="20"/>
              </w:rPr>
              <w:t>Grantee</w:t>
            </w:r>
          </w:p>
        </w:tc>
        <w:tc>
          <w:tcPr>
            <w:tcW w:w="1306" w:type="dxa"/>
            <w:tcBorders>
              <w:bottom w:val="single" w:sz="4" w:space="0" w:color="auto"/>
            </w:tcBorders>
            <w:vAlign w:val="bottom"/>
          </w:tcPr>
          <w:p w14:paraId="65B99D06" w14:textId="4D330C06" w:rsidR="00343D76" w:rsidRPr="00356214" w:rsidRDefault="00343D76" w:rsidP="003C051A">
            <w:pPr>
              <w:pStyle w:val="L1-FlLSp12"/>
              <w:spacing w:line="276" w:lineRule="auto"/>
              <w:jc w:val="center"/>
              <w:rPr>
                <w:rFonts w:ascii="Times New Roman" w:hAnsi="Times New Roman" w:cs="Times New Roman"/>
                <w:b/>
                <w:color w:val="000000"/>
                <w:sz w:val="20"/>
                <w:szCs w:val="20"/>
              </w:rPr>
            </w:pPr>
            <w:r w:rsidRPr="00356214">
              <w:rPr>
                <w:b/>
                <w:color w:val="000000"/>
                <w:sz w:val="20"/>
                <w:szCs w:val="20"/>
              </w:rPr>
              <w:t>Program</w:t>
            </w:r>
          </w:p>
        </w:tc>
        <w:tc>
          <w:tcPr>
            <w:tcW w:w="1530" w:type="dxa"/>
            <w:tcBorders>
              <w:bottom w:val="single" w:sz="4" w:space="0" w:color="auto"/>
            </w:tcBorders>
          </w:tcPr>
          <w:p w14:paraId="1CC9DAB4" w14:textId="673879E3" w:rsidR="00343D76" w:rsidRPr="00356214" w:rsidRDefault="00343D76" w:rsidP="003C051A">
            <w:pPr>
              <w:pStyle w:val="L1-FlLSp12"/>
              <w:spacing w:line="276" w:lineRule="auto"/>
              <w:jc w:val="center"/>
              <w:rPr>
                <w:rFonts w:ascii="Times New Roman" w:hAnsi="Times New Roman" w:cs="Times New Roman"/>
                <w:b/>
                <w:color w:val="000000"/>
                <w:sz w:val="20"/>
                <w:szCs w:val="20"/>
              </w:rPr>
            </w:pPr>
            <w:r w:rsidRPr="00356214">
              <w:rPr>
                <w:b/>
                <w:color w:val="000000"/>
                <w:sz w:val="20"/>
                <w:szCs w:val="20"/>
              </w:rPr>
              <w:t>Treatment</w:t>
            </w:r>
          </w:p>
        </w:tc>
        <w:tc>
          <w:tcPr>
            <w:tcW w:w="1530" w:type="dxa"/>
            <w:tcBorders>
              <w:bottom w:val="single" w:sz="4" w:space="0" w:color="auto"/>
            </w:tcBorders>
            <w:vAlign w:val="bottom"/>
          </w:tcPr>
          <w:p w14:paraId="06D7F7F9" w14:textId="6A8F62D4" w:rsidR="00343D76" w:rsidRPr="00356214" w:rsidRDefault="00343D76" w:rsidP="003C051A">
            <w:pPr>
              <w:pStyle w:val="L1-FlLSp12"/>
              <w:spacing w:line="276" w:lineRule="auto"/>
              <w:jc w:val="center"/>
              <w:rPr>
                <w:rFonts w:ascii="Times New Roman" w:hAnsi="Times New Roman" w:cs="Times New Roman"/>
                <w:b/>
                <w:color w:val="000000"/>
                <w:sz w:val="20"/>
                <w:szCs w:val="20"/>
              </w:rPr>
            </w:pPr>
            <w:r w:rsidRPr="00356214">
              <w:rPr>
                <w:b/>
                <w:color w:val="000000"/>
                <w:sz w:val="20"/>
                <w:szCs w:val="20"/>
              </w:rPr>
              <w:t>Control</w:t>
            </w:r>
          </w:p>
        </w:tc>
        <w:tc>
          <w:tcPr>
            <w:tcW w:w="1094" w:type="dxa"/>
            <w:tcBorders>
              <w:bottom w:val="single" w:sz="4" w:space="0" w:color="auto"/>
            </w:tcBorders>
          </w:tcPr>
          <w:p w14:paraId="2650B0FF" w14:textId="667CA43A" w:rsidR="00343D76" w:rsidRPr="00356214" w:rsidRDefault="00343D76" w:rsidP="003C051A">
            <w:pPr>
              <w:pStyle w:val="L1-FlLSp12"/>
              <w:spacing w:line="276" w:lineRule="auto"/>
              <w:jc w:val="center"/>
              <w:rPr>
                <w:rFonts w:ascii="Times New Roman" w:hAnsi="Times New Roman" w:cs="Times New Roman"/>
                <w:b/>
                <w:color w:val="000000"/>
                <w:sz w:val="20"/>
                <w:szCs w:val="20"/>
              </w:rPr>
            </w:pPr>
            <w:r w:rsidRPr="00356214">
              <w:rPr>
                <w:b/>
                <w:color w:val="000000"/>
                <w:sz w:val="20"/>
                <w:szCs w:val="20"/>
              </w:rPr>
              <w:t>Total</w:t>
            </w:r>
          </w:p>
        </w:tc>
      </w:tr>
      <w:tr w:rsidR="00C7122D" w14:paraId="30F5DB56" w14:textId="77777777" w:rsidTr="00C7122D">
        <w:tc>
          <w:tcPr>
            <w:tcW w:w="3175" w:type="dxa"/>
          </w:tcPr>
          <w:p w14:paraId="3B1CE086" w14:textId="5515CFE2" w:rsidR="00C7122D" w:rsidRPr="00356214" w:rsidRDefault="00C7122D" w:rsidP="003C051A">
            <w:pPr>
              <w:pStyle w:val="L1-FlLSp12"/>
              <w:spacing w:line="276" w:lineRule="auto"/>
              <w:rPr>
                <w:rFonts w:ascii="Times New Roman" w:hAnsi="Times New Roman" w:cs="Times New Roman"/>
                <w:sz w:val="20"/>
                <w:szCs w:val="20"/>
              </w:rPr>
            </w:pPr>
            <w:r w:rsidRPr="00356214">
              <w:rPr>
                <w:sz w:val="20"/>
                <w:szCs w:val="20"/>
              </w:rPr>
              <w:t>Vermont Technical College</w:t>
            </w:r>
          </w:p>
        </w:tc>
        <w:tc>
          <w:tcPr>
            <w:tcW w:w="1306" w:type="dxa"/>
            <w:tcBorders>
              <w:bottom w:val="single" w:sz="4" w:space="0" w:color="auto"/>
            </w:tcBorders>
            <w:vAlign w:val="bottom"/>
          </w:tcPr>
          <w:p w14:paraId="5DDE4154" w14:textId="00452CDA"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SWFI</w:t>
            </w:r>
          </w:p>
        </w:tc>
        <w:tc>
          <w:tcPr>
            <w:tcW w:w="1530" w:type="dxa"/>
            <w:tcBorders>
              <w:bottom w:val="single" w:sz="4" w:space="0" w:color="auto"/>
            </w:tcBorders>
          </w:tcPr>
          <w:p w14:paraId="327D2CC0" w14:textId="2EAFC164"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100</w:t>
            </w:r>
          </w:p>
        </w:tc>
        <w:tc>
          <w:tcPr>
            <w:tcW w:w="1530" w:type="dxa"/>
            <w:tcBorders>
              <w:bottom w:val="single" w:sz="4" w:space="0" w:color="auto"/>
            </w:tcBorders>
            <w:vAlign w:val="bottom"/>
          </w:tcPr>
          <w:p w14:paraId="072A978C" w14:textId="103F1703"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100</w:t>
            </w:r>
          </w:p>
        </w:tc>
        <w:tc>
          <w:tcPr>
            <w:tcW w:w="1094" w:type="dxa"/>
            <w:tcBorders>
              <w:bottom w:val="single" w:sz="4" w:space="0" w:color="auto"/>
            </w:tcBorders>
          </w:tcPr>
          <w:p w14:paraId="08048884" w14:textId="30432EA6"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200</w:t>
            </w:r>
          </w:p>
        </w:tc>
      </w:tr>
      <w:tr w:rsidR="00C7122D" w14:paraId="17C58C38" w14:textId="77777777" w:rsidTr="00356214">
        <w:tc>
          <w:tcPr>
            <w:tcW w:w="3175" w:type="dxa"/>
          </w:tcPr>
          <w:p w14:paraId="51DF3C22" w14:textId="4896546D" w:rsidR="00C7122D" w:rsidRPr="00356214" w:rsidRDefault="00C7122D" w:rsidP="003C051A">
            <w:pPr>
              <w:pStyle w:val="L1-FlLSp12"/>
              <w:spacing w:line="276" w:lineRule="auto"/>
              <w:rPr>
                <w:rFonts w:ascii="Times New Roman" w:hAnsi="Times New Roman" w:cs="Times New Roman"/>
                <w:sz w:val="20"/>
                <w:szCs w:val="20"/>
              </w:rPr>
            </w:pPr>
            <w:r w:rsidRPr="00356214">
              <w:rPr>
                <w:sz w:val="20"/>
                <w:szCs w:val="20"/>
              </w:rPr>
              <w:t>Community College of Aurora</w:t>
            </w:r>
          </w:p>
        </w:tc>
        <w:tc>
          <w:tcPr>
            <w:tcW w:w="1306" w:type="dxa"/>
            <w:tcBorders>
              <w:bottom w:val="single" w:sz="4" w:space="0" w:color="auto"/>
            </w:tcBorders>
            <w:vAlign w:val="bottom"/>
          </w:tcPr>
          <w:p w14:paraId="7C12C4C8" w14:textId="6902B023"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SWFI</w:t>
            </w:r>
          </w:p>
        </w:tc>
        <w:tc>
          <w:tcPr>
            <w:tcW w:w="1530" w:type="dxa"/>
            <w:tcBorders>
              <w:bottom w:val="single" w:sz="4" w:space="0" w:color="auto"/>
            </w:tcBorders>
          </w:tcPr>
          <w:p w14:paraId="21281DAC" w14:textId="0DEF0F44"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220</w:t>
            </w:r>
          </w:p>
        </w:tc>
        <w:tc>
          <w:tcPr>
            <w:tcW w:w="1530" w:type="dxa"/>
            <w:tcBorders>
              <w:bottom w:val="single" w:sz="4" w:space="0" w:color="auto"/>
            </w:tcBorders>
            <w:vAlign w:val="bottom"/>
          </w:tcPr>
          <w:p w14:paraId="77142417" w14:textId="02160DFF"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220</w:t>
            </w:r>
          </w:p>
        </w:tc>
        <w:tc>
          <w:tcPr>
            <w:tcW w:w="1094" w:type="dxa"/>
            <w:tcBorders>
              <w:bottom w:val="single" w:sz="4" w:space="0" w:color="auto"/>
            </w:tcBorders>
          </w:tcPr>
          <w:p w14:paraId="5AB974E0" w14:textId="73649155"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440</w:t>
            </w:r>
          </w:p>
        </w:tc>
      </w:tr>
      <w:tr w:rsidR="00C7122D" w14:paraId="04648CB1" w14:textId="77777777" w:rsidTr="00356214">
        <w:tc>
          <w:tcPr>
            <w:tcW w:w="3175" w:type="dxa"/>
          </w:tcPr>
          <w:p w14:paraId="3A29787C" w14:textId="30037D8D" w:rsidR="00C7122D" w:rsidRPr="00356214" w:rsidRDefault="00C7122D" w:rsidP="003C051A">
            <w:pPr>
              <w:pStyle w:val="L1-FlLSp12"/>
              <w:spacing w:line="276" w:lineRule="auto"/>
              <w:rPr>
                <w:rFonts w:ascii="Times New Roman" w:hAnsi="Times New Roman" w:cs="Times New Roman"/>
                <w:sz w:val="20"/>
                <w:szCs w:val="20"/>
              </w:rPr>
            </w:pPr>
            <w:r w:rsidRPr="00356214">
              <w:rPr>
                <w:sz w:val="20"/>
                <w:szCs w:val="20"/>
              </w:rPr>
              <w:t>Career Source Tampa Bay</w:t>
            </w:r>
          </w:p>
        </w:tc>
        <w:tc>
          <w:tcPr>
            <w:tcW w:w="1306" w:type="dxa"/>
            <w:tcBorders>
              <w:bottom w:val="single" w:sz="4" w:space="0" w:color="auto"/>
            </w:tcBorders>
            <w:vAlign w:val="bottom"/>
          </w:tcPr>
          <w:p w14:paraId="63FFFD85" w14:textId="11B70290"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TH</w:t>
            </w:r>
          </w:p>
        </w:tc>
        <w:tc>
          <w:tcPr>
            <w:tcW w:w="1530" w:type="dxa"/>
            <w:tcBorders>
              <w:bottom w:val="single" w:sz="4" w:space="0" w:color="auto"/>
            </w:tcBorders>
          </w:tcPr>
          <w:p w14:paraId="775145CE" w14:textId="41E830F3"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300</w:t>
            </w:r>
          </w:p>
        </w:tc>
        <w:tc>
          <w:tcPr>
            <w:tcW w:w="1530" w:type="dxa"/>
            <w:tcBorders>
              <w:bottom w:val="single" w:sz="4" w:space="0" w:color="auto"/>
            </w:tcBorders>
            <w:vAlign w:val="bottom"/>
          </w:tcPr>
          <w:p w14:paraId="6EADB44D" w14:textId="70AB6439"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300</w:t>
            </w:r>
          </w:p>
        </w:tc>
        <w:tc>
          <w:tcPr>
            <w:tcW w:w="1094" w:type="dxa"/>
            <w:tcBorders>
              <w:bottom w:val="single" w:sz="4" w:space="0" w:color="auto"/>
            </w:tcBorders>
          </w:tcPr>
          <w:p w14:paraId="18EAD7C6" w14:textId="464F5AF8"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600</w:t>
            </w:r>
          </w:p>
        </w:tc>
      </w:tr>
      <w:tr w:rsidR="00C7122D" w14:paraId="5EEE3DCB" w14:textId="77777777" w:rsidTr="00356214">
        <w:tc>
          <w:tcPr>
            <w:tcW w:w="3175" w:type="dxa"/>
          </w:tcPr>
          <w:p w14:paraId="1EE5212D" w14:textId="04FD79FA" w:rsidR="00C7122D" w:rsidRPr="00356214" w:rsidRDefault="00C7122D" w:rsidP="003C051A">
            <w:pPr>
              <w:pStyle w:val="L1-FlLSp12"/>
              <w:spacing w:line="276" w:lineRule="auto"/>
              <w:rPr>
                <w:rFonts w:ascii="Times New Roman" w:hAnsi="Times New Roman" w:cs="Times New Roman"/>
                <w:sz w:val="20"/>
                <w:szCs w:val="20"/>
              </w:rPr>
            </w:pPr>
            <w:r w:rsidRPr="00356214">
              <w:rPr>
                <w:sz w:val="20"/>
                <w:szCs w:val="20"/>
              </w:rPr>
              <w:t>LaGuardia Community College</w:t>
            </w:r>
          </w:p>
        </w:tc>
        <w:tc>
          <w:tcPr>
            <w:tcW w:w="1306" w:type="dxa"/>
            <w:tcBorders>
              <w:bottom w:val="single" w:sz="4" w:space="0" w:color="auto"/>
            </w:tcBorders>
            <w:vAlign w:val="bottom"/>
          </w:tcPr>
          <w:p w14:paraId="57368680" w14:textId="5E32A023"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TH</w:t>
            </w:r>
          </w:p>
        </w:tc>
        <w:tc>
          <w:tcPr>
            <w:tcW w:w="1530" w:type="dxa"/>
            <w:tcBorders>
              <w:bottom w:val="single" w:sz="4" w:space="0" w:color="auto"/>
            </w:tcBorders>
          </w:tcPr>
          <w:p w14:paraId="22D64FA0" w14:textId="1C4275DC"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112</w:t>
            </w:r>
          </w:p>
        </w:tc>
        <w:tc>
          <w:tcPr>
            <w:tcW w:w="1530" w:type="dxa"/>
            <w:tcBorders>
              <w:bottom w:val="single" w:sz="4" w:space="0" w:color="auto"/>
            </w:tcBorders>
            <w:vAlign w:val="bottom"/>
          </w:tcPr>
          <w:p w14:paraId="61D2BD75" w14:textId="576987E7"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112</w:t>
            </w:r>
          </w:p>
        </w:tc>
        <w:tc>
          <w:tcPr>
            <w:tcW w:w="1094" w:type="dxa"/>
            <w:tcBorders>
              <w:bottom w:val="single" w:sz="4" w:space="0" w:color="auto"/>
            </w:tcBorders>
          </w:tcPr>
          <w:p w14:paraId="6CBB0CFD" w14:textId="0CDB3889"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224</w:t>
            </w:r>
          </w:p>
        </w:tc>
      </w:tr>
      <w:tr w:rsidR="00C7122D" w14:paraId="58EBFF6F" w14:textId="77777777" w:rsidTr="00356214">
        <w:tc>
          <w:tcPr>
            <w:tcW w:w="3175" w:type="dxa"/>
          </w:tcPr>
          <w:p w14:paraId="232FB624" w14:textId="67C10535" w:rsidR="00C7122D" w:rsidRPr="00356214" w:rsidRDefault="00C7122D" w:rsidP="003C051A">
            <w:pPr>
              <w:pStyle w:val="L1-FlLSp12"/>
              <w:spacing w:line="276" w:lineRule="auto"/>
              <w:rPr>
                <w:rFonts w:ascii="Times New Roman" w:hAnsi="Times New Roman" w:cs="Times New Roman"/>
                <w:sz w:val="20"/>
                <w:szCs w:val="20"/>
              </w:rPr>
            </w:pPr>
            <w:r w:rsidRPr="00356214">
              <w:rPr>
                <w:sz w:val="20"/>
                <w:szCs w:val="20"/>
              </w:rPr>
              <w:t>Daytona State College</w:t>
            </w:r>
          </w:p>
        </w:tc>
        <w:tc>
          <w:tcPr>
            <w:tcW w:w="1306" w:type="dxa"/>
            <w:tcBorders>
              <w:bottom w:val="single" w:sz="4" w:space="0" w:color="auto"/>
            </w:tcBorders>
            <w:vAlign w:val="bottom"/>
          </w:tcPr>
          <w:p w14:paraId="786B4F6D" w14:textId="70A8ADCC"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TH</w:t>
            </w:r>
          </w:p>
        </w:tc>
        <w:tc>
          <w:tcPr>
            <w:tcW w:w="1530" w:type="dxa"/>
            <w:tcBorders>
              <w:bottom w:val="single" w:sz="4" w:space="0" w:color="auto"/>
            </w:tcBorders>
          </w:tcPr>
          <w:p w14:paraId="70C3B730" w14:textId="1120C65F"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120</w:t>
            </w:r>
          </w:p>
        </w:tc>
        <w:tc>
          <w:tcPr>
            <w:tcW w:w="1530" w:type="dxa"/>
            <w:tcBorders>
              <w:bottom w:val="single" w:sz="4" w:space="0" w:color="auto"/>
            </w:tcBorders>
            <w:vAlign w:val="bottom"/>
          </w:tcPr>
          <w:p w14:paraId="47D30C52" w14:textId="090366DC"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120</w:t>
            </w:r>
          </w:p>
        </w:tc>
        <w:tc>
          <w:tcPr>
            <w:tcW w:w="1094" w:type="dxa"/>
            <w:tcBorders>
              <w:bottom w:val="single" w:sz="4" w:space="0" w:color="auto"/>
            </w:tcBorders>
          </w:tcPr>
          <w:p w14:paraId="068C8C38" w14:textId="14BD308B" w:rsidR="00C7122D" w:rsidRPr="00356214" w:rsidRDefault="00C7122D" w:rsidP="003C051A">
            <w:pPr>
              <w:pStyle w:val="L1-FlLSp12"/>
              <w:spacing w:line="276" w:lineRule="auto"/>
              <w:jc w:val="center"/>
              <w:rPr>
                <w:rFonts w:ascii="Times New Roman" w:hAnsi="Times New Roman" w:cs="Times New Roman"/>
                <w:color w:val="000000"/>
                <w:sz w:val="20"/>
                <w:szCs w:val="20"/>
              </w:rPr>
            </w:pPr>
            <w:r w:rsidRPr="00356214">
              <w:rPr>
                <w:color w:val="000000"/>
                <w:sz w:val="20"/>
                <w:szCs w:val="20"/>
              </w:rPr>
              <w:t>240</w:t>
            </w:r>
          </w:p>
        </w:tc>
      </w:tr>
      <w:tr w:rsidR="00C7122D" w14:paraId="5602882E" w14:textId="77777777" w:rsidTr="00356214">
        <w:tc>
          <w:tcPr>
            <w:tcW w:w="3175" w:type="dxa"/>
          </w:tcPr>
          <w:p w14:paraId="6F678501" w14:textId="77777777" w:rsidR="00C7122D" w:rsidRPr="00356214" w:rsidRDefault="00C7122D" w:rsidP="003C051A">
            <w:pPr>
              <w:pStyle w:val="L1-FlLSp12"/>
              <w:spacing w:line="276" w:lineRule="auto"/>
              <w:rPr>
                <w:rFonts w:ascii="Times New Roman" w:hAnsi="Times New Roman" w:cs="Times New Roman"/>
                <w:b/>
                <w:sz w:val="20"/>
                <w:szCs w:val="20"/>
              </w:rPr>
            </w:pPr>
            <w:r w:rsidRPr="00D244AE">
              <w:rPr>
                <w:rFonts w:ascii="Times New Roman" w:hAnsi="Times New Roman" w:cs="Times New Roman"/>
                <w:b/>
                <w:sz w:val="20"/>
                <w:szCs w:val="20"/>
              </w:rPr>
              <w:t>Total</w:t>
            </w:r>
          </w:p>
        </w:tc>
        <w:tc>
          <w:tcPr>
            <w:tcW w:w="1306" w:type="dxa"/>
            <w:tcBorders>
              <w:top w:val="single" w:sz="4" w:space="0" w:color="auto"/>
            </w:tcBorders>
          </w:tcPr>
          <w:p w14:paraId="716657F1" w14:textId="77777777" w:rsidR="00C7122D" w:rsidRPr="00D244AE" w:rsidRDefault="00C7122D" w:rsidP="003C051A">
            <w:pPr>
              <w:pStyle w:val="L1-FlLSp12"/>
              <w:spacing w:line="276" w:lineRule="auto"/>
              <w:jc w:val="center"/>
              <w:rPr>
                <w:rFonts w:ascii="Times New Roman" w:hAnsi="Times New Roman" w:cs="Times New Roman"/>
                <w:sz w:val="20"/>
                <w:szCs w:val="20"/>
              </w:rPr>
            </w:pPr>
          </w:p>
        </w:tc>
        <w:tc>
          <w:tcPr>
            <w:tcW w:w="1530" w:type="dxa"/>
            <w:tcBorders>
              <w:top w:val="single" w:sz="4" w:space="0" w:color="auto"/>
            </w:tcBorders>
          </w:tcPr>
          <w:p w14:paraId="7E36E766" w14:textId="576DBD0F" w:rsidR="00C7122D" w:rsidRPr="00356214" w:rsidRDefault="00C7122D" w:rsidP="003C051A">
            <w:pPr>
              <w:pStyle w:val="L1-FlLSp12"/>
              <w:spacing w:line="276" w:lineRule="auto"/>
              <w:jc w:val="center"/>
              <w:rPr>
                <w:rFonts w:ascii="Times New Roman" w:hAnsi="Times New Roman" w:cs="Times New Roman"/>
                <w:b/>
                <w:sz w:val="20"/>
                <w:szCs w:val="20"/>
              </w:rPr>
            </w:pPr>
            <w:r w:rsidRPr="00356214">
              <w:rPr>
                <w:b/>
                <w:sz w:val="20"/>
                <w:szCs w:val="20"/>
              </w:rPr>
              <w:t>852</w:t>
            </w:r>
          </w:p>
        </w:tc>
        <w:tc>
          <w:tcPr>
            <w:tcW w:w="1530" w:type="dxa"/>
            <w:tcBorders>
              <w:top w:val="single" w:sz="4" w:space="0" w:color="auto"/>
            </w:tcBorders>
          </w:tcPr>
          <w:p w14:paraId="7E48BDFF" w14:textId="47EBB037" w:rsidR="00C7122D" w:rsidRPr="00356214" w:rsidRDefault="00C7122D" w:rsidP="003C051A">
            <w:pPr>
              <w:pStyle w:val="L1-FlLSp12"/>
              <w:spacing w:line="276" w:lineRule="auto"/>
              <w:jc w:val="center"/>
              <w:rPr>
                <w:rFonts w:ascii="Times New Roman" w:hAnsi="Times New Roman" w:cs="Times New Roman"/>
                <w:b/>
                <w:sz w:val="20"/>
                <w:szCs w:val="20"/>
              </w:rPr>
            </w:pPr>
            <w:r w:rsidRPr="00356214">
              <w:rPr>
                <w:b/>
                <w:sz w:val="20"/>
                <w:szCs w:val="20"/>
              </w:rPr>
              <w:t>852</w:t>
            </w:r>
          </w:p>
        </w:tc>
        <w:tc>
          <w:tcPr>
            <w:tcW w:w="1094" w:type="dxa"/>
            <w:tcBorders>
              <w:top w:val="single" w:sz="4" w:space="0" w:color="auto"/>
            </w:tcBorders>
          </w:tcPr>
          <w:p w14:paraId="47ADCCCF" w14:textId="1AFD6C84" w:rsidR="00C7122D" w:rsidRPr="00356214" w:rsidRDefault="00C7122D" w:rsidP="003C051A">
            <w:pPr>
              <w:pStyle w:val="L1-FlLSp12"/>
              <w:spacing w:line="276" w:lineRule="auto"/>
              <w:jc w:val="center"/>
              <w:rPr>
                <w:rFonts w:ascii="Times New Roman" w:hAnsi="Times New Roman" w:cs="Times New Roman"/>
                <w:b/>
                <w:sz w:val="20"/>
                <w:szCs w:val="20"/>
              </w:rPr>
            </w:pPr>
            <w:r w:rsidRPr="00356214">
              <w:rPr>
                <w:b/>
                <w:sz w:val="20"/>
                <w:szCs w:val="20"/>
              </w:rPr>
              <w:t>1</w:t>
            </w:r>
            <w:r w:rsidR="00356214">
              <w:rPr>
                <w:b/>
                <w:sz w:val="20"/>
                <w:szCs w:val="20"/>
              </w:rPr>
              <w:t>,</w:t>
            </w:r>
            <w:r w:rsidRPr="00356214">
              <w:rPr>
                <w:b/>
                <w:sz w:val="20"/>
                <w:szCs w:val="20"/>
              </w:rPr>
              <w:t>704</w:t>
            </w:r>
          </w:p>
        </w:tc>
      </w:tr>
    </w:tbl>
    <w:p w14:paraId="3D20BE19" w14:textId="77777777" w:rsidR="00E05EBC" w:rsidRPr="00D5437E" w:rsidRDefault="00E05EBC" w:rsidP="00E05EBC">
      <w:pPr>
        <w:jc w:val="left"/>
        <w:rPr>
          <w:sz w:val="24"/>
          <w:szCs w:val="24"/>
        </w:rPr>
      </w:pPr>
    </w:p>
    <w:bookmarkEnd w:id="4"/>
    <w:p w14:paraId="00C08C0E" w14:textId="77777777" w:rsidR="00415164" w:rsidRPr="00D95F56" w:rsidRDefault="00415164" w:rsidP="00186D36">
      <w:pPr>
        <w:jc w:val="left"/>
        <w:rPr>
          <w:highlight w:val="yellow"/>
        </w:rPr>
      </w:pPr>
    </w:p>
    <w:p w14:paraId="75C9A616" w14:textId="77777777" w:rsidR="006A2EDE" w:rsidRPr="00D5437E" w:rsidRDefault="008A6A7C" w:rsidP="00645BE0">
      <w:pPr>
        <w:pStyle w:val="Heading1"/>
        <w:spacing w:line="276" w:lineRule="auto"/>
        <w:jc w:val="left"/>
        <w:rPr>
          <w:sz w:val="24"/>
          <w:szCs w:val="24"/>
        </w:rPr>
      </w:pPr>
      <w:bookmarkStart w:id="15" w:name="_Toc329341117"/>
      <w:bookmarkStart w:id="16" w:name="_Toc290021782"/>
      <w:bookmarkStart w:id="17" w:name="_Toc287257090"/>
      <w:bookmarkStart w:id="18" w:name="_Toc287257036"/>
      <w:bookmarkStart w:id="19" w:name="_Toc400377724"/>
      <w:bookmarkStart w:id="20" w:name="_Toc409090901"/>
      <w:bookmarkStart w:id="21" w:name="_Toc474235253"/>
      <w:r w:rsidRPr="00D5437E">
        <w:rPr>
          <w:sz w:val="24"/>
          <w:szCs w:val="24"/>
        </w:rPr>
        <w:t>B.2</w:t>
      </w:r>
      <w:r w:rsidRPr="00D5437E">
        <w:rPr>
          <w:sz w:val="24"/>
          <w:szCs w:val="24"/>
        </w:rPr>
        <w:tab/>
        <w:t>Procedures for the Collection of Information</w:t>
      </w:r>
      <w:bookmarkEnd w:id="15"/>
      <w:bookmarkEnd w:id="16"/>
      <w:bookmarkEnd w:id="17"/>
      <w:bookmarkEnd w:id="18"/>
      <w:bookmarkEnd w:id="19"/>
      <w:bookmarkEnd w:id="20"/>
      <w:bookmarkEnd w:id="21"/>
    </w:p>
    <w:p w14:paraId="53F59241" w14:textId="77777777" w:rsidR="006A5E5C" w:rsidRPr="00D5437E" w:rsidRDefault="006A5E5C" w:rsidP="00645BE0">
      <w:pPr>
        <w:pStyle w:val="Heading1"/>
        <w:spacing w:line="276" w:lineRule="auto"/>
        <w:jc w:val="left"/>
        <w:rPr>
          <w:sz w:val="24"/>
          <w:szCs w:val="24"/>
        </w:rPr>
      </w:pPr>
      <w:bookmarkStart w:id="22" w:name="_Toc409090902"/>
    </w:p>
    <w:p w14:paraId="0EF89B29" w14:textId="77777777" w:rsidR="008731C6" w:rsidRPr="00D5437E" w:rsidRDefault="00063D33" w:rsidP="00645BE0">
      <w:pPr>
        <w:pStyle w:val="Heading1"/>
        <w:spacing w:line="276" w:lineRule="auto"/>
        <w:jc w:val="left"/>
        <w:rPr>
          <w:sz w:val="24"/>
          <w:szCs w:val="24"/>
        </w:rPr>
      </w:pPr>
      <w:bookmarkStart w:id="23" w:name="_Toc474235254"/>
      <w:r w:rsidRPr="00D5437E">
        <w:rPr>
          <w:sz w:val="24"/>
          <w:szCs w:val="24"/>
        </w:rPr>
        <w:t>B.2.1</w:t>
      </w:r>
      <w:r w:rsidRPr="00D5437E">
        <w:rPr>
          <w:sz w:val="24"/>
          <w:szCs w:val="24"/>
        </w:rPr>
        <w:tab/>
      </w:r>
      <w:r w:rsidR="008731C6" w:rsidRPr="00D5437E">
        <w:rPr>
          <w:sz w:val="24"/>
          <w:szCs w:val="24"/>
        </w:rPr>
        <w:t>Statistical Me</w:t>
      </w:r>
      <w:r w:rsidR="00D30242" w:rsidRPr="00D5437E">
        <w:rPr>
          <w:sz w:val="24"/>
          <w:szCs w:val="24"/>
        </w:rPr>
        <w:t>t</w:t>
      </w:r>
      <w:r w:rsidR="008731C6" w:rsidRPr="00D5437E">
        <w:rPr>
          <w:sz w:val="24"/>
          <w:szCs w:val="24"/>
        </w:rPr>
        <w:t>hodology</w:t>
      </w:r>
      <w:r w:rsidR="008721BF" w:rsidRPr="00D5437E">
        <w:rPr>
          <w:sz w:val="24"/>
          <w:szCs w:val="24"/>
        </w:rPr>
        <w:t xml:space="preserve"> </w:t>
      </w:r>
      <w:r w:rsidR="00F3587E" w:rsidRPr="00D5437E">
        <w:rPr>
          <w:sz w:val="24"/>
          <w:szCs w:val="24"/>
        </w:rPr>
        <w:t>for Stratification and Sample Selection</w:t>
      </w:r>
      <w:bookmarkEnd w:id="23"/>
    </w:p>
    <w:p w14:paraId="72653BAC" w14:textId="77777777" w:rsidR="002A52B9" w:rsidRPr="00D5437E" w:rsidRDefault="002A52B9" w:rsidP="00645BE0">
      <w:pPr>
        <w:pStyle w:val="NormalSS"/>
        <w:spacing w:line="276" w:lineRule="auto"/>
        <w:jc w:val="left"/>
        <w:rPr>
          <w:sz w:val="24"/>
        </w:rPr>
      </w:pPr>
    </w:p>
    <w:p w14:paraId="01A731A0" w14:textId="04D619EC" w:rsidR="00F71A18" w:rsidRPr="00D5437E" w:rsidRDefault="00577225" w:rsidP="009724F9">
      <w:pPr>
        <w:jc w:val="left"/>
        <w:rPr>
          <w:sz w:val="24"/>
          <w:szCs w:val="24"/>
        </w:rPr>
      </w:pPr>
      <w:r w:rsidRPr="00357E73">
        <w:rPr>
          <w:sz w:val="24"/>
          <w:szCs w:val="24"/>
        </w:rPr>
        <w:lastRenderedPageBreak/>
        <w:t xml:space="preserve">No sampling methods will be used </w:t>
      </w:r>
      <w:r w:rsidR="00584E67" w:rsidRPr="00584E67">
        <w:rPr>
          <w:sz w:val="24"/>
          <w:szCs w:val="24"/>
        </w:rPr>
        <w:t xml:space="preserve"> </w:t>
      </w:r>
      <w:r w:rsidR="00584E67">
        <w:rPr>
          <w:sz w:val="24"/>
          <w:szCs w:val="24"/>
        </w:rPr>
        <w:t>as a</w:t>
      </w:r>
      <w:r w:rsidR="00584E67" w:rsidRPr="00D5437E">
        <w:rPr>
          <w:sz w:val="24"/>
          <w:szCs w:val="24"/>
        </w:rPr>
        <w:t>ll individuals will be included in the follow-up data collection effort.</w:t>
      </w:r>
    </w:p>
    <w:p w14:paraId="06277429" w14:textId="77777777" w:rsidR="008731C6" w:rsidRPr="00D5437E" w:rsidRDefault="00063D33" w:rsidP="00645BE0">
      <w:pPr>
        <w:pStyle w:val="Heading2"/>
        <w:spacing w:after="0" w:line="276" w:lineRule="auto"/>
        <w:rPr>
          <w:sz w:val="24"/>
          <w:szCs w:val="24"/>
        </w:rPr>
      </w:pPr>
      <w:bookmarkStart w:id="24" w:name="_Toc400377747"/>
      <w:bookmarkStart w:id="25" w:name="_Toc474235255"/>
      <w:r w:rsidRPr="00D5437E">
        <w:rPr>
          <w:sz w:val="24"/>
          <w:szCs w:val="24"/>
        </w:rPr>
        <w:t>B.2.2</w:t>
      </w:r>
      <w:r w:rsidRPr="00D5437E">
        <w:rPr>
          <w:sz w:val="24"/>
          <w:szCs w:val="24"/>
        </w:rPr>
        <w:tab/>
      </w:r>
      <w:r w:rsidR="008731C6" w:rsidRPr="00D5437E">
        <w:rPr>
          <w:sz w:val="24"/>
          <w:szCs w:val="24"/>
        </w:rPr>
        <w:t>Estimation Procedures</w:t>
      </w:r>
      <w:bookmarkEnd w:id="24"/>
      <w:bookmarkEnd w:id="25"/>
      <w:r w:rsidR="008731C6" w:rsidRPr="00D5437E">
        <w:rPr>
          <w:sz w:val="24"/>
          <w:szCs w:val="24"/>
        </w:rPr>
        <w:t xml:space="preserve"> </w:t>
      </w:r>
    </w:p>
    <w:p w14:paraId="32A002BE" w14:textId="77777777" w:rsidR="00F01DAB" w:rsidRPr="00D5437E" w:rsidRDefault="00F01DAB" w:rsidP="00645BE0">
      <w:pPr>
        <w:pStyle w:val="L1-FlLSp12"/>
        <w:spacing w:line="276" w:lineRule="auto"/>
        <w:jc w:val="left"/>
        <w:rPr>
          <w:sz w:val="24"/>
          <w:szCs w:val="24"/>
        </w:rPr>
      </w:pPr>
    </w:p>
    <w:p w14:paraId="3F09D983" w14:textId="77777777" w:rsidR="00A66772" w:rsidRPr="00D5437E" w:rsidRDefault="00A66772" w:rsidP="009724F9">
      <w:pPr>
        <w:pStyle w:val="NormalSS"/>
        <w:spacing w:line="276" w:lineRule="auto"/>
        <w:ind w:firstLine="0"/>
        <w:jc w:val="left"/>
        <w:rPr>
          <w:sz w:val="24"/>
        </w:rPr>
      </w:pPr>
      <w:r w:rsidRPr="00D5437E">
        <w:rPr>
          <w:sz w:val="24"/>
        </w:rPr>
        <w:t xml:space="preserve">The objective of the RCT is to estimate program impacts—that is, observed outcomes for the treatment group relative to what those outcomes would have been  in the absence of the program—in each of the six RCT study sites.  Specifically, the RCT will identify the extent to which training and supportive services in each site improve participant employment and earnings.  </w:t>
      </w:r>
    </w:p>
    <w:p w14:paraId="77EA4244" w14:textId="77777777" w:rsidR="00A66772" w:rsidRPr="00D5437E" w:rsidRDefault="00A66772" w:rsidP="009724F9">
      <w:pPr>
        <w:pStyle w:val="NormalSS"/>
        <w:spacing w:line="276" w:lineRule="auto"/>
        <w:jc w:val="left"/>
        <w:rPr>
          <w:sz w:val="24"/>
        </w:rPr>
      </w:pPr>
    </w:p>
    <w:p w14:paraId="70FD1613" w14:textId="75AC1E55" w:rsidR="00A66772" w:rsidRPr="00D5437E" w:rsidRDefault="00A66772" w:rsidP="009724F9">
      <w:pPr>
        <w:pStyle w:val="NormalSS"/>
        <w:spacing w:line="276" w:lineRule="auto"/>
        <w:ind w:firstLine="0"/>
        <w:jc w:val="left"/>
        <w:rPr>
          <w:sz w:val="24"/>
        </w:rPr>
      </w:pPr>
      <w:r w:rsidRPr="00D5437E">
        <w:rPr>
          <w:sz w:val="24"/>
        </w:rPr>
        <w:t xml:space="preserve">This section describes our analytic approach to estimate program impacts using the </w:t>
      </w:r>
      <w:r w:rsidR="00E31AE3">
        <w:rPr>
          <w:sz w:val="24"/>
        </w:rPr>
        <w:t>18</w:t>
      </w:r>
      <w:r w:rsidRPr="00D5437E">
        <w:rPr>
          <w:sz w:val="24"/>
        </w:rPr>
        <w:t xml:space="preserve">-month survey </w:t>
      </w:r>
      <w:r w:rsidR="00356214">
        <w:rPr>
          <w:sz w:val="24"/>
        </w:rPr>
        <w:t>that is</w:t>
      </w:r>
      <w:r w:rsidRPr="00D5437E">
        <w:rPr>
          <w:sz w:val="24"/>
        </w:rPr>
        <w:t xml:space="preserve"> included in this request for clearance, as well as the National Directory of New Hires (ND</w:t>
      </w:r>
      <w:r w:rsidR="00A71FD2">
        <w:rPr>
          <w:sz w:val="24"/>
        </w:rPr>
        <w:t>NH</w:t>
      </w:r>
      <w:r w:rsidRPr="00D5437E">
        <w:rPr>
          <w:sz w:val="24"/>
        </w:rPr>
        <w:t xml:space="preserve">) data. The </w:t>
      </w:r>
      <w:r w:rsidR="00E31AE3">
        <w:rPr>
          <w:sz w:val="24"/>
        </w:rPr>
        <w:t>18</w:t>
      </w:r>
      <w:r w:rsidRPr="00D5437E">
        <w:rPr>
          <w:sz w:val="24"/>
        </w:rPr>
        <w:t>-month survey is intended to capture impacts on intermediate outcomes of educational and training completion</w:t>
      </w:r>
      <w:r w:rsidR="00E31AE3">
        <w:rPr>
          <w:sz w:val="24"/>
        </w:rPr>
        <w:t xml:space="preserve">, </w:t>
      </w:r>
      <w:r w:rsidRPr="00D5437E">
        <w:rPr>
          <w:sz w:val="24"/>
        </w:rPr>
        <w:t>removal of work-related barriers, including transportation and childcare</w:t>
      </w:r>
      <w:r w:rsidR="00E31AE3">
        <w:rPr>
          <w:sz w:val="24"/>
        </w:rPr>
        <w:t xml:space="preserve">, and </w:t>
      </w:r>
      <w:r w:rsidR="00BE0518">
        <w:rPr>
          <w:sz w:val="24"/>
        </w:rPr>
        <w:t>employment, earnings, and job characteristics</w:t>
      </w:r>
      <w:r w:rsidR="00463BAF">
        <w:rPr>
          <w:sz w:val="24"/>
        </w:rPr>
        <w:t>, and material well-being</w:t>
      </w:r>
      <w:r w:rsidRPr="00D5437E">
        <w:rPr>
          <w:sz w:val="24"/>
        </w:rPr>
        <w:t xml:space="preserve">. </w:t>
      </w:r>
      <w:r>
        <w:rPr>
          <w:sz w:val="24"/>
        </w:rPr>
        <w:t>Key outcome variables include training completion, industry of training, credential attainment, has regular child care arrangement, receives child care subsidy, ever worked, currently working, current/most recent job industry, hours worked, and hourly wage</w:t>
      </w:r>
      <w:r w:rsidR="00356214">
        <w:rPr>
          <w:sz w:val="24"/>
        </w:rPr>
        <w:t>, public assistance receipt, and household and personal income.</w:t>
      </w:r>
    </w:p>
    <w:p w14:paraId="3844BBFB" w14:textId="77777777" w:rsidR="00A66772" w:rsidRPr="00D5437E" w:rsidRDefault="00A66772" w:rsidP="009724F9">
      <w:pPr>
        <w:pStyle w:val="NormalSS"/>
        <w:spacing w:line="276" w:lineRule="auto"/>
        <w:jc w:val="left"/>
        <w:rPr>
          <w:sz w:val="24"/>
        </w:rPr>
      </w:pPr>
    </w:p>
    <w:p w14:paraId="3FEC675F" w14:textId="2F7221D9" w:rsidR="00A66772" w:rsidRDefault="00A66772" w:rsidP="009724F9">
      <w:pPr>
        <w:pStyle w:val="NormalSS"/>
        <w:spacing w:line="276" w:lineRule="auto"/>
        <w:ind w:firstLine="0"/>
        <w:jc w:val="left"/>
        <w:rPr>
          <w:sz w:val="24"/>
        </w:rPr>
      </w:pPr>
      <w:r w:rsidRPr="00D5437E">
        <w:rPr>
          <w:sz w:val="24"/>
        </w:rPr>
        <w:t>Given that random assignment produces balance in expectation, the basic impact estimates can be computed using the difference in mean outcomes between the treatment group members and control group members. Each of the resulting estimates for each outcome is unbiased because the individuals who comprise the treatment and control groups in the site were assigned at random to either the treatment or control from a common pool and hence are expected to be statistically equivalent on all factors at baseline.  As a result, any statistically significant differences in outcomes between the groups can be attributed to the effects of the intervention.  Regression analysis that controls for background characterist</w:t>
      </w:r>
      <w:r>
        <w:rPr>
          <w:sz w:val="24"/>
        </w:rPr>
        <w:t>i</w:t>
      </w:r>
      <w:r w:rsidRPr="00D5437E">
        <w:rPr>
          <w:sz w:val="24"/>
        </w:rPr>
        <w:t>cs</w:t>
      </w:r>
      <w:r>
        <w:rPr>
          <w:sz w:val="24"/>
        </w:rPr>
        <w:t>, including prior earnings and employment, education, and demographics,</w:t>
      </w:r>
      <w:r w:rsidRPr="00D5437E">
        <w:rPr>
          <w:sz w:val="24"/>
        </w:rPr>
        <w:t xml:space="preserve"> will be used to improve the precision of the impact estimates.  A standard linear regression will be used to estimate impacts.</w:t>
      </w:r>
      <w:r>
        <w:rPr>
          <w:sz w:val="24"/>
        </w:rPr>
        <w:t xml:space="preserve"> This approach is used in all impact analyses that we are aware of over the past 40 years. The rationale for this standard approach, of using inferential (rather than descriptive) statistics, rests on the goal to generalize the results to a super population of TechHire and SWFI grantees. </w:t>
      </w:r>
      <w:r w:rsidR="001D06A3">
        <w:rPr>
          <w:sz w:val="24"/>
        </w:rPr>
        <w:t>E</w:t>
      </w:r>
      <w:r>
        <w:rPr>
          <w:sz w:val="24"/>
        </w:rPr>
        <w:t xml:space="preserve">ven though probability sampling was not used to select the sites, an effort was made to ensure that the grantees chosen for the impact analysis cover a range of program features, geographic regions, and populations. </w:t>
      </w:r>
      <w:r w:rsidR="001D06A3">
        <w:rPr>
          <w:sz w:val="24"/>
        </w:rPr>
        <w:t>DOL</w:t>
      </w:r>
      <w:r>
        <w:rPr>
          <w:sz w:val="24"/>
        </w:rPr>
        <w:t xml:space="preserve"> hopes to learn not only about these specific </w:t>
      </w:r>
      <w:r w:rsidR="001D06A3">
        <w:rPr>
          <w:sz w:val="24"/>
        </w:rPr>
        <w:t xml:space="preserve">five </w:t>
      </w:r>
      <w:r>
        <w:rPr>
          <w:sz w:val="24"/>
        </w:rPr>
        <w:t>grantees, but to generalize these findings to the dozens of TechHire grantees throughout the nation.</w:t>
      </w:r>
      <w:r>
        <w:rPr>
          <w:rStyle w:val="FootnoteReference"/>
          <w:sz w:val="24"/>
        </w:rPr>
        <w:footnoteReference w:id="1"/>
      </w:r>
    </w:p>
    <w:p w14:paraId="6B468385" w14:textId="77777777" w:rsidR="00A66772" w:rsidRDefault="00A66772" w:rsidP="009724F9">
      <w:pPr>
        <w:pStyle w:val="NormalSS"/>
        <w:spacing w:line="276" w:lineRule="auto"/>
        <w:ind w:firstLine="0"/>
        <w:jc w:val="left"/>
        <w:rPr>
          <w:sz w:val="24"/>
        </w:rPr>
      </w:pPr>
    </w:p>
    <w:p w14:paraId="0B30879F" w14:textId="48893DA0" w:rsidR="00A66772" w:rsidRPr="00D5437E" w:rsidRDefault="009F26B8" w:rsidP="009724F9">
      <w:pPr>
        <w:pStyle w:val="L1-FlLSp12"/>
        <w:spacing w:line="276" w:lineRule="auto"/>
        <w:jc w:val="left"/>
        <w:rPr>
          <w:rFonts w:eastAsiaTheme="minorHAnsi"/>
          <w:sz w:val="24"/>
          <w:szCs w:val="24"/>
        </w:rPr>
      </w:pPr>
      <w:r w:rsidRPr="00356214">
        <w:rPr>
          <w:sz w:val="24"/>
          <w:szCs w:val="24"/>
        </w:rPr>
        <w:t xml:space="preserve">We plan to </w:t>
      </w:r>
      <w:r w:rsidR="00A66772" w:rsidRPr="00D244AE">
        <w:rPr>
          <w:rFonts w:eastAsiaTheme="minorHAnsi"/>
          <w:sz w:val="24"/>
          <w:szCs w:val="24"/>
        </w:rPr>
        <w:t>pool</w:t>
      </w:r>
      <w:r w:rsidRPr="00356214">
        <w:rPr>
          <w:rFonts w:eastAsiaTheme="minorHAnsi"/>
          <w:sz w:val="24"/>
          <w:szCs w:val="24"/>
        </w:rPr>
        <w:t xml:space="preserve"> the data</w:t>
      </w:r>
      <w:r w:rsidR="00A66772" w:rsidRPr="00D244AE">
        <w:rPr>
          <w:rFonts w:eastAsiaTheme="minorHAnsi"/>
          <w:sz w:val="24"/>
          <w:szCs w:val="24"/>
        </w:rPr>
        <w:t xml:space="preserve"> across sites</w:t>
      </w:r>
      <w:r w:rsidRPr="00356214">
        <w:rPr>
          <w:rFonts w:eastAsiaTheme="minorHAnsi"/>
          <w:sz w:val="24"/>
          <w:szCs w:val="24"/>
        </w:rPr>
        <w:t xml:space="preserve"> for the impact estimates and to cluster some of the sites—for example, to group by T</w:t>
      </w:r>
      <w:r w:rsidR="001D06A3">
        <w:rPr>
          <w:rFonts w:eastAsiaTheme="minorHAnsi"/>
          <w:sz w:val="24"/>
          <w:szCs w:val="24"/>
        </w:rPr>
        <w:t>echHire</w:t>
      </w:r>
      <w:r w:rsidRPr="00356214">
        <w:rPr>
          <w:rFonts w:eastAsiaTheme="minorHAnsi"/>
          <w:sz w:val="24"/>
          <w:szCs w:val="24"/>
        </w:rPr>
        <w:t xml:space="preserve"> and SWFI grantees</w:t>
      </w:r>
      <w:r w:rsidR="00A66772" w:rsidRPr="00D244AE">
        <w:rPr>
          <w:rFonts w:eastAsiaTheme="minorHAnsi"/>
          <w:sz w:val="24"/>
          <w:szCs w:val="24"/>
        </w:rPr>
        <w:t xml:space="preserve">. </w:t>
      </w:r>
      <w:r w:rsidR="007B7DFD" w:rsidRPr="00356214">
        <w:rPr>
          <w:rFonts w:eastAsiaTheme="minorHAnsi"/>
          <w:sz w:val="24"/>
          <w:szCs w:val="24"/>
        </w:rPr>
        <w:t>P</w:t>
      </w:r>
      <w:r w:rsidR="00A66772" w:rsidRPr="00D244AE">
        <w:rPr>
          <w:rFonts w:eastAsiaTheme="minorHAnsi"/>
          <w:sz w:val="24"/>
          <w:szCs w:val="24"/>
        </w:rPr>
        <w:t xml:space="preserve">ooling sites </w:t>
      </w:r>
      <w:r w:rsidR="007B7DFD" w:rsidRPr="00356214">
        <w:rPr>
          <w:rFonts w:eastAsiaTheme="minorHAnsi"/>
          <w:sz w:val="24"/>
          <w:szCs w:val="24"/>
        </w:rPr>
        <w:t xml:space="preserve">is </w:t>
      </w:r>
      <w:r w:rsidR="00A66772" w:rsidRPr="00D244AE">
        <w:rPr>
          <w:rFonts w:eastAsiaTheme="minorHAnsi"/>
          <w:sz w:val="24"/>
          <w:szCs w:val="24"/>
        </w:rPr>
        <w:t>necessary</w:t>
      </w:r>
      <w:r w:rsidR="007B7DFD" w:rsidRPr="00356214">
        <w:rPr>
          <w:rFonts w:eastAsiaTheme="minorHAnsi"/>
          <w:sz w:val="24"/>
          <w:szCs w:val="24"/>
        </w:rPr>
        <w:t xml:space="preserve"> due to the small sizes of some of the sites and because the policy question is whether the traini</w:t>
      </w:r>
      <w:r w:rsidR="001D06A3">
        <w:rPr>
          <w:rFonts w:eastAsiaTheme="minorHAnsi"/>
          <w:sz w:val="24"/>
          <w:szCs w:val="24"/>
        </w:rPr>
        <w:t>n</w:t>
      </w:r>
      <w:r w:rsidR="007B7DFD" w:rsidRPr="00356214">
        <w:rPr>
          <w:rFonts w:eastAsiaTheme="minorHAnsi"/>
          <w:sz w:val="24"/>
          <w:szCs w:val="24"/>
        </w:rPr>
        <w:t xml:space="preserve">g and </w:t>
      </w:r>
      <w:r w:rsidR="00782AEF" w:rsidRPr="00356214">
        <w:rPr>
          <w:rFonts w:eastAsiaTheme="minorHAnsi"/>
          <w:sz w:val="24"/>
          <w:szCs w:val="24"/>
        </w:rPr>
        <w:t>supportive services</w:t>
      </w:r>
      <w:r w:rsidR="001D06A3">
        <w:rPr>
          <w:rFonts w:eastAsiaTheme="minorHAnsi"/>
          <w:sz w:val="24"/>
          <w:szCs w:val="24"/>
        </w:rPr>
        <w:t xml:space="preserve"> provided under the grants</w:t>
      </w:r>
      <w:r w:rsidR="00782AEF" w:rsidRPr="00356214">
        <w:rPr>
          <w:rFonts w:eastAsiaTheme="minorHAnsi"/>
          <w:sz w:val="24"/>
          <w:szCs w:val="24"/>
        </w:rPr>
        <w:t xml:space="preserve"> helped low-wage jobseekers </w:t>
      </w:r>
      <w:r w:rsidR="00721D29" w:rsidRPr="00356214">
        <w:rPr>
          <w:rFonts w:eastAsiaTheme="minorHAnsi"/>
          <w:sz w:val="24"/>
          <w:szCs w:val="24"/>
        </w:rPr>
        <w:t>find</w:t>
      </w:r>
      <w:r w:rsidR="00782AEF" w:rsidRPr="00356214">
        <w:rPr>
          <w:rFonts w:eastAsiaTheme="minorHAnsi"/>
          <w:sz w:val="24"/>
          <w:szCs w:val="24"/>
        </w:rPr>
        <w:t xml:space="preserve"> and maintain employment</w:t>
      </w:r>
      <w:r w:rsidR="007B7DFD" w:rsidRPr="00356214">
        <w:rPr>
          <w:rFonts w:eastAsiaTheme="minorHAnsi"/>
          <w:sz w:val="24"/>
          <w:szCs w:val="24"/>
        </w:rPr>
        <w:t>. The pooled estimate</w:t>
      </w:r>
      <w:r w:rsidR="00A66772" w:rsidRPr="00D244AE">
        <w:rPr>
          <w:rFonts w:eastAsiaTheme="minorHAnsi"/>
          <w:sz w:val="24"/>
          <w:szCs w:val="24"/>
        </w:rPr>
        <w:t xml:space="preserve"> provides a bottom-line indicator across a range of sites. </w:t>
      </w:r>
      <w:r w:rsidR="007B7DFD" w:rsidRPr="00356214">
        <w:rPr>
          <w:rFonts w:eastAsiaTheme="minorHAnsi"/>
          <w:sz w:val="24"/>
          <w:szCs w:val="24"/>
        </w:rPr>
        <w:t>W</w:t>
      </w:r>
      <w:r w:rsidR="00A66772" w:rsidRPr="00D244AE">
        <w:rPr>
          <w:rFonts w:eastAsiaTheme="minorHAnsi"/>
          <w:sz w:val="24"/>
          <w:szCs w:val="24"/>
        </w:rPr>
        <w:t>e will add site indicator dummies to the linear regression models in order to account for site fixed effects.</w:t>
      </w:r>
    </w:p>
    <w:p w14:paraId="5FCF8D71" w14:textId="77777777" w:rsidR="00A66772" w:rsidRPr="00D5437E" w:rsidRDefault="00A66772" w:rsidP="009724F9">
      <w:pPr>
        <w:pStyle w:val="L1-FlLSp12"/>
        <w:spacing w:line="276" w:lineRule="auto"/>
        <w:jc w:val="left"/>
        <w:rPr>
          <w:rFonts w:eastAsiaTheme="minorHAnsi"/>
          <w:sz w:val="24"/>
          <w:szCs w:val="24"/>
        </w:rPr>
      </w:pPr>
    </w:p>
    <w:p w14:paraId="3872081C" w14:textId="77777777" w:rsidR="00A66772" w:rsidRPr="00D5437E" w:rsidRDefault="00A66772" w:rsidP="009724F9">
      <w:pPr>
        <w:pStyle w:val="L1-FlLSp12"/>
        <w:spacing w:line="276" w:lineRule="auto"/>
        <w:jc w:val="left"/>
        <w:rPr>
          <w:sz w:val="24"/>
          <w:szCs w:val="24"/>
        </w:rPr>
      </w:pPr>
      <w:r w:rsidRPr="00D5437E">
        <w:rPr>
          <w:sz w:val="24"/>
          <w:szCs w:val="24"/>
        </w:rPr>
        <w:t xml:space="preserve">Impacts will be calculated for key subgroups to better understand what works best for whom. In impact studies, subgroup impacts have been estimated several different ways. In “split-sample” subgroup analyses, the full sample is divided into two or more mutually exclusive and exhaustive groups (for example, by gender or for those with more severe barriers and less work experience). In this approach, impacts are estimated for each group separately. In addition to determining whether the intervention had statistically significant effects for each subgroup, Q-statistics are used to determine whether impacts differ significantly across subgroups (Hedges &amp; Olkin, 1985). Regardless of the exact subgroup estimation strategy, it is clear that subgroups would have to be computed on the pooled sample rather than with sites. </w:t>
      </w:r>
    </w:p>
    <w:p w14:paraId="09ADEEC5" w14:textId="77777777" w:rsidR="00A66772" w:rsidRPr="00D5437E" w:rsidRDefault="00A66772" w:rsidP="009724F9">
      <w:pPr>
        <w:pStyle w:val="L1-FlLSp12"/>
        <w:spacing w:line="276" w:lineRule="auto"/>
        <w:jc w:val="left"/>
        <w:rPr>
          <w:sz w:val="24"/>
          <w:szCs w:val="24"/>
        </w:rPr>
      </w:pPr>
    </w:p>
    <w:p w14:paraId="70ADB1D0" w14:textId="77777777" w:rsidR="00A66772" w:rsidRPr="00D5437E" w:rsidRDefault="00A66772" w:rsidP="009724F9">
      <w:pPr>
        <w:pStyle w:val="L1-FlLSp12"/>
        <w:spacing w:line="276" w:lineRule="auto"/>
        <w:jc w:val="left"/>
        <w:rPr>
          <w:sz w:val="24"/>
          <w:szCs w:val="24"/>
        </w:rPr>
      </w:pPr>
      <w:r w:rsidRPr="00D5437E">
        <w:rPr>
          <w:sz w:val="24"/>
          <w:szCs w:val="24"/>
        </w:rPr>
        <w:t xml:space="preserve">We will strive to limit subgroup comparisons to those for which theory and prior studies provide good reasons for expecting subgroup differences on advancement outcomes. This is to guard against the chance of a “false positive,” which stems from the fact that the more subgroups that are examined, the greater the chance of finding one with a large effect, even when there are no real differences in impacts across subgroups. We will also consider the use of corrections for multiple comparisons, such as the Bonferroni or Benjamini-Hochberg corrections. </w:t>
      </w:r>
    </w:p>
    <w:p w14:paraId="528B65E2" w14:textId="77777777" w:rsidR="00A66772" w:rsidRPr="00D5437E" w:rsidRDefault="00A66772" w:rsidP="009724F9">
      <w:pPr>
        <w:pStyle w:val="L1-FlLSp12"/>
        <w:spacing w:line="276" w:lineRule="auto"/>
        <w:jc w:val="left"/>
        <w:rPr>
          <w:sz w:val="24"/>
          <w:szCs w:val="24"/>
        </w:rPr>
      </w:pPr>
    </w:p>
    <w:p w14:paraId="7F46E015" w14:textId="77777777" w:rsidR="00357ED8" w:rsidRPr="00D5437E" w:rsidRDefault="002E7BF7" w:rsidP="00645BE0">
      <w:pPr>
        <w:pStyle w:val="Heading2"/>
        <w:rPr>
          <w:sz w:val="24"/>
          <w:szCs w:val="24"/>
        </w:rPr>
      </w:pPr>
      <w:r w:rsidRPr="00D5437E">
        <w:rPr>
          <w:sz w:val="24"/>
          <w:szCs w:val="24"/>
        </w:rPr>
        <w:t>B.2.3</w:t>
      </w:r>
      <w:r w:rsidR="00357ED8" w:rsidRPr="00D5437E">
        <w:rPr>
          <w:sz w:val="24"/>
          <w:szCs w:val="24"/>
        </w:rPr>
        <w:tab/>
        <w:t xml:space="preserve">Degree of Accuracy Needed </w:t>
      </w:r>
    </w:p>
    <w:p w14:paraId="09AC2518" w14:textId="63500EE3" w:rsidR="00D244AE" w:rsidRPr="009724F9" w:rsidRDefault="00D244AE" w:rsidP="009724F9">
      <w:pPr>
        <w:jc w:val="left"/>
        <w:rPr>
          <w:sz w:val="24"/>
          <w:szCs w:val="24"/>
        </w:rPr>
      </w:pPr>
      <w:r w:rsidRPr="009724F9">
        <w:rPr>
          <w:sz w:val="24"/>
          <w:szCs w:val="24"/>
        </w:rPr>
        <w:t>Based on the selection of 5 grantees for the RCT</w:t>
      </w:r>
      <w:r w:rsidR="0037260F">
        <w:rPr>
          <w:sz w:val="24"/>
          <w:szCs w:val="24"/>
        </w:rPr>
        <w:t xml:space="preserve"> study</w:t>
      </w:r>
      <w:r w:rsidRPr="009724F9">
        <w:rPr>
          <w:sz w:val="24"/>
          <w:szCs w:val="24"/>
        </w:rPr>
        <w:t>, we believe that the sites will be able to take in a total of 1,704 participants. B.2.3 shows the Minimum Detectable Effects (MDEs) for a few different scenarios:</w:t>
      </w:r>
      <w:r w:rsidRPr="009724F9">
        <w:rPr>
          <w:rStyle w:val="FootnoteReference"/>
          <w:sz w:val="24"/>
          <w:szCs w:val="24"/>
        </w:rPr>
        <w:footnoteReference w:id="2"/>
      </w:r>
      <w:r w:rsidRPr="009724F9">
        <w:rPr>
          <w:sz w:val="24"/>
          <w:szCs w:val="24"/>
        </w:rPr>
        <w:t xml:space="preserve"> </w:t>
      </w:r>
    </w:p>
    <w:p w14:paraId="2C17C31E" w14:textId="73CC4783" w:rsidR="00D244AE" w:rsidRPr="009724F9" w:rsidRDefault="00D244AE" w:rsidP="009724F9">
      <w:pPr>
        <w:pStyle w:val="ListParagraph"/>
        <w:numPr>
          <w:ilvl w:val="0"/>
          <w:numId w:val="30"/>
        </w:numPr>
        <w:ind w:left="1080"/>
        <w:jc w:val="left"/>
        <w:rPr>
          <w:sz w:val="24"/>
          <w:szCs w:val="24"/>
        </w:rPr>
      </w:pPr>
      <w:r w:rsidRPr="009724F9">
        <w:rPr>
          <w:sz w:val="24"/>
          <w:szCs w:val="24"/>
        </w:rPr>
        <w:t xml:space="preserve">A scenario in which we pool 5 sites with a total sample size of 1,700 </w:t>
      </w:r>
    </w:p>
    <w:p w14:paraId="26A50E9F" w14:textId="2328169C" w:rsidR="00D244AE" w:rsidRPr="009724F9" w:rsidRDefault="00D244AE" w:rsidP="009724F9">
      <w:pPr>
        <w:pStyle w:val="ListParagraph"/>
        <w:numPr>
          <w:ilvl w:val="0"/>
          <w:numId w:val="30"/>
        </w:numPr>
        <w:ind w:left="1080"/>
        <w:jc w:val="left"/>
        <w:rPr>
          <w:sz w:val="24"/>
          <w:szCs w:val="24"/>
        </w:rPr>
      </w:pPr>
      <w:r w:rsidRPr="009724F9">
        <w:rPr>
          <w:sz w:val="24"/>
          <w:szCs w:val="24"/>
        </w:rPr>
        <w:t>A scenario in which we pool 3 T</w:t>
      </w:r>
      <w:r w:rsidR="0037260F">
        <w:rPr>
          <w:sz w:val="24"/>
          <w:szCs w:val="24"/>
        </w:rPr>
        <w:t>ech</w:t>
      </w:r>
      <w:r w:rsidRPr="009724F9">
        <w:rPr>
          <w:sz w:val="24"/>
          <w:szCs w:val="24"/>
        </w:rPr>
        <w:t>H</w:t>
      </w:r>
      <w:r w:rsidR="0037260F">
        <w:rPr>
          <w:sz w:val="24"/>
          <w:szCs w:val="24"/>
        </w:rPr>
        <w:t>ire</w:t>
      </w:r>
      <w:r w:rsidRPr="009724F9">
        <w:rPr>
          <w:sz w:val="24"/>
          <w:szCs w:val="24"/>
        </w:rPr>
        <w:t xml:space="preserve"> sites</w:t>
      </w:r>
    </w:p>
    <w:p w14:paraId="5A630926" w14:textId="2A7FD2A3" w:rsidR="00D244AE" w:rsidRPr="009724F9" w:rsidRDefault="00D244AE" w:rsidP="009724F9">
      <w:pPr>
        <w:pStyle w:val="ListParagraph"/>
        <w:numPr>
          <w:ilvl w:val="0"/>
          <w:numId w:val="30"/>
        </w:numPr>
        <w:ind w:left="1080"/>
        <w:jc w:val="left"/>
        <w:rPr>
          <w:sz w:val="24"/>
          <w:szCs w:val="24"/>
        </w:rPr>
      </w:pPr>
      <w:r w:rsidRPr="009724F9">
        <w:rPr>
          <w:sz w:val="24"/>
          <w:szCs w:val="24"/>
        </w:rPr>
        <w:t>A scenario in which we pool 2 SWFI sites</w:t>
      </w:r>
    </w:p>
    <w:p w14:paraId="2CB0CD39" w14:textId="77777777" w:rsidR="00D244AE" w:rsidRPr="009724F9" w:rsidRDefault="00D244AE" w:rsidP="009724F9">
      <w:pPr>
        <w:jc w:val="left"/>
        <w:rPr>
          <w:sz w:val="24"/>
          <w:szCs w:val="24"/>
        </w:rPr>
      </w:pPr>
    </w:p>
    <w:p w14:paraId="0B35BD99" w14:textId="1CBC781D" w:rsidR="00D244AE" w:rsidRPr="009724F9" w:rsidRDefault="00D244AE" w:rsidP="009724F9">
      <w:pPr>
        <w:jc w:val="left"/>
        <w:rPr>
          <w:sz w:val="24"/>
          <w:szCs w:val="24"/>
        </w:rPr>
      </w:pPr>
      <w:r w:rsidRPr="009724F9">
        <w:rPr>
          <w:sz w:val="24"/>
          <w:szCs w:val="24"/>
        </w:rPr>
        <w:t>Within each of these three sample sizes, MDEs are shown based on the expected sample sizes for both the administrative records data (which are assumed to cover all sample members) and the survey data (which are assumed to cover 80 percent of sample members).</w:t>
      </w:r>
      <w:r w:rsidRPr="009724F9">
        <w:rPr>
          <w:sz w:val="24"/>
          <w:szCs w:val="24"/>
          <w:vertAlign w:val="superscript"/>
        </w:rPr>
        <w:footnoteReference w:id="3"/>
      </w:r>
      <w:r w:rsidRPr="009724F9">
        <w:rPr>
          <w:sz w:val="24"/>
          <w:szCs w:val="24"/>
        </w:rPr>
        <w:t xml:space="preserve"> The four rightmost columns of the table show the MDEs for impacts on percentage measures, such as employment, assuming two different standard deviations (0.4 and 0.5)</w:t>
      </w:r>
      <w:r w:rsidRPr="009724F9">
        <w:rPr>
          <w:sz w:val="24"/>
          <w:szCs w:val="24"/>
          <w:vertAlign w:val="superscript"/>
        </w:rPr>
        <w:footnoteReference w:id="4"/>
      </w:r>
      <w:r w:rsidRPr="009724F9">
        <w:rPr>
          <w:sz w:val="24"/>
          <w:szCs w:val="24"/>
        </w:rPr>
        <w:t xml:space="preserve"> and continuous measures, such as  earnings, assuming two different standard deviations ($</w:t>
      </w:r>
      <w:r w:rsidR="00B978F7">
        <w:rPr>
          <w:sz w:val="24"/>
          <w:szCs w:val="24"/>
        </w:rPr>
        <w:t>8,500</w:t>
      </w:r>
      <w:r w:rsidRPr="009724F9">
        <w:rPr>
          <w:sz w:val="24"/>
          <w:szCs w:val="24"/>
        </w:rPr>
        <w:t xml:space="preserve"> and $</w:t>
      </w:r>
      <w:r w:rsidR="00B978F7">
        <w:rPr>
          <w:sz w:val="24"/>
          <w:szCs w:val="24"/>
        </w:rPr>
        <w:t>14,000</w:t>
      </w:r>
      <w:r w:rsidRPr="009724F9">
        <w:rPr>
          <w:sz w:val="24"/>
          <w:szCs w:val="24"/>
        </w:rPr>
        <w:t>).</w:t>
      </w:r>
      <w:r w:rsidRPr="009724F9">
        <w:rPr>
          <w:sz w:val="24"/>
          <w:szCs w:val="24"/>
          <w:vertAlign w:val="superscript"/>
        </w:rPr>
        <w:footnoteReference w:id="5"/>
      </w:r>
      <w:r w:rsidRPr="009724F9">
        <w:rPr>
          <w:sz w:val="24"/>
          <w:szCs w:val="24"/>
        </w:rPr>
        <w:t xml:space="preserve"> </w:t>
      </w:r>
      <w:r w:rsidR="0037260F">
        <w:rPr>
          <w:sz w:val="24"/>
          <w:szCs w:val="24"/>
        </w:rPr>
        <w:t>The third column of the table presents the Minimum Detectable Effect Size (MDES).</w:t>
      </w:r>
    </w:p>
    <w:p w14:paraId="54A4EBAD" w14:textId="77777777" w:rsidR="00D244AE" w:rsidRPr="009724F9" w:rsidRDefault="00D244AE" w:rsidP="00645BE0">
      <w:pPr>
        <w:tabs>
          <w:tab w:val="clear" w:pos="1152"/>
        </w:tabs>
        <w:spacing w:line="240" w:lineRule="auto"/>
        <w:jc w:val="left"/>
        <w:rPr>
          <w:sz w:val="24"/>
          <w:szCs w:val="24"/>
        </w:rPr>
      </w:pPr>
    </w:p>
    <w:p w14:paraId="6FD82C71" w14:textId="21047F84" w:rsidR="00D244AE" w:rsidRPr="009724F9" w:rsidRDefault="00B8627C" w:rsidP="00B442F5">
      <w:pPr>
        <w:tabs>
          <w:tab w:val="clear" w:pos="1152"/>
        </w:tabs>
        <w:jc w:val="left"/>
        <w:rPr>
          <w:sz w:val="24"/>
          <w:szCs w:val="24"/>
        </w:rPr>
      </w:pPr>
      <w:r>
        <w:rPr>
          <w:sz w:val="24"/>
          <w:szCs w:val="24"/>
        </w:rPr>
        <w:t xml:space="preserve">Table B.2.1 shows MDEs for the scenario in which all 5 sites are pooled. </w:t>
      </w:r>
      <w:r w:rsidR="00D244AE" w:rsidRPr="009724F9">
        <w:rPr>
          <w:sz w:val="24"/>
          <w:szCs w:val="24"/>
        </w:rPr>
        <w:t xml:space="preserve">Assuming 50 percent of the control group was employed (that is, the standard deviation is 0.5), the MDESs </w:t>
      </w:r>
      <w:r w:rsidR="0037260F">
        <w:rPr>
          <w:sz w:val="24"/>
          <w:szCs w:val="24"/>
        </w:rPr>
        <w:t xml:space="preserve">of 0.111 and 0.1124 </w:t>
      </w:r>
      <w:r w:rsidR="00D244AE" w:rsidRPr="009724F9">
        <w:rPr>
          <w:sz w:val="24"/>
          <w:szCs w:val="24"/>
        </w:rPr>
        <w:t xml:space="preserve">translate into MDEs of between </w:t>
      </w:r>
      <w:r>
        <w:rPr>
          <w:sz w:val="24"/>
          <w:szCs w:val="24"/>
        </w:rPr>
        <w:t>5.6</w:t>
      </w:r>
      <w:r w:rsidR="00D244AE" w:rsidRPr="009724F9">
        <w:rPr>
          <w:sz w:val="24"/>
          <w:szCs w:val="24"/>
        </w:rPr>
        <w:t xml:space="preserve"> and </w:t>
      </w:r>
      <w:r>
        <w:rPr>
          <w:sz w:val="24"/>
          <w:szCs w:val="24"/>
        </w:rPr>
        <w:t>6.2</w:t>
      </w:r>
      <w:r w:rsidR="00D244AE" w:rsidRPr="009724F9">
        <w:rPr>
          <w:sz w:val="24"/>
          <w:szCs w:val="24"/>
        </w:rPr>
        <w:t xml:space="preserve"> for percentage measures. MDES for earnings measures are also shown. Depending on the control group levels, </w:t>
      </w:r>
      <w:r>
        <w:rPr>
          <w:sz w:val="24"/>
          <w:szCs w:val="24"/>
        </w:rPr>
        <w:t xml:space="preserve">annual </w:t>
      </w:r>
      <w:r w:rsidR="00D244AE" w:rsidRPr="009724F9">
        <w:rPr>
          <w:sz w:val="24"/>
          <w:szCs w:val="24"/>
        </w:rPr>
        <w:t>earnings impacts would have to be in the $</w:t>
      </w:r>
      <w:r>
        <w:rPr>
          <w:sz w:val="24"/>
          <w:szCs w:val="24"/>
        </w:rPr>
        <w:t>900</w:t>
      </w:r>
      <w:r w:rsidR="00D244AE" w:rsidRPr="009724F9">
        <w:rPr>
          <w:sz w:val="24"/>
          <w:szCs w:val="24"/>
        </w:rPr>
        <w:t>-$</w:t>
      </w:r>
      <w:r>
        <w:rPr>
          <w:sz w:val="24"/>
          <w:szCs w:val="24"/>
        </w:rPr>
        <w:t>1,600</w:t>
      </w:r>
      <w:r w:rsidR="00D244AE" w:rsidRPr="009724F9">
        <w:rPr>
          <w:sz w:val="24"/>
          <w:szCs w:val="24"/>
        </w:rPr>
        <w:t xml:space="preserve"> range to have a reasonable chance of being statistically significant. </w:t>
      </w:r>
      <w:r>
        <w:rPr>
          <w:sz w:val="24"/>
          <w:szCs w:val="24"/>
        </w:rPr>
        <w:t>B</w:t>
      </w:r>
      <w:r w:rsidR="00D244AE" w:rsidRPr="009724F9">
        <w:rPr>
          <w:sz w:val="24"/>
          <w:szCs w:val="24"/>
        </w:rPr>
        <w:t xml:space="preserve">ased on past studies it would be reasonable to expect impacts </w:t>
      </w:r>
      <w:r>
        <w:rPr>
          <w:sz w:val="24"/>
          <w:szCs w:val="24"/>
        </w:rPr>
        <w:t xml:space="preserve">of this size. </w:t>
      </w:r>
    </w:p>
    <w:p w14:paraId="532DD12D" w14:textId="77777777" w:rsidR="00D244AE" w:rsidRPr="009724F9" w:rsidRDefault="00D244AE" w:rsidP="009724F9">
      <w:pPr>
        <w:jc w:val="left"/>
        <w:rPr>
          <w:sz w:val="24"/>
          <w:szCs w:val="24"/>
        </w:rPr>
      </w:pPr>
    </w:p>
    <w:p w14:paraId="55B85FE0" w14:textId="3754BF87" w:rsidR="007236B1" w:rsidRDefault="00D244AE" w:rsidP="009724F9">
      <w:pPr>
        <w:jc w:val="left"/>
        <w:rPr>
          <w:sz w:val="24"/>
          <w:szCs w:val="24"/>
        </w:rPr>
      </w:pPr>
      <w:r w:rsidRPr="009724F9">
        <w:rPr>
          <w:sz w:val="24"/>
          <w:szCs w:val="24"/>
        </w:rPr>
        <w:t>Table B.2.1 also shows MDEs f</w:t>
      </w:r>
      <w:r w:rsidR="00B8627C">
        <w:rPr>
          <w:sz w:val="24"/>
          <w:szCs w:val="24"/>
        </w:rPr>
        <w:t xml:space="preserve">or the scenarios in which the sites are clustered by program—TechHire </w:t>
      </w:r>
      <w:r w:rsidR="001C24A2">
        <w:rPr>
          <w:sz w:val="24"/>
          <w:szCs w:val="24"/>
        </w:rPr>
        <w:t>and</w:t>
      </w:r>
      <w:r w:rsidR="00B8627C">
        <w:rPr>
          <w:sz w:val="24"/>
          <w:szCs w:val="24"/>
        </w:rPr>
        <w:t xml:space="preserve"> SWFI.</w:t>
      </w:r>
      <w:r w:rsidRPr="009724F9">
        <w:rPr>
          <w:sz w:val="24"/>
          <w:szCs w:val="24"/>
        </w:rPr>
        <w:t xml:space="preserve"> </w:t>
      </w:r>
      <w:r w:rsidR="009F2F49" w:rsidRPr="002E0C07">
        <w:rPr>
          <w:sz w:val="24"/>
          <w:szCs w:val="24"/>
        </w:rPr>
        <w:t xml:space="preserve">As discussed above, a common threshold for a well powered estimate is that </w:t>
      </w:r>
      <w:r w:rsidR="0037260F">
        <w:rPr>
          <w:sz w:val="24"/>
          <w:szCs w:val="24"/>
        </w:rPr>
        <w:t>MDESs</w:t>
      </w:r>
      <w:r w:rsidR="009F2F49" w:rsidRPr="002E0C07">
        <w:rPr>
          <w:sz w:val="24"/>
          <w:szCs w:val="24"/>
        </w:rPr>
        <w:t xml:space="preserve"> should be able to detect impacts which are smaller than 0.2</w:t>
      </w:r>
      <w:r w:rsidR="00C04A2F">
        <w:rPr>
          <w:sz w:val="24"/>
          <w:szCs w:val="24"/>
        </w:rPr>
        <w:t>1</w:t>
      </w:r>
      <w:r w:rsidR="009F2F49" w:rsidRPr="002E0C07">
        <w:rPr>
          <w:sz w:val="24"/>
          <w:szCs w:val="24"/>
        </w:rPr>
        <w:t xml:space="preserve"> standard deviations different from the control group level. </w:t>
      </w:r>
      <w:r w:rsidRPr="009724F9">
        <w:rPr>
          <w:sz w:val="24"/>
          <w:szCs w:val="24"/>
        </w:rPr>
        <w:t xml:space="preserve">MDES for grantee’s at this level are acceptable. </w:t>
      </w:r>
      <w:r w:rsidR="009F2F49" w:rsidRPr="002E0C07">
        <w:rPr>
          <w:sz w:val="24"/>
          <w:szCs w:val="24"/>
        </w:rPr>
        <w:t>Under th</w:t>
      </w:r>
      <w:r w:rsidR="009F2F49">
        <w:rPr>
          <w:sz w:val="24"/>
          <w:szCs w:val="24"/>
        </w:rPr>
        <w:t>e</w:t>
      </w:r>
      <w:r w:rsidR="009F2F49" w:rsidRPr="002E0C07">
        <w:rPr>
          <w:sz w:val="24"/>
          <w:szCs w:val="24"/>
        </w:rPr>
        <w:t xml:space="preserve"> scenario </w:t>
      </w:r>
      <w:r w:rsidR="009F2F49">
        <w:rPr>
          <w:sz w:val="24"/>
          <w:szCs w:val="24"/>
        </w:rPr>
        <w:t xml:space="preserve">of 2 pooled SWFI sites </w:t>
      </w:r>
      <w:r w:rsidR="009F2F49" w:rsidRPr="002E0C07">
        <w:rPr>
          <w:sz w:val="24"/>
          <w:szCs w:val="24"/>
        </w:rPr>
        <w:t>MDE</w:t>
      </w:r>
      <w:r w:rsidR="00C04A2F">
        <w:rPr>
          <w:sz w:val="24"/>
          <w:szCs w:val="24"/>
        </w:rPr>
        <w:t>S</w:t>
      </w:r>
      <w:r w:rsidR="009F2F49" w:rsidRPr="002E0C07">
        <w:rPr>
          <w:sz w:val="24"/>
          <w:szCs w:val="24"/>
        </w:rPr>
        <w:t xml:space="preserve"> </w:t>
      </w:r>
      <w:r w:rsidR="009F2F49">
        <w:rPr>
          <w:sz w:val="24"/>
          <w:szCs w:val="24"/>
        </w:rPr>
        <w:t>are .181 and translate</w:t>
      </w:r>
      <w:r w:rsidR="009F2F49" w:rsidRPr="002E0C07">
        <w:rPr>
          <w:sz w:val="24"/>
          <w:szCs w:val="24"/>
        </w:rPr>
        <w:t xml:space="preserve"> </w:t>
      </w:r>
      <w:r w:rsidR="009F2F49">
        <w:rPr>
          <w:sz w:val="24"/>
          <w:szCs w:val="24"/>
        </w:rPr>
        <w:t>into employment effects in the 9 or 10</w:t>
      </w:r>
      <w:r w:rsidR="009F2F49" w:rsidRPr="002E0C07">
        <w:rPr>
          <w:sz w:val="24"/>
          <w:szCs w:val="24"/>
        </w:rPr>
        <w:t xml:space="preserve"> point range and earnings effects between $1</w:t>
      </w:r>
      <w:r w:rsidR="009F2F49">
        <w:rPr>
          <w:sz w:val="24"/>
          <w:szCs w:val="24"/>
        </w:rPr>
        <w:t>400</w:t>
      </w:r>
      <w:r w:rsidR="009F2F49" w:rsidRPr="002E0C07">
        <w:rPr>
          <w:sz w:val="24"/>
          <w:szCs w:val="24"/>
        </w:rPr>
        <w:t>-</w:t>
      </w:r>
      <w:r w:rsidR="009F2F49">
        <w:rPr>
          <w:sz w:val="24"/>
          <w:szCs w:val="24"/>
        </w:rPr>
        <w:t>$25</w:t>
      </w:r>
      <w:r w:rsidR="009F2F49" w:rsidRPr="002E0C07">
        <w:rPr>
          <w:sz w:val="24"/>
          <w:szCs w:val="24"/>
        </w:rPr>
        <w:t>00.</w:t>
      </w:r>
    </w:p>
    <w:p w14:paraId="09D4BA4F" w14:textId="77777777" w:rsidR="007236B1" w:rsidRDefault="007236B1">
      <w:pPr>
        <w:tabs>
          <w:tab w:val="clear" w:pos="1152"/>
        </w:tabs>
        <w:spacing w:line="240" w:lineRule="auto"/>
        <w:jc w:val="left"/>
        <w:rPr>
          <w:sz w:val="24"/>
          <w:szCs w:val="24"/>
        </w:rPr>
      </w:pPr>
      <w:r>
        <w:rPr>
          <w:sz w:val="24"/>
          <w:szCs w:val="24"/>
        </w:rPr>
        <w:br w:type="page"/>
      </w:r>
    </w:p>
    <w:p w14:paraId="3977DFA5" w14:textId="77777777" w:rsidR="009F2F49" w:rsidRDefault="009F2F49" w:rsidP="009724F9">
      <w:pPr>
        <w:jc w:val="left"/>
        <w:rPr>
          <w:sz w:val="24"/>
          <w:szCs w:val="24"/>
        </w:rPr>
      </w:pPr>
    </w:p>
    <w:p w14:paraId="687B784E" w14:textId="77777777" w:rsidR="009F2F49" w:rsidRDefault="009F2F49" w:rsidP="00356214">
      <w:pPr>
        <w:rPr>
          <w:sz w:val="24"/>
          <w:szCs w:val="24"/>
        </w:rPr>
      </w:pPr>
    </w:p>
    <w:p w14:paraId="1813A37D" w14:textId="71F0C15A" w:rsidR="00D244AE" w:rsidRPr="00356214" w:rsidRDefault="00D244AE" w:rsidP="00186D36">
      <w:pPr>
        <w:pStyle w:val="L1-FlLSp12"/>
        <w:spacing w:line="276" w:lineRule="auto"/>
        <w:jc w:val="left"/>
        <w:rPr>
          <w:highlight w:val="yellow"/>
        </w:rPr>
      </w:pPr>
    </w:p>
    <w:p w14:paraId="387C7ABA" w14:textId="78EDD99D" w:rsidR="00D244AE" w:rsidRPr="009724F9" w:rsidRDefault="009F2F49" w:rsidP="00186D36">
      <w:pPr>
        <w:pStyle w:val="L1-FlLSp12"/>
        <w:spacing w:line="276" w:lineRule="auto"/>
        <w:jc w:val="left"/>
        <w:rPr>
          <w:b/>
        </w:rPr>
      </w:pPr>
      <w:r w:rsidRPr="009724F9">
        <w:rPr>
          <w:b/>
        </w:rPr>
        <w:t>Table</w:t>
      </w:r>
      <w:r w:rsidR="00C04A2F" w:rsidRPr="009724F9">
        <w:rPr>
          <w:b/>
        </w:rPr>
        <w:t xml:space="preserve"> B.2.1. Minimum Detectable Effects for Key Outcomes</w:t>
      </w:r>
    </w:p>
    <w:tbl>
      <w:tblPr>
        <w:tblW w:w="10015" w:type="dxa"/>
        <w:tblLook w:val="04A0" w:firstRow="1" w:lastRow="0" w:firstColumn="1" w:lastColumn="0" w:noHBand="0" w:noVBand="1"/>
      </w:tblPr>
      <w:tblGrid>
        <w:gridCol w:w="266"/>
        <w:gridCol w:w="2328"/>
        <w:gridCol w:w="1295"/>
        <w:gridCol w:w="797"/>
        <w:gridCol w:w="267"/>
        <w:gridCol w:w="1008"/>
        <w:gridCol w:w="1008"/>
        <w:gridCol w:w="267"/>
        <w:gridCol w:w="1313"/>
        <w:gridCol w:w="1466"/>
      </w:tblGrid>
      <w:tr w:rsidR="009F2F49" w:rsidRPr="009F2F49" w14:paraId="1C26B9F0" w14:textId="77777777" w:rsidTr="009F2F49">
        <w:trPr>
          <w:trHeight w:val="315"/>
        </w:trPr>
        <w:tc>
          <w:tcPr>
            <w:tcW w:w="4953" w:type="dxa"/>
            <w:gridSpan w:val="5"/>
            <w:vMerge w:val="restart"/>
            <w:tcBorders>
              <w:top w:val="single" w:sz="8" w:space="0" w:color="auto"/>
              <w:left w:val="nil"/>
              <w:bottom w:val="nil"/>
              <w:right w:val="nil"/>
            </w:tcBorders>
            <w:shd w:val="clear" w:color="000000" w:fill="AFBED7"/>
            <w:noWrap/>
            <w:hideMark/>
          </w:tcPr>
          <w:p w14:paraId="613BCC9F"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c>
          <w:tcPr>
            <w:tcW w:w="5062" w:type="dxa"/>
            <w:gridSpan w:val="5"/>
            <w:tcBorders>
              <w:top w:val="single" w:sz="8" w:space="0" w:color="auto"/>
              <w:left w:val="nil"/>
              <w:bottom w:val="single" w:sz="8" w:space="0" w:color="auto"/>
              <w:right w:val="nil"/>
            </w:tcBorders>
            <w:shd w:val="clear" w:color="000000" w:fill="AFBED7"/>
            <w:noWrap/>
            <w:vAlign w:val="center"/>
            <w:hideMark/>
          </w:tcPr>
          <w:p w14:paraId="4E25D344" w14:textId="77777777" w:rsidR="009F2F49" w:rsidRPr="009F2F49" w:rsidRDefault="009F2F49" w:rsidP="009F2F49">
            <w:pPr>
              <w:tabs>
                <w:tab w:val="clear" w:pos="1152"/>
              </w:tabs>
              <w:spacing w:line="240" w:lineRule="auto"/>
              <w:jc w:val="center"/>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MDE</w:t>
            </w:r>
          </w:p>
        </w:tc>
      </w:tr>
      <w:tr w:rsidR="009F2F49" w:rsidRPr="009F2F49" w14:paraId="7BC7AC35" w14:textId="77777777" w:rsidTr="009F2F49">
        <w:trPr>
          <w:trHeight w:val="315"/>
        </w:trPr>
        <w:tc>
          <w:tcPr>
            <w:tcW w:w="4953" w:type="dxa"/>
            <w:gridSpan w:val="5"/>
            <w:vMerge/>
            <w:tcBorders>
              <w:top w:val="single" w:sz="8" w:space="0" w:color="auto"/>
              <w:left w:val="nil"/>
              <w:bottom w:val="nil"/>
              <w:right w:val="nil"/>
            </w:tcBorders>
            <w:vAlign w:val="center"/>
            <w:hideMark/>
          </w:tcPr>
          <w:p w14:paraId="14B7E4B0"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p>
        </w:tc>
        <w:tc>
          <w:tcPr>
            <w:tcW w:w="2016" w:type="dxa"/>
            <w:gridSpan w:val="2"/>
            <w:tcBorders>
              <w:top w:val="single" w:sz="8" w:space="0" w:color="auto"/>
              <w:left w:val="nil"/>
              <w:bottom w:val="single" w:sz="8" w:space="0" w:color="auto"/>
              <w:right w:val="nil"/>
            </w:tcBorders>
            <w:shd w:val="clear" w:color="000000" w:fill="AFBED7"/>
            <w:noWrap/>
            <w:vAlign w:val="center"/>
            <w:hideMark/>
          </w:tcPr>
          <w:p w14:paraId="6DCCE5C3" w14:textId="77777777" w:rsidR="009F2F49" w:rsidRPr="009F2F49" w:rsidRDefault="009F2F49" w:rsidP="009F2F49">
            <w:pPr>
              <w:tabs>
                <w:tab w:val="clear" w:pos="1152"/>
              </w:tabs>
              <w:spacing w:line="240" w:lineRule="auto"/>
              <w:jc w:val="center"/>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Employment</w:t>
            </w:r>
          </w:p>
        </w:tc>
        <w:tc>
          <w:tcPr>
            <w:tcW w:w="267" w:type="dxa"/>
            <w:tcBorders>
              <w:top w:val="nil"/>
              <w:left w:val="nil"/>
              <w:bottom w:val="single" w:sz="8" w:space="0" w:color="auto"/>
              <w:right w:val="nil"/>
            </w:tcBorders>
            <w:shd w:val="clear" w:color="000000" w:fill="AFBED7"/>
            <w:noWrap/>
            <w:hideMark/>
          </w:tcPr>
          <w:p w14:paraId="68976206"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c>
          <w:tcPr>
            <w:tcW w:w="2779" w:type="dxa"/>
            <w:gridSpan w:val="2"/>
            <w:tcBorders>
              <w:top w:val="single" w:sz="8" w:space="0" w:color="auto"/>
              <w:left w:val="nil"/>
              <w:bottom w:val="single" w:sz="8" w:space="0" w:color="auto"/>
              <w:right w:val="nil"/>
            </w:tcBorders>
            <w:shd w:val="clear" w:color="000000" w:fill="AFBED7"/>
            <w:noWrap/>
            <w:vAlign w:val="center"/>
            <w:hideMark/>
          </w:tcPr>
          <w:p w14:paraId="12986782" w14:textId="77777777" w:rsidR="009F2F49" w:rsidRPr="009F2F49" w:rsidRDefault="009F2F49" w:rsidP="009F2F49">
            <w:pPr>
              <w:tabs>
                <w:tab w:val="clear" w:pos="1152"/>
              </w:tabs>
              <w:spacing w:line="240" w:lineRule="auto"/>
              <w:jc w:val="center"/>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Annual earnings</w:t>
            </w:r>
          </w:p>
        </w:tc>
      </w:tr>
      <w:tr w:rsidR="009F2F49" w:rsidRPr="009F2F49" w14:paraId="3C4D071A" w14:textId="77777777" w:rsidTr="009F2F49">
        <w:trPr>
          <w:trHeight w:val="360"/>
        </w:trPr>
        <w:tc>
          <w:tcPr>
            <w:tcW w:w="2594" w:type="dxa"/>
            <w:gridSpan w:val="2"/>
            <w:tcBorders>
              <w:top w:val="nil"/>
              <w:left w:val="nil"/>
              <w:bottom w:val="single" w:sz="8" w:space="0" w:color="auto"/>
              <w:right w:val="nil"/>
            </w:tcBorders>
            <w:shd w:val="clear" w:color="000000" w:fill="AFBED7"/>
            <w:noWrap/>
            <w:vAlign w:val="center"/>
            <w:hideMark/>
          </w:tcPr>
          <w:p w14:paraId="3626601F" w14:textId="77777777" w:rsidR="009F2F49" w:rsidRPr="009F2F49" w:rsidRDefault="009F2F49" w:rsidP="009F2F49">
            <w:pPr>
              <w:tabs>
                <w:tab w:val="clear" w:pos="1152"/>
              </w:tabs>
              <w:spacing w:line="240" w:lineRule="auto"/>
              <w:jc w:val="left"/>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Sample</w:t>
            </w:r>
          </w:p>
        </w:tc>
        <w:tc>
          <w:tcPr>
            <w:tcW w:w="1295" w:type="dxa"/>
            <w:tcBorders>
              <w:top w:val="nil"/>
              <w:left w:val="nil"/>
              <w:bottom w:val="single" w:sz="8" w:space="0" w:color="auto"/>
              <w:right w:val="nil"/>
            </w:tcBorders>
            <w:shd w:val="clear" w:color="000000" w:fill="AFBED7"/>
            <w:noWrap/>
            <w:vAlign w:val="bottom"/>
            <w:hideMark/>
          </w:tcPr>
          <w:p w14:paraId="79424A44" w14:textId="77777777" w:rsidR="009F2F49" w:rsidRPr="009F2F49" w:rsidRDefault="009F2F49" w:rsidP="009F2F49">
            <w:pPr>
              <w:tabs>
                <w:tab w:val="clear" w:pos="1152"/>
              </w:tabs>
              <w:spacing w:line="240" w:lineRule="auto"/>
              <w:jc w:val="center"/>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Sample Size</w:t>
            </w:r>
          </w:p>
        </w:tc>
        <w:tc>
          <w:tcPr>
            <w:tcW w:w="797" w:type="dxa"/>
            <w:tcBorders>
              <w:top w:val="nil"/>
              <w:left w:val="nil"/>
              <w:bottom w:val="single" w:sz="8" w:space="0" w:color="auto"/>
              <w:right w:val="nil"/>
            </w:tcBorders>
            <w:shd w:val="clear" w:color="000000" w:fill="AFBED7"/>
            <w:noWrap/>
            <w:vAlign w:val="center"/>
            <w:hideMark/>
          </w:tcPr>
          <w:p w14:paraId="7F281E11" w14:textId="77777777" w:rsidR="009F2F49" w:rsidRPr="009F2F49" w:rsidRDefault="009F2F49" w:rsidP="009F2F49">
            <w:pPr>
              <w:tabs>
                <w:tab w:val="clear" w:pos="1152"/>
              </w:tabs>
              <w:spacing w:line="240" w:lineRule="auto"/>
              <w:jc w:val="center"/>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MDES</w:t>
            </w:r>
            <w:r w:rsidRPr="009F2F49">
              <w:rPr>
                <w:rFonts w:ascii="Calibri" w:hAnsi="Calibri"/>
                <w:color w:val="000000"/>
                <w:vertAlign w:val="superscript"/>
              </w:rPr>
              <w:t>a</w:t>
            </w:r>
          </w:p>
        </w:tc>
        <w:tc>
          <w:tcPr>
            <w:tcW w:w="267" w:type="dxa"/>
            <w:tcBorders>
              <w:top w:val="nil"/>
              <w:left w:val="nil"/>
              <w:bottom w:val="single" w:sz="8" w:space="0" w:color="auto"/>
              <w:right w:val="nil"/>
            </w:tcBorders>
            <w:shd w:val="clear" w:color="000000" w:fill="AFBED7"/>
            <w:noWrap/>
            <w:vAlign w:val="center"/>
            <w:hideMark/>
          </w:tcPr>
          <w:p w14:paraId="41166CAF" w14:textId="77777777" w:rsidR="009F2F49" w:rsidRPr="009F2F49" w:rsidRDefault="009F2F49" w:rsidP="009F2F49">
            <w:pPr>
              <w:tabs>
                <w:tab w:val="clear" w:pos="1152"/>
              </w:tabs>
              <w:spacing w:line="240" w:lineRule="auto"/>
              <w:jc w:val="center"/>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 </w:t>
            </w:r>
          </w:p>
        </w:tc>
        <w:tc>
          <w:tcPr>
            <w:tcW w:w="1008" w:type="dxa"/>
            <w:tcBorders>
              <w:top w:val="nil"/>
              <w:left w:val="nil"/>
              <w:bottom w:val="single" w:sz="8" w:space="0" w:color="auto"/>
              <w:right w:val="nil"/>
            </w:tcBorders>
            <w:shd w:val="clear" w:color="000000" w:fill="AFBED7"/>
            <w:noWrap/>
            <w:vAlign w:val="center"/>
            <w:hideMark/>
          </w:tcPr>
          <w:p w14:paraId="14544ED1" w14:textId="77777777" w:rsidR="009F2F49" w:rsidRPr="009F2F49" w:rsidRDefault="009F2F49" w:rsidP="009F2F49">
            <w:pPr>
              <w:tabs>
                <w:tab w:val="clear" w:pos="1152"/>
              </w:tabs>
              <w:spacing w:line="240" w:lineRule="auto"/>
              <w:jc w:val="center"/>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SD = 0.4</w:t>
            </w:r>
          </w:p>
        </w:tc>
        <w:tc>
          <w:tcPr>
            <w:tcW w:w="1008" w:type="dxa"/>
            <w:tcBorders>
              <w:top w:val="nil"/>
              <w:left w:val="nil"/>
              <w:bottom w:val="single" w:sz="8" w:space="0" w:color="auto"/>
              <w:right w:val="nil"/>
            </w:tcBorders>
            <w:shd w:val="clear" w:color="000000" w:fill="AFBED7"/>
            <w:noWrap/>
            <w:vAlign w:val="center"/>
            <w:hideMark/>
          </w:tcPr>
          <w:p w14:paraId="01606838" w14:textId="77777777" w:rsidR="009F2F49" w:rsidRPr="009F2F49" w:rsidRDefault="009F2F49" w:rsidP="009F2F49">
            <w:pPr>
              <w:tabs>
                <w:tab w:val="clear" w:pos="1152"/>
              </w:tabs>
              <w:spacing w:line="240" w:lineRule="auto"/>
              <w:jc w:val="center"/>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SD = 0.5</w:t>
            </w:r>
          </w:p>
        </w:tc>
        <w:tc>
          <w:tcPr>
            <w:tcW w:w="267" w:type="dxa"/>
            <w:tcBorders>
              <w:top w:val="nil"/>
              <w:left w:val="nil"/>
              <w:bottom w:val="single" w:sz="8" w:space="0" w:color="auto"/>
              <w:right w:val="nil"/>
            </w:tcBorders>
            <w:shd w:val="clear" w:color="000000" w:fill="AFBED7"/>
            <w:noWrap/>
            <w:vAlign w:val="center"/>
            <w:hideMark/>
          </w:tcPr>
          <w:p w14:paraId="6A8AD9F9" w14:textId="77777777" w:rsidR="009F2F49" w:rsidRPr="009F2F49" w:rsidRDefault="009F2F49" w:rsidP="009F2F49">
            <w:pPr>
              <w:tabs>
                <w:tab w:val="clear" w:pos="1152"/>
              </w:tabs>
              <w:spacing w:line="240" w:lineRule="auto"/>
              <w:jc w:val="center"/>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 </w:t>
            </w:r>
          </w:p>
        </w:tc>
        <w:tc>
          <w:tcPr>
            <w:tcW w:w="1313" w:type="dxa"/>
            <w:tcBorders>
              <w:top w:val="nil"/>
              <w:left w:val="nil"/>
              <w:bottom w:val="single" w:sz="8" w:space="0" w:color="auto"/>
              <w:right w:val="nil"/>
            </w:tcBorders>
            <w:shd w:val="clear" w:color="000000" w:fill="AFBED7"/>
            <w:noWrap/>
            <w:vAlign w:val="center"/>
            <w:hideMark/>
          </w:tcPr>
          <w:p w14:paraId="6BD9170C" w14:textId="77777777" w:rsidR="009F2F49" w:rsidRPr="009F2F49" w:rsidRDefault="009F2F49" w:rsidP="009F2F49">
            <w:pPr>
              <w:tabs>
                <w:tab w:val="clear" w:pos="1152"/>
              </w:tabs>
              <w:spacing w:line="240" w:lineRule="auto"/>
              <w:jc w:val="center"/>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SD = 8,000</w:t>
            </w:r>
          </w:p>
        </w:tc>
        <w:tc>
          <w:tcPr>
            <w:tcW w:w="1466" w:type="dxa"/>
            <w:tcBorders>
              <w:top w:val="nil"/>
              <w:left w:val="nil"/>
              <w:bottom w:val="single" w:sz="8" w:space="0" w:color="auto"/>
              <w:right w:val="nil"/>
            </w:tcBorders>
            <w:shd w:val="clear" w:color="000000" w:fill="AFBED7"/>
            <w:noWrap/>
            <w:vAlign w:val="center"/>
            <w:hideMark/>
          </w:tcPr>
          <w:p w14:paraId="02561AC1" w14:textId="77777777" w:rsidR="009F2F49" w:rsidRPr="009F2F49" w:rsidRDefault="009F2F49" w:rsidP="009F2F49">
            <w:pPr>
              <w:tabs>
                <w:tab w:val="clear" w:pos="1152"/>
              </w:tabs>
              <w:spacing w:line="240" w:lineRule="auto"/>
              <w:jc w:val="left"/>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SD = 14,000</w:t>
            </w:r>
          </w:p>
        </w:tc>
      </w:tr>
      <w:tr w:rsidR="009F2F49" w:rsidRPr="009F2F49" w14:paraId="601B5454" w14:textId="77777777" w:rsidTr="009F2F49">
        <w:trPr>
          <w:trHeight w:val="300"/>
        </w:trPr>
        <w:tc>
          <w:tcPr>
            <w:tcW w:w="2594" w:type="dxa"/>
            <w:gridSpan w:val="2"/>
            <w:tcBorders>
              <w:top w:val="single" w:sz="8" w:space="0" w:color="auto"/>
              <w:left w:val="nil"/>
              <w:bottom w:val="nil"/>
              <w:right w:val="nil"/>
            </w:tcBorders>
            <w:shd w:val="clear" w:color="auto" w:fill="auto"/>
            <w:noWrap/>
            <w:vAlign w:val="center"/>
            <w:hideMark/>
          </w:tcPr>
          <w:p w14:paraId="721631A2" w14:textId="77777777" w:rsidR="009F2F49" w:rsidRPr="009F2F49" w:rsidRDefault="009F2F49" w:rsidP="009F2F49">
            <w:pPr>
              <w:tabs>
                <w:tab w:val="clear" w:pos="1152"/>
              </w:tabs>
              <w:spacing w:line="240" w:lineRule="auto"/>
              <w:jc w:val="left"/>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Assuming 5 sites</w:t>
            </w:r>
          </w:p>
        </w:tc>
        <w:tc>
          <w:tcPr>
            <w:tcW w:w="1295" w:type="dxa"/>
            <w:tcBorders>
              <w:top w:val="nil"/>
              <w:left w:val="nil"/>
              <w:bottom w:val="nil"/>
              <w:right w:val="nil"/>
            </w:tcBorders>
            <w:shd w:val="clear" w:color="auto" w:fill="auto"/>
            <w:noWrap/>
            <w:vAlign w:val="center"/>
            <w:hideMark/>
          </w:tcPr>
          <w:p w14:paraId="587B05BE" w14:textId="77777777" w:rsidR="009F2F49" w:rsidRPr="009F2F49" w:rsidRDefault="009F2F49" w:rsidP="009F2F49">
            <w:pPr>
              <w:tabs>
                <w:tab w:val="clear" w:pos="1152"/>
              </w:tabs>
              <w:spacing w:line="240" w:lineRule="auto"/>
              <w:jc w:val="left"/>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 </w:t>
            </w:r>
          </w:p>
        </w:tc>
        <w:tc>
          <w:tcPr>
            <w:tcW w:w="797" w:type="dxa"/>
            <w:tcBorders>
              <w:top w:val="nil"/>
              <w:left w:val="nil"/>
              <w:bottom w:val="nil"/>
              <w:right w:val="nil"/>
            </w:tcBorders>
            <w:shd w:val="clear" w:color="auto" w:fill="auto"/>
            <w:noWrap/>
            <w:vAlign w:val="center"/>
            <w:hideMark/>
          </w:tcPr>
          <w:p w14:paraId="02982777" w14:textId="77777777" w:rsidR="009F2F49" w:rsidRPr="009F2F49" w:rsidRDefault="009F2F49" w:rsidP="009F2F49">
            <w:pPr>
              <w:tabs>
                <w:tab w:val="clear" w:pos="1152"/>
              </w:tabs>
              <w:spacing w:line="240" w:lineRule="auto"/>
              <w:jc w:val="left"/>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 </w:t>
            </w:r>
          </w:p>
        </w:tc>
        <w:tc>
          <w:tcPr>
            <w:tcW w:w="267" w:type="dxa"/>
            <w:tcBorders>
              <w:top w:val="nil"/>
              <w:left w:val="nil"/>
              <w:bottom w:val="nil"/>
              <w:right w:val="nil"/>
            </w:tcBorders>
            <w:shd w:val="clear" w:color="auto" w:fill="auto"/>
            <w:noWrap/>
            <w:hideMark/>
          </w:tcPr>
          <w:p w14:paraId="222EA0C0" w14:textId="77777777" w:rsidR="009F2F49" w:rsidRPr="009F2F49" w:rsidRDefault="009F2F49" w:rsidP="009F2F49">
            <w:pPr>
              <w:tabs>
                <w:tab w:val="clear" w:pos="1152"/>
              </w:tabs>
              <w:spacing w:line="240" w:lineRule="auto"/>
              <w:jc w:val="left"/>
              <w:rPr>
                <w:rFonts w:ascii="Franklin Gothic Medium" w:hAnsi="Franklin Gothic Medium"/>
                <w:b/>
                <w:bCs/>
                <w:color w:val="000000"/>
                <w:sz w:val="20"/>
                <w:szCs w:val="20"/>
              </w:rPr>
            </w:pPr>
          </w:p>
        </w:tc>
        <w:tc>
          <w:tcPr>
            <w:tcW w:w="1008" w:type="dxa"/>
            <w:tcBorders>
              <w:top w:val="nil"/>
              <w:left w:val="nil"/>
              <w:bottom w:val="nil"/>
              <w:right w:val="nil"/>
            </w:tcBorders>
            <w:shd w:val="clear" w:color="auto" w:fill="auto"/>
            <w:noWrap/>
            <w:hideMark/>
          </w:tcPr>
          <w:p w14:paraId="71D9B925" w14:textId="77777777" w:rsidR="009F2F49" w:rsidRPr="009F2F49" w:rsidRDefault="009F2F49" w:rsidP="009F2F49">
            <w:pPr>
              <w:tabs>
                <w:tab w:val="clear" w:pos="1152"/>
              </w:tabs>
              <w:spacing w:line="240" w:lineRule="auto"/>
              <w:jc w:val="left"/>
              <w:rPr>
                <w:sz w:val="20"/>
                <w:szCs w:val="20"/>
              </w:rPr>
            </w:pPr>
          </w:p>
        </w:tc>
        <w:tc>
          <w:tcPr>
            <w:tcW w:w="1008" w:type="dxa"/>
            <w:tcBorders>
              <w:top w:val="nil"/>
              <w:left w:val="nil"/>
              <w:bottom w:val="nil"/>
              <w:right w:val="nil"/>
            </w:tcBorders>
            <w:shd w:val="clear" w:color="auto" w:fill="auto"/>
            <w:noWrap/>
            <w:hideMark/>
          </w:tcPr>
          <w:p w14:paraId="48A0B7A7" w14:textId="77777777" w:rsidR="009F2F49" w:rsidRPr="009F2F49" w:rsidRDefault="009F2F49" w:rsidP="009F2F49">
            <w:pPr>
              <w:tabs>
                <w:tab w:val="clear" w:pos="1152"/>
              </w:tabs>
              <w:spacing w:line="240" w:lineRule="auto"/>
              <w:jc w:val="left"/>
              <w:rPr>
                <w:sz w:val="20"/>
                <w:szCs w:val="20"/>
              </w:rPr>
            </w:pPr>
          </w:p>
        </w:tc>
        <w:tc>
          <w:tcPr>
            <w:tcW w:w="267" w:type="dxa"/>
            <w:tcBorders>
              <w:top w:val="nil"/>
              <w:left w:val="nil"/>
              <w:bottom w:val="nil"/>
              <w:right w:val="nil"/>
            </w:tcBorders>
            <w:shd w:val="clear" w:color="auto" w:fill="auto"/>
            <w:noWrap/>
            <w:hideMark/>
          </w:tcPr>
          <w:p w14:paraId="58B25B35"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c>
          <w:tcPr>
            <w:tcW w:w="1313" w:type="dxa"/>
            <w:tcBorders>
              <w:top w:val="nil"/>
              <w:left w:val="nil"/>
              <w:bottom w:val="nil"/>
              <w:right w:val="nil"/>
            </w:tcBorders>
            <w:shd w:val="clear" w:color="auto" w:fill="auto"/>
            <w:noWrap/>
            <w:hideMark/>
          </w:tcPr>
          <w:p w14:paraId="4D61DC6A"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p>
        </w:tc>
        <w:tc>
          <w:tcPr>
            <w:tcW w:w="1466" w:type="dxa"/>
            <w:tcBorders>
              <w:top w:val="nil"/>
              <w:left w:val="nil"/>
              <w:bottom w:val="nil"/>
              <w:right w:val="nil"/>
            </w:tcBorders>
            <w:shd w:val="clear" w:color="auto" w:fill="auto"/>
            <w:noWrap/>
            <w:hideMark/>
          </w:tcPr>
          <w:p w14:paraId="3E51B862"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r>
      <w:tr w:rsidR="009F2F49" w:rsidRPr="009F2F49" w14:paraId="1B5AAD1D" w14:textId="77777777" w:rsidTr="009F2F49">
        <w:trPr>
          <w:trHeight w:val="300"/>
        </w:trPr>
        <w:tc>
          <w:tcPr>
            <w:tcW w:w="266" w:type="dxa"/>
            <w:tcBorders>
              <w:top w:val="nil"/>
              <w:left w:val="nil"/>
              <w:bottom w:val="nil"/>
              <w:right w:val="nil"/>
            </w:tcBorders>
            <w:shd w:val="clear" w:color="auto" w:fill="auto"/>
            <w:noWrap/>
            <w:vAlign w:val="center"/>
            <w:hideMark/>
          </w:tcPr>
          <w:p w14:paraId="137EF45C"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p>
        </w:tc>
        <w:tc>
          <w:tcPr>
            <w:tcW w:w="3623" w:type="dxa"/>
            <w:gridSpan w:val="2"/>
            <w:tcBorders>
              <w:top w:val="nil"/>
              <w:left w:val="nil"/>
              <w:bottom w:val="nil"/>
              <w:right w:val="nil"/>
            </w:tcBorders>
            <w:shd w:val="clear" w:color="auto" w:fill="auto"/>
            <w:noWrap/>
            <w:vAlign w:val="center"/>
            <w:hideMark/>
          </w:tcPr>
          <w:p w14:paraId="087118BC" w14:textId="77777777" w:rsidR="009F2F49" w:rsidRPr="009F2F49" w:rsidRDefault="009F2F49" w:rsidP="009F2F49">
            <w:pPr>
              <w:tabs>
                <w:tab w:val="clear" w:pos="1152"/>
              </w:tabs>
              <w:spacing w:line="240" w:lineRule="auto"/>
              <w:jc w:val="left"/>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Total pooled sample</w:t>
            </w:r>
          </w:p>
        </w:tc>
        <w:tc>
          <w:tcPr>
            <w:tcW w:w="797" w:type="dxa"/>
            <w:tcBorders>
              <w:top w:val="nil"/>
              <w:left w:val="nil"/>
              <w:bottom w:val="nil"/>
              <w:right w:val="nil"/>
            </w:tcBorders>
            <w:shd w:val="clear" w:color="auto" w:fill="auto"/>
            <w:noWrap/>
            <w:vAlign w:val="center"/>
            <w:hideMark/>
          </w:tcPr>
          <w:p w14:paraId="75CE9752" w14:textId="77777777" w:rsidR="009F2F49" w:rsidRPr="009F2F49" w:rsidRDefault="009F2F49" w:rsidP="009F2F49">
            <w:pPr>
              <w:tabs>
                <w:tab w:val="clear" w:pos="1152"/>
              </w:tabs>
              <w:spacing w:line="240" w:lineRule="auto"/>
              <w:jc w:val="left"/>
              <w:rPr>
                <w:rFonts w:ascii="Franklin Gothic Medium" w:hAnsi="Franklin Gothic Medium"/>
                <w:b/>
                <w:bCs/>
                <w:color w:val="000000"/>
                <w:sz w:val="20"/>
                <w:szCs w:val="20"/>
              </w:rPr>
            </w:pPr>
          </w:p>
        </w:tc>
        <w:tc>
          <w:tcPr>
            <w:tcW w:w="267" w:type="dxa"/>
            <w:tcBorders>
              <w:top w:val="nil"/>
              <w:left w:val="nil"/>
              <w:bottom w:val="nil"/>
              <w:right w:val="nil"/>
            </w:tcBorders>
            <w:shd w:val="clear" w:color="auto" w:fill="auto"/>
            <w:noWrap/>
            <w:hideMark/>
          </w:tcPr>
          <w:p w14:paraId="11901961" w14:textId="77777777" w:rsidR="009F2F49" w:rsidRPr="009F2F49" w:rsidRDefault="009F2F49" w:rsidP="009F2F49">
            <w:pPr>
              <w:tabs>
                <w:tab w:val="clear" w:pos="1152"/>
              </w:tabs>
              <w:spacing w:line="240" w:lineRule="auto"/>
              <w:jc w:val="center"/>
              <w:rPr>
                <w:sz w:val="20"/>
                <w:szCs w:val="20"/>
              </w:rPr>
            </w:pPr>
          </w:p>
        </w:tc>
        <w:tc>
          <w:tcPr>
            <w:tcW w:w="1008" w:type="dxa"/>
            <w:tcBorders>
              <w:top w:val="nil"/>
              <w:left w:val="nil"/>
              <w:bottom w:val="nil"/>
              <w:right w:val="nil"/>
            </w:tcBorders>
            <w:shd w:val="clear" w:color="auto" w:fill="auto"/>
            <w:noWrap/>
            <w:hideMark/>
          </w:tcPr>
          <w:p w14:paraId="602A69FD" w14:textId="77777777" w:rsidR="009F2F49" w:rsidRPr="009F2F49" w:rsidRDefault="009F2F49" w:rsidP="009F2F49">
            <w:pPr>
              <w:tabs>
                <w:tab w:val="clear" w:pos="1152"/>
              </w:tabs>
              <w:spacing w:line="240" w:lineRule="auto"/>
              <w:jc w:val="left"/>
              <w:rPr>
                <w:sz w:val="20"/>
                <w:szCs w:val="20"/>
              </w:rPr>
            </w:pPr>
          </w:p>
        </w:tc>
        <w:tc>
          <w:tcPr>
            <w:tcW w:w="1008" w:type="dxa"/>
            <w:tcBorders>
              <w:top w:val="nil"/>
              <w:left w:val="nil"/>
              <w:bottom w:val="nil"/>
              <w:right w:val="nil"/>
            </w:tcBorders>
            <w:shd w:val="clear" w:color="auto" w:fill="auto"/>
            <w:noWrap/>
            <w:hideMark/>
          </w:tcPr>
          <w:p w14:paraId="56310140" w14:textId="77777777" w:rsidR="009F2F49" w:rsidRPr="009F2F49" w:rsidRDefault="009F2F49" w:rsidP="009F2F49">
            <w:pPr>
              <w:tabs>
                <w:tab w:val="clear" w:pos="1152"/>
              </w:tabs>
              <w:spacing w:line="240" w:lineRule="auto"/>
              <w:jc w:val="center"/>
              <w:rPr>
                <w:sz w:val="20"/>
                <w:szCs w:val="20"/>
              </w:rPr>
            </w:pPr>
          </w:p>
        </w:tc>
        <w:tc>
          <w:tcPr>
            <w:tcW w:w="267" w:type="dxa"/>
            <w:tcBorders>
              <w:top w:val="nil"/>
              <w:left w:val="nil"/>
              <w:bottom w:val="nil"/>
              <w:right w:val="nil"/>
            </w:tcBorders>
            <w:shd w:val="clear" w:color="auto" w:fill="auto"/>
            <w:noWrap/>
            <w:hideMark/>
          </w:tcPr>
          <w:p w14:paraId="3109D522" w14:textId="77777777" w:rsidR="009F2F49" w:rsidRPr="009F2F49" w:rsidRDefault="009F2F49" w:rsidP="009F2F49">
            <w:pPr>
              <w:tabs>
                <w:tab w:val="clear" w:pos="1152"/>
              </w:tabs>
              <w:spacing w:line="240" w:lineRule="auto"/>
              <w:jc w:val="center"/>
              <w:rPr>
                <w:sz w:val="20"/>
                <w:szCs w:val="20"/>
              </w:rPr>
            </w:pPr>
          </w:p>
        </w:tc>
        <w:tc>
          <w:tcPr>
            <w:tcW w:w="1313" w:type="dxa"/>
            <w:tcBorders>
              <w:top w:val="nil"/>
              <w:left w:val="nil"/>
              <w:bottom w:val="nil"/>
              <w:right w:val="nil"/>
            </w:tcBorders>
            <w:shd w:val="clear" w:color="auto" w:fill="auto"/>
            <w:noWrap/>
            <w:hideMark/>
          </w:tcPr>
          <w:p w14:paraId="61424DDE" w14:textId="77777777" w:rsidR="009F2F49" w:rsidRPr="009F2F49" w:rsidRDefault="009F2F49" w:rsidP="009F2F49">
            <w:pPr>
              <w:tabs>
                <w:tab w:val="clear" w:pos="1152"/>
              </w:tabs>
              <w:spacing w:line="240" w:lineRule="auto"/>
              <w:jc w:val="center"/>
              <w:rPr>
                <w:sz w:val="20"/>
                <w:szCs w:val="20"/>
              </w:rPr>
            </w:pPr>
          </w:p>
        </w:tc>
        <w:tc>
          <w:tcPr>
            <w:tcW w:w="1466" w:type="dxa"/>
            <w:tcBorders>
              <w:top w:val="nil"/>
              <w:left w:val="nil"/>
              <w:bottom w:val="nil"/>
              <w:right w:val="nil"/>
            </w:tcBorders>
            <w:shd w:val="clear" w:color="auto" w:fill="auto"/>
            <w:noWrap/>
            <w:hideMark/>
          </w:tcPr>
          <w:p w14:paraId="47B239A8" w14:textId="77777777" w:rsidR="009F2F49" w:rsidRPr="009F2F49" w:rsidRDefault="009F2F49" w:rsidP="009F2F49">
            <w:pPr>
              <w:tabs>
                <w:tab w:val="clear" w:pos="1152"/>
              </w:tabs>
              <w:spacing w:line="240" w:lineRule="auto"/>
              <w:jc w:val="center"/>
              <w:rPr>
                <w:sz w:val="20"/>
                <w:szCs w:val="20"/>
              </w:rPr>
            </w:pPr>
          </w:p>
        </w:tc>
      </w:tr>
      <w:tr w:rsidR="009F2F49" w:rsidRPr="009F2F49" w14:paraId="730A089F" w14:textId="77777777" w:rsidTr="009F2F49">
        <w:trPr>
          <w:trHeight w:val="300"/>
        </w:trPr>
        <w:tc>
          <w:tcPr>
            <w:tcW w:w="266" w:type="dxa"/>
            <w:tcBorders>
              <w:top w:val="nil"/>
              <w:left w:val="nil"/>
              <w:bottom w:val="nil"/>
              <w:right w:val="nil"/>
            </w:tcBorders>
            <w:shd w:val="clear" w:color="auto" w:fill="auto"/>
            <w:noWrap/>
            <w:vAlign w:val="center"/>
            <w:hideMark/>
          </w:tcPr>
          <w:p w14:paraId="00AFE52A" w14:textId="77777777" w:rsidR="009F2F49" w:rsidRPr="009F2F49" w:rsidRDefault="009F2F49" w:rsidP="009F2F49">
            <w:pPr>
              <w:tabs>
                <w:tab w:val="clear" w:pos="1152"/>
              </w:tabs>
              <w:spacing w:line="240" w:lineRule="auto"/>
              <w:jc w:val="center"/>
              <w:rPr>
                <w:sz w:val="20"/>
                <w:szCs w:val="20"/>
              </w:rPr>
            </w:pPr>
          </w:p>
        </w:tc>
        <w:tc>
          <w:tcPr>
            <w:tcW w:w="2328" w:type="dxa"/>
            <w:tcBorders>
              <w:top w:val="nil"/>
              <w:left w:val="nil"/>
              <w:bottom w:val="nil"/>
              <w:right w:val="nil"/>
            </w:tcBorders>
            <w:shd w:val="clear" w:color="auto" w:fill="auto"/>
            <w:noWrap/>
            <w:vAlign w:val="center"/>
            <w:hideMark/>
          </w:tcPr>
          <w:p w14:paraId="76F73580"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Administrative records</w:t>
            </w:r>
          </w:p>
        </w:tc>
        <w:tc>
          <w:tcPr>
            <w:tcW w:w="1295" w:type="dxa"/>
            <w:tcBorders>
              <w:top w:val="nil"/>
              <w:left w:val="nil"/>
              <w:bottom w:val="nil"/>
              <w:right w:val="nil"/>
            </w:tcBorders>
            <w:shd w:val="clear" w:color="auto" w:fill="auto"/>
            <w:noWrap/>
            <w:vAlign w:val="center"/>
            <w:hideMark/>
          </w:tcPr>
          <w:p w14:paraId="04CC6704"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1,704</w:t>
            </w:r>
          </w:p>
        </w:tc>
        <w:tc>
          <w:tcPr>
            <w:tcW w:w="797" w:type="dxa"/>
            <w:tcBorders>
              <w:top w:val="nil"/>
              <w:left w:val="nil"/>
              <w:bottom w:val="nil"/>
              <w:right w:val="nil"/>
            </w:tcBorders>
            <w:shd w:val="clear" w:color="auto" w:fill="auto"/>
            <w:noWrap/>
            <w:vAlign w:val="center"/>
            <w:hideMark/>
          </w:tcPr>
          <w:p w14:paraId="3098B8AE"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0.111</w:t>
            </w:r>
          </w:p>
        </w:tc>
        <w:tc>
          <w:tcPr>
            <w:tcW w:w="267" w:type="dxa"/>
            <w:tcBorders>
              <w:top w:val="nil"/>
              <w:left w:val="nil"/>
              <w:bottom w:val="nil"/>
              <w:right w:val="nil"/>
            </w:tcBorders>
            <w:shd w:val="clear" w:color="auto" w:fill="auto"/>
            <w:noWrap/>
            <w:hideMark/>
          </w:tcPr>
          <w:p w14:paraId="6DF1B5D6"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1008" w:type="dxa"/>
            <w:tcBorders>
              <w:top w:val="nil"/>
              <w:left w:val="nil"/>
              <w:bottom w:val="nil"/>
              <w:right w:val="nil"/>
            </w:tcBorders>
            <w:shd w:val="clear" w:color="auto" w:fill="auto"/>
            <w:noWrap/>
            <w:hideMark/>
          </w:tcPr>
          <w:p w14:paraId="6CD9CFA5"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4.4</w:t>
            </w:r>
          </w:p>
        </w:tc>
        <w:tc>
          <w:tcPr>
            <w:tcW w:w="1008" w:type="dxa"/>
            <w:tcBorders>
              <w:top w:val="nil"/>
              <w:left w:val="nil"/>
              <w:bottom w:val="nil"/>
              <w:right w:val="nil"/>
            </w:tcBorders>
            <w:shd w:val="clear" w:color="auto" w:fill="auto"/>
            <w:noWrap/>
            <w:hideMark/>
          </w:tcPr>
          <w:p w14:paraId="7AFFE559"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5.6</w:t>
            </w:r>
          </w:p>
        </w:tc>
        <w:tc>
          <w:tcPr>
            <w:tcW w:w="267" w:type="dxa"/>
            <w:tcBorders>
              <w:top w:val="nil"/>
              <w:left w:val="nil"/>
              <w:bottom w:val="nil"/>
              <w:right w:val="nil"/>
            </w:tcBorders>
            <w:shd w:val="clear" w:color="auto" w:fill="auto"/>
            <w:noWrap/>
            <w:hideMark/>
          </w:tcPr>
          <w:p w14:paraId="460E83A3"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1313" w:type="dxa"/>
            <w:tcBorders>
              <w:top w:val="nil"/>
              <w:left w:val="nil"/>
              <w:bottom w:val="nil"/>
              <w:right w:val="nil"/>
            </w:tcBorders>
            <w:shd w:val="clear" w:color="auto" w:fill="auto"/>
            <w:noWrap/>
            <w:hideMark/>
          </w:tcPr>
          <w:p w14:paraId="35DCEB3E"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888</w:t>
            </w:r>
          </w:p>
        </w:tc>
        <w:tc>
          <w:tcPr>
            <w:tcW w:w="1466" w:type="dxa"/>
            <w:tcBorders>
              <w:top w:val="nil"/>
              <w:left w:val="nil"/>
              <w:bottom w:val="nil"/>
              <w:right w:val="nil"/>
            </w:tcBorders>
            <w:shd w:val="clear" w:color="auto" w:fill="auto"/>
            <w:noWrap/>
            <w:vAlign w:val="center"/>
            <w:hideMark/>
          </w:tcPr>
          <w:p w14:paraId="773979FE"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1,554</w:t>
            </w:r>
          </w:p>
        </w:tc>
      </w:tr>
      <w:tr w:rsidR="009F2F49" w:rsidRPr="009F2F49" w14:paraId="41078E9A" w14:textId="77777777" w:rsidTr="009F2F49">
        <w:trPr>
          <w:trHeight w:val="300"/>
        </w:trPr>
        <w:tc>
          <w:tcPr>
            <w:tcW w:w="266" w:type="dxa"/>
            <w:tcBorders>
              <w:top w:val="nil"/>
              <w:left w:val="nil"/>
              <w:bottom w:val="nil"/>
              <w:right w:val="nil"/>
            </w:tcBorders>
            <w:shd w:val="clear" w:color="auto" w:fill="auto"/>
            <w:noWrap/>
            <w:vAlign w:val="center"/>
            <w:hideMark/>
          </w:tcPr>
          <w:p w14:paraId="62F9A5A2"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2328" w:type="dxa"/>
            <w:tcBorders>
              <w:top w:val="nil"/>
              <w:left w:val="nil"/>
              <w:bottom w:val="nil"/>
              <w:right w:val="nil"/>
            </w:tcBorders>
            <w:shd w:val="clear" w:color="auto" w:fill="auto"/>
            <w:noWrap/>
            <w:vAlign w:val="center"/>
            <w:hideMark/>
          </w:tcPr>
          <w:p w14:paraId="1E542B05"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Survey</w:t>
            </w:r>
          </w:p>
        </w:tc>
        <w:tc>
          <w:tcPr>
            <w:tcW w:w="1295" w:type="dxa"/>
            <w:tcBorders>
              <w:top w:val="nil"/>
              <w:left w:val="nil"/>
              <w:bottom w:val="nil"/>
              <w:right w:val="nil"/>
            </w:tcBorders>
            <w:shd w:val="clear" w:color="auto" w:fill="auto"/>
            <w:noWrap/>
            <w:vAlign w:val="center"/>
            <w:hideMark/>
          </w:tcPr>
          <w:p w14:paraId="1E031943"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1,363</w:t>
            </w:r>
          </w:p>
        </w:tc>
        <w:tc>
          <w:tcPr>
            <w:tcW w:w="797" w:type="dxa"/>
            <w:tcBorders>
              <w:top w:val="nil"/>
              <w:left w:val="nil"/>
              <w:bottom w:val="nil"/>
              <w:right w:val="nil"/>
            </w:tcBorders>
            <w:shd w:val="clear" w:color="auto" w:fill="auto"/>
            <w:noWrap/>
            <w:vAlign w:val="center"/>
            <w:hideMark/>
          </w:tcPr>
          <w:p w14:paraId="77ECECE3"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0.124</w:t>
            </w:r>
          </w:p>
        </w:tc>
        <w:tc>
          <w:tcPr>
            <w:tcW w:w="267" w:type="dxa"/>
            <w:tcBorders>
              <w:top w:val="nil"/>
              <w:left w:val="nil"/>
              <w:bottom w:val="nil"/>
              <w:right w:val="nil"/>
            </w:tcBorders>
            <w:shd w:val="clear" w:color="auto" w:fill="auto"/>
            <w:noWrap/>
            <w:hideMark/>
          </w:tcPr>
          <w:p w14:paraId="5748C097"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1008" w:type="dxa"/>
            <w:tcBorders>
              <w:top w:val="nil"/>
              <w:left w:val="nil"/>
              <w:bottom w:val="nil"/>
              <w:right w:val="nil"/>
            </w:tcBorders>
            <w:shd w:val="clear" w:color="auto" w:fill="auto"/>
            <w:noWrap/>
            <w:hideMark/>
          </w:tcPr>
          <w:p w14:paraId="1D115213"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5.0</w:t>
            </w:r>
          </w:p>
        </w:tc>
        <w:tc>
          <w:tcPr>
            <w:tcW w:w="1008" w:type="dxa"/>
            <w:tcBorders>
              <w:top w:val="nil"/>
              <w:left w:val="nil"/>
              <w:bottom w:val="nil"/>
              <w:right w:val="nil"/>
            </w:tcBorders>
            <w:shd w:val="clear" w:color="auto" w:fill="auto"/>
            <w:noWrap/>
            <w:hideMark/>
          </w:tcPr>
          <w:p w14:paraId="3C8667FD"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6.2</w:t>
            </w:r>
          </w:p>
        </w:tc>
        <w:tc>
          <w:tcPr>
            <w:tcW w:w="267" w:type="dxa"/>
            <w:tcBorders>
              <w:top w:val="nil"/>
              <w:left w:val="nil"/>
              <w:bottom w:val="nil"/>
              <w:right w:val="nil"/>
            </w:tcBorders>
            <w:shd w:val="clear" w:color="auto" w:fill="auto"/>
            <w:noWrap/>
            <w:hideMark/>
          </w:tcPr>
          <w:p w14:paraId="0B501A86"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1313" w:type="dxa"/>
            <w:tcBorders>
              <w:top w:val="nil"/>
              <w:left w:val="nil"/>
              <w:bottom w:val="nil"/>
              <w:right w:val="nil"/>
            </w:tcBorders>
            <w:shd w:val="clear" w:color="auto" w:fill="auto"/>
            <w:noWrap/>
            <w:hideMark/>
          </w:tcPr>
          <w:p w14:paraId="1B163058"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992</w:t>
            </w:r>
          </w:p>
        </w:tc>
        <w:tc>
          <w:tcPr>
            <w:tcW w:w="1466" w:type="dxa"/>
            <w:tcBorders>
              <w:top w:val="nil"/>
              <w:left w:val="nil"/>
              <w:bottom w:val="nil"/>
              <w:right w:val="nil"/>
            </w:tcBorders>
            <w:shd w:val="clear" w:color="auto" w:fill="auto"/>
            <w:noWrap/>
            <w:vAlign w:val="center"/>
            <w:hideMark/>
          </w:tcPr>
          <w:p w14:paraId="3D495325"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1,736</w:t>
            </w:r>
          </w:p>
        </w:tc>
      </w:tr>
      <w:tr w:rsidR="009F2F49" w:rsidRPr="009F2F49" w14:paraId="3205FBC0" w14:textId="77777777" w:rsidTr="009F2F49">
        <w:trPr>
          <w:trHeight w:val="150"/>
        </w:trPr>
        <w:tc>
          <w:tcPr>
            <w:tcW w:w="266" w:type="dxa"/>
            <w:tcBorders>
              <w:top w:val="nil"/>
              <w:left w:val="nil"/>
              <w:bottom w:val="nil"/>
              <w:right w:val="nil"/>
            </w:tcBorders>
            <w:shd w:val="clear" w:color="auto" w:fill="auto"/>
            <w:noWrap/>
            <w:vAlign w:val="center"/>
            <w:hideMark/>
          </w:tcPr>
          <w:p w14:paraId="59F693D1"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2328" w:type="dxa"/>
            <w:tcBorders>
              <w:top w:val="nil"/>
              <w:left w:val="nil"/>
              <w:bottom w:val="nil"/>
              <w:right w:val="nil"/>
            </w:tcBorders>
            <w:shd w:val="clear" w:color="auto" w:fill="auto"/>
            <w:noWrap/>
            <w:vAlign w:val="center"/>
            <w:hideMark/>
          </w:tcPr>
          <w:p w14:paraId="6391AC04" w14:textId="77777777" w:rsidR="009F2F49" w:rsidRPr="009F2F49" w:rsidRDefault="009F2F49" w:rsidP="009F2F49">
            <w:pPr>
              <w:tabs>
                <w:tab w:val="clear" w:pos="1152"/>
              </w:tabs>
              <w:spacing w:line="240" w:lineRule="auto"/>
              <w:jc w:val="left"/>
              <w:rPr>
                <w:sz w:val="20"/>
                <w:szCs w:val="20"/>
              </w:rPr>
            </w:pPr>
          </w:p>
        </w:tc>
        <w:tc>
          <w:tcPr>
            <w:tcW w:w="1295" w:type="dxa"/>
            <w:tcBorders>
              <w:top w:val="nil"/>
              <w:left w:val="nil"/>
              <w:bottom w:val="nil"/>
              <w:right w:val="nil"/>
            </w:tcBorders>
            <w:shd w:val="clear" w:color="auto" w:fill="auto"/>
            <w:noWrap/>
            <w:vAlign w:val="center"/>
            <w:hideMark/>
          </w:tcPr>
          <w:p w14:paraId="6680EF4A" w14:textId="77777777" w:rsidR="009F2F49" w:rsidRPr="009F2F49" w:rsidRDefault="009F2F49" w:rsidP="009F2F49">
            <w:pPr>
              <w:tabs>
                <w:tab w:val="clear" w:pos="1152"/>
              </w:tabs>
              <w:spacing w:line="240" w:lineRule="auto"/>
              <w:jc w:val="left"/>
              <w:rPr>
                <w:sz w:val="20"/>
                <w:szCs w:val="20"/>
              </w:rPr>
            </w:pPr>
          </w:p>
        </w:tc>
        <w:tc>
          <w:tcPr>
            <w:tcW w:w="797" w:type="dxa"/>
            <w:tcBorders>
              <w:top w:val="nil"/>
              <w:left w:val="nil"/>
              <w:bottom w:val="nil"/>
              <w:right w:val="nil"/>
            </w:tcBorders>
            <w:shd w:val="clear" w:color="auto" w:fill="auto"/>
            <w:noWrap/>
            <w:vAlign w:val="center"/>
            <w:hideMark/>
          </w:tcPr>
          <w:p w14:paraId="7B68E1EA" w14:textId="77777777" w:rsidR="009F2F49" w:rsidRPr="009F2F49" w:rsidRDefault="009F2F49" w:rsidP="009F2F49">
            <w:pPr>
              <w:tabs>
                <w:tab w:val="clear" w:pos="1152"/>
              </w:tabs>
              <w:spacing w:line="240" w:lineRule="auto"/>
              <w:jc w:val="left"/>
              <w:rPr>
                <w:sz w:val="20"/>
                <w:szCs w:val="20"/>
              </w:rPr>
            </w:pPr>
          </w:p>
        </w:tc>
        <w:tc>
          <w:tcPr>
            <w:tcW w:w="267" w:type="dxa"/>
            <w:tcBorders>
              <w:top w:val="nil"/>
              <w:left w:val="nil"/>
              <w:bottom w:val="nil"/>
              <w:right w:val="nil"/>
            </w:tcBorders>
            <w:shd w:val="clear" w:color="auto" w:fill="auto"/>
            <w:noWrap/>
            <w:hideMark/>
          </w:tcPr>
          <w:p w14:paraId="01AFCDC4" w14:textId="77777777" w:rsidR="009F2F49" w:rsidRPr="009F2F49" w:rsidRDefault="009F2F49" w:rsidP="009F2F49">
            <w:pPr>
              <w:tabs>
                <w:tab w:val="clear" w:pos="1152"/>
              </w:tabs>
              <w:spacing w:line="240" w:lineRule="auto"/>
              <w:jc w:val="center"/>
              <w:rPr>
                <w:sz w:val="20"/>
                <w:szCs w:val="20"/>
              </w:rPr>
            </w:pPr>
          </w:p>
        </w:tc>
        <w:tc>
          <w:tcPr>
            <w:tcW w:w="1008" w:type="dxa"/>
            <w:tcBorders>
              <w:top w:val="nil"/>
              <w:left w:val="nil"/>
              <w:bottom w:val="nil"/>
              <w:right w:val="nil"/>
            </w:tcBorders>
            <w:shd w:val="clear" w:color="auto" w:fill="auto"/>
            <w:noWrap/>
            <w:hideMark/>
          </w:tcPr>
          <w:p w14:paraId="50758024" w14:textId="77777777" w:rsidR="009F2F49" w:rsidRPr="009F2F49" w:rsidRDefault="009F2F49" w:rsidP="009F2F49">
            <w:pPr>
              <w:tabs>
                <w:tab w:val="clear" w:pos="1152"/>
              </w:tabs>
              <w:spacing w:line="240" w:lineRule="auto"/>
              <w:jc w:val="left"/>
              <w:rPr>
                <w:sz w:val="20"/>
                <w:szCs w:val="20"/>
              </w:rPr>
            </w:pPr>
          </w:p>
        </w:tc>
        <w:tc>
          <w:tcPr>
            <w:tcW w:w="1008" w:type="dxa"/>
            <w:tcBorders>
              <w:top w:val="nil"/>
              <w:left w:val="nil"/>
              <w:bottom w:val="nil"/>
              <w:right w:val="nil"/>
            </w:tcBorders>
            <w:shd w:val="clear" w:color="auto" w:fill="auto"/>
            <w:noWrap/>
            <w:hideMark/>
          </w:tcPr>
          <w:p w14:paraId="46C1B7CD" w14:textId="77777777" w:rsidR="009F2F49" w:rsidRPr="009F2F49" w:rsidRDefault="009F2F49" w:rsidP="009F2F49">
            <w:pPr>
              <w:tabs>
                <w:tab w:val="clear" w:pos="1152"/>
              </w:tabs>
              <w:spacing w:line="240" w:lineRule="auto"/>
              <w:jc w:val="center"/>
              <w:rPr>
                <w:sz w:val="20"/>
                <w:szCs w:val="20"/>
              </w:rPr>
            </w:pPr>
          </w:p>
        </w:tc>
        <w:tc>
          <w:tcPr>
            <w:tcW w:w="267" w:type="dxa"/>
            <w:tcBorders>
              <w:top w:val="nil"/>
              <w:left w:val="nil"/>
              <w:bottom w:val="nil"/>
              <w:right w:val="nil"/>
            </w:tcBorders>
            <w:shd w:val="clear" w:color="auto" w:fill="auto"/>
            <w:noWrap/>
            <w:hideMark/>
          </w:tcPr>
          <w:p w14:paraId="10B51256" w14:textId="77777777" w:rsidR="009F2F49" w:rsidRPr="009F2F49" w:rsidRDefault="009F2F49" w:rsidP="009F2F49">
            <w:pPr>
              <w:tabs>
                <w:tab w:val="clear" w:pos="1152"/>
              </w:tabs>
              <w:spacing w:line="240" w:lineRule="auto"/>
              <w:jc w:val="center"/>
              <w:rPr>
                <w:sz w:val="20"/>
                <w:szCs w:val="20"/>
              </w:rPr>
            </w:pPr>
          </w:p>
        </w:tc>
        <w:tc>
          <w:tcPr>
            <w:tcW w:w="1313" w:type="dxa"/>
            <w:tcBorders>
              <w:top w:val="nil"/>
              <w:left w:val="nil"/>
              <w:bottom w:val="nil"/>
              <w:right w:val="nil"/>
            </w:tcBorders>
            <w:shd w:val="clear" w:color="auto" w:fill="auto"/>
            <w:noWrap/>
            <w:hideMark/>
          </w:tcPr>
          <w:p w14:paraId="0D8D1F13" w14:textId="77777777" w:rsidR="009F2F49" w:rsidRPr="009F2F49" w:rsidRDefault="009F2F49" w:rsidP="009F2F49">
            <w:pPr>
              <w:tabs>
                <w:tab w:val="clear" w:pos="1152"/>
              </w:tabs>
              <w:spacing w:line="240" w:lineRule="auto"/>
              <w:jc w:val="center"/>
              <w:rPr>
                <w:sz w:val="20"/>
                <w:szCs w:val="20"/>
              </w:rPr>
            </w:pPr>
          </w:p>
        </w:tc>
        <w:tc>
          <w:tcPr>
            <w:tcW w:w="1466" w:type="dxa"/>
            <w:tcBorders>
              <w:top w:val="nil"/>
              <w:left w:val="nil"/>
              <w:bottom w:val="nil"/>
              <w:right w:val="nil"/>
            </w:tcBorders>
            <w:shd w:val="clear" w:color="auto" w:fill="auto"/>
            <w:noWrap/>
            <w:hideMark/>
          </w:tcPr>
          <w:p w14:paraId="79EDC75C" w14:textId="77777777" w:rsidR="009F2F49" w:rsidRPr="009F2F49" w:rsidRDefault="009F2F49" w:rsidP="009F2F49">
            <w:pPr>
              <w:tabs>
                <w:tab w:val="clear" w:pos="1152"/>
              </w:tabs>
              <w:spacing w:line="240" w:lineRule="auto"/>
              <w:jc w:val="center"/>
              <w:rPr>
                <w:sz w:val="20"/>
                <w:szCs w:val="20"/>
              </w:rPr>
            </w:pPr>
          </w:p>
        </w:tc>
      </w:tr>
      <w:tr w:rsidR="009F2F49" w:rsidRPr="009F2F49" w14:paraId="19929F4E" w14:textId="77777777" w:rsidTr="009F2F49">
        <w:trPr>
          <w:trHeight w:val="300"/>
        </w:trPr>
        <w:tc>
          <w:tcPr>
            <w:tcW w:w="266" w:type="dxa"/>
            <w:tcBorders>
              <w:top w:val="nil"/>
              <w:left w:val="nil"/>
              <w:bottom w:val="nil"/>
              <w:right w:val="nil"/>
            </w:tcBorders>
            <w:shd w:val="clear" w:color="auto" w:fill="auto"/>
            <w:noWrap/>
            <w:vAlign w:val="center"/>
            <w:hideMark/>
          </w:tcPr>
          <w:p w14:paraId="2A97BACF" w14:textId="77777777" w:rsidR="009F2F49" w:rsidRPr="009F2F49" w:rsidRDefault="009F2F49" w:rsidP="009F2F49">
            <w:pPr>
              <w:tabs>
                <w:tab w:val="clear" w:pos="1152"/>
              </w:tabs>
              <w:spacing w:line="240" w:lineRule="auto"/>
              <w:jc w:val="center"/>
              <w:rPr>
                <w:sz w:val="20"/>
                <w:szCs w:val="20"/>
              </w:rPr>
            </w:pPr>
          </w:p>
        </w:tc>
        <w:tc>
          <w:tcPr>
            <w:tcW w:w="3623" w:type="dxa"/>
            <w:gridSpan w:val="2"/>
            <w:tcBorders>
              <w:top w:val="nil"/>
              <w:left w:val="nil"/>
              <w:bottom w:val="nil"/>
              <w:right w:val="nil"/>
            </w:tcBorders>
            <w:shd w:val="clear" w:color="auto" w:fill="auto"/>
            <w:noWrap/>
            <w:vAlign w:val="center"/>
            <w:hideMark/>
          </w:tcPr>
          <w:p w14:paraId="19E66AAC" w14:textId="77777777" w:rsidR="009F2F49" w:rsidRPr="009F2F49" w:rsidRDefault="009F2F49" w:rsidP="009F2F49">
            <w:pPr>
              <w:tabs>
                <w:tab w:val="clear" w:pos="1152"/>
              </w:tabs>
              <w:spacing w:line="240" w:lineRule="auto"/>
              <w:jc w:val="left"/>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TechHire pooled sample (3 sites)</w:t>
            </w:r>
          </w:p>
        </w:tc>
        <w:tc>
          <w:tcPr>
            <w:tcW w:w="797" w:type="dxa"/>
            <w:tcBorders>
              <w:top w:val="nil"/>
              <w:left w:val="nil"/>
              <w:bottom w:val="nil"/>
              <w:right w:val="nil"/>
            </w:tcBorders>
            <w:shd w:val="clear" w:color="auto" w:fill="auto"/>
            <w:noWrap/>
            <w:vAlign w:val="center"/>
            <w:hideMark/>
          </w:tcPr>
          <w:p w14:paraId="3797094C" w14:textId="77777777" w:rsidR="009F2F49" w:rsidRPr="009F2F49" w:rsidRDefault="009F2F49" w:rsidP="009F2F49">
            <w:pPr>
              <w:tabs>
                <w:tab w:val="clear" w:pos="1152"/>
              </w:tabs>
              <w:spacing w:line="240" w:lineRule="auto"/>
              <w:jc w:val="left"/>
              <w:rPr>
                <w:rFonts w:ascii="Franklin Gothic Medium" w:hAnsi="Franklin Gothic Medium"/>
                <w:b/>
                <w:bCs/>
                <w:color w:val="000000"/>
                <w:sz w:val="20"/>
                <w:szCs w:val="20"/>
              </w:rPr>
            </w:pPr>
          </w:p>
        </w:tc>
        <w:tc>
          <w:tcPr>
            <w:tcW w:w="267" w:type="dxa"/>
            <w:tcBorders>
              <w:top w:val="nil"/>
              <w:left w:val="nil"/>
              <w:bottom w:val="nil"/>
              <w:right w:val="nil"/>
            </w:tcBorders>
            <w:shd w:val="clear" w:color="auto" w:fill="auto"/>
            <w:noWrap/>
            <w:hideMark/>
          </w:tcPr>
          <w:p w14:paraId="384C8705" w14:textId="77777777" w:rsidR="009F2F49" w:rsidRPr="009F2F49" w:rsidRDefault="009F2F49" w:rsidP="009F2F49">
            <w:pPr>
              <w:tabs>
                <w:tab w:val="clear" w:pos="1152"/>
              </w:tabs>
              <w:spacing w:line="240" w:lineRule="auto"/>
              <w:jc w:val="center"/>
              <w:rPr>
                <w:sz w:val="20"/>
                <w:szCs w:val="20"/>
              </w:rPr>
            </w:pPr>
          </w:p>
        </w:tc>
        <w:tc>
          <w:tcPr>
            <w:tcW w:w="1008" w:type="dxa"/>
            <w:tcBorders>
              <w:top w:val="nil"/>
              <w:left w:val="nil"/>
              <w:bottom w:val="nil"/>
              <w:right w:val="nil"/>
            </w:tcBorders>
            <w:shd w:val="clear" w:color="auto" w:fill="auto"/>
            <w:noWrap/>
            <w:hideMark/>
          </w:tcPr>
          <w:p w14:paraId="6AE49F8F" w14:textId="77777777" w:rsidR="009F2F49" w:rsidRPr="009F2F49" w:rsidRDefault="009F2F49" w:rsidP="009F2F49">
            <w:pPr>
              <w:tabs>
                <w:tab w:val="clear" w:pos="1152"/>
              </w:tabs>
              <w:spacing w:line="240" w:lineRule="auto"/>
              <w:jc w:val="left"/>
              <w:rPr>
                <w:sz w:val="20"/>
                <w:szCs w:val="20"/>
              </w:rPr>
            </w:pPr>
          </w:p>
        </w:tc>
        <w:tc>
          <w:tcPr>
            <w:tcW w:w="1008" w:type="dxa"/>
            <w:tcBorders>
              <w:top w:val="nil"/>
              <w:left w:val="nil"/>
              <w:bottom w:val="nil"/>
              <w:right w:val="nil"/>
            </w:tcBorders>
            <w:shd w:val="clear" w:color="auto" w:fill="auto"/>
            <w:noWrap/>
            <w:hideMark/>
          </w:tcPr>
          <w:p w14:paraId="5FCA1B7F" w14:textId="77777777" w:rsidR="009F2F49" w:rsidRPr="009F2F49" w:rsidRDefault="009F2F49" w:rsidP="009F2F49">
            <w:pPr>
              <w:tabs>
                <w:tab w:val="clear" w:pos="1152"/>
              </w:tabs>
              <w:spacing w:line="240" w:lineRule="auto"/>
              <w:jc w:val="center"/>
              <w:rPr>
                <w:sz w:val="20"/>
                <w:szCs w:val="20"/>
              </w:rPr>
            </w:pPr>
          </w:p>
        </w:tc>
        <w:tc>
          <w:tcPr>
            <w:tcW w:w="267" w:type="dxa"/>
            <w:tcBorders>
              <w:top w:val="nil"/>
              <w:left w:val="nil"/>
              <w:bottom w:val="nil"/>
              <w:right w:val="nil"/>
            </w:tcBorders>
            <w:shd w:val="clear" w:color="auto" w:fill="auto"/>
            <w:noWrap/>
            <w:hideMark/>
          </w:tcPr>
          <w:p w14:paraId="678DBC5D" w14:textId="77777777" w:rsidR="009F2F49" w:rsidRPr="009F2F49" w:rsidRDefault="009F2F49" w:rsidP="009F2F49">
            <w:pPr>
              <w:tabs>
                <w:tab w:val="clear" w:pos="1152"/>
              </w:tabs>
              <w:spacing w:line="240" w:lineRule="auto"/>
              <w:jc w:val="center"/>
              <w:rPr>
                <w:sz w:val="20"/>
                <w:szCs w:val="20"/>
              </w:rPr>
            </w:pPr>
          </w:p>
        </w:tc>
        <w:tc>
          <w:tcPr>
            <w:tcW w:w="1313" w:type="dxa"/>
            <w:tcBorders>
              <w:top w:val="nil"/>
              <w:left w:val="nil"/>
              <w:bottom w:val="nil"/>
              <w:right w:val="nil"/>
            </w:tcBorders>
            <w:shd w:val="clear" w:color="auto" w:fill="auto"/>
            <w:noWrap/>
            <w:hideMark/>
          </w:tcPr>
          <w:p w14:paraId="438024D6" w14:textId="77777777" w:rsidR="009F2F49" w:rsidRPr="009F2F49" w:rsidRDefault="009F2F49" w:rsidP="009F2F49">
            <w:pPr>
              <w:tabs>
                <w:tab w:val="clear" w:pos="1152"/>
              </w:tabs>
              <w:spacing w:line="240" w:lineRule="auto"/>
              <w:jc w:val="center"/>
              <w:rPr>
                <w:sz w:val="20"/>
                <w:szCs w:val="20"/>
              </w:rPr>
            </w:pPr>
          </w:p>
        </w:tc>
        <w:tc>
          <w:tcPr>
            <w:tcW w:w="1466" w:type="dxa"/>
            <w:tcBorders>
              <w:top w:val="nil"/>
              <w:left w:val="nil"/>
              <w:bottom w:val="nil"/>
              <w:right w:val="nil"/>
            </w:tcBorders>
            <w:shd w:val="clear" w:color="auto" w:fill="auto"/>
            <w:noWrap/>
            <w:hideMark/>
          </w:tcPr>
          <w:p w14:paraId="2611F28C" w14:textId="77777777" w:rsidR="009F2F49" w:rsidRPr="009F2F49" w:rsidRDefault="009F2F49" w:rsidP="009F2F49">
            <w:pPr>
              <w:tabs>
                <w:tab w:val="clear" w:pos="1152"/>
              </w:tabs>
              <w:spacing w:line="240" w:lineRule="auto"/>
              <w:jc w:val="center"/>
              <w:rPr>
                <w:sz w:val="20"/>
                <w:szCs w:val="20"/>
              </w:rPr>
            </w:pPr>
          </w:p>
        </w:tc>
      </w:tr>
      <w:tr w:rsidR="009F2F49" w:rsidRPr="009F2F49" w14:paraId="55C08428" w14:textId="77777777" w:rsidTr="009F2F49">
        <w:trPr>
          <w:trHeight w:val="300"/>
        </w:trPr>
        <w:tc>
          <w:tcPr>
            <w:tcW w:w="266" w:type="dxa"/>
            <w:tcBorders>
              <w:top w:val="nil"/>
              <w:left w:val="nil"/>
              <w:bottom w:val="nil"/>
              <w:right w:val="nil"/>
            </w:tcBorders>
            <w:shd w:val="clear" w:color="auto" w:fill="auto"/>
            <w:noWrap/>
            <w:vAlign w:val="bottom"/>
            <w:hideMark/>
          </w:tcPr>
          <w:p w14:paraId="28F640E3" w14:textId="77777777" w:rsidR="009F2F49" w:rsidRPr="009F2F49" w:rsidRDefault="009F2F49" w:rsidP="009F2F49">
            <w:pPr>
              <w:tabs>
                <w:tab w:val="clear" w:pos="1152"/>
              </w:tabs>
              <w:spacing w:line="240" w:lineRule="auto"/>
              <w:jc w:val="center"/>
              <w:rPr>
                <w:sz w:val="20"/>
                <w:szCs w:val="20"/>
              </w:rPr>
            </w:pPr>
          </w:p>
        </w:tc>
        <w:tc>
          <w:tcPr>
            <w:tcW w:w="2328" w:type="dxa"/>
            <w:tcBorders>
              <w:top w:val="nil"/>
              <w:left w:val="nil"/>
              <w:bottom w:val="nil"/>
              <w:right w:val="nil"/>
            </w:tcBorders>
            <w:shd w:val="clear" w:color="auto" w:fill="auto"/>
            <w:noWrap/>
            <w:vAlign w:val="center"/>
            <w:hideMark/>
          </w:tcPr>
          <w:p w14:paraId="0A241E3C"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Administrative records</w:t>
            </w:r>
          </w:p>
        </w:tc>
        <w:tc>
          <w:tcPr>
            <w:tcW w:w="1295" w:type="dxa"/>
            <w:tcBorders>
              <w:top w:val="nil"/>
              <w:left w:val="nil"/>
              <w:bottom w:val="nil"/>
              <w:right w:val="nil"/>
            </w:tcBorders>
            <w:shd w:val="clear" w:color="auto" w:fill="auto"/>
            <w:noWrap/>
            <w:vAlign w:val="center"/>
            <w:hideMark/>
          </w:tcPr>
          <w:p w14:paraId="26A88824"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1,064</w:t>
            </w:r>
          </w:p>
        </w:tc>
        <w:tc>
          <w:tcPr>
            <w:tcW w:w="797" w:type="dxa"/>
            <w:tcBorders>
              <w:top w:val="nil"/>
              <w:left w:val="nil"/>
              <w:bottom w:val="nil"/>
              <w:right w:val="nil"/>
            </w:tcBorders>
            <w:shd w:val="clear" w:color="auto" w:fill="auto"/>
            <w:noWrap/>
            <w:vAlign w:val="center"/>
            <w:hideMark/>
          </w:tcPr>
          <w:p w14:paraId="2A7B843A"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0.141</w:t>
            </w:r>
          </w:p>
        </w:tc>
        <w:tc>
          <w:tcPr>
            <w:tcW w:w="267" w:type="dxa"/>
            <w:tcBorders>
              <w:top w:val="nil"/>
              <w:left w:val="nil"/>
              <w:bottom w:val="nil"/>
              <w:right w:val="nil"/>
            </w:tcBorders>
            <w:shd w:val="clear" w:color="auto" w:fill="auto"/>
            <w:noWrap/>
            <w:hideMark/>
          </w:tcPr>
          <w:p w14:paraId="5F8C72EB"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1008" w:type="dxa"/>
            <w:tcBorders>
              <w:top w:val="nil"/>
              <w:left w:val="nil"/>
              <w:bottom w:val="nil"/>
              <w:right w:val="nil"/>
            </w:tcBorders>
            <w:shd w:val="clear" w:color="auto" w:fill="auto"/>
            <w:noWrap/>
            <w:hideMark/>
          </w:tcPr>
          <w:p w14:paraId="2A219703"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5.6</w:t>
            </w:r>
          </w:p>
        </w:tc>
        <w:tc>
          <w:tcPr>
            <w:tcW w:w="1008" w:type="dxa"/>
            <w:tcBorders>
              <w:top w:val="nil"/>
              <w:left w:val="nil"/>
              <w:bottom w:val="nil"/>
              <w:right w:val="nil"/>
            </w:tcBorders>
            <w:shd w:val="clear" w:color="auto" w:fill="auto"/>
            <w:noWrap/>
            <w:hideMark/>
          </w:tcPr>
          <w:p w14:paraId="65AB084F"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7.1</w:t>
            </w:r>
          </w:p>
        </w:tc>
        <w:tc>
          <w:tcPr>
            <w:tcW w:w="267" w:type="dxa"/>
            <w:tcBorders>
              <w:top w:val="nil"/>
              <w:left w:val="nil"/>
              <w:bottom w:val="nil"/>
              <w:right w:val="nil"/>
            </w:tcBorders>
            <w:shd w:val="clear" w:color="auto" w:fill="auto"/>
            <w:noWrap/>
            <w:hideMark/>
          </w:tcPr>
          <w:p w14:paraId="6D6A9DB5"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1313" w:type="dxa"/>
            <w:tcBorders>
              <w:top w:val="nil"/>
              <w:left w:val="nil"/>
              <w:bottom w:val="nil"/>
              <w:right w:val="nil"/>
            </w:tcBorders>
            <w:shd w:val="clear" w:color="auto" w:fill="auto"/>
            <w:noWrap/>
            <w:hideMark/>
          </w:tcPr>
          <w:p w14:paraId="2E310EE2"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1,128</w:t>
            </w:r>
          </w:p>
        </w:tc>
        <w:tc>
          <w:tcPr>
            <w:tcW w:w="1466" w:type="dxa"/>
            <w:tcBorders>
              <w:top w:val="nil"/>
              <w:left w:val="nil"/>
              <w:bottom w:val="nil"/>
              <w:right w:val="nil"/>
            </w:tcBorders>
            <w:shd w:val="clear" w:color="auto" w:fill="auto"/>
            <w:noWrap/>
            <w:vAlign w:val="center"/>
            <w:hideMark/>
          </w:tcPr>
          <w:p w14:paraId="2B14BDC2"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1,974</w:t>
            </w:r>
          </w:p>
        </w:tc>
      </w:tr>
      <w:tr w:rsidR="009F2F49" w:rsidRPr="009F2F49" w14:paraId="2C2F5D68" w14:textId="77777777" w:rsidTr="009F2F49">
        <w:trPr>
          <w:trHeight w:val="300"/>
        </w:trPr>
        <w:tc>
          <w:tcPr>
            <w:tcW w:w="266" w:type="dxa"/>
            <w:tcBorders>
              <w:top w:val="nil"/>
              <w:left w:val="nil"/>
              <w:bottom w:val="nil"/>
              <w:right w:val="nil"/>
            </w:tcBorders>
            <w:shd w:val="clear" w:color="auto" w:fill="auto"/>
            <w:noWrap/>
            <w:vAlign w:val="bottom"/>
            <w:hideMark/>
          </w:tcPr>
          <w:p w14:paraId="559AD3B6"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2328" w:type="dxa"/>
            <w:tcBorders>
              <w:top w:val="nil"/>
              <w:left w:val="nil"/>
              <w:bottom w:val="nil"/>
              <w:right w:val="nil"/>
            </w:tcBorders>
            <w:shd w:val="clear" w:color="auto" w:fill="auto"/>
            <w:noWrap/>
            <w:vAlign w:val="center"/>
            <w:hideMark/>
          </w:tcPr>
          <w:p w14:paraId="2FB8DD83"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Survey</w:t>
            </w:r>
          </w:p>
        </w:tc>
        <w:tc>
          <w:tcPr>
            <w:tcW w:w="1295" w:type="dxa"/>
            <w:tcBorders>
              <w:top w:val="nil"/>
              <w:left w:val="nil"/>
              <w:bottom w:val="nil"/>
              <w:right w:val="nil"/>
            </w:tcBorders>
            <w:shd w:val="clear" w:color="auto" w:fill="auto"/>
            <w:noWrap/>
            <w:vAlign w:val="center"/>
            <w:hideMark/>
          </w:tcPr>
          <w:p w14:paraId="6216AFBF"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851</w:t>
            </w:r>
          </w:p>
        </w:tc>
        <w:tc>
          <w:tcPr>
            <w:tcW w:w="797" w:type="dxa"/>
            <w:tcBorders>
              <w:top w:val="nil"/>
              <w:left w:val="nil"/>
              <w:bottom w:val="nil"/>
              <w:right w:val="nil"/>
            </w:tcBorders>
            <w:shd w:val="clear" w:color="auto" w:fill="auto"/>
            <w:noWrap/>
            <w:vAlign w:val="center"/>
            <w:hideMark/>
          </w:tcPr>
          <w:p w14:paraId="1B612554"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0.157</w:t>
            </w:r>
          </w:p>
        </w:tc>
        <w:tc>
          <w:tcPr>
            <w:tcW w:w="267" w:type="dxa"/>
            <w:tcBorders>
              <w:top w:val="nil"/>
              <w:left w:val="nil"/>
              <w:bottom w:val="nil"/>
              <w:right w:val="nil"/>
            </w:tcBorders>
            <w:shd w:val="clear" w:color="auto" w:fill="auto"/>
            <w:noWrap/>
            <w:hideMark/>
          </w:tcPr>
          <w:p w14:paraId="78E1D36A"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1008" w:type="dxa"/>
            <w:tcBorders>
              <w:top w:val="nil"/>
              <w:left w:val="nil"/>
              <w:bottom w:val="nil"/>
              <w:right w:val="nil"/>
            </w:tcBorders>
            <w:shd w:val="clear" w:color="auto" w:fill="auto"/>
            <w:noWrap/>
            <w:hideMark/>
          </w:tcPr>
          <w:p w14:paraId="0A7889CA"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6.3</w:t>
            </w:r>
          </w:p>
        </w:tc>
        <w:tc>
          <w:tcPr>
            <w:tcW w:w="1008" w:type="dxa"/>
            <w:tcBorders>
              <w:top w:val="nil"/>
              <w:left w:val="nil"/>
              <w:bottom w:val="nil"/>
              <w:right w:val="nil"/>
            </w:tcBorders>
            <w:shd w:val="clear" w:color="auto" w:fill="auto"/>
            <w:noWrap/>
            <w:hideMark/>
          </w:tcPr>
          <w:p w14:paraId="4D4ABCA9"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7.9</w:t>
            </w:r>
          </w:p>
        </w:tc>
        <w:tc>
          <w:tcPr>
            <w:tcW w:w="267" w:type="dxa"/>
            <w:tcBorders>
              <w:top w:val="nil"/>
              <w:left w:val="nil"/>
              <w:bottom w:val="nil"/>
              <w:right w:val="nil"/>
            </w:tcBorders>
            <w:shd w:val="clear" w:color="auto" w:fill="auto"/>
            <w:noWrap/>
            <w:hideMark/>
          </w:tcPr>
          <w:p w14:paraId="473474AA"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1313" w:type="dxa"/>
            <w:tcBorders>
              <w:top w:val="nil"/>
              <w:left w:val="nil"/>
              <w:bottom w:val="nil"/>
              <w:right w:val="nil"/>
            </w:tcBorders>
            <w:shd w:val="clear" w:color="auto" w:fill="auto"/>
            <w:noWrap/>
            <w:hideMark/>
          </w:tcPr>
          <w:p w14:paraId="426C6C5C"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1,256</w:t>
            </w:r>
          </w:p>
        </w:tc>
        <w:tc>
          <w:tcPr>
            <w:tcW w:w="1466" w:type="dxa"/>
            <w:tcBorders>
              <w:top w:val="nil"/>
              <w:left w:val="nil"/>
              <w:bottom w:val="nil"/>
              <w:right w:val="nil"/>
            </w:tcBorders>
            <w:shd w:val="clear" w:color="auto" w:fill="auto"/>
            <w:noWrap/>
            <w:vAlign w:val="center"/>
            <w:hideMark/>
          </w:tcPr>
          <w:p w14:paraId="5485CDA7"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2,198</w:t>
            </w:r>
          </w:p>
        </w:tc>
      </w:tr>
      <w:tr w:rsidR="009F2F49" w:rsidRPr="009F2F49" w14:paraId="55CA8D61" w14:textId="77777777" w:rsidTr="009F2F49">
        <w:trPr>
          <w:trHeight w:val="150"/>
        </w:trPr>
        <w:tc>
          <w:tcPr>
            <w:tcW w:w="266" w:type="dxa"/>
            <w:tcBorders>
              <w:top w:val="nil"/>
              <w:left w:val="nil"/>
              <w:bottom w:val="nil"/>
              <w:right w:val="nil"/>
            </w:tcBorders>
            <w:shd w:val="clear" w:color="auto" w:fill="auto"/>
            <w:noWrap/>
            <w:vAlign w:val="center"/>
            <w:hideMark/>
          </w:tcPr>
          <w:p w14:paraId="301F1B2D"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2328" w:type="dxa"/>
            <w:tcBorders>
              <w:top w:val="nil"/>
              <w:left w:val="nil"/>
              <w:bottom w:val="nil"/>
              <w:right w:val="nil"/>
            </w:tcBorders>
            <w:shd w:val="clear" w:color="auto" w:fill="auto"/>
            <w:noWrap/>
            <w:vAlign w:val="center"/>
            <w:hideMark/>
          </w:tcPr>
          <w:p w14:paraId="34625042" w14:textId="77777777" w:rsidR="009F2F49" w:rsidRPr="009F2F49" w:rsidRDefault="009F2F49" w:rsidP="009F2F49">
            <w:pPr>
              <w:tabs>
                <w:tab w:val="clear" w:pos="1152"/>
              </w:tabs>
              <w:spacing w:line="240" w:lineRule="auto"/>
              <w:jc w:val="left"/>
              <w:rPr>
                <w:sz w:val="20"/>
                <w:szCs w:val="20"/>
              </w:rPr>
            </w:pPr>
          </w:p>
        </w:tc>
        <w:tc>
          <w:tcPr>
            <w:tcW w:w="1295" w:type="dxa"/>
            <w:tcBorders>
              <w:top w:val="nil"/>
              <w:left w:val="nil"/>
              <w:bottom w:val="nil"/>
              <w:right w:val="nil"/>
            </w:tcBorders>
            <w:shd w:val="clear" w:color="auto" w:fill="auto"/>
            <w:noWrap/>
            <w:vAlign w:val="center"/>
            <w:hideMark/>
          </w:tcPr>
          <w:p w14:paraId="3AADD5AF" w14:textId="77777777" w:rsidR="009F2F49" w:rsidRPr="009F2F49" w:rsidRDefault="009F2F49" w:rsidP="009F2F49">
            <w:pPr>
              <w:tabs>
                <w:tab w:val="clear" w:pos="1152"/>
              </w:tabs>
              <w:spacing w:line="240" w:lineRule="auto"/>
              <w:jc w:val="left"/>
              <w:rPr>
                <w:sz w:val="20"/>
                <w:szCs w:val="20"/>
              </w:rPr>
            </w:pPr>
          </w:p>
        </w:tc>
        <w:tc>
          <w:tcPr>
            <w:tcW w:w="797" w:type="dxa"/>
            <w:tcBorders>
              <w:top w:val="nil"/>
              <w:left w:val="nil"/>
              <w:bottom w:val="nil"/>
              <w:right w:val="nil"/>
            </w:tcBorders>
            <w:shd w:val="clear" w:color="auto" w:fill="auto"/>
            <w:noWrap/>
            <w:vAlign w:val="center"/>
            <w:hideMark/>
          </w:tcPr>
          <w:p w14:paraId="39EB6F05" w14:textId="77777777" w:rsidR="009F2F49" w:rsidRPr="009F2F49" w:rsidRDefault="009F2F49" w:rsidP="009F2F49">
            <w:pPr>
              <w:tabs>
                <w:tab w:val="clear" w:pos="1152"/>
              </w:tabs>
              <w:spacing w:line="240" w:lineRule="auto"/>
              <w:jc w:val="left"/>
              <w:rPr>
                <w:sz w:val="20"/>
                <w:szCs w:val="20"/>
              </w:rPr>
            </w:pPr>
          </w:p>
        </w:tc>
        <w:tc>
          <w:tcPr>
            <w:tcW w:w="267" w:type="dxa"/>
            <w:tcBorders>
              <w:top w:val="nil"/>
              <w:left w:val="nil"/>
              <w:bottom w:val="nil"/>
              <w:right w:val="nil"/>
            </w:tcBorders>
            <w:shd w:val="clear" w:color="auto" w:fill="auto"/>
            <w:noWrap/>
            <w:hideMark/>
          </w:tcPr>
          <w:p w14:paraId="180EE17E" w14:textId="77777777" w:rsidR="009F2F49" w:rsidRPr="009F2F49" w:rsidRDefault="009F2F49" w:rsidP="009F2F49">
            <w:pPr>
              <w:tabs>
                <w:tab w:val="clear" w:pos="1152"/>
              </w:tabs>
              <w:spacing w:line="240" w:lineRule="auto"/>
              <w:jc w:val="center"/>
              <w:rPr>
                <w:sz w:val="20"/>
                <w:szCs w:val="20"/>
              </w:rPr>
            </w:pPr>
          </w:p>
        </w:tc>
        <w:tc>
          <w:tcPr>
            <w:tcW w:w="1008" w:type="dxa"/>
            <w:tcBorders>
              <w:top w:val="nil"/>
              <w:left w:val="nil"/>
              <w:bottom w:val="nil"/>
              <w:right w:val="nil"/>
            </w:tcBorders>
            <w:shd w:val="clear" w:color="auto" w:fill="auto"/>
            <w:noWrap/>
            <w:hideMark/>
          </w:tcPr>
          <w:p w14:paraId="0DED6DFA" w14:textId="77777777" w:rsidR="009F2F49" w:rsidRPr="009F2F49" w:rsidRDefault="009F2F49" w:rsidP="009F2F49">
            <w:pPr>
              <w:tabs>
                <w:tab w:val="clear" w:pos="1152"/>
              </w:tabs>
              <w:spacing w:line="240" w:lineRule="auto"/>
              <w:jc w:val="left"/>
              <w:rPr>
                <w:sz w:val="20"/>
                <w:szCs w:val="20"/>
              </w:rPr>
            </w:pPr>
          </w:p>
        </w:tc>
        <w:tc>
          <w:tcPr>
            <w:tcW w:w="1008" w:type="dxa"/>
            <w:tcBorders>
              <w:top w:val="nil"/>
              <w:left w:val="nil"/>
              <w:bottom w:val="nil"/>
              <w:right w:val="nil"/>
            </w:tcBorders>
            <w:shd w:val="clear" w:color="auto" w:fill="auto"/>
            <w:noWrap/>
            <w:hideMark/>
          </w:tcPr>
          <w:p w14:paraId="68A0C312" w14:textId="77777777" w:rsidR="009F2F49" w:rsidRPr="009F2F49" w:rsidRDefault="009F2F49" w:rsidP="009F2F49">
            <w:pPr>
              <w:tabs>
                <w:tab w:val="clear" w:pos="1152"/>
              </w:tabs>
              <w:spacing w:line="240" w:lineRule="auto"/>
              <w:jc w:val="center"/>
              <w:rPr>
                <w:sz w:val="20"/>
                <w:szCs w:val="20"/>
              </w:rPr>
            </w:pPr>
          </w:p>
        </w:tc>
        <w:tc>
          <w:tcPr>
            <w:tcW w:w="267" w:type="dxa"/>
            <w:tcBorders>
              <w:top w:val="nil"/>
              <w:left w:val="nil"/>
              <w:bottom w:val="nil"/>
              <w:right w:val="nil"/>
            </w:tcBorders>
            <w:shd w:val="clear" w:color="auto" w:fill="auto"/>
            <w:noWrap/>
            <w:hideMark/>
          </w:tcPr>
          <w:p w14:paraId="7A686CAA" w14:textId="77777777" w:rsidR="009F2F49" w:rsidRPr="009F2F49" w:rsidRDefault="009F2F49" w:rsidP="009F2F49">
            <w:pPr>
              <w:tabs>
                <w:tab w:val="clear" w:pos="1152"/>
              </w:tabs>
              <w:spacing w:line="240" w:lineRule="auto"/>
              <w:jc w:val="center"/>
              <w:rPr>
                <w:sz w:val="20"/>
                <w:szCs w:val="20"/>
              </w:rPr>
            </w:pPr>
          </w:p>
        </w:tc>
        <w:tc>
          <w:tcPr>
            <w:tcW w:w="1313" w:type="dxa"/>
            <w:tcBorders>
              <w:top w:val="nil"/>
              <w:left w:val="nil"/>
              <w:bottom w:val="nil"/>
              <w:right w:val="nil"/>
            </w:tcBorders>
            <w:shd w:val="clear" w:color="auto" w:fill="auto"/>
            <w:noWrap/>
            <w:hideMark/>
          </w:tcPr>
          <w:p w14:paraId="131DC1E0" w14:textId="77777777" w:rsidR="009F2F49" w:rsidRPr="009F2F49" w:rsidRDefault="009F2F49" w:rsidP="009F2F49">
            <w:pPr>
              <w:tabs>
                <w:tab w:val="clear" w:pos="1152"/>
              </w:tabs>
              <w:spacing w:line="240" w:lineRule="auto"/>
              <w:jc w:val="center"/>
              <w:rPr>
                <w:sz w:val="20"/>
                <w:szCs w:val="20"/>
              </w:rPr>
            </w:pPr>
          </w:p>
        </w:tc>
        <w:tc>
          <w:tcPr>
            <w:tcW w:w="1466" w:type="dxa"/>
            <w:tcBorders>
              <w:top w:val="nil"/>
              <w:left w:val="nil"/>
              <w:bottom w:val="nil"/>
              <w:right w:val="nil"/>
            </w:tcBorders>
            <w:shd w:val="clear" w:color="auto" w:fill="auto"/>
            <w:noWrap/>
            <w:hideMark/>
          </w:tcPr>
          <w:p w14:paraId="77A37B9F" w14:textId="77777777" w:rsidR="009F2F49" w:rsidRPr="009F2F49" w:rsidRDefault="009F2F49" w:rsidP="009F2F49">
            <w:pPr>
              <w:tabs>
                <w:tab w:val="clear" w:pos="1152"/>
              </w:tabs>
              <w:spacing w:line="240" w:lineRule="auto"/>
              <w:jc w:val="center"/>
              <w:rPr>
                <w:sz w:val="20"/>
                <w:szCs w:val="20"/>
              </w:rPr>
            </w:pPr>
          </w:p>
        </w:tc>
      </w:tr>
      <w:tr w:rsidR="009F2F49" w:rsidRPr="009F2F49" w14:paraId="2B4463F4" w14:textId="77777777" w:rsidTr="009F2F49">
        <w:trPr>
          <w:trHeight w:val="300"/>
        </w:trPr>
        <w:tc>
          <w:tcPr>
            <w:tcW w:w="266" w:type="dxa"/>
            <w:tcBorders>
              <w:top w:val="nil"/>
              <w:left w:val="nil"/>
              <w:bottom w:val="nil"/>
              <w:right w:val="nil"/>
            </w:tcBorders>
            <w:shd w:val="clear" w:color="auto" w:fill="auto"/>
            <w:noWrap/>
            <w:vAlign w:val="center"/>
            <w:hideMark/>
          </w:tcPr>
          <w:p w14:paraId="569E9D93" w14:textId="77777777" w:rsidR="009F2F49" w:rsidRPr="009F2F49" w:rsidRDefault="009F2F49" w:rsidP="009F2F49">
            <w:pPr>
              <w:tabs>
                <w:tab w:val="clear" w:pos="1152"/>
              </w:tabs>
              <w:spacing w:line="240" w:lineRule="auto"/>
              <w:jc w:val="center"/>
              <w:rPr>
                <w:sz w:val="20"/>
                <w:szCs w:val="20"/>
              </w:rPr>
            </w:pPr>
          </w:p>
        </w:tc>
        <w:tc>
          <w:tcPr>
            <w:tcW w:w="3623" w:type="dxa"/>
            <w:gridSpan w:val="2"/>
            <w:tcBorders>
              <w:top w:val="nil"/>
              <w:left w:val="nil"/>
              <w:bottom w:val="nil"/>
              <w:right w:val="nil"/>
            </w:tcBorders>
            <w:shd w:val="clear" w:color="auto" w:fill="auto"/>
            <w:noWrap/>
            <w:vAlign w:val="center"/>
            <w:hideMark/>
          </w:tcPr>
          <w:p w14:paraId="1E0FFA5A" w14:textId="77777777" w:rsidR="009F2F49" w:rsidRPr="009F2F49" w:rsidRDefault="009F2F49" w:rsidP="009F2F49">
            <w:pPr>
              <w:tabs>
                <w:tab w:val="clear" w:pos="1152"/>
              </w:tabs>
              <w:spacing w:line="240" w:lineRule="auto"/>
              <w:jc w:val="left"/>
              <w:rPr>
                <w:rFonts w:ascii="Franklin Gothic Medium" w:hAnsi="Franklin Gothic Medium"/>
                <w:b/>
                <w:bCs/>
                <w:color w:val="000000"/>
                <w:sz w:val="20"/>
                <w:szCs w:val="20"/>
              </w:rPr>
            </w:pPr>
            <w:r w:rsidRPr="009F2F49">
              <w:rPr>
                <w:rFonts w:ascii="Franklin Gothic Medium" w:hAnsi="Franklin Gothic Medium"/>
                <w:b/>
                <w:bCs/>
                <w:color w:val="000000"/>
                <w:sz w:val="20"/>
                <w:szCs w:val="20"/>
              </w:rPr>
              <w:t>SWFI pooled sample (2 sites)</w:t>
            </w:r>
          </w:p>
        </w:tc>
        <w:tc>
          <w:tcPr>
            <w:tcW w:w="797" w:type="dxa"/>
            <w:tcBorders>
              <w:top w:val="nil"/>
              <w:left w:val="nil"/>
              <w:bottom w:val="nil"/>
              <w:right w:val="nil"/>
            </w:tcBorders>
            <w:shd w:val="clear" w:color="auto" w:fill="auto"/>
            <w:noWrap/>
            <w:vAlign w:val="center"/>
            <w:hideMark/>
          </w:tcPr>
          <w:p w14:paraId="66042263" w14:textId="77777777" w:rsidR="009F2F49" w:rsidRPr="009F2F49" w:rsidRDefault="009F2F49" w:rsidP="009F2F49">
            <w:pPr>
              <w:tabs>
                <w:tab w:val="clear" w:pos="1152"/>
              </w:tabs>
              <w:spacing w:line="240" w:lineRule="auto"/>
              <w:jc w:val="left"/>
              <w:rPr>
                <w:rFonts w:ascii="Franklin Gothic Medium" w:hAnsi="Franklin Gothic Medium"/>
                <w:b/>
                <w:bCs/>
                <w:color w:val="000000"/>
                <w:sz w:val="20"/>
                <w:szCs w:val="20"/>
              </w:rPr>
            </w:pPr>
          </w:p>
        </w:tc>
        <w:tc>
          <w:tcPr>
            <w:tcW w:w="267" w:type="dxa"/>
            <w:tcBorders>
              <w:top w:val="nil"/>
              <w:left w:val="nil"/>
              <w:bottom w:val="nil"/>
              <w:right w:val="nil"/>
            </w:tcBorders>
            <w:shd w:val="clear" w:color="auto" w:fill="auto"/>
            <w:noWrap/>
            <w:hideMark/>
          </w:tcPr>
          <w:p w14:paraId="47A82C0C" w14:textId="77777777" w:rsidR="009F2F49" w:rsidRPr="009F2F49" w:rsidRDefault="009F2F49" w:rsidP="009F2F49">
            <w:pPr>
              <w:tabs>
                <w:tab w:val="clear" w:pos="1152"/>
              </w:tabs>
              <w:spacing w:line="240" w:lineRule="auto"/>
              <w:jc w:val="center"/>
              <w:rPr>
                <w:sz w:val="20"/>
                <w:szCs w:val="20"/>
              </w:rPr>
            </w:pPr>
          </w:p>
        </w:tc>
        <w:tc>
          <w:tcPr>
            <w:tcW w:w="1008" w:type="dxa"/>
            <w:tcBorders>
              <w:top w:val="nil"/>
              <w:left w:val="nil"/>
              <w:bottom w:val="nil"/>
              <w:right w:val="nil"/>
            </w:tcBorders>
            <w:shd w:val="clear" w:color="auto" w:fill="auto"/>
            <w:noWrap/>
            <w:hideMark/>
          </w:tcPr>
          <w:p w14:paraId="19AE9A69" w14:textId="77777777" w:rsidR="009F2F49" w:rsidRPr="009F2F49" w:rsidRDefault="009F2F49" w:rsidP="009F2F49">
            <w:pPr>
              <w:tabs>
                <w:tab w:val="clear" w:pos="1152"/>
              </w:tabs>
              <w:spacing w:line="240" w:lineRule="auto"/>
              <w:jc w:val="left"/>
              <w:rPr>
                <w:sz w:val="20"/>
                <w:szCs w:val="20"/>
              </w:rPr>
            </w:pPr>
          </w:p>
        </w:tc>
        <w:tc>
          <w:tcPr>
            <w:tcW w:w="1008" w:type="dxa"/>
            <w:tcBorders>
              <w:top w:val="nil"/>
              <w:left w:val="nil"/>
              <w:bottom w:val="nil"/>
              <w:right w:val="nil"/>
            </w:tcBorders>
            <w:shd w:val="clear" w:color="auto" w:fill="auto"/>
            <w:noWrap/>
            <w:hideMark/>
          </w:tcPr>
          <w:p w14:paraId="5A665DA6" w14:textId="77777777" w:rsidR="009F2F49" w:rsidRPr="009F2F49" w:rsidRDefault="009F2F49" w:rsidP="009F2F49">
            <w:pPr>
              <w:tabs>
                <w:tab w:val="clear" w:pos="1152"/>
              </w:tabs>
              <w:spacing w:line="240" w:lineRule="auto"/>
              <w:jc w:val="center"/>
              <w:rPr>
                <w:sz w:val="20"/>
                <w:szCs w:val="20"/>
              </w:rPr>
            </w:pPr>
          </w:p>
        </w:tc>
        <w:tc>
          <w:tcPr>
            <w:tcW w:w="267" w:type="dxa"/>
            <w:tcBorders>
              <w:top w:val="nil"/>
              <w:left w:val="nil"/>
              <w:bottom w:val="nil"/>
              <w:right w:val="nil"/>
            </w:tcBorders>
            <w:shd w:val="clear" w:color="auto" w:fill="auto"/>
            <w:noWrap/>
            <w:hideMark/>
          </w:tcPr>
          <w:p w14:paraId="2423894A" w14:textId="77777777" w:rsidR="009F2F49" w:rsidRPr="009F2F49" w:rsidRDefault="009F2F49" w:rsidP="009F2F49">
            <w:pPr>
              <w:tabs>
                <w:tab w:val="clear" w:pos="1152"/>
              </w:tabs>
              <w:spacing w:line="240" w:lineRule="auto"/>
              <w:jc w:val="center"/>
              <w:rPr>
                <w:sz w:val="20"/>
                <w:szCs w:val="20"/>
              </w:rPr>
            </w:pPr>
          </w:p>
        </w:tc>
        <w:tc>
          <w:tcPr>
            <w:tcW w:w="1313" w:type="dxa"/>
            <w:tcBorders>
              <w:top w:val="nil"/>
              <w:left w:val="nil"/>
              <w:bottom w:val="nil"/>
              <w:right w:val="nil"/>
            </w:tcBorders>
            <w:shd w:val="clear" w:color="auto" w:fill="auto"/>
            <w:noWrap/>
            <w:hideMark/>
          </w:tcPr>
          <w:p w14:paraId="0256A983" w14:textId="77777777" w:rsidR="009F2F49" w:rsidRPr="009F2F49" w:rsidRDefault="009F2F49" w:rsidP="009F2F49">
            <w:pPr>
              <w:tabs>
                <w:tab w:val="clear" w:pos="1152"/>
              </w:tabs>
              <w:spacing w:line="240" w:lineRule="auto"/>
              <w:jc w:val="center"/>
              <w:rPr>
                <w:sz w:val="20"/>
                <w:szCs w:val="20"/>
              </w:rPr>
            </w:pPr>
          </w:p>
        </w:tc>
        <w:tc>
          <w:tcPr>
            <w:tcW w:w="1466" w:type="dxa"/>
            <w:tcBorders>
              <w:top w:val="nil"/>
              <w:left w:val="nil"/>
              <w:bottom w:val="nil"/>
              <w:right w:val="nil"/>
            </w:tcBorders>
            <w:shd w:val="clear" w:color="auto" w:fill="auto"/>
            <w:noWrap/>
            <w:hideMark/>
          </w:tcPr>
          <w:p w14:paraId="51B1C0F5" w14:textId="77777777" w:rsidR="009F2F49" w:rsidRPr="009F2F49" w:rsidRDefault="009F2F49" w:rsidP="009F2F49">
            <w:pPr>
              <w:tabs>
                <w:tab w:val="clear" w:pos="1152"/>
              </w:tabs>
              <w:spacing w:line="240" w:lineRule="auto"/>
              <w:jc w:val="center"/>
              <w:rPr>
                <w:sz w:val="20"/>
                <w:szCs w:val="20"/>
              </w:rPr>
            </w:pPr>
          </w:p>
        </w:tc>
      </w:tr>
      <w:tr w:rsidR="009F2F49" w:rsidRPr="009F2F49" w14:paraId="726DBD6E" w14:textId="77777777" w:rsidTr="009F2F49">
        <w:trPr>
          <w:trHeight w:val="300"/>
        </w:trPr>
        <w:tc>
          <w:tcPr>
            <w:tcW w:w="266" w:type="dxa"/>
            <w:tcBorders>
              <w:top w:val="nil"/>
              <w:left w:val="nil"/>
              <w:bottom w:val="nil"/>
              <w:right w:val="nil"/>
            </w:tcBorders>
            <w:shd w:val="clear" w:color="auto" w:fill="auto"/>
            <w:noWrap/>
            <w:vAlign w:val="bottom"/>
            <w:hideMark/>
          </w:tcPr>
          <w:p w14:paraId="79BB562A" w14:textId="77777777" w:rsidR="009F2F49" w:rsidRPr="009F2F49" w:rsidRDefault="009F2F49" w:rsidP="009F2F49">
            <w:pPr>
              <w:tabs>
                <w:tab w:val="clear" w:pos="1152"/>
              </w:tabs>
              <w:spacing w:line="240" w:lineRule="auto"/>
              <w:jc w:val="center"/>
              <w:rPr>
                <w:sz w:val="20"/>
                <w:szCs w:val="20"/>
              </w:rPr>
            </w:pPr>
          </w:p>
        </w:tc>
        <w:tc>
          <w:tcPr>
            <w:tcW w:w="2328" w:type="dxa"/>
            <w:tcBorders>
              <w:top w:val="nil"/>
              <w:left w:val="nil"/>
              <w:bottom w:val="nil"/>
              <w:right w:val="nil"/>
            </w:tcBorders>
            <w:shd w:val="clear" w:color="auto" w:fill="auto"/>
            <w:noWrap/>
            <w:vAlign w:val="center"/>
            <w:hideMark/>
          </w:tcPr>
          <w:p w14:paraId="22E570E3"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Administrative records</w:t>
            </w:r>
          </w:p>
        </w:tc>
        <w:tc>
          <w:tcPr>
            <w:tcW w:w="1295" w:type="dxa"/>
            <w:tcBorders>
              <w:top w:val="nil"/>
              <w:left w:val="nil"/>
              <w:bottom w:val="nil"/>
              <w:right w:val="nil"/>
            </w:tcBorders>
            <w:shd w:val="clear" w:color="auto" w:fill="auto"/>
            <w:noWrap/>
            <w:vAlign w:val="center"/>
            <w:hideMark/>
          </w:tcPr>
          <w:p w14:paraId="57287008"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640</w:t>
            </w:r>
          </w:p>
        </w:tc>
        <w:tc>
          <w:tcPr>
            <w:tcW w:w="797" w:type="dxa"/>
            <w:tcBorders>
              <w:top w:val="nil"/>
              <w:left w:val="nil"/>
              <w:bottom w:val="nil"/>
              <w:right w:val="nil"/>
            </w:tcBorders>
            <w:shd w:val="clear" w:color="auto" w:fill="auto"/>
            <w:noWrap/>
            <w:vAlign w:val="center"/>
            <w:hideMark/>
          </w:tcPr>
          <w:p w14:paraId="455ECC41"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0.181</w:t>
            </w:r>
          </w:p>
        </w:tc>
        <w:tc>
          <w:tcPr>
            <w:tcW w:w="267" w:type="dxa"/>
            <w:tcBorders>
              <w:top w:val="nil"/>
              <w:left w:val="nil"/>
              <w:bottom w:val="nil"/>
              <w:right w:val="nil"/>
            </w:tcBorders>
            <w:shd w:val="clear" w:color="auto" w:fill="auto"/>
            <w:noWrap/>
            <w:hideMark/>
          </w:tcPr>
          <w:p w14:paraId="60CEC249"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1008" w:type="dxa"/>
            <w:tcBorders>
              <w:top w:val="nil"/>
              <w:left w:val="nil"/>
              <w:bottom w:val="nil"/>
              <w:right w:val="nil"/>
            </w:tcBorders>
            <w:shd w:val="clear" w:color="auto" w:fill="auto"/>
            <w:noWrap/>
            <w:hideMark/>
          </w:tcPr>
          <w:p w14:paraId="77006134"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7.2</w:t>
            </w:r>
          </w:p>
        </w:tc>
        <w:tc>
          <w:tcPr>
            <w:tcW w:w="1008" w:type="dxa"/>
            <w:tcBorders>
              <w:top w:val="nil"/>
              <w:left w:val="nil"/>
              <w:bottom w:val="nil"/>
              <w:right w:val="nil"/>
            </w:tcBorders>
            <w:shd w:val="clear" w:color="auto" w:fill="auto"/>
            <w:noWrap/>
            <w:hideMark/>
          </w:tcPr>
          <w:p w14:paraId="649DFD4D"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9.1</w:t>
            </w:r>
          </w:p>
        </w:tc>
        <w:tc>
          <w:tcPr>
            <w:tcW w:w="267" w:type="dxa"/>
            <w:tcBorders>
              <w:top w:val="nil"/>
              <w:left w:val="nil"/>
              <w:bottom w:val="nil"/>
              <w:right w:val="nil"/>
            </w:tcBorders>
            <w:shd w:val="clear" w:color="auto" w:fill="auto"/>
            <w:noWrap/>
            <w:hideMark/>
          </w:tcPr>
          <w:p w14:paraId="1C0B6517"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1313" w:type="dxa"/>
            <w:tcBorders>
              <w:top w:val="nil"/>
              <w:left w:val="nil"/>
              <w:bottom w:val="nil"/>
              <w:right w:val="nil"/>
            </w:tcBorders>
            <w:shd w:val="clear" w:color="auto" w:fill="auto"/>
            <w:noWrap/>
            <w:hideMark/>
          </w:tcPr>
          <w:p w14:paraId="7C31EF54"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1,448</w:t>
            </w:r>
          </w:p>
        </w:tc>
        <w:tc>
          <w:tcPr>
            <w:tcW w:w="1466" w:type="dxa"/>
            <w:tcBorders>
              <w:top w:val="nil"/>
              <w:left w:val="nil"/>
              <w:bottom w:val="nil"/>
              <w:right w:val="nil"/>
            </w:tcBorders>
            <w:shd w:val="clear" w:color="auto" w:fill="auto"/>
            <w:noWrap/>
            <w:vAlign w:val="center"/>
            <w:hideMark/>
          </w:tcPr>
          <w:p w14:paraId="22B770C3"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2,534</w:t>
            </w:r>
          </w:p>
        </w:tc>
      </w:tr>
      <w:tr w:rsidR="009F2F49" w:rsidRPr="009F2F49" w14:paraId="37632A17" w14:textId="77777777" w:rsidTr="009F2F49">
        <w:trPr>
          <w:trHeight w:val="300"/>
        </w:trPr>
        <w:tc>
          <w:tcPr>
            <w:tcW w:w="266" w:type="dxa"/>
            <w:tcBorders>
              <w:top w:val="nil"/>
              <w:left w:val="nil"/>
              <w:bottom w:val="nil"/>
              <w:right w:val="nil"/>
            </w:tcBorders>
            <w:shd w:val="clear" w:color="auto" w:fill="auto"/>
            <w:noWrap/>
            <w:vAlign w:val="bottom"/>
            <w:hideMark/>
          </w:tcPr>
          <w:p w14:paraId="770927EF"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2328" w:type="dxa"/>
            <w:tcBorders>
              <w:top w:val="nil"/>
              <w:left w:val="nil"/>
              <w:bottom w:val="nil"/>
              <w:right w:val="nil"/>
            </w:tcBorders>
            <w:shd w:val="clear" w:color="auto" w:fill="auto"/>
            <w:noWrap/>
            <w:vAlign w:val="center"/>
            <w:hideMark/>
          </w:tcPr>
          <w:p w14:paraId="354DE925"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Survey</w:t>
            </w:r>
          </w:p>
        </w:tc>
        <w:tc>
          <w:tcPr>
            <w:tcW w:w="1295" w:type="dxa"/>
            <w:tcBorders>
              <w:top w:val="nil"/>
              <w:left w:val="nil"/>
              <w:bottom w:val="nil"/>
              <w:right w:val="nil"/>
            </w:tcBorders>
            <w:shd w:val="clear" w:color="auto" w:fill="auto"/>
            <w:noWrap/>
            <w:vAlign w:val="center"/>
            <w:hideMark/>
          </w:tcPr>
          <w:p w14:paraId="08F60AE2"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512</w:t>
            </w:r>
          </w:p>
        </w:tc>
        <w:tc>
          <w:tcPr>
            <w:tcW w:w="797" w:type="dxa"/>
            <w:tcBorders>
              <w:top w:val="nil"/>
              <w:left w:val="nil"/>
              <w:bottom w:val="nil"/>
              <w:right w:val="nil"/>
            </w:tcBorders>
            <w:shd w:val="clear" w:color="auto" w:fill="auto"/>
            <w:noWrap/>
            <w:vAlign w:val="center"/>
            <w:hideMark/>
          </w:tcPr>
          <w:p w14:paraId="620C3CCB"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0.203</w:t>
            </w:r>
          </w:p>
        </w:tc>
        <w:tc>
          <w:tcPr>
            <w:tcW w:w="267" w:type="dxa"/>
            <w:tcBorders>
              <w:top w:val="nil"/>
              <w:left w:val="nil"/>
              <w:bottom w:val="nil"/>
              <w:right w:val="nil"/>
            </w:tcBorders>
            <w:shd w:val="clear" w:color="auto" w:fill="auto"/>
            <w:noWrap/>
            <w:hideMark/>
          </w:tcPr>
          <w:p w14:paraId="0A851689"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1008" w:type="dxa"/>
            <w:tcBorders>
              <w:top w:val="nil"/>
              <w:left w:val="nil"/>
              <w:bottom w:val="nil"/>
              <w:right w:val="nil"/>
            </w:tcBorders>
            <w:shd w:val="clear" w:color="auto" w:fill="auto"/>
            <w:noWrap/>
            <w:hideMark/>
          </w:tcPr>
          <w:p w14:paraId="2EBE30A1"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8.1</w:t>
            </w:r>
          </w:p>
        </w:tc>
        <w:tc>
          <w:tcPr>
            <w:tcW w:w="1008" w:type="dxa"/>
            <w:tcBorders>
              <w:top w:val="nil"/>
              <w:left w:val="nil"/>
              <w:bottom w:val="nil"/>
              <w:right w:val="nil"/>
            </w:tcBorders>
            <w:shd w:val="clear" w:color="auto" w:fill="auto"/>
            <w:noWrap/>
            <w:hideMark/>
          </w:tcPr>
          <w:p w14:paraId="515C666E"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10.2</w:t>
            </w:r>
          </w:p>
        </w:tc>
        <w:tc>
          <w:tcPr>
            <w:tcW w:w="267" w:type="dxa"/>
            <w:tcBorders>
              <w:top w:val="nil"/>
              <w:left w:val="nil"/>
              <w:bottom w:val="nil"/>
              <w:right w:val="nil"/>
            </w:tcBorders>
            <w:shd w:val="clear" w:color="auto" w:fill="auto"/>
            <w:noWrap/>
            <w:hideMark/>
          </w:tcPr>
          <w:p w14:paraId="60D270E9"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p>
        </w:tc>
        <w:tc>
          <w:tcPr>
            <w:tcW w:w="1313" w:type="dxa"/>
            <w:tcBorders>
              <w:top w:val="nil"/>
              <w:left w:val="nil"/>
              <w:bottom w:val="nil"/>
              <w:right w:val="nil"/>
            </w:tcBorders>
            <w:shd w:val="clear" w:color="auto" w:fill="auto"/>
            <w:noWrap/>
            <w:hideMark/>
          </w:tcPr>
          <w:p w14:paraId="04428A84"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1,624</w:t>
            </w:r>
          </w:p>
        </w:tc>
        <w:tc>
          <w:tcPr>
            <w:tcW w:w="1466" w:type="dxa"/>
            <w:tcBorders>
              <w:top w:val="nil"/>
              <w:left w:val="nil"/>
              <w:bottom w:val="nil"/>
              <w:right w:val="nil"/>
            </w:tcBorders>
            <w:shd w:val="clear" w:color="auto" w:fill="auto"/>
            <w:noWrap/>
            <w:vAlign w:val="center"/>
            <w:hideMark/>
          </w:tcPr>
          <w:p w14:paraId="07C8A4B3"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2,842</w:t>
            </w:r>
          </w:p>
        </w:tc>
      </w:tr>
      <w:tr w:rsidR="009F2F49" w:rsidRPr="009F2F49" w14:paraId="1773D187" w14:textId="77777777" w:rsidTr="009F2F49">
        <w:trPr>
          <w:trHeight w:val="150"/>
        </w:trPr>
        <w:tc>
          <w:tcPr>
            <w:tcW w:w="266" w:type="dxa"/>
            <w:tcBorders>
              <w:top w:val="nil"/>
              <w:left w:val="nil"/>
              <w:bottom w:val="single" w:sz="8" w:space="0" w:color="auto"/>
              <w:right w:val="nil"/>
            </w:tcBorders>
            <w:shd w:val="clear" w:color="auto" w:fill="auto"/>
            <w:noWrap/>
            <w:vAlign w:val="bottom"/>
            <w:hideMark/>
          </w:tcPr>
          <w:p w14:paraId="72527DA2"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c>
          <w:tcPr>
            <w:tcW w:w="2328" w:type="dxa"/>
            <w:tcBorders>
              <w:top w:val="nil"/>
              <w:left w:val="nil"/>
              <w:bottom w:val="single" w:sz="8" w:space="0" w:color="auto"/>
              <w:right w:val="nil"/>
            </w:tcBorders>
            <w:shd w:val="clear" w:color="auto" w:fill="auto"/>
            <w:noWrap/>
            <w:vAlign w:val="center"/>
            <w:hideMark/>
          </w:tcPr>
          <w:p w14:paraId="61AAA26A"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c>
          <w:tcPr>
            <w:tcW w:w="1295" w:type="dxa"/>
            <w:tcBorders>
              <w:top w:val="nil"/>
              <w:left w:val="nil"/>
              <w:bottom w:val="single" w:sz="8" w:space="0" w:color="auto"/>
              <w:right w:val="nil"/>
            </w:tcBorders>
            <w:shd w:val="clear" w:color="auto" w:fill="auto"/>
            <w:noWrap/>
            <w:vAlign w:val="center"/>
            <w:hideMark/>
          </w:tcPr>
          <w:p w14:paraId="6A25B25E"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c>
          <w:tcPr>
            <w:tcW w:w="797" w:type="dxa"/>
            <w:tcBorders>
              <w:top w:val="nil"/>
              <w:left w:val="nil"/>
              <w:bottom w:val="single" w:sz="8" w:space="0" w:color="auto"/>
              <w:right w:val="nil"/>
            </w:tcBorders>
            <w:shd w:val="clear" w:color="auto" w:fill="auto"/>
            <w:noWrap/>
            <w:vAlign w:val="center"/>
            <w:hideMark/>
          </w:tcPr>
          <w:p w14:paraId="4338B5A3"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c>
          <w:tcPr>
            <w:tcW w:w="267" w:type="dxa"/>
            <w:tcBorders>
              <w:top w:val="nil"/>
              <w:left w:val="nil"/>
              <w:bottom w:val="single" w:sz="8" w:space="0" w:color="auto"/>
              <w:right w:val="nil"/>
            </w:tcBorders>
            <w:shd w:val="clear" w:color="auto" w:fill="auto"/>
            <w:noWrap/>
            <w:hideMark/>
          </w:tcPr>
          <w:p w14:paraId="719D00DC" w14:textId="77777777" w:rsidR="009F2F49" w:rsidRPr="009F2F49" w:rsidRDefault="009F2F49" w:rsidP="009F2F49">
            <w:pPr>
              <w:tabs>
                <w:tab w:val="clear" w:pos="1152"/>
              </w:tabs>
              <w:spacing w:line="240" w:lineRule="auto"/>
              <w:jc w:val="left"/>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c>
          <w:tcPr>
            <w:tcW w:w="1008" w:type="dxa"/>
            <w:tcBorders>
              <w:top w:val="nil"/>
              <w:left w:val="nil"/>
              <w:bottom w:val="single" w:sz="8" w:space="0" w:color="auto"/>
              <w:right w:val="nil"/>
            </w:tcBorders>
            <w:shd w:val="clear" w:color="auto" w:fill="auto"/>
            <w:noWrap/>
            <w:vAlign w:val="center"/>
            <w:hideMark/>
          </w:tcPr>
          <w:p w14:paraId="2F36DF2D"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c>
          <w:tcPr>
            <w:tcW w:w="1008" w:type="dxa"/>
            <w:tcBorders>
              <w:top w:val="nil"/>
              <w:left w:val="nil"/>
              <w:bottom w:val="single" w:sz="8" w:space="0" w:color="auto"/>
              <w:right w:val="nil"/>
            </w:tcBorders>
            <w:shd w:val="clear" w:color="auto" w:fill="auto"/>
            <w:noWrap/>
            <w:vAlign w:val="center"/>
            <w:hideMark/>
          </w:tcPr>
          <w:p w14:paraId="671C8083"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c>
          <w:tcPr>
            <w:tcW w:w="267" w:type="dxa"/>
            <w:tcBorders>
              <w:top w:val="nil"/>
              <w:left w:val="nil"/>
              <w:bottom w:val="single" w:sz="8" w:space="0" w:color="auto"/>
              <w:right w:val="nil"/>
            </w:tcBorders>
            <w:shd w:val="clear" w:color="auto" w:fill="auto"/>
            <w:noWrap/>
            <w:vAlign w:val="center"/>
            <w:hideMark/>
          </w:tcPr>
          <w:p w14:paraId="4B7B0026"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c>
          <w:tcPr>
            <w:tcW w:w="1313" w:type="dxa"/>
            <w:tcBorders>
              <w:top w:val="nil"/>
              <w:left w:val="nil"/>
              <w:bottom w:val="single" w:sz="8" w:space="0" w:color="auto"/>
              <w:right w:val="nil"/>
            </w:tcBorders>
            <w:shd w:val="clear" w:color="auto" w:fill="auto"/>
            <w:noWrap/>
            <w:vAlign w:val="center"/>
            <w:hideMark/>
          </w:tcPr>
          <w:p w14:paraId="48C1947C"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c>
          <w:tcPr>
            <w:tcW w:w="1466" w:type="dxa"/>
            <w:tcBorders>
              <w:top w:val="nil"/>
              <w:left w:val="nil"/>
              <w:bottom w:val="single" w:sz="8" w:space="0" w:color="auto"/>
              <w:right w:val="nil"/>
            </w:tcBorders>
            <w:shd w:val="clear" w:color="auto" w:fill="auto"/>
            <w:noWrap/>
            <w:vAlign w:val="center"/>
            <w:hideMark/>
          </w:tcPr>
          <w:p w14:paraId="456A3B5A" w14:textId="77777777" w:rsidR="009F2F49" w:rsidRPr="009F2F49" w:rsidRDefault="009F2F49" w:rsidP="009F2F49">
            <w:pPr>
              <w:tabs>
                <w:tab w:val="clear" w:pos="1152"/>
              </w:tabs>
              <w:spacing w:line="240" w:lineRule="auto"/>
              <w:jc w:val="center"/>
              <w:rPr>
                <w:rFonts w:ascii="Franklin Gothic Medium" w:hAnsi="Franklin Gothic Medium"/>
                <w:color w:val="000000"/>
                <w:sz w:val="20"/>
                <w:szCs w:val="20"/>
              </w:rPr>
            </w:pPr>
            <w:r w:rsidRPr="009F2F49">
              <w:rPr>
                <w:rFonts w:ascii="Franklin Gothic Medium" w:hAnsi="Franklin Gothic Medium"/>
                <w:color w:val="000000"/>
                <w:sz w:val="20"/>
                <w:szCs w:val="20"/>
              </w:rPr>
              <w:t> </w:t>
            </w:r>
          </w:p>
        </w:tc>
      </w:tr>
    </w:tbl>
    <w:p w14:paraId="6263256F" w14:textId="77777777" w:rsidR="009F2F49" w:rsidRPr="009724F9" w:rsidRDefault="009F2F49" w:rsidP="009F2F49">
      <w:pPr>
        <w:pStyle w:val="L1-FlLSp12"/>
        <w:spacing w:line="276" w:lineRule="auto"/>
        <w:rPr>
          <w:sz w:val="20"/>
          <w:szCs w:val="20"/>
        </w:rPr>
      </w:pPr>
      <w:r w:rsidRPr="009724F9">
        <w:rPr>
          <w:sz w:val="20"/>
          <w:szCs w:val="20"/>
        </w:rPr>
        <w:t>SOURCE: MDRC calculations using PowerUP! tool.</w:t>
      </w:r>
    </w:p>
    <w:p w14:paraId="10A00AC3" w14:textId="77777777" w:rsidR="009F2F49" w:rsidRPr="009724F9" w:rsidRDefault="009F2F49" w:rsidP="009F2F49">
      <w:pPr>
        <w:pStyle w:val="L1-FlLSp12"/>
        <w:spacing w:line="276" w:lineRule="auto"/>
        <w:rPr>
          <w:sz w:val="20"/>
          <w:szCs w:val="20"/>
        </w:rPr>
      </w:pPr>
      <w:r w:rsidRPr="009724F9">
        <w:rPr>
          <w:sz w:val="20"/>
          <w:szCs w:val="20"/>
        </w:rPr>
        <w:t>NOTES: MDES = minimum detectable effect size; MDE = minimum detectable effect; SD = standard deviation.</w:t>
      </w:r>
    </w:p>
    <w:p w14:paraId="66C9A2D8" w14:textId="6B5ED931" w:rsidR="009F2F49" w:rsidRPr="009724F9" w:rsidRDefault="009F2F49" w:rsidP="009F2F49">
      <w:pPr>
        <w:pStyle w:val="L1-FlLSp12"/>
        <w:spacing w:line="276" w:lineRule="auto"/>
        <w:rPr>
          <w:sz w:val="20"/>
          <w:szCs w:val="20"/>
        </w:rPr>
      </w:pPr>
      <w:r w:rsidRPr="009724F9">
        <w:rPr>
          <w:sz w:val="20"/>
          <w:szCs w:val="20"/>
        </w:rPr>
        <w:t xml:space="preserve"> </w:t>
      </w:r>
      <w:r w:rsidRPr="009724F9">
        <w:rPr>
          <w:sz w:val="20"/>
          <w:szCs w:val="20"/>
          <w:vertAlign w:val="superscript"/>
        </w:rPr>
        <w:t>a</w:t>
      </w:r>
      <w:r w:rsidRPr="009724F9">
        <w:rPr>
          <w:sz w:val="20"/>
          <w:szCs w:val="20"/>
        </w:rPr>
        <w:t>MDES are for a two-tailed test at 0.10 significance with 80 percent power. These MDES assume covariates will be used, and that they will have a moderate effect (R-squared=0.15).</w:t>
      </w:r>
    </w:p>
    <w:p w14:paraId="7ED70915" w14:textId="77777777" w:rsidR="009F2F49" w:rsidRDefault="009F2F49" w:rsidP="00186D36">
      <w:pPr>
        <w:pStyle w:val="L1-FlLSp12"/>
        <w:spacing w:line="276" w:lineRule="auto"/>
        <w:jc w:val="left"/>
      </w:pPr>
    </w:p>
    <w:p w14:paraId="5A76185C" w14:textId="77777777" w:rsidR="003A4D22" w:rsidRPr="00CC7328" w:rsidRDefault="003A4D22" w:rsidP="00186D36">
      <w:pPr>
        <w:pStyle w:val="L1-FlLSp12"/>
        <w:spacing w:line="276" w:lineRule="auto"/>
        <w:jc w:val="left"/>
        <w:rPr>
          <w:sz w:val="24"/>
          <w:szCs w:val="24"/>
          <w:highlight w:val="yellow"/>
        </w:rPr>
      </w:pPr>
    </w:p>
    <w:p w14:paraId="7F916273" w14:textId="77777777" w:rsidR="008731C6" w:rsidRPr="00CC7328" w:rsidRDefault="003A4D22" w:rsidP="00645BE0">
      <w:pPr>
        <w:pStyle w:val="Heading2"/>
        <w:spacing w:line="276" w:lineRule="auto"/>
        <w:rPr>
          <w:sz w:val="24"/>
          <w:szCs w:val="24"/>
        </w:rPr>
      </w:pPr>
      <w:bookmarkStart w:id="26" w:name="_Toc400377748"/>
      <w:bookmarkStart w:id="27" w:name="_Toc474235256"/>
      <w:r w:rsidRPr="00CC7328">
        <w:rPr>
          <w:sz w:val="24"/>
          <w:szCs w:val="24"/>
        </w:rPr>
        <w:t>B.2.4</w:t>
      </w:r>
      <w:r w:rsidRPr="00CC7328">
        <w:rPr>
          <w:sz w:val="24"/>
          <w:szCs w:val="24"/>
        </w:rPr>
        <w:tab/>
      </w:r>
      <w:r w:rsidR="008731C6" w:rsidRPr="00CC7328">
        <w:rPr>
          <w:sz w:val="24"/>
          <w:szCs w:val="24"/>
        </w:rPr>
        <w:t>Unusual Problems Requiring Specialized Sampling Procedures</w:t>
      </w:r>
      <w:bookmarkEnd w:id="26"/>
      <w:bookmarkEnd w:id="27"/>
    </w:p>
    <w:p w14:paraId="077ADE9A" w14:textId="77777777" w:rsidR="00D914BC" w:rsidRPr="00CC7328" w:rsidRDefault="00D914BC" w:rsidP="00645BE0">
      <w:pPr>
        <w:pStyle w:val="L1-FlLSp12"/>
        <w:spacing w:line="276" w:lineRule="auto"/>
        <w:jc w:val="left"/>
        <w:rPr>
          <w:sz w:val="24"/>
          <w:szCs w:val="24"/>
        </w:rPr>
      </w:pPr>
      <w:r w:rsidRPr="00CC7328">
        <w:rPr>
          <w:sz w:val="24"/>
          <w:szCs w:val="24"/>
        </w:rPr>
        <w:t>None.</w:t>
      </w:r>
    </w:p>
    <w:p w14:paraId="0FBA6123" w14:textId="77777777" w:rsidR="00C82F4E" w:rsidRPr="00CC7328" w:rsidRDefault="00C82F4E" w:rsidP="00645BE0">
      <w:pPr>
        <w:pStyle w:val="L1-FlLSp12"/>
        <w:spacing w:line="276" w:lineRule="auto"/>
        <w:jc w:val="left"/>
        <w:rPr>
          <w:sz w:val="24"/>
          <w:szCs w:val="24"/>
          <w:highlight w:val="yellow"/>
        </w:rPr>
      </w:pPr>
    </w:p>
    <w:p w14:paraId="7C2D2F1D" w14:textId="77777777" w:rsidR="008731C6" w:rsidRPr="00CC7328" w:rsidRDefault="003A4D22" w:rsidP="00645BE0">
      <w:pPr>
        <w:pStyle w:val="Heading2"/>
        <w:spacing w:line="276" w:lineRule="auto"/>
        <w:rPr>
          <w:sz w:val="24"/>
          <w:szCs w:val="24"/>
        </w:rPr>
      </w:pPr>
      <w:bookmarkStart w:id="28" w:name="_Toc474235257"/>
      <w:r w:rsidRPr="00CC7328">
        <w:rPr>
          <w:sz w:val="24"/>
          <w:szCs w:val="24"/>
        </w:rPr>
        <w:t>B.2.5</w:t>
      </w:r>
      <w:r w:rsidRPr="00CC7328">
        <w:rPr>
          <w:sz w:val="24"/>
          <w:szCs w:val="24"/>
        </w:rPr>
        <w:tab/>
      </w:r>
      <w:r w:rsidR="008731C6" w:rsidRPr="00CC7328">
        <w:rPr>
          <w:sz w:val="24"/>
          <w:szCs w:val="24"/>
        </w:rPr>
        <w:t>Any use of periodic (less frequent than annual) data collection cycles to reduce burden.</w:t>
      </w:r>
      <w:bookmarkEnd w:id="28"/>
    </w:p>
    <w:p w14:paraId="185D5D8F" w14:textId="1EB0E300" w:rsidR="00283BE4" w:rsidRPr="00CC7328" w:rsidRDefault="00283BE4" w:rsidP="00645BE0">
      <w:pPr>
        <w:jc w:val="left"/>
        <w:rPr>
          <w:sz w:val="24"/>
          <w:szCs w:val="24"/>
          <w:highlight w:val="yellow"/>
        </w:rPr>
      </w:pPr>
      <w:r w:rsidRPr="00CC7328">
        <w:rPr>
          <w:sz w:val="24"/>
          <w:szCs w:val="24"/>
        </w:rPr>
        <w:t>There is no use of less than annual data collection cycles because of the relatively short duration of the grant programs being evaluated.</w:t>
      </w:r>
      <w:r w:rsidR="0037260F">
        <w:rPr>
          <w:sz w:val="24"/>
          <w:szCs w:val="24"/>
        </w:rPr>
        <w:t xml:space="preserve"> This survey is for a one time survey to be conducted 18 months after random assignment.</w:t>
      </w:r>
    </w:p>
    <w:bookmarkEnd w:id="22"/>
    <w:p w14:paraId="6D6E5D87" w14:textId="77777777" w:rsidR="00D3075B" w:rsidRPr="00CC7328" w:rsidRDefault="00D3075B" w:rsidP="00645BE0">
      <w:pPr>
        <w:pStyle w:val="L1-FlLSp12"/>
        <w:spacing w:line="276" w:lineRule="auto"/>
        <w:jc w:val="left"/>
        <w:rPr>
          <w:sz w:val="24"/>
          <w:szCs w:val="24"/>
          <w:highlight w:val="yellow"/>
        </w:rPr>
      </w:pPr>
    </w:p>
    <w:p w14:paraId="3E06FF4D" w14:textId="77777777" w:rsidR="008A6A7C" w:rsidRPr="00CC7328" w:rsidRDefault="008A6A7C" w:rsidP="00645BE0">
      <w:pPr>
        <w:pStyle w:val="Heading1"/>
        <w:spacing w:line="276" w:lineRule="auto"/>
        <w:jc w:val="left"/>
        <w:rPr>
          <w:sz w:val="24"/>
          <w:szCs w:val="24"/>
        </w:rPr>
      </w:pPr>
      <w:bookmarkStart w:id="29" w:name="_Toc400377751"/>
      <w:bookmarkStart w:id="30" w:name="_Toc409090905"/>
      <w:bookmarkStart w:id="31" w:name="_Toc474235258"/>
      <w:r w:rsidRPr="00CC7328">
        <w:rPr>
          <w:sz w:val="24"/>
          <w:szCs w:val="24"/>
        </w:rPr>
        <w:t>B.3</w:t>
      </w:r>
      <w:r w:rsidRPr="00CC7328">
        <w:rPr>
          <w:sz w:val="24"/>
          <w:szCs w:val="24"/>
        </w:rPr>
        <w:tab/>
        <w:t>Methods to Maximize Response Rates and to Deal With Issues of Nonresponse</w:t>
      </w:r>
      <w:bookmarkEnd w:id="29"/>
      <w:bookmarkEnd w:id="30"/>
      <w:bookmarkEnd w:id="31"/>
    </w:p>
    <w:p w14:paraId="2D7CFF2C" w14:textId="77777777" w:rsidR="008A6A7C" w:rsidRPr="00CC7328" w:rsidRDefault="008A6A7C" w:rsidP="00645BE0">
      <w:pPr>
        <w:pStyle w:val="L1-FlLSp12"/>
        <w:spacing w:line="276" w:lineRule="auto"/>
        <w:jc w:val="left"/>
        <w:rPr>
          <w:sz w:val="24"/>
          <w:szCs w:val="24"/>
          <w:highlight w:val="yellow"/>
        </w:rPr>
      </w:pPr>
    </w:p>
    <w:p w14:paraId="2F55F86D" w14:textId="77777777" w:rsidR="003A4D22" w:rsidRPr="00CC7328" w:rsidRDefault="003A4D22" w:rsidP="00645BE0">
      <w:pPr>
        <w:pStyle w:val="L1-FlLSp12"/>
        <w:spacing w:line="276" w:lineRule="auto"/>
        <w:jc w:val="left"/>
        <w:rPr>
          <w:b/>
          <w:sz w:val="24"/>
          <w:szCs w:val="24"/>
        </w:rPr>
      </w:pPr>
      <w:r w:rsidRPr="00CC7328">
        <w:rPr>
          <w:b/>
          <w:sz w:val="24"/>
          <w:szCs w:val="24"/>
        </w:rPr>
        <w:t>B.3.1</w:t>
      </w:r>
      <w:r w:rsidRPr="00CC7328">
        <w:rPr>
          <w:b/>
          <w:sz w:val="24"/>
          <w:szCs w:val="24"/>
        </w:rPr>
        <w:tab/>
        <w:t>Methods to Maximize Response Rates</w:t>
      </w:r>
    </w:p>
    <w:p w14:paraId="78C67600" w14:textId="77777777" w:rsidR="00283BE4" w:rsidRDefault="00283BE4" w:rsidP="00645BE0">
      <w:pPr>
        <w:tabs>
          <w:tab w:val="clear" w:pos="1152"/>
        </w:tabs>
        <w:spacing w:line="240" w:lineRule="auto"/>
        <w:jc w:val="left"/>
        <w:rPr>
          <w:b/>
          <w:sz w:val="24"/>
          <w:szCs w:val="24"/>
        </w:rPr>
      </w:pPr>
    </w:p>
    <w:p w14:paraId="5DA5F635" w14:textId="377634A0" w:rsidR="001E7B34" w:rsidRDefault="00283BE4" w:rsidP="009724F9">
      <w:pPr>
        <w:pStyle w:val="L1-FlLSp12"/>
        <w:spacing w:line="276" w:lineRule="auto"/>
        <w:jc w:val="left"/>
      </w:pPr>
      <w:r w:rsidRPr="001E7B34">
        <w:rPr>
          <w:sz w:val="24"/>
          <w:szCs w:val="24"/>
        </w:rPr>
        <w:t xml:space="preserve">Participants will be offered </w:t>
      </w:r>
      <w:r w:rsidR="00B74669">
        <w:rPr>
          <w:sz w:val="24"/>
          <w:szCs w:val="24"/>
        </w:rPr>
        <w:t>a $50 incentice to complete the survey in the first four weeks on the web, and a $40 incentive to complete it after the first four weeks by web or telephone. The advance letters will also include a $5 prepaid incentive.</w:t>
      </w:r>
      <w:r w:rsidRPr="001E7B34">
        <w:rPr>
          <w:sz w:val="24"/>
          <w:szCs w:val="24"/>
        </w:rPr>
        <w:t xml:space="preserve"> </w:t>
      </w:r>
      <w:r w:rsidR="001E7B34">
        <w:t>Providing participants with a monetary incentive reduces non-response bias and improves representativeness, especially in low-income populations</w:t>
      </w:r>
      <w:r w:rsidR="001E7B34" w:rsidRPr="00DC51E4">
        <w:rPr>
          <w:vertAlign w:val="superscript"/>
        </w:rPr>
        <w:t>.</w:t>
      </w:r>
      <w:r w:rsidR="001E7B34" w:rsidRPr="00DC51E4">
        <w:rPr>
          <w:rStyle w:val="FootnoteReference"/>
        </w:rPr>
        <w:footnoteReference w:customMarkFollows="1" w:id="6"/>
        <w:t>[1]</w:t>
      </w:r>
      <w:r w:rsidR="001E7B34" w:rsidRPr="004A41A3">
        <w:rPr>
          <w:vertAlign w:val="superscript"/>
        </w:rPr>
        <w:t>,</w:t>
      </w:r>
      <w:r w:rsidR="001E7B34" w:rsidRPr="00DC51E4">
        <w:rPr>
          <w:rStyle w:val="FootnoteReference"/>
        </w:rPr>
        <w:footnoteReference w:customMarkFollows="1" w:id="7"/>
        <w:t>[2]</w:t>
      </w:r>
      <w:r w:rsidR="001E7B34" w:rsidRPr="004A41A3">
        <w:rPr>
          <w:vertAlign w:val="superscript"/>
        </w:rPr>
        <w:t>,</w:t>
      </w:r>
      <w:r w:rsidR="001E7B34" w:rsidRPr="00DC51E4">
        <w:rPr>
          <w:rStyle w:val="FootnoteReference"/>
        </w:rPr>
        <w:footnoteReference w:customMarkFollows="1" w:id="8"/>
        <w:t>[3</w:t>
      </w:r>
      <w:r w:rsidR="001E7B34">
        <w:rPr>
          <w:rStyle w:val="FootnoteReference"/>
        </w:rPr>
        <w:t>]</w:t>
      </w:r>
      <w:r w:rsidR="001E7B34">
        <w:rPr>
          <w:vertAlign w:val="superscript"/>
        </w:rPr>
        <w:t xml:space="preserve">, </w:t>
      </w:r>
      <w:r w:rsidR="001E7B34" w:rsidRPr="00DC51E4">
        <w:rPr>
          <w:rStyle w:val="FootnoteReference"/>
        </w:rPr>
        <w:footnoteReference w:customMarkFollows="1" w:id="9"/>
        <w:t>[5]</w:t>
      </w:r>
      <w:r w:rsidR="001E7B34">
        <w:t xml:space="preserve">  </w:t>
      </w:r>
      <w:r w:rsidR="00EB6C09">
        <w:t>A high response rate is</w:t>
      </w:r>
      <w:r w:rsidR="00E35D22">
        <w:t xml:space="preserve"> especially important for ensuring unbiased impact estimates. </w:t>
      </w:r>
      <w:r w:rsidR="001E7B34">
        <w:t xml:space="preserve">Incentives are an essential component of the multi-pronged approaches used to minimize non-response bias, especially in studies with hard-to-reach, low-income </w:t>
      </w:r>
      <w:r w:rsidR="001E49E2">
        <w:t>individuals</w:t>
      </w:r>
      <w:r w:rsidR="001E7B34">
        <w:t xml:space="preserve">; </w:t>
      </w:r>
      <w:r w:rsidR="001E7B34" w:rsidRPr="00DC51E4">
        <w:rPr>
          <w:rStyle w:val="FootnoteReference"/>
        </w:rPr>
        <w:footnoteReference w:customMarkFollows="1" w:id="10"/>
        <w:t>[6]</w:t>
      </w:r>
      <w:r w:rsidR="001E7B34">
        <w:t>  reduce efforts to locate hard-to-reach study participants; and lower overall survey costs and time to achieve completion rates without affecting data quality</w:t>
      </w:r>
      <w:r w:rsidR="001E7B34" w:rsidRPr="00DC51E4">
        <w:rPr>
          <w:rStyle w:val="FootnoteReference"/>
        </w:rPr>
        <w:footnoteReference w:customMarkFollows="1" w:id="11"/>
        <w:t>[7]</w:t>
      </w:r>
      <w:r w:rsidR="001E7B34" w:rsidRPr="004A41A3">
        <w:rPr>
          <w:vertAlign w:val="superscript"/>
        </w:rPr>
        <w:t>,</w:t>
      </w:r>
      <w:r w:rsidR="001E7B34" w:rsidRPr="00DC51E4">
        <w:rPr>
          <w:rStyle w:val="FootnoteReference"/>
        </w:rPr>
        <w:footnoteReference w:customMarkFollows="1" w:id="12"/>
        <w:t>[8]</w:t>
      </w:r>
      <w:r w:rsidR="001E7B34" w:rsidRPr="00DC51E4">
        <w:rPr>
          <w:vertAlign w:val="superscript"/>
        </w:rPr>
        <w:t>.</w:t>
      </w:r>
    </w:p>
    <w:p w14:paraId="37FE7AB4" w14:textId="05216405" w:rsidR="001E7B34" w:rsidRPr="00CC7328" w:rsidRDefault="001E7B34" w:rsidP="009724F9">
      <w:pPr>
        <w:jc w:val="left"/>
        <w:rPr>
          <w:sz w:val="24"/>
          <w:szCs w:val="24"/>
        </w:rPr>
      </w:pPr>
    </w:p>
    <w:p w14:paraId="22E483B8" w14:textId="4EC8C244" w:rsidR="00283BE4" w:rsidRPr="00CC7328" w:rsidRDefault="00283BE4" w:rsidP="009724F9">
      <w:pPr>
        <w:jc w:val="left"/>
        <w:rPr>
          <w:sz w:val="24"/>
          <w:szCs w:val="24"/>
        </w:rPr>
      </w:pPr>
      <w:r w:rsidRPr="00CC7328">
        <w:rPr>
          <w:sz w:val="24"/>
          <w:szCs w:val="24"/>
        </w:rPr>
        <w:t xml:space="preserve">The sequential multi-mode data collection approach includes the administration of a web survey to study participants (treatment and control groups) in the </w:t>
      </w:r>
      <w:r w:rsidR="003F2254">
        <w:rPr>
          <w:sz w:val="24"/>
          <w:szCs w:val="24"/>
        </w:rPr>
        <w:t>five</w:t>
      </w:r>
      <w:r w:rsidR="003F2254" w:rsidRPr="00CC7328">
        <w:rPr>
          <w:sz w:val="24"/>
          <w:szCs w:val="24"/>
        </w:rPr>
        <w:t xml:space="preserve"> </w:t>
      </w:r>
      <w:r w:rsidRPr="00CC7328">
        <w:rPr>
          <w:sz w:val="24"/>
          <w:szCs w:val="24"/>
        </w:rPr>
        <w:t xml:space="preserve">RCT sites followed by telephone calls to nonrespondents to complete a </w:t>
      </w:r>
      <w:r w:rsidRPr="00CC7328">
        <w:rPr>
          <w:spacing w:val="-4"/>
          <w:sz w:val="24"/>
          <w:szCs w:val="24"/>
        </w:rPr>
        <w:t>computer-assisted telephone interview</w:t>
      </w:r>
      <w:r w:rsidRPr="00CC7328">
        <w:rPr>
          <w:sz w:val="24"/>
          <w:szCs w:val="24"/>
        </w:rPr>
        <w:t xml:space="preserve"> (CATI). Our goal for the </w:t>
      </w:r>
      <w:r w:rsidR="008756AF">
        <w:rPr>
          <w:sz w:val="24"/>
          <w:szCs w:val="24"/>
        </w:rPr>
        <w:t>18</w:t>
      </w:r>
      <w:r w:rsidRPr="00CC7328">
        <w:rPr>
          <w:sz w:val="24"/>
          <w:szCs w:val="24"/>
        </w:rPr>
        <w:t xml:space="preserve">-month follow-up survey is an 80 percent response rate. </w:t>
      </w:r>
      <w:r>
        <w:rPr>
          <w:sz w:val="24"/>
          <w:szCs w:val="24"/>
        </w:rPr>
        <w:t xml:space="preserve">Westat has achieved 80 percent or higher response rates for similar studies. For example, the </w:t>
      </w:r>
      <w:r w:rsidR="00CD5CEC">
        <w:rPr>
          <w:sz w:val="24"/>
          <w:szCs w:val="24"/>
        </w:rPr>
        <w:t>Mental Health Treatment Study (</w:t>
      </w:r>
      <w:r>
        <w:rPr>
          <w:sz w:val="24"/>
          <w:szCs w:val="24"/>
        </w:rPr>
        <w:t>MHTS</w:t>
      </w:r>
      <w:r w:rsidR="00CD5CEC">
        <w:rPr>
          <w:sz w:val="24"/>
          <w:szCs w:val="24"/>
        </w:rPr>
        <w:t>), which Westat conducted for Social Security Administration (SSA)</w:t>
      </w:r>
      <w:r w:rsidR="004D5FF2">
        <w:rPr>
          <w:sz w:val="24"/>
          <w:szCs w:val="24"/>
        </w:rPr>
        <w:t>,</w:t>
      </w:r>
      <w:r>
        <w:rPr>
          <w:sz w:val="24"/>
          <w:szCs w:val="24"/>
        </w:rPr>
        <w:t xml:space="preserve"> included seven quarterly follow-up surveys with RCT  study participants in the treatment and control groups after random assignment. Westat achieved over 80 percent response rates in all seven quarters, including over 80 percent response rates for both the treatment and control groups for each quarterly survey prior to quarter 6.</w:t>
      </w:r>
    </w:p>
    <w:p w14:paraId="339E0003" w14:textId="77777777" w:rsidR="00283BE4" w:rsidRPr="00CC7328" w:rsidRDefault="00283BE4" w:rsidP="009724F9">
      <w:pPr>
        <w:jc w:val="left"/>
        <w:rPr>
          <w:sz w:val="24"/>
          <w:szCs w:val="24"/>
        </w:rPr>
      </w:pPr>
    </w:p>
    <w:p w14:paraId="4F734895" w14:textId="06D18286" w:rsidR="00283BE4" w:rsidRPr="00CC7328" w:rsidRDefault="00283BE4" w:rsidP="009724F9">
      <w:pPr>
        <w:jc w:val="left"/>
        <w:rPr>
          <w:spacing w:val="-4"/>
          <w:sz w:val="24"/>
          <w:szCs w:val="24"/>
        </w:rPr>
      </w:pPr>
      <w:r w:rsidRPr="00CC7328">
        <w:rPr>
          <w:sz w:val="24"/>
          <w:szCs w:val="24"/>
        </w:rPr>
        <w:t xml:space="preserve">Figure B.3.1 provides a flowchart of the data collection methodology to be used for </w:t>
      </w:r>
      <w:r w:rsidR="000F11A9">
        <w:rPr>
          <w:sz w:val="24"/>
          <w:szCs w:val="24"/>
        </w:rPr>
        <w:t>the</w:t>
      </w:r>
      <w:r w:rsidRPr="00CC7328">
        <w:rPr>
          <w:sz w:val="24"/>
          <w:szCs w:val="24"/>
        </w:rPr>
        <w:t xml:space="preserve"> </w:t>
      </w:r>
      <w:r>
        <w:rPr>
          <w:sz w:val="24"/>
          <w:szCs w:val="24"/>
        </w:rPr>
        <w:t>18</w:t>
      </w:r>
      <w:r w:rsidRPr="00CC7328">
        <w:rPr>
          <w:sz w:val="24"/>
          <w:szCs w:val="24"/>
        </w:rPr>
        <w:t xml:space="preserve">-month follow-up survey. Cohorts will be released for survey fielding each month. </w:t>
      </w:r>
      <w:r w:rsidRPr="00CC7328">
        <w:rPr>
          <w:spacing w:val="-4"/>
          <w:sz w:val="24"/>
          <w:szCs w:val="24"/>
        </w:rPr>
        <w:t xml:space="preserve">Participants will be mailed an invitation letter via first class postal mail with study information that contains the web survey URL and a unique PIN to access the survey. A set of frequently asked questions (FAQs) will also be included on the back of the invitation letter along with a sponsorship letter from DOL to help add credibility to the study, and to encourage participation. The invitation will also provide a phone number and email address for participants to contact Westat for technical assistance. We will also send an invitation email to those cases where we have their email address from the baseline intake phase. Our experience shows that response rates are slightly higher on web surveys when sampled members can click on a personalized web survey link within an email compared to entering a URL from a postal letter. </w:t>
      </w:r>
      <w:r w:rsidRPr="00CC7328">
        <w:rPr>
          <w:rFonts w:eastAsia="Calibri"/>
          <w:sz w:val="24"/>
          <w:szCs w:val="24"/>
        </w:rPr>
        <w:t xml:space="preserve">In order to decrease respondent burden and to improve response rates, the web survey will be accessible across a wide array of computer configurations and mobile devices. </w:t>
      </w:r>
      <w:r w:rsidR="003A0C22">
        <w:rPr>
          <w:rFonts w:eastAsia="Calibri"/>
          <w:sz w:val="24"/>
          <w:szCs w:val="24"/>
        </w:rPr>
        <w:t>Based on the baseline data collection thus far, we anticipate that the vast majority of participants will have email addresses.</w:t>
      </w:r>
    </w:p>
    <w:p w14:paraId="14B45FA3" w14:textId="77777777" w:rsidR="00283BE4" w:rsidRPr="00CC7328" w:rsidRDefault="00283BE4" w:rsidP="009724F9">
      <w:pPr>
        <w:jc w:val="left"/>
        <w:rPr>
          <w:spacing w:val="-4"/>
          <w:sz w:val="24"/>
          <w:szCs w:val="24"/>
        </w:rPr>
      </w:pPr>
    </w:p>
    <w:p w14:paraId="66C5AC15" w14:textId="0D17D639" w:rsidR="00283BE4" w:rsidRDefault="00283BE4" w:rsidP="009724F9">
      <w:pPr>
        <w:jc w:val="left"/>
        <w:rPr>
          <w:spacing w:val="-4"/>
          <w:sz w:val="24"/>
          <w:szCs w:val="24"/>
        </w:rPr>
      </w:pPr>
      <w:r w:rsidRPr="00CC7328">
        <w:rPr>
          <w:spacing w:val="-4"/>
          <w:sz w:val="24"/>
          <w:szCs w:val="24"/>
        </w:rPr>
        <w:t xml:space="preserve">One week following the initial invitation mailing, participants will receive the first of three weekly reminders. Participants with email addresses will receive an email reminder, and those without an email address will receive the reminder letter via postal mail encouraging their participation in the survey. The second and final weekly reminder will be sent out to nonrespondents similarly to the first weekly reminder. The final reminder will encourage sample members to complete the web survey and inform them that we will contact those who have not completed the web survey by telephone. Additionally, SMS text messages will also be sent at the same time as the weekly email reminders to those participants who provide permission to text them.  Cell phone number and permission to text </w:t>
      </w:r>
      <w:r w:rsidR="00457AF1">
        <w:rPr>
          <w:spacing w:val="-4"/>
          <w:sz w:val="24"/>
          <w:szCs w:val="24"/>
        </w:rPr>
        <w:t>were</w:t>
      </w:r>
      <w:r w:rsidRPr="00CC7328">
        <w:rPr>
          <w:spacing w:val="-4"/>
          <w:sz w:val="24"/>
          <w:szCs w:val="24"/>
        </w:rPr>
        <w:t xml:space="preserve"> asked in the </w:t>
      </w:r>
      <w:r w:rsidR="00DC7D24">
        <w:rPr>
          <w:spacing w:val="-4"/>
          <w:sz w:val="24"/>
          <w:szCs w:val="24"/>
        </w:rPr>
        <w:t>baseline information form (BIF)</w:t>
      </w:r>
      <w:r w:rsidR="00DC7D24" w:rsidRPr="00CC7328">
        <w:rPr>
          <w:spacing w:val="-4"/>
          <w:sz w:val="24"/>
          <w:szCs w:val="24"/>
        </w:rPr>
        <w:t xml:space="preserve"> </w:t>
      </w:r>
      <w:r w:rsidRPr="00CC7328">
        <w:rPr>
          <w:spacing w:val="-4"/>
          <w:sz w:val="24"/>
          <w:szCs w:val="24"/>
        </w:rPr>
        <w:t>a</w:t>
      </w:r>
      <w:r>
        <w:rPr>
          <w:spacing w:val="-4"/>
          <w:sz w:val="24"/>
          <w:szCs w:val="24"/>
        </w:rPr>
        <w:t>nd</w:t>
      </w:r>
      <w:r w:rsidRPr="00CC7328">
        <w:rPr>
          <w:spacing w:val="-4"/>
          <w:sz w:val="24"/>
          <w:szCs w:val="24"/>
        </w:rPr>
        <w:t xml:space="preserve"> 6-month follow-up survey.</w:t>
      </w:r>
    </w:p>
    <w:p w14:paraId="4867807D" w14:textId="77777777" w:rsidR="00283BE4" w:rsidRDefault="00283BE4" w:rsidP="00283BE4">
      <w:pPr>
        <w:jc w:val="left"/>
        <w:rPr>
          <w:spacing w:val="-4"/>
          <w:sz w:val="24"/>
          <w:szCs w:val="24"/>
        </w:rPr>
      </w:pPr>
    </w:p>
    <w:p w14:paraId="6CEB26E8" w14:textId="308967A9" w:rsidR="000F2606" w:rsidRDefault="000F2606">
      <w:pPr>
        <w:tabs>
          <w:tab w:val="clear" w:pos="1152"/>
        </w:tabs>
        <w:spacing w:line="240" w:lineRule="auto"/>
        <w:jc w:val="left"/>
        <w:rPr>
          <w:b/>
          <w:szCs w:val="20"/>
        </w:rPr>
      </w:pPr>
      <w:r>
        <w:rPr>
          <w:b/>
          <w:szCs w:val="20"/>
        </w:rPr>
        <w:br w:type="page"/>
      </w:r>
    </w:p>
    <w:p w14:paraId="225A9B3C" w14:textId="77777777" w:rsidR="006B5A71" w:rsidRDefault="006B5A71" w:rsidP="006B5A71">
      <w:pPr>
        <w:keepNext/>
        <w:spacing w:line="240" w:lineRule="atLeast"/>
        <w:jc w:val="left"/>
        <w:outlineLvl w:val="0"/>
        <w:rPr>
          <w:b/>
          <w:szCs w:val="20"/>
        </w:rPr>
      </w:pPr>
    </w:p>
    <w:p w14:paraId="144085AC" w14:textId="345B13FB" w:rsidR="006B5A71" w:rsidRPr="00C25957" w:rsidRDefault="006B5A71" w:rsidP="006B5A71">
      <w:pPr>
        <w:keepNext/>
        <w:spacing w:line="240" w:lineRule="atLeast"/>
        <w:jc w:val="left"/>
        <w:outlineLvl w:val="0"/>
        <w:rPr>
          <w:b/>
          <w:szCs w:val="20"/>
        </w:rPr>
      </w:pPr>
      <w:r w:rsidRPr="00C25957">
        <w:rPr>
          <w:b/>
          <w:szCs w:val="20"/>
        </w:rPr>
        <w:t>Figure B-1.</w:t>
      </w:r>
      <w:r>
        <w:rPr>
          <w:b/>
          <w:szCs w:val="20"/>
        </w:rPr>
        <w:t xml:space="preserve"> </w:t>
      </w:r>
      <w:r w:rsidRPr="00C25957">
        <w:rPr>
          <w:b/>
          <w:szCs w:val="20"/>
        </w:rPr>
        <w:t xml:space="preserve">Proposed data collection flow for the </w:t>
      </w:r>
      <w:r w:rsidR="00283BE4">
        <w:rPr>
          <w:b/>
          <w:szCs w:val="20"/>
        </w:rPr>
        <w:t xml:space="preserve">18-month follow-up </w:t>
      </w:r>
      <w:r w:rsidRPr="00C25957">
        <w:rPr>
          <w:b/>
          <w:szCs w:val="20"/>
        </w:rPr>
        <w:t>Survey</w:t>
      </w:r>
    </w:p>
    <w:p w14:paraId="0A54E6D6" w14:textId="77777777" w:rsidR="006B5A71" w:rsidRPr="00663E26" w:rsidRDefault="006B5A71" w:rsidP="006B5A71">
      <w:pPr>
        <w:rPr>
          <w:rFonts w:eastAsia="Calibri"/>
        </w:rPr>
      </w:pPr>
    </w:p>
    <w:p w14:paraId="762860ED" w14:textId="3ADDEC9D" w:rsidR="006B5A71" w:rsidRPr="00663E26" w:rsidRDefault="00F73527" w:rsidP="000F2606">
      <w:pPr>
        <w:jc w:val="center"/>
      </w:pPr>
      <w:r>
        <w:rPr>
          <w:noProof/>
        </w:rPr>
        <w:drawing>
          <wp:inline distT="0" distB="0" distL="0" distR="0" wp14:anchorId="6ECB06EB" wp14:editId="2D6536C2">
            <wp:extent cx="5943600" cy="6558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L TechHire_Data Collection Protocol_10Oct17v2_5Feb18v3_20Mar18v4_27Aug18v5.emf"/>
                    <pic:cNvPicPr/>
                  </pic:nvPicPr>
                  <pic:blipFill>
                    <a:blip r:embed="rId9">
                      <a:extLst>
                        <a:ext uri="{28A0092B-C50C-407E-A947-70E740481C1C}">
                          <a14:useLocalDpi xmlns:a14="http://schemas.microsoft.com/office/drawing/2010/main" val="0"/>
                        </a:ext>
                      </a:extLst>
                    </a:blip>
                    <a:stretch>
                      <a:fillRect/>
                    </a:stretch>
                  </pic:blipFill>
                  <pic:spPr>
                    <a:xfrm>
                      <a:off x="0" y="0"/>
                      <a:ext cx="5943600" cy="6558915"/>
                    </a:xfrm>
                    <a:prstGeom prst="rect">
                      <a:avLst/>
                    </a:prstGeom>
                  </pic:spPr>
                </pic:pic>
              </a:graphicData>
            </a:graphic>
          </wp:inline>
        </w:drawing>
      </w:r>
    </w:p>
    <w:p w14:paraId="061B655A" w14:textId="77777777" w:rsidR="006B5A71" w:rsidRDefault="006B5A71" w:rsidP="006B5A71"/>
    <w:p w14:paraId="640BEDE8" w14:textId="77777777" w:rsidR="006B5A71" w:rsidRDefault="006B5A71" w:rsidP="006B5A71">
      <w:pPr>
        <w:jc w:val="left"/>
      </w:pPr>
    </w:p>
    <w:p w14:paraId="3EFC25D5" w14:textId="38807781" w:rsidR="006B5A71" w:rsidRPr="00904B22" w:rsidRDefault="000F2606" w:rsidP="00356214">
      <w:pPr>
        <w:tabs>
          <w:tab w:val="clear" w:pos="1152"/>
        </w:tabs>
        <w:spacing w:line="240" w:lineRule="auto"/>
        <w:jc w:val="left"/>
      </w:pPr>
      <w:r>
        <w:rPr>
          <w:b/>
          <w:szCs w:val="20"/>
        </w:rPr>
        <w:br w:type="page"/>
      </w:r>
    </w:p>
    <w:p w14:paraId="6A4443ED" w14:textId="33754FC7" w:rsidR="006B5A71" w:rsidRDefault="006B5A71" w:rsidP="000F2606">
      <w:pPr>
        <w:jc w:val="center"/>
      </w:pPr>
    </w:p>
    <w:p w14:paraId="3996C9E8" w14:textId="77777777" w:rsidR="007D0E0F" w:rsidRPr="00B43661" w:rsidRDefault="007D0E0F" w:rsidP="00356214">
      <w:pPr>
        <w:tabs>
          <w:tab w:val="clear" w:pos="1152"/>
        </w:tabs>
        <w:spacing w:line="240" w:lineRule="auto"/>
        <w:jc w:val="left"/>
        <w:rPr>
          <w:rFonts w:ascii="Garamond" w:hAnsi="Garamond"/>
          <w:sz w:val="24"/>
          <w:szCs w:val="20"/>
        </w:rPr>
      </w:pPr>
    </w:p>
    <w:p w14:paraId="0307439F" w14:textId="77777777" w:rsidR="008A6A7C" w:rsidRPr="00CC7328" w:rsidRDefault="003A4D22" w:rsidP="00645BE0">
      <w:pPr>
        <w:pStyle w:val="Heading2"/>
        <w:spacing w:line="276" w:lineRule="auto"/>
        <w:rPr>
          <w:sz w:val="24"/>
          <w:szCs w:val="24"/>
        </w:rPr>
      </w:pPr>
      <w:bookmarkStart w:id="32" w:name="_Toc474235259"/>
      <w:r w:rsidRPr="00CC7328">
        <w:rPr>
          <w:sz w:val="24"/>
          <w:szCs w:val="24"/>
        </w:rPr>
        <w:t>B.3.2</w:t>
      </w:r>
      <w:r w:rsidRPr="00CC7328">
        <w:rPr>
          <w:sz w:val="24"/>
          <w:szCs w:val="24"/>
        </w:rPr>
        <w:tab/>
      </w:r>
      <w:r w:rsidR="008A6A7C" w:rsidRPr="00CC7328">
        <w:rPr>
          <w:sz w:val="24"/>
          <w:szCs w:val="24"/>
        </w:rPr>
        <w:t>Nonresponse Bias Analysis</w:t>
      </w:r>
      <w:bookmarkEnd w:id="32"/>
    </w:p>
    <w:p w14:paraId="7DBDD770" w14:textId="369D7203" w:rsidR="00283BE4" w:rsidRPr="00CC7328" w:rsidRDefault="00283BE4" w:rsidP="00645BE0">
      <w:pPr>
        <w:jc w:val="left"/>
        <w:rPr>
          <w:sz w:val="24"/>
          <w:szCs w:val="24"/>
        </w:rPr>
      </w:pPr>
      <w:r w:rsidRPr="00CC7328">
        <w:rPr>
          <w:sz w:val="24"/>
          <w:szCs w:val="24"/>
        </w:rPr>
        <w:t>Even though intensive methods will be used to increase response rates</w:t>
      </w:r>
      <w:r w:rsidR="00457AF1">
        <w:rPr>
          <w:sz w:val="24"/>
          <w:szCs w:val="24"/>
        </w:rPr>
        <w:t xml:space="preserve"> </w:t>
      </w:r>
      <w:r w:rsidRPr="00CC7328">
        <w:rPr>
          <w:sz w:val="24"/>
          <w:szCs w:val="24"/>
        </w:rPr>
        <w:t xml:space="preserve">non-response bias is still a concern. Survey nonresponse can bias the impact estimates if the outcomes of survey respondents and nonrespondents differ, or if the types of individuals who respond to the survey differ across the </w:t>
      </w:r>
      <w:r w:rsidR="00457AF1">
        <w:rPr>
          <w:sz w:val="24"/>
          <w:szCs w:val="24"/>
        </w:rPr>
        <w:t xml:space="preserve">treatment </w:t>
      </w:r>
      <w:r w:rsidRPr="00CC7328">
        <w:rPr>
          <w:sz w:val="24"/>
          <w:szCs w:val="24"/>
        </w:rPr>
        <w:t xml:space="preserve">and control groups. We will use several methods to assess the effects of survey nonresponse using data collected for the study.  </w:t>
      </w:r>
    </w:p>
    <w:p w14:paraId="76FEDF17" w14:textId="77777777" w:rsidR="00283BE4" w:rsidRPr="00CC7328" w:rsidRDefault="00283BE4" w:rsidP="00645BE0">
      <w:pPr>
        <w:autoSpaceDE w:val="0"/>
        <w:autoSpaceDN w:val="0"/>
        <w:adjustRightInd w:val="0"/>
        <w:spacing w:line="240" w:lineRule="auto"/>
        <w:jc w:val="left"/>
        <w:rPr>
          <w:sz w:val="24"/>
          <w:szCs w:val="24"/>
        </w:rPr>
      </w:pPr>
    </w:p>
    <w:p w14:paraId="2AC17BDA" w14:textId="512BA46C" w:rsidR="00283BE4" w:rsidRPr="00CC7328" w:rsidRDefault="00283BE4" w:rsidP="00645BE0">
      <w:pPr>
        <w:autoSpaceDE w:val="0"/>
        <w:autoSpaceDN w:val="0"/>
        <w:adjustRightInd w:val="0"/>
        <w:jc w:val="left"/>
        <w:rPr>
          <w:sz w:val="24"/>
          <w:szCs w:val="24"/>
        </w:rPr>
      </w:pPr>
      <w:r w:rsidRPr="00CC7328">
        <w:rPr>
          <w:sz w:val="24"/>
          <w:szCs w:val="24"/>
        </w:rPr>
        <w:t xml:space="preserve">During data collection, we will take steps to understand, monitor, manage and address potential sources of non-response bias. During the survey fielding period, we will review contact attempts and disposition status which will enable us to monitor response rates by cohort (defined by time of random assignment), research group, and site. Should significant gaps in response rates among these groups occur, we will intensify recruitment efforts for the affected group.  </w:t>
      </w:r>
      <w:r w:rsidR="00457AF1">
        <w:rPr>
          <w:sz w:val="24"/>
          <w:szCs w:val="24"/>
        </w:rPr>
        <w:t xml:space="preserve">This </w:t>
      </w:r>
      <w:r w:rsidRPr="00CC7328">
        <w:rPr>
          <w:sz w:val="24"/>
          <w:szCs w:val="24"/>
        </w:rPr>
        <w:t>will include prioritizing the efforts of the most experienced survey interviewers towards the affected group.</w:t>
      </w:r>
    </w:p>
    <w:p w14:paraId="5BB935D5" w14:textId="77777777" w:rsidR="00283BE4" w:rsidRPr="00CC7328" w:rsidRDefault="00283BE4" w:rsidP="00645BE0">
      <w:pPr>
        <w:autoSpaceDE w:val="0"/>
        <w:autoSpaceDN w:val="0"/>
        <w:adjustRightInd w:val="0"/>
        <w:jc w:val="left"/>
        <w:rPr>
          <w:sz w:val="24"/>
          <w:szCs w:val="24"/>
        </w:rPr>
      </w:pPr>
    </w:p>
    <w:p w14:paraId="6B530BD6" w14:textId="12D6B8C0" w:rsidR="00283BE4" w:rsidRPr="00CC7328" w:rsidRDefault="00283BE4" w:rsidP="00645BE0">
      <w:pPr>
        <w:jc w:val="left"/>
        <w:rPr>
          <w:sz w:val="24"/>
          <w:szCs w:val="24"/>
        </w:rPr>
      </w:pPr>
      <w:r w:rsidRPr="00CC7328">
        <w:rPr>
          <w:sz w:val="24"/>
          <w:szCs w:val="24"/>
        </w:rPr>
        <w:t xml:space="preserve">We will examine nonresponse using data collected for the study. First, we will use baseline data (which will be available for the </w:t>
      </w:r>
      <w:r w:rsidRPr="00CC7328">
        <w:rPr>
          <w:i/>
          <w:iCs/>
          <w:sz w:val="24"/>
          <w:szCs w:val="24"/>
        </w:rPr>
        <w:t>full</w:t>
      </w:r>
      <w:r w:rsidRPr="00CC7328">
        <w:rPr>
          <w:sz w:val="24"/>
          <w:szCs w:val="24"/>
        </w:rPr>
        <w:t xml:space="preserve"> research sample) to conduct statistical tests (chi-squared and t-tests) to gauge whether treatments who respond to the interviews are fully representative of all treatment group members, and similarly for control group members. Noticeable differences in the characteristics of survey respondents and nonrespondents could suggest the presence of nonresponse bias. Furthermore, we will test whether the baseline characteristics of </w:t>
      </w:r>
      <w:r w:rsidRPr="00CC7328">
        <w:rPr>
          <w:i/>
          <w:sz w:val="24"/>
          <w:szCs w:val="24"/>
        </w:rPr>
        <w:t xml:space="preserve">respondents </w:t>
      </w:r>
      <w:r w:rsidRPr="00CC7328">
        <w:rPr>
          <w:sz w:val="24"/>
          <w:szCs w:val="24"/>
        </w:rPr>
        <w:t xml:space="preserve">in the two research groups differ from each other. Although baseline characteristics for the full sample should not differ much between the program and control groups, significant differences between program and control group respondents could mean that impacts estimated from surveys will confound program impacts with pre-existing differences between the groups. </w:t>
      </w:r>
    </w:p>
    <w:p w14:paraId="6BF9FA50" w14:textId="77777777" w:rsidR="00283BE4" w:rsidRPr="00CC7328" w:rsidRDefault="00283BE4" w:rsidP="00645BE0">
      <w:pPr>
        <w:jc w:val="left"/>
        <w:rPr>
          <w:sz w:val="24"/>
          <w:szCs w:val="24"/>
        </w:rPr>
      </w:pPr>
    </w:p>
    <w:p w14:paraId="7004CCB7" w14:textId="527A5C2A" w:rsidR="00283BE4" w:rsidRPr="00CC7328" w:rsidRDefault="00283BE4" w:rsidP="00645BE0">
      <w:pPr>
        <w:jc w:val="left"/>
        <w:rPr>
          <w:sz w:val="24"/>
          <w:szCs w:val="24"/>
        </w:rPr>
      </w:pPr>
      <w:r w:rsidRPr="00CC7328">
        <w:rPr>
          <w:sz w:val="24"/>
          <w:szCs w:val="24"/>
        </w:rPr>
        <w:t xml:space="preserve">Second, we will assess nonresponse bias using administrative records data. For example, we will examine whether </w:t>
      </w:r>
      <w:r w:rsidRPr="00CC7328">
        <w:rPr>
          <w:i/>
          <w:iCs/>
          <w:sz w:val="24"/>
          <w:szCs w:val="24"/>
        </w:rPr>
        <w:t>impacts</w:t>
      </w:r>
      <w:r w:rsidRPr="00CC7328">
        <w:rPr>
          <w:sz w:val="24"/>
          <w:szCs w:val="24"/>
        </w:rPr>
        <w:t xml:space="preserve"> on employment rates differ</w:t>
      </w:r>
      <w:r w:rsidR="00457AF1">
        <w:rPr>
          <w:sz w:val="24"/>
          <w:szCs w:val="24"/>
        </w:rPr>
        <w:t xml:space="preserve"> by respondent status</w:t>
      </w:r>
      <w:r w:rsidRPr="00CC7328">
        <w:rPr>
          <w:sz w:val="24"/>
          <w:szCs w:val="24"/>
        </w:rPr>
        <w:t xml:space="preserve">. If program impacts are substantially different for respondents and nonrespondents, that would make us more cautious about drawing conclusions from the survey. </w:t>
      </w:r>
    </w:p>
    <w:p w14:paraId="032E79DA" w14:textId="77777777" w:rsidR="00283BE4" w:rsidRPr="00CC7328" w:rsidRDefault="00283BE4" w:rsidP="00645BE0">
      <w:pPr>
        <w:jc w:val="left"/>
        <w:rPr>
          <w:sz w:val="24"/>
          <w:szCs w:val="24"/>
        </w:rPr>
      </w:pPr>
    </w:p>
    <w:p w14:paraId="29054CEE" w14:textId="77777777" w:rsidR="00283BE4" w:rsidRPr="00CC7328" w:rsidRDefault="00283BE4" w:rsidP="00645BE0">
      <w:pPr>
        <w:jc w:val="left"/>
        <w:rPr>
          <w:sz w:val="24"/>
          <w:szCs w:val="24"/>
        </w:rPr>
      </w:pPr>
      <w:r w:rsidRPr="00CC7328">
        <w:rPr>
          <w:sz w:val="24"/>
          <w:szCs w:val="24"/>
        </w:rPr>
        <w:t>We will use several approaches to correct for potential nonresponse bias in the estimation of program impacts. First, we will adjust for observed differences between treatment and control group respondents using regression models. Second, because this regression procedure will not correct for differences between respondents and nonrespondents in each research group, we will construct sample weights so that the weighted observable baseline characteristics of respondents are similar to the baseline characteristics of the full sample of respondents and nonrespondents. We will construct weights for treatment and control group members using the following three steps:</w:t>
      </w:r>
    </w:p>
    <w:p w14:paraId="4B650ACC" w14:textId="77777777" w:rsidR="00283BE4" w:rsidRPr="00CC7328" w:rsidRDefault="00283BE4" w:rsidP="00645BE0">
      <w:pPr>
        <w:ind w:firstLine="360"/>
        <w:jc w:val="left"/>
        <w:rPr>
          <w:sz w:val="24"/>
          <w:szCs w:val="24"/>
        </w:rPr>
      </w:pPr>
    </w:p>
    <w:p w14:paraId="7E5C17C3" w14:textId="06448974" w:rsidR="00283BE4" w:rsidRPr="00CC7328" w:rsidRDefault="00283BE4" w:rsidP="00645BE0">
      <w:pPr>
        <w:pStyle w:val="bulletnumbered1"/>
        <w:tabs>
          <w:tab w:val="clear" w:pos="360"/>
          <w:tab w:val="num" w:pos="720"/>
        </w:tabs>
        <w:spacing w:after="0" w:line="276" w:lineRule="auto"/>
        <w:ind w:firstLine="360"/>
        <w:rPr>
          <w:szCs w:val="24"/>
        </w:rPr>
      </w:pPr>
      <w:r w:rsidRPr="00CC7328">
        <w:rPr>
          <w:szCs w:val="24"/>
        </w:rPr>
        <w:t xml:space="preserve">Estimate a logit model predicting </w:t>
      </w:r>
      <w:r w:rsidR="00457AF1">
        <w:rPr>
          <w:szCs w:val="24"/>
        </w:rPr>
        <w:t>survey</w:t>
      </w:r>
      <w:r w:rsidR="00457AF1" w:rsidRPr="00CC7328">
        <w:rPr>
          <w:szCs w:val="24"/>
        </w:rPr>
        <w:t xml:space="preserve"> </w:t>
      </w:r>
      <w:r w:rsidRPr="00CC7328">
        <w:rPr>
          <w:szCs w:val="24"/>
        </w:rPr>
        <w:t xml:space="preserve">response. The binary variable indicating whether or not a sample member is a respondent will be regressed on baseline measures. </w:t>
      </w:r>
    </w:p>
    <w:p w14:paraId="2E088402" w14:textId="77777777" w:rsidR="00283BE4" w:rsidRPr="00CC7328" w:rsidRDefault="00283BE4" w:rsidP="00645BE0">
      <w:pPr>
        <w:pStyle w:val="bulletnumbered1"/>
        <w:tabs>
          <w:tab w:val="clear" w:pos="360"/>
          <w:tab w:val="num" w:pos="720"/>
        </w:tabs>
        <w:spacing w:after="0" w:line="276" w:lineRule="auto"/>
        <w:ind w:firstLine="360"/>
        <w:rPr>
          <w:szCs w:val="24"/>
        </w:rPr>
      </w:pPr>
      <w:r w:rsidRPr="00CC7328">
        <w:rPr>
          <w:szCs w:val="24"/>
        </w:rPr>
        <w:t>Calculate a propensity score for each individual in the full sample. This score is the predicted probability that a sample member is a respondent, and will be constructed using the parameter estimates from the logit regression model and the person’s baseline characteristics. Individuals with large propensity scores are likely to be respondents, whereas those with small propensity scores are likely to be nonrespondents.</w:t>
      </w:r>
    </w:p>
    <w:p w14:paraId="17BD176C" w14:textId="77777777" w:rsidR="00283BE4" w:rsidRPr="00CC7328" w:rsidRDefault="00283BE4" w:rsidP="00645BE0">
      <w:pPr>
        <w:pStyle w:val="bulletnumbered1"/>
        <w:tabs>
          <w:tab w:val="clear" w:pos="360"/>
          <w:tab w:val="num" w:pos="720"/>
        </w:tabs>
        <w:spacing w:after="0" w:line="276" w:lineRule="auto"/>
        <w:ind w:right="900" w:firstLine="360"/>
        <w:rPr>
          <w:szCs w:val="24"/>
        </w:rPr>
      </w:pPr>
      <w:r w:rsidRPr="00CC7328">
        <w:rPr>
          <w:szCs w:val="24"/>
        </w:rPr>
        <w:t xml:space="preserve">Construct nonresponse weights using the propensity scores. Individuals will be ranked by the size of their propensity scores, and divided into several groups of equal size. The weight for a sample member will be inversely proportional to the mean propensity score of the group to which the person is assigned. </w:t>
      </w:r>
    </w:p>
    <w:p w14:paraId="4C3843C7" w14:textId="77777777" w:rsidR="00283BE4" w:rsidRPr="00CC7328" w:rsidRDefault="00283BE4" w:rsidP="00645BE0">
      <w:pPr>
        <w:pStyle w:val="bulletnumbered1"/>
        <w:numPr>
          <w:ilvl w:val="0"/>
          <w:numId w:val="0"/>
        </w:numPr>
        <w:spacing w:after="0" w:line="276" w:lineRule="auto"/>
        <w:ind w:left="1080" w:right="900"/>
        <w:rPr>
          <w:szCs w:val="24"/>
        </w:rPr>
      </w:pPr>
    </w:p>
    <w:p w14:paraId="258D1651" w14:textId="77777777" w:rsidR="00283BE4" w:rsidRPr="00CC7328" w:rsidRDefault="00283BE4" w:rsidP="00645BE0">
      <w:pPr>
        <w:jc w:val="left"/>
        <w:rPr>
          <w:sz w:val="24"/>
          <w:szCs w:val="24"/>
        </w:rPr>
      </w:pPr>
      <w:r w:rsidRPr="00CC7328">
        <w:rPr>
          <w:sz w:val="24"/>
          <w:szCs w:val="24"/>
        </w:rPr>
        <w:t>This propensity score procedure will yield large weights for those with characteristics that are associated with low response rates (that is, for those with small propensity scores). Similarly, the procedure will yield small weights for those with characteristics that are associated with high response rates. Thus, the weighted characteristics of respondents should be similar, on average, to the characteristics of the entire research sample.</w:t>
      </w:r>
    </w:p>
    <w:p w14:paraId="309DDFEB" w14:textId="77777777" w:rsidR="00283BE4" w:rsidRPr="00CC7328" w:rsidRDefault="00283BE4" w:rsidP="00645BE0">
      <w:pPr>
        <w:ind w:firstLine="360"/>
        <w:jc w:val="left"/>
        <w:rPr>
          <w:sz w:val="24"/>
          <w:szCs w:val="24"/>
        </w:rPr>
      </w:pPr>
    </w:p>
    <w:p w14:paraId="33A40094" w14:textId="77777777" w:rsidR="00283BE4" w:rsidRDefault="00283BE4" w:rsidP="00645BE0">
      <w:pPr>
        <w:jc w:val="left"/>
        <w:rPr>
          <w:sz w:val="24"/>
          <w:szCs w:val="24"/>
        </w:rPr>
      </w:pPr>
      <w:r w:rsidRPr="00CC7328">
        <w:rPr>
          <w:sz w:val="24"/>
          <w:szCs w:val="24"/>
        </w:rPr>
        <w:t xml:space="preserve">It is important to note that the use of weights and regression models adjusts only for </w:t>
      </w:r>
      <w:r w:rsidRPr="00CC7328">
        <w:rPr>
          <w:i/>
          <w:sz w:val="24"/>
          <w:szCs w:val="24"/>
        </w:rPr>
        <w:t>observable</w:t>
      </w:r>
      <w:r w:rsidRPr="00CC7328">
        <w:rPr>
          <w:sz w:val="24"/>
          <w:szCs w:val="24"/>
        </w:rPr>
        <w:t xml:space="preserve"> differences between survey respondents and nonrespondents in the two research groups. The procedure does not adjust for potential unobservable differences between the groups. Thus, our procedures will only partially adjust for potential nonresponse bias. We will use administrative data to assess whether such bias is present in our data, as discussed above.</w:t>
      </w:r>
    </w:p>
    <w:p w14:paraId="35B70F2C" w14:textId="77777777" w:rsidR="00283BE4" w:rsidRDefault="00283BE4" w:rsidP="00645BE0">
      <w:pPr>
        <w:jc w:val="left"/>
        <w:rPr>
          <w:sz w:val="24"/>
          <w:szCs w:val="24"/>
        </w:rPr>
      </w:pPr>
    </w:p>
    <w:p w14:paraId="4ACDE9EB" w14:textId="77777777" w:rsidR="00283BE4" w:rsidRPr="00CC7328" w:rsidRDefault="00283BE4" w:rsidP="00645BE0">
      <w:pPr>
        <w:jc w:val="left"/>
        <w:rPr>
          <w:sz w:val="24"/>
          <w:szCs w:val="24"/>
        </w:rPr>
      </w:pPr>
      <w:r>
        <w:rPr>
          <w:sz w:val="24"/>
          <w:szCs w:val="24"/>
        </w:rPr>
        <w:t>Records with missing values on dependent (or outcome) variables will be excluded from the impact estimates for those variables. This includes records for participants who do not respond to the entire survey, as well as records for participants who do not answer individual questions. As a sensitivity check, we will use multiple imputation of survey outcomes as suggested by Puma et al, 2009.</w:t>
      </w:r>
    </w:p>
    <w:p w14:paraId="015030E4" w14:textId="77777777" w:rsidR="008A6A7C" w:rsidRPr="00CC7328" w:rsidRDefault="008A6A7C" w:rsidP="00645BE0">
      <w:pPr>
        <w:pStyle w:val="L1-FlLSp12"/>
        <w:spacing w:line="276" w:lineRule="auto"/>
        <w:jc w:val="left"/>
        <w:rPr>
          <w:sz w:val="24"/>
          <w:szCs w:val="24"/>
          <w:highlight w:val="yellow"/>
        </w:rPr>
      </w:pPr>
    </w:p>
    <w:p w14:paraId="7C704C94" w14:textId="77777777" w:rsidR="008A6A7C" w:rsidRPr="00CC7328" w:rsidRDefault="008A6A7C" w:rsidP="00645BE0">
      <w:pPr>
        <w:pStyle w:val="Heading1"/>
        <w:spacing w:line="276" w:lineRule="auto"/>
        <w:jc w:val="left"/>
        <w:rPr>
          <w:sz w:val="24"/>
          <w:szCs w:val="24"/>
        </w:rPr>
      </w:pPr>
      <w:bookmarkStart w:id="33" w:name="_Toc329341130"/>
      <w:bookmarkStart w:id="34" w:name="_Toc400377755"/>
      <w:bookmarkStart w:id="35" w:name="_Toc409090906"/>
      <w:bookmarkStart w:id="36" w:name="_Toc474235260"/>
      <w:r w:rsidRPr="00CC7328">
        <w:rPr>
          <w:sz w:val="24"/>
          <w:szCs w:val="24"/>
        </w:rPr>
        <w:t>B.4</w:t>
      </w:r>
      <w:r w:rsidRPr="00CC7328">
        <w:rPr>
          <w:sz w:val="24"/>
          <w:szCs w:val="24"/>
        </w:rPr>
        <w:tab/>
        <w:t>Test of Procedures or Methods to be Undertaken</w:t>
      </w:r>
      <w:bookmarkEnd w:id="33"/>
      <w:bookmarkEnd w:id="34"/>
      <w:bookmarkEnd w:id="35"/>
      <w:bookmarkEnd w:id="36"/>
    </w:p>
    <w:p w14:paraId="7B36BAFB" w14:textId="77777777" w:rsidR="008A6A7C" w:rsidRPr="00CC7328" w:rsidRDefault="008A6A7C" w:rsidP="00645BE0">
      <w:pPr>
        <w:pStyle w:val="L1-FlLSp12"/>
        <w:spacing w:line="276" w:lineRule="auto"/>
        <w:jc w:val="left"/>
        <w:rPr>
          <w:sz w:val="24"/>
          <w:szCs w:val="24"/>
        </w:rPr>
      </w:pPr>
    </w:p>
    <w:p w14:paraId="6D3F8735" w14:textId="0E59DF57" w:rsidR="001E49E2" w:rsidRPr="00CC7328" w:rsidRDefault="001E49E2" w:rsidP="009724F9">
      <w:pPr>
        <w:tabs>
          <w:tab w:val="left" w:pos="2970"/>
        </w:tabs>
        <w:spacing w:after="240" w:line="240" w:lineRule="auto"/>
        <w:jc w:val="left"/>
        <w:rPr>
          <w:sz w:val="24"/>
          <w:szCs w:val="24"/>
          <w:highlight w:val="yellow"/>
        </w:rPr>
      </w:pPr>
      <w:r>
        <w:rPr>
          <w:sz w:val="24"/>
          <w:szCs w:val="24"/>
        </w:rPr>
        <w:t>The 18-month follow-up survey w</w:t>
      </w:r>
      <w:r w:rsidR="005544E8">
        <w:rPr>
          <w:sz w:val="24"/>
          <w:szCs w:val="24"/>
        </w:rPr>
        <w:t>as</w:t>
      </w:r>
      <w:r>
        <w:rPr>
          <w:sz w:val="24"/>
          <w:szCs w:val="24"/>
        </w:rPr>
        <w:t xml:space="preserve"> pretested</w:t>
      </w:r>
      <w:r w:rsidRPr="00CC7328">
        <w:rPr>
          <w:sz w:val="24"/>
          <w:szCs w:val="24"/>
        </w:rPr>
        <w:t xml:space="preserve"> </w:t>
      </w:r>
      <w:r>
        <w:rPr>
          <w:sz w:val="24"/>
          <w:szCs w:val="24"/>
        </w:rPr>
        <w:t>before submission to OMB</w:t>
      </w:r>
      <w:r w:rsidRPr="00CC7328">
        <w:rPr>
          <w:sz w:val="24"/>
          <w:szCs w:val="24"/>
        </w:rPr>
        <w:t xml:space="preserve">. For the </w:t>
      </w:r>
      <w:r>
        <w:rPr>
          <w:sz w:val="24"/>
          <w:szCs w:val="24"/>
        </w:rPr>
        <w:t xml:space="preserve">pretest, 7 </w:t>
      </w:r>
      <w:r w:rsidRPr="00CC7328">
        <w:rPr>
          <w:sz w:val="24"/>
          <w:szCs w:val="24"/>
        </w:rPr>
        <w:t xml:space="preserve">individuals </w:t>
      </w:r>
      <w:r>
        <w:rPr>
          <w:sz w:val="24"/>
          <w:szCs w:val="24"/>
        </w:rPr>
        <w:t xml:space="preserve">were </w:t>
      </w:r>
      <w:r w:rsidRPr="00CC7328">
        <w:rPr>
          <w:sz w:val="24"/>
          <w:szCs w:val="24"/>
        </w:rPr>
        <w:t xml:space="preserve">recruited from </w:t>
      </w:r>
      <w:r>
        <w:rPr>
          <w:sz w:val="24"/>
          <w:szCs w:val="24"/>
        </w:rPr>
        <w:t>the TechHire program at Montgomery College in Rockville, MD</w:t>
      </w:r>
      <w:r w:rsidRPr="00CC7328">
        <w:rPr>
          <w:sz w:val="24"/>
          <w:szCs w:val="24"/>
        </w:rPr>
        <w:t xml:space="preserve"> and </w:t>
      </w:r>
      <w:r>
        <w:rPr>
          <w:sz w:val="24"/>
          <w:szCs w:val="24"/>
        </w:rPr>
        <w:t xml:space="preserve">a </w:t>
      </w:r>
      <w:r w:rsidRPr="00CC7328">
        <w:rPr>
          <w:sz w:val="24"/>
          <w:szCs w:val="24"/>
        </w:rPr>
        <w:t xml:space="preserve">One-Stop Center in </w:t>
      </w:r>
      <w:r>
        <w:rPr>
          <w:sz w:val="24"/>
          <w:szCs w:val="24"/>
        </w:rPr>
        <w:t>New York City</w:t>
      </w:r>
      <w:r w:rsidRPr="00CC7328">
        <w:rPr>
          <w:sz w:val="24"/>
          <w:szCs w:val="24"/>
        </w:rPr>
        <w:t xml:space="preserve">. </w:t>
      </w:r>
      <w:r>
        <w:rPr>
          <w:sz w:val="24"/>
          <w:szCs w:val="24"/>
        </w:rPr>
        <w:t xml:space="preserve">Pretests were conducted over the phone. </w:t>
      </w:r>
      <w:r w:rsidRPr="00CC7328">
        <w:rPr>
          <w:sz w:val="24"/>
          <w:szCs w:val="24"/>
        </w:rPr>
        <w:t xml:space="preserve">Individuals </w:t>
      </w:r>
      <w:r>
        <w:rPr>
          <w:sz w:val="24"/>
          <w:szCs w:val="24"/>
        </w:rPr>
        <w:t>were</w:t>
      </w:r>
      <w:r w:rsidRPr="00CC7328">
        <w:rPr>
          <w:sz w:val="24"/>
          <w:szCs w:val="24"/>
        </w:rPr>
        <w:t xml:space="preserve"> paid $50 for their participation in the pretest. </w:t>
      </w:r>
      <w:r>
        <w:rPr>
          <w:sz w:val="24"/>
          <w:szCs w:val="24"/>
        </w:rPr>
        <w:t>The pretest used retrospective probing in which respondents completed the full survey and were then probed about the</w:t>
      </w:r>
      <w:r w:rsidRPr="00CC7328">
        <w:rPr>
          <w:sz w:val="24"/>
          <w:szCs w:val="24"/>
        </w:rPr>
        <w:t xml:space="preserve"> clarity of the questions and any potential problems with the instrument. </w:t>
      </w:r>
      <w:r>
        <w:rPr>
          <w:sz w:val="24"/>
          <w:szCs w:val="24"/>
        </w:rPr>
        <w:t>The benefit of retrospective probing is that it allowed us to estimate the burden. The version of the instrument submitted to OMB incorporates the pretest results and no changes are anticipated. In terms of burden, the avera</w:t>
      </w:r>
      <w:r w:rsidR="00FB410C">
        <w:rPr>
          <w:sz w:val="24"/>
          <w:szCs w:val="24"/>
        </w:rPr>
        <w:t>g</w:t>
      </w:r>
      <w:r>
        <w:rPr>
          <w:sz w:val="24"/>
          <w:szCs w:val="24"/>
        </w:rPr>
        <w:t>e time to complete the survey was 3</w:t>
      </w:r>
      <w:r w:rsidR="0063048D">
        <w:rPr>
          <w:sz w:val="24"/>
          <w:szCs w:val="24"/>
        </w:rPr>
        <w:t>0</w:t>
      </w:r>
      <w:r>
        <w:rPr>
          <w:sz w:val="24"/>
          <w:szCs w:val="24"/>
        </w:rPr>
        <w:t xml:space="preserve"> minutes, although the time varied based on whether the respondent was employed, participated in job training, or were parents, as these determined major skip patterns.</w:t>
      </w:r>
      <w:r w:rsidRPr="00CC7328">
        <w:rPr>
          <w:sz w:val="24"/>
          <w:szCs w:val="24"/>
        </w:rPr>
        <w:t xml:space="preserve"> </w:t>
      </w:r>
    </w:p>
    <w:p w14:paraId="69B80A7D" w14:textId="77777777" w:rsidR="008A6A7C" w:rsidRPr="00CC7328" w:rsidRDefault="008A6A7C" w:rsidP="00645BE0">
      <w:pPr>
        <w:pStyle w:val="Heading1"/>
        <w:spacing w:line="276" w:lineRule="auto"/>
        <w:jc w:val="left"/>
        <w:rPr>
          <w:sz w:val="24"/>
          <w:szCs w:val="24"/>
        </w:rPr>
      </w:pPr>
      <w:bookmarkStart w:id="37" w:name="_Toc400377756"/>
      <w:bookmarkStart w:id="38" w:name="_Toc409090907"/>
      <w:bookmarkStart w:id="39" w:name="_Toc474235261"/>
      <w:r w:rsidRPr="00CC7328">
        <w:rPr>
          <w:sz w:val="24"/>
          <w:szCs w:val="24"/>
        </w:rPr>
        <w:t>B.5</w:t>
      </w:r>
      <w:r w:rsidRPr="00CC7328">
        <w:rPr>
          <w:sz w:val="24"/>
          <w:szCs w:val="24"/>
        </w:rPr>
        <w:tab/>
        <w:t xml:space="preserve">Individuals Consulted on Statistical </w:t>
      </w:r>
      <w:bookmarkEnd w:id="37"/>
      <w:bookmarkEnd w:id="38"/>
      <w:bookmarkEnd w:id="39"/>
      <w:r w:rsidR="00F03200" w:rsidRPr="00CC7328">
        <w:rPr>
          <w:sz w:val="24"/>
          <w:szCs w:val="24"/>
        </w:rPr>
        <w:t>Methods</w:t>
      </w:r>
      <w:r w:rsidR="00797A82">
        <w:rPr>
          <w:sz w:val="24"/>
          <w:szCs w:val="24"/>
        </w:rPr>
        <w:t xml:space="preserve"> and Individuals Responsible for Collecting and/or Analyzing the Data</w:t>
      </w:r>
    </w:p>
    <w:p w14:paraId="547741E3" w14:textId="77777777" w:rsidR="008A6A7C" w:rsidRPr="00CC7328" w:rsidRDefault="008A6A7C" w:rsidP="00645BE0">
      <w:pPr>
        <w:pStyle w:val="L1-FlLSp12"/>
        <w:spacing w:line="276" w:lineRule="auto"/>
        <w:jc w:val="left"/>
        <w:rPr>
          <w:sz w:val="24"/>
          <w:szCs w:val="24"/>
        </w:rPr>
      </w:pPr>
    </w:p>
    <w:p w14:paraId="7E27918E" w14:textId="77777777" w:rsidR="00425B31" w:rsidRDefault="00425B31" w:rsidP="00645BE0">
      <w:pPr>
        <w:tabs>
          <w:tab w:val="clear" w:pos="1152"/>
        </w:tabs>
        <w:spacing w:line="240" w:lineRule="auto"/>
        <w:jc w:val="left"/>
        <w:rPr>
          <w:b/>
          <w:sz w:val="24"/>
          <w:szCs w:val="24"/>
        </w:rPr>
      </w:pPr>
      <w:r w:rsidRPr="00032858">
        <w:rPr>
          <w:b/>
          <w:sz w:val="24"/>
          <w:szCs w:val="24"/>
        </w:rPr>
        <w:t>B.5.</w:t>
      </w:r>
      <w:r>
        <w:rPr>
          <w:b/>
          <w:sz w:val="24"/>
          <w:szCs w:val="24"/>
        </w:rPr>
        <w:t>1</w:t>
      </w:r>
      <w:r w:rsidRPr="00032858">
        <w:rPr>
          <w:b/>
          <w:sz w:val="24"/>
          <w:szCs w:val="24"/>
        </w:rPr>
        <w:tab/>
        <w:t xml:space="preserve">Individuals </w:t>
      </w:r>
      <w:r>
        <w:rPr>
          <w:b/>
          <w:sz w:val="24"/>
          <w:szCs w:val="24"/>
        </w:rPr>
        <w:t>Consulted on Statistical Methods</w:t>
      </w:r>
    </w:p>
    <w:p w14:paraId="4F07EA99" w14:textId="77777777" w:rsidR="00425B31" w:rsidRDefault="00425B31" w:rsidP="00645BE0">
      <w:pPr>
        <w:pStyle w:val="NormalSS"/>
        <w:spacing w:line="276" w:lineRule="auto"/>
        <w:ind w:firstLine="0"/>
        <w:jc w:val="left"/>
        <w:rPr>
          <w:sz w:val="24"/>
        </w:rPr>
      </w:pPr>
    </w:p>
    <w:p w14:paraId="6AEC9421" w14:textId="77777777" w:rsidR="00A71FD2" w:rsidRPr="00CC7328" w:rsidRDefault="00A71FD2" w:rsidP="00A71FD2">
      <w:pPr>
        <w:pStyle w:val="NormalSS"/>
        <w:spacing w:line="276" w:lineRule="auto"/>
        <w:ind w:firstLine="0"/>
        <w:jc w:val="left"/>
        <w:rPr>
          <w:b/>
          <w:i/>
          <w:sz w:val="24"/>
        </w:rPr>
      </w:pPr>
      <w:r w:rsidRPr="00CC7328">
        <w:rPr>
          <w:b/>
          <w:i/>
          <w:sz w:val="24"/>
        </w:rPr>
        <w:t>Westat</w:t>
      </w:r>
    </w:p>
    <w:p w14:paraId="10FBABA1" w14:textId="77777777" w:rsidR="00A71FD2" w:rsidRPr="00CC7328" w:rsidRDefault="00A71FD2" w:rsidP="00A71FD2">
      <w:pPr>
        <w:pStyle w:val="NormalSS"/>
        <w:spacing w:line="276" w:lineRule="auto"/>
        <w:jc w:val="left"/>
        <w:rPr>
          <w:sz w:val="24"/>
        </w:rPr>
      </w:pPr>
    </w:p>
    <w:p w14:paraId="21F3F9DC" w14:textId="77777777" w:rsidR="00A71FD2" w:rsidRPr="00CC7328" w:rsidRDefault="00A71FD2" w:rsidP="00A71FD2">
      <w:pPr>
        <w:pStyle w:val="NormalSS"/>
        <w:spacing w:line="276" w:lineRule="auto"/>
        <w:ind w:firstLine="0"/>
        <w:jc w:val="left"/>
        <w:rPr>
          <w:sz w:val="24"/>
        </w:rPr>
      </w:pPr>
      <w:r w:rsidRPr="00CC7328">
        <w:rPr>
          <w:sz w:val="24"/>
        </w:rPr>
        <w:t>Dr. Joseph Gasper</w:t>
      </w:r>
      <w:r w:rsidRPr="00CC7328">
        <w:rPr>
          <w:sz w:val="24"/>
        </w:rPr>
        <w:tab/>
        <w:t>(240) 314-2470</w:t>
      </w:r>
    </w:p>
    <w:p w14:paraId="27C53382" w14:textId="32D68C33" w:rsidR="00A71FD2" w:rsidRPr="00CC7328" w:rsidRDefault="00A71FD2" w:rsidP="00A71FD2">
      <w:pPr>
        <w:pStyle w:val="NormalSS"/>
        <w:spacing w:line="276" w:lineRule="auto"/>
        <w:ind w:firstLine="0"/>
        <w:jc w:val="left"/>
        <w:rPr>
          <w:sz w:val="24"/>
        </w:rPr>
      </w:pPr>
      <w:r>
        <w:rPr>
          <w:sz w:val="24"/>
        </w:rPr>
        <w:t>Dr. Steve Bell</w:t>
      </w:r>
      <w:r>
        <w:rPr>
          <w:sz w:val="24"/>
        </w:rPr>
        <w:tab/>
      </w:r>
      <w:r w:rsidRPr="00CC7328">
        <w:rPr>
          <w:sz w:val="24"/>
        </w:rPr>
        <w:tab/>
        <w:t xml:space="preserve">(301) </w:t>
      </w:r>
      <w:r>
        <w:rPr>
          <w:sz w:val="24"/>
        </w:rPr>
        <w:t>294-2065</w:t>
      </w:r>
    </w:p>
    <w:p w14:paraId="5355B9BF" w14:textId="77777777" w:rsidR="00A71FD2" w:rsidRPr="00CC7328" w:rsidRDefault="00A71FD2" w:rsidP="00A71FD2">
      <w:pPr>
        <w:pStyle w:val="NormalSS"/>
        <w:spacing w:line="276" w:lineRule="auto"/>
        <w:jc w:val="left"/>
        <w:rPr>
          <w:sz w:val="24"/>
        </w:rPr>
      </w:pPr>
    </w:p>
    <w:p w14:paraId="1AC3C515" w14:textId="77777777" w:rsidR="00A71FD2" w:rsidRPr="00CC7328" w:rsidRDefault="00A71FD2" w:rsidP="00A71FD2">
      <w:pPr>
        <w:pStyle w:val="NormalSS"/>
        <w:spacing w:line="276" w:lineRule="auto"/>
        <w:ind w:firstLine="0"/>
        <w:jc w:val="left"/>
        <w:rPr>
          <w:b/>
          <w:i/>
          <w:sz w:val="24"/>
        </w:rPr>
      </w:pPr>
      <w:r w:rsidRPr="00CC7328">
        <w:rPr>
          <w:b/>
          <w:i/>
          <w:sz w:val="24"/>
        </w:rPr>
        <w:t>MDRC</w:t>
      </w:r>
    </w:p>
    <w:p w14:paraId="636C714C" w14:textId="77777777" w:rsidR="00A71FD2" w:rsidRDefault="00A71FD2" w:rsidP="00A71FD2">
      <w:pPr>
        <w:pStyle w:val="NormalSS"/>
        <w:spacing w:line="276" w:lineRule="auto"/>
        <w:ind w:firstLine="0"/>
        <w:jc w:val="left"/>
        <w:rPr>
          <w:sz w:val="24"/>
        </w:rPr>
      </w:pPr>
      <w:r w:rsidRPr="00CC7328">
        <w:rPr>
          <w:sz w:val="24"/>
        </w:rPr>
        <w:t>Dr. Richard Hendra</w:t>
      </w:r>
      <w:r w:rsidRPr="00CC7328">
        <w:rPr>
          <w:sz w:val="24"/>
        </w:rPr>
        <w:tab/>
      </w:r>
      <w:r>
        <w:rPr>
          <w:sz w:val="24"/>
        </w:rPr>
        <w:t xml:space="preserve">        </w:t>
      </w:r>
      <w:r w:rsidRPr="00CC7328">
        <w:rPr>
          <w:sz w:val="24"/>
        </w:rPr>
        <w:t>(212) 340-8623</w:t>
      </w:r>
    </w:p>
    <w:p w14:paraId="52435310" w14:textId="77777777" w:rsidR="00A71FD2" w:rsidRPr="00CC7328" w:rsidRDefault="00A71FD2" w:rsidP="00A71FD2">
      <w:pPr>
        <w:pStyle w:val="NormalSS"/>
        <w:spacing w:line="276" w:lineRule="auto"/>
        <w:ind w:firstLine="0"/>
        <w:jc w:val="left"/>
        <w:rPr>
          <w:sz w:val="24"/>
        </w:rPr>
      </w:pPr>
      <w:r>
        <w:rPr>
          <w:sz w:val="24"/>
        </w:rPr>
        <w:t>Ms. Kelsey Schaberg          (212) 340-7581</w:t>
      </w:r>
    </w:p>
    <w:bookmarkEnd w:id="5"/>
    <w:bookmarkEnd w:id="6"/>
    <w:bookmarkEnd w:id="7"/>
    <w:bookmarkEnd w:id="8"/>
    <w:bookmarkEnd w:id="9"/>
    <w:bookmarkEnd w:id="10"/>
    <w:p w14:paraId="4BBFA4EB" w14:textId="77777777" w:rsidR="008004E8" w:rsidRDefault="008004E8" w:rsidP="00645BE0">
      <w:pPr>
        <w:tabs>
          <w:tab w:val="clear" w:pos="1152"/>
        </w:tabs>
        <w:spacing w:line="240" w:lineRule="auto"/>
        <w:jc w:val="left"/>
        <w:rPr>
          <w:highlight w:val="yellow"/>
        </w:rPr>
      </w:pPr>
    </w:p>
    <w:p w14:paraId="1226A2F7" w14:textId="77777777" w:rsidR="008004E8" w:rsidRDefault="008004E8" w:rsidP="00645BE0">
      <w:pPr>
        <w:tabs>
          <w:tab w:val="clear" w:pos="1152"/>
        </w:tabs>
        <w:spacing w:line="240" w:lineRule="auto"/>
        <w:jc w:val="left"/>
        <w:rPr>
          <w:b/>
          <w:sz w:val="24"/>
          <w:szCs w:val="24"/>
        </w:rPr>
      </w:pPr>
      <w:r w:rsidRPr="007926A0">
        <w:rPr>
          <w:b/>
          <w:sz w:val="24"/>
          <w:szCs w:val="24"/>
        </w:rPr>
        <w:t>B.5.</w:t>
      </w:r>
      <w:r w:rsidR="00425B31">
        <w:rPr>
          <w:b/>
          <w:sz w:val="24"/>
          <w:szCs w:val="24"/>
        </w:rPr>
        <w:t>2</w:t>
      </w:r>
      <w:r w:rsidRPr="007926A0">
        <w:rPr>
          <w:b/>
          <w:sz w:val="24"/>
          <w:szCs w:val="24"/>
        </w:rPr>
        <w:tab/>
        <w:t>Individuals Responsible for Collecting/Analyzing the Data</w:t>
      </w:r>
    </w:p>
    <w:p w14:paraId="6F469E2B" w14:textId="77777777" w:rsidR="008004E8" w:rsidRDefault="008004E8" w:rsidP="00645BE0">
      <w:pPr>
        <w:tabs>
          <w:tab w:val="clear" w:pos="1152"/>
        </w:tabs>
        <w:spacing w:line="240" w:lineRule="auto"/>
        <w:jc w:val="left"/>
        <w:rPr>
          <w:b/>
          <w:sz w:val="24"/>
          <w:szCs w:val="24"/>
        </w:rPr>
      </w:pPr>
    </w:p>
    <w:p w14:paraId="032EB98E" w14:textId="77777777" w:rsidR="008004E8" w:rsidRPr="00CC7328" w:rsidRDefault="008004E8" w:rsidP="00645BE0">
      <w:pPr>
        <w:pStyle w:val="NormalSS"/>
        <w:spacing w:line="276" w:lineRule="auto"/>
        <w:ind w:firstLine="0"/>
        <w:jc w:val="left"/>
        <w:rPr>
          <w:b/>
          <w:i/>
          <w:sz w:val="24"/>
        </w:rPr>
      </w:pPr>
      <w:r w:rsidRPr="00CC7328">
        <w:rPr>
          <w:b/>
          <w:i/>
          <w:sz w:val="24"/>
        </w:rPr>
        <w:t>Westat</w:t>
      </w:r>
    </w:p>
    <w:p w14:paraId="32913FA6" w14:textId="77777777" w:rsidR="008004E8" w:rsidRPr="00CC7328" w:rsidRDefault="008004E8" w:rsidP="00645BE0">
      <w:pPr>
        <w:pStyle w:val="NormalSS"/>
        <w:spacing w:line="276" w:lineRule="auto"/>
        <w:jc w:val="left"/>
        <w:rPr>
          <w:sz w:val="24"/>
        </w:rPr>
      </w:pPr>
    </w:p>
    <w:p w14:paraId="09438C97" w14:textId="77777777" w:rsidR="008004E8" w:rsidRPr="00CC7328" w:rsidRDefault="008004E8" w:rsidP="00645BE0">
      <w:pPr>
        <w:pStyle w:val="NormalSS"/>
        <w:spacing w:line="276" w:lineRule="auto"/>
        <w:ind w:firstLine="0"/>
        <w:jc w:val="left"/>
        <w:rPr>
          <w:sz w:val="24"/>
        </w:rPr>
      </w:pPr>
      <w:r w:rsidRPr="00CC7328">
        <w:rPr>
          <w:sz w:val="24"/>
        </w:rPr>
        <w:t>Dr. Joseph Gasper</w:t>
      </w:r>
      <w:r w:rsidRPr="00CC7328">
        <w:rPr>
          <w:sz w:val="24"/>
        </w:rPr>
        <w:tab/>
        <w:t>(240) 314-2470</w:t>
      </w:r>
    </w:p>
    <w:p w14:paraId="7F7539B2" w14:textId="77777777" w:rsidR="008004E8" w:rsidRPr="00CC7328" w:rsidRDefault="008004E8" w:rsidP="00645BE0">
      <w:pPr>
        <w:pStyle w:val="NormalSS"/>
        <w:spacing w:line="276" w:lineRule="auto"/>
        <w:ind w:firstLine="0"/>
        <w:jc w:val="left"/>
        <w:rPr>
          <w:sz w:val="24"/>
        </w:rPr>
      </w:pPr>
      <w:r>
        <w:rPr>
          <w:sz w:val="24"/>
        </w:rPr>
        <w:t>Mr. Wayne Hintze</w:t>
      </w:r>
      <w:r w:rsidRPr="00CC7328">
        <w:rPr>
          <w:sz w:val="24"/>
        </w:rPr>
        <w:tab/>
        <w:t xml:space="preserve">(301) </w:t>
      </w:r>
      <w:r w:rsidR="005E6452">
        <w:rPr>
          <w:sz w:val="24"/>
        </w:rPr>
        <w:t>517-4022</w:t>
      </w:r>
    </w:p>
    <w:p w14:paraId="4F334E62" w14:textId="77777777" w:rsidR="008004E8" w:rsidRPr="00CC7328" w:rsidRDefault="008004E8" w:rsidP="00645BE0">
      <w:pPr>
        <w:pStyle w:val="NormalSS"/>
        <w:spacing w:line="276" w:lineRule="auto"/>
        <w:jc w:val="left"/>
        <w:rPr>
          <w:sz w:val="24"/>
        </w:rPr>
      </w:pPr>
    </w:p>
    <w:p w14:paraId="7E52F504" w14:textId="77777777" w:rsidR="008004E8" w:rsidRPr="00CC7328" w:rsidRDefault="008004E8" w:rsidP="00645BE0">
      <w:pPr>
        <w:pStyle w:val="NormalSS"/>
        <w:spacing w:line="276" w:lineRule="auto"/>
        <w:ind w:firstLine="0"/>
        <w:jc w:val="left"/>
        <w:rPr>
          <w:b/>
          <w:i/>
          <w:sz w:val="24"/>
        </w:rPr>
      </w:pPr>
      <w:r w:rsidRPr="00CC7328">
        <w:rPr>
          <w:b/>
          <w:i/>
          <w:sz w:val="24"/>
        </w:rPr>
        <w:t>MDRC</w:t>
      </w:r>
    </w:p>
    <w:p w14:paraId="4F8E9E7A" w14:textId="77777777" w:rsidR="008004E8" w:rsidRDefault="008004E8" w:rsidP="00645BE0">
      <w:pPr>
        <w:pStyle w:val="NormalSS"/>
        <w:spacing w:line="276" w:lineRule="auto"/>
        <w:ind w:firstLine="0"/>
        <w:jc w:val="left"/>
        <w:rPr>
          <w:sz w:val="24"/>
        </w:rPr>
      </w:pPr>
      <w:r w:rsidRPr="00CC7328">
        <w:rPr>
          <w:sz w:val="24"/>
        </w:rPr>
        <w:t>Dr. Richard Hendra</w:t>
      </w:r>
      <w:r w:rsidRPr="00CC7328">
        <w:rPr>
          <w:sz w:val="24"/>
        </w:rPr>
        <w:tab/>
      </w:r>
      <w:r w:rsidR="00EC3382">
        <w:rPr>
          <w:sz w:val="24"/>
        </w:rPr>
        <w:t xml:space="preserve">        </w:t>
      </w:r>
      <w:r w:rsidRPr="00CC7328">
        <w:rPr>
          <w:sz w:val="24"/>
        </w:rPr>
        <w:t>(212) 340-8623</w:t>
      </w:r>
    </w:p>
    <w:p w14:paraId="385EDAF2" w14:textId="77777777" w:rsidR="00885333" w:rsidRPr="00CC7328" w:rsidRDefault="00885333" w:rsidP="00645BE0">
      <w:pPr>
        <w:pStyle w:val="NormalSS"/>
        <w:spacing w:line="276" w:lineRule="auto"/>
        <w:ind w:firstLine="0"/>
        <w:jc w:val="left"/>
        <w:rPr>
          <w:sz w:val="24"/>
        </w:rPr>
      </w:pPr>
      <w:r>
        <w:rPr>
          <w:sz w:val="24"/>
        </w:rPr>
        <w:t>Ms. Kelsey Schaberg</w:t>
      </w:r>
      <w:r w:rsidR="00EC3382">
        <w:rPr>
          <w:sz w:val="24"/>
        </w:rPr>
        <w:t xml:space="preserve">         </w:t>
      </w:r>
      <w:r>
        <w:rPr>
          <w:sz w:val="24"/>
        </w:rPr>
        <w:t xml:space="preserve"> </w:t>
      </w:r>
      <w:r w:rsidR="00EC3382">
        <w:rPr>
          <w:sz w:val="24"/>
        </w:rPr>
        <w:t>(</w:t>
      </w:r>
      <w:r>
        <w:rPr>
          <w:sz w:val="24"/>
        </w:rPr>
        <w:t>212</w:t>
      </w:r>
      <w:r w:rsidR="00EC3382">
        <w:rPr>
          <w:sz w:val="24"/>
        </w:rPr>
        <w:t xml:space="preserve">) </w:t>
      </w:r>
      <w:r>
        <w:rPr>
          <w:sz w:val="24"/>
        </w:rPr>
        <w:t>340-7581</w:t>
      </w:r>
    </w:p>
    <w:p w14:paraId="38CFAE26" w14:textId="77777777" w:rsidR="00BA7ACB" w:rsidRPr="00E741B4" w:rsidRDefault="00BA7ACB" w:rsidP="00176DCB">
      <w:pPr>
        <w:tabs>
          <w:tab w:val="clear" w:pos="1152"/>
        </w:tabs>
        <w:spacing w:line="240" w:lineRule="auto"/>
        <w:jc w:val="left"/>
      </w:pPr>
    </w:p>
    <w:sectPr w:rsidR="00BA7ACB" w:rsidRPr="00E741B4" w:rsidSect="008A6A7C">
      <w:footerReference w:type="default" r:id="rId10"/>
      <w:headerReference w:type="first" r:id="rId11"/>
      <w:footerReference w:type="first" r:id="rId12"/>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FE2D" w14:textId="77777777" w:rsidR="00D96E75" w:rsidRDefault="00D96E75" w:rsidP="00DD372B">
      <w:r>
        <w:separator/>
      </w:r>
    </w:p>
  </w:endnote>
  <w:endnote w:type="continuationSeparator" w:id="0">
    <w:p w14:paraId="64DBD27E" w14:textId="77777777" w:rsidR="00D96E75" w:rsidRDefault="00D96E75" w:rsidP="00DD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9E7E7" w14:textId="6524D69B" w:rsidR="00967C55" w:rsidRPr="00E60620" w:rsidRDefault="00967C55" w:rsidP="003A4D22">
    <w:pPr>
      <w:pStyle w:val="Footer"/>
    </w:pPr>
    <w:r>
      <w:fldChar w:fldCharType="begin"/>
    </w:r>
    <w:r>
      <w:instrText xml:space="preserve"> PAGE   \* MERGEFORMAT </w:instrText>
    </w:r>
    <w:r>
      <w:fldChar w:fldCharType="separate"/>
    </w:r>
    <w:r w:rsidR="00FE0687">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F0F3F" w14:textId="38408D27" w:rsidR="00967C55" w:rsidRPr="00D6415D" w:rsidRDefault="00967C55" w:rsidP="003A4D22">
    <w:pPr>
      <w:pStyle w:val="Footer"/>
    </w:pPr>
    <w:r w:rsidRPr="00D6415D">
      <w:rPr>
        <w:noProof/>
      </w:rPr>
      <w:fldChar w:fldCharType="begin"/>
    </w:r>
    <w:r w:rsidRPr="00D6415D">
      <w:rPr>
        <w:noProof/>
      </w:rPr>
      <w:instrText xml:space="preserve"> PAGE   \* MERGEFORMAT </w:instrText>
    </w:r>
    <w:r w:rsidRPr="00D6415D">
      <w:rPr>
        <w:noProof/>
      </w:rPr>
      <w:fldChar w:fldCharType="separate"/>
    </w:r>
    <w:r w:rsidR="00FE0687">
      <w:rPr>
        <w:noProof/>
      </w:rPr>
      <w:t>1</w:t>
    </w:r>
    <w:r w:rsidRPr="00D6415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0D071" w14:textId="77777777" w:rsidR="00D96E75" w:rsidRDefault="00D96E75" w:rsidP="00DD372B">
      <w:r>
        <w:separator/>
      </w:r>
    </w:p>
  </w:footnote>
  <w:footnote w:type="continuationSeparator" w:id="0">
    <w:p w14:paraId="13405C31" w14:textId="77777777" w:rsidR="00D96E75" w:rsidRDefault="00D96E75" w:rsidP="00DD372B">
      <w:r>
        <w:continuationSeparator/>
      </w:r>
    </w:p>
  </w:footnote>
  <w:footnote w:id="1">
    <w:p w14:paraId="51F32E39" w14:textId="77777777" w:rsidR="00A66772" w:rsidRDefault="00A66772" w:rsidP="00A66772">
      <w:pPr>
        <w:pStyle w:val="FootnoteText"/>
      </w:pPr>
      <w:r>
        <w:rPr>
          <w:rStyle w:val="FootnoteReference"/>
        </w:rPr>
        <w:footnoteRef/>
      </w:r>
      <w:r>
        <w:t xml:space="preserve"> Bloom et al, 2017 assert that these types of inferences to a super population are appropriate even in the case of convenience sampling: “Even in a convenience sample, sites are usually chosen not because they comprise a population of interest but rather because they represent a broader population of sites that might have participated in the study or might consider adopting the program being tested. Hence, the ultimate goal of such studies is usually to generalize findings beyond the sites observed, even though the target of generalization is not well-defined.” </w:t>
      </w:r>
    </w:p>
  </w:footnote>
  <w:footnote w:id="2">
    <w:p w14:paraId="56DF87DB" w14:textId="77777777" w:rsidR="00D244AE" w:rsidRDefault="00D244AE" w:rsidP="00D244AE">
      <w:pPr>
        <w:pStyle w:val="FootnoteText"/>
      </w:pPr>
      <w:r>
        <w:rPr>
          <w:rStyle w:val="FootnoteReference"/>
        </w:rPr>
        <w:footnoteRef/>
      </w:r>
      <w:r>
        <w:t xml:space="preserve"> The minimal detectable effects were estimated using the following formula from Bloom et al. 2006:</w:t>
      </w:r>
      <w:r>
        <w:rPr>
          <w:noProof/>
        </w:rPr>
        <w:drawing>
          <wp:inline distT="0" distB="0" distL="0" distR="0" wp14:anchorId="05808F00" wp14:editId="2FFAB3BD">
            <wp:extent cx="1717481" cy="3882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10944"/>
                    <a:stretch/>
                  </pic:blipFill>
                  <pic:spPr bwMode="auto">
                    <a:xfrm>
                      <a:off x="0" y="0"/>
                      <a:ext cx="1711343" cy="386841"/>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586BB2F3" w14:textId="77777777" w:rsidR="00D244AE" w:rsidRDefault="00D244AE" w:rsidP="00D244AE">
      <w:pPr>
        <w:pStyle w:val="FootnoteText"/>
        <w:tabs>
          <w:tab w:val="clear" w:pos="120"/>
          <w:tab w:val="left" w:pos="90"/>
        </w:tabs>
        <w:ind w:left="90" w:firstLine="0"/>
      </w:pPr>
      <w:r>
        <w:t>Here the Y terms refer to the means for treatment and control group members (subscripted by T and C). M is the multiplier, which is a constant that factors in the statistical power (here 0.8), the statistical significance (here 0.1), and the number of degrees of freedom in the impact analysis equation. In the two tailed test scenario that we have used here, M = 2.49. The term on the right is the standard error which is computed by dividing the variance (</w:t>
      </w:r>
      <w:r w:rsidRPr="00475D47">
        <w:t>σ</w:t>
      </w:r>
      <w:r>
        <w:rPr>
          <w:vertAlign w:val="superscript"/>
        </w:rPr>
        <w:t>2</w:t>
      </w:r>
      <w:r w:rsidRPr="00764B52">
        <w:t>)</w:t>
      </w:r>
      <w:r>
        <w:t xml:space="preserve"> </w:t>
      </w:r>
      <w:r w:rsidRPr="00475D47">
        <w:t>by</w:t>
      </w:r>
      <w:r>
        <w:t xml:space="preserve"> the random assignment ratio (P). </w:t>
      </w:r>
    </w:p>
  </w:footnote>
  <w:footnote w:id="3">
    <w:p w14:paraId="36BCFEAD" w14:textId="77777777" w:rsidR="00D244AE" w:rsidRDefault="00D244AE" w:rsidP="00D244AE">
      <w:pPr>
        <w:pStyle w:val="FootnoteText"/>
      </w:pPr>
      <w:r>
        <w:rPr>
          <w:rStyle w:val="FootnoteReference"/>
        </w:rPr>
        <w:footnoteRef/>
      </w:r>
      <w:r>
        <w:t xml:space="preserve"> </w:t>
      </w:r>
      <w:r w:rsidRPr="00FE4968">
        <w:rPr>
          <w:color w:val="000000"/>
          <w:spacing w:val="-4"/>
        </w:rPr>
        <w:t>The MDESs presented are for a two-tailed test at 0.10 significance level with 80 percent power. These MDES assume 50 percent of the sample is assigned to the treatment group and 50 percent is assigned to the control group, that 10 covariates will be used, and that the covariates will have a weak relationship with the outcomes (R-squared=0.15). This R-squared value is somewhat low compared to what’s been observed in other training and employment studies, and is intentionally a fairly conservative estimate.</w:t>
      </w:r>
      <w:r>
        <w:rPr>
          <w:color w:val="000000"/>
          <w:spacing w:val="-4"/>
        </w:rPr>
        <w:t xml:space="preserve"> </w:t>
      </w:r>
      <w:r w:rsidRPr="00FE4968">
        <w:rPr>
          <w:color w:val="000000"/>
          <w:spacing w:val="-4"/>
        </w:rPr>
        <w:t>If the covariates actually explain more of the variation in outcomes, this will only increase the power of the study.</w:t>
      </w:r>
    </w:p>
  </w:footnote>
  <w:footnote w:id="4">
    <w:p w14:paraId="0B8309FE" w14:textId="77777777" w:rsidR="00D244AE" w:rsidRDefault="00D244AE" w:rsidP="00D244AE">
      <w:pPr>
        <w:pStyle w:val="FootnoteText"/>
        <w:spacing w:line="240" w:lineRule="auto"/>
      </w:pPr>
      <w:r>
        <w:rPr>
          <w:rStyle w:val="FootnoteReference"/>
        </w:rPr>
        <w:footnoteRef/>
      </w:r>
      <w:r>
        <w:t>A standard deviation of 0.5 assumes the worst case scenario. The point of maximum variance for a percentage measure is 0.5 (a control group level of 50 percent). At that point, an MDES of 0.2 translates into an MDE of 10 percentage points. The further the variance is from 0.5, the smaller the MDE. For example, if the control group level for a measure is 20 percent, the MDE for a study powered at 80 percent would be 8 percentage points.</w:t>
      </w:r>
    </w:p>
  </w:footnote>
  <w:footnote w:id="5">
    <w:p w14:paraId="3D231244" w14:textId="77777777" w:rsidR="00D244AE" w:rsidRDefault="00D244AE" w:rsidP="00D244AE">
      <w:pPr>
        <w:pStyle w:val="FootnoteText"/>
        <w:spacing w:line="240" w:lineRule="auto"/>
      </w:pPr>
      <w:r>
        <w:rPr>
          <w:rStyle w:val="FootnoteReference"/>
        </w:rPr>
        <w:footnoteRef/>
      </w:r>
      <w:r>
        <w:t>These standard deviations are based on standard deviations from MDRC’s evaluation of the WorkAdvance program (Hendra et al., 2016).</w:t>
      </w:r>
    </w:p>
  </w:footnote>
  <w:footnote w:id="6">
    <w:p w14:paraId="42E33AC7" w14:textId="77777777" w:rsidR="001E7B34" w:rsidRDefault="001E7B34" w:rsidP="001E7B34">
      <w:pPr>
        <w:pStyle w:val="FootnoteText"/>
        <w:ind w:left="180" w:hanging="180"/>
        <w:rPr>
          <w:rFonts w:eastAsiaTheme="minorHAnsi"/>
        </w:rPr>
      </w:pPr>
      <w:r>
        <w:rPr>
          <w:rStyle w:val="FootnoteReference"/>
        </w:rPr>
        <w:t>[1]</w:t>
      </w:r>
      <w:r>
        <w:t xml:space="preserve"> Singer E. (2002). The use of incentives to reduce non response in households surveys in: Groves R, Dillman D, Eltinge J, Little R (eds.) Survey Non Response. New York: Wiley, pp 163-177.</w:t>
      </w:r>
    </w:p>
  </w:footnote>
  <w:footnote w:id="7">
    <w:p w14:paraId="2252B0DF" w14:textId="77777777" w:rsidR="001E7B34" w:rsidRDefault="001E7B34" w:rsidP="001E7B34">
      <w:pPr>
        <w:pStyle w:val="FootnoteText"/>
        <w:ind w:left="180" w:hanging="180"/>
      </w:pPr>
      <w:r>
        <w:rPr>
          <w:rStyle w:val="FootnoteReference"/>
        </w:rPr>
        <w:t>[2]</w:t>
      </w:r>
      <w:r>
        <w:t xml:space="preserve"> James T. (1996). Results of wave 1 incentive experiment in the 1996 survey of income and program participation. Proceedings of the Survey Research Section, American Statistical Association., 834-839.</w:t>
      </w:r>
    </w:p>
  </w:footnote>
  <w:footnote w:id="8">
    <w:p w14:paraId="595826EA" w14:textId="77777777" w:rsidR="001E7B34" w:rsidRDefault="001E7B34" w:rsidP="001E7B34">
      <w:pPr>
        <w:pStyle w:val="FootnoteText"/>
        <w:ind w:left="180" w:hanging="180"/>
      </w:pPr>
      <w:r>
        <w:rPr>
          <w:rStyle w:val="FootnoteReference"/>
        </w:rPr>
        <w:t>[3]</w:t>
      </w:r>
      <w:r>
        <w:t xml:space="preserve"> Groves R, Fowler F, Couper M, Lepkowski J, Singer E. (2009) in: Survey methodology. John Wiley &amp; Sons, pp 205-206.</w:t>
      </w:r>
    </w:p>
  </w:footnote>
  <w:footnote w:id="9">
    <w:p w14:paraId="25D9B8EC" w14:textId="77777777" w:rsidR="001E7B34" w:rsidRDefault="001E7B34" w:rsidP="001E7B34">
      <w:pPr>
        <w:pStyle w:val="FootnoteText"/>
      </w:pPr>
      <w:r>
        <w:rPr>
          <w:rStyle w:val="FootnoteReference"/>
        </w:rPr>
        <w:t>[5]</w:t>
      </w:r>
      <w:r>
        <w:t xml:space="preserve"> Singer E and Ye C. (2013).  The use and effectives of incentives in surveys.  Annals of the American Academy of Political and Social Science, 645(1):112-141.</w:t>
      </w:r>
    </w:p>
  </w:footnote>
  <w:footnote w:id="10">
    <w:p w14:paraId="2C980E60" w14:textId="77777777" w:rsidR="001E7B34" w:rsidRDefault="001E7B34" w:rsidP="001E7B34">
      <w:pPr>
        <w:pStyle w:val="FootnoteText"/>
      </w:pPr>
      <w:r>
        <w:rPr>
          <w:rStyle w:val="FootnoteReference"/>
        </w:rPr>
        <w:t>[6]</w:t>
      </w:r>
      <w:r>
        <w:t xml:space="preserve"> Bonevski B, Randell M, Paul C, Chapman K, Twyman L, Bryant J, Brozek K, Hughes, C. (2014) Reaching the hard-to-reach: a systematic review of strategies for improving health and medical research with socially disadvantaged groups.  BMC Medical Research Methodology 14:42, 14-42. http://bmcmedresmethodol.biomedcentral.com/articles/10.1186/1471-2288-14-42</w:t>
      </w:r>
    </w:p>
  </w:footnote>
  <w:footnote w:id="11">
    <w:p w14:paraId="606C4E24" w14:textId="77777777" w:rsidR="001E7B34" w:rsidRDefault="001E7B34" w:rsidP="001E7B34">
      <w:pPr>
        <w:pStyle w:val="FootnoteText"/>
      </w:pPr>
      <w:r>
        <w:rPr>
          <w:rStyle w:val="FootnoteReference"/>
        </w:rPr>
        <w:t>[7]</w:t>
      </w:r>
      <w:r>
        <w:t xml:space="preserve"> Dillman, Don. 2000. </w:t>
      </w:r>
      <w:r>
        <w:rPr>
          <w:i/>
          <w:iCs/>
        </w:rPr>
        <w:t>Mail and Internet Surveys: The Tailored Design Method, 2</w:t>
      </w:r>
      <w:r>
        <w:rPr>
          <w:i/>
          <w:iCs/>
          <w:vertAlign w:val="superscript"/>
        </w:rPr>
        <w:t>nd</w:t>
      </w:r>
      <w:r>
        <w:rPr>
          <w:i/>
          <w:iCs/>
        </w:rPr>
        <w:t xml:space="preserve"> Edition</w:t>
      </w:r>
      <w:r>
        <w:t>. John Wiley &amp; Sons: New York.</w:t>
      </w:r>
    </w:p>
  </w:footnote>
  <w:footnote w:id="12">
    <w:p w14:paraId="35FEB00B" w14:textId="77777777" w:rsidR="001E7B34" w:rsidRDefault="001E7B34" w:rsidP="001E7B34">
      <w:pPr>
        <w:pStyle w:val="FootnoteText"/>
      </w:pPr>
      <w:r>
        <w:rPr>
          <w:rStyle w:val="FootnoteReference"/>
        </w:rPr>
        <w:t>[8]</w:t>
      </w:r>
      <w:r>
        <w:t xml:space="preserve"> Singer, Eleanor. 2006. “Introduction: Nonresponse Bias in Household Surveys,” </w:t>
      </w:r>
      <w:r>
        <w:rPr>
          <w:i/>
          <w:iCs/>
        </w:rPr>
        <w:t>Public Opinion Quarterly</w:t>
      </w:r>
      <w:r>
        <w:t>. 70(5): 637-645.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F27BF" w14:textId="21895EC8" w:rsidR="0079779B" w:rsidRPr="0079779B" w:rsidRDefault="0079779B" w:rsidP="0079779B">
    <w:pPr>
      <w:pStyle w:val="Header"/>
      <w:rPr>
        <w:sz w:val="16"/>
        <w:szCs w:val="16"/>
      </w:rPr>
    </w:pPr>
    <w:r w:rsidRPr="0079779B">
      <w:rPr>
        <w:sz w:val="16"/>
        <w:szCs w:val="16"/>
      </w:rPr>
      <w:t>Evaluation of Strategies Used in the TechHire and Strengthening Working Families Initiative Grant Programs</w:t>
    </w:r>
  </w:p>
  <w:p w14:paraId="01C2C069" w14:textId="7005F465" w:rsidR="00820D1E" w:rsidRDefault="00820D1E" w:rsidP="0079779B">
    <w:pPr>
      <w:pStyle w:val="Header"/>
      <w:rPr>
        <w:sz w:val="16"/>
        <w:szCs w:val="16"/>
      </w:rPr>
    </w:pPr>
    <w:r>
      <w:rPr>
        <w:sz w:val="16"/>
        <w:szCs w:val="16"/>
      </w:rPr>
      <w:t>ICR REF 201905-1290-001</w:t>
    </w:r>
  </w:p>
  <w:p w14:paraId="4424652F" w14:textId="14865DA2" w:rsidR="0079779B" w:rsidRPr="0079779B" w:rsidRDefault="00820D1E" w:rsidP="0079779B">
    <w:pPr>
      <w:pStyle w:val="Header"/>
      <w:rPr>
        <w:sz w:val="16"/>
        <w:szCs w:val="16"/>
      </w:rPr>
    </w:pPr>
    <w:r>
      <w:rPr>
        <w:sz w:val="16"/>
        <w:szCs w:val="16"/>
      </w:rPr>
      <w:t>MAY</w:t>
    </w:r>
    <w:r w:rsidR="0079779B" w:rsidRPr="0079779B">
      <w:rPr>
        <w:sz w:val="16"/>
        <w:szCs w:val="16"/>
      </w:rPr>
      <w:t xml:space="preserve"> 2019</w:t>
    </w:r>
  </w:p>
  <w:p w14:paraId="18060589" w14:textId="77777777" w:rsidR="0079779B" w:rsidRDefault="007977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767"/>
    <w:multiLevelType w:val="hybridMultilevel"/>
    <w:tmpl w:val="410C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752E9"/>
    <w:multiLevelType w:val="hybridMultilevel"/>
    <w:tmpl w:val="4340395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E5CA0"/>
    <w:multiLevelType w:val="hybridMultilevel"/>
    <w:tmpl w:val="4AF6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cs="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right"/>
      <w:pPr>
        <w:tabs>
          <w:tab w:val="num" w:pos="1080"/>
        </w:tabs>
        <w:ind w:left="1080" w:hanging="216"/>
      </w:pPr>
      <w:rPr>
        <w:rFonts w:ascii="Times New Roman" w:hAnsi="Times New Roman" w:cs="Times New Roman" w:hint="default"/>
        <w:b w:val="0"/>
        <w:i w:val="0"/>
        <w:color w:val="auto"/>
        <w:spacing w:val="0"/>
        <w:kern w:val="0"/>
        <w:position w:val="0"/>
        <w:sz w:val="24"/>
        <w:szCs w:val="24"/>
      </w:rPr>
    </w:lvl>
    <w:lvl w:ilvl="2">
      <w:start w:val="1"/>
      <w:numFmt w:val="lowerRoman"/>
      <w:lvlText w:val="%3."/>
      <w:lvlJc w:val="right"/>
      <w:pPr>
        <w:tabs>
          <w:tab w:val="num" w:pos="1570"/>
        </w:tabs>
        <w:ind w:left="1570" w:hanging="202"/>
      </w:pPr>
      <w:rPr>
        <w:rFonts w:ascii="Times New Roman" w:hAnsi="Times New Roman" w:cs="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2002"/>
        </w:tabs>
        <w:ind w:left="2002" w:hanging="202"/>
      </w:pPr>
      <w:rPr>
        <w:rFonts w:ascii="Times New Roman" w:hAnsi="Times New Roman" w:cs="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cs="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cs="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cs="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cs="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cs="Times New Roman" w:hint="default"/>
        <w:b w:val="0"/>
        <w:i w:val="0"/>
        <w:position w:val="0"/>
        <w:sz w:val="20"/>
        <w:szCs w:val="20"/>
      </w:rPr>
    </w:lvl>
  </w:abstractNum>
  <w:abstractNum w:abstractNumId="7">
    <w:nsid w:val="0BE221DC"/>
    <w:multiLevelType w:val="hybridMultilevel"/>
    <w:tmpl w:val="487E6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FE3BB8"/>
    <w:multiLevelType w:val="hybridMultilevel"/>
    <w:tmpl w:val="0EE00A4A"/>
    <w:lvl w:ilvl="0" w:tplc="AC02648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A15896"/>
    <w:multiLevelType w:val="hybridMultilevel"/>
    <w:tmpl w:val="EAA8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7513D4"/>
    <w:multiLevelType w:val="hybridMultilevel"/>
    <w:tmpl w:val="E0280BAC"/>
    <w:lvl w:ilvl="0" w:tplc="4B241D8A">
      <w:start w:val="1"/>
      <w:numFmt w:val="bullet"/>
      <w:pStyle w:val="BulletBlack"/>
      <w:lvlText w:val=""/>
      <w:lvlJc w:val="left"/>
      <w:pPr>
        <w:ind w:left="1152" w:hanging="360"/>
      </w:pPr>
      <w:rPr>
        <w:rFonts w:ascii="Symbol" w:hAnsi="Symbol" w:hint="default"/>
      </w:rPr>
    </w:lvl>
    <w:lvl w:ilvl="1" w:tplc="977AB9C4">
      <w:start w:val="1"/>
      <w:numFmt w:val="bullet"/>
      <w:lvlText w:val="o"/>
      <w:lvlJc w:val="left"/>
      <w:pPr>
        <w:ind w:left="1872" w:hanging="360"/>
      </w:pPr>
      <w:rPr>
        <w:rFonts w:ascii="Courier New" w:hAnsi="Courier New" w:cs="Courier New" w:hint="default"/>
      </w:rPr>
    </w:lvl>
    <w:lvl w:ilvl="2" w:tplc="295867E2" w:tentative="1">
      <w:start w:val="1"/>
      <w:numFmt w:val="bullet"/>
      <w:lvlText w:val=""/>
      <w:lvlJc w:val="left"/>
      <w:pPr>
        <w:ind w:left="2592" w:hanging="360"/>
      </w:pPr>
      <w:rPr>
        <w:rFonts w:ascii="Wingdings" w:hAnsi="Wingdings" w:hint="default"/>
      </w:rPr>
    </w:lvl>
    <w:lvl w:ilvl="3" w:tplc="DDAE1044" w:tentative="1">
      <w:start w:val="1"/>
      <w:numFmt w:val="bullet"/>
      <w:lvlText w:val=""/>
      <w:lvlJc w:val="left"/>
      <w:pPr>
        <w:ind w:left="3312" w:hanging="360"/>
      </w:pPr>
      <w:rPr>
        <w:rFonts w:ascii="Symbol" w:hAnsi="Symbol" w:hint="default"/>
      </w:rPr>
    </w:lvl>
    <w:lvl w:ilvl="4" w:tplc="3C0851AE" w:tentative="1">
      <w:start w:val="1"/>
      <w:numFmt w:val="bullet"/>
      <w:lvlText w:val="o"/>
      <w:lvlJc w:val="left"/>
      <w:pPr>
        <w:ind w:left="4032" w:hanging="360"/>
      </w:pPr>
      <w:rPr>
        <w:rFonts w:ascii="Courier New" w:hAnsi="Courier New" w:cs="Courier New" w:hint="default"/>
      </w:rPr>
    </w:lvl>
    <w:lvl w:ilvl="5" w:tplc="F1EA2062" w:tentative="1">
      <w:start w:val="1"/>
      <w:numFmt w:val="bullet"/>
      <w:lvlText w:val=""/>
      <w:lvlJc w:val="left"/>
      <w:pPr>
        <w:ind w:left="4752" w:hanging="360"/>
      </w:pPr>
      <w:rPr>
        <w:rFonts w:ascii="Wingdings" w:hAnsi="Wingdings" w:hint="default"/>
      </w:rPr>
    </w:lvl>
    <w:lvl w:ilvl="6" w:tplc="AE44D134" w:tentative="1">
      <w:start w:val="1"/>
      <w:numFmt w:val="bullet"/>
      <w:lvlText w:val=""/>
      <w:lvlJc w:val="left"/>
      <w:pPr>
        <w:ind w:left="5472" w:hanging="360"/>
      </w:pPr>
      <w:rPr>
        <w:rFonts w:ascii="Symbol" w:hAnsi="Symbol" w:hint="default"/>
      </w:rPr>
    </w:lvl>
    <w:lvl w:ilvl="7" w:tplc="3FCC0334" w:tentative="1">
      <w:start w:val="1"/>
      <w:numFmt w:val="bullet"/>
      <w:lvlText w:val="o"/>
      <w:lvlJc w:val="left"/>
      <w:pPr>
        <w:ind w:left="6192" w:hanging="360"/>
      </w:pPr>
      <w:rPr>
        <w:rFonts w:ascii="Courier New" w:hAnsi="Courier New" w:cs="Courier New" w:hint="default"/>
      </w:rPr>
    </w:lvl>
    <w:lvl w:ilvl="8" w:tplc="3D507058" w:tentative="1">
      <w:start w:val="1"/>
      <w:numFmt w:val="bullet"/>
      <w:lvlText w:val=""/>
      <w:lvlJc w:val="left"/>
      <w:pPr>
        <w:ind w:left="6912" w:hanging="360"/>
      </w:pPr>
      <w:rPr>
        <w:rFonts w:ascii="Wingdings" w:hAnsi="Wingdings" w:hint="default"/>
      </w:rPr>
    </w:lvl>
  </w:abstractNum>
  <w:abstractNum w:abstractNumId="14">
    <w:nsid w:val="1FB769BE"/>
    <w:multiLevelType w:val="hybridMultilevel"/>
    <w:tmpl w:val="B0FE84F6"/>
    <w:lvl w:ilvl="0" w:tplc="3D4A9B9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5D52B0"/>
    <w:multiLevelType w:val="hybridMultilevel"/>
    <w:tmpl w:val="CACC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9">
    <w:nsid w:val="33965185"/>
    <w:multiLevelType w:val="hybridMultilevel"/>
    <w:tmpl w:val="10F27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22">
    <w:nsid w:val="3C2D5ABE"/>
    <w:multiLevelType w:val="hybridMultilevel"/>
    <w:tmpl w:val="0EE00A4A"/>
    <w:lvl w:ilvl="0" w:tplc="AC02648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5">
    <w:nsid w:val="4F274B01"/>
    <w:multiLevelType w:val="hybridMultilevel"/>
    <w:tmpl w:val="DA601CB6"/>
    <w:lvl w:ilvl="0" w:tplc="EB885550">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9320AC"/>
    <w:multiLevelType w:val="hybridMultilevel"/>
    <w:tmpl w:val="4E128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0C6109"/>
    <w:multiLevelType w:val="hybridMultilevel"/>
    <w:tmpl w:val="5848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7B47C8"/>
    <w:multiLevelType w:val="hybridMultilevel"/>
    <w:tmpl w:val="1B8C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2540B"/>
    <w:multiLevelType w:val="hybridMultilevel"/>
    <w:tmpl w:val="924E31A6"/>
    <w:lvl w:ilvl="0" w:tplc="D8048C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1EE3A96"/>
    <w:multiLevelType w:val="hybridMultilevel"/>
    <w:tmpl w:val="3EE43CC4"/>
    <w:lvl w:ilvl="0" w:tplc="85EAD99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E51817"/>
    <w:multiLevelType w:val="hybridMultilevel"/>
    <w:tmpl w:val="3CA28456"/>
    <w:lvl w:ilvl="0" w:tplc="27CC3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A0419F"/>
    <w:multiLevelType w:val="hybridMultilevel"/>
    <w:tmpl w:val="C026EFE2"/>
    <w:lvl w:ilvl="0" w:tplc="AC02648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EC1760"/>
    <w:multiLevelType w:val="hybridMultilevel"/>
    <w:tmpl w:val="F90ABD26"/>
    <w:lvl w:ilvl="0" w:tplc="AC02648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nsid w:val="6D477E9D"/>
    <w:multiLevelType w:val="hybridMultilevel"/>
    <w:tmpl w:val="65F0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6A2EB2"/>
    <w:multiLevelType w:val="hybridMultilevel"/>
    <w:tmpl w:val="A6F0CE98"/>
    <w:lvl w:ilvl="0" w:tplc="3F22767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D27B92"/>
    <w:multiLevelType w:val="hybridMultilevel"/>
    <w:tmpl w:val="D17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7641C9"/>
    <w:multiLevelType w:val="hybridMultilevel"/>
    <w:tmpl w:val="1A0CB6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1">
    <w:nsid w:val="73822442"/>
    <w:multiLevelType w:val="hybridMultilevel"/>
    <w:tmpl w:val="BC00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50317F"/>
    <w:multiLevelType w:val="hybridMultilevel"/>
    <w:tmpl w:val="10A62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5">
    <w:nsid w:val="7D632457"/>
    <w:multiLevelType w:val="hybridMultilevel"/>
    <w:tmpl w:val="B810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06644A"/>
    <w:multiLevelType w:val="hybridMultilevel"/>
    <w:tmpl w:val="8B18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0"/>
  </w:num>
  <w:num w:numId="4">
    <w:abstractNumId w:val="23"/>
    <w:lvlOverride w:ilvl="0">
      <w:startOverride w:val="1"/>
    </w:lvlOverride>
  </w:num>
  <w:num w:numId="5">
    <w:abstractNumId w:val="39"/>
  </w:num>
  <w:num w:numId="6">
    <w:abstractNumId w:val="16"/>
  </w:num>
  <w:num w:numId="7">
    <w:abstractNumId w:val="24"/>
  </w:num>
  <w:num w:numId="8">
    <w:abstractNumId w:val="29"/>
  </w:num>
  <w:num w:numId="9">
    <w:abstractNumId w:val="35"/>
  </w:num>
  <w:num w:numId="10">
    <w:abstractNumId w:val="44"/>
  </w:num>
  <w:num w:numId="11">
    <w:abstractNumId w:val="20"/>
  </w:num>
  <w:num w:numId="12">
    <w:abstractNumId w:val="25"/>
  </w:num>
  <w:num w:numId="13">
    <w:abstractNumId w:val="37"/>
  </w:num>
  <w:num w:numId="14">
    <w:abstractNumId w:val="5"/>
  </w:num>
  <w:num w:numId="15">
    <w:abstractNumId w:val="32"/>
  </w:num>
  <w:num w:numId="16">
    <w:abstractNumId w:val="4"/>
  </w:num>
  <w:num w:numId="17">
    <w:abstractNumId w:val="43"/>
  </w:num>
  <w:num w:numId="18">
    <w:abstractNumId w:val="41"/>
  </w:num>
  <w:num w:numId="19">
    <w:abstractNumId w:val="14"/>
  </w:num>
  <w:num w:numId="20">
    <w:abstractNumId w:val="9"/>
  </w:num>
  <w:num w:numId="21">
    <w:abstractNumId w:val="34"/>
  </w:num>
  <w:num w:numId="22">
    <w:abstractNumId w:val="11"/>
  </w:num>
  <w:num w:numId="23">
    <w:abstractNumId w:val="33"/>
  </w:num>
  <w:num w:numId="24">
    <w:abstractNumId w:val="9"/>
  </w:num>
  <w:num w:numId="25">
    <w:abstractNumId w:val="22"/>
  </w:num>
  <w:num w:numId="26">
    <w:abstractNumId w:val="21"/>
  </w:num>
  <w:num w:numId="27">
    <w:abstractNumId w:val="15"/>
  </w:num>
  <w:num w:numId="28">
    <w:abstractNumId w:val="46"/>
  </w:num>
  <w:num w:numId="29">
    <w:abstractNumId w:val="38"/>
  </w:num>
  <w:num w:numId="30">
    <w:abstractNumId w:val="30"/>
  </w:num>
  <w:num w:numId="31">
    <w:abstractNumId w:val="28"/>
  </w:num>
  <w:num w:numId="32">
    <w:abstractNumId w:val="45"/>
  </w:num>
  <w:num w:numId="33">
    <w:abstractNumId w:val="26"/>
  </w:num>
  <w:num w:numId="34">
    <w:abstractNumId w:val="0"/>
  </w:num>
  <w:num w:numId="35">
    <w:abstractNumId w:val="17"/>
  </w:num>
  <w:num w:numId="36">
    <w:abstractNumId w:val="8"/>
  </w:num>
  <w:num w:numId="37">
    <w:abstractNumId w:val="19"/>
  </w:num>
  <w:num w:numId="38">
    <w:abstractNumId w:val="42"/>
  </w:num>
  <w:num w:numId="39">
    <w:abstractNumId w:val="31"/>
  </w:num>
  <w:num w:numId="40">
    <w:abstractNumId w:val="27"/>
  </w:num>
  <w:num w:numId="41">
    <w:abstractNumId w:val="13"/>
  </w:num>
  <w:num w:numId="42">
    <w:abstractNumId w:val="1"/>
  </w:num>
  <w:num w:numId="43">
    <w:abstractNumId w:val="7"/>
  </w:num>
  <w:num w:numId="44">
    <w:abstractNumId w:val="36"/>
  </w:num>
  <w:num w:numId="45">
    <w:abstractNumId w:val="3"/>
  </w:num>
  <w:num w:numId="46">
    <w:abstractNumId w:val="12"/>
  </w:num>
  <w:num w:numId="47">
    <w:abstractNumId w:val="2"/>
  </w:num>
  <w:num w:numId="48">
    <w:abstractNumId w:val="40"/>
  </w:num>
  <w:num w:numId="4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89"/>
    <w:rsid w:val="0000048D"/>
    <w:rsid w:val="00022342"/>
    <w:rsid w:val="00025350"/>
    <w:rsid w:val="00031051"/>
    <w:rsid w:val="00031173"/>
    <w:rsid w:val="000333B9"/>
    <w:rsid w:val="000350E9"/>
    <w:rsid w:val="00036AF4"/>
    <w:rsid w:val="00037F0A"/>
    <w:rsid w:val="00043871"/>
    <w:rsid w:val="00044705"/>
    <w:rsid w:val="000447C2"/>
    <w:rsid w:val="000468CC"/>
    <w:rsid w:val="00047085"/>
    <w:rsid w:val="00047434"/>
    <w:rsid w:val="00051FAB"/>
    <w:rsid w:val="000527C5"/>
    <w:rsid w:val="00057925"/>
    <w:rsid w:val="00063D33"/>
    <w:rsid w:val="000646C7"/>
    <w:rsid w:val="0006498E"/>
    <w:rsid w:val="00066207"/>
    <w:rsid w:val="00067184"/>
    <w:rsid w:val="000709DF"/>
    <w:rsid w:val="0007338F"/>
    <w:rsid w:val="00073632"/>
    <w:rsid w:val="00073F2D"/>
    <w:rsid w:val="00073FEE"/>
    <w:rsid w:val="000757B8"/>
    <w:rsid w:val="00076495"/>
    <w:rsid w:val="000770CB"/>
    <w:rsid w:val="00085BB2"/>
    <w:rsid w:val="00090941"/>
    <w:rsid w:val="00091A23"/>
    <w:rsid w:val="00092F4F"/>
    <w:rsid w:val="000944C1"/>
    <w:rsid w:val="000975AF"/>
    <w:rsid w:val="000A2B18"/>
    <w:rsid w:val="000A4805"/>
    <w:rsid w:val="000A5C0C"/>
    <w:rsid w:val="000A7543"/>
    <w:rsid w:val="000C33DB"/>
    <w:rsid w:val="000C6E09"/>
    <w:rsid w:val="000D02CD"/>
    <w:rsid w:val="000D4141"/>
    <w:rsid w:val="000D51B5"/>
    <w:rsid w:val="000E0143"/>
    <w:rsid w:val="000E07BE"/>
    <w:rsid w:val="000E2904"/>
    <w:rsid w:val="000E3226"/>
    <w:rsid w:val="000E47DE"/>
    <w:rsid w:val="000E5EF2"/>
    <w:rsid w:val="000F11A9"/>
    <w:rsid w:val="000F2606"/>
    <w:rsid w:val="000F4CFB"/>
    <w:rsid w:val="000F5C49"/>
    <w:rsid w:val="000F65F3"/>
    <w:rsid w:val="000F6F46"/>
    <w:rsid w:val="00101C84"/>
    <w:rsid w:val="00114C6E"/>
    <w:rsid w:val="001160BD"/>
    <w:rsid w:val="00116584"/>
    <w:rsid w:val="001201F4"/>
    <w:rsid w:val="00120A6B"/>
    <w:rsid w:val="00121A4A"/>
    <w:rsid w:val="00125F6D"/>
    <w:rsid w:val="00127EE4"/>
    <w:rsid w:val="00134ECD"/>
    <w:rsid w:val="00134EFB"/>
    <w:rsid w:val="001377A3"/>
    <w:rsid w:val="001402EE"/>
    <w:rsid w:val="0014354C"/>
    <w:rsid w:val="00145F5D"/>
    <w:rsid w:val="00147D20"/>
    <w:rsid w:val="00150369"/>
    <w:rsid w:val="00152B01"/>
    <w:rsid w:val="00156208"/>
    <w:rsid w:val="001622C8"/>
    <w:rsid w:val="00162E28"/>
    <w:rsid w:val="001659AC"/>
    <w:rsid w:val="001768BA"/>
    <w:rsid w:val="00176DCB"/>
    <w:rsid w:val="00184A10"/>
    <w:rsid w:val="00184FB4"/>
    <w:rsid w:val="00186D36"/>
    <w:rsid w:val="001912C1"/>
    <w:rsid w:val="00194FDC"/>
    <w:rsid w:val="001A05FD"/>
    <w:rsid w:val="001A10A2"/>
    <w:rsid w:val="001A1114"/>
    <w:rsid w:val="001B097C"/>
    <w:rsid w:val="001B265D"/>
    <w:rsid w:val="001B48CD"/>
    <w:rsid w:val="001B6AA1"/>
    <w:rsid w:val="001C24A2"/>
    <w:rsid w:val="001C4A08"/>
    <w:rsid w:val="001C555E"/>
    <w:rsid w:val="001C69DD"/>
    <w:rsid w:val="001C6D8F"/>
    <w:rsid w:val="001D0187"/>
    <w:rsid w:val="001D06A3"/>
    <w:rsid w:val="001D1F70"/>
    <w:rsid w:val="001D549D"/>
    <w:rsid w:val="001D7998"/>
    <w:rsid w:val="001E00CA"/>
    <w:rsid w:val="001E1D72"/>
    <w:rsid w:val="001E22E8"/>
    <w:rsid w:val="001E3800"/>
    <w:rsid w:val="001E396C"/>
    <w:rsid w:val="001E49E2"/>
    <w:rsid w:val="001E5F24"/>
    <w:rsid w:val="001E6079"/>
    <w:rsid w:val="001E7B34"/>
    <w:rsid w:val="001F1D4E"/>
    <w:rsid w:val="001F2D06"/>
    <w:rsid w:val="001F7159"/>
    <w:rsid w:val="001F7BCA"/>
    <w:rsid w:val="00203CA4"/>
    <w:rsid w:val="00203E75"/>
    <w:rsid w:val="00203EFB"/>
    <w:rsid w:val="0020415E"/>
    <w:rsid w:val="002046CB"/>
    <w:rsid w:val="0020526D"/>
    <w:rsid w:val="00205C31"/>
    <w:rsid w:val="00205CCE"/>
    <w:rsid w:val="00205FB5"/>
    <w:rsid w:val="00206D6D"/>
    <w:rsid w:val="00207140"/>
    <w:rsid w:val="0021119F"/>
    <w:rsid w:val="00211AC6"/>
    <w:rsid w:val="002120F1"/>
    <w:rsid w:val="00212FFB"/>
    <w:rsid w:val="002143C2"/>
    <w:rsid w:val="00214B46"/>
    <w:rsid w:val="0022221F"/>
    <w:rsid w:val="002232F7"/>
    <w:rsid w:val="002263E0"/>
    <w:rsid w:val="00241635"/>
    <w:rsid w:val="00250813"/>
    <w:rsid w:val="00253B2C"/>
    <w:rsid w:val="00255229"/>
    <w:rsid w:val="00255CED"/>
    <w:rsid w:val="0026080B"/>
    <w:rsid w:val="00263D25"/>
    <w:rsid w:val="00266495"/>
    <w:rsid w:val="00267642"/>
    <w:rsid w:val="00267F75"/>
    <w:rsid w:val="00271489"/>
    <w:rsid w:val="00272C38"/>
    <w:rsid w:val="00272EBC"/>
    <w:rsid w:val="002747D9"/>
    <w:rsid w:val="0027493A"/>
    <w:rsid w:val="00277BDF"/>
    <w:rsid w:val="00277D01"/>
    <w:rsid w:val="00280CBC"/>
    <w:rsid w:val="00282312"/>
    <w:rsid w:val="00283BE4"/>
    <w:rsid w:val="002851B1"/>
    <w:rsid w:val="0028599A"/>
    <w:rsid w:val="002A4D1F"/>
    <w:rsid w:val="002A52B9"/>
    <w:rsid w:val="002A6821"/>
    <w:rsid w:val="002B1CC6"/>
    <w:rsid w:val="002B594C"/>
    <w:rsid w:val="002C42ED"/>
    <w:rsid w:val="002D1420"/>
    <w:rsid w:val="002D3E8C"/>
    <w:rsid w:val="002D408E"/>
    <w:rsid w:val="002D7917"/>
    <w:rsid w:val="002E4AEA"/>
    <w:rsid w:val="002E7092"/>
    <w:rsid w:val="002E7811"/>
    <w:rsid w:val="002E7BF7"/>
    <w:rsid w:val="002F0F19"/>
    <w:rsid w:val="002F126A"/>
    <w:rsid w:val="002F5259"/>
    <w:rsid w:val="00300297"/>
    <w:rsid w:val="00300AB5"/>
    <w:rsid w:val="00301467"/>
    <w:rsid w:val="00302485"/>
    <w:rsid w:val="00302E5C"/>
    <w:rsid w:val="00304009"/>
    <w:rsid w:val="00305217"/>
    <w:rsid w:val="00306197"/>
    <w:rsid w:val="0030691F"/>
    <w:rsid w:val="00307E07"/>
    <w:rsid w:val="00310893"/>
    <w:rsid w:val="00313586"/>
    <w:rsid w:val="00313902"/>
    <w:rsid w:val="00315646"/>
    <w:rsid w:val="00320BD9"/>
    <w:rsid w:val="00322842"/>
    <w:rsid w:val="00323FC9"/>
    <w:rsid w:val="003254F9"/>
    <w:rsid w:val="00326859"/>
    <w:rsid w:val="00343C94"/>
    <w:rsid w:val="00343D76"/>
    <w:rsid w:val="00350EE1"/>
    <w:rsid w:val="00350F94"/>
    <w:rsid w:val="00356214"/>
    <w:rsid w:val="003575FA"/>
    <w:rsid w:val="00357E73"/>
    <w:rsid w:val="00357ED8"/>
    <w:rsid w:val="00360484"/>
    <w:rsid w:val="003628FB"/>
    <w:rsid w:val="003724DF"/>
    <w:rsid w:val="0037260F"/>
    <w:rsid w:val="003741B5"/>
    <w:rsid w:val="00383C29"/>
    <w:rsid w:val="00385C1E"/>
    <w:rsid w:val="00392857"/>
    <w:rsid w:val="003941E5"/>
    <w:rsid w:val="00395329"/>
    <w:rsid w:val="00396CF5"/>
    <w:rsid w:val="00397B0B"/>
    <w:rsid w:val="003A0C22"/>
    <w:rsid w:val="003A33F2"/>
    <w:rsid w:val="003A4615"/>
    <w:rsid w:val="003A4D22"/>
    <w:rsid w:val="003A522C"/>
    <w:rsid w:val="003A5B7B"/>
    <w:rsid w:val="003A5CA6"/>
    <w:rsid w:val="003A6AB6"/>
    <w:rsid w:val="003B1A43"/>
    <w:rsid w:val="003B1C13"/>
    <w:rsid w:val="003B5D27"/>
    <w:rsid w:val="003B6398"/>
    <w:rsid w:val="003C21F4"/>
    <w:rsid w:val="003C3199"/>
    <w:rsid w:val="003C6AA0"/>
    <w:rsid w:val="003C7936"/>
    <w:rsid w:val="003C7B0F"/>
    <w:rsid w:val="003D5724"/>
    <w:rsid w:val="003E10F4"/>
    <w:rsid w:val="003E5FC5"/>
    <w:rsid w:val="003F13C4"/>
    <w:rsid w:val="003F2254"/>
    <w:rsid w:val="003F2419"/>
    <w:rsid w:val="003F3309"/>
    <w:rsid w:val="003F678B"/>
    <w:rsid w:val="003F7E3B"/>
    <w:rsid w:val="00404935"/>
    <w:rsid w:val="00407C2F"/>
    <w:rsid w:val="00411C90"/>
    <w:rsid w:val="00412C16"/>
    <w:rsid w:val="004144E2"/>
    <w:rsid w:val="00414B36"/>
    <w:rsid w:val="00415164"/>
    <w:rsid w:val="004153AF"/>
    <w:rsid w:val="00417366"/>
    <w:rsid w:val="00417779"/>
    <w:rsid w:val="00420971"/>
    <w:rsid w:val="00421E98"/>
    <w:rsid w:val="00422AC6"/>
    <w:rsid w:val="00425B31"/>
    <w:rsid w:val="00425F20"/>
    <w:rsid w:val="0042603F"/>
    <w:rsid w:val="004273F4"/>
    <w:rsid w:val="00431452"/>
    <w:rsid w:val="00440C32"/>
    <w:rsid w:val="00451B86"/>
    <w:rsid w:val="0045281F"/>
    <w:rsid w:val="00455CAF"/>
    <w:rsid w:val="00457AF1"/>
    <w:rsid w:val="00463BAF"/>
    <w:rsid w:val="0047041E"/>
    <w:rsid w:val="00471DC7"/>
    <w:rsid w:val="00475B6F"/>
    <w:rsid w:val="00475D47"/>
    <w:rsid w:val="004762B0"/>
    <w:rsid w:val="0047782E"/>
    <w:rsid w:val="00477A9F"/>
    <w:rsid w:val="00481D46"/>
    <w:rsid w:val="00481DB2"/>
    <w:rsid w:val="00483653"/>
    <w:rsid w:val="00490145"/>
    <w:rsid w:val="00493E51"/>
    <w:rsid w:val="00496821"/>
    <w:rsid w:val="004A0B66"/>
    <w:rsid w:val="004A7048"/>
    <w:rsid w:val="004B3AEF"/>
    <w:rsid w:val="004B3BBF"/>
    <w:rsid w:val="004B5FCA"/>
    <w:rsid w:val="004C06C2"/>
    <w:rsid w:val="004C2846"/>
    <w:rsid w:val="004C56A6"/>
    <w:rsid w:val="004D0D4C"/>
    <w:rsid w:val="004D3719"/>
    <w:rsid w:val="004D5DE5"/>
    <w:rsid w:val="004D5FF2"/>
    <w:rsid w:val="004D7C4C"/>
    <w:rsid w:val="004E2BB3"/>
    <w:rsid w:val="004E4535"/>
    <w:rsid w:val="004E7AC1"/>
    <w:rsid w:val="00501EE6"/>
    <w:rsid w:val="005042B3"/>
    <w:rsid w:val="00507BCB"/>
    <w:rsid w:val="0051381C"/>
    <w:rsid w:val="00516AF1"/>
    <w:rsid w:val="00517BD9"/>
    <w:rsid w:val="0052352E"/>
    <w:rsid w:val="00523BA6"/>
    <w:rsid w:val="00530EBF"/>
    <w:rsid w:val="00531538"/>
    <w:rsid w:val="00531E1C"/>
    <w:rsid w:val="00532EB6"/>
    <w:rsid w:val="00541C40"/>
    <w:rsid w:val="005427A0"/>
    <w:rsid w:val="005444F4"/>
    <w:rsid w:val="00550794"/>
    <w:rsid w:val="005544E8"/>
    <w:rsid w:val="005547B9"/>
    <w:rsid w:val="00563156"/>
    <w:rsid w:val="00575C11"/>
    <w:rsid w:val="00577225"/>
    <w:rsid w:val="00580B23"/>
    <w:rsid w:val="00584E67"/>
    <w:rsid w:val="0058738E"/>
    <w:rsid w:val="005905D6"/>
    <w:rsid w:val="0059137A"/>
    <w:rsid w:val="00591429"/>
    <w:rsid w:val="00593313"/>
    <w:rsid w:val="00596C37"/>
    <w:rsid w:val="005A1A3F"/>
    <w:rsid w:val="005A31EE"/>
    <w:rsid w:val="005A52C6"/>
    <w:rsid w:val="005A7798"/>
    <w:rsid w:val="005B0621"/>
    <w:rsid w:val="005B0D9A"/>
    <w:rsid w:val="005B1DD6"/>
    <w:rsid w:val="005B7031"/>
    <w:rsid w:val="005C5BD1"/>
    <w:rsid w:val="005C7EF5"/>
    <w:rsid w:val="005D1174"/>
    <w:rsid w:val="005D4670"/>
    <w:rsid w:val="005D46D8"/>
    <w:rsid w:val="005D4F72"/>
    <w:rsid w:val="005D5BBC"/>
    <w:rsid w:val="005D63C0"/>
    <w:rsid w:val="005E169F"/>
    <w:rsid w:val="005E3AA1"/>
    <w:rsid w:val="005E3AE7"/>
    <w:rsid w:val="005E53FF"/>
    <w:rsid w:val="005E6452"/>
    <w:rsid w:val="005F33C9"/>
    <w:rsid w:val="005F5509"/>
    <w:rsid w:val="005F6A7A"/>
    <w:rsid w:val="005F7D5D"/>
    <w:rsid w:val="00600A4E"/>
    <w:rsid w:val="00600C38"/>
    <w:rsid w:val="00602999"/>
    <w:rsid w:val="00602A9D"/>
    <w:rsid w:val="00606FF2"/>
    <w:rsid w:val="00610064"/>
    <w:rsid w:val="006106FC"/>
    <w:rsid w:val="00614494"/>
    <w:rsid w:val="0061495F"/>
    <w:rsid w:val="00614D1C"/>
    <w:rsid w:val="00616257"/>
    <w:rsid w:val="0061645A"/>
    <w:rsid w:val="00616883"/>
    <w:rsid w:val="00616892"/>
    <w:rsid w:val="00620B5A"/>
    <w:rsid w:val="00620F40"/>
    <w:rsid w:val="00625119"/>
    <w:rsid w:val="00627604"/>
    <w:rsid w:val="0063048D"/>
    <w:rsid w:val="006313A0"/>
    <w:rsid w:val="0064309E"/>
    <w:rsid w:val="00644471"/>
    <w:rsid w:val="00645BE0"/>
    <w:rsid w:val="00647D6A"/>
    <w:rsid w:val="00650AFB"/>
    <w:rsid w:val="00651022"/>
    <w:rsid w:val="0065258A"/>
    <w:rsid w:val="006567DA"/>
    <w:rsid w:val="00657599"/>
    <w:rsid w:val="00663E26"/>
    <w:rsid w:val="0066643F"/>
    <w:rsid w:val="00667B27"/>
    <w:rsid w:val="00671788"/>
    <w:rsid w:val="0067287E"/>
    <w:rsid w:val="00672E8F"/>
    <w:rsid w:val="006756A3"/>
    <w:rsid w:val="0068253C"/>
    <w:rsid w:val="00683296"/>
    <w:rsid w:val="0068381B"/>
    <w:rsid w:val="00683820"/>
    <w:rsid w:val="006849A8"/>
    <w:rsid w:val="006901D7"/>
    <w:rsid w:val="00693986"/>
    <w:rsid w:val="0069462D"/>
    <w:rsid w:val="006A0637"/>
    <w:rsid w:val="006A216C"/>
    <w:rsid w:val="006A238C"/>
    <w:rsid w:val="006A2EDE"/>
    <w:rsid w:val="006A46F6"/>
    <w:rsid w:val="006A5E5C"/>
    <w:rsid w:val="006A778D"/>
    <w:rsid w:val="006B1396"/>
    <w:rsid w:val="006B33B5"/>
    <w:rsid w:val="006B4BA7"/>
    <w:rsid w:val="006B5921"/>
    <w:rsid w:val="006B5A71"/>
    <w:rsid w:val="006B637E"/>
    <w:rsid w:val="006C5972"/>
    <w:rsid w:val="006D735C"/>
    <w:rsid w:val="006D77EA"/>
    <w:rsid w:val="006E0383"/>
    <w:rsid w:val="006E14D2"/>
    <w:rsid w:val="006E775D"/>
    <w:rsid w:val="006F0E7E"/>
    <w:rsid w:val="006F6234"/>
    <w:rsid w:val="0070039E"/>
    <w:rsid w:val="00702301"/>
    <w:rsid w:val="007035CD"/>
    <w:rsid w:val="00705A09"/>
    <w:rsid w:val="00707A44"/>
    <w:rsid w:val="00707D92"/>
    <w:rsid w:val="007100C9"/>
    <w:rsid w:val="007165CC"/>
    <w:rsid w:val="00720E9B"/>
    <w:rsid w:val="00721588"/>
    <w:rsid w:val="00721D29"/>
    <w:rsid w:val="007223AE"/>
    <w:rsid w:val="0072337A"/>
    <w:rsid w:val="007236B1"/>
    <w:rsid w:val="007304BD"/>
    <w:rsid w:val="00731A44"/>
    <w:rsid w:val="0073534D"/>
    <w:rsid w:val="00736184"/>
    <w:rsid w:val="007364C1"/>
    <w:rsid w:val="00737920"/>
    <w:rsid w:val="00741FAB"/>
    <w:rsid w:val="007437FE"/>
    <w:rsid w:val="0074389B"/>
    <w:rsid w:val="00744F53"/>
    <w:rsid w:val="00754B85"/>
    <w:rsid w:val="007611E2"/>
    <w:rsid w:val="0076468D"/>
    <w:rsid w:val="00764B52"/>
    <w:rsid w:val="00766555"/>
    <w:rsid w:val="0076699A"/>
    <w:rsid w:val="007672A9"/>
    <w:rsid w:val="00770E81"/>
    <w:rsid w:val="00772EF6"/>
    <w:rsid w:val="00774268"/>
    <w:rsid w:val="0077775D"/>
    <w:rsid w:val="00782066"/>
    <w:rsid w:val="00782AEF"/>
    <w:rsid w:val="007926A0"/>
    <w:rsid w:val="00795760"/>
    <w:rsid w:val="0079779B"/>
    <w:rsid w:val="00797A82"/>
    <w:rsid w:val="007A4BF5"/>
    <w:rsid w:val="007A7045"/>
    <w:rsid w:val="007A76FF"/>
    <w:rsid w:val="007A79FF"/>
    <w:rsid w:val="007A7CB3"/>
    <w:rsid w:val="007B01A1"/>
    <w:rsid w:val="007B0BD5"/>
    <w:rsid w:val="007B6349"/>
    <w:rsid w:val="007B7DFD"/>
    <w:rsid w:val="007C0946"/>
    <w:rsid w:val="007C2CD6"/>
    <w:rsid w:val="007C2D80"/>
    <w:rsid w:val="007C4EBF"/>
    <w:rsid w:val="007C76ED"/>
    <w:rsid w:val="007D0E0F"/>
    <w:rsid w:val="007D0F3A"/>
    <w:rsid w:val="007E4FD5"/>
    <w:rsid w:val="007E6372"/>
    <w:rsid w:val="008004E8"/>
    <w:rsid w:val="008021F7"/>
    <w:rsid w:val="00811445"/>
    <w:rsid w:val="00820C97"/>
    <w:rsid w:val="00820D1E"/>
    <w:rsid w:val="00823929"/>
    <w:rsid w:val="00826A21"/>
    <w:rsid w:val="0083471B"/>
    <w:rsid w:val="008407D0"/>
    <w:rsid w:val="0084109A"/>
    <w:rsid w:val="0084323E"/>
    <w:rsid w:val="00846250"/>
    <w:rsid w:val="008478CF"/>
    <w:rsid w:val="00850A8B"/>
    <w:rsid w:val="00853851"/>
    <w:rsid w:val="008562F2"/>
    <w:rsid w:val="0086324B"/>
    <w:rsid w:val="008721BF"/>
    <w:rsid w:val="008731C6"/>
    <w:rsid w:val="008750B5"/>
    <w:rsid w:val="008756AF"/>
    <w:rsid w:val="0088021E"/>
    <w:rsid w:val="00882D43"/>
    <w:rsid w:val="00883F11"/>
    <w:rsid w:val="00885333"/>
    <w:rsid w:val="008874B0"/>
    <w:rsid w:val="00887EC8"/>
    <w:rsid w:val="00891B5E"/>
    <w:rsid w:val="008926D8"/>
    <w:rsid w:val="00892F3F"/>
    <w:rsid w:val="00893337"/>
    <w:rsid w:val="00894610"/>
    <w:rsid w:val="0089488C"/>
    <w:rsid w:val="00895C86"/>
    <w:rsid w:val="00895E95"/>
    <w:rsid w:val="008971C0"/>
    <w:rsid w:val="008A26D3"/>
    <w:rsid w:val="008A6A7C"/>
    <w:rsid w:val="008A7554"/>
    <w:rsid w:val="008B0474"/>
    <w:rsid w:val="008B17E9"/>
    <w:rsid w:val="008B577C"/>
    <w:rsid w:val="008B782C"/>
    <w:rsid w:val="008C30E4"/>
    <w:rsid w:val="008D0890"/>
    <w:rsid w:val="008D1607"/>
    <w:rsid w:val="008D45A5"/>
    <w:rsid w:val="008E37B9"/>
    <w:rsid w:val="008E4E27"/>
    <w:rsid w:val="008E5ED4"/>
    <w:rsid w:val="008E6CDD"/>
    <w:rsid w:val="008E6CF0"/>
    <w:rsid w:val="008F3181"/>
    <w:rsid w:val="008F6388"/>
    <w:rsid w:val="00901F09"/>
    <w:rsid w:val="00904B22"/>
    <w:rsid w:val="00916DCB"/>
    <w:rsid w:val="00916E55"/>
    <w:rsid w:val="009201FA"/>
    <w:rsid w:val="00922361"/>
    <w:rsid w:val="00922CCE"/>
    <w:rsid w:val="00923737"/>
    <w:rsid w:val="00923C66"/>
    <w:rsid w:val="0092551B"/>
    <w:rsid w:val="00930796"/>
    <w:rsid w:val="009355F7"/>
    <w:rsid w:val="00940319"/>
    <w:rsid w:val="00950A60"/>
    <w:rsid w:val="0095362B"/>
    <w:rsid w:val="00955C5C"/>
    <w:rsid w:val="00960083"/>
    <w:rsid w:val="00960DEA"/>
    <w:rsid w:val="00962AF2"/>
    <w:rsid w:val="00967C55"/>
    <w:rsid w:val="00967F34"/>
    <w:rsid w:val="0097142D"/>
    <w:rsid w:val="00971FDA"/>
    <w:rsid w:val="009724F9"/>
    <w:rsid w:val="00974E38"/>
    <w:rsid w:val="00975759"/>
    <w:rsid w:val="00983CC3"/>
    <w:rsid w:val="009844EA"/>
    <w:rsid w:val="0098577F"/>
    <w:rsid w:val="009871D3"/>
    <w:rsid w:val="00987821"/>
    <w:rsid w:val="0098785D"/>
    <w:rsid w:val="009900C2"/>
    <w:rsid w:val="00992616"/>
    <w:rsid w:val="00992641"/>
    <w:rsid w:val="009926F1"/>
    <w:rsid w:val="00993672"/>
    <w:rsid w:val="009943A4"/>
    <w:rsid w:val="009A1071"/>
    <w:rsid w:val="009A23F9"/>
    <w:rsid w:val="009A37B4"/>
    <w:rsid w:val="009A40D7"/>
    <w:rsid w:val="009B1DC5"/>
    <w:rsid w:val="009B3F63"/>
    <w:rsid w:val="009C4246"/>
    <w:rsid w:val="009C6691"/>
    <w:rsid w:val="009C675E"/>
    <w:rsid w:val="009D254B"/>
    <w:rsid w:val="009D2B6D"/>
    <w:rsid w:val="009E121A"/>
    <w:rsid w:val="009E6B00"/>
    <w:rsid w:val="009F26B8"/>
    <w:rsid w:val="009F2F49"/>
    <w:rsid w:val="009F5060"/>
    <w:rsid w:val="009F6771"/>
    <w:rsid w:val="00A0089F"/>
    <w:rsid w:val="00A15A6F"/>
    <w:rsid w:val="00A20174"/>
    <w:rsid w:val="00A22FFF"/>
    <w:rsid w:val="00A23CFA"/>
    <w:rsid w:val="00A24702"/>
    <w:rsid w:val="00A24A50"/>
    <w:rsid w:val="00A257BE"/>
    <w:rsid w:val="00A261B7"/>
    <w:rsid w:val="00A26E08"/>
    <w:rsid w:val="00A34036"/>
    <w:rsid w:val="00A37D29"/>
    <w:rsid w:val="00A40E83"/>
    <w:rsid w:val="00A44935"/>
    <w:rsid w:val="00A5064E"/>
    <w:rsid w:val="00A51A6B"/>
    <w:rsid w:val="00A53A03"/>
    <w:rsid w:val="00A5470B"/>
    <w:rsid w:val="00A653B4"/>
    <w:rsid w:val="00A66772"/>
    <w:rsid w:val="00A668DB"/>
    <w:rsid w:val="00A70CC3"/>
    <w:rsid w:val="00A71FD2"/>
    <w:rsid w:val="00A745C9"/>
    <w:rsid w:val="00A752CC"/>
    <w:rsid w:val="00A755BD"/>
    <w:rsid w:val="00A75648"/>
    <w:rsid w:val="00A767D7"/>
    <w:rsid w:val="00A77D80"/>
    <w:rsid w:val="00A80085"/>
    <w:rsid w:val="00A80C12"/>
    <w:rsid w:val="00A8303E"/>
    <w:rsid w:val="00A8332B"/>
    <w:rsid w:val="00A8606D"/>
    <w:rsid w:val="00A877F4"/>
    <w:rsid w:val="00A9104B"/>
    <w:rsid w:val="00A95ACF"/>
    <w:rsid w:val="00A974FC"/>
    <w:rsid w:val="00A97830"/>
    <w:rsid w:val="00AA54A9"/>
    <w:rsid w:val="00AB7107"/>
    <w:rsid w:val="00AC2447"/>
    <w:rsid w:val="00AC314D"/>
    <w:rsid w:val="00AC3FA8"/>
    <w:rsid w:val="00AC64BC"/>
    <w:rsid w:val="00AD0971"/>
    <w:rsid w:val="00AD12C8"/>
    <w:rsid w:val="00AD5980"/>
    <w:rsid w:val="00AD6A02"/>
    <w:rsid w:val="00AE15EE"/>
    <w:rsid w:val="00AE3C51"/>
    <w:rsid w:val="00AF002E"/>
    <w:rsid w:val="00AF1251"/>
    <w:rsid w:val="00AF3094"/>
    <w:rsid w:val="00AF43A7"/>
    <w:rsid w:val="00B011D9"/>
    <w:rsid w:val="00B06CAC"/>
    <w:rsid w:val="00B118D4"/>
    <w:rsid w:val="00B11E90"/>
    <w:rsid w:val="00B2164F"/>
    <w:rsid w:val="00B231D1"/>
    <w:rsid w:val="00B32AF4"/>
    <w:rsid w:val="00B43AD0"/>
    <w:rsid w:val="00B442F5"/>
    <w:rsid w:val="00B51010"/>
    <w:rsid w:val="00B54406"/>
    <w:rsid w:val="00B55900"/>
    <w:rsid w:val="00B55B95"/>
    <w:rsid w:val="00B55BAD"/>
    <w:rsid w:val="00B57F6F"/>
    <w:rsid w:val="00B67F68"/>
    <w:rsid w:val="00B70876"/>
    <w:rsid w:val="00B7225C"/>
    <w:rsid w:val="00B74208"/>
    <w:rsid w:val="00B74669"/>
    <w:rsid w:val="00B755EB"/>
    <w:rsid w:val="00B76F3E"/>
    <w:rsid w:val="00B824FD"/>
    <w:rsid w:val="00B839FB"/>
    <w:rsid w:val="00B84D69"/>
    <w:rsid w:val="00B84F01"/>
    <w:rsid w:val="00B8627C"/>
    <w:rsid w:val="00B8644F"/>
    <w:rsid w:val="00B879D3"/>
    <w:rsid w:val="00B9487C"/>
    <w:rsid w:val="00B9677F"/>
    <w:rsid w:val="00B978F7"/>
    <w:rsid w:val="00BA48D5"/>
    <w:rsid w:val="00BA4999"/>
    <w:rsid w:val="00BA623E"/>
    <w:rsid w:val="00BA7ACB"/>
    <w:rsid w:val="00BB06E9"/>
    <w:rsid w:val="00BB3850"/>
    <w:rsid w:val="00BB46EA"/>
    <w:rsid w:val="00BB63FD"/>
    <w:rsid w:val="00BC10FC"/>
    <w:rsid w:val="00BC4AA4"/>
    <w:rsid w:val="00BC5862"/>
    <w:rsid w:val="00BC677B"/>
    <w:rsid w:val="00BC6E81"/>
    <w:rsid w:val="00BD1001"/>
    <w:rsid w:val="00BD1970"/>
    <w:rsid w:val="00BD2066"/>
    <w:rsid w:val="00BD4AB9"/>
    <w:rsid w:val="00BD5E28"/>
    <w:rsid w:val="00BE0518"/>
    <w:rsid w:val="00BE3B60"/>
    <w:rsid w:val="00BE4CF0"/>
    <w:rsid w:val="00BE6197"/>
    <w:rsid w:val="00BF04F3"/>
    <w:rsid w:val="00BF2625"/>
    <w:rsid w:val="00BF2703"/>
    <w:rsid w:val="00BF76E0"/>
    <w:rsid w:val="00C02332"/>
    <w:rsid w:val="00C045FA"/>
    <w:rsid w:val="00C04A2F"/>
    <w:rsid w:val="00C06140"/>
    <w:rsid w:val="00C06763"/>
    <w:rsid w:val="00C07120"/>
    <w:rsid w:val="00C10FED"/>
    <w:rsid w:val="00C113B8"/>
    <w:rsid w:val="00C12ED2"/>
    <w:rsid w:val="00C14B4C"/>
    <w:rsid w:val="00C15446"/>
    <w:rsid w:val="00C16990"/>
    <w:rsid w:val="00C178DD"/>
    <w:rsid w:val="00C23317"/>
    <w:rsid w:val="00C239A3"/>
    <w:rsid w:val="00C24445"/>
    <w:rsid w:val="00C24722"/>
    <w:rsid w:val="00C24A72"/>
    <w:rsid w:val="00C274BD"/>
    <w:rsid w:val="00C31396"/>
    <w:rsid w:val="00C351D2"/>
    <w:rsid w:val="00C352AE"/>
    <w:rsid w:val="00C41ADD"/>
    <w:rsid w:val="00C433B4"/>
    <w:rsid w:val="00C43857"/>
    <w:rsid w:val="00C44186"/>
    <w:rsid w:val="00C45EEF"/>
    <w:rsid w:val="00C467A9"/>
    <w:rsid w:val="00C50612"/>
    <w:rsid w:val="00C518C9"/>
    <w:rsid w:val="00C53273"/>
    <w:rsid w:val="00C602D8"/>
    <w:rsid w:val="00C61ED2"/>
    <w:rsid w:val="00C7122D"/>
    <w:rsid w:val="00C75432"/>
    <w:rsid w:val="00C7573B"/>
    <w:rsid w:val="00C8014C"/>
    <w:rsid w:val="00C81152"/>
    <w:rsid w:val="00C82821"/>
    <w:rsid w:val="00C82F4E"/>
    <w:rsid w:val="00C8368A"/>
    <w:rsid w:val="00C90B03"/>
    <w:rsid w:val="00C90BF4"/>
    <w:rsid w:val="00C912B6"/>
    <w:rsid w:val="00C9296E"/>
    <w:rsid w:val="00C9473F"/>
    <w:rsid w:val="00CA053D"/>
    <w:rsid w:val="00CA1DD2"/>
    <w:rsid w:val="00CA4EE0"/>
    <w:rsid w:val="00CA6D46"/>
    <w:rsid w:val="00CB0402"/>
    <w:rsid w:val="00CB386A"/>
    <w:rsid w:val="00CB6421"/>
    <w:rsid w:val="00CC0CA5"/>
    <w:rsid w:val="00CC145B"/>
    <w:rsid w:val="00CC7328"/>
    <w:rsid w:val="00CD5CEC"/>
    <w:rsid w:val="00CD6003"/>
    <w:rsid w:val="00CD70C0"/>
    <w:rsid w:val="00CE14E8"/>
    <w:rsid w:val="00CE3BBC"/>
    <w:rsid w:val="00CE57B1"/>
    <w:rsid w:val="00CE5EB2"/>
    <w:rsid w:val="00CE6820"/>
    <w:rsid w:val="00CF10E3"/>
    <w:rsid w:val="00CF2F50"/>
    <w:rsid w:val="00CF6044"/>
    <w:rsid w:val="00CF63C0"/>
    <w:rsid w:val="00D026CE"/>
    <w:rsid w:val="00D105BF"/>
    <w:rsid w:val="00D17136"/>
    <w:rsid w:val="00D22EC5"/>
    <w:rsid w:val="00D244AE"/>
    <w:rsid w:val="00D256B0"/>
    <w:rsid w:val="00D256B9"/>
    <w:rsid w:val="00D30242"/>
    <w:rsid w:val="00D302BC"/>
    <w:rsid w:val="00D3075B"/>
    <w:rsid w:val="00D40CE8"/>
    <w:rsid w:val="00D419E5"/>
    <w:rsid w:val="00D41FF8"/>
    <w:rsid w:val="00D427A3"/>
    <w:rsid w:val="00D429E1"/>
    <w:rsid w:val="00D42AF5"/>
    <w:rsid w:val="00D44321"/>
    <w:rsid w:val="00D528BE"/>
    <w:rsid w:val="00D5437E"/>
    <w:rsid w:val="00D564BE"/>
    <w:rsid w:val="00D6308A"/>
    <w:rsid w:val="00D63563"/>
    <w:rsid w:val="00D6415D"/>
    <w:rsid w:val="00D737EE"/>
    <w:rsid w:val="00D77616"/>
    <w:rsid w:val="00D829E1"/>
    <w:rsid w:val="00D83325"/>
    <w:rsid w:val="00D914BC"/>
    <w:rsid w:val="00D95F56"/>
    <w:rsid w:val="00D96E75"/>
    <w:rsid w:val="00DA1F21"/>
    <w:rsid w:val="00DA40F0"/>
    <w:rsid w:val="00DA5FEF"/>
    <w:rsid w:val="00DA654C"/>
    <w:rsid w:val="00DB05F4"/>
    <w:rsid w:val="00DB12F1"/>
    <w:rsid w:val="00DB4B6E"/>
    <w:rsid w:val="00DB55C5"/>
    <w:rsid w:val="00DC1A2B"/>
    <w:rsid w:val="00DC3131"/>
    <w:rsid w:val="00DC7D24"/>
    <w:rsid w:val="00DD372B"/>
    <w:rsid w:val="00DD3BFD"/>
    <w:rsid w:val="00DD4E06"/>
    <w:rsid w:val="00DE14B0"/>
    <w:rsid w:val="00DE658E"/>
    <w:rsid w:val="00DF435E"/>
    <w:rsid w:val="00DF4FB9"/>
    <w:rsid w:val="00DF79D3"/>
    <w:rsid w:val="00E00624"/>
    <w:rsid w:val="00E007FE"/>
    <w:rsid w:val="00E03F54"/>
    <w:rsid w:val="00E03F9B"/>
    <w:rsid w:val="00E05D0E"/>
    <w:rsid w:val="00E05EBC"/>
    <w:rsid w:val="00E106C9"/>
    <w:rsid w:val="00E11011"/>
    <w:rsid w:val="00E11D52"/>
    <w:rsid w:val="00E1521A"/>
    <w:rsid w:val="00E152C6"/>
    <w:rsid w:val="00E2245F"/>
    <w:rsid w:val="00E2353A"/>
    <w:rsid w:val="00E265CF"/>
    <w:rsid w:val="00E273F9"/>
    <w:rsid w:val="00E3012C"/>
    <w:rsid w:val="00E30E6D"/>
    <w:rsid w:val="00E314C7"/>
    <w:rsid w:val="00E31AE3"/>
    <w:rsid w:val="00E3212A"/>
    <w:rsid w:val="00E329A7"/>
    <w:rsid w:val="00E33761"/>
    <w:rsid w:val="00E35D22"/>
    <w:rsid w:val="00E364EE"/>
    <w:rsid w:val="00E47194"/>
    <w:rsid w:val="00E50E06"/>
    <w:rsid w:val="00E53469"/>
    <w:rsid w:val="00E57E9B"/>
    <w:rsid w:val="00E60620"/>
    <w:rsid w:val="00E60871"/>
    <w:rsid w:val="00E6096F"/>
    <w:rsid w:val="00E62BCD"/>
    <w:rsid w:val="00E65595"/>
    <w:rsid w:val="00E70DFB"/>
    <w:rsid w:val="00E73A85"/>
    <w:rsid w:val="00E73FA8"/>
    <w:rsid w:val="00E741B4"/>
    <w:rsid w:val="00E82BC4"/>
    <w:rsid w:val="00E83124"/>
    <w:rsid w:val="00E90931"/>
    <w:rsid w:val="00E976F7"/>
    <w:rsid w:val="00EA3B95"/>
    <w:rsid w:val="00EA6750"/>
    <w:rsid w:val="00EA67DA"/>
    <w:rsid w:val="00EB2438"/>
    <w:rsid w:val="00EB6C09"/>
    <w:rsid w:val="00EC17B6"/>
    <w:rsid w:val="00EC3382"/>
    <w:rsid w:val="00EC5256"/>
    <w:rsid w:val="00ED223D"/>
    <w:rsid w:val="00ED3B35"/>
    <w:rsid w:val="00ED4216"/>
    <w:rsid w:val="00EE1D8C"/>
    <w:rsid w:val="00EE4835"/>
    <w:rsid w:val="00EE593E"/>
    <w:rsid w:val="00EF3040"/>
    <w:rsid w:val="00EF4608"/>
    <w:rsid w:val="00EF5D89"/>
    <w:rsid w:val="00EF6A3E"/>
    <w:rsid w:val="00EF7B98"/>
    <w:rsid w:val="00F00CF5"/>
    <w:rsid w:val="00F01DAB"/>
    <w:rsid w:val="00F03200"/>
    <w:rsid w:val="00F10083"/>
    <w:rsid w:val="00F14715"/>
    <w:rsid w:val="00F158AE"/>
    <w:rsid w:val="00F16F20"/>
    <w:rsid w:val="00F2607C"/>
    <w:rsid w:val="00F26193"/>
    <w:rsid w:val="00F31716"/>
    <w:rsid w:val="00F3340F"/>
    <w:rsid w:val="00F3587E"/>
    <w:rsid w:val="00F4155D"/>
    <w:rsid w:val="00F44347"/>
    <w:rsid w:val="00F445B4"/>
    <w:rsid w:val="00F50FD2"/>
    <w:rsid w:val="00F54A25"/>
    <w:rsid w:val="00F674A0"/>
    <w:rsid w:val="00F709C6"/>
    <w:rsid w:val="00F7150B"/>
    <w:rsid w:val="00F71A18"/>
    <w:rsid w:val="00F72113"/>
    <w:rsid w:val="00F73527"/>
    <w:rsid w:val="00F77B32"/>
    <w:rsid w:val="00F80E0D"/>
    <w:rsid w:val="00F846F2"/>
    <w:rsid w:val="00F856BE"/>
    <w:rsid w:val="00F8605A"/>
    <w:rsid w:val="00F862B0"/>
    <w:rsid w:val="00F94EDD"/>
    <w:rsid w:val="00F957CC"/>
    <w:rsid w:val="00FA5AAF"/>
    <w:rsid w:val="00FA7C74"/>
    <w:rsid w:val="00FB2FBC"/>
    <w:rsid w:val="00FB3BCE"/>
    <w:rsid w:val="00FB410C"/>
    <w:rsid w:val="00FB6460"/>
    <w:rsid w:val="00FB7341"/>
    <w:rsid w:val="00FC4574"/>
    <w:rsid w:val="00FC73E2"/>
    <w:rsid w:val="00FD17E3"/>
    <w:rsid w:val="00FD55C2"/>
    <w:rsid w:val="00FE0687"/>
    <w:rsid w:val="00FE0EA7"/>
    <w:rsid w:val="00FE4559"/>
    <w:rsid w:val="00FF1233"/>
    <w:rsid w:val="00FF1595"/>
    <w:rsid w:val="00FF3CD7"/>
    <w:rsid w:val="00FF5F7A"/>
    <w:rsid w:val="00FF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BCF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qFormat="1"/>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2B"/>
    <w:pPr>
      <w:tabs>
        <w:tab w:val="left" w:pos="1152"/>
      </w:tabs>
      <w:spacing w:line="276" w:lineRule="auto"/>
      <w:jc w:val="both"/>
    </w:pPr>
    <w:rPr>
      <w:sz w:val="22"/>
      <w:szCs w:val="22"/>
    </w:rPr>
  </w:style>
  <w:style w:type="paragraph" w:styleId="Heading1">
    <w:name w:val="heading 1"/>
    <w:aliases w:val="H1-Chap. Head,H1-Sec.Head"/>
    <w:basedOn w:val="Normal"/>
    <w:link w:val="Heading1Char"/>
    <w:qFormat/>
    <w:rsid w:val="00DD372B"/>
    <w:pPr>
      <w:keepNext/>
      <w:spacing w:line="360" w:lineRule="atLeast"/>
      <w:ind w:left="720" w:hanging="720"/>
      <w:outlineLvl w:val="0"/>
    </w:pPr>
    <w:rPr>
      <w:b/>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DD372B"/>
    <w:rPr>
      <w:b/>
      <w:sz w:val="22"/>
      <w:szCs w:val="22"/>
    </w:rPr>
  </w:style>
  <w:style w:type="paragraph" w:customStyle="1" w:styleId="L1-FlLSp12">
    <w:name w:val="L1-FlL Sp&amp;1/2"/>
    <w:basedOn w:val="Normal"/>
    <w:link w:val="L1-FlLSp12Char"/>
    <w:rsid w:val="00271489"/>
    <w:pPr>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uiPriority w:val="99"/>
    <w:rsid w:val="00271489"/>
  </w:style>
  <w:style w:type="character" w:customStyle="1" w:styleId="FooterChar">
    <w:name w:val="Footer Char"/>
    <w:link w:val="Footer"/>
    <w:uiPriority w:val="99"/>
    <w:rsid w:val="00271489"/>
    <w:rPr>
      <w:rFonts w:ascii="Garamond" w:hAnsi="Garamond"/>
      <w:sz w:val="24"/>
    </w:rPr>
  </w:style>
  <w:style w:type="paragraph" w:styleId="FootnoteText">
    <w:name w:val="footnote text"/>
    <w:aliases w:val="F1,Footnote Text Char Char,Footnote Text2,F,*Footnote Text,Footnote Text ERA,Footnote Text ERA1,Footnote Text ERA2,Footnote Text ERA11,Footnote Text ERA3,Footnote Text ERA12,Footnote Text ERA21,Footnote Text ERA111,Footnote Text ERA4"/>
    <w:link w:val="FootnoteTextChar"/>
    <w:qFormat/>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Footnote Text Char,Footnote Text ERA Char,Footnote Text ERA1 Char,Footnote Text ERA2 Char,Footnote Text ERA11 Char,Footnote Text ERA3 Char,Footnote Text ERA12 Char"/>
    <w:link w:val="FootnoteText"/>
    <w:rsid w:val="00271489"/>
    <w:rPr>
      <w:rFonts w:ascii="Garamond" w:hAnsi="Garamond"/>
    </w:rPr>
  </w:style>
  <w:style w:type="paragraph" w:styleId="Header">
    <w:name w:val="header"/>
    <w:basedOn w:val="Normal"/>
    <w:link w:val="HeaderChar"/>
    <w:uiPriority w:val="99"/>
    <w:rsid w:val="00271489"/>
    <w:rPr>
      <w:sz w:val="20"/>
    </w:rPr>
  </w:style>
  <w:style w:type="character" w:customStyle="1" w:styleId="HeaderChar">
    <w:name w:val="Header Char"/>
    <w:link w:val="Header"/>
    <w:uiPriority w:val="99"/>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ind w:left="1152" w:right="1152"/>
    </w:pPr>
  </w:style>
  <w:style w:type="paragraph" w:customStyle="1" w:styleId="N8-QxQBlock">
    <w:name w:val="N8-QxQ Block"/>
    <w:basedOn w:val="Normal"/>
    <w:rsid w:val="00271489"/>
    <w:pPr>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style>
  <w:style w:type="paragraph" w:styleId="TOC3">
    <w:name w:val="toc 3"/>
    <w:basedOn w:val="Normal"/>
    <w:uiPriority w:val="39"/>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link w:val="TT-TableTitleChar"/>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qFormat/>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iPriority w:val="99"/>
    <w:semiHidden/>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89"/>
    <w:rPr>
      <w:rFonts w:ascii="Tahoma" w:hAnsi="Tahoma" w:cs="Tahoma"/>
      <w:sz w:val="16"/>
      <w:szCs w:val="16"/>
    </w:rPr>
  </w:style>
  <w:style w:type="character" w:styleId="FootnoteReference">
    <w:name w:val="footnote reference"/>
    <w:aliases w:val="*Footnote Reference"/>
    <w:basedOn w:val="DefaultParagraphFont"/>
    <w:uiPriority w:val="99"/>
    <w:unhideWhenUsed/>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rsid w:val="007C2CD6"/>
    <w:pPr>
      <w:spacing w:line="260" w:lineRule="exact"/>
    </w:pPr>
    <w:rPr>
      <w:rFonts w:ascii="Franklin Gothic Medium" w:hAnsi="Franklin Gothic Medium"/>
      <w:color w:val="003C79"/>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link w:val="ListParagraphChar"/>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5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3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eastAsia="Calibri"/>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link w:val="NormalSSChar"/>
    <w:qFormat/>
    <w:rsid w:val="00271489"/>
    <w:pPr>
      <w:tabs>
        <w:tab w:val="left" w:pos="432"/>
      </w:tabs>
      <w:spacing w:line="240" w:lineRule="auto"/>
      <w:ind w:firstLine="432"/>
    </w:pPr>
    <w:rPr>
      <w:szCs w:val="24"/>
    </w:rPr>
  </w:style>
  <w:style w:type="character" w:customStyle="1" w:styleId="TT-TableTitleChar">
    <w:name w:val="TT-Table Title Char"/>
    <w:basedOn w:val="DefaultParagraphFont"/>
    <w:link w:val="TT-TableTitle"/>
    <w:locked/>
    <w:rsid w:val="00490145"/>
    <w:rPr>
      <w:rFonts w:ascii="Franklin Gothic Medium" w:hAnsi="Franklin Gothic Medium"/>
      <w:sz w:val="22"/>
    </w:rPr>
  </w:style>
  <w:style w:type="table" w:customStyle="1" w:styleId="16-531">
    <w:name w:val="16-531"/>
    <w:basedOn w:val="TableNormal"/>
    <w:uiPriority w:val="99"/>
    <w:rsid w:val="00490145"/>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color w:val="auto"/>
      </w:rPr>
      <w:tblPr/>
      <w:tcPr>
        <w:tcBorders>
          <w:top w:val="single" w:sz="12" w:space="0" w:color="auto"/>
          <w:left w:val="single" w:sz="6" w:space="0" w:color="auto"/>
          <w:bottom w:val="single" w:sz="6" w:space="0" w:color="auto"/>
          <w:right w:val="single" w:sz="6" w:space="0" w:color="auto"/>
          <w:insideH w:val="single" w:sz="6" w:space="0" w:color="auto"/>
          <w:insideV w:val="single" w:sz="18" w:space="0" w:color="FFFFFF" w:themeColor="background1"/>
          <w:tl2br w:val="nil"/>
          <w:tr2bl w:val="nil"/>
        </w:tcBorders>
        <w:shd w:val="clear" w:color="auto" w:fill="E39B30"/>
      </w:tcPr>
    </w:tblStylePr>
  </w:style>
  <w:style w:type="paragraph" w:customStyle="1" w:styleId="Bullet3">
    <w:name w:val="Bullet 3"/>
    <w:basedOn w:val="Normal"/>
    <w:rsid w:val="001160BD"/>
    <w:pPr>
      <w:numPr>
        <w:ilvl w:val="2"/>
        <w:numId w:val="26"/>
      </w:numPr>
      <w:spacing w:after="120" w:line="240" w:lineRule="auto"/>
      <w:ind w:right="1440"/>
    </w:pPr>
    <w:rPr>
      <w:position w:val="2"/>
      <w:szCs w:val="24"/>
    </w:rPr>
  </w:style>
  <w:style w:type="paragraph" w:customStyle="1" w:styleId="Bullet4">
    <w:name w:val="Bullet 4"/>
    <w:basedOn w:val="Normal"/>
    <w:rsid w:val="001160BD"/>
    <w:pPr>
      <w:numPr>
        <w:ilvl w:val="3"/>
        <w:numId w:val="26"/>
      </w:numPr>
      <w:spacing w:after="120" w:line="240" w:lineRule="auto"/>
      <w:ind w:right="1440"/>
    </w:pPr>
    <w:rPr>
      <w:position w:val="8"/>
      <w:szCs w:val="24"/>
    </w:rPr>
  </w:style>
  <w:style w:type="paragraph" w:customStyle="1" w:styleId="bullet2">
    <w:name w:val="bullet 2"/>
    <w:basedOn w:val="Normal"/>
    <w:rsid w:val="001160BD"/>
    <w:pPr>
      <w:numPr>
        <w:ilvl w:val="1"/>
        <w:numId w:val="26"/>
      </w:numPr>
      <w:spacing w:after="120" w:line="240" w:lineRule="auto"/>
      <w:ind w:right="1440"/>
    </w:pPr>
    <w:rPr>
      <w:position w:val="6"/>
      <w:szCs w:val="24"/>
    </w:rPr>
  </w:style>
  <w:style w:type="paragraph" w:customStyle="1" w:styleId="bullet1">
    <w:name w:val="bullet 1"/>
    <w:link w:val="bullet1Char"/>
    <w:rsid w:val="001160BD"/>
    <w:pPr>
      <w:numPr>
        <w:numId w:val="26"/>
      </w:numPr>
      <w:spacing w:after="120"/>
      <w:ind w:right="720"/>
    </w:pPr>
    <w:rPr>
      <w:sz w:val="24"/>
    </w:rPr>
  </w:style>
  <w:style w:type="character" w:customStyle="1" w:styleId="bullet1Char">
    <w:name w:val="bullet 1 Char"/>
    <w:basedOn w:val="DefaultParagraphFont"/>
    <w:link w:val="bullet1"/>
    <w:locked/>
    <w:rsid w:val="001160BD"/>
    <w:rPr>
      <w:sz w:val="24"/>
    </w:rPr>
  </w:style>
  <w:style w:type="character" w:customStyle="1" w:styleId="ListParagraphChar">
    <w:name w:val="List Paragraph Char"/>
    <w:link w:val="ListParagraph"/>
    <w:uiPriority w:val="34"/>
    <w:locked/>
    <w:rsid w:val="000E47DE"/>
    <w:rPr>
      <w:rFonts w:ascii="Garamond" w:hAnsi="Garamond"/>
      <w:sz w:val="24"/>
    </w:rPr>
  </w:style>
  <w:style w:type="table" w:customStyle="1" w:styleId="TableGrid1">
    <w:name w:val="Table Grid1"/>
    <w:basedOn w:val="TableNormal"/>
    <w:next w:val="TableGrid"/>
    <w:uiPriority w:val="59"/>
    <w:rsid w:val="000E47DE"/>
    <w:pPr>
      <w:spacing w:line="36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uiPriority w:val="99"/>
    <w:rsid w:val="00E273F9"/>
    <w:pPr>
      <w:tabs>
        <w:tab w:val="right" w:pos="8914"/>
      </w:tabs>
      <w:spacing w:after="230" w:line="240" w:lineRule="auto"/>
      <w:ind w:firstLine="720"/>
    </w:pPr>
    <w:rPr>
      <w:sz w:val="23"/>
      <w:szCs w:val="24"/>
    </w:rPr>
  </w:style>
  <w:style w:type="character" w:customStyle="1" w:styleId="NormalSSChar">
    <w:name w:val="NormalSS Char"/>
    <w:link w:val="NormalSS"/>
    <w:locked/>
    <w:rsid w:val="00F00CF5"/>
    <w:rPr>
      <w:sz w:val="24"/>
      <w:szCs w:val="24"/>
    </w:rPr>
  </w:style>
  <w:style w:type="paragraph" w:customStyle="1" w:styleId="BulletBlue">
    <w:name w:val="Bullet_Blue"/>
    <w:basedOn w:val="Normal"/>
    <w:rsid w:val="00DF4FB9"/>
    <w:pPr>
      <w:numPr>
        <w:numId w:val="35"/>
      </w:numPr>
      <w:tabs>
        <w:tab w:val="left" w:pos="360"/>
      </w:tabs>
      <w:spacing w:after="120" w:line="240" w:lineRule="auto"/>
      <w:ind w:right="360"/>
    </w:pPr>
    <w:rPr>
      <w:szCs w:val="24"/>
    </w:rPr>
  </w:style>
  <w:style w:type="paragraph" w:customStyle="1" w:styleId="BulletBlueLastSS">
    <w:name w:val="Bullet_Blue (Last SS)"/>
    <w:basedOn w:val="Normal"/>
    <w:next w:val="NormalSS"/>
    <w:rsid w:val="00DF4FB9"/>
    <w:pPr>
      <w:numPr>
        <w:numId w:val="36"/>
      </w:numPr>
      <w:tabs>
        <w:tab w:val="left" w:pos="360"/>
      </w:tabs>
      <w:spacing w:after="240" w:line="240" w:lineRule="auto"/>
      <w:ind w:right="360"/>
    </w:pPr>
    <w:rPr>
      <w:szCs w:val="24"/>
    </w:rPr>
  </w:style>
  <w:style w:type="paragraph" w:customStyle="1" w:styleId="BulletBlack">
    <w:name w:val="Bullet_Black"/>
    <w:basedOn w:val="Normal"/>
    <w:qFormat/>
    <w:rsid w:val="00C8368A"/>
    <w:pPr>
      <w:numPr>
        <w:numId w:val="41"/>
      </w:numPr>
      <w:tabs>
        <w:tab w:val="left" w:pos="360"/>
      </w:tabs>
      <w:spacing w:after="120" w:line="240" w:lineRule="auto"/>
      <w:ind w:left="720" w:right="360" w:hanging="288"/>
    </w:pPr>
    <w:rPr>
      <w:szCs w:val="24"/>
    </w:rPr>
  </w:style>
  <w:style w:type="paragraph" w:customStyle="1" w:styleId="ParagraphLAST">
    <w:name w:val="Paragraph (LAST)"/>
    <w:basedOn w:val="Normal"/>
    <w:next w:val="Normal"/>
    <w:uiPriority w:val="99"/>
    <w:qFormat/>
    <w:rsid w:val="003B1C13"/>
    <w:pPr>
      <w:tabs>
        <w:tab w:val="clear" w:pos="1152"/>
        <w:tab w:val="left" w:pos="432"/>
      </w:tabs>
      <w:spacing w:after="240" w:line="480" w:lineRule="auto"/>
      <w:ind w:firstLine="432"/>
    </w:pPr>
    <w:rPr>
      <w:rFonts w:ascii="Garamond" w:hAnsi="Garamond"/>
      <w:sz w:val="24"/>
      <w:szCs w:val="24"/>
    </w:rPr>
  </w:style>
  <w:style w:type="paragraph" w:customStyle="1" w:styleId="bulletnumbered1">
    <w:name w:val="bullet numbered 1"/>
    <w:basedOn w:val="Normal"/>
    <w:rsid w:val="000468CC"/>
    <w:pPr>
      <w:numPr>
        <w:numId w:val="49"/>
      </w:numPr>
      <w:tabs>
        <w:tab w:val="clear" w:pos="720"/>
        <w:tab w:val="clear" w:pos="1152"/>
        <w:tab w:val="num" w:pos="360"/>
      </w:tabs>
      <w:spacing w:after="120" w:line="240" w:lineRule="auto"/>
      <w:ind w:right="720" w:hanging="360"/>
      <w:jc w:val="left"/>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qFormat="1"/>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72B"/>
    <w:pPr>
      <w:tabs>
        <w:tab w:val="left" w:pos="1152"/>
      </w:tabs>
      <w:spacing w:line="276" w:lineRule="auto"/>
      <w:jc w:val="both"/>
    </w:pPr>
    <w:rPr>
      <w:sz w:val="22"/>
      <w:szCs w:val="22"/>
    </w:rPr>
  </w:style>
  <w:style w:type="paragraph" w:styleId="Heading1">
    <w:name w:val="heading 1"/>
    <w:aliases w:val="H1-Chap. Head,H1-Sec.Head"/>
    <w:basedOn w:val="Normal"/>
    <w:link w:val="Heading1Char"/>
    <w:qFormat/>
    <w:rsid w:val="00DD372B"/>
    <w:pPr>
      <w:keepNext/>
      <w:spacing w:line="360" w:lineRule="atLeast"/>
      <w:ind w:left="720" w:hanging="720"/>
      <w:outlineLvl w:val="0"/>
    </w:pPr>
    <w:rPr>
      <w:b/>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DD372B"/>
    <w:rPr>
      <w:b/>
      <w:sz w:val="22"/>
      <w:szCs w:val="22"/>
    </w:rPr>
  </w:style>
  <w:style w:type="paragraph" w:customStyle="1" w:styleId="L1-FlLSp12">
    <w:name w:val="L1-FlL Sp&amp;1/2"/>
    <w:basedOn w:val="Normal"/>
    <w:link w:val="L1-FlLSp12Char"/>
    <w:rsid w:val="00271489"/>
    <w:pPr>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uiPriority w:val="99"/>
    <w:rsid w:val="00271489"/>
  </w:style>
  <w:style w:type="character" w:customStyle="1" w:styleId="FooterChar">
    <w:name w:val="Footer Char"/>
    <w:link w:val="Footer"/>
    <w:uiPriority w:val="99"/>
    <w:rsid w:val="00271489"/>
    <w:rPr>
      <w:rFonts w:ascii="Garamond" w:hAnsi="Garamond"/>
      <w:sz w:val="24"/>
    </w:rPr>
  </w:style>
  <w:style w:type="paragraph" w:styleId="FootnoteText">
    <w:name w:val="footnote text"/>
    <w:aliases w:val="F1,Footnote Text Char Char,Footnote Text2,F,*Footnote Text,Footnote Text ERA,Footnote Text ERA1,Footnote Text ERA2,Footnote Text ERA11,Footnote Text ERA3,Footnote Text ERA12,Footnote Text ERA21,Footnote Text ERA111,Footnote Text ERA4"/>
    <w:link w:val="FootnoteTextChar"/>
    <w:qFormat/>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Footnote Text Char,Footnote Text ERA Char,Footnote Text ERA1 Char,Footnote Text ERA2 Char,Footnote Text ERA11 Char,Footnote Text ERA3 Char,Footnote Text ERA12 Char"/>
    <w:link w:val="FootnoteText"/>
    <w:rsid w:val="00271489"/>
    <w:rPr>
      <w:rFonts w:ascii="Garamond" w:hAnsi="Garamond"/>
    </w:rPr>
  </w:style>
  <w:style w:type="paragraph" w:styleId="Header">
    <w:name w:val="header"/>
    <w:basedOn w:val="Normal"/>
    <w:link w:val="HeaderChar"/>
    <w:uiPriority w:val="99"/>
    <w:rsid w:val="00271489"/>
    <w:rPr>
      <w:sz w:val="20"/>
    </w:rPr>
  </w:style>
  <w:style w:type="character" w:customStyle="1" w:styleId="HeaderChar">
    <w:name w:val="Header Char"/>
    <w:link w:val="Header"/>
    <w:uiPriority w:val="99"/>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ind w:left="1152" w:right="1152"/>
    </w:pPr>
  </w:style>
  <w:style w:type="paragraph" w:customStyle="1" w:styleId="N8-QxQBlock">
    <w:name w:val="N8-QxQ Block"/>
    <w:basedOn w:val="Normal"/>
    <w:rsid w:val="00271489"/>
    <w:pPr>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style>
  <w:style w:type="paragraph" w:styleId="TOC3">
    <w:name w:val="toc 3"/>
    <w:basedOn w:val="Normal"/>
    <w:uiPriority w:val="39"/>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link w:val="TT-TableTitleChar"/>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qFormat/>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iPriority w:val="99"/>
    <w:semiHidden/>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89"/>
    <w:rPr>
      <w:rFonts w:ascii="Tahoma" w:hAnsi="Tahoma" w:cs="Tahoma"/>
      <w:sz w:val="16"/>
      <w:szCs w:val="16"/>
    </w:rPr>
  </w:style>
  <w:style w:type="character" w:styleId="FootnoteReference">
    <w:name w:val="footnote reference"/>
    <w:aliases w:val="*Footnote Reference"/>
    <w:basedOn w:val="DefaultParagraphFont"/>
    <w:uiPriority w:val="99"/>
    <w:unhideWhenUsed/>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rsid w:val="007C2CD6"/>
    <w:pPr>
      <w:spacing w:line="260" w:lineRule="exact"/>
    </w:pPr>
    <w:rPr>
      <w:rFonts w:ascii="Franklin Gothic Medium" w:hAnsi="Franklin Gothic Medium"/>
      <w:color w:val="003C79"/>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link w:val="ListParagraphChar"/>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5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3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eastAsia="Calibri"/>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link w:val="NormalSSChar"/>
    <w:qFormat/>
    <w:rsid w:val="00271489"/>
    <w:pPr>
      <w:tabs>
        <w:tab w:val="left" w:pos="432"/>
      </w:tabs>
      <w:spacing w:line="240" w:lineRule="auto"/>
      <w:ind w:firstLine="432"/>
    </w:pPr>
    <w:rPr>
      <w:szCs w:val="24"/>
    </w:rPr>
  </w:style>
  <w:style w:type="character" w:customStyle="1" w:styleId="TT-TableTitleChar">
    <w:name w:val="TT-Table Title Char"/>
    <w:basedOn w:val="DefaultParagraphFont"/>
    <w:link w:val="TT-TableTitle"/>
    <w:locked/>
    <w:rsid w:val="00490145"/>
    <w:rPr>
      <w:rFonts w:ascii="Franklin Gothic Medium" w:hAnsi="Franklin Gothic Medium"/>
      <w:sz w:val="22"/>
    </w:rPr>
  </w:style>
  <w:style w:type="table" w:customStyle="1" w:styleId="16-531">
    <w:name w:val="16-531"/>
    <w:basedOn w:val="TableNormal"/>
    <w:uiPriority w:val="99"/>
    <w:rsid w:val="00490145"/>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color w:val="auto"/>
      </w:rPr>
      <w:tblPr/>
      <w:tcPr>
        <w:tcBorders>
          <w:top w:val="single" w:sz="12" w:space="0" w:color="auto"/>
          <w:left w:val="single" w:sz="6" w:space="0" w:color="auto"/>
          <w:bottom w:val="single" w:sz="6" w:space="0" w:color="auto"/>
          <w:right w:val="single" w:sz="6" w:space="0" w:color="auto"/>
          <w:insideH w:val="single" w:sz="6" w:space="0" w:color="auto"/>
          <w:insideV w:val="single" w:sz="18" w:space="0" w:color="FFFFFF" w:themeColor="background1"/>
          <w:tl2br w:val="nil"/>
          <w:tr2bl w:val="nil"/>
        </w:tcBorders>
        <w:shd w:val="clear" w:color="auto" w:fill="E39B30"/>
      </w:tcPr>
    </w:tblStylePr>
  </w:style>
  <w:style w:type="paragraph" w:customStyle="1" w:styleId="Bullet3">
    <w:name w:val="Bullet 3"/>
    <w:basedOn w:val="Normal"/>
    <w:rsid w:val="001160BD"/>
    <w:pPr>
      <w:numPr>
        <w:ilvl w:val="2"/>
        <w:numId w:val="26"/>
      </w:numPr>
      <w:spacing w:after="120" w:line="240" w:lineRule="auto"/>
      <w:ind w:right="1440"/>
    </w:pPr>
    <w:rPr>
      <w:position w:val="2"/>
      <w:szCs w:val="24"/>
    </w:rPr>
  </w:style>
  <w:style w:type="paragraph" w:customStyle="1" w:styleId="Bullet4">
    <w:name w:val="Bullet 4"/>
    <w:basedOn w:val="Normal"/>
    <w:rsid w:val="001160BD"/>
    <w:pPr>
      <w:numPr>
        <w:ilvl w:val="3"/>
        <w:numId w:val="26"/>
      </w:numPr>
      <w:spacing w:after="120" w:line="240" w:lineRule="auto"/>
      <w:ind w:right="1440"/>
    </w:pPr>
    <w:rPr>
      <w:position w:val="8"/>
      <w:szCs w:val="24"/>
    </w:rPr>
  </w:style>
  <w:style w:type="paragraph" w:customStyle="1" w:styleId="bullet2">
    <w:name w:val="bullet 2"/>
    <w:basedOn w:val="Normal"/>
    <w:rsid w:val="001160BD"/>
    <w:pPr>
      <w:numPr>
        <w:ilvl w:val="1"/>
        <w:numId w:val="26"/>
      </w:numPr>
      <w:spacing w:after="120" w:line="240" w:lineRule="auto"/>
      <w:ind w:right="1440"/>
    </w:pPr>
    <w:rPr>
      <w:position w:val="6"/>
      <w:szCs w:val="24"/>
    </w:rPr>
  </w:style>
  <w:style w:type="paragraph" w:customStyle="1" w:styleId="bullet1">
    <w:name w:val="bullet 1"/>
    <w:link w:val="bullet1Char"/>
    <w:rsid w:val="001160BD"/>
    <w:pPr>
      <w:numPr>
        <w:numId w:val="26"/>
      </w:numPr>
      <w:spacing w:after="120"/>
      <w:ind w:right="720"/>
    </w:pPr>
    <w:rPr>
      <w:sz w:val="24"/>
    </w:rPr>
  </w:style>
  <w:style w:type="character" w:customStyle="1" w:styleId="bullet1Char">
    <w:name w:val="bullet 1 Char"/>
    <w:basedOn w:val="DefaultParagraphFont"/>
    <w:link w:val="bullet1"/>
    <w:locked/>
    <w:rsid w:val="001160BD"/>
    <w:rPr>
      <w:sz w:val="24"/>
    </w:rPr>
  </w:style>
  <w:style w:type="character" w:customStyle="1" w:styleId="ListParagraphChar">
    <w:name w:val="List Paragraph Char"/>
    <w:link w:val="ListParagraph"/>
    <w:uiPriority w:val="34"/>
    <w:locked/>
    <w:rsid w:val="000E47DE"/>
    <w:rPr>
      <w:rFonts w:ascii="Garamond" w:hAnsi="Garamond"/>
      <w:sz w:val="24"/>
    </w:rPr>
  </w:style>
  <w:style w:type="table" w:customStyle="1" w:styleId="TableGrid1">
    <w:name w:val="Table Grid1"/>
    <w:basedOn w:val="TableNormal"/>
    <w:next w:val="TableGrid"/>
    <w:uiPriority w:val="59"/>
    <w:rsid w:val="000E47DE"/>
    <w:pPr>
      <w:spacing w:line="36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uiPriority w:val="99"/>
    <w:rsid w:val="00E273F9"/>
    <w:pPr>
      <w:tabs>
        <w:tab w:val="right" w:pos="8914"/>
      </w:tabs>
      <w:spacing w:after="230" w:line="240" w:lineRule="auto"/>
      <w:ind w:firstLine="720"/>
    </w:pPr>
    <w:rPr>
      <w:sz w:val="23"/>
      <w:szCs w:val="24"/>
    </w:rPr>
  </w:style>
  <w:style w:type="character" w:customStyle="1" w:styleId="NormalSSChar">
    <w:name w:val="NormalSS Char"/>
    <w:link w:val="NormalSS"/>
    <w:locked/>
    <w:rsid w:val="00F00CF5"/>
    <w:rPr>
      <w:sz w:val="24"/>
      <w:szCs w:val="24"/>
    </w:rPr>
  </w:style>
  <w:style w:type="paragraph" w:customStyle="1" w:styleId="BulletBlue">
    <w:name w:val="Bullet_Blue"/>
    <w:basedOn w:val="Normal"/>
    <w:rsid w:val="00DF4FB9"/>
    <w:pPr>
      <w:numPr>
        <w:numId w:val="35"/>
      </w:numPr>
      <w:tabs>
        <w:tab w:val="left" w:pos="360"/>
      </w:tabs>
      <w:spacing w:after="120" w:line="240" w:lineRule="auto"/>
      <w:ind w:right="360"/>
    </w:pPr>
    <w:rPr>
      <w:szCs w:val="24"/>
    </w:rPr>
  </w:style>
  <w:style w:type="paragraph" w:customStyle="1" w:styleId="BulletBlueLastSS">
    <w:name w:val="Bullet_Blue (Last SS)"/>
    <w:basedOn w:val="Normal"/>
    <w:next w:val="NormalSS"/>
    <w:rsid w:val="00DF4FB9"/>
    <w:pPr>
      <w:numPr>
        <w:numId w:val="36"/>
      </w:numPr>
      <w:tabs>
        <w:tab w:val="left" w:pos="360"/>
      </w:tabs>
      <w:spacing w:after="240" w:line="240" w:lineRule="auto"/>
      <w:ind w:right="360"/>
    </w:pPr>
    <w:rPr>
      <w:szCs w:val="24"/>
    </w:rPr>
  </w:style>
  <w:style w:type="paragraph" w:customStyle="1" w:styleId="BulletBlack">
    <w:name w:val="Bullet_Black"/>
    <w:basedOn w:val="Normal"/>
    <w:qFormat/>
    <w:rsid w:val="00C8368A"/>
    <w:pPr>
      <w:numPr>
        <w:numId w:val="41"/>
      </w:numPr>
      <w:tabs>
        <w:tab w:val="left" w:pos="360"/>
      </w:tabs>
      <w:spacing w:after="120" w:line="240" w:lineRule="auto"/>
      <w:ind w:left="720" w:right="360" w:hanging="288"/>
    </w:pPr>
    <w:rPr>
      <w:szCs w:val="24"/>
    </w:rPr>
  </w:style>
  <w:style w:type="paragraph" w:customStyle="1" w:styleId="ParagraphLAST">
    <w:name w:val="Paragraph (LAST)"/>
    <w:basedOn w:val="Normal"/>
    <w:next w:val="Normal"/>
    <w:uiPriority w:val="99"/>
    <w:qFormat/>
    <w:rsid w:val="003B1C13"/>
    <w:pPr>
      <w:tabs>
        <w:tab w:val="clear" w:pos="1152"/>
        <w:tab w:val="left" w:pos="432"/>
      </w:tabs>
      <w:spacing w:after="240" w:line="480" w:lineRule="auto"/>
      <w:ind w:firstLine="432"/>
    </w:pPr>
    <w:rPr>
      <w:rFonts w:ascii="Garamond" w:hAnsi="Garamond"/>
      <w:sz w:val="24"/>
      <w:szCs w:val="24"/>
    </w:rPr>
  </w:style>
  <w:style w:type="paragraph" w:customStyle="1" w:styleId="bulletnumbered1">
    <w:name w:val="bullet numbered 1"/>
    <w:basedOn w:val="Normal"/>
    <w:rsid w:val="000468CC"/>
    <w:pPr>
      <w:numPr>
        <w:numId w:val="49"/>
      </w:numPr>
      <w:tabs>
        <w:tab w:val="clear" w:pos="720"/>
        <w:tab w:val="clear" w:pos="1152"/>
        <w:tab w:val="num" w:pos="360"/>
      </w:tabs>
      <w:spacing w:after="120" w:line="240" w:lineRule="auto"/>
      <w:ind w:right="720" w:hanging="360"/>
      <w:jc w:val="left"/>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6210">
      <w:bodyDiv w:val="1"/>
      <w:marLeft w:val="0"/>
      <w:marRight w:val="0"/>
      <w:marTop w:val="0"/>
      <w:marBottom w:val="0"/>
      <w:divBdr>
        <w:top w:val="none" w:sz="0" w:space="0" w:color="auto"/>
        <w:left w:val="none" w:sz="0" w:space="0" w:color="auto"/>
        <w:bottom w:val="none" w:sz="0" w:space="0" w:color="auto"/>
        <w:right w:val="none" w:sz="0" w:space="0" w:color="auto"/>
      </w:divBdr>
    </w:div>
    <w:div w:id="298849846">
      <w:bodyDiv w:val="1"/>
      <w:marLeft w:val="0"/>
      <w:marRight w:val="0"/>
      <w:marTop w:val="0"/>
      <w:marBottom w:val="0"/>
      <w:divBdr>
        <w:top w:val="none" w:sz="0" w:space="0" w:color="auto"/>
        <w:left w:val="none" w:sz="0" w:space="0" w:color="auto"/>
        <w:bottom w:val="none" w:sz="0" w:space="0" w:color="auto"/>
        <w:right w:val="none" w:sz="0" w:space="0" w:color="auto"/>
      </w:divBdr>
    </w:div>
    <w:div w:id="354163206">
      <w:bodyDiv w:val="1"/>
      <w:marLeft w:val="0"/>
      <w:marRight w:val="0"/>
      <w:marTop w:val="0"/>
      <w:marBottom w:val="0"/>
      <w:divBdr>
        <w:top w:val="none" w:sz="0" w:space="0" w:color="auto"/>
        <w:left w:val="none" w:sz="0" w:space="0" w:color="auto"/>
        <w:bottom w:val="none" w:sz="0" w:space="0" w:color="auto"/>
        <w:right w:val="none" w:sz="0" w:space="0" w:color="auto"/>
      </w:divBdr>
      <w:divsChild>
        <w:div w:id="886531577">
          <w:marLeft w:val="0"/>
          <w:marRight w:val="0"/>
          <w:marTop w:val="0"/>
          <w:marBottom w:val="0"/>
          <w:divBdr>
            <w:top w:val="none" w:sz="0" w:space="0" w:color="auto"/>
            <w:left w:val="none" w:sz="0" w:space="0" w:color="auto"/>
            <w:bottom w:val="none" w:sz="0" w:space="0" w:color="auto"/>
            <w:right w:val="none" w:sz="0" w:space="0" w:color="auto"/>
          </w:divBdr>
          <w:divsChild>
            <w:div w:id="662782712">
              <w:marLeft w:val="0"/>
              <w:marRight w:val="0"/>
              <w:marTop w:val="0"/>
              <w:marBottom w:val="0"/>
              <w:divBdr>
                <w:top w:val="none" w:sz="0" w:space="0" w:color="auto"/>
                <w:left w:val="none" w:sz="0" w:space="0" w:color="auto"/>
                <w:bottom w:val="none" w:sz="0" w:space="0" w:color="auto"/>
                <w:right w:val="none" w:sz="0" w:space="0" w:color="auto"/>
              </w:divBdr>
              <w:divsChild>
                <w:div w:id="1549609241">
                  <w:marLeft w:val="0"/>
                  <w:marRight w:val="0"/>
                  <w:marTop w:val="0"/>
                  <w:marBottom w:val="0"/>
                  <w:divBdr>
                    <w:top w:val="none" w:sz="0" w:space="0" w:color="auto"/>
                    <w:left w:val="none" w:sz="0" w:space="0" w:color="auto"/>
                    <w:bottom w:val="none" w:sz="0" w:space="0" w:color="auto"/>
                    <w:right w:val="none" w:sz="0" w:space="0" w:color="auto"/>
                  </w:divBdr>
                  <w:divsChild>
                    <w:div w:id="1588342619">
                      <w:marLeft w:val="0"/>
                      <w:marRight w:val="0"/>
                      <w:marTop w:val="0"/>
                      <w:marBottom w:val="0"/>
                      <w:divBdr>
                        <w:top w:val="none" w:sz="0" w:space="0" w:color="auto"/>
                        <w:left w:val="none" w:sz="0" w:space="0" w:color="auto"/>
                        <w:bottom w:val="none" w:sz="0" w:space="0" w:color="auto"/>
                        <w:right w:val="none" w:sz="0" w:space="0" w:color="auto"/>
                      </w:divBdr>
                      <w:divsChild>
                        <w:div w:id="940331463">
                          <w:marLeft w:val="0"/>
                          <w:marRight w:val="0"/>
                          <w:marTop w:val="0"/>
                          <w:marBottom w:val="0"/>
                          <w:divBdr>
                            <w:top w:val="none" w:sz="0" w:space="0" w:color="auto"/>
                            <w:left w:val="none" w:sz="0" w:space="0" w:color="auto"/>
                            <w:bottom w:val="none" w:sz="0" w:space="0" w:color="auto"/>
                            <w:right w:val="none" w:sz="0" w:space="0" w:color="auto"/>
                          </w:divBdr>
                          <w:divsChild>
                            <w:div w:id="6859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5996">
      <w:bodyDiv w:val="1"/>
      <w:marLeft w:val="0"/>
      <w:marRight w:val="0"/>
      <w:marTop w:val="0"/>
      <w:marBottom w:val="0"/>
      <w:divBdr>
        <w:top w:val="none" w:sz="0" w:space="0" w:color="auto"/>
        <w:left w:val="none" w:sz="0" w:space="0" w:color="auto"/>
        <w:bottom w:val="none" w:sz="0" w:space="0" w:color="auto"/>
        <w:right w:val="none" w:sz="0" w:space="0" w:color="auto"/>
      </w:divBdr>
    </w:div>
    <w:div w:id="473062090">
      <w:bodyDiv w:val="1"/>
      <w:marLeft w:val="0"/>
      <w:marRight w:val="0"/>
      <w:marTop w:val="0"/>
      <w:marBottom w:val="0"/>
      <w:divBdr>
        <w:top w:val="none" w:sz="0" w:space="0" w:color="auto"/>
        <w:left w:val="none" w:sz="0" w:space="0" w:color="auto"/>
        <w:bottom w:val="none" w:sz="0" w:space="0" w:color="auto"/>
        <w:right w:val="none" w:sz="0" w:space="0" w:color="auto"/>
      </w:divBdr>
      <w:divsChild>
        <w:div w:id="245192471">
          <w:marLeft w:val="0"/>
          <w:marRight w:val="0"/>
          <w:marTop w:val="0"/>
          <w:marBottom w:val="0"/>
          <w:divBdr>
            <w:top w:val="none" w:sz="0" w:space="0" w:color="auto"/>
            <w:left w:val="none" w:sz="0" w:space="0" w:color="auto"/>
            <w:bottom w:val="none" w:sz="0" w:space="0" w:color="auto"/>
            <w:right w:val="none" w:sz="0" w:space="0" w:color="auto"/>
          </w:divBdr>
          <w:divsChild>
            <w:div w:id="1469933072">
              <w:marLeft w:val="0"/>
              <w:marRight w:val="0"/>
              <w:marTop w:val="0"/>
              <w:marBottom w:val="0"/>
              <w:divBdr>
                <w:top w:val="none" w:sz="0" w:space="0" w:color="auto"/>
                <w:left w:val="none" w:sz="0" w:space="0" w:color="auto"/>
                <w:bottom w:val="none" w:sz="0" w:space="0" w:color="auto"/>
                <w:right w:val="none" w:sz="0" w:space="0" w:color="auto"/>
              </w:divBdr>
              <w:divsChild>
                <w:div w:id="141597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8748">
      <w:bodyDiv w:val="1"/>
      <w:marLeft w:val="0"/>
      <w:marRight w:val="0"/>
      <w:marTop w:val="0"/>
      <w:marBottom w:val="0"/>
      <w:divBdr>
        <w:top w:val="none" w:sz="0" w:space="0" w:color="auto"/>
        <w:left w:val="none" w:sz="0" w:space="0" w:color="auto"/>
        <w:bottom w:val="none" w:sz="0" w:space="0" w:color="auto"/>
        <w:right w:val="none" w:sz="0" w:space="0" w:color="auto"/>
      </w:divBdr>
    </w:div>
    <w:div w:id="594745882">
      <w:bodyDiv w:val="1"/>
      <w:marLeft w:val="0"/>
      <w:marRight w:val="0"/>
      <w:marTop w:val="0"/>
      <w:marBottom w:val="0"/>
      <w:divBdr>
        <w:top w:val="none" w:sz="0" w:space="0" w:color="auto"/>
        <w:left w:val="none" w:sz="0" w:space="0" w:color="auto"/>
        <w:bottom w:val="none" w:sz="0" w:space="0" w:color="auto"/>
        <w:right w:val="none" w:sz="0" w:space="0" w:color="auto"/>
      </w:divBdr>
    </w:div>
    <w:div w:id="680858238">
      <w:bodyDiv w:val="1"/>
      <w:marLeft w:val="0"/>
      <w:marRight w:val="0"/>
      <w:marTop w:val="0"/>
      <w:marBottom w:val="0"/>
      <w:divBdr>
        <w:top w:val="none" w:sz="0" w:space="0" w:color="auto"/>
        <w:left w:val="none" w:sz="0" w:space="0" w:color="auto"/>
        <w:bottom w:val="none" w:sz="0" w:space="0" w:color="auto"/>
        <w:right w:val="none" w:sz="0" w:space="0" w:color="auto"/>
      </w:divBdr>
    </w:div>
    <w:div w:id="1289435292">
      <w:bodyDiv w:val="1"/>
      <w:marLeft w:val="0"/>
      <w:marRight w:val="0"/>
      <w:marTop w:val="0"/>
      <w:marBottom w:val="0"/>
      <w:divBdr>
        <w:top w:val="none" w:sz="0" w:space="0" w:color="auto"/>
        <w:left w:val="none" w:sz="0" w:space="0" w:color="auto"/>
        <w:bottom w:val="none" w:sz="0" w:space="0" w:color="auto"/>
        <w:right w:val="none" w:sz="0" w:space="0" w:color="auto"/>
      </w:divBdr>
    </w:div>
    <w:div w:id="1426540051">
      <w:bodyDiv w:val="1"/>
      <w:marLeft w:val="0"/>
      <w:marRight w:val="0"/>
      <w:marTop w:val="0"/>
      <w:marBottom w:val="0"/>
      <w:divBdr>
        <w:top w:val="none" w:sz="0" w:space="0" w:color="auto"/>
        <w:left w:val="none" w:sz="0" w:space="0" w:color="auto"/>
        <w:bottom w:val="none" w:sz="0" w:space="0" w:color="auto"/>
        <w:right w:val="none" w:sz="0" w:space="0" w:color="auto"/>
      </w:divBdr>
    </w:div>
    <w:div w:id="1439179714">
      <w:bodyDiv w:val="1"/>
      <w:marLeft w:val="0"/>
      <w:marRight w:val="0"/>
      <w:marTop w:val="0"/>
      <w:marBottom w:val="0"/>
      <w:divBdr>
        <w:top w:val="none" w:sz="0" w:space="0" w:color="auto"/>
        <w:left w:val="none" w:sz="0" w:space="0" w:color="auto"/>
        <w:bottom w:val="none" w:sz="0" w:space="0" w:color="auto"/>
        <w:right w:val="none" w:sz="0" w:space="0" w:color="auto"/>
      </w:divBdr>
      <w:divsChild>
        <w:div w:id="919024529">
          <w:marLeft w:val="0"/>
          <w:marRight w:val="0"/>
          <w:marTop w:val="0"/>
          <w:marBottom w:val="0"/>
          <w:divBdr>
            <w:top w:val="none" w:sz="0" w:space="0" w:color="auto"/>
            <w:left w:val="none" w:sz="0" w:space="0" w:color="auto"/>
            <w:bottom w:val="none" w:sz="0" w:space="0" w:color="auto"/>
            <w:right w:val="none" w:sz="0" w:space="0" w:color="auto"/>
          </w:divBdr>
          <w:divsChild>
            <w:div w:id="1950233184">
              <w:marLeft w:val="0"/>
              <w:marRight w:val="0"/>
              <w:marTop w:val="0"/>
              <w:marBottom w:val="0"/>
              <w:divBdr>
                <w:top w:val="none" w:sz="0" w:space="0" w:color="auto"/>
                <w:left w:val="none" w:sz="0" w:space="0" w:color="auto"/>
                <w:bottom w:val="none" w:sz="0" w:space="0" w:color="auto"/>
                <w:right w:val="none" w:sz="0" w:space="0" w:color="auto"/>
              </w:divBdr>
              <w:divsChild>
                <w:div w:id="1940407133">
                  <w:marLeft w:val="0"/>
                  <w:marRight w:val="0"/>
                  <w:marTop w:val="0"/>
                  <w:marBottom w:val="0"/>
                  <w:divBdr>
                    <w:top w:val="none" w:sz="0" w:space="0" w:color="auto"/>
                    <w:left w:val="none" w:sz="0" w:space="0" w:color="auto"/>
                    <w:bottom w:val="none" w:sz="0" w:space="0" w:color="auto"/>
                    <w:right w:val="none" w:sz="0" w:space="0" w:color="auto"/>
                  </w:divBdr>
                  <w:divsChild>
                    <w:div w:id="1055618940">
                      <w:marLeft w:val="0"/>
                      <w:marRight w:val="0"/>
                      <w:marTop w:val="0"/>
                      <w:marBottom w:val="0"/>
                      <w:divBdr>
                        <w:top w:val="none" w:sz="0" w:space="0" w:color="auto"/>
                        <w:left w:val="none" w:sz="0" w:space="0" w:color="auto"/>
                        <w:bottom w:val="none" w:sz="0" w:space="0" w:color="auto"/>
                        <w:right w:val="none" w:sz="0" w:space="0" w:color="auto"/>
                      </w:divBdr>
                      <w:divsChild>
                        <w:div w:id="756445157">
                          <w:marLeft w:val="0"/>
                          <w:marRight w:val="0"/>
                          <w:marTop w:val="0"/>
                          <w:marBottom w:val="0"/>
                          <w:divBdr>
                            <w:top w:val="none" w:sz="0" w:space="0" w:color="auto"/>
                            <w:left w:val="none" w:sz="0" w:space="0" w:color="auto"/>
                            <w:bottom w:val="none" w:sz="0" w:space="0" w:color="auto"/>
                            <w:right w:val="none" w:sz="0" w:space="0" w:color="auto"/>
                          </w:divBdr>
                          <w:divsChild>
                            <w:div w:id="7149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127804">
      <w:bodyDiv w:val="1"/>
      <w:marLeft w:val="0"/>
      <w:marRight w:val="0"/>
      <w:marTop w:val="0"/>
      <w:marBottom w:val="0"/>
      <w:divBdr>
        <w:top w:val="none" w:sz="0" w:space="0" w:color="auto"/>
        <w:left w:val="none" w:sz="0" w:space="0" w:color="auto"/>
        <w:bottom w:val="none" w:sz="0" w:space="0" w:color="auto"/>
        <w:right w:val="none" w:sz="0" w:space="0" w:color="auto"/>
      </w:divBdr>
    </w:div>
    <w:div w:id="21023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C2BD-99EC-434E-BFBD-F97E2F8B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2019-05-13T17:32:00Z</dcterms:created>
  <dcterms:modified xsi:type="dcterms:W3CDTF">2019-05-13T17:32:00Z</dcterms:modified>
</cp:coreProperties>
</file>