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C2A0C" w14:textId="77777777" w:rsidR="003A6EF6" w:rsidRPr="00FD10FB" w:rsidRDefault="000A13DC" w:rsidP="00FD10FB">
      <w:pPr>
        <w:jc w:val="center"/>
        <w:rPr>
          <w:b/>
        </w:rPr>
      </w:pPr>
      <w:bookmarkStart w:id="0" w:name="_GoBack"/>
      <w:bookmarkEnd w:id="0"/>
      <w:r w:rsidRPr="00FD10FB">
        <w:rPr>
          <w:b/>
        </w:rPr>
        <w:t xml:space="preserve">Justification for Non-Substantive Change to OMB </w:t>
      </w:r>
      <w:r w:rsidR="00012762" w:rsidRPr="00012762">
        <w:rPr>
          <w:b/>
        </w:rPr>
        <w:t>1290-0012</w:t>
      </w:r>
    </w:p>
    <w:p w14:paraId="60D91ED0" w14:textId="48A3DA6F" w:rsidR="0008681B" w:rsidRDefault="0008681B" w:rsidP="0002281C">
      <w:pPr>
        <w:pStyle w:val="NoSpacing"/>
      </w:pPr>
      <w:r w:rsidRPr="0008681B">
        <w:t>This memo requests a non-material change to the Paperwork Reduction Act (PRA) package previously approved by the Office of Management and B</w:t>
      </w:r>
      <w:r>
        <w:t>udget (OMB Control No. 1290-0012) for data collection from February</w:t>
      </w:r>
      <w:r w:rsidRPr="0008681B">
        <w:t xml:space="preserve"> 2017-2020.  The purpose for this request is to inclu</w:t>
      </w:r>
      <w:r>
        <w:t>de three</w:t>
      </w:r>
      <w:r w:rsidRPr="0008681B">
        <w:t xml:space="preserve"> additional sites to the approved data collection activities.</w:t>
      </w:r>
    </w:p>
    <w:p w14:paraId="564B910F" w14:textId="77777777" w:rsidR="0008681B" w:rsidRDefault="0008681B" w:rsidP="003166D3">
      <w:pPr>
        <w:pStyle w:val="NoSpacing"/>
        <w:pBdr>
          <w:bottom w:val="single" w:sz="4" w:space="1" w:color="auto"/>
        </w:pBdr>
      </w:pPr>
    </w:p>
    <w:p w14:paraId="33EAF355" w14:textId="77777777" w:rsidR="003166D3" w:rsidRDefault="003166D3" w:rsidP="003166D3">
      <w:pPr>
        <w:autoSpaceDE w:val="0"/>
        <w:autoSpaceDN w:val="0"/>
        <w:adjustRightInd w:val="0"/>
        <w:spacing w:after="0"/>
        <w:rPr>
          <w:b/>
        </w:rPr>
      </w:pPr>
    </w:p>
    <w:p w14:paraId="0D72D31A" w14:textId="2A37A613" w:rsidR="00320825" w:rsidRPr="00320825" w:rsidRDefault="00FD10FB" w:rsidP="003166D3">
      <w:pPr>
        <w:autoSpaceDE w:val="0"/>
        <w:autoSpaceDN w:val="0"/>
        <w:adjustRightInd w:val="0"/>
        <w:spacing w:after="0"/>
        <w:rPr>
          <w:b/>
        </w:rPr>
      </w:pPr>
      <w:r w:rsidRPr="00900289">
        <w:rPr>
          <w:b/>
        </w:rPr>
        <w:t>Background</w:t>
      </w:r>
    </w:p>
    <w:p w14:paraId="2563F80E" w14:textId="416A5DA0" w:rsidR="00CC1209" w:rsidRPr="003166D3" w:rsidRDefault="00320825" w:rsidP="003166D3">
      <w:pPr>
        <w:pStyle w:val="BodyText"/>
        <w:rPr>
          <w:rFonts w:asciiTheme="minorHAnsi" w:hAnsiTheme="minorHAnsi" w:cstheme="minorHAnsi"/>
        </w:rPr>
      </w:pPr>
      <w:r w:rsidRPr="00940933">
        <w:rPr>
          <w:rFonts w:asciiTheme="minorHAnsi" w:hAnsiTheme="minorHAnsi" w:cstheme="minorHAnsi"/>
        </w:rPr>
        <w:t xml:space="preserve">The Cascades Job Corps College and Career Academy </w:t>
      </w:r>
      <w:r w:rsidR="0008681B">
        <w:rPr>
          <w:rFonts w:asciiTheme="minorHAnsi" w:hAnsiTheme="minorHAnsi" w:cstheme="minorHAnsi"/>
        </w:rPr>
        <w:t xml:space="preserve">(CCCA) </w:t>
      </w:r>
      <w:r w:rsidRPr="00940933">
        <w:rPr>
          <w:rFonts w:asciiTheme="minorHAnsi" w:hAnsiTheme="minorHAnsi" w:cstheme="minorHAnsi"/>
        </w:rPr>
        <w:t xml:space="preserve">Pilot program </w:t>
      </w:r>
      <w:r w:rsidR="00F823B1">
        <w:rPr>
          <w:rFonts w:asciiTheme="minorHAnsi" w:hAnsiTheme="minorHAnsi" w:cstheme="minorHAnsi"/>
        </w:rPr>
        <w:t>is implementing</w:t>
      </w:r>
      <w:r w:rsidRPr="00940933">
        <w:rPr>
          <w:rFonts w:asciiTheme="minorHAnsi" w:hAnsiTheme="minorHAnsi" w:cstheme="minorHAnsi"/>
        </w:rPr>
        <w:t xml:space="preserve"> innovative and promising models that could improve outcomes for students; particularly youth, ages 16-21. </w:t>
      </w:r>
      <w:r w:rsidR="0008681B" w:rsidRPr="0008681B">
        <w:rPr>
          <w:rFonts w:asciiTheme="minorHAnsi" w:hAnsiTheme="minorHAnsi" w:cstheme="minorHAnsi"/>
        </w:rPr>
        <w:t xml:space="preserve">The U. S. Department of Labor (DOL) </w:t>
      </w:r>
      <w:r w:rsidR="0008681B">
        <w:rPr>
          <w:rFonts w:asciiTheme="minorHAnsi" w:hAnsiTheme="minorHAnsi" w:cstheme="minorHAnsi"/>
        </w:rPr>
        <w:t xml:space="preserve">is </w:t>
      </w:r>
      <w:r w:rsidR="0008681B" w:rsidRPr="0008681B">
        <w:rPr>
          <w:rFonts w:asciiTheme="minorHAnsi" w:hAnsiTheme="minorHAnsi" w:cstheme="minorHAnsi"/>
        </w:rPr>
        <w:t>conduct</w:t>
      </w:r>
      <w:r w:rsidR="0008681B">
        <w:rPr>
          <w:rFonts w:asciiTheme="minorHAnsi" w:hAnsiTheme="minorHAnsi" w:cstheme="minorHAnsi"/>
        </w:rPr>
        <w:t>ing</w:t>
      </w:r>
      <w:r w:rsidR="0008681B" w:rsidRPr="0008681B">
        <w:rPr>
          <w:rFonts w:asciiTheme="minorHAnsi" w:hAnsiTheme="minorHAnsi" w:cstheme="minorHAnsi"/>
        </w:rPr>
        <w:t xml:space="preserve"> an evaluation of the </w:t>
      </w:r>
      <w:r w:rsidR="00677E62">
        <w:rPr>
          <w:rFonts w:asciiTheme="minorHAnsi" w:hAnsiTheme="minorHAnsi" w:cstheme="minorHAnsi"/>
        </w:rPr>
        <w:t xml:space="preserve">CCCA </w:t>
      </w:r>
      <w:r w:rsidR="0008681B">
        <w:rPr>
          <w:rFonts w:asciiTheme="minorHAnsi" w:hAnsiTheme="minorHAnsi" w:cstheme="minorHAnsi"/>
        </w:rPr>
        <w:t>program, using multiple approaches that include</w:t>
      </w:r>
      <w:r w:rsidR="0008681B" w:rsidRPr="0008681B">
        <w:rPr>
          <w:rFonts w:asciiTheme="minorHAnsi" w:hAnsiTheme="minorHAnsi" w:cstheme="minorHAnsi"/>
        </w:rPr>
        <w:t xml:space="preserve"> an impact study and implementation analysis</w:t>
      </w:r>
      <w:r w:rsidR="0008681B">
        <w:rPr>
          <w:rFonts w:asciiTheme="minorHAnsi" w:hAnsiTheme="minorHAnsi" w:cstheme="minorHAnsi"/>
        </w:rPr>
        <w:t>.</w:t>
      </w:r>
      <w:r w:rsidR="0008681B" w:rsidRPr="0008681B">
        <w:rPr>
          <w:rFonts w:asciiTheme="minorHAnsi" w:hAnsiTheme="minorHAnsi" w:cstheme="minorHAnsi"/>
        </w:rPr>
        <w:t xml:space="preserve"> </w:t>
      </w:r>
      <w:r w:rsidR="0008681B">
        <w:rPr>
          <w:rFonts w:asciiTheme="minorHAnsi" w:hAnsiTheme="minorHAnsi" w:cstheme="minorHAnsi"/>
        </w:rPr>
        <w:t xml:space="preserve">Previously approved ICR (1290-0012) </w:t>
      </w:r>
      <w:r w:rsidR="0008681B" w:rsidRPr="0008681B">
        <w:rPr>
          <w:rFonts w:asciiTheme="minorHAnsi" w:hAnsiTheme="minorHAnsi" w:cstheme="minorHAnsi"/>
        </w:rPr>
        <w:t>approv</w:t>
      </w:r>
      <w:r w:rsidR="0008681B">
        <w:rPr>
          <w:rFonts w:asciiTheme="minorHAnsi" w:hAnsiTheme="minorHAnsi" w:cstheme="minorHAnsi"/>
        </w:rPr>
        <w:t xml:space="preserve">ed </w:t>
      </w:r>
      <w:r w:rsidR="0008681B" w:rsidRPr="0008681B">
        <w:rPr>
          <w:rFonts w:asciiTheme="minorHAnsi" w:hAnsiTheme="minorHAnsi" w:cstheme="minorHAnsi"/>
        </w:rPr>
        <w:t>collect</w:t>
      </w:r>
      <w:r w:rsidR="0008681B">
        <w:rPr>
          <w:rFonts w:asciiTheme="minorHAnsi" w:hAnsiTheme="minorHAnsi" w:cstheme="minorHAnsi"/>
        </w:rPr>
        <w:t>ion of</w:t>
      </w:r>
      <w:r w:rsidR="0008681B" w:rsidRPr="0008681B">
        <w:rPr>
          <w:rFonts w:asciiTheme="minorHAnsi" w:hAnsiTheme="minorHAnsi" w:cstheme="minorHAnsi"/>
        </w:rPr>
        <w:t xml:space="preserve"> baseline data, </w:t>
      </w:r>
      <w:r w:rsidR="0008681B">
        <w:rPr>
          <w:rFonts w:asciiTheme="minorHAnsi" w:hAnsiTheme="minorHAnsi" w:cstheme="minorHAnsi"/>
        </w:rPr>
        <w:t>key informant interviews</w:t>
      </w:r>
      <w:r w:rsidR="0008681B" w:rsidRPr="0008681B">
        <w:rPr>
          <w:rFonts w:asciiTheme="minorHAnsi" w:hAnsiTheme="minorHAnsi" w:cstheme="minorHAnsi"/>
        </w:rPr>
        <w:t>, and collect</w:t>
      </w:r>
      <w:r w:rsidR="0008681B">
        <w:rPr>
          <w:rFonts w:asciiTheme="minorHAnsi" w:hAnsiTheme="minorHAnsi" w:cstheme="minorHAnsi"/>
        </w:rPr>
        <w:t xml:space="preserve">ion of </w:t>
      </w:r>
      <w:r w:rsidR="0008681B" w:rsidRPr="0008681B">
        <w:rPr>
          <w:rFonts w:asciiTheme="minorHAnsi" w:hAnsiTheme="minorHAnsi" w:cstheme="minorHAnsi"/>
        </w:rPr>
        <w:t>tracking data. With the goal of produci</w:t>
      </w:r>
      <w:r w:rsidR="00FD2380">
        <w:rPr>
          <w:rFonts w:asciiTheme="minorHAnsi" w:hAnsiTheme="minorHAnsi" w:cstheme="minorHAnsi"/>
        </w:rPr>
        <w:t>ng a comprehensive study of CCCA pilot program’s</w:t>
      </w:r>
      <w:r w:rsidR="0008681B" w:rsidRPr="0008681B">
        <w:rPr>
          <w:rFonts w:asciiTheme="minorHAnsi" w:hAnsiTheme="minorHAnsi" w:cstheme="minorHAnsi"/>
        </w:rPr>
        <w:t xml:space="preserve"> implementation and systems work, </w:t>
      </w:r>
      <w:r w:rsidR="00FD2380">
        <w:rPr>
          <w:rFonts w:asciiTheme="minorHAnsi" w:hAnsiTheme="minorHAnsi" w:cstheme="minorHAnsi"/>
        </w:rPr>
        <w:t>DOL</w:t>
      </w:r>
      <w:r w:rsidR="0008681B" w:rsidRPr="0008681B">
        <w:rPr>
          <w:rFonts w:asciiTheme="minorHAnsi" w:hAnsiTheme="minorHAnsi" w:cstheme="minorHAnsi"/>
        </w:rPr>
        <w:t xml:space="preserve"> seeks to extend the </w:t>
      </w:r>
      <w:r w:rsidR="00F85F23">
        <w:rPr>
          <w:rFonts w:asciiTheme="minorHAnsi" w:hAnsiTheme="minorHAnsi" w:cstheme="minorHAnsi"/>
        </w:rPr>
        <w:t xml:space="preserve">already approved </w:t>
      </w:r>
      <w:r w:rsidR="0008681B" w:rsidRPr="0008681B">
        <w:rPr>
          <w:rFonts w:asciiTheme="minorHAnsi" w:hAnsiTheme="minorHAnsi" w:cstheme="minorHAnsi"/>
        </w:rPr>
        <w:t>data</w:t>
      </w:r>
      <w:r w:rsidR="00F85F23">
        <w:rPr>
          <w:rFonts w:asciiTheme="minorHAnsi" w:hAnsiTheme="minorHAnsi" w:cstheme="minorHAnsi"/>
        </w:rPr>
        <w:t xml:space="preserve"> collection instruments </w:t>
      </w:r>
      <w:r w:rsidR="00677E62">
        <w:rPr>
          <w:rFonts w:asciiTheme="minorHAnsi" w:hAnsiTheme="minorHAnsi" w:cstheme="minorHAnsi"/>
        </w:rPr>
        <w:t>to</w:t>
      </w:r>
      <w:r w:rsidR="00F85F23">
        <w:rPr>
          <w:rFonts w:asciiTheme="minorHAnsi" w:hAnsiTheme="minorHAnsi" w:cstheme="minorHAnsi"/>
        </w:rPr>
        <w:t xml:space="preserve"> three additional sites</w:t>
      </w:r>
      <w:r w:rsidR="00761E3D">
        <w:rPr>
          <w:rFonts w:asciiTheme="minorHAnsi" w:hAnsiTheme="minorHAnsi" w:cstheme="minorHAnsi"/>
        </w:rPr>
        <w:t xml:space="preserve"> and additional interviews at the already approved sites</w:t>
      </w:r>
      <w:r w:rsidR="00FD2380">
        <w:rPr>
          <w:rFonts w:asciiTheme="minorHAnsi" w:hAnsiTheme="minorHAnsi" w:cstheme="minorHAnsi"/>
        </w:rPr>
        <w:t xml:space="preserve">. </w:t>
      </w:r>
      <w:r w:rsidR="0008681B" w:rsidRPr="0008681B">
        <w:rPr>
          <w:rFonts w:asciiTheme="minorHAnsi" w:hAnsiTheme="minorHAnsi" w:cstheme="minorHAnsi"/>
        </w:rPr>
        <w:t>No other changes to the study are planned.</w:t>
      </w:r>
      <w:r w:rsidR="0008681B">
        <w:rPr>
          <w:rFonts w:asciiTheme="minorHAnsi" w:hAnsiTheme="minorHAnsi" w:cstheme="minorHAnsi"/>
        </w:rPr>
        <w:t xml:space="preserve"> </w:t>
      </w:r>
    </w:p>
    <w:p w14:paraId="0730047C" w14:textId="7C5DE2E8" w:rsidR="00940933" w:rsidRDefault="00677E62" w:rsidP="00A737ED">
      <w:pPr>
        <w:pStyle w:val="NoSpacing"/>
        <w:rPr>
          <w:b/>
        </w:rPr>
      </w:pPr>
      <w:r>
        <w:rPr>
          <w:b/>
        </w:rPr>
        <w:t>Reason for non-material change</w:t>
      </w:r>
    </w:p>
    <w:p w14:paraId="5828C2E4" w14:textId="77777777" w:rsidR="00940933" w:rsidRPr="00940933" w:rsidRDefault="00940933" w:rsidP="00A737ED">
      <w:pPr>
        <w:pStyle w:val="NoSpacing"/>
        <w:rPr>
          <w:b/>
        </w:rPr>
      </w:pPr>
    </w:p>
    <w:p w14:paraId="250A3B74" w14:textId="18E9D05C" w:rsidR="00940933" w:rsidRPr="00F42461" w:rsidRDefault="00761E3D" w:rsidP="00940933">
      <w:pPr>
        <w:pStyle w:val="BodyText"/>
        <w:rPr>
          <w:rFonts w:asciiTheme="minorHAnsi" w:hAnsiTheme="minorHAnsi" w:cstheme="minorHAnsi"/>
        </w:rPr>
      </w:pPr>
      <w:r>
        <w:rPr>
          <w:rFonts w:asciiTheme="minorHAnsi" w:hAnsiTheme="minorHAnsi" w:cstheme="minorHAnsi"/>
        </w:rPr>
        <w:t xml:space="preserve">The Technical Working Group (TWG) recommended that </w:t>
      </w:r>
      <w:r w:rsidR="00940933" w:rsidRPr="00F42461">
        <w:rPr>
          <w:rFonts w:asciiTheme="minorHAnsi" w:hAnsiTheme="minorHAnsi" w:cstheme="minorHAnsi"/>
        </w:rPr>
        <w:t>additional implementation visits</w:t>
      </w:r>
      <w:r w:rsidR="004A6808">
        <w:rPr>
          <w:rFonts w:asciiTheme="minorHAnsi" w:hAnsiTheme="minorHAnsi" w:cstheme="minorHAnsi"/>
        </w:rPr>
        <w:t xml:space="preserve"> </w:t>
      </w:r>
      <w:r>
        <w:rPr>
          <w:rFonts w:asciiTheme="minorHAnsi" w:hAnsiTheme="minorHAnsi" w:cstheme="minorHAnsi"/>
        </w:rPr>
        <w:t xml:space="preserve">would </w:t>
      </w:r>
      <w:r w:rsidR="00940933" w:rsidRPr="00F42461">
        <w:rPr>
          <w:rFonts w:asciiTheme="minorHAnsi" w:hAnsiTheme="minorHAnsi" w:cstheme="minorHAnsi"/>
        </w:rPr>
        <w:t xml:space="preserve">enhance </w:t>
      </w:r>
      <w:r w:rsidR="004A6808">
        <w:rPr>
          <w:rFonts w:asciiTheme="minorHAnsi" w:hAnsiTheme="minorHAnsi" w:cstheme="minorHAnsi"/>
        </w:rPr>
        <w:t>and broaden</w:t>
      </w:r>
      <w:r w:rsidR="00940933" w:rsidRPr="00F42461">
        <w:rPr>
          <w:rFonts w:asciiTheme="minorHAnsi" w:hAnsiTheme="minorHAnsi" w:cstheme="minorHAnsi"/>
        </w:rPr>
        <w:t xml:space="preserve"> the evaluation</w:t>
      </w:r>
      <w:r w:rsidR="00B46743">
        <w:rPr>
          <w:rFonts w:asciiTheme="minorHAnsi" w:hAnsiTheme="minorHAnsi" w:cstheme="minorHAnsi"/>
        </w:rPr>
        <w:t>’s</w:t>
      </w:r>
      <w:r w:rsidR="004A6808">
        <w:rPr>
          <w:rFonts w:asciiTheme="minorHAnsi" w:hAnsiTheme="minorHAnsi" w:cstheme="minorHAnsi"/>
        </w:rPr>
        <w:t xml:space="preserve"> ability</w:t>
      </w:r>
      <w:r w:rsidR="00940933" w:rsidRPr="00F42461">
        <w:rPr>
          <w:rFonts w:asciiTheme="minorHAnsi" w:hAnsiTheme="minorHAnsi" w:cstheme="minorHAnsi"/>
        </w:rPr>
        <w:t xml:space="preserve"> to understand and document (a) the extent to which CCCA operates differently </w:t>
      </w:r>
      <w:r>
        <w:rPr>
          <w:rFonts w:asciiTheme="minorHAnsi" w:hAnsiTheme="minorHAnsi" w:cstheme="minorHAnsi"/>
        </w:rPr>
        <w:t>from</w:t>
      </w:r>
      <w:r w:rsidR="00940933" w:rsidRPr="00F42461">
        <w:rPr>
          <w:rFonts w:asciiTheme="minorHAnsi" w:hAnsiTheme="minorHAnsi" w:cstheme="minorHAnsi"/>
        </w:rPr>
        <w:t xml:space="preserve"> traditional Job Corps centers, and (b) the differences in services received by the treatment group members versus control group members who choose to a</w:t>
      </w:r>
      <w:r w:rsidR="00B46743">
        <w:rPr>
          <w:rFonts w:asciiTheme="minorHAnsi" w:hAnsiTheme="minorHAnsi" w:cstheme="minorHAnsi"/>
        </w:rPr>
        <w:t>ttend another Job Corps center.</w:t>
      </w:r>
      <w:r w:rsidR="00940933" w:rsidRPr="00F42461">
        <w:rPr>
          <w:rFonts w:asciiTheme="minorHAnsi" w:hAnsiTheme="minorHAnsi" w:cstheme="minorHAnsi"/>
          <w:bCs/>
        </w:rPr>
        <w:t xml:space="preserve"> </w:t>
      </w:r>
      <w:r w:rsidRPr="00761E3D">
        <w:rPr>
          <w:rFonts w:asciiTheme="minorHAnsi" w:hAnsiTheme="minorHAnsi" w:cstheme="minorHAnsi"/>
          <w:bCs/>
        </w:rPr>
        <w:t xml:space="preserve">The additional interviews at CCCA </w:t>
      </w:r>
      <w:r w:rsidR="00F64D84">
        <w:rPr>
          <w:rFonts w:asciiTheme="minorHAnsi" w:hAnsiTheme="minorHAnsi" w:cstheme="minorHAnsi"/>
          <w:bCs/>
        </w:rPr>
        <w:t xml:space="preserve">will provide information on </w:t>
      </w:r>
      <w:r w:rsidRPr="00761E3D">
        <w:rPr>
          <w:rFonts w:asciiTheme="minorHAnsi" w:hAnsiTheme="minorHAnsi" w:cstheme="minorHAnsi"/>
          <w:bCs/>
        </w:rPr>
        <w:t xml:space="preserve">changes in CCCA’s staffing structure. Finally, the additional focus groups at CCCA will allow the researches to delve into greater depth about the two separate program offerings at CCCA and will enhance the implementation study. </w:t>
      </w:r>
      <w:r>
        <w:rPr>
          <w:rFonts w:asciiTheme="minorHAnsi" w:hAnsiTheme="minorHAnsi" w:cstheme="minorHAnsi"/>
          <w:bCs/>
        </w:rPr>
        <w:t xml:space="preserve">Conducting </w:t>
      </w:r>
      <w:r w:rsidR="00F64D84">
        <w:rPr>
          <w:rFonts w:asciiTheme="minorHAnsi" w:hAnsiTheme="minorHAnsi" w:cstheme="minorHAnsi"/>
          <w:bCs/>
        </w:rPr>
        <w:t>additional</w:t>
      </w:r>
      <w:r>
        <w:rPr>
          <w:rFonts w:asciiTheme="minorHAnsi" w:hAnsiTheme="minorHAnsi" w:cstheme="minorHAnsi"/>
          <w:bCs/>
        </w:rPr>
        <w:t xml:space="preserve"> interviews during </w:t>
      </w:r>
      <w:r w:rsidR="00940933" w:rsidRPr="00F42461">
        <w:rPr>
          <w:rFonts w:asciiTheme="minorHAnsi" w:hAnsiTheme="minorHAnsi" w:cstheme="minorHAnsi"/>
          <w:bCs/>
        </w:rPr>
        <w:t>site visits and analyzing the resulting information would greatly improve DOL’s ability to use the CCCA evaluation results for future planning and programming.</w:t>
      </w:r>
      <w:r w:rsidR="000B222D">
        <w:rPr>
          <w:rFonts w:asciiTheme="minorHAnsi" w:hAnsiTheme="minorHAnsi" w:cstheme="minorHAnsi"/>
          <w:bCs/>
        </w:rPr>
        <w:t xml:space="preserve"> </w:t>
      </w:r>
      <w:r w:rsidR="000B222D">
        <w:rPr>
          <w:rFonts w:asciiTheme="minorHAnsi" w:hAnsiTheme="minorHAnsi" w:cstheme="minorHAnsi"/>
          <w:iCs/>
        </w:rPr>
        <w:t xml:space="preserve">The </w:t>
      </w:r>
      <w:r>
        <w:rPr>
          <w:rFonts w:asciiTheme="minorHAnsi" w:hAnsiTheme="minorHAnsi" w:cstheme="minorHAnsi"/>
          <w:iCs/>
        </w:rPr>
        <w:t xml:space="preserve">proposed change would add </w:t>
      </w:r>
      <w:r w:rsidR="007F02B6">
        <w:rPr>
          <w:rFonts w:asciiTheme="minorHAnsi" w:hAnsiTheme="minorHAnsi" w:cstheme="minorHAnsi"/>
          <w:iCs/>
        </w:rPr>
        <w:t>41</w:t>
      </w:r>
      <w:r w:rsidR="00C40D42">
        <w:rPr>
          <w:rFonts w:asciiTheme="minorHAnsi" w:hAnsiTheme="minorHAnsi" w:cstheme="minorHAnsi"/>
          <w:iCs/>
        </w:rPr>
        <w:t xml:space="preserve"> additional </w:t>
      </w:r>
      <w:r w:rsidR="008B673F">
        <w:rPr>
          <w:rFonts w:asciiTheme="minorHAnsi" w:hAnsiTheme="minorHAnsi" w:cstheme="minorHAnsi"/>
          <w:iCs/>
        </w:rPr>
        <w:t xml:space="preserve">annual </w:t>
      </w:r>
      <w:r w:rsidR="00C40D42">
        <w:rPr>
          <w:rFonts w:asciiTheme="minorHAnsi" w:hAnsiTheme="minorHAnsi" w:cstheme="minorHAnsi"/>
          <w:iCs/>
        </w:rPr>
        <w:t>burden hours</w:t>
      </w:r>
      <w:r>
        <w:rPr>
          <w:rFonts w:asciiTheme="minorHAnsi" w:hAnsiTheme="minorHAnsi" w:cstheme="minorHAnsi"/>
          <w:iCs/>
        </w:rPr>
        <w:t xml:space="preserve"> but no other change to the study. </w:t>
      </w:r>
      <w:r w:rsidR="000B222D">
        <w:rPr>
          <w:rFonts w:asciiTheme="minorHAnsi" w:hAnsiTheme="minorHAnsi" w:cstheme="minorHAnsi"/>
          <w:iCs/>
        </w:rPr>
        <w:t xml:space="preserve"> </w:t>
      </w:r>
    </w:p>
    <w:p w14:paraId="3546630A" w14:textId="77777777" w:rsidR="00677E62" w:rsidRPr="00CD45AE" w:rsidRDefault="00677E62" w:rsidP="00677E62">
      <w:pPr>
        <w:pStyle w:val="NoSpacing"/>
        <w:spacing w:after="240"/>
        <w:rPr>
          <w:b/>
        </w:rPr>
      </w:pPr>
      <w:bookmarkStart w:id="1" w:name="_Toc293644174"/>
      <w:r>
        <w:rPr>
          <w:b/>
        </w:rPr>
        <w:t>Data Collection Activities and change in burden</w:t>
      </w:r>
    </w:p>
    <w:p w14:paraId="6852530E" w14:textId="498F1ED2" w:rsidR="00677E62" w:rsidRPr="00CD45AE" w:rsidRDefault="00677E62" w:rsidP="00677E62">
      <w:pPr>
        <w:pStyle w:val="BodyText"/>
        <w:rPr>
          <w:rFonts w:asciiTheme="minorHAnsi" w:hAnsiTheme="minorHAnsi" w:cstheme="minorHAnsi"/>
        </w:rPr>
      </w:pPr>
      <w:r w:rsidRPr="00CD45AE">
        <w:rPr>
          <w:rFonts w:asciiTheme="minorHAnsi" w:hAnsiTheme="minorHAnsi" w:cstheme="minorHAnsi"/>
        </w:rPr>
        <w:t xml:space="preserve">This submission therefore requests a modest increase in </w:t>
      </w:r>
      <w:r w:rsidR="004870BF">
        <w:rPr>
          <w:rFonts w:asciiTheme="minorHAnsi" w:hAnsiTheme="minorHAnsi" w:cstheme="minorHAnsi"/>
        </w:rPr>
        <w:t xml:space="preserve">burden for additional interviews using a subset of the previously approved instruments. This increase will allow for additional implementation site visits and interviews with site staff. </w:t>
      </w:r>
    </w:p>
    <w:p w14:paraId="39492F2B" w14:textId="77777777" w:rsidR="00677E62" w:rsidRPr="00CD45AE" w:rsidRDefault="00677E62" w:rsidP="00677E62">
      <w:pPr>
        <w:pStyle w:val="BodyText"/>
        <w:rPr>
          <w:rFonts w:asciiTheme="minorHAnsi" w:hAnsiTheme="minorHAnsi" w:cstheme="minorHAnsi"/>
        </w:rPr>
      </w:pPr>
      <w:r w:rsidRPr="00CD45AE">
        <w:rPr>
          <w:rFonts w:asciiTheme="minorHAnsi" w:hAnsiTheme="minorHAnsi" w:cstheme="minorHAnsi"/>
        </w:rPr>
        <w:t>In February 2017, OMB approved the following information collections:</w:t>
      </w:r>
    </w:p>
    <w:p w14:paraId="5A65BDFE" w14:textId="432594AF" w:rsidR="001105C8" w:rsidRPr="003166D3" w:rsidRDefault="00677E62" w:rsidP="001105C8">
      <w:pPr>
        <w:pStyle w:val="BodyText"/>
        <w:numPr>
          <w:ilvl w:val="0"/>
          <w:numId w:val="1"/>
        </w:numPr>
        <w:spacing w:after="0"/>
        <w:rPr>
          <w:rFonts w:asciiTheme="minorHAnsi" w:hAnsiTheme="minorHAnsi" w:cstheme="minorHAnsi"/>
        </w:rPr>
      </w:pPr>
      <w:r w:rsidRPr="003166D3">
        <w:rPr>
          <w:rFonts w:asciiTheme="minorHAnsi" w:hAnsiTheme="minorHAnsi" w:cstheme="minorHAnsi"/>
        </w:rPr>
        <w:t>Baseline Information Form (BIF)</w:t>
      </w:r>
    </w:p>
    <w:p w14:paraId="45D775CD" w14:textId="29C8B974" w:rsidR="001105C8" w:rsidRPr="003166D3" w:rsidRDefault="00677E62" w:rsidP="004870BF">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Academy Director, College and Career Dean, and College Preparation Manager</w:t>
      </w:r>
    </w:p>
    <w:p w14:paraId="26581C63" w14:textId="4A52283A" w:rsidR="001105C8" w:rsidRPr="003166D3" w:rsidRDefault="00677E62" w:rsidP="001105C8">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Admission and Placement Director and Placement Officer</w:t>
      </w:r>
    </w:p>
    <w:p w14:paraId="53557D66" w14:textId="77777777"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IT Pathway Manager and Healthcare Pathway Manager</w:t>
      </w:r>
    </w:p>
    <w:p w14:paraId="11B88514" w14:textId="77777777"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Social Development Director</w:t>
      </w:r>
    </w:p>
    <w:p w14:paraId="6ED60DA1" w14:textId="4CDE227E"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Skagit Valley College Liaison and Sedro-Wooley School District Liaison</w:t>
      </w:r>
    </w:p>
    <w:p w14:paraId="24D5D0A0" w14:textId="00DE2B6C"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Employer Calls</w:t>
      </w:r>
    </w:p>
    <w:p w14:paraId="39B15CC6" w14:textId="66347412"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Other Center Directors</w:t>
      </w:r>
    </w:p>
    <w:p w14:paraId="6440D8D1" w14:textId="77777777" w:rsidR="00677E62" w:rsidRPr="003166D3" w:rsidRDefault="00677E62" w:rsidP="00677E62">
      <w:pPr>
        <w:pStyle w:val="BodyText"/>
        <w:numPr>
          <w:ilvl w:val="0"/>
          <w:numId w:val="1"/>
        </w:numPr>
        <w:spacing w:after="0"/>
        <w:rPr>
          <w:rFonts w:asciiTheme="minorHAnsi" w:hAnsiTheme="minorHAnsi" w:cstheme="minorHAnsi"/>
        </w:rPr>
      </w:pPr>
      <w:r w:rsidRPr="003166D3">
        <w:rPr>
          <w:rFonts w:asciiTheme="minorHAnsi" w:hAnsiTheme="minorHAnsi" w:cstheme="minorHAnsi"/>
        </w:rPr>
        <w:lastRenderedPageBreak/>
        <w:t>Interview Protocol – Student Focus Group</w:t>
      </w:r>
    </w:p>
    <w:p w14:paraId="48B413F5" w14:textId="0365C8B4" w:rsidR="00677E62" w:rsidRPr="003166D3" w:rsidRDefault="00677E62" w:rsidP="000104DE">
      <w:pPr>
        <w:pStyle w:val="BodyText"/>
        <w:numPr>
          <w:ilvl w:val="0"/>
          <w:numId w:val="1"/>
        </w:numPr>
        <w:spacing w:after="0"/>
        <w:rPr>
          <w:rFonts w:asciiTheme="minorHAnsi" w:hAnsiTheme="minorHAnsi" w:cstheme="minorHAnsi"/>
        </w:rPr>
      </w:pPr>
      <w:r w:rsidRPr="003166D3">
        <w:rPr>
          <w:rFonts w:asciiTheme="minorHAnsi" w:hAnsiTheme="minorHAnsi" w:cstheme="minorHAnsi"/>
        </w:rPr>
        <w:t>Follow-up Tracking Form</w:t>
      </w:r>
    </w:p>
    <w:p w14:paraId="72D1414F" w14:textId="77777777" w:rsidR="004870BF" w:rsidRPr="003166D3" w:rsidRDefault="004870BF" w:rsidP="004870BF">
      <w:pPr>
        <w:pStyle w:val="BodyText"/>
        <w:spacing w:after="0"/>
        <w:ind w:left="415"/>
        <w:rPr>
          <w:rFonts w:asciiTheme="minorHAnsi" w:hAnsiTheme="minorHAnsi" w:cstheme="minorHAnsi"/>
        </w:rPr>
      </w:pPr>
    </w:p>
    <w:p w14:paraId="4B6FFA0B" w14:textId="6F57B18F" w:rsidR="009E26BF" w:rsidRPr="003166D3" w:rsidRDefault="009E26BF" w:rsidP="00677E62">
      <w:pPr>
        <w:pStyle w:val="BodyText"/>
        <w:spacing w:after="0"/>
        <w:rPr>
          <w:rFonts w:asciiTheme="minorHAnsi" w:hAnsiTheme="minorHAnsi" w:cstheme="minorHAnsi"/>
        </w:rPr>
      </w:pPr>
      <w:r w:rsidRPr="003166D3">
        <w:rPr>
          <w:rFonts w:asciiTheme="minorHAnsi" w:hAnsiTheme="minorHAnsi" w:cstheme="minorHAnsi"/>
        </w:rPr>
        <w:t xml:space="preserve">This submission is requesting increase burden for a subset of the original information collections: </w:t>
      </w:r>
    </w:p>
    <w:p w14:paraId="1243BCA7" w14:textId="77777777" w:rsidR="009E26BF" w:rsidRPr="003166D3" w:rsidRDefault="009E26BF" w:rsidP="00677E62">
      <w:pPr>
        <w:pStyle w:val="BodyText"/>
        <w:spacing w:after="0"/>
        <w:rPr>
          <w:rFonts w:asciiTheme="minorHAnsi" w:hAnsiTheme="minorHAnsi" w:cstheme="minorHAnsi"/>
        </w:rPr>
      </w:pPr>
    </w:p>
    <w:p w14:paraId="7229EE1E" w14:textId="77777777" w:rsidR="009E26BF" w:rsidRPr="003166D3" w:rsidRDefault="009E26BF" w:rsidP="009E26BF">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Academy Director, College and Career Dean, and College Preparation Manager:</w:t>
      </w:r>
    </w:p>
    <w:p w14:paraId="6B10B317" w14:textId="77777777" w:rsidR="009E26BF" w:rsidRPr="003166D3" w:rsidRDefault="009E26BF" w:rsidP="009E26BF">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IT Pathway Manager and Healthcare Pathway Manager</w:t>
      </w:r>
    </w:p>
    <w:p w14:paraId="7AB36AB8" w14:textId="5FBB8ABE" w:rsidR="009E26BF" w:rsidRPr="003166D3" w:rsidRDefault="009E26BF" w:rsidP="009E26BF">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Social Development Director</w:t>
      </w:r>
    </w:p>
    <w:p w14:paraId="38C69502" w14:textId="4CF6D2AE" w:rsidR="009E26BF" w:rsidRPr="003166D3" w:rsidRDefault="009E26BF" w:rsidP="009E26BF">
      <w:pPr>
        <w:pStyle w:val="BodyText"/>
        <w:numPr>
          <w:ilvl w:val="0"/>
          <w:numId w:val="1"/>
        </w:numPr>
        <w:spacing w:after="0"/>
        <w:rPr>
          <w:rFonts w:asciiTheme="minorHAnsi" w:hAnsiTheme="minorHAnsi" w:cstheme="minorHAnsi"/>
        </w:rPr>
      </w:pPr>
      <w:r w:rsidRPr="003166D3">
        <w:rPr>
          <w:rFonts w:asciiTheme="minorHAnsi" w:hAnsiTheme="minorHAnsi" w:cstheme="minorHAnsi"/>
        </w:rPr>
        <w:t>Interview Protocol – Student Focus Group</w:t>
      </w:r>
    </w:p>
    <w:p w14:paraId="65F6EE01" w14:textId="77777777" w:rsidR="009E26BF" w:rsidRPr="00CD45AE" w:rsidRDefault="009E26BF" w:rsidP="00677E62">
      <w:pPr>
        <w:pStyle w:val="BodyText"/>
        <w:spacing w:after="0"/>
        <w:rPr>
          <w:rFonts w:asciiTheme="minorHAnsi" w:hAnsiTheme="minorHAnsi" w:cstheme="minorHAnsi"/>
        </w:rPr>
      </w:pPr>
    </w:p>
    <w:p w14:paraId="3F6E88ED" w14:textId="13796BD0" w:rsidR="00677E62" w:rsidRPr="00CD45AE" w:rsidRDefault="00677E62" w:rsidP="00677E62">
      <w:pPr>
        <w:pStyle w:val="BodyText"/>
        <w:rPr>
          <w:rFonts w:asciiTheme="minorHAnsi" w:hAnsiTheme="minorHAnsi" w:cstheme="minorHAnsi"/>
        </w:rPr>
      </w:pPr>
      <w:r w:rsidRPr="00CD45AE">
        <w:rPr>
          <w:rFonts w:asciiTheme="minorHAnsi" w:hAnsiTheme="minorHAnsi" w:cstheme="minorHAnsi"/>
        </w:rPr>
        <w:t xml:space="preserve">Under the expanded effort, the study team will visit three </w:t>
      </w:r>
      <w:r w:rsidR="004870BF">
        <w:rPr>
          <w:rFonts w:asciiTheme="minorHAnsi" w:hAnsiTheme="minorHAnsi" w:cstheme="minorHAnsi"/>
        </w:rPr>
        <w:t>additional</w:t>
      </w:r>
      <w:r w:rsidRPr="00CD45AE">
        <w:rPr>
          <w:rFonts w:asciiTheme="minorHAnsi" w:hAnsiTheme="minorHAnsi" w:cstheme="minorHAnsi"/>
        </w:rPr>
        <w:t xml:space="preserve"> Job Corps centers, in addition to the two visits already approved. The </w:t>
      </w:r>
      <w:r w:rsidR="004870BF">
        <w:rPr>
          <w:rFonts w:asciiTheme="minorHAnsi" w:hAnsiTheme="minorHAnsi" w:cstheme="minorHAnsi"/>
        </w:rPr>
        <w:t>additional burden</w:t>
      </w:r>
      <w:r w:rsidRPr="00CD45AE">
        <w:rPr>
          <w:rFonts w:asciiTheme="minorHAnsi" w:hAnsiTheme="minorHAnsi" w:cstheme="minorHAnsi"/>
        </w:rPr>
        <w:t xml:space="preserve"> will include twenty-four additional interviews and three additional focus groups of approximately twenty students each. The additional </w:t>
      </w:r>
      <w:r w:rsidR="004870BF">
        <w:rPr>
          <w:rFonts w:asciiTheme="minorHAnsi" w:hAnsiTheme="minorHAnsi" w:cstheme="minorHAnsi"/>
        </w:rPr>
        <w:t>burden</w:t>
      </w:r>
      <w:r w:rsidRPr="00CD45AE">
        <w:rPr>
          <w:rFonts w:asciiTheme="minorHAnsi" w:hAnsiTheme="minorHAnsi" w:cstheme="minorHAnsi"/>
        </w:rPr>
        <w:t xml:space="preserve"> will allow the evaluation to include in-person interviews with the center directors, the college and career deans, the college preparation managers, the training pathway managers (e.g., the director of healthcare training and the director of IT training), the social development directors and focus groups with students. The expansion to include these respondents is of particular interest to both the program and evaluation teams at DOL. The site visits to </w:t>
      </w:r>
      <w:r w:rsidR="004870BF">
        <w:rPr>
          <w:rFonts w:asciiTheme="minorHAnsi" w:hAnsiTheme="minorHAnsi" w:cstheme="minorHAnsi"/>
        </w:rPr>
        <w:t>additional</w:t>
      </w:r>
      <w:r w:rsidRPr="00CD45AE">
        <w:rPr>
          <w:rFonts w:asciiTheme="minorHAnsi" w:hAnsiTheme="minorHAnsi" w:cstheme="minorHAnsi"/>
        </w:rPr>
        <w:t xml:space="preserve"> Job Corps centers would enhance the ability of the evaluation to understand and document (a) the extent to which CCCA operates differently than traditional Job Corps centers, and (b) the differences in services received by the treatment group members versus control group members who choose to attend another Job Corps center. </w:t>
      </w:r>
    </w:p>
    <w:p w14:paraId="1956E2C5" w14:textId="166ABF0D" w:rsidR="00677E62" w:rsidRPr="00D93351" w:rsidRDefault="00677E62" w:rsidP="00D93351">
      <w:pPr>
        <w:pStyle w:val="BodyText"/>
        <w:rPr>
          <w:rFonts w:asciiTheme="minorHAnsi" w:hAnsiTheme="minorHAnsi" w:cstheme="minorHAnsi"/>
        </w:rPr>
      </w:pPr>
      <w:r w:rsidRPr="00CD45AE">
        <w:rPr>
          <w:rFonts w:asciiTheme="minorHAnsi" w:hAnsiTheme="minorHAnsi" w:cstheme="minorHAnsi"/>
        </w:rPr>
        <w:t xml:space="preserve">Additionally, the Department seeks approval to conduct interviews with additional CCCA staff and students. These additional interviews are needed due to changes in CCCA’s staffing structure that have added more staff than the Department originally knew about. The additional effort at CCCA includes 2 additional Social Development Directors (for a total of three). The Department also requests approval to conduct focus groups with 30 additional students at CCCA so that students in the Healthcare and Information Technology tracks can be placed in separate focus groups and allow the researches to </w:t>
      </w:r>
      <w:r w:rsidR="004870BF">
        <w:rPr>
          <w:rFonts w:asciiTheme="minorHAnsi" w:hAnsiTheme="minorHAnsi" w:cstheme="minorHAnsi"/>
        </w:rPr>
        <w:t xml:space="preserve">better understand </w:t>
      </w:r>
      <w:r w:rsidRPr="00CD45AE">
        <w:rPr>
          <w:rFonts w:asciiTheme="minorHAnsi" w:hAnsiTheme="minorHAnsi" w:cstheme="minorHAnsi"/>
        </w:rPr>
        <w:t xml:space="preserve">each of the separate program offerings. </w:t>
      </w:r>
    </w:p>
    <w:p w14:paraId="559AD05E" w14:textId="77F502E6" w:rsidR="001105C8" w:rsidRDefault="001105C8" w:rsidP="00436306">
      <w:pPr>
        <w:keepNext/>
        <w:spacing w:after="60"/>
        <w:rPr>
          <w:b/>
        </w:rPr>
      </w:pPr>
      <w:r>
        <w:rPr>
          <w:b/>
        </w:rPr>
        <w:t>Burden Change</w:t>
      </w:r>
    </w:p>
    <w:p w14:paraId="35F44972" w14:textId="42D028E8" w:rsidR="00E662F9" w:rsidRDefault="001105C8" w:rsidP="00E662F9">
      <w:pPr>
        <w:ind w:left="720"/>
      </w:pPr>
      <w:r w:rsidRPr="003166D3">
        <w:t xml:space="preserve">This burden estimate reflects an increase of </w:t>
      </w:r>
      <w:r>
        <w:t>41</w:t>
      </w:r>
      <w:r w:rsidRPr="003166D3">
        <w:t xml:space="preserve"> </w:t>
      </w:r>
      <w:r w:rsidR="008B673F">
        <w:t xml:space="preserve">annual </w:t>
      </w:r>
      <w:r w:rsidRPr="003166D3">
        <w:t xml:space="preserve">hours resulting from the </w:t>
      </w:r>
      <w:r w:rsidR="004870BF" w:rsidRPr="00D34D82">
        <w:t xml:space="preserve">increases </w:t>
      </w:r>
      <w:r w:rsidR="004870BF" w:rsidRPr="003166D3">
        <w:t xml:space="preserve">in the interview protocols for (1) </w:t>
      </w:r>
      <w:r w:rsidR="00D34D82" w:rsidRPr="003166D3">
        <w:rPr>
          <w:rFonts w:cstheme="minorHAnsi"/>
          <w:u w:val="single"/>
        </w:rPr>
        <w:t>Academy Director, College and Career Dean, and College Preparation Manager</w:t>
      </w:r>
      <w:r w:rsidR="00D34D82" w:rsidRPr="00D34D82">
        <w:rPr>
          <w:rFonts w:cstheme="minorHAnsi"/>
          <w:u w:val="single"/>
        </w:rPr>
        <w:t xml:space="preserve">; (2) </w:t>
      </w:r>
      <w:r w:rsidR="00D34D82" w:rsidRPr="003166D3">
        <w:rPr>
          <w:rFonts w:cstheme="minorHAnsi"/>
          <w:u w:val="single"/>
        </w:rPr>
        <w:t>IT Pathway Manager and Healthcare Pathway Manager</w:t>
      </w:r>
      <w:r w:rsidR="00D34D82" w:rsidRPr="00D34D82">
        <w:rPr>
          <w:rFonts w:cstheme="minorHAnsi"/>
          <w:u w:val="single"/>
        </w:rPr>
        <w:t xml:space="preserve">; (3) </w:t>
      </w:r>
      <w:r w:rsidR="00D34D82" w:rsidRPr="003166D3">
        <w:rPr>
          <w:rFonts w:cstheme="minorHAnsi"/>
          <w:u w:val="single"/>
        </w:rPr>
        <w:t>Social Development Director</w:t>
      </w:r>
      <w:r w:rsidR="00D34D82" w:rsidRPr="00D34D82">
        <w:rPr>
          <w:rFonts w:cstheme="minorHAnsi"/>
          <w:u w:val="single"/>
        </w:rPr>
        <w:t xml:space="preserve"> and (4)</w:t>
      </w:r>
      <w:r w:rsidR="00D34D82" w:rsidRPr="003166D3">
        <w:rPr>
          <w:rFonts w:cstheme="minorHAnsi"/>
          <w:u w:val="single"/>
        </w:rPr>
        <w:t xml:space="preserve"> Student Focus Group</w:t>
      </w:r>
      <w:r w:rsidRPr="00D34D82">
        <w:t>.</w:t>
      </w:r>
      <w:r w:rsidR="00E662F9">
        <w:t xml:space="preserve"> The revised burden estimates in Table 1 reflect the combined effect of the change in estimate for the previously-approved CCCA visit (due to unanticipated changes in staffing at CCCA) and the discretionary request to add three site visits to additional (non-CCCA) Job Corps centers. For example, the requested increase from </w:t>
      </w:r>
      <w:r w:rsidR="00A33EF8">
        <w:t>.33</w:t>
      </w:r>
      <w:r w:rsidR="00E662F9">
        <w:t xml:space="preserve"> to </w:t>
      </w:r>
      <w:r w:rsidR="00A33EF8">
        <w:t>4</w:t>
      </w:r>
      <w:r w:rsidR="00E662F9">
        <w:t xml:space="preserve"> </w:t>
      </w:r>
      <w:r w:rsidR="00A33EF8">
        <w:t xml:space="preserve">annual </w:t>
      </w:r>
      <w:r w:rsidR="00E662F9">
        <w:t>respondents for the Interview Protocol for the Social Development Director includes both the increase from 1 to 3 respondents at CCCA (where three staff are covering the duties of a position originally covered by 1 staff person), plus an additional 9 respondents (3 each at 3 non-CCCA site visits)</w:t>
      </w:r>
      <w:r w:rsidR="008B673F">
        <w:t xml:space="preserve"> (e.g., 12 respondents total/3 years=4 annual respondents)</w:t>
      </w:r>
      <w:r w:rsidR="00E662F9">
        <w:t>.</w:t>
      </w:r>
    </w:p>
    <w:p w14:paraId="1497A477" w14:textId="46BE1184" w:rsidR="00B76CFE" w:rsidRDefault="00436306" w:rsidP="00436306">
      <w:pPr>
        <w:keepNext/>
        <w:spacing w:after="60"/>
        <w:rPr>
          <w:b/>
        </w:rPr>
      </w:pPr>
      <w:r w:rsidRPr="003019EB">
        <w:rPr>
          <w:b/>
        </w:rPr>
        <w:t xml:space="preserve">Table </w:t>
      </w:r>
      <w:r w:rsidRPr="00436306">
        <w:rPr>
          <w:b/>
        </w:rPr>
        <w:t>1</w:t>
      </w:r>
      <w:r w:rsidR="00CE4A50">
        <w:rPr>
          <w:b/>
        </w:rPr>
        <w:t xml:space="preserve">. Revised </w:t>
      </w:r>
      <w:r w:rsidR="000B77A1">
        <w:rPr>
          <w:b/>
        </w:rPr>
        <w:t xml:space="preserve">Estimated Annualized Respondent </w:t>
      </w:r>
      <w:r w:rsidRPr="007F4EE3">
        <w:rPr>
          <w:b/>
        </w:rPr>
        <w:t xml:space="preserve">Burden </w:t>
      </w:r>
      <w:bookmarkEnd w:id="1"/>
      <w:r w:rsidR="000B77A1">
        <w:rPr>
          <w:b/>
        </w:rPr>
        <w:t>Hours</w:t>
      </w:r>
      <w:r w:rsidR="000B77A1" w:rsidRPr="007F4EE3">
        <w:rPr>
          <w:b/>
        </w:rPr>
        <w:t xml:space="preserve"> </w:t>
      </w:r>
    </w:p>
    <w:tbl>
      <w:tblPr>
        <w:tblW w:w="4960" w:type="pct"/>
        <w:tblLayout w:type="fixed"/>
        <w:tblLook w:val="04A0" w:firstRow="1" w:lastRow="0" w:firstColumn="1" w:lastColumn="0" w:noHBand="0" w:noVBand="1"/>
      </w:tblPr>
      <w:tblGrid>
        <w:gridCol w:w="3585"/>
        <w:gridCol w:w="1287"/>
        <w:gridCol w:w="1295"/>
        <w:gridCol w:w="1381"/>
        <w:gridCol w:w="1291"/>
        <w:gridCol w:w="1375"/>
      </w:tblGrid>
      <w:tr w:rsidR="0068297D" w:rsidRPr="00AD2DB3" w14:paraId="60CE2D67" w14:textId="77777777" w:rsidTr="0068297D">
        <w:trPr>
          <w:trHeight w:val="730"/>
        </w:trPr>
        <w:tc>
          <w:tcPr>
            <w:tcW w:w="1755" w:type="pct"/>
            <w:tcBorders>
              <w:top w:val="single" w:sz="8" w:space="0" w:color="7F7F7F"/>
              <w:left w:val="single" w:sz="8" w:space="0" w:color="7F7F7F"/>
              <w:bottom w:val="nil"/>
              <w:right w:val="single" w:sz="8" w:space="0" w:color="7F7F7F"/>
            </w:tcBorders>
            <w:shd w:val="clear" w:color="000000" w:fill="C3C6A8"/>
            <w:vAlign w:val="center"/>
            <w:hideMark/>
          </w:tcPr>
          <w:p w14:paraId="188D1C1C" w14:textId="77777777" w:rsidR="0068297D" w:rsidRPr="00AD2DB3" w:rsidRDefault="0068297D" w:rsidP="00160F6C">
            <w:pPr>
              <w:spacing w:after="0" w:line="240" w:lineRule="auto"/>
              <w:jc w:val="center"/>
              <w:rPr>
                <w:rFonts w:ascii="Arial Narrow" w:hAnsi="Arial Narrow" w:cs="Arial"/>
                <w:b/>
                <w:bCs/>
                <w:color w:val="000000"/>
                <w:sz w:val="18"/>
                <w:szCs w:val="18"/>
              </w:rPr>
            </w:pPr>
            <w:r w:rsidRPr="00AD2DB3">
              <w:rPr>
                <w:rFonts w:ascii="Arial Narrow" w:hAnsi="Arial Narrow" w:cs="Arial"/>
                <w:b/>
                <w:bCs/>
                <w:color w:val="000000"/>
                <w:sz w:val="18"/>
                <w:szCs w:val="18"/>
              </w:rPr>
              <w:t>Instrument</w:t>
            </w:r>
          </w:p>
        </w:tc>
        <w:tc>
          <w:tcPr>
            <w:tcW w:w="630" w:type="pct"/>
            <w:tcBorders>
              <w:top w:val="single" w:sz="8" w:space="0" w:color="7F7F7F"/>
              <w:left w:val="nil"/>
              <w:bottom w:val="nil"/>
              <w:right w:val="single" w:sz="8" w:space="0" w:color="7F7F7F"/>
            </w:tcBorders>
            <w:shd w:val="clear" w:color="000000" w:fill="C3C6A8"/>
            <w:vAlign w:val="center"/>
            <w:hideMark/>
          </w:tcPr>
          <w:p w14:paraId="4CA968DD" w14:textId="77777777" w:rsidR="0068297D" w:rsidRPr="00AD2DB3" w:rsidRDefault="0068297D" w:rsidP="00160F6C">
            <w:pPr>
              <w:spacing w:after="0" w:line="240" w:lineRule="auto"/>
              <w:jc w:val="center"/>
              <w:rPr>
                <w:rFonts w:ascii="Arial Narrow" w:hAnsi="Arial Narrow" w:cs="Calibri"/>
                <w:b/>
                <w:bCs/>
                <w:color w:val="000000"/>
                <w:sz w:val="16"/>
                <w:szCs w:val="16"/>
              </w:rPr>
            </w:pPr>
            <w:r w:rsidRPr="00AD2DB3">
              <w:rPr>
                <w:rFonts w:ascii="Arial Narrow" w:hAnsi="Arial Narrow" w:cs="Calibri"/>
                <w:b/>
                <w:bCs/>
                <w:color w:val="000000"/>
                <w:sz w:val="16"/>
                <w:szCs w:val="16"/>
              </w:rPr>
              <w:t>Annual Number of Respondents</w:t>
            </w:r>
          </w:p>
        </w:tc>
        <w:tc>
          <w:tcPr>
            <w:tcW w:w="634" w:type="pct"/>
            <w:tcBorders>
              <w:top w:val="single" w:sz="8" w:space="0" w:color="7F7F7F"/>
              <w:left w:val="nil"/>
              <w:bottom w:val="nil"/>
              <w:right w:val="single" w:sz="8" w:space="0" w:color="7F7F7F"/>
            </w:tcBorders>
            <w:shd w:val="clear" w:color="000000" w:fill="C3C6A8"/>
            <w:vAlign w:val="center"/>
            <w:hideMark/>
          </w:tcPr>
          <w:p w14:paraId="1A28B197" w14:textId="77777777" w:rsidR="0068297D" w:rsidRPr="00AD2DB3" w:rsidRDefault="0068297D" w:rsidP="00160F6C">
            <w:pPr>
              <w:spacing w:after="0" w:line="240" w:lineRule="auto"/>
              <w:jc w:val="center"/>
              <w:rPr>
                <w:rFonts w:ascii="Arial Narrow" w:hAnsi="Arial Narrow" w:cs="Calibri"/>
                <w:b/>
                <w:bCs/>
                <w:color w:val="000000"/>
                <w:sz w:val="16"/>
                <w:szCs w:val="16"/>
              </w:rPr>
            </w:pPr>
            <w:r w:rsidRPr="00AD2DB3">
              <w:rPr>
                <w:rFonts w:ascii="Arial Narrow" w:hAnsi="Arial Narrow" w:cs="Calibri"/>
                <w:b/>
                <w:bCs/>
                <w:color w:val="000000"/>
                <w:sz w:val="16"/>
                <w:szCs w:val="16"/>
              </w:rPr>
              <w:t>Number of Responses Per Respondent</w:t>
            </w:r>
          </w:p>
        </w:tc>
        <w:tc>
          <w:tcPr>
            <w:tcW w:w="676" w:type="pct"/>
            <w:tcBorders>
              <w:top w:val="single" w:sz="8" w:space="0" w:color="7F7F7F"/>
              <w:left w:val="nil"/>
              <w:bottom w:val="nil"/>
              <w:right w:val="single" w:sz="4" w:space="0" w:color="auto"/>
            </w:tcBorders>
            <w:shd w:val="clear" w:color="000000" w:fill="C3C6A8"/>
          </w:tcPr>
          <w:p w14:paraId="4C352CE3" w14:textId="77777777" w:rsidR="0068297D" w:rsidRDefault="0068297D" w:rsidP="00160F6C">
            <w:pPr>
              <w:spacing w:after="0" w:line="240" w:lineRule="auto"/>
              <w:jc w:val="center"/>
              <w:rPr>
                <w:rFonts w:ascii="Arial Narrow" w:hAnsi="Arial Narrow" w:cs="Calibri"/>
                <w:b/>
                <w:bCs/>
                <w:color w:val="000000"/>
                <w:sz w:val="16"/>
                <w:szCs w:val="16"/>
              </w:rPr>
            </w:pPr>
          </w:p>
          <w:p w14:paraId="2033B9FF" w14:textId="68096A05" w:rsidR="0068297D" w:rsidRPr="00AD2DB3" w:rsidRDefault="0068297D" w:rsidP="00160F6C">
            <w:pPr>
              <w:spacing w:after="0" w:line="240" w:lineRule="auto"/>
              <w:jc w:val="center"/>
              <w:rPr>
                <w:rFonts w:ascii="Arial Narrow" w:hAnsi="Arial Narrow" w:cs="Calibri"/>
                <w:b/>
                <w:bCs/>
                <w:color w:val="000000"/>
                <w:sz w:val="16"/>
                <w:szCs w:val="16"/>
              </w:rPr>
            </w:pPr>
            <w:r w:rsidRPr="000B77A1">
              <w:rPr>
                <w:rFonts w:ascii="Arial Narrow" w:hAnsi="Arial Narrow" w:cs="Calibri"/>
                <w:b/>
                <w:bCs/>
                <w:color w:val="000000"/>
                <w:sz w:val="16"/>
                <w:szCs w:val="16"/>
              </w:rPr>
              <w:t>Total Number of Responses</w:t>
            </w:r>
          </w:p>
        </w:tc>
        <w:tc>
          <w:tcPr>
            <w:tcW w:w="632" w:type="pct"/>
            <w:tcBorders>
              <w:top w:val="single" w:sz="8" w:space="0" w:color="7F7F7F"/>
              <w:left w:val="single" w:sz="4" w:space="0" w:color="auto"/>
              <w:bottom w:val="nil"/>
              <w:right w:val="single" w:sz="8" w:space="0" w:color="7F7F7F"/>
            </w:tcBorders>
            <w:shd w:val="clear" w:color="000000" w:fill="C3C6A8"/>
            <w:vAlign w:val="center"/>
            <w:hideMark/>
          </w:tcPr>
          <w:p w14:paraId="2631B663" w14:textId="376B2656" w:rsidR="0068297D" w:rsidRPr="00AD2DB3" w:rsidRDefault="0068297D" w:rsidP="00160F6C">
            <w:pPr>
              <w:spacing w:after="0" w:line="240" w:lineRule="auto"/>
              <w:jc w:val="center"/>
              <w:rPr>
                <w:rFonts w:ascii="Arial Narrow" w:hAnsi="Arial Narrow" w:cs="Calibri"/>
                <w:b/>
                <w:bCs/>
                <w:color w:val="000000"/>
                <w:sz w:val="16"/>
                <w:szCs w:val="16"/>
              </w:rPr>
            </w:pPr>
            <w:r w:rsidRPr="00AD2DB3">
              <w:rPr>
                <w:rFonts w:ascii="Arial Narrow" w:hAnsi="Arial Narrow" w:cs="Calibri"/>
                <w:b/>
                <w:bCs/>
                <w:color w:val="000000"/>
                <w:sz w:val="16"/>
                <w:szCs w:val="16"/>
              </w:rPr>
              <w:t>Average Burden Hours Per Response</w:t>
            </w:r>
            <w:r>
              <w:rPr>
                <w:rFonts w:ascii="Arial Narrow" w:hAnsi="Arial Narrow" w:cs="Calibri"/>
                <w:b/>
                <w:bCs/>
                <w:color w:val="000000"/>
                <w:sz w:val="16"/>
                <w:szCs w:val="16"/>
              </w:rPr>
              <w:t xml:space="preserve"> (in Hours)</w:t>
            </w:r>
          </w:p>
        </w:tc>
        <w:tc>
          <w:tcPr>
            <w:tcW w:w="674" w:type="pct"/>
            <w:tcBorders>
              <w:top w:val="single" w:sz="8" w:space="0" w:color="7F7F7F"/>
              <w:left w:val="nil"/>
              <w:bottom w:val="nil"/>
              <w:right w:val="single" w:sz="8" w:space="0" w:color="7F7F7F"/>
            </w:tcBorders>
            <w:shd w:val="clear" w:color="000000" w:fill="C3C6A8"/>
            <w:vAlign w:val="center"/>
            <w:hideMark/>
          </w:tcPr>
          <w:p w14:paraId="099D34E4" w14:textId="4F1A9C7D" w:rsidR="0068297D" w:rsidRPr="00AD2DB3" w:rsidRDefault="0068297D" w:rsidP="00160F6C">
            <w:pPr>
              <w:spacing w:after="0" w:line="240" w:lineRule="auto"/>
              <w:jc w:val="center"/>
              <w:rPr>
                <w:rFonts w:ascii="Arial Narrow" w:hAnsi="Arial Narrow" w:cs="Calibri"/>
                <w:b/>
                <w:bCs/>
                <w:color w:val="000000"/>
                <w:sz w:val="16"/>
                <w:szCs w:val="16"/>
              </w:rPr>
            </w:pPr>
            <w:r>
              <w:rPr>
                <w:rFonts w:ascii="Arial Narrow" w:hAnsi="Arial Narrow" w:cs="Calibri"/>
                <w:b/>
                <w:bCs/>
                <w:color w:val="000000"/>
                <w:sz w:val="16"/>
                <w:szCs w:val="16"/>
              </w:rPr>
              <w:t xml:space="preserve">Total </w:t>
            </w:r>
            <w:r w:rsidRPr="00AD2DB3">
              <w:rPr>
                <w:rFonts w:ascii="Arial Narrow" w:hAnsi="Arial Narrow" w:cs="Calibri"/>
                <w:b/>
                <w:bCs/>
                <w:color w:val="000000"/>
                <w:sz w:val="16"/>
                <w:szCs w:val="16"/>
              </w:rPr>
              <w:t>Annual Burden Hours</w:t>
            </w:r>
          </w:p>
        </w:tc>
      </w:tr>
      <w:tr w:rsidR="0068297D" w:rsidRPr="00AD2DB3" w14:paraId="43F7D1ED"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auto" w:fill="auto"/>
            <w:vAlign w:val="center"/>
            <w:hideMark/>
          </w:tcPr>
          <w:p w14:paraId="60B0C4F2"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Baseline Information Form (BIF)</w:t>
            </w:r>
          </w:p>
        </w:tc>
        <w:tc>
          <w:tcPr>
            <w:tcW w:w="630" w:type="pct"/>
            <w:tcBorders>
              <w:top w:val="nil"/>
              <w:left w:val="nil"/>
              <w:bottom w:val="single" w:sz="8" w:space="0" w:color="7F7F7F"/>
              <w:right w:val="single" w:sz="8" w:space="0" w:color="7F7F7F"/>
            </w:tcBorders>
            <w:shd w:val="clear" w:color="auto" w:fill="auto"/>
            <w:vAlign w:val="center"/>
            <w:hideMark/>
          </w:tcPr>
          <w:p w14:paraId="72E63012" w14:textId="179662C4"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733</w:t>
            </w:r>
            <w:r w:rsidRPr="00236B01">
              <w:rPr>
                <w:vertAlign w:val="superscript"/>
              </w:rPr>
              <w:t xml:space="preserve"> a</w:t>
            </w:r>
          </w:p>
        </w:tc>
        <w:tc>
          <w:tcPr>
            <w:tcW w:w="634" w:type="pct"/>
            <w:tcBorders>
              <w:top w:val="nil"/>
              <w:left w:val="nil"/>
              <w:bottom w:val="single" w:sz="8" w:space="0" w:color="7F7F7F"/>
              <w:right w:val="single" w:sz="8" w:space="0" w:color="7F7F7F"/>
            </w:tcBorders>
            <w:shd w:val="clear" w:color="auto" w:fill="auto"/>
            <w:vAlign w:val="center"/>
            <w:hideMark/>
          </w:tcPr>
          <w:p w14:paraId="03CF04C6"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6" w:type="pct"/>
            <w:tcBorders>
              <w:top w:val="nil"/>
              <w:left w:val="nil"/>
              <w:bottom w:val="single" w:sz="8" w:space="0" w:color="7F7F7F"/>
              <w:right w:val="single" w:sz="4" w:space="0" w:color="auto"/>
            </w:tcBorders>
            <w:vAlign w:val="center"/>
          </w:tcPr>
          <w:p w14:paraId="0BB0FF5F" w14:textId="0CBEEE58" w:rsidR="0068297D" w:rsidRPr="00AD2DB3" w:rsidRDefault="0068297D" w:rsidP="000B77A1">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733</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37F6D880" w14:textId="3710E6F9"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0.33</w:t>
            </w:r>
            <w:r>
              <w:t xml:space="preserve"> </w:t>
            </w:r>
            <w:r w:rsidRPr="000B7643">
              <w:rPr>
                <w:vertAlign w:val="superscript"/>
              </w:rPr>
              <w:t>b</w:t>
            </w:r>
          </w:p>
        </w:tc>
        <w:tc>
          <w:tcPr>
            <w:tcW w:w="674" w:type="pct"/>
            <w:tcBorders>
              <w:top w:val="nil"/>
              <w:left w:val="nil"/>
              <w:bottom w:val="single" w:sz="8" w:space="0" w:color="7F7F7F"/>
              <w:right w:val="single" w:sz="8" w:space="0" w:color="7F7F7F"/>
            </w:tcBorders>
            <w:shd w:val="clear" w:color="auto" w:fill="auto"/>
            <w:vAlign w:val="center"/>
            <w:hideMark/>
          </w:tcPr>
          <w:p w14:paraId="0E007219"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242</w:t>
            </w:r>
          </w:p>
        </w:tc>
      </w:tr>
      <w:tr w:rsidR="0068297D" w:rsidRPr="00AD2DB3" w14:paraId="4A9210FF" w14:textId="77777777" w:rsidTr="0068297D">
        <w:trPr>
          <w:trHeight w:val="490"/>
        </w:trPr>
        <w:tc>
          <w:tcPr>
            <w:tcW w:w="1755" w:type="pct"/>
            <w:tcBorders>
              <w:top w:val="nil"/>
              <w:left w:val="single" w:sz="8" w:space="0" w:color="7F7F7F"/>
              <w:bottom w:val="single" w:sz="8" w:space="0" w:color="7F7F7F"/>
              <w:right w:val="single" w:sz="8" w:space="0" w:color="7F7F7F"/>
            </w:tcBorders>
            <w:shd w:val="clear" w:color="000000" w:fill="DBDBDB"/>
            <w:vAlign w:val="bottom"/>
            <w:hideMark/>
          </w:tcPr>
          <w:p w14:paraId="153D37E8" w14:textId="6D2A2611"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Academy Director, College and Career Dean, and College Preparation Manager</w:t>
            </w:r>
          </w:p>
        </w:tc>
        <w:tc>
          <w:tcPr>
            <w:tcW w:w="630" w:type="pct"/>
            <w:tcBorders>
              <w:top w:val="nil"/>
              <w:left w:val="nil"/>
              <w:bottom w:val="single" w:sz="8" w:space="0" w:color="7F7F7F"/>
              <w:right w:val="single" w:sz="8" w:space="0" w:color="7F7F7F"/>
            </w:tcBorders>
            <w:shd w:val="clear" w:color="000000" w:fill="DBDBDB"/>
            <w:vAlign w:val="center"/>
            <w:hideMark/>
          </w:tcPr>
          <w:p w14:paraId="727A8315"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4</w:t>
            </w:r>
          </w:p>
        </w:tc>
        <w:tc>
          <w:tcPr>
            <w:tcW w:w="634" w:type="pct"/>
            <w:tcBorders>
              <w:top w:val="nil"/>
              <w:left w:val="nil"/>
              <w:bottom w:val="single" w:sz="8" w:space="0" w:color="7F7F7F"/>
              <w:right w:val="single" w:sz="8" w:space="0" w:color="7F7F7F"/>
            </w:tcBorders>
            <w:shd w:val="clear" w:color="000000" w:fill="DBDBDB"/>
            <w:vAlign w:val="center"/>
            <w:hideMark/>
          </w:tcPr>
          <w:p w14:paraId="61039EC9"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1.25</w:t>
            </w:r>
          </w:p>
        </w:tc>
        <w:tc>
          <w:tcPr>
            <w:tcW w:w="676" w:type="pct"/>
            <w:tcBorders>
              <w:top w:val="nil"/>
              <w:left w:val="nil"/>
              <w:bottom w:val="single" w:sz="8" w:space="0" w:color="7F7F7F"/>
              <w:right w:val="single" w:sz="4" w:space="0" w:color="auto"/>
            </w:tcBorders>
            <w:shd w:val="clear" w:color="000000" w:fill="DBDBDB"/>
            <w:vAlign w:val="center"/>
          </w:tcPr>
          <w:p w14:paraId="118AE4BD" w14:textId="556F90D3"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5</w:t>
            </w:r>
          </w:p>
        </w:tc>
        <w:tc>
          <w:tcPr>
            <w:tcW w:w="632" w:type="pct"/>
            <w:tcBorders>
              <w:top w:val="nil"/>
              <w:left w:val="single" w:sz="4" w:space="0" w:color="auto"/>
              <w:bottom w:val="single" w:sz="8" w:space="0" w:color="7F7F7F"/>
              <w:right w:val="single" w:sz="8" w:space="0" w:color="7F7F7F"/>
            </w:tcBorders>
            <w:shd w:val="clear" w:color="000000" w:fill="DBDBDB"/>
            <w:vAlign w:val="center"/>
            <w:hideMark/>
          </w:tcPr>
          <w:p w14:paraId="62EF5D0F" w14:textId="2041A606"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1.5</w:t>
            </w:r>
          </w:p>
        </w:tc>
        <w:tc>
          <w:tcPr>
            <w:tcW w:w="674" w:type="pct"/>
            <w:tcBorders>
              <w:top w:val="nil"/>
              <w:left w:val="nil"/>
              <w:bottom w:val="single" w:sz="8" w:space="0" w:color="7F7F7F"/>
              <w:right w:val="single" w:sz="8" w:space="0" w:color="7F7F7F"/>
            </w:tcBorders>
            <w:shd w:val="clear" w:color="000000" w:fill="DBDBDB"/>
            <w:vAlign w:val="center"/>
            <w:hideMark/>
          </w:tcPr>
          <w:p w14:paraId="7858863B"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8</w:t>
            </w:r>
          </w:p>
        </w:tc>
      </w:tr>
      <w:tr w:rsidR="0068297D" w:rsidRPr="00AD2DB3" w14:paraId="46291728" w14:textId="77777777" w:rsidTr="0068297D">
        <w:trPr>
          <w:trHeight w:val="490"/>
        </w:trPr>
        <w:tc>
          <w:tcPr>
            <w:tcW w:w="1755" w:type="pct"/>
            <w:tcBorders>
              <w:top w:val="nil"/>
              <w:left w:val="single" w:sz="8" w:space="0" w:color="7F7F7F"/>
              <w:bottom w:val="single" w:sz="8" w:space="0" w:color="7F7F7F"/>
              <w:right w:val="single" w:sz="8" w:space="0" w:color="7F7F7F"/>
            </w:tcBorders>
            <w:shd w:val="clear" w:color="auto" w:fill="auto"/>
            <w:vAlign w:val="bottom"/>
            <w:hideMark/>
          </w:tcPr>
          <w:p w14:paraId="60A2E7F8"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Admission and Placement Director and Placement Officer</w:t>
            </w:r>
          </w:p>
        </w:tc>
        <w:tc>
          <w:tcPr>
            <w:tcW w:w="630" w:type="pct"/>
            <w:tcBorders>
              <w:top w:val="nil"/>
              <w:left w:val="nil"/>
              <w:bottom w:val="single" w:sz="8" w:space="0" w:color="7F7F7F"/>
              <w:right w:val="single" w:sz="8" w:space="0" w:color="7F7F7F"/>
            </w:tcBorders>
            <w:shd w:val="clear" w:color="auto" w:fill="auto"/>
            <w:vAlign w:val="center"/>
            <w:hideMark/>
          </w:tcPr>
          <w:p w14:paraId="65F83BBA"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0.67</w:t>
            </w:r>
          </w:p>
        </w:tc>
        <w:tc>
          <w:tcPr>
            <w:tcW w:w="634" w:type="pct"/>
            <w:tcBorders>
              <w:top w:val="nil"/>
              <w:left w:val="nil"/>
              <w:bottom w:val="single" w:sz="8" w:space="0" w:color="7F7F7F"/>
              <w:right w:val="single" w:sz="8" w:space="0" w:color="7F7F7F"/>
            </w:tcBorders>
            <w:shd w:val="clear" w:color="auto" w:fill="auto"/>
            <w:vAlign w:val="center"/>
            <w:hideMark/>
          </w:tcPr>
          <w:p w14:paraId="7F184242"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1.5</w:t>
            </w:r>
          </w:p>
        </w:tc>
        <w:tc>
          <w:tcPr>
            <w:tcW w:w="676" w:type="pct"/>
            <w:tcBorders>
              <w:top w:val="nil"/>
              <w:left w:val="nil"/>
              <w:bottom w:val="single" w:sz="8" w:space="0" w:color="7F7F7F"/>
              <w:right w:val="single" w:sz="4" w:space="0" w:color="auto"/>
            </w:tcBorders>
            <w:vAlign w:val="center"/>
          </w:tcPr>
          <w:p w14:paraId="7A89560A" w14:textId="554EF6A7"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1</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60B2C933" w14:textId="1875CEC0"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1.33</w:t>
            </w:r>
          </w:p>
        </w:tc>
        <w:tc>
          <w:tcPr>
            <w:tcW w:w="674" w:type="pct"/>
            <w:tcBorders>
              <w:top w:val="nil"/>
              <w:left w:val="nil"/>
              <w:bottom w:val="single" w:sz="8" w:space="0" w:color="7F7F7F"/>
              <w:right w:val="single" w:sz="8" w:space="0" w:color="7F7F7F"/>
            </w:tcBorders>
            <w:shd w:val="clear" w:color="auto" w:fill="auto"/>
            <w:vAlign w:val="center"/>
            <w:hideMark/>
          </w:tcPr>
          <w:p w14:paraId="5D9E0379"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r>
      <w:tr w:rsidR="0068297D" w:rsidRPr="00AD2DB3" w14:paraId="12813C5C" w14:textId="77777777" w:rsidTr="0068297D">
        <w:trPr>
          <w:trHeight w:val="720"/>
        </w:trPr>
        <w:tc>
          <w:tcPr>
            <w:tcW w:w="1755" w:type="pct"/>
            <w:tcBorders>
              <w:top w:val="nil"/>
              <w:left w:val="single" w:sz="8" w:space="0" w:color="7F7F7F"/>
              <w:bottom w:val="single" w:sz="8" w:space="0" w:color="7F7F7F"/>
              <w:right w:val="single" w:sz="8" w:space="0" w:color="7F7F7F"/>
            </w:tcBorders>
            <w:shd w:val="clear" w:color="000000" w:fill="DBDBDB"/>
            <w:vAlign w:val="bottom"/>
            <w:hideMark/>
          </w:tcPr>
          <w:p w14:paraId="316A3279"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IT Pathway Manager and Healthcare Pathway Manager (use for Training Pathway Managers at Traditional Centers)</w:t>
            </w:r>
          </w:p>
        </w:tc>
        <w:tc>
          <w:tcPr>
            <w:tcW w:w="630" w:type="pct"/>
            <w:tcBorders>
              <w:top w:val="nil"/>
              <w:left w:val="nil"/>
              <w:bottom w:val="single" w:sz="8" w:space="0" w:color="7F7F7F"/>
              <w:right w:val="single" w:sz="8" w:space="0" w:color="7F7F7F"/>
            </w:tcBorders>
            <w:shd w:val="clear" w:color="000000" w:fill="DBDBDB"/>
            <w:vAlign w:val="center"/>
            <w:hideMark/>
          </w:tcPr>
          <w:p w14:paraId="0DB80EC7"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2.67</w:t>
            </w:r>
          </w:p>
        </w:tc>
        <w:tc>
          <w:tcPr>
            <w:tcW w:w="634" w:type="pct"/>
            <w:tcBorders>
              <w:top w:val="nil"/>
              <w:left w:val="nil"/>
              <w:bottom w:val="single" w:sz="8" w:space="0" w:color="7F7F7F"/>
              <w:right w:val="single" w:sz="8" w:space="0" w:color="7F7F7F"/>
            </w:tcBorders>
            <w:shd w:val="clear" w:color="000000" w:fill="DBDBDB"/>
            <w:vAlign w:val="center"/>
            <w:hideMark/>
          </w:tcPr>
          <w:p w14:paraId="691BB205"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1.25</w:t>
            </w:r>
          </w:p>
        </w:tc>
        <w:tc>
          <w:tcPr>
            <w:tcW w:w="676" w:type="pct"/>
            <w:tcBorders>
              <w:top w:val="nil"/>
              <w:left w:val="nil"/>
              <w:bottom w:val="single" w:sz="8" w:space="0" w:color="7F7F7F"/>
              <w:right w:val="single" w:sz="4" w:space="0" w:color="auto"/>
            </w:tcBorders>
            <w:shd w:val="clear" w:color="000000" w:fill="DBDBDB"/>
            <w:vAlign w:val="center"/>
          </w:tcPr>
          <w:p w14:paraId="5C6F3789" w14:textId="12A56CF5"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3</w:t>
            </w:r>
          </w:p>
        </w:tc>
        <w:tc>
          <w:tcPr>
            <w:tcW w:w="632" w:type="pct"/>
            <w:tcBorders>
              <w:top w:val="nil"/>
              <w:left w:val="single" w:sz="4" w:space="0" w:color="auto"/>
              <w:bottom w:val="single" w:sz="8" w:space="0" w:color="7F7F7F"/>
              <w:right w:val="single" w:sz="8" w:space="0" w:color="7F7F7F"/>
            </w:tcBorders>
            <w:shd w:val="clear" w:color="000000" w:fill="DBDBDB"/>
            <w:vAlign w:val="center"/>
            <w:hideMark/>
          </w:tcPr>
          <w:p w14:paraId="66895FD4" w14:textId="01B6C9FA"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4" w:type="pct"/>
            <w:tcBorders>
              <w:top w:val="nil"/>
              <w:left w:val="nil"/>
              <w:bottom w:val="single" w:sz="8" w:space="0" w:color="7F7F7F"/>
              <w:right w:val="single" w:sz="8" w:space="0" w:color="7F7F7F"/>
            </w:tcBorders>
            <w:shd w:val="clear" w:color="000000" w:fill="DBDBDB"/>
            <w:vAlign w:val="center"/>
            <w:hideMark/>
          </w:tcPr>
          <w:p w14:paraId="68513AAB"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3</w:t>
            </w:r>
          </w:p>
        </w:tc>
      </w:tr>
      <w:tr w:rsidR="0068297D" w:rsidRPr="00AD2DB3" w14:paraId="521FF890"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auto" w:fill="auto"/>
            <w:vAlign w:val="bottom"/>
            <w:hideMark/>
          </w:tcPr>
          <w:p w14:paraId="02F55DBB"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Social Development Director</w:t>
            </w:r>
          </w:p>
        </w:tc>
        <w:tc>
          <w:tcPr>
            <w:tcW w:w="630" w:type="pct"/>
            <w:tcBorders>
              <w:top w:val="nil"/>
              <w:left w:val="nil"/>
              <w:bottom w:val="single" w:sz="8" w:space="0" w:color="7F7F7F"/>
              <w:right w:val="single" w:sz="8" w:space="0" w:color="7F7F7F"/>
            </w:tcBorders>
            <w:shd w:val="clear" w:color="auto" w:fill="auto"/>
            <w:vAlign w:val="center"/>
            <w:hideMark/>
          </w:tcPr>
          <w:p w14:paraId="614D9511"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4.00</w:t>
            </w:r>
          </w:p>
        </w:tc>
        <w:tc>
          <w:tcPr>
            <w:tcW w:w="634" w:type="pct"/>
            <w:tcBorders>
              <w:top w:val="nil"/>
              <w:left w:val="nil"/>
              <w:bottom w:val="single" w:sz="8" w:space="0" w:color="7F7F7F"/>
              <w:right w:val="single" w:sz="8" w:space="0" w:color="7F7F7F"/>
            </w:tcBorders>
            <w:shd w:val="clear" w:color="auto" w:fill="auto"/>
            <w:vAlign w:val="center"/>
            <w:hideMark/>
          </w:tcPr>
          <w:p w14:paraId="785C8776"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1.25</w:t>
            </w:r>
          </w:p>
        </w:tc>
        <w:tc>
          <w:tcPr>
            <w:tcW w:w="676" w:type="pct"/>
            <w:tcBorders>
              <w:top w:val="nil"/>
              <w:left w:val="nil"/>
              <w:bottom w:val="single" w:sz="8" w:space="0" w:color="7F7F7F"/>
              <w:right w:val="single" w:sz="4" w:space="0" w:color="auto"/>
            </w:tcBorders>
            <w:vAlign w:val="center"/>
          </w:tcPr>
          <w:p w14:paraId="27016286" w14:textId="7680B59F"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5</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10C5B55A" w14:textId="31B27A0F"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4" w:type="pct"/>
            <w:tcBorders>
              <w:top w:val="nil"/>
              <w:left w:val="nil"/>
              <w:bottom w:val="single" w:sz="8" w:space="0" w:color="7F7F7F"/>
              <w:right w:val="single" w:sz="8" w:space="0" w:color="7F7F7F"/>
            </w:tcBorders>
            <w:shd w:val="clear" w:color="auto" w:fill="auto"/>
            <w:vAlign w:val="center"/>
            <w:hideMark/>
          </w:tcPr>
          <w:p w14:paraId="058CDFE6"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5</w:t>
            </w:r>
          </w:p>
        </w:tc>
      </w:tr>
      <w:tr w:rsidR="0068297D" w:rsidRPr="00AD2DB3" w14:paraId="5C3C12CC" w14:textId="77777777" w:rsidTr="0068297D">
        <w:trPr>
          <w:trHeight w:val="490"/>
        </w:trPr>
        <w:tc>
          <w:tcPr>
            <w:tcW w:w="1755" w:type="pct"/>
            <w:tcBorders>
              <w:top w:val="nil"/>
              <w:left w:val="single" w:sz="8" w:space="0" w:color="7F7F7F"/>
              <w:bottom w:val="single" w:sz="8" w:space="0" w:color="7F7F7F"/>
              <w:right w:val="single" w:sz="8" w:space="0" w:color="7F7F7F"/>
            </w:tcBorders>
            <w:shd w:val="clear" w:color="000000" w:fill="DBDBDB"/>
            <w:vAlign w:val="bottom"/>
            <w:hideMark/>
          </w:tcPr>
          <w:p w14:paraId="2F8F8A46"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Skagit Valley College Liaison and Sedro-Wooley School District Liaison</w:t>
            </w:r>
          </w:p>
        </w:tc>
        <w:tc>
          <w:tcPr>
            <w:tcW w:w="630" w:type="pct"/>
            <w:tcBorders>
              <w:top w:val="nil"/>
              <w:left w:val="nil"/>
              <w:bottom w:val="single" w:sz="8" w:space="0" w:color="7F7F7F"/>
              <w:right w:val="single" w:sz="8" w:space="0" w:color="7F7F7F"/>
            </w:tcBorders>
            <w:shd w:val="clear" w:color="000000" w:fill="DBDBDB"/>
            <w:vAlign w:val="center"/>
            <w:hideMark/>
          </w:tcPr>
          <w:p w14:paraId="2EC96C7C"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0.67</w:t>
            </w:r>
          </w:p>
        </w:tc>
        <w:tc>
          <w:tcPr>
            <w:tcW w:w="634" w:type="pct"/>
            <w:tcBorders>
              <w:top w:val="nil"/>
              <w:left w:val="nil"/>
              <w:bottom w:val="single" w:sz="8" w:space="0" w:color="7F7F7F"/>
              <w:right w:val="single" w:sz="8" w:space="0" w:color="7F7F7F"/>
            </w:tcBorders>
            <w:shd w:val="clear" w:color="000000" w:fill="DBDBDB"/>
            <w:vAlign w:val="center"/>
            <w:hideMark/>
          </w:tcPr>
          <w:p w14:paraId="00538D85"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2</w:t>
            </w:r>
          </w:p>
        </w:tc>
        <w:tc>
          <w:tcPr>
            <w:tcW w:w="676" w:type="pct"/>
            <w:tcBorders>
              <w:top w:val="nil"/>
              <w:left w:val="nil"/>
              <w:bottom w:val="single" w:sz="8" w:space="0" w:color="7F7F7F"/>
              <w:right w:val="single" w:sz="4" w:space="0" w:color="auto"/>
            </w:tcBorders>
            <w:shd w:val="clear" w:color="000000" w:fill="DBDBDB"/>
            <w:vAlign w:val="center"/>
          </w:tcPr>
          <w:p w14:paraId="1A2F06C5" w14:textId="6F51BE9B"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1</w:t>
            </w:r>
          </w:p>
        </w:tc>
        <w:tc>
          <w:tcPr>
            <w:tcW w:w="632" w:type="pct"/>
            <w:tcBorders>
              <w:top w:val="nil"/>
              <w:left w:val="single" w:sz="4" w:space="0" w:color="auto"/>
              <w:bottom w:val="single" w:sz="8" w:space="0" w:color="7F7F7F"/>
              <w:right w:val="single" w:sz="8" w:space="0" w:color="7F7F7F"/>
            </w:tcBorders>
            <w:shd w:val="clear" w:color="000000" w:fill="DBDBDB"/>
            <w:vAlign w:val="center"/>
            <w:hideMark/>
          </w:tcPr>
          <w:p w14:paraId="2068CAD6" w14:textId="7B2D76AF"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0.5</w:t>
            </w:r>
          </w:p>
        </w:tc>
        <w:tc>
          <w:tcPr>
            <w:tcW w:w="674" w:type="pct"/>
            <w:tcBorders>
              <w:top w:val="nil"/>
              <w:left w:val="nil"/>
              <w:bottom w:val="single" w:sz="8" w:space="0" w:color="7F7F7F"/>
              <w:right w:val="single" w:sz="8" w:space="0" w:color="7F7F7F"/>
            </w:tcBorders>
            <w:shd w:val="clear" w:color="000000" w:fill="DBDBDB"/>
            <w:vAlign w:val="center"/>
            <w:hideMark/>
          </w:tcPr>
          <w:p w14:paraId="258F28F0"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r>
      <w:tr w:rsidR="0068297D" w:rsidRPr="00AD2DB3" w14:paraId="3639C21E"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auto" w:fill="auto"/>
            <w:vAlign w:val="bottom"/>
            <w:hideMark/>
          </w:tcPr>
          <w:p w14:paraId="07AA0A68"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Employer Calls</w:t>
            </w:r>
          </w:p>
        </w:tc>
        <w:tc>
          <w:tcPr>
            <w:tcW w:w="630" w:type="pct"/>
            <w:tcBorders>
              <w:top w:val="nil"/>
              <w:left w:val="nil"/>
              <w:bottom w:val="single" w:sz="8" w:space="0" w:color="7F7F7F"/>
              <w:right w:val="single" w:sz="8" w:space="0" w:color="7F7F7F"/>
            </w:tcBorders>
            <w:shd w:val="clear" w:color="auto" w:fill="auto"/>
            <w:vAlign w:val="center"/>
            <w:hideMark/>
          </w:tcPr>
          <w:p w14:paraId="2D3EFBD2"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34" w:type="pct"/>
            <w:tcBorders>
              <w:top w:val="nil"/>
              <w:left w:val="nil"/>
              <w:bottom w:val="single" w:sz="8" w:space="0" w:color="7F7F7F"/>
              <w:right w:val="single" w:sz="8" w:space="0" w:color="7F7F7F"/>
            </w:tcBorders>
            <w:shd w:val="clear" w:color="auto" w:fill="auto"/>
            <w:vAlign w:val="center"/>
            <w:hideMark/>
          </w:tcPr>
          <w:p w14:paraId="644F68B3"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6" w:type="pct"/>
            <w:tcBorders>
              <w:top w:val="nil"/>
              <w:left w:val="nil"/>
              <w:bottom w:val="single" w:sz="8" w:space="0" w:color="7F7F7F"/>
              <w:right w:val="single" w:sz="4" w:space="0" w:color="auto"/>
            </w:tcBorders>
            <w:vAlign w:val="center"/>
          </w:tcPr>
          <w:p w14:paraId="01653DF2" w14:textId="0A5D2458"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1</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55708AD2" w14:textId="19237C53"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0.5</w:t>
            </w:r>
          </w:p>
        </w:tc>
        <w:tc>
          <w:tcPr>
            <w:tcW w:w="674" w:type="pct"/>
            <w:tcBorders>
              <w:top w:val="nil"/>
              <w:left w:val="nil"/>
              <w:bottom w:val="single" w:sz="8" w:space="0" w:color="7F7F7F"/>
              <w:right w:val="single" w:sz="8" w:space="0" w:color="7F7F7F"/>
            </w:tcBorders>
            <w:shd w:val="clear" w:color="auto" w:fill="auto"/>
            <w:vAlign w:val="center"/>
            <w:hideMark/>
          </w:tcPr>
          <w:p w14:paraId="2FA16725"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r>
      <w:tr w:rsidR="0068297D" w:rsidRPr="00AD2DB3" w14:paraId="1F4B3DCA"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000000" w:fill="DBDBDB"/>
            <w:vAlign w:val="bottom"/>
            <w:hideMark/>
          </w:tcPr>
          <w:p w14:paraId="60D8BF2E"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Other Center Directors</w:t>
            </w:r>
          </w:p>
        </w:tc>
        <w:tc>
          <w:tcPr>
            <w:tcW w:w="630" w:type="pct"/>
            <w:tcBorders>
              <w:top w:val="nil"/>
              <w:left w:val="nil"/>
              <w:bottom w:val="single" w:sz="8" w:space="0" w:color="7F7F7F"/>
              <w:right w:val="single" w:sz="8" w:space="0" w:color="7F7F7F"/>
            </w:tcBorders>
            <w:shd w:val="clear" w:color="000000" w:fill="DBDBDB"/>
            <w:vAlign w:val="center"/>
            <w:hideMark/>
          </w:tcPr>
          <w:p w14:paraId="71E096CD"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34" w:type="pct"/>
            <w:tcBorders>
              <w:top w:val="nil"/>
              <w:left w:val="nil"/>
              <w:bottom w:val="single" w:sz="8" w:space="0" w:color="7F7F7F"/>
              <w:right w:val="single" w:sz="8" w:space="0" w:color="7F7F7F"/>
            </w:tcBorders>
            <w:shd w:val="clear" w:color="000000" w:fill="DBDBDB"/>
            <w:vAlign w:val="center"/>
            <w:hideMark/>
          </w:tcPr>
          <w:p w14:paraId="50063C5E"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2</w:t>
            </w:r>
          </w:p>
        </w:tc>
        <w:tc>
          <w:tcPr>
            <w:tcW w:w="676" w:type="pct"/>
            <w:tcBorders>
              <w:top w:val="nil"/>
              <w:left w:val="nil"/>
              <w:bottom w:val="single" w:sz="8" w:space="0" w:color="7F7F7F"/>
              <w:right w:val="single" w:sz="4" w:space="0" w:color="auto"/>
            </w:tcBorders>
            <w:shd w:val="clear" w:color="000000" w:fill="DBDBDB"/>
            <w:vAlign w:val="center"/>
          </w:tcPr>
          <w:p w14:paraId="1718D068" w14:textId="0B76AF57"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2</w:t>
            </w:r>
          </w:p>
        </w:tc>
        <w:tc>
          <w:tcPr>
            <w:tcW w:w="632" w:type="pct"/>
            <w:tcBorders>
              <w:top w:val="nil"/>
              <w:left w:val="single" w:sz="4" w:space="0" w:color="auto"/>
              <w:bottom w:val="single" w:sz="8" w:space="0" w:color="7F7F7F"/>
              <w:right w:val="single" w:sz="8" w:space="0" w:color="7F7F7F"/>
            </w:tcBorders>
            <w:shd w:val="clear" w:color="000000" w:fill="DBDBDB"/>
            <w:vAlign w:val="center"/>
            <w:hideMark/>
          </w:tcPr>
          <w:p w14:paraId="1A46D2C5" w14:textId="24060C76"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4" w:type="pct"/>
            <w:tcBorders>
              <w:top w:val="nil"/>
              <w:left w:val="nil"/>
              <w:bottom w:val="single" w:sz="8" w:space="0" w:color="7F7F7F"/>
              <w:right w:val="single" w:sz="8" w:space="0" w:color="7F7F7F"/>
            </w:tcBorders>
            <w:shd w:val="clear" w:color="000000" w:fill="DBDBDB"/>
            <w:vAlign w:val="center"/>
            <w:hideMark/>
          </w:tcPr>
          <w:p w14:paraId="5688AE47"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2</w:t>
            </w:r>
          </w:p>
        </w:tc>
      </w:tr>
      <w:tr w:rsidR="0068297D" w:rsidRPr="00AD2DB3" w14:paraId="3F6F1AA5"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auto" w:fill="auto"/>
            <w:vAlign w:val="bottom"/>
            <w:hideMark/>
          </w:tcPr>
          <w:p w14:paraId="248E22E9"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Interview Protocol – Student Focus Group</w:t>
            </w:r>
          </w:p>
        </w:tc>
        <w:tc>
          <w:tcPr>
            <w:tcW w:w="630" w:type="pct"/>
            <w:tcBorders>
              <w:top w:val="nil"/>
              <w:left w:val="nil"/>
              <w:bottom w:val="single" w:sz="8" w:space="0" w:color="7F7F7F"/>
              <w:right w:val="single" w:sz="8" w:space="0" w:color="7F7F7F"/>
            </w:tcBorders>
            <w:shd w:val="clear" w:color="auto" w:fill="auto"/>
            <w:vAlign w:val="center"/>
            <w:hideMark/>
          </w:tcPr>
          <w:p w14:paraId="0F6A5915"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40</w:t>
            </w:r>
          </w:p>
        </w:tc>
        <w:tc>
          <w:tcPr>
            <w:tcW w:w="634" w:type="pct"/>
            <w:tcBorders>
              <w:top w:val="nil"/>
              <w:left w:val="nil"/>
              <w:bottom w:val="single" w:sz="8" w:space="0" w:color="7F7F7F"/>
              <w:right w:val="single" w:sz="8" w:space="0" w:color="7F7F7F"/>
            </w:tcBorders>
            <w:shd w:val="clear" w:color="auto" w:fill="auto"/>
            <w:vAlign w:val="center"/>
            <w:hideMark/>
          </w:tcPr>
          <w:p w14:paraId="7DE827CF"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6" w:type="pct"/>
            <w:tcBorders>
              <w:top w:val="nil"/>
              <w:left w:val="nil"/>
              <w:bottom w:val="single" w:sz="8" w:space="0" w:color="7F7F7F"/>
              <w:right w:val="single" w:sz="4" w:space="0" w:color="auto"/>
            </w:tcBorders>
            <w:vAlign w:val="center"/>
          </w:tcPr>
          <w:p w14:paraId="4A73E3C4" w14:textId="562F433E"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40</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4E4C1E58" w14:textId="2DFFD3FA"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w:t>
            </w:r>
          </w:p>
        </w:tc>
        <w:tc>
          <w:tcPr>
            <w:tcW w:w="674" w:type="pct"/>
            <w:tcBorders>
              <w:top w:val="nil"/>
              <w:left w:val="nil"/>
              <w:bottom w:val="single" w:sz="8" w:space="0" w:color="7F7F7F"/>
              <w:right w:val="single" w:sz="8" w:space="0" w:color="7F7F7F"/>
            </w:tcBorders>
            <w:shd w:val="clear" w:color="auto" w:fill="auto"/>
            <w:vAlign w:val="center"/>
            <w:hideMark/>
          </w:tcPr>
          <w:p w14:paraId="5EF7A8D6"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40</w:t>
            </w:r>
          </w:p>
        </w:tc>
      </w:tr>
      <w:tr w:rsidR="0068297D" w:rsidRPr="00AD2DB3" w14:paraId="644EAE87"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000000" w:fill="DBDBDB"/>
            <w:vAlign w:val="bottom"/>
            <w:hideMark/>
          </w:tcPr>
          <w:p w14:paraId="245E12E5" w14:textId="77777777" w:rsidR="0068297D" w:rsidRPr="00AD2DB3" w:rsidRDefault="0068297D" w:rsidP="00160F6C">
            <w:pPr>
              <w:spacing w:after="0" w:line="240" w:lineRule="auto"/>
              <w:rPr>
                <w:rFonts w:ascii="Arial Narrow" w:hAnsi="Arial Narrow" w:cs="Calibri"/>
                <w:color w:val="000000"/>
                <w:sz w:val="18"/>
                <w:szCs w:val="18"/>
              </w:rPr>
            </w:pPr>
            <w:r w:rsidRPr="00AD2DB3">
              <w:rPr>
                <w:rFonts w:ascii="Arial Narrow" w:hAnsi="Arial Narrow" w:cs="Calibri"/>
                <w:color w:val="000000"/>
                <w:sz w:val="18"/>
                <w:szCs w:val="18"/>
              </w:rPr>
              <w:t>Follow-up Tracking Form</w:t>
            </w:r>
          </w:p>
        </w:tc>
        <w:tc>
          <w:tcPr>
            <w:tcW w:w="630" w:type="pct"/>
            <w:tcBorders>
              <w:top w:val="nil"/>
              <w:left w:val="nil"/>
              <w:bottom w:val="single" w:sz="8" w:space="0" w:color="7F7F7F"/>
              <w:right w:val="single" w:sz="8" w:space="0" w:color="7F7F7F"/>
            </w:tcBorders>
            <w:shd w:val="clear" w:color="000000" w:fill="DBDBDB"/>
            <w:vAlign w:val="center"/>
            <w:hideMark/>
          </w:tcPr>
          <w:p w14:paraId="684621C5" w14:textId="367EF859"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733</w:t>
            </w:r>
            <w:r w:rsidRPr="00236B01">
              <w:rPr>
                <w:vertAlign w:val="superscript"/>
              </w:rPr>
              <w:t xml:space="preserve"> a</w:t>
            </w:r>
          </w:p>
        </w:tc>
        <w:tc>
          <w:tcPr>
            <w:tcW w:w="634" w:type="pct"/>
            <w:tcBorders>
              <w:top w:val="nil"/>
              <w:left w:val="nil"/>
              <w:bottom w:val="single" w:sz="8" w:space="0" w:color="7F7F7F"/>
              <w:right w:val="single" w:sz="8" w:space="0" w:color="7F7F7F"/>
            </w:tcBorders>
            <w:shd w:val="clear" w:color="000000" w:fill="DBDBDB"/>
            <w:vAlign w:val="center"/>
            <w:hideMark/>
          </w:tcPr>
          <w:p w14:paraId="658A6BFD" w14:textId="169CEB56"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1.5</w:t>
            </w:r>
            <w:r>
              <w:rPr>
                <w:rFonts w:ascii="Arial Narrow" w:hAnsi="Arial Narrow" w:cs="Calibri"/>
                <w:color w:val="000000"/>
                <w:sz w:val="18"/>
                <w:szCs w:val="18"/>
              </w:rPr>
              <w:t xml:space="preserve"> </w:t>
            </w:r>
            <w:r>
              <w:rPr>
                <w:vertAlign w:val="superscript"/>
              </w:rPr>
              <w:t>c</w:t>
            </w:r>
          </w:p>
        </w:tc>
        <w:tc>
          <w:tcPr>
            <w:tcW w:w="676" w:type="pct"/>
            <w:tcBorders>
              <w:top w:val="nil"/>
              <w:left w:val="nil"/>
              <w:bottom w:val="single" w:sz="8" w:space="0" w:color="7F7F7F"/>
              <w:right w:val="single" w:sz="4" w:space="0" w:color="auto"/>
            </w:tcBorders>
            <w:shd w:val="clear" w:color="000000" w:fill="DBDBDB"/>
            <w:vAlign w:val="center"/>
          </w:tcPr>
          <w:p w14:paraId="1EC9F3A2" w14:textId="7513B039" w:rsidR="0068297D" w:rsidRPr="00AD2DB3" w:rsidRDefault="0068297D" w:rsidP="00160F6C">
            <w:pPr>
              <w:spacing w:after="0" w:line="240" w:lineRule="auto"/>
              <w:jc w:val="center"/>
              <w:rPr>
                <w:rFonts w:ascii="Arial Narrow" w:hAnsi="Arial Narrow" w:cs="Calibri"/>
                <w:color w:val="000000"/>
                <w:sz w:val="18"/>
                <w:szCs w:val="18"/>
              </w:rPr>
            </w:pPr>
            <w:r>
              <w:rPr>
                <w:rFonts w:ascii="Arial Narrow" w:hAnsi="Arial Narrow" w:cs="Calibri"/>
                <w:color w:val="000000"/>
                <w:sz w:val="18"/>
                <w:szCs w:val="18"/>
              </w:rPr>
              <w:t>1,100</w:t>
            </w:r>
          </w:p>
        </w:tc>
        <w:tc>
          <w:tcPr>
            <w:tcW w:w="632" w:type="pct"/>
            <w:tcBorders>
              <w:top w:val="nil"/>
              <w:left w:val="single" w:sz="4" w:space="0" w:color="auto"/>
              <w:bottom w:val="single" w:sz="8" w:space="0" w:color="7F7F7F"/>
              <w:right w:val="single" w:sz="8" w:space="0" w:color="7F7F7F"/>
            </w:tcBorders>
            <w:shd w:val="clear" w:color="000000" w:fill="DBDBDB"/>
            <w:vAlign w:val="center"/>
            <w:hideMark/>
          </w:tcPr>
          <w:p w14:paraId="0A5DB88F" w14:textId="5AF5B26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0.1</w:t>
            </w:r>
          </w:p>
        </w:tc>
        <w:tc>
          <w:tcPr>
            <w:tcW w:w="674" w:type="pct"/>
            <w:tcBorders>
              <w:top w:val="nil"/>
              <w:left w:val="nil"/>
              <w:bottom w:val="single" w:sz="8" w:space="0" w:color="7F7F7F"/>
              <w:right w:val="single" w:sz="8" w:space="0" w:color="7F7F7F"/>
            </w:tcBorders>
            <w:shd w:val="clear" w:color="000000" w:fill="DBDBDB"/>
            <w:vAlign w:val="center"/>
            <w:hideMark/>
          </w:tcPr>
          <w:p w14:paraId="21CB73CF" w14:textId="77777777" w:rsidR="0068297D" w:rsidRPr="00AD2DB3" w:rsidRDefault="0068297D" w:rsidP="00160F6C">
            <w:pPr>
              <w:spacing w:after="0" w:line="240" w:lineRule="auto"/>
              <w:jc w:val="center"/>
              <w:rPr>
                <w:rFonts w:ascii="Arial Narrow" w:hAnsi="Arial Narrow" w:cs="Calibri"/>
                <w:color w:val="000000"/>
                <w:sz w:val="18"/>
                <w:szCs w:val="18"/>
              </w:rPr>
            </w:pPr>
            <w:r w:rsidRPr="00AD2DB3">
              <w:rPr>
                <w:rFonts w:ascii="Arial Narrow" w:hAnsi="Arial Narrow" w:cs="Calibri"/>
                <w:color w:val="000000"/>
                <w:sz w:val="18"/>
                <w:szCs w:val="18"/>
              </w:rPr>
              <w:t>110</w:t>
            </w:r>
          </w:p>
        </w:tc>
      </w:tr>
      <w:tr w:rsidR="0068297D" w:rsidRPr="00AD2DB3" w14:paraId="064AE37F" w14:textId="77777777" w:rsidTr="0068297D">
        <w:trPr>
          <w:trHeight w:val="300"/>
        </w:trPr>
        <w:tc>
          <w:tcPr>
            <w:tcW w:w="1755" w:type="pct"/>
            <w:tcBorders>
              <w:top w:val="nil"/>
              <w:left w:val="single" w:sz="8" w:space="0" w:color="7F7F7F"/>
              <w:bottom w:val="single" w:sz="8" w:space="0" w:color="7F7F7F"/>
              <w:right w:val="single" w:sz="8" w:space="0" w:color="7F7F7F"/>
            </w:tcBorders>
            <w:shd w:val="clear" w:color="auto" w:fill="auto"/>
            <w:vAlign w:val="center"/>
            <w:hideMark/>
          </w:tcPr>
          <w:p w14:paraId="398A59F1" w14:textId="77777777" w:rsidR="0068297D" w:rsidRPr="00AD2DB3" w:rsidRDefault="0068297D" w:rsidP="00160F6C">
            <w:pPr>
              <w:spacing w:after="0" w:line="240" w:lineRule="auto"/>
              <w:jc w:val="center"/>
              <w:rPr>
                <w:rFonts w:ascii="Arial Narrow" w:hAnsi="Arial Narrow" w:cs="Calibri"/>
                <w:b/>
                <w:bCs/>
                <w:color w:val="000000"/>
                <w:sz w:val="18"/>
                <w:szCs w:val="18"/>
              </w:rPr>
            </w:pPr>
            <w:r w:rsidRPr="00AD2DB3">
              <w:rPr>
                <w:rFonts w:ascii="Arial Narrow" w:hAnsi="Arial Narrow" w:cs="Calibri"/>
                <w:b/>
                <w:bCs/>
                <w:color w:val="000000"/>
                <w:sz w:val="18"/>
                <w:szCs w:val="18"/>
              </w:rPr>
              <w:t>Total</w:t>
            </w:r>
          </w:p>
        </w:tc>
        <w:tc>
          <w:tcPr>
            <w:tcW w:w="630" w:type="pct"/>
            <w:tcBorders>
              <w:top w:val="nil"/>
              <w:left w:val="nil"/>
              <w:bottom w:val="single" w:sz="8" w:space="0" w:color="7F7F7F"/>
              <w:right w:val="single" w:sz="8" w:space="0" w:color="7F7F7F"/>
            </w:tcBorders>
            <w:shd w:val="clear" w:color="auto" w:fill="auto"/>
            <w:vAlign w:val="center"/>
            <w:hideMark/>
          </w:tcPr>
          <w:p w14:paraId="7A995657" w14:textId="08B4E15C" w:rsidR="0068297D" w:rsidRPr="00AD2DB3" w:rsidRDefault="0068297D" w:rsidP="00160F6C">
            <w:pPr>
              <w:spacing w:after="0" w:line="240" w:lineRule="auto"/>
              <w:jc w:val="center"/>
              <w:rPr>
                <w:rFonts w:ascii="Arial Narrow" w:hAnsi="Arial Narrow" w:cs="Calibri"/>
                <w:b/>
                <w:bCs/>
                <w:color w:val="000000"/>
                <w:sz w:val="18"/>
                <w:szCs w:val="18"/>
              </w:rPr>
            </w:pPr>
            <w:r w:rsidRPr="00AD2DB3">
              <w:rPr>
                <w:rFonts w:ascii="Arial Narrow" w:hAnsi="Arial Narrow" w:cs="Calibri"/>
                <w:b/>
                <w:bCs/>
                <w:color w:val="000000"/>
                <w:sz w:val="18"/>
                <w:szCs w:val="18"/>
              </w:rPr>
              <w:t>1</w:t>
            </w:r>
            <w:r>
              <w:rPr>
                <w:rFonts w:ascii="Arial Narrow" w:hAnsi="Arial Narrow" w:cs="Calibri"/>
                <w:b/>
                <w:bCs/>
                <w:color w:val="000000"/>
                <w:sz w:val="18"/>
                <w:szCs w:val="18"/>
              </w:rPr>
              <w:t>,</w:t>
            </w:r>
            <w:r w:rsidRPr="00AD2DB3">
              <w:rPr>
                <w:rFonts w:ascii="Arial Narrow" w:hAnsi="Arial Narrow" w:cs="Calibri"/>
                <w:b/>
                <w:bCs/>
                <w:color w:val="000000"/>
                <w:sz w:val="18"/>
                <w:szCs w:val="18"/>
              </w:rPr>
              <w:t>52</w:t>
            </w:r>
            <w:r>
              <w:rPr>
                <w:rFonts w:ascii="Arial Narrow" w:hAnsi="Arial Narrow" w:cs="Calibri"/>
                <w:b/>
                <w:bCs/>
                <w:color w:val="000000"/>
                <w:sz w:val="18"/>
                <w:szCs w:val="18"/>
              </w:rPr>
              <w:t>0</w:t>
            </w:r>
          </w:p>
        </w:tc>
        <w:tc>
          <w:tcPr>
            <w:tcW w:w="634" w:type="pct"/>
            <w:tcBorders>
              <w:top w:val="nil"/>
              <w:left w:val="nil"/>
              <w:bottom w:val="single" w:sz="8" w:space="0" w:color="7F7F7F"/>
              <w:right w:val="single" w:sz="8" w:space="0" w:color="7F7F7F"/>
            </w:tcBorders>
            <w:shd w:val="clear" w:color="auto" w:fill="auto"/>
            <w:vAlign w:val="center"/>
            <w:hideMark/>
          </w:tcPr>
          <w:p w14:paraId="67923AC5" w14:textId="77777777" w:rsidR="0068297D" w:rsidRPr="00AD2DB3" w:rsidRDefault="0068297D" w:rsidP="00160F6C">
            <w:pPr>
              <w:spacing w:after="0" w:line="240" w:lineRule="auto"/>
              <w:jc w:val="center"/>
              <w:rPr>
                <w:rFonts w:ascii="Arial Narrow" w:hAnsi="Arial Narrow" w:cs="Calibri"/>
                <w:b/>
                <w:bCs/>
                <w:color w:val="000000"/>
                <w:sz w:val="18"/>
                <w:szCs w:val="18"/>
              </w:rPr>
            </w:pPr>
            <w:r w:rsidRPr="00AD2DB3">
              <w:rPr>
                <w:rFonts w:ascii="Arial Narrow" w:hAnsi="Arial Narrow" w:cs="Calibri"/>
                <w:b/>
                <w:bCs/>
                <w:color w:val="000000"/>
                <w:sz w:val="18"/>
                <w:szCs w:val="18"/>
              </w:rPr>
              <w:t>--</w:t>
            </w:r>
          </w:p>
        </w:tc>
        <w:tc>
          <w:tcPr>
            <w:tcW w:w="676" w:type="pct"/>
            <w:tcBorders>
              <w:top w:val="nil"/>
              <w:left w:val="nil"/>
              <w:bottom w:val="single" w:sz="8" w:space="0" w:color="7F7F7F"/>
              <w:right w:val="single" w:sz="4" w:space="0" w:color="auto"/>
            </w:tcBorders>
            <w:vAlign w:val="center"/>
          </w:tcPr>
          <w:p w14:paraId="0A9A5727" w14:textId="0F5C63E9" w:rsidR="0068297D" w:rsidRPr="00C140F6" w:rsidRDefault="0068297D" w:rsidP="00160F6C">
            <w:pPr>
              <w:spacing w:after="0" w:line="240" w:lineRule="auto"/>
              <w:jc w:val="center"/>
              <w:rPr>
                <w:rFonts w:ascii="Arial Narrow" w:hAnsi="Arial Narrow" w:cs="Calibri"/>
                <w:b/>
                <w:color w:val="000000"/>
                <w:sz w:val="18"/>
                <w:szCs w:val="18"/>
              </w:rPr>
            </w:pPr>
            <w:r w:rsidRPr="0068297D">
              <w:rPr>
                <w:rFonts w:ascii="Arial Narrow" w:hAnsi="Arial Narrow" w:cs="Calibri"/>
                <w:b/>
                <w:color w:val="000000"/>
                <w:sz w:val="18"/>
                <w:szCs w:val="18"/>
              </w:rPr>
              <w:t>1,891</w:t>
            </w:r>
          </w:p>
        </w:tc>
        <w:tc>
          <w:tcPr>
            <w:tcW w:w="632" w:type="pct"/>
            <w:tcBorders>
              <w:top w:val="nil"/>
              <w:left w:val="single" w:sz="4" w:space="0" w:color="auto"/>
              <w:bottom w:val="single" w:sz="8" w:space="0" w:color="7F7F7F"/>
              <w:right w:val="single" w:sz="8" w:space="0" w:color="7F7F7F"/>
            </w:tcBorders>
            <w:shd w:val="clear" w:color="auto" w:fill="auto"/>
            <w:vAlign w:val="center"/>
            <w:hideMark/>
          </w:tcPr>
          <w:p w14:paraId="6FE57872" w14:textId="44945C00" w:rsidR="0068297D" w:rsidRPr="00AD2DB3" w:rsidRDefault="0068297D" w:rsidP="00160F6C">
            <w:pPr>
              <w:spacing w:after="0" w:line="240" w:lineRule="auto"/>
              <w:jc w:val="center"/>
              <w:rPr>
                <w:rFonts w:ascii="Arial Narrow" w:hAnsi="Arial Narrow" w:cs="Calibri"/>
                <w:b/>
                <w:bCs/>
                <w:color w:val="000000"/>
                <w:sz w:val="18"/>
                <w:szCs w:val="18"/>
              </w:rPr>
            </w:pPr>
            <w:r w:rsidRPr="00AD2DB3">
              <w:rPr>
                <w:rFonts w:ascii="Arial Narrow" w:hAnsi="Arial Narrow" w:cs="Calibri"/>
                <w:b/>
                <w:bCs/>
                <w:color w:val="000000"/>
                <w:sz w:val="18"/>
                <w:szCs w:val="18"/>
              </w:rPr>
              <w:t>--</w:t>
            </w:r>
          </w:p>
        </w:tc>
        <w:tc>
          <w:tcPr>
            <w:tcW w:w="674" w:type="pct"/>
            <w:tcBorders>
              <w:top w:val="nil"/>
              <w:left w:val="nil"/>
              <w:bottom w:val="single" w:sz="8" w:space="0" w:color="7F7F7F"/>
              <w:right w:val="single" w:sz="8" w:space="0" w:color="7F7F7F"/>
            </w:tcBorders>
            <w:shd w:val="clear" w:color="auto" w:fill="auto"/>
            <w:vAlign w:val="center"/>
            <w:hideMark/>
          </w:tcPr>
          <w:p w14:paraId="38274141" w14:textId="57629F93" w:rsidR="0068297D" w:rsidRPr="00AD2DB3" w:rsidRDefault="0068297D" w:rsidP="00160F6C">
            <w:pPr>
              <w:spacing w:after="0" w:line="240" w:lineRule="auto"/>
              <w:jc w:val="center"/>
              <w:rPr>
                <w:rFonts w:ascii="Arial Narrow" w:hAnsi="Arial Narrow" w:cs="Calibri"/>
                <w:b/>
                <w:bCs/>
                <w:color w:val="000000"/>
                <w:sz w:val="18"/>
                <w:szCs w:val="18"/>
              </w:rPr>
            </w:pPr>
            <w:r w:rsidRPr="00AD2DB3">
              <w:rPr>
                <w:rFonts w:ascii="Arial Narrow" w:hAnsi="Arial Narrow" w:cs="Calibri"/>
                <w:b/>
                <w:bCs/>
                <w:color w:val="000000"/>
                <w:sz w:val="18"/>
                <w:szCs w:val="18"/>
              </w:rPr>
              <w:t>41</w:t>
            </w:r>
            <w:r>
              <w:rPr>
                <w:rFonts w:ascii="Arial Narrow" w:hAnsi="Arial Narrow" w:cs="Calibri"/>
                <w:b/>
                <w:bCs/>
                <w:color w:val="000000"/>
                <w:sz w:val="18"/>
                <w:szCs w:val="18"/>
              </w:rPr>
              <w:t>3</w:t>
            </w:r>
          </w:p>
        </w:tc>
      </w:tr>
    </w:tbl>
    <w:p w14:paraId="6F67106F" w14:textId="77777777" w:rsidR="008B673F" w:rsidRPr="00236B01" w:rsidRDefault="008B673F" w:rsidP="008B673F">
      <w:pPr>
        <w:pStyle w:val="ExhibitSource"/>
      </w:pPr>
      <w:r w:rsidRPr="00236B01">
        <w:rPr>
          <w:vertAlign w:val="superscript"/>
        </w:rPr>
        <w:t>a</w:t>
      </w:r>
      <w:r w:rsidRPr="00236B01">
        <w:t xml:space="preserve"> This includes </w:t>
      </w:r>
      <w:r>
        <w:t>2</w:t>
      </w:r>
      <w:r w:rsidRPr="00236B01">
        <w:t>,</w:t>
      </w:r>
      <w:r>
        <w:t>2</w:t>
      </w:r>
      <w:r w:rsidRPr="00236B01">
        <w:t>00 participants (1,</w:t>
      </w:r>
      <w:r>
        <w:t>1</w:t>
      </w:r>
      <w:r w:rsidRPr="00236B01">
        <w:t>00 treatment and 1,</w:t>
      </w:r>
      <w:r>
        <w:t>1</w:t>
      </w:r>
      <w:r w:rsidRPr="00236B01">
        <w:t xml:space="preserve">00 control group members) </w:t>
      </w:r>
      <w:r>
        <w:t>enrolled into</w:t>
      </w:r>
      <w:r w:rsidRPr="00236B01">
        <w:t xml:space="preserve"> the impact study</w:t>
      </w:r>
      <w:r>
        <w:t xml:space="preserve"> over a three year period</w:t>
      </w:r>
      <w:r w:rsidRPr="00236B01">
        <w:t xml:space="preserve">. </w:t>
      </w:r>
      <w:r>
        <w:t>A response rate of 100% is expected for the BIF.</w:t>
      </w:r>
    </w:p>
    <w:p w14:paraId="5FEE778C" w14:textId="77777777" w:rsidR="008B673F" w:rsidRPr="004F3250" w:rsidRDefault="008B673F" w:rsidP="008B673F">
      <w:pPr>
        <w:pStyle w:val="ExhibitSource"/>
        <w:rPr>
          <w:szCs w:val="18"/>
        </w:rPr>
      </w:pPr>
      <w:r>
        <w:rPr>
          <w:szCs w:val="18"/>
          <w:vertAlign w:val="superscript"/>
        </w:rPr>
        <w:t xml:space="preserve">b </w:t>
      </w:r>
      <w:r>
        <w:rPr>
          <w:szCs w:val="18"/>
        </w:rPr>
        <w:t xml:space="preserve">We assume that 25% of the BIF data elements will be provided by the </w:t>
      </w:r>
      <w:r>
        <w:t>Job Corps’ national MIS and thus create no burden for respondents</w:t>
      </w:r>
      <w:r>
        <w:rPr>
          <w:szCs w:val="18"/>
        </w:rPr>
        <w:t xml:space="preserve">. These elements are indicated with asterisks (*) on the accompanying BIF. Thus, the burden estimate applies only to new elements that are not available from the </w:t>
      </w:r>
      <w:r>
        <w:t xml:space="preserve">Job Corps’ </w:t>
      </w:r>
      <w:r w:rsidRPr="004F3250">
        <w:t>national MIS</w:t>
      </w:r>
      <w:r w:rsidRPr="004F3250">
        <w:rPr>
          <w:szCs w:val="18"/>
        </w:rPr>
        <w:t xml:space="preserve">. </w:t>
      </w:r>
    </w:p>
    <w:p w14:paraId="5A6D0E33" w14:textId="77777777" w:rsidR="008B673F" w:rsidRDefault="008B673F" w:rsidP="008B673F">
      <w:pPr>
        <w:pStyle w:val="ExhibitSource"/>
        <w:rPr>
          <w:szCs w:val="18"/>
        </w:rPr>
      </w:pPr>
      <w:r w:rsidRPr="004F3250">
        <w:rPr>
          <w:szCs w:val="18"/>
          <w:vertAlign w:val="superscript"/>
        </w:rPr>
        <w:t>c</w:t>
      </w:r>
      <w:r w:rsidRPr="004F3250">
        <w:rPr>
          <w:szCs w:val="18"/>
        </w:rPr>
        <w:t xml:space="preserve"> We will request tracking information six times for each study participant; based on previous experience, we expect 25% of study participants will respond to each tracking attempt. </w:t>
      </w:r>
      <w:r>
        <w:rPr>
          <w:szCs w:val="18"/>
        </w:rPr>
        <w:t>This 25% response rate to 6 tracking attempts equates to (6 * 0.25) = 1.5 average responses per respondent.</w:t>
      </w:r>
    </w:p>
    <w:p w14:paraId="2271AD5F" w14:textId="77777777" w:rsidR="00B76CFE" w:rsidRDefault="00B76CFE" w:rsidP="00436306">
      <w:pPr>
        <w:keepNext/>
        <w:spacing w:after="60"/>
        <w:rPr>
          <w:b/>
        </w:rPr>
      </w:pPr>
    </w:p>
    <w:p w14:paraId="06F1AECA" w14:textId="77777777" w:rsidR="00D93351" w:rsidRDefault="00D93351">
      <w:pPr>
        <w:rPr>
          <w:rFonts w:ascii="Arial" w:eastAsia="Times New Roman" w:hAnsi="Arial" w:cs="Times New Roman"/>
          <w:b/>
          <w:bCs/>
          <w:sz w:val="20"/>
          <w:szCs w:val="20"/>
        </w:rPr>
      </w:pPr>
      <w:r>
        <w:br w:type="page"/>
      </w:r>
    </w:p>
    <w:p w14:paraId="7E14C7A3" w14:textId="18301065" w:rsidR="00FA2805" w:rsidRDefault="00FA2805" w:rsidP="002665CB">
      <w:pPr>
        <w:pStyle w:val="Caption"/>
      </w:pPr>
      <w:r>
        <w:t>Table 2</w:t>
      </w:r>
      <w:r w:rsidRPr="00FC335E">
        <w:t xml:space="preserve">: </w:t>
      </w:r>
      <w:r>
        <w:t xml:space="preserve">Original (Approved) Burden Estimates </w:t>
      </w:r>
    </w:p>
    <w:p w14:paraId="070FEE35" w14:textId="77777777" w:rsidR="002665CB" w:rsidRPr="00346F17" w:rsidRDefault="002665CB" w:rsidP="002665CB">
      <w:pPr>
        <w:pStyle w:val="Caption"/>
      </w:pPr>
      <w:r>
        <w:t xml:space="preserve">Estimated Annualized Respondent </w:t>
      </w:r>
      <w:r w:rsidRPr="00FC335E">
        <w:t>Burden</w:t>
      </w:r>
      <w:r>
        <w:t xml:space="preserve"> Hours </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3" w:type="dxa"/>
          <w:right w:w="43" w:type="dxa"/>
        </w:tblCellMar>
        <w:tblLook w:val="01E0" w:firstRow="1" w:lastRow="1" w:firstColumn="1" w:lastColumn="1" w:noHBand="0" w:noVBand="0"/>
      </w:tblPr>
      <w:tblGrid>
        <w:gridCol w:w="3416"/>
        <w:gridCol w:w="1350"/>
        <w:gridCol w:w="1350"/>
        <w:gridCol w:w="1350"/>
        <w:gridCol w:w="1350"/>
        <w:gridCol w:w="1350"/>
      </w:tblGrid>
      <w:tr w:rsidR="002665CB" w:rsidRPr="006679A9" w14:paraId="421FF14A" w14:textId="77777777" w:rsidTr="007B2F62">
        <w:trPr>
          <w:cantSplit/>
          <w:trHeight w:val="63"/>
          <w:tblHeader/>
        </w:trPr>
        <w:tc>
          <w:tcPr>
            <w:tcW w:w="1680" w:type="pct"/>
            <w:shd w:val="clear" w:color="auto" w:fill="C3C6A8"/>
            <w:vAlign w:val="bottom"/>
            <w:hideMark/>
          </w:tcPr>
          <w:p w14:paraId="093224EC" w14:textId="77777777" w:rsidR="002665CB" w:rsidRPr="006679A9" w:rsidRDefault="002665CB" w:rsidP="007B2F62">
            <w:pPr>
              <w:pStyle w:val="ExhibitColumnHeader"/>
            </w:pPr>
            <w:r w:rsidRPr="006679A9">
              <w:t>Instrument</w:t>
            </w:r>
          </w:p>
        </w:tc>
        <w:tc>
          <w:tcPr>
            <w:tcW w:w="664" w:type="pct"/>
            <w:shd w:val="clear" w:color="auto" w:fill="C3C6A8"/>
            <w:vAlign w:val="bottom"/>
          </w:tcPr>
          <w:p w14:paraId="63BF3804" w14:textId="77777777" w:rsidR="002665CB" w:rsidRPr="006679A9" w:rsidRDefault="002665CB" w:rsidP="007B2F62">
            <w:pPr>
              <w:pStyle w:val="ExhibitColumnHeader"/>
            </w:pPr>
            <w:r>
              <w:t>Number of Respondents</w:t>
            </w:r>
          </w:p>
        </w:tc>
        <w:tc>
          <w:tcPr>
            <w:tcW w:w="664" w:type="pct"/>
            <w:shd w:val="clear" w:color="auto" w:fill="C3C6A8"/>
            <w:vAlign w:val="bottom"/>
            <w:hideMark/>
          </w:tcPr>
          <w:p w14:paraId="39D4D9D4" w14:textId="77777777" w:rsidR="002665CB" w:rsidRPr="006679A9" w:rsidRDefault="002665CB" w:rsidP="007B2F62">
            <w:pPr>
              <w:pStyle w:val="ExhibitColumnHeader"/>
            </w:pPr>
            <w:r w:rsidRPr="006679A9">
              <w:t>Number of Responses Per Respondent</w:t>
            </w:r>
          </w:p>
        </w:tc>
        <w:tc>
          <w:tcPr>
            <w:tcW w:w="664" w:type="pct"/>
            <w:shd w:val="clear" w:color="auto" w:fill="C3C6A8"/>
            <w:vAlign w:val="bottom"/>
          </w:tcPr>
          <w:p w14:paraId="35B574D4" w14:textId="77777777" w:rsidR="002665CB" w:rsidRPr="006679A9" w:rsidRDefault="002665CB" w:rsidP="007B2F62">
            <w:pPr>
              <w:pStyle w:val="ExhibitColumnHeader"/>
            </w:pPr>
            <w:r>
              <w:t>Total Number of Responses</w:t>
            </w:r>
          </w:p>
        </w:tc>
        <w:tc>
          <w:tcPr>
            <w:tcW w:w="664" w:type="pct"/>
            <w:shd w:val="clear" w:color="auto" w:fill="C3C6A8"/>
            <w:vAlign w:val="bottom"/>
            <w:hideMark/>
          </w:tcPr>
          <w:p w14:paraId="0D4FC88D" w14:textId="77777777" w:rsidR="002665CB" w:rsidRDefault="002665CB" w:rsidP="007B2F62">
            <w:pPr>
              <w:pStyle w:val="ExhibitColumnHeader"/>
            </w:pPr>
            <w:r w:rsidRPr="006679A9">
              <w:t>Average Burden Hours Per Response</w:t>
            </w:r>
          </w:p>
          <w:p w14:paraId="48CD9367" w14:textId="77777777" w:rsidR="002665CB" w:rsidRPr="006679A9" w:rsidRDefault="002665CB" w:rsidP="007B2F62">
            <w:pPr>
              <w:pStyle w:val="ExhibitColumnHeader"/>
            </w:pPr>
            <w:r>
              <w:t xml:space="preserve">(in Hours) </w:t>
            </w:r>
          </w:p>
        </w:tc>
        <w:tc>
          <w:tcPr>
            <w:tcW w:w="664" w:type="pct"/>
            <w:shd w:val="clear" w:color="auto" w:fill="C3C6A8"/>
            <w:vAlign w:val="bottom"/>
          </w:tcPr>
          <w:p w14:paraId="119CA984" w14:textId="77777777" w:rsidR="002665CB" w:rsidRDefault="002665CB" w:rsidP="007B2F62">
            <w:pPr>
              <w:pStyle w:val="ExhibitColumnHeader"/>
            </w:pPr>
            <w:r>
              <w:t>Total Burden Hours</w:t>
            </w:r>
          </w:p>
        </w:tc>
      </w:tr>
      <w:tr w:rsidR="002665CB" w:rsidRPr="006679A9" w14:paraId="6A968420" w14:textId="77777777" w:rsidTr="007B2F62">
        <w:trPr>
          <w:cantSplit/>
          <w:trHeight w:val="158"/>
        </w:trPr>
        <w:tc>
          <w:tcPr>
            <w:tcW w:w="1680" w:type="pct"/>
            <w:vAlign w:val="center"/>
          </w:tcPr>
          <w:p w14:paraId="5E787088" w14:textId="77777777" w:rsidR="002665CB" w:rsidRPr="006679A9" w:rsidRDefault="002665CB" w:rsidP="007B2F62">
            <w:pPr>
              <w:pStyle w:val="ExhibitText"/>
            </w:pPr>
            <w:r>
              <w:t>Baseline Information Form (BIF)</w:t>
            </w:r>
          </w:p>
        </w:tc>
        <w:tc>
          <w:tcPr>
            <w:tcW w:w="664" w:type="pct"/>
            <w:vAlign w:val="center"/>
          </w:tcPr>
          <w:p w14:paraId="4D820AA4" w14:textId="77777777" w:rsidR="002665CB" w:rsidRPr="006679A9" w:rsidRDefault="002665CB" w:rsidP="007B2F62">
            <w:pPr>
              <w:pStyle w:val="ExhibitText"/>
              <w:jc w:val="center"/>
            </w:pPr>
            <w:r>
              <w:t>733</w:t>
            </w:r>
            <w:r w:rsidRPr="00236B01">
              <w:rPr>
                <w:vertAlign w:val="superscript"/>
              </w:rPr>
              <w:t xml:space="preserve"> a</w:t>
            </w:r>
          </w:p>
        </w:tc>
        <w:tc>
          <w:tcPr>
            <w:tcW w:w="664" w:type="pct"/>
            <w:vAlign w:val="center"/>
          </w:tcPr>
          <w:p w14:paraId="10DF0B60" w14:textId="77777777" w:rsidR="002665CB" w:rsidRPr="006679A9" w:rsidRDefault="002665CB" w:rsidP="007B2F62">
            <w:pPr>
              <w:pStyle w:val="ExhibitText"/>
              <w:jc w:val="center"/>
            </w:pPr>
            <w:r>
              <w:t>1</w:t>
            </w:r>
          </w:p>
        </w:tc>
        <w:tc>
          <w:tcPr>
            <w:tcW w:w="664" w:type="pct"/>
            <w:vAlign w:val="center"/>
          </w:tcPr>
          <w:p w14:paraId="57C41487" w14:textId="77777777" w:rsidR="002665CB" w:rsidRDefault="002665CB" w:rsidP="007B2F62">
            <w:pPr>
              <w:pStyle w:val="ExhibitText"/>
              <w:jc w:val="center"/>
            </w:pPr>
            <w:r>
              <w:t>733</w:t>
            </w:r>
          </w:p>
        </w:tc>
        <w:tc>
          <w:tcPr>
            <w:tcW w:w="664" w:type="pct"/>
            <w:vAlign w:val="center"/>
          </w:tcPr>
          <w:p w14:paraId="185450CB" w14:textId="77777777" w:rsidR="002665CB" w:rsidRPr="006679A9" w:rsidRDefault="002665CB" w:rsidP="007B2F62">
            <w:pPr>
              <w:pStyle w:val="ExhibitText"/>
              <w:jc w:val="center"/>
            </w:pPr>
            <w:r>
              <w:t xml:space="preserve">0.33 </w:t>
            </w:r>
            <w:r w:rsidRPr="000B7643">
              <w:rPr>
                <w:vertAlign w:val="superscript"/>
              </w:rPr>
              <w:t>b</w:t>
            </w:r>
          </w:p>
        </w:tc>
        <w:tc>
          <w:tcPr>
            <w:tcW w:w="664" w:type="pct"/>
            <w:vAlign w:val="center"/>
          </w:tcPr>
          <w:p w14:paraId="75AC35BD" w14:textId="77777777" w:rsidR="002665CB" w:rsidRPr="0021299D" w:rsidRDefault="002665CB" w:rsidP="007B2F62">
            <w:pPr>
              <w:pStyle w:val="ExhibitText"/>
              <w:jc w:val="center"/>
            </w:pPr>
            <w:r w:rsidRPr="0021299D">
              <w:rPr>
                <w:szCs w:val="18"/>
              </w:rPr>
              <w:t>24</w:t>
            </w:r>
            <w:r>
              <w:rPr>
                <w:szCs w:val="18"/>
              </w:rPr>
              <w:t>2</w:t>
            </w:r>
          </w:p>
        </w:tc>
      </w:tr>
      <w:tr w:rsidR="002665CB" w:rsidRPr="006679A9" w14:paraId="4BA747B5" w14:textId="77777777" w:rsidTr="007B2F62">
        <w:trPr>
          <w:cantSplit/>
          <w:trHeight w:val="127"/>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B57B231" w14:textId="77777777" w:rsidR="002665CB" w:rsidRDefault="002665CB" w:rsidP="007B2F62">
            <w:pPr>
              <w:pStyle w:val="ExhibitText"/>
              <w:spacing w:after="0"/>
            </w:pPr>
            <w:r w:rsidRPr="00507336">
              <w:t>Interview Protocol – Academy Director, College and Career Dean, and College Preparation Manager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5E5BD139"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1.00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0376663B"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703C95D6"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5F4D199E"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BDCAB6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3</w:t>
            </w:r>
          </w:p>
        </w:tc>
      </w:tr>
      <w:tr w:rsidR="002665CB" w:rsidRPr="006679A9" w14:paraId="226080B0" w14:textId="77777777" w:rsidTr="007B2F62">
        <w:trPr>
          <w:cantSplit/>
          <w:trHeight w:val="127"/>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B76CFAE"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Admission and Placement Director and Placement Officer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80A39C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56582F"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81F052"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5ED4D2E"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1.33</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BB6E449"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r>
      <w:tr w:rsidR="002665CB" w:rsidRPr="006679A9" w14:paraId="511CE8C6"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6B35B44E"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IT Pathway Manager and Healthcare Pathway Manager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06530269"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3990232D"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69A2558E"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13B90B1F"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3CEC5245"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r>
      <w:tr w:rsidR="002665CB" w:rsidRPr="006679A9" w14:paraId="19ECE30C"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D1AC740"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Social Development Director</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ABB7D"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0.33</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D7911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E4E6CE"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E775E6D"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6E6387"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r>
      <w:tr w:rsidR="002665CB" w:rsidRPr="006679A9" w14:paraId="77ADC1DA"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FCF1542"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Skagit Valley College Liaison and Sedro-Wooley School District Liaison</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366F4CE9"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0.67</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66E64881"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B78701B"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46717D39"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0ADDBD24"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r>
      <w:tr w:rsidR="002665CB" w:rsidRPr="006679A9" w14:paraId="129579B6"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FF2B5BD"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Employer Calls</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D330313"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909F3ED"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DFA708"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817D93E"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0.5</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5F5D267"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r>
      <w:tr w:rsidR="002665CB" w:rsidRPr="006679A9" w14:paraId="3FC5490B"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0B6AE8C1"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Other Center Directors</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1F6FD8FB"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0E3D6C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5FB234C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529EA202"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ABA1506"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2</w:t>
            </w:r>
          </w:p>
        </w:tc>
      </w:tr>
      <w:tr w:rsidR="002665CB" w:rsidRPr="006679A9" w14:paraId="79FF4629" w14:textId="77777777" w:rsidTr="007B2F62">
        <w:trPr>
          <w:cantSplit/>
          <w:trHeight w:val="158"/>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8FF7E0"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Interview Protocol – Student Focus Group</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4250DCA"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C8EC7D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9450B3"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0E8D093"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E966075"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10</w:t>
            </w:r>
          </w:p>
        </w:tc>
      </w:tr>
      <w:tr w:rsidR="002665CB" w:rsidRPr="006679A9" w14:paraId="21DF7C9D" w14:textId="77777777" w:rsidTr="007B2F62">
        <w:trPr>
          <w:cantSplit/>
          <w:trHeight w:val="341"/>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5133950B" w14:textId="77777777" w:rsidR="002665CB" w:rsidRDefault="002665CB" w:rsidP="007B2F62">
            <w:pPr>
              <w:spacing w:after="0"/>
              <w:rPr>
                <w:rFonts w:ascii="Arial Narrow" w:hAnsi="Arial Narrow"/>
                <w:color w:val="000000"/>
                <w:sz w:val="18"/>
                <w:szCs w:val="18"/>
              </w:rPr>
            </w:pPr>
            <w:r>
              <w:rPr>
                <w:rFonts w:ascii="Arial Narrow" w:hAnsi="Arial Narrow"/>
                <w:color w:val="000000"/>
                <w:sz w:val="18"/>
                <w:szCs w:val="18"/>
              </w:rPr>
              <w:t>Follow-up Tracking Form</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42E9B477"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733</w:t>
            </w:r>
            <w:r w:rsidRPr="00236B01">
              <w:rPr>
                <w:vertAlign w:val="superscript"/>
              </w:rPr>
              <w:t xml:space="preserve"> a</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1ABD2189" w14:textId="77777777" w:rsidR="002665CB" w:rsidRDefault="002665CB" w:rsidP="007B2F62">
            <w:pPr>
              <w:spacing w:after="0"/>
              <w:jc w:val="center"/>
              <w:rPr>
                <w:rFonts w:ascii="Arial Narrow" w:hAnsi="Arial Narrow"/>
                <w:color w:val="000000"/>
                <w:sz w:val="18"/>
                <w:szCs w:val="18"/>
              </w:rPr>
            </w:pPr>
            <w:r w:rsidRPr="009E20D0">
              <w:rPr>
                <w:rFonts w:ascii="Arial Narrow" w:hAnsi="Arial Narrow"/>
                <w:color w:val="000000"/>
                <w:sz w:val="18"/>
                <w:szCs w:val="18"/>
              </w:rPr>
              <w:t>1.5</w:t>
            </w:r>
            <w:r>
              <w:rPr>
                <w:vertAlign w:val="superscript"/>
              </w:rPr>
              <w:t xml:space="preserve"> c</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64BC324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1100</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2E0A4E8"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0.1</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1F232217"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110</w:t>
            </w:r>
          </w:p>
        </w:tc>
      </w:tr>
      <w:tr w:rsidR="002665CB" w:rsidRPr="006679A9" w14:paraId="08E2A964" w14:textId="77777777" w:rsidTr="007B2F62">
        <w:trPr>
          <w:cantSplit/>
          <w:trHeight w:val="266"/>
        </w:trPr>
        <w:tc>
          <w:tcPr>
            <w:tcW w:w="16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15BC459D" w14:textId="77777777" w:rsidR="002665CB" w:rsidRPr="00911EF0" w:rsidRDefault="002665CB" w:rsidP="007B2F62">
            <w:pPr>
              <w:spacing w:after="0"/>
              <w:rPr>
                <w:rFonts w:ascii="Arial Narrow" w:hAnsi="Arial Narrow"/>
                <w:b/>
                <w:color w:val="000000"/>
                <w:sz w:val="18"/>
                <w:szCs w:val="18"/>
              </w:rPr>
            </w:pPr>
            <w:r>
              <w:rPr>
                <w:rFonts w:ascii="Arial Narrow" w:hAnsi="Arial Narrow"/>
                <w:b/>
                <w:color w:val="000000"/>
                <w:sz w:val="18"/>
                <w:szCs w:val="18"/>
              </w:rPr>
              <w:t>Total</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72C762D0"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6626AA0A" w14:textId="77777777" w:rsidR="002665CB" w:rsidRPr="009E20D0"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745631CC" w14:textId="77777777" w:rsidR="002665CB" w:rsidRPr="00AE2F45" w:rsidRDefault="002665CB" w:rsidP="007B2F62">
            <w:pPr>
              <w:spacing w:after="0"/>
              <w:jc w:val="center"/>
              <w:rPr>
                <w:rFonts w:ascii="Arial Narrow" w:hAnsi="Arial Narrow"/>
                <w:b/>
                <w:color w:val="000000"/>
                <w:sz w:val="18"/>
                <w:szCs w:val="18"/>
              </w:rPr>
            </w:pPr>
            <w:r w:rsidRPr="00AE2F45">
              <w:rPr>
                <w:rFonts w:ascii="Arial Narrow" w:hAnsi="Arial Narrow"/>
                <w:b/>
                <w:color w:val="000000"/>
                <w:sz w:val="18"/>
                <w:szCs w:val="18"/>
              </w:rPr>
              <w:t>1852</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29C15C17" w14:textId="77777777" w:rsidR="002665CB" w:rsidRDefault="002665CB" w:rsidP="007B2F62">
            <w:pPr>
              <w:spacing w:after="0"/>
              <w:jc w:val="center"/>
              <w:rPr>
                <w:rFonts w:ascii="Arial Narrow" w:hAnsi="Arial Narrow"/>
                <w:color w:val="000000"/>
                <w:sz w:val="18"/>
                <w:szCs w:val="18"/>
              </w:rPr>
            </w:pPr>
            <w:r>
              <w:rPr>
                <w:rFonts w:ascii="Arial Narrow" w:hAnsi="Arial Narrow"/>
                <w:color w:val="000000"/>
                <w:sz w:val="18"/>
                <w:szCs w:val="18"/>
              </w:rPr>
              <w:t>---</w:t>
            </w:r>
          </w:p>
        </w:tc>
        <w:tc>
          <w:tcPr>
            <w:tcW w:w="66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hemeFillTint="66"/>
            <w:vAlign w:val="center"/>
          </w:tcPr>
          <w:p w14:paraId="79F6B74B" w14:textId="77777777" w:rsidR="002665CB" w:rsidRPr="00AE2F45" w:rsidRDefault="002665CB" w:rsidP="007B2F62">
            <w:pPr>
              <w:spacing w:after="0"/>
              <w:jc w:val="center"/>
              <w:rPr>
                <w:rFonts w:ascii="Arial Narrow" w:hAnsi="Arial Narrow"/>
                <w:b/>
                <w:color w:val="000000"/>
                <w:sz w:val="18"/>
                <w:szCs w:val="18"/>
              </w:rPr>
            </w:pPr>
            <w:r>
              <w:rPr>
                <w:rFonts w:ascii="Arial Narrow" w:hAnsi="Arial Narrow"/>
                <w:b/>
                <w:color w:val="000000"/>
                <w:sz w:val="18"/>
                <w:szCs w:val="18"/>
              </w:rPr>
              <w:t>372</w:t>
            </w:r>
          </w:p>
        </w:tc>
      </w:tr>
    </w:tbl>
    <w:p w14:paraId="7A891F97" w14:textId="77777777" w:rsidR="002665CB" w:rsidRPr="00236B01" w:rsidRDefault="002665CB" w:rsidP="002665CB">
      <w:pPr>
        <w:pStyle w:val="ExhibitSource"/>
      </w:pPr>
      <w:r w:rsidRPr="00236B01">
        <w:rPr>
          <w:vertAlign w:val="superscript"/>
        </w:rPr>
        <w:t>a</w:t>
      </w:r>
      <w:r w:rsidRPr="00236B01">
        <w:t xml:space="preserve"> This includes </w:t>
      </w:r>
      <w:r>
        <w:t>2</w:t>
      </w:r>
      <w:r w:rsidRPr="00236B01">
        <w:t>,</w:t>
      </w:r>
      <w:r>
        <w:t>2</w:t>
      </w:r>
      <w:r w:rsidRPr="00236B01">
        <w:t>00 participants (1,</w:t>
      </w:r>
      <w:r>
        <w:t>1</w:t>
      </w:r>
      <w:r w:rsidRPr="00236B01">
        <w:t>00 treatment and 1,</w:t>
      </w:r>
      <w:r>
        <w:t>1</w:t>
      </w:r>
      <w:r w:rsidRPr="00236B01">
        <w:t xml:space="preserve">00 control group members) </w:t>
      </w:r>
      <w:r>
        <w:t>enrolled into</w:t>
      </w:r>
      <w:r w:rsidRPr="00236B01">
        <w:t xml:space="preserve"> the impact study</w:t>
      </w:r>
      <w:r>
        <w:t xml:space="preserve"> over a three year period</w:t>
      </w:r>
      <w:r w:rsidRPr="00236B01">
        <w:t xml:space="preserve">. </w:t>
      </w:r>
      <w:r>
        <w:t>A response rate of 100% is expected for the BIF.</w:t>
      </w:r>
    </w:p>
    <w:p w14:paraId="798DE1E2" w14:textId="77777777" w:rsidR="002665CB" w:rsidRPr="004F3250" w:rsidRDefault="002665CB" w:rsidP="002665CB">
      <w:pPr>
        <w:pStyle w:val="ExhibitSource"/>
        <w:rPr>
          <w:szCs w:val="18"/>
        </w:rPr>
      </w:pPr>
      <w:r>
        <w:rPr>
          <w:szCs w:val="18"/>
          <w:vertAlign w:val="superscript"/>
        </w:rPr>
        <w:t xml:space="preserve">b </w:t>
      </w:r>
      <w:r>
        <w:rPr>
          <w:szCs w:val="18"/>
        </w:rPr>
        <w:t xml:space="preserve">We assume that 25% of the BIF data elements will be provided by the </w:t>
      </w:r>
      <w:r>
        <w:t>Job Corps’ national MIS and thus create no burden for respondents</w:t>
      </w:r>
      <w:r>
        <w:rPr>
          <w:szCs w:val="18"/>
        </w:rPr>
        <w:t xml:space="preserve">. These elements are indicated with asterisks (*) on the accompanying BIF. Thus, the burden estimate applies only to new elements that are not available from the </w:t>
      </w:r>
      <w:r>
        <w:t xml:space="preserve">Job Corps’ </w:t>
      </w:r>
      <w:r w:rsidRPr="004F3250">
        <w:t>national MIS</w:t>
      </w:r>
      <w:r w:rsidRPr="004F3250">
        <w:rPr>
          <w:szCs w:val="18"/>
        </w:rPr>
        <w:t xml:space="preserve">. </w:t>
      </w:r>
    </w:p>
    <w:p w14:paraId="531F8905" w14:textId="77777777" w:rsidR="002665CB" w:rsidRDefault="002665CB" w:rsidP="002665CB">
      <w:pPr>
        <w:pStyle w:val="ExhibitSource"/>
        <w:rPr>
          <w:szCs w:val="18"/>
        </w:rPr>
      </w:pPr>
      <w:r w:rsidRPr="004F3250">
        <w:rPr>
          <w:szCs w:val="18"/>
          <w:vertAlign w:val="superscript"/>
        </w:rPr>
        <w:t>c</w:t>
      </w:r>
      <w:r w:rsidRPr="004F3250">
        <w:rPr>
          <w:szCs w:val="18"/>
        </w:rPr>
        <w:t xml:space="preserve"> We will request tracking information six times for each study participant; based on previous experience, we expect 25% of study participants will respond to each tracking attempt. </w:t>
      </w:r>
      <w:r>
        <w:rPr>
          <w:szCs w:val="18"/>
        </w:rPr>
        <w:t>This 25% response rate to 6 tracking attempts equates to (6 * 0.25) = 1.5 average responses per respondent.</w:t>
      </w:r>
    </w:p>
    <w:p w14:paraId="051CC35F" w14:textId="77777777" w:rsidR="00CD45AE" w:rsidRDefault="00CD45AE" w:rsidP="00CD45AE">
      <w:pPr>
        <w:pStyle w:val="NoSpacing"/>
        <w:rPr>
          <w:b/>
        </w:rPr>
      </w:pPr>
    </w:p>
    <w:p w14:paraId="5C9CC8A2" w14:textId="061E0164" w:rsidR="00B76CFE" w:rsidRPr="00CD45AE" w:rsidRDefault="00B76CFE" w:rsidP="003166D3">
      <w:pPr>
        <w:pStyle w:val="NoSpacing"/>
        <w:spacing w:after="240"/>
        <w:rPr>
          <w:rFonts w:eastAsia="Times New Roman" w:cstheme="minorHAnsi"/>
          <w:szCs w:val="20"/>
        </w:rPr>
      </w:pPr>
    </w:p>
    <w:sectPr w:rsidR="00B76CFE" w:rsidRPr="00CD45AE" w:rsidSect="00193B1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CA88F" w14:textId="77777777" w:rsidR="009B7FB6" w:rsidRDefault="009B7FB6" w:rsidP="00940933">
      <w:pPr>
        <w:spacing w:after="0" w:line="240" w:lineRule="auto"/>
      </w:pPr>
      <w:r>
        <w:separator/>
      </w:r>
    </w:p>
  </w:endnote>
  <w:endnote w:type="continuationSeparator" w:id="0">
    <w:p w14:paraId="505AEB1B" w14:textId="77777777" w:rsidR="009B7FB6" w:rsidRDefault="009B7FB6" w:rsidP="0094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C9ECC" w14:textId="77777777" w:rsidR="009B7FB6" w:rsidRDefault="009B7FB6" w:rsidP="00940933">
      <w:pPr>
        <w:spacing w:after="0" w:line="240" w:lineRule="auto"/>
      </w:pPr>
      <w:r>
        <w:separator/>
      </w:r>
    </w:p>
  </w:footnote>
  <w:footnote w:type="continuationSeparator" w:id="0">
    <w:p w14:paraId="75322C0D" w14:textId="77777777" w:rsidR="009B7FB6" w:rsidRDefault="009B7FB6" w:rsidP="00940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0AA6"/>
    <w:multiLevelType w:val="hybridMultilevel"/>
    <w:tmpl w:val="7680715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DC"/>
    <w:rsid w:val="00012762"/>
    <w:rsid w:val="0002281C"/>
    <w:rsid w:val="0008681B"/>
    <w:rsid w:val="00086F2D"/>
    <w:rsid w:val="000A13DC"/>
    <w:rsid w:val="000B222D"/>
    <w:rsid w:val="000B77A1"/>
    <w:rsid w:val="001105C8"/>
    <w:rsid w:val="00136F25"/>
    <w:rsid w:val="00161412"/>
    <w:rsid w:val="001910C8"/>
    <w:rsid w:val="00193B1C"/>
    <w:rsid w:val="001F06A8"/>
    <w:rsid w:val="00224D1B"/>
    <w:rsid w:val="002456F0"/>
    <w:rsid w:val="002573F0"/>
    <w:rsid w:val="002665CB"/>
    <w:rsid w:val="002826F1"/>
    <w:rsid w:val="002A6566"/>
    <w:rsid w:val="002D42CD"/>
    <w:rsid w:val="002F1F16"/>
    <w:rsid w:val="003019EB"/>
    <w:rsid w:val="003166D3"/>
    <w:rsid w:val="00320825"/>
    <w:rsid w:val="00333495"/>
    <w:rsid w:val="003640E9"/>
    <w:rsid w:val="00393C89"/>
    <w:rsid w:val="003A6EF6"/>
    <w:rsid w:val="004347EF"/>
    <w:rsid w:val="00436306"/>
    <w:rsid w:val="004870BF"/>
    <w:rsid w:val="004A6808"/>
    <w:rsid w:val="004F32A8"/>
    <w:rsid w:val="004F34B6"/>
    <w:rsid w:val="004F63A5"/>
    <w:rsid w:val="0050771A"/>
    <w:rsid w:val="005079EE"/>
    <w:rsid w:val="00543A77"/>
    <w:rsid w:val="005B172A"/>
    <w:rsid w:val="005B4D29"/>
    <w:rsid w:val="005D1B0B"/>
    <w:rsid w:val="005F7EA2"/>
    <w:rsid w:val="00654ED5"/>
    <w:rsid w:val="00676DF7"/>
    <w:rsid w:val="00677E62"/>
    <w:rsid w:val="0068297D"/>
    <w:rsid w:val="00686723"/>
    <w:rsid w:val="006B2128"/>
    <w:rsid w:val="00761E3D"/>
    <w:rsid w:val="007A30F3"/>
    <w:rsid w:val="007F02B6"/>
    <w:rsid w:val="008528E3"/>
    <w:rsid w:val="00852D3D"/>
    <w:rsid w:val="008571BD"/>
    <w:rsid w:val="00857AE6"/>
    <w:rsid w:val="008B673F"/>
    <w:rsid w:val="008C3A64"/>
    <w:rsid w:val="008E2328"/>
    <w:rsid w:val="00913EDA"/>
    <w:rsid w:val="0091439B"/>
    <w:rsid w:val="00930911"/>
    <w:rsid w:val="00940933"/>
    <w:rsid w:val="00942D49"/>
    <w:rsid w:val="00980304"/>
    <w:rsid w:val="0099668F"/>
    <w:rsid w:val="009A33A8"/>
    <w:rsid w:val="009A72E9"/>
    <w:rsid w:val="009B30A5"/>
    <w:rsid w:val="009B7FB6"/>
    <w:rsid w:val="009C0B74"/>
    <w:rsid w:val="009E26BF"/>
    <w:rsid w:val="00A26D91"/>
    <w:rsid w:val="00A313C0"/>
    <w:rsid w:val="00A33EF8"/>
    <w:rsid w:val="00A52AD1"/>
    <w:rsid w:val="00A737ED"/>
    <w:rsid w:val="00B46743"/>
    <w:rsid w:val="00B619CB"/>
    <w:rsid w:val="00B61B37"/>
    <w:rsid w:val="00B66A00"/>
    <w:rsid w:val="00B76CFE"/>
    <w:rsid w:val="00BC1518"/>
    <w:rsid w:val="00BF63F2"/>
    <w:rsid w:val="00C140F6"/>
    <w:rsid w:val="00C16466"/>
    <w:rsid w:val="00C243E3"/>
    <w:rsid w:val="00C40D42"/>
    <w:rsid w:val="00C56A66"/>
    <w:rsid w:val="00C62DEE"/>
    <w:rsid w:val="00C64949"/>
    <w:rsid w:val="00C87F1E"/>
    <w:rsid w:val="00CC1209"/>
    <w:rsid w:val="00CC15D2"/>
    <w:rsid w:val="00CC4E2A"/>
    <w:rsid w:val="00CD45AE"/>
    <w:rsid w:val="00CE4A50"/>
    <w:rsid w:val="00CF1345"/>
    <w:rsid w:val="00D023BF"/>
    <w:rsid w:val="00D10B17"/>
    <w:rsid w:val="00D34D82"/>
    <w:rsid w:val="00D93351"/>
    <w:rsid w:val="00DB762B"/>
    <w:rsid w:val="00DC7161"/>
    <w:rsid w:val="00DD60D2"/>
    <w:rsid w:val="00E37C38"/>
    <w:rsid w:val="00E656CA"/>
    <w:rsid w:val="00E662F9"/>
    <w:rsid w:val="00E82B83"/>
    <w:rsid w:val="00EB6F40"/>
    <w:rsid w:val="00F34762"/>
    <w:rsid w:val="00F42461"/>
    <w:rsid w:val="00F64D84"/>
    <w:rsid w:val="00F823B1"/>
    <w:rsid w:val="00F85F23"/>
    <w:rsid w:val="00FA2805"/>
    <w:rsid w:val="00FD00ED"/>
    <w:rsid w:val="00FD10FB"/>
    <w:rsid w:val="00FD23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0FB"/>
    <w:pPr>
      <w:spacing w:after="0" w:line="240" w:lineRule="auto"/>
    </w:pPr>
  </w:style>
  <w:style w:type="paragraph" w:styleId="BalloonText">
    <w:name w:val="Balloon Text"/>
    <w:basedOn w:val="Normal"/>
    <w:link w:val="BalloonTextChar"/>
    <w:uiPriority w:val="99"/>
    <w:semiHidden/>
    <w:unhideWhenUsed/>
    <w:rsid w:val="0024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F0"/>
    <w:rPr>
      <w:rFonts w:ascii="Tahoma" w:hAnsi="Tahoma" w:cs="Tahoma"/>
      <w:sz w:val="16"/>
      <w:szCs w:val="16"/>
    </w:rPr>
  </w:style>
  <w:style w:type="table" w:customStyle="1" w:styleId="SMPRTableBlue">
    <w:name w:val="SMPR_Table_Blue"/>
    <w:basedOn w:val="TableNormal"/>
    <w:uiPriority w:val="99"/>
    <w:rsid w:val="00436306"/>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unhideWhenUsed/>
    <w:rsid w:val="00436306"/>
    <w:rPr>
      <w:sz w:val="16"/>
      <w:szCs w:val="16"/>
    </w:rPr>
  </w:style>
  <w:style w:type="paragraph" w:styleId="CommentText">
    <w:name w:val="annotation text"/>
    <w:basedOn w:val="Normal"/>
    <w:link w:val="CommentTextChar"/>
    <w:uiPriority w:val="99"/>
    <w:unhideWhenUsed/>
    <w:rsid w:val="00436306"/>
    <w:pPr>
      <w:spacing w:line="240" w:lineRule="auto"/>
    </w:pPr>
    <w:rPr>
      <w:sz w:val="20"/>
      <w:szCs w:val="20"/>
    </w:rPr>
  </w:style>
  <w:style w:type="character" w:customStyle="1" w:styleId="CommentTextChar">
    <w:name w:val="Comment Text Char"/>
    <w:basedOn w:val="DefaultParagraphFont"/>
    <w:link w:val="CommentText"/>
    <w:uiPriority w:val="99"/>
    <w:rsid w:val="00436306"/>
    <w:rPr>
      <w:sz w:val="20"/>
      <w:szCs w:val="20"/>
    </w:rPr>
  </w:style>
  <w:style w:type="paragraph" w:styleId="CommentSubject">
    <w:name w:val="annotation subject"/>
    <w:basedOn w:val="CommentText"/>
    <w:next w:val="CommentText"/>
    <w:link w:val="CommentSubjectChar"/>
    <w:uiPriority w:val="99"/>
    <w:semiHidden/>
    <w:unhideWhenUsed/>
    <w:rsid w:val="00436306"/>
    <w:rPr>
      <w:b/>
      <w:bCs/>
    </w:rPr>
  </w:style>
  <w:style w:type="character" w:customStyle="1" w:styleId="CommentSubjectChar">
    <w:name w:val="Comment Subject Char"/>
    <w:basedOn w:val="CommentTextChar"/>
    <w:link w:val="CommentSubject"/>
    <w:uiPriority w:val="99"/>
    <w:semiHidden/>
    <w:rsid w:val="00436306"/>
    <w:rPr>
      <w:b/>
      <w:bCs/>
      <w:sz w:val="20"/>
      <w:szCs w:val="20"/>
    </w:rPr>
  </w:style>
  <w:style w:type="paragraph" w:styleId="Revision">
    <w:name w:val="Revision"/>
    <w:hidden/>
    <w:uiPriority w:val="99"/>
    <w:semiHidden/>
    <w:rsid w:val="00436306"/>
    <w:pPr>
      <w:spacing w:after="0" w:line="240" w:lineRule="auto"/>
    </w:pPr>
  </w:style>
  <w:style w:type="paragraph" w:styleId="ListParagraph">
    <w:name w:val="List Paragraph"/>
    <w:basedOn w:val="Normal"/>
    <w:uiPriority w:val="34"/>
    <w:qFormat/>
    <w:rsid w:val="00FD00ED"/>
    <w:pPr>
      <w:ind w:left="720"/>
      <w:contextualSpacing/>
    </w:p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320825"/>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20825"/>
    <w:rPr>
      <w:rFonts w:ascii="Times New Roman" w:eastAsia="Times New Roman" w:hAnsi="Times New Roman" w:cs="Times New Roman"/>
      <w:szCs w:val="20"/>
    </w:rPr>
  </w:style>
  <w:style w:type="character" w:styleId="FootnoteReference">
    <w:name w:val="footnote reference"/>
    <w:basedOn w:val="DefaultParagraphFont"/>
    <w:uiPriority w:val="99"/>
    <w:rsid w:val="00940933"/>
    <w:rPr>
      <w:vertAlign w:val="superscript"/>
    </w:rPr>
  </w:style>
  <w:style w:type="paragraph" w:styleId="FootnoteText">
    <w:name w:val="footnote text"/>
    <w:aliases w:val="F1"/>
    <w:basedOn w:val="Normal"/>
    <w:link w:val="FootnoteTextChar"/>
    <w:uiPriority w:val="99"/>
    <w:rsid w:val="00940933"/>
    <w:pPr>
      <w:spacing w:after="12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940933"/>
    <w:rPr>
      <w:rFonts w:ascii="Times New Roman" w:eastAsia="Times New Roman" w:hAnsi="Times New Roman" w:cs="Times New Roman"/>
      <w:sz w:val="20"/>
      <w:szCs w:val="20"/>
    </w:rPr>
  </w:style>
  <w:style w:type="character" w:styleId="Hyperlink">
    <w:name w:val="Hyperlink"/>
    <w:basedOn w:val="DefaultParagraphFont"/>
    <w:uiPriority w:val="99"/>
    <w:rsid w:val="00CC15D2"/>
    <w:rPr>
      <w:color w:val="0000FF"/>
      <w:u w:val="single"/>
    </w:rPr>
  </w:style>
  <w:style w:type="paragraph" w:customStyle="1" w:styleId="ExhibitSource">
    <w:name w:val="Exhibit Source"/>
    <w:basedOn w:val="Normal"/>
    <w:qFormat/>
    <w:rsid w:val="00CC15D2"/>
    <w:pPr>
      <w:spacing w:before="60" w:after="0" w:line="264" w:lineRule="auto"/>
    </w:pPr>
    <w:rPr>
      <w:rFonts w:ascii="Arial Narrow" w:eastAsia="Times New Roman" w:hAnsi="Arial Narrow" w:cs="Arial"/>
      <w:sz w:val="18"/>
      <w:szCs w:val="20"/>
    </w:rPr>
  </w:style>
  <w:style w:type="paragraph" w:customStyle="1" w:styleId="ExhibitsourceLast">
    <w:name w:val="Exhibit source Last"/>
    <w:basedOn w:val="ExhibitSource"/>
    <w:qFormat/>
    <w:rsid w:val="00CC15D2"/>
    <w:pPr>
      <w:spacing w:after="240"/>
    </w:pPr>
    <w:rPr>
      <w:szCs w:val="18"/>
    </w:rPr>
  </w:style>
  <w:style w:type="paragraph" w:styleId="Caption">
    <w:name w:val="caption"/>
    <w:basedOn w:val="Normal"/>
    <w:next w:val="Normal"/>
    <w:qFormat/>
    <w:rsid w:val="00FA2805"/>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ExhibitText">
    <w:name w:val="Exhibit Text"/>
    <w:basedOn w:val="Normal"/>
    <w:qFormat/>
    <w:rsid w:val="00FA2805"/>
    <w:pPr>
      <w:spacing w:before="40" w:after="40" w:line="264" w:lineRule="auto"/>
    </w:pPr>
    <w:rPr>
      <w:rFonts w:ascii="Arial Narrow" w:eastAsia="Times New Roman" w:hAnsi="Arial Narrow" w:cs="Arial"/>
      <w:bCs/>
      <w:color w:val="000000"/>
      <w:sz w:val="18"/>
      <w:szCs w:val="20"/>
    </w:rPr>
  </w:style>
  <w:style w:type="paragraph" w:customStyle="1" w:styleId="ExhibitColumnHeader">
    <w:name w:val="Exhibit Column Header"/>
    <w:basedOn w:val="Normal"/>
    <w:qFormat/>
    <w:rsid w:val="00FA2805"/>
    <w:pPr>
      <w:spacing w:before="40" w:after="40" w:line="240" w:lineRule="auto"/>
      <w:jc w:val="center"/>
    </w:pPr>
    <w:rPr>
      <w:rFonts w:ascii="Arial Narrow" w:eastAsia="Times New Roman" w:hAnsi="Arial Narrow" w:cs="Arial"/>
      <w:b/>
      <w:color w:val="000000" w:themeColor="text1"/>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0FB"/>
    <w:pPr>
      <w:spacing w:after="0" w:line="240" w:lineRule="auto"/>
    </w:pPr>
  </w:style>
  <w:style w:type="paragraph" w:styleId="BalloonText">
    <w:name w:val="Balloon Text"/>
    <w:basedOn w:val="Normal"/>
    <w:link w:val="BalloonTextChar"/>
    <w:uiPriority w:val="99"/>
    <w:semiHidden/>
    <w:unhideWhenUsed/>
    <w:rsid w:val="0024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F0"/>
    <w:rPr>
      <w:rFonts w:ascii="Tahoma" w:hAnsi="Tahoma" w:cs="Tahoma"/>
      <w:sz w:val="16"/>
      <w:szCs w:val="16"/>
    </w:rPr>
  </w:style>
  <w:style w:type="table" w:customStyle="1" w:styleId="SMPRTableBlue">
    <w:name w:val="SMPR_Table_Blue"/>
    <w:basedOn w:val="TableNormal"/>
    <w:uiPriority w:val="99"/>
    <w:rsid w:val="00436306"/>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unhideWhenUsed/>
    <w:rsid w:val="00436306"/>
    <w:rPr>
      <w:sz w:val="16"/>
      <w:szCs w:val="16"/>
    </w:rPr>
  </w:style>
  <w:style w:type="paragraph" w:styleId="CommentText">
    <w:name w:val="annotation text"/>
    <w:basedOn w:val="Normal"/>
    <w:link w:val="CommentTextChar"/>
    <w:uiPriority w:val="99"/>
    <w:unhideWhenUsed/>
    <w:rsid w:val="00436306"/>
    <w:pPr>
      <w:spacing w:line="240" w:lineRule="auto"/>
    </w:pPr>
    <w:rPr>
      <w:sz w:val="20"/>
      <w:szCs w:val="20"/>
    </w:rPr>
  </w:style>
  <w:style w:type="character" w:customStyle="1" w:styleId="CommentTextChar">
    <w:name w:val="Comment Text Char"/>
    <w:basedOn w:val="DefaultParagraphFont"/>
    <w:link w:val="CommentText"/>
    <w:uiPriority w:val="99"/>
    <w:rsid w:val="00436306"/>
    <w:rPr>
      <w:sz w:val="20"/>
      <w:szCs w:val="20"/>
    </w:rPr>
  </w:style>
  <w:style w:type="paragraph" w:styleId="CommentSubject">
    <w:name w:val="annotation subject"/>
    <w:basedOn w:val="CommentText"/>
    <w:next w:val="CommentText"/>
    <w:link w:val="CommentSubjectChar"/>
    <w:uiPriority w:val="99"/>
    <w:semiHidden/>
    <w:unhideWhenUsed/>
    <w:rsid w:val="00436306"/>
    <w:rPr>
      <w:b/>
      <w:bCs/>
    </w:rPr>
  </w:style>
  <w:style w:type="character" w:customStyle="1" w:styleId="CommentSubjectChar">
    <w:name w:val="Comment Subject Char"/>
    <w:basedOn w:val="CommentTextChar"/>
    <w:link w:val="CommentSubject"/>
    <w:uiPriority w:val="99"/>
    <w:semiHidden/>
    <w:rsid w:val="00436306"/>
    <w:rPr>
      <w:b/>
      <w:bCs/>
      <w:sz w:val="20"/>
      <w:szCs w:val="20"/>
    </w:rPr>
  </w:style>
  <w:style w:type="paragraph" w:styleId="Revision">
    <w:name w:val="Revision"/>
    <w:hidden/>
    <w:uiPriority w:val="99"/>
    <w:semiHidden/>
    <w:rsid w:val="00436306"/>
    <w:pPr>
      <w:spacing w:after="0" w:line="240" w:lineRule="auto"/>
    </w:pPr>
  </w:style>
  <w:style w:type="paragraph" w:styleId="ListParagraph">
    <w:name w:val="List Paragraph"/>
    <w:basedOn w:val="Normal"/>
    <w:uiPriority w:val="34"/>
    <w:qFormat/>
    <w:rsid w:val="00FD00ED"/>
    <w:pPr>
      <w:ind w:left="720"/>
      <w:contextualSpacing/>
    </w:p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320825"/>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320825"/>
    <w:rPr>
      <w:rFonts w:ascii="Times New Roman" w:eastAsia="Times New Roman" w:hAnsi="Times New Roman" w:cs="Times New Roman"/>
      <w:szCs w:val="20"/>
    </w:rPr>
  </w:style>
  <w:style w:type="character" w:styleId="FootnoteReference">
    <w:name w:val="footnote reference"/>
    <w:basedOn w:val="DefaultParagraphFont"/>
    <w:uiPriority w:val="99"/>
    <w:rsid w:val="00940933"/>
    <w:rPr>
      <w:vertAlign w:val="superscript"/>
    </w:rPr>
  </w:style>
  <w:style w:type="paragraph" w:styleId="FootnoteText">
    <w:name w:val="footnote text"/>
    <w:aliases w:val="F1"/>
    <w:basedOn w:val="Normal"/>
    <w:link w:val="FootnoteTextChar"/>
    <w:uiPriority w:val="99"/>
    <w:rsid w:val="00940933"/>
    <w:pPr>
      <w:spacing w:after="12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940933"/>
    <w:rPr>
      <w:rFonts w:ascii="Times New Roman" w:eastAsia="Times New Roman" w:hAnsi="Times New Roman" w:cs="Times New Roman"/>
      <w:sz w:val="20"/>
      <w:szCs w:val="20"/>
    </w:rPr>
  </w:style>
  <w:style w:type="character" w:styleId="Hyperlink">
    <w:name w:val="Hyperlink"/>
    <w:basedOn w:val="DefaultParagraphFont"/>
    <w:uiPriority w:val="99"/>
    <w:rsid w:val="00CC15D2"/>
    <w:rPr>
      <w:color w:val="0000FF"/>
      <w:u w:val="single"/>
    </w:rPr>
  </w:style>
  <w:style w:type="paragraph" w:customStyle="1" w:styleId="ExhibitSource">
    <w:name w:val="Exhibit Source"/>
    <w:basedOn w:val="Normal"/>
    <w:qFormat/>
    <w:rsid w:val="00CC15D2"/>
    <w:pPr>
      <w:spacing w:before="60" w:after="0" w:line="264" w:lineRule="auto"/>
    </w:pPr>
    <w:rPr>
      <w:rFonts w:ascii="Arial Narrow" w:eastAsia="Times New Roman" w:hAnsi="Arial Narrow" w:cs="Arial"/>
      <w:sz w:val="18"/>
      <w:szCs w:val="20"/>
    </w:rPr>
  </w:style>
  <w:style w:type="paragraph" w:customStyle="1" w:styleId="ExhibitsourceLast">
    <w:name w:val="Exhibit source Last"/>
    <w:basedOn w:val="ExhibitSource"/>
    <w:qFormat/>
    <w:rsid w:val="00CC15D2"/>
    <w:pPr>
      <w:spacing w:after="240"/>
    </w:pPr>
    <w:rPr>
      <w:szCs w:val="18"/>
    </w:rPr>
  </w:style>
  <w:style w:type="paragraph" w:styleId="Caption">
    <w:name w:val="caption"/>
    <w:basedOn w:val="Normal"/>
    <w:next w:val="Normal"/>
    <w:qFormat/>
    <w:rsid w:val="00FA2805"/>
    <w:pPr>
      <w:keepNext/>
      <w:keepLines/>
      <w:widowControl w:val="0"/>
      <w:tabs>
        <w:tab w:val="left" w:pos="1440"/>
      </w:tabs>
      <w:spacing w:after="120" w:line="264" w:lineRule="auto"/>
    </w:pPr>
    <w:rPr>
      <w:rFonts w:ascii="Arial" w:eastAsia="Times New Roman" w:hAnsi="Arial" w:cs="Times New Roman"/>
      <w:b/>
      <w:bCs/>
      <w:sz w:val="20"/>
      <w:szCs w:val="20"/>
    </w:rPr>
  </w:style>
  <w:style w:type="paragraph" w:customStyle="1" w:styleId="ExhibitText">
    <w:name w:val="Exhibit Text"/>
    <w:basedOn w:val="Normal"/>
    <w:qFormat/>
    <w:rsid w:val="00FA2805"/>
    <w:pPr>
      <w:spacing w:before="40" w:after="40" w:line="264" w:lineRule="auto"/>
    </w:pPr>
    <w:rPr>
      <w:rFonts w:ascii="Arial Narrow" w:eastAsia="Times New Roman" w:hAnsi="Arial Narrow" w:cs="Arial"/>
      <w:bCs/>
      <w:color w:val="000000"/>
      <w:sz w:val="18"/>
      <w:szCs w:val="20"/>
    </w:rPr>
  </w:style>
  <w:style w:type="paragraph" w:customStyle="1" w:styleId="ExhibitColumnHeader">
    <w:name w:val="Exhibit Column Header"/>
    <w:basedOn w:val="Normal"/>
    <w:qFormat/>
    <w:rsid w:val="00FA2805"/>
    <w:pPr>
      <w:spacing w:before="40" w:after="40" w:line="240" w:lineRule="auto"/>
      <w:jc w:val="center"/>
    </w:pPr>
    <w:rPr>
      <w:rFonts w:ascii="Arial Narrow" w:eastAsia="Times New Roman" w:hAnsi="Arial Narrow" w:cs="Arial"/>
      <w:b/>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2567">
      <w:bodyDiv w:val="1"/>
      <w:marLeft w:val="0"/>
      <w:marRight w:val="0"/>
      <w:marTop w:val="0"/>
      <w:marBottom w:val="0"/>
      <w:divBdr>
        <w:top w:val="none" w:sz="0" w:space="0" w:color="auto"/>
        <w:left w:val="none" w:sz="0" w:space="0" w:color="auto"/>
        <w:bottom w:val="none" w:sz="0" w:space="0" w:color="auto"/>
        <w:right w:val="none" w:sz="0" w:space="0" w:color="auto"/>
      </w:divBdr>
    </w:div>
    <w:div w:id="880439564">
      <w:bodyDiv w:val="1"/>
      <w:marLeft w:val="0"/>
      <w:marRight w:val="0"/>
      <w:marTop w:val="0"/>
      <w:marBottom w:val="0"/>
      <w:divBdr>
        <w:top w:val="none" w:sz="0" w:space="0" w:color="auto"/>
        <w:left w:val="none" w:sz="0" w:space="0" w:color="auto"/>
        <w:bottom w:val="none" w:sz="0" w:space="0" w:color="auto"/>
        <w:right w:val="none" w:sz="0" w:space="0" w:color="auto"/>
      </w:divBdr>
    </w:div>
    <w:div w:id="1144464166">
      <w:bodyDiv w:val="1"/>
      <w:marLeft w:val="0"/>
      <w:marRight w:val="0"/>
      <w:marTop w:val="0"/>
      <w:marBottom w:val="0"/>
      <w:divBdr>
        <w:top w:val="none" w:sz="0" w:space="0" w:color="auto"/>
        <w:left w:val="none" w:sz="0" w:space="0" w:color="auto"/>
        <w:bottom w:val="none" w:sz="0" w:space="0" w:color="auto"/>
        <w:right w:val="none" w:sz="0" w:space="0" w:color="auto"/>
      </w:divBdr>
    </w:div>
    <w:div w:id="13997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salas-kos.gloria</dc:creator>
  <cp:keywords/>
  <dc:description/>
  <cp:lastModifiedBy>SYSTEM</cp:lastModifiedBy>
  <cp:revision>2</cp:revision>
  <cp:lastPrinted>2019-05-21T14:52:00Z</cp:lastPrinted>
  <dcterms:created xsi:type="dcterms:W3CDTF">2019-08-13T17:14:00Z</dcterms:created>
  <dcterms:modified xsi:type="dcterms:W3CDTF">2019-08-13T17:14:00Z</dcterms:modified>
</cp:coreProperties>
</file>