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8C49C" w14:textId="77777777" w:rsidR="005830BA" w:rsidRPr="003308D0" w:rsidRDefault="005830BA" w:rsidP="003D056B">
      <w:pPr>
        <w:pStyle w:val="Title"/>
        <w:rPr>
          <w:szCs w:val="24"/>
        </w:rPr>
      </w:pPr>
      <w:bookmarkStart w:id="0" w:name="_GoBack"/>
      <w:bookmarkEnd w:id="0"/>
      <w:r w:rsidRPr="003308D0">
        <w:rPr>
          <w:szCs w:val="24"/>
        </w:rPr>
        <w:t>SUPPORTING STATEMENT FOR</w:t>
      </w:r>
    </w:p>
    <w:p w14:paraId="15CB78DB" w14:textId="77777777" w:rsidR="00B601AB" w:rsidRPr="003308D0" w:rsidRDefault="00B601AB" w:rsidP="003D056B">
      <w:pPr>
        <w:pStyle w:val="Title"/>
        <w:rPr>
          <w:szCs w:val="24"/>
        </w:rPr>
      </w:pPr>
      <w:r w:rsidRPr="003308D0">
        <w:rPr>
          <w:szCs w:val="24"/>
        </w:rPr>
        <w:t>PAPE</w:t>
      </w:r>
      <w:r w:rsidR="002B2345" w:rsidRPr="003308D0">
        <w:rPr>
          <w:szCs w:val="24"/>
        </w:rPr>
        <w:t>RWORK REDUCTION ACT SUBMISSION</w:t>
      </w:r>
    </w:p>
    <w:p w14:paraId="39E8177E" w14:textId="77777777" w:rsidR="00B601AB" w:rsidRPr="003308D0" w:rsidRDefault="00B601AB" w:rsidP="003D056B">
      <w:pPr>
        <w:ind w:firstLine="360"/>
        <w:jc w:val="center"/>
        <w:rPr>
          <w:szCs w:val="24"/>
        </w:rPr>
      </w:pPr>
    </w:p>
    <w:p w14:paraId="17D9FD84" w14:textId="77777777" w:rsidR="00F81813" w:rsidRPr="003308D0" w:rsidRDefault="00F81813" w:rsidP="003D056B">
      <w:pPr>
        <w:jc w:val="center"/>
        <w:rPr>
          <w:b/>
          <w:szCs w:val="24"/>
        </w:rPr>
      </w:pPr>
      <w:r w:rsidRPr="003308D0">
        <w:rPr>
          <w:b/>
          <w:szCs w:val="24"/>
        </w:rPr>
        <w:t xml:space="preserve">Request for </w:t>
      </w:r>
      <w:r w:rsidR="00C83638" w:rsidRPr="003308D0">
        <w:rPr>
          <w:b/>
          <w:szCs w:val="24"/>
        </w:rPr>
        <w:t>Commodity Jurisdiction (CJ) Determination</w:t>
      </w:r>
    </w:p>
    <w:p w14:paraId="20DF6209" w14:textId="77777777" w:rsidR="00F81813" w:rsidRPr="003308D0" w:rsidRDefault="00C83638" w:rsidP="003D056B">
      <w:pPr>
        <w:jc w:val="center"/>
        <w:rPr>
          <w:b/>
          <w:szCs w:val="24"/>
        </w:rPr>
      </w:pPr>
      <w:r w:rsidRPr="003308D0">
        <w:rPr>
          <w:b/>
          <w:szCs w:val="24"/>
        </w:rPr>
        <w:t>OMB No. 1405-0163</w:t>
      </w:r>
    </w:p>
    <w:p w14:paraId="34C0A5C6" w14:textId="77777777" w:rsidR="00B601AB" w:rsidRPr="003308D0" w:rsidRDefault="00C83638" w:rsidP="003D056B">
      <w:pPr>
        <w:pStyle w:val="BodyText3"/>
        <w:rPr>
          <w:sz w:val="24"/>
          <w:szCs w:val="24"/>
        </w:rPr>
      </w:pPr>
      <w:r w:rsidRPr="003308D0">
        <w:rPr>
          <w:sz w:val="24"/>
          <w:szCs w:val="24"/>
        </w:rPr>
        <w:t>Form DS-4076</w:t>
      </w:r>
    </w:p>
    <w:p w14:paraId="5DA460BD" w14:textId="77777777" w:rsidR="00B601AB" w:rsidRPr="003308D0" w:rsidRDefault="00B601AB" w:rsidP="003D056B">
      <w:pPr>
        <w:jc w:val="center"/>
        <w:rPr>
          <w:b/>
          <w:szCs w:val="24"/>
        </w:rPr>
      </w:pPr>
    </w:p>
    <w:p w14:paraId="06201B44" w14:textId="77777777" w:rsidR="00B601AB" w:rsidRPr="003308D0" w:rsidRDefault="00B601AB" w:rsidP="003D056B">
      <w:pPr>
        <w:pStyle w:val="Heading2"/>
        <w:jc w:val="left"/>
        <w:rPr>
          <w:color w:val="auto"/>
          <w:szCs w:val="24"/>
        </w:rPr>
      </w:pPr>
      <w:r w:rsidRPr="003308D0">
        <w:rPr>
          <w:color w:val="auto"/>
          <w:szCs w:val="24"/>
        </w:rPr>
        <w:t>A.  Justification</w:t>
      </w:r>
    </w:p>
    <w:p w14:paraId="18C2A2B3" w14:textId="77777777" w:rsidR="00B601AB" w:rsidRPr="003308D0" w:rsidRDefault="00B601AB" w:rsidP="003D056B">
      <w:pPr>
        <w:jc w:val="center"/>
        <w:rPr>
          <w:b/>
          <w:szCs w:val="24"/>
        </w:rPr>
      </w:pPr>
    </w:p>
    <w:p w14:paraId="7DE859D5" w14:textId="3A6277CE" w:rsidR="00F24DA7" w:rsidRDefault="00E776F3" w:rsidP="003D056B">
      <w:pPr>
        <w:rPr>
          <w:color w:val="000000" w:themeColor="text1"/>
          <w:szCs w:val="24"/>
        </w:rPr>
      </w:pPr>
      <w:r w:rsidRPr="003308D0">
        <w:rPr>
          <w:szCs w:val="24"/>
        </w:rPr>
        <w:t>1.</w:t>
      </w:r>
      <w:r w:rsidRPr="003308D0">
        <w:rPr>
          <w:szCs w:val="24"/>
        </w:rPr>
        <w:tab/>
      </w:r>
      <w:r w:rsidR="00F24DA7" w:rsidRPr="003308D0">
        <w:rPr>
          <w:color w:val="000000" w:themeColor="text1"/>
          <w:szCs w:val="24"/>
        </w:rPr>
        <w:t>Why is this collection necessary and what are the legal statutes that allow this?</w:t>
      </w:r>
    </w:p>
    <w:p w14:paraId="6E9AE284" w14:textId="77777777" w:rsidR="003D056B" w:rsidRPr="003308D0" w:rsidRDefault="003D056B" w:rsidP="003D056B">
      <w:pPr>
        <w:rPr>
          <w:i/>
          <w:color w:val="000000" w:themeColor="text1"/>
          <w:szCs w:val="24"/>
        </w:rPr>
      </w:pPr>
    </w:p>
    <w:p w14:paraId="55CB320B" w14:textId="050178B2" w:rsidR="00B601AB" w:rsidRPr="003308D0" w:rsidRDefault="002B2345" w:rsidP="003D056B">
      <w:pPr>
        <w:pStyle w:val="BodyText2"/>
        <w:ind w:firstLine="720"/>
        <w:rPr>
          <w:sz w:val="24"/>
          <w:szCs w:val="24"/>
        </w:rPr>
      </w:pPr>
      <w:r w:rsidRPr="003308D0">
        <w:rPr>
          <w:sz w:val="24"/>
          <w:szCs w:val="24"/>
        </w:rPr>
        <w:t xml:space="preserve">The Directorate of Defense Trade Controls (DDTC), Bureau of Political-Military Affairs, U.S. Department of State, in accordance with the Arms Export Control Act (AECA) (22 U.S.C. 2751 </w:t>
      </w:r>
      <w:r w:rsidRPr="003308D0">
        <w:rPr>
          <w:i/>
          <w:sz w:val="24"/>
          <w:szCs w:val="24"/>
        </w:rPr>
        <w:t>et seq</w:t>
      </w:r>
      <w:r w:rsidRPr="003308D0">
        <w:rPr>
          <w:sz w:val="24"/>
          <w:szCs w:val="24"/>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5103D1" w:rsidRPr="003308D0">
        <w:rPr>
          <w:sz w:val="24"/>
          <w:szCs w:val="24"/>
        </w:rPr>
        <w:t>,</w:t>
      </w:r>
      <w:r w:rsidRPr="003308D0">
        <w:rPr>
          <w:sz w:val="24"/>
          <w:szCs w:val="24"/>
        </w:rPr>
        <w:t xml:space="preserve"> and collecting various types of reports.  By statute, Executive Order, regulation, and delegation of authority, DDTC is charged with controlling the export and temporary import of defense articles, the provision</w:t>
      </w:r>
      <w:r w:rsidR="003A377C" w:rsidRPr="003308D0">
        <w:rPr>
          <w:sz w:val="24"/>
          <w:szCs w:val="24"/>
        </w:rPr>
        <w:t>ing</w:t>
      </w:r>
      <w:r w:rsidRPr="003308D0">
        <w:rPr>
          <w:sz w:val="24"/>
          <w:szCs w:val="24"/>
        </w:rPr>
        <w:t xml:space="preserve"> of defense services</w:t>
      </w:r>
      <w:r w:rsidR="00C83638" w:rsidRPr="003308D0">
        <w:rPr>
          <w:sz w:val="24"/>
          <w:szCs w:val="24"/>
        </w:rPr>
        <w:t>,</w:t>
      </w:r>
      <w:r w:rsidRPr="003308D0">
        <w:rPr>
          <w:sz w:val="24"/>
          <w:szCs w:val="24"/>
        </w:rPr>
        <w:t xml:space="preserve"> and the brokering thereof</w:t>
      </w:r>
      <w:r w:rsidR="00C83638" w:rsidRPr="003308D0">
        <w:rPr>
          <w:sz w:val="24"/>
          <w:szCs w:val="24"/>
        </w:rPr>
        <w:t>,</w:t>
      </w:r>
      <w:r w:rsidRPr="003308D0">
        <w:rPr>
          <w:sz w:val="24"/>
          <w:szCs w:val="24"/>
        </w:rPr>
        <w:t xml:space="preserve"> which are covered by the U.S. Munitions List (USML).</w:t>
      </w:r>
    </w:p>
    <w:p w14:paraId="6F4BBEF6" w14:textId="77777777" w:rsidR="00B601AB" w:rsidRPr="003308D0" w:rsidRDefault="00B601AB" w:rsidP="003D056B">
      <w:pPr>
        <w:rPr>
          <w:szCs w:val="24"/>
        </w:rPr>
      </w:pPr>
    </w:p>
    <w:p w14:paraId="47E9E3F2" w14:textId="77777777" w:rsidR="00B601AB" w:rsidRPr="003308D0" w:rsidRDefault="00F30B5B" w:rsidP="003D056B">
      <w:pPr>
        <w:rPr>
          <w:szCs w:val="24"/>
        </w:rPr>
      </w:pPr>
      <w:r w:rsidRPr="003308D0">
        <w:rPr>
          <w:szCs w:val="24"/>
        </w:rPr>
        <w:tab/>
      </w:r>
      <w:r w:rsidR="002B2345" w:rsidRPr="003308D0">
        <w:rPr>
          <w:szCs w:val="24"/>
        </w:rPr>
        <w:t xml:space="preserve">Under the AECA, the President is charged with the review of munitions license applications and technical assistance and manufacturing license agreement requests to determine, </w:t>
      </w:r>
      <w:r w:rsidR="002B2345" w:rsidRPr="003308D0">
        <w:rPr>
          <w:i/>
          <w:szCs w:val="24"/>
        </w:rPr>
        <w:t>inter alia</w:t>
      </w:r>
      <w:r w:rsidR="002B2345" w:rsidRPr="003308D0">
        <w:rPr>
          <w:szCs w:val="24"/>
        </w:rPr>
        <w:t>:</w:t>
      </w:r>
    </w:p>
    <w:p w14:paraId="72DA8910" w14:textId="77777777" w:rsidR="00B601AB" w:rsidRPr="003308D0" w:rsidRDefault="00B601AB" w:rsidP="003D056B">
      <w:pPr>
        <w:rPr>
          <w:szCs w:val="24"/>
        </w:rPr>
      </w:pPr>
    </w:p>
    <w:p w14:paraId="44C915F6" w14:textId="77777777" w:rsidR="00B601AB" w:rsidRPr="003308D0" w:rsidRDefault="00B601AB" w:rsidP="003D056B">
      <w:pPr>
        <w:numPr>
          <w:ilvl w:val="0"/>
          <w:numId w:val="1"/>
        </w:numPr>
        <w:rPr>
          <w:szCs w:val="24"/>
        </w:rPr>
      </w:pPr>
      <w:r w:rsidRPr="003308D0">
        <w:rPr>
          <w:szCs w:val="24"/>
        </w:rPr>
        <w:t>Whether the transactions further U.S. foreign policy objectives, national security interests, and world peace;</w:t>
      </w:r>
    </w:p>
    <w:p w14:paraId="715C4E76" w14:textId="77777777" w:rsidR="00B601AB" w:rsidRPr="003308D0" w:rsidRDefault="00B601AB" w:rsidP="003D056B">
      <w:pPr>
        <w:rPr>
          <w:szCs w:val="24"/>
        </w:rPr>
      </w:pPr>
    </w:p>
    <w:p w14:paraId="7D3B0BBC" w14:textId="77777777" w:rsidR="00B601AB" w:rsidRPr="003308D0" w:rsidRDefault="00B601AB" w:rsidP="003D056B">
      <w:pPr>
        <w:numPr>
          <w:ilvl w:val="0"/>
          <w:numId w:val="2"/>
        </w:numPr>
        <w:rPr>
          <w:szCs w:val="24"/>
        </w:rPr>
      </w:pPr>
      <w:r w:rsidRPr="003308D0">
        <w:rPr>
          <w:szCs w:val="24"/>
        </w:rPr>
        <w:t>Eligibility of parties (</w:t>
      </w:r>
      <w:r w:rsidRPr="003308D0">
        <w:rPr>
          <w:i/>
          <w:szCs w:val="24"/>
        </w:rPr>
        <w:t>e.g.</w:t>
      </w:r>
      <w:r w:rsidRPr="003308D0">
        <w:rPr>
          <w:szCs w:val="24"/>
        </w:rPr>
        <w:t>, applicants, consignees, end-users) to participate in U.S. defense trade;</w:t>
      </w:r>
    </w:p>
    <w:p w14:paraId="5D3E29B3" w14:textId="77777777" w:rsidR="00B601AB" w:rsidRPr="003308D0" w:rsidRDefault="00B601AB" w:rsidP="003D056B">
      <w:pPr>
        <w:rPr>
          <w:szCs w:val="24"/>
        </w:rPr>
      </w:pPr>
    </w:p>
    <w:p w14:paraId="34D2A25A" w14:textId="77777777" w:rsidR="00B601AB" w:rsidRPr="003308D0" w:rsidRDefault="00B601AB" w:rsidP="003D056B">
      <w:pPr>
        <w:numPr>
          <w:ilvl w:val="0"/>
          <w:numId w:val="3"/>
        </w:numPr>
        <w:rPr>
          <w:szCs w:val="24"/>
        </w:rPr>
      </w:pPr>
      <w:r w:rsidRPr="003308D0">
        <w:rPr>
          <w:szCs w:val="24"/>
        </w:rPr>
        <w:t xml:space="preserve">Appropriate end-use of commodities subject to U. S. Government approval of munitions exports and transfers; </w:t>
      </w:r>
    </w:p>
    <w:p w14:paraId="0FAB26DF" w14:textId="77777777" w:rsidR="00B601AB" w:rsidRPr="003308D0" w:rsidRDefault="00B601AB" w:rsidP="003D056B">
      <w:pPr>
        <w:rPr>
          <w:szCs w:val="24"/>
        </w:rPr>
      </w:pPr>
    </w:p>
    <w:p w14:paraId="33FEFA20" w14:textId="77777777" w:rsidR="00B601AB" w:rsidRPr="003308D0" w:rsidRDefault="00B601AB" w:rsidP="003D056B">
      <w:pPr>
        <w:numPr>
          <w:ilvl w:val="0"/>
          <w:numId w:val="9"/>
        </w:numPr>
        <w:rPr>
          <w:szCs w:val="24"/>
        </w:rPr>
      </w:pPr>
      <w:r w:rsidRPr="003308D0">
        <w:rPr>
          <w:szCs w:val="24"/>
        </w:rPr>
        <w:t>Whether law enforcement concerns have been adequately addressed; and</w:t>
      </w:r>
    </w:p>
    <w:p w14:paraId="57CE718B" w14:textId="77777777" w:rsidR="00B601AB" w:rsidRPr="003308D0" w:rsidRDefault="00B601AB" w:rsidP="003D056B">
      <w:pPr>
        <w:rPr>
          <w:szCs w:val="24"/>
        </w:rPr>
      </w:pPr>
    </w:p>
    <w:p w14:paraId="25E6CC1F" w14:textId="77777777" w:rsidR="00B601AB" w:rsidRPr="003308D0" w:rsidRDefault="002B2345" w:rsidP="003D056B">
      <w:pPr>
        <w:numPr>
          <w:ilvl w:val="0"/>
          <w:numId w:val="8"/>
        </w:numPr>
        <w:rPr>
          <w:szCs w:val="24"/>
        </w:rPr>
      </w:pPr>
      <w:r w:rsidRPr="003308D0">
        <w:rPr>
          <w:szCs w:val="24"/>
        </w:rPr>
        <w:t>Whether appropriate offers or payment of political contributions, gifts, commissions, and fees, have been adequately addressed.</w:t>
      </w:r>
    </w:p>
    <w:p w14:paraId="223186F2" w14:textId="77777777" w:rsidR="00B601AB" w:rsidRPr="003308D0" w:rsidRDefault="00B601AB" w:rsidP="003D056B">
      <w:pPr>
        <w:rPr>
          <w:szCs w:val="24"/>
        </w:rPr>
      </w:pPr>
    </w:p>
    <w:p w14:paraId="6112C8E7" w14:textId="77777777" w:rsidR="00D72557" w:rsidRPr="003308D0" w:rsidRDefault="002B2345" w:rsidP="003D056B">
      <w:pPr>
        <w:ind w:firstLine="720"/>
        <w:rPr>
          <w:szCs w:val="24"/>
        </w:rPr>
      </w:pPr>
      <w:r w:rsidRPr="003308D0">
        <w:rPr>
          <w:szCs w:val="24"/>
        </w:rPr>
        <w:t>The statutory authority of the President to promulgate regulations with respect to the export and the temporary import of defense articles and the provision of defense services was delegated to the Secretary of State by Executive Order 1</w:t>
      </w:r>
      <w:r w:rsidR="00DC4626" w:rsidRPr="003308D0">
        <w:rPr>
          <w:szCs w:val="24"/>
        </w:rPr>
        <w:t>3637</w:t>
      </w:r>
      <w:r w:rsidRPr="003308D0">
        <w:rPr>
          <w:szCs w:val="24"/>
        </w:rPr>
        <w:t>.  These regulations are primarily administered by the Deputy Assistant Secretary of State for Defense Trade and the Directorate of Defense Trade Controls, Bureau of Political-Military Affairs.</w:t>
      </w:r>
    </w:p>
    <w:p w14:paraId="28B241B4" w14:textId="77777777" w:rsidR="00D72557" w:rsidRPr="003308D0" w:rsidRDefault="00D72557" w:rsidP="003D056B">
      <w:pPr>
        <w:rPr>
          <w:szCs w:val="24"/>
        </w:rPr>
      </w:pPr>
    </w:p>
    <w:p w14:paraId="598F4C90" w14:textId="79225773" w:rsidR="00737432" w:rsidRPr="003308D0" w:rsidRDefault="00B176E1" w:rsidP="003D056B">
      <w:pPr>
        <w:ind w:firstLine="720"/>
        <w:rPr>
          <w:szCs w:val="24"/>
        </w:rPr>
      </w:pPr>
      <w:r w:rsidRPr="003308D0">
        <w:rPr>
          <w:szCs w:val="24"/>
        </w:rPr>
        <w:lastRenderedPageBreak/>
        <w:t>Pursuant to ITAR §12</w:t>
      </w:r>
      <w:r w:rsidR="00C83638" w:rsidRPr="003308D0">
        <w:rPr>
          <w:szCs w:val="24"/>
        </w:rPr>
        <w:t>0</w:t>
      </w:r>
      <w:r w:rsidRPr="003308D0">
        <w:rPr>
          <w:szCs w:val="24"/>
        </w:rPr>
        <w:t>.</w:t>
      </w:r>
      <w:r w:rsidR="00C83638" w:rsidRPr="003308D0">
        <w:rPr>
          <w:szCs w:val="24"/>
        </w:rPr>
        <w:t>4</w:t>
      </w:r>
      <w:r w:rsidRPr="003308D0">
        <w:rPr>
          <w:szCs w:val="24"/>
        </w:rPr>
        <w:t xml:space="preserve">, a person may request </w:t>
      </w:r>
      <w:r w:rsidR="00737432" w:rsidRPr="003308D0">
        <w:rPr>
          <w:szCs w:val="24"/>
        </w:rPr>
        <w:t xml:space="preserve">a written determination from the Department of State </w:t>
      </w:r>
      <w:r w:rsidR="0074368D">
        <w:rPr>
          <w:szCs w:val="24"/>
        </w:rPr>
        <w:t xml:space="preserve">if doubt exists as to </w:t>
      </w:r>
      <w:r w:rsidR="00737432" w:rsidRPr="003308D0">
        <w:rPr>
          <w:szCs w:val="24"/>
        </w:rPr>
        <w:t xml:space="preserve">whether a particular article or service is </w:t>
      </w:r>
      <w:r w:rsidR="00FB668A" w:rsidRPr="003308D0">
        <w:rPr>
          <w:szCs w:val="24"/>
        </w:rPr>
        <w:t xml:space="preserve">a defense article or defense service </w:t>
      </w:r>
      <w:r w:rsidR="00737432" w:rsidRPr="003308D0">
        <w:rPr>
          <w:szCs w:val="24"/>
        </w:rPr>
        <w:t xml:space="preserve">covered by the USML.  DDTC’s policy on designating and determining whether an article or service is a defense article or defense service covered by the USML is described in ITAR §120.3.  </w:t>
      </w:r>
      <w:r w:rsidR="0074368D">
        <w:rPr>
          <w:szCs w:val="24"/>
        </w:rPr>
        <w:t>DDTC refers to this determination as a “commodity jurisdiction” (CJ) determination.</w:t>
      </w:r>
    </w:p>
    <w:p w14:paraId="697916AA" w14:textId="77777777" w:rsidR="00B601AB" w:rsidRPr="003308D0" w:rsidRDefault="00B601AB" w:rsidP="003D056B">
      <w:pPr>
        <w:rPr>
          <w:szCs w:val="24"/>
        </w:rPr>
      </w:pPr>
    </w:p>
    <w:p w14:paraId="6567563E" w14:textId="3708F5F8" w:rsidR="00F24DA7" w:rsidRDefault="00E776F3" w:rsidP="003D056B">
      <w:pPr>
        <w:rPr>
          <w:color w:val="000000" w:themeColor="text1"/>
          <w:szCs w:val="24"/>
        </w:rPr>
      </w:pPr>
      <w:r w:rsidRPr="003308D0">
        <w:rPr>
          <w:color w:val="000000" w:themeColor="text1"/>
          <w:szCs w:val="24"/>
        </w:rPr>
        <w:t>2.</w:t>
      </w:r>
      <w:r w:rsidRPr="003308D0">
        <w:rPr>
          <w:color w:val="000000" w:themeColor="text1"/>
          <w:szCs w:val="24"/>
        </w:rPr>
        <w:tab/>
      </w:r>
      <w:r w:rsidR="00F24DA7" w:rsidRPr="003308D0">
        <w:rPr>
          <w:color w:val="000000" w:themeColor="text1"/>
          <w:szCs w:val="24"/>
        </w:rPr>
        <w:t>What business purpose is the information gathered going to be used for?</w:t>
      </w:r>
    </w:p>
    <w:p w14:paraId="6DD0ED8D" w14:textId="77777777" w:rsidR="003D056B" w:rsidRPr="003308D0" w:rsidRDefault="003D056B" w:rsidP="003D056B">
      <w:pPr>
        <w:rPr>
          <w:color w:val="000000" w:themeColor="text1"/>
          <w:szCs w:val="24"/>
        </w:rPr>
      </w:pPr>
    </w:p>
    <w:p w14:paraId="4864643C" w14:textId="2371AA34" w:rsidR="00E776F3" w:rsidRPr="003308D0" w:rsidRDefault="00A160E5" w:rsidP="003D056B">
      <w:pPr>
        <w:ind w:firstLine="720"/>
        <w:rPr>
          <w:szCs w:val="24"/>
        </w:rPr>
      </w:pPr>
      <w:r w:rsidRPr="003308D0">
        <w:rPr>
          <w:szCs w:val="24"/>
        </w:rPr>
        <w:t xml:space="preserve">Information submitted in response to this collection will be shared with the Department of Defense, Department of Commerce, and other USG agencies, as needed, during the </w:t>
      </w:r>
      <w:r w:rsidR="002A7CA4" w:rsidRPr="003308D0">
        <w:rPr>
          <w:szCs w:val="24"/>
        </w:rPr>
        <w:t xml:space="preserve">CJ </w:t>
      </w:r>
      <w:r w:rsidR="00E32DE2" w:rsidRPr="003308D0">
        <w:rPr>
          <w:szCs w:val="24"/>
        </w:rPr>
        <w:t xml:space="preserve">review </w:t>
      </w:r>
      <w:r w:rsidRPr="003308D0">
        <w:rPr>
          <w:szCs w:val="24"/>
        </w:rPr>
        <w:t xml:space="preserve">process.  DDTC and the agencies with </w:t>
      </w:r>
      <w:r w:rsidR="00A86754" w:rsidRPr="003308D0">
        <w:rPr>
          <w:szCs w:val="24"/>
        </w:rPr>
        <w:t>which</w:t>
      </w:r>
      <w:r w:rsidRPr="003308D0">
        <w:rPr>
          <w:szCs w:val="24"/>
        </w:rPr>
        <w:t xml:space="preserve"> DDTC shares inf</w:t>
      </w:r>
      <w:r w:rsidR="00BE0BC1" w:rsidRPr="003308D0">
        <w:rPr>
          <w:szCs w:val="24"/>
        </w:rPr>
        <w:t>ormation will review and analyze</w:t>
      </w:r>
      <w:r w:rsidRPr="003308D0">
        <w:rPr>
          <w:szCs w:val="24"/>
        </w:rPr>
        <w:t xml:space="preserve"> the information to determine if an </w:t>
      </w:r>
      <w:r w:rsidR="00737432" w:rsidRPr="003308D0">
        <w:rPr>
          <w:szCs w:val="24"/>
        </w:rPr>
        <w:t>article or service is covered by the USML</w:t>
      </w:r>
      <w:r w:rsidR="00E32DE2" w:rsidRPr="003308D0">
        <w:rPr>
          <w:szCs w:val="24"/>
        </w:rPr>
        <w:t>, thus</w:t>
      </w:r>
      <w:r w:rsidR="00737432" w:rsidRPr="003308D0">
        <w:rPr>
          <w:szCs w:val="24"/>
        </w:rPr>
        <w:t xml:space="preserve"> </w:t>
      </w:r>
      <w:r w:rsidR="00764F19" w:rsidRPr="003308D0">
        <w:rPr>
          <w:szCs w:val="24"/>
        </w:rPr>
        <w:t>making it</w:t>
      </w:r>
      <w:r w:rsidR="00737432" w:rsidRPr="003308D0">
        <w:rPr>
          <w:szCs w:val="24"/>
        </w:rPr>
        <w:t xml:space="preserve"> subject to the jurisdiction of the Department of State.  </w:t>
      </w:r>
      <w:r w:rsidRPr="003308D0">
        <w:rPr>
          <w:szCs w:val="24"/>
        </w:rPr>
        <w:t xml:space="preserve">If an article has already been determined to be covered by the USML, DDTC and other applicable agencies will use the information to </w:t>
      </w:r>
      <w:r w:rsidR="00BE0BC1" w:rsidRPr="003308D0">
        <w:rPr>
          <w:szCs w:val="24"/>
        </w:rPr>
        <w:t>determine if the previous designation shall stand</w:t>
      </w:r>
      <w:r w:rsidRPr="003308D0">
        <w:rPr>
          <w:szCs w:val="24"/>
        </w:rPr>
        <w:t xml:space="preserve">. </w:t>
      </w:r>
    </w:p>
    <w:p w14:paraId="4E663839" w14:textId="77777777" w:rsidR="00737432" w:rsidRPr="003308D0" w:rsidRDefault="00737432" w:rsidP="003D056B">
      <w:pPr>
        <w:rPr>
          <w:szCs w:val="24"/>
        </w:rPr>
      </w:pPr>
    </w:p>
    <w:p w14:paraId="4287C829" w14:textId="188ADB47" w:rsidR="00F24DA7" w:rsidRDefault="00B176E1" w:rsidP="003D056B">
      <w:pPr>
        <w:rPr>
          <w:szCs w:val="24"/>
        </w:rPr>
      </w:pPr>
      <w:r w:rsidRPr="003308D0">
        <w:rPr>
          <w:szCs w:val="24"/>
        </w:rPr>
        <w:t>3.</w:t>
      </w:r>
      <w:r w:rsidR="00F24DA7" w:rsidRPr="003308D0">
        <w:rPr>
          <w:i/>
          <w:color w:val="000000" w:themeColor="text1"/>
          <w:szCs w:val="24"/>
        </w:rPr>
        <w:t xml:space="preserve"> </w:t>
      </w:r>
      <w:r w:rsidR="00F24DA7" w:rsidRPr="003308D0">
        <w:rPr>
          <w:i/>
          <w:color w:val="000000" w:themeColor="text1"/>
          <w:szCs w:val="24"/>
        </w:rPr>
        <w:tab/>
      </w:r>
      <w:r w:rsidR="00F24DA7" w:rsidRPr="003308D0">
        <w:rPr>
          <w:color w:val="000000" w:themeColor="text1"/>
          <w:szCs w:val="24"/>
        </w:rPr>
        <w:t>Is this collection able to be completed electronically (e.g. through a website or application)?</w:t>
      </w:r>
    </w:p>
    <w:p w14:paraId="220AEF43" w14:textId="77777777" w:rsidR="003D056B" w:rsidRPr="003308D0" w:rsidRDefault="003D056B" w:rsidP="003D056B">
      <w:pPr>
        <w:rPr>
          <w:szCs w:val="24"/>
        </w:rPr>
      </w:pPr>
    </w:p>
    <w:p w14:paraId="6E16A47C" w14:textId="7414815A" w:rsidR="00B601AB" w:rsidRPr="003308D0" w:rsidRDefault="00587961" w:rsidP="003D056B">
      <w:pPr>
        <w:ind w:firstLine="720"/>
        <w:rPr>
          <w:szCs w:val="24"/>
        </w:rPr>
      </w:pPr>
      <w:r w:rsidRPr="003308D0">
        <w:rPr>
          <w:szCs w:val="24"/>
        </w:rPr>
        <w:t xml:space="preserve">Respondents </w:t>
      </w:r>
      <w:r w:rsidR="00B0065D" w:rsidRPr="003308D0">
        <w:rPr>
          <w:szCs w:val="24"/>
        </w:rPr>
        <w:t>who wish to receive a C</w:t>
      </w:r>
      <w:r w:rsidR="002A7CA4" w:rsidRPr="003308D0">
        <w:rPr>
          <w:szCs w:val="24"/>
        </w:rPr>
        <w:t>J</w:t>
      </w:r>
      <w:r w:rsidR="00B0065D" w:rsidRPr="003308D0">
        <w:rPr>
          <w:szCs w:val="24"/>
        </w:rPr>
        <w:t xml:space="preserve"> determination must </w:t>
      </w:r>
      <w:r w:rsidRPr="003308D0">
        <w:rPr>
          <w:szCs w:val="24"/>
        </w:rPr>
        <w:t>electronically</w:t>
      </w:r>
      <w:r w:rsidR="00B0065D" w:rsidRPr="003308D0">
        <w:rPr>
          <w:szCs w:val="24"/>
        </w:rPr>
        <w:t xml:space="preserve"> submit </w:t>
      </w:r>
      <w:r w:rsidR="000F3595">
        <w:rPr>
          <w:szCs w:val="24"/>
        </w:rPr>
        <w:t>their request through DDTC’s web portal, The Defense Control and Compliance System (DECCS)</w:t>
      </w:r>
      <w:r w:rsidR="00B0065D" w:rsidRPr="003308D0">
        <w:rPr>
          <w:szCs w:val="24"/>
        </w:rPr>
        <w:t xml:space="preserve">.  Respondents may access the </w:t>
      </w:r>
      <w:r w:rsidR="000F3595">
        <w:rPr>
          <w:szCs w:val="24"/>
        </w:rPr>
        <w:t>web portal</w:t>
      </w:r>
      <w:r w:rsidR="000F3595" w:rsidRPr="003308D0">
        <w:rPr>
          <w:szCs w:val="24"/>
        </w:rPr>
        <w:t xml:space="preserve"> </w:t>
      </w:r>
      <w:r w:rsidR="003A377C" w:rsidRPr="003308D0">
        <w:rPr>
          <w:szCs w:val="24"/>
        </w:rPr>
        <w:t xml:space="preserve">through </w:t>
      </w:r>
      <w:r w:rsidR="00B0065D" w:rsidRPr="003308D0">
        <w:rPr>
          <w:szCs w:val="24"/>
        </w:rPr>
        <w:t>DDTC’s website</w:t>
      </w:r>
      <w:r w:rsidR="00962DFC">
        <w:rPr>
          <w:szCs w:val="24"/>
        </w:rPr>
        <w:t>, pmddtc.state.gov</w:t>
      </w:r>
      <w:r w:rsidR="00B0065D" w:rsidRPr="003308D0">
        <w:rPr>
          <w:szCs w:val="24"/>
        </w:rPr>
        <w:t>.</w:t>
      </w:r>
    </w:p>
    <w:p w14:paraId="75B10FD8" w14:textId="77777777" w:rsidR="00B601AB" w:rsidRPr="003308D0" w:rsidRDefault="00B601AB" w:rsidP="003D056B">
      <w:pPr>
        <w:rPr>
          <w:szCs w:val="24"/>
        </w:rPr>
      </w:pPr>
    </w:p>
    <w:p w14:paraId="24B9D9C4" w14:textId="5A35DA55" w:rsidR="00F24DA7" w:rsidRDefault="00B601AB" w:rsidP="003D056B">
      <w:pPr>
        <w:rPr>
          <w:szCs w:val="24"/>
        </w:rPr>
      </w:pPr>
      <w:r w:rsidRPr="003308D0">
        <w:rPr>
          <w:szCs w:val="24"/>
        </w:rPr>
        <w:t>4.</w:t>
      </w:r>
      <w:r w:rsidR="00F24DA7" w:rsidRPr="003308D0">
        <w:rPr>
          <w:szCs w:val="24"/>
        </w:rPr>
        <w:t xml:space="preserve">  </w:t>
      </w:r>
      <w:r w:rsidR="00E32DE2" w:rsidRPr="003308D0">
        <w:rPr>
          <w:szCs w:val="24"/>
        </w:rPr>
        <w:tab/>
      </w:r>
      <w:r w:rsidR="00F24DA7" w:rsidRPr="003308D0">
        <w:rPr>
          <w:szCs w:val="24"/>
        </w:rPr>
        <w:t>Does this collection duplicate any other collection of information?</w:t>
      </w:r>
    </w:p>
    <w:p w14:paraId="5F05C38C" w14:textId="77777777" w:rsidR="003D056B" w:rsidRPr="003308D0" w:rsidRDefault="003D056B" w:rsidP="003D056B">
      <w:pPr>
        <w:rPr>
          <w:szCs w:val="24"/>
        </w:rPr>
      </w:pPr>
    </w:p>
    <w:p w14:paraId="08E3F745" w14:textId="77777777" w:rsidR="00B601AB" w:rsidRPr="003308D0" w:rsidRDefault="00B601AB" w:rsidP="003D056B">
      <w:pPr>
        <w:ind w:firstLine="720"/>
        <w:rPr>
          <w:szCs w:val="24"/>
        </w:rPr>
      </w:pPr>
      <w:r w:rsidRPr="003308D0">
        <w:rPr>
          <w:szCs w:val="24"/>
        </w:rPr>
        <w:t xml:space="preserve">The Department of State is unaware of any other U.S. Government </w:t>
      </w:r>
      <w:r w:rsidR="00296D23" w:rsidRPr="003308D0">
        <w:rPr>
          <w:szCs w:val="24"/>
        </w:rPr>
        <w:t>programs</w:t>
      </w:r>
      <w:r w:rsidRPr="003308D0">
        <w:rPr>
          <w:szCs w:val="24"/>
        </w:rPr>
        <w:t xml:space="preserve"> that would </w:t>
      </w:r>
      <w:r w:rsidR="00296D23" w:rsidRPr="003308D0">
        <w:rPr>
          <w:szCs w:val="24"/>
        </w:rPr>
        <w:t>require</w:t>
      </w:r>
      <w:r w:rsidRPr="003308D0">
        <w:rPr>
          <w:szCs w:val="24"/>
        </w:rPr>
        <w:t xml:space="preserve"> </w:t>
      </w:r>
      <w:r w:rsidR="00C75692" w:rsidRPr="003308D0">
        <w:rPr>
          <w:szCs w:val="24"/>
        </w:rPr>
        <w:t>respondents</w:t>
      </w:r>
      <w:r w:rsidRPr="003308D0">
        <w:rPr>
          <w:szCs w:val="24"/>
        </w:rPr>
        <w:t xml:space="preserve"> to duplicate this </w:t>
      </w:r>
      <w:r w:rsidR="00587961" w:rsidRPr="003308D0">
        <w:rPr>
          <w:szCs w:val="24"/>
        </w:rPr>
        <w:t>voluntary submission</w:t>
      </w:r>
      <w:r w:rsidRPr="003308D0">
        <w:rPr>
          <w:szCs w:val="24"/>
        </w:rPr>
        <w:t>.</w:t>
      </w:r>
    </w:p>
    <w:p w14:paraId="2C91B4FC" w14:textId="77777777" w:rsidR="00B601AB" w:rsidRPr="003308D0" w:rsidRDefault="00B601AB" w:rsidP="003D056B">
      <w:pPr>
        <w:rPr>
          <w:szCs w:val="24"/>
        </w:rPr>
      </w:pPr>
    </w:p>
    <w:p w14:paraId="6CD8F3BF" w14:textId="0BA8B933" w:rsidR="00F24DA7" w:rsidRDefault="00B601AB" w:rsidP="003D056B">
      <w:pPr>
        <w:rPr>
          <w:szCs w:val="24"/>
        </w:rPr>
      </w:pPr>
      <w:r w:rsidRPr="003308D0">
        <w:rPr>
          <w:szCs w:val="24"/>
        </w:rPr>
        <w:t>5.</w:t>
      </w:r>
      <w:r w:rsidR="00F24DA7" w:rsidRPr="003308D0">
        <w:rPr>
          <w:szCs w:val="24"/>
        </w:rPr>
        <w:t xml:space="preserve">  </w:t>
      </w:r>
      <w:r w:rsidR="00E32DE2" w:rsidRPr="003308D0">
        <w:rPr>
          <w:szCs w:val="24"/>
        </w:rPr>
        <w:tab/>
      </w:r>
      <w:r w:rsidR="00F24DA7" w:rsidRPr="003308D0">
        <w:rPr>
          <w:szCs w:val="24"/>
        </w:rPr>
        <w:t>Describe any impact on small business.</w:t>
      </w:r>
    </w:p>
    <w:p w14:paraId="62D58210" w14:textId="77777777" w:rsidR="003D056B" w:rsidRPr="003308D0" w:rsidRDefault="003D056B" w:rsidP="003D056B">
      <w:pPr>
        <w:rPr>
          <w:szCs w:val="24"/>
        </w:rPr>
      </w:pPr>
    </w:p>
    <w:p w14:paraId="5A0BDC2C" w14:textId="65A48642" w:rsidR="00F036AC" w:rsidRPr="003308D0" w:rsidRDefault="00B601AB" w:rsidP="003D056B">
      <w:pPr>
        <w:rPr>
          <w:szCs w:val="24"/>
        </w:rPr>
      </w:pPr>
      <w:r w:rsidRPr="003308D0">
        <w:rPr>
          <w:szCs w:val="24"/>
        </w:rPr>
        <w:tab/>
      </w:r>
      <w:r w:rsidR="005E5350" w:rsidRPr="003308D0">
        <w:rPr>
          <w:szCs w:val="24"/>
        </w:rPr>
        <w:t xml:space="preserve">Export control law and regulations are designed to safeguard U.S. Government foreign policy and national security interests and to further world peace.  The law and regulations are applicable equally to large and small businesses or entities.  </w:t>
      </w:r>
      <w:r w:rsidR="00DE6B53">
        <w:rPr>
          <w:szCs w:val="24"/>
        </w:rPr>
        <w:t xml:space="preserve">Submitting a </w:t>
      </w:r>
      <w:r w:rsidR="00203A11" w:rsidRPr="003308D0">
        <w:rPr>
          <w:szCs w:val="24"/>
        </w:rPr>
        <w:t>Request for Commodity J</w:t>
      </w:r>
      <w:r w:rsidR="00DE6B53">
        <w:rPr>
          <w:szCs w:val="24"/>
        </w:rPr>
        <w:t xml:space="preserve">urisdiction (CJ) Determination </w:t>
      </w:r>
      <w:r w:rsidR="00203A11" w:rsidRPr="003308D0">
        <w:rPr>
          <w:szCs w:val="24"/>
        </w:rPr>
        <w:t>is optional and does not apply to business</w:t>
      </w:r>
      <w:r w:rsidR="00DE6B53">
        <w:rPr>
          <w:szCs w:val="24"/>
        </w:rPr>
        <w:t>es or entities unless they are in the business</w:t>
      </w:r>
      <w:r w:rsidR="00203A11" w:rsidRPr="003308D0">
        <w:rPr>
          <w:szCs w:val="24"/>
        </w:rPr>
        <w:t xml:space="preserve"> of defense trade</w:t>
      </w:r>
      <w:r w:rsidR="00395C03">
        <w:rPr>
          <w:szCs w:val="24"/>
        </w:rPr>
        <w:t xml:space="preserve"> and have doubt as to the jurisdiction of their article or service</w:t>
      </w:r>
      <w:r w:rsidR="00F036AC" w:rsidRPr="003308D0">
        <w:rPr>
          <w:szCs w:val="24"/>
        </w:rPr>
        <w:t xml:space="preserve">.  Burdens have been minimized through </w:t>
      </w:r>
      <w:r w:rsidR="00C969D5" w:rsidRPr="003308D0">
        <w:rPr>
          <w:szCs w:val="24"/>
        </w:rPr>
        <w:t xml:space="preserve">the </w:t>
      </w:r>
      <w:r w:rsidR="00F036AC" w:rsidRPr="003308D0">
        <w:rPr>
          <w:szCs w:val="24"/>
        </w:rPr>
        <w:t>development of clear guidelines for the submission of information.</w:t>
      </w:r>
    </w:p>
    <w:p w14:paraId="140A7282" w14:textId="77777777" w:rsidR="00B601AB" w:rsidRPr="003308D0" w:rsidRDefault="00B601AB" w:rsidP="003D056B">
      <w:pPr>
        <w:rPr>
          <w:szCs w:val="24"/>
        </w:rPr>
      </w:pPr>
    </w:p>
    <w:p w14:paraId="6FD795A1" w14:textId="766956E1" w:rsidR="00F24DA7" w:rsidRDefault="00B601AB" w:rsidP="003D056B">
      <w:pPr>
        <w:pStyle w:val="BodyText2"/>
        <w:rPr>
          <w:sz w:val="24"/>
          <w:szCs w:val="24"/>
        </w:rPr>
      </w:pPr>
      <w:r w:rsidRPr="003308D0">
        <w:rPr>
          <w:sz w:val="24"/>
          <w:szCs w:val="24"/>
        </w:rPr>
        <w:t>6.</w:t>
      </w:r>
      <w:r w:rsidRPr="003308D0">
        <w:rPr>
          <w:sz w:val="24"/>
          <w:szCs w:val="24"/>
        </w:rPr>
        <w:tab/>
      </w:r>
      <w:r w:rsidR="00F24DA7" w:rsidRPr="003308D0">
        <w:rPr>
          <w:sz w:val="24"/>
          <w:szCs w:val="24"/>
        </w:rPr>
        <w:t>What are consequences if this collection is not done?</w:t>
      </w:r>
    </w:p>
    <w:p w14:paraId="4236DA5E" w14:textId="77777777" w:rsidR="003D056B" w:rsidRPr="003308D0" w:rsidRDefault="003D056B" w:rsidP="003D056B">
      <w:pPr>
        <w:pStyle w:val="BodyText2"/>
        <w:rPr>
          <w:sz w:val="24"/>
          <w:szCs w:val="24"/>
        </w:rPr>
      </w:pPr>
    </w:p>
    <w:p w14:paraId="3C94285E" w14:textId="586A1D45" w:rsidR="00B601AB" w:rsidRPr="003308D0" w:rsidRDefault="00EA55F0" w:rsidP="003D056B">
      <w:pPr>
        <w:pStyle w:val="BodyText2"/>
        <w:ind w:firstLine="720"/>
        <w:rPr>
          <w:sz w:val="24"/>
          <w:szCs w:val="24"/>
        </w:rPr>
      </w:pPr>
      <w:r w:rsidRPr="003308D0">
        <w:rPr>
          <w:sz w:val="24"/>
          <w:szCs w:val="24"/>
        </w:rPr>
        <w:t>Form DS-4076 provides the Department with a mechanism to</w:t>
      </w:r>
      <w:r w:rsidR="00395C03">
        <w:rPr>
          <w:sz w:val="24"/>
          <w:szCs w:val="24"/>
        </w:rPr>
        <w:t xml:space="preserve"> collect the information necessary to</w:t>
      </w:r>
      <w:r w:rsidRPr="003308D0">
        <w:rPr>
          <w:sz w:val="24"/>
          <w:szCs w:val="24"/>
        </w:rPr>
        <w:t xml:space="preserve"> determine whether articles and services are </w:t>
      </w:r>
      <w:r w:rsidR="00395C03">
        <w:rPr>
          <w:sz w:val="24"/>
          <w:szCs w:val="24"/>
        </w:rPr>
        <w:t xml:space="preserve">described on </w:t>
      </w:r>
      <w:r w:rsidRPr="003308D0">
        <w:rPr>
          <w:sz w:val="24"/>
          <w:szCs w:val="24"/>
        </w:rPr>
        <w:t>the USML</w:t>
      </w:r>
      <w:r w:rsidR="00395C03">
        <w:rPr>
          <w:sz w:val="24"/>
          <w:szCs w:val="24"/>
        </w:rPr>
        <w:t xml:space="preserve"> when doubt</w:t>
      </w:r>
      <w:r w:rsidR="006E4F5F">
        <w:rPr>
          <w:sz w:val="24"/>
          <w:szCs w:val="24"/>
        </w:rPr>
        <w:t xml:space="preserve"> exists</w:t>
      </w:r>
      <w:r w:rsidR="00395C03">
        <w:rPr>
          <w:sz w:val="24"/>
          <w:szCs w:val="24"/>
        </w:rPr>
        <w:t xml:space="preserve"> as to jurisdiction</w:t>
      </w:r>
      <w:r w:rsidRPr="003308D0">
        <w:rPr>
          <w:sz w:val="24"/>
          <w:szCs w:val="24"/>
        </w:rPr>
        <w:t xml:space="preserve">.  </w:t>
      </w:r>
      <w:r w:rsidR="00B601AB" w:rsidRPr="003308D0">
        <w:rPr>
          <w:sz w:val="24"/>
          <w:szCs w:val="24"/>
        </w:rPr>
        <w:t xml:space="preserve">Absent this </w:t>
      </w:r>
      <w:r w:rsidR="005F4264" w:rsidRPr="003308D0">
        <w:rPr>
          <w:sz w:val="24"/>
          <w:szCs w:val="24"/>
        </w:rPr>
        <w:t>information</w:t>
      </w:r>
      <w:r w:rsidR="00B0065D" w:rsidRPr="003308D0">
        <w:rPr>
          <w:sz w:val="24"/>
          <w:szCs w:val="24"/>
        </w:rPr>
        <w:t xml:space="preserve"> collection</w:t>
      </w:r>
      <w:r w:rsidR="00B601AB" w:rsidRPr="003308D0">
        <w:rPr>
          <w:sz w:val="24"/>
          <w:szCs w:val="24"/>
        </w:rPr>
        <w:t xml:space="preserve"> </w:t>
      </w:r>
      <w:r w:rsidR="005F4264" w:rsidRPr="003308D0">
        <w:rPr>
          <w:sz w:val="24"/>
          <w:szCs w:val="24"/>
        </w:rPr>
        <w:t xml:space="preserve">the Department would not have a process </w:t>
      </w:r>
      <w:r w:rsidR="00395C03">
        <w:rPr>
          <w:sz w:val="24"/>
          <w:szCs w:val="24"/>
        </w:rPr>
        <w:t>to assist industry in determining</w:t>
      </w:r>
      <w:r w:rsidR="005F4264" w:rsidRPr="003308D0">
        <w:rPr>
          <w:sz w:val="24"/>
          <w:szCs w:val="24"/>
        </w:rPr>
        <w:t xml:space="preserve"> whether </w:t>
      </w:r>
      <w:r w:rsidR="00203A11" w:rsidRPr="003308D0">
        <w:rPr>
          <w:sz w:val="24"/>
          <w:szCs w:val="24"/>
        </w:rPr>
        <w:t xml:space="preserve">an article or service is covered </w:t>
      </w:r>
      <w:r w:rsidR="00FB668A" w:rsidRPr="003308D0">
        <w:rPr>
          <w:sz w:val="24"/>
          <w:szCs w:val="24"/>
        </w:rPr>
        <w:t>by</w:t>
      </w:r>
      <w:r w:rsidR="00203A11" w:rsidRPr="003308D0">
        <w:rPr>
          <w:sz w:val="24"/>
          <w:szCs w:val="24"/>
        </w:rPr>
        <w:t xml:space="preserve"> the USML</w:t>
      </w:r>
      <w:r w:rsidR="00981A55" w:rsidRPr="003308D0">
        <w:rPr>
          <w:sz w:val="24"/>
          <w:szCs w:val="24"/>
        </w:rPr>
        <w:t>.</w:t>
      </w:r>
    </w:p>
    <w:p w14:paraId="1ADD60C3" w14:textId="2501E041" w:rsidR="00B601AB" w:rsidRPr="003308D0" w:rsidRDefault="00B601AB" w:rsidP="003D056B">
      <w:pPr>
        <w:rPr>
          <w:szCs w:val="24"/>
        </w:rPr>
      </w:pPr>
    </w:p>
    <w:p w14:paraId="39D5DEAC" w14:textId="79753EFD" w:rsidR="00F24DA7" w:rsidRDefault="00B601AB" w:rsidP="003D056B">
      <w:pPr>
        <w:rPr>
          <w:szCs w:val="24"/>
        </w:rPr>
      </w:pPr>
      <w:r w:rsidRPr="003308D0">
        <w:rPr>
          <w:szCs w:val="24"/>
        </w:rPr>
        <w:lastRenderedPageBreak/>
        <w:t>7.</w:t>
      </w:r>
      <w:r w:rsidRPr="003308D0">
        <w:rPr>
          <w:szCs w:val="24"/>
        </w:rPr>
        <w:tab/>
      </w:r>
      <w:r w:rsidR="00F24DA7" w:rsidRPr="003308D0">
        <w:rPr>
          <w:szCs w:val="24"/>
        </w:rPr>
        <w:t>Are there any special collection circumstances?</w:t>
      </w:r>
    </w:p>
    <w:p w14:paraId="21FE5BBC" w14:textId="77777777" w:rsidR="003D056B" w:rsidRPr="003308D0" w:rsidRDefault="003D056B" w:rsidP="003D056B">
      <w:pPr>
        <w:rPr>
          <w:szCs w:val="24"/>
        </w:rPr>
      </w:pPr>
    </w:p>
    <w:p w14:paraId="5CCC5169" w14:textId="6FB60789" w:rsidR="00B601AB" w:rsidRPr="003308D0" w:rsidRDefault="00DB2507" w:rsidP="003D056B">
      <w:pPr>
        <w:ind w:firstLine="720"/>
        <w:rPr>
          <w:szCs w:val="24"/>
        </w:rPr>
      </w:pPr>
      <w:r w:rsidRPr="003308D0">
        <w:rPr>
          <w:szCs w:val="24"/>
        </w:rPr>
        <w:t>There are no special circumstances associated with this collection.</w:t>
      </w:r>
    </w:p>
    <w:p w14:paraId="354C1406" w14:textId="77777777" w:rsidR="001D4E9D" w:rsidRPr="003308D0" w:rsidRDefault="001D4E9D" w:rsidP="003D056B">
      <w:pPr>
        <w:rPr>
          <w:szCs w:val="24"/>
        </w:rPr>
      </w:pPr>
    </w:p>
    <w:p w14:paraId="255C1CB0" w14:textId="50F7B9B7" w:rsidR="00F24DA7" w:rsidRPr="000A6E88" w:rsidRDefault="00B601AB" w:rsidP="003D056B">
      <w:pPr>
        <w:rPr>
          <w:szCs w:val="24"/>
        </w:rPr>
      </w:pPr>
      <w:r w:rsidRPr="003308D0">
        <w:rPr>
          <w:szCs w:val="24"/>
        </w:rPr>
        <w:t>8.</w:t>
      </w:r>
      <w:r w:rsidRPr="003308D0">
        <w:rPr>
          <w:szCs w:val="24"/>
        </w:rPr>
        <w:tab/>
      </w:r>
      <w:r w:rsidR="00E776F3" w:rsidRPr="003308D0">
        <w:rPr>
          <w:szCs w:val="24"/>
        </w:rPr>
        <w:t>Explain the agency’s i</w:t>
      </w:r>
      <w:r w:rsidR="00F24DA7" w:rsidRPr="003308D0">
        <w:rPr>
          <w:szCs w:val="24"/>
        </w:rPr>
        <w:t xml:space="preserve">ntent to </w:t>
      </w:r>
      <w:r w:rsidR="00F24DA7" w:rsidRPr="000A6E88">
        <w:rPr>
          <w:szCs w:val="24"/>
        </w:rPr>
        <w:t xml:space="preserve">publish </w:t>
      </w:r>
      <w:r w:rsidR="00E776F3" w:rsidRPr="000A6E88">
        <w:rPr>
          <w:szCs w:val="24"/>
        </w:rPr>
        <w:t xml:space="preserve">a notice in the </w:t>
      </w:r>
      <w:r w:rsidR="00E776F3" w:rsidRPr="000A6E88">
        <w:rPr>
          <w:i/>
          <w:szCs w:val="24"/>
        </w:rPr>
        <w:t>Federal Register</w:t>
      </w:r>
      <w:r w:rsidR="00F24DA7" w:rsidRPr="000A6E88">
        <w:rPr>
          <w:szCs w:val="24"/>
        </w:rPr>
        <w:t>.</w:t>
      </w:r>
    </w:p>
    <w:p w14:paraId="4A9C861C" w14:textId="77777777" w:rsidR="003D056B" w:rsidRPr="000A6E88" w:rsidRDefault="003D056B" w:rsidP="003D056B">
      <w:pPr>
        <w:rPr>
          <w:szCs w:val="24"/>
        </w:rPr>
      </w:pPr>
    </w:p>
    <w:p w14:paraId="59C542DC" w14:textId="19801D5F" w:rsidR="00B601AB" w:rsidRPr="000A6E88" w:rsidRDefault="000229A8" w:rsidP="003D056B">
      <w:pPr>
        <w:ind w:firstLine="720"/>
        <w:rPr>
          <w:szCs w:val="24"/>
        </w:rPr>
      </w:pPr>
      <w:r w:rsidRPr="000A6E88">
        <w:rPr>
          <w:szCs w:val="24"/>
        </w:rPr>
        <w:t xml:space="preserve">The Department </w:t>
      </w:r>
      <w:r w:rsidR="00060E69" w:rsidRPr="000A6E88">
        <w:rPr>
          <w:szCs w:val="24"/>
        </w:rPr>
        <w:t>publish</w:t>
      </w:r>
      <w:r w:rsidR="00392300" w:rsidRPr="000A6E88">
        <w:rPr>
          <w:szCs w:val="24"/>
        </w:rPr>
        <w:t>ed</w:t>
      </w:r>
      <w:r w:rsidR="00060E69" w:rsidRPr="000A6E88">
        <w:rPr>
          <w:szCs w:val="24"/>
        </w:rPr>
        <w:t xml:space="preserve"> </w:t>
      </w:r>
      <w:r w:rsidR="00392300" w:rsidRPr="000A6E88">
        <w:rPr>
          <w:szCs w:val="24"/>
        </w:rPr>
        <w:t>a notice</w:t>
      </w:r>
      <w:r w:rsidR="00060E69" w:rsidRPr="000A6E88">
        <w:rPr>
          <w:szCs w:val="24"/>
        </w:rPr>
        <w:t xml:space="preserve"> in the </w:t>
      </w:r>
      <w:r w:rsidR="00060E69" w:rsidRPr="000A6E88">
        <w:rPr>
          <w:i/>
          <w:szCs w:val="24"/>
        </w:rPr>
        <w:t xml:space="preserve">Federal Register </w:t>
      </w:r>
      <w:r w:rsidR="00060E69" w:rsidRPr="000A6E88">
        <w:rPr>
          <w:szCs w:val="24"/>
        </w:rPr>
        <w:t>soliciting public comments</w:t>
      </w:r>
      <w:r w:rsidR="00B95BB7" w:rsidRPr="000A6E88">
        <w:rPr>
          <w:szCs w:val="24"/>
        </w:rPr>
        <w:t xml:space="preserve"> for 60 days</w:t>
      </w:r>
      <w:r w:rsidR="003D056B" w:rsidRPr="000A6E88">
        <w:rPr>
          <w:szCs w:val="24"/>
        </w:rPr>
        <w:t xml:space="preserve"> on February 6, 2019 </w:t>
      </w:r>
      <w:r w:rsidR="00392300" w:rsidRPr="000A6E88">
        <w:rPr>
          <w:szCs w:val="24"/>
        </w:rPr>
        <w:t>(</w:t>
      </w:r>
      <w:r w:rsidR="00EF3F27" w:rsidRPr="000A6E88">
        <w:rPr>
          <w:szCs w:val="24"/>
        </w:rPr>
        <w:t xml:space="preserve">84 </w:t>
      </w:r>
      <w:r w:rsidR="00392300" w:rsidRPr="000A6E88">
        <w:rPr>
          <w:szCs w:val="24"/>
        </w:rPr>
        <w:t xml:space="preserve">FR </w:t>
      </w:r>
      <w:r w:rsidR="00EF3F27" w:rsidRPr="000A6E88">
        <w:rPr>
          <w:szCs w:val="24"/>
        </w:rPr>
        <w:t>2295</w:t>
      </w:r>
      <w:r w:rsidR="00392300" w:rsidRPr="000A6E88">
        <w:rPr>
          <w:szCs w:val="24"/>
        </w:rPr>
        <w:t>)</w:t>
      </w:r>
      <w:r w:rsidR="00060E69" w:rsidRPr="000A6E88">
        <w:rPr>
          <w:szCs w:val="24"/>
        </w:rPr>
        <w:t>.</w:t>
      </w:r>
      <w:r w:rsidR="00392300" w:rsidRPr="000A6E88">
        <w:rPr>
          <w:szCs w:val="24"/>
        </w:rPr>
        <w:t xml:space="preserve">  No comments were received.  </w:t>
      </w:r>
      <w:r w:rsidR="00060E69" w:rsidRPr="000A6E88">
        <w:rPr>
          <w:szCs w:val="24"/>
        </w:rPr>
        <w:t xml:space="preserve">  </w:t>
      </w:r>
    </w:p>
    <w:p w14:paraId="7FA2D13A" w14:textId="77777777" w:rsidR="008E2DFF" w:rsidRPr="000A6E88" w:rsidRDefault="008E2DFF" w:rsidP="003D056B">
      <w:pPr>
        <w:rPr>
          <w:szCs w:val="24"/>
        </w:rPr>
      </w:pPr>
    </w:p>
    <w:p w14:paraId="2441A013" w14:textId="46482792" w:rsidR="00F24DA7" w:rsidRPr="000A6E88" w:rsidRDefault="00981A55" w:rsidP="003D056B">
      <w:pPr>
        <w:rPr>
          <w:szCs w:val="24"/>
        </w:rPr>
      </w:pPr>
      <w:r w:rsidRPr="000A6E88">
        <w:rPr>
          <w:szCs w:val="24"/>
        </w:rPr>
        <w:t>9.</w:t>
      </w:r>
      <w:r w:rsidR="00B601AB" w:rsidRPr="000A6E88">
        <w:rPr>
          <w:szCs w:val="24"/>
        </w:rPr>
        <w:tab/>
      </w:r>
      <w:r w:rsidR="00F24DA7" w:rsidRPr="000A6E88">
        <w:rPr>
          <w:szCs w:val="24"/>
        </w:rPr>
        <w:t>Are payments or gifts given to the respondents?</w:t>
      </w:r>
    </w:p>
    <w:p w14:paraId="5922DB03" w14:textId="77777777" w:rsidR="003D056B" w:rsidRPr="000A6E88" w:rsidRDefault="003D056B" w:rsidP="003D056B">
      <w:pPr>
        <w:rPr>
          <w:szCs w:val="24"/>
        </w:rPr>
      </w:pPr>
    </w:p>
    <w:p w14:paraId="04A6B214" w14:textId="77777777" w:rsidR="00B601AB" w:rsidRPr="003308D0" w:rsidRDefault="00B601AB" w:rsidP="003D056B">
      <w:pPr>
        <w:ind w:firstLine="720"/>
        <w:rPr>
          <w:szCs w:val="24"/>
        </w:rPr>
      </w:pPr>
      <w:r w:rsidRPr="000A6E88">
        <w:rPr>
          <w:szCs w:val="24"/>
        </w:rPr>
        <w:t>No payment or gift has been or</w:t>
      </w:r>
      <w:r w:rsidRPr="003308D0">
        <w:rPr>
          <w:szCs w:val="24"/>
        </w:rPr>
        <w:t xml:space="preserve"> will be provided to any respondent.</w:t>
      </w:r>
    </w:p>
    <w:p w14:paraId="0A0A4D16" w14:textId="77777777" w:rsidR="00B601AB" w:rsidRPr="003308D0" w:rsidRDefault="00B601AB" w:rsidP="003D056B">
      <w:pPr>
        <w:rPr>
          <w:szCs w:val="24"/>
        </w:rPr>
      </w:pPr>
    </w:p>
    <w:p w14:paraId="483BF1B9" w14:textId="57784565" w:rsidR="00F24DA7" w:rsidRDefault="00B601AB" w:rsidP="003D056B">
      <w:pPr>
        <w:rPr>
          <w:szCs w:val="24"/>
        </w:rPr>
      </w:pPr>
      <w:r w:rsidRPr="003308D0">
        <w:rPr>
          <w:szCs w:val="24"/>
        </w:rPr>
        <w:t>10.</w:t>
      </w:r>
      <w:r w:rsidRPr="003308D0">
        <w:rPr>
          <w:szCs w:val="24"/>
        </w:rPr>
        <w:tab/>
      </w:r>
      <w:r w:rsidR="00F24DA7" w:rsidRPr="003308D0">
        <w:rPr>
          <w:szCs w:val="24"/>
        </w:rPr>
        <w:t>Describe assurances of privacy/confidentiality.</w:t>
      </w:r>
    </w:p>
    <w:p w14:paraId="3C0B06F1" w14:textId="77777777" w:rsidR="003D056B" w:rsidRPr="003308D0" w:rsidRDefault="003D056B" w:rsidP="003D056B">
      <w:pPr>
        <w:rPr>
          <w:szCs w:val="24"/>
        </w:rPr>
      </w:pPr>
    </w:p>
    <w:p w14:paraId="3EB530E8" w14:textId="64254892" w:rsidR="00B601AB" w:rsidRPr="003308D0" w:rsidRDefault="00060E69" w:rsidP="003D056B">
      <w:pPr>
        <w:ind w:firstLine="720"/>
        <w:rPr>
          <w:szCs w:val="24"/>
        </w:rPr>
      </w:pPr>
      <w:r w:rsidRPr="003308D0">
        <w:rPr>
          <w:szCs w:val="24"/>
        </w:rPr>
        <w:t xml:space="preserve">Respondents to this collection may review 22 CFR 126.10, which describes DDTC’s policy regarding the disclosure of information.  Additionally, respondents may review the Privacy Impact Assessment (PIA) for DDTC’s electronic system (DECCS) on the Department of State’s </w:t>
      </w:r>
      <w:r w:rsidR="00906B61" w:rsidRPr="003308D0">
        <w:rPr>
          <w:szCs w:val="24"/>
        </w:rPr>
        <w:t xml:space="preserve">PIA </w:t>
      </w:r>
      <w:r w:rsidRPr="003308D0">
        <w:rPr>
          <w:szCs w:val="24"/>
        </w:rPr>
        <w:t>webpage (</w:t>
      </w:r>
      <w:r w:rsidR="00906B61" w:rsidRPr="003308D0">
        <w:rPr>
          <w:rStyle w:val="Hyperlink"/>
          <w:szCs w:val="24"/>
        </w:rPr>
        <w:t>https://www.state.gov/privacy/pias/index.htm</w:t>
      </w:r>
      <w:r w:rsidRPr="003308D0">
        <w:rPr>
          <w:szCs w:val="24"/>
        </w:rPr>
        <w:t xml:space="preserve">).  </w:t>
      </w:r>
      <w:r w:rsidR="00EF3F27">
        <w:rPr>
          <w:szCs w:val="24"/>
        </w:rPr>
        <w:t xml:space="preserve">The System of Records Notice </w:t>
      </w:r>
      <w:r w:rsidRPr="003308D0">
        <w:rPr>
          <w:szCs w:val="24"/>
        </w:rPr>
        <w:t xml:space="preserve">STATE-42, Munitions Control Records, is being revised to include this collection of information.  Once approved, STATE-42 will be published in the </w:t>
      </w:r>
      <w:r w:rsidRPr="003308D0">
        <w:rPr>
          <w:i/>
          <w:szCs w:val="24"/>
        </w:rPr>
        <w:t>Federal Register</w:t>
      </w:r>
      <w:r w:rsidRPr="003308D0">
        <w:rPr>
          <w:szCs w:val="24"/>
        </w:rPr>
        <w:t xml:space="preserve"> and on the Department’s Privacy webpage (</w:t>
      </w:r>
      <w:r w:rsidR="003A377C" w:rsidRPr="003308D0">
        <w:rPr>
          <w:szCs w:val="24"/>
        </w:rPr>
        <w:t>https://www.state.gov/privacy/sorns/index.htm</w:t>
      </w:r>
      <w:r w:rsidRPr="003308D0">
        <w:rPr>
          <w:szCs w:val="24"/>
        </w:rPr>
        <w:t>).</w:t>
      </w:r>
    </w:p>
    <w:p w14:paraId="482200EF" w14:textId="77777777" w:rsidR="002B2345" w:rsidRPr="003308D0" w:rsidRDefault="002B2345" w:rsidP="003D056B">
      <w:pPr>
        <w:rPr>
          <w:szCs w:val="24"/>
        </w:rPr>
      </w:pPr>
    </w:p>
    <w:p w14:paraId="5B8AA3B2" w14:textId="3A7992FC" w:rsidR="00F24DA7" w:rsidRDefault="00B601AB" w:rsidP="003D056B">
      <w:pPr>
        <w:rPr>
          <w:szCs w:val="24"/>
        </w:rPr>
      </w:pPr>
      <w:r w:rsidRPr="003308D0">
        <w:rPr>
          <w:szCs w:val="24"/>
        </w:rPr>
        <w:t>11.</w:t>
      </w:r>
      <w:r w:rsidRPr="003308D0">
        <w:rPr>
          <w:szCs w:val="24"/>
        </w:rPr>
        <w:tab/>
      </w:r>
      <w:r w:rsidR="00F24DA7" w:rsidRPr="003308D0">
        <w:rPr>
          <w:szCs w:val="24"/>
        </w:rPr>
        <w:t>Are questions of a sensitive nature asked?</w:t>
      </w:r>
    </w:p>
    <w:p w14:paraId="6508A0B7" w14:textId="77777777" w:rsidR="003D056B" w:rsidRPr="003308D0" w:rsidRDefault="003D056B" w:rsidP="003D056B">
      <w:pPr>
        <w:rPr>
          <w:szCs w:val="24"/>
        </w:rPr>
      </w:pPr>
    </w:p>
    <w:p w14:paraId="2CF59685" w14:textId="5FF0299D" w:rsidR="00B601AB" w:rsidRDefault="00EF3F27" w:rsidP="003D056B">
      <w:pPr>
        <w:rPr>
          <w:szCs w:val="24"/>
        </w:rPr>
      </w:pPr>
      <w:r>
        <w:rPr>
          <w:szCs w:val="24"/>
        </w:rPr>
        <w:tab/>
        <w:t>No.</w:t>
      </w:r>
    </w:p>
    <w:p w14:paraId="5974796E" w14:textId="77777777" w:rsidR="00EF3F27" w:rsidRPr="003308D0" w:rsidRDefault="00EF3F27" w:rsidP="003D056B">
      <w:pPr>
        <w:rPr>
          <w:szCs w:val="24"/>
        </w:rPr>
      </w:pPr>
    </w:p>
    <w:p w14:paraId="649C3E10" w14:textId="26B78A93" w:rsidR="00F24DA7" w:rsidRDefault="00F44121" w:rsidP="003D056B">
      <w:pPr>
        <w:rPr>
          <w:szCs w:val="24"/>
        </w:rPr>
      </w:pPr>
      <w:r w:rsidRPr="003308D0">
        <w:rPr>
          <w:szCs w:val="24"/>
        </w:rPr>
        <w:t>12.</w:t>
      </w:r>
      <w:r w:rsidR="00B601AB" w:rsidRPr="003308D0">
        <w:rPr>
          <w:szCs w:val="24"/>
        </w:rPr>
        <w:tab/>
      </w:r>
      <w:r w:rsidR="00F24DA7" w:rsidRPr="003308D0">
        <w:rPr>
          <w:szCs w:val="24"/>
        </w:rPr>
        <w:t>Describe the hour-time burden and hour-cost burden on the responde</w:t>
      </w:r>
      <w:r w:rsidR="00E776F3" w:rsidRPr="003308D0">
        <w:rPr>
          <w:szCs w:val="24"/>
        </w:rPr>
        <w:t>nt</w:t>
      </w:r>
      <w:r w:rsidR="00F24DA7" w:rsidRPr="003308D0">
        <w:rPr>
          <w:szCs w:val="24"/>
        </w:rPr>
        <w:t>.</w:t>
      </w:r>
    </w:p>
    <w:p w14:paraId="6A4BEF62" w14:textId="77777777" w:rsidR="003D056B" w:rsidRPr="003308D0" w:rsidRDefault="003D056B" w:rsidP="003D056B">
      <w:pPr>
        <w:rPr>
          <w:szCs w:val="24"/>
        </w:rPr>
      </w:pPr>
    </w:p>
    <w:p w14:paraId="5905CC2B" w14:textId="6FF1DDAE" w:rsidR="00B601AB" w:rsidRPr="003308D0" w:rsidRDefault="00AA79F4" w:rsidP="003D056B">
      <w:pPr>
        <w:ind w:firstLine="720"/>
        <w:rPr>
          <w:szCs w:val="24"/>
        </w:rPr>
      </w:pPr>
      <w:r w:rsidRPr="003308D0">
        <w:rPr>
          <w:szCs w:val="24"/>
        </w:rPr>
        <w:t xml:space="preserve">The Department of State has reason to believe that the information </w:t>
      </w:r>
      <w:r w:rsidR="00272486" w:rsidRPr="003308D0">
        <w:rPr>
          <w:szCs w:val="24"/>
        </w:rPr>
        <w:t>required</w:t>
      </w:r>
      <w:r w:rsidRPr="003308D0">
        <w:rPr>
          <w:szCs w:val="24"/>
        </w:rPr>
        <w:t xml:space="preserve"> is already available to U.S. industry in some form due to other needs and requirements (e.g., business transactional records, tax records, quality assurance and productivity, and legal issues posed by other federal laws).  </w:t>
      </w:r>
      <w:r w:rsidR="00A86754" w:rsidRPr="003308D0">
        <w:rPr>
          <w:szCs w:val="24"/>
        </w:rPr>
        <w:t xml:space="preserve">DDTC expects to receive </w:t>
      </w:r>
      <w:r w:rsidR="00DB2507" w:rsidRPr="003308D0">
        <w:rPr>
          <w:szCs w:val="24"/>
        </w:rPr>
        <w:t>approximately</w:t>
      </w:r>
      <w:r w:rsidRPr="003308D0">
        <w:rPr>
          <w:szCs w:val="24"/>
        </w:rPr>
        <w:t xml:space="preserve"> </w:t>
      </w:r>
      <w:r w:rsidR="000C0085" w:rsidRPr="003308D0">
        <w:rPr>
          <w:szCs w:val="24"/>
        </w:rPr>
        <w:t>6</w:t>
      </w:r>
      <w:r w:rsidR="00DB2507" w:rsidRPr="003308D0">
        <w:rPr>
          <w:szCs w:val="24"/>
        </w:rPr>
        <w:t>00 responses each year</w:t>
      </w:r>
      <w:r w:rsidRPr="003308D0">
        <w:rPr>
          <w:szCs w:val="24"/>
        </w:rPr>
        <w:t xml:space="preserve">.  </w:t>
      </w:r>
      <w:r w:rsidR="00E776F3" w:rsidRPr="003308D0">
        <w:rPr>
          <w:szCs w:val="24"/>
        </w:rPr>
        <w:t>The f</w:t>
      </w:r>
      <w:r w:rsidRPr="003308D0">
        <w:rPr>
          <w:szCs w:val="24"/>
        </w:rPr>
        <w:t xml:space="preserve">requency of response is </w:t>
      </w:r>
      <w:r w:rsidR="00E776F3" w:rsidRPr="003308D0">
        <w:rPr>
          <w:szCs w:val="24"/>
        </w:rPr>
        <w:t>“</w:t>
      </w:r>
      <w:r w:rsidRPr="003308D0">
        <w:rPr>
          <w:szCs w:val="24"/>
        </w:rPr>
        <w:t>on occasion</w:t>
      </w:r>
      <w:r w:rsidR="002254D8" w:rsidRPr="003308D0">
        <w:rPr>
          <w:szCs w:val="24"/>
        </w:rPr>
        <w:t>.</w:t>
      </w:r>
      <w:r w:rsidR="00E776F3" w:rsidRPr="003308D0">
        <w:rPr>
          <w:szCs w:val="24"/>
        </w:rPr>
        <w:t>”</w:t>
      </w:r>
      <w:r w:rsidRPr="003308D0">
        <w:rPr>
          <w:szCs w:val="24"/>
        </w:rPr>
        <w:t xml:space="preserve">  </w:t>
      </w:r>
      <w:r w:rsidR="00E776F3" w:rsidRPr="003308D0">
        <w:rPr>
          <w:szCs w:val="24"/>
        </w:rPr>
        <w:t>Each response is estimated to take</w:t>
      </w:r>
      <w:r w:rsidRPr="003308D0">
        <w:rPr>
          <w:szCs w:val="24"/>
        </w:rPr>
        <w:t xml:space="preserve"> </w:t>
      </w:r>
      <w:r w:rsidR="00E776F3" w:rsidRPr="003308D0">
        <w:rPr>
          <w:szCs w:val="24"/>
        </w:rPr>
        <w:t>an average of four</w:t>
      </w:r>
      <w:r w:rsidRPr="003308D0">
        <w:rPr>
          <w:szCs w:val="24"/>
        </w:rPr>
        <w:t xml:space="preserve"> hours</w:t>
      </w:r>
      <w:r w:rsidR="00E776F3" w:rsidRPr="003308D0">
        <w:rPr>
          <w:szCs w:val="24"/>
        </w:rPr>
        <w:t xml:space="preserve"> to complete and submit</w:t>
      </w:r>
      <w:r w:rsidRPr="003308D0">
        <w:rPr>
          <w:szCs w:val="24"/>
        </w:rPr>
        <w:t xml:space="preserve">.  The estimated annual hour burden is </w:t>
      </w:r>
      <w:r w:rsidR="00DB2507" w:rsidRPr="003308D0">
        <w:rPr>
          <w:szCs w:val="24"/>
        </w:rPr>
        <w:t>2,</w:t>
      </w:r>
      <w:r w:rsidR="000C0085" w:rsidRPr="003308D0">
        <w:rPr>
          <w:szCs w:val="24"/>
        </w:rPr>
        <w:t>4</w:t>
      </w:r>
      <w:r w:rsidR="00DB2507" w:rsidRPr="003308D0">
        <w:rPr>
          <w:szCs w:val="24"/>
        </w:rPr>
        <w:t>00</w:t>
      </w:r>
      <w:r w:rsidRPr="003308D0">
        <w:rPr>
          <w:szCs w:val="24"/>
        </w:rPr>
        <w:t xml:space="preserve"> hours. </w:t>
      </w:r>
      <w:r w:rsidR="002254D8" w:rsidRPr="003308D0">
        <w:rPr>
          <w:szCs w:val="24"/>
        </w:rPr>
        <w:t xml:space="preserve"> </w:t>
      </w:r>
      <w:r w:rsidRPr="003308D0">
        <w:rPr>
          <w:szCs w:val="24"/>
        </w:rPr>
        <w:t xml:space="preserve">According to the U.S. Department of Labor Bureau of Labor Statistics website (www.bls.gov), the </w:t>
      </w:r>
      <w:r w:rsidR="00860EB9" w:rsidRPr="003308D0">
        <w:rPr>
          <w:szCs w:val="24"/>
        </w:rPr>
        <w:t xml:space="preserve">average </w:t>
      </w:r>
      <w:r w:rsidRPr="003308D0">
        <w:rPr>
          <w:szCs w:val="24"/>
        </w:rPr>
        <w:t xml:space="preserve">weighted </w:t>
      </w:r>
      <w:r w:rsidR="00EE5F98">
        <w:rPr>
          <w:szCs w:val="24"/>
        </w:rPr>
        <w:t>wage for a Compliance Officer</w:t>
      </w:r>
      <w:r w:rsidR="00EE5F98">
        <w:rPr>
          <w:rStyle w:val="FootnoteReference"/>
          <w:szCs w:val="24"/>
        </w:rPr>
        <w:footnoteReference w:id="2"/>
      </w:r>
      <w:r w:rsidR="00860EB9" w:rsidRPr="003308D0">
        <w:rPr>
          <w:szCs w:val="24"/>
        </w:rPr>
        <w:t xml:space="preserve"> </w:t>
      </w:r>
      <w:r w:rsidR="00EE5F98">
        <w:rPr>
          <w:szCs w:val="24"/>
        </w:rPr>
        <w:t>is estimated to be $</w:t>
      </w:r>
      <w:r w:rsidR="000F3595">
        <w:rPr>
          <w:szCs w:val="24"/>
        </w:rPr>
        <w:t>69.72</w:t>
      </w:r>
      <w:r w:rsidR="00EE5F98">
        <w:rPr>
          <w:szCs w:val="24"/>
        </w:rPr>
        <w:t xml:space="preserve"> </w:t>
      </w:r>
      <w:r w:rsidRPr="003308D0">
        <w:rPr>
          <w:szCs w:val="24"/>
        </w:rPr>
        <w:t>per hour ($3</w:t>
      </w:r>
      <w:r w:rsidR="000D1C9D">
        <w:rPr>
          <w:szCs w:val="24"/>
        </w:rPr>
        <w:t>4.</w:t>
      </w:r>
      <w:r w:rsidR="000F3595">
        <w:rPr>
          <w:szCs w:val="24"/>
        </w:rPr>
        <w:t>86</w:t>
      </w:r>
      <w:r w:rsidR="00EE5F98">
        <w:rPr>
          <w:szCs w:val="24"/>
        </w:rPr>
        <w:t xml:space="preserve"> average wage x </w:t>
      </w:r>
      <w:r w:rsidR="000F3595">
        <w:rPr>
          <w:szCs w:val="24"/>
        </w:rPr>
        <w:t>2</w:t>
      </w:r>
      <w:r w:rsidRPr="003308D0">
        <w:rPr>
          <w:szCs w:val="24"/>
        </w:rPr>
        <w:t xml:space="preserve"> multiplier). </w:t>
      </w:r>
      <w:r w:rsidR="002254D8" w:rsidRPr="003308D0">
        <w:rPr>
          <w:szCs w:val="24"/>
        </w:rPr>
        <w:t xml:space="preserve"> </w:t>
      </w:r>
      <w:r w:rsidRPr="003308D0">
        <w:rPr>
          <w:szCs w:val="24"/>
        </w:rPr>
        <w:t>Therefore, the estimated annual burden hour cost to respondents is $</w:t>
      </w:r>
      <w:r w:rsidR="000F3595">
        <w:rPr>
          <w:szCs w:val="24"/>
        </w:rPr>
        <w:t>167,328</w:t>
      </w:r>
      <w:r w:rsidRPr="003308D0">
        <w:rPr>
          <w:szCs w:val="24"/>
        </w:rPr>
        <w:t xml:space="preserve"> (</w:t>
      </w:r>
      <w:r w:rsidR="00DB2507" w:rsidRPr="003308D0">
        <w:rPr>
          <w:szCs w:val="24"/>
        </w:rPr>
        <w:t>2,</w:t>
      </w:r>
      <w:r w:rsidR="002254D8" w:rsidRPr="003308D0">
        <w:rPr>
          <w:szCs w:val="24"/>
        </w:rPr>
        <w:t>4</w:t>
      </w:r>
      <w:r w:rsidR="00DB2507" w:rsidRPr="003308D0">
        <w:rPr>
          <w:szCs w:val="24"/>
        </w:rPr>
        <w:t>00</w:t>
      </w:r>
      <w:r w:rsidRPr="003308D0">
        <w:rPr>
          <w:szCs w:val="24"/>
        </w:rPr>
        <w:t xml:space="preserve"> annual burden hours x $</w:t>
      </w:r>
      <w:r w:rsidR="000F3595">
        <w:rPr>
          <w:szCs w:val="24"/>
        </w:rPr>
        <w:t>69.72</w:t>
      </w:r>
      <w:r w:rsidR="00DB2507" w:rsidRPr="003308D0">
        <w:rPr>
          <w:szCs w:val="24"/>
        </w:rPr>
        <w:t>)</w:t>
      </w:r>
      <w:r w:rsidRPr="003308D0">
        <w:rPr>
          <w:szCs w:val="24"/>
        </w:rPr>
        <w:t>.</w:t>
      </w:r>
    </w:p>
    <w:p w14:paraId="4E767E17" w14:textId="77777777" w:rsidR="00B601AB" w:rsidRPr="003308D0" w:rsidRDefault="00B601AB" w:rsidP="003D056B">
      <w:pPr>
        <w:rPr>
          <w:szCs w:val="24"/>
        </w:rPr>
      </w:pPr>
    </w:p>
    <w:p w14:paraId="32D0047C" w14:textId="220A8663" w:rsidR="00F24DA7" w:rsidRDefault="00F44121" w:rsidP="003D056B">
      <w:pPr>
        <w:rPr>
          <w:szCs w:val="24"/>
        </w:rPr>
      </w:pPr>
      <w:r w:rsidRPr="003308D0">
        <w:rPr>
          <w:szCs w:val="24"/>
        </w:rPr>
        <w:t>13.</w:t>
      </w:r>
      <w:r w:rsidR="00B601AB" w:rsidRPr="003308D0">
        <w:rPr>
          <w:szCs w:val="24"/>
        </w:rPr>
        <w:tab/>
      </w:r>
      <w:r w:rsidR="00E776F3" w:rsidRPr="003308D0">
        <w:rPr>
          <w:szCs w:val="24"/>
        </w:rPr>
        <w:t>Describe the m</w:t>
      </w:r>
      <w:r w:rsidR="00F24DA7" w:rsidRPr="003308D0">
        <w:rPr>
          <w:szCs w:val="24"/>
        </w:rPr>
        <w:t>onetary burden to respondents.</w:t>
      </w:r>
    </w:p>
    <w:p w14:paraId="08D243A8" w14:textId="77777777" w:rsidR="003D056B" w:rsidRPr="003308D0" w:rsidRDefault="003D056B" w:rsidP="003D056B">
      <w:pPr>
        <w:rPr>
          <w:szCs w:val="24"/>
        </w:rPr>
      </w:pPr>
    </w:p>
    <w:p w14:paraId="7148D180" w14:textId="050504F6" w:rsidR="00B601AB" w:rsidRPr="003308D0" w:rsidRDefault="00367B66" w:rsidP="003D056B">
      <w:pPr>
        <w:ind w:firstLine="720"/>
        <w:rPr>
          <w:szCs w:val="24"/>
        </w:rPr>
      </w:pPr>
      <w:r w:rsidRPr="003308D0">
        <w:rPr>
          <w:szCs w:val="24"/>
        </w:rPr>
        <w:t xml:space="preserve">There </w:t>
      </w:r>
      <w:r w:rsidR="002254D8" w:rsidRPr="003308D0">
        <w:rPr>
          <w:szCs w:val="24"/>
        </w:rPr>
        <w:t xml:space="preserve">is </w:t>
      </w:r>
      <w:r w:rsidRPr="003308D0">
        <w:rPr>
          <w:szCs w:val="24"/>
        </w:rPr>
        <w:t xml:space="preserve">no anticipated </w:t>
      </w:r>
      <w:r w:rsidR="002254D8" w:rsidRPr="003308D0">
        <w:rPr>
          <w:szCs w:val="24"/>
        </w:rPr>
        <w:t xml:space="preserve">monetary burden </w:t>
      </w:r>
      <w:r w:rsidRPr="003308D0">
        <w:rPr>
          <w:szCs w:val="24"/>
        </w:rPr>
        <w:t>to respondents.</w:t>
      </w:r>
    </w:p>
    <w:p w14:paraId="119A0E25" w14:textId="18BA51BE" w:rsidR="00367B66" w:rsidRDefault="00367B66" w:rsidP="003D056B">
      <w:pPr>
        <w:rPr>
          <w:szCs w:val="24"/>
          <w:u w:val="single"/>
        </w:rPr>
      </w:pPr>
    </w:p>
    <w:p w14:paraId="5E1D5178" w14:textId="42528E25" w:rsidR="00F24DA7" w:rsidRDefault="00B601AB" w:rsidP="003D056B">
      <w:pPr>
        <w:rPr>
          <w:szCs w:val="24"/>
        </w:rPr>
      </w:pPr>
      <w:r w:rsidRPr="003308D0">
        <w:rPr>
          <w:szCs w:val="24"/>
        </w:rPr>
        <w:t>14.</w:t>
      </w:r>
      <w:r w:rsidRPr="003308D0">
        <w:rPr>
          <w:szCs w:val="24"/>
        </w:rPr>
        <w:tab/>
      </w:r>
      <w:r w:rsidR="00E776F3" w:rsidRPr="003308D0">
        <w:rPr>
          <w:szCs w:val="24"/>
        </w:rPr>
        <w:t>Describe the c</w:t>
      </w:r>
      <w:r w:rsidR="00F24DA7" w:rsidRPr="003308D0">
        <w:rPr>
          <w:szCs w:val="24"/>
        </w:rPr>
        <w:t>ost to the Federal Government.</w:t>
      </w:r>
    </w:p>
    <w:p w14:paraId="7423F8A8" w14:textId="77777777" w:rsidR="003D056B" w:rsidRPr="003308D0" w:rsidRDefault="003D056B" w:rsidP="003D056B">
      <w:pPr>
        <w:rPr>
          <w:szCs w:val="24"/>
        </w:rPr>
      </w:pPr>
    </w:p>
    <w:p w14:paraId="27BB799D" w14:textId="10F07E55" w:rsidR="00B601AB" w:rsidRPr="003308D0" w:rsidRDefault="00BB229B" w:rsidP="003D056B">
      <w:pPr>
        <w:ind w:firstLine="720"/>
        <w:rPr>
          <w:szCs w:val="24"/>
        </w:rPr>
      </w:pPr>
      <w:r>
        <w:rPr>
          <w:szCs w:val="24"/>
        </w:rPr>
        <w:t xml:space="preserve">Nine </w:t>
      </w:r>
      <w:r w:rsidR="00364E91" w:rsidRPr="003308D0">
        <w:rPr>
          <w:szCs w:val="24"/>
        </w:rPr>
        <w:t xml:space="preserve">DDTC </w:t>
      </w:r>
      <w:r>
        <w:rPr>
          <w:szCs w:val="24"/>
        </w:rPr>
        <w:t xml:space="preserve">staff members (a combination of government employees and contract staff) support the </w:t>
      </w:r>
      <w:r w:rsidR="00364E91" w:rsidRPr="003308D0">
        <w:rPr>
          <w:szCs w:val="24"/>
        </w:rPr>
        <w:t xml:space="preserve">processing, analyzing, staffing, and responding to </w:t>
      </w:r>
      <w:r w:rsidR="002A7CA4" w:rsidRPr="003308D0">
        <w:rPr>
          <w:szCs w:val="24"/>
        </w:rPr>
        <w:t>CJ</w:t>
      </w:r>
      <w:r w:rsidR="00364E91" w:rsidRPr="003308D0">
        <w:rPr>
          <w:szCs w:val="24"/>
        </w:rPr>
        <w:t xml:space="preserve"> requests.  The total cost to the Federal Government as a result of this collection is</w:t>
      </w:r>
      <w:r>
        <w:rPr>
          <w:szCs w:val="24"/>
        </w:rPr>
        <w:t xml:space="preserve"> estimated at approximately</w:t>
      </w:r>
      <w:r w:rsidR="00364E91" w:rsidRPr="003308D0">
        <w:rPr>
          <w:szCs w:val="24"/>
        </w:rPr>
        <w:t xml:space="preserve"> </w:t>
      </w:r>
      <w:r w:rsidR="00F10ED6" w:rsidRPr="003308D0">
        <w:rPr>
          <w:szCs w:val="24"/>
        </w:rPr>
        <w:t>$1,</w:t>
      </w:r>
      <w:r w:rsidR="000642AF" w:rsidRPr="003308D0">
        <w:rPr>
          <w:szCs w:val="24"/>
        </w:rPr>
        <w:t>04</w:t>
      </w:r>
      <w:r>
        <w:rPr>
          <w:szCs w:val="24"/>
        </w:rPr>
        <w:t>0</w:t>
      </w:r>
      <w:r w:rsidR="000642AF" w:rsidRPr="003308D0">
        <w:rPr>
          <w:szCs w:val="24"/>
        </w:rPr>
        <w:t>,</w:t>
      </w:r>
      <w:r>
        <w:rPr>
          <w:szCs w:val="24"/>
        </w:rPr>
        <w:t>000</w:t>
      </w:r>
      <w:r w:rsidR="00364E91" w:rsidRPr="003308D0">
        <w:rPr>
          <w:szCs w:val="24"/>
        </w:rPr>
        <w:t>.</w:t>
      </w:r>
      <w:r w:rsidR="00DE6B53">
        <w:rPr>
          <w:szCs w:val="24"/>
        </w:rPr>
        <w:t xml:space="preserve">  This was calculated by taking the average wage of the GS employees</w:t>
      </w:r>
      <w:r w:rsidR="00EE5F98">
        <w:rPr>
          <w:rStyle w:val="FootnoteReference"/>
          <w:szCs w:val="24"/>
        </w:rPr>
        <w:footnoteReference w:id="3"/>
      </w:r>
      <w:r w:rsidR="00DE6B53">
        <w:rPr>
          <w:szCs w:val="24"/>
        </w:rPr>
        <w:t xml:space="preserve"> and contractors who process CJ requests.  </w:t>
      </w:r>
      <w:r w:rsidR="00364E91" w:rsidRPr="003308D0">
        <w:rPr>
          <w:szCs w:val="24"/>
        </w:rPr>
        <w:t xml:space="preserve">  </w:t>
      </w:r>
    </w:p>
    <w:p w14:paraId="5E3542FE" w14:textId="77777777" w:rsidR="00B601AB" w:rsidRPr="003308D0" w:rsidRDefault="00B601AB" w:rsidP="003D056B">
      <w:pPr>
        <w:rPr>
          <w:szCs w:val="24"/>
          <w:highlight w:val="yellow"/>
        </w:rPr>
      </w:pPr>
    </w:p>
    <w:p w14:paraId="3C57E4A3" w14:textId="530D6C84" w:rsidR="00F24DA7" w:rsidRDefault="00B601AB" w:rsidP="003D056B">
      <w:pPr>
        <w:rPr>
          <w:szCs w:val="24"/>
        </w:rPr>
      </w:pPr>
      <w:r w:rsidRPr="003308D0">
        <w:rPr>
          <w:szCs w:val="24"/>
        </w:rPr>
        <w:t>15.</w:t>
      </w:r>
      <w:r w:rsidRPr="003308D0">
        <w:rPr>
          <w:szCs w:val="24"/>
        </w:rPr>
        <w:tab/>
      </w:r>
      <w:r w:rsidR="00F24DA7" w:rsidRPr="003308D0">
        <w:rPr>
          <w:szCs w:val="24"/>
        </w:rPr>
        <w:t>Describe changes or adjustments to this collection since the previous submission.</w:t>
      </w:r>
    </w:p>
    <w:p w14:paraId="4508EA4E" w14:textId="77777777" w:rsidR="003D056B" w:rsidRPr="003308D0" w:rsidRDefault="003D056B" w:rsidP="003D056B">
      <w:pPr>
        <w:rPr>
          <w:szCs w:val="24"/>
        </w:rPr>
      </w:pPr>
    </w:p>
    <w:p w14:paraId="12EB1D4E" w14:textId="77F2B5F9" w:rsidR="002F628B" w:rsidRPr="003308D0" w:rsidRDefault="00683A8E" w:rsidP="003D056B">
      <w:pPr>
        <w:ind w:firstLine="720"/>
        <w:rPr>
          <w:szCs w:val="24"/>
        </w:rPr>
      </w:pPr>
      <w:r w:rsidRPr="003308D0">
        <w:rPr>
          <w:szCs w:val="24"/>
        </w:rPr>
        <w:t xml:space="preserve">Previous submissions of this collection have included, by reference, a template for the original equipment manufacturer (OEM) authorization letter.  This template was not referenced or included in </w:t>
      </w:r>
      <w:r w:rsidR="005579BB">
        <w:rPr>
          <w:szCs w:val="24"/>
        </w:rPr>
        <w:t xml:space="preserve">the previous renewal of this </w:t>
      </w:r>
      <w:r w:rsidR="00403CBE" w:rsidRPr="003308D0">
        <w:rPr>
          <w:szCs w:val="24"/>
        </w:rPr>
        <w:t>collection</w:t>
      </w:r>
      <w:r w:rsidR="00403CBE">
        <w:rPr>
          <w:szCs w:val="24"/>
        </w:rPr>
        <w:t xml:space="preserve"> (</w:t>
      </w:r>
      <w:r w:rsidRPr="003308D0">
        <w:rPr>
          <w:szCs w:val="24"/>
        </w:rPr>
        <w:t xml:space="preserve">approved March 2016).  DDTC revises this collection to standardize and include the OEM authorization letter.  </w:t>
      </w:r>
      <w:r w:rsidR="00860EB9" w:rsidRPr="003308D0">
        <w:rPr>
          <w:szCs w:val="24"/>
        </w:rPr>
        <w:t xml:space="preserve">Respondents who </w:t>
      </w:r>
      <w:r w:rsidR="002F628B" w:rsidRPr="003308D0">
        <w:rPr>
          <w:szCs w:val="24"/>
        </w:rPr>
        <w:t xml:space="preserve">do not manufacture the article that is the subject of a </w:t>
      </w:r>
      <w:r w:rsidR="002A7CA4" w:rsidRPr="003308D0">
        <w:rPr>
          <w:szCs w:val="24"/>
        </w:rPr>
        <w:t>CJ</w:t>
      </w:r>
      <w:r w:rsidR="002F628B" w:rsidRPr="003308D0">
        <w:rPr>
          <w:szCs w:val="24"/>
        </w:rPr>
        <w:t xml:space="preserve"> request </w:t>
      </w:r>
      <w:r w:rsidR="00860EB9" w:rsidRPr="003308D0">
        <w:rPr>
          <w:szCs w:val="24"/>
        </w:rPr>
        <w:t xml:space="preserve">must </w:t>
      </w:r>
      <w:r w:rsidR="002F628B" w:rsidRPr="003308D0">
        <w:rPr>
          <w:szCs w:val="24"/>
        </w:rPr>
        <w:t>receive a signed authorization letter from the OEM.  This letter must at a minimum:</w:t>
      </w:r>
    </w:p>
    <w:p w14:paraId="0CE575AF" w14:textId="296EDBC1" w:rsidR="007F55C9" w:rsidRDefault="007F55C9" w:rsidP="003D056B">
      <w:pPr>
        <w:pStyle w:val="ListParagraph"/>
        <w:numPr>
          <w:ilvl w:val="0"/>
          <w:numId w:val="12"/>
        </w:numPr>
        <w:contextualSpacing w:val="0"/>
        <w:rPr>
          <w:szCs w:val="24"/>
        </w:rPr>
      </w:pPr>
      <w:r>
        <w:rPr>
          <w:szCs w:val="24"/>
        </w:rPr>
        <w:t>Identify the OEM of the article that is the subject of the CJ request;</w:t>
      </w:r>
    </w:p>
    <w:p w14:paraId="60CFF5E0" w14:textId="1439EA7D" w:rsidR="00860EB9" w:rsidRPr="003308D0" w:rsidRDefault="002F628B" w:rsidP="003D056B">
      <w:pPr>
        <w:pStyle w:val="ListParagraph"/>
        <w:numPr>
          <w:ilvl w:val="0"/>
          <w:numId w:val="12"/>
        </w:numPr>
        <w:contextualSpacing w:val="0"/>
        <w:rPr>
          <w:szCs w:val="24"/>
        </w:rPr>
      </w:pPr>
      <w:r w:rsidRPr="003308D0">
        <w:rPr>
          <w:szCs w:val="24"/>
        </w:rPr>
        <w:t xml:space="preserve">Mention by name the company </w:t>
      </w:r>
      <w:r w:rsidR="00A856C2" w:rsidRPr="003308D0">
        <w:rPr>
          <w:szCs w:val="24"/>
        </w:rPr>
        <w:t xml:space="preserve">that </w:t>
      </w:r>
      <w:r w:rsidRPr="003308D0">
        <w:rPr>
          <w:szCs w:val="24"/>
        </w:rPr>
        <w:t>is submitting the request;</w:t>
      </w:r>
    </w:p>
    <w:p w14:paraId="25188996" w14:textId="1A0DDFF3" w:rsidR="002F628B" w:rsidRPr="003308D0" w:rsidRDefault="002F628B" w:rsidP="003D056B">
      <w:pPr>
        <w:pStyle w:val="ListParagraph"/>
        <w:numPr>
          <w:ilvl w:val="0"/>
          <w:numId w:val="12"/>
        </w:numPr>
        <w:contextualSpacing w:val="0"/>
        <w:rPr>
          <w:szCs w:val="24"/>
        </w:rPr>
      </w:pPr>
      <w:r w:rsidRPr="003308D0">
        <w:rPr>
          <w:szCs w:val="24"/>
        </w:rPr>
        <w:t>Include the product name and a brief description of the product;</w:t>
      </w:r>
    </w:p>
    <w:p w14:paraId="396318F5" w14:textId="76AC0DB6" w:rsidR="002F628B" w:rsidRPr="003308D0" w:rsidRDefault="002F628B" w:rsidP="003D056B">
      <w:pPr>
        <w:pStyle w:val="ListParagraph"/>
        <w:numPr>
          <w:ilvl w:val="0"/>
          <w:numId w:val="12"/>
        </w:numPr>
        <w:contextualSpacing w:val="0"/>
        <w:rPr>
          <w:szCs w:val="24"/>
        </w:rPr>
      </w:pPr>
      <w:r w:rsidRPr="003308D0">
        <w:rPr>
          <w:szCs w:val="24"/>
        </w:rPr>
        <w:t>Describe the specific individuals involved in the request, as well as the nature of the relationship between the two companies;</w:t>
      </w:r>
      <w:r w:rsidR="00683A8E" w:rsidRPr="003308D0">
        <w:rPr>
          <w:szCs w:val="24"/>
        </w:rPr>
        <w:t xml:space="preserve"> </w:t>
      </w:r>
    </w:p>
    <w:p w14:paraId="29C14433" w14:textId="77777777" w:rsidR="002F628B" w:rsidRPr="003308D0" w:rsidRDefault="002F628B" w:rsidP="003D056B">
      <w:pPr>
        <w:pStyle w:val="ListParagraph"/>
        <w:numPr>
          <w:ilvl w:val="0"/>
          <w:numId w:val="12"/>
        </w:numPr>
        <w:contextualSpacing w:val="0"/>
        <w:rPr>
          <w:szCs w:val="24"/>
        </w:rPr>
      </w:pPr>
      <w:r w:rsidRPr="003308D0">
        <w:rPr>
          <w:szCs w:val="24"/>
        </w:rPr>
        <w:t xml:space="preserve">Authorize </w:t>
      </w:r>
      <w:r w:rsidR="00683A8E" w:rsidRPr="003308D0">
        <w:rPr>
          <w:szCs w:val="24"/>
        </w:rPr>
        <w:t>general publication of the information contained in block 4 of Form DS-4076; and</w:t>
      </w:r>
    </w:p>
    <w:p w14:paraId="76622028" w14:textId="77777777" w:rsidR="00683A8E" w:rsidRPr="003308D0" w:rsidRDefault="00683A8E" w:rsidP="003D056B">
      <w:pPr>
        <w:pStyle w:val="ListParagraph"/>
        <w:numPr>
          <w:ilvl w:val="0"/>
          <w:numId w:val="12"/>
        </w:numPr>
        <w:contextualSpacing w:val="0"/>
        <w:rPr>
          <w:szCs w:val="24"/>
        </w:rPr>
      </w:pPr>
      <w:r w:rsidRPr="003308D0">
        <w:rPr>
          <w:szCs w:val="24"/>
        </w:rPr>
        <w:t>Provide DDTC with a point of contact and contact information for the OEM so DDTC may contact t</w:t>
      </w:r>
      <w:r w:rsidR="003E115C" w:rsidRPr="003308D0">
        <w:rPr>
          <w:szCs w:val="24"/>
        </w:rPr>
        <w:t>he manufacturer directly, if nec</w:t>
      </w:r>
      <w:r w:rsidRPr="003308D0">
        <w:rPr>
          <w:szCs w:val="24"/>
        </w:rPr>
        <w:t xml:space="preserve">essary. </w:t>
      </w:r>
    </w:p>
    <w:p w14:paraId="2D78913F" w14:textId="77777777" w:rsidR="002F628B" w:rsidRPr="003308D0" w:rsidRDefault="002F628B" w:rsidP="003D056B">
      <w:pPr>
        <w:rPr>
          <w:szCs w:val="24"/>
        </w:rPr>
      </w:pPr>
    </w:p>
    <w:p w14:paraId="0568FB54" w14:textId="2F5F0865" w:rsidR="006E3461" w:rsidRPr="003308D0" w:rsidRDefault="002F628B" w:rsidP="003D056B">
      <w:pPr>
        <w:rPr>
          <w:szCs w:val="24"/>
        </w:rPr>
      </w:pPr>
      <w:r w:rsidRPr="003308D0">
        <w:rPr>
          <w:szCs w:val="24"/>
        </w:rPr>
        <w:t xml:space="preserve">If an authorization letter is required, but not provided, the respondent must submit an explanation </w:t>
      </w:r>
      <w:r w:rsidR="005D386C" w:rsidRPr="003308D0">
        <w:rPr>
          <w:szCs w:val="24"/>
        </w:rPr>
        <w:t xml:space="preserve">for </w:t>
      </w:r>
      <w:r w:rsidRPr="003308D0">
        <w:rPr>
          <w:szCs w:val="24"/>
        </w:rPr>
        <w:t>DDTC</w:t>
      </w:r>
      <w:r w:rsidR="005D386C" w:rsidRPr="003308D0">
        <w:rPr>
          <w:szCs w:val="24"/>
        </w:rPr>
        <w:t>’s assessment and decision on whether to proceed with the CJ request</w:t>
      </w:r>
      <w:r w:rsidRPr="003308D0">
        <w:rPr>
          <w:szCs w:val="24"/>
        </w:rPr>
        <w:t xml:space="preserve">.  Respondents should </w:t>
      </w:r>
      <w:r w:rsidR="00DB2507" w:rsidRPr="003308D0">
        <w:rPr>
          <w:szCs w:val="24"/>
        </w:rPr>
        <w:t xml:space="preserve">include </w:t>
      </w:r>
      <w:r w:rsidRPr="003308D0">
        <w:rPr>
          <w:szCs w:val="24"/>
        </w:rPr>
        <w:t xml:space="preserve">their OEM authorization letter or explanation </w:t>
      </w:r>
      <w:r w:rsidR="00DB2507" w:rsidRPr="003308D0">
        <w:rPr>
          <w:szCs w:val="24"/>
        </w:rPr>
        <w:t xml:space="preserve">with their </w:t>
      </w:r>
      <w:r w:rsidR="002A7CA4" w:rsidRPr="003308D0">
        <w:rPr>
          <w:szCs w:val="24"/>
        </w:rPr>
        <w:t>CJ</w:t>
      </w:r>
      <w:r w:rsidR="00DB2507" w:rsidRPr="003308D0">
        <w:rPr>
          <w:szCs w:val="24"/>
        </w:rPr>
        <w:t xml:space="preserve"> request.</w:t>
      </w:r>
    </w:p>
    <w:p w14:paraId="6F456CE4" w14:textId="2D43B7E2" w:rsidR="00614F92" w:rsidRPr="003308D0" w:rsidRDefault="00614F92" w:rsidP="003D056B">
      <w:pPr>
        <w:rPr>
          <w:szCs w:val="24"/>
        </w:rPr>
      </w:pPr>
    </w:p>
    <w:p w14:paraId="19F21BCA" w14:textId="5447A36E" w:rsidR="00614F92" w:rsidRPr="003308D0" w:rsidRDefault="00614F92" w:rsidP="003D056B">
      <w:pPr>
        <w:rPr>
          <w:szCs w:val="24"/>
        </w:rPr>
      </w:pPr>
      <w:r w:rsidRPr="003308D0">
        <w:rPr>
          <w:szCs w:val="24"/>
        </w:rPr>
        <w:t>Appendix A describes minor editorial changes to the form.</w:t>
      </w:r>
    </w:p>
    <w:p w14:paraId="277E6609" w14:textId="77777777" w:rsidR="006E3461" w:rsidRPr="003308D0" w:rsidRDefault="006E3461" w:rsidP="003D056B">
      <w:pPr>
        <w:rPr>
          <w:szCs w:val="24"/>
        </w:rPr>
      </w:pPr>
    </w:p>
    <w:p w14:paraId="371D3AAA" w14:textId="5DEB61CA" w:rsidR="002F628B" w:rsidRPr="003308D0" w:rsidRDefault="006E3461" w:rsidP="003D056B">
      <w:pPr>
        <w:rPr>
          <w:szCs w:val="24"/>
        </w:rPr>
      </w:pPr>
      <w:r w:rsidRPr="003308D0">
        <w:rPr>
          <w:szCs w:val="24"/>
        </w:rPr>
        <w:t xml:space="preserve">Additionally, DDTC has updated </w:t>
      </w:r>
      <w:r w:rsidR="002A7CA4" w:rsidRPr="003308D0">
        <w:rPr>
          <w:szCs w:val="24"/>
        </w:rPr>
        <w:t xml:space="preserve">its </w:t>
      </w:r>
      <w:r w:rsidRPr="003308D0">
        <w:rPr>
          <w:szCs w:val="24"/>
        </w:rPr>
        <w:t xml:space="preserve">response to paragraphs 12 and 14.  The estimated number of responses has been lowered </w:t>
      </w:r>
      <w:r w:rsidR="006E4F5F">
        <w:rPr>
          <w:szCs w:val="24"/>
        </w:rPr>
        <w:t xml:space="preserve">to reflect </w:t>
      </w:r>
      <w:r w:rsidR="007F55C9">
        <w:rPr>
          <w:szCs w:val="24"/>
        </w:rPr>
        <w:t>actual receipt of CJ reques</w:t>
      </w:r>
      <w:r w:rsidRPr="003308D0">
        <w:rPr>
          <w:szCs w:val="24"/>
        </w:rPr>
        <w:t>t</w:t>
      </w:r>
      <w:r w:rsidR="007F55C9">
        <w:rPr>
          <w:szCs w:val="24"/>
        </w:rPr>
        <w:t>s</w:t>
      </w:r>
      <w:r w:rsidRPr="003308D0">
        <w:rPr>
          <w:szCs w:val="24"/>
        </w:rPr>
        <w:t xml:space="preserve">.  The cost to the Federal Government has been </w:t>
      </w:r>
      <w:r w:rsidR="000642AF" w:rsidRPr="003308D0">
        <w:rPr>
          <w:szCs w:val="24"/>
        </w:rPr>
        <w:t xml:space="preserve">decreased </w:t>
      </w:r>
      <w:r w:rsidRPr="003308D0">
        <w:rPr>
          <w:szCs w:val="24"/>
        </w:rPr>
        <w:t xml:space="preserve">to reflect </w:t>
      </w:r>
      <w:r w:rsidR="007F55C9">
        <w:rPr>
          <w:szCs w:val="24"/>
        </w:rPr>
        <w:t>this</w:t>
      </w:r>
      <w:r w:rsidR="007F55C9" w:rsidRPr="003308D0">
        <w:rPr>
          <w:szCs w:val="24"/>
        </w:rPr>
        <w:t xml:space="preserve"> </w:t>
      </w:r>
      <w:r w:rsidRPr="003308D0">
        <w:rPr>
          <w:szCs w:val="24"/>
        </w:rPr>
        <w:t>more accurate calculation.</w:t>
      </w:r>
    </w:p>
    <w:p w14:paraId="77606BF6" w14:textId="77777777" w:rsidR="00B601AB" w:rsidRPr="003308D0" w:rsidRDefault="00B601AB" w:rsidP="003D056B">
      <w:pPr>
        <w:rPr>
          <w:szCs w:val="24"/>
        </w:rPr>
      </w:pPr>
    </w:p>
    <w:p w14:paraId="491AC543" w14:textId="1B5E7D4E" w:rsidR="00F24DA7" w:rsidRDefault="00F44121" w:rsidP="003D056B">
      <w:pPr>
        <w:rPr>
          <w:szCs w:val="24"/>
        </w:rPr>
      </w:pPr>
      <w:r w:rsidRPr="003308D0">
        <w:rPr>
          <w:szCs w:val="24"/>
        </w:rPr>
        <w:t>16.</w:t>
      </w:r>
      <w:r w:rsidR="00B601AB" w:rsidRPr="003308D0">
        <w:rPr>
          <w:szCs w:val="24"/>
        </w:rPr>
        <w:tab/>
      </w:r>
      <w:r w:rsidR="00F24DA7" w:rsidRPr="003308D0">
        <w:rPr>
          <w:szCs w:val="24"/>
        </w:rPr>
        <w:t>Will data gathered by this collection be published?</w:t>
      </w:r>
    </w:p>
    <w:p w14:paraId="12F9DE0C" w14:textId="77777777" w:rsidR="003D056B" w:rsidRPr="003308D0" w:rsidRDefault="003D056B" w:rsidP="003D056B">
      <w:pPr>
        <w:rPr>
          <w:szCs w:val="24"/>
        </w:rPr>
      </w:pPr>
    </w:p>
    <w:p w14:paraId="230E6FC9" w14:textId="77777777" w:rsidR="00C23068" w:rsidRPr="003308D0" w:rsidRDefault="00E620E1" w:rsidP="003D056B">
      <w:pPr>
        <w:ind w:firstLine="360"/>
        <w:rPr>
          <w:szCs w:val="24"/>
        </w:rPr>
      </w:pPr>
      <w:r w:rsidRPr="003308D0">
        <w:rPr>
          <w:szCs w:val="24"/>
        </w:rPr>
        <w:t xml:space="preserve">DDTC will </w:t>
      </w:r>
      <w:r w:rsidR="00683A8E" w:rsidRPr="003308D0">
        <w:rPr>
          <w:szCs w:val="24"/>
        </w:rPr>
        <w:t xml:space="preserve">publish </w:t>
      </w:r>
      <w:r w:rsidR="00C23068" w:rsidRPr="003308D0">
        <w:rPr>
          <w:szCs w:val="24"/>
        </w:rPr>
        <w:t>the following information to its website:</w:t>
      </w:r>
    </w:p>
    <w:p w14:paraId="5835BBDD" w14:textId="31435BEC" w:rsidR="00C23068" w:rsidRPr="003308D0" w:rsidRDefault="00C23068" w:rsidP="003D056B">
      <w:pPr>
        <w:pStyle w:val="ListParagraph"/>
        <w:numPr>
          <w:ilvl w:val="0"/>
          <w:numId w:val="13"/>
        </w:numPr>
        <w:contextualSpacing w:val="0"/>
        <w:rPr>
          <w:szCs w:val="24"/>
        </w:rPr>
      </w:pPr>
      <w:r w:rsidRPr="003308D0">
        <w:rPr>
          <w:szCs w:val="24"/>
        </w:rPr>
        <w:t>Manufacturer</w:t>
      </w:r>
      <w:r w:rsidR="002A7CA4" w:rsidRPr="003308D0">
        <w:rPr>
          <w:szCs w:val="24"/>
        </w:rPr>
        <w:t xml:space="preserve"> of commodity</w:t>
      </w:r>
      <w:r w:rsidRPr="003308D0">
        <w:rPr>
          <w:szCs w:val="24"/>
        </w:rPr>
        <w:t>,</w:t>
      </w:r>
    </w:p>
    <w:p w14:paraId="002A2C81" w14:textId="2AAD4811" w:rsidR="002A7CA4" w:rsidRPr="003308D0" w:rsidRDefault="002A7CA4" w:rsidP="003D056B">
      <w:pPr>
        <w:pStyle w:val="ListParagraph"/>
        <w:numPr>
          <w:ilvl w:val="0"/>
          <w:numId w:val="13"/>
        </w:numPr>
        <w:contextualSpacing w:val="0"/>
        <w:rPr>
          <w:szCs w:val="24"/>
        </w:rPr>
      </w:pPr>
      <w:r w:rsidRPr="003308D0">
        <w:rPr>
          <w:szCs w:val="24"/>
        </w:rPr>
        <w:t>Name of commodity,</w:t>
      </w:r>
    </w:p>
    <w:p w14:paraId="2074E6FA" w14:textId="77777777" w:rsidR="00C23068" w:rsidRPr="003308D0" w:rsidRDefault="00C23068" w:rsidP="003D056B">
      <w:pPr>
        <w:pStyle w:val="ListParagraph"/>
        <w:numPr>
          <w:ilvl w:val="0"/>
          <w:numId w:val="13"/>
        </w:numPr>
        <w:contextualSpacing w:val="0"/>
        <w:rPr>
          <w:szCs w:val="24"/>
        </w:rPr>
      </w:pPr>
      <w:r w:rsidRPr="003308D0">
        <w:rPr>
          <w:szCs w:val="24"/>
        </w:rPr>
        <w:t>Description of commodity,</w:t>
      </w:r>
    </w:p>
    <w:p w14:paraId="3FCDC88E" w14:textId="7DF5ED35" w:rsidR="00C23068" w:rsidRPr="003308D0" w:rsidRDefault="00C23068" w:rsidP="003D056B">
      <w:pPr>
        <w:pStyle w:val="ListParagraph"/>
        <w:numPr>
          <w:ilvl w:val="0"/>
          <w:numId w:val="13"/>
        </w:numPr>
        <w:contextualSpacing w:val="0"/>
        <w:rPr>
          <w:szCs w:val="24"/>
        </w:rPr>
      </w:pPr>
      <w:r w:rsidRPr="003308D0">
        <w:rPr>
          <w:szCs w:val="24"/>
        </w:rPr>
        <w:t xml:space="preserve">Final </w:t>
      </w:r>
      <w:r w:rsidR="002A7CA4" w:rsidRPr="003308D0">
        <w:rPr>
          <w:szCs w:val="24"/>
        </w:rPr>
        <w:t xml:space="preserve">jurisdiction </w:t>
      </w:r>
      <w:r w:rsidRPr="003308D0">
        <w:rPr>
          <w:szCs w:val="24"/>
        </w:rPr>
        <w:t>determination</w:t>
      </w:r>
      <w:r w:rsidR="002A7CA4" w:rsidRPr="003308D0">
        <w:rPr>
          <w:szCs w:val="24"/>
        </w:rPr>
        <w:t xml:space="preserve"> of commodity</w:t>
      </w:r>
      <w:r w:rsidRPr="003308D0">
        <w:rPr>
          <w:szCs w:val="24"/>
        </w:rPr>
        <w:t>, and</w:t>
      </w:r>
    </w:p>
    <w:p w14:paraId="5493D137" w14:textId="77777777" w:rsidR="00C23068" w:rsidRPr="003308D0" w:rsidRDefault="00C23068" w:rsidP="003D056B">
      <w:pPr>
        <w:pStyle w:val="ListParagraph"/>
        <w:numPr>
          <w:ilvl w:val="0"/>
          <w:numId w:val="13"/>
        </w:numPr>
        <w:contextualSpacing w:val="0"/>
        <w:rPr>
          <w:szCs w:val="24"/>
        </w:rPr>
      </w:pPr>
      <w:r w:rsidRPr="003308D0">
        <w:rPr>
          <w:szCs w:val="24"/>
        </w:rPr>
        <w:t>Date of final determination.</w:t>
      </w:r>
    </w:p>
    <w:p w14:paraId="45CE1ED2" w14:textId="77777777" w:rsidR="00C969D5" w:rsidRPr="003308D0" w:rsidRDefault="00C969D5" w:rsidP="003D056B">
      <w:pPr>
        <w:pStyle w:val="ListParagraph"/>
        <w:contextualSpacing w:val="0"/>
        <w:rPr>
          <w:szCs w:val="24"/>
        </w:rPr>
      </w:pPr>
    </w:p>
    <w:p w14:paraId="0F813117" w14:textId="5D8A0BA8" w:rsidR="00B601AB" w:rsidRPr="003308D0" w:rsidRDefault="00C969D5" w:rsidP="003D056B">
      <w:pPr>
        <w:rPr>
          <w:szCs w:val="24"/>
        </w:rPr>
      </w:pPr>
      <w:r w:rsidRPr="003308D0">
        <w:rPr>
          <w:szCs w:val="24"/>
        </w:rPr>
        <w:tab/>
      </w:r>
      <w:r w:rsidR="00683A8E" w:rsidRPr="003308D0">
        <w:rPr>
          <w:szCs w:val="24"/>
        </w:rPr>
        <w:t>R</w:t>
      </w:r>
      <w:r w:rsidR="00E620E1" w:rsidRPr="003308D0">
        <w:rPr>
          <w:szCs w:val="24"/>
        </w:rPr>
        <w:t>espondent</w:t>
      </w:r>
      <w:r w:rsidR="00683A8E" w:rsidRPr="003308D0">
        <w:rPr>
          <w:szCs w:val="24"/>
        </w:rPr>
        <w:t>s</w:t>
      </w:r>
      <w:r w:rsidR="00E620E1" w:rsidRPr="003308D0">
        <w:rPr>
          <w:szCs w:val="24"/>
        </w:rPr>
        <w:t xml:space="preserve"> </w:t>
      </w:r>
      <w:r w:rsidR="003E115C" w:rsidRPr="003308D0">
        <w:rPr>
          <w:szCs w:val="24"/>
        </w:rPr>
        <w:t>may utilize block 13 of form DS-4076 to</w:t>
      </w:r>
      <w:r w:rsidR="00E620E1" w:rsidRPr="003308D0">
        <w:rPr>
          <w:szCs w:val="24"/>
        </w:rPr>
        <w:t xml:space="preserve"> request that certain information </w:t>
      </w:r>
      <w:r w:rsidR="003E115C" w:rsidRPr="003308D0">
        <w:rPr>
          <w:szCs w:val="24"/>
        </w:rPr>
        <w:t>be withheld from public disclosure</w:t>
      </w:r>
      <w:r w:rsidR="00B601AB" w:rsidRPr="003308D0">
        <w:rPr>
          <w:szCs w:val="24"/>
        </w:rPr>
        <w:t>.</w:t>
      </w:r>
    </w:p>
    <w:p w14:paraId="6A44E7D1" w14:textId="77777777" w:rsidR="00B601AB" w:rsidRPr="003308D0" w:rsidRDefault="00B601AB" w:rsidP="003D056B">
      <w:pPr>
        <w:rPr>
          <w:szCs w:val="24"/>
        </w:rPr>
      </w:pPr>
    </w:p>
    <w:p w14:paraId="707E1A0F" w14:textId="2D67B97F" w:rsidR="00B601AB" w:rsidRPr="003308D0" w:rsidRDefault="00F44121" w:rsidP="003D056B">
      <w:pPr>
        <w:rPr>
          <w:szCs w:val="24"/>
        </w:rPr>
      </w:pPr>
      <w:r w:rsidRPr="003308D0">
        <w:rPr>
          <w:szCs w:val="24"/>
        </w:rPr>
        <w:t>17.</w:t>
      </w:r>
      <w:r w:rsidR="00B601AB" w:rsidRPr="003308D0">
        <w:rPr>
          <w:szCs w:val="24"/>
        </w:rPr>
        <w:tab/>
      </w:r>
      <w:r w:rsidR="00367B66" w:rsidRPr="003308D0">
        <w:rPr>
          <w:szCs w:val="24"/>
        </w:rPr>
        <w:t xml:space="preserve">DDTC </w:t>
      </w:r>
      <w:r w:rsidR="00B22A5B" w:rsidRPr="003308D0">
        <w:rPr>
          <w:szCs w:val="24"/>
        </w:rPr>
        <w:t>will</w:t>
      </w:r>
      <w:r w:rsidR="00367B66" w:rsidRPr="003308D0">
        <w:rPr>
          <w:szCs w:val="24"/>
        </w:rPr>
        <w:t xml:space="preserve"> display the </w:t>
      </w:r>
      <w:r w:rsidR="00C969D5" w:rsidRPr="003308D0">
        <w:rPr>
          <w:szCs w:val="24"/>
        </w:rPr>
        <w:t xml:space="preserve">collection’s </w:t>
      </w:r>
      <w:r w:rsidR="00367B66" w:rsidRPr="003308D0">
        <w:rPr>
          <w:szCs w:val="24"/>
        </w:rPr>
        <w:t>expiration date on the form</w:t>
      </w:r>
      <w:r w:rsidR="00893819" w:rsidRPr="003308D0">
        <w:rPr>
          <w:szCs w:val="24"/>
        </w:rPr>
        <w:t>.</w:t>
      </w:r>
    </w:p>
    <w:p w14:paraId="30BAA930" w14:textId="77777777" w:rsidR="00B601AB" w:rsidRPr="003308D0" w:rsidRDefault="00B601AB" w:rsidP="003D056B">
      <w:pPr>
        <w:rPr>
          <w:szCs w:val="24"/>
        </w:rPr>
      </w:pPr>
    </w:p>
    <w:p w14:paraId="03F953F5" w14:textId="77777777" w:rsidR="00B601AB" w:rsidRPr="003308D0" w:rsidRDefault="00F44121" w:rsidP="003D056B">
      <w:pPr>
        <w:rPr>
          <w:szCs w:val="24"/>
        </w:rPr>
      </w:pPr>
      <w:r w:rsidRPr="003308D0">
        <w:rPr>
          <w:szCs w:val="24"/>
        </w:rPr>
        <w:t>18.</w:t>
      </w:r>
      <w:r w:rsidR="00367B66" w:rsidRPr="003308D0">
        <w:rPr>
          <w:szCs w:val="24"/>
        </w:rPr>
        <w:tab/>
      </w:r>
      <w:r w:rsidR="00B601AB" w:rsidRPr="003308D0">
        <w:rPr>
          <w:szCs w:val="24"/>
        </w:rPr>
        <w:t xml:space="preserve">The Department of State does not seek any exception to the </w:t>
      </w:r>
      <w:r w:rsidR="00346E07" w:rsidRPr="003308D0">
        <w:rPr>
          <w:szCs w:val="24"/>
        </w:rPr>
        <w:t xml:space="preserve">certification </w:t>
      </w:r>
      <w:r w:rsidR="00B601AB" w:rsidRPr="003308D0">
        <w:rPr>
          <w:szCs w:val="24"/>
        </w:rPr>
        <w:t>statement</w:t>
      </w:r>
      <w:r w:rsidR="00346E07" w:rsidRPr="003308D0">
        <w:rPr>
          <w:szCs w:val="24"/>
        </w:rPr>
        <w:t>.</w:t>
      </w:r>
    </w:p>
    <w:p w14:paraId="0F16965A" w14:textId="77777777" w:rsidR="00B601AB" w:rsidRPr="003308D0" w:rsidRDefault="00B601AB" w:rsidP="003D056B">
      <w:pPr>
        <w:rPr>
          <w:szCs w:val="24"/>
        </w:rPr>
      </w:pPr>
    </w:p>
    <w:p w14:paraId="7092C4F2" w14:textId="77777777" w:rsidR="00B601AB" w:rsidRPr="003308D0" w:rsidRDefault="00B601AB" w:rsidP="003D056B">
      <w:pPr>
        <w:pStyle w:val="Heading2"/>
        <w:jc w:val="left"/>
        <w:rPr>
          <w:color w:val="auto"/>
          <w:szCs w:val="24"/>
        </w:rPr>
      </w:pPr>
      <w:r w:rsidRPr="003308D0">
        <w:rPr>
          <w:color w:val="auto"/>
          <w:szCs w:val="24"/>
        </w:rPr>
        <w:t>B.  Collections of Information Employing Statistical Methods</w:t>
      </w:r>
    </w:p>
    <w:p w14:paraId="499A7857" w14:textId="77777777" w:rsidR="00B601AB" w:rsidRPr="003308D0" w:rsidRDefault="00B601AB" w:rsidP="003D056B">
      <w:pPr>
        <w:jc w:val="center"/>
        <w:rPr>
          <w:b/>
          <w:szCs w:val="24"/>
        </w:rPr>
      </w:pPr>
    </w:p>
    <w:p w14:paraId="4607882F" w14:textId="77777777" w:rsidR="00B601AB" w:rsidRPr="003308D0" w:rsidRDefault="00367B66" w:rsidP="003D056B">
      <w:pPr>
        <w:rPr>
          <w:szCs w:val="24"/>
        </w:rPr>
      </w:pPr>
      <w:r w:rsidRPr="003308D0">
        <w:rPr>
          <w:szCs w:val="24"/>
        </w:rPr>
        <w:tab/>
      </w:r>
      <w:r w:rsidR="00B601AB" w:rsidRPr="003308D0">
        <w:rPr>
          <w:szCs w:val="24"/>
        </w:rPr>
        <w:t>This collection of information does not employ statistical methods.</w:t>
      </w:r>
    </w:p>
    <w:p w14:paraId="2A00401A" w14:textId="77777777" w:rsidR="00893819" w:rsidRPr="003308D0" w:rsidRDefault="00893819" w:rsidP="003D056B">
      <w:pPr>
        <w:rPr>
          <w:szCs w:val="24"/>
        </w:rPr>
      </w:pPr>
    </w:p>
    <w:p w14:paraId="56423851" w14:textId="77777777" w:rsidR="0059764A" w:rsidRDefault="0059764A" w:rsidP="003D056B">
      <w:pPr>
        <w:rPr>
          <w:b/>
          <w:szCs w:val="24"/>
        </w:rPr>
      </w:pPr>
    </w:p>
    <w:p w14:paraId="392900FE" w14:textId="77777777" w:rsidR="0059764A" w:rsidRDefault="0059764A" w:rsidP="003D056B">
      <w:pPr>
        <w:rPr>
          <w:b/>
          <w:szCs w:val="24"/>
        </w:rPr>
      </w:pPr>
    </w:p>
    <w:p w14:paraId="1EBC91CD" w14:textId="77777777" w:rsidR="0059764A" w:rsidRDefault="0059764A" w:rsidP="003D056B">
      <w:pPr>
        <w:rPr>
          <w:b/>
          <w:szCs w:val="24"/>
        </w:rPr>
      </w:pPr>
    </w:p>
    <w:p w14:paraId="307487A4" w14:textId="0FCBF682" w:rsidR="00614F92" w:rsidRPr="003308D0" w:rsidRDefault="00614F92" w:rsidP="003D056B">
      <w:pPr>
        <w:rPr>
          <w:b/>
          <w:szCs w:val="24"/>
        </w:rPr>
      </w:pPr>
      <w:r w:rsidRPr="003308D0">
        <w:rPr>
          <w:b/>
          <w:szCs w:val="24"/>
        </w:rPr>
        <w:t>Appendix A</w:t>
      </w:r>
    </w:p>
    <w:p w14:paraId="6B157399" w14:textId="43F260E8" w:rsidR="0059764A" w:rsidRDefault="0059764A" w:rsidP="003D056B">
      <w:pPr>
        <w:rPr>
          <w:b/>
          <w:szCs w:val="24"/>
        </w:rPr>
      </w:pPr>
    </w:p>
    <w:p w14:paraId="217A5D54" w14:textId="1D915277" w:rsidR="00E246DB" w:rsidRPr="003308D0" w:rsidRDefault="00E246DB" w:rsidP="003D056B">
      <w:pPr>
        <w:rPr>
          <w:b/>
          <w:szCs w:val="24"/>
        </w:rPr>
      </w:pPr>
      <w:r w:rsidRPr="003308D0">
        <w:rPr>
          <w:b/>
          <w:szCs w:val="24"/>
        </w:rPr>
        <w:t>DS-4076 summary of changes</w:t>
      </w:r>
    </w:p>
    <w:tbl>
      <w:tblPr>
        <w:tblStyle w:val="TableGrid"/>
        <w:tblW w:w="0" w:type="auto"/>
        <w:tblLook w:val="04A0" w:firstRow="1" w:lastRow="0" w:firstColumn="1" w:lastColumn="0" w:noHBand="0" w:noVBand="1"/>
      </w:tblPr>
      <w:tblGrid>
        <w:gridCol w:w="457"/>
        <w:gridCol w:w="978"/>
        <w:gridCol w:w="3302"/>
        <w:gridCol w:w="4613"/>
      </w:tblGrid>
      <w:tr w:rsidR="00E246DB" w:rsidRPr="003308D0" w14:paraId="3B029D0F" w14:textId="77777777" w:rsidTr="0059764A">
        <w:tc>
          <w:tcPr>
            <w:tcW w:w="457" w:type="dxa"/>
          </w:tcPr>
          <w:p w14:paraId="6E5B1982" w14:textId="77777777" w:rsidR="00E246DB" w:rsidRPr="003308D0" w:rsidRDefault="00E246DB" w:rsidP="003D056B">
            <w:pPr>
              <w:rPr>
                <w:b/>
                <w:szCs w:val="24"/>
              </w:rPr>
            </w:pPr>
            <w:r w:rsidRPr="003308D0">
              <w:rPr>
                <w:b/>
                <w:szCs w:val="24"/>
              </w:rPr>
              <w:t>#</w:t>
            </w:r>
          </w:p>
        </w:tc>
        <w:tc>
          <w:tcPr>
            <w:tcW w:w="978" w:type="dxa"/>
          </w:tcPr>
          <w:p w14:paraId="37EE80B2" w14:textId="77777777" w:rsidR="00E246DB" w:rsidRPr="003308D0" w:rsidRDefault="00E246DB" w:rsidP="003D056B">
            <w:pPr>
              <w:rPr>
                <w:b/>
                <w:szCs w:val="24"/>
              </w:rPr>
            </w:pPr>
            <w:r w:rsidRPr="003308D0">
              <w:rPr>
                <w:b/>
                <w:szCs w:val="24"/>
              </w:rPr>
              <w:t>Block #</w:t>
            </w:r>
          </w:p>
        </w:tc>
        <w:tc>
          <w:tcPr>
            <w:tcW w:w="3302" w:type="dxa"/>
          </w:tcPr>
          <w:p w14:paraId="53CBF8DE" w14:textId="77777777" w:rsidR="00E246DB" w:rsidRPr="003308D0" w:rsidRDefault="00E246DB" w:rsidP="003D056B">
            <w:pPr>
              <w:rPr>
                <w:b/>
                <w:szCs w:val="24"/>
              </w:rPr>
            </w:pPr>
            <w:r w:rsidRPr="003308D0">
              <w:rPr>
                <w:b/>
                <w:szCs w:val="24"/>
              </w:rPr>
              <w:t>Field</w:t>
            </w:r>
          </w:p>
        </w:tc>
        <w:tc>
          <w:tcPr>
            <w:tcW w:w="4613" w:type="dxa"/>
          </w:tcPr>
          <w:p w14:paraId="53172C12" w14:textId="77777777" w:rsidR="00E246DB" w:rsidRPr="003308D0" w:rsidRDefault="00E246DB" w:rsidP="003D056B">
            <w:pPr>
              <w:rPr>
                <w:b/>
                <w:szCs w:val="24"/>
              </w:rPr>
            </w:pPr>
            <w:r w:rsidRPr="003308D0">
              <w:rPr>
                <w:b/>
                <w:szCs w:val="24"/>
              </w:rPr>
              <w:t>Change</w:t>
            </w:r>
          </w:p>
        </w:tc>
      </w:tr>
      <w:tr w:rsidR="00E246DB" w:rsidRPr="003308D0" w14:paraId="26429283" w14:textId="77777777" w:rsidTr="0059764A">
        <w:tc>
          <w:tcPr>
            <w:tcW w:w="457" w:type="dxa"/>
          </w:tcPr>
          <w:p w14:paraId="6E501F37" w14:textId="77777777" w:rsidR="00E246DB" w:rsidRPr="003308D0" w:rsidRDefault="00E246DB" w:rsidP="003D056B">
            <w:pPr>
              <w:rPr>
                <w:szCs w:val="24"/>
              </w:rPr>
            </w:pPr>
            <w:r w:rsidRPr="003308D0">
              <w:rPr>
                <w:szCs w:val="24"/>
              </w:rPr>
              <w:t>1</w:t>
            </w:r>
          </w:p>
        </w:tc>
        <w:tc>
          <w:tcPr>
            <w:tcW w:w="978" w:type="dxa"/>
          </w:tcPr>
          <w:p w14:paraId="12CA67DC" w14:textId="77777777" w:rsidR="00E246DB" w:rsidRPr="003308D0" w:rsidRDefault="00E246DB" w:rsidP="003D056B">
            <w:pPr>
              <w:jc w:val="center"/>
              <w:rPr>
                <w:szCs w:val="24"/>
              </w:rPr>
            </w:pPr>
            <w:r w:rsidRPr="003308D0">
              <w:rPr>
                <w:szCs w:val="24"/>
              </w:rPr>
              <w:t>1</w:t>
            </w:r>
          </w:p>
        </w:tc>
        <w:tc>
          <w:tcPr>
            <w:tcW w:w="3302" w:type="dxa"/>
          </w:tcPr>
          <w:p w14:paraId="79FF2588" w14:textId="613350C1" w:rsidR="00E246DB" w:rsidRPr="003308D0" w:rsidRDefault="00E246DB" w:rsidP="003D056B">
            <w:pPr>
              <w:rPr>
                <w:szCs w:val="24"/>
              </w:rPr>
            </w:pPr>
            <w:r w:rsidRPr="003308D0">
              <w:rPr>
                <w:szCs w:val="24"/>
              </w:rPr>
              <w:t>Please provide documentation authoring you to file on the manufacturer’s behalf and to publicly release the information provided</w:t>
            </w:r>
            <w:r w:rsidR="00557BE9">
              <w:rPr>
                <w:szCs w:val="24"/>
              </w:rPr>
              <w:t xml:space="preserve"> </w:t>
            </w:r>
            <w:r w:rsidRPr="003308D0">
              <w:rPr>
                <w:szCs w:val="24"/>
              </w:rPr>
              <w:t>in Block 4.  Additionally, this documentation must include the manufacturer’s name and contact information.</w:t>
            </w:r>
          </w:p>
        </w:tc>
        <w:tc>
          <w:tcPr>
            <w:tcW w:w="4613" w:type="dxa"/>
          </w:tcPr>
          <w:p w14:paraId="4C4FBE9A" w14:textId="77777777" w:rsidR="00E246DB" w:rsidRPr="003308D0" w:rsidRDefault="00E246DB" w:rsidP="003D056B">
            <w:pPr>
              <w:pStyle w:val="ListParagraph"/>
              <w:numPr>
                <w:ilvl w:val="0"/>
                <w:numId w:val="19"/>
              </w:numPr>
              <w:ind w:left="436"/>
              <w:contextualSpacing w:val="0"/>
              <w:rPr>
                <w:szCs w:val="24"/>
              </w:rPr>
            </w:pPr>
            <w:r w:rsidRPr="003308D0">
              <w:rPr>
                <w:szCs w:val="24"/>
              </w:rPr>
              <w:t>Moved to Supporting Documents section</w:t>
            </w:r>
          </w:p>
          <w:p w14:paraId="2A4FFEE0" w14:textId="77777777" w:rsidR="00E246DB" w:rsidRPr="003308D0" w:rsidRDefault="00E246DB" w:rsidP="003D056B">
            <w:pPr>
              <w:pStyle w:val="ListParagraph"/>
              <w:numPr>
                <w:ilvl w:val="0"/>
                <w:numId w:val="19"/>
              </w:numPr>
              <w:ind w:left="436"/>
              <w:contextualSpacing w:val="0"/>
              <w:rPr>
                <w:szCs w:val="24"/>
              </w:rPr>
            </w:pPr>
            <w:r w:rsidRPr="003308D0">
              <w:rPr>
                <w:szCs w:val="24"/>
              </w:rPr>
              <w:t xml:space="preserve">Updated to be a conditionally required attachment.  Rule – this document becomes required if filer type is Manufacturer’s Representative.  </w:t>
            </w:r>
          </w:p>
          <w:p w14:paraId="59F1A48D" w14:textId="77777777" w:rsidR="00E246DB" w:rsidRPr="003308D0" w:rsidRDefault="00E246DB" w:rsidP="003D056B">
            <w:pPr>
              <w:pStyle w:val="ListParagraph"/>
              <w:numPr>
                <w:ilvl w:val="0"/>
                <w:numId w:val="19"/>
              </w:numPr>
              <w:ind w:left="436"/>
              <w:contextualSpacing w:val="0"/>
              <w:rPr>
                <w:szCs w:val="24"/>
              </w:rPr>
            </w:pPr>
            <w:r w:rsidRPr="003308D0">
              <w:rPr>
                <w:szCs w:val="24"/>
              </w:rPr>
              <w:t>Previously was a checkbox field the user checked and then required the document to be uploaded.</w:t>
            </w:r>
          </w:p>
        </w:tc>
      </w:tr>
      <w:tr w:rsidR="00E246DB" w:rsidRPr="003308D0" w14:paraId="2D9A87EA" w14:textId="77777777" w:rsidTr="0059764A">
        <w:tc>
          <w:tcPr>
            <w:tcW w:w="457" w:type="dxa"/>
          </w:tcPr>
          <w:p w14:paraId="62FB6489" w14:textId="77777777" w:rsidR="00E246DB" w:rsidRPr="003308D0" w:rsidRDefault="00E246DB" w:rsidP="003D056B">
            <w:pPr>
              <w:rPr>
                <w:szCs w:val="24"/>
              </w:rPr>
            </w:pPr>
            <w:r w:rsidRPr="003308D0">
              <w:rPr>
                <w:szCs w:val="24"/>
              </w:rPr>
              <w:t>2</w:t>
            </w:r>
          </w:p>
        </w:tc>
        <w:tc>
          <w:tcPr>
            <w:tcW w:w="978" w:type="dxa"/>
          </w:tcPr>
          <w:p w14:paraId="614CB768" w14:textId="77777777" w:rsidR="00E246DB" w:rsidRPr="003308D0" w:rsidRDefault="00E246DB" w:rsidP="003D056B">
            <w:pPr>
              <w:jc w:val="center"/>
              <w:rPr>
                <w:szCs w:val="24"/>
              </w:rPr>
            </w:pPr>
            <w:r w:rsidRPr="003308D0">
              <w:rPr>
                <w:szCs w:val="24"/>
              </w:rPr>
              <w:t>1</w:t>
            </w:r>
          </w:p>
        </w:tc>
        <w:tc>
          <w:tcPr>
            <w:tcW w:w="3302" w:type="dxa"/>
          </w:tcPr>
          <w:p w14:paraId="5724F03D" w14:textId="77777777" w:rsidR="00E246DB" w:rsidRPr="003308D0" w:rsidRDefault="00E246DB" w:rsidP="003D056B">
            <w:pPr>
              <w:rPr>
                <w:szCs w:val="24"/>
              </w:rPr>
            </w:pPr>
            <w:r w:rsidRPr="003308D0">
              <w:rPr>
                <w:szCs w:val="24"/>
              </w:rPr>
              <w:t>OEM letter</w:t>
            </w:r>
          </w:p>
        </w:tc>
        <w:tc>
          <w:tcPr>
            <w:tcW w:w="4613" w:type="dxa"/>
          </w:tcPr>
          <w:p w14:paraId="3F213DBC" w14:textId="77777777" w:rsidR="00E246DB" w:rsidRPr="003308D0" w:rsidRDefault="00E246DB" w:rsidP="003D056B">
            <w:pPr>
              <w:pStyle w:val="ListParagraph"/>
              <w:numPr>
                <w:ilvl w:val="0"/>
                <w:numId w:val="20"/>
              </w:numPr>
              <w:ind w:left="436"/>
              <w:contextualSpacing w:val="0"/>
              <w:rPr>
                <w:szCs w:val="24"/>
              </w:rPr>
            </w:pPr>
            <w:r w:rsidRPr="003308D0">
              <w:rPr>
                <w:szCs w:val="24"/>
              </w:rPr>
              <w:t>Added to Supporting Documents section</w:t>
            </w:r>
          </w:p>
          <w:p w14:paraId="794A2C83" w14:textId="08ADE1DF" w:rsidR="00E246DB" w:rsidRPr="003308D0" w:rsidRDefault="00E246DB" w:rsidP="003D056B">
            <w:pPr>
              <w:pStyle w:val="ListParagraph"/>
              <w:numPr>
                <w:ilvl w:val="0"/>
                <w:numId w:val="20"/>
              </w:numPr>
              <w:ind w:left="436"/>
              <w:contextualSpacing w:val="0"/>
              <w:rPr>
                <w:szCs w:val="24"/>
              </w:rPr>
            </w:pPr>
            <w:r w:rsidRPr="003308D0">
              <w:rPr>
                <w:szCs w:val="24"/>
              </w:rPr>
              <w:t>Rule – this document becomes conditionally required if filer type is Exporter or Manufacturer’s Representative</w:t>
            </w:r>
          </w:p>
        </w:tc>
      </w:tr>
      <w:tr w:rsidR="00E246DB" w:rsidRPr="003308D0" w14:paraId="635376DF" w14:textId="77777777" w:rsidTr="0059764A">
        <w:tc>
          <w:tcPr>
            <w:tcW w:w="457" w:type="dxa"/>
          </w:tcPr>
          <w:p w14:paraId="1C5CEC42" w14:textId="77777777" w:rsidR="00E246DB" w:rsidRPr="003308D0" w:rsidRDefault="00E246DB" w:rsidP="003D056B">
            <w:pPr>
              <w:rPr>
                <w:szCs w:val="24"/>
              </w:rPr>
            </w:pPr>
            <w:r w:rsidRPr="003308D0">
              <w:rPr>
                <w:szCs w:val="24"/>
              </w:rPr>
              <w:t>3</w:t>
            </w:r>
          </w:p>
        </w:tc>
        <w:tc>
          <w:tcPr>
            <w:tcW w:w="978" w:type="dxa"/>
          </w:tcPr>
          <w:p w14:paraId="33E0680F" w14:textId="77777777" w:rsidR="00E246DB" w:rsidRPr="003308D0" w:rsidRDefault="00E246DB" w:rsidP="003D056B">
            <w:pPr>
              <w:jc w:val="center"/>
              <w:rPr>
                <w:szCs w:val="24"/>
              </w:rPr>
            </w:pPr>
            <w:r w:rsidRPr="003308D0">
              <w:rPr>
                <w:szCs w:val="24"/>
              </w:rPr>
              <w:t>1</w:t>
            </w:r>
          </w:p>
        </w:tc>
        <w:tc>
          <w:tcPr>
            <w:tcW w:w="3302" w:type="dxa"/>
          </w:tcPr>
          <w:p w14:paraId="4304D73F" w14:textId="77777777" w:rsidR="00E246DB" w:rsidRPr="003308D0" w:rsidRDefault="00E246DB" w:rsidP="003D056B">
            <w:pPr>
              <w:rPr>
                <w:szCs w:val="24"/>
              </w:rPr>
            </w:pPr>
            <w:r w:rsidRPr="003308D0">
              <w:rPr>
                <w:szCs w:val="24"/>
              </w:rPr>
              <w:t>Point of Contact</w:t>
            </w:r>
          </w:p>
        </w:tc>
        <w:tc>
          <w:tcPr>
            <w:tcW w:w="4613" w:type="dxa"/>
          </w:tcPr>
          <w:p w14:paraId="2BC276E3" w14:textId="77777777" w:rsidR="00E246DB" w:rsidRPr="003308D0" w:rsidRDefault="00E246DB" w:rsidP="003D056B">
            <w:pPr>
              <w:pStyle w:val="ListParagraph"/>
              <w:numPr>
                <w:ilvl w:val="0"/>
                <w:numId w:val="21"/>
              </w:numPr>
              <w:ind w:left="436"/>
              <w:contextualSpacing w:val="0"/>
              <w:rPr>
                <w:szCs w:val="24"/>
              </w:rPr>
            </w:pPr>
            <w:r w:rsidRPr="003308D0">
              <w:rPr>
                <w:szCs w:val="24"/>
              </w:rPr>
              <w:t>Split Point of Contact field into First Name and Last Name fields</w:t>
            </w:r>
          </w:p>
          <w:p w14:paraId="5E57A4A0" w14:textId="77777777" w:rsidR="00E246DB" w:rsidRPr="003308D0" w:rsidRDefault="00E246DB" w:rsidP="003D056B">
            <w:pPr>
              <w:pStyle w:val="ListParagraph"/>
              <w:numPr>
                <w:ilvl w:val="0"/>
                <w:numId w:val="21"/>
              </w:numPr>
              <w:ind w:left="436"/>
              <w:contextualSpacing w:val="0"/>
              <w:rPr>
                <w:szCs w:val="24"/>
              </w:rPr>
            </w:pPr>
            <w:r w:rsidRPr="003308D0">
              <w:rPr>
                <w:szCs w:val="24"/>
              </w:rPr>
              <w:t>Removed “POC” text from labels</w:t>
            </w:r>
          </w:p>
        </w:tc>
      </w:tr>
      <w:tr w:rsidR="00E246DB" w:rsidRPr="003308D0" w14:paraId="2B57B667" w14:textId="77777777" w:rsidTr="0059764A">
        <w:tc>
          <w:tcPr>
            <w:tcW w:w="457" w:type="dxa"/>
          </w:tcPr>
          <w:p w14:paraId="140446AB" w14:textId="77777777" w:rsidR="00E246DB" w:rsidRPr="003308D0" w:rsidRDefault="00E246DB" w:rsidP="003D056B">
            <w:pPr>
              <w:rPr>
                <w:szCs w:val="24"/>
              </w:rPr>
            </w:pPr>
            <w:r w:rsidRPr="003308D0">
              <w:rPr>
                <w:szCs w:val="24"/>
              </w:rPr>
              <w:t>4</w:t>
            </w:r>
          </w:p>
        </w:tc>
        <w:tc>
          <w:tcPr>
            <w:tcW w:w="978" w:type="dxa"/>
          </w:tcPr>
          <w:p w14:paraId="0317D90E" w14:textId="77777777" w:rsidR="00E246DB" w:rsidRPr="003308D0" w:rsidRDefault="00E246DB" w:rsidP="003D056B">
            <w:pPr>
              <w:jc w:val="center"/>
              <w:rPr>
                <w:szCs w:val="24"/>
              </w:rPr>
            </w:pPr>
            <w:r w:rsidRPr="003308D0">
              <w:rPr>
                <w:szCs w:val="24"/>
              </w:rPr>
              <w:t>1</w:t>
            </w:r>
          </w:p>
        </w:tc>
        <w:tc>
          <w:tcPr>
            <w:tcW w:w="3302" w:type="dxa"/>
          </w:tcPr>
          <w:p w14:paraId="44EE93C6" w14:textId="77777777" w:rsidR="00E246DB" w:rsidRPr="003308D0" w:rsidRDefault="00E246DB" w:rsidP="003D056B">
            <w:pPr>
              <w:rPr>
                <w:szCs w:val="24"/>
              </w:rPr>
            </w:pPr>
            <w:r w:rsidRPr="003308D0">
              <w:rPr>
                <w:szCs w:val="24"/>
              </w:rPr>
              <w:t>Technical Point of Contact</w:t>
            </w:r>
          </w:p>
        </w:tc>
        <w:tc>
          <w:tcPr>
            <w:tcW w:w="4613" w:type="dxa"/>
          </w:tcPr>
          <w:p w14:paraId="0FA7FAC9" w14:textId="77777777" w:rsidR="00E246DB" w:rsidRPr="003308D0" w:rsidRDefault="00E246DB" w:rsidP="003D056B">
            <w:pPr>
              <w:pStyle w:val="ListParagraph"/>
              <w:numPr>
                <w:ilvl w:val="0"/>
                <w:numId w:val="21"/>
              </w:numPr>
              <w:ind w:left="436"/>
              <w:contextualSpacing w:val="0"/>
              <w:rPr>
                <w:szCs w:val="24"/>
              </w:rPr>
            </w:pPr>
            <w:r w:rsidRPr="003308D0">
              <w:rPr>
                <w:szCs w:val="24"/>
              </w:rPr>
              <w:t>Split Point of Contact field into First Name and Last Name fields</w:t>
            </w:r>
          </w:p>
          <w:p w14:paraId="3A4CB20F" w14:textId="77777777" w:rsidR="00E246DB" w:rsidRPr="003308D0" w:rsidRDefault="00E246DB" w:rsidP="003D056B">
            <w:pPr>
              <w:pStyle w:val="ListParagraph"/>
              <w:numPr>
                <w:ilvl w:val="0"/>
                <w:numId w:val="21"/>
              </w:numPr>
              <w:ind w:left="436"/>
              <w:contextualSpacing w:val="0"/>
              <w:rPr>
                <w:szCs w:val="24"/>
              </w:rPr>
            </w:pPr>
            <w:r w:rsidRPr="003308D0">
              <w:rPr>
                <w:szCs w:val="24"/>
              </w:rPr>
              <w:t>Removed “POC” text from labels</w:t>
            </w:r>
          </w:p>
        </w:tc>
      </w:tr>
      <w:tr w:rsidR="00E246DB" w:rsidRPr="003308D0" w14:paraId="3C9EF104" w14:textId="77777777" w:rsidTr="0059764A">
        <w:tc>
          <w:tcPr>
            <w:tcW w:w="457" w:type="dxa"/>
          </w:tcPr>
          <w:p w14:paraId="5EFD55CC" w14:textId="77777777" w:rsidR="00E246DB" w:rsidRPr="003308D0" w:rsidRDefault="00E246DB" w:rsidP="003D056B">
            <w:pPr>
              <w:rPr>
                <w:szCs w:val="24"/>
              </w:rPr>
            </w:pPr>
            <w:r w:rsidRPr="003308D0">
              <w:rPr>
                <w:szCs w:val="24"/>
              </w:rPr>
              <w:t>5</w:t>
            </w:r>
          </w:p>
        </w:tc>
        <w:tc>
          <w:tcPr>
            <w:tcW w:w="978" w:type="dxa"/>
          </w:tcPr>
          <w:p w14:paraId="37D15EC8" w14:textId="77777777" w:rsidR="00E246DB" w:rsidRPr="003308D0" w:rsidRDefault="00E246DB" w:rsidP="003D056B">
            <w:pPr>
              <w:jc w:val="center"/>
              <w:rPr>
                <w:szCs w:val="24"/>
              </w:rPr>
            </w:pPr>
            <w:r w:rsidRPr="003308D0">
              <w:rPr>
                <w:szCs w:val="24"/>
              </w:rPr>
              <w:t>2</w:t>
            </w:r>
          </w:p>
        </w:tc>
        <w:tc>
          <w:tcPr>
            <w:tcW w:w="3302" w:type="dxa"/>
          </w:tcPr>
          <w:p w14:paraId="762DF92B" w14:textId="77777777" w:rsidR="00E246DB" w:rsidRPr="003308D0" w:rsidRDefault="00E246DB" w:rsidP="003D056B">
            <w:pPr>
              <w:rPr>
                <w:szCs w:val="24"/>
              </w:rPr>
            </w:pPr>
            <w:r w:rsidRPr="003308D0">
              <w:rPr>
                <w:szCs w:val="24"/>
              </w:rPr>
              <w:t xml:space="preserve">Select a reason for resubmission – </w:t>
            </w:r>
          </w:p>
          <w:p w14:paraId="5CBCD0A5" w14:textId="77777777" w:rsidR="00E246DB" w:rsidRPr="003308D0" w:rsidRDefault="00E246DB" w:rsidP="003D056B">
            <w:pPr>
              <w:pStyle w:val="ListParagraph"/>
              <w:numPr>
                <w:ilvl w:val="0"/>
                <w:numId w:val="23"/>
              </w:numPr>
              <w:ind w:left="346"/>
              <w:contextualSpacing w:val="0"/>
              <w:rPr>
                <w:szCs w:val="24"/>
              </w:rPr>
            </w:pPr>
            <w:r w:rsidRPr="003308D0">
              <w:rPr>
                <w:szCs w:val="24"/>
              </w:rPr>
              <w:t>Prior CJ Returned Without Action (RWA)</w:t>
            </w:r>
          </w:p>
        </w:tc>
        <w:tc>
          <w:tcPr>
            <w:tcW w:w="4613" w:type="dxa"/>
          </w:tcPr>
          <w:p w14:paraId="529D24AE" w14:textId="77777777" w:rsidR="00E246DB" w:rsidRPr="003308D0" w:rsidRDefault="00E246DB" w:rsidP="003D056B">
            <w:pPr>
              <w:pStyle w:val="ListParagraph"/>
              <w:numPr>
                <w:ilvl w:val="0"/>
                <w:numId w:val="21"/>
              </w:numPr>
              <w:ind w:left="436"/>
              <w:contextualSpacing w:val="0"/>
              <w:rPr>
                <w:szCs w:val="24"/>
              </w:rPr>
            </w:pPr>
            <w:r w:rsidRPr="003308D0">
              <w:rPr>
                <w:szCs w:val="24"/>
              </w:rPr>
              <w:t>Text change</w:t>
            </w:r>
          </w:p>
          <w:p w14:paraId="7194FFC6" w14:textId="77777777" w:rsidR="00E246DB" w:rsidRPr="003308D0" w:rsidRDefault="00E246DB" w:rsidP="003D056B">
            <w:pPr>
              <w:pStyle w:val="ListParagraph"/>
              <w:numPr>
                <w:ilvl w:val="0"/>
                <w:numId w:val="21"/>
              </w:numPr>
              <w:ind w:left="436"/>
              <w:contextualSpacing w:val="0"/>
              <w:rPr>
                <w:szCs w:val="24"/>
              </w:rPr>
            </w:pPr>
            <w:r w:rsidRPr="003308D0">
              <w:rPr>
                <w:szCs w:val="24"/>
              </w:rPr>
              <w:t>Current = Returned Without Action (RWA)</w:t>
            </w:r>
          </w:p>
          <w:p w14:paraId="7C254397" w14:textId="77777777" w:rsidR="00E246DB" w:rsidRPr="003308D0" w:rsidRDefault="00E246DB" w:rsidP="003D056B">
            <w:pPr>
              <w:pStyle w:val="ListParagraph"/>
              <w:numPr>
                <w:ilvl w:val="0"/>
                <w:numId w:val="21"/>
              </w:numPr>
              <w:ind w:left="436"/>
              <w:contextualSpacing w:val="0"/>
              <w:rPr>
                <w:szCs w:val="24"/>
              </w:rPr>
            </w:pPr>
            <w:r w:rsidRPr="003308D0">
              <w:rPr>
                <w:szCs w:val="24"/>
              </w:rPr>
              <w:t>New = Prior CJ Returned Without Action (RWA)</w:t>
            </w:r>
          </w:p>
        </w:tc>
      </w:tr>
      <w:tr w:rsidR="00E246DB" w:rsidRPr="003308D0" w14:paraId="2B782619" w14:textId="77777777" w:rsidTr="0059764A">
        <w:tc>
          <w:tcPr>
            <w:tcW w:w="457" w:type="dxa"/>
          </w:tcPr>
          <w:p w14:paraId="3890F55A" w14:textId="77777777" w:rsidR="00E246DB" w:rsidRPr="003308D0" w:rsidRDefault="00E246DB" w:rsidP="003D056B">
            <w:pPr>
              <w:rPr>
                <w:szCs w:val="24"/>
              </w:rPr>
            </w:pPr>
            <w:r w:rsidRPr="003308D0">
              <w:rPr>
                <w:szCs w:val="24"/>
              </w:rPr>
              <w:t>6</w:t>
            </w:r>
          </w:p>
        </w:tc>
        <w:tc>
          <w:tcPr>
            <w:tcW w:w="978" w:type="dxa"/>
          </w:tcPr>
          <w:p w14:paraId="2C2161CD" w14:textId="77777777" w:rsidR="00E246DB" w:rsidRPr="003308D0" w:rsidRDefault="00E246DB" w:rsidP="003D056B">
            <w:pPr>
              <w:jc w:val="center"/>
              <w:rPr>
                <w:szCs w:val="24"/>
              </w:rPr>
            </w:pPr>
            <w:r w:rsidRPr="003308D0">
              <w:rPr>
                <w:szCs w:val="24"/>
              </w:rPr>
              <w:t>2</w:t>
            </w:r>
          </w:p>
        </w:tc>
        <w:tc>
          <w:tcPr>
            <w:tcW w:w="3302" w:type="dxa"/>
          </w:tcPr>
          <w:p w14:paraId="17B1C2BA" w14:textId="77777777" w:rsidR="00E246DB" w:rsidRPr="003308D0" w:rsidRDefault="00E246DB" w:rsidP="003D056B">
            <w:pPr>
              <w:rPr>
                <w:szCs w:val="24"/>
              </w:rPr>
            </w:pPr>
            <w:r w:rsidRPr="003308D0">
              <w:rPr>
                <w:szCs w:val="24"/>
              </w:rPr>
              <w:t>U.S. Government Point of Contact</w:t>
            </w:r>
          </w:p>
        </w:tc>
        <w:tc>
          <w:tcPr>
            <w:tcW w:w="4613" w:type="dxa"/>
          </w:tcPr>
          <w:p w14:paraId="19881777" w14:textId="77777777" w:rsidR="00E246DB" w:rsidRPr="003308D0" w:rsidRDefault="00E246DB" w:rsidP="003D056B">
            <w:pPr>
              <w:pStyle w:val="ListParagraph"/>
              <w:numPr>
                <w:ilvl w:val="0"/>
                <w:numId w:val="21"/>
              </w:numPr>
              <w:ind w:left="436"/>
              <w:contextualSpacing w:val="0"/>
              <w:rPr>
                <w:szCs w:val="24"/>
              </w:rPr>
            </w:pPr>
            <w:r w:rsidRPr="003308D0">
              <w:rPr>
                <w:szCs w:val="24"/>
              </w:rPr>
              <w:t>Split Point of Contact field into First Name and Last Name fields</w:t>
            </w:r>
          </w:p>
          <w:p w14:paraId="14F8E50F" w14:textId="77777777" w:rsidR="00E246DB" w:rsidRPr="003308D0" w:rsidRDefault="00E246DB" w:rsidP="003D056B">
            <w:pPr>
              <w:pStyle w:val="ListParagraph"/>
              <w:numPr>
                <w:ilvl w:val="0"/>
                <w:numId w:val="21"/>
              </w:numPr>
              <w:ind w:left="436"/>
              <w:contextualSpacing w:val="0"/>
              <w:rPr>
                <w:szCs w:val="24"/>
              </w:rPr>
            </w:pPr>
            <w:r w:rsidRPr="003308D0">
              <w:rPr>
                <w:szCs w:val="24"/>
              </w:rPr>
              <w:t>Removed “POC” text from labels</w:t>
            </w:r>
          </w:p>
        </w:tc>
      </w:tr>
      <w:tr w:rsidR="00E246DB" w:rsidRPr="003308D0" w14:paraId="15D45CB1" w14:textId="77777777" w:rsidTr="0059764A">
        <w:tc>
          <w:tcPr>
            <w:tcW w:w="457" w:type="dxa"/>
          </w:tcPr>
          <w:p w14:paraId="3B5A6905" w14:textId="77777777" w:rsidR="00E246DB" w:rsidRPr="003308D0" w:rsidRDefault="00E246DB" w:rsidP="003D056B">
            <w:pPr>
              <w:rPr>
                <w:szCs w:val="24"/>
              </w:rPr>
            </w:pPr>
            <w:r w:rsidRPr="003308D0">
              <w:rPr>
                <w:szCs w:val="24"/>
              </w:rPr>
              <w:t>7</w:t>
            </w:r>
          </w:p>
        </w:tc>
        <w:tc>
          <w:tcPr>
            <w:tcW w:w="978" w:type="dxa"/>
          </w:tcPr>
          <w:p w14:paraId="167BB9CA" w14:textId="77777777" w:rsidR="00E246DB" w:rsidRPr="003308D0" w:rsidRDefault="00E246DB" w:rsidP="003D056B">
            <w:pPr>
              <w:jc w:val="center"/>
              <w:rPr>
                <w:szCs w:val="24"/>
              </w:rPr>
            </w:pPr>
            <w:r w:rsidRPr="003308D0">
              <w:rPr>
                <w:szCs w:val="24"/>
              </w:rPr>
              <w:t>3</w:t>
            </w:r>
          </w:p>
        </w:tc>
        <w:tc>
          <w:tcPr>
            <w:tcW w:w="3302" w:type="dxa"/>
          </w:tcPr>
          <w:p w14:paraId="23932D1D" w14:textId="77777777" w:rsidR="00E246DB" w:rsidRPr="003308D0" w:rsidRDefault="00E246DB" w:rsidP="003D056B">
            <w:pPr>
              <w:rPr>
                <w:szCs w:val="24"/>
              </w:rPr>
            </w:pPr>
            <w:r w:rsidRPr="003308D0">
              <w:rPr>
                <w:szCs w:val="24"/>
              </w:rPr>
              <w:t>Commodity/Service Type</w:t>
            </w:r>
          </w:p>
          <w:p w14:paraId="603663E3" w14:textId="77777777" w:rsidR="00E246DB" w:rsidRPr="003308D0" w:rsidRDefault="00E246DB" w:rsidP="003D056B">
            <w:pPr>
              <w:pStyle w:val="ListParagraph"/>
              <w:numPr>
                <w:ilvl w:val="0"/>
                <w:numId w:val="22"/>
              </w:numPr>
              <w:ind w:left="346"/>
              <w:contextualSpacing w:val="0"/>
              <w:rPr>
                <w:szCs w:val="24"/>
              </w:rPr>
            </w:pPr>
            <w:r w:rsidRPr="003308D0">
              <w:rPr>
                <w:szCs w:val="24"/>
              </w:rPr>
              <w:t>Material</w:t>
            </w:r>
          </w:p>
          <w:p w14:paraId="21A2D7B4" w14:textId="77777777" w:rsidR="00E246DB" w:rsidRPr="003308D0" w:rsidRDefault="00E246DB" w:rsidP="003D056B">
            <w:pPr>
              <w:pStyle w:val="ListParagraph"/>
              <w:numPr>
                <w:ilvl w:val="0"/>
                <w:numId w:val="22"/>
              </w:numPr>
              <w:ind w:left="346"/>
              <w:contextualSpacing w:val="0"/>
              <w:rPr>
                <w:szCs w:val="24"/>
              </w:rPr>
            </w:pPr>
            <w:r w:rsidRPr="003308D0">
              <w:rPr>
                <w:szCs w:val="24"/>
              </w:rPr>
              <w:t>Other, if other Explain</w:t>
            </w:r>
          </w:p>
        </w:tc>
        <w:tc>
          <w:tcPr>
            <w:tcW w:w="4613" w:type="dxa"/>
          </w:tcPr>
          <w:p w14:paraId="7F39DEDE" w14:textId="77777777" w:rsidR="00E246DB" w:rsidRPr="003308D0" w:rsidRDefault="00E246DB" w:rsidP="003D056B">
            <w:pPr>
              <w:pStyle w:val="ListParagraph"/>
              <w:numPr>
                <w:ilvl w:val="0"/>
                <w:numId w:val="21"/>
              </w:numPr>
              <w:ind w:left="436"/>
              <w:contextualSpacing w:val="0"/>
              <w:rPr>
                <w:szCs w:val="24"/>
              </w:rPr>
            </w:pPr>
            <w:r w:rsidRPr="003308D0">
              <w:rPr>
                <w:szCs w:val="24"/>
              </w:rPr>
              <w:t>Add types Material and Other</w:t>
            </w:r>
          </w:p>
          <w:p w14:paraId="6A27D99D" w14:textId="77777777" w:rsidR="00E246DB" w:rsidRPr="003308D0" w:rsidRDefault="00E246DB" w:rsidP="003D056B">
            <w:pPr>
              <w:pStyle w:val="ListParagraph"/>
              <w:numPr>
                <w:ilvl w:val="0"/>
                <w:numId w:val="21"/>
              </w:numPr>
              <w:ind w:left="436"/>
              <w:contextualSpacing w:val="0"/>
              <w:rPr>
                <w:szCs w:val="24"/>
              </w:rPr>
            </w:pPr>
            <w:r w:rsidRPr="003308D0">
              <w:rPr>
                <w:szCs w:val="24"/>
              </w:rPr>
              <w:t>Add business rule, if other is selected show Explain text field</w:t>
            </w:r>
          </w:p>
        </w:tc>
      </w:tr>
      <w:tr w:rsidR="00E246DB" w:rsidRPr="003308D0" w14:paraId="42AF1B21" w14:textId="77777777" w:rsidTr="0059764A">
        <w:tc>
          <w:tcPr>
            <w:tcW w:w="457" w:type="dxa"/>
          </w:tcPr>
          <w:p w14:paraId="0EF4A10F" w14:textId="77777777" w:rsidR="00E246DB" w:rsidRPr="003308D0" w:rsidRDefault="00E246DB" w:rsidP="003D056B">
            <w:pPr>
              <w:rPr>
                <w:szCs w:val="24"/>
              </w:rPr>
            </w:pPr>
            <w:r w:rsidRPr="003308D0">
              <w:rPr>
                <w:szCs w:val="24"/>
              </w:rPr>
              <w:t>8</w:t>
            </w:r>
          </w:p>
        </w:tc>
        <w:tc>
          <w:tcPr>
            <w:tcW w:w="978" w:type="dxa"/>
          </w:tcPr>
          <w:p w14:paraId="59D37D1C" w14:textId="77777777" w:rsidR="00E246DB" w:rsidRPr="003308D0" w:rsidRDefault="00E246DB" w:rsidP="003D056B">
            <w:pPr>
              <w:jc w:val="center"/>
              <w:rPr>
                <w:szCs w:val="24"/>
              </w:rPr>
            </w:pPr>
            <w:r w:rsidRPr="003308D0">
              <w:rPr>
                <w:szCs w:val="24"/>
              </w:rPr>
              <w:t>3</w:t>
            </w:r>
          </w:p>
        </w:tc>
        <w:tc>
          <w:tcPr>
            <w:tcW w:w="3302" w:type="dxa"/>
          </w:tcPr>
          <w:p w14:paraId="21739203" w14:textId="77777777" w:rsidR="00E246DB" w:rsidRPr="003308D0" w:rsidRDefault="00E246DB" w:rsidP="003D056B">
            <w:pPr>
              <w:rPr>
                <w:szCs w:val="24"/>
              </w:rPr>
            </w:pPr>
            <w:r w:rsidRPr="003308D0">
              <w:rPr>
                <w:szCs w:val="24"/>
              </w:rPr>
              <w:t>For software provide the following</w:t>
            </w:r>
          </w:p>
        </w:tc>
        <w:tc>
          <w:tcPr>
            <w:tcW w:w="4613" w:type="dxa"/>
          </w:tcPr>
          <w:p w14:paraId="69B533B6" w14:textId="77777777" w:rsidR="00E246DB" w:rsidRPr="003308D0" w:rsidRDefault="00E246DB" w:rsidP="003D056B">
            <w:pPr>
              <w:pStyle w:val="ListParagraph"/>
              <w:numPr>
                <w:ilvl w:val="0"/>
                <w:numId w:val="21"/>
              </w:numPr>
              <w:ind w:left="436"/>
              <w:contextualSpacing w:val="0"/>
              <w:rPr>
                <w:szCs w:val="24"/>
              </w:rPr>
            </w:pPr>
            <w:r w:rsidRPr="003308D0">
              <w:rPr>
                <w:szCs w:val="24"/>
              </w:rPr>
              <w:t>Move all fields to block 5, commodity/service detailed description</w:t>
            </w:r>
          </w:p>
          <w:p w14:paraId="678DB6EA" w14:textId="77777777" w:rsidR="00E246DB" w:rsidRPr="003308D0" w:rsidRDefault="00E246DB" w:rsidP="003D056B">
            <w:pPr>
              <w:pStyle w:val="ListParagraph"/>
              <w:numPr>
                <w:ilvl w:val="0"/>
                <w:numId w:val="21"/>
              </w:numPr>
              <w:ind w:left="436"/>
              <w:contextualSpacing w:val="0"/>
              <w:rPr>
                <w:szCs w:val="24"/>
              </w:rPr>
            </w:pPr>
            <w:r w:rsidRPr="003308D0">
              <w:rPr>
                <w:szCs w:val="24"/>
              </w:rPr>
              <w:t>Rule - Updated to display if commodity/service type is software or firmware</w:t>
            </w:r>
          </w:p>
        </w:tc>
      </w:tr>
      <w:tr w:rsidR="00E246DB" w:rsidRPr="003308D0" w14:paraId="3AA23AFF" w14:textId="77777777" w:rsidTr="0059764A">
        <w:tc>
          <w:tcPr>
            <w:tcW w:w="457" w:type="dxa"/>
          </w:tcPr>
          <w:p w14:paraId="52B09EF3" w14:textId="77777777" w:rsidR="00E246DB" w:rsidRPr="003308D0" w:rsidRDefault="00E246DB" w:rsidP="003D056B">
            <w:pPr>
              <w:rPr>
                <w:szCs w:val="24"/>
              </w:rPr>
            </w:pPr>
            <w:r w:rsidRPr="003308D0">
              <w:rPr>
                <w:szCs w:val="24"/>
              </w:rPr>
              <w:t>9</w:t>
            </w:r>
          </w:p>
        </w:tc>
        <w:tc>
          <w:tcPr>
            <w:tcW w:w="978" w:type="dxa"/>
          </w:tcPr>
          <w:p w14:paraId="5CCEA193" w14:textId="77777777" w:rsidR="00E246DB" w:rsidRPr="003308D0" w:rsidRDefault="00E246DB" w:rsidP="003D056B">
            <w:pPr>
              <w:jc w:val="center"/>
              <w:rPr>
                <w:szCs w:val="24"/>
              </w:rPr>
            </w:pPr>
            <w:r w:rsidRPr="003308D0">
              <w:rPr>
                <w:szCs w:val="24"/>
              </w:rPr>
              <w:t>3</w:t>
            </w:r>
          </w:p>
        </w:tc>
        <w:tc>
          <w:tcPr>
            <w:tcW w:w="3302" w:type="dxa"/>
          </w:tcPr>
          <w:p w14:paraId="7E19614F" w14:textId="77777777" w:rsidR="00E246DB" w:rsidRPr="003308D0" w:rsidRDefault="00E246DB" w:rsidP="003D056B">
            <w:pPr>
              <w:rPr>
                <w:szCs w:val="24"/>
              </w:rPr>
            </w:pPr>
            <w:r w:rsidRPr="003308D0">
              <w:rPr>
                <w:szCs w:val="24"/>
              </w:rPr>
              <w:t>Provide a top-level flowchart of the software architecture</w:t>
            </w:r>
          </w:p>
        </w:tc>
        <w:tc>
          <w:tcPr>
            <w:tcW w:w="4613" w:type="dxa"/>
          </w:tcPr>
          <w:p w14:paraId="2EB71CE5" w14:textId="77777777" w:rsidR="00E246DB" w:rsidRPr="003308D0" w:rsidRDefault="00E246DB" w:rsidP="003D056B">
            <w:pPr>
              <w:pStyle w:val="ListParagraph"/>
              <w:numPr>
                <w:ilvl w:val="0"/>
                <w:numId w:val="21"/>
              </w:numPr>
              <w:ind w:left="436"/>
              <w:contextualSpacing w:val="0"/>
              <w:rPr>
                <w:szCs w:val="24"/>
              </w:rPr>
            </w:pPr>
            <w:r w:rsidRPr="003308D0">
              <w:rPr>
                <w:szCs w:val="24"/>
              </w:rPr>
              <w:t>Move to Supporting Documents section</w:t>
            </w:r>
          </w:p>
          <w:p w14:paraId="41DC4725" w14:textId="77777777" w:rsidR="00E246DB" w:rsidRPr="003308D0" w:rsidRDefault="00E246DB" w:rsidP="003D056B">
            <w:pPr>
              <w:pStyle w:val="ListParagraph"/>
              <w:numPr>
                <w:ilvl w:val="0"/>
                <w:numId w:val="21"/>
              </w:numPr>
              <w:ind w:left="436"/>
              <w:contextualSpacing w:val="0"/>
              <w:rPr>
                <w:szCs w:val="24"/>
              </w:rPr>
            </w:pPr>
            <w:r w:rsidRPr="003308D0">
              <w:rPr>
                <w:szCs w:val="24"/>
              </w:rPr>
              <w:t>Rule – this document becomes conditionally required if commodity/service type is software</w:t>
            </w:r>
          </w:p>
        </w:tc>
      </w:tr>
      <w:tr w:rsidR="00E246DB" w:rsidRPr="003308D0" w14:paraId="4B06E748" w14:textId="77777777" w:rsidTr="0059764A">
        <w:tc>
          <w:tcPr>
            <w:tcW w:w="457" w:type="dxa"/>
          </w:tcPr>
          <w:p w14:paraId="7CBE1955" w14:textId="77777777" w:rsidR="00E246DB" w:rsidRPr="003308D0" w:rsidRDefault="00E246DB" w:rsidP="003D056B">
            <w:pPr>
              <w:rPr>
                <w:szCs w:val="24"/>
              </w:rPr>
            </w:pPr>
            <w:r w:rsidRPr="003308D0">
              <w:rPr>
                <w:szCs w:val="24"/>
              </w:rPr>
              <w:t>10</w:t>
            </w:r>
          </w:p>
        </w:tc>
        <w:tc>
          <w:tcPr>
            <w:tcW w:w="978" w:type="dxa"/>
          </w:tcPr>
          <w:p w14:paraId="23DEC3C6" w14:textId="77777777" w:rsidR="00E246DB" w:rsidRPr="003308D0" w:rsidRDefault="00E246DB" w:rsidP="003D056B">
            <w:pPr>
              <w:jc w:val="center"/>
              <w:rPr>
                <w:szCs w:val="24"/>
              </w:rPr>
            </w:pPr>
            <w:r w:rsidRPr="003308D0">
              <w:rPr>
                <w:szCs w:val="24"/>
              </w:rPr>
              <w:t>4</w:t>
            </w:r>
          </w:p>
        </w:tc>
        <w:tc>
          <w:tcPr>
            <w:tcW w:w="3302" w:type="dxa"/>
          </w:tcPr>
          <w:p w14:paraId="34093A01" w14:textId="77777777" w:rsidR="00E246DB" w:rsidRPr="003308D0" w:rsidRDefault="00E246DB" w:rsidP="003D056B">
            <w:pPr>
              <w:rPr>
                <w:szCs w:val="24"/>
              </w:rPr>
            </w:pPr>
            <w:r w:rsidRPr="003308D0">
              <w:rPr>
                <w:szCs w:val="24"/>
              </w:rPr>
              <w:t>Section a. Commodity/service information related in block 13</w:t>
            </w:r>
          </w:p>
        </w:tc>
        <w:tc>
          <w:tcPr>
            <w:tcW w:w="4613" w:type="dxa"/>
          </w:tcPr>
          <w:p w14:paraId="6102FF3E" w14:textId="77777777" w:rsidR="00E246DB" w:rsidRPr="003308D0" w:rsidRDefault="00E246DB" w:rsidP="003D056B">
            <w:pPr>
              <w:pStyle w:val="ListParagraph"/>
              <w:numPr>
                <w:ilvl w:val="0"/>
                <w:numId w:val="21"/>
              </w:numPr>
              <w:ind w:left="436"/>
              <w:contextualSpacing w:val="0"/>
              <w:rPr>
                <w:szCs w:val="24"/>
              </w:rPr>
            </w:pPr>
            <w:r w:rsidRPr="003308D0">
              <w:rPr>
                <w:szCs w:val="24"/>
              </w:rPr>
              <w:t>Add sub title Section a. Commodity/service information related in block 13</w:t>
            </w:r>
          </w:p>
        </w:tc>
      </w:tr>
      <w:tr w:rsidR="00E246DB" w:rsidRPr="003308D0" w14:paraId="656C283E" w14:textId="77777777" w:rsidTr="0059764A">
        <w:tc>
          <w:tcPr>
            <w:tcW w:w="457" w:type="dxa"/>
          </w:tcPr>
          <w:p w14:paraId="62E3955D" w14:textId="77777777" w:rsidR="00E246DB" w:rsidRPr="003308D0" w:rsidRDefault="00E246DB" w:rsidP="003D056B">
            <w:pPr>
              <w:rPr>
                <w:szCs w:val="24"/>
              </w:rPr>
            </w:pPr>
            <w:r w:rsidRPr="003308D0">
              <w:rPr>
                <w:szCs w:val="24"/>
              </w:rPr>
              <w:t>11</w:t>
            </w:r>
          </w:p>
        </w:tc>
        <w:tc>
          <w:tcPr>
            <w:tcW w:w="978" w:type="dxa"/>
          </w:tcPr>
          <w:p w14:paraId="4FE5F351" w14:textId="77777777" w:rsidR="00E246DB" w:rsidRPr="003308D0" w:rsidRDefault="00E246DB" w:rsidP="003D056B">
            <w:pPr>
              <w:jc w:val="center"/>
              <w:rPr>
                <w:szCs w:val="24"/>
              </w:rPr>
            </w:pPr>
            <w:r w:rsidRPr="003308D0">
              <w:rPr>
                <w:szCs w:val="24"/>
              </w:rPr>
              <w:t>4</w:t>
            </w:r>
          </w:p>
        </w:tc>
        <w:tc>
          <w:tcPr>
            <w:tcW w:w="3302" w:type="dxa"/>
          </w:tcPr>
          <w:p w14:paraId="43B43ECC" w14:textId="77777777" w:rsidR="00E246DB" w:rsidRPr="003308D0" w:rsidRDefault="00E246DB" w:rsidP="003D056B">
            <w:pPr>
              <w:rPr>
                <w:szCs w:val="24"/>
              </w:rPr>
            </w:pPr>
            <w:r w:rsidRPr="003308D0">
              <w:rPr>
                <w:szCs w:val="24"/>
              </w:rPr>
              <w:t>Section b. Additional commodity/service information not released in block 13</w:t>
            </w:r>
          </w:p>
        </w:tc>
        <w:tc>
          <w:tcPr>
            <w:tcW w:w="4613" w:type="dxa"/>
          </w:tcPr>
          <w:p w14:paraId="74D9DFD0" w14:textId="77777777" w:rsidR="00E246DB" w:rsidRPr="003308D0" w:rsidRDefault="00E246DB" w:rsidP="003D056B">
            <w:pPr>
              <w:pStyle w:val="ListParagraph"/>
              <w:numPr>
                <w:ilvl w:val="0"/>
                <w:numId w:val="21"/>
              </w:numPr>
              <w:ind w:left="436"/>
              <w:contextualSpacing w:val="0"/>
              <w:rPr>
                <w:szCs w:val="24"/>
              </w:rPr>
            </w:pPr>
            <w:r w:rsidRPr="003308D0">
              <w:rPr>
                <w:szCs w:val="24"/>
              </w:rPr>
              <w:t>Add sub title Section b. Additional commodity/service information not released in block 13</w:t>
            </w:r>
          </w:p>
        </w:tc>
      </w:tr>
      <w:tr w:rsidR="00E246DB" w:rsidRPr="003308D0" w14:paraId="290BAFC9" w14:textId="77777777" w:rsidTr="0059764A">
        <w:tc>
          <w:tcPr>
            <w:tcW w:w="457" w:type="dxa"/>
          </w:tcPr>
          <w:p w14:paraId="0150D221" w14:textId="77777777" w:rsidR="00E246DB" w:rsidRPr="003308D0" w:rsidRDefault="00E246DB" w:rsidP="003D056B">
            <w:pPr>
              <w:rPr>
                <w:szCs w:val="24"/>
              </w:rPr>
            </w:pPr>
            <w:r w:rsidRPr="003308D0">
              <w:rPr>
                <w:szCs w:val="24"/>
              </w:rPr>
              <w:t>12</w:t>
            </w:r>
          </w:p>
        </w:tc>
        <w:tc>
          <w:tcPr>
            <w:tcW w:w="978" w:type="dxa"/>
          </w:tcPr>
          <w:p w14:paraId="1499FC48" w14:textId="77777777" w:rsidR="00E246DB" w:rsidRPr="003308D0" w:rsidRDefault="00E246DB" w:rsidP="003D056B">
            <w:pPr>
              <w:jc w:val="center"/>
              <w:rPr>
                <w:szCs w:val="24"/>
              </w:rPr>
            </w:pPr>
            <w:r w:rsidRPr="003308D0">
              <w:rPr>
                <w:szCs w:val="24"/>
              </w:rPr>
              <w:t>5</w:t>
            </w:r>
          </w:p>
        </w:tc>
        <w:tc>
          <w:tcPr>
            <w:tcW w:w="3302" w:type="dxa"/>
          </w:tcPr>
          <w:p w14:paraId="727003C9" w14:textId="77777777" w:rsidR="00E246DB" w:rsidRPr="003308D0" w:rsidRDefault="00E246DB" w:rsidP="003D056B">
            <w:pPr>
              <w:rPr>
                <w:szCs w:val="24"/>
              </w:rPr>
            </w:pPr>
            <w:r w:rsidRPr="003308D0">
              <w:rPr>
                <w:szCs w:val="24"/>
              </w:rPr>
              <w:t>Describe supporting documentation attached</w:t>
            </w:r>
          </w:p>
        </w:tc>
        <w:tc>
          <w:tcPr>
            <w:tcW w:w="4613" w:type="dxa"/>
          </w:tcPr>
          <w:p w14:paraId="4E4E331D" w14:textId="77777777" w:rsidR="00E246DB" w:rsidRPr="003308D0" w:rsidRDefault="00E246DB" w:rsidP="003D056B">
            <w:pPr>
              <w:pStyle w:val="ListParagraph"/>
              <w:numPr>
                <w:ilvl w:val="0"/>
                <w:numId w:val="21"/>
              </w:numPr>
              <w:ind w:left="436"/>
              <w:contextualSpacing w:val="0"/>
              <w:rPr>
                <w:szCs w:val="24"/>
              </w:rPr>
            </w:pPr>
            <w:r w:rsidRPr="003308D0">
              <w:rPr>
                <w:szCs w:val="24"/>
              </w:rPr>
              <w:t>Moved to block 15</w:t>
            </w:r>
          </w:p>
        </w:tc>
      </w:tr>
      <w:tr w:rsidR="00E246DB" w:rsidRPr="003308D0" w14:paraId="7918EEB8" w14:textId="77777777" w:rsidTr="0059764A">
        <w:tc>
          <w:tcPr>
            <w:tcW w:w="457" w:type="dxa"/>
          </w:tcPr>
          <w:p w14:paraId="40637A1A" w14:textId="77777777" w:rsidR="00E246DB" w:rsidRPr="003308D0" w:rsidRDefault="00E246DB" w:rsidP="003D056B">
            <w:pPr>
              <w:rPr>
                <w:szCs w:val="24"/>
              </w:rPr>
            </w:pPr>
            <w:r w:rsidRPr="003308D0">
              <w:rPr>
                <w:szCs w:val="24"/>
              </w:rPr>
              <w:t>13</w:t>
            </w:r>
          </w:p>
        </w:tc>
        <w:tc>
          <w:tcPr>
            <w:tcW w:w="978" w:type="dxa"/>
          </w:tcPr>
          <w:p w14:paraId="4350073E" w14:textId="77777777" w:rsidR="00E246DB" w:rsidRPr="003308D0" w:rsidRDefault="00E246DB" w:rsidP="003D056B">
            <w:pPr>
              <w:jc w:val="center"/>
              <w:rPr>
                <w:szCs w:val="24"/>
              </w:rPr>
            </w:pPr>
            <w:r w:rsidRPr="003308D0">
              <w:rPr>
                <w:szCs w:val="24"/>
              </w:rPr>
              <w:t>6</w:t>
            </w:r>
          </w:p>
        </w:tc>
        <w:tc>
          <w:tcPr>
            <w:tcW w:w="3302" w:type="dxa"/>
          </w:tcPr>
          <w:p w14:paraId="7032C085" w14:textId="77777777" w:rsidR="00E246DB" w:rsidRPr="003308D0" w:rsidRDefault="00E246DB" w:rsidP="003D056B">
            <w:pPr>
              <w:rPr>
                <w:szCs w:val="24"/>
              </w:rPr>
            </w:pPr>
            <w:r w:rsidRPr="003308D0">
              <w:rPr>
                <w:szCs w:val="24"/>
              </w:rPr>
              <w:t>Specially Designed [checkbox]</w:t>
            </w:r>
          </w:p>
          <w:p w14:paraId="661096D7" w14:textId="77777777" w:rsidR="00E246DB" w:rsidRPr="003308D0" w:rsidRDefault="00E246DB" w:rsidP="003D056B">
            <w:pPr>
              <w:rPr>
                <w:szCs w:val="24"/>
              </w:rPr>
            </w:pPr>
            <w:r w:rsidRPr="003308D0">
              <w:rPr>
                <w:szCs w:val="24"/>
              </w:rPr>
              <w:t>Explain [text field]</w:t>
            </w:r>
          </w:p>
        </w:tc>
        <w:tc>
          <w:tcPr>
            <w:tcW w:w="4613" w:type="dxa"/>
          </w:tcPr>
          <w:p w14:paraId="25779EEF" w14:textId="77777777" w:rsidR="00E246DB" w:rsidRPr="003308D0" w:rsidRDefault="00E246DB" w:rsidP="003D056B">
            <w:pPr>
              <w:pStyle w:val="ListParagraph"/>
              <w:numPr>
                <w:ilvl w:val="0"/>
                <w:numId w:val="21"/>
              </w:numPr>
              <w:ind w:left="436"/>
              <w:contextualSpacing w:val="0"/>
              <w:rPr>
                <w:szCs w:val="24"/>
              </w:rPr>
            </w:pPr>
            <w:r w:rsidRPr="003308D0">
              <w:rPr>
                <w:szCs w:val="24"/>
              </w:rPr>
              <w:t>Remove</w:t>
            </w:r>
          </w:p>
        </w:tc>
      </w:tr>
      <w:tr w:rsidR="00E246DB" w:rsidRPr="003308D0" w14:paraId="45B125F9" w14:textId="77777777" w:rsidTr="0059764A">
        <w:tc>
          <w:tcPr>
            <w:tcW w:w="457" w:type="dxa"/>
          </w:tcPr>
          <w:p w14:paraId="4C8AF604" w14:textId="77777777" w:rsidR="00E246DB" w:rsidRPr="003308D0" w:rsidRDefault="00E246DB" w:rsidP="003D056B">
            <w:pPr>
              <w:rPr>
                <w:szCs w:val="24"/>
              </w:rPr>
            </w:pPr>
            <w:r w:rsidRPr="003308D0">
              <w:rPr>
                <w:szCs w:val="24"/>
              </w:rPr>
              <w:t>14</w:t>
            </w:r>
          </w:p>
        </w:tc>
        <w:tc>
          <w:tcPr>
            <w:tcW w:w="978" w:type="dxa"/>
          </w:tcPr>
          <w:p w14:paraId="0A0CC3F5" w14:textId="77777777" w:rsidR="00E246DB" w:rsidRPr="003308D0" w:rsidRDefault="00E246DB" w:rsidP="003D056B">
            <w:pPr>
              <w:jc w:val="center"/>
              <w:rPr>
                <w:szCs w:val="24"/>
              </w:rPr>
            </w:pPr>
            <w:r w:rsidRPr="003308D0">
              <w:rPr>
                <w:szCs w:val="24"/>
              </w:rPr>
              <w:t>7</w:t>
            </w:r>
          </w:p>
        </w:tc>
        <w:tc>
          <w:tcPr>
            <w:tcW w:w="3302" w:type="dxa"/>
          </w:tcPr>
          <w:p w14:paraId="26C652F1" w14:textId="77777777" w:rsidR="00E246DB" w:rsidRPr="003308D0" w:rsidRDefault="00E246DB" w:rsidP="003D056B">
            <w:pPr>
              <w:rPr>
                <w:szCs w:val="24"/>
              </w:rPr>
            </w:pPr>
            <w:r w:rsidRPr="003308D0">
              <w:rPr>
                <w:szCs w:val="24"/>
              </w:rPr>
              <w:t>Do these commodities have the same or “equivalent” form and fit?</w:t>
            </w:r>
          </w:p>
        </w:tc>
        <w:tc>
          <w:tcPr>
            <w:tcW w:w="4613" w:type="dxa"/>
          </w:tcPr>
          <w:p w14:paraId="21689F3A" w14:textId="77777777" w:rsidR="00E246DB" w:rsidRPr="003308D0" w:rsidRDefault="00E246DB" w:rsidP="003D056B">
            <w:pPr>
              <w:pStyle w:val="ListParagraph"/>
              <w:numPr>
                <w:ilvl w:val="0"/>
                <w:numId w:val="21"/>
              </w:numPr>
              <w:ind w:left="436"/>
              <w:contextualSpacing w:val="0"/>
              <w:rPr>
                <w:szCs w:val="24"/>
              </w:rPr>
            </w:pPr>
            <w:r w:rsidRPr="003308D0">
              <w:rPr>
                <w:szCs w:val="24"/>
              </w:rPr>
              <w:t>Remove</w:t>
            </w:r>
          </w:p>
        </w:tc>
      </w:tr>
      <w:tr w:rsidR="00E246DB" w:rsidRPr="003308D0" w14:paraId="782CE4BA" w14:textId="77777777" w:rsidTr="0059764A">
        <w:tc>
          <w:tcPr>
            <w:tcW w:w="457" w:type="dxa"/>
          </w:tcPr>
          <w:p w14:paraId="380A9A3F" w14:textId="77777777" w:rsidR="00E246DB" w:rsidRPr="003308D0" w:rsidRDefault="00E246DB" w:rsidP="003D056B">
            <w:pPr>
              <w:rPr>
                <w:szCs w:val="24"/>
              </w:rPr>
            </w:pPr>
            <w:r w:rsidRPr="003308D0">
              <w:rPr>
                <w:szCs w:val="24"/>
              </w:rPr>
              <w:t>15</w:t>
            </w:r>
          </w:p>
        </w:tc>
        <w:tc>
          <w:tcPr>
            <w:tcW w:w="978" w:type="dxa"/>
          </w:tcPr>
          <w:p w14:paraId="09CC4618" w14:textId="77777777" w:rsidR="00E246DB" w:rsidRPr="003308D0" w:rsidRDefault="00E246DB" w:rsidP="003D056B">
            <w:pPr>
              <w:jc w:val="center"/>
              <w:rPr>
                <w:szCs w:val="24"/>
              </w:rPr>
            </w:pPr>
            <w:r w:rsidRPr="003308D0">
              <w:rPr>
                <w:szCs w:val="24"/>
              </w:rPr>
              <w:t>7</w:t>
            </w:r>
          </w:p>
        </w:tc>
        <w:tc>
          <w:tcPr>
            <w:tcW w:w="3302" w:type="dxa"/>
          </w:tcPr>
          <w:p w14:paraId="7CA9CD13" w14:textId="77777777" w:rsidR="00E246DB" w:rsidRPr="003308D0" w:rsidRDefault="00E246DB" w:rsidP="003D056B">
            <w:pPr>
              <w:rPr>
                <w:szCs w:val="24"/>
              </w:rPr>
            </w:pPr>
            <w:r w:rsidRPr="003308D0">
              <w:rPr>
                <w:szCs w:val="24"/>
              </w:rPr>
              <w:t>Provide information on the “like” commodity</w:t>
            </w:r>
          </w:p>
        </w:tc>
        <w:tc>
          <w:tcPr>
            <w:tcW w:w="4613" w:type="dxa"/>
          </w:tcPr>
          <w:p w14:paraId="192D4140" w14:textId="77777777" w:rsidR="00E246DB" w:rsidRPr="003308D0" w:rsidRDefault="00E246DB" w:rsidP="003D056B">
            <w:pPr>
              <w:pStyle w:val="ListParagraph"/>
              <w:numPr>
                <w:ilvl w:val="0"/>
                <w:numId w:val="21"/>
              </w:numPr>
              <w:ind w:left="436"/>
              <w:contextualSpacing w:val="0"/>
              <w:rPr>
                <w:szCs w:val="24"/>
              </w:rPr>
            </w:pPr>
            <w:r w:rsidRPr="003308D0">
              <w:rPr>
                <w:szCs w:val="24"/>
              </w:rPr>
              <w:t>Remove</w:t>
            </w:r>
          </w:p>
        </w:tc>
      </w:tr>
      <w:tr w:rsidR="00E246DB" w:rsidRPr="003308D0" w14:paraId="557481EA" w14:textId="77777777" w:rsidTr="0059764A">
        <w:tc>
          <w:tcPr>
            <w:tcW w:w="457" w:type="dxa"/>
          </w:tcPr>
          <w:p w14:paraId="6D4FA16A" w14:textId="77777777" w:rsidR="00E246DB" w:rsidRPr="003308D0" w:rsidRDefault="00E246DB" w:rsidP="003D056B">
            <w:pPr>
              <w:rPr>
                <w:szCs w:val="24"/>
              </w:rPr>
            </w:pPr>
            <w:r w:rsidRPr="003308D0">
              <w:rPr>
                <w:szCs w:val="24"/>
              </w:rPr>
              <w:t>16</w:t>
            </w:r>
          </w:p>
        </w:tc>
        <w:tc>
          <w:tcPr>
            <w:tcW w:w="978" w:type="dxa"/>
          </w:tcPr>
          <w:p w14:paraId="22F04470" w14:textId="77777777" w:rsidR="00E246DB" w:rsidRPr="003308D0" w:rsidRDefault="00E246DB" w:rsidP="003D056B">
            <w:pPr>
              <w:jc w:val="center"/>
              <w:rPr>
                <w:szCs w:val="24"/>
              </w:rPr>
            </w:pPr>
            <w:r w:rsidRPr="003308D0">
              <w:rPr>
                <w:szCs w:val="24"/>
              </w:rPr>
              <w:t>7</w:t>
            </w:r>
          </w:p>
        </w:tc>
        <w:tc>
          <w:tcPr>
            <w:tcW w:w="3302" w:type="dxa"/>
          </w:tcPr>
          <w:p w14:paraId="767E49F0" w14:textId="77777777" w:rsidR="00E246DB" w:rsidRPr="003308D0" w:rsidRDefault="00E246DB" w:rsidP="003D056B">
            <w:pPr>
              <w:rPr>
                <w:szCs w:val="24"/>
              </w:rPr>
            </w:pPr>
            <w:r w:rsidRPr="003308D0">
              <w:rPr>
                <w:szCs w:val="24"/>
              </w:rPr>
              <w:t>"Like" commodity identical or comparable products available through foreign means supporting documentation</w:t>
            </w:r>
          </w:p>
        </w:tc>
        <w:tc>
          <w:tcPr>
            <w:tcW w:w="4613" w:type="dxa"/>
          </w:tcPr>
          <w:p w14:paraId="65E76071" w14:textId="77777777" w:rsidR="00E246DB" w:rsidRPr="003308D0" w:rsidRDefault="00E246DB" w:rsidP="003D056B">
            <w:pPr>
              <w:pStyle w:val="ListParagraph"/>
              <w:numPr>
                <w:ilvl w:val="0"/>
                <w:numId w:val="21"/>
              </w:numPr>
              <w:ind w:left="436"/>
              <w:contextualSpacing w:val="0"/>
              <w:rPr>
                <w:szCs w:val="24"/>
              </w:rPr>
            </w:pPr>
            <w:r w:rsidRPr="003308D0">
              <w:rPr>
                <w:szCs w:val="24"/>
              </w:rPr>
              <w:t>Move to Supporting Documents section</w:t>
            </w:r>
          </w:p>
          <w:p w14:paraId="786BAA63" w14:textId="77777777" w:rsidR="00E246DB" w:rsidRPr="003308D0" w:rsidRDefault="00E246DB" w:rsidP="003D056B">
            <w:pPr>
              <w:pStyle w:val="ListParagraph"/>
              <w:numPr>
                <w:ilvl w:val="0"/>
                <w:numId w:val="21"/>
              </w:numPr>
              <w:ind w:left="436"/>
              <w:contextualSpacing w:val="0"/>
              <w:rPr>
                <w:szCs w:val="24"/>
              </w:rPr>
            </w:pPr>
            <w:r w:rsidRPr="003308D0">
              <w:rPr>
                <w:szCs w:val="24"/>
              </w:rPr>
              <w:t>Rule – this document becomes conditionally required if commodity/service type is software</w:t>
            </w:r>
          </w:p>
        </w:tc>
      </w:tr>
      <w:tr w:rsidR="00E246DB" w:rsidRPr="003308D0" w14:paraId="417DCF05" w14:textId="77777777" w:rsidTr="0059764A">
        <w:tc>
          <w:tcPr>
            <w:tcW w:w="457" w:type="dxa"/>
          </w:tcPr>
          <w:p w14:paraId="71A8C1DA" w14:textId="77777777" w:rsidR="00E246DB" w:rsidRPr="003308D0" w:rsidRDefault="00E246DB" w:rsidP="003D056B">
            <w:pPr>
              <w:rPr>
                <w:szCs w:val="24"/>
              </w:rPr>
            </w:pPr>
            <w:r w:rsidRPr="003308D0">
              <w:rPr>
                <w:szCs w:val="24"/>
              </w:rPr>
              <w:t>17</w:t>
            </w:r>
          </w:p>
        </w:tc>
        <w:tc>
          <w:tcPr>
            <w:tcW w:w="978" w:type="dxa"/>
          </w:tcPr>
          <w:p w14:paraId="7221ABD9" w14:textId="77777777" w:rsidR="00E246DB" w:rsidRPr="003308D0" w:rsidRDefault="00E246DB" w:rsidP="003D056B">
            <w:pPr>
              <w:jc w:val="center"/>
              <w:rPr>
                <w:szCs w:val="24"/>
              </w:rPr>
            </w:pPr>
            <w:r w:rsidRPr="003308D0">
              <w:rPr>
                <w:szCs w:val="24"/>
              </w:rPr>
              <w:t>7</w:t>
            </w:r>
          </w:p>
        </w:tc>
        <w:tc>
          <w:tcPr>
            <w:tcW w:w="3302" w:type="dxa"/>
          </w:tcPr>
          <w:p w14:paraId="10CA9427" w14:textId="77777777" w:rsidR="00E246DB" w:rsidRPr="003308D0" w:rsidRDefault="00E246DB" w:rsidP="003D056B">
            <w:pPr>
              <w:rPr>
                <w:szCs w:val="24"/>
              </w:rPr>
            </w:pPr>
            <w:r w:rsidRPr="003308D0">
              <w:rPr>
                <w:szCs w:val="24"/>
              </w:rPr>
              <w:t>Does this commodity have the same function and performance capabilities ...</w:t>
            </w:r>
          </w:p>
        </w:tc>
        <w:tc>
          <w:tcPr>
            <w:tcW w:w="4613" w:type="dxa"/>
          </w:tcPr>
          <w:p w14:paraId="46A25A6F" w14:textId="77777777" w:rsidR="00E246DB" w:rsidRPr="003308D0" w:rsidRDefault="00E246DB" w:rsidP="003D056B">
            <w:pPr>
              <w:pStyle w:val="ListParagraph"/>
              <w:numPr>
                <w:ilvl w:val="0"/>
                <w:numId w:val="21"/>
              </w:numPr>
              <w:ind w:left="436"/>
              <w:contextualSpacing w:val="0"/>
              <w:rPr>
                <w:szCs w:val="24"/>
              </w:rPr>
            </w:pPr>
            <w:r w:rsidRPr="003308D0">
              <w:rPr>
                <w:szCs w:val="24"/>
              </w:rPr>
              <w:t>Updated text</w:t>
            </w:r>
          </w:p>
          <w:p w14:paraId="5D742BFD" w14:textId="77777777" w:rsidR="00E246DB" w:rsidRPr="003308D0" w:rsidRDefault="00E246DB" w:rsidP="003D056B">
            <w:pPr>
              <w:pStyle w:val="ListParagraph"/>
              <w:numPr>
                <w:ilvl w:val="0"/>
                <w:numId w:val="21"/>
              </w:numPr>
              <w:ind w:left="436"/>
              <w:contextualSpacing w:val="0"/>
              <w:rPr>
                <w:szCs w:val="24"/>
              </w:rPr>
            </w:pPr>
            <w:r w:rsidRPr="003308D0">
              <w:rPr>
                <w:szCs w:val="24"/>
              </w:rPr>
              <w:t xml:space="preserve">Current = Does this commodity have the same function and performance capabilities as another commodity used in or with an item that is both (a) currently or formerly in production and (b) </w:t>
            </w:r>
            <w:r w:rsidRPr="003308D0">
              <w:rPr>
                <w:szCs w:val="24"/>
                <w:u w:val="single"/>
              </w:rPr>
              <w:t>not</w:t>
            </w:r>
            <w:r w:rsidRPr="003308D0">
              <w:rPr>
                <w:szCs w:val="24"/>
              </w:rPr>
              <w:t xml:space="preserve"> enumerated on the U.S. Munitions List?</w:t>
            </w:r>
          </w:p>
          <w:p w14:paraId="4CC876AE" w14:textId="77777777" w:rsidR="00E246DB" w:rsidRPr="003308D0" w:rsidRDefault="00E246DB" w:rsidP="003D056B">
            <w:pPr>
              <w:pStyle w:val="ListParagraph"/>
              <w:numPr>
                <w:ilvl w:val="0"/>
                <w:numId w:val="21"/>
              </w:numPr>
              <w:ind w:left="436"/>
              <w:contextualSpacing w:val="0"/>
              <w:rPr>
                <w:szCs w:val="24"/>
              </w:rPr>
            </w:pPr>
            <w:r w:rsidRPr="003308D0">
              <w:rPr>
                <w:szCs w:val="24"/>
              </w:rPr>
              <w:t xml:space="preserve">New = Does this commodity have the same function and performance capabilities, and same or equivalent form and fit, as another commodity used in or with an item that is both (a) currently or formerly in production and (b) </w:t>
            </w:r>
            <w:r w:rsidRPr="003308D0">
              <w:rPr>
                <w:szCs w:val="24"/>
                <w:u w:val="single"/>
              </w:rPr>
              <w:t>not</w:t>
            </w:r>
            <w:r w:rsidRPr="003308D0">
              <w:rPr>
                <w:szCs w:val="24"/>
              </w:rPr>
              <w:t xml:space="preserve"> enumerated on the U.S. Munitions List?</w:t>
            </w:r>
          </w:p>
        </w:tc>
      </w:tr>
      <w:tr w:rsidR="00E246DB" w:rsidRPr="003308D0" w14:paraId="773B02E2" w14:textId="77777777" w:rsidTr="0059764A">
        <w:tc>
          <w:tcPr>
            <w:tcW w:w="457" w:type="dxa"/>
          </w:tcPr>
          <w:p w14:paraId="127BDC8B" w14:textId="77777777" w:rsidR="00E246DB" w:rsidRPr="003308D0" w:rsidRDefault="00E246DB" w:rsidP="003D056B">
            <w:pPr>
              <w:rPr>
                <w:szCs w:val="24"/>
              </w:rPr>
            </w:pPr>
            <w:r w:rsidRPr="003308D0">
              <w:rPr>
                <w:szCs w:val="24"/>
              </w:rPr>
              <w:t>18</w:t>
            </w:r>
          </w:p>
        </w:tc>
        <w:tc>
          <w:tcPr>
            <w:tcW w:w="978" w:type="dxa"/>
          </w:tcPr>
          <w:p w14:paraId="34C87F49" w14:textId="77777777" w:rsidR="00E246DB" w:rsidRPr="003308D0" w:rsidRDefault="00E246DB" w:rsidP="003D056B">
            <w:pPr>
              <w:jc w:val="center"/>
              <w:rPr>
                <w:szCs w:val="24"/>
              </w:rPr>
            </w:pPr>
            <w:r w:rsidRPr="003308D0">
              <w:rPr>
                <w:szCs w:val="24"/>
              </w:rPr>
              <w:t>7</w:t>
            </w:r>
          </w:p>
        </w:tc>
        <w:tc>
          <w:tcPr>
            <w:tcW w:w="3302" w:type="dxa"/>
          </w:tcPr>
          <w:p w14:paraId="0AC7F59B" w14:textId="77777777" w:rsidR="00E246DB" w:rsidRPr="003308D0" w:rsidRDefault="00E246DB" w:rsidP="003D056B">
            <w:pPr>
              <w:rPr>
                <w:szCs w:val="24"/>
              </w:rPr>
            </w:pPr>
            <w:r w:rsidRPr="003308D0">
              <w:rPr>
                <w:szCs w:val="24"/>
              </w:rPr>
              <w:t>Does this commodity have the same function and performance capabilities ...</w:t>
            </w:r>
          </w:p>
        </w:tc>
        <w:tc>
          <w:tcPr>
            <w:tcW w:w="4613" w:type="dxa"/>
          </w:tcPr>
          <w:p w14:paraId="3425E5DE" w14:textId="77777777" w:rsidR="00E246DB" w:rsidRPr="003308D0" w:rsidRDefault="00E246DB" w:rsidP="003D056B">
            <w:pPr>
              <w:pStyle w:val="ListParagraph"/>
              <w:numPr>
                <w:ilvl w:val="0"/>
                <w:numId w:val="21"/>
              </w:numPr>
              <w:ind w:left="436"/>
              <w:contextualSpacing w:val="0"/>
              <w:rPr>
                <w:szCs w:val="24"/>
              </w:rPr>
            </w:pPr>
            <w:r w:rsidRPr="003308D0">
              <w:rPr>
                <w:szCs w:val="24"/>
              </w:rPr>
              <w:t>Add the following responses</w:t>
            </w:r>
          </w:p>
          <w:p w14:paraId="2CF05615" w14:textId="77777777" w:rsidR="00E246DB" w:rsidRPr="003308D0" w:rsidRDefault="00E246DB" w:rsidP="003D056B">
            <w:pPr>
              <w:pStyle w:val="ListParagraph"/>
              <w:numPr>
                <w:ilvl w:val="1"/>
                <w:numId w:val="21"/>
              </w:numPr>
              <w:contextualSpacing w:val="0"/>
              <w:rPr>
                <w:szCs w:val="24"/>
              </w:rPr>
            </w:pPr>
            <w:r w:rsidRPr="003308D0">
              <w:rPr>
                <w:szCs w:val="24"/>
              </w:rPr>
              <w:t>Same function – [ ] Yes  [ ] No  [ ] Unknown</w:t>
            </w:r>
          </w:p>
          <w:p w14:paraId="1B2334B4" w14:textId="77777777" w:rsidR="00E246DB" w:rsidRPr="003308D0" w:rsidRDefault="00E246DB" w:rsidP="003D056B">
            <w:pPr>
              <w:pStyle w:val="ListParagraph"/>
              <w:numPr>
                <w:ilvl w:val="1"/>
                <w:numId w:val="21"/>
              </w:numPr>
              <w:contextualSpacing w:val="0"/>
              <w:rPr>
                <w:szCs w:val="24"/>
              </w:rPr>
            </w:pPr>
            <w:r w:rsidRPr="003308D0">
              <w:rPr>
                <w:szCs w:val="24"/>
              </w:rPr>
              <w:t>Same performance capabilities – [ ] Yes  [ ] No  [ ] Unknown</w:t>
            </w:r>
          </w:p>
          <w:p w14:paraId="30A9A566" w14:textId="77777777" w:rsidR="00E246DB" w:rsidRPr="003308D0" w:rsidRDefault="00E246DB" w:rsidP="003D056B">
            <w:pPr>
              <w:pStyle w:val="ListParagraph"/>
              <w:numPr>
                <w:ilvl w:val="1"/>
                <w:numId w:val="21"/>
              </w:numPr>
              <w:contextualSpacing w:val="0"/>
              <w:rPr>
                <w:szCs w:val="24"/>
              </w:rPr>
            </w:pPr>
            <w:r w:rsidRPr="003308D0">
              <w:rPr>
                <w:szCs w:val="24"/>
              </w:rPr>
              <w:t>Same or equivalent form and fit – [ ] Yes  [ ] No  [ ] Unknown</w:t>
            </w:r>
          </w:p>
        </w:tc>
      </w:tr>
      <w:tr w:rsidR="00E246DB" w:rsidRPr="003308D0" w14:paraId="1CEE8874" w14:textId="77777777" w:rsidTr="0059764A">
        <w:tc>
          <w:tcPr>
            <w:tcW w:w="457" w:type="dxa"/>
          </w:tcPr>
          <w:p w14:paraId="2DEA8739" w14:textId="77777777" w:rsidR="00E246DB" w:rsidRPr="003308D0" w:rsidRDefault="00E246DB" w:rsidP="003D056B">
            <w:pPr>
              <w:rPr>
                <w:szCs w:val="24"/>
              </w:rPr>
            </w:pPr>
            <w:r w:rsidRPr="003308D0">
              <w:rPr>
                <w:szCs w:val="24"/>
              </w:rPr>
              <w:t>19</w:t>
            </w:r>
          </w:p>
        </w:tc>
        <w:tc>
          <w:tcPr>
            <w:tcW w:w="978" w:type="dxa"/>
          </w:tcPr>
          <w:p w14:paraId="19525792" w14:textId="77777777" w:rsidR="00E246DB" w:rsidRPr="003308D0" w:rsidRDefault="00E246DB" w:rsidP="003D056B">
            <w:pPr>
              <w:jc w:val="center"/>
              <w:rPr>
                <w:szCs w:val="24"/>
              </w:rPr>
            </w:pPr>
            <w:r w:rsidRPr="003308D0">
              <w:rPr>
                <w:szCs w:val="24"/>
              </w:rPr>
              <w:t>8</w:t>
            </w:r>
          </w:p>
        </w:tc>
        <w:tc>
          <w:tcPr>
            <w:tcW w:w="3302" w:type="dxa"/>
          </w:tcPr>
          <w:p w14:paraId="06F648EB" w14:textId="77777777" w:rsidR="00E246DB" w:rsidRPr="003308D0" w:rsidRDefault="00E246DB" w:rsidP="003D056B">
            <w:pPr>
              <w:rPr>
                <w:szCs w:val="24"/>
              </w:rPr>
            </w:pPr>
            <w:r w:rsidRPr="003308D0">
              <w:rPr>
                <w:szCs w:val="24"/>
              </w:rPr>
              <w:t>What is the current stage of product development for this item?</w:t>
            </w:r>
          </w:p>
        </w:tc>
        <w:tc>
          <w:tcPr>
            <w:tcW w:w="4613" w:type="dxa"/>
          </w:tcPr>
          <w:p w14:paraId="315820C9" w14:textId="77777777" w:rsidR="00E246DB" w:rsidRPr="003308D0" w:rsidRDefault="00E246DB" w:rsidP="003D056B">
            <w:pPr>
              <w:pStyle w:val="ListParagraph"/>
              <w:numPr>
                <w:ilvl w:val="0"/>
                <w:numId w:val="21"/>
              </w:numPr>
              <w:ind w:left="436"/>
              <w:contextualSpacing w:val="0"/>
              <w:rPr>
                <w:szCs w:val="24"/>
              </w:rPr>
            </w:pPr>
            <w:r w:rsidRPr="003308D0">
              <w:rPr>
                <w:szCs w:val="24"/>
              </w:rPr>
              <w:t>Add the option for “Proposal/concept stage”</w:t>
            </w:r>
          </w:p>
        </w:tc>
      </w:tr>
      <w:tr w:rsidR="00E246DB" w:rsidRPr="003308D0" w14:paraId="6215F10F" w14:textId="77777777" w:rsidTr="0059764A">
        <w:tc>
          <w:tcPr>
            <w:tcW w:w="457" w:type="dxa"/>
          </w:tcPr>
          <w:p w14:paraId="05F57DEC" w14:textId="77777777" w:rsidR="00E246DB" w:rsidRPr="003308D0" w:rsidRDefault="00E246DB" w:rsidP="003D056B">
            <w:pPr>
              <w:rPr>
                <w:szCs w:val="24"/>
              </w:rPr>
            </w:pPr>
            <w:r w:rsidRPr="003308D0">
              <w:rPr>
                <w:szCs w:val="24"/>
              </w:rPr>
              <w:t>20</w:t>
            </w:r>
          </w:p>
        </w:tc>
        <w:tc>
          <w:tcPr>
            <w:tcW w:w="978" w:type="dxa"/>
          </w:tcPr>
          <w:p w14:paraId="35EC678E" w14:textId="77777777" w:rsidR="00E246DB" w:rsidRPr="003308D0" w:rsidRDefault="00E246DB" w:rsidP="003D056B">
            <w:pPr>
              <w:jc w:val="center"/>
              <w:rPr>
                <w:szCs w:val="24"/>
              </w:rPr>
            </w:pPr>
            <w:r w:rsidRPr="003308D0">
              <w:rPr>
                <w:szCs w:val="24"/>
              </w:rPr>
              <w:t>10</w:t>
            </w:r>
          </w:p>
        </w:tc>
        <w:tc>
          <w:tcPr>
            <w:tcW w:w="3302" w:type="dxa"/>
          </w:tcPr>
          <w:p w14:paraId="494D7B7E" w14:textId="77777777" w:rsidR="00E246DB" w:rsidRPr="003308D0" w:rsidRDefault="00E246DB" w:rsidP="003D056B">
            <w:pPr>
              <w:rPr>
                <w:szCs w:val="24"/>
              </w:rPr>
            </w:pPr>
            <w:r w:rsidRPr="003308D0">
              <w:rPr>
                <w:szCs w:val="24"/>
              </w:rPr>
              <w:t>Sales Information</w:t>
            </w:r>
          </w:p>
          <w:p w14:paraId="3C87607F" w14:textId="77777777" w:rsidR="00E246DB" w:rsidRPr="003308D0" w:rsidRDefault="00E246DB" w:rsidP="003D056B">
            <w:pPr>
              <w:rPr>
                <w:szCs w:val="24"/>
              </w:rPr>
            </w:pPr>
            <w:r w:rsidRPr="003308D0">
              <w:rPr>
                <w:szCs w:val="24"/>
              </w:rPr>
              <w:t>Have there been any sales in the past 5 years?</w:t>
            </w:r>
          </w:p>
        </w:tc>
        <w:tc>
          <w:tcPr>
            <w:tcW w:w="4613" w:type="dxa"/>
          </w:tcPr>
          <w:p w14:paraId="308DCC2B" w14:textId="77777777" w:rsidR="00E246DB" w:rsidRPr="003308D0" w:rsidRDefault="00E246DB" w:rsidP="003D056B">
            <w:pPr>
              <w:pStyle w:val="ListParagraph"/>
              <w:numPr>
                <w:ilvl w:val="0"/>
                <w:numId w:val="21"/>
              </w:numPr>
              <w:ind w:left="436"/>
              <w:contextualSpacing w:val="0"/>
              <w:rPr>
                <w:szCs w:val="24"/>
              </w:rPr>
            </w:pPr>
            <w:r w:rsidRPr="003308D0">
              <w:rPr>
                <w:szCs w:val="24"/>
              </w:rPr>
              <w:t>Text change</w:t>
            </w:r>
          </w:p>
          <w:p w14:paraId="4ADE53E7" w14:textId="77777777" w:rsidR="00E246DB" w:rsidRPr="003308D0" w:rsidRDefault="00E246DB" w:rsidP="003D056B">
            <w:pPr>
              <w:pStyle w:val="ListParagraph"/>
              <w:numPr>
                <w:ilvl w:val="0"/>
                <w:numId w:val="21"/>
              </w:numPr>
              <w:ind w:left="436"/>
              <w:contextualSpacing w:val="0"/>
              <w:rPr>
                <w:szCs w:val="24"/>
              </w:rPr>
            </w:pPr>
            <w:r w:rsidRPr="003308D0">
              <w:rPr>
                <w:szCs w:val="24"/>
              </w:rPr>
              <w:t>Current = Have there been any sales in the past 5 years?</w:t>
            </w:r>
          </w:p>
          <w:p w14:paraId="4E45AD4B" w14:textId="77777777" w:rsidR="00E246DB" w:rsidRPr="003308D0" w:rsidRDefault="00E246DB" w:rsidP="003D056B">
            <w:pPr>
              <w:pStyle w:val="ListParagraph"/>
              <w:numPr>
                <w:ilvl w:val="0"/>
                <w:numId w:val="21"/>
              </w:numPr>
              <w:ind w:left="436"/>
              <w:contextualSpacing w:val="0"/>
              <w:rPr>
                <w:szCs w:val="24"/>
              </w:rPr>
            </w:pPr>
            <w:r w:rsidRPr="003308D0">
              <w:rPr>
                <w:szCs w:val="24"/>
              </w:rPr>
              <w:t>New = Have there been any military sales in the past 5 years?</w:t>
            </w:r>
          </w:p>
        </w:tc>
      </w:tr>
      <w:tr w:rsidR="00E246DB" w:rsidRPr="003308D0" w14:paraId="16AD9B17" w14:textId="77777777" w:rsidTr="0059764A">
        <w:tc>
          <w:tcPr>
            <w:tcW w:w="457" w:type="dxa"/>
          </w:tcPr>
          <w:p w14:paraId="7ECDABFB" w14:textId="77777777" w:rsidR="00E246DB" w:rsidRPr="003308D0" w:rsidRDefault="00E246DB" w:rsidP="003D056B">
            <w:pPr>
              <w:rPr>
                <w:szCs w:val="24"/>
              </w:rPr>
            </w:pPr>
            <w:r w:rsidRPr="003308D0">
              <w:rPr>
                <w:szCs w:val="24"/>
              </w:rPr>
              <w:t>21</w:t>
            </w:r>
          </w:p>
        </w:tc>
        <w:tc>
          <w:tcPr>
            <w:tcW w:w="978" w:type="dxa"/>
          </w:tcPr>
          <w:p w14:paraId="334BACBA" w14:textId="77777777" w:rsidR="00E246DB" w:rsidRPr="003308D0" w:rsidRDefault="00E246DB" w:rsidP="003D056B">
            <w:pPr>
              <w:jc w:val="center"/>
              <w:rPr>
                <w:szCs w:val="24"/>
              </w:rPr>
            </w:pPr>
            <w:r w:rsidRPr="003308D0">
              <w:rPr>
                <w:szCs w:val="24"/>
              </w:rPr>
              <w:t>10</w:t>
            </w:r>
          </w:p>
        </w:tc>
        <w:tc>
          <w:tcPr>
            <w:tcW w:w="3302" w:type="dxa"/>
          </w:tcPr>
          <w:p w14:paraId="792E2ED0" w14:textId="77777777" w:rsidR="00E246DB" w:rsidRPr="003308D0" w:rsidRDefault="00E246DB" w:rsidP="003D056B">
            <w:pPr>
              <w:rPr>
                <w:szCs w:val="24"/>
              </w:rPr>
            </w:pPr>
            <w:r w:rsidRPr="003308D0">
              <w:rPr>
                <w:szCs w:val="24"/>
              </w:rPr>
              <w:t>Sales information</w:t>
            </w:r>
          </w:p>
        </w:tc>
        <w:tc>
          <w:tcPr>
            <w:tcW w:w="4613" w:type="dxa"/>
          </w:tcPr>
          <w:p w14:paraId="7BC6DA32" w14:textId="77777777" w:rsidR="00E246DB" w:rsidRPr="003308D0" w:rsidRDefault="00E246DB" w:rsidP="003D056B">
            <w:pPr>
              <w:pStyle w:val="ListParagraph"/>
              <w:numPr>
                <w:ilvl w:val="0"/>
                <w:numId w:val="21"/>
              </w:numPr>
              <w:ind w:left="436"/>
              <w:contextualSpacing w:val="0"/>
              <w:rPr>
                <w:szCs w:val="24"/>
              </w:rPr>
            </w:pPr>
            <w:r w:rsidRPr="003308D0">
              <w:rPr>
                <w:szCs w:val="24"/>
              </w:rPr>
              <w:t>Add, Have there been any civil/commercial sales in the past 5 years?</w:t>
            </w:r>
          </w:p>
        </w:tc>
      </w:tr>
      <w:tr w:rsidR="00E246DB" w:rsidRPr="003308D0" w14:paraId="4599E150" w14:textId="77777777" w:rsidTr="0059764A">
        <w:tc>
          <w:tcPr>
            <w:tcW w:w="457" w:type="dxa"/>
          </w:tcPr>
          <w:p w14:paraId="1D237CA0" w14:textId="77777777" w:rsidR="00E246DB" w:rsidRPr="003308D0" w:rsidRDefault="00E246DB" w:rsidP="003D056B">
            <w:pPr>
              <w:rPr>
                <w:szCs w:val="24"/>
              </w:rPr>
            </w:pPr>
            <w:r w:rsidRPr="003308D0">
              <w:rPr>
                <w:szCs w:val="24"/>
              </w:rPr>
              <w:t>22</w:t>
            </w:r>
          </w:p>
        </w:tc>
        <w:tc>
          <w:tcPr>
            <w:tcW w:w="978" w:type="dxa"/>
          </w:tcPr>
          <w:p w14:paraId="7570D399" w14:textId="77777777" w:rsidR="00E246DB" w:rsidRPr="003308D0" w:rsidRDefault="00E246DB" w:rsidP="003D056B">
            <w:pPr>
              <w:jc w:val="center"/>
              <w:rPr>
                <w:szCs w:val="24"/>
              </w:rPr>
            </w:pPr>
            <w:r w:rsidRPr="003308D0">
              <w:rPr>
                <w:szCs w:val="24"/>
              </w:rPr>
              <w:t>10</w:t>
            </w:r>
          </w:p>
        </w:tc>
        <w:tc>
          <w:tcPr>
            <w:tcW w:w="3302" w:type="dxa"/>
          </w:tcPr>
          <w:p w14:paraId="04728DBF" w14:textId="77777777" w:rsidR="00E246DB" w:rsidRPr="003308D0" w:rsidRDefault="00E246DB" w:rsidP="003D056B">
            <w:pPr>
              <w:rPr>
                <w:szCs w:val="24"/>
              </w:rPr>
            </w:pPr>
            <w:r w:rsidRPr="003308D0">
              <w:rPr>
                <w:szCs w:val="24"/>
              </w:rPr>
              <w:t>Have there been any civil/commercial sales in the past 5 years?</w:t>
            </w:r>
          </w:p>
        </w:tc>
        <w:tc>
          <w:tcPr>
            <w:tcW w:w="4613" w:type="dxa"/>
          </w:tcPr>
          <w:p w14:paraId="39B480EC" w14:textId="77777777" w:rsidR="00E246DB" w:rsidRPr="003308D0" w:rsidRDefault="00E246DB" w:rsidP="003D056B">
            <w:pPr>
              <w:pStyle w:val="ListParagraph"/>
              <w:numPr>
                <w:ilvl w:val="0"/>
                <w:numId w:val="21"/>
              </w:numPr>
              <w:ind w:left="436"/>
              <w:contextualSpacing w:val="0"/>
              <w:rPr>
                <w:szCs w:val="24"/>
              </w:rPr>
            </w:pPr>
            <w:r w:rsidRPr="003308D0">
              <w:rPr>
                <w:szCs w:val="24"/>
              </w:rPr>
              <w:t>Add</w:t>
            </w:r>
          </w:p>
          <w:p w14:paraId="5CC2C1D6" w14:textId="77777777" w:rsidR="00E246DB" w:rsidRPr="003308D0" w:rsidRDefault="00E246DB" w:rsidP="003D056B">
            <w:pPr>
              <w:pStyle w:val="ListParagraph"/>
              <w:numPr>
                <w:ilvl w:val="0"/>
                <w:numId w:val="21"/>
              </w:numPr>
              <w:ind w:left="436"/>
              <w:contextualSpacing w:val="0"/>
              <w:rPr>
                <w:szCs w:val="24"/>
              </w:rPr>
            </w:pPr>
            <w:r w:rsidRPr="003308D0">
              <w:rPr>
                <w:szCs w:val="24"/>
              </w:rPr>
              <w:t>Rule - If yes, display and require purchaser, country, nomenclature/model #, end use, end user, sales date(s), units sold, additional information</w:t>
            </w:r>
          </w:p>
          <w:p w14:paraId="3693225C" w14:textId="77777777" w:rsidR="00E246DB" w:rsidRPr="003308D0" w:rsidRDefault="00E246DB" w:rsidP="003D056B">
            <w:pPr>
              <w:pStyle w:val="ListParagraph"/>
              <w:numPr>
                <w:ilvl w:val="0"/>
                <w:numId w:val="21"/>
              </w:numPr>
              <w:ind w:left="436"/>
              <w:contextualSpacing w:val="0"/>
              <w:rPr>
                <w:szCs w:val="24"/>
              </w:rPr>
            </w:pPr>
            <w:r w:rsidRPr="003308D0">
              <w:rPr>
                <w:szCs w:val="24"/>
              </w:rPr>
              <w:t>Rule – If no, display and require there have not been any sales</w:t>
            </w:r>
          </w:p>
        </w:tc>
      </w:tr>
      <w:tr w:rsidR="00E246DB" w:rsidRPr="003308D0" w14:paraId="38363A2D" w14:textId="77777777" w:rsidTr="0059764A">
        <w:tc>
          <w:tcPr>
            <w:tcW w:w="457" w:type="dxa"/>
          </w:tcPr>
          <w:p w14:paraId="3B659540" w14:textId="77777777" w:rsidR="00E246DB" w:rsidRPr="003308D0" w:rsidRDefault="00E246DB" w:rsidP="003D056B">
            <w:pPr>
              <w:rPr>
                <w:szCs w:val="24"/>
              </w:rPr>
            </w:pPr>
            <w:r w:rsidRPr="003308D0">
              <w:rPr>
                <w:szCs w:val="24"/>
              </w:rPr>
              <w:t>23</w:t>
            </w:r>
          </w:p>
        </w:tc>
        <w:tc>
          <w:tcPr>
            <w:tcW w:w="978" w:type="dxa"/>
          </w:tcPr>
          <w:p w14:paraId="431B9443" w14:textId="77777777" w:rsidR="00E246DB" w:rsidRPr="003308D0" w:rsidRDefault="00E246DB" w:rsidP="003D056B">
            <w:pPr>
              <w:jc w:val="center"/>
              <w:rPr>
                <w:szCs w:val="24"/>
              </w:rPr>
            </w:pPr>
            <w:r w:rsidRPr="003308D0">
              <w:rPr>
                <w:szCs w:val="24"/>
              </w:rPr>
              <w:t>11</w:t>
            </w:r>
          </w:p>
        </w:tc>
        <w:tc>
          <w:tcPr>
            <w:tcW w:w="3302" w:type="dxa"/>
          </w:tcPr>
          <w:p w14:paraId="1413AA48" w14:textId="10295C1A" w:rsidR="00E246DB" w:rsidRPr="003308D0" w:rsidRDefault="00E246DB" w:rsidP="003D056B">
            <w:pPr>
              <w:rPr>
                <w:szCs w:val="24"/>
              </w:rPr>
            </w:pPr>
            <w:r w:rsidRPr="003308D0">
              <w:rPr>
                <w:szCs w:val="24"/>
              </w:rPr>
              <w:t xml:space="preserve">Was this part of </w:t>
            </w:r>
            <w:r w:rsidR="00403CBE" w:rsidRPr="003308D0">
              <w:rPr>
                <w:szCs w:val="24"/>
              </w:rPr>
              <w:t>a</w:t>
            </w:r>
            <w:r w:rsidRPr="003308D0">
              <w:rPr>
                <w:szCs w:val="24"/>
              </w:rPr>
              <w:t xml:space="preserve"> Foreign Military Sale</w:t>
            </w:r>
            <w:r w:rsidR="006F5F75">
              <w:rPr>
                <w:szCs w:val="24"/>
              </w:rPr>
              <w:t>s</w:t>
            </w:r>
            <w:r w:rsidRPr="003308D0">
              <w:rPr>
                <w:szCs w:val="24"/>
              </w:rPr>
              <w:t xml:space="preserve"> (FMS) case?</w:t>
            </w:r>
          </w:p>
        </w:tc>
        <w:tc>
          <w:tcPr>
            <w:tcW w:w="4613" w:type="dxa"/>
          </w:tcPr>
          <w:p w14:paraId="51783AC3" w14:textId="77777777" w:rsidR="00E246DB" w:rsidRPr="003308D0" w:rsidRDefault="00E246DB" w:rsidP="003D056B">
            <w:pPr>
              <w:pStyle w:val="ListParagraph"/>
              <w:numPr>
                <w:ilvl w:val="0"/>
                <w:numId w:val="21"/>
              </w:numPr>
              <w:ind w:left="436"/>
              <w:contextualSpacing w:val="0"/>
              <w:rPr>
                <w:szCs w:val="24"/>
              </w:rPr>
            </w:pPr>
            <w:r w:rsidRPr="003308D0">
              <w:rPr>
                <w:szCs w:val="24"/>
              </w:rPr>
              <w:t>Fix typo</w:t>
            </w:r>
          </w:p>
          <w:p w14:paraId="0C7323EF" w14:textId="18EF5581" w:rsidR="00E246DB" w:rsidRPr="003308D0" w:rsidRDefault="00E246DB" w:rsidP="003D056B">
            <w:pPr>
              <w:pStyle w:val="ListParagraph"/>
              <w:numPr>
                <w:ilvl w:val="0"/>
                <w:numId w:val="21"/>
              </w:numPr>
              <w:ind w:left="436"/>
              <w:contextualSpacing w:val="0"/>
              <w:rPr>
                <w:szCs w:val="24"/>
              </w:rPr>
            </w:pPr>
            <w:r w:rsidRPr="003308D0">
              <w:rPr>
                <w:szCs w:val="24"/>
              </w:rPr>
              <w:t>Was this part of a Foreign Military Sale</w:t>
            </w:r>
            <w:r w:rsidR="006F5F75">
              <w:rPr>
                <w:szCs w:val="24"/>
              </w:rPr>
              <w:t>s</w:t>
            </w:r>
            <w:r w:rsidRPr="003308D0">
              <w:rPr>
                <w:szCs w:val="24"/>
              </w:rPr>
              <w:t xml:space="preserve"> (FMS) case?</w:t>
            </w:r>
          </w:p>
        </w:tc>
      </w:tr>
      <w:tr w:rsidR="00E246DB" w:rsidRPr="003308D0" w14:paraId="2E172073" w14:textId="77777777" w:rsidTr="0059764A">
        <w:tc>
          <w:tcPr>
            <w:tcW w:w="457" w:type="dxa"/>
          </w:tcPr>
          <w:p w14:paraId="1362AC96" w14:textId="77777777" w:rsidR="00E246DB" w:rsidRPr="003308D0" w:rsidRDefault="00E246DB" w:rsidP="003D056B">
            <w:pPr>
              <w:rPr>
                <w:szCs w:val="24"/>
              </w:rPr>
            </w:pPr>
            <w:r w:rsidRPr="003308D0">
              <w:rPr>
                <w:szCs w:val="24"/>
              </w:rPr>
              <w:t>24</w:t>
            </w:r>
          </w:p>
        </w:tc>
        <w:tc>
          <w:tcPr>
            <w:tcW w:w="978" w:type="dxa"/>
          </w:tcPr>
          <w:p w14:paraId="4B83C0F8" w14:textId="77777777" w:rsidR="00E246DB" w:rsidRPr="003308D0" w:rsidRDefault="00E246DB" w:rsidP="003D056B">
            <w:pPr>
              <w:jc w:val="center"/>
              <w:rPr>
                <w:szCs w:val="24"/>
              </w:rPr>
            </w:pPr>
            <w:r w:rsidRPr="003308D0">
              <w:rPr>
                <w:szCs w:val="24"/>
              </w:rPr>
              <w:t>11</w:t>
            </w:r>
          </w:p>
        </w:tc>
        <w:tc>
          <w:tcPr>
            <w:tcW w:w="3302" w:type="dxa"/>
          </w:tcPr>
          <w:p w14:paraId="188ED911" w14:textId="210F89DC" w:rsidR="00E246DB" w:rsidRPr="003308D0" w:rsidRDefault="001E7CFF" w:rsidP="003D056B">
            <w:pPr>
              <w:rPr>
                <w:szCs w:val="24"/>
              </w:rPr>
            </w:pPr>
            <w:r w:rsidRPr="003308D0">
              <w:rPr>
                <w:szCs w:val="24"/>
              </w:rPr>
              <w:t>Copy of the classification request</w:t>
            </w:r>
          </w:p>
        </w:tc>
        <w:tc>
          <w:tcPr>
            <w:tcW w:w="4613" w:type="dxa"/>
          </w:tcPr>
          <w:p w14:paraId="3B2A1507" w14:textId="77777777" w:rsidR="00E246DB" w:rsidRPr="003308D0" w:rsidRDefault="00E246DB" w:rsidP="003D056B">
            <w:pPr>
              <w:pStyle w:val="ListParagraph"/>
              <w:numPr>
                <w:ilvl w:val="0"/>
                <w:numId w:val="21"/>
              </w:numPr>
              <w:ind w:left="436"/>
              <w:contextualSpacing w:val="0"/>
              <w:rPr>
                <w:szCs w:val="24"/>
              </w:rPr>
            </w:pPr>
            <w:r w:rsidRPr="003308D0">
              <w:rPr>
                <w:szCs w:val="24"/>
              </w:rPr>
              <w:t>Move to supporting documents section</w:t>
            </w:r>
          </w:p>
          <w:p w14:paraId="58757BB1" w14:textId="77777777" w:rsidR="00E246DB" w:rsidRPr="003308D0" w:rsidRDefault="00E246DB" w:rsidP="003D056B">
            <w:pPr>
              <w:pStyle w:val="ListParagraph"/>
              <w:numPr>
                <w:ilvl w:val="0"/>
                <w:numId w:val="21"/>
              </w:numPr>
              <w:ind w:left="436"/>
              <w:contextualSpacing w:val="0"/>
              <w:rPr>
                <w:szCs w:val="24"/>
              </w:rPr>
            </w:pPr>
            <w:r w:rsidRPr="003308D0">
              <w:rPr>
                <w:szCs w:val="24"/>
              </w:rPr>
              <w:t>Rule - this document becomes conditionally required if yes, this commodity has been subject to a Department of Commerce Classification Request</w:t>
            </w:r>
          </w:p>
        </w:tc>
      </w:tr>
      <w:tr w:rsidR="00E246DB" w:rsidRPr="003308D0" w14:paraId="3A91C8B9" w14:textId="77777777" w:rsidTr="0059764A">
        <w:tc>
          <w:tcPr>
            <w:tcW w:w="457" w:type="dxa"/>
          </w:tcPr>
          <w:p w14:paraId="4844ABE0" w14:textId="77777777" w:rsidR="00E246DB" w:rsidRPr="003308D0" w:rsidRDefault="00E246DB" w:rsidP="003D056B">
            <w:pPr>
              <w:rPr>
                <w:szCs w:val="24"/>
              </w:rPr>
            </w:pPr>
            <w:r w:rsidRPr="003308D0">
              <w:rPr>
                <w:szCs w:val="24"/>
              </w:rPr>
              <w:t>25</w:t>
            </w:r>
          </w:p>
        </w:tc>
        <w:tc>
          <w:tcPr>
            <w:tcW w:w="978" w:type="dxa"/>
          </w:tcPr>
          <w:p w14:paraId="0D8290E3" w14:textId="77777777" w:rsidR="00E246DB" w:rsidRPr="003308D0" w:rsidRDefault="00E246DB" w:rsidP="003D056B">
            <w:pPr>
              <w:jc w:val="center"/>
              <w:rPr>
                <w:szCs w:val="24"/>
              </w:rPr>
            </w:pPr>
            <w:r w:rsidRPr="003308D0">
              <w:rPr>
                <w:szCs w:val="24"/>
              </w:rPr>
              <w:t>12</w:t>
            </w:r>
          </w:p>
        </w:tc>
        <w:tc>
          <w:tcPr>
            <w:tcW w:w="3302" w:type="dxa"/>
          </w:tcPr>
          <w:p w14:paraId="64FD0624" w14:textId="77777777" w:rsidR="00E246DB" w:rsidRPr="003308D0" w:rsidRDefault="00E246DB" w:rsidP="003D056B">
            <w:pPr>
              <w:rPr>
                <w:szCs w:val="24"/>
              </w:rPr>
            </w:pPr>
            <w:r w:rsidRPr="003308D0">
              <w:rPr>
                <w:szCs w:val="24"/>
              </w:rPr>
              <w:t>Order of Review Analysis</w:t>
            </w:r>
          </w:p>
        </w:tc>
        <w:tc>
          <w:tcPr>
            <w:tcW w:w="4613" w:type="dxa"/>
          </w:tcPr>
          <w:p w14:paraId="59E17D53" w14:textId="77777777" w:rsidR="00E246DB" w:rsidRPr="003308D0" w:rsidRDefault="00E246DB" w:rsidP="003D056B">
            <w:pPr>
              <w:pStyle w:val="ListParagraph"/>
              <w:numPr>
                <w:ilvl w:val="0"/>
                <w:numId w:val="21"/>
              </w:numPr>
              <w:ind w:left="436"/>
              <w:contextualSpacing w:val="0"/>
              <w:rPr>
                <w:szCs w:val="24"/>
              </w:rPr>
            </w:pPr>
            <w:r w:rsidRPr="003308D0">
              <w:rPr>
                <w:szCs w:val="24"/>
              </w:rPr>
              <w:t>Remove</w:t>
            </w:r>
          </w:p>
        </w:tc>
      </w:tr>
      <w:tr w:rsidR="00E246DB" w:rsidRPr="003308D0" w14:paraId="18F66FB7" w14:textId="77777777" w:rsidTr="0059764A">
        <w:tc>
          <w:tcPr>
            <w:tcW w:w="457" w:type="dxa"/>
          </w:tcPr>
          <w:p w14:paraId="05CE2672" w14:textId="77777777" w:rsidR="00E246DB" w:rsidRPr="003308D0" w:rsidRDefault="00E246DB" w:rsidP="003D056B">
            <w:pPr>
              <w:rPr>
                <w:szCs w:val="24"/>
              </w:rPr>
            </w:pPr>
            <w:r w:rsidRPr="003308D0">
              <w:rPr>
                <w:szCs w:val="24"/>
              </w:rPr>
              <w:t>26</w:t>
            </w:r>
          </w:p>
        </w:tc>
        <w:tc>
          <w:tcPr>
            <w:tcW w:w="978" w:type="dxa"/>
          </w:tcPr>
          <w:p w14:paraId="50A59098" w14:textId="77777777" w:rsidR="00E246DB" w:rsidRPr="003308D0" w:rsidRDefault="00E246DB" w:rsidP="003D056B">
            <w:pPr>
              <w:jc w:val="center"/>
              <w:rPr>
                <w:szCs w:val="24"/>
              </w:rPr>
            </w:pPr>
            <w:r w:rsidRPr="003308D0">
              <w:rPr>
                <w:szCs w:val="24"/>
              </w:rPr>
              <w:t>13</w:t>
            </w:r>
          </w:p>
        </w:tc>
        <w:tc>
          <w:tcPr>
            <w:tcW w:w="3302" w:type="dxa"/>
          </w:tcPr>
          <w:p w14:paraId="7AA9055C" w14:textId="2A13776C" w:rsidR="00E246DB" w:rsidRPr="003308D0" w:rsidRDefault="00E246DB" w:rsidP="003D056B">
            <w:pPr>
              <w:rPr>
                <w:szCs w:val="24"/>
              </w:rPr>
            </w:pPr>
            <w:r w:rsidRPr="003308D0">
              <w:rPr>
                <w:szCs w:val="24"/>
              </w:rPr>
              <w:t xml:space="preserve">The Directorate of Defense Trade Controls </w:t>
            </w:r>
            <w:r w:rsidR="006F5F75">
              <w:rPr>
                <w:szCs w:val="24"/>
              </w:rPr>
              <w:t>may</w:t>
            </w:r>
            <w:r w:rsidRPr="003308D0">
              <w:rPr>
                <w:szCs w:val="24"/>
              </w:rPr>
              <w:t xml:space="preserve"> post a description of the commodity and final DDTC action on its website to provide the public access to the information in Block 4a and any other descriptive information provided below. If you believe that any information contained in Block 4a is proprietary, please specifically identify the information below and provide a summarized rationale for DDTC to consider withholding the information from public notice.</w:t>
            </w:r>
          </w:p>
        </w:tc>
        <w:tc>
          <w:tcPr>
            <w:tcW w:w="4613" w:type="dxa"/>
          </w:tcPr>
          <w:p w14:paraId="413F9B13" w14:textId="77777777" w:rsidR="00E246DB" w:rsidRPr="003308D0" w:rsidRDefault="00E246DB" w:rsidP="003D056B">
            <w:pPr>
              <w:pStyle w:val="ListParagraph"/>
              <w:numPr>
                <w:ilvl w:val="0"/>
                <w:numId w:val="21"/>
              </w:numPr>
              <w:ind w:left="436"/>
              <w:contextualSpacing w:val="0"/>
              <w:rPr>
                <w:szCs w:val="24"/>
              </w:rPr>
            </w:pPr>
            <w:r w:rsidRPr="003308D0">
              <w:rPr>
                <w:szCs w:val="24"/>
              </w:rPr>
              <w:t>Text change</w:t>
            </w:r>
          </w:p>
          <w:p w14:paraId="402CFD19" w14:textId="77777777" w:rsidR="00E246DB" w:rsidRPr="003308D0" w:rsidRDefault="00E246DB" w:rsidP="003D056B">
            <w:pPr>
              <w:pStyle w:val="ListParagraph"/>
              <w:numPr>
                <w:ilvl w:val="0"/>
                <w:numId w:val="21"/>
              </w:numPr>
              <w:ind w:left="436"/>
              <w:contextualSpacing w:val="0"/>
              <w:rPr>
                <w:szCs w:val="24"/>
              </w:rPr>
            </w:pPr>
            <w:r w:rsidRPr="003308D0">
              <w:rPr>
                <w:szCs w:val="24"/>
              </w:rPr>
              <w:t>Added “a” to Block 4a</w:t>
            </w:r>
          </w:p>
        </w:tc>
      </w:tr>
      <w:tr w:rsidR="00E246DB" w:rsidRPr="003308D0" w14:paraId="205F12C3" w14:textId="77777777" w:rsidTr="0059764A">
        <w:tc>
          <w:tcPr>
            <w:tcW w:w="457" w:type="dxa"/>
          </w:tcPr>
          <w:p w14:paraId="41288BD5" w14:textId="77777777" w:rsidR="00E246DB" w:rsidRPr="003308D0" w:rsidRDefault="00E246DB" w:rsidP="003D056B">
            <w:pPr>
              <w:rPr>
                <w:szCs w:val="24"/>
              </w:rPr>
            </w:pPr>
            <w:r w:rsidRPr="003308D0">
              <w:rPr>
                <w:szCs w:val="24"/>
              </w:rPr>
              <w:t>27</w:t>
            </w:r>
          </w:p>
        </w:tc>
        <w:tc>
          <w:tcPr>
            <w:tcW w:w="978" w:type="dxa"/>
          </w:tcPr>
          <w:p w14:paraId="4B8947BD" w14:textId="77777777" w:rsidR="00E246DB" w:rsidRPr="003308D0" w:rsidRDefault="00E246DB" w:rsidP="003D056B">
            <w:pPr>
              <w:jc w:val="center"/>
              <w:rPr>
                <w:szCs w:val="24"/>
              </w:rPr>
            </w:pPr>
            <w:r w:rsidRPr="003308D0">
              <w:rPr>
                <w:szCs w:val="24"/>
              </w:rPr>
              <w:t>15</w:t>
            </w:r>
          </w:p>
        </w:tc>
        <w:tc>
          <w:tcPr>
            <w:tcW w:w="3302" w:type="dxa"/>
          </w:tcPr>
          <w:p w14:paraId="6C9203EF" w14:textId="77777777" w:rsidR="00E246DB" w:rsidRPr="003308D0" w:rsidRDefault="00E246DB" w:rsidP="003D056B">
            <w:pPr>
              <w:rPr>
                <w:szCs w:val="24"/>
              </w:rPr>
            </w:pPr>
            <w:r w:rsidRPr="003308D0">
              <w:rPr>
                <w:szCs w:val="24"/>
              </w:rPr>
              <w:t>Add block for supporting documentation</w:t>
            </w:r>
          </w:p>
        </w:tc>
        <w:tc>
          <w:tcPr>
            <w:tcW w:w="4613" w:type="dxa"/>
          </w:tcPr>
          <w:p w14:paraId="38ADE5B4" w14:textId="77777777" w:rsidR="00E246DB" w:rsidRPr="003308D0" w:rsidRDefault="00E246DB" w:rsidP="003D056B">
            <w:pPr>
              <w:pStyle w:val="ListParagraph"/>
              <w:numPr>
                <w:ilvl w:val="0"/>
                <w:numId w:val="21"/>
              </w:numPr>
              <w:ind w:left="436"/>
              <w:contextualSpacing w:val="0"/>
              <w:rPr>
                <w:szCs w:val="24"/>
              </w:rPr>
            </w:pPr>
            <w:r w:rsidRPr="003308D0">
              <w:rPr>
                <w:szCs w:val="24"/>
              </w:rPr>
              <w:t>All optional document types to be added are listed</w:t>
            </w:r>
          </w:p>
          <w:p w14:paraId="02520A3A" w14:textId="77777777" w:rsidR="00E246DB" w:rsidRPr="003308D0" w:rsidRDefault="00E246DB" w:rsidP="003D056B">
            <w:pPr>
              <w:pStyle w:val="ListParagraph"/>
              <w:numPr>
                <w:ilvl w:val="0"/>
                <w:numId w:val="21"/>
              </w:numPr>
              <w:ind w:left="436"/>
              <w:contextualSpacing w:val="0"/>
              <w:rPr>
                <w:szCs w:val="24"/>
              </w:rPr>
            </w:pPr>
            <w:r w:rsidRPr="003308D0">
              <w:rPr>
                <w:szCs w:val="24"/>
              </w:rPr>
              <w:t>All conditionally required document types are listed and specified when they become required</w:t>
            </w:r>
          </w:p>
        </w:tc>
      </w:tr>
      <w:tr w:rsidR="00E246DB" w:rsidRPr="003308D0" w14:paraId="19330682" w14:textId="77777777" w:rsidTr="0059764A">
        <w:tc>
          <w:tcPr>
            <w:tcW w:w="457" w:type="dxa"/>
          </w:tcPr>
          <w:p w14:paraId="7A5F8573" w14:textId="77777777" w:rsidR="00E246DB" w:rsidRPr="003308D0" w:rsidRDefault="00E246DB" w:rsidP="003D056B">
            <w:pPr>
              <w:rPr>
                <w:szCs w:val="24"/>
              </w:rPr>
            </w:pPr>
            <w:r w:rsidRPr="003308D0">
              <w:rPr>
                <w:szCs w:val="24"/>
              </w:rPr>
              <w:t>28</w:t>
            </w:r>
          </w:p>
        </w:tc>
        <w:tc>
          <w:tcPr>
            <w:tcW w:w="978" w:type="dxa"/>
          </w:tcPr>
          <w:p w14:paraId="3D8F8FFA" w14:textId="77777777" w:rsidR="00E246DB" w:rsidRPr="003308D0" w:rsidRDefault="00E246DB" w:rsidP="003D056B">
            <w:pPr>
              <w:jc w:val="center"/>
              <w:rPr>
                <w:szCs w:val="24"/>
              </w:rPr>
            </w:pPr>
            <w:r w:rsidRPr="003308D0">
              <w:rPr>
                <w:szCs w:val="24"/>
              </w:rPr>
              <w:t>16</w:t>
            </w:r>
          </w:p>
        </w:tc>
        <w:tc>
          <w:tcPr>
            <w:tcW w:w="3302" w:type="dxa"/>
          </w:tcPr>
          <w:p w14:paraId="479345C2" w14:textId="77777777" w:rsidR="00E246DB" w:rsidRPr="003308D0" w:rsidRDefault="00E246DB" w:rsidP="003D056B">
            <w:pPr>
              <w:rPr>
                <w:szCs w:val="24"/>
              </w:rPr>
            </w:pPr>
            <w:r w:rsidRPr="003308D0">
              <w:rPr>
                <w:szCs w:val="24"/>
              </w:rPr>
              <w:t>Applicant/Submitter’s Certification</w:t>
            </w:r>
          </w:p>
        </w:tc>
        <w:tc>
          <w:tcPr>
            <w:tcW w:w="4613" w:type="dxa"/>
          </w:tcPr>
          <w:p w14:paraId="0D6A14BF" w14:textId="77777777" w:rsidR="00E246DB" w:rsidRDefault="00E246DB" w:rsidP="003D056B">
            <w:pPr>
              <w:pStyle w:val="ListParagraph"/>
              <w:numPr>
                <w:ilvl w:val="0"/>
                <w:numId w:val="21"/>
              </w:numPr>
              <w:ind w:left="436"/>
              <w:contextualSpacing w:val="0"/>
              <w:rPr>
                <w:szCs w:val="24"/>
              </w:rPr>
            </w:pPr>
            <w:r w:rsidRPr="003308D0">
              <w:rPr>
                <w:szCs w:val="24"/>
              </w:rPr>
              <w:t>Modify block number from 15 to 16</w:t>
            </w:r>
          </w:p>
          <w:p w14:paraId="77E7F871" w14:textId="37D54FFB" w:rsidR="0059764A" w:rsidRPr="003308D0" w:rsidRDefault="0059764A" w:rsidP="003D056B">
            <w:pPr>
              <w:pStyle w:val="ListParagraph"/>
              <w:ind w:left="436"/>
              <w:contextualSpacing w:val="0"/>
              <w:rPr>
                <w:szCs w:val="24"/>
              </w:rPr>
            </w:pPr>
          </w:p>
        </w:tc>
      </w:tr>
      <w:tr w:rsidR="0059764A" w:rsidRPr="003308D0" w14:paraId="5CA1D6FA" w14:textId="77777777" w:rsidTr="0059764A">
        <w:tc>
          <w:tcPr>
            <w:tcW w:w="457" w:type="dxa"/>
          </w:tcPr>
          <w:p w14:paraId="052DD1AD" w14:textId="766900F2" w:rsidR="0059764A" w:rsidRPr="003308D0" w:rsidRDefault="0059764A" w:rsidP="003D056B">
            <w:pPr>
              <w:rPr>
                <w:szCs w:val="24"/>
              </w:rPr>
            </w:pPr>
            <w:r>
              <w:rPr>
                <w:szCs w:val="24"/>
              </w:rPr>
              <w:t>29</w:t>
            </w:r>
          </w:p>
        </w:tc>
        <w:tc>
          <w:tcPr>
            <w:tcW w:w="978" w:type="dxa"/>
          </w:tcPr>
          <w:p w14:paraId="49D17BDD" w14:textId="4F38AF7A" w:rsidR="0059764A" w:rsidRPr="003308D0" w:rsidRDefault="0059764A" w:rsidP="003D056B">
            <w:pPr>
              <w:jc w:val="center"/>
              <w:rPr>
                <w:szCs w:val="24"/>
              </w:rPr>
            </w:pPr>
            <w:r>
              <w:rPr>
                <w:szCs w:val="24"/>
              </w:rPr>
              <w:t>N/A</w:t>
            </w:r>
          </w:p>
        </w:tc>
        <w:tc>
          <w:tcPr>
            <w:tcW w:w="3302" w:type="dxa"/>
          </w:tcPr>
          <w:p w14:paraId="0489B8F6" w14:textId="5CC2D23F" w:rsidR="0059764A" w:rsidRPr="003308D0" w:rsidRDefault="0059764A" w:rsidP="003D056B">
            <w:pPr>
              <w:rPr>
                <w:szCs w:val="24"/>
              </w:rPr>
            </w:pPr>
            <w:r>
              <w:rPr>
                <w:szCs w:val="24"/>
              </w:rPr>
              <w:t>CJ Request Number</w:t>
            </w:r>
          </w:p>
        </w:tc>
        <w:tc>
          <w:tcPr>
            <w:tcW w:w="4613" w:type="dxa"/>
          </w:tcPr>
          <w:p w14:paraId="32896985" w14:textId="7F4E6876" w:rsidR="0059764A" w:rsidRPr="003308D0" w:rsidRDefault="0059764A" w:rsidP="003D056B">
            <w:pPr>
              <w:pStyle w:val="ListParagraph"/>
              <w:numPr>
                <w:ilvl w:val="0"/>
                <w:numId w:val="21"/>
              </w:numPr>
              <w:ind w:left="436"/>
              <w:contextualSpacing w:val="0"/>
              <w:rPr>
                <w:szCs w:val="24"/>
              </w:rPr>
            </w:pPr>
            <w:r>
              <w:rPr>
                <w:szCs w:val="24"/>
              </w:rPr>
              <w:t>A block in the top right of the form on page one will be added to record the CJ request number</w:t>
            </w:r>
          </w:p>
        </w:tc>
      </w:tr>
    </w:tbl>
    <w:p w14:paraId="1563A1B7" w14:textId="28FD0DDB" w:rsidR="00614F92" w:rsidRPr="003308D0" w:rsidRDefault="00614F92" w:rsidP="003D056B">
      <w:pPr>
        <w:rPr>
          <w:szCs w:val="24"/>
        </w:rPr>
      </w:pPr>
    </w:p>
    <w:sectPr w:rsidR="00614F92" w:rsidRPr="003308D0" w:rsidSect="00BF3428">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7EA2E" w14:textId="77777777" w:rsidR="00DC1148" w:rsidRDefault="00DC1148">
      <w:r>
        <w:separator/>
      </w:r>
    </w:p>
  </w:endnote>
  <w:endnote w:type="continuationSeparator" w:id="0">
    <w:p w14:paraId="7FA4D20B" w14:textId="77777777" w:rsidR="00DC1148" w:rsidRDefault="00DC1148">
      <w:r>
        <w:continuationSeparator/>
      </w:r>
    </w:p>
  </w:endnote>
  <w:endnote w:type="continuationNotice" w:id="1">
    <w:p w14:paraId="2FC8B9EF" w14:textId="77777777" w:rsidR="00DC1148" w:rsidRDefault="00DC1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80C4" w14:textId="77777777" w:rsidR="00346E07" w:rsidRDefault="00F5436A" w:rsidP="000D7488">
    <w:pPr>
      <w:pStyle w:val="Footer"/>
      <w:framePr w:wrap="around" w:vAnchor="text" w:hAnchor="margin" w:xAlign="center" w:y="1"/>
      <w:rPr>
        <w:rStyle w:val="PageNumber"/>
      </w:rPr>
    </w:pPr>
    <w:r>
      <w:rPr>
        <w:rStyle w:val="PageNumber"/>
      </w:rPr>
      <w:fldChar w:fldCharType="begin"/>
    </w:r>
    <w:r w:rsidR="00346E07">
      <w:rPr>
        <w:rStyle w:val="PageNumber"/>
      </w:rPr>
      <w:instrText xml:space="preserve">PAGE  </w:instrText>
    </w:r>
    <w:r>
      <w:rPr>
        <w:rStyle w:val="PageNumber"/>
      </w:rPr>
      <w:fldChar w:fldCharType="end"/>
    </w:r>
  </w:p>
  <w:p w14:paraId="41209DEC" w14:textId="77777777" w:rsidR="00346E07" w:rsidRDefault="00346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8B162" w14:textId="6B743FB9" w:rsidR="00346E07" w:rsidRPr="00AD3A0F" w:rsidRDefault="00F5436A" w:rsidP="000D7488">
    <w:pPr>
      <w:pStyle w:val="Footer"/>
      <w:framePr w:wrap="around" w:vAnchor="text" w:hAnchor="margin" w:xAlign="center" w:y="1"/>
      <w:rPr>
        <w:rStyle w:val="PageNumber"/>
        <w:sz w:val="28"/>
        <w:szCs w:val="28"/>
      </w:rPr>
    </w:pPr>
    <w:r w:rsidRPr="00AD3A0F">
      <w:rPr>
        <w:rStyle w:val="PageNumber"/>
        <w:sz w:val="28"/>
        <w:szCs w:val="28"/>
      </w:rPr>
      <w:fldChar w:fldCharType="begin"/>
    </w:r>
    <w:r w:rsidR="00346E07" w:rsidRPr="00AD3A0F">
      <w:rPr>
        <w:rStyle w:val="PageNumber"/>
        <w:sz w:val="28"/>
        <w:szCs w:val="28"/>
      </w:rPr>
      <w:instrText xml:space="preserve">PAGE  </w:instrText>
    </w:r>
    <w:r w:rsidRPr="00AD3A0F">
      <w:rPr>
        <w:rStyle w:val="PageNumber"/>
        <w:sz w:val="28"/>
        <w:szCs w:val="28"/>
      </w:rPr>
      <w:fldChar w:fldCharType="separate"/>
    </w:r>
    <w:r w:rsidR="003C5490">
      <w:rPr>
        <w:rStyle w:val="PageNumber"/>
        <w:noProof/>
        <w:sz w:val="28"/>
        <w:szCs w:val="28"/>
      </w:rPr>
      <w:t>2</w:t>
    </w:r>
    <w:r w:rsidRPr="00AD3A0F">
      <w:rPr>
        <w:rStyle w:val="PageNumber"/>
        <w:sz w:val="28"/>
        <w:szCs w:val="28"/>
      </w:rPr>
      <w:fldChar w:fldCharType="end"/>
    </w:r>
  </w:p>
  <w:p w14:paraId="48FA03D9" w14:textId="77777777" w:rsidR="00346E07" w:rsidRDefault="00346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CA8C9" w14:textId="77777777" w:rsidR="00DC1148" w:rsidRDefault="00DC1148">
      <w:r>
        <w:separator/>
      </w:r>
    </w:p>
  </w:footnote>
  <w:footnote w:type="continuationSeparator" w:id="0">
    <w:p w14:paraId="613205A8" w14:textId="77777777" w:rsidR="00DC1148" w:rsidRDefault="00DC1148">
      <w:r>
        <w:continuationSeparator/>
      </w:r>
    </w:p>
  </w:footnote>
  <w:footnote w:type="continuationNotice" w:id="1">
    <w:p w14:paraId="179403C5" w14:textId="77777777" w:rsidR="00DC1148" w:rsidRDefault="00DC1148"/>
  </w:footnote>
  <w:footnote w:id="2">
    <w:p w14:paraId="0306AEF5" w14:textId="4A6F7BB3" w:rsidR="00EE5F98" w:rsidRDefault="00EE5F98">
      <w:pPr>
        <w:pStyle w:val="FootnoteText"/>
      </w:pPr>
      <w:r>
        <w:rPr>
          <w:rStyle w:val="FootnoteReference"/>
        </w:rPr>
        <w:footnoteRef/>
      </w:r>
      <w:r>
        <w:t xml:space="preserve"> Source: Bureau of Labor Statistics; Occupational Employment Statistics </w:t>
      </w:r>
      <w:r w:rsidRPr="00783012">
        <w:t>https://www.bls.gov/</w:t>
      </w:r>
      <w:r w:rsidR="000F3595">
        <w:t>oes/current/oes131041.htm</w:t>
      </w:r>
    </w:p>
  </w:footnote>
  <w:footnote w:id="3">
    <w:p w14:paraId="6C83530B" w14:textId="225BC803" w:rsidR="00EE5F98" w:rsidRDefault="00EE5F98">
      <w:pPr>
        <w:pStyle w:val="FootnoteText"/>
      </w:pPr>
      <w:r>
        <w:rPr>
          <w:rStyle w:val="FootnoteReference"/>
        </w:rPr>
        <w:footnoteRef/>
      </w:r>
      <w:r>
        <w:t xml:space="preserve"> Source: Office of Personnel Management; General Schedule Pay Table; </w:t>
      </w:r>
      <w:r w:rsidRPr="00FB766F">
        <w:t>https://www.opm.gov/policy-data-oversight/pay-leave/salaries-wages/salary-tables/pdf/2019/DCB.pdf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63A4" w14:textId="77777777" w:rsidR="00346E07" w:rsidRDefault="00F5436A">
    <w:pPr>
      <w:pStyle w:val="Header"/>
      <w:framePr w:wrap="around" w:vAnchor="text" w:hAnchor="margin" w:xAlign="center" w:y="1"/>
      <w:rPr>
        <w:rStyle w:val="PageNumber"/>
      </w:rPr>
    </w:pPr>
    <w:r>
      <w:rPr>
        <w:rStyle w:val="PageNumber"/>
      </w:rPr>
      <w:fldChar w:fldCharType="begin"/>
    </w:r>
    <w:r w:rsidR="00346E07">
      <w:rPr>
        <w:rStyle w:val="PageNumber"/>
      </w:rPr>
      <w:instrText xml:space="preserve">PAGE  </w:instrText>
    </w:r>
    <w:r>
      <w:rPr>
        <w:rStyle w:val="PageNumber"/>
      </w:rPr>
      <w:fldChar w:fldCharType="separate"/>
    </w:r>
    <w:r w:rsidR="00346E07">
      <w:rPr>
        <w:rStyle w:val="PageNumber"/>
        <w:noProof/>
      </w:rPr>
      <w:t>1</w:t>
    </w:r>
    <w:r>
      <w:rPr>
        <w:rStyle w:val="PageNumber"/>
      </w:rPr>
      <w:fldChar w:fldCharType="end"/>
    </w:r>
  </w:p>
  <w:p w14:paraId="4CDC50A3" w14:textId="77777777" w:rsidR="00346E07" w:rsidRDefault="00346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A30C0" w14:textId="77777777" w:rsidR="00346E07" w:rsidRDefault="00346E07">
    <w:pPr>
      <w:pStyle w:val="Header"/>
      <w:framePr w:wrap="around" w:vAnchor="text" w:hAnchor="margin" w:xAlign="center" w:y="1"/>
      <w:rPr>
        <w:rStyle w:val="PageNumber"/>
      </w:rPr>
    </w:pPr>
  </w:p>
  <w:p w14:paraId="666D1428" w14:textId="77777777" w:rsidR="00346E07" w:rsidRDefault="00346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9A3477"/>
    <w:multiLevelType w:val="hybridMultilevel"/>
    <w:tmpl w:val="F358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E08D4"/>
    <w:multiLevelType w:val="hybridMultilevel"/>
    <w:tmpl w:val="9F2CC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5">
    <w:nsid w:val="27A52CD0"/>
    <w:multiLevelType w:val="hybridMultilevel"/>
    <w:tmpl w:val="6584D504"/>
    <w:lvl w:ilvl="0" w:tplc="F9CA8128">
      <w:start w:val="1"/>
      <w:numFmt w:val="decimal"/>
      <w:lvlText w:val="%1."/>
      <w:lvlJc w:val="left"/>
      <w:pPr>
        <w:ind w:left="720" w:hanging="360"/>
      </w:pPr>
      <w:rPr>
        <w:rFonts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870C5"/>
    <w:multiLevelType w:val="hybridMultilevel"/>
    <w:tmpl w:val="4D005AD0"/>
    <w:lvl w:ilvl="0" w:tplc="48A08D9E">
      <w:start w:val="1"/>
      <w:numFmt w:val="decimal"/>
      <w:lvlText w:val="%1."/>
      <w:lvlJc w:val="left"/>
      <w:pPr>
        <w:ind w:left="720" w:hanging="360"/>
      </w:pPr>
      <w:rPr>
        <w:rFonts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36D4A"/>
    <w:multiLevelType w:val="hybridMultilevel"/>
    <w:tmpl w:val="FCCA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8673F"/>
    <w:multiLevelType w:val="hybridMultilevel"/>
    <w:tmpl w:val="6E6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423E748F"/>
    <w:multiLevelType w:val="hybridMultilevel"/>
    <w:tmpl w:val="C4D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3">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4">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7">
    <w:nsid w:val="67807552"/>
    <w:multiLevelType w:val="hybridMultilevel"/>
    <w:tmpl w:val="2690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883F74"/>
    <w:multiLevelType w:val="hybridMultilevel"/>
    <w:tmpl w:val="7D884E06"/>
    <w:lvl w:ilvl="0" w:tplc="CFF8D204">
      <w:start w:val="1"/>
      <w:numFmt w:val="decimal"/>
      <w:lvlText w:val="%1."/>
      <w:lvlJc w:val="left"/>
      <w:pPr>
        <w:ind w:left="720" w:hanging="360"/>
      </w:pPr>
      <w:rPr>
        <w:rFonts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0">
    <w:nsid w:val="7AF44164"/>
    <w:multiLevelType w:val="singleLevel"/>
    <w:tmpl w:val="A9780498"/>
    <w:lvl w:ilvl="0">
      <w:start w:val="1"/>
      <w:numFmt w:val="lowerLetter"/>
      <w:lvlText w:val="(%1)"/>
      <w:lvlJc w:val="left"/>
      <w:pPr>
        <w:tabs>
          <w:tab w:val="num" w:pos="675"/>
        </w:tabs>
        <w:ind w:left="675" w:hanging="375"/>
      </w:pPr>
      <w:rPr>
        <w:rFonts w:hint="default"/>
      </w:rPr>
    </w:lvl>
  </w:abstractNum>
  <w:abstractNum w:abstractNumId="21">
    <w:nsid w:val="7BF95039"/>
    <w:multiLevelType w:val="hybridMultilevel"/>
    <w:tmpl w:val="A44E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E3919"/>
    <w:multiLevelType w:val="hybridMultilevel"/>
    <w:tmpl w:val="8F265262"/>
    <w:lvl w:ilvl="0" w:tplc="71CE6FF6">
      <w:start w:val="1"/>
      <w:numFmt w:val="decimal"/>
      <w:lvlText w:val="%1."/>
      <w:lvlJc w:val="left"/>
      <w:pPr>
        <w:ind w:left="720" w:hanging="360"/>
      </w:pPr>
      <w:rPr>
        <w:rFonts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12"/>
  </w:num>
  <w:num w:numId="5">
    <w:abstractNumId w:val="10"/>
  </w:num>
  <w:num w:numId="6">
    <w:abstractNumId w:val="1"/>
  </w:num>
  <w:num w:numId="7">
    <w:abstractNumId w:val="15"/>
  </w:num>
  <w:num w:numId="8">
    <w:abstractNumId w:val="19"/>
  </w:num>
  <w:num w:numId="9">
    <w:abstractNumId w:val="4"/>
  </w:num>
  <w:num w:numId="10">
    <w:abstractNumId w:val="20"/>
  </w:num>
  <w:num w:numId="11">
    <w:abstractNumId w:val="14"/>
  </w:num>
  <w:num w:numId="12">
    <w:abstractNumId w:val="8"/>
  </w:num>
  <w:num w:numId="13">
    <w:abstractNumId w:val="21"/>
  </w:num>
  <w:num w:numId="14">
    <w:abstractNumId w:val="0"/>
  </w:num>
  <w:num w:numId="15">
    <w:abstractNumId w:val="5"/>
  </w:num>
  <w:num w:numId="16">
    <w:abstractNumId w:val="18"/>
  </w:num>
  <w:num w:numId="17">
    <w:abstractNumId w:val="22"/>
  </w:num>
  <w:num w:numId="18">
    <w:abstractNumId w:val="6"/>
  </w:num>
  <w:num w:numId="19">
    <w:abstractNumId w:val="2"/>
  </w:num>
  <w:num w:numId="20">
    <w:abstractNumId w:val="11"/>
  </w:num>
  <w:num w:numId="21">
    <w:abstractNumId w:val="3"/>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FA"/>
    <w:rsid w:val="00000B7A"/>
    <w:rsid w:val="00006940"/>
    <w:rsid w:val="000229A8"/>
    <w:rsid w:val="00024497"/>
    <w:rsid w:val="00032F8D"/>
    <w:rsid w:val="00036EE2"/>
    <w:rsid w:val="00051F5E"/>
    <w:rsid w:val="00053EE7"/>
    <w:rsid w:val="00060A69"/>
    <w:rsid w:val="00060E69"/>
    <w:rsid w:val="000642AF"/>
    <w:rsid w:val="00070125"/>
    <w:rsid w:val="0007251C"/>
    <w:rsid w:val="00081DBE"/>
    <w:rsid w:val="000A1090"/>
    <w:rsid w:val="000A6E88"/>
    <w:rsid w:val="000B5149"/>
    <w:rsid w:val="000C0085"/>
    <w:rsid w:val="000C01A9"/>
    <w:rsid w:val="000C413B"/>
    <w:rsid w:val="000D1C9D"/>
    <w:rsid w:val="000D7488"/>
    <w:rsid w:val="000E2F81"/>
    <w:rsid w:val="000F21C6"/>
    <w:rsid w:val="000F3595"/>
    <w:rsid w:val="00112BF4"/>
    <w:rsid w:val="00123267"/>
    <w:rsid w:val="001277FE"/>
    <w:rsid w:val="00146546"/>
    <w:rsid w:val="00147C49"/>
    <w:rsid w:val="00153092"/>
    <w:rsid w:val="00191DCA"/>
    <w:rsid w:val="001C2065"/>
    <w:rsid w:val="001C56EA"/>
    <w:rsid w:val="001D4E9D"/>
    <w:rsid w:val="001E7CFF"/>
    <w:rsid w:val="001F0D9D"/>
    <w:rsid w:val="00202300"/>
    <w:rsid w:val="00203A11"/>
    <w:rsid w:val="002254D8"/>
    <w:rsid w:val="0023657E"/>
    <w:rsid w:val="002450F3"/>
    <w:rsid w:val="00247CD5"/>
    <w:rsid w:val="00272486"/>
    <w:rsid w:val="00290A48"/>
    <w:rsid w:val="00296D23"/>
    <w:rsid w:val="002A146A"/>
    <w:rsid w:val="002A7C09"/>
    <w:rsid w:val="002A7CA4"/>
    <w:rsid w:val="002B2345"/>
    <w:rsid w:val="002C142D"/>
    <w:rsid w:val="002C15BC"/>
    <w:rsid w:val="002F628B"/>
    <w:rsid w:val="00310AD3"/>
    <w:rsid w:val="003308D0"/>
    <w:rsid w:val="0033512E"/>
    <w:rsid w:val="003368FA"/>
    <w:rsid w:val="0034543C"/>
    <w:rsid w:val="00346E07"/>
    <w:rsid w:val="00351738"/>
    <w:rsid w:val="00357399"/>
    <w:rsid w:val="00364E91"/>
    <w:rsid w:val="00367B66"/>
    <w:rsid w:val="00392300"/>
    <w:rsid w:val="00395C03"/>
    <w:rsid w:val="003A377C"/>
    <w:rsid w:val="003A414D"/>
    <w:rsid w:val="003B47D9"/>
    <w:rsid w:val="003C5490"/>
    <w:rsid w:val="003D056B"/>
    <w:rsid w:val="003E115C"/>
    <w:rsid w:val="00403CBE"/>
    <w:rsid w:val="00410187"/>
    <w:rsid w:val="004265D7"/>
    <w:rsid w:val="00434CBB"/>
    <w:rsid w:val="004541FE"/>
    <w:rsid w:val="00483008"/>
    <w:rsid w:val="004B2241"/>
    <w:rsid w:val="004B51EC"/>
    <w:rsid w:val="004C36AD"/>
    <w:rsid w:val="004D153D"/>
    <w:rsid w:val="005103D1"/>
    <w:rsid w:val="00517EB2"/>
    <w:rsid w:val="005201A1"/>
    <w:rsid w:val="00525D3A"/>
    <w:rsid w:val="00536876"/>
    <w:rsid w:val="00551311"/>
    <w:rsid w:val="00554D20"/>
    <w:rsid w:val="005579BB"/>
    <w:rsid w:val="00557BE9"/>
    <w:rsid w:val="00574007"/>
    <w:rsid w:val="00577015"/>
    <w:rsid w:val="0057769D"/>
    <w:rsid w:val="005830BA"/>
    <w:rsid w:val="0058372C"/>
    <w:rsid w:val="00587961"/>
    <w:rsid w:val="0059764A"/>
    <w:rsid w:val="005D386C"/>
    <w:rsid w:val="005D6326"/>
    <w:rsid w:val="005E5350"/>
    <w:rsid w:val="005F4264"/>
    <w:rsid w:val="00614F92"/>
    <w:rsid w:val="00627C65"/>
    <w:rsid w:val="00636756"/>
    <w:rsid w:val="00670B57"/>
    <w:rsid w:val="006814EC"/>
    <w:rsid w:val="00682ADC"/>
    <w:rsid w:val="00683A8E"/>
    <w:rsid w:val="00691D36"/>
    <w:rsid w:val="006C203B"/>
    <w:rsid w:val="006D5D21"/>
    <w:rsid w:val="006E3461"/>
    <w:rsid w:val="006E4F5F"/>
    <w:rsid w:val="006F5F75"/>
    <w:rsid w:val="00700E6B"/>
    <w:rsid w:val="0072429A"/>
    <w:rsid w:val="00724F17"/>
    <w:rsid w:val="00727FFC"/>
    <w:rsid w:val="00737432"/>
    <w:rsid w:val="0074368D"/>
    <w:rsid w:val="007455C6"/>
    <w:rsid w:val="00753A1D"/>
    <w:rsid w:val="00762B1A"/>
    <w:rsid w:val="00764F19"/>
    <w:rsid w:val="00787FF6"/>
    <w:rsid w:val="00795067"/>
    <w:rsid w:val="007A163A"/>
    <w:rsid w:val="007D06AA"/>
    <w:rsid w:val="007E3F9D"/>
    <w:rsid w:val="007F559F"/>
    <w:rsid w:val="007F55C9"/>
    <w:rsid w:val="008209B0"/>
    <w:rsid w:val="008211E4"/>
    <w:rsid w:val="00827373"/>
    <w:rsid w:val="00831169"/>
    <w:rsid w:val="00843AA5"/>
    <w:rsid w:val="0084528B"/>
    <w:rsid w:val="00860EB9"/>
    <w:rsid w:val="008771F1"/>
    <w:rsid w:val="008806B6"/>
    <w:rsid w:val="00893819"/>
    <w:rsid w:val="00896FD9"/>
    <w:rsid w:val="008B3F63"/>
    <w:rsid w:val="008C1CA9"/>
    <w:rsid w:val="008C556E"/>
    <w:rsid w:val="008D2E1C"/>
    <w:rsid w:val="008D5714"/>
    <w:rsid w:val="008D6033"/>
    <w:rsid w:val="008E2DFF"/>
    <w:rsid w:val="008F35BA"/>
    <w:rsid w:val="008F79D4"/>
    <w:rsid w:val="00906B61"/>
    <w:rsid w:val="00907589"/>
    <w:rsid w:val="009324A5"/>
    <w:rsid w:val="00962DFC"/>
    <w:rsid w:val="009665E5"/>
    <w:rsid w:val="009672D8"/>
    <w:rsid w:val="0096756F"/>
    <w:rsid w:val="00981988"/>
    <w:rsid w:val="00981A55"/>
    <w:rsid w:val="00981BD2"/>
    <w:rsid w:val="009A5553"/>
    <w:rsid w:val="009E01C5"/>
    <w:rsid w:val="00A151A0"/>
    <w:rsid w:val="00A160E5"/>
    <w:rsid w:val="00A2480D"/>
    <w:rsid w:val="00A57A60"/>
    <w:rsid w:val="00A6130F"/>
    <w:rsid w:val="00A62AD8"/>
    <w:rsid w:val="00A66CED"/>
    <w:rsid w:val="00A70C7D"/>
    <w:rsid w:val="00A7406C"/>
    <w:rsid w:val="00A779C7"/>
    <w:rsid w:val="00A856C2"/>
    <w:rsid w:val="00A86754"/>
    <w:rsid w:val="00AA11F9"/>
    <w:rsid w:val="00AA79F4"/>
    <w:rsid w:val="00AC364C"/>
    <w:rsid w:val="00AD3A0F"/>
    <w:rsid w:val="00AE6B4A"/>
    <w:rsid w:val="00B0065D"/>
    <w:rsid w:val="00B025B4"/>
    <w:rsid w:val="00B0767C"/>
    <w:rsid w:val="00B120FE"/>
    <w:rsid w:val="00B176E1"/>
    <w:rsid w:val="00B2183E"/>
    <w:rsid w:val="00B22A5B"/>
    <w:rsid w:val="00B233E8"/>
    <w:rsid w:val="00B25C59"/>
    <w:rsid w:val="00B33E34"/>
    <w:rsid w:val="00B40525"/>
    <w:rsid w:val="00B410AA"/>
    <w:rsid w:val="00B56197"/>
    <w:rsid w:val="00B601AB"/>
    <w:rsid w:val="00B9212F"/>
    <w:rsid w:val="00B95190"/>
    <w:rsid w:val="00B95BB7"/>
    <w:rsid w:val="00B9716B"/>
    <w:rsid w:val="00BA0413"/>
    <w:rsid w:val="00BA33D5"/>
    <w:rsid w:val="00BB229B"/>
    <w:rsid w:val="00BB4C13"/>
    <w:rsid w:val="00BB5300"/>
    <w:rsid w:val="00BD3C18"/>
    <w:rsid w:val="00BE0BC1"/>
    <w:rsid w:val="00BE63FC"/>
    <w:rsid w:val="00BE745E"/>
    <w:rsid w:val="00BE7953"/>
    <w:rsid w:val="00BF3428"/>
    <w:rsid w:val="00C23068"/>
    <w:rsid w:val="00C23A7C"/>
    <w:rsid w:val="00C40CBC"/>
    <w:rsid w:val="00C459D3"/>
    <w:rsid w:val="00C738DB"/>
    <w:rsid w:val="00C75692"/>
    <w:rsid w:val="00C7575C"/>
    <w:rsid w:val="00C83638"/>
    <w:rsid w:val="00C969D5"/>
    <w:rsid w:val="00CA65B0"/>
    <w:rsid w:val="00CB037C"/>
    <w:rsid w:val="00CB3876"/>
    <w:rsid w:val="00CD68E7"/>
    <w:rsid w:val="00CE2160"/>
    <w:rsid w:val="00CF726D"/>
    <w:rsid w:val="00D25DAD"/>
    <w:rsid w:val="00D32ABA"/>
    <w:rsid w:val="00D43150"/>
    <w:rsid w:val="00D5296E"/>
    <w:rsid w:val="00D563D7"/>
    <w:rsid w:val="00D706F2"/>
    <w:rsid w:val="00D72557"/>
    <w:rsid w:val="00D72DCB"/>
    <w:rsid w:val="00D75106"/>
    <w:rsid w:val="00D753C3"/>
    <w:rsid w:val="00DA2252"/>
    <w:rsid w:val="00DB2507"/>
    <w:rsid w:val="00DC1148"/>
    <w:rsid w:val="00DC4626"/>
    <w:rsid w:val="00DD36AA"/>
    <w:rsid w:val="00DE6B53"/>
    <w:rsid w:val="00DE7296"/>
    <w:rsid w:val="00E11EF5"/>
    <w:rsid w:val="00E246DB"/>
    <w:rsid w:val="00E32DE2"/>
    <w:rsid w:val="00E3586B"/>
    <w:rsid w:val="00E3630C"/>
    <w:rsid w:val="00E604A8"/>
    <w:rsid w:val="00E620E1"/>
    <w:rsid w:val="00E676F1"/>
    <w:rsid w:val="00E720B1"/>
    <w:rsid w:val="00E743E2"/>
    <w:rsid w:val="00E776F3"/>
    <w:rsid w:val="00E83D87"/>
    <w:rsid w:val="00EA088F"/>
    <w:rsid w:val="00EA55F0"/>
    <w:rsid w:val="00EE251A"/>
    <w:rsid w:val="00EE5F98"/>
    <w:rsid w:val="00EF2D80"/>
    <w:rsid w:val="00EF3F27"/>
    <w:rsid w:val="00EF51BD"/>
    <w:rsid w:val="00F00183"/>
    <w:rsid w:val="00F036AC"/>
    <w:rsid w:val="00F10ED6"/>
    <w:rsid w:val="00F13BA4"/>
    <w:rsid w:val="00F178A7"/>
    <w:rsid w:val="00F24B83"/>
    <w:rsid w:val="00F24DA7"/>
    <w:rsid w:val="00F30B5B"/>
    <w:rsid w:val="00F44121"/>
    <w:rsid w:val="00F5436A"/>
    <w:rsid w:val="00F81813"/>
    <w:rsid w:val="00F865D6"/>
    <w:rsid w:val="00F96BB2"/>
    <w:rsid w:val="00FB668A"/>
    <w:rsid w:val="00FE01C2"/>
    <w:rsid w:val="00FE033E"/>
    <w:rsid w:val="00FE0CCD"/>
    <w:rsid w:val="00FF2105"/>
    <w:rsid w:val="00FF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D6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FE033E"/>
    <w:rPr>
      <w:sz w:val="16"/>
      <w:szCs w:val="16"/>
    </w:rPr>
  </w:style>
  <w:style w:type="paragraph" w:styleId="CommentText">
    <w:name w:val="annotation text"/>
    <w:basedOn w:val="Normal"/>
    <w:link w:val="CommentTextChar"/>
    <w:rsid w:val="00FE033E"/>
    <w:rPr>
      <w:sz w:val="20"/>
    </w:rPr>
  </w:style>
  <w:style w:type="character" w:customStyle="1" w:styleId="CommentTextChar">
    <w:name w:val="Comment Text Char"/>
    <w:basedOn w:val="DefaultParagraphFont"/>
    <w:link w:val="CommentText"/>
    <w:rsid w:val="00FE033E"/>
  </w:style>
  <w:style w:type="paragraph" w:styleId="CommentSubject">
    <w:name w:val="annotation subject"/>
    <w:basedOn w:val="CommentText"/>
    <w:next w:val="CommentText"/>
    <w:link w:val="CommentSubjectChar"/>
    <w:rsid w:val="00FE033E"/>
    <w:rPr>
      <w:b/>
      <w:bCs/>
    </w:rPr>
  </w:style>
  <w:style w:type="character" w:customStyle="1" w:styleId="CommentSubjectChar">
    <w:name w:val="Comment Subject Char"/>
    <w:basedOn w:val="CommentTextChar"/>
    <w:link w:val="CommentSubject"/>
    <w:rsid w:val="00FE033E"/>
    <w:rPr>
      <w:b/>
      <w:bCs/>
    </w:rPr>
  </w:style>
  <w:style w:type="table" w:styleId="TableGrid">
    <w:name w:val="Table Grid"/>
    <w:basedOn w:val="TableNormal"/>
    <w:uiPriority w:val="39"/>
    <w:rsid w:val="0087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EB9"/>
    <w:pPr>
      <w:ind w:left="720"/>
      <w:contextualSpacing/>
    </w:pPr>
  </w:style>
  <w:style w:type="paragraph" w:styleId="FootnoteText">
    <w:name w:val="footnote text"/>
    <w:basedOn w:val="Normal"/>
    <w:link w:val="FootnoteTextChar"/>
    <w:rsid w:val="00364E91"/>
    <w:rPr>
      <w:sz w:val="20"/>
    </w:rPr>
  </w:style>
  <w:style w:type="character" w:customStyle="1" w:styleId="FootnoteTextChar">
    <w:name w:val="Footnote Text Char"/>
    <w:basedOn w:val="DefaultParagraphFont"/>
    <w:link w:val="FootnoteText"/>
    <w:rsid w:val="00364E91"/>
  </w:style>
  <w:style w:type="character" w:styleId="FootnoteReference">
    <w:name w:val="footnote reference"/>
    <w:basedOn w:val="DefaultParagraphFont"/>
    <w:rsid w:val="00364E91"/>
    <w:rPr>
      <w:vertAlign w:val="superscript"/>
    </w:rPr>
  </w:style>
  <w:style w:type="character" w:styleId="FollowedHyperlink">
    <w:name w:val="FollowedHyperlink"/>
    <w:basedOn w:val="DefaultParagraphFont"/>
    <w:semiHidden/>
    <w:unhideWhenUsed/>
    <w:rsid w:val="00906B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FE033E"/>
    <w:rPr>
      <w:sz w:val="16"/>
      <w:szCs w:val="16"/>
    </w:rPr>
  </w:style>
  <w:style w:type="paragraph" w:styleId="CommentText">
    <w:name w:val="annotation text"/>
    <w:basedOn w:val="Normal"/>
    <w:link w:val="CommentTextChar"/>
    <w:rsid w:val="00FE033E"/>
    <w:rPr>
      <w:sz w:val="20"/>
    </w:rPr>
  </w:style>
  <w:style w:type="character" w:customStyle="1" w:styleId="CommentTextChar">
    <w:name w:val="Comment Text Char"/>
    <w:basedOn w:val="DefaultParagraphFont"/>
    <w:link w:val="CommentText"/>
    <w:rsid w:val="00FE033E"/>
  </w:style>
  <w:style w:type="paragraph" w:styleId="CommentSubject">
    <w:name w:val="annotation subject"/>
    <w:basedOn w:val="CommentText"/>
    <w:next w:val="CommentText"/>
    <w:link w:val="CommentSubjectChar"/>
    <w:rsid w:val="00FE033E"/>
    <w:rPr>
      <w:b/>
      <w:bCs/>
    </w:rPr>
  </w:style>
  <w:style w:type="character" w:customStyle="1" w:styleId="CommentSubjectChar">
    <w:name w:val="Comment Subject Char"/>
    <w:basedOn w:val="CommentTextChar"/>
    <w:link w:val="CommentSubject"/>
    <w:rsid w:val="00FE033E"/>
    <w:rPr>
      <w:b/>
      <w:bCs/>
    </w:rPr>
  </w:style>
  <w:style w:type="table" w:styleId="TableGrid">
    <w:name w:val="Table Grid"/>
    <w:basedOn w:val="TableNormal"/>
    <w:uiPriority w:val="39"/>
    <w:rsid w:val="0087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EB9"/>
    <w:pPr>
      <w:ind w:left="720"/>
      <w:contextualSpacing/>
    </w:pPr>
  </w:style>
  <w:style w:type="paragraph" w:styleId="FootnoteText">
    <w:name w:val="footnote text"/>
    <w:basedOn w:val="Normal"/>
    <w:link w:val="FootnoteTextChar"/>
    <w:rsid w:val="00364E91"/>
    <w:rPr>
      <w:sz w:val="20"/>
    </w:rPr>
  </w:style>
  <w:style w:type="character" w:customStyle="1" w:styleId="FootnoteTextChar">
    <w:name w:val="Footnote Text Char"/>
    <w:basedOn w:val="DefaultParagraphFont"/>
    <w:link w:val="FootnoteText"/>
    <w:rsid w:val="00364E91"/>
  </w:style>
  <w:style w:type="character" w:styleId="FootnoteReference">
    <w:name w:val="footnote reference"/>
    <w:basedOn w:val="DefaultParagraphFont"/>
    <w:rsid w:val="00364E91"/>
    <w:rPr>
      <w:vertAlign w:val="superscript"/>
    </w:rPr>
  </w:style>
  <w:style w:type="character" w:styleId="FollowedHyperlink">
    <w:name w:val="FollowedHyperlink"/>
    <w:basedOn w:val="DefaultParagraphFont"/>
    <w:semiHidden/>
    <w:unhideWhenUsed/>
    <w:rsid w:val="00906B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9997">
      <w:bodyDiv w:val="1"/>
      <w:marLeft w:val="0"/>
      <w:marRight w:val="0"/>
      <w:marTop w:val="0"/>
      <w:marBottom w:val="0"/>
      <w:divBdr>
        <w:top w:val="none" w:sz="0" w:space="0" w:color="auto"/>
        <w:left w:val="none" w:sz="0" w:space="0" w:color="auto"/>
        <w:bottom w:val="none" w:sz="0" w:space="0" w:color="auto"/>
        <w:right w:val="none" w:sz="0" w:space="0" w:color="auto"/>
      </w:divBdr>
    </w:div>
    <w:div w:id="818763629">
      <w:bodyDiv w:val="1"/>
      <w:marLeft w:val="0"/>
      <w:marRight w:val="0"/>
      <w:marTop w:val="0"/>
      <w:marBottom w:val="0"/>
      <w:divBdr>
        <w:top w:val="none" w:sz="0" w:space="0" w:color="auto"/>
        <w:left w:val="none" w:sz="0" w:space="0" w:color="auto"/>
        <w:bottom w:val="none" w:sz="0" w:space="0" w:color="auto"/>
        <w:right w:val="none" w:sz="0" w:space="0" w:color="auto"/>
      </w:divBdr>
    </w:div>
    <w:div w:id="902838434">
      <w:bodyDiv w:val="1"/>
      <w:marLeft w:val="0"/>
      <w:marRight w:val="0"/>
      <w:marTop w:val="0"/>
      <w:marBottom w:val="0"/>
      <w:divBdr>
        <w:top w:val="none" w:sz="0" w:space="0" w:color="auto"/>
        <w:left w:val="none" w:sz="0" w:space="0" w:color="auto"/>
        <w:bottom w:val="none" w:sz="0" w:space="0" w:color="auto"/>
        <w:right w:val="none" w:sz="0" w:space="0" w:color="auto"/>
      </w:divBdr>
    </w:div>
    <w:div w:id="163108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A222-4524-4E3D-B35B-B4D41241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Canfield, Danielle P</dc:creator>
  <cp:lastModifiedBy>SYSTEM</cp:lastModifiedBy>
  <cp:revision>2</cp:revision>
  <cp:lastPrinted>2018-11-19T19:10:00Z</cp:lastPrinted>
  <dcterms:created xsi:type="dcterms:W3CDTF">2019-11-26T13:20:00Z</dcterms:created>
  <dcterms:modified xsi:type="dcterms:W3CDTF">2019-11-26T13:20:00Z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BattistaAL@state.gov</vt:lpwstr>
  </property>
  <property fmtid="{D5CDD505-2E9C-101B-9397-08002B2CF9AE}" pid="5" name="MSIP_Label_1665d9ee-429a-4d5f-97cc-cfb56e044a6e_SetDate">
    <vt:lpwstr>2019-11-26T12:26:07.3531329Z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40b2033f-2a5c-4e76-aa71-b6cf7fd5e9de</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