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CD00B" w14:textId="77777777" w:rsidR="0025205B" w:rsidRDefault="0025205B">
      <w:pPr>
        <w:pStyle w:val="Title"/>
        <w:jc w:val="right"/>
      </w:pPr>
      <w:bookmarkStart w:id="0" w:name="_GoBack"/>
      <w:bookmarkEnd w:id="0"/>
    </w:p>
    <w:p w14:paraId="6E45FA2E" w14:textId="77777777" w:rsidR="0025205B" w:rsidRDefault="0025205B">
      <w:pPr>
        <w:pStyle w:val="Title"/>
      </w:pPr>
      <w:r>
        <w:t>Supporting Statement</w:t>
      </w:r>
    </w:p>
    <w:p w14:paraId="0D9B9BCB" w14:textId="77777777" w:rsidR="0025205B" w:rsidRDefault="0025205B">
      <w:pPr>
        <w:jc w:val="center"/>
        <w:rPr>
          <w:b/>
          <w:bCs/>
        </w:rPr>
      </w:pPr>
      <w:r>
        <w:rPr>
          <w:b/>
          <w:bCs/>
        </w:rPr>
        <w:t xml:space="preserve">Securities Exchange </w:t>
      </w:r>
      <w:r w:rsidR="00035059">
        <w:rPr>
          <w:b/>
          <w:bCs/>
        </w:rPr>
        <w:t xml:space="preserve">Act Disclosure Rules </w:t>
      </w:r>
    </w:p>
    <w:p w14:paraId="25B46F93" w14:textId="77777777" w:rsidR="00035059" w:rsidRDefault="00035059" w:rsidP="00035059">
      <w:pPr>
        <w:jc w:val="center"/>
        <w:rPr>
          <w:b/>
          <w:bCs/>
        </w:rPr>
      </w:pPr>
      <w:r>
        <w:rPr>
          <w:b/>
          <w:bCs/>
        </w:rPr>
        <w:t>OMB Control No. 1557-0106</w:t>
      </w:r>
    </w:p>
    <w:p w14:paraId="1629100E" w14:textId="77777777" w:rsidR="00035059" w:rsidRDefault="00035059">
      <w:pPr>
        <w:jc w:val="center"/>
        <w:rPr>
          <w:b/>
          <w:bCs/>
        </w:rPr>
      </w:pPr>
    </w:p>
    <w:p w14:paraId="40599EA9" w14:textId="77777777" w:rsidR="0025205B" w:rsidRDefault="0025205B">
      <w:pPr>
        <w:jc w:val="center"/>
        <w:rPr>
          <w:b/>
          <w:bCs/>
        </w:rPr>
      </w:pPr>
    </w:p>
    <w:p w14:paraId="49288E5D" w14:textId="77777777" w:rsidR="0025205B" w:rsidRDefault="0025205B">
      <w:pPr>
        <w:rPr>
          <w:b/>
          <w:bCs/>
        </w:rPr>
      </w:pPr>
    </w:p>
    <w:p w14:paraId="33EA5EE0" w14:textId="77777777" w:rsidR="0025205B" w:rsidRDefault="0025205B">
      <w:pPr>
        <w:rPr>
          <w:b/>
          <w:bCs/>
        </w:rPr>
      </w:pPr>
      <w:r>
        <w:rPr>
          <w:b/>
          <w:bCs/>
        </w:rPr>
        <w:t>A.  Justification</w:t>
      </w:r>
    </w:p>
    <w:p w14:paraId="41469017" w14:textId="77777777" w:rsidR="0025205B" w:rsidRDefault="0025205B">
      <w:pPr>
        <w:rPr>
          <w:b/>
          <w:bCs/>
        </w:rPr>
      </w:pPr>
    </w:p>
    <w:p w14:paraId="4B129E98" w14:textId="77777777" w:rsidR="0025205B" w:rsidRDefault="0025205B">
      <w:pPr>
        <w:pStyle w:val="BodyText"/>
        <w:rPr>
          <w:b w:val="0"/>
          <w:bCs w:val="0"/>
        </w:rPr>
      </w:pPr>
      <w:r>
        <w:t xml:space="preserve">1.  </w:t>
      </w:r>
      <w:r>
        <w:rPr>
          <w:i/>
          <w:iCs/>
        </w:rPr>
        <w:t>Circumstances that make the collection necessary:</w:t>
      </w:r>
    </w:p>
    <w:p w14:paraId="245AF7B3" w14:textId="77777777" w:rsidR="0025205B" w:rsidRDefault="0025205B">
      <w:pPr>
        <w:pStyle w:val="BodyText"/>
        <w:rPr>
          <w:b w:val="0"/>
          <w:bCs w:val="0"/>
        </w:rPr>
      </w:pPr>
    </w:p>
    <w:p w14:paraId="50DD56A2" w14:textId="0FD5B376" w:rsidR="00B46724" w:rsidRDefault="0025205B" w:rsidP="001D60FE">
      <w:pPr>
        <w:pStyle w:val="BodyText"/>
        <w:ind w:firstLine="720"/>
        <w:rPr>
          <w:b w:val="0"/>
          <w:bCs w:val="0"/>
        </w:rPr>
      </w:pPr>
      <w:r>
        <w:rPr>
          <w:b w:val="0"/>
          <w:bCs w:val="0"/>
        </w:rPr>
        <w:t xml:space="preserve">The Securities and Exchange Commission (SEC) is required by statute to </w:t>
      </w:r>
      <w:r w:rsidR="00135236">
        <w:rPr>
          <w:b w:val="0"/>
          <w:bCs w:val="0"/>
        </w:rPr>
        <w:t xml:space="preserve">collect, in accordance with its </w:t>
      </w:r>
      <w:r>
        <w:rPr>
          <w:b w:val="0"/>
          <w:bCs w:val="0"/>
        </w:rPr>
        <w:t>regulation</w:t>
      </w:r>
      <w:r w:rsidR="00135236">
        <w:rPr>
          <w:b w:val="0"/>
          <w:bCs w:val="0"/>
        </w:rPr>
        <w:t>s</w:t>
      </w:r>
      <w:r>
        <w:rPr>
          <w:b w:val="0"/>
          <w:bCs w:val="0"/>
        </w:rPr>
        <w:t xml:space="preserve">, </w:t>
      </w:r>
      <w:r w:rsidR="00135236">
        <w:rPr>
          <w:b w:val="0"/>
          <w:bCs w:val="0"/>
        </w:rPr>
        <w:t xml:space="preserve">certain information and documents </w:t>
      </w:r>
      <w:r>
        <w:rPr>
          <w:b w:val="0"/>
          <w:bCs w:val="0"/>
        </w:rPr>
        <w:t>from any firm that is required to register its stock with the SEC</w:t>
      </w:r>
      <w:r w:rsidR="005C5069">
        <w:rPr>
          <w:b w:val="0"/>
          <w:bCs w:val="0"/>
        </w:rPr>
        <w:t>.  15</w:t>
      </w:r>
      <w:r>
        <w:rPr>
          <w:b w:val="0"/>
          <w:bCs w:val="0"/>
        </w:rPr>
        <w:t xml:space="preserve"> U.S.C. 78m(a)(1).  Federal law requires the OCC to apply similar regulations to any national bank </w:t>
      </w:r>
      <w:r w:rsidR="00DF3D1F">
        <w:rPr>
          <w:b w:val="0"/>
          <w:bCs w:val="0"/>
        </w:rPr>
        <w:t xml:space="preserve">or </w:t>
      </w:r>
      <w:r w:rsidR="00C20E2F">
        <w:rPr>
          <w:b w:val="0"/>
          <w:bCs w:val="0"/>
        </w:rPr>
        <w:t>f</w:t>
      </w:r>
      <w:r w:rsidR="00DF3D1F">
        <w:rPr>
          <w:b w:val="0"/>
          <w:bCs w:val="0"/>
        </w:rPr>
        <w:t xml:space="preserve">ederal savings association </w:t>
      </w:r>
      <w:r>
        <w:rPr>
          <w:b w:val="0"/>
          <w:bCs w:val="0"/>
        </w:rPr>
        <w:t>similarly required to be registered (</w:t>
      </w:r>
      <w:r w:rsidR="003F5C0A">
        <w:rPr>
          <w:b w:val="0"/>
          <w:bCs w:val="0"/>
        </w:rPr>
        <w:t xml:space="preserve">generally </w:t>
      </w:r>
      <w:r>
        <w:rPr>
          <w:b w:val="0"/>
          <w:bCs w:val="0"/>
        </w:rPr>
        <w:t xml:space="preserve">those with a class of equity securities held by </w:t>
      </w:r>
      <w:r w:rsidR="00EA1340">
        <w:rPr>
          <w:b w:val="0"/>
          <w:bCs w:val="0"/>
        </w:rPr>
        <w:t>2,000</w:t>
      </w:r>
      <w:r>
        <w:rPr>
          <w:b w:val="0"/>
          <w:bCs w:val="0"/>
        </w:rPr>
        <w:t xml:space="preserve"> or more shareholders).  15 U.S.C. 78l(i).  </w:t>
      </w:r>
    </w:p>
    <w:p w14:paraId="56515F10" w14:textId="77777777" w:rsidR="00B46724" w:rsidRDefault="00B46724" w:rsidP="00D30B07">
      <w:pPr>
        <w:pStyle w:val="BodyText"/>
        <w:ind w:firstLine="720"/>
        <w:rPr>
          <w:b w:val="0"/>
          <w:bCs w:val="0"/>
        </w:rPr>
      </w:pPr>
    </w:p>
    <w:p w14:paraId="0AB8DD54" w14:textId="36C8BBDA" w:rsidR="0025205B" w:rsidRDefault="0025205B" w:rsidP="001D60FE">
      <w:pPr>
        <w:pStyle w:val="BodyText"/>
        <w:ind w:firstLine="720"/>
        <w:rPr>
          <w:b w:val="0"/>
          <w:bCs w:val="0"/>
        </w:rPr>
      </w:pPr>
      <w:r>
        <w:rPr>
          <w:b w:val="0"/>
          <w:bCs w:val="0"/>
        </w:rPr>
        <w:t xml:space="preserve">The OCC regulations in </w:t>
      </w:r>
      <w:r w:rsidR="00FE17E3">
        <w:rPr>
          <w:b w:val="0"/>
          <w:bCs w:val="0"/>
        </w:rPr>
        <w:t>p</w:t>
      </w:r>
      <w:r>
        <w:rPr>
          <w:b w:val="0"/>
          <w:bCs w:val="0"/>
        </w:rPr>
        <w:t xml:space="preserve">art 11 are tailored, somewhat, to the needs and resources of national banks.  However, </w:t>
      </w:r>
      <w:r w:rsidR="00C20E2F">
        <w:rPr>
          <w:b w:val="0"/>
          <w:bCs w:val="0"/>
        </w:rPr>
        <w:t xml:space="preserve">to grant an </w:t>
      </w:r>
      <w:r>
        <w:rPr>
          <w:b w:val="0"/>
          <w:bCs w:val="0"/>
        </w:rPr>
        <w:t xml:space="preserve">exception from </w:t>
      </w:r>
      <w:r w:rsidR="00C20E2F">
        <w:rPr>
          <w:b w:val="0"/>
          <w:bCs w:val="0"/>
        </w:rPr>
        <w:t xml:space="preserve">an </w:t>
      </w:r>
      <w:r>
        <w:rPr>
          <w:b w:val="0"/>
          <w:bCs w:val="0"/>
        </w:rPr>
        <w:t xml:space="preserve">SEC regulation, the OCC must find that applying the SEC standard to national banks is not necessary to protect national bank shareholders, and the OCC must “publish such findings, and the detailed reasons therefore, in the </w:t>
      </w:r>
      <w:r w:rsidRPr="0028341A">
        <w:rPr>
          <w:b w:val="0"/>
          <w:bCs w:val="0"/>
          <w:i/>
        </w:rPr>
        <w:t>Federal Register</w:t>
      </w:r>
      <w:r>
        <w:rPr>
          <w:b w:val="0"/>
          <w:bCs w:val="0"/>
        </w:rPr>
        <w:t>.”</w:t>
      </w:r>
      <w:r w:rsidR="00A71A86">
        <w:rPr>
          <w:b w:val="0"/>
          <w:bCs w:val="0"/>
        </w:rPr>
        <w:t xml:space="preserve">  15 U.S.C. 78l(i).</w:t>
      </w:r>
      <w:r>
        <w:rPr>
          <w:b w:val="0"/>
          <w:bCs w:val="0"/>
        </w:rPr>
        <w:t xml:space="preserve">  Only rarely has the OCC made such a finding.</w:t>
      </w:r>
    </w:p>
    <w:p w14:paraId="710FA44C" w14:textId="77777777" w:rsidR="0025205B" w:rsidRDefault="0025205B">
      <w:pPr>
        <w:pStyle w:val="BodyText"/>
        <w:rPr>
          <w:b w:val="0"/>
          <w:bCs w:val="0"/>
        </w:rPr>
      </w:pPr>
    </w:p>
    <w:p w14:paraId="001EEE13" w14:textId="77777777" w:rsidR="0025205B" w:rsidRDefault="0025205B" w:rsidP="001D60FE">
      <w:pPr>
        <w:pStyle w:val="BodyText"/>
        <w:ind w:firstLine="720"/>
        <w:rPr>
          <w:b w:val="0"/>
          <w:bCs w:val="0"/>
        </w:rPr>
      </w:pPr>
      <w:r>
        <w:rPr>
          <w:b w:val="0"/>
          <w:bCs w:val="0"/>
        </w:rPr>
        <w:t>Part 11</w:t>
      </w:r>
      <w:r w:rsidR="00DF3D1F">
        <w:rPr>
          <w:b w:val="0"/>
          <w:bCs w:val="0"/>
        </w:rPr>
        <w:t xml:space="preserve"> incorporate</w:t>
      </w:r>
      <w:r w:rsidR="00FE17E3">
        <w:rPr>
          <w:b w:val="0"/>
          <w:bCs w:val="0"/>
        </w:rPr>
        <w:t>s</w:t>
      </w:r>
      <w:r>
        <w:rPr>
          <w:b w:val="0"/>
          <w:bCs w:val="0"/>
        </w:rPr>
        <w:t xml:space="preserve"> by reference the applicable SEC regulations.  The OCC does not maintain its own forms for collecting information and instead requires reporting banks to file SEC forms.</w:t>
      </w:r>
    </w:p>
    <w:p w14:paraId="3DA0091F" w14:textId="77777777" w:rsidR="0025205B" w:rsidRDefault="0025205B">
      <w:pPr>
        <w:pStyle w:val="BodyText"/>
        <w:rPr>
          <w:b w:val="0"/>
          <w:bCs w:val="0"/>
        </w:rPr>
      </w:pPr>
    </w:p>
    <w:p w14:paraId="3F8AC946" w14:textId="77777777" w:rsidR="0025205B" w:rsidRDefault="0025205B">
      <w:pPr>
        <w:pStyle w:val="BodyText"/>
        <w:rPr>
          <w:b w:val="0"/>
          <w:bCs w:val="0"/>
        </w:rPr>
      </w:pPr>
      <w:r>
        <w:rPr>
          <w:i/>
          <w:iCs/>
        </w:rPr>
        <w:t>2.  Use of the information:</w:t>
      </w:r>
    </w:p>
    <w:p w14:paraId="4A585094" w14:textId="77777777" w:rsidR="0025205B" w:rsidRDefault="0025205B">
      <w:pPr>
        <w:pStyle w:val="BodyText"/>
        <w:rPr>
          <w:b w:val="0"/>
          <w:bCs w:val="0"/>
        </w:rPr>
      </w:pPr>
    </w:p>
    <w:p w14:paraId="391828EA" w14:textId="62741A0B" w:rsidR="0025205B" w:rsidRDefault="0025205B" w:rsidP="001D60FE">
      <w:pPr>
        <w:pStyle w:val="BodyText"/>
        <w:ind w:firstLine="720"/>
        <w:rPr>
          <w:b w:val="0"/>
          <w:bCs w:val="0"/>
        </w:rPr>
      </w:pPr>
      <w:r>
        <w:rPr>
          <w:b w:val="0"/>
          <w:bCs w:val="0"/>
        </w:rPr>
        <w:t>Part 11</w:t>
      </w:r>
      <w:r w:rsidR="00FE17E3">
        <w:rPr>
          <w:b w:val="0"/>
          <w:bCs w:val="0"/>
        </w:rPr>
        <w:t xml:space="preserve"> </w:t>
      </w:r>
      <w:r w:rsidR="00DF3D1F">
        <w:rPr>
          <w:b w:val="0"/>
          <w:bCs w:val="0"/>
        </w:rPr>
        <w:t>ensure</w:t>
      </w:r>
      <w:r w:rsidR="00FE17E3">
        <w:rPr>
          <w:b w:val="0"/>
          <w:bCs w:val="0"/>
        </w:rPr>
        <w:t>s</w:t>
      </w:r>
      <w:r w:rsidR="00DF3D1F">
        <w:rPr>
          <w:b w:val="0"/>
          <w:bCs w:val="0"/>
        </w:rPr>
        <w:t xml:space="preserve"> that publicly owned national banks and </w:t>
      </w:r>
      <w:r w:rsidR="00C20E2F">
        <w:rPr>
          <w:b w:val="0"/>
          <w:bCs w:val="0"/>
        </w:rPr>
        <w:t>f</w:t>
      </w:r>
      <w:r w:rsidR="00DF3D1F">
        <w:rPr>
          <w:b w:val="0"/>
          <w:bCs w:val="0"/>
        </w:rPr>
        <w:t>ederal savings associations</w:t>
      </w:r>
      <w:r>
        <w:rPr>
          <w:b w:val="0"/>
          <w:bCs w:val="0"/>
        </w:rPr>
        <w:t xml:space="preserve"> provide adequate information about their operation</w:t>
      </w:r>
      <w:r w:rsidR="00856139">
        <w:rPr>
          <w:b w:val="0"/>
          <w:bCs w:val="0"/>
        </w:rPr>
        <w:t>s</w:t>
      </w:r>
      <w:r>
        <w:rPr>
          <w:b w:val="0"/>
          <w:bCs w:val="0"/>
        </w:rPr>
        <w:t xml:space="preserve"> to current and potential shareholders, depositors, and to the public.  The OCC reviews the information to ensure that it complies with </w:t>
      </w:r>
      <w:r w:rsidR="00C20E2F">
        <w:rPr>
          <w:b w:val="0"/>
          <w:bCs w:val="0"/>
        </w:rPr>
        <w:t>f</w:t>
      </w:r>
      <w:r>
        <w:rPr>
          <w:b w:val="0"/>
          <w:bCs w:val="0"/>
        </w:rPr>
        <w:t>ederal law and makes public all information required to be filed under these rules</w:t>
      </w:r>
      <w:r w:rsidR="00856139">
        <w:rPr>
          <w:b w:val="0"/>
          <w:bCs w:val="0"/>
        </w:rPr>
        <w:t>.  Current and potential shareholders</w:t>
      </w:r>
      <w:r w:rsidR="001D245A">
        <w:rPr>
          <w:b w:val="0"/>
          <w:bCs w:val="0"/>
        </w:rPr>
        <w:t>,</w:t>
      </w:r>
      <w:r w:rsidR="00856139">
        <w:rPr>
          <w:b w:val="0"/>
          <w:bCs w:val="0"/>
        </w:rPr>
        <w:t xml:space="preserve"> and the public</w:t>
      </w:r>
      <w:r w:rsidR="00B46724">
        <w:rPr>
          <w:b w:val="0"/>
          <w:bCs w:val="0"/>
        </w:rPr>
        <w:t xml:space="preserve"> use the information to make informed investment decisions</w:t>
      </w:r>
      <w:r>
        <w:rPr>
          <w:b w:val="0"/>
          <w:bCs w:val="0"/>
        </w:rPr>
        <w:t>.</w:t>
      </w:r>
    </w:p>
    <w:p w14:paraId="6EE6691B" w14:textId="77777777" w:rsidR="0025205B" w:rsidRDefault="0025205B">
      <w:pPr>
        <w:pStyle w:val="BodyText"/>
        <w:rPr>
          <w:b w:val="0"/>
          <w:bCs w:val="0"/>
        </w:rPr>
      </w:pPr>
    </w:p>
    <w:p w14:paraId="185B1152" w14:textId="77777777" w:rsidR="0025205B" w:rsidRDefault="0025205B">
      <w:pPr>
        <w:pStyle w:val="BodyText"/>
        <w:rPr>
          <w:b w:val="0"/>
          <w:bCs w:val="0"/>
        </w:rPr>
      </w:pPr>
      <w:r>
        <w:rPr>
          <w:i/>
          <w:iCs/>
        </w:rPr>
        <w:t>3.  Consideration of the use of improved information technology:</w:t>
      </w:r>
    </w:p>
    <w:p w14:paraId="78B42877" w14:textId="77777777" w:rsidR="0025205B" w:rsidRDefault="0025205B">
      <w:pPr>
        <w:pStyle w:val="BodyText"/>
        <w:rPr>
          <w:b w:val="0"/>
          <w:bCs w:val="0"/>
        </w:rPr>
      </w:pPr>
    </w:p>
    <w:p w14:paraId="3281477B" w14:textId="77777777" w:rsidR="00D44997" w:rsidRDefault="003F5C0A" w:rsidP="00706369">
      <w:pPr>
        <w:pStyle w:val="BodyText"/>
        <w:ind w:firstLine="720"/>
        <w:rPr>
          <w:i/>
          <w:iCs/>
        </w:rPr>
      </w:pPr>
      <w:r>
        <w:rPr>
          <w:b w:val="0"/>
          <w:bCs w:val="0"/>
        </w:rPr>
        <w:t>All filings in this information collection are made electronically</w:t>
      </w:r>
      <w:r w:rsidR="00BB4412">
        <w:rPr>
          <w:b w:val="0"/>
          <w:bCs w:val="0"/>
        </w:rPr>
        <w:t>,</w:t>
      </w:r>
      <w:r>
        <w:rPr>
          <w:b w:val="0"/>
          <w:bCs w:val="0"/>
        </w:rPr>
        <w:t xml:space="preserve"> </w:t>
      </w:r>
      <w:r w:rsidR="00706369">
        <w:rPr>
          <w:b w:val="0"/>
          <w:bCs w:val="0"/>
        </w:rPr>
        <w:t>with certain exceptions for hardship cases where unanticipated technical difficulties prevent the use of electronic filings.</w:t>
      </w:r>
    </w:p>
    <w:p w14:paraId="29A169CE" w14:textId="77777777" w:rsidR="00D44997" w:rsidRDefault="00D44997">
      <w:pPr>
        <w:pStyle w:val="BodyText"/>
        <w:rPr>
          <w:i/>
          <w:iCs/>
        </w:rPr>
      </w:pPr>
    </w:p>
    <w:p w14:paraId="3064CF24" w14:textId="77777777" w:rsidR="0025205B" w:rsidRDefault="0025205B">
      <w:pPr>
        <w:pStyle w:val="BodyText"/>
        <w:rPr>
          <w:b w:val="0"/>
          <w:bCs w:val="0"/>
        </w:rPr>
      </w:pPr>
      <w:r>
        <w:rPr>
          <w:i/>
          <w:iCs/>
        </w:rPr>
        <w:t>4.  Efforts to identify duplication:</w:t>
      </w:r>
    </w:p>
    <w:p w14:paraId="266B609C" w14:textId="77777777" w:rsidR="0025205B" w:rsidRDefault="0025205B">
      <w:pPr>
        <w:pStyle w:val="BodyText"/>
        <w:rPr>
          <w:b w:val="0"/>
          <w:bCs w:val="0"/>
        </w:rPr>
      </w:pPr>
    </w:p>
    <w:p w14:paraId="006613EC" w14:textId="650D6ECA" w:rsidR="0025205B" w:rsidRDefault="0025205B" w:rsidP="001D60FE">
      <w:pPr>
        <w:pStyle w:val="BodyText"/>
        <w:ind w:firstLine="720"/>
        <w:rPr>
          <w:b w:val="0"/>
          <w:bCs w:val="0"/>
        </w:rPr>
      </w:pPr>
      <w:r>
        <w:rPr>
          <w:b w:val="0"/>
          <w:bCs w:val="0"/>
        </w:rPr>
        <w:t xml:space="preserve">The information is required by statute.  The OCC has adopted </w:t>
      </w:r>
      <w:r w:rsidR="00135236">
        <w:rPr>
          <w:b w:val="0"/>
          <w:bCs w:val="0"/>
        </w:rPr>
        <w:t xml:space="preserve">the </w:t>
      </w:r>
      <w:r>
        <w:rPr>
          <w:b w:val="0"/>
          <w:bCs w:val="0"/>
        </w:rPr>
        <w:t>SEC forms.  Part</w:t>
      </w:r>
      <w:r w:rsidR="00FE17E3">
        <w:rPr>
          <w:b w:val="0"/>
          <w:bCs w:val="0"/>
        </w:rPr>
        <w:t xml:space="preserve"> 11 simplifies</w:t>
      </w:r>
      <w:r>
        <w:rPr>
          <w:b w:val="0"/>
          <w:bCs w:val="0"/>
        </w:rPr>
        <w:t xml:space="preserve"> the submiss</w:t>
      </w:r>
      <w:r w:rsidR="006E72F7">
        <w:rPr>
          <w:b w:val="0"/>
          <w:bCs w:val="0"/>
        </w:rPr>
        <w:t>ion of information</w:t>
      </w:r>
      <w:r w:rsidR="00D05D0B">
        <w:rPr>
          <w:b w:val="0"/>
          <w:bCs w:val="0"/>
        </w:rPr>
        <w:t xml:space="preserve"> and provide</w:t>
      </w:r>
      <w:r w:rsidR="000A3AE3">
        <w:rPr>
          <w:b w:val="0"/>
          <w:bCs w:val="0"/>
        </w:rPr>
        <w:t>s</w:t>
      </w:r>
      <w:r>
        <w:rPr>
          <w:b w:val="0"/>
          <w:bCs w:val="0"/>
        </w:rPr>
        <w:t xml:space="preserve"> information to the users in a familiar</w:t>
      </w:r>
      <w:r w:rsidR="00B77577">
        <w:rPr>
          <w:b w:val="0"/>
          <w:bCs w:val="0"/>
        </w:rPr>
        <w:t xml:space="preserve"> </w:t>
      </w:r>
      <w:r w:rsidR="00B77577">
        <w:rPr>
          <w:b w:val="0"/>
          <w:bCs w:val="0"/>
        </w:rPr>
        <w:lastRenderedPageBreak/>
        <w:t>format.  The forms and required</w:t>
      </w:r>
      <w:r>
        <w:rPr>
          <w:b w:val="0"/>
          <w:bCs w:val="0"/>
        </w:rPr>
        <w:t xml:space="preserve"> disclosures are unique and do not duplicate data reported for other purposes.</w:t>
      </w:r>
    </w:p>
    <w:p w14:paraId="6716F0A4" w14:textId="77777777" w:rsidR="0025205B" w:rsidRDefault="0025205B">
      <w:pPr>
        <w:pStyle w:val="BodyText"/>
      </w:pPr>
    </w:p>
    <w:p w14:paraId="761AAE59" w14:textId="77777777" w:rsidR="00134816" w:rsidRDefault="00134816" w:rsidP="00134816">
      <w:pPr>
        <w:pStyle w:val="BodyText"/>
        <w:widowControl w:val="0"/>
        <w:ind w:left="100" w:right="861"/>
        <w:rPr>
          <w:b w:val="0"/>
          <w:i/>
        </w:rPr>
      </w:pPr>
      <w:r>
        <w:rPr>
          <w:i/>
          <w:iCs/>
        </w:rPr>
        <w:t>5.</w:t>
      </w:r>
      <w:r>
        <w:rPr>
          <w:i/>
          <w:iCs/>
        </w:rPr>
        <w:tab/>
      </w:r>
      <w:r>
        <w:rPr>
          <w:i/>
          <w:spacing w:val="-2"/>
        </w:rPr>
        <w:t>If</w:t>
      </w:r>
      <w:r>
        <w:rPr>
          <w:i/>
          <w:spacing w:val="-8"/>
        </w:rPr>
        <w:t xml:space="preserve"> </w:t>
      </w:r>
      <w:r>
        <w:rPr>
          <w:i/>
        </w:rPr>
        <w:t>the</w:t>
      </w:r>
      <w:r>
        <w:rPr>
          <w:i/>
          <w:spacing w:val="-7"/>
        </w:rPr>
        <w:t xml:space="preserve"> </w:t>
      </w:r>
      <w:r>
        <w:rPr>
          <w:i/>
          <w:spacing w:val="-1"/>
        </w:rPr>
        <w:t>collection</w:t>
      </w:r>
      <w:r>
        <w:rPr>
          <w:i/>
          <w:spacing w:val="-7"/>
        </w:rPr>
        <w:t xml:space="preserve"> </w:t>
      </w:r>
      <w:r>
        <w:rPr>
          <w:i/>
        </w:rPr>
        <w:t>of</w:t>
      </w:r>
      <w:r>
        <w:rPr>
          <w:i/>
          <w:spacing w:val="-8"/>
        </w:rPr>
        <w:t xml:space="preserve"> </w:t>
      </w:r>
      <w:r>
        <w:rPr>
          <w:i/>
          <w:spacing w:val="-1"/>
        </w:rPr>
        <w:t>information</w:t>
      </w:r>
      <w:r>
        <w:rPr>
          <w:i/>
          <w:spacing w:val="-7"/>
        </w:rPr>
        <w:t xml:space="preserve"> </w:t>
      </w:r>
      <w:r>
        <w:rPr>
          <w:i/>
          <w:spacing w:val="-1"/>
        </w:rPr>
        <w:t>impacts</w:t>
      </w:r>
      <w:r>
        <w:rPr>
          <w:i/>
          <w:spacing w:val="-6"/>
        </w:rPr>
        <w:t xml:space="preserve"> </w:t>
      </w:r>
      <w:r>
        <w:rPr>
          <w:i/>
          <w:spacing w:val="-1"/>
        </w:rPr>
        <w:t>small</w:t>
      </w:r>
      <w:r>
        <w:rPr>
          <w:i/>
          <w:spacing w:val="-7"/>
        </w:rPr>
        <w:t xml:space="preserve"> </w:t>
      </w:r>
      <w:r>
        <w:rPr>
          <w:i/>
          <w:spacing w:val="-1"/>
        </w:rPr>
        <w:t>businesses</w:t>
      </w:r>
      <w:r>
        <w:rPr>
          <w:i/>
          <w:spacing w:val="-6"/>
        </w:rPr>
        <w:t xml:space="preserve"> </w:t>
      </w:r>
      <w:r>
        <w:rPr>
          <w:i/>
        </w:rPr>
        <w:t>or</w:t>
      </w:r>
      <w:r>
        <w:rPr>
          <w:i/>
          <w:spacing w:val="-8"/>
        </w:rPr>
        <w:t xml:space="preserve"> </w:t>
      </w:r>
      <w:r>
        <w:rPr>
          <w:i/>
          <w:spacing w:val="1"/>
        </w:rPr>
        <w:t>other</w:t>
      </w:r>
      <w:r>
        <w:rPr>
          <w:i/>
          <w:spacing w:val="-7"/>
        </w:rPr>
        <w:t xml:space="preserve"> </w:t>
      </w:r>
      <w:r>
        <w:rPr>
          <w:i/>
          <w:spacing w:val="-1"/>
        </w:rPr>
        <w:t>small</w:t>
      </w:r>
      <w:r>
        <w:rPr>
          <w:i/>
          <w:spacing w:val="-6"/>
        </w:rPr>
        <w:t xml:space="preserve"> </w:t>
      </w:r>
      <w:r>
        <w:rPr>
          <w:i/>
        </w:rPr>
        <w:t>entities, describe</w:t>
      </w:r>
      <w:r>
        <w:rPr>
          <w:i/>
          <w:spacing w:val="-7"/>
        </w:rPr>
        <w:t xml:space="preserve"> </w:t>
      </w:r>
      <w:r>
        <w:rPr>
          <w:i/>
          <w:spacing w:val="1"/>
        </w:rPr>
        <w:t>any</w:t>
      </w:r>
      <w:r>
        <w:rPr>
          <w:i/>
          <w:spacing w:val="-11"/>
        </w:rPr>
        <w:t xml:space="preserve"> </w:t>
      </w:r>
      <w:r>
        <w:rPr>
          <w:i/>
          <w:spacing w:val="-1"/>
        </w:rPr>
        <w:t>methods</w:t>
      </w:r>
      <w:r>
        <w:rPr>
          <w:i/>
          <w:spacing w:val="-8"/>
        </w:rPr>
        <w:t xml:space="preserve"> </w:t>
      </w:r>
      <w:r>
        <w:rPr>
          <w:i/>
          <w:spacing w:val="-1"/>
        </w:rPr>
        <w:t>used</w:t>
      </w:r>
      <w:r>
        <w:rPr>
          <w:i/>
          <w:spacing w:val="-8"/>
        </w:rPr>
        <w:t xml:space="preserve"> </w:t>
      </w:r>
      <w:r>
        <w:rPr>
          <w:i/>
        </w:rPr>
        <w:t>to</w:t>
      </w:r>
      <w:r>
        <w:rPr>
          <w:i/>
          <w:spacing w:val="-8"/>
        </w:rPr>
        <w:t xml:space="preserve"> </w:t>
      </w:r>
      <w:r>
        <w:rPr>
          <w:i/>
        </w:rPr>
        <w:t>minimize</w:t>
      </w:r>
      <w:r>
        <w:rPr>
          <w:i/>
          <w:spacing w:val="-8"/>
        </w:rPr>
        <w:t xml:space="preserve"> </w:t>
      </w:r>
      <w:r>
        <w:rPr>
          <w:i/>
          <w:spacing w:val="-1"/>
        </w:rPr>
        <w:t>burden.</w:t>
      </w:r>
    </w:p>
    <w:p w14:paraId="789F94B3" w14:textId="77777777" w:rsidR="00134816" w:rsidRDefault="00134816" w:rsidP="00134816"/>
    <w:p w14:paraId="1D188759" w14:textId="77777777" w:rsidR="00134816" w:rsidRDefault="00134816" w:rsidP="00134816">
      <w:pPr>
        <w:ind w:firstLine="720"/>
        <w:rPr>
          <w:color w:val="000000"/>
        </w:rPr>
      </w:pPr>
      <w:r>
        <w:rPr>
          <w:color w:val="000000"/>
        </w:rPr>
        <w:t>There are no alternatives that would result in lowering the burden on small institutions, while still accomplishing the purpose of the rule.</w:t>
      </w:r>
    </w:p>
    <w:p w14:paraId="510D1F99" w14:textId="77777777" w:rsidR="0025205B" w:rsidRDefault="0025205B">
      <w:pPr>
        <w:pStyle w:val="BodyText"/>
        <w:rPr>
          <w:b w:val="0"/>
          <w:bCs w:val="0"/>
        </w:rPr>
      </w:pPr>
    </w:p>
    <w:p w14:paraId="7F82083F" w14:textId="43513EE4" w:rsidR="0025205B" w:rsidRDefault="0025205B">
      <w:pPr>
        <w:pStyle w:val="BodyText"/>
        <w:rPr>
          <w:b w:val="0"/>
          <w:bCs w:val="0"/>
        </w:rPr>
      </w:pPr>
      <w:r>
        <w:rPr>
          <w:i/>
          <w:iCs/>
        </w:rPr>
        <w:t xml:space="preserve">6.  Consequences to the </w:t>
      </w:r>
      <w:r w:rsidR="00C20E2F">
        <w:rPr>
          <w:i/>
          <w:iCs/>
        </w:rPr>
        <w:t>f</w:t>
      </w:r>
      <w:r>
        <w:rPr>
          <w:i/>
          <w:iCs/>
        </w:rPr>
        <w:t>ederal program if the collection were conducted less frequently:</w:t>
      </w:r>
    </w:p>
    <w:p w14:paraId="3A8346A8" w14:textId="77777777" w:rsidR="0025205B" w:rsidRDefault="0025205B">
      <w:pPr>
        <w:pStyle w:val="BodyText"/>
        <w:rPr>
          <w:b w:val="0"/>
          <w:bCs w:val="0"/>
        </w:rPr>
      </w:pPr>
    </w:p>
    <w:p w14:paraId="593A78EA" w14:textId="1EE69862" w:rsidR="0025205B" w:rsidRDefault="0025205B" w:rsidP="001D60FE">
      <w:pPr>
        <w:pStyle w:val="BodyText"/>
        <w:ind w:firstLine="720"/>
        <w:rPr>
          <w:b w:val="0"/>
          <w:bCs w:val="0"/>
        </w:rPr>
      </w:pPr>
      <w:r>
        <w:rPr>
          <w:b w:val="0"/>
          <w:bCs w:val="0"/>
        </w:rPr>
        <w:t xml:space="preserve">The collection of information is the minimum necessary to comply with </w:t>
      </w:r>
      <w:r w:rsidR="00C20E2F">
        <w:rPr>
          <w:b w:val="0"/>
          <w:bCs w:val="0"/>
        </w:rPr>
        <w:t>f</w:t>
      </w:r>
      <w:r>
        <w:rPr>
          <w:b w:val="0"/>
          <w:bCs w:val="0"/>
        </w:rPr>
        <w:t>ederal law.  Less frequent collection would make the program unworkable and would not be in the public interest.</w:t>
      </w:r>
    </w:p>
    <w:p w14:paraId="333D99B3" w14:textId="77777777" w:rsidR="0025205B" w:rsidRDefault="0025205B">
      <w:pPr>
        <w:pStyle w:val="BodyText"/>
        <w:rPr>
          <w:b w:val="0"/>
          <w:bCs w:val="0"/>
        </w:rPr>
      </w:pPr>
    </w:p>
    <w:p w14:paraId="5D3E490F" w14:textId="77777777" w:rsidR="0025205B" w:rsidRDefault="0025205B">
      <w:pPr>
        <w:pStyle w:val="BodyText"/>
        <w:rPr>
          <w:b w:val="0"/>
          <w:bCs w:val="0"/>
        </w:rPr>
      </w:pPr>
      <w:r>
        <w:rPr>
          <w:i/>
          <w:iCs/>
        </w:rPr>
        <w:t xml:space="preserve">7.  Special circumstances necessitating collection inconsistent with 5 CFR </w:t>
      </w:r>
      <w:r w:rsidR="00633DBF">
        <w:rPr>
          <w:i/>
          <w:iCs/>
        </w:rPr>
        <w:t xml:space="preserve">part </w:t>
      </w:r>
      <w:r>
        <w:rPr>
          <w:i/>
          <w:iCs/>
        </w:rPr>
        <w:t>1320:</w:t>
      </w:r>
    </w:p>
    <w:p w14:paraId="3985A6E8" w14:textId="77777777" w:rsidR="0025205B" w:rsidRDefault="0025205B">
      <w:pPr>
        <w:pStyle w:val="BodyText"/>
        <w:rPr>
          <w:b w:val="0"/>
          <w:bCs w:val="0"/>
        </w:rPr>
      </w:pPr>
    </w:p>
    <w:p w14:paraId="5760DFAE" w14:textId="77777777" w:rsidR="0025205B" w:rsidRDefault="0025205B" w:rsidP="00D94DB0">
      <w:pPr>
        <w:pStyle w:val="BodyText"/>
        <w:ind w:firstLine="720"/>
        <w:rPr>
          <w:b w:val="0"/>
          <w:bCs w:val="0"/>
        </w:rPr>
      </w:pPr>
      <w:r>
        <w:rPr>
          <w:b w:val="0"/>
          <w:bCs w:val="0"/>
        </w:rPr>
        <w:t xml:space="preserve">This collection is conducted consistent with the guidelines in 5 CFR </w:t>
      </w:r>
      <w:r w:rsidR="00633DBF">
        <w:rPr>
          <w:b w:val="0"/>
          <w:bCs w:val="0"/>
        </w:rPr>
        <w:t xml:space="preserve">part </w:t>
      </w:r>
      <w:r>
        <w:rPr>
          <w:b w:val="0"/>
          <w:bCs w:val="0"/>
        </w:rPr>
        <w:t>1320.</w:t>
      </w:r>
    </w:p>
    <w:p w14:paraId="3A720867" w14:textId="77777777" w:rsidR="0025205B" w:rsidRDefault="0025205B">
      <w:pPr>
        <w:pStyle w:val="BodyText"/>
        <w:rPr>
          <w:b w:val="0"/>
          <w:bCs w:val="0"/>
        </w:rPr>
      </w:pPr>
    </w:p>
    <w:p w14:paraId="43B92A5D" w14:textId="77777777" w:rsidR="0025205B" w:rsidRDefault="0025205B">
      <w:pPr>
        <w:pStyle w:val="BodyText"/>
        <w:rPr>
          <w:b w:val="0"/>
          <w:bCs w:val="0"/>
        </w:rPr>
      </w:pPr>
      <w:r>
        <w:rPr>
          <w:i/>
          <w:iCs/>
        </w:rPr>
        <w:t>8.  Efforts to consult with persons outside the agency:</w:t>
      </w:r>
    </w:p>
    <w:p w14:paraId="319B0E8C" w14:textId="77777777" w:rsidR="0025205B" w:rsidRDefault="0025205B">
      <w:pPr>
        <w:pStyle w:val="BodyText"/>
        <w:rPr>
          <w:b w:val="0"/>
          <w:bCs w:val="0"/>
        </w:rPr>
      </w:pPr>
    </w:p>
    <w:p w14:paraId="2489E5C1" w14:textId="5AB0406C" w:rsidR="0025205B" w:rsidRPr="00D94DB0" w:rsidRDefault="00633DBF" w:rsidP="00D94DB0">
      <w:pPr>
        <w:spacing w:after="240"/>
        <w:ind w:firstLine="720"/>
      </w:pPr>
      <w:r>
        <w:t xml:space="preserve">On </w:t>
      </w:r>
      <w:r w:rsidR="00D32F25">
        <w:t>March 29,</w:t>
      </w:r>
      <w:r w:rsidR="006E72F7">
        <w:t xml:space="preserve"> 2019</w:t>
      </w:r>
      <w:r>
        <w:t>, the</w:t>
      </w:r>
      <w:r w:rsidR="00D94DB0" w:rsidRPr="007D4F2D">
        <w:t xml:space="preserve"> OCC published a 60-day notice </w:t>
      </w:r>
      <w:r w:rsidR="00D94DB0">
        <w:t xml:space="preserve">requesting public comment </w:t>
      </w:r>
      <w:r>
        <w:t>regarding</w:t>
      </w:r>
      <w:r w:rsidR="00D94DB0">
        <w:t xml:space="preserve"> the collection of information</w:t>
      </w:r>
      <w:r w:rsidR="004A63F3">
        <w:t>, 84</w:t>
      </w:r>
      <w:r w:rsidR="006E72F7">
        <w:t xml:space="preserve"> FR 12029</w:t>
      </w:r>
      <w:r>
        <w:t>.</w:t>
      </w:r>
      <w:r w:rsidR="004A63F3">
        <w:t xml:space="preserve">  On May 20, 2019, the OCC published a correction notice, 84 FR 22933.  No comments were received in response to the notices.</w:t>
      </w:r>
    </w:p>
    <w:p w14:paraId="593FEF3C" w14:textId="77777777" w:rsidR="0025205B" w:rsidRDefault="0025205B">
      <w:pPr>
        <w:pStyle w:val="BodyText"/>
        <w:rPr>
          <w:b w:val="0"/>
          <w:bCs w:val="0"/>
        </w:rPr>
      </w:pPr>
      <w:r>
        <w:rPr>
          <w:i/>
          <w:iCs/>
        </w:rPr>
        <w:t>9.  Payment to respondents:</w:t>
      </w:r>
    </w:p>
    <w:p w14:paraId="04C9ADA3" w14:textId="77777777" w:rsidR="0025205B" w:rsidRDefault="0025205B">
      <w:pPr>
        <w:pStyle w:val="BodyText"/>
        <w:rPr>
          <w:b w:val="0"/>
          <w:bCs w:val="0"/>
        </w:rPr>
      </w:pPr>
    </w:p>
    <w:p w14:paraId="4816FBB7" w14:textId="77777777" w:rsidR="0025205B" w:rsidRDefault="0025205B" w:rsidP="001D60FE">
      <w:pPr>
        <w:pStyle w:val="BodyText"/>
        <w:ind w:firstLine="720"/>
        <w:rPr>
          <w:b w:val="0"/>
          <w:bCs w:val="0"/>
        </w:rPr>
      </w:pPr>
      <w:r>
        <w:rPr>
          <w:b w:val="0"/>
          <w:bCs w:val="0"/>
        </w:rPr>
        <w:t>None.</w:t>
      </w:r>
    </w:p>
    <w:p w14:paraId="34C3697B" w14:textId="77777777" w:rsidR="0025205B" w:rsidRDefault="0025205B">
      <w:pPr>
        <w:pStyle w:val="BodyText"/>
        <w:rPr>
          <w:b w:val="0"/>
          <w:bCs w:val="0"/>
        </w:rPr>
      </w:pPr>
    </w:p>
    <w:p w14:paraId="47B270E5" w14:textId="77777777" w:rsidR="0025205B" w:rsidRDefault="0025205B">
      <w:pPr>
        <w:pStyle w:val="BodyText"/>
        <w:rPr>
          <w:b w:val="0"/>
          <w:bCs w:val="0"/>
        </w:rPr>
      </w:pPr>
      <w:r>
        <w:rPr>
          <w:i/>
          <w:iCs/>
        </w:rPr>
        <w:t>10.  Any assurance of confidentiality:</w:t>
      </w:r>
    </w:p>
    <w:p w14:paraId="23A1D989" w14:textId="77777777" w:rsidR="0025205B" w:rsidRDefault="0025205B">
      <w:pPr>
        <w:pStyle w:val="BodyText"/>
        <w:rPr>
          <w:b w:val="0"/>
          <w:bCs w:val="0"/>
        </w:rPr>
      </w:pPr>
    </w:p>
    <w:p w14:paraId="1323162B" w14:textId="77777777" w:rsidR="0025205B" w:rsidRDefault="0025205B" w:rsidP="001D60FE">
      <w:pPr>
        <w:pStyle w:val="BodyText"/>
        <w:ind w:firstLine="720"/>
        <w:rPr>
          <w:b w:val="0"/>
          <w:bCs w:val="0"/>
        </w:rPr>
      </w:pPr>
      <w:r>
        <w:rPr>
          <w:b w:val="0"/>
          <w:bCs w:val="0"/>
        </w:rPr>
        <w:t>None.</w:t>
      </w:r>
    </w:p>
    <w:p w14:paraId="44162858" w14:textId="77777777" w:rsidR="00FE1C6E" w:rsidRDefault="00FE1C6E">
      <w:pPr>
        <w:pStyle w:val="BodyText"/>
        <w:rPr>
          <w:i/>
          <w:iCs/>
        </w:rPr>
      </w:pPr>
    </w:p>
    <w:p w14:paraId="21167EB4" w14:textId="77777777" w:rsidR="0025205B" w:rsidRDefault="0025205B">
      <w:pPr>
        <w:pStyle w:val="BodyText"/>
        <w:rPr>
          <w:b w:val="0"/>
          <w:bCs w:val="0"/>
        </w:rPr>
      </w:pPr>
      <w:r>
        <w:rPr>
          <w:i/>
          <w:iCs/>
        </w:rPr>
        <w:t>11.  Justification for questions of a sensitive nature:</w:t>
      </w:r>
    </w:p>
    <w:p w14:paraId="770784D9" w14:textId="77777777" w:rsidR="0025205B" w:rsidRDefault="0025205B">
      <w:pPr>
        <w:pStyle w:val="BodyText"/>
        <w:rPr>
          <w:b w:val="0"/>
          <w:bCs w:val="0"/>
        </w:rPr>
      </w:pPr>
    </w:p>
    <w:p w14:paraId="76806147" w14:textId="77777777" w:rsidR="0025205B" w:rsidRDefault="0025205B" w:rsidP="001D60FE">
      <w:pPr>
        <w:pStyle w:val="BodyText"/>
        <w:ind w:firstLine="720"/>
        <w:rPr>
          <w:b w:val="0"/>
          <w:bCs w:val="0"/>
        </w:rPr>
      </w:pPr>
      <w:r>
        <w:rPr>
          <w:b w:val="0"/>
          <w:bCs w:val="0"/>
        </w:rPr>
        <w:t>There are no questions of a sensitive nature.</w:t>
      </w:r>
    </w:p>
    <w:p w14:paraId="3620E917" w14:textId="77777777" w:rsidR="0025205B" w:rsidRDefault="0025205B">
      <w:pPr>
        <w:pStyle w:val="BodyText"/>
        <w:rPr>
          <w:b w:val="0"/>
          <w:bCs w:val="0"/>
        </w:rPr>
      </w:pPr>
    </w:p>
    <w:p w14:paraId="279ADA6B" w14:textId="77777777" w:rsidR="0025205B" w:rsidRDefault="0025205B">
      <w:pPr>
        <w:pStyle w:val="BodyText"/>
        <w:rPr>
          <w:i/>
          <w:iCs/>
        </w:rPr>
      </w:pPr>
      <w:r>
        <w:rPr>
          <w:i/>
          <w:iCs/>
        </w:rPr>
        <w:t>12.  Burden estimate:</w:t>
      </w:r>
    </w:p>
    <w:p w14:paraId="7ABA0426" w14:textId="77777777" w:rsidR="0025205B" w:rsidRPr="00EC669B" w:rsidRDefault="0025205B">
      <w:pPr>
        <w:rPr>
          <w:color w:val="000000" w:themeColor="text1"/>
        </w:rPr>
      </w:pPr>
    </w:p>
    <w:p w14:paraId="4D3E185F" w14:textId="121B8FA2" w:rsidR="0025205B" w:rsidRPr="00EC669B" w:rsidRDefault="00E00AAD" w:rsidP="00EC669B">
      <w:pPr>
        <w:rPr>
          <w:color w:val="000000" w:themeColor="text1"/>
        </w:rPr>
      </w:pPr>
      <w:r>
        <w:rPr>
          <w:color w:val="000000" w:themeColor="text1"/>
        </w:rPr>
        <w:tab/>
      </w:r>
      <w:r w:rsidR="00EC669B" w:rsidRPr="00EC669B">
        <w:rPr>
          <w:color w:val="000000" w:themeColor="text1"/>
        </w:rPr>
        <w:t xml:space="preserve">There </w:t>
      </w:r>
      <w:r w:rsidR="00706369">
        <w:rPr>
          <w:color w:val="000000" w:themeColor="text1"/>
        </w:rPr>
        <w:t>is</w:t>
      </w:r>
      <w:r w:rsidR="00EC669B" w:rsidRPr="00EC669B">
        <w:rPr>
          <w:color w:val="000000" w:themeColor="text1"/>
        </w:rPr>
        <w:t xml:space="preserve"> currently </w:t>
      </w:r>
      <w:r w:rsidR="00706369">
        <w:rPr>
          <w:color w:val="000000" w:themeColor="text1"/>
        </w:rPr>
        <w:t>o</w:t>
      </w:r>
      <w:r w:rsidR="00EC669B" w:rsidRPr="00EC669B">
        <w:rPr>
          <w:color w:val="000000" w:themeColor="text1"/>
        </w:rPr>
        <w:t>n</w:t>
      </w:r>
      <w:r w:rsidR="00706369">
        <w:rPr>
          <w:color w:val="000000" w:themeColor="text1"/>
        </w:rPr>
        <w:t>e</w:t>
      </w:r>
      <w:r w:rsidR="00EC669B" w:rsidRPr="00EC669B">
        <w:rPr>
          <w:color w:val="000000" w:themeColor="text1"/>
        </w:rPr>
        <w:t xml:space="preserve"> national bank registered with the OCC pursuant to 15 U.S.C. 78l(i).</w:t>
      </w:r>
      <w:r w:rsidR="00706369">
        <w:rPr>
          <w:color w:val="000000" w:themeColor="text1"/>
        </w:rPr>
        <w:t xml:space="preserve"> </w:t>
      </w:r>
      <w:r w:rsidR="00A47B1D">
        <w:rPr>
          <w:color w:val="000000" w:themeColor="text1"/>
        </w:rPr>
        <w:t xml:space="preserve"> </w:t>
      </w:r>
      <w:r w:rsidR="00706369">
        <w:rPr>
          <w:color w:val="000000" w:themeColor="text1"/>
        </w:rPr>
        <w:t xml:space="preserve">The burden estimates relating to </w:t>
      </w:r>
      <w:r w:rsidR="000A3AE3">
        <w:rPr>
          <w:color w:val="000000" w:themeColor="text1"/>
        </w:rPr>
        <w:t>p</w:t>
      </w:r>
      <w:r w:rsidR="00706369">
        <w:rPr>
          <w:color w:val="000000" w:themeColor="text1"/>
        </w:rPr>
        <w:t>art 11 filings for this national bank are provided in the table below.</w:t>
      </w:r>
      <w:r w:rsidR="00EC669B" w:rsidRPr="00EC669B">
        <w:rPr>
          <w:color w:val="000000" w:themeColor="text1"/>
        </w:rPr>
        <w:t xml:space="preserve">     </w:t>
      </w:r>
    </w:p>
    <w:p w14:paraId="6239C402" w14:textId="77777777" w:rsidR="0025205B" w:rsidRDefault="002520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7"/>
        <w:gridCol w:w="2956"/>
        <w:gridCol w:w="1306"/>
        <w:gridCol w:w="1306"/>
        <w:gridCol w:w="1049"/>
        <w:gridCol w:w="1272"/>
      </w:tblGrid>
      <w:tr w:rsidR="0025205B" w14:paraId="3337FDBD" w14:textId="77777777" w:rsidTr="00CA5AAB">
        <w:trPr>
          <w:tblHeader/>
        </w:trPr>
        <w:tc>
          <w:tcPr>
            <w:tcW w:w="1687" w:type="dxa"/>
          </w:tcPr>
          <w:p w14:paraId="5D217636" w14:textId="77777777" w:rsidR="0025205B" w:rsidRDefault="0025205B">
            <w:pPr>
              <w:jc w:val="center"/>
              <w:rPr>
                <w:b/>
                <w:bCs/>
                <w:sz w:val="20"/>
              </w:rPr>
            </w:pPr>
            <w:r>
              <w:rPr>
                <w:b/>
                <w:bCs/>
                <w:sz w:val="20"/>
              </w:rPr>
              <w:lastRenderedPageBreak/>
              <w:t>SEC Form Number &amp;</w:t>
            </w:r>
          </w:p>
          <w:p w14:paraId="67C0EEA0" w14:textId="77777777" w:rsidR="0025205B" w:rsidRDefault="0025205B">
            <w:pPr>
              <w:jc w:val="center"/>
              <w:rPr>
                <w:b/>
                <w:bCs/>
                <w:sz w:val="20"/>
              </w:rPr>
            </w:pPr>
            <w:r>
              <w:rPr>
                <w:b/>
                <w:bCs/>
                <w:sz w:val="20"/>
              </w:rPr>
              <w:t>Burden Type</w:t>
            </w:r>
          </w:p>
        </w:tc>
        <w:tc>
          <w:tcPr>
            <w:tcW w:w="2956" w:type="dxa"/>
          </w:tcPr>
          <w:p w14:paraId="6F8F5760" w14:textId="77777777" w:rsidR="0025205B" w:rsidRDefault="0025205B">
            <w:pPr>
              <w:jc w:val="center"/>
              <w:rPr>
                <w:b/>
                <w:bCs/>
                <w:sz w:val="20"/>
              </w:rPr>
            </w:pPr>
            <w:r>
              <w:rPr>
                <w:b/>
                <w:bCs/>
                <w:sz w:val="20"/>
              </w:rPr>
              <w:t>SEC Report Title</w:t>
            </w:r>
          </w:p>
        </w:tc>
        <w:tc>
          <w:tcPr>
            <w:tcW w:w="1306" w:type="dxa"/>
          </w:tcPr>
          <w:p w14:paraId="6917E340" w14:textId="77777777" w:rsidR="0025205B" w:rsidRDefault="0025205B">
            <w:pPr>
              <w:pStyle w:val="ArticleNumber"/>
              <w:numPr>
                <w:ilvl w:val="0"/>
                <w:numId w:val="0"/>
              </w:numPr>
              <w:spacing w:line="240" w:lineRule="auto"/>
              <w:rPr>
                <w:b/>
                <w:bCs/>
                <w:sz w:val="20"/>
              </w:rPr>
            </w:pPr>
            <w:r>
              <w:rPr>
                <w:b/>
                <w:bCs/>
                <w:sz w:val="20"/>
              </w:rPr>
              <w:t>Number</w:t>
            </w:r>
          </w:p>
          <w:p w14:paraId="5476054F" w14:textId="77777777" w:rsidR="0025205B" w:rsidRDefault="0025205B">
            <w:pPr>
              <w:pStyle w:val="ArticleNumber"/>
              <w:numPr>
                <w:ilvl w:val="0"/>
                <w:numId w:val="0"/>
              </w:numPr>
              <w:spacing w:line="240" w:lineRule="auto"/>
              <w:rPr>
                <w:b/>
                <w:bCs/>
                <w:sz w:val="20"/>
              </w:rPr>
            </w:pPr>
            <w:r>
              <w:rPr>
                <w:b/>
                <w:bCs/>
                <w:sz w:val="20"/>
              </w:rPr>
              <w:t>of</w:t>
            </w:r>
          </w:p>
          <w:p w14:paraId="4EB69997" w14:textId="77777777" w:rsidR="0025205B" w:rsidRDefault="0025205B">
            <w:pPr>
              <w:pStyle w:val="ArticleNumber"/>
              <w:numPr>
                <w:ilvl w:val="0"/>
                <w:numId w:val="0"/>
              </w:numPr>
              <w:spacing w:line="240" w:lineRule="auto"/>
              <w:rPr>
                <w:b/>
                <w:bCs/>
                <w:sz w:val="20"/>
              </w:rPr>
            </w:pPr>
            <w:r>
              <w:rPr>
                <w:b/>
                <w:bCs/>
                <w:sz w:val="20"/>
              </w:rPr>
              <w:t>Respondents</w:t>
            </w:r>
          </w:p>
        </w:tc>
        <w:tc>
          <w:tcPr>
            <w:tcW w:w="1306" w:type="dxa"/>
          </w:tcPr>
          <w:p w14:paraId="4E2F134A" w14:textId="77777777" w:rsidR="005A097B" w:rsidRDefault="005A097B">
            <w:pPr>
              <w:pStyle w:val="ArticleNumber"/>
              <w:numPr>
                <w:ilvl w:val="0"/>
                <w:numId w:val="0"/>
              </w:numPr>
              <w:spacing w:line="240" w:lineRule="auto"/>
              <w:rPr>
                <w:b/>
                <w:bCs/>
                <w:sz w:val="20"/>
              </w:rPr>
            </w:pPr>
            <w:r>
              <w:rPr>
                <w:b/>
                <w:bCs/>
                <w:sz w:val="20"/>
              </w:rPr>
              <w:t>Total</w:t>
            </w:r>
          </w:p>
          <w:p w14:paraId="7F03EB20" w14:textId="77777777" w:rsidR="0025205B" w:rsidRDefault="0025205B">
            <w:pPr>
              <w:pStyle w:val="ArticleNumber"/>
              <w:numPr>
                <w:ilvl w:val="0"/>
                <w:numId w:val="0"/>
              </w:numPr>
              <w:spacing w:line="240" w:lineRule="auto"/>
              <w:rPr>
                <w:b/>
                <w:bCs/>
                <w:sz w:val="20"/>
              </w:rPr>
            </w:pPr>
            <w:r>
              <w:rPr>
                <w:b/>
                <w:bCs/>
                <w:sz w:val="20"/>
              </w:rPr>
              <w:t>Number</w:t>
            </w:r>
          </w:p>
          <w:p w14:paraId="54602462" w14:textId="77777777" w:rsidR="0025205B" w:rsidRDefault="0025205B">
            <w:pPr>
              <w:pStyle w:val="ArticleNumber"/>
              <w:numPr>
                <w:ilvl w:val="0"/>
                <w:numId w:val="0"/>
              </w:numPr>
              <w:spacing w:line="240" w:lineRule="auto"/>
              <w:rPr>
                <w:b/>
                <w:bCs/>
                <w:sz w:val="20"/>
              </w:rPr>
            </w:pPr>
            <w:r>
              <w:rPr>
                <w:b/>
                <w:bCs/>
                <w:sz w:val="20"/>
              </w:rPr>
              <w:t>of</w:t>
            </w:r>
          </w:p>
          <w:p w14:paraId="0760A3E3" w14:textId="77777777" w:rsidR="0025205B" w:rsidRDefault="0025205B">
            <w:pPr>
              <w:pStyle w:val="ArticleNumber"/>
              <w:numPr>
                <w:ilvl w:val="0"/>
                <w:numId w:val="0"/>
              </w:numPr>
              <w:spacing w:line="240" w:lineRule="auto"/>
              <w:rPr>
                <w:b/>
                <w:bCs/>
                <w:sz w:val="20"/>
              </w:rPr>
            </w:pPr>
            <w:r>
              <w:rPr>
                <w:b/>
                <w:bCs/>
                <w:sz w:val="20"/>
              </w:rPr>
              <w:t>Responses</w:t>
            </w:r>
          </w:p>
          <w:p w14:paraId="217BFE9A" w14:textId="77777777" w:rsidR="005A097B" w:rsidRDefault="005A097B">
            <w:pPr>
              <w:pStyle w:val="ArticleNumber"/>
              <w:numPr>
                <w:ilvl w:val="0"/>
                <w:numId w:val="0"/>
              </w:numPr>
              <w:spacing w:line="240" w:lineRule="auto"/>
              <w:rPr>
                <w:b/>
                <w:bCs/>
                <w:sz w:val="20"/>
              </w:rPr>
            </w:pPr>
            <w:r>
              <w:rPr>
                <w:b/>
                <w:bCs/>
                <w:sz w:val="20"/>
              </w:rPr>
              <w:t>For all</w:t>
            </w:r>
          </w:p>
          <w:p w14:paraId="2CE32A32" w14:textId="77777777" w:rsidR="005A097B" w:rsidRDefault="005A097B">
            <w:pPr>
              <w:pStyle w:val="ArticleNumber"/>
              <w:numPr>
                <w:ilvl w:val="0"/>
                <w:numId w:val="0"/>
              </w:numPr>
              <w:spacing w:line="240" w:lineRule="auto"/>
              <w:rPr>
                <w:b/>
                <w:bCs/>
                <w:sz w:val="20"/>
              </w:rPr>
            </w:pPr>
            <w:r>
              <w:rPr>
                <w:b/>
                <w:bCs/>
                <w:sz w:val="20"/>
              </w:rPr>
              <w:t>Respondents</w:t>
            </w:r>
          </w:p>
        </w:tc>
        <w:tc>
          <w:tcPr>
            <w:tcW w:w="1049" w:type="dxa"/>
          </w:tcPr>
          <w:p w14:paraId="21D6883F" w14:textId="77777777" w:rsidR="0025205B" w:rsidRDefault="0025205B">
            <w:pPr>
              <w:pStyle w:val="ArticleNumber"/>
              <w:numPr>
                <w:ilvl w:val="0"/>
                <w:numId w:val="0"/>
              </w:numPr>
              <w:spacing w:line="240" w:lineRule="auto"/>
              <w:rPr>
                <w:b/>
                <w:bCs/>
                <w:sz w:val="20"/>
              </w:rPr>
            </w:pPr>
            <w:r>
              <w:rPr>
                <w:b/>
                <w:bCs/>
                <w:sz w:val="20"/>
              </w:rPr>
              <w:t>Average</w:t>
            </w:r>
          </w:p>
          <w:p w14:paraId="3E35A8B0" w14:textId="77777777" w:rsidR="0025205B" w:rsidRDefault="0025205B">
            <w:pPr>
              <w:jc w:val="center"/>
              <w:rPr>
                <w:b/>
                <w:bCs/>
                <w:sz w:val="20"/>
              </w:rPr>
            </w:pPr>
            <w:r>
              <w:rPr>
                <w:b/>
                <w:bCs/>
                <w:sz w:val="20"/>
              </w:rPr>
              <w:t>Hours Per</w:t>
            </w:r>
          </w:p>
          <w:p w14:paraId="2B952C93" w14:textId="77777777" w:rsidR="0025205B" w:rsidRDefault="0025205B">
            <w:pPr>
              <w:jc w:val="center"/>
              <w:rPr>
                <w:b/>
                <w:bCs/>
                <w:sz w:val="20"/>
              </w:rPr>
            </w:pPr>
            <w:r>
              <w:rPr>
                <w:b/>
                <w:bCs/>
                <w:sz w:val="20"/>
              </w:rPr>
              <w:t>Response</w:t>
            </w:r>
          </w:p>
        </w:tc>
        <w:tc>
          <w:tcPr>
            <w:tcW w:w="1272" w:type="dxa"/>
          </w:tcPr>
          <w:p w14:paraId="14DBC591" w14:textId="77777777" w:rsidR="0025205B" w:rsidRDefault="0025205B">
            <w:pPr>
              <w:pStyle w:val="ArticleNumber"/>
              <w:numPr>
                <w:ilvl w:val="0"/>
                <w:numId w:val="0"/>
              </w:numPr>
              <w:spacing w:line="240" w:lineRule="auto"/>
              <w:rPr>
                <w:b/>
                <w:bCs/>
                <w:sz w:val="20"/>
              </w:rPr>
            </w:pPr>
            <w:r>
              <w:rPr>
                <w:b/>
                <w:bCs/>
                <w:sz w:val="20"/>
              </w:rPr>
              <w:t>Estimated</w:t>
            </w:r>
          </w:p>
          <w:p w14:paraId="4E370E10" w14:textId="77777777" w:rsidR="0025205B" w:rsidRDefault="0025205B">
            <w:pPr>
              <w:jc w:val="center"/>
              <w:rPr>
                <w:b/>
                <w:bCs/>
                <w:sz w:val="20"/>
              </w:rPr>
            </w:pPr>
            <w:r>
              <w:rPr>
                <w:b/>
                <w:bCs/>
                <w:sz w:val="20"/>
              </w:rPr>
              <w:t>Burden</w:t>
            </w:r>
          </w:p>
          <w:p w14:paraId="3123531B" w14:textId="77777777" w:rsidR="0025205B" w:rsidRDefault="0025205B">
            <w:pPr>
              <w:jc w:val="center"/>
              <w:rPr>
                <w:b/>
                <w:bCs/>
                <w:sz w:val="20"/>
              </w:rPr>
            </w:pPr>
            <w:r>
              <w:rPr>
                <w:b/>
                <w:bCs/>
                <w:sz w:val="20"/>
              </w:rPr>
              <w:t>Hours</w:t>
            </w:r>
          </w:p>
        </w:tc>
      </w:tr>
      <w:tr w:rsidR="0025205B" w14:paraId="15C51F20" w14:textId="77777777" w:rsidTr="00CA5AAB">
        <w:tc>
          <w:tcPr>
            <w:tcW w:w="1687" w:type="dxa"/>
          </w:tcPr>
          <w:p w14:paraId="060E07B7" w14:textId="77777777" w:rsidR="0025205B" w:rsidRDefault="0025205B">
            <w:pPr>
              <w:rPr>
                <w:sz w:val="20"/>
              </w:rPr>
            </w:pPr>
            <w:r>
              <w:rPr>
                <w:sz w:val="20"/>
              </w:rPr>
              <w:t>Form 3</w:t>
            </w:r>
          </w:p>
          <w:p w14:paraId="634AB8F7" w14:textId="77777777" w:rsidR="0025205B" w:rsidRDefault="0025205B">
            <w:pPr>
              <w:rPr>
                <w:sz w:val="20"/>
              </w:rPr>
            </w:pPr>
            <w:r>
              <w:rPr>
                <w:sz w:val="20"/>
              </w:rPr>
              <w:t>Reporting</w:t>
            </w:r>
          </w:p>
        </w:tc>
        <w:tc>
          <w:tcPr>
            <w:tcW w:w="2956" w:type="dxa"/>
          </w:tcPr>
          <w:p w14:paraId="44A6D27E" w14:textId="77777777" w:rsidR="0025205B" w:rsidRDefault="0025205B">
            <w:pPr>
              <w:rPr>
                <w:sz w:val="20"/>
              </w:rPr>
            </w:pPr>
            <w:r>
              <w:rPr>
                <w:sz w:val="20"/>
              </w:rPr>
              <w:t>Initial Report of Beneficial Ownership</w:t>
            </w:r>
          </w:p>
        </w:tc>
        <w:tc>
          <w:tcPr>
            <w:tcW w:w="1306" w:type="dxa"/>
          </w:tcPr>
          <w:p w14:paraId="4EE601CA" w14:textId="77777777" w:rsidR="0025205B" w:rsidRDefault="00753B8F" w:rsidP="005A097B">
            <w:pPr>
              <w:jc w:val="right"/>
              <w:rPr>
                <w:sz w:val="20"/>
              </w:rPr>
            </w:pPr>
            <w:r>
              <w:rPr>
                <w:sz w:val="20"/>
              </w:rPr>
              <w:t>4</w:t>
            </w:r>
          </w:p>
          <w:p w14:paraId="68DF904D" w14:textId="77777777" w:rsidR="00753B8F" w:rsidRDefault="00753B8F" w:rsidP="005A097B">
            <w:pPr>
              <w:jc w:val="right"/>
              <w:rPr>
                <w:sz w:val="20"/>
              </w:rPr>
            </w:pPr>
            <w:r>
              <w:rPr>
                <w:sz w:val="20"/>
              </w:rPr>
              <w:t>1 duplication</w:t>
            </w:r>
          </w:p>
        </w:tc>
        <w:tc>
          <w:tcPr>
            <w:tcW w:w="1306" w:type="dxa"/>
          </w:tcPr>
          <w:p w14:paraId="63AFC5B8" w14:textId="466201B5" w:rsidR="0025205B" w:rsidRDefault="00626FD0">
            <w:pPr>
              <w:jc w:val="right"/>
              <w:rPr>
                <w:sz w:val="20"/>
              </w:rPr>
            </w:pPr>
            <w:r>
              <w:rPr>
                <w:sz w:val="20"/>
              </w:rPr>
              <w:t>4</w:t>
            </w:r>
          </w:p>
        </w:tc>
        <w:tc>
          <w:tcPr>
            <w:tcW w:w="1049" w:type="dxa"/>
          </w:tcPr>
          <w:p w14:paraId="69410553" w14:textId="456B6A16" w:rsidR="0025205B" w:rsidRDefault="00626FD0">
            <w:pPr>
              <w:jc w:val="right"/>
              <w:rPr>
                <w:sz w:val="20"/>
              </w:rPr>
            </w:pPr>
            <w:r>
              <w:rPr>
                <w:sz w:val="20"/>
              </w:rPr>
              <w:t>0.5</w:t>
            </w:r>
            <w:r w:rsidR="0025205B">
              <w:rPr>
                <w:sz w:val="20"/>
              </w:rPr>
              <w:t xml:space="preserve"> hour</w:t>
            </w:r>
            <w:r w:rsidR="006A167E">
              <w:rPr>
                <w:sz w:val="20"/>
              </w:rPr>
              <w:t>s</w:t>
            </w:r>
          </w:p>
        </w:tc>
        <w:tc>
          <w:tcPr>
            <w:tcW w:w="1272" w:type="dxa"/>
          </w:tcPr>
          <w:p w14:paraId="7E76270D" w14:textId="000D7254" w:rsidR="0025205B" w:rsidRDefault="00626FD0" w:rsidP="00752FEE">
            <w:pPr>
              <w:jc w:val="right"/>
              <w:rPr>
                <w:sz w:val="20"/>
              </w:rPr>
            </w:pPr>
            <w:r>
              <w:rPr>
                <w:sz w:val="20"/>
              </w:rPr>
              <w:t>2</w:t>
            </w:r>
            <w:r w:rsidR="005A097B">
              <w:rPr>
                <w:sz w:val="20"/>
              </w:rPr>
              <w:t xml:space="preserve"> </w:t>
            </w:r>
            <w:r w:rsidR="0025205B">
              <w:rPr>
                <w:sz w:val="20"/>
              </w:rPr>
              <w:t>hour</w:t>
            </w:r>
            <w:r w:rsidR="00752FEE">
              <w:rPr>
                <w:sz w:val="20"/>
              </w:rPr>
              <w:t>s</w:t>
            </w:r>
          </w:p>
        </w:tc>
      </w:tr>
      <w:tr w:rsidR="0025205B" w14:paraId="5B859829" w14:textId="77777777" w:rsidTr="00CA5AAB">
        <w:tc>
          <w:tcPr>
            <w:tcW w:w="1687" w:type="dxa"/>
          </w:tcPr>
          <w:p w14:paraId="4647DCC6" w14:textId="77777777" w:rsidR="0025205B" w:rsidRDefault="0025205B">
            <w:pPr>
              <w:rPr>
                <w:sz w:val="20"/>
              </w:rPr>
            </w:pPr>
            <w:r>
              <w:rPr>
                <w:sz w:val="20"/>
              </w:rPr>
              <w:t>Form 4</w:t>
            </w:r>
          </w:p>
          <w:p w14:paraId="4DED8314" w14:textId="77777777" w:rsidR="0025205B" w:rsidRDefault="0025205B">
            <w:pPr>
              <w:rPr>
                <w:sz w:val="20"/>
              </w:rPr>
            </w:pPr>
            <w:r>
              <w:rPr>
                <w:sz w:val="20"/>
              </w:rPr>
              <w:t>Reporting</w:t>
            </w:r>
          </w:p>
        </w:tc>
        <w:tc>
          <w:tcPr>
            <w:tcW w:w="2956" w:type="dxa"/>
          </w:tcPr>
          <w:p w14:paraId="2BCA665E" w14:textId="77777777" w:rsidR="0025205B" w:rsidRDefault="0025205B">
            <w:pPr>
              <w:rPr>
                <w:sz w:val="20"/>
              </w:rPr>
            </w:pPr>
            <w:r>
              <w:rPr>
                <w:sz w:val="20"/>
              </w:rPr>
              <w:t>Statement of Changes in Beneficial Ownership</w:t>
            </w:r>
          </w:p>
        </w:tc>
        <w:tc>
          <w:tcPr>
            <w:tcW w:w="1306" w:type="dxa"/>
          </w:tcPr>
          <w:p w14:paraId="0EC5DE4C" w14:textId="1EE79F77" w:rsidR="0025205B" w:rsidRDefault="00753B8F">
            <w:pPr>
              <w:jc w:val="right"/>
              <w:rPr>
                <w:sz w:val="20"/>
              </w:rPr>
            </w:pPr>
            <w:r>
              <w:rPr>
                <w:sz w:val="20"/>
              </w:rPr>
              <w:t>33</w:t>
            </w:r>
          </w:p>
        </w:tc>
        <w:tc>
          <w:tcPr>
            <w:tcW w:w="1306" w:type="dxa"/>
          </w:tcPr>
          <w:p w14:paraId="57EDBB49" w14:textId="36DD4C62" w:rsidR="0025205B" w:rsidRDefault="00626FD0" w:rsidP="00626FD0">
            <w:pPr>
              <w:jc w:val="right"/>
              <w:rPr>
                <w:sz w:val="20"/>
              </w:rPr>
            </w:pPr>
            <w:r>
              <w:rPr>
                <w:sz w:val="20"/>
              </w:rPr>
              <w:t>144</w:t>
            </w:r>
          </w:p>
        </w:tc>
        <w:tc>
          <w:tcPr>
            <w:tcW w:w="1049" w:type="dxa"/>
          </w:tcPr>
          <w:p w14:paraId="5636C9C4" w14:textId="32098078" w:rsidR="0025205B" w:rsidRDefault="00626FD0">
            <w:pPr>
              <w:jc w:val="right"/>
              <w:rPr>
                <w:sz w:val="20"/>
              </w:rPr>
            </w:pPr>
            <w:r>
              <w:rPr>
                <w:sz w:val="20"/>
              </w:rPr>
              <w:t>0.5</w:t>
            </w:r>
            <w:r w:rsidR="0025205B">
              <w:rPr>
                <w:sz w:val="20"/>
              </w:rPr>
              <w:t xml:space="preserve"> hour</w:t>
            </w:r>
            <w:r w:rsidR="006A167E">
              <w:rPr>
                <w:sz w:val="20"/>
              </w:rPr>
              <w:t>s</w:t>
            </w:r>
          </w:p>
        </w:tc>
        <w:tc>
          <w:tcPr>
            <w:tcW w:w="1272" w:type="dxa"/>
          </w:tcPr>
          <w:p w14:paraId="0EE753C6" w14:textId="517D87B1" w:rsidR="0025205B" w:rsidRDefault="00626FD0">
            <w:pPr>
              <w:jc w:val="right"/>
              <w:rPr>
                <w:sz w:val="20"/>
              </w:rPr>
            </w:pPr>
            <w:r>
              <w:rPr>
                <w:sz w:val="20"/>
              </w:rPr>
              <w:t>72</w:t>
            </w:r>
            <w:r w:rsidR="0025205B">
              <w:rPr>
                <w:sz w:val="20"/>
              </w:rPr>
              <w:t xml:space="preserve"> hour</w:t>
            </w:r>
            <w:r w:rsidR="00752FEE">
              <w:rPr>
                <w:sz w:val="20"/>
              </w:rPr>
              <w:t>s</w:t>
            </w:r>
          </w:p>
        </w:tc>
      </w:tr>
      <w:tr w:rsidR="0025205B" w14:paraId="06A5BC3A" w14:textId="77777777" w:rsidTr="00CA5AAB">
        <w:tc>
          <w:tcPr>
            <w:tcW w:w="1687" w:type="dxa"/>
          </w:tcPr>
          <w:p w14:paraId="2F2B56CE" w14:textId="77777777" w:rsidR="0025205B" w:rsidRDefault="0025205B">
            <w:pPr>
              <w:rPr>
                <w:sz w:val="20"/>
              </w:rPr>
            </w:pPr>
            <w:r>
              <w:rPr>
                <w:sz w:val="20"/>
              </w:rPr>
              <w:t>Form 5</w:t>
            </w:r>
          </w:p>
          <w:p w14:paraId="2CADE49E" w14:textId="77777777" w:rsidR="0025205B" w:rsidRDefault="0025205B">
            <w:pPr>
              <w:rPr>
                <w:sz w:val="20"/>
              </w:rPr>
            </w:pPr>
            <w:r>
              <w:rPr>
                <w:sz w:val="20"/>
              </w:rPr>
              <w:t>Reporting</w:t>
            </w:r>
          </w:p>
        </w:tc>
        <w:tc>
          <w:tcPr>
            <w:tcW w:w="2956" w:type="dxa"/>
          </w:tcPr>
          <w:p w14:paraId="26285BB0" w14:textId="77777777" w:rsidR="0025205B" w:rsidRDefault="0025205B">
            <w:pPr>
              <w:rPr>
                <w:sz w:val="20"/>
              </w:rPr>
            </w:pPr>
            <w:r>
              <w:rPr>
                <w:sz w:val="20"/>
              </w:rPr>
              <w:t>Annual Report of Transactions</w:t>
            </w:r>
          </w:p>
        </w:tc>
        <w:tc>
          <w:tcPr>
            <w:tcW w:w="1306" w:type="dxa"/>
          </w:tcPr>
          <w:p w14:paraId="7552440E" w14:textId="57CB6EE3" w:rsidR="0025205B" w:rsidRDefault="00753B8F" w:rsidP="005A097B">
            <w:pPr>
              <w:jc w:val="right"/>
              <w:rPr>
                <w:sz w:val="20"/>
              </w:rPr>
            </w:pPr>
            <w:r>
              <w:rPr>
                <w:sz w:val="20"/>
              </w:rPr>
              <w:t>5</w:t>
            </w:r>
          </w:p>
          <w:p w14:paraId="7009B41C" w14:textId="77777777" w:rsidR="00753B8F" w:rsidRDefault="00753B8F" w:rsidP="00753B8F">
            <w:pPr>
              <w:jc w:val="right"/>
              <w:rPr>
                <w:sz w:val="20"/>
              </w:rPr>
            </w:pPr>
            <w:r>
              <w:rPr>
                <w:sz w:val="20"/>
              </w:rPr>
              <w:t>All duplications</w:t>
            </w:r>
          </w:p>
        </w:tc>
        <w:tc>
          <w:tcPr>
            <w:tcW w:w="1306" w:type="dxa"/>
          </w:tcPr>
          <w:p w14:paraId="3F4F8D15" w14:textId="3269CF49" w:rsidR="0025205B" w:rsidRDefault="00626FD0">
            <w:pPr>
              <w:jc w:val="right"/>
              <w:rPr>
                <w:sz w:val="20"/>
              </w:rPr>
            </w:pPr>
            <w:r>
              <w:rPr>
                <w:sz w:val="20"/>
              </w:rPr>
              <w:t>5</w:t>
            </w:r>
          </w:p>
        </w:tc>
        <w:tc>
          <w:tcPr>
            <w:tcW w:w="1049" w:type="dxa"/>
          </w:tcPr>
          <w:p w14:paraId="69E442A8" w14:textId="77777777" w:rsidR="0025205B" w:rsidRDefault="00626FD0">
            <w:pPr>
              <w:jc w:val="right"/>
              <w:rPr>
                <w:sz w:val="20"/>
              </w:rPr>
            </w:pPr>
            <w:r>
              <w:rPr>
                <w:sz w:val="20"/>
              </w:rPr>
              <w:t>1</w:t>
            </w:r>
            <w:r w:rsidR="0025205B">
              <w:rPr>
                <w:sz w:val="20"/>
              </w:rPr>
              <w:t xml:space="preserve"> hour</w:t>
            </w:r>
          </w:p>
        </w:tc>
        <w:tc>
          <w:tcPr>
            <w:tcW w:w="1272" w:type="dxa"/>
          </w:tcPr>
          <w:p w14:paraId="74DE13AD" w14:textId="2041EEAD" w:rsidR="0025205B" w:rsidRDefault="00626FD0" w:rsidP="00EC669B">
            <w:pPr>
              <w:jc w:val="right"/>
              <w:rPr>
                <w:sz w:val="20"/>
              </w:rPr>
            </w:pPr>
            <w:r>
              <w:rPr>
                <w:sz w:val="20"/>
              </w:rPr>
              <w:t>5</w:t>
            </w:r>
            <w:r w:rsidR="005A097B">
              <w:rPr>
                <w:sz w:val="20"/>
              </w:rPr>
              <w:t xml:space="preserve"> </w:t>
            </w:r>
            <w:r w:rsidR="0025205B">
              <w:rPr>
                <w:sz w:val="20"/>
              </w:rPr>
              <w:t>hour</w:t>
            </w:r>
          </w:p>
        </w:tc>
      </w:tr>
      <w:tr w:rsidR="0025205B" w14:paraId="3541CCF2" w14:textId="77777777" w:rsidTr="00CA5AAB">
        <w:tc>
          <w:tcPr>
            <w:tcW w:w="1687" w:type="dxa"/>
          </w:tcPr>
          <w:p w14:paraId="1F32B199" w14:textId="77777777" w:rsidR="0025205B" w:rsidRDefault="0025205B">
            <w:pPr>
              <w:rPr>
                <w:sz w:val="20"/>
              </w:rPr>
            </w:pPr>
            <w:r>
              <w:rPr>
                <w:sz w:val="20"/>
              </w:rPr>
              <w:t>Schedule 13D and Schedule 13G</w:t>
            </w:r>
          </w:p>
          <w:p w14:paraId="76D3FAB8" w14:textId="77777777" w:rsidR="0025205B" w:rsidRDefault="0025205B">
            <w:pPr>
              <w:rPr>
                <w:sz w:val="20"/>
              </w:rPr>
            </w:pPr>
            <w:r>
              <w:rPr>
                <w:sz w:val="20"/>
              </w:rPr>
              <w:t>Reporting</w:t>
            </w:r>
          </w:p>
        </w:tc>
        <w:tc>
          <w:tcPr>
            <w:tcW w:w="2956" w:type="dxa"/>
          </w:tcPr>
          <w:p w14:paraId="3D465144" w14:textId="77777777" w:rsidR="0025205B" w:rsidRDefault="0025205B">
            <w:pPr>
              <w:rPr>
                <w:sz w:val="20"/>
              </w:rPr>
            </w:pPr>
            <w:r>
              <w:rPr>
                <w:sz w:val="20"/>
              </w:rPr>
              <w:t>Acquisition Statement</w:t>
            </w:r>
          </w:p>
        </w:tc>
        <w:tc>
          <w:tcPr>
            <w:tcW w:w="1306" w:type="dxa"/>
          </w:tcPr>
          <w:p w14:paraId="4DA8713F" w14:textId="1C6E1D72" w:rsidR="0025205B" w:rsidRDefault="0025205B">
            <w:pPr>
              <w:jc w:val="right"/>
              <w:rPr>
                <w:sz w:val="20"/>
              </w:rPr>
            </w:pPr>
          </w:p>
          <w:p w14:paraId="520D6C08" w14:textId="77777777" w:rsidR="00753B8F" w:rsidRDefault="00753B8F">
            <w:pPr>
              <w:jc w:val="right"/>
              <w:rPr>
                <w:sz w:val="20"/>
              </w:rPr>
            </w:pPr>
          </w:p>
          <w:p w14:paraId="67F64931" w14:textId="77777777" w:rsidR="00753B8F" w:rsidRDefault="00753B8F">
            <w:pPr>
              <w:jc w:val="right"/>
              <w:rPr>
                <w:sz w:val="20"/>
              </w:rPr>
            </w:pPr>
            <w:r>
              <w:rPr>
                <w:sz w:val="20"/>
              </w:rPr>
              <w:t>4</w:t>
            </w:r>
          </w:p>
        </w:tc>
        <w:tc>
          <w:tcPr>
            <w:tcW w:w="1306" w:type="dxa"/>
          </w:tcPr>
          <w:p w14:paraId="6E62D848" w14:textId="476C538A" w:rsidR="00626FD0" w:rsidRDefault="00626FD0">
            <w:pPr>
              <w:jc w:val="right"/>
              <w:rPr>
                <w:sz w:val="20"/>
              </w:rPr>
            </w:pPr>
          </w:p>
          <w:p w14:paraId="6110292E" w14:textId="77777777" w:rsidR="00626FD0" w:rsidRDefault="00626FD0">
            <w:pPr>
              <w:jc w:val="right"/>
              <w:rPr>
                <w:sz w:val="20"/>
              </w:rPr>
            </w:pPr>
          </w:p>
          <w:p w14:paraId="4408C09F" w14:textId="77777777" w:rsidR="0025205B" w:rsidRDefault="00626FD0">
            <w:pPr>
              <w:jc w:val="right"/>
              <w:rPr>
                <w:sz w:val="20"/>
              </w:rPr>
            </w:pPr>
            <w:r>
              <w:rPr>
                <w:sz w:val="20"/>
              </w:rPr>
              <w:t>4</w:t>
            </w:r>
          </w:p>
        </w:tc>
        <w:tc>
          <w:tcPr>
            <w:tcW w:w="1049" w:type="dxa"/>
          </w:tcPr>
          <w:p w14:paraId="0B478D29" w14:textId="77777777" w:rsidR="00626FD0" w:rsidRDefault="00626FD0" w:rsidP="00752FEE">
            <w:pPr>
              <w:jc w:val="right"/>
              <w:rPr>
                <w:sz w:val="20"/>
              </w:rPr>
            </w:pPr>
            <w:r>
              <w:rPr>
                <w:sz w:val="20"/>
              </w:rPr>
              <w:t>12.5 hour</w:t>
            </w:r>
            <w:r w:rsidR="00752FEE">
              <w:rPr>
                <w:sz w:val="20"/>
              </w:rPr>
              <w:t>s</w:t>
            </w:r>
          </w:p>
        </w:tc>
        <w:tc>
          <w:tcPr>
            <w:tcW w:w="1272" w:type="dxa"/>
          </w:tcPr>
          <w:p w14:paraId="634A523D" w14:textId="77777777" w:rsidR="0025205B" w:rsidRDefault="00626FD0" w:rsidP="002C5025">
            <w:pPr>
              <w:jc w:val="right"/>
              <w:rPr>
                <w:sz w:val="20"/>
              </w:rPr>
            </w:pPr>
            <w:r>
              <w:rPr>
                <w:sz w:val="20"/>
              </w:rPr>
              <w:t>50</w:t>
            </w:r>
            <w:r w:rsidR="0025205B">
              <w:rPr>
                <w:sz w:val="20"/>
              </w:rPr>
              <w:t xml:space="preserve"> hours</w:t>
            </w:r>
          </w:p>
        </w:tc>
      </w:tr>
      <w:tr w:rsidR="0025205B" w14:paraId="40691B5C" w14:textId="77777777" w:rsidTr="00CA5AAB">
        <w:tc>
          <w:tcPr>
            <w:tcW w:w="1687" w:type="dxa"/>
          </w:tcPr>
          <w:p w14:paraId="38603123" w14:textId="77777777" w:rsidR="0025205B" w:rsidRDefault="0025205B">
            <w:pPr>
              <w:rPr>
                <w:sz w:val="20"/>
              </w:rPr>
            </w:pPr>
            <w:r>
              <w:rPr>
                <w:sz w:val="20"/>
              </w:rPr>
              <w:t>Form 10</w:t>
            </w:r>
          </w:p>
          <w:p w14:paraId="5D49E1A8" w14:textId="77777777" w:rsidR="0025205B" w:rsidRDefault="0025205B">
            <w:pPr>
              <w:rPr>
                <w:sz w:val="20"/>
              </w:rPr>
            </w:pPr>
            <w:r>
              <w:rPr>
                <w:sz w:val="20"/>
              </w:rPr>
              <w:t>Reporting</w:t>
            </w:r>
          </w:p>
        </w:tc>
        <w:tc>
          <w:tcPr>
            <w:tcW w:w="2956" w:type="dxa"/>
          </w:tcPr>
          <w:p w14:paraId="7662D0FB" w14:textId="77777777" w:rsidR="0025205B" w:rsidRDefault="0025205B">
            <w:pPr>
              <w:rPr>
                <w:sz w:val="20"/>
              </w:rPr>
            </w:pPr>
            <w:r>
              <w:rPr>
                <w:sz w:val="20"/>
              </w:rPr>
              <w:t>Registration Statement</w:t>
            </w:r>
          </w:p>
        </w:tc>
        <w:tc>
          <w:tcPr>
            <w:tcW w:w="1306" w:type="dxa"/>
          </w:tcPr>
          <w:p w14:paraId="47F81D0D" w14:textId="77777777" w:rsidR="0025205B" w:rsidRDefault="0025205B" w:rsidP="00753B8F">
            <w:pPr>
              <w:jc w:val="right"/>
              <w:rPr>
                <w:sz w:val="20"/>
              </w:rPr>
            </w:pPr>
            <w:r>
              <w:rPr>
                <w:sz w:val="20"/>
              </w:rPr>
              <w:t>1</w:t>
            </w:r>
          </w:p>
        </w:tc>
        <w:tc>
          <w:tcPr>
            <w:tcW w:w="1306" w:type="dxa"/>
          </w:tcPr>
          <w:p w14:paraId="147F5CE8" w14:textId="77777777" w:rsidR="0025205B" w:rsidRDefault="0025205B">
            <w:pPr>
              <w:jc w:val="right"/>
              <w:rPr>
                <w:sz w:val="20"/>
              </w:rPr>
            </w:pPr>
            <w:r>
              <w:rPr>
                <w:sz w:val="20"/>
              </w:rPr>
              <w:t>1</w:t>
            </w:r>
          </w:p>
        </w:tc>
        <w:tc>
          <w:tcPr>
            <w:tcW w:w="1049" w:type="dxa"/>
          </w:tcPr>
          <w:p w14:paraId="751BFA4F" w14:textId="52BFD983" w:rsidR="0025205B" w:rsidRDefault="00753B8F">
            <w:pPr>
              <w:jc w:val="right"/>
              <w:rPr>
                <w:sz w:val="20"/>
              </w:rPr>
            </w:pPr>
            <w:r>
              <w:rPr>
                <w:sz w:val="20"/>
              </w:rPr>
              <w:t>.218</w:t>
            </w:r>
            <w:r w:rsidR="0025205B">
              <w:rPr>
                <w:sz w:val="20"/>
              </w:rPr>
              <w:t xml:space="preserve"> hours</w:t>
            </w:r>
          </w:p>
        </w:tc>
        <w:tc>
          <w:tcPr>
            <w:tcW w:w="1272" w:type="dxa"/>
          </w:tcPr>
          <w:p w14:paraId="4D5E9439" w14:textId="250867F5" w:rsidR="0025205B" w:rsidRDefault="00753B8F">
            <w:pPr>
              <w:jc w:val="right"/>
              <w:rPr>
                <w:sz w:val="20"/>
              </w:rPr>
            </w:pPr>
            <w:r>
              <w:rPr>
                <w:sz w:val="20"/>
              </w:rPr>
              <w:t>.218</w:t>
            </w:r>
            <w:r w:rsidR="0025205B">
              <w:rPr>
                <w:sz w:val="20"/>
              </w:rPr>
              <w:t xml:space="preserve"> hours</w:t>
            </w:r>
          </w:p>
        </w:tc>
      </w:tr>
      <w:tr w:rsidR="0025205B" w14:paraId="68C42225" w14:textId="77777777" w:rsidTr="00CA5AAB">
        <w:tc>
          <w:tcPr>
            <w:tcW w:w="1687" w:type="dxa"/>
          </w:tcPr>
          <w:p w14:paraId="1B4B6B4C" w14:textId="77777777" w:rsidR="0025205B" w:rsidRDefault="0025205B">
            <w:pPr>
              <w:rPr>
                <w:sz w:val="20"/>
              </w:rPr>
            </w:pPr>
            <w:r>
              <w:rPr>
                <w:sz w:val="20"/>
              </w:rPr>
              <w:t>Form 10-K</w:t>
            </w:r>
          </w:p>
          <w:p w14:paraId="375FF20A" w14:textId="77777777" w:rsidR="0025205B" w:rsidRDefault="0025205B">
            <w:pPr>
              <w:rPr>
                <w:sz w:val="20"/>
              </w:rPr>
            </w:pPr>
            <w:r>
              <w:rPr>
                <w:sz w:val="20"/>
              </w:rPr>
              <w:t>Reporting</w:t>
            </w:r>
          </w:p>
        </w:tc>
        <w:tc>
          <w:tcPr>
            <w:tcW w:w="2956" w:type="dxa"/>
          </w:tcPr>
          <w:p w14:paraId="76D542A5" w14:textId="77777777" w:rsidR="0025205B" w:rsidRDefault="0025205B">
            <w:pPr>
              <w:rPr>
                <w:sz w:val="20"/>
              </w:rPr>
            </w:pPr>
            <w:r>
              <w:rPr>
                <w:sz w:val="20"/>
              </w:rPr>
              <w:t>Annual Report</w:t>
            </w:r>
          </w:p>
        </w:tc>
        <w:tc>
          <w:tcPr>
            <w:tcW w:w="1306" w:type="dxa"/>
          </w:tcPr>
          <w:p w14:paraId="6E6AAC0D" w14:textId="77777777" w:rsidR="0025205B" w:rsidRDefault="00753B8F">
            <w:pPr>
              <w:jc w:val="right"/>
              <w:rPr>
                <w:sz w:val="20"/>
              </w:rPr>
            </w:pPr>
            <w:r>
              <w:rPr>
                <w:sz w:val="20"/>
              </w:rPr>
              <w:t>1</w:t>
            </w:r>
          </w:p>
        </w:tc>
        <w:tc>
          <w:tcPr>
            <w:tcW w:w="1306" w:type="dxa"/>
          </w:tcPr>
          <w:p w14:paraId="0D574F29" w14:textId="77777777" w:rsidR="0025205B" w:rsidRDefault="00EC669B">
            <w:pPr>
              <w:jc w:val="right"/>
              <w:rPr>
                <w:sz w:val="20"/>
              </w:rPr>
            </w:pPr>
            <w:r>
              <w:rPr>
                <w:sz w:val="20"/>
              </w:rPr>
              <w:t>1</w:t>
            </w:r>
          </w:p>
        </w:tc>
        <w:tc>
          <w:tcPr>
            <w:tcW w:w="1049" w:type="dxa"/>
          </w:tcPr>
          <w:p w14:paraId="698482AD" w14:textId="77777777" w:rsidR="0025205B" w:rsidRDefault="0025205B">
            <w:pPr>
              <w:jc w:val="right"/>
              <w:rPr>
                <w:sz w:val="20"/>
              </w:rPr>
            </w:pPr>
            <w:r>
              <w:rPr>
                <w:sz w:val="20"/>
              </w:rPr>
              <w:t>40 hours</w:t>
            </w:r>
          </w:p>
        </w:tc>
        <w:tc>
          <w:tcPr>
            <w:tcW w:w="1272" w:type="dxa"/>
          </w:tcPr>
          <w:p w14:paraId="1B961C30" w14:textId="77777777" w:rsidR="0025205B" w:rsidRDefault="00EC669B">
            <w:pPr>
              <w:jc w:val="right"/>
              <w:rPr>
                <w:sz w:val="20"/>
              </w:rPr>
            </w:pPr>
            <w:r>
              <w:rPr>
                <w:sz w:val="20"/>
              </w:rPr>
              <w:t>40</w:t>
            </w:r>
            <w:r w:rsidR="0025205B">
              <w:rPr>
                <w:sz w:val="20"/>
              </w:rPr>
              <w:t xml:space="preserve"> hours</w:t>
            </w:r>
          </w:p>
        </w:tc>
      </w:tr>
      <w:tr w:rsidR="0025205B" w14:paraId="612E1596" w14:textId="77777777" w:rsidTr="00CA5AAB">
        <w:tc>
          <w:tcPr>
            <w:tcW w:w="1687" w:type="dxa"/>
          </w:tcPr>
          <w:p w14:paraId="475ED4EF" w14:textId="77777777" w:rsidR="0025205B" w:rsidRDefault="0025205B">
            <w:pPr>
              <w:rPr>
                <w:sz w:val="20"/>
              </w:rPr>
            </w:pPr>
            <w:r>
              <w:rPr>
                <w:sz w:val="20"/>
              </w:rPr>
              <w:t>Form 10-Q</w:t>
            </w:r>
          </w:p>
          <w:p w14:paraId="1C1BB975" w14:textId="77777777" w:rsidR="0025205B" w:rsidRDefault="0025205B">
            <w:pPr>
              <w:rPr>
                <w:sz w:val="20"/>
              </w:rPr>
            </w:pPr>
            <w:r>
              <w:rPr>
                <w:sz w:val="20"/>
              </w:rPr>
              <w:t>Reporting</w:t>
            </w:r>
          </w:p>
        </w:tc>
        <w:tc>
          <w:tcPr>
            <w:tcW w:w="2956" w:type="dxa"/>
          </w:tcPr>
          <w:p w14:paraId="6EA66ECE" w14:textId="77777777" w:rsidR="0025205B" w:rsidRDefault="0025205B">
            <w:pPr>
              <w:rPr>
                <w:sz w:val="20"/>
              </w:rPr>
            </w:pPr>
            <w:r>
              <w:rPr>
                <w:sz w:val="20"/>
              </w:rPr>
              <w:t>Quarterly Report</w:t>
            </w:r>
          </w:p>
        </w:tc>
        <w:tc>
          <w:tcPr>
            <w:tcW w:w="1306" w:type="dxa"/>
          </w:tcPr>
          <w:p w14:paraId="01F5C29C" w14:textId="77777777" w:rsidR="0025205B" w:rsidRDefault="00753B8F">
            <w:pPr>
              <w:jc w:val="right"/>
              <w:rPr>
                <w:sz w:val="20"/>
              </w:rPr>
            </w:pPr>
            <w:r>
              <w:rPr>
                <w:sz w:val="20"/>
              </w:rPr>
              <w:t>1</w:t>
            </w:r>
          </w:p>
        </w:tc>
        <w:tc>
          <w:tcPr>
            <w:tcW w:w="1306" w:type="dxa"/>
          </w:tcPr>
          <w:p w14:paraId="4C379231" w14:textId="4E88F506" w:rsidR="0025205B" w:rsidRDefault="00753B8F">
            <w:pPr>
              <w:jc w:val="right"/>
              <w:rPr>
                <w:sz w:val="20"/>
              </w:rPr>
            </w:pPr>
            <w:r>
              <w:rPr>
                <w:sz w:val="20"/>
              </w:rPr>
              <w:t>3</w:t>
            </w:r>
          </w:p>
        </w:tc>
        <w:tc>
          <w:tcPr>
            <w:tcW w:w="1049" w:type="dxa"/>
          </w:tcPr>
          <w:p w14:paraId="0AF05280" w14:textId="77777777" w:rsidR="0025205B" w:rsidRDefault="0025205B">
            <w:pPr>
              <w:jc w:val="right"/>
              <w:rPr>
                <w:sz w:val="20"/>
              </w:rPr>
            </w:pPr>
            <w:r>
              <w:rPr>
                <w:sz w:val="20"/>
              </w:rPr>
              <w:t>20 hours</w:t>
            </w:r>
          </w:p>
        </w:tc>
        <w:tc>
          <w:tcPr>
            <w:tcW w:w="1272" w:type="dxa"/>
          </w:tcPr>
          <w:p w14:paraId="4099A3CF" w14:textId="772CCAE8" w:rsidR="0025205B" w:rsidRDefault="00753B8F">
            <w:pPr>
              <w:jc w:val="right"/>
              <w:rPr>
                <w:sz w:val="20"/>
              </w:rPr>
            </w:pPr>
            <w:r>
              <w:rPr>
                <w:sz w:val="20"/>
              </w:rPr>
              <w:t>6</w:t>
            </w:r>
            <w:r w:rsidR="00EC669B">
              <w:rPr>
                <w:sz w:val="20"/>
              </w:rPr>
              <w:t>0</w:t>
            </w:r>
            <w:r w:rsidR="0025205B">
              <w:rPr>
                <w:sz w:val="20"/>
              </w:rPr>
              <w:t xml:space="preserve"> hours</w:t>
            </w:r>
          </w:p>
        </w:tc>
      </w:tr>
      <w:tr w:rsidR="0025205B" w14:paraId="3BEE8DCC" w14:textId="77777777" w:rsidTr="00CA5AAB">
        <w:tc>
          <w:tcPr>
            <w:tcW w:w="1687" w:type="dxa"/>
          </w:tcPr>
          <w:p w14:paraId="3FFF1015" w14:textId="77777777" w:rsidR="0025205B" w:rsidRDefault="0025205B">
            <w:pPr>
              <w:rPr>
                <w:sz w:val="20"/>
              </w:rPr>
            </w:pPr>
            <w:r>
              <w:rPr>
                <w:sz w:val="20"/>
              </w:rPr>
              <w:t>Schedules 14A and 14C</w:t>
            </w:r>
          </w:p>
          <w:p w14:paraId="3718C162" w14:textId="77777777" w:rsidR="0025205B" w:rsidRDefault="0025205B">
            <w:pPr>
              <w:rPr>
                <w:sz w:val="20"/>
              </w:rPr>
            </w:pPr>
            <w:r>
              <w:rPr>
                <w:sz w:val="20"/>
              </w:rPr>
              <w:t>Reporting</w:t>
            </w:r>
          </w:p>
        </w:tc>
        <w:tc>
          <w:tcPr>
            <w:tcW w:w="2956" w:type="dxa"/>
          </w:tcPr>
          <w:p w14:paraId="4BBF9894" w14:textId="77777777" w:rsidR="0025205B" w:rsidRDefault="0025205B">
            <w:pPr>
              <w:rPr>
                <w:sz w:val="20"/>
              </w:rPr>
            </w:pPr>
            <w:r>
              <w:rPr>
                <w:sz w:val="20"/>
              </w:rPr>
              <w:t>Proxy – Information Statement</w:t>
            </w:r>
          </w:p>
        </w:tc>
        <w:tc>
          <w:tcPr>
            <w:tcW w:w="1306" w:type="dxa"/>
          </w:tcPr>
          <w:p w14:paraId="104D46A7" w14:textId="77777777" w:rsidR="0025205B" w:rsidRDefault="00753B8F">
            <w:pPr>
              <w:jc w:val="right"/>
              <w:rPr>
                <w:sz w:val="20"/>
              </w:rPr>
            </w:pPr>
            <w:r>
              <w:rPr>
                <w:sz w:val="20"/>
              </w:rPr>
              <w:t>1</w:t>
            </w:r>
          </w:p>
        </w:tc>
        <w:tc>
          <w:tcPr>
            <w:tcW w:w="1306" w:type="dxa"/>
          </w:tcPr>
          <w:p w14:paraId="7F9C22D2" w14:textId="77777777" w:rsidR="0025205B" w:rsidRDefault="00EC669B">
            <w:pPr>
              <w:jc w:val="right"/>
              <w:rPr>
                <w:sz w:val="20"/>
              </w:rPr>
            </w:pPr>
            <w:r>
              <w:rPr>
                <w:sz w:val="20"/>
              </w:rPr>
              <w:t>1</w:t>
            </w:r>
          </w:p>
        </w:tc>
        <w:tc>
          <w:tcPr>
            <w:tcW w:w="1049" w:type="dxa"/>
          </w:tcPr>
          <w:p w14:paraId="23F0CE4C" w14:textId="0C711D6C" w:rsidR="0025205B" w:rsidRDefault="00753B8F">
            <w:pPr>
              <w:jc w:val="right"/>
              <w:rPr>
                <w:sz w:val="20"/>
              </w:rPr>
            </w:pPr>
            <w:r>
              <w:rPr>
                <w:sz w:val="20"/>
              </w:rPr>
              <w:t>20</w:t>
            </w:r>
            <w:r w:rsidR="0025205B">
              <w:rPr>
                <w:sz w:val="20"/>
              </w:rPr>
              <w:t xml:space="preserve"> hours</w:t>
            </w:r>
          </w:p>
        </w:tc>
        <w:tc>
          <w:tcPr>
            <w:tcW w:w="1272" w:type="dxa"/>
          </w:tcPr>
          <w:p w14:paraId="682704C3" w14:textId="6A826484" w:rsidR="0025205B" w:rsidRDefault="00753B8F">
            <w:pPr>
              <w:jc w:val="right"/>
              <w:rPr>
                <w:sz w:val="20"/>
              </w:rPr>
            </w:pPr>
            <w:r>
              <w:rPr>
                <w:sz w:val="20"/>
              </w:rPr>
              <w:t>20</w:t>
            </w:r>
            <w:r w:rsidR="0025205B">
              <w:rPr>
                <w:sz w:val="20"/>
              </w:rPr>
              <w:t xml:space="preserve"> hours</w:t>
            </w:r>
          </w:p>
        </w:tc>
      </w:tr>
      <w:tr w:rsidR="0025205B" w14:paraId="3DEDF88A" w14:textId="77777777" w:rsidTr="00CA5AAB">
        <w:tc>
          <w:tcPr>
            <w:tcW w:w="1687" w:type="dxa"/>
          </w:tcPr>
          <w:p w14:paraId="49C2A699" w14:textId="77777777" w:rsidR="0025205B" w:rsidRDefault="0025205B">
            <w:pPr>
              <w:rPr>
                <w:sz w:val="20"/>
              </w:rPr>
            </w:pPr>
            <w:r>
              <w:rPr>
                <w:sz w:val="20"/>
              </w:rPr>
              <w:t>Form 8-K</w:t>
            </w:r>
          </w:p>
          <w:p w14:paraId="4B7E0D1B" w14:textId="77777777" w:rsidR="0025205B" w:rsidRDefault="0025205B">
            <w:pPr>
              <w:rPr>
                <w:sz w:val="20"/>
              </w:rPr>
            </w:pPr>
            <w:r>
              <w:rPr>
                <w:sz w:val="20"/>
              </w:rPr>
              <w:t>Reporting</w:t>
            </w:r>
          </w:p>
        </w:tc>
        <w:tc>
          <w:tcPr>
            <w:tcW w:w="2956" w:type="dxa"/>
          </w:tcPr>
          <w:p w14:paraId="3DC99043" w14:textId="77777777" w:rsidR="0025205B" w:rsidRDefault="0025205B">
            <w:pPr>
              <w:rPr>
                <w:sz w:val="20"/>
              </w:rPr>
            </w:pPr>
            <w:r>
              <w:rPr>
                <w:sz w:val="20"/>
              </w:rPr>
              <w:t>Current Report</w:t>
            </w:r>
          </w:p>
        </w:tc>
        <w:tc>
          <w:tcPr>
            <w:tcW w:w="1306" w:type="dxa"/>
          </w:tcPr>
          <w:p w14:paraId="78B030CE" w14:textId="77777777" w:rsidR="0025205B" w:rsidRDefault="00753B8F">
            <w:pPr>
              <w:jc w:val="right"/>
              <w:rPr>
                <w:sz w:val="20"/>
              </w:rPr>
            </w:pPr>
            <w:r>
              <w:rPr>
                <w:sz w:val="20"/>
              </w:rPr>
              <w:t>1</w:t>
            </w:r>
          </w:p>
        </w:tc>
        <w:tc>
          <w:tcPr>
            <w:tcW w:w="1306" w:type="dxa"/>
          </w:tcPr>
          <w:p w14:paraId="1A4D4034" w14:textId="27570335" w:rsidR="0025205B" w:rsidRDefault="00753B8F">
            <w:pPr>
              <w:jc w:val="right"/>
              <w:rPr>
                <w:sz w:val="20"/>
              </w:rPr>
            </w:pPr>
            <w:r>
              <w:rPr>
                <w:sz w:val="20"/>
              </w:rPr>
              <w:t>9</w:t>
            </w:r>
          </w:p>
        </w:tc>
        <w:tc>
          <w:tcPr>
            <w:tcW w:w="1049" w:type="dxa"/>
          </w:tcPr>
          <w:p w14:paraId="20A4DDFD" w14:textId="633F713D" w:rsidR="0025205B" w:rsidRDefault="00655F96">
            <w:pPr>
              <w:jc w:val="right"/>
              <w:rPr>
                <w:sz w:val="20"/>
              </w:rPr>
            </w:pPr>
            <w:r>
              <w:rPr>
                <w:sz w:val="20"/>
              </w:rPr>
              <w:t>7.</w:t>
            </w:r>
            <w:r w:rsidR="00626FD0">
              <w:rPr>
                <w:sz w:val="20"/>
              </w:rPr>
              <w:t>1</w:t>
            </w:r>
            <w:r>
              <w:rPr>
                <w:sz w:val="20"/>
              </w:rPr>
              <w:t>7</w:t>
            </w:r>
            <w:r w:rsidR="0025205B">
              <w:rPr>
                <w:sz w:val="20"/>
              </w:rPr>
              <w:t xml:space="preserve"> hour</w:t>
            </w:r>
          </w:p>
        </w:tc>
        <w:tc>
          <w:tcPr>
            <w:tcW w:w="1272" w:type="dxa"/>
          </w:tcPr>
          <w:p w14:paraId="6FE4F73E" w14:textId="7393B4DB" w:rsidR="0025205B" w:rsidRDefault="00753B8F" w:rsidP="00753B8F">
            <w:pPr>
              <w:jc w:val="right"/>
              <w:rPr>
                <w:sz w:val="20"/>
              </w:rPr>
            </w:pPr>
            <w:r>
              <w:rPr>
                <w:sz w:val="20"/>
              </w:rPr>
              <w:t>64.53</w:t>
            </w:r>
            <w:r w:rsidR="0025205B">
              <w:rPr>
                <w:sz w:val="20"/>
              </w:rPr>
              <w:t xml:space="preserve"> hour</w:t>
            </w:r>
            <w:r>
              <w:rPr>
                <w:sz w:val="20"/>
              </w:rPr>
              <w:t>s</w:t>
            </w:r>
          </w:p>
        </w:tc>
      </w:tr>
      <w:tr w:rsidR="00CA5AAB" w14:paraId="437FEE9C" w14:textId="77777777" w:rsidTr="00CA5AAB">
        <w:tc>
          <w:tcPr>
            <w:tcW w:w="1687" w:type="dxa"/>
          </w:tcPr>
          <w:p w14:paraId="6D649913" w14:textId="77777777" w:rsidR="00CA5AAB" w:rsidRDefault="00CA5AAB">
            <w:pPr>
              <w:rPr>
                <w:sz w:val="20"/>
              </w:rPr>
            </w:pPr>
            <w:r>
              <w:rPr>
                <w:sz w:val="20"/>
              </w:rPr>
              <w:t>Form 15</w:t>
            </w:r>
          </w:p>
          <w:p w14:paraId="47517107" w14:textId="77777777" w:rsidR="00CA5AAB" w:rsidRDefault="00CA5AAB">
            <w:pPr>
              <w:rPr>
                <w:sz w:val="20"/>
              </w:rPr>
            </w:pPr>
            <w:r>
              <w:rPr>
                <w:sz w:val="20"/>
              </w:rPr>
              <w:t>Reporting</w:t>
            </w:r>
          </w:p>
        </w:tc>
        <w:tc>
          <w:tcPr>
            <w:tcW w:w="2956" w:type="dxa"/>
          </w:tcPr>
          <w:p w14:paraId="1A69EE97" w14:textId="77777777" w:rsidR="00CA5AAB" w:rsidRDefault="00CA5AAB">
            <w:pPr>
              <w:rPr>
                <w:sz w:val="20"/>
              </w:rPr>
            </w:pPr>
            <w:r>
              <w:rPr>
                <w:sz w:val="20"/>
              </w:rPr>
              <w:t>Certification and Notice of Termination of Registration</w:t>
            </w:r>
          </w:p>
        </w:tc>
        <w:tc>
          <w:tcPr>
            <w:tcW w:w="1306" w:type="dxa"/>
          </w:tcPr>
          <w:p w14:paraId="6CF2D08C" w14:textId="75689356" w:rsidR="00CA5AAB" w:rsidRDefault="002C5025">
            <w:pPr>
              <w:jc w:val="right"/>
              <w:rPr>
                <w:sz w:val="20"/>
              </w:rPr>
            </w:pPr>
            <w:r>
              <w:rPr>
                <w:sz w:val="20"/>
              </w:rPr>
              <w:t>0</w:t>
            </w:r>
          </w:p>
        </w:tc>
        <w:tc>
          <w:tcPr>
            <w:tcW w:w="1306" w:type="dxa"/>
          </w:tcPr>
          <w:p w14:paraId="3A3785D1" w14:textId="47E93ADC" w:rsidR="00CA5AAB" w:rsidRDefault="002C5025">
            <w:pPr>
              <w:jc w:val="right"/>
              <w:rPr>
                <w:sz w:val="20"/>
              </w:rPr>
            </w:pPr>
            <w:r>
              <w:rPr>
                <w:sz w:val="20"/>
              </w:rPr>
              <w:t>0</w:t>
            </w:r>
          </w:p>
        </w:tc>
        <w:tc>
          <w:tcPr>
            <w:tcW w:w="1049" w:type="dxa"/>
          </w:tcPr>
          <w:p w14:paraId="7F157F9C" w14:textId="77777777" w:rsidR="00CA5AAB" w:rsidRDefault="00CA5AAB" w:rsidP="00F7164A">
            <w:pPr>
              <w:jc w:val="right"/>
              <w:rPr>
                <w:sz w:val="20"/>
              </w:rPr>
            </w:pPr>
            <w:r>
              <w:rPr>
                <w:sz w:val="20"/>
              </w:rPr>
              <w:t>1 hour</w:t>
            </w:r>
          </w:p>
        </w:tc>
        <w:tc>
          <w:tcPr>
            <w:tcW w:w="1272" w:type="dxa"/>
          </w:tcPr>
          <w:p w14:paraId="76CD77F5" w14:textId="5983E40F" w:rsidR="00CA5AAB" w:rsidRDefault="002C5025" w:rsidP="00F7164A">
            <w:pPr>
              <w:jc w:val="right"/>
              <w:rPr>
                <w:sz w:val="20"/>
              </w:rPr>
            </w:pPr>
            <w:r>
              <w:rPr>
                <w:sz w:val="20"/>
              </w:rPr>
              <w:t>0 hours</w:t>
            </w:r>
          </w:p>
        </w:tc>
      </w:tr>
      <w:tr w:rsidR="00753B8F" w14:paraId="5ED1BA99" w14:textId="77777777" w:rsidTr="00CA5AAB">
        <w:tc>
          <w:tcPr>
            <w:tcW w:w="1687" w:type="dxa"/>
          </w:tcPr>
          <w:p w14:paraId="1DF1B336" w14:textId="77777777" w:rsidR="00753B8F" w:rsidRDefault="00753B8F" w:rsidP="00753B8F">
            <w:pPr>
              <w:rPr>
                <w:sz w:val="20"/>
              </w:rPr>
            </w:pPr>
            <w:r>
              <w:rPr>
                <w:sz w:val="20"/>
              </w:rPr>
              <w:t>Form l3F Reporting</w:t>
            </w:r>
          </w:p>
        </w:tc>
        <w:tc>
          <w:tcPr>
            <w:tcW w:w="2956" w:type="dxa"/>
          </w:tcPr>
          <w:p w14:paraId="5C74DE9B" w14:textId="77777777" w:rsidR="00753B8F" w:rsidRDefault="00753B8F">
            <w:pPr>
              <w:rPr>
                <w:sz w:val="20"/>
              </w:rPr>
            </w:pPr>
            <w:r>
              <w:rPr>
                <w:sz w:val="20"/>
              </w:rPr>
              <w:t>Reports of Institutional Investment Managers</w:t>
            </w:r>
          </w:p>
        </w:tc>
        <w:tc>
          <w:tcPr>
            <w:tcW w:w="1306" w:type="dxa"/>
          </w:tcPr>
          <w:p w14:paraId="0A8CBECC" w14:textId="77777777" w:rsidR="00753B8F" w:rsidRDefault="00753B8F">
            <w:pPr>
              <w:jc w:val="right"/>
              <w:rPr>
                <w:sz w:val="20"/>
              </w:rPr>
            </w:pPr>
            <w:r>
              <w:rPr>
                <w:sz w:val="20"/>
              </w:rPr>
              <w:t>1</w:t>
            </w:r>
          </w:p>
        </w:tc>
        <w:tc>
          <w:tcPr>
            <w:tcW w:w="1306" w:type="dxa"/>
          </w:tcPr>
          <w:p w14:paraId="54804D75" w14:textId="77777777" w:rsidR="00753B8F" w:rsidRDefault="00753B8F">
            <w:pPr>
              <w:jc w:val="right"/>
              <w:rPr>
                <w:sz w:val="20"/>
              </w:rPr>
            </w:pPr>
            <w:r>
              <w:rPr>
                <w:sz w:val="20"/>
              </w:rPr>
              <w:t>4</w:t>
            </w:r>
          </w:p>
        </w:tc>
        <w:tc>
          <w:tcPr>
            <w:tcW w:w="1049" w:type="dxa"/>
          </w:tcPr>
          <w:p w14:paraId="592867EE" w14:textId="77777777" w:rsidR="00753B8F" w:rsidRDefault="00753B8F" w:rsidP="00F7164A">
            <w:pPr>
              <w:jc w:val="right"/>
              <w:rPr>
                <w:sz w:val="20"/>
              </w:rPr>
            </w:pPr>
            <w:r>
              <w:rPr>
                <w:sz w:val="20"/>
              </w:rPr>
              <w:t>23.8 hours</w:t>
            </w:r>
          </w:p>
        </w:tc>
        <w:tc>
          <w:tcPr>
            <w:tcW w:w="1272" w:type="dxa"/>
          </w:tcPr>
          <w:p w14:paraId="7E27FAE9" w14:textId="77777777" w:rsidR="00753B8F" w:rsidRDefault="00753B8F" w:rsidP="00F7164A">
            <w:pPr>
              <w:jc w:val="right"/>
              <w:rPr>
                <w:sz w:val="20"/>
              </w:rPr>
            </w:pPr>
            <w:r>
              <w:rPr>
                <w:sz w:val="20"/>
              </w:rPr>
              <w:t>95.2 hours</w:t>
            </w:r>
          </w:p>
        </w:tc>
      </w:tr>
      <w:tr w:rsidR="0025205B" w14:paraId="7856522A" w14:textId="77777777" w:rsidTr="00CA5AAB">
        <w:tc>
          <w:tcPr>
            <w:tcW w:w="1687" w:type="dxa"/>
          </w:tcPr>
          <w:p w14:paraId="2EF06676" w14:textId="77777777" w:rsidR="0025205B" w:rsidRDefault="0025205B">
            <w:pPr>
              <w:rPr>
                <w:b/>
                <w:bCs/>
                <w:sz w:val="20"/>
              </w:rPr>
            </w:pPr>
            <w:r>
              <w:rPr>
                <w:b/>
                <w:bCs/>
                <w:sz w:val="20"/>
              </w:rPr>
              <w:t>Total</w:t>
            </w:r>
          </w:p>
        </w:tc>
        <w:tc>
          <w:tcPr>
            <w:tcW w:w="2956" w:type="dxa"/>
          </w:tcPr>
          <w:p w14:paraId="57977F67" w14:textId="77777777" w:rsidR="0025205B" w:rsidRDefault="0025205B">
            <w:pPr>
              <w:rPr>
                <w:b/>
                <w:bCs/>
                <w:sz w:val="20"/>
              </w:rPr>
            </w:pPr>
          </w:p>
        </w:tc>
        <w:tc>
          <w:tcPr>
            <w:tcW w:w="1306" w:type="dxa"/>
          </w:tcPr>
          <w:p w14:paraId="69FF77A5" w14:textId="2AEEB914" w:rsidR="00FD726F" w:rsidRDefault="00626FD0">
            <w:pPr>
              <w:jc w:val="right"/>
              <w:rPr>
                <w:b/>
                <w:bCs/>
                <w:sz w:val="20"/>
              </w:rPr>
            </w:pPr>
            <w:r>
              <w:rPr>
                <w:b/>
                <w:bCs/>
                <w:sz w:val="20"/>
              </w:rPr>
              <w:t>41</w:t>
            </w:r>
          </w:p>
          <w:p w14:paraId="089DDDFF" w14:textId="77777777" w:rsidR="0025205B" w:rsidRDefault="0025205B">
            <w:pPr>
              <w:jc w:val="right"/>
              <w:rPr>
                <w:b/>
                <w:bCs/>
                <w:sz w:val="20"/>
              </w:rPr>
            </w:pPr>
            <w:r>
              <w:rPr>
                <w:b/>
                <w:bCs/>
                <w:sz w:val="20"/>
              </w:rPr>
              <w:t>respondents</w:t>
            </w:r>
          </w:p>
        </w:tc>
        <w:tc>
          <w:tcPr>
            <w:tcW w:w="1306" w:type="dxa"/>
          </w:tcPr>
          <w:p w14:paraId="2B5A2614" w14:textId="77777777" w:rsidR="00FD726F" w:rsidRDefault="00626FD0">
            <w:pPr>
              <w:jc w:val="right"/>
              <w:rPr>
                <w:b/>
                <w:bCs/>
                <w:sz w:val="20"/>
              </w:rPr>
            </w:pPr>
            <w:r>
              <w:rPr>
                <w:b/>
                <w:bCs/>
                <w:sz w:val="20"/>
              </w:rPr>
              <w:t>176</w:t>
            </w:r>
          </w:p>
          <w:p w14:paraId="3C7387B6" w14:textId="11CEEB1A" w:rsidR="0025205B" w:rsidRDefault="0025205B">
            <w:pPr>
              <w:jc w:val="right"/>
              <w:rPr>
                <w:b/>
                <w:bCs/>
                <w:sz w:val="20"/>
              </w:rPr>
            </w:pPr>
            <w:r w:rsidRPr="00D30B07">
              <w:rPr>
                <w:b/>
                <w:sz w:val="20"/>
              </w:rPr>
              <w:t>responses</w:t>
            </w:r>
          </w:p>
        </w:tc>
        <w:tc>
          <w:tcPr>
            <w:tcW w:w="1049" w:type="dxa"/>
          </w:tcPr>
          <w:p w14:paraId="372A1EAB" w14:textId="77777777" w:rsidR="0025205B" w:rsidRDefault="0025205B">
            <w:pPr>
              <w:jc w:val="right"/>
              <w:rPr>
                <w:b/>
                <w:bCs/>
                <w:sz w:val="20"/>
              </w:rPr>
            </w:pPr>
          </w:p>
        </w:tc>
        <w:tc>
          <w:tcPr>
            <w:tcW w:w="1272" w:type="dxa"/>
          </w:tcPr>
          <w:p w14:paraId="33D100FF" w14:textId="77777777" w:rsidR="005711A5" w:rsidRDefault="00626FD0" w:rsidP="00626FD0">
            <w:pPr>
              <w:jc w:val="right"/>
              <w:rPr>
                <w:b/>
                <w:bCs/>
                <w:sz w:val="20"/>
              </w:rPr>
            </w:pPr>
            <w:r>
              <w:rPr>
                <w:b/>
                <w:bCs/>
                <w:sz w:val="20"/>
              </w:rPr>
              <w:t>408.948</w:t>
            </w:r>
          </w:p>
          <w:p w14:paraId="65E75FE2" w14:textId="741FFF8A" w:rsidR="002C5025" w:rsidRDefault="002C5025" w:rsidP="00626FD0">
            <w:pPr>
              <w:jc w:val="right"/>
              <w:rPr>
                <w:b/>
                <w:bCs/>
                <w:sz w:val="20"/>
              </w:rPr>
            </w:pPr>
            <w:r>
              <w:rPr>
                <w:b/>
                <w:bCs/>
                <w:sz w:val="20"/>
              </w:rPr>
              <w:t>hours</w:t>
            </w:r>
          </w:p>
        </w:tc>
      </w:tr>
    </w:tbl>
    <w:p w14:paraId="331FFB34" w14:textId="77777777" w:rsidR="00DF1674" w:rsidRDefault="00DF1674">
      <w:pPr>
        <w:rPr>
          <w:b/>
          <w:bCs/>
          <w:i/>
          <w:iCs/>
        </w:rPr>
      </w:pPr>
    </w:p>
    <w:p w14:paraId="6CF4C92A" w14:textId="77777777" w:rsidR="00DF1674" w:rsidRDefault="00DF1674">
      <w:pPr>
        <w:rPr>
          <w:b/>
          <w:bCs/>
          <w:i/>
          <w:iCs/>
        </w:rPr>
      </w:pPr>
    </w:p>
    <w:p w14:paraId="05D630D8" w14:textId="77777777" w:rsidR="0025205B" w:rsidRDefault="0025205B">
      <w:pPr>
        <w:rPr>
          <w:b/>
          <w:bCs/>
          <w:i/>
          <w:iCs/>
        </w:rPr>
      </w:pPr>
      <w:r>
        <w:rPr>
          <w:b/>
          <w:bCs/>
          <w:i/>
          <w:iCs/>
        </w:rPr>
        <w:t>Cost of Hour Burden to Respondents:</w:t>
      </w:r>
    </w:p>
    <w:p w14:paraId="051C8732" w14:textId="77777777" w:rsidR="000A40D6" w:rsidRDefault="000A40D6">
      <w:pPr>
        <w:rPr>
          <w:b/>
          <w:bCs/>
          <w:i/>
          <w:iCs/>
        </w:rPr>
      </w:pPr>
    </w:p>
    <w:p w14:paraId="0645D01D" w14:textId="25A11506" w:rsidR="003703CD" w:rsidRPr="003703CD" w:rsidRDefault="00FA7DA1">
      <w:pPr>
        <w:rPr>
          <w:b/>
          <w:bCs/>
          <w:iCs/>
        </w:rPr>
      </w:pPr>
      <w:r>
        <w:rPr>
          <w:b/>
          <w:bCs/>
          <w:iCs/>
        </w:rPr>
        <w:t>408.948 hours x $114 = $46,620.072</w:t>
      </w:r>
    </w:p>
    <w:p w14:paraId="3F4D9711" w14:textId="77777777" w:rsidR="003703CD" w:rsidRDefault="003703CD">
      <w:pPr>
        <w:rPr>
          <w:b/>
          <w:bCs/>
          <w:i/>
          <w:iCs/>
        </w:rPr>
      </w:pPr>
    </w:p>
    <w:p w14:paraId="5C1214FA" w14:textId="77777777" w:rsidR="00FA7DA1" w:rsidRDefault="00FA7DA1" w:rsidP="00FA7DA1">
      <w:pPr>
        <w:rPr>
          <w:szCs w:val="24"/>
        </w:rPr>
      </w:pPr>
      <w:r>
        <w:rPr>
          <w:szCs w:val="24"/>
        </w:rPr>
        <w:t xml:space="preserve">To estimate wages we reviewed May 2018 data for wages (by industry and occupation) from the U.S. Bureau of Labor Statistics (BLS) for credit intermediation and related activities excluding nondepository credit intermediaries (NAICS 5220A1). To estimate compensation costs associated with the rule, we use </w:t>
      </w:r>
      <w:r>
        <w:rPr>
          <w:bCs/>
          <w:szCs w:val="24"/>
        </w:rPr>
        <w:t>$114</w:t>
      </w:r>
      <w:r>
        <w:rPr>
          <w:szCs w:val="24"/>
        </w:rPr>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14:paraId="0E94C386" w14:textId="77777777" w:rsidR="00706369" w:rsidRDefault="00706369"/>
    <w:p w14:paraId="7C1DA718" w14:textId="77777777" w:rsidR="0025205B" w:rsidRDefault="0025205B">
      <w:r>
        <w:rPr>
          <w:b/>
          <w:bCs/>
          <w:i/>
          <w:iCs/>
        </w:rPr>
        <w:t>13.  Estimate of annualized costs to respondents:</w:t>
      </w:r>
    </w:p>
    <w:p w14:paraId="18A0457F" w14:textId="77777777" w:rsidR="0025205B" w:rsidRDefault="0025205B"/>
    <w:p w14:paraId="5796E3B0" w14:textId="77777777" w:rsidR="0025205B" w:rsidRDefault="0025205B" w:rsidP="001D60FE">
      <w:pPr>
        <w:ind w:firstLine="720"/>
      </w:pPr>
      <w:r>
        <w:t>None.</w:t>
      </w:r>
    </w:p>
    <w:p w14:paraId="52A9CCE0" w14:textId="77777777" w:rsidR="0025205B" w:rsidRDefault="0025205B"/>
    <w:p w14:paraId="0B942BA8" w14:textId="77777777" w:rsidR="005E20E8" w:rsidRDefault="005E20E8"/>
    <w:p w14:paraId="4E5B92C3" w14:textId="77777777" w:rsidR="005E20E8" w:rsidRDefault="005E20E8"/>
    <w:p w14:paraId="57258377" w14:textId="0F709C21" w:rsidR="0025205B" w:rsidRDefault="0025205B">
      <w:r>
        <w:rPr>
          <w:b/>
          <w:bCs/>
          <w:i/>
          <w:iCs/>
        </w:rPr>
        <w:t xml:space="preserve">14.  Estimate of annualized costs to the </w:t>
      </w:r>
      <w:r w:rsidR="00C20E2F">
        <w:rPr>
          <w:b/>
          <w:bCs/>
          <w:i/>
          <w:iCs/>
        </w:rPr>
        <w:t>f</w:t>
      </w:r>
      <w:r>
        <w:rPr>
          <w:b/>
          <w:bCs/>
          <w:i/>
          <w:iCs/>
        </w:rPr>
        <w:t>ederal government:</w:t>
      </w:r>
    </w:p>
    <w:p w14:paraId="5531611E" w14:textId="77777777" w:rsidR="0025205B" w:rsidRDefault="0025205B"/>
    <w:p w14:paraId="6267A386" w14:textId="77777777" w:rsidR="0025205B" w:rsidRDefault="0025205B" w:rsidP="001D60FE">
      <w:pPr>
        <w:ind w:firstLine="720"/>
      </w:pPr>
      <w:r>
        <w:t>None.</w:t>
      </w:r>
    </w:p>
    <w:p w14:paraId="3CF92D89" w14:textId="77777777" w:rsidR="0025205B" w:rsidRDefault="0025205B"/>
    <w:p w14:paraId="3E54C327" w14:textId="77777777" w:rsidR="0025205B" w:rsidRDefault="0025205B">
      <w:pPr>
        <w:rPr>
          <w:b/>
          <w:bCs/>
          <w:i/>
          <w:iCs/>
        </w:rPr>
      </w:pPr>
      <w:r>
        <w:rPr>
          <w:b/>
          <w:bCs/>
          <w:i/>
          <w:iCs/>
        </w:rPr>
        <w:t>15.  Changes in burden:</w:t>
      </w:r>
    </w:p>
    <w:p w14:paraId="54CF759A" w14:textId="77777777" w:rsidR="00343DB7" w:rsidRDefault="00343DB7">
      <w:pPr>
        <w:rPr>
          <w:b/>
          <w:bCs/>
          <w:i/>
          <w:iCs/>
        </w:rPr>
      </w:pPr>
    </w:p>
    <w:p w14:paraId="35DF64E5" w14:textId="77777777" w:rsidR="0025205B" w:rsidRDefault="0025205B">
      <w:pPr>
        <w:rPr>
          <w:u w:val="single"/>
        </w:rPr>
      </w:pPr>
      <w:r>
        <w:rPr>
          <w:u w:val="single"/>
        </w:rPr>
        <w:t>Former burden:</w:t>
      </w:r>
    </w:p>
    <w:p w14:paraId="562E77C3" w14:textId="77777777" w:rsidR="00E00AAD" w:rsidRDefault="00E00AAD">
      <w:pPr>
        <w:rPr>
          <w:u w:val="single"/>
        </w:rPr>
      </w:pPr>
    </w:p>
    <w:p w14:paraId="4FB5541F" w14:textId="77777777" w:rsidR="00F5418B" w:rsidRDefault="003A33E6" w:rsidP="00F5418B">
      <w:r>
        <w:t>10</w:t>
      </w:r>
      <w:r w:rsidR="00F5418B" w:rsidRPr="00E00AAD">
        <w:t xml:space="preserve"> respondents; </w:t>
      </w:r>
      <w:r w:rsidR="00F5418B">
        <w:t>117</w:t>
      </w:r>
      <w:r w:rsidR="00F5418B" w:rsidRPr="00E00AAD">
        <w:t xml:space="preserve"> burden hours</w:t>
      </w:r>
    </w:p>
    <w:p w14:paraId="7A6912C2" w14:textId="77777777" w:rsidR="00E00AAD" w:rsidRDefault="00E00AAD"/>
    <w:p w14:paraId="2C019317" w14:textId="77777777" w:rsidR="00E00AAD" w:rsidRDefault="0025205B" w:rsidP="00E00AAD">
      <w:pPr>
        <w:pStyle w:val="Heading3"/>
        <w:spacing w:before="0" w:after="0"/>
      </w:pPr>
      <w:r>
        <w:t>New burden</w:t>
      </w:r>
    </w:p>
    <w:p w14:paraId="5374A183" w14:textId="77777777" w:rsidR="00E00AAD" w:rsidRPr="00E00AAD" w:rsidRDefault="00E00AAD" w:rsidP="00E00AAD"/>
    <w:p w14:paraId="3C64F55B" w14:textId="77777777" w:rsidR="0025205B" w:rsidRDefault="003A33E6">
      <w:r>
        <w:t>41 respondents; 408.948 burden hours</w:t>
      </w:r>
    </w:p>
    <w:p w14:paraId="08258AF0" w14:textId="77777777" w:rsidR="003A33E6" w:rsidRDefault="003A33E6"/>
    <w:p w14:paraId="234FDBBA" w14:textId="77777777" w:rsidR="0025205B" w:rsidRDefault="0025205B">
      <w:pPr>
        <w:rPr>
          <w:u w:val="single"/>
        </w:rPr>
      </w:pPr>
      <w:r>
        <w:rPr>
          <w:u w:val="single"/>
        </w:rPr>
        <w:t>Difference:</w:t>
      </w:r>
    </w:p>
    <w:p w14:paraId="49AD2D6F" w14:textId="77777777" w:rsidR="00D0513A" w:rsidRDefault="00D0513A">
      <w:pPr>
        <w:rPr>
          <w:u w:val="single"/>
        </w:rPr>
      </w:pPr>
    </w:p>
    <w:p w14:paraId="13B4E460" w14:textId="77715E68" w:rsidR="003A33E6" w:rsidRDefault="00822424">
      <w:r>
        <w:t xml:space="preserve">+ </w:t>
      </w:r>
      <w:r w:rsidR="003A33E6">
        <w:t xml:space="preserve">31 respondents; </w:t>
      </w:r>
      <w:r>
        <w:t xml:space="preserve">+ </w:t>
      </w:r>
      <w:r w:rsidR="003A33E6">
        <w:t>291.948 burden hours</w:t>
      </w:r>
    </w:p>
    <w:p w14:paraId="1DAA03AE" w14:textId="77777777" w:rsidR="003A33E6" w:rsidRDefault="003A33E6"/>
    <w:p w14:paraId="1E5BE4A8" w14:textId="17D6F3D9" w:rsidR="003A33E6" w:rsidRPr="003A33E6" w:rsidRDefault="00822424">
      <w:r>
        <w:t>The increase in burden is due to the increase</w:t>
      </w:r>
      <w:r w:rsidR="003A33E6">
        <w:t xml:space="preserve"> in</w:t>
      </w:r>
      <w:r>
        <w:t xml:space="preserve"> the</w:t>
      </w:r>
      <w:r w:rsidR="003A33E6">
        <w:t xml:space="preserve"> number of filers</w:t>
      </w:r>
      <w:r w:rsidR="00FA712F">
        <w:t>.</w:t>
      </w:r>
      <w:r w:rsidR="003A33E6">
        <w:t xml:space="preserve"> </w:t>
      </w:r>
    </w:p>
    <w:p w14:paraId="465FCE95" w14:textId="77777777" w:rsidR="00E00AAD" w:rsidRDefault="00E00AAD"/>
    <w:p w14:paraId="648503E4" w14:textId="77777777" w:rsidR="0025205B" w:rsidRDefault="0025205B">
      <w:pPr>
        <w:pStyle w:val="BodyText2"/>
      </w:pPr>
      <w:r>
        <w:t>16.  Information regarding information collections whose results are planned to be published for statistical use:</w:t>
      </w:r>
    </w:p>
    <w:p w14:paraId="5DF332E5" w14:textId="77777777" w:rsidR="0025205B" w:rsidRDefault="0025205B"/>
    <w:p w14:paraId="55F458B3" w14:textId="77777777" w:rsidR="0025205B" w:rsidRDefault="0025205B" w:rsidP="001D60FE">
      <w:pPr>
        <w:ind w:firstLine="720"/>
      </w:pPr>
      <w:r>
        <w:t>Not applicable.</w:t>
      </w:r>
    </w:p>
    <w:p w14:paraId="19FBBF3E" w14:textId="77777777" w:rsidR="0025205B" w:rsidRDefault="0025205B"/>
    <w:p w14:paraId="69E47CCC" w14:textId="77777777" w:rsidR="0025205B" w:rsidRDefault="0025205B">
      <w:pPr>
        <w:pStyle w:val="BodyText2"/>
      </w:pPr>
      <w:r>
        <w:t>17.  Display of expiration date:</w:t>
      </w:r>
    </w:p>
    <w:p w14:paraId="7D947EB0" w14:textId="77777777" w:rsidR="0025205B" w:rsidRDefault="0025205B">
      <w:pPr>
        <w:rPr>
          <w:b/>
          <w:bCs/>
          <w:i/>
          <w:iCs/>
        </w:rPr>
      </w:pPr>
    </w:p>
    <w:p w14:paraId="44CD2B4F" w14:textId="77777777" w:rsidR="0025205B" w:rsidRDefault="0025205B" w:rsidP="001D60FE">
      <w:pPr>
        <w:ind w:firstLine="720"/>
      </w:pPr>
      <w:r>
        <w:t>Not applicable.</w:t>
      </w:r>
    </w:p>
    <w:p w14:paraId="0E035BD4" w14:textId="77777777" w:rsidR="001D60FE" w:rsidRDefault="001D60FE">
      <w:pPr>
        <w:pStyle w:val="BodyText2"/>
      </w:pPr>
    </w:p>
    <w:p w14:paraId="31E69D99" w14:textId="77777777" w:rsidR="0025205B" w:rsidRDefault="0025205B">
      <w:pPr>
        <w:pStyle w:val="BodyText2"/>
      </w:pPr>
      <w:r>
        <w:t>18.  Exceptions to certification statement:</w:t>
      </w:r>
    </w:p>
    <w:p w14:paraId="7738B84B" w14:textId="77777777" w:rsidR="0025205B" w:rsidRDefault="0025205B"/>
    <w:p w14:paraId="5602FA8C" w14:textId="77777777" w:rsidR="0025205B" w:rsidRDefault="0025205B" w:rsidP="001D60FE">
      <w:pPr>
        <w:ind w:firstLine="720"/>
      </w:pPr>
      <w:r>
        <w:t>None.</w:t>
      </w:r>
    </w:p>
    <w:p w14:paraId="4B52BCE0" w14:textId="77777777" w:rsidR="0025205B" w:rsidRDefault="0025205B"/>
    <w:p w14:paraId="4024CC6B" w14:textId="77777777" w:rsidR="0025205B" w:rsidRDefault="0025205B">
      <w:pPr>
        <w:pStyle w:val="BodyText"/>
      </w:pPr>
      <w:r>
        <w:t>B.  Collections of Information Employing Statistical Methods:</w:t>
      </w:r>
    </w:p>
    <w:p w14:paraId="5EC3060D" w14:textId="77777777" w:rsidR="0025205B" w:rsidRDefault="0025205B">
      <w:pPr>
        <w:rPr>
          <w:b/>
          <w:bCs/>
          <w:i/>
          <w:iCs/>
        </w:rPr>
      </w:pPr>
    </w:p>
    <w:p w14:paraId="7ACC111D" w14:textId="77777777" w:rsidR="0025205B" w:rsidRDefault="0025205B" w:rsidP="001D60FE">
      <w:pPr>
        <w:ind w:firstLine="720"/>
      </w:pPr>
      <w:r>
        <w:t>Not applicable.</w:t>
      </w:r>
    </w:p>
    <w:p w14:paraId="01B97110" w14:textId="77777777" w:rsidR="0025205B" w:rsidRDefault="0025205B"/>
    <w:p w14:paraId="4233191A" w14:textId="77777777" w:rsidR="0025205B" w:rsidRDefault="0025205B"/>
    <w:sectPr w:rsidR="0025205B" w:rsidSect="0010197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B873A" w14:textId="77777777" w:rsidR="00735F60" w:rsidRDefault="00735F60">
      <w:r>
        <w:separator/>
      </w:r>
    </w:p>
  </w:endnote>
  <w:endnote w:type="continuationSeparator" w:id="0">
    <w:p w14:paraId="54E0C067" w14:textId="77777777" w:rsidR="00735F60" w:rsidRDefault="00735F60">
      <w:r>
        <w:continuationSeparator/>
      </w:r>
    </w:p>
  </w:endnote>
  <w:endnote w:type="continuationNotice" w:id="1">
    <w:p w14:paraId="7BABC0A7" w14:textId="77777777" w:rsidR="00735F60" w:rsidRDefault="00735F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6EE3B" w14:textId="77777777" w:rsidR="00FE1C6E" w:rsidRDefault="0086028E">
    <w:pPr>
      <w:pStyle w:val="Footer"/>
      <w:framePr w:wrap="around" w:vAnchor="text" w:hAnchor="margin" w:xAlign="center" w:y="1"/>
      <w:rPr>
        <w:rStyle w:val="PageNumber"/>
      </w:rPr>
    </w:pPr>
    <w:r>
      <w:rPr>
        <w:rStyle w:val="PageNumber"/>
      </w:rPr>
      <w:fldChar w:fldCharType="begin"/>
    </w:r>
    <w:r w:rsidR="00FE1C6E">
      <w:rPr>
        <w:rStyle w:val="PageNumber"/>
      </w:rPr>
      <w:instrText xml:space="preserve">PAGE  </w:instrText>
    </w:r>
    <w:r>
      <w:rPr>
        <w:rStyle w:val="PageNumber"/>
      </w:rPr>
      <w:fldChar w:fldCharType="end"/>
    </w:r>
  </w:p>
  <w:p w14:paraId="62FE1091" w14:textId="77777777" w:rsidR="00FE1C6E" w:rsidRDefault="00FE1C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2BBF6" w14:textId="77777777" w:rsidR="00FE1C6E" w:rsidRDefault="0086028E">
    <w:pPr>
      <w:pStyle w:val="Footer"/>
      <w:framePr w:wrap="around" w:vAnchor="text" w:hAnchor="margin" w:xAlign="center" w:y="1"/>
      <w:rPr>
        <w:rStyle w:val="PageNumber"/>
      </w:rPr>
    </w:pPr>
    <w:r>
      <w:rPr>
        <w:rStyle w:val="PageNumber"/>
      </w:rPr>
      <w:fldChar w:fldCharType="begin"/>
    </w:r>
    <w:r w:rsidR="00FE1C6E">
      <w:rPr>
        <w:rStyle w:val="PageNumber"/>
      </w:rPr>
      <w:instrText xml:space="preserve">PAGE  </w:instrText>
    </w:r>
    <w:r>
      <w:rPr>
        <w:rStyle w:val="PageNumber"/>
      </w:rPr>
      <w:fldChar w:fldCharType="separate"/>
    </w:r>
    <w:r w:rsidR="00E67681">
      <w:rPr>
        <w:rStyle w:val="PageNumber"/>
        <w:noProof/>
      </w:rPr>
      <w:t>2</w:t>
    </w:r>
    <w:r>
      <w:rPr>
        <w:rStyle w:val="PageNumber"/>
      </w:rPr>
      <w:fldChar w:fldCharType="end"/>
    </w:r>
  </w:p>
  <w:p w14:paraId="1331C288" w14:textId="77777777" w:rsidR="00FE1C6E" w:rsidRDefault="00FE1C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D3464" w14:textId="77777777" w:rsidR="00FE1C6E" w:rsidRPr="005258FE" w:rsidRDefault="00FE1C6E">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7794D" w14:textId="77777777" w:rsidR="00735F60" w:rsidRDefault="00735F60">
      <w:r>
        <w:separator/>
      </w:r>
    </w:p>
  </w:footnote>
  <w:footnote w:type="continuationSeparator" w:id="0">
    <w:p w14:paraId="28F600AC" w14:textId="77777777" w:rsidR="00735F60" w:rsidRDefault="00735F60">
      <w:r>
        <w:continuationSeparator/>
      </w:r>
    </w:p>
  </w:footnote>
  <w:footnote w:type="continuationNotice" w:id="1">
    <w:p w14:paraId="7A8047E6" w14:textId="77777777" w:rsidR="00735F60" w:rsidRDefault="00735F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6CD52" w14:textId="77777777" w:rsidR="00FE1C6E" w:rsidRDefault="00FE1C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01FA7" w14:textId="77777777" w:rsidR="00FE1C6E" w:rsidRDefault="00FE1C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88828" w14:textId="77777777" w:rsidR="00FE1C6E" w:rsidRDefault="00FE1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069"/>
    <w:rsid w:val="0002745A"/>
    <w:rsid w:val="00035059"/>
    <w:rsid w:val="00035D65"/>
    <w:rsid w:val="000674C6"/>
    <w:rsid w:val="000A3AE3"/>
    <w:rsid w:val="000A40D6"/>
    <w:rsid w:val="00101974"/>
    <w:rsid w:val="00134816"/>
    <w:rsid w:val="00135236"/>
    <w:rsid w:val="00150AA5"/>
    <w:rsid w:val="001A213F"/>
    <w:rsid w:val="001A561E"/>
    <w:rsid w:val="001D245A"/>
    <w:rsid w:val="001D60FE"/>
    <w:rsid w:val="001F531E"/>
    <w:rsid w:val="00224B95"/>
    <w:rsid w:val="002437D1"/>
    <w:rsid w:val="0025205B"/>
    <w:rsid w:val="00274EA3"/>
    <w:rsid w:val="0028341A"/>
    <w:rsid w:val="002A40CB"/>
    <w:rsid w:val="002B4426"/>
    <w:rsid w:val="002C5025"/>
    <w:rsid w:val="00320C09"/>
    <w:rsid w:val="00343DB7"/>
    <w:rsid w:val="003703CD"/>
    <w:rsid w:val="00386920"/>
    <w:rsid w:val="00386F61"/>
    <w:rsid w:val="003A187E"/>
    <w:rsid w:val="003A33E6"/>
    <w:rsid w:val="003C0860"/>
    <w:rsid w:val="003C3723"/>
    <w:rsid w:val="003F5C0A"/>
    <w:rsid w:val="004320BF"/>
    <w:rsid w:val="00476ADF"/>
    <w:rsid w:val="0048368C"/>
    <w:rsid w:val="00483A4F"/>
    <w:rsid w:val="004A63F3"/>
    <w:rsid w:val="004B6452"/>
    <w:rsid w:val="004D30FC"/>
    <w:rsid w:val="004F6812"/>
    <w:rsid w:val="00511C5B"/>
    <w:rsid w:val="005258FE"/>
    <w:rsid w:val="005711A5"/>
    <w:rsid w:val="00591725"/>
    <w:rsid w:val="005956B7"/>
    <w:rsid w:val="005A097B"/>
    <w:rsid w:val="005C5069"/>
    <w:rsid w:val="005D0222"/>
    <w:rsid w:val="005E20E8"/>
    <w:rsid w:val="005F0966"/>
    <w:rsid w:val="005F0D37"/>
    <w:rsid w:val="00626FD0"/>
    <w:rsid w:val="00633DBF"/>
    <w:rsid w:val="00655F96"/>
    <w:rsid w:val="006A167E"/>
    <w:rsid w:val="006D3346"/>
    <w:rsid w:val="006E72F7"/>
    <w:rsid w:val="007038BF"/>
    <w:rsid w:val="00706369"/>
    <w:rsid w:val="00735F60"/>
    <w:rsid w:val="00752FEE"/>
    <w:rsid w:val="00753B8F"/>
    <w:rsid w:val="00776D2A"/>
    <w:rsid w:val="00797231"/>
    <w:rsid w:val="007D0620"/>
    <w:rsid w:val="00810B3F"/>
    <w:rsid w:val="00822424"/>
    <w:rsid w:val="008531A2"/>
    <w:rsid w:val="00856139"/>
    <w:rsid w:val="0085755D"/>
    <w:rsid w:val="0086028E"/>
    <w:rsid w:val="008F0D7C"/>
    <w:rsid w:val="009613E8"/>
    <w:rsid w:val="00972074"/>
    <w:rsid w:val="009B4C2B"/>
    <w:rsid w:val="009F0207"/>
    <w:rsid w:val="00A06384"/>
    <w:rsid w:val="00A16882"/>
    <w:rsid w:val="00A27D83"/>
    <w:rsid w:val="00A47B1D"/>
    <w:rsid w:val="00A63DE3"/>
    <w:rsid w:val="00A7195D"/>
    <w:rsid w:val="00A71A86"/>
    <w:rsid w:val="00A77642"/>
    <w:rsid w:val="00AA20E7"/>
    <w:rsid w:val="00AF60B0"/>
    <w:rsid w:val="00B45A63"/>
    <w:rsid w:val="00B46724"/>
    <w:rsid w:val="00B64D50"/>
    <w:rsid w:val="00B77577"/>
    <w:rsid w:val="00B92F67"/>
    <w:rsid w:val="00BB4412"/>
    <w:rsid w:val="00C20E2F"/>
    <w:rsid w:val="00C3471D"/>
    <w:rsid w:val="00C7139F"/>
    <w:rsid w:val="00C87B6B"/>
    <w:rsid w:val="00CA4C36"/>
    <w:rsid w:val="00CA5AAB"/>
    <w:rsid w:val="00CE567F"/>
    <w:rsid w:val="00D0513A"/>
    <w:rsid w:val="00D05D0B"/>
    <w:rsid w:val="00D1423B"/>
    <w:rsid w:val="00D23B6C"/>
    <w:rsid w:val="00D30B07"/>
    <w:rsid w:val="00D32F25"/>
    <w:rsid w:val="00D44997"/>
    <w:rsid w:val="00D74FDB"/>
    <w:rsid w:val="00D9412E"/>
    <w:rsid w:val="00D94DB0"/>
    <w:rsid w:val="00DA1F16"/>
    <w:rsid w:val="00DD12BF"/>
    <w:rsid w:val="00DD6EFD"/>
    <w:rsid w:val="00DE4272"/>
    <w:rsid w:val="00DE5CFB"/>
    <w:rsid w:val="00DE6310"/>
    <w:rsid w:val="00DF1674"/>
    <w:rsid w:val="00DF34F3"/>
    <w:rsid w:val="00DF3D1F"/>
    <w:rsid w:val="00E00AAD"/>
    <w:rsid w:val="00E545D7"/>
    <w:rsid w:val="00E67681"/>
    <w:rsid w:val="00EA1340"/>
    <w:rsid w:val="00EC669B"/>
    <w:rsid w:val="00ED05B2"/>
    <w:rsid w:val="00EE4B0C"/>
    <w:rsid w:val="00F319A1"/>
    <w:rsid w:val="00F5418B"/>
    <w:rsid w:val="00F64161"/>
    <w:rsid w:val="00F81839"/>
    <w:rsid w:val="00F87F2C"/>
    <w:rsid w:val="00F93F61"/>
    <w:rsid w:val="00FA712F"/>
    <w:rsid w:val="00FA76FA"/>
    <w:rsid w:val="00FA7DA1"/>
    <w:rsid w:val="00FC16A9"/>
    <w:rsid w:val="00FD726F"/>
    <w:rsid w:val="00FE17E3"/>
    <w:rsid w:val="00FE1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974"/>
    <w:rPr>
      <w:sz w:val="24"/>
    </w:rPr>
  </w:style>
  <w:style w:type="paragraph" w:styleId="Heading1">
    <w:name w:val="heading 1"/>
    <w:basedOn w:val="Normal"/>
    <w:next w:val="Normal"/>
    <w:qFormat/>
    <w:rsid w:val="00101974"/>
    <w:pPr>
      <w:keepNext/>
      <w:spacing w:before="240" w:after="60"/>
      <w:outlineLvl w:val="0"/>
    </w:pPr>
    <w:rPr>
      <w:b/>
      <w:kern w:val="28"/>
      <w:sz w:val="28"/>
    </w:rPr>
  </w:style>
  <w:style w:type="paragraph" w:styleId="Heading2">
    <w:name w:val="heading 2"/>
    <w:basedOn w:val="Normal"/>
    <w:next w:val="Normal"/>
    <w:qFormat/>
    <w:rsid w:val="00101974"/>
    <w:pPr>
      <w:keepNext/>
      <w:spacing w:before="240" w:after="60"/>
      <w:outlineLvl w:val="1"/>
    </w:pPr>
    <w:rPr>
      <w:b/>
    </w:rPr>
  </w:style>
  <w:style w:type="paragraph" w:styleId="Heading3">
    <w:name w:val="heading 3"/>
    <w:basedOn w:val="Normal"/>
    <w:next w:val="Normal"/>
    <w:qFormat/>
    <w:rsid w:val="00101974"/>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01974"/>
    <w:rPr>
      <w:vertAlign w:val="superscript"/>
    </w:rPr>
  </w:style>
  <w:style w:type="paragraph" w:styleId="FootnoteText">
    <w:name w:val="footnote text"/>
    <w:basedOn w:val="Normal"/>
    <w:semiHidden/>
    <w:rsid w:val="00101974"/>
    <w:rPr>
      <w:sz w:val="20"/>
    </w:rPr>
  </w:style>
  <w:style w:type="paragraph" w:customStyle="1" w:styleId="ArticleNumber">
    <w:name w:val="Article Number"/>
    <w:basedOn w:val="Normal"/>
    <w:rsid w:val="00101974"/>
    <w:pPr>
      <w:numPr>
        <w:numId w:val="16"/>
      </w:numPr>
      <w:spacing w:line="480" w:lineRule="auto"/>
      <w:jc w:val="center"/>
    </w:pPr>
  </w:style>
  <w:style w:type="paragraph" w:customStyle="1" w:styleId="ArticleLevel1">
    <w:name w:val="Article Level (1)"/>
    <w:basedOn w:val="Normal"/>
    <w:rsid w:val="00101974"/>
    <w:pPr>
      <w:numPr>
        <w:ilvl w:val="1"/>
        <w:numId w:val="13"/>
      </w:numPr>
      <w:tabs>
        <w:tab w:val="clear" w:pos="1080"/>
      </w:tabs>
      <w:spacing w:line="480" w:lineRule="auto"/>
    </w:pPr>
  </w:style>
  <w:style w:type="paragraph" w:customStyle="1" w:styleId="ArticleLevela">
    <w:name w:val="Article Level (a)"/>
    <w:basedOn w:val="Normal"/>
    <w:rsid w:val="00101974"/>
    <w:pPr>
      <w:numPr>
        <w:ilvl w:val="2"/>
        <w:numId w:val="14"/>
      </w:numPr>
      <w:tabs>
        <w:tab w:val="clear" w:pos="1440"/>
      </w:tabs>
      <w:spacing w:line="480" w:lineRule="auto"/>
      <w:ind w:left="2160"/>
    </w:pPr>
  </w:style>
  <w:style w:type="paragraph" w:customStyle="1" w:styleId="ArticleLeveli">
    <w:name w:val="Article Level (i)"/>
    <w:basedOn w:val="Normal"/>
    <w:rsid w:val="00101974"/>
    <w:pPr>
      <w:numPr>
        <w:ilvl w:val="3"/>
        <w:numId w:val="15"/>
      </w:numPr>
      <w:tabs>
        <w:tab w:val="clear" w:pos="2160"/>
      </w:tabs>
      <w:spacing w:line="480" w:lineRule="auto"/>
      <w:ind w:left="2880"/>
    </w:pPr>
  </w:style>
  <w:style w:type="paragraph" w:styleId="Title">
    <w:name w:val="Title"/>
    <w:basedOn w:val="Normal"/>
    <w:qFormat/>
    <w:rsid w:val="00101974"/>
    <w:pPr>
      <w:jc w:val="center"/>
    </w:pPr>
    <w:rPr>
      <w:b/>
      <w:bCs/>
    </w:rPr>
  </w:style>
  <w:style w:type="paragraph" w:styleId="BodyText">
    <w:name w:val="Body Text"/>
    <w:basedOn w:val="Normal"/>
    <w:rsid w:val="00101974"/>
    <w:rPr>
      <w:b/>
      <w:bCs/>
    </w:rPr>
  </w:style>
  <w:style w:type="paragraph" w:styleId="BodyText2">
    <w:name w:val="Body Text 2"/>
    <w:basedOn w:val="Normal"/>
    <w:rsid w:val="00101974"/>
    <w:rPr>
      <w:b/>
      <w:bCs/>
      <w:i/>
      <w:iCs/>
    </w:rPr>
  </w:style>
  <w:style w:type="paragraph" w:styleId="Footer">
    <w:name w:val="footer"/>
    <w:basedOn w:val="Normal"/>
    <w:rsid w:val="00101974"/>
    <w:pPr>
      <w:tabs>
        <w:tab w:val="center" w:pos="4320"/>
        <w:tab w:val="right" w:pos="8640"/>
      </w:tabs>
    </w:pPr>
  </w:style>
  <w:style w:type="character" w:styleId="PageNumber">
    <w:name w:val="page number"/>
    <w:basedOn w:val="DefaultParagraphFont"/>
    <w:rsid w:val="00101974"/>
  </w:style>
  <w:style w:type="paragraph" w:styleId="BalloonText">
    <w:name w:val="Balloon Text"/>
    <w:basedOn w:val="Normal"/>
    <w:semiHidden/>
    <w:rsid w:val="00D44997"/>
    <w:rPr>
      <w:rFonts w:ascii="Tahoma" w:hAnsi="Tahoma" w:cs="Tahoma"/>
      <w:sz w:val="16"/>
      <w:szCs w:val="16"/>
    </w:rPr>
  </w:style>
  <w:style w:type="paragraph" w:styleId="Header">
    <w:name w:val="header"/>
    <w:basedOn w:val="Normal"/>
    <w:link w:val="HeaderChar"/>
    <w:rsid w:val="005258FE"/>
    <w:pPr>
      <w:tabs>
        <w:tab w:val="center" w:pos="4680"/>
        <w:tab w:val="right" w:pos="9360"/>
      </w:tabs>
    </w:pPr>
  </w:style>
  <w:style w:type="character" w:customStyle="1" w:styleId="HeaderChar">
    <w:name w:val="Header Char"/>
    <w:basedOn w:val="DefaultParagraphFont"/>
    <w:link w:val="Header"/>
    <w:rsid w:val="005258FE"/>
    <w:rPr>
      <w:sz w:val="24"/>
    </w:rPr>
  </w:style>
  <w:style w:type="character" w:styleId="CommentReference">
    <w:name w:val="annotation reference"/>
    <w:basedOn w:val="DefaultParagraphFont"/>
    <w:semiHidden/>
    <w:unhideWhenUsed/>
    <w:rsid w:val="00C20E2F"/>
    <w:rPr>
      <w:sz w:val="16"/>
      <w:szCs w:val="16"/>
    </w:rPr>
  </w:style>
  <w:style w:type="paragraph" w:styleId="CommentText">
    <w:name w:val="annotation text"/>
    <w:basedOn w:val="Normal"/>
    <w:link w:val="CommentTextChar"/>
    <w:semiHidden/>
    <w:unhideWhenUsed/>
    <w:rsid w:val="00C20E2F"/>
    <w:rPr>
      <w:sz w:val="20"/>
    </w:rPr>
  </w:style>
  <w:style w:type="character" w:customStyle="1" w:styleId="CommentTextChar">
    <w:name w:val="Comment Text Char"/>
    <w:basedOn w:val="DefaultParagraphFont"/>
    <w:link w:val="CommentText"/>
    <w:semiHidden/>
    <w:rsid w:val="00C20E2F"/>
  </w:style>
  <w:style w:type="paragraph" w:styleId="CommentSubject">
    <w:name w:val="annotation subject"/>
    <w:basedOn w:val="CommentText"/>
    <w:next w:val="CommentText"/>
    <w:link w:val="CommentSubjectChar"/>
    <w:semiHidden/>
    <w:unhideWhenUsed/>
    <w:rsid w:val="00C20E2F"/>
    <w:rPr>
      <w:b/>
      <w:bCs/>
    </w:rPr>
  </w:style>
  <w:style w:type="character" w:customStyle="1" w:styleId="CommentSubjectChar">
    <w:name w:val="Comment Subject Char"/>
    <w:basedOn w:val="CommentTextChar"/>
    <w:link w:val="CommentSubject"/>
    <w:semiHidden/>
    <w:rsid w:val="00C20E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974"/>
    <w:rPr>
      <w:sz w:val="24"/>
    </w:rPr>
  </w:style>
  <w:style w:type="paragraph" w:styleId="Heading1">
    <w:name w:val="heading 1"/>
    <w:basedOn w:val="Normal"/>
    <w:next w:val="Normal"/>
    <w:qFormat/>
    <w:rsid w:val="00101974"/>
    <w:pPr>
      <w:keepNext/>
      <w:spacing w:before="240" w:after="60"/>
      <w:outlineLvl w:val="0"/>
    </w:pPr>
    <w:rPr>
      <w:b/>
      <w:kern w:val="28"/>
      <w:sz w:val="28"/>
    </w:rPr>
  </w:style>
  <w:style w:type="paragraph" w:styleId="Heading2">
    <w:name w:val="heading 2"/>
    <w:basedOn w:val="Normal"/>
    <w:next w:val="Normal"/>
    <w:qFormat/>
    <w:rsid w:val="00101974"/>
    <w:pPr>
      <w:keepNext/>
      <w:spacing w:before="240" w:after="60"/>
      <w:outlineLvl w:val="1"/>
    </w:pPr>
    <w:rPr>
      <w:b/>
    </w:rPr>
  </w:style>
  <w:style w:type="paragraph" w:styleId="Heading3">
    <w:name w:val="heading 3"/>
    <w:basedOn w:val="Normal"/>
    <w:next w:val="Normal"/>
    <w:qFormat/>
    <w:rsid w:val="00101974"/>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01974"/>
    <w:rPr>
      <w:vertAlign w:val="superscript"/>
    </w:rPr>
  </w:style>
  <w:style w:type="paragraph" w:styleId="FootnoteText">
    <w:name w:val="footnote text"/>
    <w:basedOn w:val="Normal"/>
    <w:semiHidden/>
    <w:rsid w:val="00101974"/>
    <w:rPr>
      <w:sz w:val="20"/>
    </w:rPr>
  </w:style>
  <w:style w:type="paragraph" w:customStyle="1" w:styleId="ArticleNumber">
    <w:name w:val="Article Number"/>
    <w:basedOn w:val="Normal"/>
    <w:rsid w:val="00101974"/>
    <w:pPr>
      <w:numPr>
        <w:numId w:val="16"/>
      </w:numPr>
      <w:spacing w:line="480" w:lineRule="auto"/>
      <w:jc w:val="center"/>
    </w:pPr>
  </w:style>
  <w:style w:type="paragraph" w:customStyle="1" w:styleId="ArticleLevel1">
    <w:name w:val="Article Level (1)"/>
    <w:basedOn w:val="Normal"/>
    <w:rsid w:val="00101974"/>
    <w:pPr>
      <w:numPr>
        <w:ilvl w:val="1"/>
        <w:numId w:val="13"/>
      </w:numPr>
      <w:tabs>
        <w:tab w:val="clear" w:pos="1080"/>
      </w:tabs>
      <w:spacing w:line="480" w:lineRule="auto"/>
    </w:pPr>
  </w:style>
  <w:style w:type="paragraph" w:customStyle="1" w:styleId="ArticleLevela">
    <w:name w:val="Article Level (a)"/>
    <w:basedOn w:val="Normal"/>
    <w:rsid w:val="00101974"/>
    <w:pPr>
      <w:numPr>
        <w:ilvl w:val="2"/>
        <w:numId w:val="14"/>
      </w:numPr>
      <w:tabs>
        <w:tab w:val="clear" w:pos="1440"/>
      </w:tabs>
      <w:spacing w:line="480" w:lineRule="auto"/>
      <w:ind w:left="2160"/>
    </w:pPr>
  </w:style>
  <w:style w:type="paragraph" w:customStyle="1" w:styleId="ArticleLeveli">
    <w:name w:val="Article Level (i)"/>
    <w:basedOn w:val="Normal"/>
    <w:rsid w:val="00101974"/>
    <w:pPr>
      <w:numPr>
        <w:ilvl w:val="3"/>
        <w:numId w:val="15"/>
      </w:numPr>
      <w:tabs>
        <w:tab w:val="clear" w:pos="2160"/>
      </w:tabs>
      <w:spacing w:line="480" w:lineRule="auto"/>
      <w:ind w:left="2880"/>
    </w:pPr>
  </w:style>
  <w:style w:type="paragraph" w:styleId="Title">
    <w:name w:val="Title"/>
    <w:basedOn w:val="Normal"/>
    <w:qFormat/>
    <w:rsid w:val="00101974"/>
    <w:pPr>
      <w:jc w:val="center"/>
    </w:pPr>
    <w:rPr>
      <w:b/>
      <w:bCs/>
    </w:rPr>
  </w:style>
  <w:style w:type="paragraph" w:styleId="BodyText">
    <w:name w:val="Body Text"/>
    <w:basedOn w:val="Normal"/>
    <w:rsid w:val="00101974"/>
    <w:rPr>
      <w:b/>
      <w:bCs/>
    </w:rPr>
  </w:style>
  <w:style w:type="paragraph" w:styleId="BodyText2">
    <w:name w:val="Body Text 2"/>
    <w:basedOn w:val="Normal"/>
    <w:rsid w:val="00101974"/>
    <w:rPr>
      <w:b/>
      <w:bCs/>
      <w:i/>
      <w:iCs/>
    </w:rPr>
  </w:style>
  <w:style w:type="paragraph" w:styleId="Footer">
    <w:name w:val="footer"/>
    <w:basedOn w:val="Normal"/>
    <w:rsid w:val="00101974"/>
    <w:pPr>
      <w:tabs>
        <w:tab w:val="center" w:pos="4320"/>
        <w:tab w:val="right" w:pos="8640"/>
      </w:tabs>
    </w:pPr>
  </w:style>
  <w:style w:type="character" w:styleId="PageNumber">
    <w:name w:val="page number"/>
    <w:basedOn w:val="DefaultParagraphFont"/>
    <w:rsid w:val="00101974"/>
  </w:style>
  <w:style w:type="paragraph" w:styleId="BalloonText">
    <w:name w:val="Balloon Text"/>
    <w:basedOn w:val="Normal"/>
    <w:semiHidden/>
    <w:rsid w:val="00D44997"/>
    <w:rPr>
      <w:rFonts w:ascii="Tahoma" w:hAnsi="Tahoma" w:cs="Tahoma"/>
      <w:sz w:val="16"/>
      <w:szCs w:val="16"/>
    </w:rPr>
  </w:style>
  <w:style w:type="paragraph" w:styleId="Header">
    <w:name w:val="header"/>
    <w:basedOn w:val="Normal"/>
    <w:link w:val="HeaderChar"/>
    <w:rsid w:val="005258FE"/>
    <w:pPr>
      <w:tabs>
        <w:tab w:val="center" w:pos="4680"/>
        <w:tab w:val="right" w:pos="9360"/>
      </w:tabs>
    </w:pPr>
  </w:style>
  <w:style w:type="character" w:customStyle="1" w:styleId="HeaderChar">
    <w:name w:val="Header Char"/>
    <w:basedOn w:val="DefaultParagraphFont"/>
    <w:link w:val="Header"/>
    <w:rsid w:val="005258FE"/>
    <w:rPr>
      <w:sz w:val="24"/>
    </w:rPr>
  </w:style>
  <w:style w:type="character" w:styleId="CommentReference">
    <w:name w:val="annotation reference"/>
    <w:basedOn w:val="DefaultParagraphFont"/>
    <w:semiHidden/>
    <w:unhideWhenUsed/>
    <w:rsid w:val="00C20E2F"/>
    <w:rPr>
      <w:sz w:val="16"/>
      <w:szCs w:val="16"/>
    </w:rPr>
  </w:style>
  <w:style w:type="paragraph" w:styleId="CommentText">
    <w:name w:val="annotation text"/>
    <w:basedOn w:val="Normal"/>
    <w:link w:val="CommentTextChar"/>
    <w:semiHidden/>
    <w:unhideWhenUsed/>
    <w:rsid w:val="00C20E2F"/>
    <w:rPr>
      <w:sz w:val="20"/>
    </w:rPr>
  </w:style>
  <w:style w:type="character" w:customStyle="1" w:styleId="CommentTextChar">
    <w:name w:val="Comment Text Char"/>
    <w:basedOn w:val="DefaultParagraphFont"/>
    <w:link w:val="CommentText"/>
    <w:semiHidden/>
    <w:rsid w:val="00C20E2F"/>
  </w:style>
  <w:style w:type="paragraph" w:styleId="CommentSubject">
    <w:name w:val="annotation subject"/>
    <w:basedOn w:val="CommentText"/>
    <w:next w:val="CommentText"/>
    <w:link w:val="CommentSubjectChar"/>
    <w:semiHidden/>
    <w:unhideWhenUsed/>
    <w:rsid w:val="00C20E2F"/>
    <w:rPr>
      <w:b/>
      <w:bCs/>
    </w:rPr>
  </w:style>
  <w:style w:type="character" w:customStyle="1" w:styleId="CommentSubjectChar">
    <w:name w:val="Comment Subject Char"/>
    <w:basedOn w:val="CommentTextChar"/>
    <w:link w:val="CommentSubject"/>
    <w:semiHidden/>
    <w:rsid w:val="00C20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55926">
      <w:bodyDiv w:val="1"/>
      <w:marLeft w:val="0"/>
      <w:marRight w:val="0"/>
      <w:marTop w:val="0"/>
      <w:marBottom w:val="0"/>
      <w:divBdr>
        <w:top w:val="none" w:sz="0" w:space="0" w:color="auto"/>
        <w:left w:val="none" w:sz="0" w:space="0" w:color="auto"/>
        <w:bottom w:val="none" w:sz="0" w:space="0" w:color="auto"/>
        <w:right w:val="none" w:sz="0" w:space="0" w:color="auto"/>
      </w:divBdr>
    </w:div>
    <w:div w:id="54029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7DA15-11B6-4BB1-A145-17A3995F4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Cite</vt:lpstr>
    </vt:vector>
  </TitlesOfParts>
  <Company>OCC</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Cite</dc:title>
  <dc:creator>Administrator</dc:creator>
  <cp:lastModifiedBy>SYSTEM</cp:lastModifiedBy>
  <cp:revision>2</cp:revision>
  <cp:lastPrinted>2019-07-29T20:36:00Z</cp:lastPrinted>
  <dcterms:created xsi:type="dcterms:W3CDTF">2019-09-04T14:36:00Z</dcterms:created>
  <dcterms:modified xsi:type="dcterms:W3CDTF">2019-09-04T14:36:00Z</dcterms:modified>
</cp:coreProperties>
</file>