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73506C" w:rsidRDefault="009C7F55" w:rsidP="00BD0F89">
      <w:pPr>
        <w:spacing w:after="0" w:line="240" w:lineRule="auto"/>
        <w:jc w:val="center"/>
        <w:rPr>
          <w:rFonts w:ascii="Times New Roman" w:hAnsi="Times New Roman"/>
          <w:sz w:val="26"/>
          <w:szCs w:val="26"/>
        </w:rPr>
      </w:pPr>
      <w:bookmarkStart w:id="0" w:name="_GoBack"/>
      <w:bookmarkEnd w:id="0"/>
      <w:r w:rsidRPr="0073506C">
        <w:rPr>
          <w:rFonts w:ascii="Times New Roman" w:hAnsi="Times New Roman"/>
          <w:sz w:val="26"/>
          <w:szCs w:val="26"/>
        </w:rPr>
        <w:t>Supporting Statement</w:t>
      </w:r>
      <w:r w:rsidR="002953E1" w:rsidRPr="0073506C">
        <w:rPr>
          <w:rFonts w:ascii="Times New Roman" w:hAnsi="Times New Roman"/>
          <w:sz w:val="26"/>
          <w:szCs w:val="26"/>
        </w:rPr>
        <w:t xml:space="preserve"> for</w:t>
      </w:r>
    </w:p>
    <w:p w14:paraId="21AA4489" w14:textId="44CB2A74" w:rsidR="009D3942" w:rsidRPr="0073506C" w:rsidRDefault="00DC516E" w:rsidP="00BD0F89">
      <w:pPr>
        <w:spacing w:after="0" w:line="240" w:lineRule="auto"/>
        <w:jc w:val="center"/>
        <w:rPr>
          <w:rFonts w:ascii="Times New Roman" w:hAnsi="Times New Roman"/>
          <w:b/>
          <w:sz w:val="26"/>
          <w:szCs w:val="26"/>
        </w:rPr>
      </w:pPr>
      <w:r w:rsidRPr="0073506C">
        <w:rPr>
          <w:rFonts w:ascii="Times New Roman" w:hAnsi="Times New Roman"/>
          <w:b/>
          <w:sz w:val="26"/>
          <w:szCs w:val="26"/>
        </w:rPr>
        <w:t xml:space="preserve">FERC Form Nos. 1, 1-F, and 3-Q (electric and natural gas) </w:t>
      </w:r>
    </w:p>
    <w:p w14:paraId="1C13F22C" w14:textId="77777777" w:rsidR="009D3942" w:rsidRPr="0073506C" w:rsidRDefault="009D3942" w:rsidP="00BD0F89">
      <w:pPr>
        <w:spacing w:after="0" w:line="240" w:lineRule="auto"/>
        <w:jc w:val="center"/>
        <w:rPr>
          <w:rFonts w:ascii="Times New Roman" w:hAnsi="Times New Roman"/>
          <w:b/>
          <w:sz w:val="26"/>
          <w:szCs w:val="26"/>
        </w:rPr>
      </w:pPr>
    </w:p>
    <w:p w14:paraId="443E3084" w14:textId="5E4E9204" w:rsidR="00856707" w:rsidRPr="0073506C" w:rsidRDefault="009C7F55" w:rsidP="00BD0F89">
      <w:pPr>
        <w:spacing w:after="0" w:line="240" w:lineRule="auto"/>
        <w:rPr>
          <w:rFonts w:ascii="Times New Roman" w:hAnsi="Times New Roman"/>
          <w:sz w:val="26"/>
          <w:szCs w:val="26"/>
        </w:rPr>
      </w:pPr>
      <w:r w:rsidRPr="0073506C">
        <w:rPr>
          <w:rFonts w:ascii="Times New Roman" w:hAnsi="Times New Roman"/>
          <w:sz w:val="26"/>
          <w:szCs w:val="26"/>
        </w:rPr>
        <w:t>The Federal Energy Regulatory Commission (</w:t>
      </w:r>
      <w:r w:rsidR="00D13613" w:rsidRPr="0073506C">
        <w:rPr>
          <w:rFonts w:ascii="Times New Roman" w:hAnsi="Times New Roman"/>
          <w:sz w:val="26"/>
          <w:szCs w:val="26"/>
        </w:rPr>
        <w:t xml:space="preserve">Commission or </w:t>
      </w:r>
      <w:r w:rsidRPr="0073506C">
        <w:rPr>
          <w:rFonts w:ascii="Times New Roman" w:hAnsi="Times New Roman"/>
          <w:sz w:val="26"/>
          <w:szCs w:val="26"/>
        </w:rPr>
        <w:t>FERC) requests the Office of Management and Budget (OMB) approv</w:t>
      </w:r>
      <w:r w:rsidR="00EB790F" w:rsidRPr="0073506C">
        <w:rPr>
          <w:rFonts w:ascii="Times New Roman" w:hAnsi="Times New Roman"/>
          <w:sz w:val="26"/>
          <w:szCs w:val="26"/>
        </w:rPr>
        <w:t>e</w:t>
      </w:r>
      <w:r w:rsidRPr="0073506C">
        <w:rPr>
          <w:rFonts w:ascii="Times New Roman" w:hAnsi="Times New Roman"/>
          <w:sz w:val="26"/>
          <w:szCs w:val="26"/>
        </w:rPr>
        <w:t xml:space="preserve"> </w:t>
      </w:r>
      <w:r w:rsidR="00DC516E" w:rsidRPr="0073506C">
        <w:rPr>
          <w:rFonts w:ascii="Times New Roman" w:hAnsi="Times New Roman"/>
          <w:sz w:val="26"/>
          <w:szCs w:val="26"/>
        </w:rPr>
        <w:t>FERC Form Nos. 1, 1-F, and 3-</w:t>
      </w:r>
      <w:r w:rsidR="00AE4AE7" w:rsidRPr="0073506C">
        <w:rPr>
          <w:rFonts w:ascii="Times New Roman" w:hAnsi="Times New Roman"/>
          <w:sz w:val="26"/>
          <w:szCs w:val="26"/>
        </w:rPr>
        <w:t xml:space="preserve">Q </w:t>
      </w:r>
      <w:r w:rsidR="00641282">
        <w:rPr>
          <w:rFonts w:ascii="Times New Roman" w:hAnsi="Times New Roman"/>
          <w:sz w:val="26"/>
          <w:szCs w:val="26"/>
        </w:rPr>
        <w:t xml:space="preserve">(electric and gas) </w:t>
      </w:r>
      <w:r w:rsidR="00DC516E" w:rsidRPr="0073506C">
        <w:rPr>
          <w:rFonts w:ascii="Times New Roman" w:hAnsi="Times New Roman"/>
          <w:sz w:val="26"/>
          <w:szCs w:val="26"/>
        </w:rPr>
        <w:t>for three years.</w:t>
      </w:r>
      <w:r w:rsidR="00DC516E" w:rsidRPr="0073506C">
        <w:rPr>
          <w:rStyle w:val="FootnoteReference"/>
          <w:rFonts w:ascii="Times New Roman" w:hAnsi="Times New Roman"/>
          <w:sz w:val="26"/>
          <w:szCs w:val="26"/>
          <w:vertAlign w:val="superscript"/>
        </w:rPr>
        <w:footnoteReference w:id="2"/>
      </w:r>
      <w:r w:rsidR="00DC516E" w:rsidRPr="0073506C">
        <w:rPr>
          <w:rFonts w:ascii="Times New Roman" w:hAnsi="Times New Roman"/>
          <w:sz w:val="26"/>
          <w:szCs w:val="26"/>
          <w:vertAlign w:val="superscript"/>
        </w:rPr>
        <w:t xml:space="preserve"> </w:t>
      </w:r>
      <w:r w:rsidR="00DC516E" w:rsidRPr="0073506C">
        <w:rPr>
          <w:rFonts w:ascii="Times New Roman" w:hAnsi="Times New Roman"/>
          <w:sz w:val="26"/>
          <w:szCs w:val="26"/>
        </w:rPr>
        <w:t xml:space="preserve">  There are no changes to the reporting requirements for these existing information collections:</w:t>
      </w:r>
    </w:p>
    <w:p w14:paraId="03BDC987" w14:textId="77777777" w:rsidR="00613ECA" w:rsidRPr="0073506C" w:rsidRDefault="00613ECA" w:rsidP="00BD0F89">
      <w:pPr>
        <w:spacing w:after="0" w:line="240" w:lineRule="auto"/>
        <w:rPr>
          <w:rFonts w:ascii="Times New Roman" w:hAnsi="Times New Roman"/>
          <w:sz w:val="26"/>
          <w:szCs w:val="26"/>
        </w:rPr>
      </w:pPr>
    </w:p>
    <w:p w14:paraId="22E8E7AF" w14:textId="6E63FA6A" w:rsidR="008F711B" w:rsidRPr="0073506C" w:rsidRDefault="00532CEA" w:rsidP="00BD0F89">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Pr="0073506C">
        <w:rPr>
          <w:rFonts w:ascii="Times New Roman" w:hAnsi="Times New Roman"/>
          <w:sz w:val="26"/>
          <w:szCs w:val="26"/>
        </w:rPr>
        <w:t>1 (also called FERC-1) (</w:t>
      </w:r>
      <w:r w:rsidR="008F711B" w:rsidRPr="0073506C">
        <w:rPr>
          <w:rFonts w:ascii="Times New Roman" w:hAnsi="Times New Roman"/>
          <w:sz w:val="26"/>
          <w:szCs w:val="26"/>
        </w:rPr>
        <w:t>Annual Report of Major Electric Utilities, Licensees and Others</w:t>
      </w:r>
      <w:r w:rsidR="00DE1ED3" w:rsidRPr="0073506C">
        <w:rPr>
          <w:rFonts w:ascii="Times New Roman" w:hAnsi="Times New Roman"/>
          <w:sz w:val="26"/>
          <w:szCs w:val="26"/>
        </w:rPr>
        <w:t>;</w:t>
      </w:r>
      <w:r w:rsidRPr="0073506C">
        <w:rPr>
          <w:rFonts w:ascii="Times New Roman" w:hAnsi="Times New Roman"/>
          <w:sz w:val="26"/>
          <w:szCs w:val="26"/>
        </w:rPr>
        <w:t xml:space="preserve"> OMB Control No. 1902-00</w:t>
      </w:r>
      <w:r w:rsidR="008F711B" w:rsidRPr="0073506C">
        <w:rPr>
          <w:rFonts w:ascii="Times New Roman" w:hAnsi="Times New Roman"/>
          <w:sz w:val="26"/>
          <w:szCs w:val="26"/>
        </w:rPr>
        <w:t>21</w:t>
      </w:r>
      <w:r w:rsidRPr="0073506C">
        <w:rPr>
          <w:rFonts w:ascii="Times New Roman" w:hAnsi="Times New Roman"/>
          <w:sz w:val="26"/>
          <w:szCs w:val="26"/>
        </w:rPr>
        <w:t>)</w:t>
      </w:r>
    </w:p>
    <w:p w14:paraId="5C0CDB6C" w14:textId="29BA2045" w:rsidR="00532CEA" w:rsidRPr="0073506C" w:rsidRDefault="00532CEA" w:rsidP="00BD0F89">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00D24757" w:rsidRPr="0073506C">
        <w:rPr>
          <w:rFonts w:ascii="Times New Roman" w:hAnsi="Times New Roman"/>
          <w:sz w:val="26"/>
          <w:szCs w:val="26"/>
        </w:rPr>
        <w:t>1-F</w:t>
      </w:r>
      <w:r w:rsidRPr="0073506C">
        <w:rPr>
          <w:rFonts w:ascii="Times New Roman" w:hAnsi="Times New Roman"/>
          <w:sz w:val="26"/>
          <w:szCs w:val="26"/>
        </w:rPr>
        <w:t xml:space="preserve"> (also called FERC-1F) (Annual Report for Nonmajor Public Utilities and Licensees</w:t>
      </w:r>
      <w:r w:rsidR="00DE1ED3" w:rsidRPr="0073506C">
        <w:rPr>
          <w:rFonts w:ascii="Times New Roman" w:hAnsi="Times New Roman"/>
          <w:sz w:val="26"/>
          <w:szCs w:val="26"/>
        </w:rPr>
        <w:t>;</w:t>
      </w:r>
      <w:r w:rsidRPr="0073506C">
        <w:rPr>
          <w:rFonts w:ascii="Times New Roman" w:hAnsi="Times New Roman"/>
          <w:sz w:val="26"/>
          <w:szCs w:val="26"/>
        </w:rPr>
        <w:t xml:space="preserve"> OMB Control No. 1902-0029)</w:t>
      </w:r>
    </w:p>
    <w:p w14:paraId="6E58B520" w14:textId="0C8AA4AE" w:rsidR="003E74C9" w:rsidRPr="0073506C" w:rsidRDefault="003E74C9" w:rsidP="00EA431C">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Pr="0073506C">
        <w:rPr>
          <w:rFonts w:ascii="Times New Roman" w:hAnsi="Times New Roman"/>
          <w:sz w:val="26"/>
          <w:szCs w:val="26"/>
        </w:rPr>
        <w:t xml:space="preserve">3-Q (also called FERC-3Q, </w:t>
      </w:r>
      <w:r w:rsidR="00EA431C" w:rsidRPr="00EA431C">
        <w:rPr>
          <w:rFonts w:ascii="Times New Roman" w:hAnsi="Times New Roman"/>
          <w:sz w:val="26"/>
          <w:szCs w:val="26"/>
        </w:rPr>
        <w:t xml:space="preserve">Quarterly </w:t>
      </w:r>
      <w:r w:rsidR="00EA431C">
        <w:rPr>
          <w:rFonts w:ascii="Times New Roman" w:hAnsi="Times New Roman"/>
          <w:sz w:val="26"/>
          <w:szCs w:val="26"/>
        </w:rPr>
        <w:t>F</w:t>
      </w:r>
      <w:r w:rsidR="00EA431C" w:rsidRPr="00EA431C">
        <w:rPr>
          <w:rFonts w:ascii="Times New Roman" w:hAnsi="Times New Roman"/>
          <w:sz w:val="26"/>
          <w:szCs w:val="26"/>
        </w:rPr>
        <w:t xml:space="preserve">inancial </w:t>
      </w:r>
      <w:r w:rsidR="00EA431C">
        <w:rPr>
          <w:rFonts w:ascii="Times New Roman" w:hAnsi="Times New Roman"/>
          <w:sz w:val="26"/>
          <w:szCs w:val="26"/>
        </w:rPr>
        <w:t>R</w:t>
      </w:r>
      <w:r w:rsidR="00EA431C" w:rsidRPr="00EA431C">
        <w:rPr>
          <w:rFonts w:ascii="Times New Roman" w:hAnsi="Times New Roman"/>
          <w:sz w:val="26"/>
          <w:szCs w:val="26"/>
        </w:rPr>
        <w:t xml:space="preserve">eport of </w:t>
      </w:r>
      <w:r w:rsidR="00EA431C">
        <w:rPr>
          <w:rFonts w:ascii="Times New Roman" w:hAnsi="Times New Roman"/>
          <w:sz w:val="26"/>
          <w:szCs w:val="26"/>
        </w:rPr>
        <w:t>E</w:t>
      </w:r>
      <w:r w:rsidR="00EA431C" w:rsidRPr="00EA431C">
        <w:rPr>
          <w:rFonts w:ascii="Times New Roman" w:hAnsi="Times New Roman"/>
          <w:sz w:val="26"/>
          <w:szCs w:val="26"/>
        </w:rPr>
        <w:t xml:space="preserve">lectric </w:t>
      </w:r>
      <w:r w:rsidR="00EA431C">
        <w:rPr>
          <w:rFonts w:ascii="Times New Roman" w:hAnsi="Times New Roman"/>
          <w:sz w:val="26"/>
          <w:szCs w:val="26"/>
        </w:rPr>
        <w:t>U</w:t>
      </w:r>
      <w:r w:rsidR="00EA431C" w:rsidRPr="00EA431C">
        <w:rPr>
          <w:rFonts w:ascii="Times New Roman" w:hAnsi="Times New Roman"/>
          <w:sz w:val="26"/>
          <w:szCs w:val="26"/>
        </w:rPr>
        <w:t xml:space="preserve">tilities, </w:t>
      </w:r>
      <w:r w:rsidR="00EA431C">
        <w:rPr>
          <w:rFonts w:ascii="Times New Roman" w:hAnsi="Times New Roman"/>
          <w:sz w:val="26"/>
          <w:szCs w:val="26"/>
        </w:rPr>
        <w:t>L</w:t>
      </w:r>
      <w:r w:rsidR="00EA431C" w:rsidRPr="00EA431C">
        <w:rPr>
          <w:rFonts w:ascii="Times New Roman" w:hAnsi="Times New Roman"/>
          <w:sz w:val="26"/>
          <w:szCs w:val="26"/>
        </w:rPr>
        <w:t xml:space="preserve">icensees, and </w:t>
      </w:r>
      <w:r w:rsidR="00EA431C">
        <w:rPr>
          <w:rFonts w:ascii="Times New Roman" w:hAnsi="Times New Roman"/>
          <w:sz w:val="26"/>
          <w:szCs w:val="26"/>
        </w:rPr>
        <w:t>N</w:t>
      </w:r>
      <w:r w:rsidR="00EA431C" w:rsidRPr="00EA431C">
        <w:rPr>
          <w:rFonts w:ascii="Times New Roman" w:hAnsi="Times New Roman"/>
          <w:sz w:val="26"/>
          <w:szCs w:val="26"/>
        </w:rPr>
        <w:t xml:space="preserve">atural </w:t>
      </w:r>
      <w:r w:rsidR="00EA431C">
        <w:rPr>
          <w:rFonts w:ascii="Times New Roman" w:hAnsi="Times New Roman"/>
          <w:sz w:val="26"/>
          <w:szCs w:val="26"/>
        </w:rPr>
        <w:t>G</w:t>
      </w:r>
      <w:r w:rsidR="00EA431C" w:rsidRPr="00EA431C">
        <w:rPr>
          <w:rFonts w:ascii="Times New Roman" w:hAnsi="Times New Roman"/>
          <w:sz w:val="26"/>
          <w:szCs w:val="26"/>
        </w:rPr>
        <w:t xml:space="preserve">as </w:t>
      </w:r>
      <w:r w:rsidR="00EA431C">
        <w:rPr>
          <w:rFonts w:ascii="Times New Roman" w:hAnsi="Times New Roman"/>
          <w:sz w:val="26"/>
          <w:szCs w:val="26"/>
        </w:rPr>
        <w:t>C</w:t>
      </w:r>
      <w:r w:rsidR="00EA431C" w:rsidRPr="00EA431C">
        <w:rPr>
          <w:rFonts w:ascii="Times New Roman" w:hAnsi="Times New Roman"/>
          <w:sz w:val="26"/>
          <w:szCs w:val="26"/>
        </w:rPr>
        <w:t>ompanies</w:t>
      </w:r>
      <w:r w:rsidRPr="0073506C">
        <w:rPr>
          <w:rFonts w:ascii="Times New Roman" w:hAnsi="Times New Roman"/>
          <w:sz w:val="26"/>
          <w:szCs w:val="26"/>
        </w:rPr>
        <w:t>; OMB Control No. 1902-0205)</w:t>
      </w:r>
      <w:r w:rsidR="00AE4AE7" w:rsidRPr="0073506C">
        <w:rPr>
          <w:rFonts w:ascii="Times New Roman" w:hAnsi="Times New Roman"/>
          <w:sz w:val="26"/>
          <w:szCs w:val="26"/>
        </w:rPr>
        <w:t xml:space="preserve"> </w:t>
      </w:r>
    </w:p>
    <w:p w14:paraId="5C2987BB" w14:textId="77777777" w:rsidR="003E74C9" w:rsidRPr="0073506C" w:rsidRDefault="003E74C9" w:rsidP="003E74C9">
      <w:pPr>
        <w:pStyle w:val="ListParagraph"/>
        <w:numPr>
          <w:ilvl w:val="1"/>
          <w:numId w:val="18"/>
        </w:numPr>
        <w:spacing w:line="240" w:lineRule="auto"/>
        <w:rPr>
          <w:rFonts w:ascii="Times New Roman" w:hAnsi="Times New Roman"/>
          <w:sz w:val="26"/>
          <w:szCs w:val="26"/>
        </w:rPr>
      </w:pPr>
      <w:r w:rsidRPr="0073506C">
        <w:rPr>
          <w:rFonts w:ascii="Times New Roman" w:hAnsi="Times New Roman"/>
          <w:sz w:val="26"/>
          <w:szCs w:val="26"/>
        </w:rPr>
        <w:t xml:space="preserve">Form </w:t>
      </w:r>
      <w:r w:rsidR="0008302B" w:rsidRPr="0073506C">
        <w:rPr>
          <w:rFonts w:ascii="Times New Roman" w:hAnsi="Times New Roman"/>
          <w:sz w:val="26"/>
          <w:szCs w:val="26"/>
        </w:rPr>
        <w:t xml:space="preserve">No. </w:t>
      </w:r>
      <w:r w:rsidRPr="0073506C">
        <w:rPr>
          <w:rFonts w:ascii="Times New Roman" w:hAnsi="Times New Roman"/>
          <w:sz w:val="26"/>
          <w:szCs w:val="26"/>
        </w:rPr>
        <w:t>3-Q for natural gas entities</w:t>
      </w:r>
    </w:p>
    <w:p w14:paraId="1F55415B" w14:textId="4AECB603" w:rsidR="008F711B" w:rsidRPr="0073506C" w:rsidRDefault="003E74C9" w:rsidP="00DC516E">
      <w:pPr>
        <w:pStyle w:val="ListParagraph"/>
        <w:numPr>
          <w:ilvl w:val="1"/>
          <w:numId w:val="18"/>
        </w:numPr>
        <w:spacing w:line="240" w:lineRule="auto"/>
        <w:rPr>
          <w:rFonts w:ascii="Times New Roman" w:hAnsi="Times New Roman"/>
          <w:i/>
          <w:sz w:val="26"/>
          <w:szCs w:val="26"/>
        </w:rPr>
      </w:pPr>
      <w:r w:rsidRPr="0073506C">
        <w:rPr>
          <w:rFonts w:ascii="Times New Roman" w:hAnsi="Times New Roman"/>
          <w:sz w:val="26"/>
          <w:szCs w:val="26"/>
        </w:rPr>
        <w:t xml:space="preserve">Form </w:t>
      </w:r>
      <w:r w:rsidR="0008302B" w:rsidRPr="0073506C">
        <w:rPr>
          <w:rFonts w:ascii="Times New Roman" w:hAnsi="Times New Roman"/>
          <w:sz w:val="26"/>
          <w:szCs w:val="26"/>
        </w:rPr>
        <w:t xml:space="preserve">No. </w:t>
      </w:r>
      <w:r w:rsidRPr="0073506C">
        <w:rPr>
          <w:rFonts w:ascii="Times New Roman" w:hAnsi="Times New Roman"/>
          <w:sz w:val="26"/>
          <w:szCs w:val="26"/>
        </w:rPr>
        <w:t>3-Q for electric entities</w:t>
      </w:r>
    </w:p>
    <w:p w14:paraId="5A3F56AB" w14:textId="77777777" w:rsidR="00DC516E" w:rsidRPr="0073506C" w:rsidRDefault="00DC516E" w:rsidP="00DC516E">
      <w:pPr>
        <w:pStyle w:val="ListParagraph"/>
        <w:spacing w:line="240" w:lineRule="auto"/>
        <w:ind w:left="1440"/>
        <w:rPr>
          <w:rFonts w:ascii="Times New Roman" w:hAnsi="Times New Roman"/>
          <w:i/>
          <w:sz w:val="26"/>
          <w:szCs w:val="26"/>
        </w:rPr>
      </w:pPr>
    </w:p>
    <w:p w14:paraId="41D5B9C4" w14:textId="77777777" w:rsidR="009C7F55" w:rsidRPr="0073506C" w:rsidRDefault="009C7F55"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14:paraId="3F447D41" w14:textId="77777777" w:rsidR="002953E1" w:rsidRPr="0073506C" w:rsidRDefault="002953E1" w:rsidP="00BD0F89">
      <w:pPr>
        <w:spacing w:after="0" w:line="240" w:lineRule="auto"/>
        <w:rPr>
          <w:rFonts w:ascii="Times New Roman" w:hAnsi="Times New Roman"/>
          <w:sz w:val="26"/>
          <w:szCs w:val="26"/>
        </w:rPr>
      </w:pPr>
    </w:p>
    <w:p w14:paraId="4185F36A" w14:textId="6B3262FE"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FERC</w:t>
      </w:r>
      <w:r w:rsidR="002123B8" w:rsidRPr="0073506C">
        <w:rPr>
          <w:rFonts w:ascii="Times New Roman" w:eastAsia="Times New Roman" w:hAnsi="Times New Roman"/>
          <w:b/>
          <w:sz w:val="26"/>
          <w:szCs w:val="26"/>
        </w:rPr>
        <w:t xml:space="preserve"> Form Nos. </w:t>
      </w:r>
      <w:r w:rsidRPr="0073506C">
        <w:rPr>
          <w:rFonts w:ascii="Times New Roman" w:eastAsia="Times New Roman" w:hAnsi="Times New Roman"/>
          <w:b/>
          <w:sz w:val="26"/>
          <w:szCs w:val="26"/>
        </w:rPr>
        <w:t xml:space="preserve">1, </w:t>
      </w:r>
      <w:r w:rsidR="00D24757" w:rsidRPr="0073506C">
        <w:rPr>
          <w:rFonts w:ascii="Times New Roman" w:eastAsia="Times New Roman" w:hAnsi="Times New Roman"/>
          <w:b/>
          <w:sz w:val="26"/>
          <w:szCs w:val="26"/>
        </w:rPr>
        <w:t>1-F</w:t>
      </w:r>
      <w:r w:rsidRPr="0073506C">
        <w:rPr>
          <w:rFonts w:ascii="Times New Roman" w:eastAsia="Times New Roman" w:hAnsi="Times New Roman"/>
          <w:b/>
          <w:sz w:val="26"/>
          <w:szCs w:val="26"/>
        </w:rPr>
        <w:t xml:space="preserve">, and </w:t>
      </w:r>
      <w:r w:rsidR="00D24757" w:rsidRPr="0073506C">
        <w:rPr>
          <w:rFonts w:ascii="Times New Roman" w:eastAsia="Times New Roman" w:hAnsi="Times New Roman"/>
          <w:b/>
          <w:sz w:val="26"/>
          <w:szCs w:val="26"/>
        </w:rPr>
        <w:t>3-Q</w:t>
      </w:r>
      <w:r w:rsidRPr="0073506C">
        <w:rPr>
          <w:rFonts w:ascii="Times New Roman" w:eastAsia="Times New Roman" w:hAnsi="Times New Roman"/>
          <w:b/>
          <w:sz w:val="26"/>
          <w:szCs w:val="26"/>
        </w:rPr>
        <w:t>.</w:t>
      </w:r>
      <w:r w:rsidRPr="0073506C">
        <w:rPr>
          <w:rStyle w:val="FootnoteReference"/>
          <w:rFonts w:ascii="Times New Roman" w:eastAsia="Times New Roman" w:hAnsi="Times New Roman"/>
          <w:b/>
          <w:sz w:val="26"/>
          <w:szCs w:val="26"/>
          <w:vertAlign w:val="superscript"/>
        </w:rPr>
        <w:footnoteReference w:id="3"/>
      </w:r>
      <w:r w:rsidRPr="0073506C">
        <w:rPr>
          <w:rFonts w:ascii="Times New Roman" w:eastAsia="Times New Roman" w:hAnsi="Times New Roman"/>
          <w:b/>
          <w:sz w:val="26"/>
          <w:szCs w:val="26"/>
        </w:rPr>
        <w:t xml:space="preserve">  </w:t>
      </w:r>
      <w:r w:rsidRPr="0073506C">
        <w:rPr>
          <w:rFonts w:ascii="Times New Roman" w:eastAsia="Times New Roman" w:hAnsi="Times New Roman"/>
          <w:sz w:val="26"/>
          <w:szCs w:val="26"/>
        </w:rPr>
        <w:t xml:space="preserve">In accordance with sections 304 and 309 of the Federal Power Act and section 10(a) of the Natural Gas Act, FERC is authorized to collect and record data to the extent it considers necessary, and to prescribe rules and regulations concerning accounts, records and memoranda.  </w:t>
      </w:r>
    </w:p>
    <w:p w14:paraId="4AD80A51" w14:textId="77777777" w:rsidR="00CC72A5" w:rsidRPr="0073506C" w:rsidRDefault="00CC72A5" w:rsidP="00BD0F89">
      <w:pPr>
        <w:spacing w:after="0" w:line="240" w:lineRule="auto"/>
        <w:rPr>
          <w:rFonts w:ascii="Times New Roman" w:eastAsia="Times New Roman" w:hAnsi="Times New Roman"/>
          <w:sz w:val="26"/>
          <w:szCs w:val="26"/>
        </w:rPr>
      </w:pPr>
    </w:p>
    <w:p w14:paraId="5D1092FA" w14:textId="5226F695"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Under the existing regulations, FERC jurisdictional entities subject to its Uniform System of Accounts </w:t>
      </w:r>
      <w:r w:rsidR="0092238A" w:rsidRPr="0073506C">
        <w:rPr>
          <w:rFonts w:ascii="Times New Roman" w:eastAsia="Times New Roman" w:hAnsi="Times New Roman"/>
          <w:sz w:val="26"/>
          <w:szCs w:val="26"/>
        </w:rPr>
        <w:t xml:space="preserve">(USofA) </w:t>
      </w:r>
      <w:r w:rsidRPr="0073506C">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 </w:t>
      </w:r>
      <w:r w:rsidR="009F6CFB" w:rsidRPr="0073506C">
        <w:rPr>
          <w:rFonts w:ascii="Times New Roman" w:eastAsia="Times New Roman" w:hAnsi="Times New Roman"/>
          <w:sz w:val="26"/>
          <w:szCs w:val="26"/>
        </w:rPr>
        <w:t>No</w:t>
      </w:r>
      <w:r w:rsidR="00FD1DA6" w:rsidRPr="0073506C">
        <w:rPr>
          <w:rFonts w:ascii="Times New Roman" w:eastAsia="Times New Roman" w:hAnsi="Times New Roman"/>
          <w:sz w:val="26"/>
          <w:szCs w:val="26"/>
        </w:rPr>
        <w:t>s</w:t>
      </w:r>
      <w:r w:rsidR="009F6CFB"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1 and 1-F.  </w:t>
      </w:r>
      <w:r w:rsidR="00817365"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1 is a comprehensive financial and operating report submitted for electric rate regulation, market oversight analysis, and financial audits</w:t>
      </w:r>
      <w:r w:rsidR="00817365" w:rsidRPr="0073506C">
        <w:rPr>
          <w:rFonts w:ascii="Times New Roman" w:eastAsia="Times New Roman" w:hAnsi="Times New Roman"/>
          <w:sz w:val="26"/>
          <w:szCs w:val="26"/>
        </w:rPr>
        <w:t xml:space="preserve"> by Major electric utilities, licensees and others</w:t>
      </w:r>
      <w:r w:rsidRPr="0073506C">
        <w:rPr>
          <w:rFonts w:ascii="Times New Roman" w:eastAsia="Times New Roman" w:hAnsi="Times New Roman"/>
          <w:sz w:val="26"/>
          <w:szCs w:val="26"/>
        </w:rPr>
        <w:t xml:space="preserve">.  Major pertains to utilities and licensees that have, in each of the </w:t>
      </w:r>
      <w:r w:rsidR="00817365" w:rsidRPr="0073506C">
        <w:rPr>
          <w:rFonts w:ascii="Times New Roman" w:eastAsia="Times New Roman" w:hAnsi="Times New Roman"/>
          <w:sz w:val="26"/>
          <w:szCs w:val="26"/>
        </w:rPr>
        <w:t xml:space="preserve">last </w:t>
      </w:r>
      <w:r w:rsidRPr="0073506C">
        <w:rPr>
          <w:rFonts w:ascii="Times New Roman" w:eastAsia="Times New Roman" w:hAnsi="Times New Roman"/>
          <w:sz w:val="26"/>
          <w:szCs w:val="26"/>
        </w:rPr>
        <w:t xml:space="preserve">three </w:t>
      </w:r>
      <w:r w:rsidR="00817365" w:rsidRPr="0073506C">
        <w:rPr>
          <w:rFonts w:ascii="Times New Roman" w:eastAsia="Times New Roman" w:hAnsi="Times New Roman"/>
          <w:sz w:val="26"/>
          <w:szCs w:val="26"/>
        </w:rPr>
        <w:t>consecutive</w:t>
      </w:r>
      <w:r w:rsidRPr="0073506C">
        <w:rPr>
          <w:rFonts w:ascii="Times New Roman" w:eastAsia="Times New Roman" w:hAnsi="Times New Roman"/>
          <w:sz w:val="26"/>
          <w:szCs w:val="26"/>
        </w:rPr>
        <w:t xml:space="preserve"> calendar years, sales or transmission services that exceed one of the following:  (1) one million </w:t>
      </w:r>
      <w:r w:rsidRPr="0073506C">
        <w:rPr>
          <w:rFonts w:ascii="Times New Roman" w:eastAsia="Times New Roman" w:hAnsi="Times New Roman"/>
          <w:sz w:val="26"/>
          <w:szCs w:val="26"/>
        </w:rPr>
        <w:lastRenderedPageBreak/>
        <w:t>megawatt hours of total sales; (2) 100 megawatt hours of sales for resale; (3) 500 megawatt hours of power exchanges delivered; or (4) 500 megawatt hours of wheeling for others (deliveries plus losses).</w:t>
      </w:r>
      <w:r w:rsidRPr="0073506C">
        <w:rPr>
          <w:rFonts w:ascii="Times New Roman" w:eastAsia="Times New Roman" w:hAnsi="Times New Roman"/>
          <w:b/>
          <w:sz w:val="26"/>
          <w:szCs w:val="26"/>
          <w:vertAlign w:val="superscript"/>
        </w:rPr>
        <w:footnoteReference w:id="4"/>
      </w:r>
      <w:r w:rsidRPr="0073506C">
        <w:rPr>
          <w:rFonts w:ascii="Times New Roman" w:eastAsia="Times New Roman" w:hAnsi="Times New Roman"/>
          <w:sz w:val="26"/>
          <w:szCs w:val="26"/>
        </w:rPr>
        <w:t xml:space="preserve">  </w:t>
      </w:r>
      <w:r w:rsidR="00F97BD8"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1-F is designed to collect financial and operational information from Nonmajor </w:t>
      </w:r>
      <w:r w:rsidR="00F97BD8" w:rsidRPr="0073506C">
        <w:rPr>
          <w:rFonts w:ascii="Times New Roman" w:eastAsia="Times New Roman" w:hAnsi="Times New Roman"/>
          <w:sz w:val="26"/>
          <w:szCs w:val="26"/>
        </w:rPr>
        <w:t>electric</w:t>
      </w:r>
      <w:r w:rsidRPr="0073506C">
        <w:rPr>
          <w:rFonts w:ascii="Times New Roman" w:eastAsia="Times New Roman" w:hAnsi="Times New Roman"/>
          <w:sz w:val="26"/>
          <w:szCs w:val="26"/>
        </w:rPr>
        <w:t xml:space="preserve"> utilities and licensees.  Nonmajor pertains to utilities and licensees that have total annual sales of 10,000 megawatt-hours or more in </w:t>
      </w:r>
      <w:r w:rsidR="00015810" w:rsidRPr="0073506C">
        <w:rPr>
          <w:rFonts w:ascii="Times New Roman" w:eastAsia="Times New Roman" w:hAnsi="Times New Roman"/>
          <w:sz w:val="26"/>
          <w:szCs w:val="26"/>
        </w:rPr>
        <w:t xml:space="preserve">each of </w:t>
      </w:r>
      <w:r w:rsidRPr="0073506C">
        <w:rPr>
          <w:rFonts w:ascii="Times New Roman" w:eastAsia="Times New Roman" w:hAnsi="Times New Roman"/>
          <w:sz w:val="26"/>
          <w:szCs w:val="26"/>
        </w:rPr>
        <w:t xml:space="preserve">the </w:t>
      </w:r>
      <w:r w:rsidR="00015810" w:rsidRPr="0073506C">
        <w:rPr>
          <w:rFonts w:ascii="Times New Roman" w:eastAsia="Times New Roman" w:hAnsi="Times New Roman"/>
          <w:sz w:val="26"/>
          <w:szCs w:val="26"/>
        </w:rPr>
        <w:t xml:space="preserve">last three consecutive </w:t>
      </w:r>
      <w:r w:rsidRPr="0073506C">
        <w:rPr>
          <w:rFonts w:ascii="Times New Roman" w:eastAsia="Times New Roman" w:hAnsi="Times New Roman"/>
          <w:sz w:val="26"/>
          <w:szCs w:val="26"/>
        </w:rPr>
        <w:t>year</w:t>
      </w:r>
      <w:r w:rsidR="00015810" w:rsidRPr="0073506C">
        <w:rPr>
          <w:rFonts w:ascii="Times New Roman" w:eastAsia="Times New Roman" w:hAnsi="Times New Roman"/>
          <w:sz w:val="26"/>
          <w:szCs w:val="26"/>
        </w:rPr>
        <w:t>s</w:t>
      </w:r>
      <w:r w:rsidRPr="0073506C">
        <w:rPr>
          <w:rFonts w:ascii="Times New Roman" w:eastAsia="Times New Roman" w:hAnsi="Times New Roman"/>
          <w:sz w:val="26"/>
          <w:szCs w:val="26"/>
        </w:rPr>
        <w:t xml:space="preserve"> and that are not classified as Major.</w:t>
      </w:r>
      <w:r w:rsidRPr="0073506C">
        <w:rPr>
          <w:rFonts w:ascii="Times New Roman" w:eastAsia="Times New Roman" w:hAnsi="Times New Roman"/>
          <w:b/>
          <w:sz w:val="26"/>
          <w:szCs w:val="26"/>
          <w:vertAlign w:val="superscript"/>
        </w:rPr>
        <w:footnoteReference w:id="5"/>
      </w:r>
    </w:p>
    <w:p w14:paraId="5FE35A95" w14:textId="77777777"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  </w:t>
      </w:r>
    </w:p>
    <w:p w14:paraId="3016F732" w14:textId="7D9D3D9B"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FERC 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3-Q is a quarterly financial and operating report for rate regulation, market oversight analysis, and financial audits which supplements the (a)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Forms</w:t>
      </w:r>
      <w:r w:rsidR="00FD1DA6" w:rsidRPr="0073506C">
        <w:rPr>
          <w:rFonts w:ascii="Times New Roman" w:eastAsia="Times New Roman" w:hAnsi="Times New Roman"/>
          <w:sz w:val="26"/>
          <w:szCs w:val="26"/>
        </w:rPr>
        <w:t xml:space="preserve"> Nos. </w:t>
      </w:r>
      <w:r w:rsidRPr="0073506C">
        <w:rPr>
          <w:rFonts w:ascii="Times New Roman" w:eastAsia="Times New Roman" w:hAnsi="Times New Roman"/>
          <w:sz w:val="26"/>
          <w:szCs w:val="26"/>
        </w:rPr>
        <w:t xml:space="preserve">1 and 1-F for the electric industry, or the (b)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No</w:t>
      </w:r>
      <w:r w:rsidR="002B4655" w:rsidRPr="0073506C">
        <w:rPr>
          <w:rFonts w:ascii="Times New Roman" w:eastAsia="Times New Roman" w:hAnsi="Times New Roman"/>
          <w:sz w:val="26"/>
          <w:szCs w:val="26"/>
        </w:rPr>
        <w:t>s</w:t>
      </w:r>
      <w:r w:rsidR="00FD1DA6"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2</w:t>
      </w:r>
      <w:r w:rsidR="00FD1DA6" w:rsidRPr="0073506C">
        <w:rPr>
          <w:rFonts w:ascii="Times New Roman" w:eastAsia="Times New Roman" w:hAnsi="Times New Roman"/>
          <w:sz w:val="26"/>
          <w:szCs w:val="26"/>
        </w:rPr>
        <w:t xml:space="preserve"> </w:t>
      </w:r>
      <w:r w:rsidR="002B4655" w:rsidRPr="0073506C">
        <w:rPr>
          <w:rFonts w:ascii="Times New Roman" w:eastAsia="Times New Roman" w:hAnsi="Times New Roman"/>
          <w:sz w:val="26"/>
          <w:szCs w:val="26"/>
        </w:rPr>
        <w:t xml:space="preserve">and </w:t>
      </w:r>
      <w:r w:rsidRPr="0073506C">
        <w:rPr>
          <w:rFonts w:ascii="Times New Roman" w:eastAsia="Times New Roman" w:hAnsi="Times New Roman"/>
          <w:sz w:val="26"/>
          <w:szCs w:val="26"/>
        </w:rPr>
        <w:t>2-A for the natural gas industry.   FERC</w:t>
      </w:r>
      <w:r w:rsidR="009F6CFB" w:rsidRPr="0073506C">
        <w:rPr>
          <w:rFonts w:ascii="Times New Roman" w:eastAsia="Times New Roman" w:hAnsi="Times New Roman"/>
          <w:sz w:val="26"/>
          <w:szCs w:val="26"/>
        </w:rPr>
        <w:t xml:space="preserve"> Form</w:t>
      </w:r>
      <w:r w:rsidR="000076FA" w:rsidRPr="0073506C">
        <w:rPr>
          <w:rFonts w:ascii="Times New Roman" w:eastAsia="Times New Roman" w:hAnsi="Times New Roman"/>
          <w:sz w:val="26"/>
          <w:szCs w:val="26"/>
        </w:rPr>
        <w:t xml:space="preserve"> </w:t>
      </w:r>
      <w:r w:rsidR="009852B7" w:rsidRPr="0073506C">
        <w:rPr>
          <w:rFonts w:ascii="Times New Roman" w:eastAsia="Times New Roman" w:hAnsi="Times New Roman"/>
          <w:sz w:val="26"/>
          <w:szCs w:val="26"/>
        </w:rPr>
        <w:t>No.</w:t>
      </w:r>
      <w:r w:rsidR="009F6CFB"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3-Q is submitted for electric utilities and licensees reporting Forms </w:t>
      </w:r>
      <w:r w:rsidR="009852B7"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 or 1-F and natural gas companies reporting Forms </w:t>
      </w:r>
      <w:r w:rsidR="009852B7"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2 or 2A.</w:t>
      </w:r>
      <w:r w:rsidRPr="0073506C">
        <w:rPr>
          <w:rFonts w:ascii="Times New Roman" w:eastAsia="Times New Roman" w:hAnsi="Times New Roman"/>
          <w:b/>
          <w:sz w:val="26"/>
          <w:szCs w:val="26"/>
          <w:vertAlign w:val="superscript"/>
        </w:rPr>
        <w:footnoteReference w:id="6"/>
      </w:r>
      <w:r w:rsidRPr="0073506C">
        <w:rPr>
          <w:rFonts w:ascii="Times New Roman" w:eastAsia="Times New Roman" w:hAnsi="Times New Roman"/>
          <w:sz w:val="26"/>
          <w:szCs w:val="26"/>
        </w:rPr>
        <w:t xml:space="preserve">   </w:t>
      </w:r>
    </w:p>
    <w:p w14:paraId="7C1616AC" w14:textId="77777777" w:rsidR="00CC72A5" w:rsidRPr="0073506C" w:rsidRDefault="00CC72A5" w:rsidP="00BD0F89">
      <w:pPr>
        <w:spacing w:after="0" w:line="240" w:lineRule="auto"/>
        <w:rPr>
          <w:rFonts w:ascii="Times New Roman" w:eastAsia="Times New Roman" w:hAnsi="Times New Roman"/>
          <w:sz w:val="26"/>
          <w:szCs w:val="26"/>
        </w:rPr>
      </w:pPr>
    </w:p>
    <w:p w14:paraId="7670B8B2" w14:textId="3775B9EC"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The Commission collects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Forms </w:t>
      </w:r>
      <w:r w:rsidR="00FD1DA6" w:rsidRPr="0073506C">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as prescribed in Title 18 CFR (Code of Federal Regulations) Parts 141.1, 141.2, and 141.400 and 260.300.  FERC Forms </w:t>
      </w:r>
      <w:r w:rsidR="00FD1DA6" w:rsidRPr="0073506C">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provide an informative picture of the jurisdictional entities’ financial conditions and other relevant data that are used by </w:t>
      </w:r>
      <w:r w:rsidR="00487C6B" w:rsidRPr="0073506C">
        <w:rPr>
          <w:rFonts w:ascii="Times New Roman" w:eastAsia="Times New Roman" w:hAnsi="Times New Roman"/>
          <w:sz w:val="26"/>
          <w:szCs w:val="26"/>
        </w:rPr>
        <w:t>the Commission</w:t>
      </w:r>
      <w:r w:rsidRPr="0073506C">
        <w:rPr>
          <w:rFonts w:ascii="Times New Roman" w:eastAsia="Times New Roman" w:hAnsi="Times New Roman"/>
          <w:sz w:val="26"/>
          <w:szCs w:val="26"/>
        </w:rPr>
        <w:t xml:space="preserve"> and </w:t>
      </w:r>
      <w:r w:rsidR="00487C6B" w:rsidRPr="0073506C">
        <w:rPr>
          <w:rFonts w:ascii="Times New Roman" w:eastAsia="Times New Roman" w:hAnsi="Times New Roman"/>
          <w:sz w:val="26"/>
          <w:szCs w:val="26"/>
        </w:rPr>
        <w:t>the public</w:t>
      </w:r>
      <w:r w:rsidRPr="0073506C">
        <w:rPr>
          <w:rFonts w:ascii="Times New Roman" w:eastAsia="Times New Roman" w:hAnsi="Times New Roman"/>
          <w:sz w:val="26"/>
          <w:szCs w:val="26"/>
        </w:rPr>
        <w:t xml:space="preserve"> in making economic judgments about the entity or its industry. </w:t>
      </w:r>
    </w:p>
    <w:p w14:paraId="5D6A7A60" w14:textId="77777777" w:rsidR="006E5D79" w:rsidRPr="0073506C" w:rsidRDefault="006E5D79" w:rsidP="00BD0F89">
      <w:pPr>
        <w:spacing w:after="0" w:line="240" w:lineRule="auto"/>
        <w:rPr>
          <w:rFonts w:ascii="Times New Roman" w:eastAsia="Times New Roman" w:hAnsi="Times New Roman"/>
          <w:b/>
          <w:sz w:val="26"/>
          <w:szCs w:val="26"/>
        </w:rPr>
      </w:pPr>
    </w:p>
    <w:p w14:paraId="025D3203" w14:textId="77777777" w:rsidR="00471F97" w:rsidRPr="0073506C" w:rsidRDefault="00471F97"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73506C" w:rsidRDefault="007445A8" w:rsidP="00BD0F89">
      <w:pPr>
        <w:spacing w:after="0" w:line="240" w:lineRule="auto"/>
        <w:rPr>
          <w:rFonts w:ascii="Times New Roman" w:hAnsi="Times New Roman"/>
          <w:sz w:val="26"/>
          <w:szCs w:val="26"/>
        </w:rPr>
      </w:pPr>
    </w:p>
    <w:p w14:paraId="62912085" w14:textId="0AA9EB19" w:rsidR="00CC72A5" w:rsidRPr="0073506C" w:rsidRDefault="00CC72A5" w:rsidP="00BD0F89">
      <w:pPr>
        <w:spacing w:after="0" w:line="240" w:lineRule="auto"/>
        <w:rPr>
          <w:rFonts w:ascii="Times New Roman" w:hAnsi="Times New Roman"/>
          <w:sz w:val="26"/>
          <w:szCs w:val="26"/>
        </w:rPr>
      </w:pPr>
      <w:r w:rsidRPr="0073506C">
        <w:rPr>
          <w:rFonts w:ascii="Times New Roman" w:hAnsi="Times New Roman"/>
          <w:b/>
          <w:sz w:val="26"/>
          <w:szCs w:val="26"/>
        </w:rPr>
        <w:t>F</w:t>
      </w:r>
      <w:r w:rsidR="009E14B3" w:rsidRPr="0073506C">
        <w:rPr>
          <w:rFonts w:ascii="Times New Roman" w:hAnsi="Times New Roman"/>
          <w:b/>
          <w:sz w:val="26"/>
          <w:szCs w:val="26"/>
        </w:rPr>
        <w:t>ERC</w:t>
      </w:r>
      <w:r w:rsidR="002123B8" w:rsidRPr="0073506C">
        <w:rPr>
          <w:rFonts w:ascii="Times New Roman" w:hAnsi="Times New Roman"/>
          <w:b/>
          <w:sz w:val="26"/>
          <w:szCs w:val="26"/>
        </w:rPr>
        <w:t xml:space="preserve"> Form Nos. </w:t>
      </w:r>
      <w:r w:rsidRPr="0073506C">
        <w:rPr>
          <w:rFonts w:ascii="Times New Roman" w:hAnsi="Times New Roman"/>
          <w:b/>
          <w:sz w:val="26"/>
          <w:szCs w:val="26"/>
        </w:rPr>
        <w:t>1, 1-F, and 3-Q</w:t>
      </w:r>
      <w:r w:rsidR="00FE4084" w:rsidRPr="0073506C">
        <w:rPr>
          <w:rFonts w:ascii="Times New Roman" w:hAnsi="Times New Roman"/>
          <w:b/>
          <w:sz w:val="26"/>
          <w:szCs w:val="26"/>
        </w:rPr>
        <w:t xml:space="preserve"> (electric)</w:t>
      </w:r>
      <w:r w:rsidRPr="0073506C">
        <w:rPr>
          <w:rFonts w:ascii="Times New Roman" w:hAnsi="Times New Roman"/>
          <w:b/>
          <w:sz w:val="26"/>
          <w:szCs w:val="26"/>
        </w:rPr>
        <w:t xml:space="preserve">.  </w:t>
      </w:r>
      <w:r w:rsidRPr="0073506C">
        <w:rPr>
          <w:rFonts w:ascii="Times New Roman" w:hAnsi="Times New Roman"/>
          <w:sz w:val="26"/>
          <w:szCs w:val="26"/>
        </w:rPr>
        <w:t>These forms provide information concerning a company’s current performance, compiled using the Commission’s USofA.</w:t>
      </w:r>
      <w:r w:rsidRPr="0073506C">
        <w:rPr>
          <w:rFonts w:ascii="Times New Roman" w:hAnsi="Times New Roman"/>
          <w:b/>
          <w:sz w:val="26"/>
          <w:szCs w:val="26"/>
          <w:vertAlign w:val="superscript"/>
        </w:rPr>
        <w:footnoteReference w:id="7"/>
      </w:r>
      <w:r w:rsidRPr="0073506C">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73506C" w:rsidRDefault="00CC72A5" w:rsidP="00BD0F89">
      <w:pPr>
        <w:spacing w:after="0" w:line="240" w:lineRule="auto"/>
        <w:rPr>
          <w:rFonts w:ascii="Times New Roman" w:hAnsi="Times New Roman"/>
          <w:sz w:val="26"/>
          <w:szCs w:val="26"/>
        </w:rPr>
      </w:pPr>
    </w:p>
    <w:p w14:paraId="6ED65D4A" w14:textId="77777777" w:rsidR="00ED24E5" w:rsidRDefault="00CC72A5" w:rsidP="00BD0F89">
      <w:pPr>
        <w:spacing w:after="0" w:line="240" w:lineRule="auto"/>
        <w:rPr>
          <w:rFonts w:ascii="Times New Roman" w:hAnsi="Times New Roman"/>
          <w:sz w:val="26"/>
          <w:szCs w:val="26"/>
        </w:rPr>
      </w:pPr>
      <w:r w:rsidRPr="0073506C">
        <w:rPr>
          <w:rFonts w:ascii="Times New Roman" w:hAnsi="Times New Roman"/>
          <w:sz w:val="26"/>
          <w:szCs w:val="26"/>
        </w:rPr>
        <w:t xml:space="preserve">Information in the forms is used by </w:t>
      </w:r>
      <w:r w:rsidR="00156589" w:rsidRPr="0073506C">
        <w:rPr>
          <w:rFonts w:ascii="Times New Roman" w:hAnsi="Times New Roman"/>
          <w:sz w:val="26"/>
          <w:szCs w:val="26"/>
        </w:rPr>
        <w:t>the Commission,</w:t>
      </w:r>
      <w:r w:rsidRPr="0073506C">
        <w:rPr>
          <w:rFonts w:ascii="Times New Roman" w:hAnsi="Times New Roman"/>
          <w:sz w:val="26"/>
          <w:szCs w:val="26"/>
        </w:rPr>
        <w:t xml:space="preserve"> state regulatory agencies</w:t>
      </w:r>
      <w:r w:rsidR="00A326E2" w:rsidRPr="0073506C">
        <w:rPr>
          <w:rFonts w:ascii="Times New Roman" w:hAnsi="Times New Roman"/>
          <w:sz w:val="26"/>
          <w:szCs w:val="26"/>
        </w:rPr>
        <w:t>,</w:t>
      </w:r>
      <w:r w:rsidRPr="0073506C">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73506C">
        <w:rPr>
          <w:rFonts w:ascii="Times New Roman" w:hAnsi="Times New Roman"/>
          <w:sz w:val="26"/>
          <w:szCs w:val="26"/>
        </w:rPr>
        <w:t xml:space="preserve"> </w:t>
      </w:r>
      <w:r w:rsidR="00156589" w:rsidRPr="0073506C">
        <w:rPr>
          <w:rFonts w:ascii="Times New Roman" w:hAnsi="Times New Roman"/>
          <w:sz w:val="26"/>
          <w:szCs w:val="26"/>
        </w:rPr>
        <w:t>the Commission’s</w:t>
      </w:r>
      <w:r w:rsidRPr="0073506C">
        <w:rPr>
          <w:rFonts w:ascii="Times New Roman" w:hAnsi="Times New Roman"/>
          <w:sz w:val="26"/>
          <w:szCs w:val="26"/>
        </w:rPr>
        <w:t xml:space="preserve"> audit programs, and the computation of annual charges based on certain schedules contained on the forms. </w:t>
      </w:r>
    </w:p>
    <w:p w14:paraId="21911094" w14:textId="77777777" w:rsidR="00ED24E5" w:rsidRDefault="00ED24E5" w:rsidP="00BD0F89">
      <w:pPr>
        <w:spacing w:after="0" w:line="240" w:lineRule="auto"/>
        <w:rPr>
          <w:rFonts w:ascii="Times New Roman" w:hAnsi="Times New Roman"/>
          <w:sz w:val="26"/>
          <w:szCs w:val="26"/>
        </w:rPr>
      </w:pPr>
    </w:p>
    <w:p w14:paraId="402BAAF0" w14:textId="761CE58F" w:rsidR="00CC72A5" w:rsidRPr="0073506C" w:rsidRDefault="00ED24E5" w:rsidP="00BD0F89">
      <w:pPr>
        <w:spacing w:after="0" w:line="240" w:lineRule="auto"/>
        <w:rPr>
          <w:rFonts w:ascii="Times New Roman" w:hAnsi="Times New Roman"/>
          <w:sz w:val="26"/>
          <w:szCs w:val="26"/>
        </w:rPr>
      </w:pPr>
      <w:r>
        <w:rPr>
          <w:rFonts w:ascii="Times New Roman" w:hAnsi="Times New Roman"/>
          <w:sz w:val="26"/>
          <w:szCs w:val="26"/>
        </w:rPr>
        <w:t>If data from the FERC Form Nos. 1, 1-F and 3-Q (electric) were not available, it would be difficult for the Commission to meet its mandatory review responsibilities because it would have fewer regulatory mechanisms to ensure transparency and to protect ratepayers.</w:t>
      </w:r>
      <w:r w:rsidR="00CC72A5" w:rsidRPr="0073506C">
        <w:rPr>
          <w:rFonts w:ascii="Times New Roman" w:hAnsi="Times New Roman"/>
          <w:sz w:val="26"/>
          <w:szCs w:val="26"/>
        </w:rPr>
        <w:t xml:space="preserve"> </w:t>
      </w:r>
    </w:p>
    <w:p w14:paraId="6649A203" w14:textId="77777777" w:rsidR="00BE75DC" w:rsidRPr="0073506C" w:rsidRDefault="00BE75DC" w:rsidP="00BD0F89">
      <w:pPr>
        <w:spacing w:after="0" w:line="240" w:lineRule="auto"/>
        <w:rPr>
          <w:rFonts w:ascii="Times New Roman" w:hAnsi="Times New Roman"/>
          <w:sz w:val="26"/>
          <w:szCs w:val="26"/>
        </w:rPr>
      </w:pPr>
    </w:p>
    <w:p w14:paraId="0D57117F" w14:textId="070C9EA4" w:rsidR="00A93FF1" w:rsidRPr="0073506C" w:rsidRDefault="0062523A" w:rsidP="00A93FF1">
      <w:pPr>
        <w:tabs>
          <w:tab w:val="num" w:pos="1080"/>
        </w:tabs>
        <w:spacing w:after="0" w:line="240" w:lineRule="auto"/>
        <w:rPr>
          <w:rFonts w:ascii="Times New Roman" w:eastAsia="Times New Roman" w:hAnsi="Times New Roman"/>
          <w:sz w:val="26"/>
          <w:szCs w:val="26"/>
        </w:rPr>
      </w:pPr>
      <w:r w:rsidRPr="0073506C">
        <w:rPr>
          <w:rFonts w:ascii="Times New Roman" w:hAnsi="Times New Roman"/>
          <w:b/>
          <w:sz w:val="26"/>
          <w:szCs w:val="26"/>
        </w:rPr>
        <w:t>FERC</w:t>
      </w:r>
      <w:r w:rsidR="002123B8" w:rsidRPr="0073506C">
        <w:rPr>
          <w:rFonts w:ascii="Times New Roman" w:hAnsi="Times New Roman"/>
          <w:b/>
          <w:sz w:val="26"/>
          <w:szCs w:val="26"/>
        </w:rPr>
        <w:t xml:space="preserve"> Form No. </w:t>
      </w:r>
      <w:r w:rsidR="00D24757" w:rsidRPr="0073506C">
        <w:rPr>
          <w:rFonts w:ascii="Times New Roman" w:hAnsi="Times New Roman"/>
          <w:b/>
          <w:sz w:val="26"/>
          <w:szCs w:val="26"/>
        </w:rPr>
        <w:t>3-Q</w:t>
      </w:r>
      <w:r w:rsidR="00A326E2" w:rsidRPr="0073506C">
        <w:rPr>
          <w:rFonts w:ascii="Times New Roman" w:hAnsi="Times New Roman"/>
          <w:b/>
          <w:sz w:val="26"/>
          <w:szCs w:val="26"/>
        </w:rPr>
        <w:t xml:space="preserve"> (gas)</w:t>
      </w:r>
      <w:r w:rsidRPr="0073506C">
        <w:rPr>
          <w:rFonts w:ascii="Times New Roman" w:hAnsi="Times New Roman"/>
          <w:b/>
          <w:sz w:val="26"/>
          <w:szCs w:val="26"/>
        </w:rPr>
        <w:t xml:space="preserve">.  </w:t>
      </w:r>
      <w:r w:rsidR="00A93FF1" w:rsidRPr="0073506C">
        <w:rPr>
          <w:rFonts w:ascii="Times New Roman" w:eastAsia="Times New Roman" w:hAnsi="Times New Roman"/>
          <w:sz w:val="26"/>
          <w:szCs w:val="26"/>
        </w:rPr>
        <w:t>The FERC Form No. 3-Q is a quarterly financial and operating report for rate regulation, market oversight analysis, and financial audits which supplements the (a) FERC Form Nos. 1 and 1-F, for the electric industry, or the (b) FERC Form No. 2 (Annual Report for Major Natural Gas Companies; OMB Control No. 1902-0028) and FERC Form No. 2-A (Annual Report for Nonmajor Natural Gas Companies; OMB Control No. 1902-0030), for the natural gas industry.  The FERC Form No. 3-Q is submitted for all Major and Nonmajor electric utilities, licensees, and natural gas companies</w:t>
      </w:r>
      <w:r w:rsidR="00A93FF1" w:rsidRPr="0073506C">
        <w:rPr>
          <w:rFonts w:ascii="Times New Roman" w:eastAsia="Times New Roman" w:hAnsi="Times New Roman"/>
          <w:b/>
          <w:sz w:val="26"/>
          <w:szCs w:val="26"/>
          <w:vertAlign w:val="superscript"/>
        </w:rPr>
        <w:footnoteReference w:id="8"/>
      </w:r>
      <w:r w:rsidR="00A93FF1" w:rsidRPr="0073506C">
        <w:rPr>
          <w:rFonts w:ascii="Times New Roman" w:eastAsia="Times New Roman" w:hAnsi="Times New Roman"/>
          <w:sz w:val="26"/>
          <w:szCs w:val="26"/>
        </w:rPr>
        <w:t xml:space="preserve">.  </w:t>
      </w:r>
    </w:p>
    <w:p w14:paraId="69CE64B4" w14:textId="77777777" w:rsidR="00A93FF1" w:rsidRPr="0073506C" w:rsidRDefault="00A93FF1" w:rsidP="003A3DE2">
      <w:pPr>
        <w:spacing w:after="0" w:line="240" w:lineRule="auto"/>
        <w:rPr>
          <w:rFonts w:ascii="Times New Roman" w:hAnsi="Times New Roman"/>
          <w:b/>
          <w:sz w:val="26"/>
          <w:szCs w:val="26"/>
        </w:rPr>
      </w:pPr>
    </w:p>
    <w:p w14:paraId="31D92B5A" w14:textId="02239699" w:rsidR="003A3DE2" w:rsidRPr="0073506C" w:rsidRDefault="00A326E2" w:rsidP="003A3DE2">
      <w:pPr>
        <w:spacing w:after="0" w:line="240" w:lineRule="auto"/>
        <w:rPr>
          <w:rFonts w:ascii="Times New Roman" w:hAnsi="Times New Roman"/>
          <w:sz w:val="26"/>
          <w:szCs w:val="26"/>
        </w:rPr>
      </w:pPr>
      <w:r w:rsidRPr="0073506C">
        <w:rPr>
          <w:rFonts w:ascii="Times New Roman" w:hAnsi="Times New Roman"/>
          <w:sz w:val="26"/>
          <w:szCs w:val="26"/>
        </w:rPr>
        <w:t>Th</w:t>
      </w:r>
      <w:r w:rsidR="00A93FF1" w:rsidRPr="0073506C">
        <w:rPr>
          <w:rFonts w:ascii="Times New Roman" w:hAnsi="Times New Roman"/>
          <w:sz w:val="26"/>
          <w:szCs w:val="26"/>
        </w:rPr>
        <w:t>is</w:t>
      </w:r>
      <w:r w:rsidRPr="0073506C">
        <w:rPr>
          <w:rFonts w:ascii="Times New Roman" w:hAnsi="Times New Roman"/>
          <w:sz w:val="26"/>
          <w:szCs w:val="26"/>
        </w:rPr>
        <w:t xml:space="preserve"> form provide</w:t>
      </w:r>
      <w:r w:rsidR="00A93FF1" w:rsidRPr="0073506C">
        <w:rPr>
          <w:rFonts w:ascii="Times New Roman" w:hAnsi="Times New Roman"/>
          <w:sz w:val="26"/>
          <w:szCs w:val="26"/>
        </w:rPr>
        <w:t>s</w:t>
      </w:r>
      <w:r w:rsidRPr="0073506C">
        <w:rPr>
          <w:rFonts w:ascii="Times New Roman" w:hAnsi="Times New Roman"/>
          <w:sz w:val="26"/>
          <w:szCs w:val="26"/>
        </w:rPr>
        <w:t xml:space="preserve"> information concerning a company’s current performance, compiled using the Commission’s USofA.</w:t>
      </w:r>
      <w:r w:rsidRPr="0073506C">
        <w:rPr>
          <w:rFonts w:ascii="Times New Roman" w:hAnsi="Times New Roman"/>
          <w:b/>
          <w:sz w:val="26"/>
          <w:szCs w:val="26"/>
          <w:vertAlign w:val="superscript"/>
        </w:rPr>
        <w:footnoteReference w:id="9"/>
      </w:r>
      <w:r w:rsidRPr="0073506C">
        <w:rPr>
          <w:rFonts w:ascii="Times New Roman" w:hAnsi="Times New Roman"/>
          <w:sz w:val="26"/>
          <w:szCs w:val="26"/>
        </w:rPr>
        <w:t xml:space="preserve">  </w:t>
      </w:r>
      <w:r w:rsidR="00A93FF1" w:rsidRPr="0073506C">
        <w:rPr>
          <w:rFonts w:ascii="Times New Roman" w:hAnsi="Times New Roman"/>
          <w:sz w:val="26"/>
          <w:szCs w:val="26"/>
        </w:rPr>
        <w:t>FERC Form No.</w:t>
      </w:r>
      <w:r w:rsidR="003A3DE2" w:rsidRPr="0073506C">
        <w:rPr>
          <w:rFonts w:ascii="Times New Roman" w:hAnsi="Times New Roman"/>
          <w:sz w:val="26"/>
          <w:szCs w:val="26"/>
        </w:rPr>
        <w:t xml:space="preserve"> 3-Q natural gas quarterly 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73506C" w:rsidRDefault="002C0DA6" w:rsidP="00BD0F89">
      <w:pPr>
        <w:spacing w:after="0" w:line="240" w:lineRule="auto"/>
        <w:rPr>
          <w:rFonts w:ascii="Times New Roman" w:hAnsi="Times New Roman"/>
          <w:sz w:val="26"/>
          <w:szCs w:val="26"/>
        </w:rPr>
      </w:pPr>
    </w:p>
    <w:p w14:paraId="66DE3B4A" w14:textId="560AC507"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Th</w:t>
      </w:r>
      <w:r w:rsidR="0062523A" w:rsidRPr="0073506C">
        <w:rPr>
          <w:rFonts w:ascii="Times New Roman" w:hAnsi="Times New Roman"/>
          <w:sz w:val="26"/>
          <w:szCs w:val="26"/>
        </w:rPr>
        <w:t>e</w:t>
      </w:r>
      <w:r w:rsidRPr="0073506C">
        <w:rPr>
          <w:rFonts w:ascii="Times New Roman" w:hAnsi="Times New Roman"/>
          <w:sz w:val="26"/>
          <w:szCs w:val="26"/>
        </w:rPr>
        <w:t xml:space="preserve"> form provide</w:t>
      </w:r>
      <w:r w:rsidR="00FE4084" w:rsidRPr="0073506C">
        <w:rPr>
          <w:rFonts w:ascii="Times New Roman" w:hAnsi="Times New Roman"/>
          <w:sz w:val="26"/>
          <w:szCs w:val="26"/>
        </w:rPr>
        <w:t>s</w:t>
      </w:r>
      <w:r w:rsidRPr="0073506C">
        <w:rPr>
          <w:rFonts w:ascii="Times New Roman" w:hAnsi="Times New Roman"/>
          <w:sz w:val="26"/>
          <w:szCs w:val="26"/>
        </w:rPr>
        <w:t xml:space="preserve"> information concerning a company’s past performance and its future prospects</w:t>
      </w:r>
      <w:r w:rsidR="006540D2" w:rsidRPr="0073506C">
        <w:rPr>
          <w:rFonts w:ascii="Times New Roman" w:hAnsi="Times New Roman"/>
          <w:sz w:val="26"/>
          <w:szCs w:val="26"/>
        </w:rPr>
        <w:t xml:space="preserve"> and </w:t>
      </w:r>
      <w:r w:rsidRPr="0073506C">
        <w:rPr>
          <w:rFonts w:ascii="Times New Roman" w:hAnsi="Times New Roman"/>
          <w:sz w:val="26"/>
          <w:szCs w:val="26"/>
        </w:rPr>
        <w:t>is based on the companies’ financial and other information.   The form contain</w:t>
      </w:r>
      <w:r w:rsidR="00FE4084" w:rsidRPr="0073506C">
        <w:rPr>
          <w:rFonts w:ascii="Times New Roman" w:hAnsi="Times New Roman"/>
          <w:sz w:val="26"/>
          <w:szCs w:val="26"/>
        </w:rPr>
        <w:t>s</w:t>
      </w:r>
      <w:r w:rsidRPr="0073506C">
        <w:rPr>
          <w:rFonts w:ascii="Times New Roman" w:hAnsi="Times New Roman"/>
          <w:sz w:val="26"/>
          <w:szCs w:val="26"/>
        </w:rPr>
        <w:t xml:space="preserve">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73506C" w:rsidRDefault="002C0DA6" w:rsidP="00BD0F89">
      <w:pPr>
        <w:spacing w:after="0" w:line="240" w:lineRule="auto"/>
        <w:rPr>
          <w:rFonts w:ascii="Times New Roman" w:hAnsi="Times New Roman"/>
          <w:sz w:val="26"/>
          <w:szCs w:val="26"/>
        </w:rPr>
      </w:pPr>
    </w:p>
    <w:p w14:paraId="5D187BC6" w14:textId="3A6A538C"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The i</w:t>
      </w:r>
      <w:r w:rsidR="003C0E57" w:rsidRPr="0073506C">
        <w:rPr>
          <w:rFonts w:ascii="Times New Roman" w:hAnsi="Times New Roman"/>
          <w:sz w:val="26"/>
          <w:szCs w:val="26"/>
        </w:rPr>
        <w:t>nformation collected</w:t>
      </w:r>
      <w:r w:rsidRPr="0073506C">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w:t>
      </w:r>
      <w:r w:rsidR="00B705E5" w:rsidRPr="0073506C">
        <w:rPr>
          <w:rFonts w:ascii="Times New Roman" w:hAnsi="Times New Roman"/>
          <w:sz w:val="26"/>
          <w:szCs w:val="26"/>
        </w:rPr>
        <w:t xml:space="preserve">FERC </w:t>
      </w:r>
      <w:r w:rsidR="003A3DE2" w:rsidRPr="0073506C">
        <w:rPr>
          <w:rFonts w:ascii="Times New Roman" w:hAnsi="Times New Roman"/>
          <w:sz w:val="26"/>
          <w:szCs w:val="26"/>
        </w:rPr>
        <w:t xml:space="preserve">Form No. </w:t>
      </w:r>
      <w:r w:rsidR="003C0E57" w:rsidRPr="0073506C">
        <w:rPr>
          <w:rFonts w:ascii="Times New Roman" w:hAnsi="Times New Roman"/>
          <w:sz w:val="26"/>
          <w:szCs w:val="26"/>
        </w:rPr>
        <w:t>2</w:t>
      </w:r>
      <w:r w:rsidRPr="0073506C">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73506C" w:rsidRDefault="002C0DA6" w:rsidP="00BD0F89">
      <w:pPr>
        <w:spacing w:after="0" w:line="240" w:lineRule="auto"/>
        <w:rPr>
          <w:rFonts w:ascii="Times New Roman" w:hAnsi="Times New Roman"/>
          <w:sz w:val="26"/>
          <w:szCs w:val="26"/>
        </w:rPr>
      </w:pPr>
    </w:p>
    <w:p w14:paraId="391D3E58" w14:textId="1C140046" w:rsidR="002C0DA6" w:rsidRPr="0073506C" w:rsidRDefault="003C0E57" w:rsidP="00BD0F89">
      <w:pPr>
        <w:spacing w:after="0" w:line="240" w:lineRule="auto"/>
        <w:rPr>
          <w:rFonts w:ascii="Times New Roman" w:hAnsi="Times New Roman"/>
          <w:sz w:val="26"/>
          <w:szCs w:val="26"/>
        </w:rPr>
      </w:pPr>
      <w:r w:rsidRPr="0073506C">
        <w:rPr>
          <w:rFonts w:ascii="Times New Roman" w:hAnsi="Times New Roman"/>
          <w:sz w:val="26"/>
          <w:szCs w:val="26"/>
        </w:rPr>
        <w:t xml:space="preserve">In addition, the </w:t>
      </w:r>
      <w:r w:rsidR="002C0DA6" w:rsidRPr="0073506C">
        <w:rPr>
          <w:rFonts w:ascii="Times New Roman" w:hAnsi="Times New Roman"/>
          <w:sz w:val="26"/>
          <w:szCs w:val="26"/>
        </w:rPr>
        <w:t>form</w:t>
      </w:r>
      <w:r w:rsidRPr="0073506C">
        <w:rPr>
          <w:rFonts w:ascii="Times New Roman" w:hAnsi="Times New Roman"/>
          <w:sz w:val="26"/>
          <w:szCs w:val="26"/>
        </w:rPr>
        <w:t>s</w:t>
      </w:r>
      <w:r w:rsidR="002C0DA6" w:rsidRPr="0073506C">
        <w:rPr>
          <w:rFonts w:ascii="Times New Roman" w:hAnsi="Times New Roman"/>
          <w:sz w:val="26"/>
          <w:szCs w:val="26"/>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w:t>
      </w:r>
      <w:r w:rsidR="00B705E5" w:rsidRPr="0073506C">
        <w:rPr>
          <w:rFonts w:ascii="Times New Roman" w:hAnsi="Times New Roman"/>
          <w:sz w:val="26"/>
          <w:szCs w:val="26"/>
        </w:rPr>
        <w:t xml:space="preserve">FERC </w:t>
      </w:r>
      <w:r w:rsidRPr="0073506C">
        <w:rPr>
          <w:rFonts w:ascii="Times New Roman" w:hAnsi="Times New Roman"/>
          <w:sz w:val="26"/>
          <w:szCs w:val="26"/>
        </w:rPr>
        <w:t>F</w:t>
      </w:r>
      <w:r w:rsidR="003A3DE2" w:rsidRPr="0073506C">
        <w:rPr>
          <w:rFonts w:ascii="Times New Roman" w:hAnsi="Times New Roman"/>
          <w:sz w:val="26"/>
          <w:szCs w:val="26"/>
        </w:rPr>
        <w:t xml:space="preserve">orm Nos. </w:t>
      </w:r>
      <w:r w:rsidRPr="0073506C">
        <w:rPr>
          <w:rFonts w:ascii="Times New Roman" w:hAnsi="Times New Roman"/>
          <w:sz w:val="26"/>
          <w:szCs w:val="26"/>
        </w:rPr>
        <w:t>2 and 2</w:t>
      </w:r>
      <w:r w:rsidR="003A3DE2" w:rsidRPr="0073506C">
        <w:rPr>
          <w:rFonts w:ascii="Times New Roman" w:hAnsi="Times New Roman"/>
          <w:sz w:val="26"/>
          <w:szCs w:val="26"/>
        </w:rPr>
        <w:t>-</w:t>
      </w:r>
      <w:r w:rsidRPr="0073506C">
        <w:rPr>
          <w:rFonts w:ascii="Times New Roman" w:hAnsi="Times New Roman"/>
          <w:sz w:val="26"/>
          <w:szCs w:val="26"/>
        </w:rPr>
        <w:t>A</w:t>
      </w:r>
      <w:r w:rsidR="002C0DA6" w:rsidRPr="0073506C">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73506C" w:rsidRDefault="002C0DA6" w:rsidP="00BD0F89">
      <w:pPr>
        <w:spacing w:after="0" w:line="240" w:lineRule="auto"/>
        <w:rPr>
          <w:rFonts w:ascii="Times New Roman" w:hAnsi="Times New Roman"/>
          <w:sz w:val="26"/>
          <w:szCs w:val="26"/>
        </w:rPr>
      </w:pPr>
    </w:p>
    <w:p w14:paraId="7F34A694" w14:textId="77777777"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sidRPr="0073506C">
        <w:rPr>
          <w:rFonts w:ascii="Times New Roman" w:hAnsi="Times New Roman"/>
          <w:sz w:val="26"/>
          <w:szCs w:val="26"/>
        </w:rPr>
        <w:t>USofA</w:t>
      </w:r>
      <w:r w:rsidRPr="0073506C">
        <w:rPr>
          <w:rFonts w:ascii="Times New Roman" w:hAnsi="Times New Roman"/>
          <w:sz w:val="26"/>
          <w:szCs w:val="26"/>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73506C" w:rsidRDefault="002C0DA6" w:rsidP="00BD0F89">
      <w:pPr>
        <w:spacing w:after="0" w:line="240" w:lineRule="auto"/>
        <w:rPr>
          <w:rFonts w:ascii="Times New Roman" w:hAnsi="Times New Roman"/>
          <w:sz w:val="26"/>
          <w:szCs w:val="26"/>
        </w:rPr>
      </w:pPr>
    </w:p>
    <w:p w14:paraId="479A35B4" w14:textId="77777777" w:rsidR="00BA412D"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In summary, without the information collected in th</w:t>
      </w:r>
      <w:r w:rsidR="000C0209" w:rsidRPr="0073506C">
        <w:rPr>
          <w:rFonts w:ascii="Times New Roman" w:hAnsi="Times New Roman"/>
          <w:sz w:val="26"/>
          <w:szCs w:val="26"/>
        </w:rPr>
        <w:t>e</w:t>
      </w:r>
      <w:r w:rsidRPr="0073506C">
        <w:rPr>
          <w:rFonts w:ascii="Times New Roman" w:hAnsi="Times New Roman"/>
          <w:sz w:val="26"/>
          <w:szCs w:val="26"/>
        </w:rPr>
        <w:t xml:space="preserve"> form</w:t>
      </w:r>
      <w:r w:rsidR="000C0209" w:rsidRPr="0073506C">
        <w:rPr>
          <w:rFonts w:ascii="Times New Roman" w:hAnsi="Times New Roman"/>
          <w:sz w:val="26"/>
          <w:szCs w:val="26"/>
        </w:rPr>
        <w:t>s,</w:t>
      </w:r>
      <w:r w:rsidRPr="0073506C">
        <w:rPr>
          <w:rFonts w:ascii="Times New Roman" w:hAnsi="Times New Roman"/>
          <w:sz w:val="26"/>
          <w:szCs w:val="26"/>
        </w:rPr>
        <w:t xml:space="preserve"> </w:t>
      </w:r>
      <w:r w:rsidR="000F448F" w:rsidRPr="0073506C">
        <w:rPr>
          <w:rFonts w:ascii="Times New Roman" w:hAnsi="Times New Roman"/>
          <w:sz w:val="26"/>
          <w:szCs w:val="26"/>
        </w:rPr>
        <w:t xml:space="preserve">it would be difficult for </w:t>
      </w:r>
      <w:r w:rsidRPr="0073506C">
        <w:rPr>
          <w:rFonts w:ascii="Times New Roman" w:hAnsi="Times New Roman"/>
          <w:sz w:val="26"/>
          <w:szCs w:val="26"/>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Pr="0073506C" w:rsidRDefault="00BA412D" w:rsidP="00BD0F89">
      <w:pPr>
        <w:spacing w:after="0" w:line="240" w:lineRule="auto"/>
        <w:rPr>
          <w:rFonts w:ascii="Times New Roman" w:hAnsi="Times New Roman"/>
          <w:sz w:val="26"/>
          <w:szCs w:val="26"/>
        </w:rPr>
      </w:pPr>
    </w:p>
    <w:p w14:paraId="5FCC3BB8" w14:textId="77777777" w:rsidR="00471F97" w:rsidRPr="0073506C" w:rsidRDefault="00471F97"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73506C" w:rsidRDefault="00471F97" w:rsidP="00BD0F89">
      <w:pPr>
        <w:spacing w:after="0" w:line="240" w:lineRule="auto"/>
        <w:ind w:left="360" w:hanging="360"/>
        <w:rPr>
          <w:rFonts w:ascii="Times New Roman" w:hAnsi="Times New Roman"/>
          <w:sz w:val="26"/>
          <w:szCs w:val="26"/>
        </w:rPr>
      </w:pPr>
    </w:p>
    <w:p w14:paraId="5047DE1A" w14:textId="465B2BCF" w:rsidR="00271EF4" w:rsidRPr="0073506C" w:rsidRDefault="00457793" w:rsidP="00457793">
      <w:pPr>
        <w:spacing w:after="0" w:line="240" w:lineRule="auto"/>
        <w:rPr>
          <w:rFonts w:ascii="Times New Roman" w:hAnsi="Times New Roman"/>
          <w:sz w:val="26"/>
          <w:szCs w:val="26"/>
        </w:rPr>
      </w:pPr>
      <w:r w:rsidRPr="0073506C">
        <w:rPr>
          <w:rFonts w:ascii="Times New Roman" w:hAnsi="Times New Roman"/>
          <w:sz w:val="26"/>
          <w:szCs w:val="26"/>
        </w:rPr>
        <w:t xml:space="preserve">The forms are filed electronically except for a few </w:t>
      </w:r>
      <w:r w:rsidR="00C42E58" w:rsidRPr="0073506C">
        <w:rPr>
          <w:rFonts w:ascii="Times New Roman" w:hAnsi="Times New Roman"/>
          <w:sz w:val="26"/>
          <w:szCs w:val="26"/>
        </w:rPr>
        <w:t xml:space="preserve">FERC </w:t>
      </w:r>
      <w:r w:rsidRPr="0073506C">
        <w:rPr>
          <w:rFonts w:ascii="Times New Roman" w:hAnsi="Times New Roman"/>
          <w:sz w:val="26"/>
          <w:szCs w:val="26"/>
        </w:rPr>
        <w:t>Form</w:t>
      </w:r>
      <w:r w:rsidR="00C42E58" w:rsidRPr="0073506C">
        <w:rPr>
          <w:rFonts w:ascii="Times New Roman" w:hAnsi="Times New Roman"/>
          <w:sz w:val="26"/>
          <w:szCs w:val="26"/>
        </w:rPr>
        <w:t xml:space="preserve"> No.</w:t>
      </w:r>
      <w:r w:rsidRPr="0073506C">
        <w:rPr>
          <w:rFonts w:ascii="Times New Roman" w:hAnsi="Times New Roman"/>
          <w:sz w:val="26"/>
          <w:szCs w:val="26"/>
        </w:rPr>
        <w:t xml:space="preserve"> 1-F</w:t>
      </w:r>
      <w:r w:rsidR="00C42E58" w:rsidRPr="0073506C">
        <w:rPr>
          <w:rFonts w:ascii="Times New Roman" w:hAnsi="Times New Roman"/>
          <w:sz w:val="26"/>
          <w:szCs w:val="26"/>
        </w:rPr>
        <w:t>s</w:t>
      </w:r>
      <w:r w:rsidRPr="0073506C">
        <w:rPr>
          <w:rFonts w:ascii="Times New Roman" w:hAnsi="Times New Roman"/>
          <w:sz w:val="26"/>
          <w:szCs w:val="26"/>
        </w:rPr>
        <w:t xml:space="preserve">.  </w:t>
      </w:r>
    </w:p>
    <w:p w14:paraId="24310655" w14:textId="77777777" w:rsidR="00271EF4" w:rsidRPr="0073506C" w:rsidRDefault="00271EF4" w:rsidP="00457793">
      <w:pPr>
        <w:spacing w:after="0" w:line="240" w:lineRule="auto"/>
        <w:rPr>
          <w:rFonts w:ascii="Times New Roman" w:hAnsi="Times New Roman"/>
          <w:sz w:val="26"/>
          <w:szCs w:val="26"/>
        </w:rPr>
      </w:pPr>
    </w:p>
    <w:p w14:paraId="00645005" w14:textId="492427C8" w:rsidR="0088425D" w:rsidRPr="0073506C" w:rsidRDefault="00457793" w:rsidP="00457793">
      <w:pPr>
        <w:spacing w:after="0" w:line="240" w:lineRule="auto"/>
        <w:rPr>
          <w:rFonts w:ascii="Times New Roman" w:hAnsi="Times New Roman"/>
          <w:sz w:val="26"/>
          <w:szCs w:val="26"/>
        </w:rPr>
      </w:pPr>
      <w:r w:rsidRPr="00694C84">
        <w:rPr>
          <w:rFonts w:ascii="Times New Roman" w:hAnsi="Times New Roman"/>
          <w:sz w:val="26"/>
          <w:szCs w:val="26"/>
        </w:rPr>
        <w:t>I</w:t>
      </w:r>
      <w:r w:rsidR="00271EF4" w:rsidRPr="00694C84">
        <w:rPr>
          <w:rFonts w:ascii="Times New Roman" w:hAnsi="Times New Roman"/>
          <w:sz w:val="26"/>
          <w:szCs w:val="26"/>
        </w:rPr>
        <w:t>n a separate rulemaking</w:t>
      </w:r>
      <w:r w:rsidR="00BC5CED" w:rsidRPr="00694C84">
        <w:rPr>
          <w:rFonts w:ascii="Times New Roman" w:hAnsi="Times New Roman"/>
          <w:sz w:val="26"/>
          <w:szCs w:val="26"/>
        </w:rPr>
        <w:t xml:space="preserve"> </w:t>
      </w:r>
      <w:r w:rsidR="00A6647B" w:rsidRPr="00694C84">
        <w:rPr>
          <w:rFonts w:ascii="Times New Roman" w:hAnsi="Times New Roman"/>
          <w:sz w:val="26"/>
          <w:szCs w:val="26"/>
        </w:rPr>
        <w:t xml:space="preserve">in Docket No. RM19-12, </w:t>
      </w:r>
      <w:r w:rsidR="00BC5CED" w:rsidRPr="00694C84">
        <w:rPr>
          <w:rFonts w:ascii="Times New Roman" w:hAnsi="Times New Roman"/>
          <w:sz w:val="26"/>
          <w:szCs w:val="26"/>
        </w:rPr>
        <w:t>which is not addressed in this supporting statement</w:t>
      </w:r>
      <w:r w:rsidRPr="00694C84">
        <w:rPr>
          <w:rFonts w:ascii="Times New Roman" w:hAnsi="Times New Roman"/>
          <w:sz w:val="26"/>
          <w:szCs w:val="26"/>
        </w:rPr>
        <w:t xml:space="preserve">, </w:t>
      </w:r>
      <w:r w:rsidR="00B705E5" w:rsidRPr="00694C84">
        <w:rPr>
          <w:rFonts w:ascii="Times New Roman" w:hAnsi="Times New Roman"/>
          <w:sz w:val="26"/>
          <w:szCs w:val="26"/>
        </w:rPr>
        <w:t xml:space="preserve">the Commission announced its intention </w:t>
      </w:r>
      <w:r w:rsidR="00271EF4" w:rsidRPr="00694C84">
        <w:rPr>
          <w:rFonts w:ascii="Times New Roman" w:hAnsi="Times New Roman"/>
          <w:sz w:val="26"/>
          <w:szCs w:val="26"/>
        </w:rPr>
        <w:t xml:space="preserve">to </w:t>
      </w:r>
      <w:r w:rsidR="00C42E58" w:rsidRPr="00694C84">
        <w:rPr>
          <w:rFonts w:ascii="Times New Roman" w:hAnsi="Times New Roman"/>
          <w:sz w:val="26"/>
          <w:szCs w:val="26"/>
        </w:rPr>
        <w:t>adopt</w:t>
      </w:r>
      <w:r w:rsidR="00BC5CED" w:rsidRPr="00694C84">
        <w:rPr>
          <w:rFonts w:ascii="Times New Roman" w:hAnsi="Times New Roman"/>
          <w:sz w:val="26"/>
          <w:szCs w:val="26"/>
        </w:rPr>
        <w:t xml:space="preserve"> XBRL</w:t>
      </w:r>
      <w:r w:rsidR="00C42E58" w:rsidRPr="00694C84">
        <w:rPr>
          <w:rFonts w:ascii="Times New Roman" w:hAnsi="Times New Roman"/>
          <w:sz w:val="26"/>
          <w:szCs w:val="26"/>
        </w:rPr>
        <w:t xml:space="preserve"> as the standard for filing these (and other) forms</w:t>
      </w:r>
      <w:r w:rsidR="00271EF4" w:rsidRPr="00694C84">
        <w:rPr>
          <w:rFonts w:ascii="Times New Roman" w:hAnsi="Times New Roman"/>
          <w:sz w:val="26"/>
          <w:szCs w:val="26"/>
        </w:rPr>
        <w:t xml:space="preserve">.  </w:t>
      </w:r>
      <w:r w:rsidR="00C42E58" w:rsidRPr="00694C84">
        <w:rPr>
          <w:rFonts w:ascii="Times New Roman" w:hAnsi="Times New Roman"/>
          <w:i/>
          <w:sz w:val="26"/>
          <w:szCs w:val="26"/>
        </w:rPr>
        <w:t>Revisions to the Filing Process for Commission Forms</w:t>
      </w:r>
      <w:r w:rsidR="00C42E58" w:rsidRPr="00694C84">
        <w:rPr>
          <w:rFonts w:ascii="Times New Roman" w:hAnsi="Times New Roman"/>
          <w:sz w:val="26"/>
          <w:szCs w:val="26"/>
        </w:rPr>
        <w:t xml:space="preserve">, Order No. 859, 167 FERC ¶ 61,241 (2019).  </w:t>
      </w:r>
      <w:r w:rsidR="001D3353" w:rsidRPr="00954D76">
        <w:rPr>
          <w:rFonts w:ascii="Times New Roman" w:hAnsi="Times New Roman"/>
          <w:sz w:val="26"/>
          <w:szCs w:val="26"/>
        </w:rPr>
        <w:t xml:space="preserve">The Final Rule in Docket No. RM19-12 and related 9 ICRs </w:t>
      </w:r>
      <w:r w:rsidR="00954D76">
        <w:rPr>
          <w:rFonts w:ascii="Times New Roman" w:hAnsi="Times New Roman"/>
          <w:sz w:val="26"/>
          <w:szCs w:val="26"/>
        </w:rPr>
        <w:t xml:space="preserve">are pending </w:t>
      </w:r>
      <w:r w:rsidR="001D3353" w:rsidRPr="00954D76">
        <w:rPr>
          <w:rFonts w:ascii="Times New Roman" w:hAnsi="Times New Roman"/>
          <w:sz w:val="26"/>
          <w:szCs w:val="26"/>
        </w:rPr>
        <w:t>OMB review.</w:t>
      </w:r>
    </w:p>
    <w:p w14:paraId="173187D9" w14:textId="77777777" w:rsidR="00457793" w:rsidRPr="0073506C" w:rsidRDefault="00457793" w:rsidP="00BD0F89">
      <w:pPr>
        <w:spacing w:after="0" w:line="240" w:lineRule="auto"/>
        <w:ind w:left="360" w:hanging="360"/>
        <w:rPr>
          <w:rFonts w:ascii="Times New Roman" w:hAnsi="Times New Roman"/>
          <w:sz w:val="26"/>
          <w:szCs w:val="26"/>
        </w:rPr>
      </w:pPr>
    </w:p>
    <w:p w14:paraId="235E8FE2"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73506C" w:rsidRDefault="00F0627E" w:rsidP="00BD0F89">
      <w:pPr>
        <w:spacing w:after="0" w:line="240" w:lineRule="auto"/>
        <w:ind w:left="360" w:hanging="360"/>
        <w:rPr>
          <w:rFonts w:ascii="Times New Roman" w:hAnsi="Times New Roman"/>
          <w:sz w:val="26"/>
          <w:szCs w:val="26"/>
        </w:rPr>
      </w:pPr>
    </w:p>
    <w:p w14:paraId="0FA05911" w14:textId="77777777" w:rsidR="00CE2887" w:rsidRPr="0073506C" w:rsidRDefault="00CE2887" w:rsidP="00CE2887">
      <w:pPr>
        <w:spacing w:after="0" w:line="240" w:lineRule="auto"/>
        <w:rPr>
          <w:rFonts w:ascii="Times New Roman" w:eastAsia="Times New Roman" w:hAnsi="Times New Roman"/>
          <w:sz w:val="26"/>
          <w:szCs w:val="26"/>
        </w:rPr>
      </w:pPr>
      <w:r w:rsidRPr="00641282">
        <w:rPr>
          <w:rFonts w:ascii="Times New Roman" w:eastAsia="Times New Roman" w:hAnsi="Times New Roman"/>
          <w:sz w:val="26"/>
          <w:szCs w:val="26"/>
        </w:rPr>
        <w:t>The Commission's filings and data requirements are periodically reviewed in conjunction with OMB clearance expirat</w:t>
      </w:r>
      <w:r w:rsidRPr="001D3353">
        <w:rPr>
          <w:rFonts w:ascii="Times New Roman" w:eastAsia="Times New Roman" w:hAnsi="Times New Roman"/>
          <w:sz w:val="26"/>
          <w:szCs w:val="26"/>
        </w:rPr>
        <w:t>ion dates.  This includes a review of the Commission's regulations and data requirements to identify any duplication.  The Commission's staff is continuously reviewing its various filings in an effort to al</w:t>
      </w:r>
      <w:r w:rsidRPr="0073506C">
        <w:rPr>
          <w:rFonts w:ascii="Times New Roman" w:eastAsia="Times New Roman" w:hAnsi="Times New Roman"/>
          <w:sz w:val="26"/>
          <w:szCs w:val="26"/>
        </w:rPr>
        <w:t>leviate duplication.</w:t>
      </w:r>
    </w:p>
    <w:p w14:paraId="15859C86" w14:textId="77777777" w:rsidR="00CE2887" w:rsidRPr="0073506C" w:rsidRDefault="00CE2887" w:rsidP="00CE2887">
      <w:pPr>
        <w:spacing w:after="0" w:line="240" w:lineRule="auto"/>
        <w:rPr>
          <w:rFonts w:ascii="Times New Roman" w:eastAsia="Times New Roman" w:hAnsi="Times New Roman"/>
          <w:sz w:val="26"/>
          <w:szCs w:val="26"/>
        </w:rPr>
      </w:pPr>
    </w:p>
    <w:p w14:paraId="41D26EC3" w14:textId="1A012DF6" w:rsidR="00CE2887" w:rsidRPr="0073506C" w:rsidRDefault="00C42E58" w:rsidP="00CE2887">
      <w:pPr>
        <w:spacing w:after="0" w:line="240" w:lineRule="auto"/>
        <w:rPr>
          <w:rFonts w:ascii="Times New Roman" w:eastAsia="Times New Roman" w:hAnsi="Times New Roman"/>
          <w:sz w:val="26"/>
          <w:szCs w:val="26"/>
        </w:rPr>
      </w:pPr>
      <w:r w:rsidRPr="000F07BD">
        <w:rPr>
          <w:rFonts w:ascii="Times New Roman" w:eastAsia="Times New Roman" w:hAnsi="Times New Roman"/>
          <w:b/>
          <w:sz w:val="26"/>
          <w:szCs w:val="26"/>
        </w:rPr>
        <w:t xml:space="preserve">FERC </w:t>
      </w:r>
      <w:r w:rsidR="00CE2887" w:rsidRPr="000F07BD">
        <w:rPr>
          <w:rFonts w:ascii="Times New Roman" w:eastAsia="Times New Roman" w:hAnsi="Times New Roman"/>
          <w:b/>
          <w:sz w:val="26"/>
          <w:szCs w:val="26"/>
        </w:rPr>
        <w:t>Form</w:t>
      </w:r>
      <w:r w:rsidRPr="000F07BD">
        <w:rPr>
          <w:rFonts w:ascii="Times New Roman" w:eastAsia="Times New Roman" w:hAnsi="Times New Roman"/>
          <w:b/>
          <w:sz w:val="26"/>
          <w:szCs w:val="26"/>
        </w:rPr>
        <w:t xml:space="preserve"> No</w:t>
      </w:r>
      <w:r w:rsidR="00CE2887" w:rsidRPr="000F07BD">
        <w:rPr>
          <w:rFonts w:ascii="Times New Roman" w:eastAsia="Times New Roman" w:hAnsi="Times New Roman"/>
          <w:b/>
          <w:sz w:val="26"/>
          <w:szCs w:val="26"/>
        </w:rPr>
        <w:t>s</w:t>
      </w:r>
      <w:r w:rsidRPr="000F07BD">
        <w:rPr>
          <w:rFonts w:ascii="Times New Roman" w:eastAsia="Times New Roman" w:hAnsi="Times New Roman"/>
          <w:b/>
          <w:sz w:val="26"/>
          <w:szCs w:val="26"/>
        </w:rPr>
        <w:t>.</w:t>
      </w:r>
      <w:r w:rsidR="00CE2887" w:rsidRPr="000F07BD">
        <w:rPr>
          <w:rFonts w:ascii="Times New Roman" w:eastAsia="Times New Roman" w:hAnsi="Times New Roman"/>
          <w:b/>
          <w:sz w:val="26"/>
          <w:szCs w:val="26"/>
        </w:rPr>
        <w:t xml:space="preserve"> 1, 1-F, and 3-Q.  </w:t>
      </w:r>
      <w:r w:rsidR="00CE2887" w:rsidRPr="000F07BD">
        <w:rPr>
          <w:rFonts w:ascii="Times New Roman" w:eastAsia="Times New Roman" w:hAnsi="Times New Roman"/>
          <w:sz w:val="26"/>
          <w:szCs w:val="26"/>
        </w:rPr>
        <w:t>While some jurisdictional entities may file similar information with the Securities and Exchange Commission (SEC), the level of detail concerning assets</w:t>
      </w:r>
      <w:r w:rsidR="00CE2887" w:rsidRPr="001D3353">
        <w:rPr>
          <w:rFonts w:ascii="Times New Roman" w:eastAsia="Times New Roman" w:hAnsi="Times New Roman"/>
          <w:sz w:val="26"/>
          <w:szCs w:val="26"/>
        </w:rPr>
        <w:t>,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w:t>
      </w:r>
      <w:r w:rsidR="00CE2887" w:rsidRPr="0073506C">
        <w:rPr>
          <w:rFonts w:ascii="Times New Roman" w:eastAsia="Times New Roman" w:hAnsi="Times New Roman"/>
          <w:sz w:val="26"/>
          <w:szCs w:val="26"/>
        </w:rPr>
        <w:t xml:space="preserve">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C904CCD" w14:textId="17255E53" w:rsidR="00494814" w:rsidRPr="0073506C" w:rsidRDefault="00494814" w:rsidP="00BD0F89">
      <w:pPr>
        <w:spacing w:after="0" w:line="240" w:lineRule="auto"/>
        <w:rPr>
          <w:rFonts w:ascii="Times New Roman" w:hAnsi="Times New Roman"/>
          <w:sz w:val="26"/>
          <w:szCs w:val="26"/>
        </w:rPr>
      </w:pPr>
    </w:p>
    <w:p w14:paraId="1043320F"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14:paraId="7CE41F3F" w14:textId="77777777" w:rsidR="00F0627E" w:rsidRPr="0073506C" w:rsidRDefault="00F0627E" w:rsidP="00BD0F89">
      <w:pPr>
        <w:spacing w:after="0" w:line="240" w:lineRule="auto"/>
        <w:rPr>
          <w:rFonts w:ascii="Times New Roman" w:hAnsi="Times New Roman"/>
          <w:sz w:val="26"/>
          <w:szCs w:val="26"/>
        </w:rPr>
      </w:pPr>
    </w:p>
    <w:p w14:paraId="568F9DC2" w14:textId="27B4BA41" w:rsidR="007D436E" w:rsidRPr="0073506C" w:rsidRDefault="00EA5213"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 xml:space="preserve">FERC </w:t>
      </w:r>
      <w:r w:rsidR="007D436E" w:rsidRPr="0073506C">
        <w:rPr>
          <w:rFonts w:ascii="Times New Roman" w:eastAsia="Times New Roman" w:hAnsi="Times New Roman"/>
          <w:b/>
          <w:sz w:val="26"/>
          <w:szCs w:val="26"/>
        </w:rPr>
        <w:t>Form</w:t>
      </w:r>
      <w:r w:rsidRPr="0073506C">
        <w:rPr>
          <w:rFonts w:ascii="Times New Roman" w:eastAsia="Times New Roman" w:hAnsi="Times New Roman"/>
          <w:b/>
          <w:sz w:val="26"/>
          <w:szCs w:val="26"/>
        </w:rPr>
        <w:t xml:space="preserve"> No</w:t>
      </w:r>
      <w:r w:rsidR="007D436E" w:rsidRPr="0073506C">
        <w:rPr>
          <w:rFonts w:ascii="Times New Roman" w:eastAsia="Times New Roman" w:hAnsi="Times New Roman"/>
          <w:b/>
          <w:sz w:val="26"/>
          <w:szCs w:val="26"/>
        </w:rPr>
        <w:t>s</w:t>
      </w:r>
      <w:r w:rsidRPr="0073506C">
        <w:rPr>
          <w:rFonts w:ascii="Times New Roman" w:eastAsia="Times New Roman" w:hAnsi="Times New Roman"/>
          <w:b/>
          <w:sz w:val="26"/>
          <w:szCs w:val="26"/>
        </w:rPr>
        <w:t>.</w:t>
      </w:r>
      <w:r w:rsidR="007D436E" w:rsidRPr="0073506C">
        <w:rPr>
          <w:rFonts w:ascii="Times New Roman" w:eastAsia="Times New Roman" w:hAnsi="Times New Roman"/>
          <w:b/>
          <w:sz w:val="26"/>
          <w:szCs w:val="26"/>
        </w:rPr>
        <w:t xml:space="preserve"> 1, 1-F, </w:t>
      </w:r>
      <w:r w:rsidR="00584669" w:rsidRPr="0073506C">
        <w:rPr>
          <w:rFonts w:ascii="Times New Roman" w:eastAsia="Times New Roman" w:hAnsi="Times New Roman"/>
          <w:b/>
          <w:sz w:val="26"/>
          <w:szCs w:val="26"/>
        </w:rPr>
        <w:t xml:space="preserve">and </w:t>
      </w:r>
      <w:r w:rsidR="007D436E" w:rsidRPr="0073506C">
        <w:rPr>
          <w:rFonts w:ascii="Times New Roman" w:eastAsia="Times New Roman" w:hAnsi="Times New Roman"/>
          <w:b/>
          <w:sz w:val="26"/>
          <w:szCs w:val="26"/>
        </w:rPr>
        <w:t>3-Q.</w:t>
      </w:r>
      <w:r w:rsidR="00C42E58" w:rsidRPr="0073506C">
        <w:rPr>
          <w:rFonts w:ascii="Times New Roman" w:eastAsia="Times New Roman" w:hAnsi="Times New Roman"/>
          <w:sz w:val="26"/>
          <w:szCs w:val="26"/>
        </w:rPr>
        <w:t xml:space="preserve">  As noted previously, FERC</w:t>
      </w:r>
      <w:r w:rsidR="007D436E" w:rsidRPr="0073506C">
        <w:rPr>
          <w:rFonts w:ascii="Times New Roman" w:eastAsia="Times New Roman" w:hAnsi="Times New Roman"/>
          <w:sz w:val="26"/>
          <w:szCs w:val="26"/>
        </w:rPr>
        <w:t xml:space="preserve"> 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1 is filed by major utilities or licensees and as such does no</w:t>
      </w:r>
      <w:r w:rsidR="00C42E58" w:rsidRPr="0073506C">
        <w:rPr>
          <w:rFonts w:ascii="Times New Roman" w:eastAsia="Times New Roman" w:hAnsi="Times New Roman"/>
          <w:sz w:val="26"/>
          <w:szCs w:val="26"/>
        </w:rPr>
        <w:t xml:space="preserve">t apply to small entities.  FERC </w:t>
      </w:r>
      <w:r w:rsidR="007D436E" w:rsidRPr="0073506C">
        <w:rPr>
          <w:rFonts w:ascii="Times New Roman" w:eastAsia="Times New Roman" w:hAnsi="Times New Roman"/>
          <w:sz w:val="26"/>
          <w:szCs w:val="26"/>
        </w:rPr>
        <w:t xml:space="preserve">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 xml:space="preserve">1-F is filed by public utilities with total sales of 10,000 megawatt-hours or more that are not major utilities.  The 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 xml:space="preserve">3-Q is filed only by electric or gas companies that file Forms </w:t>
      </w:r>
      <w:r w:rsidR="00456A2B" w:rsidRPr="0073506C">
        <w:rPr>
          <w:rFonts w:ascii="Times New Roman" w:eastAsia="Times New Roman" w:hAnsi="Times New Roman"/>
          <w:sz w:val="26"/>
          <w:szCs w:val="26"/>
        </w:rPr>
        <w:t xml:space="preserve">Nos. </w:t>
      </w:r>
      <w:r w:rsidR="007D436E" w:rsidRPr="0073506C">
        <w:rPr>
          <w:rFonts w:ascii="Times New Roman" w:eastAsia="Times New Roman" w:hAnsi="Times New Roman"/>
          <w:sz w:val="26"/>
          <w:szCs w:val="26"/>
        </w:rPr>
        <w:t>1, 1-F, 2, or 2-A</w:t>
      </w:r>
      <w:r w:rsidR="00444280" w:rsidRPr="0073506C">
        <w:rPr>
          <w:rFonts w:ascii="Times New Roman" w:eastAsia="Times New Roman" w:hAnsi="Times New Roman"/>
          <w:sz w:val="26"/>
          <w:szCs w:val="26"/>
        </w:rPr>
        <w:t xml:space="preserve">, </w:t>
      </w:r>
      <w:r w:rsidR="007D436E" w:rsidRPr="0073506C">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0CF4CC09" w14:textId="77777777" w:rsidR="007D436E" w:rsidRPr="0073506C" w:rsidRDefault="007D436E" w:rsidP="00BD0F89">
      <w:pPr>
        <w:spacing w:after="0" w:line="240" w:lineRule="auto"/>
        <w:rPr>
          <w:rFonts w:ascii="Times New Roman" w:eastAsia="Times New Roman" w:hAnsi="Times New Roman"/>
          <w:sz w:val="26"/>
          <w:szCs w:val="26"/>
        </w:rPr>
      </w:pPr>
    </w:p>
    <w:p w14:paraId="26442DFE"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14:paraId="20A53002" w14:textId="77777777" w:rsidR="00F0627E" w:rsidRPr="0073506C" w:rsidRDefault="00F0627E" w:rsidP="00BD0F89">
      <w:pPr>
        <w:spacing w:after="0" w:line="240" w:lineRule="auto"/>
        <w:rPr>
          <w:rFonts w:ascii="Times New Roman" w:hAnsi="Times New Roman"/>
          <w:sz w:val="26"/>
          <w:szCs w:val="26"/>
        </w:rPr>
      </w:pPr>
    </w:p>
    <w:p w14:paraId="4CC98597" w14:textId="005CDF6C" w:rsidR="00B705E5" w:rsidRPr="0073506C" w:rsidRDefault="00EA5213" w:rsidP="00F74D83">
      <w:pPr>
        <w:spacing w:after="0" w:line="240" w:lineRule="auto"/>
        <w:rPr>
          <w:rFonts w:ascii="Times New Roman" w:hAnsi="Times New Roman"/>
          <w:sz w:val="26"/>
          <w:szCs w:val="26"/>
        </w:rPr>
      </w:pPr>
      <w:r w:rsidRPr="0073506C">
        <w:rPr>
          <w:rFonts w:ascii="Times New Roman" w:hAnsi="Times New Roman"/>
          <w:b/>
          <w:sz w:val="26"/>
          <w:szCs w:val="26"/>
        </w:rPr>
        <w:t xml:space="preserve">FERC </w:t>
      </w:r>
      <w:r w:rsidR="007D436E" w:rsidRPr="0073506C">
        <w:rPr>
          <w:rFonts w:ascii="Times New Roman" w:hAnsi="Times New Roman"/>
          <w:b/>
          <w:sz w:val="26"/>
          <w:szCs w:val="26"/>
        </w:rPr>
        <w:t>Form</w:t>
      </w:r>
      <w:r w:rsidR="00295EB7" w:rsidRPr="0073506C">
        <w:rPr>
          <w:rFonts w:ascii="Times New Roman" w:hAnsi="Times New Roman"/>
          <w:b/>
          <w:sz w:val="26"/>
          <w:szCs w:val="26"/>
        </w:rPr>
        <w:t xml:space="preserve"> Nos.</w:t>
      </w:r>
      <w:r w:rsidR="007D436E" w:rsidRPr="0073506C">
        <w:rPr>
          <w:rFonts w:ascii="Times New Roman" w:hAnsi="Times New Roman"/>
          <w:b/>
          <w:sz w:val="26"/>
          <w:szCs w:val="26"/>
        </w:rPr>
        <w:t xml:space="preserve"> 1, 1-F, and 3-Q</w:t>
      </w:r>
      <w:r w:rsidR="007D436E" w:rsidRPr="0073506C">
        <w:rPr>
          <w:rFonts w:ascii="Times New Roman" w:hAnsi="Times New Roman"/>
          <w:sz w:val="26"/>
          <w:szCs w:val="26"/>
        </w:rPr>
        <w:t xml:space="preserve">.  </w:t>
      </w:r>
      <w:r w:rsidR="00F74D83" w:rsidRPr="0073506C">
        <w:rPr>
          <w:rFonts w:ascii="Times New Roman" w:hAnsi="Times New Roman"/>
          <w:sz w:val="26"/>
          <w:szCs w:val="26"/>
        </w:rPr>
        <w:t xml:space="preserve">The existing Form Nos. 1 and 1-F are required by the Commission to be submitted annually.  Annual reporting is consistent with the reporting to the companies' own management, the Internal Revenue Service, state and other Federal agencies' requirements. </w:t>
      </w:r>
      <w:r w:rsidR="00B705E5" w:rsidRPr="0073506C">
        <w:rPr>
          <w:rFonts w:ascii="Times New Roman" w:hAnsi="Times New Roman"/>
          <w:sz w:val="26"/>
          <w:szCs w:val="26"/>
        </w:rPr>
        <w:t xml:space="preserve"> </w:t>
      </w:r>
      <w:r w:rsidR="00C42E58" w:rsidRPr="0073506C">
        <w:rPr>
          <w:rFonts w:ascii="Times New Roman" w:hAnsi="Times New Roman"/>
          <w:sz w:val="26"/>
          <w:szCs w:val="26"/>
        </w:rPr>
        <w:t xml:space="preserve">FERC </w:t>
      </w:r>
      <w:r w:rsidR="00F74D83" w:rsidRPr="0073506C">
        <w:rPr>
          <w:rFonts w:ascii="Times New Roman" w:hAnsi="Times New Roman"/>
          <w:sz w:val="26"/>
          <w:szCs w:val="26"/>
        </w:rPr>
        <w:t xml:space="preserve">Form No. 3-Q filings provide quarterly updates to supplement the Form Nos 1, 1-F, 2, and 2A.  This quarterly information provides the Commission and the public with updated and timely information regarding a company’s financial and operational status.  </w:t>
      </w:r>
    </w:p>
    <w:p w14:paraId="5BB8C803" w14:textId="77777777" w:rsidR="00B705E5" w:rsidRPr="0073506C" w:rsidRDefault="00B705E5" w:rsidP="00F74D83">
      <w:pPr>
        <w:spacing w:after="0" w:line="240" w:lineRule="auto"/>
        <w:rPr>
          <w:rFonts w:ascii="Times New Roman" w:hAnsi="Times New Roman"/>
          <w:sz w:val="26"/>
          <w:szCs w:val="26"/>
        </w:rPr>
      </w:pPr>
    </w:p>
    <w:p w14:paraId="38370DCD" w14:textId="2FD1FF36" w:rsidR="007D436E" w:rsidRPr="0073506C" w:rsidRDefault="00C443EF" w:rsidP="00C0510A">
      <w:pPr>
        <w:spacing w:after="0" w:line="240" w:lineRule="auto"/>
        <w:rPr>
          <w:rFonts w:ascii="Times New Roman" w:hAnsi="Times New Roman"/>
          <w:sz w:val="26"/>
          <w:szCs w:val="26"/>
        </w:rPr>
      </w:pPr>
      <w:r w:rsidRPr="0073506C">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73506C">
        <w:rPr>
          <w:rFonts w:ascii="Times New Roman" w:hAnsi="Times New Roman"/>
          <w:sz w:val="26"/>
          <w:szCs w:val="26"/>
        </w:rPr>
        <w:t xml:space="preserve">have difficulty </w:t>
      </w:r>
      <w:r w:rsidRPr="0073506C">
        <w:rPr>
          <w:rFonts w:ascii="Times New Roman" w:hAnsi="Times New Roman"/>
          <w:sz w:val="26"/>
          <w:szCs w:val="26"/>
        </w:rPr>
        <w:t>perform</w:t>
      </w:r>
      <w:r w:rsidR="0003545C" w:rsidRPr="0073506C">
        <w:rPr>
          <w:rFonts w:ascii="Times New Roman" w:hAnsi="Times New Roman"/>
          <w:sz w:val="26"/>
          <w:szCs w:val="26"/>
        </w:rPr>
        <w:t>ing</w:t>
      </w:r>
      <w:r w:rsidRPr="0073506C">
        <w:rPr>
          <w:rFonts w:ascii="Times New Roman" w:hAnsi="Times New Roman"/>
          <w:sz w:val="26"/>
          <w:szCs w:val="26"/>
        </w:rPr>
        <w:t xml:space="preserve"> its mandated review and oversight in a timely and accurate manner.</w:t>
      </w:r>
      <w:r w:rsidR="00B75C18" w:rsidRPr="0073506C">
        <w:rPr>
          <w:rFonts w:ascii="Times New Roman" w:hAnsi="Times New Roman"/>
          <w:sz w:val="26"/>
          <w:szCs w:val="26"/>
        </w:rPr>
        <w:t xml:space="preserve">  </w:t>
      </w:r>
    </w:p>
    <w:p w14:paraId="3319550E" w14:textId="77777777" w:rsidR="00F0627E" w:rsidRPr="0073506C" w:rsidRDefault="00F0627E" w:rsidP="00BD0F89">
      <w:pPr>
        <w:spacing w:after="0" w:line="240" w:lineRule="auto"/>
        <w:rPr>
          <w:rFonts w:ascii="Times New Roman" w:hAnsi="Times New Roman"/>
          <w:sz w:val="26"/>
          <w:szCs w:val="26"/>
        </w:rPr>
      </w:pPr>
    </w:p>
    <w:p w14:paraId="6DE0BCEB"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14:paraId="61BC8479" w14:textId="77777777" w:rsidR="00F0627E" w:rsidRPr="0073506C" w:rsidRDefault="00F0627E" w:rsidP="00BD0F89">
      <w:pPr>
        <w:spacing w:after="0" w:line="240" w:lineRule="auto"/>
        <w:rPr>
          <w:rFonts w:ascii="Times New Roman" w:hAnsi="Times New Roman"/>
          <w:sz w:val="26"/>
          <w:szCs w:val="26"/>
        </w:rPr>
      </w:pPr>
    </w:p>
    <w:p w14:paraId="1832EE9A"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00EC66AC" w:rsidRPr="0073506C">
        <w:rPr>
          <w:rFonts w:ascii="Times New Roman" w:hAnsi="Times New Roman"/>
          <w:sz w:val="26"/>
          <w:szCs w:val="26"/>
        </w:rPr>
        <w:t>ese</w:t>
      </w:r>
      <w:r w:rsidRPr="0073506C">
        <w:rPr>
          <w:rFonts w:ascii="Times New Roman" w:hAnsi="Times New Roman"/>
          <w:sz w:val="26"/>
          <w:szCs w:val="26"/>
        </w:rPr>
        <w:t xml:space="preserve"> information collection</w:t>
      </w:r>
      <w:r w:rsidR="00EC66AC" w:rsidRPr="0073506C">
        <w:rPr>
          <w:rFonts w:ascii="Times New Roman" w:hAnsi="Times New Roman"/>
          <w:sz w:val="26"/>
          <w:szCs w:val="26"/>
        </w:rPr>
        <w:t>s</w:t>
      </w:r>
      <w:r w:rsidR="001F56F4" w:rsidRPr="0073506C">
        <w:rPr>
          <w:rFonts w:ascii="Times New Roman" w:hAnsi="Times New Roman"/>
          <w:sz w:val="26"/>
          <w:szCs w:val="26"/>
        </w:rPr>
        <w:t>, other than those mentioned below</w:t>
      </w:r>
      <w:r w:rsidRPr="0073506C">
        <w:rPr>
          <w:rFonts w:ascii="Times New Roman" w:hAnsi="Times New Roman"/>
          <w:sz w:val="26"/>
          <w:szCs w:val="26"/>
        </w:rPr>
        <w:t>.</w:t>
      </w:r>
    </w:p>
    <w:p w14:paraId="74F838D9" w14:textId="77777777" w:rsidR="00517EC0" w:rsidRPr="0073506C" w:rsidRDefault="00517EC0" w:rsidP="00BD0F89">
      <w:pPr>
        <w:spacing w:after="0" w:line="240" w:lineRule="auto"/>
        <w:ind w:left="360" w:hanging="360"/>
        <w:rPr>
          <w:rFonts w:ascii="Times New Roman" w:hAnsi="Times New Roman"/>
          <w:sz w:val="26"/>
          <w:szCs w:val="26"/>
        </w:rPr>
      </w:pPr>
    </w:p>
    <w:p w14:paraId="75DA9249"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14:paraId="5D2AE01F" w14:textId="77777777" w:rsidR="00F0627E" w:rsidRPr="0073506C" w:rsidRDefault="00F0627E" w:rsidP="00BD0F89">
      <w:pPr>
        <w:spacing w:after="0" w:line="240" w:lineRule="auto"/>
        <w:rPr>
          <w:rFonts w:ascii="Times New Roman" w:hAnsi="Times New Roman"/>
          <w:sz w:val="26"/>
          <w:szCs w:val="26"/>
        </w:rPr>
      </w:pPr>
    </w:p>
    <w:p w14:paraId="13BE816F" w14:textId="77777777" w:rsidR="00F4048B" w:rsidRDefault="005C55C8" w:rsidP="00BD0F89">
      <w:pPr>
        <w:pStyle w:val="ListParagraph"/>
        <w:spacing w:after="0" w:line="240" w:lineRule="auto"/>
        <w:ind w:left="0"/>
        <w:rPr>
          <w:rFonts w:ascii="Times New Roman" w:hAnsi="Times New Roman"/>
          <w:sz w:val="26"/>
          <w:szCs w:val="26"/>
          <w:highlight w:val="yellow"/>
        </w:rPr>
      </w:pPr>
      <w:r w:rsidRPr="0073506C">
        <w:rPr>
          <w:rFonts w:ascii="Times New Roman" w:hAnsi="Times New Roman"/>
          <w:sz w:val="26"/>
          <w:szCs w:val="26"/>
        </w:rPr>
        <w:t xml:space="preserve">The Commission published a 60-day Notice in the Federal Register on 5/7/2019 (84 FR </w:t>
      </w:r>
      <w:r w:rsidR="0047089C" w:rsidRPr="0073506C">
        <w:rPr>
          <w:rFonts w:ascii="Times New Roman" w:hAnsi="Times New Roman"/>
          <w:sz w:val="26"/>
          <w:szCs w:val="26"/>
        </w:rPr>
        <w:t xml:space="preserve">19921) </w:t>
      </w:r>
      <w:r w:rsidRPr="0073506C">
        <w:rPr>
          <w:rFonts w:ascii="Times New Roman" w:hAnsi="Times New Roman"/>
          <w:sz w:val="26"/>
          <w:szCs w:val="26"/>
        </w:rPr>
        <w:t xml:space="preserve">providing the public with an opportunity to comment on the information collections.  </w:t>
      </w:r>
    </w:p>
    <w:p w14:paraId="37E50A3E" w14:textId="77777777" w:rsidR="00F4048B" w:rsidRDefault="00F4048B" w:rsidP="00BD0F89">
      <w:pPr>
        <w:pStyle w:val="ListParagraph"/>
        <w:spacing w:after="0" w:line="240" w:lineRule="auto"/>
        <w:ind w:left="0"/>
        <w:rPr>
          <w:rFonts w:ascii="Times New Roman" w:hAnsi="Times New Roman"/>
          <w:sz w:val="26"/>
          <w:szCs w:val="26"/>
          <w:highlight w:val="yellow"/>
        </w:rPr>
      </w:pPr>
    </w:p>
    <w:p w14:paraId="472D9600" w14:textId="20088BCB" w:rsidR="00F4048B" w:rsidRDefault="00F4048B" w:rsidP="00BD0F89">
      <w:pPr>
        <w:pStyle w:val="ListParagraph"/>
        <w:spacing w:after="0" w:line="240" w:lineRule="auto"/>
        <w:ind w:left="0"/>
        <w:rPr>
          <w:rFonts w:ascii="Times New Roman" w:hAnsi="Times New Roman"/>
          <w:i/>
          <w:sz w:val="26"/>
          <w:szCs w:val="26"/>
        </w:rPr>
      </w:pPr>
      <w:r w:rsidRPr="0073506C">
        <w:rPr>
          <w:rFonts w:ascii="Times New Roman" w:hAnsi="Times New Roman"/>
          <w:i/>
          <w:sz w:val="26"/>
          <w:szCs w:val="26"/>
        </w:rPr>
        <w:t>Comments:</w:t>
      </w:r>
    </w:p>
    <w:p w14:paraId="2B38066F" w14:textId="02E7B2E8" w:rsidR="00913164" w:rsidRPr="0073506C" w:rsidRDefault="00913164" w:rsidP="00BD0F89">
      <w:pPr>
        <w:pStyle w:val="ListParagraph"/>
        <w:spacing w:after="0" w:line="240" w:lineRule="auto"/>
        <w:ind w:left="0"/>
        <w:rPr>
          <w:rFonts w:ascii="Times New Roman" w:hAnsi="Times New Roman"/>
          <w:sz w:val="26"/>
          <w:szCs w:val="26"/>
        </w:rPr>
      </w:pPr>
    </w:p>
    <w:p w14:paraId="5F1B8F2D" w14:textId="08CCC7B6"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One commenter, the Bureau of Economic Analysis (BEA), filed comments in response to the 60-day notice, broadly supporting the </w:t>
      </w:r>
      <w:r w:rsidRPr="00924DFC">
        <w:rPr>
          <w:rFonts w:ascii="Times New Roman" w:hAnsi="Times New Roman"/>
          <w:sz w:val="26"/>
          <w:szCs w:val="26"/>
        </w:rPr>
        <w:t>collection</w:t>
      </w:r>
      <w:r w:rsidR="00A83026" w:rsidRPr="00924DFC">
        <w:rPr>
          <w:rFonts w:ascii="Times New Roman" w:hAnsi="Times New Roman"/>
          <w:sz w:val="26"/>
          <w:szCs w:val="26"/>
        </w:rPr>
        <w:t>,</w:t>
      </w:r>
      <w:r w:rsidRPr="00924DFC">
        <w:rPr>
          <w:rFonts w:ascii="Times New Roman" w:hAnsi="Times New Roman"/>
          <w:sz w:val="26"/>
          <w:szCs w:val="26"/>
        </w:rPr>
        <w:t xml:space="preserve"> outlining the manner in which BEA utilizes the FERC Form Nos. 1 and 1-F data</w:t>
      </w:r>
      <w:r w:rsidR="00A83026" w:rsidRPr="00924DFC">
        <w:rPr>
          <w:rFonts w:ascii="Times New Roman" w:hAnsi="Times New Roman"/>
          <w:sz w:val="26"/>
          <w:szCs w:val="26"/>
        </w:rPr>
        <w:t>, and express</w:t>
      </w:r>
      <w:r w:rsidR="004B31EF" w:rsidRPr="00924DFC">
        <w:rPr>
          <w:rFonts w:ascii="Times New Roman" w:hAnsi="Times New Roman"/>
          <w:sz w:val="26"/>
          <w:szCs w:val="26"/>
        </w:rPr>
        <w:t>ing</w:t>
      </w:r>
      <w:r w:rsidR="00A83026" w:rsidRPr="00924DFC">
        <w:rPr>
          <w:rFonts w:ascii="Times New Roman" w:hAnsi="Times New Roman"/>
          <w:sz w:val="26"/>
          <w:szCs w:val="26"/>
        </w:rPr>
        <w:t xml:space="preserve"> interest in additional data</w:t>
      </w:r>
      <w:r w:rsidRPr="00924DFC">
        <w:rPr>
          <w:rFonts w:ascii="Times New Roman" w:hAnsi="Times New Roman"/>
          <w:sz w:val="26"/>
          <w:szCs w:val="26"/>
        </w:rPr>
        <w:t>.</w:t>
      </w:r>
      <w:r w:rsidRPr="00924DFC">
        <w:rPr>
          <w:rStyle w:val="FootnoteReference"/>
          <w:rFonts w:ascii="Times New Roman" w:hAnsi="Times New Roman"/>
          <w:sz w:val="26"/>
          <w:szCs w:val="26"/>
          <w:vertAlign w:val="superscript"/>
        </w:rPr>
        <w:footnoteReference w:id="10"/>
      </w:r>
      <w:r w:rsidRPr="00924DFC">
        <w:rPr>
          <w:rFonts w:ascii="Times New Roman" w:hAnsi="Times New Roman"/>
          <w:sz w:val="26"/>
          <w:szCs w:val="26"/>
        </w:rPr>
        <w:t xml:space="preserve">  </w:t>
      </w:r>
      <w:r w:rsidRPr="00E05251">
        <w:rPr>
          <w:rFonts w:ascii="Times New Roman" w:hAnsi="Times New Roman"/>
          <w:sz w:val="26"/>
          <w:szCs w:val="26"/>
        </w:rPr>
        <w:t>There were no comments filed in opposition to the collection</w:t>
      </w:r>
      <w:r w:rsidRPr="00924DFC">
        <w:rPr>
          <w:rFonts w:ascii="Times New Roman" w:hAnsi="Times New Roman"/>
          <w:sz w:val="26"/>
          <w:szCs w:val="26"/>
        </w:rPr>
        <w:t>.</w:t>
      </w:r>
      <w:r w:rsidRPr="0073506C">
        <w:rPr>
          <w:rFonts w:ascii="Times New Roman" w:hAnsi="Times New Roman"/>
          <w:sz w:val="26"/>
          <w:szCs w:val="26"/>
        </w:rPr>
        <w:t xml:space="preserve">  </w:t>
      </w:r>
    </w:p>
    <w:p w14:paraId="115CF213" w14:textId="77777777" w:rsidR="00F4048B" w:rsidRDefault="00F4048B" w:rsidP="0073506C">
      <w:pPr>
        <w:spacing w:after="0" w:line="240" w:lineRule="auto"/>
        <w:rPr>
          <w:rFonts w:ascii="Times New Roman" w:hAnsi="Times New Roman"/>
          <w:sz w:val="26"/>
          <w:szCs w:val="26"/>
        </w:rPr>
      </w:pPr>
    </w:p>
    <w:p w14:paraId="215C8227" w14:textId="5138CB7B"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w:t>
      </w:r>
      <w:r>
        <w:rPr>
          <w:rFonts w:ascii="Times New Roman" w:hAnsi="Times New Roman"/>
          <w:sz w:val="26"/>
          <w:szCs w:val="26"/>
        </w:rPr>
        <w:t xml:space="preserve">states that it </w:t>
      </w:r>
      <w:r w:rsidRPr="0073506C">
        <w:rPr>
          <w:rFonts w:ascii="Times New Roman" w:hAnsi="Times New Roman"/>
          <w:sz w:val="26"/>
          <w:szCs w:val="26"/>
        </w:rPr>
        <w:t xml:space="preserve">uses FERC tabulations indirectly, as they are used to estimate the U.S. Census Bureau's Construction Value Put-In Place (VPIP) for electric utilities. </w:t>
      </w:r>
      <w:r>
        <w:rPr>
          <w:rFonts w:ascii="Times New Roman" w:hAnsi="Times New Roman"/>
          <w:sz w:val="26"/>
          <w:szCs w:val="26"/>
        </w:rPr>
        <w:t xml:space="preserve">BEA explains that </w:t>
      </w:r>
      <w:r w:rsidRPr="0073506C">
        <w:rPr>
          <w:rFonts w:ascii="Times New Roman" w:hAnsi="Times New Roman"/>
          <w:sz w:val="26"/>
          <w:szCs w:val="26"/>
        </w:rPr>
        <w:t xml:space="preserve">Census VPIP serves a major source data input to the national income and product account (NIP A) structures investment </w:t>
      </w:r>
      <w:r w:rsidRPr="00F4048B">
        <w:rPr>
          <w:rFonts w:ascii="Times New Roman" w:hAnsi="Times New Roman"/>
          <w:sz w:val="26"/>
          <w:szCs w:val="26"/>
        </w:rPr>
        <w:t xml:space="preserve">estimates. </w:t>
      </w:r>
      <w:r w:rsidR="00CD4031">
        <w:rPr>
          <w:rFonts w:ascii="Times New Roman" w:hAnsi="Times New Roman"/>
          <w:sz w:val="26"/>
          <w:szCs w:val="26"/>
        </w:rPr>
        <w:t xml:space="preserve">According to BEA, </w:t>
      </w:r>
      <w:r w:rsidRPr="00F4048B">
        <w:rPr>
          <w:rFonts w:ascii="Times New Roman" w:hAnsi="Times New Roman"/>
          <w:sz w:val="26"/>
          <w:szCs w:val="26"/>
        </w:rPr>
        <w:t xml:space="preserve">NIPA estimates for electric structures rely upon the VPIP source data. </w:t>
      </w:r>
      <w:r w:rsidR="00CD4031">
        <w:rPr>
          <w:rFonts w:ascii="Times New Roman" w:hAnsi="Times New Roman"/>
          <w:sz w:val="26"/>
          <w:szCs w:val="26"/>
        </w:rPr>
        <w:t>As a result, BEA states that e</w:t>
      </w:r>
      <w:r w:rsidRPr="00F4048B">
        <w:rPr>
          <w:rFonts w:ascii="Times New Roman" w:hAnsi="Times New Roman"/>
          <w:sz w:val="26"/>
          <w:szCs w:val="26"/>
        </w:rPr>
        <w:t>stimates of utility industry structures investment for the BEA Fixed Assets Accounts rely in tu</w:t>
      </w:r>
      <w:r>
        <w:rPr>
          <w:rFonts w:ascii="Times New Roman" w:hAnsi="Times New Roman"/>
          <w:sz w:val="26"/>
          <w:szCs w:val="26"/>
        </w:rPr>
        <w:t>rn</w:t>
      </w:r>
      <w:r w:rsidRPr="00F4048B">
        <w:rPr>
          <w:rFonts w:ascii="Times New Roman" w:hAnsi="Times New Roman"/>
          <w:sz w:val="26"/>
          <w:szCs w:val="26"/>
        </w:rPr>
        <w:t xml:space="preserve"> upon the NIPA structures estimates and also directly upon selected </w:t>
      </w:r>
      <w:r>
        <w:rPr>
          <w:rFonts w:ascii="Times New Roman" w:hAnsi="Times New Roman"/>
          <w:sz w:val="26"/>
          <w:szCs w:val="26"/>
        </w:rPr>
        <w:t>Commission</w:t>
      </w:r>
      <w:r w:rsidRPr="00F4048B">
        <w:rPr>
          <w:rFonts w:ascii="Times New Roman" w:hAnsi="Times New Roman"/>
          <w:sz w:val="26"/>
          <w:szCs w:val="26"/>
        </w:rPr>
        <w:t xml:space="preserve"> data sets published by the Energy Information Administration. BEA </w:t>
      </w:r>
      <w:r w:rsidR="00CD4031">
        <w:rPr>
          <w:rFonts w:ascii="Times New Roman" w:hAnsi="Times New Roman"/>
          <w:sz w:val="26"/>
          <w:szCs w:val="26"/>
        </w:rPr>
        <w:t xml:space="preserve">notes that while it </w:t>
      </w:r>
      <w:r w:rsidRPr="00F4048B">
        <w:rPr>
          <w:rFonts w:ascii="Times New Roman" w:hAnsi="Times New Roman"/>
          <w:sz w:val="26"/>
          <w:szCs w:val="26"/>
        </w:rPr>
        <w:t xml:space="preserve">uses this information indirectly through the VPIP program, </w:t>
      </w:r>
      <w:r w:rsidR="00CD4031">
        <w:rPr>
          <w:rFonts w:ascii="Times New Roman" w:hAnsi="Times New Roman"/>
          <w:sz w:val="26"/>
          <w:szCs w:val="26"/>
        </w:rPr>
        <w:t xml:space="preserve">BEA considers </w:t>
      </w:r>
      <w:r w:rsidRPr="00F4048B">
        <w:rPr>
          <w:rFonts w:ascii="Times New Roman" w:hAnsi="Times New Roman"/>
          <w:sz w:val="26"/>
          <w:szCs w:val="26"/>
        </w:rPr>
        <w:t xml:space="preserve">it </w:t>
      </w:r>
      <w:r w:rsidR="00CD4031">
        <w:rPr>
          <w:rFonts w:ascii="Times New Roman" w:hAnsi="Times New Roman"/>
          <w:sz w:val="26"/>
          <w:szCs w:val="26"/>
        </w:rPr>
        <w:t>a</w:t>
      </w:r>
      <w:r w:rsidRPr="00F4048B">
        <w:rPr>
          <w:rFonts w:ascii="Times New Roman" w:hAnsi="Times New Roman"/>
          <w:sz w:val="26"/>
          <w:szCs w:val="26"/>
        </w:rPr>
        <w:t xml:space="preserve">n indispensable data source to the NIPA estimates. </w:t>
      </w:r>
    </w:p>
    <w:p w14:paraId="434BE45A" w14:textId="77777777" w:rsidR="00F4048B" w:rsidRPr="00F4048B" w:rsidRDefault="00F4048B" w:rsidP="0073506C">
      <w:pPr>
        <w:spacing w:after="0" w:line="240" w:lineRule="auto"/>
        <w:rPr>
          <w:rFonts w:ascii="Times New Roman" w:hAnsi="Times New Roman"/>
          <w:sz w:val="26"/>
          <w:szCs w:val="26"/>
        </w:rPr>
      </w:pPr>
    </w:p>
    <w:p w14:paraId="74F9D839" w14:textId="2B69861E"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w:t>
      </w:r>
      <w:r w:rsidR="00C128FF">
        <w:rPr>
          <w:rFonts w:ascii="Times New Roman" w:hAnsi="Times New Roman"/>
          <w:sz w:val="26"/>
          <w:szCs w:val="26"/>
        </w:rPr>
        <w:t xml:space="preserve">offers that it </w:t>
      </w:r>
      <w:r w:rsidRPr="0073506C">
        <w:rPr>
          <w:rFonts w:ascii="Times New Roman" w:hAnsi="Times New Roman"/>
          <w:sz w:val="26"/>
          <w:szCs w:val="26"/>
        </w:rPr>
        <w:t xml:space="preserve">would like to explore receiving line items from Forms 1 and lF aggregated to industry totals, similar to the method and timing used to provide information to the Census Bureau. </w:t>
      </w:r>
      <w:r w:rsidR="00C128FF">
        <w:rPr>
          <w:rFonts w:ascii="Times New Roman" w:hAnsi="Times New Roman"/>
          <w:sz w:val="26"/>
          <w:szCs w:val="26"/>
        </w:rPr>
        <w:t>According to BEA, t</w:t>
      </w:r>
      <w:r w:rsidRPr="0073506C">
        <w:rPr>
          <w:rFonts w:ascii="Times New Roman" w:hAnsi="Times New Roman"/>
          <w:sz w:val="26"/>
          <w:szCs w:val="26"/>
        </w:rPr>
        <w:t xml:space="preserve">hese tabulations would be used by BEA for, among other things, estimating industry gross output and changes in intermediate inputs. BEA </w:t>
      </w:r>
      <w:r w:rsidR="00C128FF">
        <w:rPr>
          <w:rFonts w:ascii="Times New Roman" w:hAnsi="Times New Roman"/>
          <w:sz w:val="26"/>
          <w:szCs w:val="26"/>
        </w:rPr>
        <w:t xml:space="preserve">explains that it </w:t>
      </w:r>
      <w:r w:rsidRPr="0073506C">
        <w:rPr>
          <w:rFonts w:ascii="Times New Roman" w:hAnsi="Times New Roman"/>
          <w:sz w:val="26"/>
          <w:szCs w:val="26"/>
        </w:rPr>
        <w:t xml:space="preserve">would use the aggregated FERC data as well for the fixed asset account nonresidential structure investment, capital stock, and ultimately for consumption of fixed capital (depreciation) estimates that depend upon the NIPA structures estimates. </w:t>
      </w:r>
    </w:p>
    <w:p w14:paraId="757E981D" w14:textId="77777777" w:rsidR="00F4048B" w:rsidRPr="0073506C" w:rsidRDefault="00F4048B" w:rsidP="0073506C">
      <w:pPr>
        <w:spacing w:after="0" w:line="240" w:lineRule="auto"/>
        <w:rPr>
          <w:rFonts w:ascii="Times New Roman" w:hAnsi="Times New Roman"/>
          <w:sz w:val="26"/>
          <w:szCs w:val="26"/>
        </w:rPr>
      </w:pPr>
    </w:p>
    <w:p w14:paraId="31CA4A95" w14:textId="675E1C3D" w:rsidR="005C55C8" w:rsidRDefault="00F4048B" w:rsidP="00F4048B">
      <w:pPr>
        <w:pStyle w:val="ListParagraph"/>
        <w:spacing w:after="0" w:line="240" w:lineRule="auto"/>
        <w:ind w:left="0"/>
        <w:rPr>
          <w:rFonts w:ascii="Times New Roman" w:hAnsi="Times New Roman"/>
          <w:sz w:val="26"/>
          <w:szCs w:val="26"/>
        </w:rPr>
      </w:pPr>
      <w:r w:rsidRPr="00F4048B">
        <w:rPr>
          <w:rFonts w:ascii="Times New Roman" w:hAnsi="Times New Roman"/>
          <w:sz w:val="26"/>
          <w:szCs w:val="26"/>
        </w:rPr>
        <w:t xml:space="preserve">BEA </w:t>
      </w:r>
      <w:r w:rsidR="00C128FF">
        <w:rPr>
          <w:rFonts w:ascii="Times New Roman" w:hAnsi="Times New Roman"/>
          <w:sz w:val="26"/>
          <w:szCs w:val="26"/>
        </w:rPr>
        <w:t xml:space="preserve">states that it </w:t>
      </w:r>
      <w:r w:rsidRPr="00F4048B">
        <w:rPr>
          <w:rFonts w:ascii="Times New Roman" w:hAnsi="Times New Roman"/>
          <w:sz w:val="26"/>
          <w:szCs w:val="26"/>
        </w:rPr>
        <w:t>has in the past used items such as plant in service by type of utility; subsidiary and non­utility investments; allowance for funds used during construction; plant held for future use; plant leased to others; construction work in progress; depreciation; and other plant-related schedules</w:t>
      </w:r>
      <w:r w:rsidR="00C128FF">
        <w:rPr>
          <w:rFonts w:ascii="Times New Roman" w:hAnsi="Times New Roman"/>
          <w:sz w:val="26"/>
          <w:szCs w:val="26"/>
        </w:rPr>
        <w:t xml:space="preserve"> because</w:t>
      </w:r>
      <w:r w:rsidRPr="00F4048B">
        <w:rPr>
          <w:rFonts w:ascii="Times New Roman" w:hAnsi="Times New Roman"/>
          <w:sz w:val="26"/>
          <w:szCs w:val="26"/>
        </w:rPr>
        <w:t xml:space="preserve"> they are useful in estimating total industry plant-in-service. </w:t>
      </w:r>
      <w:r w:rsidR="00C128FF">
        <w:rPr>
          <w:rFonts w:ascii="Times New Roman" w:hAnsi="Times New Roman"/>
          <w:sz w:val="26"/>
          <w:szCs w:val="26"/>
        </w:rPr>
        <w:t xml:space="preserve"> BEA further states that, i</w:t>
      </w:r>
      <w:r w:rsidRPr="00F4048B">
        <w:rPr>
          <w:rFonts w:ascii="Times New Roman" w:hAnsi="Times New Roman"/>
          <w:sz w:val="26"/>
          <w:szCs w:val="26"/>
        </w:rPr>
        <w:t xml:space="preserve">n general, income statement and balance sheet data support utility industry investment by industry estimates. </w:t>
      </w:r>
      <w:r w:rsidR="00C128FF">
        <w:rPr>
          <w:rFonts w:ascii="Times New Roman" w:hAnsi="Times New Roman"/>
          <w:sz w:val="26"/>
          <w:szCs w:val="26"/>
        </w:rPr>
        <w:t>BEA notes that t</w:t>
      </w:r>
      <w:r w:rsidRPr="00F4048B">
        <w:rPr>
          <w:rFonts w:ascii="Times New Roman" w:hAnsi="Times New Roman"/>
          <w:sz w:val="26"/>
          <w:szCs w:val="26"/>
        </w:rPr>
        <w:t xml:space="preserve">abulations by legal form of ownership are also useful in the estimation of investment by legal form of organization for utility industries. BEA </w:t>
      </w:r>
      <w:r w:rsidR="00C128FF">
        <w:rPr>
          <w:rFonts w:ascii="Times New Roman" w:hAnsi="Times New Roman"/>
          <w:sz w:val="26"/>
          <w:szCs w:val="26"/>
        </w:rPr>
        <w:t xml:space="preserve">also expressed interest in </w:t>
      </w:r>
      <w:r w:rsidRPr="00F4048B">
        <w:rPr>
          <w:rFonts w:ascii="Times New Roman" w:hAnsi="Times New Roman"/>
          <w:sz w:val="26"/>
          <w:szCs w:val="26"/>
        </w:rPr>
        <w:t>plant-in-service separately identified for electric generation (by type of generation - hydro, nuclear, etc.), transmission, and distribution.</w:t>
      </w:r>
    </w:p>
    <w:p w14:paraId="149E7B03" w14:textId="77777777" w:rsidR="00F4048B" w:rsidRDefault="00F4048B" w:rsidP="00F4048B">
      <w:pPr>
        <w:pStyle w:val="ListParagraph"/>
        <w:spacing w:after="0" w:line="240" w:lineRule="auto"/>
        <w:ind w:left="0"/>
        <w:rPr>
          <w:rFonts w:ascii="Times New Roman" w:hAnsi="Times New Roman"/>
          <w:sz w:val="26"/>
          <w:szCs w:val="26"/>
        </w:rPr>
      </w:pPr>
    </w:p>
    <w:p w14:paraId="07CACAE9" w14:textId="12FBF66D"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requests that </w:t>
      </w:r>
      <w:r w:rsidR="00C128FF">
        <w:rPr>
          <w:rFonts w:ascii="Times New Roman" w:hAnsi="Times New Roman"/>
          <w:sz w:val="26"/>
          <w:szCs w:val="26"/>
        </w:rPr>
        <w:t>the Commission</w:t>
      </w:r>
      <w:r w:rsidRPr="0073506C">
        <w:rPr>
          <w:rFonts w:ascii="Times New Roman" w:hAnsi="Times New Roman"/>
          <w:sz w:val="26"/>
          <w:szCs w:val="26"/>
        </w:rPr>
        <w:t xml:space="preserve"> consider the inclusion of additional questions on the electric utility survey forms. Specifically, </w:t>
      </w:r>
      <w:r w:rsidR="00C128FF">
        <w:rPr>
          <w:rFonts w:ascii="Times New Roman" w:hAnsi="Times New Roman"/>
          <w:sz w:val="26"/>
          <w:szCs w:val="26"/>
        </w:rPr>
        <w:t xml:space="preserve">BEA suggests offering </w:t>
      </w:r>
      <w:r w:rsidRPr="0073506C">
        <w:rPr>
          <w:rFonts w:ascii="Times New Roman" w:hAnsi="Times New Roman"/>
          <w:sz w:val="26"/>
          <w:szCs w:val="26"/>
        </w:rPr>
        <w:t xml:space="preserve">new questions that </w:t>
      </w:r>
      <w:r w:rsidR="00C128FF">
        <w:rPr>
          <w:rFonts w:ascii="Times New Roman" w:hAnsi="Times New Roman"/>
          <w:sz w:val="26"/>
          <w:szCs w:val="26"/>
        </w:rPr>
        <w:t xml:space="preserve">ask for capital expenditures </w:t>
      </w:r>
      <w:r w:rsidRPr="0073506C">
        <w:rPr>
          <w:rFonts w:ascii="Times New Roman" w:hAnsi="Times New Roman"/>
          <w:sz w:val="26"/>
          <w:szCs w:val="26"/>
        </w:rPr>
        <w:t xml:space="preserve">for new versus replacement fixed assets, intangibles, and equipment and structures separately (excluding land). </w:t>
      </w:r>
      <w:r w:rsidR="00C128FF">
        <w:rPr>
          <w:rFonts w:ascii="Times New Roman" w:hAnsi="Times New Roman"/>
          <w:sz w:val="26"/>
          <w:szCs w:val="26"/>
        </w:rPr>
        <w:t>According to BEA, t</w:t>
      </w:r>
      <w:r w:rsidRPr="0073506C">
        <w:rPr>
          <w:rFonts w:ascii="Times New Roman" w:hAnsi="Times New Roman"/>
          <w:sz w:val="26"/>
          <w:szCs w:val="26"/>
        </w:rPr>
        <w:t>hese questions would provide additional useful information to BEA that would lead to improved estimates of capital spending at BEA and for Census</w:t>
      </w:r>
      <w:r>
        <w:rPr>
          <w:rFonts w:ascii="Times New Roman" w:hAnsi="Times New Roman"/>
          <w:sz w:val="26"/>
          <w:szCs w:val="26"/>
        </w:rPr>
        <w:t>/V</w:t>
      </w:r>
      <w:r w:rsidRPr="0073506C">
        <w:rPr>
          <w:rFonts w:ascii="Times New Roman" w:hAnsi="Times New Roman"/>
          <w:sz w:val="26"/>
          <w:szCs w:val="26"/>
        </w:rPr>
        <w:t xml:space="preserve">PIP. </w:t>
      </w:r>
    </w:p>
    <w:p w14:paraId="04C348EA" w14:textId="77777777" w:rsidR="00C128FF" w:rsidRPr="0073506C" w:rsidRDefault="00C128FF" w:rsidP="0073506C">
      <w:pPr>
        <w:spacing w:after="0" w:line="240" w:lineRule="auto"/>
        <w:rPr>
          <w:rFonts w:ascii="Times New Roman" w:hAnsi="Times New Roman"/>
          <w:sz w:val="26"/>
          <w:szCs w:val="26"/>
        </w:rPr>
      </w:pPr>
    </w:p>
    <w:p w14:paraId="1EE1D9EA" w14:textId="1D0C0485" w:rsidR="00F4048B" w:rsidRDefault="00C128FF" w:rsidP="00F4048B">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Finally, BEA offers that </w:t>
      </w:r>
      <w:r w:rsidR="00F4048B" w:rsidRPr="00F4048B">
        <w:rPr>
          <w:rFonts w:ascii="Times New Roman" w:hAnsi="Times New Roman"/>
          <w:sz w:val="26"/>
          <w:szCs w:val="26"/>
        </w:rPr>
        <w:t>more detailed information about equipment and structures leased from others under operating leases would be useful to us for statistical purposes.</w:t>
      </w:r>
    </w:p>
    <w:p w14:paraId="5AE84E2D" w14:textId="77777777" w:rsidR="00C128FF" w:rsidRDefault="00C128FF" w:rsidP="00F4048B">
      <w:pPr>
        <w:pStyle w:val="ListParagraph"/>
        <w:spacing w:after="0" w:line="240" w:lineRule="auto"/>
        <w:ind w:left="0"/>
        <w:rPr>
          <w:rFonts w:ascii="Times New Roman" w:hAnsi="Times New Roman"/>
          <w:sz w:val="26"/>
          <w:szCs w:val="26"/>
        </w:rPr>
      </w:pPr>
    </w:p>
    <w:p w14:paraId="3924A7CB" w14:textId="0DC71EB0" w:rsidR="00C128FF" w:rsidRDefault="00C128FF" w:rsidP="00F4048B">
      <w:pPr>
        <w:pStyle w:val="ListParagraph"/>
        <w:spacing w:after="0" w:line="240" w:lineRule="auto"/>
        <w:ind w:left="0"/>
        <w:rPr>
          <w:rFonts w:ascii="Times New Roman" w:hAnsi="Times New Roman"/>
          <w:i/>
          <w:sz w:val="26"/>
          <w:szCs w:val="26"/>
        </w:rPr>
      </w:pPr>
      <w:r>
        <w:rPr>
          <w:rFonts w:ascii="Times New Roman" w:hAnsi="Times New Roman"/>
          <w:i/>
          <w:sz w:val="26"/>
          <w:szCs w:val="26"/>
        </w:rPr>
        <w:t>Commission Response:</w:t>
      </w:r>
    </w:p>
    <w:p w14:paraId="16CADC4C" w14:textId="77777777" w:rsidR="00C128FF" w:rsidRDefault="00C128FF" w:rsidP="00F4048B">
      <w:pPr>
        <w:pStyle w:val="ListParagraph"/>
        <w:spacing w:after="0" w:line="240" w:lineRule="auto"/>
        <w:ind w:left="0"/>
        <w:rPr>
          <w:rFonts w:ascii="Times New Roman" w:hAnsi="Times New Roman"/>
          <w:i/>
          <w:sz w:val="26"/>
          <w:szCs w:val="26"/>
        </w:rPr>
      </w:pPr>
    </w:p>
    <w:p w14:paraId="3E09956F" w14:textId="088DC40B" w:rsidR="00C128FF" w:rsidRDefault="00C128FF" w:rsidP="00F4048B">
      <w:pPr>
        <w:pStyle w:val="ListParagraph"/>
        <w:spacing w:after="0" w:line="240" w:lineRule="auto"/>
        <w:ind w:left="0"/>
        <w:rPr>
          <w:rFonts w:ascii="Times New Roman" w:hAnsi="Times New Roman"/>
          <w:sz w:val="26"/>
          <w:szCs w:val="26"/>
        </w:rPr>
      </w:pPr>
      <w:r>
        <w:rPr>
          <w:rFonts w:ascii="Times New Roman" w:hAnsi="Times New Roman"/>
          <w:sz w:val="26"/>
          <w:szCs w:val="26"/>
        </w:rPr>
        <w:t>As discussed above, the public utilizes the data in FERC Form Nos. 1 and 1-F to assist in monitoring the rates, the financial condition of entities and in assessing energy markets.  BEA’s comments in support of the collection of the FERC Form Nos. 1 and 1-F data provide tangible examples of this utilization and reflect the public benefit of reporting this information.</w:t>
      </w:r>
      <w:r w:rsidR="003023A8">
        <w:rPr>
          <w:rFonts w:ascii="Times New Roman" w:hAnsi="Times New Roman"/>
          <w:sz w:val="26"/>
          <w:szCs w:val="26"/>
        </w:rPr>
        <w:t xml:space="preserve">  As further discussed above, t</w:t>
      </w:r>
      <w:r w:rsidR="003023A8" w:rsidRPr="003023A8">
        <w:rPr>
          <w:rFonts w:ascii="Times New Roman" w:hAnsi="Times New Roman"/>
          <w:sz w:val="26"/>
          <w:szCs w:val="26"/>
        </w:rPr>
        <w:t>he</w:t>
      </w:r>
      <w:r w:rsidR="003023A8">
        <w:rPr>
          <w:rFonts w:ascii="Times New Roman" w:hAnsi="Times New Roman"/>
          <w:sz w:val="26"/>
          <w:szCs w:val="26"/>
        </w:rPr>
        <w:t xml:space="preserve"> instant request to review and approve contains no</w:t>
      </w:r>
      <w:r w:rsidR="003023A8" w:rsidRPr="003023A8">
        <w:rPr>
          <w:rFonts w:ascii="Times New Roman" w:hAnsi="Times New Roman"/>
          <w:sz w:val="26"/>
          <w:szCs w:val="26"/>
        </w:rPr>
        <w:t xml:space="preserve"> changes to the reporting requirements for the existing information collections</w:t>
      </w:r>
      <w:r w:rsidR="003023A8">
        <w:rPr>
          <w:rFonts w:ascii="Times New Roman" w:hAnsi="Times New Roman"/>
          <w:sz w:val="26"/>
          <w:szCs w:val="26"/>
        </w:rPr>
        <w:t>.</w:t>
      </w:r>
    </w:p>
    <w:p w14:paraId="491B615C" w14:textId="77777777" w:rsidR="00F4048B" w:rsidRPr="0073506C" w:rsidRDefault="00F4048B" w:rsidP="00BD0F89">
      <w:pPr>
        <w:pStyle w:val="ListParagraph"/>
        <w:spacing w:after="0" w:line="240" w:lineRule="auto"/>
        <w:ind w:left="0"/>
        <w:rPr>
          <w:rFonts w:ascii="Times New Roman" w:hAnsi="Times New Roman"/>
          <w:sz w:val="26"/>
          <w:szCs w:val="26"/>
        </w:rPr>
      </w:pPr>
    </w:p>
    <w:p w14:paraId="57900023" w14:textId="4741A270" w:rsidR="005C55C8" w:rsidRPr="0073506C" w:rsidRDefault="005C55C8" w:rsidP="00BD0F89">
      <w:pPr>
        <w:pStyle w:val="ListParagraph"/>
        <w:spacing w:after="0" w:line="240" w:lineRule="auto"/>
        <w:ind w:left="0"/>
        <w:rPr>
          <w:rFonts w:ascii="Times New Roman" w:hAnsi="Times New Roman"/>
          <w:sz w:val="26"/>
          <w:szCs w:val="26"/>
        </w:rPr>
      </w:pPr>
      <w:r w:rsidRPr="0073506C">
        <w:rPr>
          <w:rFonts w:ascii="Times New Roman" w:hAnsi="Times New Roman"/>
          <w:sz w:val="26"/>
          <w:szCs w:val="26"/>
        </w:rPr>
        <w:t>The Commission is also publishing a 30-day Notice in the Federal Register.</w:t>
      </w:r>
    </w:p>
    <w:p w14:paraId="1F5BA73E" w14:textId="77777777" w:rsidR="009C451A" w:rsidRPr="0073506C"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14:paraId="1C0A081E" w14:textId="77777777" w:rsidR="00F0627E" w:rsidRPr="0073506C" w:rsidRDefault="00F0627E" w:rsidP="00BD0F89">
      <w:pPr>
        <w:spacing w:after="0" w:line="240" w:lineRule="auto"/>
        <w:rPr>
          <w:rFonts w:ascii="Times New Roman" w:hAnsi="Times New Roman"/>
          <w:sz w:val="26"/>
          <w:szCs w:val="26"/>
        </w:rPr>
      </w:pPr>
    </w:p>
    <w:p w14:paraId="47E62683"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There are no payments or gifts to respondents.</w:t>
      </w:r>
    </w:p>
    <w:p w14:paraId="63605198" w14:textId="77777777" w:rsidR="00F0627E" w:rsidRPr="0073506C" w:rsidRDefault="00F0627E" w:rsidP="00BD0F89">
      <w:pPr>
        <w:spacing w:after="0" w:line="240" w:lineRule="auto"/>
        <w:rPr>
          <w:rFonts w:ascii="Times New Roman" w:hAnsi="Times New Roman"/>
          <w:sz w:val="26"/>
          <w:szCs w:val="26"/>
        </w:rPr>
      </w:pPr>
    </w:p>
    <w:p w14:paraId="0127248A"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14:paraId="55B18053" w14:textId="77777777" w:rsidR="00F0627E" w:rsidRPr="0073506C" w:rsidRDefault="00F0627E" w:rsidP="00BD0F89">
      <w:pPr>
        <w:spacing w:after="0" w:line="240" w:lineRule="auto"/>
        <w:rPr>
          <w:rFonts w:ascii="Times New Roman" w:hAnsi="Times New Roman"/>
          <w:sz w:val="26"/>
          <w:szCs w:val="26"/>
        </w:rPr>
      </w:pPr>
    </w:p>
    <w:p w14:paraId="1594C0DB"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73506C">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sidRPr="0073506C">
        <w:rPr>
          <w:rFonts w:ascii="Times New Roman" w:hAnsi="Times New Roman"/>
          <w:b/>
          <w:sz w:val="26"/>
          <w:szCs w:val="26"/>
          <w:vertAlign w:val="superscript"/>
        </w:rPr>
        <w:footnoteReference w:id="11"/>
      </w:r>
      <w:r w:rsidRPr="0073506C">
        <w:rPr>
          <w:rFonts w:ascii="Times New Roman" w:hAnsi="Times New Roman"/>
          <w:sz w:val="26"/>
          <w:szCs w:val="26"/>
        </w:rPr>
        <w:t xml:space="preserve">  The Commission will review each request for confidential treatment on a case-by-case basis.</w:t>
      </w:r>
      <w:r w:rsidR="00084A7F" w:rsidRPr="0073506C">
        <w:rPr>
          <w:rFonts w:ascii="Times New Roman" w:hAnsi="Times New Roman"/>
          <w:sz w:val="26"/>
          <w:szCs w:val="26"/>
        </w:rPr>
        <w:t xml:space="preserve"> </w:t>
      </w:r>
    </w:p>
    <w:p w14:paraId="06B74231" w14:textId="77777777" w:rsidR="00F0627E" w:rsidRPr="0073506C" w:rsidRDefault="00F0627E" w:rsidP="00BD0F89">
      <w:pPr>
        <w:spacing w:after="0" w:line="240" w:lineRule="auto"/>
        <w:rPr>
          <w:rFonts w:ascii="Times New Roman" w:hAnsi="Times New Roman"/>
          <w:sz w:val="26"/>
          <w:szCs w:val="26"/>
        </w:rPr>
      </w:pPr>
    </w:p>
    <w:p w14:paraId="3F7300DB"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73506C" w:rsidRDefault="00F0627E" w:rsidP="00BD0F89">
      <w:pPr>
        <w:spacing w:after="0" w:line="240" w:lineRule="auto"/>
        <w:rPr>
          <w:rFonts w:ascii="Times New Roman" w:hAnsi="Times New Roman"/>
          <w:sz w:val="26"/>
          <w:szCs w:val="26"/>
        </w:rPr>
      </w:pPr>
    </w:p>
    <w:p w14:paraId="7AC7B511"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There are no questions of a sensitive nature. </w:t>
      </w:r>
    </w:p>
    <w:p w14:paraId="5A7A5206" w14:textId="77777777" w:rsidR="00F0627E" w:rsidRPr="0073506C" w:rsidRDefault="00F0627E" w:rsidP="00BD0F89">
      <w:pPr>
        <w:spacing w:after="0" w:line="240" w:lineRule="auto"/>
        <w:rPr>
          <w:rFonts w:ascii="Times New Roman" w:hAnsi="Times New Roman"/>
          <w:sz w:val="26"/>
          <w:szCs w:val="26"/>
        </w:rPr>
      </w:pPr>
    </w:p>
    <w:p w14:paraId="21A98BF8" w14:textId="77777777" w:rsidR="00F0627E" w:rsidRPr="0073506C" w:rsidRDefault="00F0627E" w:rsidP="00BD0F89">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b/>
          <w:sz w:val="26"/>
          <w:szCs w:val="26"/>
        </w:rPr>
        <w:t>ESTIMATED BURDEN OF COLLECTION OF INFORMATION</w:t>
      </w:r>
    </w:p>
    <w:p w14:paraId="006B7021" w14:textId="77777777" w:rsidR="00AD2C01" w:rsidRPr="0073506C" w:rsidRDefault="004A36E5" w:rsidP="00BD0F89">
      <w:pPr>
        <w:spacing w:after="0" w:line="240" w:lineRule="auto"/>
        <w:rPr>
          <w:rFonts w:ascii="Times New Roman" w:hAnsi="Times New Roman"/>
          <w:sz w:val="26"/>
          <w:szCs w:val="26"/>
        </w:rPr>
      </w:pPr>
      <w:r w:rsidRPr="0073506C">
        <w:rPr>
          <w:rFonts w:ascii="Times New Roman" w:hAnsi="Times New Roman"/>
          <w:sz w:val="26"/>
          <w:szCs w:val="26"/>
        </w:rPr>
        <w:t xml:space="preserve"> </w:t>
      </w:r>
    </w:p>
    <w:p w14:paraId="34B95CF5" w14:textId="2EF48361" w:rsidR="00ED6497" w:rsidRPr="0073506C" w:rsidRDefault="00AD2C01" w:rsidP="00BD0F89">
      <w:pPr>
        <w:spacing w:after="0" w:line="240" w:lineRule="auto"/>
        <w:rPr>
          <w:rFonts w:ascii="Times New Roman" w:hAnsi="Times New Roman"/>
          <w:sz w:val="26"/>
          <w:szCs w:val="26"/>
        </w:rPr>
      </w:pPr>
      <w:r w:rsidRPr="0073506C">
        <w:rPr>
          <w:rFonts w:ascii="Times New Roman" w:hAnsi="Times New Roman"/>
          <w:sz w:val="26"/>
          <w:szCs w:val="26"/>
        </w:rPr>
        <w:t>The estimated burden and cost</w:t>
      </w:r>
      <w:r w:rsidR="00214C0F" w:rsidRPr="0073506C">
        <w:rPr>
          <w:rStyle w:val="FootnoteReference"/>
          <w:rFonts w:ascii="Times New Roman" w:hAnsi="Times New Roman"/>
          <w:sz w:val="26"/>
          <w:szCs w:val="26"/>
          <w:vertAlign w:val="superscript"/>
        </w:rPr>
        <w:footnoteReference w:id="12"/>
      </w:r>
      <w:r w:rsidRPr="0073506C">
        <w:rPr>
          <w:rFonts w:ascii="Times New Roman" w:hAnsi="Times New Roman"/>
          <w:sz w:val="26"/>
          <w:szCs w:val="26"/>
          <w:vertAlign w:val="superscript"/>
        </w:rPr>
        <w:t xml:space="preserve"> </w:t>
      </w:r>
      <w:r w:rsidRPr="0073506C">
        <w:rPr>
          <w:rFonts w:ascii="Times New Roman" w:hAnsi="Times New Roman"/>
          <w:sz w:val="26"/>
          <w:szCs w:val="26"/>
        </w:rPr>
        <w:t xml:space="preserve">of the information collections follow.  </w:t>
      </w:r>
    </w:p>
    <w:p w14:paraId="462FFAF9" w14:textId="77777777" w:rsidR="00ED6497" w:rsidRPr="0073506C" w:rsidRDefault="00ED649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0F07BD" w14:paraId="2C0DD288" w14:textId="77777777" w:rsidTr="005A0F1F">
        <w:trPr>
          <w:cantSplit/>
          <w:jc w:val="center"/>
        </w:trPr>
        <w:tc>
          <w:tcPr>
            <w:tcW w:w="796" w:type="pct"/>
            <w:shd w:val="clear" w:color="auto" w:fill="D9D9D9"/>
            <w:vAlign w:val="bottom"/>
          </w:tcPr>
          <w:p w14:paraId="3E4392BF" w14:textId="4A48CB57" w:rsidR="009E3BA7" w:rsidRPr="0073506C" w:rsidRDefault="005A0F1F" w:rsidP="00BD0F89">
            <w:pPr>
              <w:keepNext/>
              <w:spacing w:after="0" w:line="240" w:lineRule="auto"/>
              <w:rPr>
                <w:rFonts w:ascii="Times New Roman" w:hAnsi="Times New Roman"/>
                <w:b/>
                <w:sz w:val="26"/>
                <w:szCs w:val="26"/>
              </w:rPr>
            </w:pPr>
            <w:r w:rsidRPr="0073506C">
              <w:rPr>
                <w:rFonts w:ascii="Times New Roman" w:hAnsi="Times New Roman"/>
                <w:b/>
                <w:sz w:val="26"/>
                <w:szCs w:val="26"/>
              </w:rPr>
              <w:t>FERC Form No.</w:t>
            </w:r>
          </w:p>
        </w:tc>
        <w:tc>
          <w:tcPr>
            <w:tcW w:w="742" w:type="pct"/>
            <w:shd w:val="clear" w:color="auto" w:fill="D9D9D9"/>
            <w:vAlign w:val="bottom"/>
          </w:tcPr>
          <w:p w14:paraId="41618E64"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Number of Respondents</w:t>
            </w:r>
          </w:p>
          <w:p w14:paraId="56A06679"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(1)</w:t>
            </w:r>
          </w:p>
        </w:tc>
        <w:tc>
          <w:tcPr>
            <w:tcW w:w="722" w:type="pct"/>
            <w:shd w:val="clear" w:color="auto" w:fill="D9D9D9"/>
            <w:vAlign w:val="bottom"/>
          </w:tcPr>
          <w:p w14:paraId="6288091F"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Annual Number of Responses per Respondent</w:t>
            </w:r>
          </w:p>
          <w:p w14:paraId="17D2C9F3"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(2)</w:t>
            </w:r>
          </w:p>
        </w:tc>
        <w:tc>
          <w:tcPr>
            <w:tcW w:w="625" w:type="pct"/>
            <w:shd w:val="clear" w:color="auto" w:fill="D9D9D9"/>
            <w:vAlign w:val="bottom"/>
          </w:tcPr>
          <w:p w14:paraId="0C9A2108"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Total Number of Responses</w:t>
            </w:r>
          </w:p>
          <w:p w14:paraId="0FF1FAC3"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(1)*(2)=(3)</w:t>
            </w:r>
          </w:p>
        </w:tc>
        <w:tc>
          <w:tcPr>
            <w:tcW w:w="674" w:type="pct"/>
            <w:shd w:val="clear" w:color="auto" w:fill="D9D9D9"/>
            <w:vAlign w:val="bottom"/>
          </w:tcPr>
          <w:p w14:paraId="512DCFEC"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Average Burden &amp; Cost Per Response</w:t>
            </w:r>
            <w:r w:rsidRPr="00641282">
              <w:rPr>
                <w:rFonts w:ascii="Times New Roman" w:hAnsi="Times New Roman"/>
                <w:b/>
                <w:sz w:val="26"/>
                <w:szCs w:val="26"/>
                <w:vertAlign w:val="superscript"/>
              </w:rPr>
              <w:footnoteReference w:id="13"/>
            </w:r>
          </w:p>
          <w:p w14:paraId="658E7CB4"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(4)</w:t>
            </w:r>
          </w:p>
        </w:tc>
        <w:tc>
          <w:tcPr>
            <w:tcW w:w="770" w:type="pct"/>
            <w:shd w:val="clear" w:color="auto" w:fill="D9D9D9"/>
            <w:vAlign w:val="bottom"/>
          </w:tcPr>
          <w:p w14:paraId="2652FBC7"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Total Annual Burden Hours &amp; Cost</w:t>
            </w:r>
            <w:r w:rsidRPr="00641282">
              <w:rPr>
                <w:rFonts w:ascii="Times New Roman" w:hAnsi="Times New Roman"/>
                <w:b/>
                <w:sz w:val="26"/>
                <w:szCs w:val="26"/>
                <w:vertAlign w:val="superscript"/>
              </w:rPr>
              <w:footnoteReference w:id="14"/>
            </w:r>
          </w:p>
          <w:p w14:paraId="5891DAD5"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(3)*(4)=(5)</w:t>
            </w:r>
          </w:p>
        </w:tc>
        <w:tc>
          <w:tcPr>
            <w:tcW w:w="671" w:type="pct"/>
            <w:shd w:val="clear" w:color="auto" w:fill="D9D9D9"/>
            <w:vAlign w:val="bottom"/>
          </w:tcPr>
          <w:p w14:paraId="6E84F98A"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Annual Cost per Respondent ($)</w:t>
            </w:r>
          </w:p>
          <w:p w14:paraId="7E660D01"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(5)÷(1)</w:t>
            </w:r>
          </w:p>
        </w:tc>
      </w:tr>
      <w:tr w:rsidR="005A0F1F" w:rsidRPr="000F07BD" w14:paraId="5D75DECD"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295265ED" w14:textId="77777777" w:rsidR="005A0F1F" w:rsidRPr="0073506C" w:rsidRDefault="005A0F1F" w:rsidP="005A0F1F">
            <w:pPr>
              <w:keepNext/>
              <w:spacing w:after="0" w:line="240" w:lineRule="auto"/>
              <w:rPr>
                <w:rFonts w:ascii="Times New Roman" w:hAnsi="Times New Roman"/>
                <w:sz w:val="26"/>
                <w:szCs w:val="26"/>
              </w:rPr>
            </w:pPr>
            <w:r w:rsidRPr="0073506C">
              <w:rPr>
                <w:rFonts w:ascii="Times New Roman" w:hAnsi="Times New Roman"/>
                <w:sz w:val="26"/>
                <w:szCs w:val="26"/>
              </w:rPr>
              <w:t>Form No. 1</w:t>
            </w:r>
          </w:p>
        </w:tc>
        <w:tc>
          <w:tcPr>
            <w:tcW w:w="742" w:type="pct"/>
            <w:vAlign w:val="bottom"/>
          </w:tcPr>
          <w:p w14:paraId="591D099E" w14:textId="16124C17"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207</w:t>
            </w:r>
          </w:p>
        </w:tc>
        <w:tc>
          <w:tcPr>
            <w:tcW w:w="722" w:type="pct"/>
            <w:vAlign w:val="bottom"/>
          </w:tcPr>
          <w:p w14:paraId="4A06C80B" w14:textId="60F06F5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w:t>
            </w:r>
          </w:p>
        </w:tc>
        <w:tc>
          <w:tcPr>
            <w:tcW w:w="625" w:type="pct"/>
            <w:vAlign w:val="bottom"/>
          </w:tcPr>
          <w:p w14:paraId="01351914" w14:textId="18DD6D98"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207</w:t>
            </w:r>
          </w:p>
        </w:tc>
        <w:tc>
          <w:tcPr>
            <w:tcW w:w="674" w:type="pct"/>
            <w:vAlign w:val="bottom"/>
          </w:tcPr>
          <w:p w14:paraId="6D0FC7E4" w14:textId="0D8E9B7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1,168 hrs.; $92,272</w:t>
            </w:r>
          </w:p>
        </w:tc>
        <w:tc>
          <w:tcPr>
            <w:tcW w:w="770" w:type="pct"/>
            <w:vAlign w:val="bottom"/>
          </w:tcPr>
          <w:p w14:paraId="11745571" w14:textId="6797F2EE"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241,776 hrs.; $19,100,304</w:t>
            </w:r>
          </w:p>
        </w:tc>
        <w:tc>
          <w:tcPr>
            <w:tcW w:w="671" w:type="pct"/>
            <w:vAlign w:val="bottom"/>
          </w:tcPr>
          <w:p w14:paraId="36FE8660" w14:textId="4599FFDB"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$92,272</w:t>
            </w:r>
          </w:p>
        </w:tc>
      </w:tr>
      <w:tr w:rsidR="005A0F1F" w:rsidRPr="000F07BD" w14:paraId="5ACAE707"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0DF134B8" w14:textId="012A71E3" w:rsidR="005A0F1F" w:rsidRPr="0073506C" w:rsidRDefault="005A0F1F" w:rsidP="005A0F1F">
            <w:pPr>
              <w:keepNext/>
              <w:spacing w:after="0" w:line="240" w:lineRule="auto"/>
              <w:rPr>
                <w:rFonts w:ascii="Times New Roman" w:hAnsi="Times New Roman"/>
                <w:sz w:val="26"/>
                <w:szCs w:val="26"/>
              </w:rPr>
            </w:pPr>
            <w:r w:rsidRPr="0073506C">
              <w:rPr>
                <w:rFonts w:ascii="Times New Roman" w:hAnsi="Times New Roman"/>
                <w:sz w:val="26"/>
                <w:szCs w:val="26"/>
              </w:rPr>
              <w:t>Form  No. 1-F</w:t>
            </w:r>
          </w:p>
        </w:tc>
        <w:tc>
          <w:tcPr>
            <w:tcW w:w="742" w:type="pct"/>
            <w:vAlign w:val="bottom"/>
          </w:tcPr>
          <w:p w14:paraId="79802CF0" w14:textId="26CC6EA8"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5</w:t>
            </w:r>
          </w:p>
        </w:tc>
        <w:tc>
          <w:tcPr>
            <w:tcW w:w="722" w:type="pct"/>
            <w:vAlign w:val="bottom"/>
          </w:tcPr>
          <w:p w14:paraId="4548F8EF" w14:textId="12500C0D"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w:t>
            </w:r>
          </w:p>
        </w:tc>
        <w:tc>
          <w:tcPr>
            <w:tcW w:w="625" w:type="pct"/>
            <w:vAlign w:val="bottom"/>
          </w:tcPr>
          <w:p w14:paraId="1B82CB82" w14:textId="087E3EB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5</w:t>
            </w:r>
          </w:p>
        </w:tc>
        <w:tc>
          <w:tcPr>
            <w:tcW w:w="674" w:type="pct"/>
            <w:vAlign w:val="bottom"/>
          </w:tcPr>
          <w:p w14:paraId="03C5F62C" w14:textId="4C1AC407" w:rsidR="005A0F1F" w:rsidRPr="0073506C" w:rsidRDefault="005A0F1F" w:rsidP="005A0F1F">
            <w:pPr>
              <w:spacing w:after="0" w:line="240" w:lineRule="auto"/>
              <w:jc w:val="right"/>
              <w:rPr>
                <w:rFonts w:ascii="Times New Roman" w:hAnsi="Times New Roman"/>
                <w:sz w:val="26"/>
                <w:szCs w:val="26"/>
              </w:rPr>
            </w:pPr>
            <w:r w:rsidRPr="0073506C">
              <w:rPr>
                <w:rFonts w:ascii="Times New Roman" w:hAnsi="Times New Roman"/>
                <w:sz w:val="26"/>
                <w:szCs w:val="26"/>
              </w:rPr>
              <w:t>122 hrs.; $9,638</w:t>
            </w:r>
          </w:p>
        </w:tc>
        <w:tc>
          <w:tcPr>
            <w:tcW w:w="770" w:type="pct"/>
            <w:vAlign w:val="bottom"/>
          </w:tcPr>
          <w:p w14:paraId="5C81B572" w14:textId="5D486756" w:rsidR="005A0F1F" w:rsidRPr="0073506C" w:rsidRDefault="005A0F1F" w:rsidP="005A0F1F">
            <w:pPr>
              <w:spacing w:after="0" w:line="240" w:lineRule="auto"/>
              <w:jc w:val="right"/>
              <w:rPr>
                <w:rFonts w:ascii="Times New Roman" w:hAnsi="Times New Roman"/>
                <w:sz w:val="26"/>
                <w:szCs w:val="26"/>
              </w:rPr>
            </w:pPr>
            <w:r w:rsidRPr="0073506C">
              <w:rPr>
                <w:rFonts w:ascii="Times New Roman" w:hAnsi="Times New Roman"/>
                <w:sz w:val="26"/>
                <w:szCs w:val="26"/>
              </w:rPr>
              <w:t>610 hrs.; $48,190</w:t>
            </w:r>
          </w:p>
        </w:tc>
        <w:tc>
          <w:tcPr>
            <w:tcW w:w="671" w:type="pct"/>
            <w:vAlign w:val="bottom"/>
          </w:tcPr>
          <w:p w14:paraId="771AD0D8" w14:textId="18BAA43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$9,638</w:t>
            </w:r>
          </w:p>
        </w:tc>
      </w:tr>
      <w:tr w:rsidR="00F552DF" w:rsidRPr="000F07BD" w14:paraId="779D0238" w14:textId="77777777" w:rsidTr="00F552DF">
        <w:trPr>
          <w:cantSplit/>
          <w:jc w:val="center"/>
        </w:trPr>
        <w:tc>
          <w:tcPr>
            <w:tcW w:w="5000" w:type="pct"/>
            <w:gridSpan w:val="7"/>
            <w:tcBorders>
              <w:top w:val="single" w:sz="4" w:space="0" w:color="auto"/>
              <w:left w:val="single" w:sz="4" w:space="0" w:color="auto"/>
              <w:bottom w:val="single" w:sz="4" w:space="0" w:color="auto"/>
            </w:tcBorders>
            <w:vAlign w:val="bottom"/>
          </w:tcPr>
          <w:p w14:paraId="7AB1A2D3" w14:textId="77777777" w:rsidR="00F552DF" w:rsidRPr="0073506C" w:rsidRDefault="00F552DF" w:rsidP="005A0F1F">
            <w:pPr>
              <w:keepNext/>
              <w:spacing w:after="0" w:line="240" w:lineRule="auto"/>
              <w:rPr>
                <w:rFonts w:ascii="Times New Roman" w:hAnsi="Times New Roman"/>
                <w:sz w:val="26"/>
                <w:szCs w:val="26"/>
              </w:rPr>
            </w:pPr>
          </w:p>
          <w:p w14:paraId="14756B2B" w14:textId="59ED2BAE" w:rsidR="00F552DF" w:rsidRPr="0073506C" w:rsidRDefault="00F552DF" w:rsidP="005A0F1F">
            <w:pPr>
              <w:keepNext/>
              <w:spacing w:after="0" w:line="240" w:lineRule="auto"/>
              <w:jc w:val="right"/>
              <w:rPr>
                <w:rFonts w:ascii="Times New Roman" w:hAnsi="Times New Roman"/>
                <w:sz w:val="26"/>
                <w:szCs w:val="26"/>
              </w:rPr>
            </w:pPr>
          </w:p>
        </w:tc>
      </w:tr>
      <w:tr w:rsidR="005A0F1F" w:rsidRPr="000F07BD" w14:paraId="2B84F383"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350DDB6C" w14:textId="1D6C22E3" w:rsidR="005A0F1F" w:rsidRPr="0073506C" w:rsidRDefault="005A0F1F" w:rsidP="00F552DF">
            <w:pPr>
              <w:keepNext/>
              <w:spacing w:after="0" w:line="240" w:lineRule="auto"/>
              <w:rPr>
                <w:rFonts w:ascii="Times New Roman" w:hAnsi="Times New Roman"/>
                <w:sz w:val="26"/>
                <w:szCs w:val="26"/>
              </w:rPr>
            </w:pPr>
            <w:r w:rsidRPr="0073506C">
              <w:rPr>
                <w:rFonts w:ascii="Times New Roman" w:hAnsi="Times New Roman"/>
                <w:sz w:val="26"/>
                <w:szCs w:val="26"/>
              </w:rPr>
              <w:t>Form No. 3-Q (electric)</w:t>
            </w:r>
          </w:p>
        </w:tc>
        <w:tc>
          <w:tcPr>
            <w:tcW w:w="742" w:type="pct"/>
            <w:vAlign w:val="bottom"/>
          </w:tcPr>
          <w:p w14:paraId="6FA79CF1" w14:textId="29D79CC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212</w:t>
            </w:r>
          </w:p>
        </w:tc>
        <w:tc>
          <w:tcPr>
            <w:tcW w:w="722" w:type="pct"/>
            <w:vAlign w:val="bottom"/>
          </w:tcPr>
          <w:p w14:paraId="0C3CBA2C" w14:textId="75A2AF9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w:t>
            </w:r>
          </w:p>
        </w:tc>
        <w:tc>
          <w:tcPr>
            <w:tcW w:w="625" w:type="pct"/>
            <w:vAlign w:val="bottom"/>
          </w:tcPr>
          <w:p w14:paraId="10BEDDC3" w14:textId="2708E5E7"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636</w:t>
            </w:r>
          </w:p>
        </w:tc>
        <w:tc>
          <w:tcPr>
            <w:tcW w:w="674" w:type="pct"/>
            <w:vAlign w:val="bottom"/>
          </w:tcPr>
          <w:p w14:paraId="054E4907" w14:textId="187DF365"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 xml:space="preserve">168 hrs.; $13,272 </w:t>
            </w:r>
          </w:p>
        </w:tc>
        <w:tc>
          <w:tcPr>
            <w:tcW w:w="770" w:type="pct"/>
            <w:vAlign w:val="bottom"/>
          </w:tcPr>
          <w:p w14:paraId="27543416" w14:textId="1A448C09"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106,848 hrs.; $8,440,992</w:t>
            </w:r>
          </w:p>
        </w:tc>
        <w:tc>
          <w:tcPr>
            <w:tcW w:w="671" w:type="pct"/>
            <w:vAlign w:val="bottom"/>
          </w:tcPr>
          <w:p w14:paraId="645EFFB7" w14:textId="38AC05D9"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$39,816</w:t>
            </w:r>
          </w:p>
        </w:tc>
      </w:tr>
      <w:tr w:rsidR="005A0F1F" w:rsidRPr="000F07BD" w14:paraId="22582B4F" w14:textId="77777777" w:rsidTr="005A0F1F">
        <w:trPr>
          <w:cantSplit/>
          <w:jc w:val="center"/>
        </w:trPr>
        <w:tc>
          <w:tcPr>
            <w:tcW w:w="796" w:type="pct"/>
            <w:vAlign w:val="bottom"/>
          </w:tcPr>
          <w:p w14:paraId="716BF084" w14:textId="504D1EDA" w:rsidR="005A0F1F" w:rsidRPr="0073506C" w:rsidRDefault="005A0F1F" w:rsidP="00F552DF">
            <w:pPr>
              <w:keepNext/>
              <w:spacing w:after="0" w:line="240" w:lineRule="auto"/>
              <w:rPr>
                <w:rFonts w:ascii="Times New Roman" w:hAnsi="Times New Roman"/>
                <w:sz w:val="26"/>
                <w:szCs w:val="26"/>
              </w:rPr>
            </w:pPr>
            <w:r w:rsidRPr="0073506C">
              <w:rPr>
                <w:rFonts w:ascii="Times New Roman" w:hAnsi="Times New Roman"/>
                <w:sz w:val="26"/>
                <w:szCs w:val="26"/>
              </w:rPr>
              <w:t>Form No. 3-Q (natural gas)</w:t>
            </w:r>
          </w:p>
        </w:tc>
        <w:tc>
          <w:tcPr>
            <w:tcW w:w="742" w:type="pct"/>
            <w:vAlign w:val="bottom"/>
          </w:tcPr>
          <w:p w14:paraId="54F6EAD1" w14:textId="6D2C0FA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165</w:t>
            </w:r>
          </w:p>
        </w:tc>
        <w:tc>
          <w:tcPr>
            <w:tcW w:w="722" w:type="pct"/>
            <w:vAlign w:val="bottom"/>
          </w:tcPr>
          <w:p w14:paraId="1F9B3F4D" w14:textId="602D30D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w:t>
            </w:r>
          </w:p>
        </w:tc>
        <w:tc>
          <w:tcPr>
            <w:tcW w:w="625" w:type="pct"/>
            <w:vAlign w:val="bottom"/>
          </w:tcPr>
          <w:p w14:paraId="21D82B9D" w14:textId="70481D83"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495</w:t>
            </w:r>
          </w:p>
        </w:tc>
        <w:tc>
          <w:tcPr>
            <w:tcW w:w="674" w:type="pct"/>
            <w:vAlign w:val="bottom"/>
          </w:tcPr>
          <w:p w14:paraId="7D0DFA2D" w14:textId="53A3859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167 hrs.; $13,193</w:t>
            </w:r>
          </w:p>
        </w:tc>
        <w:tc>
          <w:tcPr>
            <w:tcW w:w="770" w:type="pct"/>
            <w:vAlign w:val="bottom"/>
          </w:tcPr>
          <w:p w14:paraId="1C438FE1" w14:textId="3C223DC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82,665 hrs.; $6,530,535</w:t>
            </w:r>
          </w:p>
        </w:tc>
        <w:tc>
          <w:tcPr>
            <w:tcW w:w="671" w:type="pct"/>
            <w:vAlign w:val="bottom"/>
          </w:tcPr>
          <w:p w14:paraId="66F36435" w14:textId="26208D8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$39,579</w:t>
            </w:r>
          </w:p>
        </w:tc>
      </w:tr>
      <w:tr w:rsidR="007421B8" w:rsidRPr="000F07BD" w14:paraId="7B6A2288" w14:textId="77777777" w:rsidTr="007421B8">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4F414F99" w14:textId="28B02769" w:rsidR="007421B8" w:rsidRPr="0073506C" w:rsidRDefault="007421B8" w:rsidP="007421B8">
            <w:pPr>
              <w:keepNext/>
              <w:spacing w:after="0" w:line="240" w:lineRule="auto"/>
              <w:rPr>
                <w:rFonts w:ascii="Times New Roman" w:hAnsi="Times New Roman"/>
                <w:i/>
                <w:sz w:val="26"/>
                <w:szCs w:val="26"/>
              </w:rPr>
            </w:pPr>
            <w:r w:rsidRPr="0073506C">
              <w:rPr>
                <w:rFonts w:ascii="Times New Roman" w:hAnsi="Times New Roman"/>
                <w:i/>
                <w:sz w:val="26"/>
                <w:szCs w:val="26"/>
              </w:rPr>
              <w:t xml:space="preserve">Total for FERC </w:t>
            </w:r>
            <w:r w:rsidR="00F552DF" w:rsidRPr="0073506C">
              <w:rPr>
                <w:rFonts w:ascii="Times New Roman" w:hAnsi="Times New Roman"/>
                <w:i/>
                <w:sz w:val="26"/>
                <w:szCs w:val="26"/>
              </w:rPr>
              <w:t xml:space="preserve">Form No. </w:t>
            </w:r>
            <w:r w:rsidRPr="0073506C">
              <w:rPr>
                <w:rFonts w:ascii="Times New Roman" w:hAnsi="Times New Roman"/>
                <w:i/>
                <w:sz w:val="26"/>
                <w:szCs w:val="26"/>
              </w:rPr>
              <w:t>3-Q</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bottom"/>
          </w:tcPr>
          <w:p w14:paraId="17976DB0" w14:textId="77777777" w:rsidR="007421B8" w:rsidRPr="0073506C" w:rsidRDefault="007421B8" w:rsidP="007421B8">
            <w:pPr>
              <w:keepNext/>
              <w:spacing w:after="0" w:line="240" w:lineRule="auto"/>
              <w:jc w:val="right"/>
              <w:rPr>
                <w:rFonts w:ascii="Times New Roman" w:hAnsi="Times New Roman"/>
                <w:sz w:val="26"/>
                <w:szCs w:val="26"/>
              </w:rPr>
            </w:pPr>
          </w:p>
        </w:tc>
        <w:tc>
          <w:tcPr>
            <w:tcW w:w="722" w:type="pct"/>
            <w:tcBorders>
              <w:top w:val="single" w:sz="4" w:space="0" w:color="auto"/>
              <w:left w:val="single" w:sz="4" w:space="0" w:color="auto"/>
              <w:bottom w:val="single" w:sz="4" w:space="0" w:color="auto"/>
              <w:right w:val="single" w:sz="4" w:space="0" w:color="auto"/>
            </w:tcBorders>
            <w:shd w:val="clear" w:color="auto" w:fill="D9D9D9"/>
            <w:vAlign w:val="bottom"/>
          </w:tcPr>
          <w:p w14:paraId="2757A8E5" w14:textId="77777777" w:rsidR="007421B8" w:rsidRPr="0073506C" w:rsidRDefault="007421B8" w:rsidP="007421B8">
            <w:pPr>
              <w:keepNext/>
              <w:spacing w:after="0" w:line="240" w:lineRule="auto"/>
              <w:jc w:val="right"/>
              <w:rPr>
                <w:rFonts w:ascii="Times New Roman" w:hAnsi="Times New Roman"/>
                <w:sz w:val="26"/>
                <w:szCs w:val="26"/>
              </w:rPr>
            </w:pPr>
          </w:p>
        </w:tc>
        <w:tc>
          <w:tcPr>
            <w:tcW w:w="625" w:type="pct"/>
            <w:tcBorders>
              <w:top w:val="single" w:sz="4" w:space="0" w:color="auto"/>
              <w:left w:val="single" w:sz="4" w:space="0" w:color="auto"/>
              <w:bottom w:val="single" w:sz="4" w:space="0" w:color="auto"/>
              <w:right w:val="single" w:sz="4" w:space="0" w:color="auto"/>
            </w:tcBorders>
            <w:vAlign w:val="bottom"/>
          </w:tcPr>
          <w:p w14:paraId="68F71641" w14:textId="77777777" w:rsidR="007421B8" w:rsidRPr="0073506C" w:rsidRDefault="007421B8" w:rsidP="007421B8">
            <w:pPr>
              <w:keepNext/>
              <w:spacing w:after="0" w:line="240" w:lineRule="auto"/>
              <w:jc w:val="right"/>
              <w:rPr>
                <w:rFonts w:ascii="Times New Roman" w:hAnsi="Times New Roman"/>
                <w:sz w:val="26"/>
                <w:szCs w:val="26"/>
              </w:rPr>
            </w:pPr>
            <w:r w:rsidRPr="0073506C">
              <w:rPr>
                <w:rFonts w:ascii="Times New Roman" w:hAnsi="Times New Roman"/>
                <w:sz w:val="26"/>
                <w:szCs w:val="26"/>
              </w:rPr>
              <w:t>1,131</w:t>
            </w:r>
          </w:p>
        </w:tc>
        <w:tc>
          <w:tcPr>
            <w:tcW w:w="674" w:type="pct"/>
            <w:tcBorders>
              <w:top w:val="single" w:sz="4" w:space="0" w:color="auto"/>
              <w:left w:val="single" w:sz="4" w:space="0" w:color="auto"/>
              <w:bottom w:val="single" w:sz="4" w:space="0" w:color="auto"/>
              <w:right w:val="single" w:sz="4" w:space="0" w:color="auto"/>
            </w:tcBorders>
            <w:shd w:val="clear" w:color="auto" w:fill="D9D9D9"/>
            <w:vAlign w:val="bottom"/>
          </w:tcPr>
          <w:p w14:paraId="6A1DBD3D" w14:textId="77777777" w:rsidR="007421B8" w:rsidRPr="0073506C" w:rsidRDefault="007421B8" w:rsidP="007421B8">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11F1B025" w14:textId="77777777" w:rsidR="007421B8" w:rsidRPr="0073506C" w:rsidRDefault="007421B8" w:rsidP="007421B8">
            <w:pPr>
              <w:keepNext/>
              <w:spacing w:after="0" w:line="240" w:lineRule="auto"/>
              <w:jc w:val="right"/>
              <w:rPr>
                <w:rFonts w:ascii="Times New Roman" w:hAnsi="Times New Roman"/>
                <w:sz w:val="26"/>
                <w:szCs w:val="26"/>
              </w:rPr>
            </w:pPr>
            <w:r w:rsidRPr="0073506C">
              <w:rPr>
                <w:rFonts w:ascii="Times New Roman" w:hAnsi="Times New Roman"/>
                <w:sz w:val="26"/>
                <w:szCs w:val="26"/>
              </w:rPr>
              <w:t>189,513 hrs.; $14,971,527</w:t>
            </w:r>
          </w:p>
        </w:tc>
        <w:tc>
          <w:tcPr>
            <w:tcW w:w="671" w:type="pct"/>
            <w:tcBorders>
              <w:top w:val="single" w:sz="4" w:space="0" w:color="auto"/>
              <w:left w:val="single" w:sz="4" w:space="0" w:color="auto"/>
              <w:bottom w:val="single" w:sz="4" w:space="0" w:color="auto"/>
              <w:right w:val="single" w:sz="4" w:space="0" w:color="auto"/>
            </w:tcBorders>
            <w:shd w:val="clear" w:color="auto" w:fill="D9D9D9"/>
            <w:vAlign w:val="bottom"/>
          </w:tcPr>
          <w:p w14:paraId="7FFF2CE4" w14:textId="77777777" w:rsidR="007421B8" w:rsidRPr="0073506C" w:rsidRDefault="007421B8" w:rsidP="007421B8">
            <w:pPr>
              <w:keepNext/>
              <w:spacing w:after="0" w:line="240" w:lineRule="auto"/>
              <w:jc w:val="right"/>
              <w:rPr>
                <w:rFonts w:ascii="Times New Roman" w:hAnsi="Times New Roman"/>
                <w:sz w:val="26"/>
                <w:szCs w:val="26"/>
              </w:rPr>
            </w:pPr>
          </w:p>
        </w:tc>
      </w:tr>
    </w:tbl>
    <w:p w14:paraId="568EAB31" w14:textId="77777777" w:rsidR="009E3BA7" w:rsidRPr="0073506C" w:rsidRDefault="009E3BA7" w:rsidP="00BD0F89">
      <w:pPr>
        <w:spacing w:after="0" w:line="240" w:lineRule="auto"/>
        <w:rPr>
          <w:rFonts w:ascii="Times New Roman" w:hAnsi="Times New Roman"/>
          <w:sz w:val="26"/>
          <w:szCs w:val="26"/>
        </w:rPr>
      </w:pPr>
    </w:p>
    <w:p w14:paraId="09148C17" w14:textId="77777777" w:rsidR="00974AFC" w:rsidRPr="0073506C" w:rsidRDefault="00974AFC" w:rsidP="00BD0F89">
      <w:pPr>
        <w:spacing w:after="0" w:line="240" w:lineRule="auto"/>
        <w:rPr>
          <w:rFonts w:ascii="Times New Roman" w:hAnsi="Times New Roman"/>
          <w:b/>
          <w:sz w:val="26"/>
          <w:szCs w:val="26"/>
        </w:rPr>
      </w:pPr>
      <w:r w:rsidRPr="0073506C">
        <w:rPr>
          <w:rFonts w:ascii="Times New Roman" w:hAnsi="Times New Roman"/>
          <w:b/>
          <w:sz w:val="26"/>
          <w:szCs w:val="26"/>
        </w:rPr>
        <w:t>13.</w:t>
      </w:r>
      <w:r w:rsidR="00BF3095" w:rsidRPr="0073506C">
        <w:rPr>
          <w:rFonts w:ascii="Times New Roman" w:hAnsi="Times New Roman"/>
          <w:b/>
          <w:sz w:val="26"/>
          <w:szCs w:val="26"/>
        </w:rPr>
        <w:t xml:space="preserve">   ESTIMATE OF THE TOTAL ANNUAL COST BURDEN TO </w:t>
      </w:r>
      <w:r w:rsidR="00F1537F" w:rsidRPr="0073506C">
        <w:rPr>
          <w:rFonts w:ascii="Times New Roman" w:hAnsi="Times New Roman"/>
          <w:b/>
          <w:sz w:val="26"/>
          <w:szCs w:val="26"/>
        </w:rPr>
        <w:t>RESPONDENTS</w:t>
      </w:r>
      <w:r w:rsidR="00BF3095" w:rsidRPr="0073506C">
        <w:rPr>
          <w:rFonts w:ascii="Times New Roman" w:hAnsi="Times New Roman"/>
          <w:b/>
          <w:sz w:val="26"/>
          <w:szCs w:val="26"/>
        </w:rPr>
        <w:t xml:space="preserve"> </w:t>
      </w:r>
    </w:p>
    <w:p w14:paraId="744F03A0" w14:textId="77777777" w:rsidR="00974AFC" w:rsidRPr="0073506C" w:rsidRDefault="00974AFC" w:rsidP="00BD0F89">
      <w:pPr>
        <w:spacing w:after="0" w:line="240" w:lineRule="auto"/>
        <w:rPr>
          <w:rFonts w:ascii="Times New Roman" w:hAnsi="Times New Roman"/>
          <w:sz w:val="26"/>
          <w:szCs w:val="26"/>
        </w:rPr>
      </w:pPr>
    </w:p>
    <w:p w14:paraId="691BA5A9" w14:textId="4CEE8F07" w:rsidR="00F0627E" w:rsidRPr="0073506C" w:rsidRDefault="005B4F28" w:rsidP="00BD0F89">
      <w:pPr>
        <w:spacing w:after="0" w:line="240" w:lineRule="auto"/>
        <w:rPr>
          <w:rFonts w:ascii="Times New Roman" w:hAnsi="Times New Roman"/>
          <w:sz w:val="26"/>
          <w:szCs w:val="26"/>
        </w:rPr>
      </w:pPr>
      <w:r w:rsidRPr="0073506C">
        <w:rPr>
          <w:rFonts w:ascii="Times New Roman" w:hAnsi="Times New Roman"/>
          <w:sz w:val="26"/>
          <w:szCs w:val="26"/>
        </w:rPr>
        <w:t>All costs are related to burden hours and are discussed in Questions 12 and 15.  There are no capital costs.</w:t>
      </w:r>
    </w:p>
    <w:p w14:paraId="4A8C8E33" w14:textId="77777777" w:rsidR="005B4F28" w:rsidRPr="0073506C" w:rsidRDefault="005B4F28" w:rsidP="00BD0F89">
      <w:pPr>
        <w:spacing w:after="0" w:line="240" w:lineRule="auto"/>
        <w:rPr>
          <w:rFonts w:ascii="Times New Roman" w:hAnsi="Times New Roman"/>
          <w:sz w:val="26"/>
          <w:szCs w:val="26"/>
        </w:rPr>
      </w:pPr>
    </w:p>
    <w:p w14:paraId="64AF384F" w14:textId="77777777" w:rsidR="00F0627E" w:rsidRPr="0073506C" w:rsidRDefault="00974AFC" w:rsidP="00BD0F89">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00BF3095" w:rsidRPr="0073506C">
        <w:rPr>
          <w:rFonts w:ascii="Times New Roman" w:hAnsi="Times New Roman"/>
          <w:b/>
          <w:sz w:val="26"/>
          <w:szCs w:val="26"/>
        </w:rPr>
        <w:t>ESTIMATED ANNUALIZED COST TO FEDERAL GOVERNMENT</w:t>
      </w:r>
    </w:p>
    <w:p w14:paraId="31100877" w14:textId="77777777" w:rsidR="00BF3095" w:rsidRPr="0073506C" w:rsidRDefault="00BF3095" w:rsidP="00BD0F89">
      <w:pPr>
        <w:pStyle w:val="ListParagraph"/>
        <w:spacing w:after="0" w:line="240" w:lineRule="auto"/>
        <w:ind w:left="0"/>
        <w:rPr>
          <w:rFonts w:ascii="Times New Roman" w:hAnsi="Times New Roman"/>
          <w:sz w:val="26"/>
          <w:szCs w:val="26"/>
        </w:rPr>
      </w:pPr>
    </w:p>
    <w:p w14:paraId="4F2187EF" w14:textId="76F1E944" w:rsidR="00244BC9" w:rsidRPr="0073506C" w:rsidRDefault="00244BC9"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estimate of the cost for </w:t>
      </w:r>
      <w:r w:rsidR="00DB684E" w:rsidRPr="0073506C">
        <w:rPr>
          <w:rFonts w:ascii="Times New Roman" w:hAnsi="Times New Roman"/>
          <w:sz w:val="26"/>
          <w:szCs w:val="26"/>
        </w:rPr>
        <w:t>‘</w:t>
      </w:r>
      <w:r w:rsidRPr="0073506C">
        <w:rPr>
          <w:rFonts w:ascii="Times New Roman" w:hAnsi="Times New Roman"/>
          <w:sz w:val="26"/>
          <w:szCs w:val="26"/>
        </w:rPr>
        <w:t>analysis and processing of filings</w:t>
      </w:r>
      <w:r w:rsidR="00DB684E" w:rsidRPr="0073506C">
        <w:rPr>
          <w:rFonts w:ascii="Times New Roman" w:hAnsi="Times New Roman"/>
          <w:sz w:val="26"/>
          <w:szCs w:val="26"/>
        </w:rPr>
        <w:t>’</w:t>
      </w:r>
      <w:r w:rsidR="00247EBC" w:rsidRPr="0073506C">
        <w:rPr>
          <w:rStyle w:val="FootnoteReference"/>
          <w:rFonts w:ascii="Times New Roman" w:hAnsi="Times New Roman"/>
          <w:sz w:val="26"/>
          <w:szCs w:val="26"/>
          <w:vertAlign w:val="superscript"/>
        </w:rPr>
        <w:footnoteReference w:id="15"/>
      </w:r>
      <w:r w:rsidRPr="0073506C">
        <w:rPr>
          <w:rFonts w:ascii="Times New Roman" w:hAnsi="Times New Roman"/>
          <w:sz w:val="26"/>
          <w:szCs w:val="26"/>
          <w:vertAlign w:val="superscript"/>
        </w:rPr>
        <w:t xml:space="preserve"> </w:t>
      </w:r>
      <w:r w:rsidRPr="0073506C">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73506C">
        <w:rPr>
          <w:rFonts w:ascii="Times New Roman" w:hAnsi="Times New Roman"/>
          <w:sz w:val="26"/>
          <w:szCs w:val="26"/>
        </w:rPr>
        <w:t>s</w:t>
      </w:r>
      <w:r w:rsidRPr="0073506C">
        <w:rPr>
          <w:rFonts w:ascii="Times New Roman" w:hAnsi="Times New Roman"/>
          <w:sz w:val="26"/>
          <w:szCs w:val="26"/>
        </w:rPr>
        <w:t>.</w:t>
      </w:r>
      <w:r w:rsidR="00247EBC" w:rsidRPr="0073506C">
        <w:rPr>
          <w:rFonts w:ascii="Times New Roman" w:hAnsi="Times New Roman"/>
          <w:sz w:val="26"/>
          <w:szCs w:val="26"/>
        </w:rPr>
        <w:t xml:space="preserve">  </w:t>
      </w:r>
      <w:r w:rsidR="00A27235" w:rsidRPr="0073506C">
        <w:rPr>
          <w:rFonts w:ascii="Times New Roman" w:hAnsi="Times New Roman"/>
          <w:sz w:val="26"/>
          <w:szCs w:val="26"/>
        </w:rPr>
        <w:t>(The corresponding annual and hourly FERC costs use the figures for 2018, as noted.)</w:t>
      </w:r>
    </w:p>
    <w:p w14:paraId="5468B955" w14:textId="77777777" w:rsidR="00946E0D" w:rsidRPr="0073506C" w:rsidRDefault="00946E0D" w:rsidP="00BD0F89">
      <w:pPr>
        <w:spacing w:after="0" w:line="240" w:lineRule="auto"/>
        <w:rPr>
          <w:rFonts w:ascii="Times New Roman" w:hAnsi="Times New Roman"/>
          <w:sz w:val="26"/>
          <w:szCs w:val="26"/>
        </w:rPr>
      </w:pPr>
    </w:p>
    <w:p w14:paraId="509AE618" w14:textId="77777777" w:rsidR="00244BC9" w:rsidRPr="0073506C" w:rsidRDefault="00244BC9" w:rsidP="00BD0F89">
      <w:pPr>
        <w:spacing w:after="0" w:line="240" w:lineRule="auto"/>
        <w:rPr>
          <w:rFonts w:ascii="Times New Roman" w:hAnsi="Times New Roman"/>
          <w:sz w:val="26"/>
          <w:szCs w:val="26"/>
        </w:rPr>
      </w:pPr>
      <w:r w:rsidRPr="0073506C">
        <w:rPr>
          <w:rFonts w:ascii="Times New Roman" w:hAnsi="Times New Roman"/>
          <w:sz w:val="26"/>
          <w:szCs w:val="26"/>
        </w:rPr>
        <w:t>The Paperwork Reduction Act (PRA) Administrative Cost</w:t>
      </w:r>
      <w:r w:rsidR="00C75FFF" w:rsidRPr="0073506C">
        <w:rPr>
          <w:rStyle w:val="FootnoteReference"/>
          <w:rFonts w:ascii="Times New Roman" w:hAnsi="Times New Roman"/>
          <w:sz w:val="26"/>
          <w:szCs w:val="26"/>
          <w:vertAlign w:val="superscript"/>
        </w:rPr>
        <w:footnoteReference w:id="16"/>
      </w:r>
      <w:r w:rsidRPr="0073506C">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73506C" w:rsidRDefault="00244BC9" w:rsidP="00BD0F89">
      <w:pPr>
        <w:spacing w:after="0" w:line="240" w:lineRule="auto"/>
        <w:rPr>
          <w:rFonts w:ascii="Times New Roman" w:hAnsi="Times New Roman"/>
          <w:sz w:val="26"/>
          <w:szCs w:val="26"/>
        </w:rPr>
      </w:pPr>
    </w:p>
    <w:p w14:paraId="1EDEF1DC"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estimated </w:t>
      </w:r>
      <w:r w:rsidR="00F20B97" w:rsidRPr="0073506C">
        <w:rPr>
          <w:rFonts w:ascii="Times New Roman" w:hAnsi="Times New Roman"/>
          <w:sz w:val="26"/>
          <w:szCs w:val="26"/>
        </w:rPr>
        <w:t xml:space="preserve">annualized </w:t>
      </w:r>
      <w:r w:rsidRPr="0073506C">
        <w:rPr>
          <w:rFonts w:ascii="Times New Roman" w:hAnsi="Times New Roman"/>
          <w:sz w:val="26"/>
          <w:szCs w:val="26"/>
        </w:rPr>
        <w:t>cost</w:t>
      </w:r>
      <w:r w:rsidR="00F20B97" w:rsidRPr="0073506C">
        <w:rPr>
          <w:rFonts w:ascii="Times New Roman" w:hAnsi="Times New Roman"/>
          <w:sz w:val="26"/>
          <w:szCs w:val="26"/>
        </w:rPr>
        <w:t xml:space="preserve"> to the Federal Government</w:t>
      </w:r>
      <w:r w:rsidR="00247EBC" w:rsidRPr="0073506C">
        <w:rPr>
          <w:rFonts w:ascii="Times New Roman" w:hAnsi="Times New Roman"/>
          <w:sz w:val="26"/>
          <w:szCs w:val="26"/>
        </w:rPr>
        <w:t xml:space="preserve"> </w:t>
      </w:r>
      <w:r w:rsidR="00E20CEF" w:rsidRPr="0073506C">
        <w:rPr>
          <w:rFonts w:ascii="Times New Roman" w:hAnsi="Times New Roman"/>
          <w:sz w:val="26"/>
          <w:szCs w:val="26"/>
        </w:rPr>
        <w:t>follows.</w:t>
      </w:r>
      <w:r w:rsidR="003C729F" w:rsidRPr="0073506C">
        <w:rPr>
          <w:rStyle w:val="FootnoteReference"/>
          <w:rFonts w:ascii="Times New Roman" w:hAnsi="Times New Roman"/>
          <w:sz w:val="26"/>
          <w:szCs w:val="26"/>
          <w:vertAlign w:val="superscript"/>
        </w:rPr>
        <w:footnoteReference w:id="17"/>
      </w:r>
      <w:r w:rsidRPr="0073506C">
        <w:rPr>
          <w:rFonts w:ascii="Times New Roman" w:hAnsi="Times New Roman"/>
          <w:sz w:val="26"/>
          <w:szCs w:val="26"/>
          <w:vertAlign w:val="superscript"/>
        </w:rPr>
        <w:t xml:space="preserve"> </w:t>
      </w:r>
      <w:r w:rsidR="00247EBC" w:rsidRPr="0073506C">
        <w:rPr>
          <w:rFonts w:ascii="Times New Roman" w:hAnsi="Times New Roman"/>
          <w:sz w:val="26"/>
          <w:szCs w:val="26"/>
        </w:rPr>
        <w:t xml:space="preserve"> </w:t>
      </w:r>
    </w:p>
    <w:p w14:paraId="69F13D91" w14:textId="77777777" w:rsidR="00A116AE" w:rsidRPr="0073506C" w:rsidRDefault="00A116AE" w:rsidP="0051491B">
      <w:pPr>
        <w:spacing w:after="0" w:line="240" w:lineRule="auto"/>
        <w:rPr>
          <w:rFonts w:ascii="Times New Roman" w:hAnsi="Times New Roman"/>
          <w:sz w:val="26"/>
          <w:szCs w:val="26"/>
        </w:rPr>
      </w:pPr>
    </w:p>
    <w:tbl>
      <w:tblPr>
        <w:tblW w:w="10000" w:type="dxa"/>
        <w:tblLook w:val="04A0" w:firstRow="1" w:lastRow="0" w:firstColumn="1" w:lastColumn="0" w:noHBand="0" w:noVBand="1"/>
      </w:tblPr>
      <w:tblGrid>
        <w:gridCol w:w="2185"/>
        <w:gridCol w:w="2022"/>
        <w:gridCol w:w="1841"/>
        <w:gridCol w:w="1892"/>
        <w:gridCol w:w="2060"/>
      </w:tblGrid>
      <w:tr w:rsidR="00533D70" w:rsidRPr="000F07BD" w14:paraId="35AF1324" w14:textId="77777777" w:rsidTr="005B4F28">
        <w:trPr>
          <w:trHeight w:val="1771"/>
        </w:trPr>
        <w:tc>
          <w:tcPr>
            <w:tcW w:w="2283"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73506C" w:rsidRDefault="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Information Collection</w:t>
            </w:r>
          </w:p>
        </w:tc>
        <w:tc>
          <w:tcPr>
            <w:tcW w:w="2101" w:type="dxa"/>
            <w:tcBorders>
              <w:top w:val="single" w:sz="8" w:space="0" w:color="auto"/>
              <w:left w:val="nil"/>
              <w:bottom w:val="single" w:sz="4" w:space="0" w:color="auto"/>
              <w:right w:val="single" w:sz="4" w:space="0" w:color="auto"/>
            </w:tcBorders>
            <w:shd w:val="clear" w:color="000000" w:fill="D9D9D9"/>
            <w:vAlign w:val="bottom"/>
            <w:hideMark/>
          </w:tcPr>
          <w:p w14:paraId="64A70FCB" w14:textId="1DA22170" w:rsidR="00533D70" w:rsidRPr="0073506C" w:rsidRDefault="00533D70" w:rsidP="005B4F28">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Full-Time FERC Staff Equivalents (FTEs) for 'Analysis &amp; Processing of Filings' </w:t>
            </w:r>
          </w:p>
        </w:tc>
        <w:tc>
          <w:tcPr>
            <w:tcW w:w="1793"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FERC Staff Cost of Analysis &amp; Processing of Filings (FTEs * $164,820/year) </w:t>
            </w:r>
          </w:p>
        </w:tc>
        <w:tc>
          <w:tcPr>
            <w:tcW w:w="1763"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Estimated Annual Federal Cost (rounded)</w:t>
            </w:r>
          </w:p>
        </w:tc>
      </w:tr>
      <w:tr w:rsidR="00533D70" w:rsidRPr="000F07BD" w14:paraId="44C8F842" w14:textId="77777777" w:rsidTr="005B4F28">
        <w:trPr>
          <w:trHeight w:val="1125"/>
        </w:trPr>
        <w:tc>
          <w:tcPr>
            <w:tcW w:w="2283" w:type="dxa"/>
            <w:tcBorders>
              <w:top w:val="nil"/>
              <w:left w:val="single" w:sz="8" w:space="0" w:color="auto"/>
              <w:bottom w:val="single" w:sz="4" w:space="0" w:color="auto"/>
              <w:right w:val="single" w:sz="4" w:space="0" w:color="auto"/>
            </w:tcBorders>
            <w:shd w:val="clear" w:color="auto" w:fill="auto"/>
            <w:vAlign w:val="center"/>
            <w:hideMark/>
          </w:tcPr>
          <w:p w14:paraId="187E1C8E" w14:textId="48CEB6A9"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 FERC-1F, &amp; FERC-3Q (electric and gas)</w:t>
            </w:r>
          </w:p>
        </w:tc>
        <w:tc>
          <w:tcPr>
            <w:tcW w:w="2101" w:type="dxa"/>
            <w:tcBorders>
              <w:top w:val="nil"/>
              <w:left w:val="nil"/>
              <w:bottom w:val="single" w:sz="4" w:space="0" w:color="auto"/>
              <w:right w:val="single" w:sz="4" w:space="0" w:color="auto"/>
            </w:tcBorders>
            <w:shd w:val="clear" w:color="auto" w:fill="auto"/>
            <w:vAlign w:val="bottom"/>
            <w:hideMark/>
          </w:tcPr>
          <w:p w14:paraId="391A2A36" w14:textId="218AA980"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4</w:t>
            </w:r>
          </w:p>
        </w:tc>
        <w:tc>
          <w:tcPr>
            <w:tcW w:w="1793" w:type="dxa"/>
            <w:tcBorders>
              <w:top w:val="nil"/>
              <w:left w:val="nil"/>
              <w:bottom w:val="single" w:sz="4" w:space="0" w:color="auto"/>
              <w:right w:val="single" w:sz="4" w:space="0" w:color="auto"/>
            </w:tcBorders>
            <w:shd w:val="clear" w:color="auto" w:fill="auto"/>
            <w:vAlign w:val="bottom"/>
            <w:hideMark/>
          </w:tcPr>
          <w:p w14:paraId="3BD21D0E" w14:textId="77777777" w:rsidR="00533D70" w:rsidRPr="0073506C" w:rsidRDefault="00533D70" w:rsidP="00533D70">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$659,280.00</w:t>
            </w:r>
          </w:p>
        </w:tc>
        <w:tc>
          <w:tcPr>
            <w:tcW w:w="1763" w:type="dxa"/>
            <w:tcBorders>
              <w:top w:val="nil"/>
              <w:left w:val="nil"/>
              <w:bottom w:val="single" w:sz="4" w:space="0" w:color="auto"/>
              <w:right w:val="single" w:sz="4" w:space="0" w:color="auto"/>
            </w:tcBorders>
            <w:shd w:val="clear" w:color="auto" w:fill="auto"/>
            <w:noWrap/>
            <w:vAlign w:val="bottom"/>
            <w:hideMark/>
          </w:tcPr>
          <w:p w14:paraId="06B167D9" w14:textId="5F95646C"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1E42AD" w:rsidRPr="0073506C">
              <w:rPr>
                <w:rFonts w:ascii="Times New Roman" w:eastAsia="Times New Roman" w:hAnsi="Times New Roman"/>
                <w:color w:val="000000"/>
                <w:sz w:val="26"/>
                <w:szCs w:val="26"/>
              </w:rPr>
              <w:t>14,793</w:t>
            </w:r>
            <w:r w:rsidRPr="0073506C">
              <w:rPr>
                <w:rFonts w:ascii="Times New Roman" w:eastAsia="Times New Roman" w:hAnsi="Times New Roman"/>
                <w:color w:val="000000"/>
                <w:sz w:val="26"/>
                <w:szCs w:val="26"/>
              </w:rPr>
              <w:t>.00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013A63AC"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1E42AD" w:rsidRPr="0073506C">
              <w:rPr>
                <w:rFonts w:ascii="Times New Roman" w:eastAsia="Times New Roman" w:hAnsi="Times New Roman"/>
                <w:color w:val="000000"/>
                <w:sz w:val="26"/>
                <w:szCs w:val="26"/>
              </w:rPr>
              <w:t>674,073.00</w:t>
            </w:r>
          </w:p>
        </w:tc>
      </w:tr>
    </w:tbl>
    <w:p w14:paraId="55FC1BFA" w14:textId="77777777" w:rsidR="003F4A59" w:rsidRPr="0073506C" w:rsidRDefault="003F4A59" w:rsidP="00BD0F89">
      <w:pPr>
        <w:spacing w:after="0" w:line="240" w:lineRule="auto"/>
        <w:rPr>
          <w:rFonts w:ascii="Times New Roman" w:hAnsi="Times New Roman"/>
          <w:sz w:val="26"/>
          <w:szCs w:val="26"/>
        </w:rPr>
      </w:pPr>
    </w:p>
    <w:p w14:paraId="43CA34DD" w14:textId="77777777" w:rsidR="00F20B97"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14:paraId="3B838B49" w14:textId="77777777" w:rsidR="00E31823" w:rsidRPr="0073506C" w:rsidRDefault="00E31823" w:rsidP="00BD0F89">
      <w:pPr>
        <w:spacing w:after="0" w:line="240" w:lineRule="auto"/>
        <w:rPr>
          <w:rFonts w:ascii="Times New Roman" w:hAnsi="Times New Roman"/>
          <w:b/>
          <w:bCs/>
          <w:sz w:val="26"/>
          <w:szCs w:val="26"/>
          <w:u w:val="single"/>
        </w:rPr>
      </w:pPr>
      <w:bookmarkStart w:id="1" w:name="_bmk1"/>
    </w:p>
    <w:p w14:paraId="588F7CC4" w14:textId="194E8B32" w:rsidR="00A278D6" w:rsidRPr="0073506C" w:rsidRDefault="00A278D6" w:rsidP="00BD0F89">
      <w:pPr>
        <w:spacing w:after="0" w:line="240" w:lineRule="auto"/>
        <w:rPr>
          <w:rFonts w:ascii="Times New Roman" w:hAnsi="Times New Roman"/>
          <w:bCs/>
          <w:sz w:val="26"/>
          <w:szCs w:val="26"/>
        </w:rPr>
      </w:pPr>
      <w:r w:rsidRPr="0073506C">
        <w:rPr>
          <w:rFonts w:ascii="Times New Roman" w:hAnsi="Times New Roman"/>
          <w:bCs/>
          <w:sz w:val="26"/>
          <w:szCs w:val="26"/>
        </w:rPr>
        <w:t xml:space="preserve">There are no program changes or changes to the reporting </w:t>
      </w:r>
      <w:r w:rsidR="00241CFA" w:rsidRPr="0073506C">
        <w:rPr>
          <w:rFonts w:ascii="Times New Roman" w:hAnsi="Times New Roman"/>
          <w:bCs/>
          <w:sz w:val="26"/>
          <w:szCs w:val="26"/>
        </w:rPr>
        <w:t>or recordkeeping r</w:t>
      </w:r>
      <w:r w:rsidRPr="0073506C">
        <w:rPr>
          <w:rFonts w:ascii="Times New Roman" w:hAnsi="Times New Roman"/>
          <w:bCs/>
          <w:sz w:val="26"/>
          <w:szCs w:val="26"/>
        </w:rPr>
        <w:t>equirements.</w:t>
      </w:r>
      <w:r w:rsidR="009C352F" w:rsidRPr="0073506C">
        <w:rPr>
          <w:rFonts w:ascii="Times New Roman" w:hAnsi="Times New Roman"/>
          <w:bCs/>
          <w:sz w:val="26"/>
          <w:szCs w:val="26"/>
        </w:rPr>
        <w:t xml:space="preserve"> </w:t>
      </w:r>
    </w:p>
    <w:p w14:paraId="3A6E38E4" w14:textId="77777777" w:rsidR="00A278D6" w:rsidRPr="0073506C" w:rsidRDefault="00A278D6" w:rsidP="00BD0F89">
      <w:pPr>
        <w:spacing w:after="0" w:line="240" w:lineRule="auto"/>
        <w:rPr>
          <w:rFonts w:ascii="Times New Roman" w:hAnsi="Times New Roman"/>
          <w:bCs/>
          <w:sz w:val="26"/>
          <w:szCs w:val="26"/>
        </w:rPr>
      </w:pPr>
    </w:p>
    <w:p w14:paraId="40833C19" w14:textId="20AA2B61" w:rsidR="00241CFA" w:rsidRPr="0073506C" w:rsidRDefault="006955A3" w:rsidP="00BD0F89">
      <w:pPr>
        <w:spacing w:after="0" w:line="240" w:lineRule="auto"/>
        <w:rPr>
          <w:rFonts w:ascii="Times New Roman" w:hAnsi="Times New Roman"/>
          <w:bCs/>
          <w:sz w:val="26"/>
          <w:szCs w:val="26"/>
        </w:rPr>
      </w:pPr>
      <w:r w:rsidRPr="0073506C">
        <w:rPr>
          <w:rFonts w:ascii="Times New Roman" w:hAnsi="Times New Roman"/>
          <w:bCs/>
          <w:sz w:val="26"/>
          <w:szCs w:val="26"/>
        </w:rPr>
        <w:t>The following table show</w:t>
      </w:r>
      <w:r w:rsidR="00E31823" w:rsidRPr="0073506C">
        <w:rPr>
          <w:rFonts w:ascii="Times New Roman" w:hAnsi="Times New Roman"/>
          <w:bCs/>
          <w:sz w:val="26"/>
          <w:szCs w:val="26"/>
        </w:rPr>
        <w:t>s</w:t>
      </w:r>
      <w:r w:rsidRPr="0073506C">
        <w:rPr>
          <w:rFonts w:ascii="Times New Roman" w:hAnsi="Times New Roman"/>
          <w:bCs/>
          <w:sz w:val="26"/>
          <w:szCs w:val="26"/>
        </w:rPr>
        <w:t xml:space="preserve"> </w:t>
      </w:r>
      <w:r w:rsidR="00EF280E" w:rsidRPr="0073506C">
        <w:rPr>
          <w:rFonts w:ascii="Times New Roman" w:hAnsi="Times New Roman"/>
          <w:bCs/>
          <w:sz w:val="26"/>
          <w:szCs w:val="26"/>
        </w:rPr>
        <w:t xml:space="preserve">adjustments </w:t>
      </w:r>
      <w:r w:rsidR="00656733" w:rsidRPr="0073506C">
        <w:rPr>
          <w:rFonts w:ascii="Times New Roman" w:hAnsi="Times New Roman"/>
          <w:bCs/>
          <w:sz w:val="26"/>
          <w:szCs w:val="26"/>
        </w:rPr>
        <w:t xml:space="preserve">(such as </w:t>
      </w:r>
      <w:r w:rsidR="00EF280E" w:rsidRPr="0073506C">
        <w:rPr>
          <w:rFonts w:ascii="Times New Roman" w:hAnsi="Times New Roman"/>
          <w:bCs/>
          <w:sz w:val="26"/>
          <w:szCs w:val="26"/>
        </w:rPr>
        <w:t xml:space="preserve">normal industry fluctuations </w:t>
      </w:r>
      <w:r w:rsidR="00656733" w:rsidRPr="0073506C">
        <w:rPr>
          <w:rFonts w:ascii="Times New Roman" w:hAnsi="Times New Roman"/>
          <w:bCs/>
          <w:sz w:val="26"/>
          <w:szCs w:val="26"/>
        </w:rPr>
        <w:t>[</w:t>
      </w:r>
      <w:r w:rsidR="00EF280E" w:rsidRPr="0073506C">
        <w:rPr>
          <w:rFonts w:ascii="Times New Roman" w:hAnsi="Times New Roman"/>
          <w:bCs/>
          <w:sz w:val="26"/>
          <w:szCs w:val="26"/>
        </w:rPr>
        <w:t>companies merging, splitting, going into and leaving the business</w:t>
      </w:r>
      <w:r w:rsidR="00656733" w:rsidRPr="0073506C">
        <w:rPr>
          <w:rFonts w:ascii="Times New Roman" w:hAnsi="Times New Roman"/>
          <w:bCs/>
          <w:sz w:val="26"/>
          <w:szCs w:val="26"/>
        </w:rPr>
        <w:t>])</w:t>
      </w:r>
      <w:r w:rsidR="00EF280E" w:rsidRPr="0073506C">
        <w:rPr>
          <w:rFonts w:ascii="Times New Roman" w:hAnsi="Times New Roman"/>
          <w:bCs/>
          <w:sz w:val="26"/>
          <w:szCs w:val="26"/>
        </w:rPr>
        <w:t xml:space="preserve"> </w:t>
      </w:r>
      <w:r w:rsidRPr="0073506C">
        <w:rPr>
          <w:rFonts w:ascii="Times New Roman" w:hAnsi="Times New Roman"/>
          <w:bCs/>
          <w:sz w:val="26"/>
          <w:szCs w:val="26"/>
        </w:rPr>
        <w:t xml:space="preserve">and </w:t>
      </w:r>
      <w:r w:rsidR="00EF280E" w:rsidRPr="0073506C">
        <w:rPr>
          <w:rFonts w:ascii="Times New Roman" w:hAnsi="Times New Roman"/>
          <w:bCs/>
          <w:sz w:val="26"/>
          <w:szCs w:val="26"/>
        </w:rPr>
        <w:t>reflects</w:t>
      </w:r>
      <w:r w:rsidRPr="0073506C">
        <w:rPr>
          <w:rFonts w:ascii="Times New Roman" w:hAnsi="Times New Roman"/>
          <w:bCs/>
          <w:sz w:val="26"/>
          <w:szCs w:val="26"/>
        </w:rPr>
        <w:t xml:space="preserve"> </w:t>
      </w:r>
      <w:r w:rsidR="00EF280E" w:rsidRPr="0073506C">
        <w:rPr>
          <w:rFonts w:ascii="Times New Roman" w:hAnsi="Times New Roman"/>
          <w:bCs/>
          <w:sz w:val="26"/>
          <w:szCs w:val="26"/>
        </w:rPr>
        <w:t xml:space="preserve">metadata used in </w:t>
      </w:r>
      <w:r w:rsidRPr="0073506C">
        <w:rPr>
          <w:rFonts w:ascii="Times New Roman" w:hAnsi="Times New Roman"/>
          <w:bCs/>
          <w:sz w:val="26"/>
          <w:szCs w:val="26"/>
        </w:rPr>
        <w:t>ROCIS (and reginfo.gov)</w:t>
      </w:r>
      <w:r w:rsidR="00C731FD" w:rsidRPr="0073506C">
        <w:rPr>
          <w:rFonts w:ascii="Times New Roman" w:hAnsi="Times New Roman"/>
          <w:bCs/>
          <w:sz w:val="26"/>
          <w:szCs w:val="26"/>
        </w:rPr>
        <w:t>.</w:t>
      </w:r>
    </w:p>
    <w:p w14:paraId="49FDF8AA" w14:textId="2AF10674" w:rsidR="00241CFA" w:rsidRPr="0073506C" w:rsidRDefault="00241CFA">
      <w:pPr>
        <w:spacing w:after="160" w:line="259" w:lineRule="auto"/>
        <w:rPr>
          <w:rFonts w:ascii="Times New Roman" w:hAnsi="Times New Roman"/>
          <w:bCs/>
          <w:sz w:val="26"/>
          <w:szCs w:val="26"/>
        </w:rPr>
      </w:pPr>
    </w:p>
    <w:tbl>
      <w:tblPr>
        <w:tblW w:w="9260" w:type="dxa"/>
        <w:tblLayout w:type="fixed"/>
        <w:tblLook w:val="04A0" w:firstRow="1" w:lastRow="0" w:firstColumn="1" w:lastColumn="0" w:noHBand="0" w:noVBand="1"/>
      </w:tblPr>
      <w:tblGrid>
        <w:gridCol w:w="1430"/>
        <w:gridCol w:w="2340"/>
        <w:gridCol w:w="1187"/>
        <w:gridCol w:w="1296"/>
        <w:gridCol w:w="1430"/>
        <w:gridCol w:w="1577"/>
      </w:tblGrid>
      <w:tr w:rsidR="00533D70" w:rsidRPr="000F07BD" w14:paraId="466476A3" w14:textId="77777777" w:rsidTr="005C65C3">
        <w:trPr>
          <w:trHeight w:val="1168"/>
        </w:trPr>
        <w:tc>
          <w:tcPr>
            <w:tcW w:w="143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D221A1A" w14:textId="3DD7373E" w:rsidR="00533D70" w:rsidRPr="0073506C" w:rsidRDefault="00C72F19"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 Form No.</w:t>
            </w:r>
          </w:p>
        </w:tc>
        <w:tc>
          <w:tcPr>
            <w:tcW w:w="2340" w:type="dxa"/>
            <w:tcBorders>
              <w:top w:val="single" w:sz="8" w:space="0" w:color="auto"/>
              <w:left w:val="nil"/>
              <w:bottom w:val="single" w:sz="4" w:space="0" w:color="auto"/>
              <w:right w:val="single" w:sz="4" w:space="0" w:color="auto"/>
            </w:tcBorders>
            <w:shd w:val="clear" w:color="000000" w:fill="D9D9D9"/>
            <w:vAlign w:val="bottom"/>
            <w:hideMark/>
          </w:tcPr>
          <w:p w14:paraId="00503542"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w:t>
            </w:r>
          </w:p>
        </w:tc>
        <w:tc>
          <w:tcPr>
            <w:tcW w:w="1187" w:type="dxa"/>
            <w:tcBorders>
              <w:top w:val="single" w:sz="8" w:space="0" w:color="auto"/>
              <w:left w:val="nil"/>
              <w:bottom w:val="single" w:sz="4" w:space="0" w:color="auto"/>
              <w:right w:val="single" w:sz="4" w:space="0" w:color="auto"/>
            </w:tcBorders>
            <w:shd w:val="clear" w:color="000000" w:fill="D9D9D9"/>
            <w:vAlign w:val="bottom"/>
            <w:hideMark/>
          </w:tcPr>
          <w:p w14:paraId="2017E857"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Total Request</w:t>
            </w:r>
          </w:p>
        </w:tc>
        <w:tc>
          <w:tcPr>
            <w:tcW w:w="1296" w:type="dxa"/>
            <w:tcBorders>
              <w:top w:val="single" w:sz="8" w:space="0" w:color="auto"/>
              <w:left w:val="nil"/>
              <w:bottom w:val="single" w:sz="4" w:space="0" w:color="auto"/>
              <w:right w:val="single" w:sz="4" w:space="0" w:color="auto"/>
            </w:tcBorders>
            <w:shd w:val="clear" w:color="000000" w:fill="D9D9D9"/>
            <w:vAlign w:val="bottom"/>
            <w:hideMark/>
          </w:tcPr>
          <w:p w14:paraId="50391065"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Previously Approved</w:t>
            </w:r>
          </w:p>
        </w:tc>
        <w:tc>
          <w:tcPr>
            <w:tcW w:w="1430" w:type="dxa"/>
            <w:tcBorders>
              <w:top w:val="single" w:sz="8" w:space="0" w:color="auto"/>
              <w:left w:val="nil"/>
              <w:bottom w:val="single" w:sz="4" w:space="0" w:color="auto"/>
              <w:right w:val="single" w:sz="4" w:space="0" w:color="auto"/>
            </w:tcBorders>
            <w:shd w:val="clear" w:color="000000" w:fill="D9D9D9"/>
            <w:vAlign w:val="bottom"/>
            <w:hideMark/>
          </w:tcPr>
          <w:p w14:paraId="3836E329"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Change due to Adjustment in Estimate</w:t>
            </w:r>
          </w:p>
        </w:tc>
        <w:tc>
          <w:tcPr>
            <w:tcW w:w="1577" w:type="dxa"/>
            <w:tcBorders>
              <w:top w:val="single" w:sz="8" w:space="0" w:color="auto"/>
              <w:left w:val="nil"/>
              <w:bottom w:val="single" w:sz="4" w:space="0" w:color="auto"/>
              <w:right w:val="single" w:sz="4" w:space="0" w:color="auto"/>
            </w:tcBorders>
            <w:shd w:val="clear" w:color="000000" w:fill="D9D9D9"/>
            <w:vAlign w:val="bottom"/>
            <w:hideMark/>
          </w:tcPr>
          <w:p w14:paraId="2CB56806" w14:textId="2656BDD8" w:rsidR="00533D70" w:rsidRPr="0073506C" w:rsidRDefault="00533D70" w:rsidP="00E17A65">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Average Annual Change Due to Agency Discretion </w:t>
            </w:r>
          </w:p>
        </w:tc>
      </w:tr>
      <w:tr w:rsidR="00533D70" w:rsidRPr="000F07BD" w14:paraId="6F742ABA"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w:t>
            </w:r>
          </w:p>
        </w:tc>
        <w:tc>
          <w:tcPr>
            <w:tcW w:w="234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1B5E1CA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207</w:t>
            </w:r>
          </w:p>
        </w:tc>
        <w:tc>
          <w:tcPr>
            <w:tcW w:w="1296" w:type="dxa"/>
            <w:tcBorders>
              <w:top w:val="nil"/>
              <w:left w:val="nil"/>
              <w:bottom w:val="single" w:sz="4" w:space="0" w:color="auto"/>
              <w:right w:val="single" w:sz="4" w:space="0" w:color="auto"/>
            </w:tcBorders>
            <w:shd w:val="clear" w:color="auto" w:fill="auto"/>
            <w:vAlign w:val="bottom"/>
            <w:hideMark/>
          </w:tcPr>
          <w:p w14:paraId="047E302D"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210</w:t>
            </w:r>
          </w:p>
        </w:tc>
        <w:tc>
          <w:tcPr>
            <w:tcW w:w="1430" w:type="dxa"/>
            <w:tcBorders>
              <w:top w:val="nil"/>
              <w:left w:val="nil"/>
              <w:bottom w:val="single" w:sz="4" w:space="0" w:color="auto"/>
              <w:right w:val="single" w:sz="4" w:space="0" w:color="auto"/>
            </w:tcBorders>
            <w:shd w:val="clear" w:color="auto" w:fill="auto"/>
            <w:vAlign w:val="bottom"/>
            <w:hideMark/>
          </w:tcPr>
          <w:p w14:paraId="780AEB56" w14:textId="046F146D"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w:t>
            </w:r>
          </w:p>
        </w:tc>
        <w:tc>
          <w:tcPr>
            <w:tcW w:w="1577" w:type="dxa"/>
            <w:tcBorders>
              <w:top w:val="nil"/>
              <w:left w:val="nil"/>
              <w:bottom w:val="single" w:sz="4" w:space="0" w:color="auto"/>
              <w:right w:val="single" w:sz="4" w:space="0" w:color="auto"/>
            </w:tcBorders>
            <w:shd w:val="clear" w:color="auto" w:fill="auto"/>
            <w:vAlign w:val="bottom"/>
            <w:hideMark/>
          </w:tcPr>
          <w:p w14:paraId="55F33CE6" w14:textId="2D408AC6"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523567E5"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5698265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7BB77AA9" w14:textId="346F5757" w:rsidR="00533D70" w:rsidRPr="0073506C" w:rsidRDefault="00A92AC7"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241,776</w:t>
            </w:r>
          </w:p>
        </w:tc>
        <w:tc>
          <w:tcPr>
            <w:tcW w:w="1296" w:type="dxa"/>
            <w:tcBorders>
              <w:top w:val="nil"/>
              <w:left w:val="nil"/>
              <w:bottom w:val="single" w:sz="4" w:space="0" w:color="auto"/>
              <w:right w:val="single" w:sz="4" w:space="0" w:color="auto"/>
            </w:tcBorders>
            <w:shd w:val="clear" w:color="auto" w:fill="auto"/>
            <w:vAlign w:val="bottom"/>
            <w:hideMark/>
          </w:tcPr>
          <w:p w14:paraId="48E9B0D6"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245,280</w:t>
            </w:r>
          </w:p>
        </w:tc>
        <w:tc>
          <w:tcPr>
            <w:tcW w:w="1430" w:type="dxa"/>
            <w:tcBorders>
              <w:top w:val="nil"/>
              <w:left w:val="nil"/>
              <w:bottom w:val="single" w:sz="4" w:space="0" w:color="auto"/>
              <w:right w:val="single" w:sz="4" w:space="0" w:color="auto"/>
            </w:tcBorders>
            <w:shd w:val="clear" w:color="auto" w:fill="auto"/>
            <w:vAlign w:val="bottom"/>
            <w:hideMark/>
          </w:tcPr>
          <w:p w14:paraId="4831DCEE" w14:textId="1C133B46"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-3,504</w:t>
            </w:r>
          </w:p>
        </w:tc>
        <w:tc>
          <w:tcPr>
            <w:tcW w:w="1577" w:type="dxa"/>
            <w:tcBorders>
              <w:top w:val="nil"/>
              <w:left w:val="nil"/>
              <w:bottom w:val="single" w:sz="4" w:space="0" w:color="auto"/>
              <w:right w:val="single" w:sz="4" w:space="0" w:color="auto"/>
            </w:tcBorders>
            <w:shd w:val="clear" w:color="auto" w:fill="auto"/>
            <w:vAlign w:val="bottom"/>
            <w:hideMark/>
          </w:tcPr>
          <w:p w14:paraId="3BF57279" w14:textId="68BDE102"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48B8CEE1"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65DF912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7C3C5E42" w14:textId="2E7671DC"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32F90C94" w14:textId="7D2D8F5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17645452" w14:textId="7C37C318"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7F039D5C" w14:textId="10FAC2D1"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r>
      <w:tr w:rsidR="00533D70" w:rsidRPr="000F07BD" w14:paraId="1C1DCE88"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FERC-1F</w:t>
            </w:r>
          </w:p>
        </w:tc>
        <w:tc>
          <w:tcPr>
            <w:tcW w:w="234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0995187B"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w:t>
            </w:r>
          </w:p>
        </w:tc>
        <w:tc>
          <w:tcPr>
            <w:tcW w:w="1296" w:type="dxa"/>
            <w:tcBorders>
              <w:top w:val="nil"/>
              <w:left w:val="nil"/>
              <w:bottom w:val="single" w:sz="4" w:space="0" w:color="auto"/>
              <w:right w:val="single" w:sz="4" w:space="0" w:color="auto"/>
            </w:tcBorders>
            <w:shd w:val="clear" w:color="auto" w:fill="auto"/>
            <w:vAlign w:val="bottom"/>
            <w:hideMark/>
          </w:tcPr>
          <w:p w14:paraId="37D8E314"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w:t>
            </w:r>
          </w:p>
        </w:tc>
        <w:tc>
          <w:tcPr>
            <w:tcW w:w="1430" w:type="dxa"/>
            <w:tcBorders>
              <w:top w:val="nil"/>
              <w:left w:val="nil"/>
              <w:bottom w:val="single" w:sz="4" w:space="0" w:color="auto"/>
              <w:right w:val="single" w:sz="4" w:space="0" w:color="auto"/>
            </w:tcBorders>
            <w:shd w:val="clear" w:color="auto" w:fill="auto"/>
            <w:vAlign w:val="bottom"/>
            <w:hideMark/>
          </w:tcPr>
          <w:p w14:paraId="168C392E" w14:textId="7F1080BF"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1C7A550F" w14:textId="6AD98F48"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r w:rsidR="00533D70" w:rsidRPr="0073506C">
              <w:rPr>
                <w:rFonts w:ascii="Times New Roman" w:eastAsia="Times New Roman" w:hAnsi="Times New Roman"/>
                <w:color w:val="000000"/>
                <w:sz w:val="26"/>
                <w:szCs w:val="26"/>
              </w:rPr>
              <w:t> </w:t>
            </w:r>
          </w:p>
        </w:tc>
      </w:tr>
      <w:tr w:rsidR="00533D70" w:rsidRPr="000F07BD" w14:paraId="2BE01063"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3E890615"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0B33F8A2" w14:textId="372821C3" w:rsidR="00533D70" w:rsidRPr="0073506C" w:rsidRDefault="00A92AC7"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610</w:t>
            </w:r>
          </w:p>
        </w:tc>
        <w:tc>
          <w:tcPr>
            <w:tcW w:w="1296" w:type="dxa"/>
            <w:tcBorders>
              <w:top w:val="nil"/>
              <w:left w:val="nil"/>
              <w:bottom w:val="single" w:sz="4" w:space="0" w:color="auto"/>
              <w:right w:val="single" w:sz="4" w:space="0" w:color="auto"/>
            </w:tcBorders>
            <w:shd w:val="clear" w:color="auto" w:fill="auto"/>
            <w:vAlign w:val="bottom"/>
            <w:hideMark/>
          </w:tcPr>
          <w:p w14:paraId="63D61B9E"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610</w:t>
            </w:r>
          </w:p>
        </w:tc>
        <w:tc>
          <w:tcPr>
            <w:tcW w:w="1430" w:type="dxa"/>
            <w:tcBorders>
              <w:top w:val="nil"/>
              <w:left w:val="nil"/>
              <w:bottom w:val="single" w:sz="4" w:space="0" w:color="auto"/>
              <w:right w:val="single" w:sz="4" w:space="0" w:color="auto"/>
            </w:tcBorders>
            <w:shd w:val="clear" w:color="auto" w:fill="auto"/>
            <w:vAlign w:val="bottom"/>
            <w:hideMark/>
          </w:tcPr>
          <w:p w14:paraId="27EE6227" w14:textId="6DB4FD5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 </w:t>
            </w:r>
            <w:r w:rsidR="00587081"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7F383F44" w14:textId="19A411C8"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6D95A80C"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4DE1630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6E502599" w14:textId="267E9F88"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13BF5CC4" w14:textId="2B57F192"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2F567A2F" w14:textId="2B74CA00"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239A32A5" w14:textId="297A0571"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r>
      <w:tr w:rsidR="00533D70" w:rsidRPr="000F07BD" w14:paraId="21B01E4C"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215CD8D6" w14:textId="3DCC6CCA"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FERC-3Q</w:t>
            </w:r>
            <w:r w:rsidR="00C72F19" w:rsidRPr="0073506C">
              <w:rPr>
                <w:rFonts w:ascii="Times New Roman" w:eastAsia="Times New Roman" w:hAnsi="Times New Roman"/>
                <w:b/>
                <w:bCs/>
                <w:color w:val="000000"/>
                <w:sz w:val="26"/>
                <w:szCs w:val="26"/>
              </w:rPr>
              <w:t>,</w:t>
            </w:r>
            <w:r w:rsidRPr="0073506C">
              <w:rPr>
                <w:rFonts w:ascii="Times New Roman" w:eastAsia="Times New Roman" w:hAnsi="Times New Roman"/>
                <w:b/>
                <w:bCs/>
                <w:color w:val="000000"/>
                <w:sz w:val="26"/>
                <w:szCs w:val="26"/>
              </w:rPr>
              <w:t xml:space="preserve"> electric</w:t>
            </w:r>
          </w:p>
        </w:tc>
        <w:tc>
          <w:tcPr>
            <w:tcW w:w="234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05C355B5"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636</w:t>
            </w:r>
          </w:p>
        </w:tc>
        <w:tc>
          <w:tcPr>
            <w:tcW w:w="1296" w:type="dxa"/>
            <w:tcBorders>
              <w:top w:val="nil"/>
              <w:left w:val="nil"/>
              <w:bottom w:val="single" w:sz="4" w:space="0" w:color="auto"/>
              <w:right w:val="single" w:sz="4" w:space="0" w:color="auto"/>
            </w:tcBorders>
            <w:shd w:val="clear" w:color="auto" w:fill="auto"/>
            <w:vAlign w:val="bottom"/>
            <w:hideMark/>
          </w:tcPr>
          <w:p w14:paraId="31BBBDF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639</w:t>
            </w:r>
          </w:p>
        </w:tc>
        <w:tc>
          <w:tcPr>
            <w:tcW w:w="1430" w:type="dxa"/>
            <w:tcBorders>
              <w:top w:val="nil"/>
              <w:left w:val="nil"/>
              <w:bottom w:val="single" w:sz="4" w:space="0" w:color="auto"/>
              <w:right w:val="single" w:sz="4" w:space="0" w:color="auto"/>
            </w:tcBorders>
            <w:shd w:val="clear" w:color="auto" w:fill="auto"/>
            <w:vAlign w:val="bottom"/>
            <w:hideMark/>
          </w:tcPr>
          <w:p w14:paraId="0A73D34A" w14:textId="73643FAC"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w:t>
            </w:r>
          </w:p>
        </w:tc>
        <w:tc>
          <w:tcPr>
            <w:tcW w:w="1577" w:type="dxa"/>
            <w:tcBorders>
              <w:top w:val="nil"/>
              <w:left w:val="nil"/>
              <w:bottom w:val="single" w:sz="4" w:space="0" w:color="auto"/>
              <w:right w:val="single" w:sz="4" w:space="0" w:color="auto"/>
            </w:tcBorders>
            <w:shd w:val="clear" w:color="auto" w:fill="auto"/>
            <w:vAlign w:val="bottom"/>
            <w:hideMark/>
          </w:tcPr>
          <w:p w14:paraId="187D804F" w14:textId="634CD352"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39490F82"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7C86FF4B"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3B31B4F6" w14:textId="576DE5E3"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106,848</w:t>
            </w:r>
          </w:p>
        </w:tc>
        <w:tc>
          <w:tcPr>
            <w:tcW w:w="1296" w:type="dxa"/>
            <w:tcBorders>
              <w:top w:val="nil"/>
              <w:left w:val="nil"/>
              <w:bottom w:val="single" w:sz="4" w:space="0" w:color="auto"/>
              <w:right w:val="single" w:sz="4" w:space="0" w:color="auto"/>
            </w:tcBorders>
            <w:shd w:val="clear" w:color="auto" w:fill="auto"/>
            <w:vAlign w:val="bottom"/>
            <w:hideMark/>
          </w:tcPr>
          <w:p w14:paraId="7CF80AF2"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107,352</w:t>
            </w:r>
          </w:p>
        </w:tc>
        <w:tc>
          <w:tcPr>
            <w:tcW w:w="1430" w:type="dxa"/>
            <w:tcBorders>
              <w:top w:val="nil"/>
              <w:left w:val="nil"/>
              <w:bottom w:val="single" w:sz="4" w:space="0" w:color="auto"/>
              <w:right w:val="single" w:sz="4" w:space="0" w:color="auto"/>
            </w:tcBorders>
            <w:shd w:val="clear" w:color="auto" w:fill="auto"/>
            <w:vAlign w:val="bottom"/>
            <w:hideMark/>
          </w:tcPr>
          <w:p w14:paraId="52C8CDFD" w14:textId="1553CF5A" w:rsidR="00533D70" w:rsidRPr="0073506C" w:rsidRDefault="0058708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-504</w:t>
            </w:r>
          </w:p>
        </w:tc>
        <w:tc>
          <w:tcPr>
            <w:tcW w:w="1577" w:type="dxa"/>
            <w:tcBorders>
              <w:top w:val="nil"/>
              <w:left w:val="nil"/>
              <w:bottom w:val="single" w:sz="4" w:space="0" w:color="auto"/>
              <w:right w:val="single" w:sz="4" w:space="0" w:color="auto"/>
            </w:tcBorders>
            <w:shd w:val="clear" w:color="auto" w:fill="auto"/>
            <w:vAlign w:val="bottom"/>
            <w:hideMark/>
          </w:tcPr>
          <w:p w14:paraId="7C934849" w14:textId="25CB823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0888360B"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42E4B2C9"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06BBB647" w14:textId="67EBAC15"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6A4C7258" w14:textId="05605AAF"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11CB8EC9" w14:textId="73258EFE"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 </w:t>
            </w:r>
            <w:r w:rsidR="007272D1"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49316F50" w14:textId="5735928B"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r>
      <w:tr w:rsidR="00533D70" w:rsidRPr="000F07BD" w14:paraId="0B162B45"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6C8DFFA3" w14:textId="165DD5C0"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FERC-3Q</w:t>
            </w:r>
            <w:r w:rsidR="00C72F19" w:rsidRPr="0073506C">
              <w:rPr>
                <w:rFonts w:ascii="Times New Roman" w:eastAsia="Times New Roman" w:hAnsi="Times New Roman"/>
                <w:b/>
                <w:bCs/>
                <w:color w:val="000000"/>
                <w:sz w:val="26"/>
                <w:szCs w:val="26"/>
              </w:rPr>
              <w:t>, natural</w:t>
            </w:r>
            <w:r w:rsidRPr="0073506C">
              <w:rPr>
                <w:rFonts w:ascii="Times New Roman" w:eastAsia="Times New Roman" w:hAnsi="Times New Roman"/>
                <w:b/>
                <w:bCs/>
                <w:color w:val="000000"/>
                <w:sz w:val="26"/>
                <w:szCs w:val="26"/>
              </w:rPr>
              <w:t xml:space="preserve"> gas</w:t>
            </w:r>
          </w:p>
        </w:tc>
        <w:tc>
          <w:tcPr>
            <w:tcW w:w="234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5542460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495</w:t>
            </w:r>
          </w:p>
        </w:tc>
        <w:tc>
          <w:tcPr>
            <w:tcW w:w="1296" w:type="dxa"/>
            <w:tcBorders>
              <w:top w:val="nil"/>
              <w:left w:val="nil"/>
              <w:bottom w:val="single" w:sz="4" w:space="0" w:color="auto"/>
              <w:right w:val="single" w:sz="4" w:space="0" w:color="auto"/>
            </w:tcBorders>
            <w:shd w:val="clear" w:color="auto" w:fill="auto"/>
            <w:vAlign w:val="bottom"/>
            <w:hideMark/>
          </w:tcPr>
          <w:p w14:paraId="6A859EEF" w14:textId="3D43D46F" w:rsidR="00533D70" w:rsidRPr="0073506C" w:rsidRDefault="0058708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501</w:t>
            </w:r>
          </w:p>
        </w:tc>
        <w:tc>
          <w:tcPr>
            <w:tcW w:w="1430" w:type="dxa"/>
            <w:tcBorders>
              <w:top w:val="nil"/>
              <w:left w:val="nil"/>
              <w:bottom w:val="single" w:sz="4" w:space="0" w:color="auto"/>
              <w:right w:val="single" w:sz="4" w:space="0" w:color="auto"/>
            </w:tcBorders>
            <w:shd w:val="clear" w:color="auto" w:fill="auto"/>
            <w:vAlign w:val="bottom"/>
            <w:hideMark/>
          </w:tcPr>
          <w:p w14:paraId="232F2499" w14:textId="1654C4F2" w:rsidR="00533D70" w:rsidRPr="0073506C" w:rsidRDefault="00F8110F" w:rsidP="007272D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-6</w:t>
            </w:r>
          </w:p>
        </w:tc>
        <w:tc>
          <w:tcPr>
            <w:tcW w:w="1577" w:type="dxa"/>
            <w:tcBorders>
              <w:top w:val="nil"/>
              <w:left w:val="nil"/>
              <w:bottom w:val="single" w:sz="4" w:space="0" w:color="auto"/>
              <w:right w:val="single" w:sz="4" w:space="0" w:color="auto"/>
            </w:tcBorders>
            <w:shd w:val="clear" w:color="auto" w:fill="auto"/>
            <w:vAlign w:val="bottom"/>
            <w:hideMark/>
          </w:tcPr>
          <w:p w14:paraId="629BB907" w14:textId="4FCEC656" w:rsidR="00533D70" w:rsidRPr="0073506C" w:rsidRDefault="000F49DF"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27CFB583"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6C86B4DB"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37F8BF94" w14:textId="2E191F57"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82,665</w:t>
            </w:r>
          </w:p>
        </w:tc>
        <w:tc>
          <w:tcPr>
            <w:tcW w:w="1296" w:type="dxa"/>
            <w:tcBorders>
              <w:top w:val="nil"/>
              <w:left w:val="nil"/>
              <w:bottom w:val="single" w:sz="4" w:space="0" w:color="auto"/>
              <w:right w:val="single" w:sz="4" w:space="0" w:color="auto"/>
            </w:tcBorders>
            <w:shd w:val="clear" w:color="auto" w:fill="auto"/>
            <w:vAlign w:val="bottom"/>
            <w:hideMark/>
          </w:tcPr>
          <w:p w14:paraId="5CDA51CD"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83,667</w:t>
            </w:r>
          </w:p>
        </w:tc>
        <w:tc>
          <w:tcPr>
            <w:tcW w:w="1430" w:type="dxa"/>
            <w:tcBorders>
              <w:top w:val="nil"/>
              <w:left w:val="nil"/>
              <w:bottom w:val="single" w:sz="4" w:space="0" w:color="auto"/>
              <w:right w:val="single" w:sz="4" w:space="0" w:color="auto"/>
            </w:tcBorders>
            <w:shd w:val="clear" w:color="auto" w:fill="auto"/>
            <w:vAlign w:val="bottom"/>
            <w:hideMark/>
          </w:tcPr>
          <w:p w14:paraId="3E8118CA" w14:textId="2E66E366" w:rsidR="00533D70" w:rsidRPr="0073506C" w:rsidRDefault="00C77C2C"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-1,002</w:t>
            </w:r>
          </w:p>
        </w:tc>
        <w:tc>
          <w:tcPr>
            <w:tcW w:w="1577" w:type="dxa"/>
            <w:tcBorders>
              <w:top w:val="nil"/>
              <w:left w:val="nil"/>
              <w:bottom w:val="single" w:sz="4" w:space="0" w:color="auto"/>
              <w:right w:val="single" w:sz="4" w:space="0" w:color="auto"/>
            </w:tcBorders>
            <w:shd w:val="clear" w:color="auto" w:fill="auto"/>
            <w:vAlign w:val="bottom"/>
            <w:hideMark/>
          </w:tcPr>
          <w:p w14:paraId="79A0C5C3" w14:textId="3C2E8151"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E17A65" w:rsidRPr="000F07BD" w14:paraId="2D74E08E" w14:textId="77777777" w:rsidTr="005C65C3">
        <w:trPr>
          <w:trHeight w:val="620"/>
        </w:trPr>
        <w:tc>
          <w:tcPr>
            <w:tcW w:w="1430" w:type="dxa"/>
            <w:vMerge/>
            <w:tcBorders>
              <w:top w:val="nil"/>
              <w:left w:val="nil"/>
              <w:bottom w:val="single" w:sz="4" w:space="0" w:color="000000"/>
              <w:right w:val="single" w:sz="4" w:space="0" w:color="auto"/>
            </w:tcBorders>
            <w:vAlign w:val="center"/>
            <w:hideMark/>
          </w:tcPr>
          <w:p w14:paraId="66733D2D" w14:textId="77777777" w:rsidR="00E17A65" w:rsidRPr="0073506C" w:rsidRDefault="00E17A65"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right w:val="single" w:sz="4" w:space="0" w:color="auto"/>
            </w:tcBorders>
            <w:shd w:val="clear" w:color="auto" w:fill="auto"/>
            <w:vAlign w:val="center"/>
            <w:hideMark/>
          </w:tcPr>
          <w:p w14:paraId="6DFED856" w14:textId="1420B758" w:rsidR="00E17A65" w:rsidRPr="0073506C" w:rsidRDefault="00E17A65"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right w:val="single" w:sz="4" w:space="0" w:color="auto"/>
            </w:tcBorders>
            <w:shd w:val="clear" w:color="auto" w:fill="auto"/>
            <w:vAlign w:val="bottom"/>
            <w:hideMark/>
          </w:tcPr>
          <w:p w14:paraId="64BE5825" w14:textId="5F23E248"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c>
          <w:tcPr>
            <w:tcW w:w="1296" w:type="dxa"/>
            <w:tcBorders>
              <w:top w:val="nil"/>
              <w:left w:val="nil"/>
              <w:right w:val="single" w:sz="4" w:space="0" w:color="auto"/>
            </w:tcBorders>
            <w:shd w:val="clear" w:color="auto" w:fill="auto"/>
            <w:vAlign w:val="bottom"/>
            <w:hideMark/>
          </w:tcPr>
          <w:p w14:paraId="75487BD9" w14:textId="7EACC689"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right w:val="single" w:sz="4" w:space="0" w:color="auto"/>
            </w:tcBorders>
            <w:shd w:val="clear" w:color="auto" w:fill="auto"/>
            <w:vAlign w:val="bottom"/>
            <w:hideMark/>
          </w:tcPr>
          <w:p w14:paraId="78C4300F" w14:textId="2C7A0F43" w:rsidR="00E17A65"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r w:rsidR="00E17A65" w:rsidRPr="0073506C">
              <w:rPr>
                <w:rFonts w:ascii="Times New Roman" w:eastAsia="Times New Roman" w:hAnsi="Times New Roman"/>
                <w:color w:val="000000"/>
                <w:sz w:val="26"/>
                <w:szCs w:val="26"/>
              </w:rPr>
              <w:t> </w:t>
            </w:r>
          </w:p>
        </w:tc>
        <w:tc>
          <w:tcPr>
            <w:tcW w:w="1577" w:type="dxa"/>
            <w:tcBorders>
              <w:top w:val="nil"/>
              <w:left w:val="nil"/>
              <w:right w:val="single" w:sz="4" w:space="0" w:color="auto"/>
            </w:tcBorders>
            <w:shd w:val="clear" w:color="auto" w:fill="auto"/>
            <w:vAlign w:val="bottom"/>
            <w:hideMark/>
          </w:tcPr>
          <w:p w14:paraId="1974B5F3" w14:textId="03EFEA17"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r>
    </w:tbl>
    <w:p w14:paraId="77571604" w14:textId="77777777" w:rsidR="005C65C3" w:rsidRPr="0073506C" w:rsidRDefault="005C65C3" w:rsidP="003A3343">
      <w:pPr>
        <w:spacing w:after="0" w:line="259" w:lineRule="auto"/>
        <w:rPr>
          <w:rFonts w:ascii="Times New Roman" w:hAnsi="Times New Roman"/>
          <w:bCs/>
          <w:sz w:val="26"/>
          <w:szCs w:val="26"/>
        </w:rPr>
      </w:pPr>
    </w:p>
    <w:p w14:paraId="06A2F2CD" w14:textId="62F4970E" w:rsidR="00B6477D" w:rsidRPr="0073506C" w:rsidRDefault="005C65C3" w:rsidP="003A3343">
      <w:pPr>
        <w:spacing w:after="0" w:line="259" w:lineRule="auto"/>
        <w:rPr>
          <w:rFonts w:ascii="Times New Roman" w:hAnsi="Times New Roman"/>
          <w:bCs/>
          <w:sz w:val="26"/>
          <w:szCs w:val="26"/>
        </w:rPr>
      </w:pPr>
      <w:r w:rsidRPr="0073506C">
        <w:rPr>
          <w:rFonts w:ascii="Times New Roman" w:hAnsi="Times New Roman"/>
          <w:bCs/>
          <w:sz w:val="26"/>
          <w:szCs w:val="26"/>
        </w:rPr>
        <w:t>The updated annual totals for FERC-3Q (electric and natural gas) are 1,131 responses and 189,513 burden hours.</w:t>
      </w:r>
    </w:p>
    <w:p w14:paraId="7B4EABF9" w14:textId="77777777" w:rsidR="005C65C3" w:rsidRPr="0073506C" w:rsidRDefault="005C65C3" w:rsidP="003A3343">
      <w:pPr>
        <w:spacing w:after="0" w:line="259" w:lineRule="auto"/>
        <w:rPr>
          <w:rFonts w:ascii="Times New Roman" w:hAnsi="Times New Roman"/>
          <w:bCs/>
          <w:sz w:val="26"/>
          <w:szCs w:val="26"/>
        </w:rPr>
      </w:pPr>
    </w:p>
    <w:bookmarkEnd w:id="1"/>
    <w:p w14:paraId="115E3405"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16. </w:t>
      </w:r>
      <w:r w:rsidR="00F0627E" w:rsidRPr="0073506C">
        <w:rPr>
          <w:rFonts w:ascii="Times New Roman" w:hAnsi="Times New Roman"/>
          <w:b/>
          <w:sz w:val="26"/>
          <w:szCs w:val="26"/>
        </w:rPr>
        <w:t>TIME SCHEDULE FOR PUBLICATION OF DATA</w:t>
      </w:r>
    </w:p>
    <w:p w14:paraId="65FE4B4D" w14:textId="77777777" w:rsidR="00F0627E" w:rsidRPr="0073506C" w:rsidRDefault="00F0627E" w:rsidP="00BD0F89">
      <w:pPr>
        <w:spacing w:after="0" w:line="240" w:lineRule="auto"/>
        <w:rPr>
          <w:rFonts w:ascii="Times New Roman" w:hAnsi="Times New Roman"/>
          <w:sz w:val="26"/>
          <w:szCs w:val="26"/>
        </w:rPr>
      </w:pPr>
    </w:p>
    <w:p w14:paraId="679BBE9C" w14:textId="77777777" w:rsidR="001D289D" w:rsidRPr="0073506C" w:rsidRDefault="001D289D"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There is no publication of </w:t>
      </w:r>
      <w:r w:rsidR="00587AD0" w:rsidRPr="0073506C">
        <w:rPr>
          <w:rFonts w:ascii="Times New Roman" w:hAnsi="Times New Roman"/>
          <w:sz w:val="26"/>
          <w:szCs w:val="26"/>
        </w:rPr>
        <w:t>data</w:t>
      </w:r>
      <w:r w:rsidRPr="0073506C">
        <w:rPr>
          <w:rFonts w:ascii="Times New Roman" w:hAnsi="Times New Roman"/>
          <w:sz w:val="26"/>
          <w:szCs w:val="26"/>
        </w:rPr>
        <w:t xml:space="preserve">. </w:t>
      </w:r>
    </w:p>
    <w:p w14:paraId="5CEC4741" w14:textId="77777777" w:rsidR="00F20B97" w:rsidRPr="0073506C" w:rsidRDefault="00F20B97" w:rsidP="00BD0F89">
      <w:pPr>
        <w:spacing w:after="0" w:line="240" w:lineRule="auto"/>
        <w:rPr>
          <w:rFonts w:ascii="Times New Roman" w:hAnsi="Times New Roman"/>
          <w:sz w:val="26"/>
          <w:szCs w:val="26"/>
        </w:rPr>
      </w:pPr>
    </w:p>
    <w:p w14:paraId="6F76679F"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17. </w:t>
      </w:r>
      <w:r w:rsidR="00F0627E" w:rsidRPr="0073506C">
        <w:rPr>
          <w:rFonts w:ascii="Times New Roman" w:hAnsi="Times New Roman"/>
          <w:b/>
          <w:sz w:val="26"/>
          <w:szCs w:val="26"/>
        </w:rPr>
        <w:t>DISPLAY OF EXPIRATION DATE</w:t>
      </w:r>
    </w:p>
    <w:p w14:paraId="2C7224E4" w14:textId="77777777" w:rsidR="00F0627E" w:rsidRPr="0073506C" w:rsidRDefault="00F0627E" w:rsidP="00BD0F89">
      <w:pPr>
        <w:spacing w:after="0" w:line="240" w:lineRule="auto"/>
        <w:rPr>
          <w:rFonts w:ascii="Times New Roman" w:hAnsi="Times New Roman"/>
          <w:sz w:val="26"/>
          <w:szCs w:val="26"/>
        </w:rPr>
      </w:pPr>
    </w:p>
    <w:p w14:paraId="31FE087C" w14:textId="77777777" w:rsidR="00027DC9" w:rsidRPr="0073506C" w:rsidRDefault="001D289D" w:rsidP="00BD0F89">
      <w:pPr>
        <w:spacing w:after="0" w:line="240" w:lineRule="auto"/>
        <w:rPr>
          <w:rFonts w:ascii="Times New Roman" w:hAnsi="Times New Roman"/>
          <w:color w:val="0000FF"/>
          <w:sz w:val="26"/>
          <w:szCs w:val="26"/>
          <w:u w:val="single"/>
        </w:rPr>
      </w:pPr>
      <w:r w:rsidRPr="0073506C">
        <w:rPr>
          <w:rFonts w:ascii="Times New Roman" w:hAnsi="Times New Roman"/>
          <w:sz w:val="26"/>
          <w:szCs w:val="26"/>
        </w:rPr>
        <w:t xml:space="preserve">The expiration dates are posted on ferc.gov at </w:t>
      </w:r>
      <w:hyperlink r:id="rId14" w:history="1">
        <w:r w:rsidRPr="0073506C">
          <w:rPr>
            <w:rStyle w:val="Hyperlink"/>
            <w:rFonts w:ascii="Times New Roman" w:hAnsi="Times New Roman"/>
            <w:sz w:val="26"/>
            <w:szCs w:val="26"/>
          </w:rPr>
          <w:t>http://www.ferc.gov/docs-filing/info-collections.asp</w:t>
        </w:r>
      </w:hyperlink>
      <w:r w:rsidRPr="0073506C">
        <w:rPr>
          <w:rFonts w:ascii="Times New Roman" w:hAnsi="Times New Roman"/>
          <w:sz w:val="26"/>
          <w:szCs w:val="26"/>
        </w:rPr>
        <w:t xml:space="preserve"> </w:t>
      </w:r>
      <w:r w:rsidR="00A51BC6" w:rsidRPr="0073506C">
        <w:rPr>
          <w:rFonts w:ascii="Times New Roman" w:hAnsi="Times New Roman"/>
          <w:sz w:val="26"/>
          <w:szCs w:val="26"/>
        </w:rPr>
        <w:t>and on the forms where applicable.</w:t>
      </w:r>
      <w:r w:rsidRPr="0073506C">
        <w:rPr>
          <w:rFonts w:ascii="Times New Roman" w:hAnsi="Times New Roman"/>
          <w:sz w:val="26"/>
          <w:szCs w:val="26"/>
        </w:rPr>
        <w:t xml:space="preserve"> </w:t>
      </w:r>
    </w:p>
    <w:p w14:paraId="799845B9" w14:textId="77777777" w:rsidR="00027DC9" w:rsidRPr="0073506C" w:rsidRDefault="00027DC9" w:rsidP="00BD0F89">
      <w:pPr>
        <w:spacing w:after="0" w:line="240" w:lineRule="auto"/>
        <w:rPr>
          <w:rFonts w:ascii="Times New Roman" w:hAnsi="Times New Roman"/>
          <w:sz w:val="26"/>
          <w:szCs w:val="26"/>
        </w:rPr>
      </w:pPr>
    </w:p>
    <w:p w14:paraId="61B7D1C0"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18.  </w:t>
      </w:r>
      <w:r w:rsidR="00F0627E" w:rsidRPr="0073506C">
        <w:rPr>
          <w:rFonts w:ascii="Times New Roman" w:hAnsi="Times New Roman"/>
          <w:b/>
          <w:sz w:val="26"/>
          <w:szCs w:val="26"/>
        </w:rPr>
        <w:t>EXCEPTIONS TO THE CERTIFICATION STATEMENT</w:t>
      </w:r>
    </w:p>
    <w:p w14:paraId="63F6A337" w14:textId="77777777" w:rsidR="001D289D" w:rsidRPr="0073506C" w:rsidRDefault="001D289D" w:rsidP="00BD0F89">
      <w:pPr>
        <w:spacing w:after="0" w:line="240" w:lineRule="auto"/>
        <w:rPr>
          <w:rFonts w:ascii="Times New Roman" w:hAnsi="Times New Roman"/>
          <w:b/>
          <w:sz w:val="26"/>
          <w:szCs w:val="26"/>
        </w:rPr>
      </w:pPr>
    </w:p>
    <w:p w14:paraId="07E0677A" w14:textId="77777777" w:rsidR="00F0627E" w:rsidRPr="0073506C" w:rsidRDefault="001D289D" w:rsidP="00C87990">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000836EF" w:rsidRPr="0073506C">
        <w:rPr>
          <w:rFonts w:ascii="Times New Roman" w:hAnsi="Times New Roman"/>
          <w:sz w:val="26"/>
          <w:szCs w:val="26"/>
        </w:rPr>
        <w:t>s</w:t>
      </w:r>
      <w:r w:rsidRPr="0073506C">
        <w:rPr>
          <w:rFonts w:ascii="Times New Roman" w:hAnsi="Times New Roman"/>
          <w:sz w:val="26"/>
          <w:szCs w:val="26"/>
        </w:rPr>
        <w:t xml:space="preserve">. </w:t>
      </w:r>
    </w:p>
    <w:sectPr w:rsidR="00F0627E" w:rsidRPr="0073506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A7338F" w:rsidRDefault="00A7338F" w:rsidP="009C7F55">
      <w:pPr>
        <w:spacing w:after="0" w:line="240" w:lineRule="auto"/>
      </w:pPr>
      <w:r>
        <w:separator/>
      </w:r>
    </w:p>
  </w:endnote>
  <w:endnote w:type="continuationSeparator" w:id="0">
    <w:p w14:paraId="7CC1BD6A" w14:textId="77777777" w:rsidR="00A7338F" w:rsidRDefault="00A7338F" w:rsidP="009C7F55">
      <w:pPr>
        <w:spacing w:after="0" w:line="240" w:lineRule="auto"/>
      </w:pPr>
      <w:r>
        <w:continuationSeparator/>
      </w:r>
    </w:p>
  </w:endnote>
  <w:endnote w:type="continuationNotice" w:id="1">
    <w:p w14:paraId="3F4B661B" w14:textId="77777777" w:rsidR="00A7338F" w:rsidRDefault="00A73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A7338F" w:rsidRDefault="00A7338F">
        <w:pPr>
          <w:pStyle w:val="Footer"/>
          <w:jc w:val="right"/>
        </w:pPr>
        <w:r>
          <w:fldChar w:fldCharType="begin"/>
        </w:r>
        <w:r>
          <w:instrText xml:space="preserve"> PAGE   \* MERGEFORMAT </w:instrText>
        </w:r>
        <w:r>
          <w:fldChar w:fldCharType="separate"/>
        </w:r>
        <w:r w:rsidR="00C42DE3">
          <w:rPr>
            <w:noProof/>
          </w:rPr>
          <w:t>1</w:t>
        </w:r>
        <w:r>
          <w:rPr>
            <w:noProof/>
          </w:rPr>
          <w:fldChar w:fldCharType="end"/>
        </w:r>
      </w:p>
    </w:sdtContent>
  </w:sdt>
  <w:p w14:paraId="70B209D8" w14:textId="77777777" w:rsidR="00A7338F" w:rsidRDefault="00A73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A7338F" w:rsidRDefault="00A7338F" w:rsidP="009C7F55">
      <w:pPr>
        <w:spacing w:after="0" w:line="240" w:lineRule="auto"/>
      </w:pPr>
      <w:r>
        <w:separator/>
      </w:r>
    </w:p>
  </w:footnote>
  <w:footnote w:type="continuationSeparator" w:id="0">
    <w:p w14:paraId="7A9869DC" w14:textId="77777777" w:rsidR="00A7338F" w:rsidRDefault="00A7338F" w:rsidP="009C7F55">
      <w:pPr>
        <w:spacing w:after="0" w:line="240" w:lineRule="auto"/>
      </w:pPr>
      <w:r>
        <w:continuationSeparator/>
      </w:r>
    </w:p>
  </w:footnote>
  <w:footnote w:type="continuationNotice" w:id="1">
    <w:p w14:paraId="6AC17202" w14:textId="77777777" w:rsidR="00A7338F" w:rsidRDefault="00A7338F">
      <w:pPr>
        <w:spacing w:after="0" w:line="240" w:lineRule="auto"/>
      </w:pPr>
    </w:p>
  </w:footnote>
  <w:footnote w:id="2">
    <w:p w14:paraId="0B772BAC" w14:textId="07FB57AD"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FERC Form Nos. 1, 1-F, and 3-Q are part of the “Forms Refresh” effort, which is a separate a</w:t>
      </w:r>
      <w:r w:rsidR="00AA58D3">
        <w:rPr>
          <w:sz w:val="26"/>
          <w:szCs w:val="26"/>
        </w:rPr>
        <w:t>ctivity and not addressed here</w:t>
      </w:r>
      <w:r w:rsidR="00E603B8">
        <w:rPr>
          <w:sz w:val="26"/>
          <w:szCs w:val="26"/>
        </w:rPr>
        <w:t>.</w:t>
      </w:r>
      <w:r w:rsidRPr="0073506C">
        <w:rPr>
          <w:sz w:val="26"/>
          <w:szCs w:val="26"/>
        </w:rPr>
        <w:t xml:space="preserve"> </w:t>
      </w:r>
      <w:r w:rsidR="00E603B8">
        <w:rPr>
          <w:sz w:val="26"/>
          <w:szCs w:val="26"/>
        </w:rPr>
        <w:t xml:space="preserve"> </w:t>
      </w:r>
      <w:r w:rsidRPr="0073506C">
        <w:rPr>
          <w:sz w:val="26"/>
          <w:szCs w:val="26"/>
        </w:rPr>
        <w:t>(</w:t>
      </w:r>
      <w:r w:rsidR="00E603B8">
        <w:rPr>
          <w:sz w:val="26"/>
          <w:szCs w:val="26"/>
        </w:rPr>
        <w:t xml:space="preserve">It was </w:t>
      </w:r>
      <w:r w:rsidRPr="0073506C">
        <w:rPr>
          <w:sz w:val="26"/>
          <w:szCs w:val="26"/>
        </w:rPr>
        <w:t xml:space="preserve">started in Docket No. AD15-11 and </w:t>
      </w:r>
      <w:r w:rsidR="00E603B8">
        <w:rPr>
          <w:sz w:val="26"/>
          <w:szCs w:val="26"/>
        </w:rPr>
        <w:t xml:space="preserve">is </w:t>
      </w:r>
      <w:r w:rsidRPr="0073506C">
        <w:rPr>
          <w:sz w:val="26"/>
          <w:szCs w:val="26"/>
        </w:rPr>
        <w:t>ongoing in Docket No. RM19-12</w:t>
      </w:r>
      <w:r w:rsidR="00E603B8">
        <w:rPr>
          <w:sz w:val="26"/>
          <w:szCs w:val="26"/>
        </w:rPr>
        <w:t>.</w:t>
      </w:r>
      <w:r w:rsidRPr="0073506C">
        <w:rPr>
          <w:sz w:val="26"/>
          <w:szCs w:val="26"/>
        </w:rPr>
        <w:t xml:space="preserve">)  </w:t>
      </w:r>
      <w:r w:rsidR="00AA58D3">
        <w:rPr>
          <w:sz w:val="26"/>
          <w:szCs w:val="26"/>
        </w:rPr>
        <w:t xml:space="preserve">Order 859 </w:t>
      </w:r>
      <w:r w:rsidR="00E603B8">
        <w:rPr>
          <w:sz w:val="26"/>
          <w:szCs w:val="26"/>
        </w:rPr>
        <w:t xml:space="preserve">in Docket No. RM19-12 </w:t>
      </w:r>
      <w:r w:rsidR="00AA58D3">
        <w:rPr>
          <w:sz w:val="26"/>
          <w:szCs w:val="26"/>
        </w:rPr>
        <w:t xml:space="preserve">is posted in FERC’s eLibrary at </w:t>
      </w:r>
      <w:hyperlink r:id="rId1" w:history="1">
        <w:r w:rsidR="00AA58D3" w:rsidRPr="003331F4">
          <w:rPr>
            <w:rStyle w:val="Hyperlink"/>
            <w:sz w:val="26"/>
            <w:szCs w:val="26"/>
          </w:rPr>
          <w:t>https://elibrary.ferc.gov/idmws/common/opennat.asp?fileID=15278794</w:t>
        </w:r>
      </w:hyperlink>
      <w:r w:rsidR="00AA58D3">
        <w:rPr>
          <w:sz w:val="26"/>
          <w:szCs w:val="26"/>
        </w:rPr>
        <w:t xml:space="preserve">. </w:t>
      </w:r>
    </w:p>
  </w:footnote>
  <w:footnote w:id="3">
    <w:p w14:paraId="7EEB7197" w14:textId="76940915"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rPr>
        <w:t xml:space="preserve"> Unless otherwise specified, the FERC-3Q refers to both the electric and gas versions, which are separate ICs </w:t>
      </w:r>
      <w:r w:rsidR="00DF4233" w:rsidRPr="0073506C">
        <w:rPr>
          <w:sz w:val="26"/>
          <w:szCs w:val="26"/>
        </w:rPr>
        <w:t>(under OMB Control No.</w:t>
      </w:r>
      <w:r w:rsidR="00AD115A" w:rsidRPr="0073506C">
        <w:rPr>
          <w:sz w:val="26"/>
          <w:szCs w:val="26"/>
        </w:rPr>
        <w:t xml:space="preserve"> 1902-0205</w:t>
      </w:r>
      <w:r w:rsidR="00DF4233" w:rsidRPr="0073506C">
        <w:rPr>
          <w:sz w:val="26"/>
          <w:szCs w:val="26"/>
        </w:rPr>
        <w:t xml:space="preserve">) </w:t>
      </w:r>
      <w:r w:rsidRPr="0073506C">
        <w:rPr>
          <w:sz w:val="26"/>
          <w:szCs w:val="26"/>
        </w:rPr>
        <w:t>in ROCIS and reginfo.gov.</w:t>
      </w:r>
    </w:p>
  </w:footnote>
  <w:footnote w:id="4">
    <w:p w14:paraId="2971A43E" w14:textId="37B40AFD" w:rsidR="00A7338F" w:rsidRPr="0073506C" w:rsidRDefault="00A7338F" w:rsidP="00CC72A5">
      <w:pPr>
        <w:pStyle w:val="FootnoteText"/>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CFR § 141.1.  Nonoperating entities formerly designated as Major and new entities that expect to be in the Major category should file as detailed in 18 CFR § 101, General Instructions (1)(A)(3).</w:t>
      </w:r>
    </w:p>
  </w:footnote>
  <w:footnote w:id="5">
    <w:p w14:paraId="07B6B811" w14:textId="6C8AF7B0" w:rsidR="00A7338F" w:rsidRPr="0073506C" w:rsidRDefault="00A7338F" w:rsidP="00CC72A5">
      <w:pPr>
        <w:pStyle w:val="FootnoteText"/>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CFR § 141.2.  Nonoperating entities formerly designated as Nonmajor and new entities that expect to be in the Nonmajor category should file as detailed in 18 CFR § 101, General Instructions (1)(A)(2).</w:t>
      </w:r>
    </w:p>
  </w:footnote>
  <w:footnote w:id="6">
    <w:p w14:paraId="07C019FA" w14:textId="67B7196D" w:rsidR="00A7338F" w:rsidRPr="0073506C" w:rsidRDefault="00A7338F" w:rsidP="00CC72A5">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7">
    <w:p w14:paraId="484AE026" w14:textId="7CDA28AE" w:rsidR="00A7338F" w:rsidRPr="0073506C" w:rsidRDefault="00A7338F" w:rsidP="00CC72A5">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CFR Part 101 (Uniform System </w:t>
      </w:r>
      <w:r w:rsidR="00ED24E5">
        <w:rPr>
          <w:sz w:val="26"/>
          <w:szCs w:val="26"/>
        </w:rPr>
        <w:t>o</w:t>
      </w:r>
      <w:r w:rsidRPr="0073506C">
        <w:rPr>
          <w:sz w:val="26"/>
          <w:szCs w:val="26"/>
        </w:rPr>
        <w:t>f Accounts Prescribed For Public Utilities And Licensees Subject To The Provisions Of The Federal Power Act).</w:t>
      </w:r>
    </w:p>
  </w:footnote>
  <w:footnote w:id="8">
    <w:p w14:paraId="6046EF81" w14:textId="727E8669" w:rsidR="00A7338F" w:rsidRPr="0073506C" w:rsidRDefault="00A7338F" w:rsidP="00A93FF1">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18 CFR 260.1(b) states that for natural gas companies as defined by the Natural Gas Act, Major pertains to a company whose combined gas transported or stored for a fee exceed 50 million Dth in each of the three previous calendar years.  18 CFR 260.2(b) states that for natural gas companies as defined by the Natural Gas Act, Non</w:t>
      </w:r>
      <w:r w:rsidR="001D4C72">
        <w:rPr>
          <w:sz w:val="26"/>
          <w:szCs w:val="26"/>
        </w:rPr>
        <w:t>m</w:t>
      </w:r>
      <w:r w:rsidRPr="0073506C">
        <w:rPr>
          <w:sz w:val="26"/>
          <w:szCs w:val="26"/>
        </w:rPr>
        <w:t>ajor pertains to a company not meeting the filing threshold for FERC Form No. 2, but having total gas sales or volume transactions exceeding 200,000 Dth in each of the three previous calendar years.</w:t>
      </w:r>
    </w:p>
  </w:footnote>
  <w:footnote w:id="9">
    <w:p w14:paraId="7B85E37A" w14:textId="77777777" w:rsidR="00A7338F" w:rsidRPr="0073506C" w:rsidRDefault="00A7338F" w:rsidP="00A326E2">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CFR Part 201 (Uniform System Of Accounts Prescribed For Natural Gas Companies Subject To The Provisions Of The Natural Gas Act).</w:t>
      </w:r>
    </w:p>
  </w:footnote>
  <w:footnote w:id="10">
    <w:p w14:paraId="11B36B18" w14:textId="2C49466A" w:rsidR="00F4048B" w:rsidRDefault="00F4048B">
      <w:pPr>
        <w:pStyle w:val="FootnoteText"/>
        <w:rPr>
          <w:sz w:val="26"/>
          <w:szCs w:val="26"/>
        </w:rPr>
      </w:pPr>
      <w:r w:rsidRPr="0073506C">
        <w:rPr>
          <w:rStyle w:val="FootnoteReference"/>
          <w:sz w:val="26"/>
          <w:szCs w:val="26"/>
          <w:vertAlign w:val="superscript"/>
        </w:rPr>
        <w:footnoteRef/>
      </w:r>
      <w:r>
        <w:rPr>
          <w:sz w:val="26"/>
          <w:szCs w:val="26"/>
        </w:rPr>
        <w:t>The BEA comment is posted in FERC’s eLibrary at</w:t>
      </w:r>
      <w:r w:rsidR="001D3353">
        <w:rPr>
          <w:sz w:val="26"/>
          <w:szCs w:val="26"/>
        </w:rPr>
        <w:t xml:space="preserve"> </w:t>
      </w:r>
      <w:r w:rsidR="001D3353" w:rsidRPr="001D3353">
        <w:rPr>
          <w:sz w:val="26"/>
          <w:szCs w:val="26"/>
        </w:rPr>
        <w:t>https://elibrary.ferc.gov/idmws/common/OpenNat.asp?fileID=15275219</w:t>
      </w:r>
      <w:r w:rsidR="001D3353">
        <w:rPr>
          <w:sz w:val="26"/>
          <w:szCs w:val="26"/>
        </w:rPr>
        <w:t>.</w:t>
      </w:r>
    </w:p>
    <w:p w14:paraId="79663573" w14:textId="77777777" w:rsidR="00F4048B" w:rsidRPr="0073506C" w:rsidRDefault="00F4048B">
      <w:pPr>
        <w:pStyle w:val="FootnoteText"/>
        <w:rPr>
          <w:sz w:val="26"/>
          <w:szCs w:val="26"/>
        </w:rPr>
      </w:pPr>
    </w:p>
  </w:footnote>
  <w:footnote w:id="11">
    <w:p w14:paraId="2236E29A" w14:textId="58EB0D7D" w:rsidR="00A7338F" w:rsidRPr="0073506C" w:rsidRDefault="00A7338F" w:rsidP="00F0627E">
      <w:pPr>
        <w:pStyle w:val="FootnoteText"/>
        <w:rPr>
          <w:sz w:val="26"/>
          <w:szCs w:val="26"/>
        </w:rPr>
      </w:pPr>
      <w:r w:rsidRPr="0073506C">
        <w:rPr>
          <w:rStyle w:val="FootnoteReference"/>
          <w:sz w:val="26"/>
          <w:szCs w:val="26"/>
          <w:vertAlign w:val="superscript"/>
        </w:rPr>
        <w:footnoteRef/>
      </w:r>
      <w:r w:rsidRPr="0073506C">
        <w:rPr>
          <w:sz w:val="26"/>
          <w:szCs w:val="26"/>
        </w:rPr>
        <w:t xml:space="preserve"> 18 C.F.R. §</w:t>
      </w:r>
      <w:r w:rsidR="00286A0D" w:rsidRPr="0073506C">
        <w:rPr>
          <w:sz w:val="26"/>
          <w:szCs w:val="26"/>
        </w:rPr>
        <w:t xml:space="preserve">§ </w:t>
      </w:r>
      <w:r w:rsidRPr="0073506C">
        <w:rPr>
          <w:sz w:val="26"/>
          <w:szCs w:val="26"/>
        </w:rPr>
        <w:t>388.112</w:t>
      </w:r>
      <w:r w:rsidR="00286A0D" w:rsidRPr="0073506C">
        <w:rPr>
          <w:sz w:val="26"/>
          <w:szCs w:val="26"/>
        </w:rPr>
        <w:t xml:space="preserve"> and 388.113</w:t>
      </w:r>
      <w:r w:rsidRPr="0073506C">
        <w:rPr>
          <w:sz w:val="26"/>
          <w:szCs w:val="26"/>
        </w:rPr>
        <w:t xml:space="preserve">.  More information on the CEII definition, program and requirements is posted at </w:t>
      </w:r>
      <w:hyperlink r:id="rId2" w:history="1">
        <w:r w:rsidRPr="0073506C">
          <w:rPr>
            <w:rStyle w:val="Hyperlink"/>
            <w:sz w:val="26"/>
            <w:szCs w:val="26"/>
          </w:rPr>
          <w:t>http://www.ferc.gov/legal/ceii-foia/ceii.asp</w:t>
        </w:r>
      </w:hyperlink>
      <w:r w:rsidRPr="0073506C">
        <w:rPr>
          <w:sz w:val="26"/>
          <w:szCs w:val="26"/>
        </w:rPr>
        <w:t xml:space="preserve">. </w:t>
      </w:r>
    </w:p>
  </w:footnote>
  <w:footnote w:id="12">
    <w:p w14:paraId="7560F308" w14:textId="6B651351" w:rsidR="00214C0F" w:rsidRPr="0073506C" w:rsidRDefault="00214C0F" w:rsidP="00214C0F">
      <w:pPr>
        <w:pStyle w:val="FootnoteText"/>
        <w:rPr>
          <w:sz w:val="26"/>
          <w:szCs w:val="26"/>
        </w:rPr>
      </w:pPr>
      <w:r w:rsidRPr="0073506C">
        <w:rPr>
          <w:rStyle w:val="FootnoteReference"/>
          <w:sz w:val="26"/>
          <w:szCs w:val="26"/>
          <w:vertAlign w:val="superscript"/>
        </w:rPr>
        <w:footnoteRef/>
      </w:r>
      <w:r w:rsidRPr="0073506C">
        <w:rPr>
          <w:sz w:val="26"/>
          <w:szCs w:val="26"/>
        </w:rPr>
        <w:t xml:space="preserve"> The Commission staff believes the FERC FTE (full-time equivalent) average cost for wages plus benefits is representative of the corresponding cost for the industry respondents. The FERC 2018 average salary plus benefits for one FERC FTE is $164,820/year (or $79.00/hour).</w:t>
      </w:r>
    </w:p>
  </w:footnote>
  <w:footnote w:id="13">
    <w:p w14:paraId="67695287" w14:textId="77777777" w:rsidR="00A7338F" w:rsidRPr="0073506C" w:rsidRDefault="00A7338F" w:rsidP="009E3BA7">
      <w:pPr>
        <w:pStyle w:val="FootnoteText"/>
        <w:rPr>
          <w:sz w:val="26"/>
          <w:szCs w:val="26"/>
        </w:rPr>
      </w:pPr>
      <w:r w:rsidRPr="0073506C">
        <w:rPr>
          <w:rStyle w:val="FootnoteReference"/>
          <w:sz w:val="26"/>
          <w:szCs w:val="26"/>
          <w:vertAlign w:val="superscript"/>
        </w:rPr>
        <w:footnoteRef/>
      </w:r>
      <w:r w:rsidRPr="0073506C">
        <w:rPr>
          <w:sz w:val="26"/>
          <w:szCs w:val="26"/>
        </w:rPr>
        <w:t xml:space="preserve"> The average burden and cost per response is calculated using the hourly wage figures described in detail below.</w:t>
      </w:r>
    </w:p>
  </w:footnote>
  <w:footnote w:id="14">
    <w:p w14:paraId="4E8FEBEB" w14:textId="77777777" w:rsidR="00A7338F" w:rsidRPr="0073506C" w:rsidRDefault="00A7338F" w:rsidP="009E3BA7">
      <w:pPr>
        <w:pStyle w:val="FootnoteText"/>
        <w:rPr>
          <w:sz w:val="26"/>
          <w:szCs w:val="26"/>
        </w:rPr>
      </w:pPr>
      <w:r w:rsidRPr="0073506C">
        <w:rPr>
          <w:rStyle w:val="FootnoteReference"/>
          <w:sz w:val="26"/>
          <w:szCs w:val="26"/>
          <w:vertAlign w:val="superscript"/>
        </w:rPr>
        <w:footnoteRef/>
      </w:r>
      <w:r w:rsidRPr="0073506C">
        <w:rPr>
          <w:sz w:val="26"/>
          <w:szCs w:val="26"/>
        </w:rPr>
        <w:t xml:space="preserve"> Every figure in this column is rounded to the nearest dollar.</w:t>
      </w:r>
    </w:p>
  </w:footnote>
  <w:footnote w:id="15">
    <w:p w14:paraId="4F41A94C" w14:textId="77777777"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estimate uses the FERC’s FY 2018 average annual salary plus benefits of one FERC FTE (full-time equivalent [$164,820 per year or $79.00 per hour]).  (These estimates were updated in May 2018.)</w:t>
      </w:r>
    </w:p>
  </w:footnote>
  <w:footnote w:id="16">
    <w:p w14:paraId="2508AC6A" w14:textId="77777777"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rPr>
        <w:t xml:space="preserve"> This estimate was updated May 2018.</w:t>
      </w:r>
    </w:p>
  </w:footnote>
  <w:footnote w:id="17">
    <w:p w14:paraId="58CB363F" w14:textId="0C080B81"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federal costs for the FERC-1, FERC-</w:t>
      </w:r>
      <w:r w:rsidR="00D24757" w:rsidRPr="0073506C">
        <w:rPr>
          <w:sz w:val="26"/>
          <w:szCs w:val="26"/>
        </w:rPr>
        <w:t>1-F</w:t>
      </w:r>
      <w:r w:rsidRPr="0073506C">
        <w:rPr>
          <w:sz w:val="26"/>
          <w:szCs w:val="26"/>
        </w:rPr>
        <w:t>, and FERC-</w:t>
      </w:r>
      <w:r w:rsidR="00D24757" w:rsidRPr="0073506C">
        <w:rPr>
          <w:sz w:val="26"/>
          <w:szCs w:val="26"/>
        </w:rPr>
        <w:t>3-Q</w:t>
      </w:r>
      <w:r w:rsidRPr="0073506C">
        <w:rPr>
          <w:sz w:val="26"/>
          <w:szCs w:val="26"/>
        </w:rPr>
        <w:t xml:space="preserve"> (for both electric and gas) will be included under the ICR for FERC-1 in ROCIS and reginfo.gov.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E9844" w14:textId="5658E5C2" w:rsidR="00A7338F" w:rsidRDefault="00A7338F">
    <w:pPr>
      <w:pStyle w:val="Header"/>
      <w:rPr>
        <w:rFonts w:ascii="Times New Roman" w:hAnsi="Times New Roman"/>
        <w:sz w:val="24"/>
        <w:szCs w:val="24"/>
      </w:rPr>
    </w:pPr>
    <w:r>
      <w:rPr>
        <w:rFonts w:ascii="Times New Roman" w:hAnsi="Times New Roman"/>
        <w:sz w:val="24"/>
        <w:szCs w:val="24"/>
      </w:rPr>
      <w:t>FERC Form Nos. 1, 1-F, and 3-Q</w:t>
    </w:r>
    <w:r w:rsidR="005F2FBA">
      <w:rPr>
        <w:rFonts w:ascii="Times New Roman" w:hAnsi="Times New Roman"/>
        <w:sz w:val="24"/>
        <w:szCs w:val="24"/>
      </w:rPr>
      <w:t xml:space="preserve"> (electric and natural gas)</w:t>
    </w:r>
    <w:r w:rsidR="00AE1B35">
      <w:rPr>
        <w:rFonts w:ascii="Times New Roman" w:hAnsi="Times New Roman"/>
        <w:sz w:val="24"/>
        <w:szCs w:val="24"/>
      </w:rPr>
      <w:t xml:space="preserve">, in Docket </w:t>
    </w:r>
    <w:r w:rsidR="00F22B61">
      <w:rPr>
        <w:rFonts w:ascii="Times New Roman" w:hAnsi="Times New Roman"/>
        <w:sz w:val="24"/>
        <w:szCs w:val="24"/>
      </w:rPr>
      <w:t xml:space="preserve">No. </w:t>
    </w:r>
    <w:r w:rsidR="00AE1B35">
      <w:rPr>
        <w:rFonts w:ascii="Times New Roman" w:hAnsi="Times New Roman"/>
        <w:sz w:val="24"/>
        <w:szCs w:val="24"/>
      </w:rPr>
      <w:t>IC19-22</w:t>
    </w:r>
  </w:p>
  <w:p w14:paraId="13188AEF" w14:textId="27C918F8" w:rsidR="00A7338F" w:rsidRPr="00274467" w:rsidRDefault="00A7338F">
    <w:pPr>
      <w:pStyle w:val="Header"/>
      <w:rPr>
        <w:rFonts w:ascii="Times New Roman" w:hAnsi="Times New Roman"/>
        <w:sz w:val="24"/>
        <w:szCs w:val="24"/>
      </w:rPr>
    </w:pPr>
    <w:r>
      <w:rPr>
        <w:rFonts w:ascii="Times New Roman" w:hAnsi="Times New Roman"/>
        <w:sz w:val="24"/>
        <w:szCs w:val="24"/>
      </w:rPr>
      <w:t>OMB Control Nos. 1902-0021</w:t>
    </w:r>
    <w:r w:rsidRPr="00DC516E">
      <w:rPr>
        <w:rFonts w:ascii="Times New Roman" w:hAnsi="Times New Roman"/>
        <w:sz w:val="24"/>
        <w:szCs w:val="24"/>
      </w:rPr>
      <w:t>, 1902-0029</w:t>
    </w:r>
    <w:r>
      <w:rPr>
        <w:rFonts w:ascii="Times New Roman" w:hAnsi="Times New Roman"/>
        <w:sz w:val="24"/>
        <w:szCs w:val="24"/>
      </w:rPr>
      <w:t>,</w:t>
    </w:r>
    <w:r w:rsidRPr="00DC516E">
      <w:rPr>
        <w:rFonts w:ascii="Times New Roman" w:hAnsi="Times New Roman"/>
        <w:sz w:val="24"/>
        <w:szCs w:val="24"/>
      </w:rPr>
      <w:t xml:space="preserve"> and 1902-0205</w:t>
    </w:r>
  </w:p>
  <w:p w14:paraId="48BC8A50" w14:textId="588CFCAB" w:rsidR="00A7338F" w:rsidRPr="002953E1" w:rsidRDefault="00AD115A" w:rsidP="00E17A65">
    <w:pPr>
      <w:pStyle w:val="Header"/>
      <w:tabs>
        <w:tab w:val="clear" w:pos="4680"/>
        <w:tab w:val="clear" w:pos="9360"/>
        <w:tab w:val="left" w:pos="3780"/>
      </w:tabs>
      <w:rPr>
        <w:rFonts w:ascii="Times New Roman" w:hAnsi="Times New Roman"/>
        <w:sz w:val="20"/>
        <w:szCs w:val="20"/>
      </w:rPr>
    </w:pPr>
    <w:r>
      <w:rPr>
        <w:rFonts w:ascii="Times New Roman" w:hAnsi="Times New Roman"/>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F3953"/>
    <w:multiLevelType w:val="hybridMultilevel"/>
    <w:tmpl w:val="CFE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E0CCA850"/>
    <w:lvl w:ilvl="0" w:tplc="32BA5A66">
      <w:start w:val="1"/>
      <w:numFmt w:val="decimal"/>
      <w:lvlText w:val="%1)"/>
      <w:lvlJc w:val="left"/>
      <w:pPr>
        <w:ind w:left="720" w:hanging="360"/>
      </w:pPr>
      <w:rPr>
        <w:i w:val="0"/>
      </w:rPr>
    </w:lvl>
    <w:lvl w:ilvl="1" w:tplc="AB3C9B8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7"/>
  </w:num>
  <w:num w:numId="3">
    <w:abstractNumId w:val="19"/>
  </w:num>
  <w:num w:numId="4">
    <w:abstractNumId w:val="28"/>
  </w:num>
  <w:num w:numId="5">
    <w:abstractNumId w:val="5"/>
  </w:num>
  <w:num w:numId="6">
    <w:abstractNumId w:val="29"/>
  </w:num>
  <w:num w:numId="7">
    <w:abstractNumId w:val="6"/>
  </w:num>
  <w:num w:numId="8">
    <w:abstractNumId w:val="3"/>
  </w:num>
  <w:num w:numId="9">
    <w:abstractNumId w:val="17"/>
  </w:num>
  <w:num w:numId="10">
    <w:abstractNumId w:val="9"/>
  </w:num>
  <w:num w:numId="11">
    <w:abstractNumId w:val="22"/>
  </w:num>
  <w:num w:numId="12">
    <w:abstractNumId w:val="16"/>
  </w:num>
  <w:num w:numId="13">
    <w:abstractNumId w:val="4"/>
  </w:num>
  <w:num w:numId="14">
    <w:abstractNumId w:val="30"/>
  </w:num>
  <w:num w:numId="15">
    <w:abstractNumId w:val="11"/>
  </w:num>
  <w:num w:numId="16">
    <w:abstractNumId w:val="24"/>
  </w:num>
  <w:num w:numId="17">
    <w:abstractNumId w:val="8"/>
  </w:num>
  <w:num w:numId="18">
    <w:abstractNumId w:val="15"/>
  </w:num>
  <w:num w:numId="19">
    <w:abstractNumId w:val="20"/>
  </w:num>
  <w:num w:numId="20">
    <w:abstractNumId w:val="18"/>
  </w:num>
  <w:num w:numId="21">
    <w:abstractNumId w:val="26"/>
  </w:num>
  <w:num w:numId="22">
    <w:abstractNumId w:val="14"/>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3"/>
  </w:num>
  <w:num w:numId="28">
    <w:abstractNumId w:val="13"/>
  </w:num>
  <w:num w:numId="29">
    <w:abstractNumId w:val="25"/>
  </w:num>
  <w:num w:numId="30">
    <w:abstractNumId w:val="1"/>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trackRevisions/>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5810"/>
    <w:rsid w:val="000201FB"/>
    <w:rsid w:val="00027DC9"/>
    <w:rsid w:val="00030D70"/>
    <w:rsid w:val="0003147A"/>
    <w:rsid w:val="00031C79"/>
    <w:rsid w:val="0003545C"/>
    <w:rsid w:val="00037F63"/>
    <w:rsid w:val="00040F9F"/>
    <w:rsid w:val="00041ECE"/>
    <w:rsid w:val="00042C21"/>
    <w:rsid w:val="00044A19"/>
    <w:rsid w:val="00045EFB"/>
    <w:rsid w:val="000650FC"/>
    <w:rsid w:val="00066375"/>
    <w:rsid w:val="00072071"/>
    <w:rsid w:val="000762E1"/>
    <w:rsid w:val="00077B16"/>
    <w:rsid w:val="0008302B"/>
    <w:rsid w:val="000836EF"/>
    <w:rsid w:val="00084A7F"/>
    <w:rsid w:val="000856A0"/>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07BD"/>
    <w:rsid w:val="000F1339"/>
    <w:rsid w:val="000F1377"/>
    <w:rsid w:val="000F448F"/>
    <w:rsid w:val="000F49D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A6AE8"/>
    <w:rsid w:val="001B430C"/>
    <w:rsid w:val="001B5056"/>
    <w:rsid w:val="001C2900"/>
    <w:rsid w:val="001C2A53"/>
    <w:rsid w:val="001C34B8"/>
    <w:rsid w:val="001C74AB"/>
    <w:rsid w:val="001D0B5C"/>
    <w:rsid w:val="001D289D"/>
    <w:rsid w:val="001D3353"/>
    <w:rsid w:val="001D4C72"/>
    <w:rsid w:val="001D67EE"/>
    <w:rsid w:val="001D7B2E"/>
    <w:rsid w:val="001E1528"/>
    <w:rsid w:val="001E33A6"/>
    <w:rsid w:val="001E3E6B"/>
    <w:rsid w:val="001E42AD"/>
    <w:rsid w:val="001E55A1"/>
    <w:rsid w:val="001F096A"/>
    <w:rsid w:val="001F0B90"/>
    <w:rsid w:val="001F18B7"/>
    <w:rsid w:val="001F2364"/>
    <w:rsid w:val="001F56F4"/>
    <w:rsid w:val="001F7477"/>
    <w:rsid w:val="00200CB5"/>
    <w:rsid w:val="00201EDE"/>
    <w:rsid w:val="002123B8"/>
    <w:rsid w:val="00214C0F"/>
    <w:rsid w:val="002200D8"/>
    <w:rsid w:val="002213AA"/>
    <w:rsid w:val="00221430"/>
    <w:rsid w:val="00221EB9"/>
    <w:rsid w:val="00222BC5"/>
    <w:rsid w:val="00227F0E"/>
    <w:rsid w:val="00230706"/>
    <w:rsid w:val="00232B1B"/>
    <w:rsid w:val="00232DF7"/>
    <w:rsid w:val="00233478"/>
    <w:rsid w:val="002356D9"/>
    <w:rsid w:val="00236DFB"/>
    <w:rsid w:val="00241CFA"/>
    <w:rsid w:val="00244BC9"/>
    <w:rsid w:val="002476F2"/>
    <w:rsid w:val="00247EBC"/>
    <w:rsid w:val="00253F79"/>
    <w:rsid w:val="002570FB"/>
    <w:rsid w:val="0026269A"/>
    <w:rsid w:val="00266990"/>
    <w:rsid w:val="00271EF4"/>
    <w:rsid w:val="00274467"/>
    <w:rsid w:val="0027683E"/>
    <w:rsid w:val="0027754C"/>
    <w:rsid w:val="00283BFF"/>
    <w:rsid w:val="00286A0D"/>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5E41"/>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23A8"/>
    <w:rsid w:val="003056DE"/>
    <w:rsid w:val="00306736"/>
    <w:rsid w:val="0031780A"/>
    <w:rsid w:val="0032632B"/>
    <w:rsid w:val="00331FD7"/>
    <w:rsid w:val="003334C6"/>
    <w:rsid w:val="00334904"/>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1202"/>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57793"/>
    <w:rsid w:val="004665B0"/>
    <w:rsid w:val="0047089C"/>
    <w:rsid w:val="00471F97"/>
    <w:rsid w:val="004733B2"/>
    <w:rsid w:val="0047741E"/>
    <w:rsid w:val="00480D2F"/>
    <w:rsid w:val="004830DC"/>
    <w:rsid w:val="0048721A"/>
    <w:rsid w:val="00487B87"/>
    <w:rsid w:val="00487C6B"/>
    <w:rsid w:val="00490D11"/>
    <w:rsid w:val="00493DD9"/>
    <w:rsid w:val="00494814"/>
    <w:rsid w:val="004A36E5"/>
    <w:rsid w:val="004A3B7F"/>
    <w:rsid w:val="004B26EF"/>
    <w:rsid w:val="004B31EF"/>
    <w:rsid w:val="004B7E8E"/>
    <w:rsid w:val="004C3208"/>
    <w:rsid w:val="004C3C5F"/>
    <w:rsid w:val="004C5451"/>
    <w:rsid w:val="004C5C74"/>
    <w:rsid w:val="004C7946"/>
    <w:rsid w:val="004D07A4"/>
    <w:rsid w:val="004E0BBC"/>
    <w:rsid w:val="004E2A6E"/>
    <w:rsid w:val="004F0530"/>
    <w:rsid w:val="004F4BCE"/>
    <w:rsid w:val="004F5376"/>
    <w:rsid w:val="00500D5E"/>
    <w:rsid w:val="0050228B"/>
    <w:rsid w:val="005052A7"/>
    <w:rsid w:val="00512214"/>
    <w:rsid w:val="00513CC8"/>
    <w:rsid w:val="0051491B"/>
    <w:rsid w:val="00515869"/>
    <w:rsid w:val="00515F5E"/>
    <w:rsid w:val="00517EC0"/>
    <w:rsid w:val="00524C2C"/>
    <w:rsid w:val="0052605E"/>
    <w:rsid w:val="00531594"/>
    <w:rsid w:val="00532CEA"/>
    <w:rsid w:val="00533D70"/>
    <w:rsid w:val="00534DFB"/>
    <w:rsid w:val="005513D0"/>
    <w:rsid w:val="00554E46"/>
    <w:rsid w:val="00554E82"/>
    <w:rsid w:val="00565432"/>
    <w:rsid w:val="00566FD5"/>
    <w:rsid w:val="005676E5"/>
    <w:rsid w:val="00570BB8"/>
    <w:rsid w:val="00576739"/>
    <w:rsid w:val="00584669"/>
    <w:rsid w:val="00587081"/>
    <w:rsid w:val="00587AD0"/>
    <w:rsid w:val="005900E2"/>
    <w:rsid w:val="00590632"/>
    <w:rsid w:val="0059069E"/>
    <w:rsid w:val="005929C3"/>
    <w:rsid w:val="00594E71"/>
    <w:rsid w:val="005A007F"/>
    <w:rsid w:val="005A0F1F"/>
    <w:rsid w:val="005A33F0"/>
    <w:rsid w:val="005A6433"/>
    <w:rsid w:val="005A7AF4"/>
    <w:rsid w:val="005B0185"/>
    <w:rsid w:val="005B04A8"/>
    <w:rsid w:val="005B04C3"/>
    <w:rsid w:val="005B4F28"/>
    <w:rsid w:val="005B7BC6"/>
    <w:rsid w:val="005C55C8"/>
    <w:rsid w:val="005C5DAB"/>
    <w:rsid w:val="005C5FA3"/>
    <w:rsid w:val="005C65C3"/>
    <w:rsid w:val="005D08A7"/>
    <w:rsid w:val="005D1C9E"/>
    <w:rsid w:val="005D3BC2"/>
    <w:rsid w:val="005D4F8B"/>
    <w:rsid w:val="005E0B91"/>
    <w:rsid w:val="005E77C1"/>
    <w:rsid w:val="005F1EFB"/>
    <w:rsid w:val="005F2FBA"/>
    <w:rsid w:val="005F6706"/>
    <w:rsid w:val="00600A02"/>
    <w:rsid w:val="00600BD2"/>
    <w:rsid w:val="006128B2"/>
    <w:rsid w:val="00613ECA"/>
    <w:rsid w:val="006241F8"/>
    <w:rsid w:val="0062523A"/>
    <w:rsid w:val="00630B8E"/>
    <w:rsid w:val="00631DA8"/>
    <w:rsid w:val="00633864"/>
    <w:rsid w:val="00635ED2"/>
    <w:rsid w:val="006377D8"/>
    <w:rsid w:val="00641282"/>
    <w:rsid w:val="006540D2"/>
    <w:rsid w:val="00654909"/>
    <w:rsid w:val="00656733"/>
    <w:rsid w:val="00666CEE"/>
    <w:rsid w:val="0067145A"/>
    <w:rsid w:val="00672874"/>
    <w:rsid w:val="00673209"/>
    <w:rsid w:val="00676409"/>
    <w:rsid w:val="00677D55"/>
    <w:rsid w:val="00680C13"/>
    <w:rsid w:val="00694C84"/>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272D1"/>
    <w:rsid w:val="007300B3"/>
    <w:rsid w:val="007347F9"/>
    <w:rsid w:val="0073506C"/>
    <w:rsid w:val="00736C27"/>
    <w:rsid w:val="007421B8"/>
    <w:rsid w:val="00742B28"/>
    <w:rsid w:val="007445A8"/>
    <w:rsid w:val="00756BE0"/>
    <w:rsid w:val="007603ED"/>
    <w:rsid w:val="0076535E"/>
    <w:rsid w:val="00780149"/>
    <w:rsid w:val="00782DCD"/>
    <w:rsid w:val="0078772D"/>
    <w:rsid w:val="00797209"/>
    <w:rsid w:val="007A5AF7"/>
    <w:rsid w:val="007A6113"/>
    <w:rsid w:val="007B529B"/>
    <w:rsid w:val="007B7AC3"/>
    <w:rsid w:val="007C32BF"/>
    <w:rsid w:val="007C5E46"/>
    <w:rsid w:val="007C66F3"/>
    <w:rsid w:val="007D00E6"/>
    <w:rsid w:val="007D26C3"/>
    <w:rsid w:val="007D2EF7"/>
    <w:rsid w:val="007D436E"/>
    <w:rsid w:val="007D5E97"/>
    <w:rsid w:val="007E0D8A"/>
    <w:rsid w:val="007E640A"/>
    <w:rsid w:val="007E7453"/>
    <w:rsid w:val="007F1D30"/>
    <w:rsid w:val="007F41F8"/>
    <w:rsid w:val="007F773F"/>
    <w:rsid w:val="00802160"/>
    <w:rsid w:val="00803BFB"/>
    <w:rsid w:val="00810A96"/>
    <w:rsid w:val="00811E58"/>
    <w:rsid w:val="00812301"/>
    <w:rsid w:val="008143EC"/>
    <w:rsid w:val="00816F96"/>
    <w:rsid w:val="00817365"/>
    <w:rsid w:val="00820173"/>
    <w:rsid w:val="0082124B"/>
    <w:rsid w:val="00824ED3"/>
    <w:rsid w:val="00841F27"/>
    <w:rsid w:val="00842D7E"/>
    <w:rsid w:val="0084303A"/>
    <w:rsid w:val="008530FC"/>
    <w:rsid w:val="00855994"/>
    <w:rsid w:val="00856707"/>
    <w:rsid w:val="008634BD"/>
    <w:rsid w:val="00867915"/>
    <w:rsid w:val="00881CBE"/>
    <w:rsid w:val="00883041"/>
    <w:rsid w:val="008833AD"/>
    <w:rsid w:val="0088425D"/>
    <w:rsid w:val="008B0A71"/>
    <w:rsid w:val="008B0CCF"/>
    <w:rsid w:val="008B14CD"/>
    <w:rsid w:val="008B6230"/>
    <w:rsid w:val="008C00AE"/>
    <w:rsid w:val="008C1CB2"/>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4DFC"/>
    <w:rsid w:val="0092686E"/>
    <w:rsid w:val="009312F1"/>
    <w:rsid w:val="00932D78"/>
    <w:rsid w:val="0094390D"/>
    <w:rsid w:val="00944F95"/>
    <w:rsid w:val="0094509B"/>
    <w:rsid w:val="0094517B"/>
    <w:rsid w:val="00946E0D"/>
    <w:rsid w:val="00953EDD"/>
    <w:rsid w:val="00954D76"/>
    <w:rsid w:val="00957B46"/>
    <w:rsid w:val="00960A67"/>
    <w:rsid w:val="009658D5"/>
    <w:rsid w:val="0096666B"/>
    <w:rsid w:val="00967F31"/>
    <w:rsid w:val="009738AE"/>
    <w:rsid w:val="00973DE4"/>
    <w:rsid w:val="00973E82"/>
    <w:rsid w:val="00974AFC"/>
    <w:rsid w:val="009844B9"/>
    <w:rsid w:val="009852B7"/>
    <w:rsid w:val="009A1489"/>
    <w:rsid w:val="009A1E1A"/>
    <w:rsid w:val="009A27AC"/>
    <w:rsid w:val="009B11E7"/>
    <w:rsid w:val="009B15CB"/>
    <w:rsid w:val="009B3BC7"/>
    <w:rsid w:val="009B513C"/>
    <w:rsid w:val="009B6F37"/>
    <w:rsid w:val="009C352F"/>
    <w:rsid w:val="009C451A"/>
    <w:rsid w:val="009C7060"/>
    <w:rsid w:val="009C7F55"/>
    <w:rsid w:val="009D3942"/>
    <w:rsid w:val="009D5AC4"/>
    <w:rsid w:val="009E0C70"/>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175D6"/>
    <w:rsid w:val="00A23DF1"/>
    <w:rsid w:val="00A23F07"/>
    <w:rsid w:val="00A24B3E"/>
    <w:rsid w:val="00A27235"/>
    <w:rsid w:val="00A278D6"/>
    <w:rsid w:val="00A27B71"/>
    <w:rsid w:val="00A31CD3"/>
    <w:rsid w:val="00A326E2"/>
    <w:rsid w:val="00A32CC6"/>
    <w:rsid w:val="00A33CDF"/>
    <w:rsid w:val="00A3739B"/>
    <w:rsid w:val="00A37EC4"/>
    <w:rsid w:val="00A4362B"/>
    <w:rsid w:val="00A51BC6"/>
    <w:rsid w:val="00A52612"/>
    <w:rsid w:val="00A541FD"/>
    <w:rsid w:val="00A60DFC"/>
    <w:rsid w:val="00A6647B"/>
    <w:rsid w:val="00A67EF4"/>
    <w:rsid w:val="00A71CBD"/>
    <w:rsid w:val="00A7338F"/>
    <w:rsid w:val="00A8054E"/>
    <w:rsid w:val="00A83026"/>
    <w:rsid w:val="00A83CFF"/>
    <w:rsid w:val="00A84F60"/>
    <w:rsid w:val="00A92AC7"/>
    <w:rsid w:val="00A93FF1"/>
    <w:rsid w:val="00A94966"/>
    <w:rsid w:val="00A962BC"/>
    <w:rsid w:val="00A96327"/>
    <w:rsid w:val="00A9668A"/>
    <w:rsid w:val="00AA05FF"/>
    <w:rsid w:val="00AA0765"/>
    <w:rsid w:val="00AA2BD5"/>
    <w:rsid w:val="00AA58D3"/>
    <w:rsid w:val="00AB3680"/>
    <w:rsid w:val="00AB42C6"/>
    <w:rsid w:val="00AB6AC1"/>
    <w:rsid w:val="00AB7D6C"/>
    <w:rsid w:val="00AB7F2C"/>
    <w:rsid w:val="00AC485F"/>
    <w:rsid w:val="00AC60DF"/>
    <w:rsid w:val="00AC66B6"/>
    <w:rsid w:val="00AD01B0"/>
    <w:rsid w:val="00AD115A"/>
    <w:rsid w:val="00AD180E"/>
    <w:rsid w:val="00AD2C01"/>
    <w:rsid w:val="00AE1B35"/>
    <w:rsid w:val="00AE4AE7"/>
    <w:rsid w:val="00AE6820"/>
    <w:rsid w:val="00AF2AA1"/>
    <w:rsid w:val="00AF2BF2"/>
    <w:rsid w:val="00AF3755"/>
    <w:rsid w:val="00AF4F3C"/>
    <w:rsid w:val="00AF7046"/>
    <w:rsid w:val="00B05CEF"/>
    <w:rsid w:val="00B13D59"/>
    <w:rsid w:val="00B14E3F"/>
    <w:rsid w:val="00B270B9"/>
    <w:rsid w:val="00B303A5"/>
    <w:rsid w:val="00B31EEB"/>
    <w:rsid w:val="00B33512"/>
    <w:rsid w:val="00B406E6"/>
    <w:rsid w:val="00B5132F"/>
    <w:rsid w:val="00B5758E"/>
    <w:rsid w:val="00B6311A"/>
    <w:rsid w:val="00B6477D"/>
    <w:rsid w:val="00B66C65"/>
    <w:rsid w:val="00B705E5"/>
    <w:rsid w:val="00B740A7"/>
    <w:rsid w:val="00B74E8B"/>
    <w:rsid w:val="00B75C18"/>
    <w:rsid w:val="00B75FEE"/>
    <w:rsid w:val="00B770B2"/>
    <w:rsid w:val="00B81214"/>
    <w:rsid w:val="00BA0479"/>
    <w:rsid w:val="00BA412D"/>
    <w:rsid w:val="00BA47E0"/>
    <w:rsid w:val="00BA7959"/>
    <w:rsid w:val="00BB4271"/>
    <w:rsid w:val="00BB5037"/>
    <w:rsid w:val="00BC5CED"/>
    <w:rsid w:val="00BD0F89"/>
    <w:rsid w:val="00BD1E81"/>
    <w:rsid w:val="00BD77BE"/>
    <w:rsid w:val="00BD7A22"/>
    <w:rsid w:val="00BE00F1"/>
    <w:rsid w:val="00BE264B"/>
    <w:rsid w:val="00BE3C78"/>
    <w:rsid w:val="00BE6430"/>
    <w:rsid w:val="00BE75DC"/>
    <w:rsid w:val="00BF189C"/>
    <w:rsid w:val="00BF3095"/>
    <w:rsid w:val="00BF4790"/>
    <w:rsid w:val="00C030D2"/>
    <w:rsid w:val="00C0510A"/>
    <w:rsid w:val="00C10D6A"/>
    <w:rsid w:val="00C110FB"/>
    <w:rsid w:val="00C128FF"/>
    <w:rsid w:val="00C139CA"/>
    <w:rsid w:val="00C27D83"/>
    <w:rsid w:val="00C42DE3"/>
    <w:rsid w:val="00C42E58"/>
    <w:rsid w:val="00C443EF"/>
    <w:rsid w:val="00C4624A"/>
    <w:rsid w:val="00C47938"/>
    <w:rsid w:val="00C5088F"/>
    <w:rsid w:val="00C51648"/>
    <w:rsid w:val="00C532EB"/>
    <w:rsid w:val="00C54986"/>
    <w:rsid w:val="00C557D6"/>
    <w:rsid w:val="00C561C1"/>
    <w:rsid w:val="00C56D52"/>
    <w:rsid w:val="00C57F88"/>
    <w:rsid w:val="00C70452"/>
    <w:rsid w:val="00C72F19"/>
    <w:rsid w:val="00C731FD"/>
    <w:rsid w:val="00C740BC"/>
    <w:rsid w:val="00C75FFF"/>
    <w:rsid w:val="00C77C2C"/>
    <w:rsid w:val="00C8155F"/>
    <w:rsid w:val="00C8405D"/>
    <w:rsid w:val="00C8596E"/>
    <w:rsid w:val="00C87990"/>
    <w:rsid w:val="00C96383"/>
    <w:rsid w:val="00CA16B4"/>
    <w:rsid w:val="00CA2AF6"/>
    <w:rsid w:val="00CA4364"/>
    <w:rsid w:val="00CA6D90"/>
    <w:rsid w:val="00CA7B4A"/>
    <w:rsid w:val="00CB2F25"/>
    <w:rsid w:val="00CC16D9"/>
    <w:rsid w:val="00CC3F8D"/>
    <w:rsid w:val="00CC52A8"/>
    <w:rsid w:val="00CC6A15"/>
    <w:rsid w:val="00CC72A5"/>
    <w:rsid w:val="00CD146E"/>
    <w:rsid w:val="00CD2ED1"/>
    <w:rsid w:val="00CD3908"/>
    <w:rsid w:val="00CD4025"/>
    <w:rsid w:val="00CD4031"/>
    <w:rsid w:val="00CD5F6C"/>
    <w:rsid w:val="00CE2887"/>
    <w:rsid w:val="00CF2498"/>
    <w:rsid w:val="00D042E5"/>
    <w:rsid w:val="00D11211"/>
    <w:rsid w:val="00D12C80"/>
    <w:rsid w:val="00D13613"/>
    <w:rsid w:val="00D17E68"/>
    <w:rsid w:val="00D21E6B"/>
    <w:rsid w:val="00D2462F"/>
    <w:rsid w:val="00D24757"/>
    <w:rsid w:val="00D26A54"/>
    <w:rsid w:val="00D354B7"/>
    <w:rsid w:val="00D36922"/>
    <w:rsid w:val="00D44FCA"/>
    <w:rsid w:val="00D50329"/>
    <w:rsid w:val="00D522C0"/>
    <w:rsid w:val="00D52E91"/>
    <w:rsid w:val="00D53FDE"/>
    <w:rsid w:val="00D54AEE"/>
    <w:rsid w:val="00D6259D"/>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732"/>
    <w:rsid w:val="00DB2809"/>
    <w:rsid w:val="00DB4D60"/>
    <w:rsid w:val="00DB684E"/>
    <w:rsid w:val="00DC2DF2"/>
    <w:rsid w:val="00DC516E"/>
    <w:rsid w:val="00DD64B9"/>
    <w:rsid w:val="00DE1ED3"/>
    <w:rsid w:val="00DE2213"/>
    <w:rsid w:val="00DE45F5"/>
    <w:rsid w:val="00DE55CB"/>
    <w:rsid w:val="00DF015E"/>
    <w:rsid w:val="00DF4233"/>
    <w:rsid w:val="00DF4375"/>
    <w:rsid w:val="00E0190B"/>
    <w:rsid w:val="00E05251"/>
    <w:rsid w:val="00E07461"/>
    <w:rsid w:val="00E147E8"/>
    <w:rsid w:val="00E14A9B"/>
    <w:rsid w:val="00E17A65"/>
    <w:rsid w:val="00E20CEF"/>
    <w:rsid w:val="00E220E3"/>
    <w:rsid w:val="00E229C1"/>
    <w:rsid w:val="00E248AE"/>
    <w:rsid w:val="00E25E23"/>
    <w:rsid w:val="00E31823"/>
    <w:rsid w:val="00E3186C"/>
    <w:rsid w:val="00E33205"/>
    <w:rsid w:val="00E41507"/>
    <w:rsid w:val="00E44F78"/>
    <w:rsid w:val="00E45830"/>
    <w:rsid w:val="00E47DBC"/>
    <w:rsid w:val="00E47DF9"/>
    <w:rsid w:val="00E47F59"/>
    <w:rsid w:val="00E53F53"/>
    <w:rsid w:val="00E55236"/>
    <w:rsid w:val="00E5589D"/>
    <w:rsid w:val="00E55FFB"/>
    <w:rsid w:val="00E603B8"/>
    <w:rsid w:val="00E62B7D"/>
    <w:rsid w:val="00E64B16"/>
    <w:rsid w:val="00E6521C"/>
    <w:rsid w:val="00E71432"/>
    <w:rsid w:val="00E72FAA"/>
    <w:rsid w:val="00E742EF"/>
    <w:rsid w:val="00E83743"/>
    <w:rsid w:val="00E837F5"/>
    <w:rsid w:val="00E85160"/>
    <w:rsid w:val="00E90F63"/>
    <w:rsid w:val="00E9381D"/>
    <w:rsid w:val="00E96DA4"/>
    <w:rsid w:val="00E96FA8"/>
    <w:rsid w:val="00EA0F6E"/>
    <w:rsid w:val="00EA13DC"/>
    <w:rsid w:val="00EA431C"/>
    <w:rsid w:val="00EA483D"/>
    <w:rsid w:val="00EA5213"/>
    <w:rsid w:val="00EB1F54"/>
    <w:rsid w:val="00EB4AFD"/>
    <w:rsid w:val="00EB790F"/>
    <w:rsid w:val="00EC2F1A"/>
    <w:rsid w:val="00EC66AC"/>
    <w:rsid w:val="00ED0585"/>
    <w:rsid w:val="00ED24E5"/>
    <w:rsid w:val="00ED4466"/>
    <w:rsid w:val="00ED4806"/>
    <w:rsid w:val="00ED6497"/>
    <w:rsid w:val="00EE2A51"/>
    <w:rsid w:val="00EE3F5A"/>
    <w:rsid w:val="00EE3F87"/>
    <w:rsid w:val="00EF280E"/>
    <w:rsid w:val="00F00BB4"/>
    <w:rsid w:val="00F03B07"/>
    <w:rsid w:val="00F04C98"/>
    <w:rsid w:val="00F0627E"/>
    <w:rsid w:val="00F14E3D"/>
    <w:rsid w:val="00F1537F"/>
    <w:rsid w:val="00F16E26"/>
    <w:rsid w:val="00F176BF"/>
    <w:rsid w:val="00F20B97"/>
    <w:rsid w:val="00F22B61"/>
    <w:rsid w:val="00F22C78"/>
    <w:rsid w:val="00F24965"/>
    <w:rsid w:val="00F2523E"/>
    <w:rsid w:val="00F271DD"/>
    <w:rsid w:val="00F33D5A"/>
    <w:rsid w:val="00F34348"/>
    <w:rsid w:val="00F35B01"/>
    <w:rsid w:val="00F4048B"/>
    <w:rsid w:val="00F42B4E"/>
    <w:rsid w:val="00F42BCC"/>
    <w:rsid w:val="00F43C6B"/>
    <w:rsid w:val="00F44E01"/>
    <w:rsid w:val="00F45526"/>
    <w:rsid w:val="00F4797B"/>
    <w:rsid w:val="00F50DEC"/>
    <w:rsid w:val="00F552DF"/>
    <w:rsid w:val="00F56391"/>
    <w:rsid w:val="00F60F4E"/>
    <w:rsid w:val="00F63B33"/>
    <w:rsid w:val="00F74D83"/>
    <w:rsid w:val="00F75CD2"/>
    <w:rsid w:val="00F8004A"/>
    <w:rsid w:val="00F8110F"/>
    <w:rsid w:val="00F830D4"/>
    <w:rsid w:val="00F83E09"/>
    <w:rsid w:val="00F84151"/>
    <w:rsid w:val="00F86665"/>
    <w:rsid w:val="00F90E4B"/>
    <w:rsid w:val="00F958BA"/>
    <w:rsid w:val="00F97AD7"/>
    <w:rsid w:val="00F97BD8"/>
    <w:rsid w:val="00FA2D8C"/>
    <w:rsid w:val="00FB5639"/>
    <w:rsid w:val="00FB6F1D"/>
    <w:rsid w:val="00FD1DA6"/>
    <w:rsid w:val="00FD484D"/>
    <w:rsid w:val="00FD504F"/>
    <w:rsid w:val="00FE19F4"/>
    <w:rsid w:val="00FE408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5392995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5278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2019-07-17T04:00:00+00:00</Date>
    <Status xmlns="d6eefc7d-9817-4fa6-84d5-3bc009be21b8">Draft</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3E93-6970-43CE-8D04-9EEB0D8A3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B9602-0331-48FF-8DAC-FAAE3F122AB8}">
  <ds:schemaRefs>
    <ds:schemaRef ds:uri="http://schemas.microsoft.com/office/2006/metadata/customXsn"/>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d6eefc7d-9817-4fa6-84d5-3bc009be21b8"/>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4BD3D6A3-B50E-492C-AD7A-C59DB6E2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2019-06-28T18:16:00Z</cp:lastPrinted>
  <dcterms:created xsi:type="dcterms:W3CDTF">2019-07-17T13:45:00Z</dcterms:created>
  <dcterms:modified xsi:type="dcterms:W3CDTF">2019-07-17T13:45:00Z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