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E202" w14:textId="77777777" w:rsidR="009C7F55" w:rsidRPr="00E9060E" w:rsidRDefault="009C7F55" w:rsidP="00BD0F89">
      <w:pPr>
        <w:spacing w:after="0" w:line="240" w:lineRule="auto"/>
        <w:jc w:val="center"/>
        <w:rPr>
          <w:rFonts w:ascii="Times New Roman" w:hAnsi="Times New Roman"/>
          <w:sz w:val="26"/>
          <w:szCs w:val="26"/>
        </w:rPr>
      </w:pPr>
      <w:bookmarkStart w:id="0" w:name="_GoBack"/>
      <w:bookmarkEnd w:id="0"/>
      <w:r w:rsidRPr="00E9060E">
        <w:rPr>
          <w:rFonts w:ascii="Times New Roman" w:hAnsi="Times New Roman"/>
          <w:sz w:val="26"/>
          <w:szCs w:val="26"/>
        </w:rPr>
        <w:t>Supporting Statement</w:t>
      </w:r>
      <w:r w:rsidR="002953E1" w:rsidRPr="00E9060E">
        <w:rPr>
          <w:rFonts w:ascii="Times New Roman" w:hAnsi="Times New Roman"/>
          <w:sz w:val="26"/>
          <w:szCs w:val="26"/>
        </w:rPr>
        <w:t xml:space="preserve"> for</w:t>
      </w:r>
    </w:p>
    <w:p w14:paraId="1D7C334F" w14:textId="77777777" w:rsidR="00935BC9" w:rsidRPr="00E9060E" w:rsidRDefault="00D13613" w:rsidP="00BD0F89">
      <w:pPr>
        <w:spacing w:after="0" w:line="240" w:lineRule="auto"/>
        <w:jc w:val="center"/>
        <w:rPr>
          <w:rFonts w:ascii="Times New Roman" w:hAnsi="Times New Roman"/>
          <w:b/>
          <w:sz w:val="26"/>
          <w:szCs w:val="26"/>
        </w:rPr>
      </w:pPr>
      <w:r w:rsidRPr="00E9060E">
        <w:rPr>
          <w:rFonts w:ascii="Times New Roman" w:hAnsi="Times New Roman"/>
          <w:b/>
          <w:sz w:val="26"/>
          <w:szCs w:val="26"/>
        </w:rPr>
        <w:t xml:space="preserve">Modifications </w:t>
      </w:r>
      <w:r w:rsidR="00DB2809" w:rsidRPr="00E9060E">
        <w:rPr>
          <w:rFonts w:ascii="Times New Roman" w:hAnsi="Times New Roman"/>
          <w:b/>
          <w:sz w:val="26"/>
          <w:szCs w:val="26"/>
        </w:rPr>
        <w:t>to 10 Information Collections</w:t>
      </w:r>
      <w:r w:rsidR="009D3942" w:rsidRPr="00E9060E">
        <w:rPr>
          <w:rFonts w:ascii="Times New Roman" w:hAnsi="Times New Roman"/>
          <w:b/>
          <w:sz w:val="26"/>
          <w:szCs w:val="26"/>
        </w:rPr>
        <w:t>,</w:t>
      </w:r>
      <w:r w:rsidR="00DB2809" w:rsidRPr="00E9060E">
        <w:rPr>
          <w:rFonts w:ascii="Times New Roman" w:hAnsi="Times New Roman"/>
          <w:b/>
          <w:sz w:val="26"/>
          <w:szCs w:val="26"/>
        </w:rPr>
        <w:t xml:space="preserve"> </w:t>
      </w:r>
    </w:p>
    <w:p w14:paraId="3692328E" w14:textId="7687443E" w:rsidR="001263E8" w:rsidRPr="00E9060E" w:rsidRDefault="00A10FBC" w:rsidP="00BD0F89">
      <w:pPr>
        <w:spacing w:after="0" w:line="240" w:lineRule="auto"/>
        <w:jc w:val="center"/>
        <w:rPr>
          <w:rFonts w:ascii="Times New Roman" w:hAnsi="Times New Roman"/>
          <w:b/>
          <w:sz w:val="26"/>
          <w:szCs w:val="26"/>
        </w:rPr>
      </w:pPr>
      <w:r w:rsidRPr="00E9060E">
        <w:rPr>
          <w:rFonts w:ascii="Times New Roman" w:hAnsi="Times New Roman"/>
          <w:b/>
          <w:sz w:val="26"/>
          <w:szCs w:val="26"/>
        </w:rPr>
        <w:t xml:space="preserve">Due to </w:t>
      </w:r>
      <w:r w:rsidR="00935BC9" w:rsidRPr="00E9060E">
        <w:rPr>
          <w:rFonts w:ascii="Times New Roman" w:hAnsi="Times New Roman"/>
          <w:b/>
          <w:sz w:val="26"/>
          <w:szCs w:val="26"/>
        </w:rPr>
        <w:t xml:space="preserve">Final Rule </w:t>
      </w:r>
      <w:r w:rsidR="00D13613" w:rsidRPr="00E9060E">
        <w:rPr>
          <w:rFonts w:ascii="Times New Roman" w:hAnsi="Times New Roman"/>
          <w:b/>
          <w:sz w:val="26"/>
          <w:szCs w:val="26"/>
        </w:rPr>
        <w:t>in Docket No. RM1</w:t>
      </w:r>
      <w:r w:rsidR="00DB2809" w:rsidRPr="00E9060E">
        <w:rPr>
          <w:rFonts w:ascii="Times New Roman" w:hAnsi="Times New Roman"/>
          <w:b/>
          <w:sz w:val="26"/>
          <w:szCs w:val="26"/>
        </w:rPr>
        <w:t>9-</w:t>
      </w:r>
      <w:r w:rsidR="009D3942" w:rsidRPr="00E9060E">
        <w:rPr>
          <w:rFonts w:ascii="Times New Roman" w:hAnsi="Times New Roman"/>
          <w:b/>
          <w:sz w:val="26"/>
          <w:szCs w:val="26"/>
        </w:rPr>
        <w:t>12</w:t>
      </w:r>
    </w:p>
    <w:p w14:paraId="21AA4489" w14:textId="77777777" w:rsidR="009D3942" w:rsidRPr="00E9060E" w:rsidRDefault="009D3942" w:rsidP="00BD0F89">
      <w:pPr>
        <w:spacing w:after="0" w:line="240" w:lineRule="auto"/>
        <w:jc w:val="center"/>
        <w:rPr>
          <w:rFonts w:ascii="Times New Roman" w:hAnsi="Times New Roman"/>
          <w:b/>
          <w:sz w:val="26"/>
          <w:szCs w:val="26"/>
        </w:rPr>
      </w:pPr>
    </w:p>
    <w:p w14:paraId="1C13F22C" w14:textId="77777777" w:rsidR="009D3942" w:rsidRPr="00E9060E" w:rsidRDefault="009D3942" w:rsidP="00BD0F89">
      <w:pPr>
        <w:spacing w:after="0" w:line="240" w:lineRule="auto"/>
        <w:jc w:val="center"/>
        <w:rPr>
          <w:rFonts w:ascii="Times New Roman" w:hAnsi="Times New Roman"/>
          <w:b/>
          <w:sz w:val="26"/>
          <w:szCs w:val="26"/>
        </w:rPr>
      </w:pPr>
    </w:p>
    <w:p w14:paraId="443E3084" w14:textId="17C43A56" w:rsidR="00856707" w:rsidRPr="00E9060E" w:rsidRDefault="009C7F55" w:rsidP="00BD0F89">
      <w:pPr>
        <w:spacing w:after="0" w:line="240" w:lineRule="auto"/>
        <w:rPr>
          <w:rFonts w:ascii="Times New Roman" w:hAnsi="Times New Roman"/>
          <w:sz w:val="26"/>
          <w:szCs w:val="26"/>
        </w:rPr>
      </w:pPr>
      <w:r w:rsidRPr="00E9060E">
        <w:rPr>
          <w:rFonts w:ascii="Times New Roman" w:hAnsi="Times New Roman"/>
          <w:sz w:val="26"/>
          <w:szCs w:val="26"/>
        </w:rPr>
        <w:t>The Federal Energy Regulatory Commission (</w:t>
      </w:r>
      <w:r w:rsidR="00D13613" w:rsidRPr="00E9060E">
        <w:rPr>
          <w:rFonts w:ascii="Times New Roman" w:hAnsi="Times New Roman"/>
          <w:sz w:val="26"/>
          <w:szCs w:val="26"/>
        </w:rPr>
        <w:t xml:space="preserve">Commission or </w:t>
      </w:r>
      <w:r w:rsidRPr="00E9060E">
        <w:rPr>
          <w:rFonts w:ascii="Times New Roman" w:hAnsi="Times New Roman"/>
          <w:sz w:val="26"/>
          <w:szCs w:val="26"/>
        </w:rPr>
        <w:t xml:space="preserve">FERC) requests the Office of </w:t>
      </w:r>
      <w:r w:rsidRPr="001E6691">
        <w:rPr>
          <w:rFonts w:ascii="Times New Roman" w:hAnsi="Times New Roman"/>
          <w:sz w:val="26"/>
          <w:szCs w:val="26"/>
        </w:rPr>
        <w:t>Management and Budget (OMB) approv</w:t>
      </w:r>
      <w:r w:rsidR="00EB790F" w:rsidRPr="001E6691">
        <w:rPr>
          <w:rFonts w:ascii="Times New Roman" w:hAnsi="Times New Roman"/>
          <w:sz w:val="26"/>
          <w:szCs w:val="26"/>
        </w:rPr>
        <w:t>e</w:t>
      </w:r>
      <w:r w:rsidRPr="001E6691">
        <w:rPr>
          <w:rFonts w:ascii="Times New Roman" w:hAnsi="Times New Roman"/>
          <w:sz w:val="26"/>
          <w:szCs w:val="26"/>
        </w:rPr>
        <w:t xml:space="preserve"> </w:t>
      </w:r>
      <w:r w:rsidR="00EB790F" w:rsidRPr="001E6691">
        <w:rPr>
          <w:rFonts w:ascii="Times New Roman" w:hAnsi="Times New Roman"/>
          <w:sz w:val="26"/>
          <w:szCs w:val="26"/>
        </w:rPr>
        <w:t xml:space="preserve">the modifications </w:t>
      </w:r>
      <w:r w:rsidR="00EF6BF6" w:rsidRPr="001E6691">
        <w:rPr>
          <w:rFonts w:ascii="Times New Roman" w:hAnsi="Times New Roman"/>
          <w:sz w:val="26"/>
          <w:szCs w:val="26"/>
        </w:rPr>
        <w:t xml:space="preserve">due to the </w:t>
      </w:r>
      <w:r w:rsidR="00C656D8" w:rsidRPr="001E6691">
        <w:rPr>
          <w:rFonts w:ascii="Times New Roman" w:hAnsi="Times New Roman"/>
          <w:sz w:val="26"/>
          <w:szCs w:val="26"/>
        </w:rPr>
        <w:t>f</w:t>
      </w:r>
      <w:r w:rsidR="00C82243" w:rsidRPr="001E6691">
        <w:rPr>
          <w:rFonts w:ascii="Times New Roman" w:hAnsi="Times New Roman"/>
          <w:sz w:val="26"/>
          <w:szCs w:val="26"/>
        </w:rPr>
        <w:t xml:space="preserve">inal </w:t>
      </w:r>
      <w:r w:rsidR="00C656D8" w:rsidRPr="001E6691">
        <w:rPr>
          <w:rFonts w:ascii="Times New Roman" w:hAnsi="Times New Roman"/>
          <w:sz w:val="26"/>
          <w:szCs w:val="26"/>
        </w:rPr>
        <w:t>r</w:t>
      </w:r>
      <w:r w:rsidR="00C82243" w:rsidRPr="001E6691">
        <w:rPr>
          <w:rFonts w:ascii="Times New Roman" w:hAnsi="Times New Roman"/>
          <w:sz w:val="26"/>
          <w:szCs w:val="26"/>
        </w:rPr>
        <w:t>ule</w:t>
      </w:r>
      <w:r w:rsidR="008F711B" w:rsidRPr="001E6691">
        <w:rPr>
          <w:rFonts w:ascii="Times New Roman" w:hAnsi="Times New Roman"/>
          <w:sz w:val="26"/>
          <w:szCs w:val="26"/>
        </w:rPr>
        <w:t xml:space="preserve"> </w:t>
      </w:r>
      <w:r w:rsidR="002C6711" w:rsidRPr="001E6691">
        <w:rPr>
          <w:rFonts w:ascii="Times New Roman" w:hAnsi="Times New Roman"/>
          <w:sz w:val="26"/>
          <w:szCs w:val="26"/>
        </w:rPr>
        <w:t xml:space="preserve">issued </w:t>
      </w:r>
      <w:r w:rsidR="00C82243" w:rsidRPr="001E6691">
        <w:rPr>
          <w:rFonts w:ascii="Times New Roman" w:hAnsi="Times New Roman"/>
          <w:sz w:val="26"/>
          <w:szCs w:val="26"/>
        </w:rPr>
        <w:t>6</w:t>
      </w:r>
      <w:r w:rsidR="001E6691" w:rsidRPr="001E6691">
        <w:rPr>
          <w:rFonts w:ascii="Times New Roman" w:hAnsi="Times New Roman"/>
          <w:sz w:val="26"/>
          <w:szCs w:val="26"/>
        </w:rPr>
        <w:t>/20/</w:t>
      </w:r>
      <w:r w:rsidR="002C6711" w:rsidRPr="001E6691">
        <w:rPr>
          <w:rFonts w:ascii="Times New Roman" w:hAnsi="Times New Roman"/>
          <w:sz w:val="26"/>
          <w:szCs w:val="26"/>
        </w:rPr>
        <w:t xml:space="preserve">2019 </w:t>
      </w:r>
      <w:r w:rsidR="008F711B" w:rsidRPr="001E6691">
        <w:rPr>
          <w:rFonts w:ascii="Times New Roman" w:hAnsi="Times New Roman"/>
          <w:sz w:val="26"/>
          <w:szCs w:val="26"/>
        </w:rPr>
        <w:t>in</w:t>
      </w:r>
      <w:r w:rsidR="008F711B" w:rsidRPr="00E9060E">
        <w:rPr>
          <w:rFonts w:ascii="Times New Roman" w:hAnsi="Times New Roman"/>
          <w:sz w:val="26"/>
          <w:szCs w:val="26"/>
        </w:rPr>
        <w:t xml:space="preserve"> Docket No. RM19-12</w:t>
      </w:r>
      <w:r w:rsidR="001E6691">
        <w:rPr>
          <w:rFonts w:ascii="Times New Roman" w:hAnsi="Times New Roman"/>
          <w:sz w:val="26"/>
          <w:szCs w:val="26"/>
        </w:rPr>
        <w:t>.</w:t>
      </w:r>
      <w:r w:rsidR="009F1CCD" w:rsidRPr="00E9060E">
        <w:rPr>
          <w:rStyle w:val="FootnoteReference"/>
          <w:rFonts w:ascii="Times New Roman" w:hAnsi="Times New Roman"/>
          <w:sz w:val="26"/>
          <w:szCs w:val="26"/>
          <w:vertAlign w:val="superscript"/>
        </w:rPr>
        <w:footnoteReference w:id="2"/>
      </w:r>
      <w:r w:rsidR="008F711B" w:rsidRPr="00E9060E">
        <w:rPr>
          <w:rFonts w:ascii="Times New Roman" w:hAnsi="Times New Roman"/>
          <w:sz w:val="26"/>
          <w:szCs w:val="26"/>
        </w:rPr>
        <w:t xml:space="preserve">  </w:t>
      </w:r>
    </w:p>
    <w:p w14:paraId="20D80A14" w14:textId="77777777" w:rsidR="00856707" w:rsidRPr="00E9060E" w:rsidRDefault="00856707" w:rsidP="00BD0F89">
      <w:pPr>
        <w:spacing w:after="0" w:line="240" w:lineRule="auto"/>
        <w:rPr>
          <w:rFonts w:ascii="Times New Roman" w:hAnsi="Times New Roman"/>
          <w:sz w:val="26"/>
          <w:szCs w:val="26"/>
        </w:rPr>
      </w:pPr>
    </w:p>
    <w:p w14:paraId="1B0757BE" w14:textId="4EA8FD2B" w:rsidR="00613ECA" w:rsidRPr="00E9060E" w:rsidRDefault="008F711B" w:rsidP="001D0B5C">
      <w:pPr>
        <w:tabs>
          <w:tab w:val="left" w:pos="450"/>
        </w:tabs>
        <w:spacing w:after="0" w:line="240" w:lineRule="auto"/>
        <w:rPr>
          <w:rFonts w:ascii="Times New Roman" w:hAnsi="Times New Roman"/>
          <w:sz w:val="26"/>
          <w:szCs w:val="26"/>
        </w:rPr>
      </w:pPr>
      <w:r w:rsidRPr="00E9060E">
        <w:rPr>
          <w:rFonts w:ascii="Times New Roman" w:hAnsi="Times New Roman"/>
          <w:sz w:val="26"/>
          <w:szCs w:val="26"/>
        </w:rPr>
        <w:t>The</w:t>
      </w:r>
      <w:r w:rsidR="0008302B" w:rsidRPr="00E9060E">
        <w:rPr>
          <w:rFonts w:ascii="Times New Roman" w:hAnsi="Times New Roman"/>
          <w:sz w:val="26"/>
          <w:szCs w:val="26"/>
        </w:rPr>
        <w:t xml:space="preserve"> Revisions to the Filing Process for Commission Forms (</w:t>
      </w:r>
      <w:r w:rsidRPr="00E9060E">
        <w:rPr>
          <w:rFonts w:ascii="Times New Roman" w:hAnsi="Times New Roman"/>
          <w:sz w:val="26"/>
          <w:szCs w:val="26"/>
        </w:rPr>
        <w:t>Forms Refresh</w:t>
      </w:r>
      <w:r w:rsidR="0008302B" w:rsidRPr="00E9060E">
        <w:rPr>
          <w:rFonts w:ascii="Times New Roman" w:hAnsi="Times New Roman"/>
          <w:sz w:val="26"/>
          <w:szCs w:val="26"/>
        </w:rPr>
        <w:t>)</w:t>
      </w:r>
      <w:r w:rsidRPr="00E9060E">
        <w:rPr>
          <w:rFonts w:ascii="Times New Roman" w:hAnsi="Times New Roman"/>
          <w:sz w:val="26"/>
          <w:szCs w:val="26"/>
        </w:rPr>
        <w:t xml:space="preserve"> </w:t>
      </w:r>
      <w:r w:rsidR="00820D63" w:rsidRPr="00E9060E">
        <w:rPr>
          <w:rFonts w:ascii="Times New Roman" w:hAnsi="Times New Roman"/>
          <w:sz w:val="26"/>
          <w:szCs w:val="26"/>
        </w:rPr>
        <w:t xml:space="preserve">as discussed </w:t>
      </w:r>
      <w:r w:rsidR="005D7CC4" w:rsidRPr="00E9060E">
        <w:rPr>
          <w:rFonts w:ascii="Times New Roman" w:hAnsi="Times New Roman"/>
          <w:sz w:val="26"/>
          <w:szCs w:val="26"/>
        </w:rPr>
        <w:t>in th</w:t>
      </w:r>
      <w:r w:rsidR="00820D63" w:rsidRPr="00E9060E">
        <w:rPr>
          <w:rFonts w:ascii="Times New Roman" w:hAnsi="Times New Roman"/>
          <w:sz w:val="26"/>
          <w:szCs w:val="26"/>
        </w:rPr>
        <w:t>e</w:t>
      </w:r>
      <w:r w:rsidR="005D7CC4" w:rsidRPr="00E9060E">
        <w:rPr>
          <w:rFonts w:ascii="Times New Roman" w:hAnsi="Times New Roman"/>
          <w:sz w:val="26"/>
          <w:szCs w:val="26"/>
        </w:rPr>
        <w:t xml:space="preserve"> </w:t>
      </w:r>
      <w:r w:rsidR="00C656D8">
        <w:rPr>
          <w:rFonts w:ascii="Times New Roman" w:hAnsi="Times New Roman"/>
          <w:sz w:val="26"/>
          <w:szCs w:val="26"/>
        </w:rPr>
        <w:t>f</w:t>
      </w:r>
      <w:r w:rsidR="00935BC9" w:rsidRPr="00E9060E">
        <w:rPr>
          <w:rFonts w:ascii="Times New Roman" w:hAnsi="Times New Roman"/>
          <w:sz w:val="26"/>
          <w:szCs w:val="26"/>
        </w:rPr>
        <w:t xml:space="preserve">inal </w:t>
      </w:r>
      <w:r w:rsidR="00C656D8">
        <w:rPr>
          <w:rFonts w:ascii="Times New Roman" w:hAnsi="Times New Roman"/>
          <w:sz w:val="26"/>
          <w:szCs w:val="26"/>
        </w:rPr>
        <w:t>r</w:t>
      </w:r>
      <w:r w:rsidR="00935BC9" w:rsidRPr="00E9060E">
        <w:rPr>
          <w:rFonts w:ascii="Times New Roman" w:hAnsi="Times New Roman"/>
          <w:sz w:val="26"/>
          <w:szCs w:val="26"/>
        </w:rPr>
        <w:t xml:space="preserve">ule </w:t>
      </w:r>
      <w:r w:rsidRPr="00E9060E">
        <w:rPr>
          <w:rFonts w:ascii="Times New Roman" w:hAnsi="Times New Roman"/>
          <w:sz w:val="26"/>
          <w:szCs w:val="26"/>
        </w:rPr>
        <w:t>affect the following 10 information collections</w:t>
      </w:r>
      <w:r w:rsidR="00A962BC" w:rsidRPr="00E9060E">
        <w:rPr>
          <w:rFonts w:ascii="Times New Roman" w:hAnsi="Times New Roman"/>
          <w:sz w:val="26"/>
          <w:szCs w:val="26"/>
        </w:rPr>
        <w:t xml:space="preserve"> (covered by </w:t>
      </w:r>
      <w:r w:rsidR="002B4655" w:rsidRPr="00E9060E">
        <w:rPr>
          <w:rFonts w:ascii="Times New Roman" w:hAnsi="Times New Roman"/>
          <w:sz w:val="26"/>
          <w:szCs w:val="26"/>
        </w:rPr>
        <w:t>nine</w:t>
      </w:r>
      <w:r w:rsidR="00A962BC" w:rsidRPr="00E9060E">
        <w:rPr>
          <w:rFonts w:ascii="Times New Roman" w:hAnsi="Times New Roman"/>
          <w:sz w:val="26"/>
          <w:szCs w:val="26"/>
        </w:rPr>
        <w:t xml:space="preserve"> OMB Control Nos.)</w:t>
      </w:r>
      <w:r w:rsidR="00904961" w:rsidRPr="00E9060E">
        <w:rPr>
          <w:rFonts w:ascii="Times New Roman" w:hAnsi="Times New Roman"/>
          <w:sz w:val="26"/>
          <w:szCs w:val="26"/>
        </w:rPr>
        <w:t>:</w:t>
      </w:r>
    </w:p>
    <w:p w14:paraId="03BDC987" w14:textId="77777777" w:rsidR="00613ECA" w:rsidRPr="00E9060E" w:rsidRDefault="00613ECA" w:rsidP="00BD0F89">
      <w:pPr>
        <w:spacing w:after="0" w:line="240" w:lineRule="auto"/>
        <w:rPr>
          <w:rFonts w:ascii="Times New Roman" w:hAnsi="Times New Roman"/>
          <w:sz w:val="26"/>
          <w:szCs w:val="26"/>
        </w:rPr>
      </w:pPr>
    </w:p>
    <w:p w14:paraId="22E8E7AF" w14:textId="44052E8A" w:rsidR="008F711B"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1 (also called FERC-1) (</w:t>
      </w:r>
      <w:r w:rsidR="008F711B" w:rsidRPr="00E9060E">
        <w:rPr>
          <w:rFonts w:ascii="Times New Roman" w:hAnsi="Times New Roman"/>
          <w:sz w:val="26"/>
          <w:szCs w:val="26"/>
        </w:rPr>
        <w:t>Annual Report of Major Electric Utilities, Licensees and Others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w:t>
      </w:r>
      <w:r w:rsidR="008F711B" w:rsidRPr="00E9060E">
        <w:rPr>
          <w:rFonts w:ascii="Times New Roman" w:hAnsi="Times New Roman"/>
          <w:sz w:val="26"/>
          <w:szCs w:val="26"/>
        </w:rPr>
        <w:t>21</w:t>
      </w:r>
      <w:r w:rsidRPr="00E9060E">
        <w:rPr>
          <w:rFonts w:ascii="Times New Roman" w:hAnsi="Times New Roman"/>
          <w:sz w:val="26"/>
          <w:szCs w:val="26"/>
        </w:rPr>
        <w:t>)</w:t>
      </w:r>
    </w:p>
    <w:p w14:paraId="5C0CDB6C" w14:textId="5EAC2269" w:rsidR="00532CEA"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1</w:t>
      </w:r>
      <w:r w:rsidR="00AC3A31" w:rsidRPr="00E9060E">
        <w:rPr>
          <w:rFonts w:ascii="Times New Roman" w:hAnsi="Times New Roman"/>
          <w:sz w:val="26"/>
          <w:szCs w:val="26"/>
        </w:rPr>
        <w:t>-</w:t>
      </w:r>
      <w:r w:rsidRPr="00E9060E">
        <w:rPr>
          <w:rFonts w:ascii="Times New Roman" w:hAnsi="Times New Roman"/>
          <w:sz w:val="26"/>
          <w:szCs w:val="26"/>
        </w:rPr>
        <w:t>F (also called FERC-</w:t>
      </w:r>
      <w:r w:rsidR="00AC3A31" w:rsidRPr="00E9060E">
        <w:rPr>
          <w:rFonts w:ascii="Times New Roman" w:hAnsi="Times New Roman"/>
          <w:sz w:val="26"/>
          <w:szCs w:val="26"/>
        </w:rPr>
        <w:t>1-F</w:t>
      </w:r>
      <w:r w:rsidRPr="00E9060E">
        <w:rPr>
          <w:rFonts w:ascii="Times New Roman" w:hAnsi="Times New Roman"/>
          <w:sz w:val="26"/>
          <w:szCs w:val="26"/>
        </w:rPr>
        <w:t>) (Annual Report for Nonmajor Public Utilities and Licensees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1902-0029)</w:t>
      </w:r>
    </w:p>
    <w:p w14:paraId="744A9692" w14:textId="7FF52E28" w:rsidR="00A962BC" w:rsidRPr="00E9060E" w:rsidRDefault="00A962BC"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2 (also called FERC-2) (</w:t>
      </w:r>
      <w:r w:rsidR="00E9060E">
        <w:rPr>
          <w:rFonts w:ascii="Times New Roman" w:hAnsi="Times New Roman"/>
          <w:sz w:val="26"/>
          <w:szCs w:val="26"/>
        </w:rPr>
        <w:t xml:space="preserve">Annual Report for </w:t>
      </w:r>
      <w:r w:rsidRPr="00E9060E">
        <w:rPr>
          <w:rFonts w:ascii="Times New Roman" w:hAnsi="Times New Roman"/>
          <w:sz w:val="26"/>
          <w:szCs w:val="26"/>
        </w:rPr>
        <w:t xml:space="preserve">Major Natural Gas </w:t>
      </w:r>
      <w:r w:rsidR="00E9060E">
        <w:rPr>
          <w:rFonts w:ascii="Times New Roman" w:hAnsi="Times New Roman"/>
          <w:sz w:val="26"/>
          <w:szCs w:val="26"/>
        </w:rPr>
        <w:t>Companies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1902-0028)</w:t>
      </w:r>
    </w:p>
    <w:p w14:paraId="6C7F6529" w14:textId="0ECD26F6" w:rsidR="00532CEA"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2</w:t>
      </w:r>
      <w:r w:rsidR="00AC3A31" w:rsidRPr="00E9060E">
        <w:rPr>
          <w:rFonts w:ascii="Times New Roman" w:hAnsi="Times New Roman"/>
          <w:sz w:val="26"/>
          <w:szCs w:val="26"/>
        </w:rPr>
        <w:t>-</w:t>
      </w:r>
      <w:r w:rsidRPr="00E9060E">
        <w:rPr>
          <w:rFonts w:ascii="Times New Roman" w:hAnsi="Times New Roman"/>
          <w:sz w:val="26"/>
          <w:szCs w:val="26"/>
        </w:rPr>
        <w:t>A (also called FERC-</w:t>
      </w:r>
      <w:r w:rsidR="00AC3A31" w:rsidRPr="00E9060E">
        <w:rPr>
          <w:rFonts w:ascii="Times New Roman" w:hAnsi="Times New Roman"/>
          <w:sz w:val="26"/>
          <w:szCs w:val="26"/>
        </w:rPr>
        <w:t>2-A</w:t>
      </w:r>
      <w:r w:rsidR="00A962BC" w:rsidRPr="00E9060E">
        <w:rPr>
          <w:rFonts w:ascii="Times New Roman" w:hAnsi="Times New Roman"/>
          <w:sz w:val="26"/>
          <w:szCs w:val="26"/>
        </w:rPr>
        <w:t>)</w:t>
      </w:r>
      <w:r w:rsidRPr="00E9060E">
        <w:rPr>
          <w:rFonts w:ascii="Times New Roman" w:hAnsi="Times New Roman"/>
          <w:sz w:val="26"/>
          <w:szCs w:val="26"/>
        </w:rPr>
        <w:t xml:space="preserve"> (</w:t>
      </w:r>
      <w:r w:rsidR="00E9060E">
        <w:rPr>
          <w:rFonts w:ascii="Times New Roman" w:hAnsi="Times New Roman"/>
          <w:sz w:val="26"/>
          <w:szCs w:val="26"/>
        </w:rPr>
        <w:t xml:space="preserve">Annual Report for </w:t>
      </w:r>
      <w:r w:rsidRPr="00E9060E">
        <w:rPr>
          <w:rFonts w:ascii="Times New Roman" w:hAnsi="Times New Roman"/>
          <w:sz w:val="26"/>
          <w:szCs w:val="26"/>
        </w:rPr>
        <w:t xml:space="preserve">Non- Major Natural Gas </w:t>
      </w:r>
      <w:r w:rsidR="00E9060E">
        <w:rPr>
          <w:rFonts w:ascii="Times New Roman" w:hAnsi="Times New Roman"/>
          <w:sz w:val="26"/>
          <w:szCs w:val="26"/>
        </w:rPr>
        <w:t>Companies</w:t>
      </w:r>
      <w:r w:rsidR="00DE1ED3" w:rsidRPr="00E9060E">
        <w:rPr>
          <w:rFonts w:ascii="Times New Roman" w:hAnsi="Times New Roman"/>
          <w:sz w:val="26"/>
          <w:szCs w:val="26"/>
        </w:rPr>
        <w:t>;</w:t>
      </w:r>
      <w:r w:rsidR="00A962BC" w:rsidRPr="00E9060E">
        <w:rPr>
          <w:rFonts w:ascii="Times New Roman" w:hAnsi="Times New Roman"/>
          <w:sz w:val="26"/>
          <w:szCs w:val="26"/>
        </w:rPr>
        <w:t xml:space="preserve"> OMB Control No. 1902-00</w:t>
      </w:r>
      <w:r w:rsidRPr="00E9060E">
        <w:rPr>
          <w:rFonts w:ascii="Times New Roman" w:hAnsi="Times New Roman"/>
          <w:sz w:val="26"/>
          <w:szCs w:val="26"/>
        </w:rPr>
        <w:t>30</w:t>
      </w:r>
    </w:p>
    <w:p w14:paraId="6E58B520" w14:textId="4E09ECB0" w:rsidR="003E74C9" w:rsidRPr="00E9060E" w:rsidRDefault="003E74C9" w:rsidP="003E74C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3-Q (also called FERC-3Q, Quarterly Financial Report</w:t>
      </w:r>
      <w:r w:rsidR="00E9060E">
        <w:rPr>
          <w:rFonts w:ascii="Times New Roman" w:hAnsi="Times New Roman"/>
          <w:sz w:val="26"/>
          <w:szCs w:val="26"/>
        </w:rPr>
        <w:t xml:space="preserve"> of </w:t>
      </w:r>
      <w:r w:rsidRPr="00E9060E">
        <w:rPr>
          <w:rFonts w:ascii="Times New Roman" w:hAnsi="Times New Roman"/>
          <w:sz w:val="26"/>
          <w:szCs w:val="26"/>
        </w:rPr>
        <w:t xml:space="preserve">Electric </w:t>
      </w:r>
      <w:r w:rsidR="00E9060E">
        <w:rPr>
          <w:rFonts w:ascii="Times New Roman" w:hAnsi="Times New Roman"/>
          <w:sz w:val="26"/>
          <w:szCs w:val="26"/>
        </w:rPr>
        <w:t xml:space="preserve">Utilities, Licensees, </w:t>
      </w:r>
      <w:r w:rsidRPr="00E9060E">
        <w:rPr>
          <w:rFonts w:ascii="Times New Roman" w:hAnsi="Times New Roman"/>
          <w:sz w:val="26"/>
          <w:szCs w:val="26"/>
        </w:rPr>
        <w:t xml:space="preserve">and </w:t>
      </w:r>
      <w:r w:rsidR="00E9060E">
        <w:rPr>
          <w:rFonts w:ascii="Times New Roman" w:hAnsi="Times New Roman"/>
          <w:sz w:val="26"/>
          <w:szCs w:val="26"/>
        </w:rPr>
        <w:t xml:space="preserve">Natural </w:t>
      </w:r>
      <w:r w:rsidRPr="00E9060E">
        <w:rPr>
          <w:rFonts w:ascii="Times New Roman" w:hAnsi="Times New Roman"/>
          <w:sz w:val="26"/>
          <w:szCs w:val="26"/>
        </w:rPr>
        <w:t>Gas</w:t>
      </w:r>
      <w:r w:rsidR="00E9060E">
        <w:rPr>
          <w:rFonts w:ascii="Times New Roman" w:hAnsi="Times New Roman"/>
          <w:sz w:val="26"/>
          <w:szCs w:val="26"/>
        </w:rPr>
        <w:t xml:space="preserve"> Companies</w:t>
      </w:r>
      <w:r w:rsidRPr="00E9060E">
        <w:rPr>
          <w:rFonts w:ascii="Times New Roman" w:hAnsi="Times New Roman"/>
          <w:sz w:val="26"/>
          <w:szCs w:val="26"/>
        </w:rPr>
        <w:t>; OMB Control No. 1902-0205)</w:t>
      </w:r>
    </w:p>
    <w:p w14:paraId="5C2987BB" w14:textId="015F79F6" w:rsidR="003E74C9" w:rsidRPr="00E9060E" w:rsidRDefault="009E2F41" w:rsidP="003E74C9">
      <w:pPr>
        <w:pStyle w:val="ListParagraph"/>
        <w:numPr>
          <w:ilvl w:val="1"/>
          <w:numId w:val="18"/>
        </w:numPr>
        <w:spacing w:line="240" w:lineRule="auto"/>
        <w:rPr>
          <w:rFonts w:ascii="Times New Roman" w:hAnsi="Times New Roman"/>
          <w:sz w:val="26"/>
          <w:szCs w:val="26"/>
        </w:rPr>
      </w:pPr>
      <w:r>
        <w:rPr>
          <w:rFonts w:ascii="Times New Roman" w:hAnsi="Times New Roman"/>
          <w:sz w:val="26"/>
          <w:szCs w:val="26"/>
        </w:rPr>
        <w:t xml:space="preserve">FERC </w:t>
      </w:r>
      <w:r w:rsidR="003E74C9" w:rsidRPr="00E9060E">
        <w:rPr>
          <w:rFonts w:ascii="Times New Roman" w:hAnsi="Times New Roman"/>
          <w:sz w:val="26"/>
          <w:szCs w:val="26"/>
        </w:rPr>
        <w:t xml:space="preserve">Form </w:t>
      </w:r>
      <w:r w:rsidR="0008302B" w:rsidRPr="00E9060E">
        <w:rPr>
          <w:rFonts w:ascii="Times New Roman" w:hAnsi="Times New Roman"/>
          <w:sz w:val="26"/>
          <w:szCs w:val="26"/>
        </w:rPr>
        <w:t xml:space="preserve">No. </w:t>
      </w:r>
      <w:r w:rsidR="003E74C9" w:rsidRPr="00E9060E">
        <w:rPr>
          <w:rFonts w:ascii="Times New Roman" w:hAnsi="Times New Roman"/>
          <w:sz w:val="26"/>
          <w:szCs w:val="26"/>
        </w:rPr>
        <w:t>3-Q for natural gas entities</w:t>
      </w:r>
    </w:p>
    <w:p w14:paraId="4048FB8F" w14:textId="385DCBF2" w:rsidR="003E74C9" w:rsidRPr="00E9060E" w:rsidRDefault="009E2F41" w:rsidP="003E74C9">
      <w:pPr>
        <w:pStyle w:val="ListParagraph"/>
        <w:numPr>
          <w:ilvl w:val="1"/>
          <w:numId w:val="18"/>
        </w:numPr>
        <w:spacing w:line="240" w:lineRule="auto"/>
        <w:rPr>
          <w:rFonts w:ascii="Times New Roman" w:hAnsi="Times New Roman"/>
          <w:sz w:val="26"/>
          <w:szCs w:val="26"/>
        </w:rPr>
      </w:pPr>
      <w:r>
        <w:rPr>
          <w:rFonts w:ascii="Times New Roman" w:hAnsi="Times New Roman"/>
          <w:sz w:val="26"/>
          <w:szCs w:val="26"/>
        </w:rPr>
        <w:t xml:space="preserve">FERC </w:t>
      </w:r>
      <w:r w:rsidR="003E74C9" w:rsidRPr="00E9060E">
        <w:rPr>
          <w:rFonts w:ascii="Times New Roman" w:hAnsi="Times New Roman"/>
          <w:sz w:val="26"/>
          <w:szCs w:val="26"/>
        </w:rPr>
        <w:t xml:space="preserve">Form </w:t>
      </w:r>
      <w:r w:rsidR="0008302B" w:rsidRPr="00E9060E">
        <w:rPr>
          <w:rFonts w:ascii="Times New Roman" w:hAnsi="Times New Roman"/>
          <w:sz w:val="26"/>
          <w:szCs w:val="26"/>
        </w:rPr>
        <w:t xml:space="preserve">No. </w:t>
      </w:r>
      <w:r w:rsidR="003E74C9" w:rsidRPr="00E9060E">
        <w:rPr>
          <w:rFonts w:ascii="Times New Roman" w:hAnsi="Times New Roman"/>
          <w:sz w:val="26"/>
          <w:szCs w:val="26"/>
        </w:rPr>
        <w:t>3-Q for electric entities</w:t>
      </w:r>
    </w:p>
    <w:p w14:paraId="4AE762A2" w14:textId="77777777" w:rsidR="00532CEA" w:rsidRPr="00E9060E" w:rsidRDefault="00A962BC"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C54986" w:rsidRPr="00E9060E">
        <w:rPr>
          <w:rFonts w:ascii="Times New Roman" w:hAnsi="Times New Roman"/>
          <w:sz w:val="26"/>
          <w:szCs w:val="26"/>
        </w:rPr>
        <w:t xml:space="preserve">No. </w:t>
      </w:r>
      <w:r w:rsidR="008F711B" w:rsidRPr="00E9060E">
        <w:rPr>
          <w:rFonts w:ascii="Times New Roman" w:hAnsi="Times New Roman"/>
          <w:sz w:val="26"/>
          <w:szCs w:val="26"/>
        </w:rPr>
        <w:t>6</w:t>
      </w:r>
      <w:r w:rsidR="00C54986" w:rsidRPr="00E9060E">
        <w:rPr>
          <w:rFonts w:ascii="Times New Roman" w:hAnsi="Times New Roman"/>
          <w:sz w:val="26"/>
          <w:szCs w:val="26"/>
        </w:rPr>
        <w:t xml:space="preserve"> </w:t>
      </w:r>
      <w:r w:rsidRPr="00E9060E">
        <w:rPr>
          <w:rFonts w:ascii="Times New Roman" w:hAnsi="Times New Roman"/>
          <w:sz w:val="26"/>
          <w:szCs w:val="26"/>
        </w:rPr>
        <w:t>(also called FERC-6) (</w:t>
      </w:r>
      <w:r w:rsidR="008F711B" w:rsidRPr="00E9060E">
        <w:rPr>
          <w:rFonts w:ascii="Times New Roman" w:hAnsi="Times New Roman"/>
          <w:sz w:val="26"/>
          <w:szCs w:val="26"/>
        </w:rPr>
        <w:t>Annual Report of Oil Pipeline Companies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w:t>
      </w:r>
      <w:r w:rsidR="008F711B" w:rsidRPr="00E9060E">
        <w:rPr>
          <w:rFonts w:ascii="Times New Roman" w:hAnsi="Times New Roman"/>
          <w:sz w:val="26"/>
          <w:szCs w:val="26"/>
        </w:rPr>
        <w:t>22</w:t>
      </w:r>
      <w:r w:rsidRPr="00E9060E">
        <w:rPr>
          <w:rFonts w:ascii="Times New Roman" w:hAnsi="Times New Roman"/>
          <w:sz w:val="26"/>
          <w:szCs w:val="26"/>
        </w:rPr>
        <w:t>)</w:t>
      </w:r>
    </w:p>
    <w:p w14:paraId="29BFB7D8" w14:textId="7D774B3F" w:rsidR="00594E71" w:rsidRPr="00E9060E" w:rsidRDefault="00A962BC" w:rsidP="00BD0F89">
      <w:pPr>
        <w:pStyle w:val="ListParagraph"/>
        <w:numPr>
          <w:ilvl w:val="0"/>
          <w:numId w:val="18"/>
        </w:numPr>
        <w:spacing w:line="240" w:lineRule="auto"/>
        <w:rPr>
          <w:rFonts w:ascii="Times New Roman" w:hAnsi="Times New Roman"/>
          <w:i/>
          <w:sz w:val="26"/>
          <w:szCs w:val="26"/>
        </w:rPr>
      </w:pPr>
      <w:r w:rsidRPr="00E9060E">
        <w:rPr>
          <w:rFonts w:ascii="Times New Roman" w:hAnsi="Times New Roman"/>
          <w:sz w:val="26"/>
          <w:szCs w:val="26"/>
        </w:rPr>
        <w:t xml:space="preserve">FERC Form </w:t>
      </w:r>
      <w:r w:rsidR="00C54986" w:rsidRPr="00E9060E">
        <w:rPr>
          <w:rFonts w:ascii="Times New Roman" w:hAnsi="Times New Roman"/>
          <w:sz w:val="26"/>
          <w:szCs w:val="26"/>
        </w:rPr>
        <w:t xml:space="preserve">No. </w:t>
      </w:r>
      <w:r w:rsidRPr="00E9060E">
        <w:rPr>
          <w:rFonts w:ascii="Times New Roman" w:hAnsi="Times New Roman"/>
          <w:sz w:val="26"/>
          <w:szCs w:val="26"/>
        </w:rPr>
        <w:t>6</w:t>
      </w:r>
      <w:r w:rsidR="00AC3A31" w:rsidRPr="00E9060E">
        <w:rPr>
          <w:rFonts w:ascii="Times New Roman" w:hAnsi="Times New Roman"/>
          <w:sz w:val="26"/>
          <w:szCs w:val="26"/>
        </w:rPr>
        <w:t>-</w:t>
      </w:r>
      <w:r w:rsidRPr="00E9060E">
        <w:rPr>
          <w:rFonts w:ascii="Times New Roman" w:hAnsi="Times New Roman"/>
          <w:sz w:val="26"/>
          <w:szCs w:val="26"/>
        </w:rPr>
        <w:t xml:space="preserve">Q (also called </w:t>
      </w:r>
      <w:r w:rsidR="00532CEA" w:rsidRPr="00E9060E">
        <w:rPr>
          <w:rFonts w:ascii="Times New Roman" w:hAnsi="Times New Roman"/>
          <w:sz w:val="26"/>
          <w:szCs w:val="26"/>
        </w:rPr>
        <w:t>FERC-</w:t>
      </w:r>
      <w:r w:rsidR="00AC3A31" w:rsidRPr="00E9060E">
        <w:rPr>
          <w:rFonts w:ascii="Times New Roman" w:hAnsi="Times New Roman"/>
          <w:sz w:val="26"/>
          <w:szCs w:val="26"/>
        </w:rPr>
        <w:t>6-Q</w:t>
      </w:r>
      <w:r w:rsidRPr="00E9060E">
        <w:rPr>
          <w:rFonts w:ascii="Times New Roman" w:hAnsi="Times New Roman"/>
          <w:sz w:val="26"/>
          <w:szCs w:val="26"/>
        </w:rPr>
        <w:t>)</w:t>
      </w:r>
      <w:r w:rsidR="00532CEA" w:rsidRPr="00E9060E">
        <w:rPr>
          <w:rFonts w:ascii="Times New Roman" w:hAnsi="Times New Roman"/>
          <w:sz w:val="26"/>
          <w:szCs w:val="26"/>
        </w:rPr>
        <w:t xml:space="preserve"> (Quarterly Report of Oil Pipeline Companies</w:t>
      </w:r>
      <w:r w:rsidR="00DE1ED3" w:rsidRPr="00E9060E">
        <w:rPr>
          <w:rFonts w:ascii="Times New Roman" w:hAnsi="Times New Roman"/>
          <w:sz w:val="26"/>
          <w:szCs w:val="26"/>
        </w:rPr>
        <w:t>;</w:t>
      </w:r>
      <w:r w:rsidR="00532CEA" w:rsidRPr="00E9060E">
        <w:rPr>
          <w:rFonts w:ascii="Times New Roman" w:hAnsi="Times New Roman"/>
          <w:sz w:val="26"/>
          <w:szCs w:val="26"/>
        </w:rPr>
        <w:t xml:space="preserve"> OMB Control No. 1902-</w:t>
      </w:r>
      <w:r w:rsidR="002F405E" w:rsidRPr="00E9060E">
        <w:rPr>
          <w:rFonts w:ascii="Times New Roman" w:hAnsi="Times New Roman"/>
          <w:sz w:val="26"/>
          <w:szCs w:val="26"/>
        </w:rPr>
        <w:t>0</w:t>
      </w:r>
      <w:r w:rsidR="00532CEA" w:rsidRPr="00E9060E">
        <w:rPr>
          <w:rFonts w:ascii="Times New Roman" w:hAnsi="Times New Roman"/>
          <w:sz w:val="26"/>
          <w:szCs w:val="26"/>
        </w:rPr>
        <w:t>206)</w:t>
      </w:r>
    </w:p>
    <w:p w14:paraId="3AFCAEE3" w14:textId="3AD18264" w:rsidR="009658D5" w:rsidRPr="00E9060E" w:rsidRDefault="009658D5" w:rsidP="00CB3C50">
      <w:pPr>
        <w:pStyle w:val="ListParagraph"/>
        <w:numPr>
          <w:ilvl w:val="0"/>
          <w:numId w:val="18"/>
        </w:numPr>
        <w:spacing w:line="240" w:lineRule="auto"/>
        <w:rPr>
          <w:rFonts w:ascii="Times New Roman" w:hAnsi="Times New Roman"/>
          <w:i/>
          <w:sz w:val="26"/>
          <w:szCs w:val="26"/>
        </w:rPr>
      </w:pPr>
      <w:r w:rsidRPr="00E9060E">
        <w:rPr>
          <w:rFonts w:ascii="Times New Roman" w:hAnsi="Times New Roman"/>
          <w:sz w:val="26"/>
          <w:szCs w:val="26"/>
        </w:rPr>
        <w:t>FERC Form No. 60 (also called FERC-60) (Annual Report</w:t>
      </w:r>
      <w:r w:rsidR="00E9060E">
        <w:rPr>
          <w:rFonts w:ascii="Times New Roman" w:hAnsi="Times New Roman"/>
          <w:sz w:val="26"/>
          <w:szCs w:val="26"/>
        </w:rPr>
        <w:t>s</w:t>
      </w:r>
      <w:r w:rsidRPr="00E9060E">
        <w:rPr>
          <w:rFonts w:ascii="Times New Roman" w:hAnsi="Times New Roman"/>
          <w:sz w:val="26"/>
          <w:szCs w:val="26"/>
        </w:rPr>
        <w:t xml:space="preserve"> of Centralized Service Cos.), OMB Control No. 1902-0215</w:t>
      </w:r>
      <w:r w:rsidRPr="00E9060E">
        <w:rPr>
          <w:rFonts w:ascii="Times New Roman" w:hAnsi="Times New Roman"/>
          <w:i/>
          <w:sz w:val="26"/>
          <w:szCs w:val="26"/>
        </w:rPr>
        <w:t>)</w:t>
      </w:r>
      <w:r w:rsidR="00484DC2" w:rsidRPr="00E9060E">
        <w:rPr>
          <w:rFonts w:ascii="Times New Roman" w:hAnsi="Times New Roman"/>
          <w:i/>
          <w:sz w:val="26"/>
          <w:szCs w:val="26"/>
          <w:vertAlign w:val="superscript"/>
        </w:rPr>
        <w:t>,</w:t>
      </w:r>
      <w:r w:rsidRPr="00E9060E">
        <w:rPr>
          <w:rStyle w:val="FootnoteReference"/>
          <w:rFonts w:ascii="Times New Roman" w:hAnsi="Times New Roman"/>
          <w:i/>
          <w:sz w:val="26"/>
          <w:szCs w:val="26"/>
          <w:vertAlign w:val="superscript"/>
        </w:rPr>
        <w:footnoteReference w:id="3"/>
      </w:r>
      <w:r w:rsidR="002C3ADD" w:rsidRPr="00E9060E" w:rsidDel="002C3ADD">
        <w:rPr>
          <w:rStyle w:val="FootnoteReference"/>
          <w:rFonts w:ascii="Times New Roman" w:hAnsi="Times New Roman"/>
          <w:i/>
          <w:sz w:val="26"/>
          <w:szCs w:val="26"/>
          <w:vertAlign w:val="superscript"/>
        </w:rPr>
        <w:t xml:space="preserve"> </w:t>
      </w:r>
    </w:p>
    <w:p w14:paraId="0ACE1701" w14:textId="5A90C2CE" w:rsidR="00532CEA" w:rsidRPr="00E9060E" w:rsidRDefault="00532CEA" w:rsidP="00CB3C50">
      <w:pPr>
        <w:pStyle w:val="ListParagraph"/>
        <w:numPr>
          <w:ilvl w:val="0"/>
          <w:numId w:val="18"/>
        </w:numPr>
        <w:spacing w:line="240" w:lineRule="auto"/>
        <w:rPr>
          <w:rFonts w:ascii="Times New Roman" w:hAnsi="Times New Roman"/>
          <w:i/>
          <w:strike/>
          <w:sz w:val="26"/>
          <w:szCs w:val="26"/>
        </w:rPr>
      </w:pPr>
      <w:r w:rsidRPr="00E9060E">
        <w:rPr>
          <w:rFonts w:ascii="Times New Roman" w:hAnsi="Times New Roman"/>
          <w:sz w:val="26"/>
          <w:szCs w:val="26"/>
        </w:rPr>
        <w:lastRenderedPageBreak/>
        <w:t>FERC</w:t>
      </w:r>
      <w:r w:rsidR="00C54986" w:rsidRPr="00E9060E">
        <w:rPr>
          <w:rFonts w:ascii="Times New Roman" w:hAnsi="Times New Roman"/>
          <w:sz w:val="26"/>
          <w:szCs w:val="26"/>
        </w:rPr>
        <w:t xml:space="preserve"> Form No. </w:t>
      </w:r>
      <w:r w:rsidRPr="00E9060E">
        <w:rPr>
          <w:rFonts w:ascii="Times New Roman" w:hAnsi="Times New Roman"/>
          <w:sz w:val="26"/>
          <w:szCs w:val="26"/>
        </w:rPr>
        <w:t xml:space="preserve">714 </w:t>
      </w:r>
      <w:r w:rsidR="002B4655" w:rsidRPr="00E9060E">
        <w:rPr>
          <w:rFonts w:ascii="Times New Roman" w:hAnsi="Times New Roman"/>
          <w:sz w:val="26"/>
          <w:szCs w:val="26"/>
        </w:rPr>
        <w:t xml:space="preserve">(also called FERC-714) </w:t>
      </w:r>
      <w:r w:rsidRPr="00E9060E">
        <w:rPr>
          <w:rFonts w:ascii="Times New Roman" w:hAnsi="Times New Roman"/>
          <w:sz w:val="26"/>
          <w:szCs w:val="26"/>
        </w:rPr>
        <w:t>(Annual Electric Balancing Authority Area and Planning Area Report</w:t>
      </w:r>
      <w:r w:rsidR="00DE1ED3" w:rsidRPr="00E9060E">
        <w:rPr>
          <w:rFonts w:ascii="Times New Roman" w:hAnsi="Times New Roman"/>
          <w:sz w:val="26"/>
          <w:szCs w:val="26"/>
        </w:rPr>
        <w:t>;</w:t>
      </w:r>
      <w:r w:rsidRPr="00E9060E">
        <w:rPr>
          <w:rFonts w:ascii="Times New Roman" w:hAnsi="Times New Roman"/>
          <w:sz w:val="26"/>
          <w:szCs w:val="26"/>
        </w:rPr>
        <w:t xml:space="preserve"> OMB Control No.</w:t>
      </w:r>
      <w:r w:rsidR="00673209" w:rsidRPr="00E9060E">
        <w:rPr>
          <w:rFonts w:ascii="Times New Roman" w:hAnsi="Times New Roman"/>
          <w:sz w:val="26"/>
          <w:szCs w:val="26"/>
        </w:rPr>
        <w:t xml:space="preserve"> 1902-0140</w:t>
      </w:r>
      <w:r w:rsidR="002C3ADD" w:rsidRPr="00E9060E">
        <w:rPr>
          <w:rFonts w:ascii="Times New Roman" w:hAnsi="Times New Roman"/>
          <w:sz w:val="26"/>
          <w:szCs w:val="26"/>
        </w:rPr>
        <w:t>).</w:t>
      </w:r>
      <w:r w:rsidR="00673209" w:rsidRPr="00E9060E">
        <w:rPr>
          <w:rFonts w:ascii="Times New Roman" w:hAnsi="Times New Roman"/>
          <w:i/>
          <w:strike/>
          <w:sz w:val="26"/>
          <w:szCs w:val="26"/>
          <w:vertAlign w:val="superscript"/>
        </w:rPr>
        <w:t xml:space="preserve"> </w:t>
      </w:r>
    </w:p>
    <w:p w14:paraId="56631C3E" w14:textId="77777777" w:rsidR="00A05351" w:rsidRPr="00E9060E" w:rsidRDefault="00A05351" w:rsidP="00BD0F89">
      <w:pPr>
        <w:pStyle w:val="ListParagraph"/>
        <w:spacing w:line="240" w:lineRule="auto"/>
        <w:ind w:left="0"/>
        <w:rPr>
          <w:rFonts w:ascii="Times New Roman" w:hAnsi="Times New Roman"/>
          <w:sz w:val="26"/>
          <w:szCs w:val="26"/>
        </w:rPr>
      </w:pPr>
    </w:p>
    <w:p w14:paraId="1CAB4E41" w14:textId="2FE3D6C5" w:rsidR="00185D62" w:rsidRPr="00E9060E" w:rsidRDefault="00A05351" w:rsidP="00BD0F89">
      <w:pPr>
        <w:pStyle w:val="ListParagraph"/>
        <w:spacing w:line="240" w:lineRule="auto"/>
        <w:ind w:left="0"/>
        <w:rPr>
          <w:rFonts w:ascii="Times New Roman" w:hAnsi="Times New Roman"/>
          <w:sz w:val="26"/>
          <w:szCs w:val="26"/>
        </w:rPr>
      </w:pPr>
      <w:r w:rsidRPr="00E9060E">
        <w:rPr>
          <w:rFonts w:ascii="Times New Roman" w:hAnsi="Times New Roman"/>
          <w:sz w:val="26"/>
          <w:szCs w:val="26"/>
        </w:rPr>
        <w:t>When the 10 information collections are being discussed as a group, we will refer to the</w:t>
      </w:r>
      <w:r>
        <w:rPr>
          <w:rFonts w:ascii="Times New Roman" w:hAnsi="Times New Roman"/>
          <w:sz w:val="26"/>
          <w:szCs w:val="26"/>
        </w:rPr>
        <w:t xml:space="preserve"> </w:t>
      </w:r>
      <w:r w:rsidR="00F37C40">
        <w:rPr>
          <w:rFonts w:ascii="Times New Roman" w:hAnsi="Times New Roman"/>
          <w:sz w:val="26"/>
          <w:szCs w:val="26"/>
        </w:rPr>
        <w:t>collections</w:t>
      </w:r>
      <w:r w:rsidRPr="00E9060E">
        <w:rPr>
          <w:rFonts w:ascii="Times New Roman" w:hAnsi="Times New Roman"/>
          <w:sz w:val="26"/>
          <w:szCs w:val="26"/>
        </w:rPr>
        <w:t xml:space="preserve"> as the </w:t>
      </w:r>
      <w:r w:rsidR="00B80607">
        <w:rPr>
          <w:rFonts w:ascii="Times New Roman" w:hAnsi="Times New Roman"/>
          <w:sz w:val="26"/>
          <w:szCs w:val="26"/>
        </w:rPr>
        <w:t>“</w:t>
      </w:r>
      <w:r w:rsidRPr="00E9060E">
        <w:rPr>
          <w:rFonts w:ascii="Times New Roman" w:hAnsi="Times New Roman"/>
          <w:sz w:val="26"/>
          <w:szCs w:val="26"/>
        </w:rPr>
        <w:t>VFP Forms.</w:t>
      </w:r>
      <w:r w:rsidR="00B80607">
        <w:rPr>
          <w:rFonts w:ascii="Times New Roman" w:hAnsi="Times New Roman"/>
          <w:sz w:val="26"/>
          <w:szCs w:val="26"/>
        </w:rPr>
        <w:t>”</w:t>
      </w:r>
    </w:p>
    <w:p w14:paraId="211FD8C2" w14:textId="77777777" w:rsidR="00A05351" w:rsidRPr="00E9060E" w:rsidRDefault="00A05351" w:rsidP="00BD0F89">
      <w:pPr>
        <w:pStyle w:val="ListParagraph"/>
        <w:spacing w:line="240" w:lineRule="auto"/>
        <w:ind w:left="0"/>
        <w:rPr>
          <w:rFonts w:ascii="Times New Roman" w:hAnsi="Times New Roman"/>
          <w:sz w:val="26"/>
          <w:szCs w:val="26"/>
          <w:highlight w:val="yellow"/>
        </w:rPr>
      </w:pPr>
    </w:p>
    <w:p w14:paraId="363FECF5" w14:textId="1134B5F0" w:rsidR="00D3652D" w:rsidRPr="00E9060E" w:rsidRDefault="00C107F4" w:rsidP="00BD0F89">
      <w:pPr>
        <w:pStyle w:val="ListParagraph"/>
        <w:spacing w:line="240" w:lineRule="auto"/>
        <w:ind w:left="0"/>
        <w:rPr>
          <w:rFonts w:ascii="Times New Roman" w:hAnsi="Times New Roman"/>
          <w:sz w:val="26"/>
          <w:szCs w:val="26"/>
        </w:rPr>
      </w:pPr>
      <w:r w:rsidRPr="00E9060E">
        <w:rPr>
          <w:rFonts w:ascii="Times New Roman" w:hAnsi="Times New Roman"/>
          <w:b/>
          <w:sz w:val="26"/>
          <w:szCs w:val="26"/>
        </w:rPr>
        <w:t xml:space="preserve">Information Collection Nos. </w:t>
      </w:r>
      <w:r w:rsidR="00F227B8" w:rsidRPr="00E9060E">
        <w:rPr>
          <w:rFonts w:ascii="Times New Roman" w:hAnsi="Times New Roman"/>
          <w:b/>
          <w:sz w:val="26"/>
          <w:szCs w:val="26"/>
        </w:rPr>
        <w:t xml:space="preserve">Used for </w:t>
      </w:r>
      <w:r w:rsidR="000C6A11" w:rsidRPr="00E9060E">
        <w:rPr>
          <w:rFonts w:ascii="Times New Roman" w:hAnsi="Times New Roman"/>
          <w:b/>
          <w:sz w:val="26"/>
          <w:szCs w:val="26"/>
        </w:rPr>
        <w:t xml:space="preserve">Paperwork Reduction Act (PRA) </w:t>
      </w:r>
      <w:r w:rsidR="00B10F56" w:rsidRPr="00E9060E">
        <w:rPr>
          <w:rFonts w:ascii="Times New Roman" w:hAnsi="Times New Roman"/>
          <w:b/>
          <w:sz w:val="26"/>
          <w:szCs w:val="26"/>
        </w:rPr>
        <w:t xml:space="preserve">Submittals at </w:t>
      </w:r>
      <w:r w:rsidR="00F227B8" w:rsidRPr="00E9060E">
        <w:rPr>
          <w:rFonts w:ascii="Times New Roman" w:hAnsi="Times New Roman"/>
          <w:b/>
          <w:sz w:val="26"/>
          <w:szCs w:val="26"/>
        </w:rPr>
        <w:t xml:space="preserve">NOPR and </w:t>
      </w:r>
      <w:r w:rsidR="00C656D8">
        <w:rPr>
          <w:rFonts w:ascii="Times New Roman" w:hAnsi="Times New Roman"/>
          <w:b/>
          <w:sz w:val="26"/>
          <w:szCs w:val="26"/>
        </w:rPr>
        <w:t>f</w:t>
      </w:r>
      <w:r w:rsidR="00F227B8" w:rsidRPr="00E9060E">
        <w:rPr>
          <w:rFonts w:ascii="Times New Roman" w:hAnsi="Times New Roman"/>
          <w:b/>
          <w:sz w:val="26"/>
          <w:szCs w:val="26"/>
        </w:rPr>
        <w:t xml:space="preserve">inal </w:t>
      </w:r>
      <w:r w:rsidR="00C656D8">
        <w:rPr>
          <w:rFonts w:ascii="Times New Roman" w:hAnsi="Times New Roman"/>
          <w:b/>
          <w:sz w:val="26"/>
          <w:szCs w:val="26"/>
        </w:rPr>
        <w:t>r</w:t>
      </w:r>
      <w:r w:rsidR="00F227B8" w:rsidRPr="00E9060E">
        <w:rPr>
          <w:rFonts w:ascii="Times New Roman" w:hAnsi="Times New Roman"/>
          <w:b/>
          <w:sz w:val="26"/>
          <w:szCs w:val="26"/>
        </w:rPr>
        <w:t>ule</w:t>
      </w:r>
      <w:r w:rsidR="004410F1" w:rsidRPr="00E9060E">
        <w:rPr>
          <w:rFonts w:ascii="Times New Roman" w:hAnsi="Times New Roman"/>
          <w:b/>
          <w:sz w:val="26"/>
          <w:szCs w:val="26"/>
        </w:rPr>
        <w:t xml:space="preserve"> Stages</w:t>
      </w:r>
      <w:r w:rsidR="00F227B8" w:rsidRPr="00E9060E">
        <w:rPr>
          <w:rFonts w:ascii="Times New Roman" w:hAnsi="Times New Roman"/>
          <w:b/>
          <w:sz w:val="26"/>
          <w:szCs w:val="26"/>
        </w:rPr>
        <w:t xml:space="preserve">. </w:t>
      </w:r>
      <w:r w:rsidRPr="00E9060E">
        <w:rPr>
          <w:rFonts w:ascii="Times New Roman" w:hAnsi="Times New Roman"/>
          <w:b/>
          <w:sz w:val="26"/>
          <w:szCs w:val="26"/>
        </w:rPr>
        <w:t xml:space="preserve"> </w:t>
      </w:r>
      <w:r w:rsidR="00185D62" w:rsidRPr="00E9060E">
        <w:rPr>
          <w:rFonts w:ascii="Times New Roman" w:hAnsi="Times New Roman"/>
          <w:sz w:val="26"/>
          <w:szCs w:val="26"/>
        </w:rPr>
        <w:t>There is pending work to renew most of the 10 information collections</w:t>
      </w:r>
      <w:r w:rsidRPr="00E9060E">
        <w:rPr>
          <w:rFonts w:ascii="Times New Roman" w:hAnsi="Times New Roman"/>
          <w:sz w:val="26"/>
          <w:szCs w:val="26"/>
        </w:rPr>
        <w:t xml:space="preserve"> (</w:t>
      </w:r>
      <w:r w:rsidR="00B10F56" w:rsidRPr="00E9060E">
        <w:rPr>
          <w:rFonts w:ascii="Times New Roman" w:hAnsi="Times New Roman"/>
          <w:sz w:val="26"/>
          <w:szCs w:val="26"/>
        </w:rPr>
        <w:t>due to</w:t>
      </w:r>
      <w:r w:rsidR="00185D62" w:rsidRPr="00E9060E">
        <w:rPr>
          <w:rFonts w:ascii="Times New Roman" w:hAnsi="Times New Roman"/>
          <w:sz w:val="26"/>
          <w:szCs w:val="26"/>
        </w:rPr>
        <w:t xml:space="preserve"> OMB expiration dates in 2019</w:t>
      </w:r>
      <w:r w:rsidRPr="00E9060E">
        <w:rPr>
          <w:rFonts w:ascii="Times New Roman" w:hAnsi="Times New Roman"/>
          <w:sz w:val="26"/>
          <w:szCs w:val="26"/>
        </w:rPr>
        <w:t>)</w:t>
      </w:r>
      <w:r w:rsidR="00185D62" w:rsidRPr="00E9060E">
        <w:rPr>
          <w:rFonts w:ascii="Times New Roman" w:hAnsi="Times New Roman"/>
          <w:sz w:val="26"/>
          <w:szCs w:val="26"/>
        </w:rPr>
        <w:t xml:space="preserve"> </w:t>
      </w:r>
      <w:r w:rsidRPr="00E9060E">
        <w:rPr>
          <w:rFonts w:ascii="Times New Roman" w:hAnsi="Times New Roman"/>
          <w:sz w:val="26"/>
          <w:szCs w:val="26"/>
        </w:rPr>
        <w:t xml:space="preserve">and </w:t>
      </w:r>
      <w:r w:rsidR="00185D62" w:rsidRPr="00E9060E">
        <w:rPr>
          <w:rFonts w:ascii="Times New Roman" w:hAnsi="Times New Roman"/>
          <w:sz w:val="26"/>
          <w:szCs w:val="26"/>
        </w:rPr>
        <w:t xml:space="preserve">to ensure the collections remain active during completion of the rulemaking in Docket No. RM19-12.  </w:t>
      </w:r>
    </w:p>
    <w:p w14:paraId="3511CB1B" w14:textId="77777777" w:rsidR="00D3652D" w:rsidRPr="00E9060E" w:rsidRDefault="00D3652D" w:rsidP="00BD0F89">
      <w:pPr>
        <w:pStyle w:val="ListParagraph"/>
        <w:spacing w:line="240" w:lineRule="auto"/>
        <w:ind w:left="0"/>
        <w:rPr>
          <w:rFonts w:ascii="Times New Roman" w:hAnsi="Times New Roman"/>
          <w:sz w:val="26"/>
          <w:szCs w:val="26"/>
        </w:rPr>
      </w:pPr>
    </w:p>
    <w:p w14:paraId="24B8F82F" w14:textId="3A8B0829" w:rsidR="001C2900" w:rsidRPr="00E9060E" w:rsidRDefault="00185D62" w:rsidP="00BD0F89">
      <w:pPr>
        <w:pStyle w:val="ListParagraph"/>
        <w:spacing w:line="240" w:lineRule="auto"/>
        <w:ind w:left="0"/>
        <w:rPr>
          <w:rFonts w:ascii="Times New Roman" w:hAnsi="Times New Roman"/>
          <w:sz w:val="26"/>
          <w:szCs w:val="26"/>
        </w:rPr>
      </w:pPr>
      <w:r w:rsidRPr="00E9060E">
        <w:rPr>
          <w:rFonts w:ascii="Times New Roman" w:hAnsi="Times New Roman"/>
          <w:sz w:val="26"/>
          <w:szCs w:val="26"/>
        </w:rPr>
        <w:t xml:space="preserve">Only one package per OMB Control No. can be pending OMB review at a time.  As a result, several temporary </w:t>
      </w:r>
      <w:r w:rsidR="00B80607">
        <w:rPr>
          <w:rFonts w:ascii="Times New Roman" w:hAnsi="Times New Roman"/>
          <w:sz w:val="26"/>
          <w:szCs w:val="26"/>
        </w:rPr>
        <w:t>“</w:t>
      </w:r>
      <w:r w:rsidRPr="00E9060E">
        <w:rPr>
          <w:rFonts w:ascii="Times New Roman" w:hAnsi="Times New Roman"/>
          <w:sz w:val="26"/>
          <w:szCs w:val="26"/>
        </w:rPr>
        <w:t>placeholder</w:t>
      </w:r>
      <w:r w:rsidR="00B80607">
        <w:rPr>
          <w:rFonts w:ascii="Times New Roman" w:hAnsi="Times New Roman"/>
          <w:sz w:val="26"/>
          <w:szCs w:val="26"/>
        </w:rPr>
        <w:t>”</w:t>
      </w:r>
      <w:r w:rsidRPr="00E9060E">
        <w:rPr>
          <w:rFonts w:ascii="Times New Roman" w:hAnsi="Times New Roman"/>
          <w:sz w:val="26"/>
          <w:szCs w:val="26"/>
        </w:rPr>
        <w:t xml:space="preserve"> information collection numbers have been used in the </w:t>
      </w:r>
      <w:r w:rsidR="00904961" w:rsidRPr="00E9060E">
        <w:rPr>
          <w:rFonts w:ascii="Times New Roman" w:hAnsi="Times New Roman"/>
          <w:sz w:val="26"/>
          <w:szCs w:val="26"/>
        </w:rPr>
        <w:t xml:space="preserve">PRA </w:t>
      </w:r>
      <w:r w:rsidRPr="00E9060E">
        <w:rPr>
          <w:rFonts w:ascii="Times New Roman" w:hAnsi="Times New Roman"/>
          <w:sz w:val="26"/>
          <w:szCs w:val="26"/>
        </w:rPr>
        <w:t xml:space="preserve">submittals for the </w:t>
      </w:r>
      <w:r w:rsidR="00F37C40">
        <w:rPr>
          <w:rFonts w:ascii="Times New Roman" w:hAnsi="Times New Roman"/>
          <w:sz w:val="26"/>
          <w:szCs w:val="26"/>
        </w:rPr>
        <w:t>N</w:t>
      </w:r>
      <w:r w:rsidR="00A33C28">
        <w:rPr>
          <w:rFonts w:ascii="Times New Roman" w:hAnsi="Times New Roman"/>
          <w:sz w:val="26"/>
          <w:szCs w:val="26"/>
        </w:rPr>
        <w:t>OPR</w:t>
      </w:r>
      <w:r w:rsidR="00F37C40">
        <w:rPr>
          <w:rFonts w:ascii="Times New Roman" w:hAnsi="Times New Roman"/>
          <w:sz w:val="26"/>
          <w:szCs w:val="26"/>
        </w:rPr>
        <w:t xml:space="preserve"> </w:t>
      </w:r>
      <w:r w:rsidRPr="00E9060E">
        <w:rPr>
          <w:rFonts w:ascii="Times New Roman" w:hAnsi="Times New Roman"/>
          <w:sz w:val="26"/>
          <w:szCs w:val="26"/>
        </w:rPr>
        <w:t xml:space="preserve">and/or </w:t>
      </w:r>
      <w:r w:rsidR="00C656D8">
        <w:rPr>
          <w:rFonts w:ascii="Times New Roman" w:hAnsi="Times New Roman"/>
          <w:sz w:val="26"/>
          <w:szCs w:val="26"/>
        </w:rPr>
        <w:t>f</w:t>
      </w:r>
      <w:r w:rsidRPr="00E9060E">
        <w:rPr>
          <w:rFonts w:ascii="Times New Roman" w:hAnsi="Times New Roman"/>
          <w:sz w:val="26"/>
          <w:szCs w:val="26"/>
        </w:rPr>
        <w:t xml:space="preserve">inal </w:t>
      </w:r>
      <w:r w:rsidR="00C656D8">
        <w:rPr>
          <w:rFonts w:ascii="Times New Roman" w:hAnsi="Times New Roman"/>
          <w:sz w:val="26"/>
          <w:szCs w:val="26"/>
        </w:rPr>
        <w:t>r</w:t>
      </w:r>
      <w:r w:rsidRPr="00E9060E">
        <w:rPr>
          <w:rFonts w:ascii="Times New Roman" w:hAnsi="Times New Roman"/>
          <w:sz w:val="26"/>
          <w:szCs w:val="26"/>
        </w:rPr>
        <w:t xml:space="preserve">ule for Docket No. RM19-12.  </w:t>
      </w:r>
      <w:r w:rsidR="0006118D" w:rsidRPr="00E9060E">
        <w:rPr>
          <w:rFonts w:ascii="Times New Roman" w:hAnsi="Times New Roman"/>
          <w:sz w:val="26"/>
          <w:szCs w:val="26"/>
        </w:rPr>
        <w:t>T</w:t>
      </w:r>
      <w:r w:rsidR="00484EB3" w:rsidRPr="00E9060E">
        <w:rPr>
          <w:rFonts w:ascii="Times New Roman" w:hAnsi="Times New Roman"/>
          <w:sz w:val="26"/>
          <w:szCs w:val="26"/>
        </w:rPr>
        <w:t xml:space="preserve">he </w:t>
      </w:r>
      <w:r w:rsidR="00A829CB" w:rsidRPr="00E9060E">
        <w:rPr>
          <w:rFonts w:ascii="Times New Roman" w:hAnsi="Times New Roman"/>
          <w:sz w:val="26"/>
          <w:szCs w:val="26"/>
        </w:rPr>
        <w:t xml:space="preserve">following </w:t>
      </w:r>
      <w:r w:rsidR="00484EB3" w:rsidRPr="00E9060E">
        <w:rPr>
          <w:rFonts w:ascii="Times New Roman" w:hAnsi="Times New Roman"/>
          <w:sz w:val="26"/>
          <w:szCs w:val="26"/>
        </w:rPr>
        <w:t xml:space="preserve">table </w:t>
      </w:r>
      <w:r w:rsidR="0006118D" w:rsidRPr="00E9060E">
        <w:rPr>
          <w:rFonts w:ascii="Times New Roman" w:hAnsi="Times New Roman"/>
          <w:sz w:val="26"/>
          <w:szCs w:val="26"/>
        </w:rPr>
        <w:t xml:space="preserve">shows </w:t>
      </w:r>
      <w:r w:rsidR="00484EB3" w:rsidRPr="00E9060E">
        <w:rPr>
          <w:rFonts w:ascii="Times New Roman" w:hAnsi="Times New Roman"/>
          <w:sz w:val="26"/>
          <w:szCs w:val="26"/>
        </w:rPr>
        <w:t xml:space="preserve">the form affected and the </w:t>
      </w:r>
      <w:r w:rsidR="00311CD2" w:rsidRPr="00E9060E">
        <w:rPr>
          <w:rFonts w:ascii="Times New Roman" w:hAnsi="Times New Roman"/>
          <w:sz w:val="26"/>
          <w:szCs w:val="26"/>
        </w:rPr>
        <w:t xml:space="preserve">information </w:t>
      </w:r>
      <w:r w:rsidR="00484EB3" w:rsidRPr="00E9060E">
        <w:rPr>
          <w:rFonts w:ascii="Times New Roman" w:hAnsi="Times New Roman"/>
          <w:sz w:val="26"/>
          <w:szCs w:val="26"/>
        </w:rPr>
        <w:t>collection n</w:t>
      </w:r>
      <w:r w:rsidR="005E3D37" w:rsidRPr="00E9060E">
        <w:rPr>
          <w:rFonts w:ascii="Times New Roman" w:hAnsi="Times New Roman"/>
          <w:sz w:val="26"/>
          <w:szCs w:val="26"/>
        </w:rPr>
        <w:t>umber</w:t>
      </w:r>
      <w:r w:rsidR="00484EB3" w:rsidRPr="00E9060E">
        <w:rPr>
          <w:rFonts w:ascii="Times New Roman" w:hAnsi="Times New Roman"/>
          <w:sz w:val="26"/>
          <w:szCs w:val="26"/>
        </w:rPr>
        <w:t xml:space="preserve"> </w:t>
      </w:r>
      <w:r w:rsidR="00311CD2" w:rsidRPr="00E9060E">
        <w:rPr>
          <w:rFonts w:ascii="Times New Roman" w:hAnsi="Times New Roman"/>
          <w:sz w:val="26"/>
          <w:szCs w:val="26"/>
        </w:rPr>
        <w:t xml:space="preserve">used (for ROCIS and reginfo.gov) </w:t>
      </w:r>
      <w:r w:rsidR="00484EB3" w:rsidRPr="00E9060E">
        <w:rPr>
          <w:rFonts w:ascii="Times New Roman" w:hAnsi="Times New Roman"/>
          <w:sz w:val="26"/>
          <w:szCs w:val="26"/>
        </w:rPr>
        <w:t xml:space="preserve">at the </w:t>
      </w:r>
      <w:r w:rsidR="00A33C28">
        <w:rPr>
          <w:rFonts w:ascii="Times New Roman" w:hAnsi="Times New Roman"/>
          <w:sz w:val="26"/>
          <w:szCs w:val="26"/>
        </w:rPr>
        <w:t>NOPR</w:t>
      </w:r>
      <w:r w:rsidR="00484EB3" w:rsidRPr="00E9060E">
        <w:rPr>
          <w:rFonts w:ascii="Times New Roman" w:hAnsi="Times New Roman"/>
          <w:sz w:val="26"/>
          <w:szCs w:val="26"/>
        </w:rPr>
        <w:t xml:space="preserve"> and </w:t>
      </w:r>
      <w:r w:rsidR="00C656D8">
        <w:rPr>
          <w:rFonts w:ascii="Times New Roman" w:hAnsi="Times New Roman"/>
          <w:sz w:val="26"/>
          <w:szCs w:val="26"/>
        </w:rPr>
        <w:t>f</w:t>
      </w:r>
      <w:r w:rsidR="00484EB3" w:rsidRPr="00E9060E">
        <w:rPr>
          <w:rFonts w:ascii="Times New Roman" w:hAnsi="Times New Roman"/>
          <w:sz w:val="26"/>
          <w:szCs w:val="26"/>
        </w:rPr>
        <w:t xml:space="preserve">inal </w:t>
      </w:r>
      <w:r w:rsidR="00C656D8">
        <w:rPr>
          <w:rFonts w:ascii="Times New Roman" w:hAnsi="Times New Roman"/>
          <w:sz w:val="26"/>
          <w:szCs w:val="26"/>
        </w:rPr>
        <w:t>r</w:t>
      </w:r>
      <w:r w:rsidR="00484EB3" w:rsidRPr="00E9060E">
        <w:rPr>
          <w:rFonts w:ascii="Times New Roman" w:hAnsi="Times New Roman"/>
          <w:sz w:val="26"/>
          <w:szCs w:val="26"/>
        </w:rPr>
        <w:t>ule stages.</w:t>
      </w:r>
      <w:r w:rsidRPr="00E9060E">
        <w:rPr>
          <w:rFonts w:ascii="Times New Roman" w:hAnsi="Times New Roman"/>
          <w:sz w:val="26"/>
          <w:szCs w:val="26"/>
        </w:rPr>
        <w:t xml:space="preserve">  This consolidated supporting statement addresses the collections listed in the </w:t>
      </w:r>
      <w:r w:rsidR="00C656D8">
        <w:rPr>
          <w:rFonts w:ascii="Times New Roman" w:hAnsi="Times New Roman"/>
          <w:sz w:val="26"/>
          <w:szCs w:val="26"/>
        </w:rPr>
        <w:t>f</w:t>
      </w:r>
      <w:r w:rsidRPr="00E9060E">
        <w:rPr>
          <w:rFonts w:ascii="Times New Roman" w:hAnsi="Times New Roman"/>
          <w:sz w:val="26"/>
          <w:szCs w:val="26"/>
        </w:rPr>
        <w:t xml:space="preserve">inal </w:t>
      </w:r>
      <w:r w:rsidR="00C656D8">
        <w:rPr>
          <w:rFonts w:ascii="Times New Roman" w:hAnsi="Times New Roman"/>
          <w:sz w:val="26"/>
          <w:szCs w:val="26"/>
        </w:rPr>
        <w:t>r</w:t>
      </w:r>
      <w:r w:rsidRPr="00E9060E">
        <w:rPr>
          <w:rFonts w:ascii="Times New Roman" w:hAnsi="Times New Roman"/>
          <w:sz w:val="26"/>
          <w:szCs w:val="26"/>
        </w:rPr>
        <w:t xml:space="preserve">ule columns </w:t>
      </w:r>
      <w:r w:rsidR="002C3ADD" w:rsidRPr="00E9060E">
        <w:rPr>
          <w:rFonts w:ascii="Times New Roman" w:hAnsi="Times New Roman"/>
          <w:sz w:val="26"/>
          <w:szCs w:val="26"/>
        </w:rPr>
        <w:t>and</w:t>
      </w:r>
      <w:r w:rsidRPr="00E9060E">
        <w:rPr>
          <w:rFonts w:ascii="Times New Roman" w:hAnsi="Times New Roman"/>
          <w:sz w:val="26"/>
          <w:szCs w:val="26"/>
        </w:rPr>
        <w:t xml:space="preserve"> includes information on the </w:t>
      </w:r>
      <w:r w:rsidR="002458F5" w:rsidRPr="00E9060E">
        <w:rPr>
          <w:rFonts w:ascii="Times New Roman" w:hAnsi="Times New Roman"/>
          <w:sz w:val="26"/>
          <w:szCs w:val="26"/>
        </w:rPr>
        <w:t xml:space="preserve">actual </w:t>
      </w:r>
      <w:r w:rsidR="002C3ADD" w:rsidRPr="00E9060E">
        <w:rPr>
          <w:rFonts w:ascii="Times New Roman" w:hAnsi="Times New Roman"/>
          <w:sz w:val="26"/>
          <w:szCs w:val="26"/>
        </w:rPr>
        <w:t xml:space="preserve">information </w:t>
      </w:r>
      <w:r w:rsidRPr="00E9060E">
        <w:rPr>
          <w:rFonts w:ascii="Times New Roman" w:hAnsi="Times New Roman"/>
          <w:sz w:val="26"/>
          <w:szCs w:val="26"/>
        </w:rPr>
        <w:t>collections for background.</w:t>
      </w:r>
      <w:r w:rsidR="002458F5" w:rsidRPr="00E9060E">
        <w:rPr>
          <w:rFonts w:ascii="Times New Roman" w:hAnsi="Times New Roman"/>
          <w:sz w:val="26"/>
          <w:szCs w:val="26"/>
        </w:rPr>
        <w:t xml:space="preserve">  For example, unless otherwise specified, discussion about the FERC</w:t>
      </w:r>
      <w:r w:rsidR="004D3772" w:rsidRPr="00E9060E">
        <w:rPr>
          <w:rFonts w:ascii="Times New Roman" w:hAnsi="Times New Roman"/>
          <w:sz w:val="26"/>
          <w:szCs w:val="26"/>
        </w:rPr>
        <w:t>-</w:t>
      </w:r>
      <w:r w:rsidR="002458F5" w:rsidRPr="00E9060E">
        <w:rPr>
          <w:rFonts w:ascii="Times New Roman" w:hAnsi="Times New Roman"/>
          <w:sz w:val="26"/>
          <w:szCs w:val="26"/>
        </w:rPr>
        <w:t xml:space="preserve">1 also </w:t>
      </w:r>
      <w:r w:rsidR="004D3772" w:rsidRPr="00E9060E">
        <w:rPr>
          <w:rFonts w:ascii="Times New Roman" w:hAnsi="Times New Roman"/>
          <w:sz w:val="26"/>
          <w:szCs w:val="26"/>
        </w:rPr>
        <w:t xml:space="preserve">applies to </w:t>
      </w:r>
      <w:r w:rsidR="002458F5" w:rsidRPr="00E9060E">
        <w:rPr>
          <w:rFonts w:ascii="Times New Roman" w:hAnsi="Times New Roman"/>
          <w:sz w:val="26"/>
          <w:szCs w:val="26"/>
        </w:rPr>
        <w:t xml:space="preserve">the </w:t>
      </w:r>
      <w:r w:rsidR="004D3772" w:rsidRPr="00E9060E">
        <w:rPr>
          <w:rFonts w:ascii="Times New Roman" w:hAnsi="Times New Roman"/>
          <w:sz w:val="26"/>
          <w:szCs w:val="26"/>
        </w:rPr>
        <w:t xml:space="preserve">temporary </w:t>
      </w:r>
      <w:r w:rsidR="002458F5" w:rsidRPr="00E9060E">
        <w:rPr>
          <w:rFonts w:ascii="Times New Roman" w:hAnsi="Times New Roman"/>
          <w:sz w:val="26"/>
          <w:szCs w:val="26"/>
        </w:rPr>
        <w:t xml:space="preserve">placeholder </w:t>
      </w:r>
      <w:r w:rsidR="004D3772" w:rsidRPr="00E9060E">
        <w:rPr>
          <w:rFonts w:ascii="Times New Roman" w:hAnsi="Times New Roman"/>
          <w:sz w:val="26"/>
          <w:szCs w:val="26"/>
        </w:rPr>
        <w:t xml:space="preserve">information collection </w:t>
      </w:r>
      <w:r w:rsidR="002458F5" w:rsidRPr="00E9060E">
        <w:rPr>
          <w:rFonts w:ascii="Times New Roman" w:hAnsi="Times New Roman"/>
          <w:sz w:val="26"/>
          <w:szCs w:val="26"/>
        </w:rPr>
        <w:t>FERC-1T</w:t>
      </w:r>
      <w:r w:rsidR="004D3772" w:rsidRPr="00E9060E">
        <w:rPr>
          <w:rFonts w:ascii="Times New Roman" w:hAnsi="Times New Roman"/>
          <w:sz w:val="26"/>
          <w:szCs w:val="26"/>
        </w:rPr>
        <w:t xml:space="preserve"> (covering the changes to the FERC-1 due to Docket RM19-12)</w:t>
      </w:r>
      <w:r w:rsidR="002458F5" w:rsidRPr="00E9060E">
        <w:rPr>
          <w:rFonts w:ascii="Times New Roman" w:hAnsi="Times New Roman"/>
          <w:sz w:val="26"/>
          <w:szCs w:val="26"/>
        </w:rPr>
        <w:t>.</w:t>
      </w:r>
    </w:p>
    <w:p w14:paraId="2B4C3F44" w14:textId="07021590" w:rsidR="00672EA7" w:rsidRPr="00E9060E" w:rsidRDefault="00672EA7" w:rsidP="002C3ADD">
      <w:pPr>
        <w:pStyle w:val="ListParagraph"/>
        <w:spacing w:after="0" w:line="240" w:lineRule="auto"/>
        <w:ind w:left="0"/>
        <w:rPr>
          <w:rFonts w:ascii="Times New Roman" w:hAnsi="Times New Roman"/>
          <w:sz w:val="26"/>
          <w:szCs w:val="26"/>
        </w:rPr>
      </w:pPr>
    </w:p>
    <w:tbl>
      <w:tblPr>
        <w:tblW w:w="8028" w:type="dxa"/>
        <w:tblInd w:w="61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55"/>
        <w:gridCol w:w="910"/>
        <w:gridCol w:w="1416"/>
        <w:gridCol w:w="981"/>
        <w:gridCol w:w="993"/>
        <w:gridCol w:w="996"/>
        <w:gridCol w:w="1577"/>
      </w:tblGrid>
      <w:tr w:rsidR="00A829CB" w:rsidRPr="00A829CB" w14:paraId="544126F6" w14:textId="77777777" w:rsidTr="001E6691">
        <w:trPr>
          <w:trHeight w:val="863"/>
        </w:trPr>
        <w:tc>
          <w:tcPr>
            <w:tcW w:w="8028" w:type="dxa"/>
            <w:gridSpan w:val="7"/>
            <w:shd w:val="clear" w:color="000000" w:fill="BFBFBF"/>
            <w:vAlign w:val="bottom"/>
            <w:hideMark/>
          </w:tcPr>
          <w:p w14:paraId="7F9362C5" w14:textId="0D0132E7" w:rsidR="00A829CB" w:rsidRPr="00E9060E" w:rsidRDefault="00A829CB" w:rsidP="00A1700D">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Docket No. RM19-12 -- Collections Used for Submittal to OMB, due to Multiple, Simultaneous, Pending Renewal Activities (in parallel with Forms Refresh Rulemaking)--as of 6/</w:t>
            </w:r>
            <w:r w:rsidR="00F95236">
              <w:rPr>
                <w:rFonts w:ascii="Times New Roman" w:eastAsia="Times New Roman" w:hAnsi="Times New Roman"/>
                <w:b/>
                <w:color w:val="000000"/>
                <w:sz w:val="26"/>
                <w:szCs w:val="26"/>
              </w:rPr>
              <w:t>2</w:t>
            </w:r>
            <w:r w:rsidR="00A1700D">
              <w:rPr>
                <w:rFonts w:ascii="Times New Roman" w:eastAsia="Times New Roman" w:hAnsi="Times New Roman"/>
                <w:b/>
                <w:color w:val="000000"/>
                <w:sz w:val="26"/>
                <w:szCs w:val="26"/>
              </w:rPr>
              <w:t>5</w:t>
            </w:r>
            <w:r w:rsidRPr="00E9060E">
              <w:rPr>
                <w:rFonts w:ascii="Times New Roman" w:eastAsia="Times New Roman" w:hAnsi="Times New Roman"/>
                <w:b/>
                <w:color w:val="000000"/>
                <w:sz w:val="26"/>
                <w:szCs w:val="26"/>
              </w:rPr>
              <w:t>/2019</w:t>
            </w:r>
          </w:p>
        </w:tc>
      </w:tr>
      <w:tr w:rsidR="00A829CB" w:rsidRPr="00A829CB" w14:paraId="7004953B" w14:textId="77777777" w:rsidTr="001E6691">
        <w:trPr>
          <w:trHeight w:val="870"/>
        </w:trPr>
        <w:tc>
          <w:tcPr>
            <w:tcW w:w="3256" w:type="dxa"/>
            <w:gridSpan w:val="3"/>
            <w:shd w:val="clear" w:color="000000" w:fill="D9D9D9"/>
            <w:vAlign w:val="bottom"/>
            <w:hideMark/>
          </w:tcPr>
          <w:p w14:paraId="62808DE5" w14:textId="46156373" w:rsidR="00A829CB" w:rsidRPr="00E9060E" w:rsidRDefault="00A829CB" w:rsidP="00C107F4">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Form No. Affected </w:t>
            </w:r>
          </w:p>
        </w:tc>
        <w:tc>
          <w:tcPr>
            <w:tcW w:w="2162" w:type="dxa"/>
            <w:gridSpan w:val="2"/>
            <w:shd w:val="clear" w:color="000000" w:fill="D9D9D9"/>
            <w:vAlign w:val="bottom"/>
            <w:hideMark/>
          </w:tcPr>
          <w:p w14:paraId="78D084EC" w14:textId="3D95018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NOPR--Form No. Used in ROCIS &amp; reginfo.gov</w:t>
            </w:r>
          </w:p>
        </w:tc>
        <w:tc>
          <w:tcPr>
            <w:tcW w:w="2610" w:type="dxa"/>
            <w:gridSpan w:val="2"/>
            <w:shd w:val="clear" w:color="000000" w:fill="D9D9D9"/>
            <w:vAlign w:val="bottom"/>
            <w:hideMark/>
          </w:tcPr>
          <w:p w14:paraId="72883FCD" w14:textId="18686E3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Final Rule--Form No. Used in ROCIS &amp; reginfo.gov</w:t>
            </w:r>
          </w:p>
        </w:tc>
      </w:tr>
      <w:tr w:rsidR="00C107F4" w:rsidRPr="00A829CB" w14:paraId="35C52199" w14:textId="77777777" w:rsidTr="001E6691">
        <w:trPr>
          <w:trHeight w:val="600"/>
        </w:trPr>
        <w:tc>
          <w:tcPr>
            <w:tcW w:w="1073" w:type="dxa"/>
            <w:shd w:val="clear" w:color="000000" w:fill="D9D9D9"/>
            <w:vAlign w:val="bottom"/>
            <w:hideMark/>
          </w:tcPr>
          <w:p w14:paraId="7ADDD8B7"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 Form No.</w:t>
            </w:r>
          </w:p>
        </w:tc>
        <w:tc>
          <w:tcPr>
            <w:tcW w:w="852" w:type="dxa"/>
            <w:shd w:val="clear" w:color="000000" w:fill="D9D9D9"/>
            <w:vAlign w:val="bottom"/>
            <w:hideMark/>
          </w:tcPr>
          <w:p w14:paraId="2BCFCE0E" w14:textId="28607F6A"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C81277">
              <w:rPr>
                <w:rFonts w:ascii="Times New Roman" w:eastAsia="Times New Roman" w:hAnsi="Times New Roman"/>
                <w:b/>
                <w:color w:val="000000"/>
                <w:sz w:val="26"/>
                <w:szCs w:val="26"/>
              </w:rPr>
              <w:t>n</w:t>
            </w:r>
            <w:r w:rsidRPr="00E9060E">
              <w:rPr>
                <w:rFonts w:ascii="Times New Roman" w:eastAsia="Times New Roman" w:hAnsi="Times New Roman"/>
                <w:b/>
                <w:color w:val="000000"/>
                <w:sz w:val="26"/>
                <w:szCs w:val="26"/>
              </w:rPr>
              <w:t>nnn)</w:t>
            </w:r>
          </w:p>
        </w:tc>
        <w:tc>
          <w:tcPr>
            <w:tcW w:w="1331" w:type="dxa"/>
            <w:shd w:val="clear" w:color="000000" w:fill="D9D9D9"/>
            <w:vAlign w:val="bottom"/>
            <w:hideMark/>
          </w:tcPr>
          <w:p w14:paraId="5E20C660"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Expiration Date *</w:t>
            </w:r>
          </w:p>
        </w:tc>
        <w:tc>
          <w:tcPr>
            <w:tcW w:w="933" w:type="dxa"/>
            <w:shd w:val="clear" w:color="000000" w:fill="D9D9D9"/>
            <w:vAlign w:val="bottom"/>
            <w:hideMark/>
          </w:tcPr>
          <w:p w14:paraId="2A67422B"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Form No. </w:t>
            </w:r>
          </w:p>
        </w:tc>
        <w:tc>
          <w:tcPr>
            <w:tcW w:w="1229" w:type="dxa"/>
            <w:shd w:val="clear" w:color="000000" w:fill="D9D9D9"/>
            <w:vAlign w:val="bottom"/>
            <w:hideMark/>
          </w:tcPr>
          <w:p w14:paraId="566237AC" w14:textId="1937C1C3"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F736DF">
              <w:rPr>
                <w:rFonts w:ascii="Times New Roman" w:eastAsia="Times New Roman" w:hAnsi="Times New Roman"/>
                <w:b/>
                <w:color w:val="000000"/>
                <w:sz w:val="26"/>
                <w:szCs w:val="26"/>
              </w:rPr>
              <w:t>n</w:t>
            </w:r>
            <w:r w:rsidRPr="00E9060E">
              <w:rPr>
                <w:rFonts w:ascii="Times New Roman" w:eastAsia="Times New Roman" w:hAnsi="Times New Roman"/>
                <w:b/>
                <w:color w:val="000000"/>
                <w:sz w:val="26"/>
                <w:szCs w:val="26"/>
              </w:rPr>
              <w:t>nnn)</w:t>
            </w:r>
          </w:p>
        </w:tc>
        <w:tc>
          <w:tcPr>
            <w:tcW w:w="486" w:type="dxa"/>
            <w:shd w:val="clear" w:color="000000" w:fill="D9D9D9"/>
            <w:vAlign w:val="bottom"/>
            <w:hideMark/>
          </w:tcPr>
          <w:p w14:paraId="10FEA957"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Form No.  **</w:t>
            </w:r>
          </w:p>
        </w:tc>
        <w:tc>
          <w:tcPr>
            <w:tcW w:w="2124" w:type="dxa"/>
            <w:shd w:val="clear" w:color="000000" w:fill="D9D9D9"/>
            <w:vAlign w:val="bottom"/>
            <w:hideMark/>
          </w:tcPr>
          <w:p w14:paraId="14B318A5" w14:textId="3CB99DD4" w:rsidR="00A829CB" w:rsidRPr="00E9060E" w:rsidRDefault="00A829CB" w:rsidP="00891EF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891EFB">
              <w:rPr>
                <w:rFonts w:ascii="Times New Roman" w:eastAsia="Times New Roman" w:hAnsi="Times New Roman"/>
                <w:b/>
                <w:color w:val="000000"/>
                <w:sz w:val="26"/>
                <w:szCs w:val="26"/>
              </w:rPr>
              <w:t>n</w:t>
            </w:r>
            <w:r w:rsidR="00891EFB" w:rsidRPr="00E9060E">
              <w:rPr>
                <w:rFonts w:ascii="Times New Roman" w:eastAsia="Times New Roman" w:hAnsi="Times New Roman"/>
                <w:b/>
                <w:color w:val="000000"/>
                <w:sz w:val="26"/>
                <w:szCs w:val="26"/>
              </w:rPr>
              <w:t>nnn</w:t>
            </w:r>
            <w:r w:rsidRPr="00E9060E">
              <w:rPr>
                <w:rFonts w:ascii="Times New Roman" w:eastAsia="Times New Roman" w:hAnsi="Times New Roman"/>
                <w:b/>
                <w:color w:val="000000"/>
                <w:sz w:val="26"/>
                <w:szCs w:val="26"/>
              </w:rPr>
              <w:t>)</w:t>
            </w:r>
          </w:p>
        </w:tc>
      </w:tr>
      <w:tr w:rsidR="00A829CB" w:rsidRPr="00A829CB" w14:paraId="219136EC" w14:textId="77777777" w:rsidTr="00F95236">
        <w:trPr>
          <w:trHeight w:val="458"/>
        </w:trPr>
        <w:tc>
          <w:tcPr>
            <w:tcW w:w="1073" w:type="dxa"/>
            <w:shd w:val="clear" w:color="auto" w:fill="auto"/>
            <w:vAlign w:val="bottom"/>
            <w:hideMark/>
          </w:tcPr>
          <w:p w14:paraId="66A6B223"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lastRenderedPageBreak/>
              <w:t>1*</w:t>
            </w:r>
          </w:p>
        </w:tc>
        <w:tc>
          <w:tcPr>
            <w:tcW w:w="852" w:type="dxa"/>
            <w:shd w:val="clear" w:color="auto" w:fill="auto"/>
            <w:vAlign w:val="bottom"/>
            <w:hideMark/>
          </w:tcPr>
          <w:p w14:paraId="240CD477" w14:textId="7921762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21</w:t>
            </w:r>
          </w:p>
        </w:tc>
        <w:tc>
          <w:tcPr>
            <w:tcW w:w="1331" w:type="dxa"/>
            <w:shd w:val="clear" w:color="auto" w:fill="auto"/>
            <w:vAlign w:val="bottom"/>
            <w:hideMark/>
          </w:tcPr>
          <w:p w14:paraId="1B3F945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712B003B"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229" w:type="dxa"/>
            <w:shd w:val="clear" w:color="auto" w:fill="auto"/>
            <w:vAlign w:val="bottom"/>
            <w:hideMark/>
          </w:tcPr>
          <w:p w14:paraId="19B4D8D6" w14:textId="1179C57D"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21</w:t>
            </w:r>
          </w:p>
        </w:tc>
        <w:tc>
          <w:tcPr>
            <w:tcW w:w="486" w:type="dxa"/>
            <w:shd w:val="clear" w:color="auto" w:fill="auto"/>
            <w:vAlign w:val="bottom"/>
            <w:hideMark/>
          </w:tcPr>
          <w:p w14:paraId="49EF57E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1T*</w:t>
            </w:r>
          </w:p>
        </w:tc>
        <w:tc>
          <w:tcPr>
            <w:tcW w:w="2124" w:type="dxa"/>
            <w:shd w:val="clear" w:color="auto" w:fill="auto"/>
            <w:vAlign w:val="bottom"/>
            <w:hideMark/>
          </w:tcPr>
          <w:p w14:paraId="7E0BB0F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FB6446" w:rsidRPr="00A829CB" w14:paraId="3BEC6437" w14:textId="77777777" w:rsidTr="00F95236">
        <w:trPr>
          <w:trHeight w:val="440"/>
        </w:trPr>
        <w:tc>
          <w:tcPr>
            <w:tcW w:w="1073" w:type="dxa"/>
            <w:shd w:val="clear" w:color="auto" w:fill="auto"/>
            <w:vAlign w:val="bottom"/>
          </w:tcPr>
          <w:p w14:paraId="495C7E7D" w14:textId="77777777" w:rsidR="00FB6446" w:rsidRPr="00E9060E" w:rsidRDefault="00FB6446" w:rsidP="00A829CB">
            <w:pPr>
              <w:spacing w:after="0" w:line="240" w:lineRule="auto"/>
              <w:rPr>
                <w:rFonts w:ascii="Times New Roman" w:eastAsia="Times New Roman" w:hAnsi="Times New Roman"/>
                <w:b/>
                <w:color w:val="000000"/>
                <w:sz w:val="26"/>
                <w:szCs w:val="26"/>
              </w:rPr>
            </w:pPr>
          </w:p>
        </w:tc>
        <w:tc>
          <w:tcPr>
            <w:tcW w:w="852" w:type="dxa"/>
            <w:shd w:val="clear" w:color="auto" w:fill="auto"/>
            <w:vAlign w:val="bottom"/>
          </w:tcPr>
          <w:p w14:paraId="7C6D54CD"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1331" w:type="dxa"/>
            <w:shd w:val="clear" w:color="auto" w:fill="auto"/>
            <w:vAlign w:val="bottom"/>
          </w:tcPr>
          <w:p w14:paraId="095B430C"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933" w:type="dxa"/>
            <w:shd w:val="clear" w:color="auto" w:fill="auto"/>
            <w:vAlign w:val="bottom"/>
          </w:tcPr>
          <w:p w14:paraId="0D27DF88"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1229" w:type="dxa"/>
            <w:shd w:val="clear" w:color="auto" w:fill="auto"/>
            <w:vAlign w:val="bottom"/>
          </w:tcPr>
          <w:p w14:paraId="4DB71269"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486" w:type="dxa"/>
            <w:shd w:val="clear" w:color="auto" w:fill="auto"/>
            <w:vAlign w:val="bottom"/>
          </w:tcPr>
          <w:p w14:paraId="034A3438"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2124" w:type="dxa"/>
            <w:shd w:val="clear" w:color="auto" w:fill="auto"/>
            <w:vAlign w:val="bottom"/>
          </w:tcPr>
          <w:p w14:paraId="50C1F54D" w14:textId="77777777" w:rsidR="00FB6446" w:rsidRPr="00E9060E" w:rsidRDefault="00FB6446" w:rsidP="00A829CB">
            <w:pPr>
              <w:spacing w:after="0" w:line="240" w:lineRule="auto"/>
              <w:rPr>
                <w:rFonts w:ascii="Times New Roman" w:eastAsia="Times New Roman" w:hAnsi="Times New Roman"/>
                <w:color w:val="000000"/>
                <w:sz w:val="26"/>
                <w:szCs w:val="26"/>
              </w:rPr>
            </w:pPr>
          </w:p>
        </w:tc>
      </w:tr>
      <w:tr w:rsidR="00A829CB" w:rsidRPr="00A829CB" w14:paraId="00842991" w14:textId="77777777" w:rsidTr="00F95236">
        <w:trPr>
          <w:trHeight w:val="440"/>
        </w:trPr>
        <w:tc>
          <w:tcPr>
            <w:tcW w:w="1073" w:type="dxa"/>
            <w:shd w:val="clear" w:color="auto" w:fill="auto"/>
            <w:vAlign w:val="bottom"/>
            <w:hideMark/>
          </w:tcPr>
          <w:p w14:paraId="5AF4B5F4"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1-F*</w:t>
            </w:r>
          </w:p>
        </w:tc>
        <w:tc>
          <w:tcPr>
            <w:tcW w:w="852" w:type="dxa"/>
            <w:shd w:val="clear" w:color="auto" w:fill="auto"/>
            <w:vAlign w:val="bottom"/>
            <w:hideMark/>
          </w:tcPr>
          <w:p w14:paraId="78F530A6" w14:textId="5F24B0B1"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29</w:t>
            </w:r>
          </w:p>
        </w:tc>
        <w:tc>
          <w:tcPr>
            <w:tcW w:w="1331" w:type="dxa"/>
            <w:shd w:val="clear" w:color="auto" w:fill="auto"/>
            <w:vAlign w:val="bottom"/>
            <w:hideMark/>
          </w:tcPr>
          <w:p w14:paraId="7158366E"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602D09F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1-F</w:t>
            </w:r>
          </w:p>
        </w:tc>
        <w:tc>
          <w:tcPr>
            <w:tcW w:w="1229" w:type="dxa"/>
            <w:shd w:val="clear" w:color="auto" w:fill="auto"/>
            <w:vAlign w:val="bottom"/>
            <w:hideMark/>
          </w:tcPr>
          <w:p w14:paraId="3AE4AAF1" w14:textId="6DAEFBEA"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29</w:t>
            </w:r>
          </w:p>
        </w:tc>
        <w:tc>
          <w:tcPr>
            <w:tcW w:w="486" w:type="dxa"/>
            <w:shd w:val="clear" w:color="auto" w:fill="auto"/>
            <w:vAlign w:val="bottom"/>
            <w:hideMark/>
          </w:tcPr>
          <w:p w14:paraId="717EA156"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1-FT*</w:t>
            </w:r>
          </w:p>
        </w:tc>
        <w:tc>
          <w:tcPr>
            <w:tcW w:w="2124" w:type="dxa"/>
            <w:shd w:val="clear" w:color="auto" w:fill="auto"/>
            <w:vAlign w:val="bottom"/>
            <w:hideMark/>
          </w:tcPr>
          <w:p w14:paraId="22004C8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6755F241" w14:textId="77777777" w:rsidTr="00F95236">
        <w:trPr>
          <w:trHeight w:val="990"/>
        </w:trPr>
        <w:tc>
          <w:tcPr>
            <w:tcW w:w="1073" w:type="dxa"/>
            <w:shd w:val="clear" w:color="auto" w:fill="auto"/>
            <w:vAlign w:val="bottom"/>
            <w:hideMark/>
          </w:tcPr>
          <w:p w14:paraId="693B4955"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 electric*</w:t>
            </w:r>
          </w:p>
        </w:tc>
        <w:tc>
          <w:tcPr>
            <w:tcW w:w="852" w:type="dxa"/>
            <w:shd w:val="clear" w:color="auto" w:fill="auto"/>
            <w:vAlign w:val="bottom"/>
            <w:hideMark/>
          </w:tcPr>
          <w:p w14:paraId="227941C9" w14:textId="1D9B535D"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1331" w:type="dxa"/>
            <w:shd w:val="clear" w:color="auto" w:fill="auto"/>
            <w:vAlign w:val="bottom"/>
            <w:hideMark/>
          </w:tcPr>
          <w:p w14:paraId="20DD7D4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6C1C1503"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 electric</w:t>
            </w:r>
          </w:p>
        </w:tc>
        <w:tc>
          <w:tcPr>
            <w:tcW w:w="1229" w:type="dxa"/>
            <w:shd w:val="clear" w:color="auto" w:fill="auto"/>
            <w:vAlign w:val="bottom"/>
            <w:hideMark/>
          </w:tcPr>
          <w:p w14:paraId="0C5EF679" w14:textId="598B13C9"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486" w:type="dxa"/>
            <w:shd w:val="clear" w:color="auto" w:fill="auto"/>
            <w:vAlign w:val="bottom"/>
            <w:hideMark/>
          </w:tcPr>
          <w:p w14:paraId="32224677"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3-QT*</w:t>
            </w:r>
          </w:p>
        </w:tc>
        <w:tc>
          <w:tcPr>
            <w:tcW w:w="2124" w:type="dxa"/>
            <w:shd w:val="clear" w:color="auto" w:fill="auto"/>
            <w:vAlign w:val="bottom"/>
            <w:hideMark/>
          </w:tcPr>
          <w:p w14:paraId="67F61A2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2B59EFCC" w14:textId="77777777" w:rsidTr="00F95236">
        <w:trPr>
          <w:trHeight w:val="885"/>
        </w:trPr>
        <w:tc>
          <w:tcPr>
            <w:tcW w:w="1073" w:type="dxa"/>
            <w:shd w:val="clear" w:color="auto" w:fill="auto"/>
            <w:vAlign w:val="bottom"/>
            <w:hideMark/>
          </w:tcPr>
          <w:p w14:paraId="673B8845"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 nat. gas*</w:t>
            </w:r>
          </w:p>
        </w:tc>
        <w:tc>
          <w:tcPr>
            <w:tcW w:w="852" w:type="dxa"/>
            <w:shd w:val="clear" w:color="auto" w:fill="auto"/>
            <w:vAlign w:val="bottom"/>
            <w:hideMark/>
          </w:tcPr>
          <w:p w14:paraId="71E7A50B" w14:textId="0C4F6507"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1331" w:type="dxa"/>
            <w:shd w:val="clear" w:color="auto" w:fill="auto"/>
            <w:vAlign w:val="bottom"/>
            <w:hideMark/>
          </w:tcPr>
          <w:p w14:paraId="5EB3790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2635E552"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 nat. gas</w:t>
            </w:r>
          </w:p>
        </w:tc>
        <w:tc>
          <w:tcPr>
            <w:tcW w:w="1229" w:type="dxa"/>
            <w:shd w:val="clear" w:color="auto" w:fill="auto"/>
            <w:vAlign w:val="bottom"/>
            <w:hideMark/>
          </w:tcPr>
          <w:p w14:paraId="7CAB38FA" w14:textId="7DC6226B"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486" w:type="dxa"/>
            <w:shd w:val="clear" w:color="auto" w:fill="auto"/>
            <w:vAlign w:val="bottom"/>
            <w:hideMark/>
          </w:tcPr>
          <w:p w14:paraId="4FB5C5E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3-QT*</w:t>
            </w:r>
          </w:p>
        </w:tc>
        <w:tc>
          <w:tcPr>
            <w:tcW w:w="2124" w:type="dxa"/>
            <w:shd w:val="clear" w:color="auto" w:fill="auto"/>
            <w:vAlign w:val="bottom"/>
            <w:hideMark/>
          </w:tcPr>
          <w:p w14:paraId="0B753AB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4CAB4806" w14:textId="77777777" w:rsidTr="00F95236">
        <w:trPr>
          <w:trHeight w:val="300"/>
        </w:trPr>
        <w:tc>
          <w:tcPr>
            <w:tcW w:w="1073" w:type="dxa"/>
            <w:shd w:val="clear" w:color="auto" w:fill="auto"/>
            <w:vAlign w:val="bottom"/>
            <w:hideMark/>
          </w:tcPr>
          <w:p w14:paraId="345127DF"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w:t>
            </w:r>
          </w:p>
        </w:tc>
        <w:tc>
          <w:tcPr>
            <w:tcW w:w="852" w:type="dxa"/>
            <w:shd w:val="clear" w:color="auto" w:fill="auto"/>
            <w:vAlign w:val="bottom"/>
            <w:hideMark/>
          </w:tcPr>
          <w:p w14:paraId="287369C9" w14:textId="71012EB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28</w:t>
            </w:r>
          </w:p>
        </w:tc>
        <w:tc>
          <w:tcPr>
            <w:tcW w:w="1331" w:type="dxa"/>
            <w:shd w:val="clear" w:color="auto" w:fill="auto"/>
            <w:vAlign w:val="bottom"/>
            <w:hideMark/>
          </w:tcPr>
          <w:p w14:paraId="6EADFA57"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12/31/2020</w:t>
            </w:r>
          </w:p>
        </w:tc>
        <w:tc>
          <w:tcPr>
            <w:tcW w:w="933" w:type="dxa"/>
            <w:shd w:val="clear" w:color="auto" w:fill="auto"/>
            <w:vAlign w:val="bottom"/>
            <w:hideMark/>
          </w:tcPr>
          <w:p w14:paraId="2369CFE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w:t>
            </w:r>
          </w:p>
        </w:tc>
        <w:tc>
          <w:tcPr>
            <w:tcW w:w="1229" w:type="dxa"/>
            <w:shd w:val="clear" w:color="auto" w:fill="auto"/>
            <w:vAlign w:val="bottom"/>
            <w:hideMark/>
          </w:tcPr>
          <w:p w14:paraId="2D595A6F" w14:textId="2B319E4A"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28</w:t>
            </w:r>
          </w:p>
        </w:tc>
        <w:tc>
          <w:tcPr>
            <w:tcW w:w="486" w:type="dxa"/>
            <w:shd w:val="clear" w:color="auto" w:fill="auto"/>
            <w:vAlign w:val="bottom"/>
            <w:hideMark/>
          </w:tcPr>
          <w:p w14:paraId="57EF30C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w:t>
            </w:r>
          </w:p>
        </w:tc>
        <w:tc>
          <w:tcPr>
            <w:tcW w:w="2124" w:type="dxa"/>
            <w:shd w:val="clear" w:color="auto" w:fill="auto"/>
            <w:vAlign w:val="bottom"/>
            <w:hideMark/>
          </w:tcPr>
          <w:p w14:paraId="0E2F6E6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28</w:t>
            </w:r>
          </w:p>
        </w:tc>
      </w:tr>
      <w:tr w:rsidR="00A829CB" w:rsidRPr="00A829CB" w14:paraId="418A0306" w14:textId="77777777" w:rsidTr="00F95236">
        <w:trPr>
          <w:trHeight w:val="300"/>
        </w:trPr>
        <w:tc>
          <w:tcPr>
            <w:tcW w:w="1073" w:type="dxa"/>
            <w:shd w:val="clear" w:color="auto" w:fill="auto"/>
            <w:vAlign w:val="bottom"/>
            <w:hideMark/>
          </w:tcPr>
          <w:p w14:paraId="61F6E984"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2-A</w:t>
            </w:r>
          </w:p>
        </w:tc>
        <w:tc>
          <w:tcPr>
            <w:tcW w:w="852" w:type="dxa"/>
            <w:shd w:val="clear" w:color="auto" w:fill="auto"/>
            <w:vAlign w:val="bottom"/>
            <w:hideMark/>
          </w:tcPr>
          <w:p w14:paraId="586956E7" w14:textId="4302E394"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30</w:t>
            </w:r>
          </w:p>
        </w:tc>
        <w:tc>
          <w:tcPr>
            <w:tcW w:w="1331" w:type="dxa"/>
            <w:shd w:val="clear" w:color="auto" w:fill="auto"/>
            <w:vAlign w:val="bottom"/>
            <w:hideMark/>
          </w:tcPr>
          <w:p w14:paraId="5C37AF9D"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11/30/2020</w:t>
            </w:r>
          </w:p>
        </w:tc>
        <w:tc>
          <w:tcPr>
            <w:tcW w:w="933" w:type="dxa"/>
            <w:shd w:val="clear" w:color="auto" w:fill="auto"/>
            <w:vAlign w:val="bottom"/>
            <w:hideMark/>
          </w:tcPr>
          <w:p w14:paraId="5F58EFC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2-A</w:t>
            </w:r>
          </w:p>
        </w:tc>
        <w:tc>
          <w:tcPr>
            <w:tcW w:w="1229" w:type="dxa"/>
            <w:shd w:val="clear" w:color="auto" w:fill="auto"/>
            <w:vAlign w:val="bottom"/>
            <w:hideMark/>
          </w:tcPr>
          <w:p w14:paraId="71F29128" w14:textId="46CD56FD"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30</w:t>
            </w:r>
          </w:p>
        </w:tc>
        <w:tc>
          <w:tcPr>
            <w:tcW w:w="486" w:type="dxa"/>
            <w:shd w:val="clear" w:color="auto" w:fill="auto"/>
            <w:vAlign w:val="bottom"/>
            <w:hideMark/>
          </w:tcPr>
          <w:p w14:paraId="01B7A7C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2-A</w:t>
            </w:r>
          </w:p>
        </w:tc>
        <w:tc>
          <w:tcPr>
            <w:tcW w:w="2124" w:type="dxa"/>
            <w:shd w:val="clear" w:color="auto" w:fill="auto"/>
            <w:vAlign w:val="bottom"/>
            <w:hideMark/>
          </w:tcPr>
          <w:p w14:paraId="7DABC3F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30</w:t>
            </w:r>
          </w:p>
        </w:tc>
      </w:tr>
      <w:tr w:rsidR="00A829CB" w:rsidRPr="00A829CB" w14:paraId="3D8E66E3" w14:textId="77777777" w:rsidTr="00F95236">
        <w:trPr>
          <w:trHeight w:val="314"/>
        </w:trPr>
        <w:tc>
          <w:tcPr>
            <w:tcW w:w="1073" w:type="dxa"/>
            <w:shd w:val="clear" w:color="auto" w:fill="auto"/>
            <w:vAlign w:val="bottom"/>
            <w:hideMark/>
          </w:tcPr>
          <w:p w14:paraId="66A2C662"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w:t>
            </w:r>
          </w:p>
        </w:tc>
        <w:tc>
          <w:tcPr>
            <w:tcW w:w="852" w:type="dxa"/>
            <w:shd w:val="clear" w:color="auto" w:fill="auto"/>
            <w:vAlign w:val="bottom"/>
            <w:hideMark/>
          </w:tcPr>
          <w:p w14:paraId="0DA18934" w14:textId="1FD8674D"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22</w:t>
            </w:r>
          </w:p>
        </w:tc>
        <w:tc>
          <w:tcPr>
            <w:tcW w:w="1331" w:type="dxa"/>
            <w:shd w:val="clear" w:color="auto" w:fill="auto"/>
            <w:vAlign w:val="bottom"/>
            <w:hideMark/>
          </w:tcPr>
          <w:p w14:paraId="09193D13"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2848C9A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w:t>
            </w:r>
          </w:p>
        </w:tc>
        <w:tc>
          <w:tcPr>
            <w:tcW w:w="1229" w:type="dxa"/>
            <w:shd w:val="clear" w:color="auto" w:fill="auto"/>
            <w:vAlign w:val="bottom"/>
            <w:hideMark/>
          </w:tcPr>
          <w:p w14:paraId="0B6E18DE" w14:textId="72CAA267"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22</w:t>
            </w:r>
          </w:p>
        </w:tc>
        <w:tc>
          <w:tcPr>
            <w:tcW w:w="486" w:type="dxa"/>
            <w:shd w:val="clear" w:color="auto" w:fill="auto"/>
            <w:vAlign w:val="bottom"/>
            <w:hideMark/>
          </w:tcPr>
          <w:p w14:paraId="19BCAB6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6T*</w:t>
            </w:r>
          </w:p>
        </w:tc>
        <w:tc>
          <w:tcPr>
            <w:tcW w:w="2124" w:type="dxa"/>
            <w:shd w:val="clear" w:color="auto" w:fill="auto"/>
            <w:vAlign w:val="bottom"/>
            <w:hideMark/>
          </w:tcPr>
          <w:p w14:paraId="7608757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5B1D663B" w14:textId="77777777" w:rsidTr="00F95236">
        <w:trPr>
          <w:trHeight w:val="440"/>
        </w:trPr>
        <w:tc>
          <w:tcPr>
            <w:tcW w:w="1073" w:type="dxa"/>
            <w:shd w:val="clear" w:color="auto" w:fill="auto"/>
            <w:vAlign w:val="bottom"/>
            <w:hideMark/>
          </w:tcPr>
          <w:p w14:paraId="1B0DEF9A"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6-Q*</w:t>
            </w:r>
          </w:p>
        </w:tc>
        <w:tc>
          <w:tcPr>
            <w:tcW w:w="852" w:type="dxa"/>
            <w:shd w:val="clear" w:color="auto" w:fill="auto"/>
            <w:vAlign w:val="bottom"/>
            <w:hideMark/>
          </w:tcPr>
          <w:p w14:paraId="00ADB852" w14:textId="4BFFC63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206</w:t>
            </w:r>
          </w:p>
        </w:tc>
        <w:tc>
          <w:tcPr>
            <w:tcW w:w="1331" w:type="dxa"/>
            <w:shd w:val="clear" w:color="auto" w:fill="auto"/>
            <w:vAlign w:val="bottom"/>
            <w:hideMark/>
          </w:tcPr>
          <w:p w14:paraId="2384DF4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9/30/2019</w:t>
            </w:r>
          </w:p>
        </w:tc>
        <w:tc>
          <w:tcPr>
            <w:tcW w:w="933" w:type="dxa"/>
            <w:shd w:val="clear" w:color="auto" w:fill="auto"/>
            <w:vAlign w:val="bottom"/>
            <w:hideMark/>
          </w:tcPr>
          <w:p w14:paraId="3B77920C"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6-Q</w:t>
            </w:r>
          </w:p>
        </w:tc>
        <w:tc>
          <w:tcPr>
            <w:tcW w:w="1229" w:type="dxa"/>
            <w:shd w:val="clear" w:color="auto" w:fill="auto"/>
            <w:vAlign w:val="bottom"/>
            <w:hideMark/>
          </w:tcPr>
          <w:p w14:paraId="752AAC1D" w14:textId="5DBD1752"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206</w:t>
            </w:r>
          </w:p>
        </w:tc>
        <w:tc>
          <w:tcPr>
            <w:tcW w:w="486" w:type="dxa"/>
            <w:shd w:val="clear" w:color="auto" w:fill="auto"/>
            <w:vAlign w:val="bottom"/>
            <w:hideMark/>
          </w:tcPr>
          <w:p w14:paraId="0119BD4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6-QT*</w:t>
            </w:r>
          </w:p>
        </w:tc>
        <w:tc>
          <w:tcPr>
            <w:tcW w:w="2124" w:type="dxa"/>
            <w:shd w:val="clear" w:color="auto" w:fill="auto"/>
            <w:vAlign w:val="bottom"/>
            <w:hideMark/>
          </w:tcPr>
          <w:p w14:paraId="537F70F6"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533DE666" w14:textId="77777777" w:rsidTr="00F95236">
        <w:trPr>
          <w:trHeight w:val="300"/>
        </w:trPr>
        <w:tc>
          <w:tcPr>
            <w:tcW w:w="1073" w:type="dxa"/>
            <w:shd w:val="clear" w:color="auto" w:fill="auto"/>
            <w:vAlign w:val="bottom"/>
            <w:hideMark/>
          </w:tcPr>
          <w:p w14:paraId="11E7DB13"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60*</w:t>
            </w:r>
          </w:p>
        </w:tc>
        <w:tc>
          <w:tcPr>
            <w:tcW w:w="852" w:type="dxa"/>
            <w:shd w:val="clear" w:color="auto" w:fill="auto"/>
            <w:vAlign w:val="bottom"/>
            <w:hideMark/>
          </w:tcPr>
          <w:p w14:paraId="06CC2220" w14:textId="65E6BE58"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215</w:t>
            </w:r>
          </w:p>
        </w:tc>
        <w:tc>
          <w:tcPr>
            <w:tcW w:w="1331" w:type="dxa"/>
            <w:shd w:val="clear" w:color="auto" w:fill="auto"/>
            <w:vAlign w:val="bottom"/>
            <w:hideMark/>
          </w:tcPr>
          <w:p w14:paraId="6045DE4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5/31/2019</w:t>
            </w:r>
          </w:p>
        </w:tc>
        <w:tc>
          <w:tcPr>
            <w:tcW w:w="933" w:type="dxa"/>
            <w:shd w:val="clear" w:color="auto" w:fill="auto"/>
            <w:vAlign w:val="bottom"/>
            <w:hideMark/>
          </w:tcPr>
          <w:p w14:paraId="736CE33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60A*</w:t>
            </w:r>
          </w:p>
        </w:tc>
        <w:tc>
          <w:tcPr>
            <w:tcW w:w="1229" w:type="dxa"/>
            <w:shd w:val="clear" w:color="auto" w:fill="auto"/>
            <w:vAlign w:val="bottom"/>
            <w:hideMark/>
          </w:tcPr>
          <w:p w14:paraId="3354BEBF" w14:textId="44A6CD41"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308</w:t>
            </w:r>
          </w:p>
        </w:tc>
        <w:tc>
          <w:tcPr>
            <w:tcW w:w="486" w:type="dxa"/>
            <w:shd w:val="clear" w:color="auto" w:fill="auto"/>
            <w:vAlign w:val="bottom"/>
            <w:hideMark/>
          </w:tcPr>
          <w:p w14:paraId="5526673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60A*</w:t>
            </w:r>
          </w:p>
        </w:tc>
        <w:tc>
          <w:tcPr>
            <w:tcW w:w="2124" w:type="dxa"/>
            <w:shd w:val="clear" w:color="auto" w:fill="auto"/>
            <w:vAlign w:val="bottom"/>
            <w:hideMark/>
          </w:tcPr>
          <w:p w14:paraId="3D53CF2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308</w:t>
            </w:r>
          </w:p>
        </w:tc>
      </w:tr>
      <w:tr w:rsidR="00A829CB" w:rsidRPr="00A829CB" w14:paraId="547245A9" w14:textId="77777777" w:rsidTr="00F95236">
        <w:trPr>
          <w:trHeight w:val="1115"/>
        </w:trPr>
        <w:tc>
          <w:tcPr>
            <w:tcW w:w="1073" w:type="dxa"/>
            <w:shd w:val="clear" w:color="auto" w:fill="auto"/>
            <w:vAlign w:val="bottom"/>
            <w:hideMark/>
          </w:tcPr>
          <w:p w14:paraId="08BCC6DA"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714*</w:t>
            </w:r>
          </w:p>
        </w:tc>
        <w:tc>
          <w:tcPr>
            <w:tcW w:w="852" w:type="dxa"/>
            <w:shd w:val="clear" w:color="auto" w:fill="auto"/>
            <w:vAlign w:val="bottom"/>
            <w:hideMark/>
          </w:tcPr>
          <w:p w14:paraId="4D254CF8" w14:textId="5794E8CB"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140</w:t>
            </w:r>
          </w:p>
        </w:tc>
        <w:tc>
          <w:tcPr>
            <w:tcW w:w="1331" w:type="dxa"/>
            <w:shd w:val="clear" w:color="auto" w:fill="auto"/>
            <w:vAlign w:val="bottom"/>
            <w:hideMark/>
          </w:tcPr>
          <w:p w14:paraId="2B06B3A4" w14:textId="26707802" w:rsidR="00A829CB" w:rsidRPr="00E9060E" w:rsidRDefault="00FE5980"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xml:space="preserve">Renewal </w:t>
            </w:r>
            <w:r w:rsidR="00A829CB" w:rsidRPr="00E9060E">
              <w:rPr>
                <w:rFonts w:ascii="Times New Roman" w:eastAsia="Times New Roman" w:hAnsi="Times New Roman"/>
                <w:color w:val="000000"/>
                <w:sz w:val="26"/>
                <w:szCs w:val="26"/>
              </w:rPr>
              <w:t>pending OMB review</w:t>
            </w:r>
          </w:p>
        </w:tc>
        <w:tc>
          <w:tcPr>
            <w:tcW w:w="933" w:type="dxa"/>
            <w:shd w:val="clear" w:color="auto" w:fill="auto"/>
            <w:vAlign w:val="bottom"/>
            <w:hideMark/>
          </w:tcPr>
          <w:p w14:paraId="3B26637C"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714A*</w:t>
            </w:r>
          </w:p>
        </w:tc>
        <w:tc>
          <w:tcPr>
            <w:tcW w:w="1229" w:type="dxa"/>
            <w:shd w:val="clear" w:color="auto" w:fill="auto"/>
            <w:vAlign w:val="bottom"/>
            <w:hideMark/>
          </w:tcPr>
          <w:p w14:paraId="4AC35BC5" w14:textId="608B073F"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307</w:t>
            </w:r>
          </w:p>
        </w:tc>
        <w:tc>
          <w:tcPr>
            <w:tcW w:w="486" w:type="dxa"/>
            <w:shd w:val="clear" w:color="auto" w:fill="auto"/>
            <w:vAlign w:val="bottom"/>
            <w:hideMark/>
          </w:tcPr>
          <w:p w14:paraId="43A4789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714***</w:t>
            </w:r>
          </w:p>
        </w:tc>
        <w:tc>
          <w:tcPr>
            <w:tcW w:w="2124" w:type="dxa"/>
            <w:shd w:val="clear" w:color="auto" w:fill="auto"/>
            <w:vAlign w:val="bottom"/>
            <w:hideMark/>
          </w:tcPr>
          <w:p w14:paraId="17B34BDE"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140</w:t>
            </w:r>
          </w:p>
        </w:tc>
      </w:tr>
      <w:tr w:rsidR="00A829CB" w:rsidRPr="00A829CB" w14:paraId="4870B3CA" w14:textId="77777777" w:rsidTr="00F95236">
        <w:trPr>
          <w:trHeight w:val="1187"/>
        </w:trPr>
        <w:tc>
          <w:tcPr>
            <w:tcW w:w="8028" w:type="dxa"/>
            <w:gridSpan w:val="7"/>
            <w:shd w:val="clear" w:color="auto" w:fill="auto"/>
            <w:vAlign w:val="bottom"/>
            <w:hideMark/>
          </w:tcPr>
          <w:p w14:paraId="3EE73F35" w14:textId="0C6F70F3"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xml:space="preserve">*Note:  Due </w:t>
            </w:r>
            <w:r w:rsidR="00FE5980" w:rsidRPr="00E9060E">
              <w:rPr>
                <w:rFonts w:ascii="Times New Roman" w:eastAsia="Times New Roman" w:hAnsi="Times New Roman"/>
                <w:color w:val="000000"/>
                <w:sz w:val="26"/>
                <w:szCs w:val="26"/>
              </w:rPr>
              <w:t>to expiration dates in 2019</w:t>
            </w:r>
            <w:r w:rsidRPr="00E9060E">
              <w:rPr>
                <w:rFonts w:ascii="Times New Roman" w:eastAsia="Times New Roman" w:hAnsi="Times New Roman"/>
                <w:color w:val="000000"/>
                <w:sz w:val="26"/>
                <w:szCs w:val="26"/>
              </w:rPr>
              <w:t xml:space="preserve"> for many of the </w:t>
            </w:r>
            <w:r w:rsidR="0044533A">
              <w:rPr>
                <w:rFonts w:ascii="Times New Roman" w:eastAsia="Times New Roman" w:hAnsi="Times New Roman"/>
                <w:color w:val="000000"/>
                <w:sz w:val="26"/>
                <w:szCs w:val="26"/>
              </w:rPr>
              <w:t>VFP</w:t>
            </w:r>
            <w:r w:rsidRPr="00E9060E">
              <w:rPr>
                <w:rFonts w:ascii="Times New Roman" w:eastAsia="Times New Roman" w:hAnsi="Times New Roman"/>
                <w:color w:val="000000"/>
                <w:sz w:val="26"/>
                <w:szCs w:val="26"/>
              </w:rPr>
              <w:t xml:space="preserve"> </w:t>
            </w:r>
            <w:r w:rsidR="0044533A">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orms, the renewal work for several of the </w:t>
            </w:r>
            <w:r w:rsidR="0044533A">
              <w:rPr>
                <w:rFonts w:ascii="Times New Roman" w:eastAsia="Times New Roman" w:hAnsi="Times New Roman"/>
                <w:color w:val="000000"/>
                <w:sz w:val="26"/>
                <w:szCs w:val="26"/>
              </w:rPr>
              <w:t>forms</w:t>
            </w:r>
            <w:r w:rsidRPr="00E9060E">
              <w:rPr>
                <w:rFonts w:ascii="Times New Roman" w:eastAsia="Times New Roman" w:hAnsi="Times New Roman"/>
                <w:color w:val="000000"/>
                <w:sz w:val="26"/>
                <w:szCs w:val="26"/>
              </w:rPr>
              <w:t xml:space="preserve"> is in process or pending at OMB during the Forms Refresh rulemaking effort in Docket No. RM19-12.  Th</w:t>
            </w:r>
            <w:r w:rsidR="007951AD">
              <w:rPr>
                <w:rFonts w:ascii="Times New Roman" w:eastAsia="Times New Roman" w:hAnsi="Times New Roman"/>
                <w:color w:val="000000"/>
                <w:sz w:val="26"/>
                <w:szCs w:val="26"/>
              </w:rPr>
              <w:t>e simultaneous OMB processes have required the assignment of</w:t>
            </w:r>
            <w:r w:rsidRPr="00E9060E">
              <w:rPr>
                <w:rFonts w:ascii="Times New Roman" w:eastAsia="Times New Roman" w:hAnsi="Times New Roman"/>
                <w:color w:val="000000"/>
                <w:sz w:val="26"/>
                <w:szCs w:val="26"/>
              </w:rPr>
              <w:t xml:space="preserve"> </w:t>
            </w:r>
            <w:r w:rsidR="007951AD">
              <w:rPr>
                <w:rFonts w:ascii="Times New Roman" w:eastAsia="Times New Roman" w:hAnsi="Times New Roman"/>
                <w:color w:val="000000"/>
                <w:sz w:val="26"/>
                <w:szCs w:val="26"/>
              </w:rPr>
              <w:t>alternate</w:t>
            </w:r>
            <w:r w:rsidRPr="00E9060E">
              <w:rPr>
                <w:rFonts w:ascii="Times New Roman" w:eastAsia="Times New Roman" w:hAnsi="Times New Roman"/>
                <w:color w:val="000000"/>
                <w:sz w:val="26"/>
                <w:szCs w:val="26"/>
              </w:rPr>
              <w:t xml:space="preserve"> temporary info</w:t>
            </w:r>
            <w:r w:rsidR="007951AD">
              <w:rPr>
                <w:rFonts w:ascii="Times New Roman" w:eastAsia="Times New Roman" w:hAnsi="Times New Roman"/>
                <w:color w:val="000000"/>
                <w:sz w:val="26"/>
                <w:szCs w:val="26"/>
              </w:rPr>
              <w:t>rmation</w:t>
            </w:r>
            <w:r w:rsidRPr="00E9060E">
              <w:rPr>
                <w:rFonts w:ascii="Times New Roman" w:eastAsia="Times New Roman" w:hAnsi="Times New Roman"/>
                <w:color w:val="000000"/>
                <w:sz w:val="26"/>
                <w:szCs w:val="26"/>
              </w:rPr>
              <w:t xml:space="preserve">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at the NOPR and/or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stages.</w:t>
            </w:r>
          </w:p>
        </w:tc>
      </w:tr>
      <w:tr w:rsidR="00A829CB" w:rsidRPr="00A829CB" w14:paraId="7FA46568" w14:textId="77777777" w:rsidTr="00F95236">
        <w:trPr>
          <w:trHeight w:val="845"/>
        </w:trPr>
        <w:tc>
          <w:tcPr>
            <w:tcW w:w="8028" w:type="dxa"/>
            <w:gridSpan w:val="7"/>
            <w:shd w:val="clear" w:color="auto" w:fill="auto"/>
            <w:vAlign w:val="bottom"/>
            <w:hideMark/>
          </w:tcPr>
          <w:p w14:paraId="26AE1690" w14:textId="2970F6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**Note:  The information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ending in </w:t>
            </w:r>
            <w:r w:rsidR="00B80607">
              <w:rPr>
                <w:rFonts w:ascii="Times New Roman" w:eastAsia="Times New Roman" w:hAnsi="Times New Roman"/>
                <w:color w:val="000000"/>
                <w:sz w:val="26"/>
                <w:szCs w:val="26"/>
              </w:rPr>
              <w:t>“</w:t>
            </w:r>
            <w:r w:rsidRPr="00E9060E">
              <w:rPr>
                <w:rFonts w:ascii="Times New Roman" w:eastAsia="Times New Roman" w:hAnsi="Times New Roman"/>
                <w:color w:val="000000"/>
                <w:sz w:val="26"/>
                <w:szCs w:val="26"/>
              </w:rPr>
              <w:t>T</w:t>
            </w:r>
            <w:r w:rsidR="00B80607">
              <w:rPr>
                <w:rFonts w:ascii="Times New Roman" w:eastAsia="Times New Roman" w:hAnsi="Times New Roman"/>
                <w:color w:val="000000"/>
                <w:sz w:val="26"/>
                <w:szCs w:val="26"/>
              </w:rPr>
              <w:t>”</w:t>
            </w:r>
            <w:r w:rsidRPr="00E9060E">
              <w:rPr>
                <w:rFonts w:ascii="Times New Roman" w:eastAsia="Times New Roman" w:hAnsi="Times New Roman"/>
                <w:color w:val="000000"/>
                <w:sz w:val="26"/>
                <w:szCs w:val="26"/>
              </w:rPr>
              <w:t xml:space="preserve"> (and the 60A) are the temporary information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used in the Paperwork Reduction Act packages for submittal of the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to OMB.</w:t>
            </w:r>
          </w:p>
        </w:tc>
      </w:tr>
      <w:tr w:rsidR="00A829CB" w:rsidRPr="00A829CB" w14:paraId="211E0856" w14:textId="77777777" w:rsidTr="00F95236">
        <w:trPr>
          <w:trHeight w:val="1088"/>
        </w:trPr>
        <w:tc>
          <w:tcPr>
            <w:tcW w:w="8028" w:type="dxa"/>
            <w:gridSpan w:val="7"/>
            <w:shd w:val="clear" w:color="auto" w:fill="auto"/>
            <w:vAlign w:val="bottom"/>
            <w:hideMark/>
          </w:tcPr>
          <w:p w14:paraId="60D3317A" w14:textId="2AB44915" w:rsidR="00A829CB" w:rsidRPr="00E9060E" w:rsidRDefault="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***Note:  The renewal request for FERC</w:t>
            </w:r>
            <w:r w:rsidR="00BC4ED1">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 was submitted to OMB on 3/20/2019.  As of 6/</w:t>
            </w:r>
            <w:r w:rsidR="00DD0D3D">
              <w:rPr>
                <w:rFonts w:ascii="Times New Roman" w:eastAsia="Times New Roman" w:hAnsi="Times New Roman"/>
                <w:color w:val="000000"/>
                <w:sz w:val="26"/>
                <w:szCs w:val="26"/>
              </w:rPr>
              <w:t>25</w:t>
            </w:r>
            <w:r w:rsidRPr="00E9060E">
              <w:rPr>
                <w:rFonts w:ascii="Times New Roman" w:eastAsia="Times New Roman" w:hAnsi="Times New Roman"/>
                <w:color w:val="000000"/>
                <w:sz w:val="26"/>
                <w:szCs w:val="26"/>
              </w:rPr>
              <w:t>/2019, that request is still pending</w:t>
            </w:r>
            <w:r w:rsidR="00DD0D3D">
              <w:rPr>
                <w:rFonts w:ascii="Times New Roman" w:eastAsia="Times New Roman" w:hAnsi="Times New Roman"/>
                <w:color w:val="000000"/>
                <w:sz w:val="26"/>
                <w:szCs w:val="26"/>
              </w:rPr>
              <w:t xml:space="preserve"> OMB review</w:t>
            </w:r>
            <w:r w:rsidRPr="00E9060E">
              <w:rPr>
                <w:rFonts w:ascii="Times New Roman" w:eastAsia="Times New Roman" w:hAnsi="Times New Roman"/>
                <w:color w:val="000000"/>
                <w:sz w:val="26"/>
                <w:szCs w:val="26"/>
              </w:rPr>
              <w:t xml:space="preserve">.  If OMB issues a decision on that request soon, the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in Docket No. RM19-12 will be submitted under FERC</w:t>
            </w:r>
            <w:r w:rsidR="00B75C98">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 (rather than FERC</w:t>
            </w:r>
            <w:r w:rsidR="00B75C98">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714A).</w:t>
            </w:r>
            <w:r w:rsidR="00063E71">
              <w:rPr>
                <w:rFonts w:ascii="Times New Roman" w:eastAsia="Times New Roman" w:hAnsi="Times New Roman"/>
                <w:color w:val="000000"/>
                <w:sz w:val="26"/>
                <w:szCs w:val="26"/>
              </w:rPr>
              <w:t xml:space="preserve"> </w:t>
            </w:r>
          </w:p>
        </w:tc>
      </w:tr>
    </w:tbl>
    <w:p w14:paraId="19107D2A" w14:textId="0894B287" w:rsidR="00672EA7" w:rsidRPr="00E9060E" w:rsidRDefault="00672EA7" w:rsidP="00BD0F89">
      <w:pPr>
        <w:pStyle w:val="ListParagraph"/>
        <w:spacing w:line="240" w:lineRule="auto"/>
        <w:ind w:left="0"/>
        <w:rPr>
          <w:rFonts w:ascii="Times New Roman" w:hAnsi="Times New Roman"/>
          <w:sz w:val="26"/>
          <w:szCs w:val="26"/>
        </w:rPr>
      </w:pPr>
    </w:p>
    <w:p w14:paraId="7E7371D8" w14:textId="3E997492" w:rsidR="00565432" w:rsidRPr="00E9060E" w:rsidRDefault="002C3ADD" w:rsidP="00BD0F89">
      <w:pPr>
        <w:pStyle w:val="ListParagraph"/>
        <w:spacing w:line="240" w:lineRule="auto"/>
        <w:ind w:left="0"/>
        <w:rPr>
          <w:rFonts w:ascii="Times New Roman" w:hAnsi="Times New Roman"/>
          <w:sz w:val="26"/>
          <w:szCs w:val="26"/>
        </w:rPr>
      </w:pPr>
      <w:r w:rsidRPr="00E9060E">
        <w:rPr>
          <w:rFonts w:ascii="Times New Roman" w:hAnsi="Times New Roman"/>
          <w:b/>
          <w:sz w:val="26"/>
          <w:szCs w:val="26"/>
        </w:rPr>
        <w:t xml:space="preserve">Forms Refresh </w:t>
      </w:r>
      <w:r w:rsidR="00C107F4" w:rsidRPr="00E9060E">
        <w:rPr>
          <w:rFonts w:ascii="Times New Roman" w:hAnsi="Times New Roman"/>
          <w:b/>
          <w:sz w:val="26"/>
          <w:szCs w:val="26"/>
        </w:rPr>
        <w:t xml:space="preserve">Process and Goal.  </w:t>
      </w:r>
      <w:r w:rsidR="00565432" w:rsidRPr="00E9060E">
        <w:rPr>
          <w:rFonts w:ascii="Times New Roman" w:hAnsi="Times New Roman"/>
          <w:sz w:val="26"/>
          <w:szCs w:val="26"/>
        </w:rPr>
        <w:t xml:space="preserve">Currently, these information collections use a Commission-distributed software application called Visual FoxPro (VFP).  Each entity is required to gather its relevant financial and other data and enter the data into </w:t>
      </w:r>
      <w:r w:rsidR="001C2900" w:rsidRPr="00E9060E">
        <w:rPr>
          <w:rFonts w:ascii="Times New Roman" w:hAnsi="Times New Roman"/>
          <w:sz w:val="26"/>
          <w:szCs w:val="26"/>
        </w:rPr>
        <w:t>VFP</w:t>
      </w:r>
      <w:r w:rsidR="00565432" w:rsidRPr="00E9060E">
        <w:rPr>
          <w:rFonts w:ascii="Times New Roman" w:hAnsi="Times New Roman"/>
          <w:sz w:val="26"/>
          <w:szCs w:val="26"/>
        </w:rPr>
        <w:t xml:space="preserve">, which the entity maintains on its own computer system.  The entity then uses the </w:t>
      </w:r>
      <w:r w:rsidR="001C2900" w:rsidRPr="00E9060E">
        <w:rPr>
          <w:rFonts w:ascii="Times New Roman" w:hAnsi="Times New Roman"/>
          <w:sz w:val="26"/>
          <w:szCs w:val="26"/>
        </w:rPr>
        <w:t>VFP</w:t>
      </w:r>
      <w:r w:rsidR="00565432" w:rsidRPr="00E9060E">
        <w:rPr>
          <w:rFonts w:ascii="Times New Roman" w:hAnsi="Times New Roman"/>
          <w:sz w:val="26"/>
          <w:szCs w:val="26"/>
        </w:rPr>
        <w:t xml:space="preserve"> software to transmit the information to the Commission.  However, Microsoft Corporation, the developer of Visual FoxPro, no longer supports this product.  </w:t>
      </w:r>
    </w:p>
    <w:p w14:paraId="2DE3696D" w14:textId="22DA6805" w:rsidR="001F096A" w:rsidRPr="00E9060E" w:rsidRDefault="00DB4D60" w:rsidP="001F096A">
      <w:pPr>
        <w:spacing w:after="0" w:line="240" w:lineRule="auto"/>
        <w:rPr>
          <w:rFonts w:ascii="Times New Roman" w:hAnsi="Times New Roman"/>
          <w:sz w:val="26"/>
          <w:szCs w:val="26"/>
        </w:rPr>
      </w:pPr>
      <w:r w:rsidRPr="00E9060E">
        <w:rPr>
          <w:rFonts w:ascii="Times New Roman" w:hAnsi="Times New Roman"/>
          <w:sz w:val="26"/>
          <w:szCs w:val="26"/>
        </w:rPr>
        <w:t>In moving to a long-term solution for the VFP Forms, t</w:t>
      </w:r>
      <w:r w:rsidR="00565432" w:rsidRPr="00E9060E">
        <w:rPr>
          <w:rFonts w:ascii="Times New Roman" w:hAnsi="Times New Roman"/>
          <w:sz w:val="26"/>
          <w:szCs w:val="26"/>
        </w:rPr>
        <w:t xml:space="preserve">he Commission has held conferences and </w:t>
      </w:r>
      <w:r w:rsidR="00331FD7" w:rsidRPr="00E9060E">
        <w:rPr>
          <w:rFonts w:ascii="Times New Roman" w:hAnsi="Times New Roman"/>
          <w:sz w:val="26"/>
          <w:szCs w:val="26"/>
        </w:rPr>
        <w:t xml:space="preserve">discussions with </w:t>
      </w:r>
      <w:r w:rsidR="00565432" w:rsidRPr="00E9060E">
        <w:rPr>
          <w:rFonts w:ascii="Times New Roman" w:hAnsi="Times New Roman"/>
          <w:sz w:val="26"/>
          <w:szCs w:val="26"/>
        </w:rPr>
        <w:t xml:space="preserve">industry </w:t>
      </w:r>
      <w:r w:rsidR="00331FD7" w:rsidRPr="00E9060E">
        <w:rPr>
          <w:rFonts w:ascii="Times New Roman" w:hAnsi="Times New Roman"/>
          <w:sz w:val="26"/>
          <w:szCs w:val="26"/>
        </w:rPr>
        <w:t xml:space="preserve">members, other federal agencies, </w:t>
      </w:r>
      <w:r w:rsidR="00565432" w:rsidRPr="00E9060E">
        <w:rPr>
          <w:rFonts w:ascii="Times New Roman" w:hAnsi="Times New Roman"/>
          <w:sz w:val="26"/>
          <w:szCs w:val="26"/>
        </w:rPr>
        <w:t>and other stakeholders</w:t>
      </w:r>
      <w:r w:rsidR="00524C2C" w:rsidRPr="00E9060E">
        <w:rPr>
          <w:rFonts w:ascii="Times New Roman" w:hAnsi="Times New Roman"/>
          <w:sz w:val="26"/>
          <w:szCs w:val="26"/>
        </w:rPr>
        <w:t>.</w:t>
      </w:r>
      <w:r w:rsidR="00565432" w:rsidRPr="00E9060E">
        <w:rPr>
          <w:rFonts w:ascii="Times New Roman" w:hAnsi="Times New Roman"/>
          <w:sz w:val="26"/>
          <w:szCs w:val="26"/>
        </w:rPr>
        <w:t xml:space="preserve">  Based on these discussions, </w:t>
      </w:r>
      <w:r w:rsidR="00B66C65" w:rsidRPr="00E9060E">
        <w:rPr>
          <w:rFonts w:ascii="Times New Roman" w:hAnsi="Times New Roman"/>
          <w:sz w:val="26"/>
          <w:szCs w:val="26"/>
        </w:rPr>
        <w:t>the Commission</w:t>
      </w:r>
      <w:r w:rsidR="00565432" w:rsidRPr="00E9060E">
        <w:rPr>
          <w:rFonts w:ascii="Times New Roman" w:hAnsi="Times New Roman"/>
          <w:sz w:val="26"/>
          <w:szCs w:val="26"/>
        </w:rPr>
        <w:t xml:space="preserve"> </w:t>
      </w:r>
      <w:r w:rsidR="00B66C65" w:rsidRPr="00E9060E">
        <w:rPr>
          <w:rFonts w:ascii="Times New Roman" w:hAnsi="Times New Roman"/>
          <w:sz w:val="26"/>
          <w:szCs w:val="26"/>
        </w:rPr>
        <w:t>believes</w:t>
      </w:r>
      <w:r w:rsidR="00565432" w:rsidRPr="00E9060E">
        <w:rPr>
          <w:rFonts w:ascii="Times New Roman" w:hAnsi="Times New Roman"/>
          <w:sz w:val="26"/>
          <w:szCs w:val="26"/>
        </w:rPr>
        <w:t xml:space="preserve"> a standard built on </w:t>
      </w:r>
      <w:r w:rsidR="003E74C9" w:rsidRPr="00E9060E">
        <w:rPr>
          <w:rFonts w:ascii="Times New Roman" w:hAnsi="Times New Roman"/>
          <w:sz w:val="26"/>
          <w:szCs w:val="26"/>
        </w:rPr>
        <w:t>Extensible Markup Language (</w:t>
      </w:r>
      <w:r w:rsidR="00565432" w:rsidRPr="00E9060E">
        <w:rPr>
          <w:rFonts w:ascii="Times New Roman" w:hAnsi="Times New Roman"/>
          <w:sz w:val="26"/>
          <w:szCs w:val="26"/>
        </w:rPr>
        <w:t>XML</w:t>
      </w:r>
      <w:r w:rsidR="003E74C9" w:rsidRPr="00E9060E">
        <w:rPr>
          <w:rFonts w:ascii="Times New Roman" w:hAnsi="Times New Roman"/>
          <w:sz w:val="26"/>
          <w:szCs w:val="26"/>
        </w:rPr>
        <w:t>)</w:t>
      </w:r>
      <w:r w:rsidR="00565432" w:rsidRPr="00E9060E">
        <w:rPr>
          <w:rFonts w:ascii="Times New Roman" w:hAnsi="Times New Roman"/>
          <w:sz w:val="26"/>
          <w:szCs w:val="26"/>
        </w:rPr>
        <w:t xml:space="preserve"> called eXtensible Business Reporting Language (XBRL) </w:t>
      </w:r>
      <w:r w:rsidR="0092600F" w:rsidRPr="00E9060E">
        <w:rPr>
          <w:rFonts w:ascii="Times New Roman" w:hAnsi="Times New Roman"/>
          <w:sz w:val="26"/>
          <w:szCs w:val="26"/>
        </w:rPr>
        <w:t>is</w:t>
      </w:r>
      <w:r w:rsidR="00565432" w:rsidRPr="00E9060E">
        <w:rPr>
          <w:rFonts w:ascii="Times New Roman" w:hAnsi="Times New Roman"/>
          <w:sz w:val="26"/>
          <w:szCs w:val="26"/>
        </w:rPr>
        <w:t xml:space="preserve"> a superior method for both the Commission and filing entities to use.  XBRL was developed specifically for reporting financial data and is used widely for reporting business and financial information.</w:t>
      </w:r>
      <w:r w:rsidR="00DA4FB1" w:rsidRPr="00E9060E">
        <w:rPr>
          <w:rFonts w:ascii="Times New Roman" w:hAnsi="Times New Roman"/>
          <w:sz w:val="26"/>
          <w:szCs w:val="26"/>
        </w:rPr>
        <w:t xml:space="preserve">  </w:t>
      </w:r>
      <w:r w:rsidR="001F096A" w:rsidRPr="00E9060E">
        <w:rPr>
          <w:rFonts w:ascii="Times New Roman" w:hAnsi="Times New Roman"/>
          <w:sz w:val="26"/>
          <w:szCs w:val="26"/>
        </w:rPr>
        <w:t xml:space="preserve">Under the </w:t>
      </w:r>
      <w:r w:rsidR="00C656D8">
        <w:rPr>
          <w:rFonts w:ascii="Times New Roman" w:hAnsi="Times New Roman"/>
          <w:sz w:val="26"/>
          <w:szCs w:val="26"/>
        </w:rPr>
        <w:t>f</w:t>
      </w:r>
      <w:r w:rsidR="00932DF3" w:rsidRPr="00E9060E">
        <w:rPr>
          <w:rFonts w:ascii="Times New Roman" w:hAnsi="Times New Roman"/>
          <w:sz w:val="26"/>
          <w:szCs w:val="26"/>
        </w:rPr>
        <w:t xml:space="preserve">inal </w:t>
      </w:r>
      <w:r w:rsidR="00C656D8">
        <w:rPr>
          <w:rFonts w:ascii="Times New Roman" w:hAnsi="Times New Roman"/>
          <w:sz w:val="26"/>
          <w:szCs w:val="26"/>
        </w:rPr>
        <w:t>r</w:t>
      </w:r>
      <w:r w:rsidR="00932DF3" w:rsidRPr="00E9060E">
        <w:rPr>
          <w:rFonts w:ascii="Times New Roman" w:hAnsi="Times New Roman"/>
          <w:sz w:val="26"/>
          <w:szCs w:val="26"/>
        </w:rPr>
        <w:t>ule</w:t>
      </w:r>
      <w:r w:rsidR="001F096A" w:rsidRPr="00E9060E">
        <w:rPr>
          <w:rFonts w:ascii="Times New Roman" w:hAnsi="Times New Roman"/>
          <w:sz w:val="26"/>
          <w:szCs w:val="26"/>
        </w:rPr>
        <w:t xml:space="preserve">, the Commission is not proposing to change the information currently collected in the VFP Forms, but rather to change the format </w:t>
      </w:r>
      <w:r w:rsidR="00D0696C">
        <w:rPr>
          <w:rFonts w:ascii="Times New Roman" w:hAnsi="Times New Roman"/>
          <w:sz w:val="26"/>
          <w:szCs w:val="26"/>
        </w:rPr>
        <w:t xml:space="preserve">for </w:t>
      </w:r>
      <w:r w:rsidR="00C01AAF">
        <w:rPr>
          <w:rFonts w:ascii="Times New Roman" w:hAnsi="Times New Roman"/>
          <w:sz w:val="26"/>
          <w:szCs w:val="26"/>
        </w:rPr>
        <w:t xml:space="preserve">reporting </w:t>
      </w:r>
      <w:r w:rsidR="001F096A" w:rsidRPr="00E9060E">
        <w:rPr>
          <w:rFonts w:ascii="Times New Roman" w:hAnsi="Times New Roman"/>
          <w:sz w:val="26"/>
          <w:szCs w:val="26"/>
        </w:rPr>
        <w:t>the information from VFP to XBRL.</w:t>
      </w:r>
    </w:p>
    <w:p w14:paraId="67372248" w14:textId="7EC55CE9" w:rsidR="00E14D45" w:rsidRPr="00E9060E" w:rsidRDefault="00E14D45" w:rsidP="001F096A">
      <w:pPr>
        <w:spacing w:after="0" w:line="240" w:lineRule="auto"/>
        <w:rPr>
          <w:rFonts w:ascii="Times New Roman" w:hAnsi="Times New Roman"/>
          <w:sz w:val="26"/>
          <w:szCs w:val="26"/>
        </w:rPr>
      </w:pPr>
    </w:p>
    <w:p w14:paraId="67F058C7" w14:textId="1374A7FA" w:rsidR="00A05351" w:rsidRPr="00E9060E" w:rsidRDefault="00C107F4" w:rsidP="00A05351">
      <w:pPr>
        <w:spacing w:after="0" w:line="240" w:lineRule="auto"/>
        <w:rPr>
          <w:rFonts w:ascii="Times New Roman" w:hAnsi="Times New Roman"/>
          <w:sz w:val="26"/>
          <w:szCs w:val="26"/>
        </w:rPr>
      </w:pPr>
      <w:r w:rsidRPr="00E9060E">
        <w:rPr>
          <w:rFonts w:ascii="Times New Roman" w:hAnsi="Times New Roman"/>
          <w:b/>
          <w:sz w:val="26"/>
          <w:szCs w:val="26"/>
        </w:rPr>
        <w:t>Next Steps</w:t>
      </w:r>
      <w:r w:rsidR="00F0524D">
        <w:rPr>
          <w:rFonts w:ascii="Times New Roman" w:hAnsi="Times New Roman"/>
          <w:b/>
          <w:sz w:val="26"/>
          <w:szCs w:val="26"/>
        </w:rPr>
        <w:t xml:space="preserve"> - </w:t>
      </w:r>
      <w:r w:rsidR="00FE0AB4" w:rsidRPr="00E9060E">
        <w:rPr>
          <w:rFonts w:ascii="Times New Roman" w:hAnsi="Times New Roman"/>
          <w:b/>
          <w:sz w:val="26"/>
          <w:szCs w:val="26"/>
        </w:rPr>
        <w:t xml:space="preserve">after </w:t>
      </w:r>
      <w:r w:rsidR="00C656D8">
        <w:rPr>
          <w:rFonts w:ascii="Times New Roman" w:hAnsi="Times New Roman"/>
          <w:b/>
          <w:sz w:val="26"/>
          <w:szCs w:val="26"/>
        </w:rPr>
        <w:t>f</w:t>
      </w:r>
      <w:r w:rsidR="00FE0AB4" w:rsidRPr="00E9060E">
        <w:rPr>
          <w:rFonts w:ascii="Times New Roman" w:hAnsi="Times New Roman"/>
          <w:b/>
          <w:sz w:val="26"/>
          <w:szCs w:val="26"/>
        </w:rPr>
        <w:t xml:space="preserve">inal </w:t>
      </w:r>
      <w:r w:rsidR="00C656D8">
        <w:rPr>
          <w:rFonts w:ascii="Times New Roman" w:hAnsi="Times New Roman"/>
          <w:b/>
          <w:sz w:val="26"/>
          <w:szCs w:val="26"/>
        </w:rPr>
        <w:t>r</w:t>
      </w:r>
      <w:r w:rsidR="00FE0AB4" w:rsidRPr="00E9060E">
        <w:rPr>
          <w:rFonts w:ascii="Times New Roman" w:hAnsi="Times New Roman"/>
          <w:b/>
          <w:sz w:val="26"/>
          <w:szCs w:val="26"/>
        </w:rPr>
        <w:t>ule</w:t>
      </w:r>
      <w:r w:rsidRPr="00E9060E">
        <w:rPr>
          <w:rFonts w:ascii="Times New Roman" w:hAnsi="Times New Roman"/>
          <w:b/>
          <w:sz w:val="26"/>
          <w:szCs w:val="26"/>
        </w:rPr>
        <w:t xml:space="preserve">.  </w:t>
      </w:r>
      <w:r w:rsidR="00E14D45" w:rsidRPr="00E9060E">
        <w:rPr>
          <w:rFonts w:ascii="Times New Roman" w:hAnsi="Times New Roman"/>
          <w:sz w:val="26"/>
          <w:szCs w:val="26"/>
        </w:rPr>
        <w:t xml:space="preserve">After publication of the </w:t>
      </w:r>
      <w:r w:rsidR="00C656D8">
        <w:rPr>
          <w:rFonts w:ascii="Times New Roman" w:hAnsi="Times New Roman"/>
          <w:sz w:val="26"/>
          <w:szCs w:val="26"/>
        </w:rPr>
        <w:t>f</w:t>
      </w:r>
      <w:r w:rsidR="00E14D45" w:rsidRPr="00E9060E">
        <w:rPr>
          <w:rFonts w:ascii="Times New Roman" w:hAnsi="Times New Roman"/>
          <w:sz w:val="26"/>
          <w:szCs w:val="26"/>
        </w:rPr>
        <w:t xml:space="preserve">inal </w:t>
      </w:r>
      <w:r w:rsidR="00C656D8">
        <w:rPr>
          <w:rFonts w:ascii="Times New Roman" w:hAnsi="Times New Roman"/>
          <w:sz w:val="26"/>
          <w:szCs w:val="26"/>
        </w:rPr>
        <w:t>r</w:t>
      </w:r>
      <w:r w:rsidR="00E14D45" w:rsidRPr="00E9060E">
        <w:rPr>
          <w:rFonts w:ascii="Times New Roman" w:hAnsi="Times New Roman"/>
          <w:sz w:val="26"/>
          <w:szCs w:val="26"/>
        </w:rPr>
        <w:t>ule, the Commission will make available a draft of the XBRL taxonomy and other related documents.  (The taxonomy and implementation guide, etc.</w:t>
      </w:r>
      <w:r w:rsidR="004D3772" w:rsidRPr="00E9060E">
        <w:rPr>
          <w:rFonts w:ascii="Times New Roman" w:hAnsi="Times New Roman"/>
          <w:sz w:val="26"/>
          <w:szCs w:val="26"/>
        </w:rPr>
        <w:t>,</w:t>
      </w:r>
      <w:r w:rsidR="00E14D45" w:rsidRPr="00E9060E">
        <w:rPr>
          <w:rFonts w:ascii="Times New Roman" w:hAnsi="Times New Roman"/>
          <w:sz w:val="26"/>
          <w:szCs w:val="26"/>
        </w:rPr>
        <w:t xml:space="preserve"> are not yet available and not included in this </w:t>
      </w:r>
      <w:r w:rsidR="00A05351" w:rsidRPr="00E9060E">
        <w:rPr>
          <w:rFonts w:ascii="Times New Roman" w:hAnsi="Times New Roman"/>
          <w:sz w:val="26"/>
          <w:szCs w:val="26"/>
        </w:rPr>
        <w:t xml:space="preserve">PRA </w:t>
      </w:r>
      <w:r w:rsidR="00E14D45" w:rsidRPr="00E9060E">
        <w:rPr>
          <w:rFonts w:ascii="Times New Roman" w:hAnsi="Times New Roman"/>
          <w:sz w:val="26"/>
          <w:szCs w:val="26"/>
        </w:rPr>
        <w:t xml:space="preserve">submittal </w:t>
      </w:r>
      <w:r w:rsidR="00A05351" w:rsidRPr="00E9060E">
        <w:rPr>
          <w:rFonts w:ascii="Times New Roman" w:hAnsi="Times New Roman"/>
          <w:sz w:val="26"/>
          <w:szCs w:val="26"/>
        </w:rPr>
        <w:t xml:space="preserve">for </w:t>
      </w:r>
      <w:r w:rsidR="00E14D45" w:rsidRPr="00E9060E">
        <w:rPr>
          <w:rFonts w:ascii="Times New Roman" w:hAnsi="Times New Roman"/>
          <w:sz w:val="26"/>
          <w:szCs w:val="26"/>
        </w:rPr>
        <w:t>OMB</w:t>
      </w:r>
      <w:r w:rsidR="00A05351" w:rsidRPr="00E9060E">
        <w:rPr>
          <w:rFonts w:ascii="Times New Roman" w:hAnsi="Times New Roman"/>
          <w:sz w:val="26"/>
          <w:szCs w:val="26"/>
        </w:rPr>
        <w:t xml:space="preserve"> review</w:t>
      </w:r>
      <w:r w:rsidR="00E14D45" w:rsidRPr="00E9060E">
        <w:rPr>
          <w:rFonts w:ascii="Times New Roman" w:hAnsi="Times New Roman"/>
          <w:sz w:val="26"/>
          <w:szCs w:val="26"/>
        </w:rPr>
        <w:t xml:space="preserve">.)  After public release of these items, Commission staff will convene technical conference(s) to discuss the taxonomy and other related documents, any technical concerns, and any issues related to the transition, including the implementation schedule.  At the conclusion of the technical conference(s), the Commission will continue to collect public comments.  </w:t>
      </w:r>
    </w:p>
    <w:p w14:paraId="065F8027" w14:textId="77777777" w:rsidR="00A05351" w:rsidRPr="00E9060E" w:rsidRDefault="00A05351" w:rsidP="00A05351">
      <w:pPr>
        <w:spacing w:after="0" w:line="240" w:lineRule="auto"/>
        <w:rPr>
          <w:rFonts w:ascii="Times New Roman" w:hAnsi="Times New Roman"/>
          <w:sz w:val="26"/>
          <w:szCs w:val="26"/>
        </w:rPr>
      </w:pPr>
    </w:p>
    <w:p w14:paraId="509BEFC2" w14:textId="77777777" w:rsidR="004D3772" w:rsidRPr="00E9060E" w:rsidRDefault="00E14D45" w:rsidP="00A05351">
      <w:pPr>
        <w:spacing w:after="0" w:line="240" w:lineRule="auto"/>
        <w:rPr>
          <w:rFonts w:ascii="Times New Roman" w:hAnsi="Times New Roman"/>
          <w:sz w:val="26"/>
          <w:szCs w:val="26"/>
        </w:rPr>
      </w:pPr>
      <w:r w:rsidRPr="00E9060E">
        <w:rPr>
          <w:rFonts w:ascii="Times New Roman" w:hAnsi="Times New Roman"/>
          <w:sz w:val="26"/>
          <w:szCs w:val="26"/>
        </w:rPr>
        <w:t>Following review of those comments, the Commission will issue an order adopting the final taxonomy, protocols, and implementation guide, and establishing an implementation schedule.  Industry participants will be afforded reasonable time to develop their software and test their submissions.</w:t>
      </w:r>
      <w:r w:rsidR="004D3772" w:rsidRPr="00E9060E">
        <w:rPr>
          <w:rFonts w:ascii="Times New Roman" w:hAnsi="Times New Roman"/>
          <w:sz w:val="26"/>
          <w:szCs w:val="26"/>
        </w:rPr>
        <w:t xml:space="preserve">  </w:t>
      </w:r>
    </w:p>
    <w:p w14:paraId="6D9F13B3" w14:textId="77777777" w:rsidR="004D3772" w:rsidRPr="00E9060E" w:rsidRDefault="004D3772" w:rsidP="00A05351">
      <w:pPr>
        <w:spacing w:after="0" w:line="240" w:lineRule="auto"/>
        <w:rPr>
          <w:rFonts w:ascii="Times New Roman" w:hAnsi="Times New Roman"/>
          <w:sz w:val="26"/>
          <w:szCs w:val="26"/>
        </w:rPr>
      </w:pPr>
    </w:p>
    <w:p w14:paraId="34716F3E" w14:textId="6BD1A8E7" w:rsidR="00E14D45" w:rsidRPr="00E9060E" w:rsidRDefault="004D3772" w:rsidP="00A05351">
      <w:pPr>
        <w:spacing w:after="0" w:line="240" w:lineRule="auto"/>
        <w:rPr>
          <w:rFonts w:ascii="Times New Roman" w:hAnsi="Times New Roman"/>
          <w:sz w:val="26"/>
          <w:szCs w:val="26"/>
        </w:rPr>
      </w:pPr>
      <w:r w:rsidRPr="00E9060E">
        <w:rPr>
          <w:rFonts w:ascii="Times New Roman" w:hAnsi="Times New Roman"/>
          <w:sz w:val="26"/>
          <w:szCs w:val="26"/>
        </w:rPr>
        <w:t xml:space="preserve">The taxonomy and implementation guide, etc., will be included in the PRA submittals to OMB </w:t>
      </w:r>
      <w:r w:rsidR="00AA7547">
        <w:rPr>
          <w:rFonts w:ascii="Times New Roman" w:hAnsi="Times New Roman"/>
          <w:sz w:val="26"/>
          <w:szCs w:val="26"/>
        </w:rPr>
        <w:t xml:space="preserve">that are </w:t>
      </w:r>
      <w:r w:rsidR="00E56DB0">
        <w:rPr>
          <w:rFonts w:ascii="Times New Roman" w:hAnsi="Times New Roman"/>
          <w:sz w:val="26"/>
          <w:szCs w:val="26"/>
        </w:rPr>
        <w:t xml:space="preserve">associated with </w:t>
      </w:r>
      <w:r w:rsidRPr="00E9060E">
        <w:rPr>
          <w:rFonts w:ascii="Times New Roman" w:hAnsi="Times New Roman"/>
          <w:sz w:val="26"/>
          <w:szCs w:val="26"/>
        </w:rPr>
        <w:t xml:space="preserve">the Commission order.  </w:t>
      </w:r>
    </w:p>
    <w:p w14:paraId="3BFB6861" w14:textId="77777777" w:rsidR="00963B12" w:rsidRPr="00E9060E" w:rsidRDefault="00963B12" w:rsidP="001F096A">
      <w:pPr>
        <w:spacing w:after="0" w:line="240" w:lineRule="auto"/>
        <w:rPr>
          <w:rFonts w:ascii="Times New Roman" w:hAnsi="Times New Roman"/>
          <w:sz w:val="26"/>
          <w:szCs w:val="26"/>
        </w:rPr>
      </w:pPr>
    </w:p>
    <w:p w14:paraId="41D5B9C4" w14:textId="77777777" w:rsidR="009C7F55" w:rsidRPr="00E9060E" w:rsidRDefault="009C7F55"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 xml:space="preserve">CIRCUMSTANCES THAT MAKE THE COLLECTION OF INFORMATION NECESSARY </w:t>
      </w:r>
    </w:p>
    <w:p w14:paraId="3F447D41" w14:textId="77777777" w:rsidR="002953E1" w:rsidRPr="00E9060E" w:rsidRDefault="002953E1" w:rsidP="00BD0F89">
      <w:pPr>
        <w:spacing w:after="0" w:line="240" w:lineRule="auto"/>
        <w:rPr>
          <w:rFonts w:ascii="Times New Roman" w:hAnsi="Times New Roman"/>
          <w:sz w:val="26"/>
          <w:szCs w:val="26"/>
        </w:rPr>
      </w:pPr>
    </w:p>
    <w:p w14:paraId="4185F36A" w14:textId="3FE632D9"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FERC</w:t>
      </w:r>
      <w:r w:rsidR="002123B8" w:rsidRPr="00E9060E">
        <w:rPr>
          <w:rFonts w:ascii="Times New Roman" w:eastAsia="Times New Roman" w:hAnsi="Times New Roman"/>
          <w:b/>
          <w:sz w:val="26"/>
          <w:szCs w:val="26"/>
        </w:rPr>
        <w:t xml:space="preserve"> Form Nos. </w:t>
      </w:r>
      <w:r w:rsidR="002458F5" w:rsidRPr="00E9060E">
        <w:rPr>
          <w:rFonts w:ascii="Times New Roman" w:eastAsia="Times New Roman" w:hAnsi="Times New Roman"/>
          <w:b/>
          <w:sz w:val="26"/>
          <w:szCs w:val="26"/>
        </w:rPr>
        <w:t>1T, 1-FT, and 3-QT (</w:t>
      </w:r>
      <w:r w:rsidRPr="00E9060E">
        <w:rPr>
          <w:rFonts w:ascii="Times New Roman" w:eastAsia="Times New Roman" w:hAnsi="Times New Roman"/>
          <w:b/>
          <w:sz w:val="26"/>
          <w:szCs w:val="26"/>
        </w:rPr>
        <w:t xml:space="preserve">1, </w:t>
      </w:r>
      <w:r w:rsidR="00AC3A31" w:rsidRPr="00E9060E">
        <w:rPr>
          <w:rFonts w:ascii="Times New Roman" w:eastAsia="Times New Roman" w:hAnsi="Times New Roman"/>
          <w:b/>
          <w:sz w:val="26"/>
          <w:szCs w:val="26"/>
        </w:rPr>
        <w:t>1-F</w:t>
      </w:r>
      <w:r w:rsidRPr="00E9060E">
        <w:rPr>
          <w:rFonts w:ascii="Times New Roman" w:eastAsia="Times New Roman" w:hAnsi="Times New Roman"/>
          <w:b/>
          <w:sz w:val="26"/>
          <w:szCs w:val="26"/>
        </w:rPr>
        <w:t>, and 3</w:t>
      </w:r>
      <w:r w:rsidR="0092600F" w:rsidRPr="00E9060E">
        <w:rPr>
          <w:rFonts w:ascii="Times New Roman" w:eastAsia="Times New Roman" w:hAnsi="Times New Roman"/>
          <w:b/>
          <w:sz w:val="26"/>
          <w:szCs w:val="26"/>
        </w:rPr>
        <w:t>-</w:t>
      </w:r>
      <w:r w:rsidRPr="00E9060E">
        <w:rPr>
          <w:rFonts w:ascii="Times New Roman" w:eastAsia="Times New Roman" w:hAnsi="Times New Roman"/>
          <w:b/>
          <w:sz w:val="26"/>
          <w:szCs w:val="26"/>
        </w:rPr>
        <w:t>Q</w:t>
      </w:r>
      <w:r w:rsidR="002458F5" w:rsidRPr="00E9060E">
        <w:rPr>
          <w:rFonts w:ascii="Times New Roman" w:eastAsia="Times New Roman" w:hAnsi="Times New Roman"/>
          <w:b/>
          <w:sz w:val="26"/>
          <w:szCs w:val="26"/>
        </w:rPr>
        <w:t>)</w:t>
      </w:r>
      <w:r w:rsidRPr="00E9060E">
        <w:rPr>
          <w:rFonts w:ascii="Times New Roman" w:eastAsia="Times New Roman" w:hAnsi="Times New Roman"/>
          <w:b/>
          <w:sz w:val="26"/>
          <w:szCs w:val="26"/>
        </w:rPr>
        <w:t>.</w:t>
      </w:r>
      <w:r w:rsidRPr="00E9060E">
        <w:rPr>
          <w:rStyle w:val="FootnoteReference"/>
          <w:rFonts w:ascii="Times New Roman" w:eastAsia="Times New Roman" w:hAnsi="Times New Roman"/>
          <w:b/>
          <w:sz w:val="26"/>
          <w:szCs w:val="26"/>
          <w:vertAlign w:val="superscript"/>
        </w:rPr>
        <w:footnoteReference w:id="4"/>
      </w:r>
      <w:r w:rsidRPr="00E9060E">
        <w:rPr>
          <w:rFonts w:ascii="Times New Roman" w:eastAsia="Times New Roman" w:hAnsi="Times New Roman"/>
          <w:b/>
          <w:sz w:val="26"/>
          <w:szCs w:val="26"/>
        </w:rPr>
        <w:t xml:space="preserve">  </w:t>
      </w:r>
      <w:r w:rsidRPr="00E9060E">
        <w:rPr>
          <w:rFonts w:ascii="Times New Roman" w:eastAsia="Times New Roman" w:hAnsi="Times New Roman"/>
          <w:sz w:val="26"/>
          <w:szCs w:val="26"/>
        </w:rPr>
        <w:t xml:space="preserve">In accordance with sections 304 and 309 of the Federal Power Act and section 10(a) of the Natural Gas Act, </w:t>
      </w:r>
      <w:r w:rsidR="00724829">
        <w:rPr>
          <w:rFonts w:ascii="Times New Roman" w:eastAsia="Times New Roman" w:hAnsi="Times New Roman"/>
          <w:sz w:val="26"/>
          <w:szCs w:val="26"/>
        </w:rPr>
        <w:t>the Commission</w:t>
      </w:r>
      <w:r w:rsidRPr="00E9060E">
        <w:rPr>
          <w:rFonts w:ascii="Times New Roman" w:eastAsia="Times New Roman" w:hAnsi="Times New Roman"/>
          <w:sz w:val="26"/>
          <w:szCs w:val="26"/>
        </w:rPr>
        <w:t xml:space="preserve"> is authorized to collect and record data to the extent it considers necessary, and to prescribe rules and regulations concerning accounts, records and memoranda.  </w:t>
      </w:r>
    </w:p>
    <w:p w14:paraId="4AD80A51" w14:textId="77777777" w:rsidR="00CC72A5" w:rsidRPr="00E9060E" w:rsidRDefault="00CC72A5" w:rsidP="00BD0F89">
      <w:pPr>
        <w:spacing w:after="0" w:line="240" w:lineRule="auto"/>
        <w:rPr>
          <w:rFonts w:ascii="Times New Roman" w:eastAsia="Times New Roman" w:hAnsi="Times New Roman"/>
          <w:sz w:val="26"/>
          <w:szCs w:val="26"/>
        </w:rPr>
      </w:pPr>
    </w:p>
    <w:p w14:paraId="5D1092FA" w14:textId="223B965C"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Under the existing regulations, FERC jurisdictional entities subject to its Uniform System of Accounts </w:t>
      </w:r>
      <w:r w:rsidR="0092238A" w:rsidRPr="00E9060E">
        <w:rPr>
          <w:rFonts w:ascii="Times New Roman" w:eastAsia="Times New Roman" w:hAnsi="Times New Roman"/>
          <w:sz w:val="26"/>
          <w:szCs w:val="26"/>
        </w:rPr>
        <w:t xml:space="preserve">(USofA) </w:t>
      </w:r>
      <w:r w:rsidRPr="00E9060E">
        <w:rPr>
          <w:rFonts w:ascii="Times New Roman" w:eastAsia="Times New Roman" w:hAnsi="Times New Roman"/>
          <w:sz w:val="26"/>
          <w:szCs w:val="26"/>
        </w:rPr>
        <w:t xml:space="preserve">must annually file with the Commission a complete set of financial statements, along with other selected financial and non-financial data through the submission of FERC Forms </w:t>
      </w:r>
      <w:r w:rsidR="009F6CFB" w:rsidRPr="00E9060E">
        <w:rPr>
          <w:rFonts w:ascii="Times New Roman" w:eastAsia="Times New Roman" w:hAnsi="Times New Roman"/>
          <w:sz w:val="26"/>
          <w:szCs w:val="26"/>
        </w:rPr>
        <w:t>No</w:t>
      </w:r>
      <w:r w:rsidR="00FD1DA6" w:rsidRPr="00E9060E">
        <w:rPr>
          <w:rFonts w:ascii="Times New Roman" w:eastAsia="Times New Roman" w:hAnsi="Times New Roman"/>
          <w:sz w:val="26"/>
          <w:szCs w:val="26"/>
        </w:rPr>
        <w:t>s</w:t>
      </w:r>
      <w:r w:rsidR="009F6CFB"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1 and 1-F.  </w:t>
      </w:r>
      <w:r w:rsidR="007933C5">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1 is a comprehensive financial and operating report submitted for electric rate regulation, market oversight analysis, and financial audits.  Major pertains to utilities and licensees that have, in each of the three previous calendar years, sales or transmission services that exceed one of the following:  (1) one million megawatt hours of total annual sales; (2) 100 megawatt hours of annual sales for resale; (3) 500 megawatt hours of annual power exchanges delivered; or (4) 500 megawatt hours of annual wheeling for others (deliveries plus losses).</w:t>
      </w:r>
      <w:r w:rsidRPr="00E9060E">
        <w:rPr>
          <w:rFonts w:ascii="Times New Roman" w:eastAsia="Times New Roman" w:hAnsi="Times New Roman"/>
          <w:b/>
          <w:sz w:val="26"/>
          <w:szCs w:val="26"/>
          <w:vertAlign w:val="superscript"/>
        </w:rPr>
        <w:footnoteReference w:id="5"/>
      </w:r>
      <w:r w:rsidRPr="00E9060E">
        <w:rPr>
          <w:rFonts w:ascii="Times New Roman" w:eastAsia="Times New Roman" w:hAnsi="Times New Roman"/>
          <w:sz w:val="26"/>
          <w:szCs w:val="26"/>
        </w:rPr>
        <w:t xml:space="preserv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1-F is designed to collect financial and operational information from Nonmajor public utilities and licensees.  Nonmajor pertains to utilities and licensees that have total annual sales of 10,000 megawatt-hours or more in </w:t>
      </w:r>
      <w:r w:rsidR="00A717CB">
        <w:rPr>
          <w:rFonts w:ascii="Times New Roman" w:eastAsia="Times New Roman" w:hAnsi="Times New Roman"/>
          <w:sz w:val="26"/>
          <w:szCs w:val="26"/>
        </w:rPr>
        <w:t>each of the last three consecutives</w:t>
      </w:r>
      <w:r w:rsidRPr="00E9060E">
        <w:rPr>
          <w:rFonts w:ascii="Times New Roman" w:eastAsia="Times New Roman" w:hAnsi="Times New Roman"/>
          <w:sz w:val="26"/>
          <w:szCs w:val="26"/>
        </w:rPr>
        <w:t xml:space="preserve"> year</w:t>
      </w:r>
      <w:r w:rsidR="00A717CB">
        <w:rPr>
          <w:rFonts w:ascii="Times New Roman" w:eastAsia="Times New Roman" w:hAnsi="Times New Roman"/>
          <w:sz w:val="26"/>
          <w:szCs w:val="26"/>
        </w:rPr>
        <w:t>s</w:t>
      </w:r>
      <w:r w:rsidRPr="00E9060E">
        <w:rPr>
          <w:rFonts w:ascii="Times New Roman" w:eastAsia="Times New Roman" w:hAnsi="Times New Roman"/>
          <w:sz w:val="26"/>
          <w:szCs w:val="26"/>
        </w:rPr>
        <w:t xml:space="preserve"> and that are not classified as Major.</w:t>
      </w:r>
      <w:r w:rsidRPr="00E9060E">
        <w:rPr>
          <w:rFonts w:ascii="Times New Roman" w:eastAsia="Times New Roman" w:hAnsi="Times New Roman"/>
          <w:b/>
          <w:sz w:val="26"/>
          <w:szCs w:val="26"/>
          <w:vertAlign w:val="superscript"/>
        </w:rPr>
        <w:footnoteReference w:id="6"/>
      </w:r>
    </w:p>
    <w:p w14:paraId="5FE35A95" w14:textId="63040DA1" w:rsidR="00CC72A5" w:rsidRPr="00E9060E" w:rsidRDefault="00CC72A5" w:rsidP="00BD0F89">
      <w:pPr>
        <w:spacing w:after="0" w:line="240" w:lineRule="auto"/>
        <w:rPr>
          <w:rFonts w:ascii="Times New Roman" w:eastAsia="Times New Roman" w:hAnsi="Times New Roman"/>
          <w:sz w:val="26"/>
          <w:szCs w:val="26"/>
        </w:rPr>
      </w:pPr>
    </w:p>
    <w:p w14:paraId="3016F732" w14:textId="0E47AFE0"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FERC 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3-Q is a quarterly financial and operating report </w:t>
      </w:r>
      <w:r w:rsidR="00A717CB">
        <w:rPr>
          <w:rFonts w:ascii="Times New Roman" w:eastAsia="Times New Roman" w:hAnsi="Times New Roman"/>
          <w:sz w:val="26"/>
          <w:szCs w:val="26"/>
        </w:rPr>
        <w:t xml:space="preserve">used </w:t>
      </w:r>
      <w:r w:rsidRPr="00E9060E">
        <w:rPr>
          <w:rFonts w:ascii="Times New Roman" w:eastAsia="Times New Roman" w:hAnsi="Times New Roman"/>
          <w:sz w:val="26"/>
          <w:szCs w:val="26"/>
        </w:rPr>
        <w:t>for rate regulation, market oversight analysis, and financial audits which supplements the (a) Forms</w:t>
      </w:r>
      <w:r w:rsidR="00FD1DA6" w:rsidRPr="00E9060E">
        <w:rPr>
          <w:rFonts w:ascii="Times New Roman" w:eastAsia="Times New Roman" w:hAnsi="Times New Roman"/>
          <w:sz w:val="26"/>
          <w:szCs w:val="26"/>
        </w:rPr>
        <w:t xml:space="preserve"> Nos. </w:t>
      </w:r>
      <w:r w:rsidRPr="00E9060E">
        <w:rPr>
          <w:rFonts w:ascii="Times New Roman" w:eastAsia="Times New Roman" w:hAnsi="Times New Roman"/>
          <w:sz w:val="26"/>
          <w:szCs w:val="26"/>
        </w:rPr>
        <w:t xml:space="preserve">1 and 1-F for the electric industry, or the (b) Form </w:t>
      </w:r>
      <w:r w:rsidR="00FD1DA6" w:rsidRPr="00E9060E">
        <w:rPr>
          <w:rFonts w:ascii="Times New Roman" w:eastAsia="Times New Roman" w:hAnsi="Times New Roman"/>
          <w:sz w:val="26"/>
          <w:szCs w:val="26"/>
        </w:rPr>
        <w:t>No</w:t>
      </w:r>
      <w:r w:rsidR="002B4655" w:rsidRPr="00E9060E">
        <w:rPr>
          <w:rFonts w:ascii="Times New Roman" w:eastAsia="Times New Roman" w:hAnsi="Times New Roman"/>
          <w:sz w:val="26"/>
          <w:szCs w:val="26"/>
        </w:rPr>
        <w:t>s</w:t>
      </w:r>
      <w:r w:rsidR="00FD1DA6"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2</w:t>
      </w:r>
      <w:r w:rsidR="00FD1DA6" w:rsidRPr="00E9060E">
        <w:rPr>
          <w:rFonts w:ascii="Times New Roman" w:eastAsia="Times New Roman" w:hAnsi="Times New Roman"/>
          <w:sz w:val="26"/>
          <w:szCs w:val="26"/>
        </w:rPr>
        <w:t xml:space="preserve"> </w:t>
      </w:r>
      <w:r w:rsidR="002B4655" w:rsidRPr="00E9060E">
        <w:rPr>
          <w:rFonts w:ascii="Times New Roman" w:eastAsia="Times New Roman" w:hAnsi="Times New Roman"/>
          <w:sz w:val="26"/>
          <w:szCs w:val="26"/>
        </w:rPr>
        <w:t xml:space="preserve">and </w:t>
      </w:r>
      <w:r w:rsidRPr="00E9060E">
        <w:rPr>
          <w:rFonts w:ascii="Times New Roman" w:eastAsia="Times New Roman" w:hAnsi="Times New Roman"/>
          <w:sz w:val="26"/>
          <w:szCs w:val="26"/>
        </w:rPr>
        <w:t>2-A for the natural gas industry.  The FERC</w:t>
      </w:r>
      <w:r w:rsidR="009F6CFB" w:rsidRPr="00E9060E">
        <w:rPr>
          <w:rFonts w:ascii="Times New Roman" w:eastAsia="Times New Roman" w:hAnsi="Times New Roman"/>
          <w:sz w:val="26"/>
          <w:szCs w:val="26"/>
        </w:rPr>
        <w:t xml:space="preserve"> Form</w:t>
      </w:r>
      <w:r w:rsidR="000076FA" w:rsidRPr="00E9060E">
        <w:rPr>
          <w:rFonts w:ascii="Times New Roman" w:eastAsia="Times New Roman" w:hAnsi="Times New Roman"/>
          <w:sz w:val="26"/>
          <w:szCs w:val="26"/>
        </w:rPr>
        <w:t xml:space="preserve"> </w:t>
      </w:r>
      <w:r w:rsidR="009852B7" w:rsidRPr="00E9060E">
        <w:rPr>
          <w:rFonts w:ascii="Times New Roman" w:eastAsia="Times New Roman" w:hAnsi="Times New Roman"/>
          <w:sz w:val="26"/>
          <w:szCs w:val="26"/>
        </w:rPr>
        <w:t>No.</w:t>
      </w:r>
      <w:r w:rsidR="009F6CFB"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3-Q is submitted for electric utilities and licensees reporting Forms </w:t>
      </w:r>
      <w:r w:rsidR="009852B7"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1 or 1-F and natural gas companies reporting Forms </w:t>
      </w:r>
      <w:r w:rsidR="009852B7"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2 or </w:t>
      </w:r>
      <w:r w:rsidR="00AC3A31" w:rsidRPr="00E9060E">
        <w:rPr>
          <w:rFonts w:ascii="Times New Roman" w:eastAsia="Times New Roman" w:hAnsi="Times New Roman"/>
          <w:sz w:val="26"/>
          <w:szCs w:val="26"/>
        </w:rPr>
        <w:t>2-A</w:t>
      </w:r>
      <w:r w:rsidRPr="00E9060E">
        <w:rPr>
          <w:rFonts w:ascii="Times New Roman" w:eastAsia="Times New Roman" w:hAnsi="Times New Roman"/>
          <w:sz w:val="26"/>
          <w:szCs w:val="26"/>
        </w:rPr>
        <w:t>.</w:t>
      </w:r>
      <w:r w:rsidRPr="00E9060E">
        <w:rPr>
          <w:rFonts w:ascii="Times New Roman" w:eastAsia="Times New Roman" w:hAnsi="Times New Roman"/>
          <w:b/>
          <w:sz w:val="26"/>
          <w:szCs w:val="26"/>
          <w:vertAlign w:val="superscript"/>
        </w:rPr>
        <w:footnoteReference w:id="7"/>
      </w:r>
      <w:r w:rsidRPr="00E9060E">
        <w:rPr>
          <w:rFonts w:ascii="Times New Roman" w:eastAsia="Times New Roman" w:hAnsi="Times New Roman"/>
          <w:sz w:val="26"/>
          <w:szCs w:val="26"/>
        </w:rPr>
        <w:t xml:space="preserve">   </w:t>
      </w:r>
    </w:p>
    <w:p w14:paraId="7C1616AC" w14:textId="77777777" w:rsidR="00CC72A5" w:rsidRPr="00E9060E" w:rsidRDefault="00CC72A5" w:rsidP="00BD0F89">
      <w:pPr>
        <w:spacing w:after="0" w:line="240" w:lineRule="auto"/>
        <w:rPr>
          <w:rFonts w:ascii="Times New Roman" w:eastAsia="Times New Roman" w:hAnsi="Times New Roman"/>
          <w:sz w:val="26"/>
          <w:szCs w:val="26"/>
        </w:rPr>
      </w:pPr>
    </w:p>
    <w:p w14:paraId="7670B8B2" w14:textId="3C5D19FA"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Commission collects Forms </w:t>
      </w:r>
      <w:r w:rsidR="00FD1DA6"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1, 1-F, and 3-Q as prescribed in Title 18 CFR (Code of Federal Regulations) Parts 141.1, 141.2, and 141.400 and 260.300.  The FERC Forms </w:t>
      </w:r>
      <w:r w:rsidR="00FD1DA6"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1, 1-F, and 3-Q provide an informative picture of the jurisdictional entities’ financial conditions and other relevant data that are used by FERC and others in making economic judgments about the entity or its industry. </w:t>
      </w:r>
    </w:p>
    <w:p w14:paraId="5D6A7A60" w14:textId="77777777" w:rsidR="006E5D79" w:rsidRPr="00E9060E" w:rsidRDefault="006E5D79" w:rsidP="00BD0F89">
      <w:pPr>
        <w:spacing w:after="0" w:line="240" w:lineRule="auto"/>
        <w:rPr>
          <w:rFonts w:ascii="Times New Roman" w:eastAsia="Times New Roman" w:hAnsi="Times New Roman"/>
          <w:b/>
          <w:sz w:val="26"/>
          <w:szCs w:val="26"/>
        </w:rPr>
      </w:pPr>
    </w:p>
    <w:p w14:paraId="58E59C80" w14:textId="286D4A4C" w:rsidR="006E5D79" w:rsidRPr="00E9060E" w:rsidRDefault="002C0DA6" w:rsidP="00BD0F89">
      <w:pPr>
        <w:spacing w:after="0" w:line="240" w:lineRule="auto"/>
        <w:rPr>
          <w:rFonts w:ascii="Times New Roman" w:hAnsi="Times New Roman"/>
          <w:b/>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2458F5" w:rsidRPr="00E9060E">
        <w:rPr>
          <w:rFonts w:ascii="Times New Roman" w:hAnsi="Times New Roman"/>
          <w:b/>
          <w:sz w:val="26"/>
          <w:szCs w:val="26"/>
        </w:rPr>
        <w:t>s</w:t>
      </w:r>
      <w:r w:rsidR="002123B8" w:rsidRPr="00E9060E">
        <w:rPr>
          <w:rFonts w:ascii="Times New Roman" w:hAnsi="Times New Roman"/>
          <w:b/>
          <w:sz w:val="26"/>
          <w:szCs w:val="26"/>
        </w:rPr>
        <w:t xml:space="preserve">. </w:t>
      </w:r>
      <w:r w:rsidRPr="00E9060E">
        <w:rPr>
          <w:rFonts w:ascii="Times New Roman" w:hAnsi="Times New Roman"/>
          <w:b/>
          <w:sz w:val="26"/>
          <w:szCs w:val="26"/>
        </w:rPr>
        <w:t>2</w:t>
      </w:r>
      <w:r w:rsidR="0062523A" w:rsidRPr="00E9060E">
        <w:rPr>
          <w:rFonts w:ascii="Times New Roman" w:hAnsi="Times New Roman"/>
          <w:b/>
          <w:sz w:val="26"/>
          <w:szCs w:val="26"/>
        </w:rPr>
        <w:t xml:space="preserve"> and </w:t>
      </w:r>
      <w:r w:rsidR="00AC3A31" w:rsidRPr="00E9060E">
        <w:rPr>
          <w:rFonts w:ascii="Times New Roman" w:hAnsi="Times New Roman"/>
          <w:b/>
          <w:sz w:val="26"/>
          <w:szCs w:val="26"/>
        </w:rPr>
        <w:t>2-A</w:t>
      </w:r>
      <w:r w:rsidRPr="00E9060E">
        <w:rPr>
          <w:rFonts w:ascii="Times New Roman" w:hAnsi="Times New Roman"/>
          <w:b/>
          <w:sz w:val="26"/>
          <w:szCs w:val="26"/>
        </w:rPr>
        <w:t>.</w:t>
      </w:r>
      <w:r w:rsidRPr="00E9060E">
        <w:rPr>
          <w:rFonts w:ascii="Times New Roman" w:hAnsi="Times New Roman"/>
          <w:sz w:val="26"/>
          <w:szCs w:val="26"/>
        </w:rPr>
        <w:t xml:space="preserve">  Pursuant to sections 8, 10 and 14 of the National Gas Act (NGA), (15 U.S.C. 717g-717m),</w:t>
      </w:r>
      <w:r w:rsidR="002D7472" w:rsidRPr="00E9060E">
        <w:rPr>
          <w:rFonts w:ascii="Times New Roman" w:hAnsi="Times New Roman"/>
          <w:sz w:val="26"/>
          <w:szCs w:val="26"/>
        </w:rPr>
        <w:t xml:space="preserve"> </w:t>
      </w:r>
      <w:r w:rsidRPr="00E9060E">
        <w:rPr>
          <w:rFonts w:ascii="Times New Roman" w:hAnsi="Times New Roman"/>
          <w:sz w:val="26"/>
          <w:szCs w:val="26"/>
        </w:rPr>
        <w:t xml:space="preserve">the Commission is authorized to </w:t>
      </w:r>
      <w:r w:rsidR="00512214" w:rsidRPr="00E9060E">
        <w:rPr>
          <w:rFonts w:ascii="Times New Roman" w:hAnsi="Times New Roman"/>
          <w:sz w:val="26"/>
          <w:szCs w:val="26"/>
        </w:rPr>
        <w:t>conduct</w:t>
      </w:r>
      <w:r w:rsidR="002D7472" w:rsidRPr="00E9060E">
        <w:rPr>
          <w:rFonts w:ascii="Times New Roman" w:hAnsi="Times New Roman"/>
          <w:sz w:val="26"/>
          <w:szCs w:val="26"/>
        </w:rPr>
        <w:t xml:space="preserve"> </w:t>
      </w:r>
      <w:r w:rsidRPr="00E9060E">
        <w:rPr>
          <w:rFonts w:ascii="Times New Roman" w:hAnsi="Times New Roman"/>
          <w:sz w:val="26"/>
          <w:szCs w:val="26"/>
        </w:rPr>
        <w:t xml:space="preserve">investigations and collect and record data, </w:t>
      </w:r>
      <w:r w:rsidR="009F6CFB" w:rsidRPr="00E9060E">
        <w:rPr>
          <w:rFonts w:ascii="Times New Roman" w:hAnsi="Times New Roman"/>
          <w:sz w:val="26"/>
          <w:szCs w:val="26"/>
        </w:rPr>
        <w:t xml:space="preserve">and </w:t>
      </w:r>
      <w:r w:rsidRPr="00E9060E">
        <w:rPr>
          <w:rFonts w:ascii="Times New Roman" w:hAnsi="Times New Roman"/>
          <w:sz w:val="26"/>
          <w:szCs w:val="26"/>
        </w:rPr>
        <w:t>to prescribe rules and regulations concerning accounts, records and memoranda as necessary or appropriate for purposes of administering the NGA.  The Commission may prescribe a system of accounts for jurisdictional companies and</w:t>
      </w:r>
      <w:r w:rsidR="009F6CFB" w:rsidRPr="00E9060E">
        <w:rPr>
          <w:rFonts w:ascii="Times New Roman" w:hAnsi="Times New Roman"/>
          <w:sz w:val="26"/>
          <w:szCs w:val="26"/>
        </w:rPr>
        <w:t>,</w:t>
      </w:r>
      <w:r w:rsidRPr="00E9060E">
        <w:rPr>
          <w:rFonts w:ascii="Times New Roman" w:hAnsi="Times New Roman"/>
          <w:sz w:val="26"/>
          <w:szCs w:val="26"/>
        </w:rPr>
        <w:t xml:space="preserve"> after notice and opportunity for hearing, may determine the accounts in which particular outlays and receipts will be entered, charged or credited.  The Commission collects Form No</w:t>
      </w:r>
      <w:r w:rsidR="00156589" w:rsidRPr="00E9060E">
        <w:rPr>
          <w:rFonts w:ascii="Times New Roman" w:hAnsi="Times New Roman"/>
          <w:sz w:val="26"/>
          <w:szCs w:val="26"/>
        </w:rPr>
        <w:t>s</w:t>
      </w:r>
      <w:r w:rsidRPr="00E9060E">
        <w:rPr>
          <w:rFonts w:ascii="Times New Roman" w:hAnsi="Times New Roman"/>
          <w:sz w:val="26"/>
          <w:szCs w:val="26"/>
        </w:rPr>
        <w:t xml:space="preserve">. 2 </w:t>
      </w:r>
      <w:r w:rsidR="00156589" w:rsidRPr="00E9060E">
        <w:rPr>
          <w:rFonts w:ascii="Times New Roman" w:hAnsi="Times New Roman"/>
          <w:sz w:val="26"/>
          <w:szCs w:val="26"/>
        </w:rPr>
        <w:t xml:space="preserve">and </w:t>
      </w:r>
      <w:r w:rsidR="00AC3A31" w:rsidRPr="00E9060E">
        <w:rPr>
          <w:rFonts w:ascii="Times New Roman" w:hAnsi="Times New Roman"/>
          <w:sz w:val="26"/>
          <w:szCs w:val="26"/>
        </w:rPr>
        <w:t>2-A</w:t>
      </w:r>
      <w:r w:rsidR="00156589" w:rsidRPr="00E9060E">
        <w:rPr>
          <w:rFonts w:ascii="Times New Roman" w:hAnsi="Times New Roman"/>
          <w:sz w:val="26"/>
          <w:szCs w:val="26"/>
        </w:rPr>
        <w:t xml:space="preserve"> </w:t>
      </w:r>
      <w:r w:rsidRPr="00E9060E">
        <w:rPr>
          <w:rFonts w:ascii="Times New Roman" w:hAnsi="Times New Roman"/>
          <w:sz w:val="26"/>
          <w:szCs w:val="26"/>
        </w:rPr>
        <w:t>informatio</w:t>
      </w:r>
      <w:r w:rsidR="0062523A" w:rsidRPr="00E9060E">
        <w:rPr>
          <w:rFonts w:ascii="Times New Roman" w:hAnsi="Times New Roman"/>
          <w:sz w:val="26"/>
          <w:szCs w:val="26"/>
        </w:rPr>
        <w:t>n as prescribed in 18 CFR 260.1</w:t>
      </w:r>
      <w:r w:rsidR="00156589" w:rsidRPr="00E9060E">
        <w:rPr>
          <w:rFonts w:ascii="Times New Roman" w:hAnsi="Times New Roman"/>
          <w:sz w:val="26"/>
          <w:szCs w:val="26"/>
        </w:rPr>
        <w:t xml:space="preserve"> and</w:t>
      </w:r>
      <w:r w:rsidR="0062523A" w:rsidRPr="00E9060E">
        <w:rPr>
          <w:rFonts w:ascii="Times New Roman" w:hAnsi="Times New Roman"/>
          <w:sz w:val="26"/>
          <w:szCs w:val="26"/>
        </w:rPr>
        <w:t xml:space="preserve"> 18 CFR 260.2.</w:t>
      </w:r>
    </w:p>
    <w:p w14:paraId="7BB1BC5A" w14:textId="77777777" w:rsidR="002C0DA6" w:rsidRPr="00E9060E" w:rsidRDefault="002C0DA6" w:rsidP="00BD0F89">
      <w:pPr>
        <w:spacing w:after="0" w:line="240" w:lineRule="auto"/>
        <w:rPr>
          <w:rFonts w:ascii="Times New Roman" w:hAnsi="Times New Roman"/>
          <w:b/>
          <w:sz w:val="26"/>
          <w:szCs w:val="26"/>
        </w:rPr>
      </w:pPr>
    </w:p>
    <w:p w14:paraId="6C93D170" w14:textId="6C3CEF52" w:rsidR="004F0530" w:rsidRPr="00E9060E" w:rsidRDefault="002F405E" w:rsidP="00BD0F89">
      <w:pPr>
        <w:widowControl w:val="0"/>
        <w:autoSpaceDE w:val="0"/>
        <w:autoSpaceDN w:val="0"/>
        <w:adjustRightInd w:val="0"/>
        <w:spacing w:after="0" w:line="240" w:lineRule="auto"/>
        <w:rPr>
          <w:rFonts w:ascii="Times New Roman" w:eastAsia="Times New Roman" w:hAnsi="Times New Roman"/>
          <w:color w:val="000000"/>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2458F5" w:rsidRPr="00E9060E">
        <w:rPr>
          <w:rFonts w:ascii="Times New Roman" w:hAnsi="Times New Roman"/>
          <w:b/>
          <w:sz w:val="26"/>
          <w:szCs w:val="26"/>
        </w:rPr>
        <w:t>s</w:t>
      </w:r>
      <w:r w:rsidR="002123B8" w:rsidRPr="00E9060E">
        <w:rPr>
          <w:rFonts w:ascii="Times New Roman" w:hAnsi="Times New Roman"/>
          <w:b/>
          <w:sz w:val="26"/>
          <w:szCs w:val="26"/>
        </w:rPr>
        <w:t xml:space="preserve">. </w:t>
      </w:r>
      <w:r w:rsidR="002458F5" w:rsidRPr="00E9060E">
        <w:rPr>
          <w:rFonts w:ascii="Times New Roman" w:hAnsi="Times New Roman"/>
          <w:b/>
          <w:sz w:val="26"/>
          <w:szCs w:val="26"/>
        </w:rPr>
        <w:t>6T and 6-QT (</w:t>
      </w:r>
      <w:r w:rsidRPr="00E9060E">
        <w:rPr>
          <w:rFonts w:ascii="Times New Roman" w:hAnsi="Times New Roman"/>
          <w:b/>
          <w:sz w:val="26"/>
          <w:szCs w:val="26"/>
        </w:rPr>
        <w:t>6</w:t>
      </w:r>
      <w:r w:rsidR="00E0190B" w:rsidRPr="00E9060E">
        <w:rPr>
          <w:rFonts w:ascii="Times New Roman" w:hAnsi="Times New Roman"/>
          <w:b/>
          <w:sz w:val="26"/>
          <w:szCs w:val="26"/>
        </w:rPr>
        <w:t xml:space="preserve"> and </w:t>
      </w:r>
      <w:r w:rsidR="00AC3A31" w:rsidRPr="00E9060E">
        <w:rPr>
          <w:rFonts w:ascii="Times New Roman" w:hAnsi="Times New Roman"/>
          <w:b/>
          <w:sz w:val="26"/>
          <w:szCs w:val="26"/>
        </w:rPr>
        <w:t>6-Q</w:t>
      </w:r>
      <w:r w:rsidR="002458F5" w:rsidRPr="00E9060E">
        <w:rPr>
          <w:rFonts w:ascii="Times New Roman" w:hAnsi="Times New Roman"/>
          <w:b/>
          <w:sz w:val="26"/>
          <w:szCs w:val="26"/>
        </w:rPr>
        <w:t>)</w:t>
      </w:r>
      <w:r w:rsidRPr="00E9060E">
        <w:rPr>
          <w:rFonts w:ascii="Times New Roman" w:hAnsi="Times New Roman"/>
          <w:b/>
          <w:sz w:val="26"/>
          <w:szCs w:val="26"/>
        </w:rPr>
        <w:t xml:space="preserve">.  </w:t>
      </w:r>
      <w:r w:rsidR="00DA4FB1" w:rsidRPr="00E9060E">
        <w:rPr>
          <w:rFonts w:ascii="Times New Roman" w:eastAsia="Times New Roman" w:hAnsi="Times New Roman"/>
          <w:color w:val="000000"/>
          <w:sz w:val="26"/>
          <w:szCs w:val="26"/>
        </w:rPr>
        <w:t>Sections 13 and 15 of the</w:t>
      </w:r>
      <w:r w:rsidR="004F0530" w:rsidRPr="00E9060E">
        <w:rPr>
          <w:rFonts w:ascii="Times New Roman" w:eastAsia="Times New Roman" w:hAnsi="Times New Roman"/>
          <w:color w:val="000000"/>
          <w:sz w:val="26"/>
          <w:szCs w:val="26"/>
        </w:rPr>
        <w:t xml:space="preserve"> Interstate Commerce Act (ICA) authorize the Commission to </w:t>
      </w:r>
      <w:r w:rsidR="006E4F89" w:rsidRPr="00E9060E">
        <w:rPr>
          <w:rFonts w:ascii="Times New Roman" w:eastAsia="Times New Roman" w:hAnsi="Times New Roman"/>
          <w:color w:val="000000"/>
          <w:sz w:val="26"/>
          <w:szCs w:val="26"/>
        </w:rPr>
        <w:t>conduct</w:t>
      </w:r>
      <w:r w:rsidR="004F0530" w:rsidRPr="00E9060E">
        <w:rPr>
          <w:rFonts w:ascii="Times New Roman" w:eastAsia="Times New Roman" w:hAnsi="Times New Roman"/>
          <w:color w:val="000000"/>
          <w:sz w:val="26"/>
          <w:szCs w:val="26"/>
        </w:rPr>
        <w:t xml:space="preserve"> investigations, collect, and record data in order to carry out certain necessary and useful provisions.  The information collected from oil pipeline companies under the requirements of the FERC Form Nos. 6 and 6-Q provide the Commission the ability to implement the statutory provisions of the ICA including the authority to prescribe rules, regulations concerning accounts, records, </w:t>
      </w:r>
      <w:r w:rsidR="007C5E46" w:rsidRPr="00E9060E">
        <w:rPr>
          <w:rFonts w:ascii="Times New Roman" w:eastAsia="Times New Roman" w:hAnsi="Times New Roman"/>
          <w:color w:val="000000"/>
          <w:sz w:val="26"/>
          <w:szCs w:val="26"/>
        </w:rPr>
        <w:t xml:space="preserve">and </w:t>
      </w:r>
      <w:r w:rsidR="004F0530" w:rsidRPr="00E9060E">
        <w:rPr>
          <w:rFonts w:ascii="Times New Roman" w:eastAsia="Times New Roman" w:hAnsi="Times New Roman"/>
          <w:color w:val="000000"/>
          <w:sz w:val="26"/>
          <w:szCs w:val="26"/>
        </w:rPr>
        <w:t>memoranda as necessary.  The ICA also allows the Commission to prescribe a system of accounts for jurisdictional companies and (after notice) an opportunity for hearing can determine the accounts in which particular outlays and receipts can be entered, charged, or credited.</w:t>
      </w:r>
    </w:p>
    <w:p w14:paraId="7DD6A28E" w14:textId="77777777" w:rsidR="004F0530" w:rsidRPr="00E9060E" w:rsidRDefault="004F0530" w:rsidP="00BD0F89">
      <w:pPr>
        <w:widowControl w:val="0"/>
        <w:autoSpaceDE w:val="0"/>
        <w:autoSpaceDN w:val="0"/>
        <w:adjustRightInd w:val="0"/>
        <w:spacing w:after="0" w:line="240" w:lineRule="auto"/>
        <w:rPr>
          <w:rFonts w:ascii="Times New Roman" w:eastAsia="Times New Roman" w:hAnsi="Times New Roman"/>
          <w:color w:val="000000"/>
          <w:sz w:val="26"/>
          <w:szCs w:val="26"/>
        </w:rPr>
      </w:pPr>
    </w:p>
    <w:p w14:paraId="2E271EF1" w14:textId="428BA490" w:rsidR="002F405E" w:rsidRPr="00E9060E" w:rsidRDefault="002F405E" w:rsidP="00BD0F89">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In 1994, the Commission addressed additional revisions to 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156589"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in Order Nos. 571 and 571-A, including a new Page 700 (Annual Cost of Service).</w:t>
      </w:r>
      <w:r w:rsidRPr="00E9060E">
        <w:rPr>
          <w:rFonts w:ascii="Times New Roman" w:eastAsia="Times New Roman" w:hAnsi="Times New Roman"/>
          <w:sz w:val="26"/>
          <w:szCs w:val="26"/>
          <w:vertAlign w:val="superscript"/>
        </w:rPr>
        <w:footnoteReference w:id="8"/>
      </w:r>
      <w:r w:rsidRPr="00E9060E">
        <w:rPr>
          <w:rFonts w:ascii="Times New Roman" w:eastAsia="Times New Roman" w:hAnsi="Times New Roman"/>
          <w:sz w:val="26"/>
          <w:szCs w:val="26"/>
        </w:rPr>
        <w:t xml:space="preserve"> </w:t>
      </w:r>
      <w:r w:rsidR="00151068"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Data collected on page 700 is the basis for determining a pipeline’s cost of service and rate base, which are used in tariff filings </w:t>
      </w:r>
      <w:r w:rsidR="009F6CFB" w:rsidRPr="00E9060E">
        <w:rPr>
          <w:rFonts w:ascii="Times New Roman" w:eastAsia="Times New Roman" w:hAnsi="Times New Roman"/>
          <w:sz w:val="26"/>
          <w:szCs w:val="26"/>
        </w:rPr>
        <w:t xml:space="preserve">and </w:t>
      </w:r>
      <w:r w:rsidRPr="00E9060E">
        <w:rPr>
          <w:rFonts w:ascii="Times New Roman" w:eastAsia="Times New Roman" w:hAnsi="Times New Roman"/>
          <w:sz w:val="26"/>
          <w:szCs w:val="26"/>
        </w:rPr>
        <w:t>the 5-year index.</w:t>
      </w:r>
      <w:r w:rsidR="00A94966" w:rsidRPr="00E9060E">
        <w:rPr>
          <w:rStyle w:val="FootnoteReference"/>
          <w:rFonts w:ascii="Times New Roman" w:eastAsia="Times New Roman" w:hAnsi="Times New Roman"/>
          <w:sz w:val="26"/>
          <w:szCs w:val="26"/>
          <w:vertAlign w:val="superscript"/>
        </w:rPr>
        <w:footnoteReference w:id="9"/>
      </w:r>
    </w:p>
    <w:p w14:paraId="2DDAD90C" w14:textId="77777777" w:rsidR="00CC72A5" w:rsidRPr="00E9060E" w:rsidRDefault="00CC72A5" w:rsidP="00BD0F89">
      <w:pPr>
        <w:spacing w:after="0" w:line="240" w:lineRule="auto"/>
        <w:rPr>
          <w:rFonts w:ascii="Times New Roman" w:hAnsi="Times New Roman"/>
          <w:b/>
          <w:sz w:val="26"/>
          <w:szCs w:val="26"/>
        </w:rPr>
      </w:pPr>
    </w:p>
    <w:p w14:paraId="3FC55E80" w14:textId="78B616EB" w:rsidR="00133311" w:rsidRPr="00E9060E" w:rsidRDefault="00133311">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 </w:t>
      </w:r>
      <w:r w:rsidRPr="00E9060E">
        <w:rPr>
          <w:rFonts w:ascii="Times New Roman" w:hAnsi="Times New Roman"/>
          <w:b/>
          <w:sz w:val="26"/>
          <w:szCs w:val="26"/>
        </w:rPr>
        <w:t>60</w:t>
      </w:r>
      <w:r w:rsidR="004C5451" w:rsidRPr="00E9060E">
        <w:rPr>
          <w:rFonts w:ascii="Times New Roman" w:hAnsi="Times New Roman"/>
          <w:b/>
          <w:sz w:val="26"/>
          <w:szCs w:val="26"/>
        </w:rPr>
        <w:t>A</w:t>
      </w:r>
      <w:r w:rsidR="00A53FC7" w:rsidRPr="00E9060E">
        <w:rPr>
          <w:rFonts w:ascii="Times New Roman" w:hAnsi="Times New Roman"/>
          <w:b/>
          <w:sz w:val="26"/>
          <w:szCs w:val="26"/>
        </w:rPr>
        <w:t xml:space="preserve"> (and 60)</w:t>
      </w:r>
      <w:r w:rsidRPr="00E9060E">
        <w:rPr>
          <w:rFonts w:ascii="Times New Roman" w:hAnsi="Times New Roman"/>
          <w:b/>
          <w:sz w:val="26"/>
          <w:szCs w:val="26"/>
        </w:rPr>
        <w:t xml:space="preserve">.  </w:t>
      </w:r>
      <w:r w:rsidRPr="00E9060E">
        <w:rPr>
          <w:rFonts w:ascii="Times New Roman" w:hAnsi="Times New Roman"/>
          <w:sz w:val="26"/>
          <w:szCs w:val="26"/>
        </w:rPr>
        <w:t xml:space="preserve">In accordance with the Energy Policy Act of 2005 (EPAct 2005), the Commission implemented the repeal of </w:t>
      </w:r>
      <w:r w:rsidR="00044A19" w:rsidRPr="00E9060E">
        <w:rPr>
          <w:rFonts w:ascii="Times New Roman" w:hAnsi="Times New Roman"/>
          <w:sz w:val="26"/>
          <w:szCs w:val="26"/>
        </w:rPr>
        <w:t>the Public Utility Holding Company Act of 1935 (</w:t>
      </w:r>
      <w:r w:rsidRPr="00E9060E">
        <w:rPr>
          <w:rFonts w:ascii="Times New Roman" w:hAnsi="Times New Roman"/>
          <w:sz w:val="26"/>
          <w:szCs w:val="26"/>
        </w:rPr>
        <w:t>PUHCA 1935</w:t>
      </w:r>
      <w:r w:rsidR="00044A19" w:rsidRPr="00E9060E">
        <w:rPr>
          <w:rFonts w:ascii="Times New Roman" w:hAnsi="Times New Roman"/>
          <w:sz w:val="26"/>
          <w:szCs w:val="26"/>
        </w:rPr>
        <w:t>)</w:t>
      </w:r>
      <w:r w:rsidRPr="00E9060E">
        <w:rPr>
          <w:rFonts w:ascii="Times New Roman" w:hAnsi="Times New Roman"/>
          <w:sz w:val="26"/>
          <w:szCs w:val="26"/>
        </w:rPr>
        <w:t xml:space="preserve"> and implemented the provisions of a new</w:t>
      </w:r>
      <w:r w:rsidR="00044A19" w:rsidRPr="00E9060E">
        <w:rPr>
          <w:rFonts w:ascii="Times New Roman" w:hAnsi="Times New Roman"/>
          <w:sz w:val="26"/>
          <w:szCs w:val="26"/>
        </w:rPr>
        <w:t>ly enacted</w:t>
      </w:r>
      <w:r w:rsidRPr="00E9060E">
        <w:rPr>
          <w:rFonts w:ascii="Times New Roman" w:hAnsi="Times New Roman"/>
          <w:sz w:val="26"/>
          <w:szCs w:val="26"/>
        </w:rPr>
        <w:t xml:space="preserve"> </w:t>
      </w:r>
      <w:r w:rsidR="00044A19" w:rsidRPr="00E9060E">
        <w:rPr>
          <w:rFonts w:ascii="Times New Roman" w:hAnsi="Times New Roman"/>
          <w:sz w:val="26"/>
          <w:szCs w:val="26"/>
        </w:rPr>
        <w:t>Public Utility Holding Company Act 2005 (</w:t>
      </w:r>
      <w:r w:rsidRPr="00E9060E">
        <w:rPr>
          <w:rFonts w:ascii="Times New Roman" w:hAnsi="Times New Roman"/>
          <w:sz w:val="26"/>
          <w:szCs w:val="26"/>
        </w:rPr>
        <w:t>PUHCA 2005</w:t>
      </w:r>
      <w:r w:rsidR="00044A19" w:rsidRPr="00E9060E">
        <w:rPr>
          <w:rFonts w:ascii="Times New Roman" w:hAnsi="Times New Roman"/>
          <w:sz w:val="26"/>
          <w:szCs w:val="26"/>
        </w:rPr>
        <w:t>)</w:t>
      </w:r>
      <w:r w:rsidRPr="00E9060E">
        <w:rPr>
          <w:rFonts w:ascii="Times New Roman" w:hAnsi="Times New Roman"/>
          <w:sz w:val="26"/>
          <w:szCs w:val="26"/>
        </w:rPr>
        <w:t xml:space="preserve">. </w:t>
      </w:r>
      <w:r w:rsidR="00044A19" w:rsidRPr="00E9060E">
        <w:rPr>
          <w:rFonts w:ascii="Times New Roman" w:hAnsi="Times New Roman"/>
          <w:sz w:val="26"/>
          <w:szCs w:val="26"/>
        </w:rPr>
        <w:t xml:space="preserve"> </w:t>
      </w:r>
      <w:r w:rsidR="00201EDE" w:rsidRPr="00E9060E">
        <w:rPr>
          <w:rFonts w:ascii="Times New Roman" w:hAnsi="Times New Roman"/>
          <w:sz w:val="26"/>
          <w:szCs w:val="26"/>
        </w:rPr>
        <w:t>Pursuant to PUHCA 2005, the Commission requires</w:t>
      </w:r>
      <w:r w:rsidR="00066375" w:rsidRPr="00E9060E">
        <w:rPr>
          <w:rFonts w:ascii="Times New Roman" w:hAnsi="Times New Roman"/>
          <w:sz w:val="26"/>
          <w:szCs w:val="26"/>
        </w:rPr>
        <w:t xml:space="preserve"> centralized service companies to file </w:t>
      </w:r>
      <w:r w:rsidR="00156589" w:rsidRPr="00E9060E">
        <w:rPr>
          <w:rFonts w:ascii="Times New Roman" w:hAnsi="Times New Roman"/>
          <w:sz w:val="26"/>
          <w:szCs w:val="26"/>
        </w:rPr>
        <w:t xml:space="preserve">the </w:t>
      </w:r>
      <w:r w:rsidR="009E2F41">
        <w:rPr>
          <w:rFonts w:ascii="Times New Roman" w:hAnsi="Times New Roman"/>
          <w:sz w:val="26"/>
          <w:szCs w:val="26"/>
        </w:rPr>
        <w:t xml:space="preserve">FERC </w:t>
      </w:r>
      <w:r w:rsidR="00066375" w:rsidRPr="00E9060E">
        <w:rPr>
          <w:rFonts w:ascii="Times New Roman" w:hAnsi="Times New Roman"/>
          <w:sz w:val="26"/>
          <w:szCs w:val="26"/>
        </w:rPr>
        <w:t xml:space="preserve">Form No. 60.  The information collected in </w:t>
      </w:r>
      <w:r w:rsidR="009E2F41">
        <w:rPr>
          <w:rFonts w:ascii="Times New Roman" w:hAnsi="Times New Roman"/>
          <w:sz w:val="26"/>
          <w:szCs w:val="26"/>
        </w:rPr>
        <w:t xml:space="preserve">FERC </w:t>
      </w:r>
      <w:r w:rsidR="00066375" w:rsidRPr="00E9060E">
        <w:rPr>
          <w:rFonts w:ascii="Times New Roman" w:hAnsi="Times New Roman"/>
          <w:sz w:val="26"/>
          <w:szCs w:val="26"/>
        </w:rPr>
        <w:t xml:space="preserve">Form No. 60 </w:t>
      </w:r>
      <w:r w:rsidR="009E14B3" w:rsidRPr="00E9060E">
        <w:rPr>
          <w:rFonts w:ascii="Times New Roman" w:hAnsi="Times New Roman"/>
          <w:sz w:val="26"/>
          <w:szCs w:val="26"/>
        </w:rPr>
        <w:t xml:space="preserve">enables </w:t>
      </w:r>
      <w:r w:rsidR="00066375" w:rsidRPr="00E9060E">
        <w:rPr>
          <w:rFonts w:ascii="Times New Roman" w:hAnsi="Times New Roman"/>
          <w:sz w:val="26"/>
          <w:szCs w:val="26"/>
        </w:rPr>
        <w:t>better monitoring for cross-subsidization</w:t>
      </w:r>
      <w:r w:rsidR="00295EB7" w:rsidRPr="00E9060E">
        <w:rPr>
          <w:rFonts w:ascii="Times New Roman" w:hAnsi="Times New Roman"/>
          <w:sz w:val="26"/>
          <w:szCs w:val="26"/>
        </w:rPr>
        <w:t>,</w:t>
      </w:r>
      <w:r w:rsidR="00066375" w:rsidRPr="00E9060E">
        <w:rPr>
          <w:rFonts w:ascii="Times New Roman" w:hAnsi="Times New Roman"/>
          <w:sz w:val="26"/>
          <w:szCs w:val="26"/>
        </w:rPr>
        <w:t xml:space="preserve"> and aids the Commission in carrying out its statutory responsibilities.  </w:t>
      </w:r>
    </w:p>
    <w:p w14:paraId="11C736BC" w14:textId="77777777" w:rsidR="00CC72A5" w:rsidRPr="00E9060E" w:rsidRDefault="00CC72A5" w:rsidP="00BD0F89">
      <w:pPr>
        <w:spacing w:after="0" w:line="240" w:lineRule="auto"/>
        <w:rPr>
          <w:rFonts w:ascii="Times New Roman" w:hAnsi="Times New Roman"/>
          <w:b/>
          <w:sz w:val="26"/>
          <w:szCs w:val="26"/>
        </w:rPr>
      </w:pPr>
    </w:p>
    <w:p w14:paraId="228B82CC" w14:textId="2D5D24C9" w:rsidR="002476F2" w:rsidRPr="00E9060E" w:rsidRDefault="002476F2" w:rsidP="002476F2">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 </w:t>
      </w:r>
      <w:r w:rsidRPr="00E9060E">
        <w:rPr>
          <w:rFonts w:ascii="Times New Roman" w:hAnsi="Times New Roman"/>
          <w:b/>
          <w:sz w:val="26"/>
          <w:szCs w:val="26"/>
        </w:rPr>
        <w:t>714.</w:t>
      </w:r>
      <w:r w:rsidRPr="00E9060E">
        <w:rPr>
          <w:rFonts w:ascii="Times New Roman" w:hAnsi="Times New Roman"/>
          <w:sz w:val="26"/>
          <w:szCs w:val="26"/>
        </w:rPr>
        <w:t xml:space="preserve">  The Federal Power Act authorizes the Commission to collect information from electric utility balancing authorities and planning areas in the United States for the purpose of analyzing power system operations.  These analyses estimate the effect of changes in power system operations resulting from the installation of a new generating unit, plant, or transmission facilities, as well as the effects of energy transfers between systems and/or new points of interconnection.  Also, these analyses assist with evaluating rates and charges, assessing reliability and other operating attributes in regulatory proceedings, monitoring market trends and behaviors, and determining the competitive impacts of proposed mergers, acquisitions, and dispositions.  </w:t>
      </w:r>
    </w:p>
    <w:p w14:paraId="5D257DEF" w14:textId="77777777" w:rsidR="00471F97" w:rsidRPr="00E9060E" w:rsidRDefault="00471F97" w:rsidP="00BD0F89">
      <w:pPr>
        <w:spacing w:after="0" w:line="240" w:lineRule="auto"/>
        <w:rPr>
          <w:rFonts w:ascii="Times New Roman" w:hAnsi="Times New Roman"/>
          <w:sz w:val="26"/>
          <w:szCs w:val="26"/>
        </w:rPr>
      </w:pPr>
    </w:p>
    <w:p w14:paraId="025D3203" w14:textId="77777777" w:rsidR="00471F97" w:rsidRPr="00E9060E" w:rsidRDefault="00471F97"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HOW, BY WHOM, AND FOR WHAT PURPOSE THE INFORMATION IS TO BE USED AND THE CONSEQUENCES OF NOT COLLECTING THE INFORMATION</w:t>
      </w:r>
    </w:p>
    <w:p w14:paraId="4C545E0D" w14:textId="77777777" w:rsidR="007445A8" w:rsidRPr="00E9060E" w:rsidRDefault="007445A8" w:rsidP="00BD0F89">
      <w:pPr>
        <w:spacing w:after="0" w:line="240" w:lineRule="auto"/>
        <w:rPr>
          <w:rFonts w:ascii="Times New Roman" w:hAnsi="Times New Roman"/>
          <w:sz w:val="26"/>
          <w:szCs w:val="26"/>
        </w:rPr>
      </w:pPr>
    </w:p>
    <w:p w14:paraId="5BA90512" w14:textId="49FF9B0C" w:rsidR="00CD2ED1" w:rsidRPr="00E9060E" w:rsidRDefault="001F096A" w:rsidP="00BD0F89">
      <w:pPr>
        <w:spacing w:after="0" w:line="240" w:lineRule="auto"/>
        <w:rPr>
          <w:rFonts w:ascii="Times New Roman" w:hAnsi="Times New Roman"/>
          <w:sz w:val="26"/>
          <w:szCs w:val="26"/>
        </w:rPr>
      </w:pPr>
      <w:r w:rsidRPr="00E9060E">
        <w:rPr>
          <w:rFonts w:ascii="Times New Roman" w:hAnsi="Times New Roman"/>
          <w:sz w:val="26"/>
          <w:szCs w:val="26"/>
        </w:rPr>
        <w:t xml:space="preserve">Under the </w:t>
      </w:r>
      <w:r w:rsidR="00C656D8">
        <w:rPr>
          <w:rFonts w:ascii="Times New Roman" w:hAnsi="Times New Roman"/>
          <w:sz w:val="26"/>
          <w:szCs w:val="26"/>
        </w:rPr>
        <w:t>f</w:t>
      </w:r>
      <w:r w:rsidR="00932DF3" w:rsidRPr="00E9060E">
        <w:rPr>
          <w:rFonts w:ascii="Times New Roman" w:hAnsi="Times New Roman"/>
          <w:sz w:val="26"/>
          <w:szCs w:val="26"/>
        </w:rPr>
        <w:t xml:space="preserve">inal </w:t>
      </w:r>
      <w:r w:rsidR="00C656D8">
        <w:rPr>
          <w:rFonts w:ascii="Times New Roman" w:hAnsi="Times New Roman"/>
          <w:sz w:val="26"/>
          <w:szCs w:val="26"/>
        </w:rPr>
        <w:t>r</w:t>
      </w:r>
      <w:r w:rsidR="00932DF3" w:rsidRPr="00E9060E">
        <w:rPr>
          <w:rFonts w:ascii="Times New Roman" w:hAnsi="Times New Roman"/>
          <w:sz w:val="26"/>
          <w:szCs w:val="26"/>
        </w:rPr>
        <w:t>ule</w:t>
      </w:r>
      <w:r w:rsidRPr="00E9060E">
        <w:rPr>
          <w:rFonts w:ascii="Times New Roman" w:hAnsi="Times New Roman"/>
          <w:sz w:val="26"/>
          <w:szCs w:val="26"/>
        </w:rPr>
        <w:t>, the Commission is not chang</w:t>
      </w:r>
      <w:r w:rsidR="00963B12" w:rsidRPr="00E9060E">
        <w:rPr>
          <w:rFonts w:ascii="Times New Roman" w:hAnsi="Times New Roman"/>
          <w:sz w:val="26"/>
          <w:szCs w:val="26"/>
        </w:rPr>
        <w:t>ing</w:t>
      </w:r>
      <w:r w:rsidRPr="00E9060E">
        <w:rPr>
          <w:rFonts w:ascii="Times New Roman" w:hAnsi="Times New Roman"/>
          <w:sz w:val="26"/>
          <w:szCs w:val="26"/>
        </w:rPr>
        <w:t xml:space="preserve"> the information currently collected in the VFP Forms, but rather chang</w:t>
      </w:r>
      <w:r w:rsidR="00963B12" w:rsidRPr="00E9060E">
        <w:rPr>
          <w:rFonts w:ascii="Times New Roman" w:hAnsi="Times New Roman"/>
          <w:sz w:val="26"/>
          <w:szCs w:val="26"/>
        </w:rPr>
        <w:t>ing</w:t>
      </w:r>
      <w:r w:rsidRPr="00E9060E">
        <w:rPr>
          <w:rFonts w:ascii="Times New Roman" w:hAnsi="Times New Roman"/>
          <w:sz w:val="26"/>
          <w:szCs w:val="26"/>
        </w:rPr>
        <w:t xml:space="preserve"> the </w:t>
      </w:r>
      <w:r w:rsidR="00581B0F">
        <w:rPr>
          <w:rFonts w:ascii="Times New Roman" w:hAnsi="Times New Roman"/>
          <w:sz w:val="26"/>
          <w:szCs w:val="26"/>
        </w:rPr>
        <w:t xml:space="preserve">reporting </w:t>
      </w:r>
      <w:r w:rsidRPr="00E9060E">
        <w:rPr>
          <w:rFonts w:ascii="Times New Roman" w:hAnsi="Times New Roman"/>
          <w:sz w:val="26"/>
          <w:szCs w:val="26"/>
        </w:rPr>
        <w:t xml:space="preserve">format </w:t>
      </w:r>
      <w:r w:rsidR="00581B0F">
        <w:rPr>
          <w:rFonts w:ascii="Times New Roman" w:hAnsi="Times New Roman"/>
          <w:sz w:val="26"/>
          <w:szCs w:val="26"/>
        </w:rPr>
        <w:t xml:space="preserve">from </w:t>
      </w:r>
      <w:r w:rsidRPr="00E9060E">
        <w:rPr>
          <w:rFonts w:ascii="Times New Roman" w:hAnsi="Times New Roman"/>
          <w:sz w:val="26"/>
          <w:szCs w:val="26"/>
        </w:rPr>
        <w:t>VFP to XBRL.</w:t>
      </w:r>
      <w:r w:rsidR="00CD2ED1" w:rsidRPr="00E9060E">
        <w:rPr>
          <w:rFonts w:ascii="Times New Roman" w:hAnsi="Times New Roman"/>
          <w:sz w:val="26"/>
          <w:szCs w:val="26"/>
        </w:rPr>
        <w:t xml:space="preserve">  </w:t>
      </w:r>
    </w:p>
    <w:p w14:paraId="7E34670A" w14:textId="77777777" w:rsidR="00CD2ED1" w:rsidRPr="00E9060E" w:rsidRDefault="00CD2ED1" w:rsidP="00BD0F89">
      <w:pPr>
        <w:spacing w:after="0" w:line="240" w:lineRule="auto"/>
        <w:rPr>
          <w:rFonts w:ascii="Times New Roman" w:hAnsi="Times New Roman"/>
          <w:sz w:val="26"/>
          <w:szCs w:val="26"/>
        </w:rPr>
      </w:pPr>
    </w:p>
    <w:p w14:paraId="3B61F33A" w14:textId="77777777" w:rsidR="001F096A" w:rsidRPr="00E9060E" w:rsidRDefault="00CD2ED1" w:rsidP="00BD0F89">
      <w:pPr>
        <w:spacing w:after="0" w:line="240" w:lineRule="auto"/>
        <w:rPr>
          <w:rFonts w:ascii="Times New Roman" w:hAnsi="Times New Roman"/>
          <w:sz w:val="26"/>
          <w:szCs w:val="26"/>
        </w:rPr>
      </w:pPr>
      <w:r w:rsidRPr="00E9060E">
        <w:rPr>
          <w:rFonts w:ascii="Times New Roman" w:hAnsi="Times New Roman"/>
          <w:sz w:val="26"/>
          <w:szCs w:val="26"/>
        </w:rPr>
        <w:t xml:space="preserve">A description of how, by whom, and for what purpose the information collected in the VFP Forms is used and the consequences of not collecting the information is provided below.  </w:t>
      </w:r>
    </w:p>
    <w:p w14:paraId="37BCD701" w14:textId="77777777" w:rsidR="001F096A" w:rsidRPr="00E9060E" w:rsidRDefault="001F096A" w:rsidP="00BD0F89">
      <w:pPr>
        <w:spacing w:after="0" w:line="240" w:lineRule="auto"/>
        <w:rPr>
          <w:rFonts w:ascii="Times New Roman" w:hAnsi="Times New Roman"/>
          <w:sz w:val="26"/>
          <w:szCs w:val="26"/>
        </w:rPr>
      </w:pPr>
    </w:p>
    <w:p w14:paraId="62912085" w14:textId="437914FA" w:rsidR="00CC72A5" w:rsidRPr="00E9060E" w:rsidRDefault="00CC72A5" w:rsidP="00BD0F89">
      <w:pPr>
        <w:spacing w:after="0" w:line="240" w:lineRule="auto"/>
        <w:rPr>
          <w:rFonts w:ascii="Times New Roman" w:hAnsi="Times New Roman"/>
          <w:sz w:val="26"/>
          <w:szCs w:val="26"/>
        </w:rPr>
      </w:pPr>
      <w:r w:rsidRPr="00E9060E">
        <w:rPr>
          <w:rFonts w:ascii="Times New Roman" w:hAnsi="Times New Roman"/>
          <w:b/>
          <w:sz w:val="26"/>
          <w:szCs w:val="26"/>
        </w:rPr>
        <w:t>F</w:t>
      </w:r>
      <w:r w:rsidR="009E14B3" w:rsidRPr="00E9060E">
        <w:rPr>
          <w:rFonts w:ascii="Times New Roman" w:hAnsi="Times New Roman"/>
          <w:b/>
          <w:sz w:val="26"/>
          <w:szCs w:val="26"/>
        </w:rPr>
        <w:t>ERC</w:t>
      </w:r>
      <w:r w:rsidR="002123B8" w:rsidRPr="00E9060E">
        <w:rPr>
          <w:rFonts w:ascii="Times New Roman" w:hAnsi="Times New Roman"/>
          <w:b/>
          <w:sz w:val="26"/>
          <w:szCs w:val="26"/>
        </w:rPr>
        <w:t xml:space="preserve"> Form Nos. </w:t>
      </w:r>
      <w:r w:rsidR="00963B12" w:rsidRPr="00E9060E">
        <w:rPr>
          <w:rFonts w:ascii="Times New Roman" w:hAnsi="Times New Roman"/>
          <w:b/>
          <w:sz w:val="26"/>
          <w:szCs w:val="26"/>
        </w:rPr>
        <w:t>1T, 1-FT, and 3-QT (</w:t>
      </w:r>
      <w:r w:rsidRPr="00E9060E">
        <w:rPr>
          <w:rFonts w:ascii="Times New Roman" w:hAnsi="Times New Roman"/>
          <w:b/>
          <w:sz w:val="26"/>
          <w:szCs w:val="26"/>
        </w:rPr>
        <w:t>1, 1-F, and 3-Q</w:t>
      </w:r>
      <w:r w:rsidR="00963B12" w:rsidRPr="00E9060E">
        <w:rPr>
          <w:rFonts w:ascii="Times New Roman" w:hAnsi="Times New Roman"/>
          <w:b/>
          <w:sz w:val="26"/>
          <w:szCs w:val="26"/>
        </w:rPr>
        <w:t>)</w:t>
      </w:r>
      <w:r w:rsidRPr="00E9060E">
        <w:rPr>
          <w:rFonts w:ascii="Times New Roman" w:hAnsi="Times New Roman"/>
          <w:b/>
          <w:sz w:val="26"/>
          <w:szCs w:val="26"/>
        </w:rPr>
        <w:t xml:space="preserve">.  </w:t>
      </w:r>
      <w:r w:rsidRPr="00E9060E">
        <w:rPr>
          <w:rFonts w:ascii="Times New Roman" w:hAnsi="Times New Roman"/>
          <w:sz w:val="26"/>
          <w:szCs w:val="26"/>
        </w:rPr>
        <w:t>These forms provide information concerning a company’s current performance, compiled using the Commission’s USofA.</w:t>
      </w:r>
      <w:r w:rsidRPr="00E9060E">
        <w:rPr>
          <w:rFonts w:ascii="Times New Roman" w:hAnsi="Times New Roman"/>
          <w:b/>
          <w:sz w:val="26"/>
          <w:szCs w:val="26"/>
          <w:vertAlign w:val="superscript"/>
        </w:rPr>
        <w:footnoteReference w:id="10"/>
      </w:r>
      <w:r w:rsidRPr="00E9060E">
        <w:rPr>
          <w:rFonts w:ascii="Times New Roman" w:hAnsi="Times New Roman"/>
          <w:sz w:val="26"/>
          <w:szCs w:val="26"/>
        </w:rPr>
        <w:t xml:space="preserve">  The forms include a basic set of financial statements:  Comparative Balance Sheet, Statement of Income and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 account balances for all electric operation and maintenance expenses; selected plant cost data; and other statistical information.  </w:t>
      </w:r>
    </w:p>
    <w:p w14:paraId="74998261" w14:textId="77777777" w:rsidR="00CC72A5" w:rsidRPr="00E9060E" w:rsidRDefault="00CC72A5" w:rsidP="00BD0F89">
      <w:pPr>
        <w:spacing w:after="0" w:line="240" w:lineRule="auto"/>
        <w:rPr>
          <w:rFonts w:ascii="Times New Roman" w:hAnsi="Times New Roman"/>
          <w:sz w:val="26"/>
          <w:szCs w:val="26"/>
        </w:rPr>
      </w:pPr>
    </w:p>
    <w:p w14:paraId="402BAAF0" w14:textId="196DF49B" w:rsidR="00CC72A5" w:rsidRPr="00E9060E" w:rsidRDefault="00CC72A5" w:rsidP="00BD0F89">
      <w:pPr>
        <w:spacing w:after="0" w:line="240" w:lineRule="auto"/>
        <w:rPr>
          <w:rFonts w:ascii="Times New Roman" w:hAnsi="Times New Roman"/>
          <w:sz w:val="26"/>
          <w:szCs w:val="26"/>
        </w:rPr>
      </w:pPr>
      <w:r w:rsidRPr="00E9060E">
        <w:rPr>
          <w:rFonts w:ascii="Times New Roman" w:hAnsi="Times New Roman"/>
          <w:sz w:val="26"/>
          <w:szCs w:val="26"/>
        </w:rPr>
        <w:t xml:space="preserve">Information in the forms is used by </w:t>
      </w:r>
      <w:r w:rsidR="00156589" w:rsidRPr="00E9060E">
        <w:rPr>
          <w:rFonts w:ascii="Times New Roman" w:hAnsi="Times New Roman"/>
          <w:sz w:val="26"/>
          <w:szCs w:val="26"/>
        </w:rPr>
        <w:t>the Commission,</w:t>
      </w:r>
      <w:r w:rsidRPr="00E9060E">
        <w:rPr>
          <w:rFonts w:ascii="Times New Roman" w:hAnsi="Times New Roman"/>
          <w:sz w:val="26"/>
          <w:szCs w:val="26"/>
        </w:rPr>
        <w:t xml:space="preserve"> state regulatory agencies</w:t>
      </w:r>
      <w:r w:rsidR="00A326E2" w:rsidRPr="00E9060E">
        <w:rPr>
          <w:rFonts w:ascii="Times New Roman" w:hAnsi="Times New Roman"/>
          <w:sz w:val="26"/>
          <w:szCs w:val="26"/>
        </w:rPr>
        <w:t>,</w:t>
      </w:r>
      <w:r w:rsidRPr="00E9060E">
        <w:rPr>
          <w:rFonts w:ascii="Times New Roman" w:hAnsi="Times New Roman"/>
          <w:sz w:val="26"/>
          <w:szCs w:val="26"/>
        </w:rPr>
        <w:t xml:space="preserve"> and others in the review of the financial condition of regulated companies.  The information is also used in various rate proceedings, market oversight,</w:t>
      </w:r>
      <w:r w:rsidR="008E6E94" w:rsidRPr="00E9060E">
        <w:rPr>
          <w:rFonts w:ascii="Times New Roman" w:hAnsi="Times New Roman"/>
          <w:sz w:val="26"/>
          <w:szCs w:val="26"/>
        </w:rPr>
        <w:t xml:space="preserve"> </w:t>
      </w:r>
      <w:r w:rsidR="00156589" w:rsidRPr="00E9060E">
        <w:rPr>
          <w:rFonts w:ascii="Times New Roman" w:hAnsi="Times New Roman"/>
          <w:sz w:val="26"/>
          <w:szCs w:val="26"/>
        </w:rPr>
        <w:t>the Commission’s</w:t>
      </w:r>
      <w:r w:rsidRPr="00E9060E">
        <w:rPr>
          <w:rFonts w:ascii="Times New Roman" w:hAnsi="Times New Roman"/>
          <w:sz w:val="26"/>
          <w:szCs w:val="26"/>
        </w:rPr>
        <w:t xml:space="preserve"> audit programs, and the computation of annual charges based on certain schedules contained on the forms.  </w:t>
      </w:r>
    </w:p>
    <w:p w14:paraId="6649A203" w14:textId="77777777" w:rsidR="00BE75DC" w:rsidRPr="00E9060E" w:rsidRDefault="00BE75DC" w:rsidP="00BD0F89">
      <w:pPr>
        <w:spacing w:after="0" w:line="240" w:lineRule="auto"/>
        <w:rPr>
          <w:rFonts w:ascii="Times New Roman" w:hAnsi="Times New Roman"/>
          <w:sz w:val="26"/>
          <w:szCs w:val="26"/>
        </w:rPr>
      </w:pPr>
    </w:p>
    <w:p w14:paraId="31D92B5A" w14:textId="3D69F158" w:rsidR="003A3DE2" w:rsidRPr="00E9060E" w:rsidRDefault="0062523A" w:rsidP="003A3DE2">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Nos. </w:t>
      </w:r>
      <w:r w:rsidRPr="00E9060E">
        <w:rPr>
          <w:rFonts w:ascii="Times New Roman" w:hAnsi="Times New Roman"/>
          <w:b/>
          <w:sz w:val="26"/>
          <w:szCs w:val="26"/>
        </w:rPr>
        <w:t>2</w:t>
      </w:r>
      <w:r w:rsidR="00A326E2" w:rsidRPr="00E9060E">
        <w:rPr>
          <w:rFonts w:ascii="Times New Roman" w:hAnsi="Times New Roman"/>
          <w:b/>
          <w:sz w:val="26"/>
          <w:szCs w:val="26"/>
        </w:rPr>
        <w:t>,</w:t>
      </w:r>
      <w:r w:rsidRPr="00E9060E">
        <w:rPr>
          <w:rFonts w:ascii="Times New Roman" w:hAnsi="Times New Roman"/>
          <w:b/>
          <w:sz w:val="26"/>
          <w:szCs w:val="26"/>
        </w:rPr>
        <w:t xml:space="preserve"> </w:t>
      </w:r>
      <w:r w:rsidR="00AC3A31" w:rsidRPr="00E9060E">
        <w:rPr>
          <w:rFonts w:ascii="Times New Roman" w:hAnsi="Times New Roman"/>
          <w:b/>
          <w:sz w:val="26"/>
          <w:szCs w:val="26"/>
        </w:rPr>
        <w:t>2-A</w:t>
      </w:r>
      <w:r w:rsidR="00A326E2" w:rsidRPr="00E9060E">
        <w:rPr>
          <w:rFonts w:ascii="Times New Roman" w:hAnsi="Times New Roman"/>
          <w:b/>
          <w:sz w:val="26"/>
          <w:szCs w:val="26"/>
        </w:rPr>
        <w:t>, and 3</w:t>
      </w:r>
      <w:r w:rsidR="00963B12" w:rsidRPr="00E9060E">
        <w:rPr>
          <w:rFonts w:ascii="Times New Roman" w:hAnsi="Times New Roman"/>
          <w:b/>
          <w:sz w:val="26"/>
          <w:szCs w:val="26"/>
        </w:rPr>
        <w:t>-</w:t>
      </w:r>
      <w:r w:rsidR="00A326E2" w:rsidRPr="00E9060E">
        <w:rPr>
          <w:rFonts w:ascii="Times New Roman" w:hAnsi="Times New Roman"/>
          <w:b/>
          <w:sz w:val="26"/>
          <w:szCs w:val="26"/>
        </w:rPr>
        <w:t>Q</w:t>
      </w:r>
      <w:r w:rsidR="00963B12" w:rsidRPr="00E9060E">
        <w:rPr>
          <w:rFonts w:ascii="Times New Roman" w:hAnsi="Times New Roman"/>
          <w:b/>
          <w:sz w:val="26"/>
          <w:szCs w:val="26"/>
        </w:rPr>
        <w:t>T (</w:t>
      </w:r>
      <w:r w:rsidR="00BB505F">
        <w:rPr>
          <w:rFonts w:ascii="Times New Roman" w:hAnsi="Times New Roman"/>
          <w:b/>
          <w:sz w:val="26"/>
          <w:szCs w:val="26"/>
        </w:rPr>
        <w:t xml:space="preserve">natural </w:t>
      </w:r>
      <w:r w:rsidR="00963B12" w:rsidRPr="00E9060E">
        <w:rPr>
          <w:rFonts w:ascii="Times New Roman" w:hAnsi="Times New Roman"/>
          <w:b/>
          <w:sz w:val="26"/>
          <w:szCs w:val="26"/>
        </w:rPr>
        <w:t>gas) (and 3-Q,</w:t>
      </w:r>
      <w:r w:rsidR="00A326E2" w:rsidRPr="00E9060E">
        <w:rPr>
          <w:rFonts w:ascii="Times New Roman" w:hAnsi="Times New Roman"/>
          <w:b/>
          <w:sz w:val="26"/>
          <w:szCs w:val="26"/>
        </w:rPr>
        <w:t xml:space="preserve"> </w:t>
      </w:r>
      <w:r w:rsidR="00BB505F">
        <w:rPr>
          <w:rFonts w:ascii="Times New Roman" w:hAnsi="Times New Roman"/>
          <w:b/>
          <w:sz w:val="26"/>
          <w:szCs w:val="26"/>
        </w:rPr>
        <w:t xml:space="preserve">natural </w:t>
      </w:r>
      <w:r w:rsidR="00A326E2" w:rsidRPr="00E9060E">
        <w:rPr>
          <w:rFonts w:ascii="Times New Roman" w:hAnsi="Times New Roman"/>
          <w:b/>
          <w:sz w:val="26"/>
          <w:szCs w:val="26"/>
        </w:rPr>
        <w:t>gas)</w:t>
      </w:r>
      <w:r w:rsidRPr="00E9060E">
        <w:rPr>
          <w:rFonts w:ascii="Times New Roman" w:hAnsi="Times New Roman"/>
          <w:b/>
          <w:sz w:val="26"/>
          <w:szCs w:val="26"/>
        </w:rPr>
        <w:t xml:space="preserve">.  </w:t>
      </w:r>
      <w:r w:rsidR="00A326E2" w:rsidRPr="00E9060E">
        <w:rPr>
          <w:rFonts w:ascii="Times New Roman" w:hAnsi="Times New Roman"/>
          <w:sz w:val="26"/>
          <w:szCs w:val="26"/>
        </w:rPr>
        <w:t>These forms provide information concerning a company’s current performance, compiled using the Commission’s USofA.</w:t>
      </w:r>
      <w:r w:rsidR="00A326E2" w:rsidRPr="00E9060E">
        <w:rPr>
          <w:rFonts w:ascii="Times New Roman" w:hAnsi="Times New Roman"/>
          <w:b/>
          <w:sz w:val="26"/>
          <w:szCs w:val="26"/>
          <w:vertAlign w:val="superscript"/>
        </w:rPr>
        <w:footnoteReference w:id="11"/>
      </w:r>
      <w:r w:rsidR="00A326E2" w:rsidRPr="00E9060E">
        <w:rPr>
          <w:rFonts w:ascii="Times New Roman" w:hAnsi="Times New Roman"/>
          <w:sz w:val="26"/>
          <w:szCs w:val="26"/>
        </w:rPr>
        <w:t xml:space="preserve">  </w:t>
      </w:r>
      <w:r w:rsidR="00536181">
        <w:rPr>
          <w:rFonts w:ascii="Times New Roman" w:hAnsi="Times New Roman"/>
          <w:sz w:val="26"/>
          <w:szCs w:val="26"/>
        </w:rPr>
        <w:t xml:space="preserve">FERC </w:t>
      </w:r>
      <w:r w:rsidR="002C0DA6" w:rsidRPr="00E9060E">
        <w:rPr>
          <w:rFonts w:ascii="Times New Roman" w:hAnsi="Times New Roman"/>
          <w:sz w:val="26"/>
          <w:szCs w:val="26"/>
        </w:rPr>
        <w:t>Form No. 2</w:t>
      </w:r>
      <w:r w:rsidR="002C0DA6" w:rsidRPr="00E9060E">
        <w:rPr>
          <w:rFonts w:ascii="Times New Roman" w:hAnsi="Times New Roman"/>
          <w:b/>
          <w:sz w:val="26"/>
          <w:szCs w:val="26"/>
        </w:rPr>
        <w:t xml:space="preserve"> </w:t>
      </w:r>
      <w:r w:rsidR="002C0DA6" w:rsidRPr="00E9060E">
        <w:rPr>
          <w:rFonts w:ascii="Times New Roman" w:hAnsi="Times New Roman"/>
          <w:sz w:val="26"/>
          <w:szCs w:val="26"/>
        </w:rPr>
        <w:t xml:space="preserve">is filed by </w:t>
      </w:r>
      <w:r w:rsidR="00A344C4">
        <w:rPr>
          <w:rFonts w:ascii="Times New Roman" w:hAnsi="Times New Roman"/>
          <w:sz w:val="26"/>
          <w:szCs w:val="26"/>
        </w:rPr>
        <w:t>“</w:t>
      </w:r>
      <w:r w:rsidR="00156589" w:rsidRPr="00E9060E">
        <w:rPr>
          <w:rFonts w:ascii="Times New Roman" w:hAnsi="Times New Roman"/>
          <w:sz w:val="26"/>
          <w:szCs w:val="26"/>
        </w:rPr>
        <w:t>M</w:t>
      </w:r>
      <w:r w:rsidR="002C0DA6" w:rsidRPr="00E9060E">
        <w:rPr>
          <w:rFonts w:ascii="Times New Roman" w:hAnsi="Times New Roman"/>
          <w:sz w:val="26"/>
          <w:szCs w:val="26"/>
        </w:rPr>
        <w:t>ajor</w:t>
      </w:r>
      <w:r w:rsidR="00A344C4">
        <w:rPr>
          <w:rFonts w:ascii="Times New Roman" w:hAnsi="Times New Roman"/>
          <w:sz w:val="26"/>
          <w:szCs w:val="26"/>
        </w:rPr>
        <w:t>”</w:t>
      </w:r>
      <w:r w:rsidR="002C0DA6" w:rsidRPr="00E9060E">
        <w:rPr>
          <w:rFonts w:ascii="Times New Roman" w:hAnsi="Times New Roman"/>
          <w:sz w:val="26"/>
          <w:szCs w:val="26"/>
        </w:rPr>
        <w:t xml:space="preserve"> natural gas companies that have combined </w:t>
      </w:r>
      <w:r w:rsidR="006800CE">
        <w:rPr>
          <w:rFonts w:ascii="Times New Roman" w:hAnsi="Times New Roman"/>
          <w:sz w:val="26"/>
          <w:szCs w:val="26"/>
        </w:rPr>
        <w:t xml:space="preserve">natural </w:t>
      </w:r>
      <w:r w:rsidR="002C0DA6" w:rsidRPr="00E9060E">
        <w:rPr>
          <w:rFonts w:ascii="Times New Roman" w:hAnsi="Times New Roman"/>
          <w:sz w:val="26"/>
          <w:szCs w:val="26"/>
        </w:rPr>
        <w:t xml:space="preserve">gas transported or stored for a fee that exceeds 50 million Dekatherms in each of the three previous calendar years.  </w:t>
      </w:r>
      <w:r w:rsidR="009E2F41">
        <w:rPr>
          <w:rFonts w:ascii="Times New Roman" w:hAnsi="Times New Roman"/>
          <w:sz w:val="26"/>
          <w:szCs w:val="26"/>
        </w:rPr>
        <w:t xml:space="preserve">FERC </w:t>
      </w:r>
      <w:r w:rsidRPr="00E9060E">
        <w:rPr>
          <w:rFonts w:ascii="Times New Roman" w:hAnsi="Times New Roman"/>
          <w:sz w:val="26"/>
          <w:szCs w:val="26"/>
        </w:rPr>
        <w:t xml:space="preserve">Form No. 2-A is filed by </w:t>
      </w:r>
      <w:r w:rsidR="00A344C4">
        <w:rPr>
          <w:rFonts w:ascii="Times New Roman" w:hAnsi="Times New Roman"/>
          <w:sz w:val="26"/>
          <w:szCs w:val="26"/>
        </w:rPr>
        <w:t>“</w:t>
      </w:r>
      <w:r w:rsidRPr="00E9060E">
        <w:rPr>
          <w:rFonts w:ascii="Times New Roman" w:hAnsi="Times New Roman"/>
          <w:sz w:val="26"/>
          <w:szCs w:val="26"/>
        </w:rPr>
        <w:t>Non-Major</w:t>
      </w:r>
      <w:r w:rsidR="00A344C4">
        <w:rPr>
          <w:rFonts w:ascii="Times New Roman" w:hAnsi="Times New Roman"/>
          <w:sz w:val="26"/>
          <w:szCs w:val="26"/>
        </w:rPr>
        <w:t>”</w:t>
      </w:r>
      <w:r w:rsidRPr="00E9060E">
        <w:rPr>
          <w:rFonts w:ascii="Times New Roman" w:hAnsi="Times New Roman"/>
          <w:sz w:val="26"/>
          <w:szCs w:val="26"/>
        </w:rPr>
        <w:t xml:space="preserve"> natural gas companies that have total gas sales or volume transactions that exceeds 200,000 Dekatherms</w:t>
      </w:r>
      <w:r w:rsidR="00536181">
        <w:rPr>
          <w:rFonts w:ascii="Times New Roman" w:hAnsi="Times New Roman"/>
          <w:sz w:val="26"/>
          <w:szCs w:val="26"/>
        </w:rPr>
        <w:t xml:space="preserve"> in each of the three previous calendar years</w:t>
      </w:r>
      <w:r w:rsidRPr="00E9060E">
        <w:rPr>
          <w:rFonts w:ascii="Times New Roman" w:hAnsi="Times New Roman"/>
          <w:sz w:val="26"/>
          <w:szCs w:val="26"/>
        </w:rPr>
        <w:t>, but does not qualify as</w:t>
      </w:r>
      <w:r w:rsidR="00156589" w:rsidRPr="00E9060E">
        <w:rPr>
          <w:rFonts w:ascii="Times New Roman" w:hAnsi="Times New Roman"/>
          <w:sz w:val="26"/>
          <w:szCs w:val="26"/>
        </w:rPr>
        <w:t xml:space="preserve"> Major</w:t>
      </w:r>
      <w:r w:rsidRPr="00E9060E">
        <w:rPr>
          <w:rFonts w:ascii="Times New Roman" w:hAnsi="Times New Roman"/>
          <w:sz w:val="26"/>
          <w:szCs w:val="26"/>
        </w:rPr>
        <w:t>.</w:t>
      </w:r>
      <w:r w:rsidR="003A3DE2" w:rsidRPr="00E9060E">
        <w:rPr>
          <w:rFonts w:ascii="Times New Roman" w:hAnsi="Times New Roman"/>
          <w:sz w:val="26"/>
          <w:szCs w:val="26"/>
        </w:rPr>
        <w:t xml:space="preserve">  </w:t>
      </w:r>
      <w:r w:rsidR="009E2F41">
        <w:rPr>
          <w:rFonts w:ascii="Times New Roman" w:hAnsi="Times New Roman"/>
          <w:sz w:val="26"/>
          <w:szCs w:val="26"/>
        </w:rPr>
        <w:t xml:space="preserve">FERC </w:t>
      </w:r>
      <w:r w:rsidR="00314E84">
        <w:rPr>
          <w:rFonts w:ascii="Times New Roman" w:hAnsi="Times New Roman"/>
          <w:sz w:val="26"/>
          <w:szCs w:val="26"/>
        </w:rPr>
        <w:t xml:space="preserve">Form No. </w:t>
      </w:r>
      <w:r w:rsidR="003A3DE2" w:rsidRPr="00E9060E">
        <w:rPr>
          <w:rFonts w:ascii="Times New Roman" w:hAnsi="Times New Roman"/>
          <w:sz w:val="26"/>
          <w:szCs w:val="26"/>
        </w:rPr>
        <w:t xml:space="preserve">3-Q natural gas quarterly respondents include monthly and quarterly quantities of </w:t>
      </w:r>
      <w:r w:rsidR="006800CE">
        <w:rPr>
          <w:rFonts w:ascii="Times New Roman" w:hAnsi="Times New Roman"/>
          <w:sz w:val="26"/>
          <w:szCs w:val="26"/>
        </w:rPr>
        <w:t xml:space="preserve">natural </w:t>
      </w:r>
      <w:r w:rsidR="003A3DE2" w:rsidRPr="00E9060E">
        <w:rPr>
          <w:rFonts w:ascii="Times New Roman" w:hAnsi="Times New Roman"/>
          <w:sz w:val="26"/>
          <w:szCs w:val="26"/>
        </w:rPr>
        <w:t xml:space="preserve">gas transported and associated revenues; storage, terminaling, and processing services; natural gas customer accounts and details of service; and operational expenses, depreciation, depletion and amortization of </w:t>
      </w:r>
      <w:r w:rsidR="00314E84">
        <w:rPr>
          <w:rFonts w:ascii="Times New Roman" w:hAnsi="Times New Roman"/>
          <w:sz w:val="26"/>
          <w:szCs w:val="26"/>
        </w:rPr>
        <w:t xml:space="preserve">the natural </w:t>
      </w:r>
      <w:r w:rsidR="003A3DE2" w:rsidRPr="00E9060E">
        <w:rPr>
          <w:rFonts w:ascii="Times New Roman" w:hAnsi="Times New Roman"/>
          <w:sz w:val="26"/>
          <w:szCs w:val="26"/>
        </w:rPr>
        <w:t>gas plant.</w:t>
      </w:r>
    </w:p>
    <w:p w14:paraId="7360E280" w14:textId="77777777" w:rsidR="002C0DA6" w:rsidRPr="00E9060E" w:rsidRDefault="002C0DA6" w:rsidP="00BD0F89">
      <w:pPr>
        <w:spacing w:after="0" w:line="240" w:lineRule="auto"/>
        <w:rPr>
          <w:rFonts w:ascii="Times New Roman" w:hAnsi="Times New Roman"/>
          <w:sz w:val="26"/>
          <w:szCs w:val="26"/>
        </w:rPr>
      </w:pPr>
    </w:p>
    <w:p w14:paraId="66DE3B4A" w14:textId="2DAAD079" w:rsidR="002C0DA6"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Th</w:t>
      </w:r>
      <w:r w:rsidR="0062523A" w:rsidRPr="00E9060E">
        <w:rPr>
          <w:rFonts w:ascii="Times New Roman" w:hAnsi="Times New Roman"/>
          <w:sz w:val="26"/>
          <w:szCs w:val="26"/>
        </w:rPr>
        <w:t>e</w:t>
      </w:r>
      <w:r w:rsidRPr="00E9060E">
        <w:rPr>
          <w:rFonts w:ascii="Times New Roman" w:hAnsi="Times New Roman"/>
          <w:sz w:val="26"/>
          <w:szCs w:val="26"/>
        </w:rPr>
        <w:t xml:space="preserve"> form</w:t>
      </w:r>
      <w:r w:rsidR="0062523A" w:rsidRPr="00E9060E">
        <w:rPr>
          <w:rFonts w:ascii="Times New Roman" w:hAnsi="Times New Roman"/>
          <w:sz w:val="26"/>
          <w:szCs w:val="26"/>
        </w:rPr>
        <w:t>s</w:t>
      </w:r>
      <w:r w:rsidRPr="00E9060E">
        <w:rPr>
          <w:rFonts w:ascii="Times New Roman" w:hAnsi="Times New Roman"/>
          <w:sz w:val="26"/>
          <w:szCs w:val="26"/>
        </w:rPr>
        <w:t xml:space="preserve"> provide information concerning a company’s past performance and its future prospects</w:t>
      </w:r>
      <w:r w:rsidR="006540D2" w:rsidRPr="00E9060E">
        <w:rPr>
          <w:rFonts w:ascii="Times New Roman" w:hAnsi="Times New Roman"/>
          <w:sz w:val="26"/>
          <w:szCs w:val="26"/>
        </w:rPr>
        <w:t xml:space="preserve"> and </w:t>
      </w:r>
      <w:r w:rsidRPr="00E9060E">
        <w:rPr>
          <w:rFonts w:ascii="Times New Roman" w:hAnsi="Times New Roman"/>
          <w:sz w:val="26"/>
          <w:szCs w:val="26"/>
        </w:rPr>
        <w:t>is based on the companies’ financial and other information.   The form</w:t>
      </w:r>
      <w:r w:rsidR="0062523A" w:rsidRPr="00E9060E">
        <w:rPr>
          <w:rFonts w:ascii="Times New Roman" w:hAnsi="Times New Roman"/>
          <w:sz w:val="26"/>
          <w:szCs w:val="26"/>
        </w:rPr>
        <w:t>s</w:t>
      </w:r>
      <w:r w:rsidRPr="00E9060E">
        <w:rPr>
          <w:rFonts w:ascii="Times New Roman" w:hAnsi="Times New Roman"/>
          <w:sz w:val="26"/>
          <w:szCs w:val="26"/>
        </w:rPr>
        <w:t xml:space="preserve"> contain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14:paraId="76956A35" w14:textId="77777777" w:rsidR="002C0DA6" w:rsidRPr="00E9060E" w:rsidRDefault="002C0DA6" w:rsidP="00BD0F89">
      <w:pPr>
        <w:spacing w:after="0" w:line="240" w:lineRule="auto"/>
        <w:rPr>
          <w:rFonts w:ascii="Times New Roman" w:hAnsi="Times New Roman"/>
          <w:sz w:val="26"/>
          <w:szCs w:val="26"/>
        </w:rPr>
      </w:pPr>
    </w:p>
    <w:p w14:paraId="5D187BC6" w14:textId="03980FB0" w:rsidR="002C0DA6"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The i</w:t>
      </w:r>
      <w:r w:rsidR="003C0E57" w:rsidRPr="00E9060E">
        <w:rPr>
          <w:rFonts w:ascii="Times New Roman" w:hAnsi="Times New Roman"/>
          <w:sz w:val="26"/>
          <w:szCs w:val="26"/>
        </w:rPr>
        <w:t>nformation collected</w:t>
      </w:r>
      <w:r w:rsidRPr="00E9060E">
        <w:rPr>
          <w:rFonts w:ascii="Times New Roman" w:hAnsi="Times New Roman"/>
          <w:sz w:val="26"/>
          <w:szCs w:val="26"/>
        </w:rPr>
        <w:t xml:space="preserve">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analyses and in the Commission</w:t>
      </w:r>
      <w:r w:rsidR="007B3BB5">
        <w:rPr>
          <w:rFonts w:ascii="Times New Roman" w:hAnsi="Times New Roman"/>
          <w:sz w:val="26"/>
          <w:szCs w:val="26"/>
        </w:rPr>
        <w:t>’</w:t>
      </w:r>
      <w:r w:rsidRPr="00E9060E">
        <w:rPr>
          <w:rFonts w:ascii="Times New Roman" w:hAnsi="Times New Roman"/>
          <w:sz w:val="26"/>
          <w:szCs w:val="26"/>
        </w:rPr>
        <w:t xml:space="preserve">s audit programs and as appropriate, for the computation of annual charges based on Page No. 520 of the </w:t>
      </w:r>
      <w:r w:rsidR="009E2F41">
        <w:rPr>
          <w:rFonts w:ascii="Times New Roman" w:hAnsi="Times New Roman"/>
          <w:sz w:val="26"/>
          <w:szCs w:val="26"/>
        </w:rPr>
        <w:t xml:space="preserve">FERC </w:t>
      </w:r>
      <w:r w:rsidR="003A3DE2" w:rsidRPr="00E9060E">
        <w:rPr>
          <w:rFonts w:ascii="Times New Roman" w:hAnsi="Times New Roman"/>
          <w:sz w:val="26"/>
          <w:szCs w:val="26"/>
        </w:rPr>
        <w:t xml:space="preserve">Form No. </w:t>
      </w:r>
      <w:r w:rsidR="003C0E57" w:rsidRPr="00E9060E">
        <w:rPr>
          <w:rFonts w:ascii="Times New Roman" w:hAnsi="Times New Roman"/>
          <w:sz w:val="26"/>
          <w:szCs w:val="26"/>
        </w:rPr>
        <w:t>2</w:t>
      </w:r>
      <w:r w:rsidRPr="00E9060E">
        <w:rPr>
          <w:rFonts w:ascii="Times New Roman" w:hAnsi="Times New Roman"/>
          <w:sz w:val="26"/>
          <w:szCs w:val="26"/>
        </w:rPr>
        <w:t xml:space="preserve">.  The Commission provides the information to the public, interveners and all interested parties to assist in the proceedings before the Commission. </w:t>
      </w:r>
    </w:p>
    <w:p w14:paraId="0F5132F9" w14:textId="77777777" w:rsidR="002C0DA6" w:rsidRPr="00E9060E" w:rsidRDefault="002C0DA6" w:rsidP="00BD0F89">
      <w:pPr>
        <w:spacing w:after="0" w:line="240" w:lineRule="auto"/>
        <w:rPr>
          <w:rFonts w:ascii="Times New Roman" w:hAnsi="Times New Roman"/>
          <w:sz w:val="26"/>
          <w:szCs w:val="26"/>
        </w:rPr>
      </w:pPr>
    </w:p>
    <w:p w14:paraId="7F34A694" w14:textId="3B550154" w:rsidR="002C0DA6" w:rsidRPr="00E9060E" w:rsidRDefault="003C0E57" w:rsidP="00BD0F89">
      <w:pPr>
        <w:spacing w:after="0" w:line="240" w:lineRule="auto"/>
        <w:rPr>
          <w:rFonts w:ascii="Times New Roman" w:hAnsi="Times New Roman"/>
          <w:sz w:val="26"/>
          <w:szCs w:val="26"/>
        </w:rPr>
      </w:pPr>
      <w:r w:rsidRPr="00E9060E">
        <w:rPr>
          <w:rFonts w:ascii="Times New Roman" w:hAnsi="Times New Roman"/>
          <w:sz w:val="26"/>
          <w:szCs w:val="26"/>
        </w:rPr>
        <w:t xml:space="preserve">In addition, the </w:t>
      </w:r>
      <w:r w:rsidR="002C0DA6" w:rsidRPr="00E9060E">
        <w:rPr>
          <w:rFonts w:ascii="Times New Roman" w:hAnsi="Times New Roman"/>
          <w:sz w:val="26"/>
          <w:szCs w:val="26"/>
        </w:rPr>
        <w:t>form</w:t>
      </w:r>
      <w:r w:rsidRPr="00E9060E">
        <w:rPr>
          <w:rFonts w:ascii="Times New Roman" w:hAnsi="Times New Roman"/>
          <w:sz w:val="26"/>
          <w:szCs w:val="26"/>
        </w:rPr>
        <w:t>s</w:t>
      </w:r>
      <w:r w:rsidR="002C0DA6" w:rsidRPr="00E9060E">
        <w:rPr>
          <w:rFonts w:ascii="Times New Roman" w:hAnsi="Times New Roman"/>
          <w:sz w:val="26"/>
          <w:szCs w:val="26"/>
        </w:rPr>
        <w:t xml:space="preserve"> provide the Commission, as well as others, with an informative picture of the jurisdictional entities</w:t>
      </w:r>
      <w:r w:rsidR="00C5150A">
        <w:rPr>
          <w:rFonts w:ascii="Times New Roman" w:hAnsi="Times New Roman"/>
          <w:sz w:val="26"/>
          <w:szCs w:val="26"/>
        </w:rPr>
        <w:t>’</w:t>
      </w:r>
      <w:r w:rsidR="002C0DA6" w:rsidRPr="00E9060E">
        <w:rPr>
          <w:rFonts w:ascii="Times New Roman" w:hAnsi="Times New Roman"/>
          <w:sz w:val="26"/>
          <w:szCs w:val="26"/>
        </w:rPr>
        <w:t xml:space="preserve"> financial condition along with other relevant data that is used by the Commission in making economic judgments about the entity or its industry.  For financial information to be useful to the Commission, it must be understandable, relevant, reliable and timely.   The </w:t>
      </w:r>
      <w:r w:rsidRPr="00E9060E">
        <w:rPr>
          <w:rFonts w:ascii="Times New Roman" w:hAnsi="Times New Roman"/>
          <w:sz w:val="26"/>
          <w:szCs w:val="26"/>
        </w:rPr>
        <w:t>F</w:t>
      </w:r>
      <w:r w:rsidR="003A3DE2" w:rsidRPr="00E9060E">
        <w:rPr>
          <w:rFonts w:ascii="Times New Roman" w:hAnsi="Times New Roman"/>
          <w:sz w:val="26"/>
          <w:szCs w:val="26"/>
        </w:rPr>
        <w:t xml:space="preserve">orm Nos. </w:t>
      </w:r>
      <w:r w:rsidRPr="00E9060E">
        <w:rPr>
          <w:rFonts w:ascii="Times New Roman" w:hAnsi="Times New Roman"/>
          <w:sz w:val="26"/>
          <w:szCs w:val="26"/>
        </w:rPr>
        <w:t>2 and 2</w:t>
      </w:r>
      <w:r w:rsidR="003A3DE2" w:rsidRPr="00E9060E">
        <w:rPr>
          <w:rFonts w:ascii="Times New Roman" w:hAnsi="Times New Roman"/>
          <w:sz w:val="26"/>
          <w:szCs w:val="26"/>
        </w:rPr>
        <w:t>-</w:t>
      </w:r>
      <w:r w:rsidRPr="00E9060E">
        <w:rPr>
          <w:rFonts w:ascii="Times New Roman" w:hAnsi="Times New Roman"/>
          <w:sz w:val="26"/>
          <w:szCs w:val="26"/>
        </w:rPr>
        <w:t>A</w:t>
      </w:r>
      <w:r w:rsidR="002C0DA6" w:rsidRPr="00E9060E">
        <w:rPr>
          <w:rFonts w:ascii="Times New Roman" w:hAnsi="Times New Roman"/>
          <w:sz w:val="26"/>
          <w:szCs w:val="26"/>
        </w:rPr>
        <w:t xml:space="preserve"> financial statements are prepared in accordance with the Commission’s USofA and related regulations, and provide data that enables the Commission to develop and monitor cost-based rates, analyze costs of different services and classes of assets, and compare costs across lines of business. The use of </w:t>
      </w:r>
      <w:r w:rsidR="00536181">
        <w:rPr>
          <w:rFonts w:ascii="Times New Roman" w:hAnsi="Times New Roman"/>
          <w:sz w:val="26"/>
          <w:szCs w:val="26"/>
        </w:rPr>
        <w:t>the USofA</w:t>
      </w:r>
      <w:r w:rsidR="002C0DA6" w:rsidRPr="00E9060E">
        <w:rPr>
          <w:rFonts w:ascii="Times New Roman" w:hAnsi="Times New Roman"/>
          <w:sz w:val="26"/>
          <w:szCs w:val="26"/>
        </w:rPr>
        <w:t xml:space="preserve"> permits natural gas companies to account for similar transactions and events in a consistent manner, and communicate those results to the Commission on a periodic basis.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14:paraId="21E775AD" w14:textId="77777777" w:rsidR="002C0DA6" w:rsidRPr="00E9060E" w:rsidRDefault="002C0DA6" w:rsidP="00BD0F89">
      <w:pPr>
        <w:spacing w:after="0" w:line="240" w:lineRule="auto"/>
        <w:rPr>
          <w:rFonts w:ascii="Times New Roman" w:hAnsi="Times New Roman"/>
          <w:sz w:val="26"/>
          <w:szCs w:val="26"/>
        </w:rPr>
      </w:pPr>
    </w:p>
    <w:p w14:paraId="479A35B4" w14:textId="5C7D9D17" w:rsidR="00BA412D"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In summary, without the information collected in th</w:t>
      </w:r>
      <w:r w:rsidR="000C0209" w:rsidRPr="00E9060E">
        <w:rPr>
          <w:rFonts w:ascii="Times New Roman" w:hAnsi="Times New Roman"/>
          <w:sz w:val="26"/>
          <w:szCs w:val="26"/>
        </w:rPr>
        <w:t>e</w:t>
      </w:r>
      <w:r w:rsidRPr="00E9060E">
        <w:rPr>
          <w:rFonts w:ascii="Times New Roman" w:hAnsi="Times New Roman"/>
          <w:sz w:val="26"/>
          <w:szCs w:val="26"/>
        </w:rPr>
        <w:t xml:space="preserve"> form</w:t>
      </w:r>
      <w:r w:rsidR="000C0209" w:rsidRPr="00E9060E">
        <w:rPr>
          <w:rFonts w:ascii="Times New Roman" w:hAnsi="Times New Roman"/>
          <w:sz w:val="26"/>
          <w:szCs w:val="26"/>
        </w:rPr>
        <w:t>s,</w:t>
      </w:r>
      <w:r w:rsidRPr="00E9060E">
        <w:rPr>
          <w:rFonts w:ascii="Times New Roman" w:hAnsi="Times New Roman"/>
          <w:sz w:val="26"/>
          <w:szCs w:val="26"/>
        </w:rPr>
        <w:t xml:space="preserve"> </w:t>
      </w:r>
      <w:r w:rsidR="000F448F" w:rsidRPr="00E9060E">
        <w:rPr>
          <w:rFonts w:ascii="Times New Roman" w:hAnsi="Times New Roman"/>
          <w:sz w:val="26"/>
          <w:szCs w:val="26"/>
        </w:rPr>
        <w:t xml:space="preserve">it would be difficult for </w:t>
      </w:r>
      <w:r w:rsidRPr="00E9060E">
        <w:rPr>
          <w:rFonts w:ascii="Times New Roman" w:hAnsi="Times New Roman"/>
          <w:sz w:val="26"/>
          <w:szCs w:val="26"/>
        </w:rPr>
        <w:t>the Commission to ensure, as required by the NGA, that a pipeline’s rates remain just and reasonable, respond to Congressional and outside inquires</w:t>
      </w:r>
      <w:r w:rsidR="00536181">
        <w:rPr>
          <w:rFonts w:ascii="Times New Roman" w:hAnsi="Times New Roman"/>
          <w:sz w:val="26"/>
          <w:szCs w:val="26"/>
        </w:rPr>
        <w:t>,</w:t>
      </w:r>
      <w:r w:rsidRPr="00E9060E">
        <w:rPr>
          <w:rFonts w:ascii="Times New Roman" w:hAnsi="Times New Roman"/>
          <w:sz w:val="26"/>
          <w:szCs w:val="26"/>
        </w:rPr>
        <w:t xml:space="preserve"> and make decisions in a timely manner, particularly to rapidly changing financial conditions of entities subject to its jurisdiction.</w:t>
      </w:r>
    </w:p>
    <w:p w14:paraId="020B1BA7" w14:textId="77777777" w:rsidR="00BA412D" w:rsidRPr="00E9060E" w:rsidRDefault="00BA412D" w:rsidP="00BD0F89">
      <w:pPr>
        <w:spacing w:after="0" w:line="240" w:lineRule="auto"/>
        <w:rPr>
          <w:rFonts w:ascii="Times New Roman" w:hAnsi="Times New Roman"/>
          <w:sz w:val="26"/>
          <w:szCs w:val="26"/>
        </w:rPr>
      </w:pPr>
    </w:p>
    <w:p w14:paraId="7F30804C" w14:textId="7B8CF772" w:rsidR="00BD0F89" w:rsidRPr="00E9060E" w:rsidRDefault="00BD0F89" w:rsidP="00BD0F89">
      <w:pPr>
        <w:spacing w:line="240" w:lineRule="auto"/>
        <w:rPr>
          <w:rFonts w:ascii="Times New Roman" w:eastAsia="Times New Roman" w:hAnsi="Times New Roman"/>
          <w:sz w:val="26"/>
          <w:szCs w:val="26"/>
        </w:rPr>
      </w:pPr>
      <w:r w:rsidRPr="00E9060E">
        <w:rPr>
          <w:rFonts w:ascii="Times New Roman" w:hAnsi="Times New Roman"/>
          <w:b/>
          <w:sz w:val="26"/>
          <w:szCs w:val="26"/>
        </w:rPr>
        <w:t>FERC</w:t>
      </w:r>
      <w:r w:rsidR="00923E07" w:rsidRPr="00E9060E">
        <w:rPr>
          <w:rFonts w:ascii="Times New Roman" w:hAnsi="Times New Roman"/>
          <w:b/>
          <w:sz w:val="26"/>
          <w:szCs w:val="26"/>
        </w:rPr>
        <w:t xml:space="preserve"> Form Nos. </w:t>
      </w:r>
      <w:r w:rsidR="00963B12" w:rsidRPr="00E9060E">
        <w:rPr>
          <w:rFonts w:ascii="Times New Roman" w:hAnsi="Times New Roman"/>
          <w:b/>
          <w:sz w:val="26"/>
          <w:szCs w:val="26"/>
        </w:rPr>
        <w:t>6T and 6-QT (</w:t>
      </w:r>
      <w:r w:rsidRPr="00E9060E">
        <w:rPr>
          <w:rFonts w:ascii="Times New Roman" w:hAnsi="Times New Roman"/>
          <w:b/>
          <w:sz w:val="26"/>
          <w:szCs w:val="26"/>
        </w:rPr>
        <w:t>6</w:t>
      </w:r>
      <w:r w:rsidR="005A007F" w:rsidRPr="00E9060E">
        <w:rPr>
          <w:rFonts w:ascii="Times New Roman" w:hAnsi="Times New Roman"/>
          <w:b/>
          <w:sz w:val="26"/>
          <w:szCs w:val="26"/>
        </w:rPr>
        <w:t xml:space="preserve"> and </w:t>
      </w:r>
      <w:r w:rsidR="00AC3A31" w:rsidRPr="00E9060E">
        <w:rPr>
          <w:rFonts w:ascii="Times New Roman" w:hAnsi="Times New Roman"/>
          <w:b/>
          <w:sz w:val="26"/>
          <w:szCs w:val="26"/>
        </w:rPr>
        <w:t>6-Q</w:t>
      </w:r>
      <w:r w:rsidR="00963B12" w:rsidRPr="00E9060E">
        <w:rPr>
          <w:rFonts w:ascii="Times New Roman" w:hAnsi="Times New Roman"/>
          <w:b/>
          <w:sz w:val="26"/>
          <w:szCs w:val="26"/>
        </w:rPr>
        <w:t>)</w:t>
      </w:r>
      <w:r w:rsidRPr="00E9060E">
        <w:rPr>
          <w:rFonts w:ascii="Times New Roman" w:hAnsi="Times New Roman"/>
          <w:b/>
          <w:sz w:val="26"/>
          <w:szCs w:val="26"/>
        </w:rPr>
        <w:t xml:space="preserve">.  </w:t>
      </w:r>
      <w:r w:rsidRPr="00E9060E">
        <w:rPr>
          <w:rFonts w:ascii="Times New Roman" w:eastAsia="Times New Roman" w:hAnsi="Times New Roman"/>
          <w:sz w:val="26"/>
          <w:szCs w:val="26"/>
        </w:rPr>
        <w:t>In order to reduce burden while obtaining the data the Commission needs, there are three thresholds related to the material respondents must file.</w:t>
      </w:r>
    </w:p>
    <w:p w14:paraId="02B6F161" w14:textId="75203A35" w:rsidR="00BD0F89" w:rsidRPr="00E9060E"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Each oil pipeline carrier whose annual jurisdictional operating revenues has been $500,000 or more for each of the three previous calendar years must file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(18 C.F.R. § 357.2 (a)). </w:t>
      </w:r>
      <w:r w:rsidR="006540D2" w:rsidRPr="00E9060E">
        <w:rPr>
          <w:rFonts w:ascii="Times New Roman" w:eastAsia="Times New Roman" w:hAnsi="Times New Roman"/>
          <w:sz w:val="26"/>
          <w:szCs w:val="26"/>
        </w:rPr>
        <w:t xml:space="preserve">Newly established entities must use projected data to determine whether FERC Form No. 6 must be filed.  </w:t>
      </w:r>
      <w:r w:rsidRPr="00E9060E">
        <w:rPr>
          <w:rFonts w:ascii="Times New Roman" w:eastAsia="Times New Roman" w:hAnsi="Times New Roman"/>
          <w:sz w:val="26"/>
          <w:szCs w:val="26"/>
        </w:rPr>
        <w:t xml:space="preserve">  </w:t>
      </w:r>
    </w:p>
    <w:p w14:paraId="3F56D3E8" w14:textId="77777777" w:rsidR="00BD0F89" w:rsidRPr="00E9060E" w:rsidRDefault="00BD0F89" w:rsidP="00BD0F89">
      <w:pPr>
        <w:autoSpaceDE w:val="0"/>
        <w:autoSpaceDN w:val="0"/>
        <w:adjustRightInd w:val="0"/>
        <w:spacing w:after="0" w:line="240" w:lineRule="auto"/>
        <w:rPr>
          <w:rFonts w:ascii="Times New Roman" w:eastAsia="Times New Roman" w:hAnsi="Times New Roman"/>
          <w:sz w:val="26"/>
          <w:szCs w:val="26"/>
        </w:rPr>
      </w:pPr>
    </w:p>
    <w:p w14:paraId="010C3192" w14:textId="12242DE9" w:rsidR="00BD0F89" w:rsidRPr="00E9060E"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Oil pipeline carriers exempt from filing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whose annual jurisdictional operating revenues have been more than $350,000 but less than $500,000 for each of the three previous calendar years must prepare and file page 301, “Operating Revenue Accounts</w:t>
      </w:r>
      <w:r w:rsidR="00B80607">
        <w:rPr>
          <w:rFonts w:ascii="Times New Roman" w:eastAsia="Times New Roman" w:hAnsi="Times New Roman"/>
          <w:sz w:val="26"/>
          <w:szCs w:val="26"/>
        </w:rPr>
        <w:t>”</w:t>
      </w:r>
      <w:r w:rsidRPr="00E9060E">
        <w:rPr>
          <w:rFonts w:ascii="Times New Roman" w:eastAsia="Times New Roman" w:hAnsi="Times New Roman"/>
          <w:sz w:val="26"/>
          <w:szCs w:val="26"/>
        </w:rPr>
        <w:t xml:space="preserve"> (Account 600), and page 700, “Annual Cost of Service Based Analysis Schedule,” of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3A3DE2"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When submitting pages 301 and 700, each exempt oil pipeline carrier must include page 1 of </w:t>
      </w:r>
      <w:r w:rsidR="00402B60">
        <w:rPr>
          <w:rFonts w:ascii="Times New Roman" w:eastAsia="Times New Roman" w:hAnsi="Times New Roman"/>
          <w:sz w:val="26"/>
          <w:szCs w:val="26"/>
        </w:rPr>
        <w:t>FE</w:t>
      </w:r>
      <w:r w:rsidR="009E2F41">
        <w:rPr>
          <w:rFonts w:ascii="Times New Roman" w:eastAsia="Times New Roman" w:hAnsi="Times New Roman"/>
          <w:sz w:val="26"/>
          <w:szCs w:val="26"/>
        </w:rPr>
        <w:t>R</w:t>
      </w:r>
      <w:r w:rsidR="00402B60">
        <w:rPr>
          <w:rFonts w:ascii="Times New Roman" w:eastAsia="Times New Roman" w:hAnsi="Times New Roman"/>
          <w:sz w:val="26"/>
          <w:szCs w:val="26"/>
        </w:rPr>
        <w:t>C</w:t>
      </w:r>
      <w:r w:rsidRPr="00E9060E">
        <w:rPr>
          <w:rFonts w:ascii="Times New Roman" w:eastAsia="Times New Roman" w:hAnsi="Times New Roman"/>
          <w:sz w:val="26"/>
          <w:szCs w:val="26"/>
        </w:rPr>
        <w:t xml:space="preserve"> 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the Identification and Attestation schedules (18 C.F.R. § 357.2 (a)(2)).</w:t>
      </w:r>
    </w:p>
    <w:p w14:paraId="4BD660B1" w14:textId="77777777" w:rsidR="00BD0F89" w:rsidRPr="00E9060E" w:rsidRDefault="00BD0F89" w:rsidP="00BD0F89">
      <w:pPr>
        <w:autoSpaceDE w:val="0"/>
        <w:autoSpaceDN w:val="0"/>
        <w:adjustRightInd w:val="0"/>
        <w:spacing w:after="0" w:line="240" w:lineRule="auto"/>
        <w:rPr>
          <w:rFonts w:ascii="Times New Roman" w:eastAsia="Times New Roman" w:hAnsi="Times New Roman"/>
          <w:sz w:val="26"/>
          <w:szCs w:val="26"/>
        </w:rPr>
      </w:pPr>
    </w:p>
    <w:p w14:paraId="7A48380C" w14:textId="3C80F18B" w:rsidR="00BD0F89" w:rsidRDefault="00BD0F89" w:rsidP="00402B60">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Oil pipeline carriers exempt from filing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0027683E" w:rsidRPr="00E9060E">
        <w:rPr>
          <w:rFonts w:ascii="Times New Roman" w:eastAsia="Times New Roman" w:hAnsi="Times New Roman"/>
          <w:sz w:val="26"/>
          <w:szCs w:val="26"/>
        </w:rPr>
        <w:t>F</w:t>
      </w:r>
      <w:r w:rsidRPr="00E9060E">
        <w:rPr>
          <w:rFonts w:ascii="Times New Roman" w:eastAsia="Times New Roman" w:hAnsi="Times New Roman"/>
          <w:sz w:val="26"/>
          <w:szCs w:val="26"/>
        </w:rPr>
        <w:t xml:space="preserve">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and page 301 and whose annual jurisdictional operating revenues were $350,000 or less for each of the three previous calendar years must prepare and file page 700, “Annual Cost of Service Based Analysis Schedule,” of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w:t>
      </w:r>
      <w:r w:rsidR="00402B60">
        <w:rPr>
          <w:rFonts w:ascii="Times New Roman" w:eastAsia="Times New Roman" w:hAnsi="Times New Roman"/>
          <w:sz w:val="26"/>
          <w:szCs w:val="26"/>
        </w:rPr>
        <w:t xml:space="preserve"> </w:t>
      </w:r>
      <w:r w:rsidR="00402B60" w:rsidRPr="00402B60">
        <w:rPr>
          <w:rFonts w:ascii="Times New Roman" w:eastAsia="Times New Roman" w:hAnsi="Times New Roman"/>
          <w:sz w:val="26"/>
          <w:szCs w:val="26"/>
        </w:rPr>
        <w:t xml:space="preserve">When submitting page 700, each exempt oil pipeline carrier must include page 1 of the </w:t>
      </w:r>
      <w:r w:rsidR="009E2F41">
        <w:rPr>
          <w:rFonts w:ascii="Times New Roman" w:eastAsia="Times New Roman" w:hAnsi="Times New Roman"/>
          <w:sz w:val="26"/>
          <w:szCs w:val="26"/>
        </w:rPr>
        <w:t xml:space="preserve">FERC </w:t>
      </w:r>
      <w:r w:rsidR="00402B60" w:rsidRPr="00402B60">
        <w:rPr>
          <w:rFonts w:ascii="Times New Roman" w:eastAsia="Times New Roman" w:hAnsi="Times New Roman"/>
          <w:sz w:val="26"/>
          <w:szCs w:val="26"/>
        </w:rPr>
        <w:t>Form No. 6, the Identification and Attestation schedule (18 C.F.R. § 357.2 (a)(3)).</w:t>
      </w:r>
    </w:p>
    <w:p w14:paraId="3C0181D7" w14:textId="77777777" w:rsidR="00536181" w:rsidRDefault="00536181" w:rsidP="004E4AAE">
      <w:pPr>
        <w:pStyle w:val="ListParagraph"/>
        <w:spacing w:after="0" w:line="240" w:lineRule="auto"/>
        <w:rPr>
          <w:rFonts w:ascii="Times New Roman" w:eastAsia="Times New Roman" w:hAnsi="Times New Roman"/>
          <w:sz w:val="26"/>
          <w:szCs w:val="26"/>
        </w:rPr>
      </w:pPr>
    </w:p>
    <w:p w14:paraId="72798C1F" w14:textId="799D880E" w:rsidR="00536181" w:rsidRPr="00E9060E" w:rsidRDefault="00536181" w:rsidP="000113FC">
      <w:pPr>
        <w:widowControl w:val="0"/>
        <w:autoSpaceDE w:val="0"/>
        <w:autoSpaceDN w:val="0"/>
        <w:adjustRightInd w:val="0"/>
        <w:spacing w:after="0" w:line="240" w:lineRule="auto"/>
        <w:contextualSpacing/>
        <w:rPr>
          <w:rFonts w:ascii="Times New Roman" w:eastAsia="Times New Roman" w:hAnsi="Times New Roman"/>
          <w:sz w:val="26"/>
          <w:szCs w:val="26"/>
        </w:rPr>
      </w:pPr>
      <w:r w:rsidRPr="00536181">
        <w:rPr>
          <w:rFonts w:ascii="Times New Roman" w:eastAsia="Times New Roman" w:hAnsi="Times New Roman"/>
          <w:sz w:val="26"/>
          <w:szCs w:val="26"/>
        </w:rPr>
        <w:t xml:space="preserve">Oil pipeline companies subject to the provisions of section 20 of the ICA must submit the </w:t>
      </w:r>
      <w:r w:rsidR="009E2F41">
        <w:rPr>
          <w:rFonts w:ascii="Times New Roman" w:eastAsia="Times New Roman" w:hAnsi="Times New Roman"/>
          <w:sz w:val="26"/>
          <w:szCs w:val="26"/>
        </w:rPr>
        <w:t xml:space="preserve">FERC </w:t>
      </w:r>
      <w:r w:rsidRPr="00536181">
        <w:rPr>
          <w:rFonts w:ascii="Times New Roman" w:eastAsia="Times New Roman" w:hAnsi="Times New Roman"/>
          <w:sz w:val="26"/>
          <w:szCs w:val="26"/>
        </w:rPr>
        <w:t>Form No. 6-Q.  18 C.F.R. § 357.4(b)</w:t>
      </w:r>
      <w:r>
        <w:rPr>
          <w:rFonts w:ascii="Times New Roman" w:eastAsia="Times New Roman" w:hAnsi="Times New Roman"/>
          <w:sz w:val="26"/>
          <w:szCs w:val="26"/>
        </w:rPr>
        <w:t>.</w:t>
      </w:r>
    </w:p>
    <w:p w14:paraId="3D44EF8C" w14:textId="77777777" w:rsidR="00BD0F89" w:rsidRPr="00E9060E" w:rsidRDefault="00BD0F89" w:rsidP="00BD0F89">
      <w:pPr>
        <w:widowControl w:val="0"/>
        <w:autoSpaceDE w:val="0"/>
        <w:autoSpaceDN w:val="0"/>
        <w:adjustRightInd w:val="0"/>
        <w:spacing w:after="0" w:line="240" w:lineRule="auto"/>
        <w:rPr>
          <w:rFonts w:ascii="Times New Roman" w:eastAsia="Times New Roman" w:hAnsi="Times New Roman"/>
          <w:sz w:val="26"/>
          <w:szCs w:val="26"/>
        </w:rPr>
      </w:pPr>
    </w:p>
    <w:p w14:paraId="4C1A9419" w14:textId="132A28D4" w:rsidR="00BD0F89" w:rsidRPr="00E9060E"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The Commission</w:t>
      </w:r>
      <w:r w:rsidR="00402B60">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uses the Form </w:t>
      </w:r>
      <w:r w:rsidR="003A3DE2"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6 </w:t>
      </w:r>
      <w:r w:rsidR="00C8596E" w:rsidRPr="00E9060E">
        <w:rPr>
          <w:rFonts w:ascii="Times New Roman" w:eastAsia="Times New Roman" w:hAnsi="Times New Roman"/>
          <w:sz w:val="26"/>
          <w:szCs w:val="26"/>
        </w:rPr>
        <w:t xml:space="preserve">and </w:t>
      </w:r>
      <w:r w:rsidR="00AC3A31" w:rsidRPr="00E9060E">
        <w:rPr>
          <w:rFonts w:ascii="Times New Roman" w:eastAsia="Times New Roman" w:hAnsi="Times New Roman"/>
          <w:sz w:val="26"/>
          <w:szCs w:val="26"/>
        </w:rPr>
        <w:t>6-Q</w:t>
      </w:r>
      <w:r w:rsidR="00C8596E"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data to assist in</w:t>
      </w:r>
      <w:r w:rsidR="00A175B6">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 </w:t>
      </w:r>
      <w:r w:rsidR="00402B60">
        <w:rPr>
          <w:rFonts w:ascii="Times New Roman" w:eastAsia="Times New Roman" w:hAnsi="Times New Roman"/>
          <w:sz w:val="26"/>
          <w:szCs w:val="26"/>
        </w:rPr>
        <w:t xml:space="preserve">(1) </w:t>
      </w:r>
      <w:r w:rsidRPr="00E9060E">
        <w:rPr>
          <w:rFonts w:ascii="Times New Roman" w:eastAsia="Times New Roman" w:hAnsi="Times New Roman"/>
          <w:sz w:val="26"/>
          <w:szCs w:val="26"/>
        </w:rPr>
        <w:t>the implementation of its financial audits and programs</w:t>
      </w:r>
      <w:r w:rsidR="00402B60">
        <w:rPr>
          <w:rFonts w:ascii="Times New Roman" w:eastAsia="Times New Roman" w:hAnsi="Times New Roman"/>
          <w:sz w:val="26"/>
          <w:szCs w:val="26"/>
        </w:rPr>
        <w:t xml:space="preserve">; (2) </w:t>
      </w:r>
      <w:r w:rsidRPr="00E9060E">
        <w:rPr>
          <w:rFonts w:ascii="Times New Roman" w:eastAsia="Times New Roman" w:hAnsi="Times New Roman"/>
          <w:sz w:val="26"/>
          <w:szCs w:val="26"/>
        </w:rPr>
        <w:t>the continuous review of the financial condition of regulated companies and in the assessment of energy markets</w:t>
      </w:r>
      <w:r w:rsidR="00402B60">
        <w:rPr>
          <w:rFonts w:ascii="Times New Roman" w:eastAsia="Times New Roman" w:hAnsi="Times New Roman"/>
          <w:sz w:val="26"/>
          <w:szCs w:val="26"/>
        </w:rPr>
        <w:t>; (3)</w:t>
      </w:r>
      <w:r w:rsidRPr="00E9060E">
        <w:rPr>
          <w:rFonts w:ascii="Times New Roman" w:eastAsia="Times New Roman" w:hAnsi="Times New Roman"/>
          <w:sz w:val="26"/>
          <w:szCs w:val="26"/>
        </w:rPr>
        <w:t xml:space="preserve"> various rate proceedings and economic analyses</w:t>
      </w:r>
      <w:r w:rsidR="00402B60">
        <w:rPr>
          <w:rFonts w:ascii="Times New Roman" w:eastAsia="Times New Roman" w:hAnsi="Times New Roman"/>
          <w:sz w:val="26"/>
          <w:szCs w:val="26"/>
        </w:rPr>
        <w:t xml:space="preserve">; (4) </w:t>
      </w:r>
      <w:r w:rsidRPr="00E9060E">
        <w:rPr>
          <w:rFonts w:ascii="Times New Roman" w:eastAsia="Times New Roman" w:hAnsi="Times New Roman"/>
          <w:sz w:val="26"/>
          <w:szCs w:val="26"/>
        </w:rPr>
        <w:t>background research for use in litigation</w:t>
      </w:r>
      <w:r w:rsidR="00402B60">
        <w:rPr>
          <w:rFonts w:ascii="Times New Roman" w:eastAsia="Times New Roman" w:hAnsi="Times New Roman"/>
          <w:sz w:val="26"/>
          <w:szCs w:val="26"/>
        </w:rPr>
        <w:t>; (5) p</w:t>
      </w:r>
      <w:r w:rsidRPr="00E9060E">
        <w:rPr>
          <w:rFonts w:ascii="Times New Roman" w:eastAsia="Times New Roman" w:hAnsi="Times New Roman"/>
          <w:sz w:val="26"/>
          <w:szCs w:val="26"/>
        </w:rPr>
        <w:t xml:space="preserve">rograms relating to the administration of the ICA.  </w:t>
      </w:r>
    </w:p>
    <w:p w14:paraId="72554294" w14:textId="77777777" w:rsidR="006540D2" w:rsidRPr="00E9060E" w:rsidRDefault="006540D2"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p>
    <w:p w14:paraId="32B04F23" w14:textId="509F793C" w:rsid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w:t>
      </w:r>
      <w:r w:rsidR="00402B60">
        <w:rPr>
          <w:rFonts w:ascii="Times New Roman" w:eastAsia="Times New Roman" w:hAnsi="Times New Roman"/>
          <w:sz w:val="26"/>
          <w:szCs w:val="26"/>
        </w:rPr>
        <w:t xml:space="preserve">Commission also </w:t>
      </w:r>
      <w:r w:rsidRPr="00E9060E">
        <w:rPr>
          <w:rFonts w:ascii="Times New Roman" w:eastAsia="Times New Roman" w:hAnsi="Times New Roman"/>
          <w:sz w:val="26"/>
          <w:szCs w:val="26"/>
        </w:rPr>
        <w:t xml:space="preserve">uses data on Page 301 of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27683E" w:rsidRPr="00E9060E">
        <w:rPr>
          <w:rFonts w:ascii="Times New Roman" w:eastAsia="Times New Roman" w:hAnsi="Times New Roman"/>
          <w:sz w:val="26"/>
          <w:szCs w:val="26"/>
        </w:rPr>
        <w:t xml:space="preserve">No. 6 </w:t>
      </w:r>
      <w:r w:rsidRPr="00E9060E">
        <w:rPr>
          <w:rFonts w:ascii="Times New Roman" w:eastAsia="Times New Roman" w:hAnsi="Times New Roman"/>
          <w:sz w:val="26"/>
          <w:szCs w:val="26"/>
        </w:rPr>
        <w:t>to compute annual charges which are then assessed against oil pipeline companies to recover the Commission</w:t>
      </w:r>
      <w:r w:rsidR="00B80607">
        <w:rPr>
          <w:rFonts w:ascii="Times New Roman" w:eastAsia="Times New Roman" w:hAnsi="Times New Roman"/>
          <w:sz w:val="26"/>
          <w:szCs w:val="26"/>
        </w:rPr>
        <w:t>’</w:t>
      </w:r>
      <w:r w:rsidRPr="00E9060E">
        <w:rPr>
          <w:rFonts w:ascii="Times New Roman" w:eastAsia="Times New Roman" w:hAnsi="Times New Roman"/>
          <w:sz w:val="26"/>
          <w:szCs w:val="26"/>
        </w:rPr>
        <w:t>s annual costs as mandated by Commission Order No. 472.  The annual charges are required by Section 3401 of the Omnibus Budget Reconciliation Act of 1986.</w:t>
      </w:r>
    </w:p>
    <w:p w14:paraId="5F5502C4" w14:textId="77777777" w:rsidR="00402B60" w:rsidRDefault="00402B60"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p>
    <w:p w14:paraId="685BBB3B" w14:textId="7770EEE5" w:rsidR="00402B60" w:rsidRPr="00E9060E" w:rsidRDefault="00402B60"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402B60">
        <w:rPr>
          <w:rFonts w:ascii="Times New Roman" w:eastAsia="Times New Roman" w:hAnsi="Times New Roman"/>
          <w:sz w:val="26"/>
          <w:szCs w:val="26"/>
        </w:rPr>
        <w:t>Financial information reported on the quarterly FERC Form No. 6-Q provides the Commission, as well as customers, investors and others, an important tool to help identify emerging trends and issues affecting jurisdictional entities within the energy industry.   It also provides timely disclosures of the impacts that new accounting standards, or changes in existing standards, have on jurisdictional entities, as well as the economic effects of significant transactions, events, and circumstances.   The reporting of this information by jurisdictional entities assists the Commission in its analysis of profitability, efficiency, risk, and in its overall monitoring.</w:t>
      </w:r>
    </w:p>
    <w:p w14:paraId="4BE827F8" w14:textId="77777777" w:rsidR="006540D2" w:rsidRPr="00E9060E" w:rsidRDefault="006540D2" w:rsidP="00973DE4">
      <w:pPr>
        <w:widowControl w:val="0"/>
        <w:tabs>
          <w:tab w:val="left" w:pos="-1440"/>
          <w:tab w:val="num" w:pos="1440"/>
        </w:tabs>
        <w:autoSpaceDE w:val="0"/>
        <w:autoSpaceDN w:val="0"/>
        <w:adjustRightInd w:val="0"/>
        <w:spacing w:after="0" w:line="240" w:lineRule="auto"/>
        <w:ind w:left="1080"/>
        <w:rPr>
          <w:rFonts w:ascii="Times New Roman" w:eastAsia="Times New Roman" w:hAnsi="Times New Roman"/>
          <w:sz w:val="26"/>
          <w:szCs w:val="26"/>
        </w:rPr>
      </w:pPr>
    </w:p>
    <w:p w14:paraId="045FA24B" w14:textId="10FACF56" w:rsidR="00BD0F89" w:rsidRPr="00E9060E" w:rsidRDefault="00BD0F89" w:rsidP="00973DE4">
      <w:pPr>
        <w:widowControl w:val="0"/>
        <w:tabs>
          <w:tab w:val="left" w:pos="-1440"/>
          <w:tab w:val="num"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majority of state regulatory commissions use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w:t>
      </w:r>
      <w:r w:rsidR="003A3DE2" w:rsidRPr="00E9060E">
        <w:rPr>
          <w:rFonts w:ascii="Times New Roman" w:eastAsia="Times New Roman" w:hAnsi="Times New Roman"/>
          <w:sz w:val="26"/>
          <w:szCs w:val="26"/>
        </w:rPr>
        <w:t xml:space="preserve"> No</w:t>
      </w:r>
      <w:r w:rsidR="00BF4790" w:rsidRPr="00E9060E">
        <w:rPr>
          <w:rFonts w:ascii="Times New Roman" w:eastAsia="Times New Roman" w:hAnsi="Times New Roman"/>
          <w:sz w:val="26"/>
          <w:szCs w:val="26"/>
        </w:rPr>
        <w:t>s</w:t>
      </w:r>
      <w:r w:rsidR="003A3DE2" w:rsidRPr="00E9060E">
        <w:rPr>
          <w:rFonts w:ascii="Times New Roman" w:eastAsia="Times New Roman" w:hAnsi="Times New Roman"/>
          <w:sz w:val="26"/>
          <w:szCs w:val="26"/>
        </w:rPr>
        <w:t>.</w:t>
      </w:r>
      <w:r w:rsidRPr="00E9060E">
        <w:rPr>
          <w:rFonts w:ascii="Times New Roman" w:eastAsia="Times New Roman" w:hAnsi="Times New Roman"/>
          <w:sz w:val="26"/>
          <w:szCs w:val="26"/>
        </w:rPr>
        <w:t xml:space="preserve"> 6 </w:t>
      </w:r>
      <w:r w:rsidR="00BF4790" w:rsidRPr="00E9060E">
        <w:rPr>
          <w:rFonts w:ascii="Times New Roman" w:eastAsia="Times New Roman" w:hAnsi="Times New Roman"/>
          <w:sz w:val="26"/>
          <w:szCs w:val="26"/>
        </w:rPr>
        <w:t xml:space="preserve">and </w:t>
      </w:r>
      <w:r w:rsidR="00AC3A31" w:rsidRPr="00E9060E">
        <w:rPr>
          <w:rFonts w:ascii="Times New Roman" w:eastAsia="Times New Roman" w:hAnsi="Times New Roman"/>
          <w:sz w:val="26"/>
          <w:szCs w:val="26"/>
        </w:rPr>
        <w:t>6-Q</w:t>
      </w:r>
      <w:r w:rsidR="00BF4790"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and the FERC </w:t>
      </w:r>
      <w:r w:rsidR="0092238A" w:rsidRPr="00E9060E">
        <w:rPr>
          <w:rFonts w:ascii="Times New Roman" w:eastAsia="Times New Roman" w:hAnsi="Times New Roman"/>
          <w:sz w:val="26"/>
          <w:szCs w:val="26"/>
        </w:rPr>
        <w:t>USofA</w:t>
      </w:r>
      <w:r w:rsidRPr="00E9060E">
        <w:rPr>
          <w:rFonts w:ascii="Times New Roman" w:eastAsia="Times New Roman" w:hAnsi="Times New Roman"/>
          <w:sz w:val="26"/>
          <w:szCs w:val="26"/>
          <w:vertAlign w:val="superscript"/>
        </w:rPr>
        <w:footnoteReference w:id="12"/>
      </w:r>
      <w:r w:rsidRPr="00E9060E">
        <w:rPr>
          <w:rFonts w:ascii="Times New Roman" w:eastAsia="Times New Roman" w:hAnsi="Times New Roman"/>
          <w:sz w:val="26"/>
          <w:szCs w:val="26"/>
          <w:vertAlign w:val="superscript"/>
        </w:rPr>
        <w:t xml:space="preserve"> </w:t>
      </w:r>
      <w:r w:rsidRPr="00E9060E">
        <w:rPr>
          <w:rFonts w:ascii="Times New Roman" w:eastAsia="Times New Roman" w:hAnsi="Times New Roman"/>
          <w:sz w:val="26"/>
          <w:szCs w:val="26"/>
        </w:rPr>
        <w:t>to satisfy their reporting requirements for those companies under their jurisdiction.</w:t>
      </w:r>
      <w:r w:rsidR="006540D2" w:rsidRPr="00E9060E">
        <w:rPr>
          <w:rFonts w:ascii="Times New Roman" w:eastAsia="Times New Roman" w:hAnsi="Times New Roman"/>
          <w:sz w:val="26"/>
          <w:szCs w:val="26"/>
        </w:rPr>
        <w:t xml:space="preserve">  In addition, t</w:t>
      </w:r>
      <w:r w:rsidRPr="00E9060E">
        <w:rPr>
          <w:rFonts w:ascii="Times New Roman" w:eastAsia="Times New Roman" w:hAnsi="Times New Roman"/>
          <w:sz w:val="26"/>
          <w:szCs w:val="26"/>
        </w:rPr>
        <w:t>he public uses the data to assist in monitoring rates, the financial condition of the oil pipeline industry, and in the assessing energy markets.</w:t>
      </w:r>
    </w:p>
    <w:p w14:paraId="63E1C6E6" w14:textId="77777777" w:rsidR="00BD0F89" w:rsidRPr="00E9060E" w:rsidRDefault="00BD0F89" w:rsidP="00BD0F89">
      <w:pPr>
        <w:widowControl w:val="0"/>
        <w:tabs>
          <w:tab w:val="left" w:pos="720"/>
        </w:tabs>
        <w:autoSpaceDE w:val="0"/>
        <w:autoSpaceDN w:val="0"/>
        <w:adjustRightInd w:val="0"/>
        <w:spacing w:after="0" w:line="240" w:lineRule="auto"/>
        <w:ind w:firstLine="720"/>
        <w:rPr>
          <w:rFonts w:ascii="Times New Roman" w:hAnsi="Times New Roman"/>
          <w:b/>
          <w:sz w:val="26"/>
          <w:szCs w:val="26"/>
        </w:rPr>
      </w:pPr>
    </w:p>
    <w:p w14:paraId="67985379" w14:textId="77777777" w:rsidR="00BD0F89" w:rsidRDefault="00BD0F89" w:rsidP="00BD0F89">
      <w:pPr>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Data from FERC Form </w:t>
      </w:r>
      <w:r w:rsidR="003A3DE2"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facilitate</w:t>
      </w:r>
      <w:r w:rsidR="00BF4790" w:rsidRPr="00E9060E">
        <w:rPr>
          <w:rFonts w:ascii="Times New Roman" w:eastAsia="Times New Roman" w:hAnsi="Times New Roman"/>
          <w:sz w:val="26"/>
          <w:szCs w:val="26"/>
        </w:rPr>
        <w:t>s</w:t>
      </w:r>
      <w:r w:rsidRPr="00E9060E">
        <w:rPr>
          <w:rFonts w:ascii="Times New Roman" w:eastAsia="Times New Roman" w:hAnsi="Times New Roman"/>
          <w:sz w:val="26"/>
          <w:szCs w:val="26"/>
        </w:rPr>
        <w:t xml:space="preserve"> the calculation of the actual rate of return on equity.  The actual rate of return on equity is particularly useful information when evaluating a pipeline’s rates.  </w:t>
      </w:r>
    </w:p>
    <w:p w14:paraId="59C734B4" w14:textId="77777777" w:rsidR="00BD0F89" w:rsidRDefault="00BD0F89" w:rsidP="00BD0F89">
      <w:pPr>
        <w:autoSpaceDE w:val="0"/>
        <w:autoSpaceDN w:val="0"/>
        <w:adjustRightInd w:val="0"/>
        <w:spacing w:after="0" w:line="240" w:lineRule="auto"/>
        <w:rPr>
          <w:rFonts w:ascii="Times New Roman" w:eastAsia="Times New Roman" w:hAnsi="Times New Roman"/>
          <w:sz w:val="26"/>
          <w:szCs w:val="26"/>
        </w:rPr>
      </w:pPr>
    </w:p>
    <w:p w14:paraId="67F646DD" w14:textId="6DB7C0B9" w:rsidR="00402B60" w:rsidRPr="00E9060E" w:rsidRDefault="00402B60" w:rsidP="00BD0F89">
      <w:pPr>
        <w:autoSpaceDE w:val="0"/>
        <w:autoSpaceDN w:val="0"/>
        <w:adjustRightInd w:val="0"/>
        <w:spacing w:after="0" w:line="240" w:lineRule="auto"/>
        <w:rPr>
          <w:rFonts w:ascii="Times New Roman" w:eastAsia="Times New Roman" w:hAnsi="Times New Roman"/>
          <w:sz w:val="26"/>
          <w:szCs w:val="26"/>
        </w:rPr>
      </w:pPr>
      <w:r w:rsidRPr="00402B60">
        <w:rPr>
          <w:rFonts w:ascii="Times New Roman" w:eastAsia="Times New Roman" w:hAnsi="Times New Roman"/>
          <w:sz w:val="26"/>
          <w:szCs w:val="26"/>
        </w:rPr>
        <w:t>If data from FERC Form Nos. 6 and 6-Q w</w:t>
      </w:r>
      <w:r w:rsidR="00A257FF">
        <w:rPr>
          <w:rFonts w:ascii="Times New Roman" w:eastAsia="Times New Roman" w:hAnsi="Times New Roman"/>
          <w:sz w:val="26"/>
          <w:szCs w:val="26"/>
        </w:rPr>
        <w:t>ere</w:t>
      </w:r>
      <w:r w:rsidRPr="00402B60">
        <w:rPr>
          <w:rFonts w:ascii="Times New Roman" w:eastAsia="Times New Roman" w:hAnsi="Times New Roman"/>
          <w:sz w:val="26"/>
          <w:szCs w:val="26"/>
        </w:rPr>
        <w:t xml:space="preserve"> not available, it would be difficult for the Commission to meet its mandatory review responsibilities because it would have fewer regulatory mechanisms to ensure transparency and to protect ratepayers.</w:t>
      </w:r>
    </w:p>
    <w:p w14:paraId="3DD056EA" w14:textId="77777777" w:rsidR="002F405E" w:rsidRPr="00E9060E" w:rsidRDefault="002F405E" w:rsidP="00BD0F89">
      <w:pPr>
        <w:spacing w:after="0" w:line="240" w:lineRule="auto"/>
        <w:rPr>
          <w:rFonts w:ascii="Times New Roman" w:hAnsi="Times New Roman"/>
          <w:b/>
          <w:sz w:val="26"/>
          <w:szCs w:val="26"/>
        </w:rPr>
      </w:pPr>
    </w:p>
    <w:p w14:paraId="426572A7" w14:textId="19474786" w:rsidR="00F14E3D" w:rsidRDefault="00F14E3D" w:rsidP="00F14E3D">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0F1339" w:rsidRPr="00E9060E">
        <w:rPr>
          <w:rFonts w:ascii="Times New Roman" w:hAnsi="Times New Roman"/>
          <w:b/>
          <w:sz w:val="26"/>
          <w:szCs w:val="26"/>
        </w:rPr>
        <w:t xml:space="preserve"> </w:t>
      </w:r>
      <w:r w:rsidRPr="00E9060E">
        <w:rPr>
          <w:rFonts w:ascii="Times New Roman" w:hAnsi="Times New Roman"/>
          <w:b/>
          <w:sz w:val="26"/>
          <w:szCs w:val="26"/>
        </w:rPr>
        <w:t>60A</w:t>
      </w:r>
      <w:r w:rsidR="00963B12" w:rsidRPr="00E9060E">
        <w:rPr>
          <w:rFonts w:ascii="Times New Roman" w:hAnsi="Times New Roman"/>
          <w:b/>
          <w:sz w:val="26"/>
          <w:szCs w:val="26"/>
        </w:rPr>
        <w:t xml:space="preserve"> (and 60)</w:t>
      </w:r>
      <w:r w:rsidRPr="00E9060E">
        <w:rPr>
          <w:rFonts w:ascii="Times New Roman" w:hAnsi="Times New Roman"/>
          <w:b/>
          <w:sz w:val="26"/>
          <w:szCs w:val="26"/>
        </w:rPr>
        <w:t>.</w:t>
      </w:r>
      <w:r w:rsidR="0052659F" w:rsidRPr="000113FC">
        <w:rPr>
          <w:rStyle w:val="FootnoteReference"/>
          <w:rFonts w:ascii="Times New Roman" w:hAnsi="Times New Roman"/>
          <w:sz w:val="26"/>
          <w:szCs w:val="26"/>
          <w:vertAlign w:val="superscript"/>
        </w:rPr>
        <w:footnoteReference w:id="13"/>
      </w:r>
      <w:r w:rsidRPr="000113FC">
        <w:rPr>
          <w:rFonts w:ascii="Times New Roman" w:hAnsi="Times New Roman"/>
          <w:sz w:val="26"/>
          <w:szCs w:val="26"/>
          <w:vertAlign w:val="superscript"/>
        </w:rPr>
        <w:t xml:space="preserve"> </w:t>
      </w:r>
      <w:r w:rsidRPr="00E9060E">
        <w:rPr>
          <w:rFonts w:ascii="Times New Roman" w:hAnsi="Times New Roman"/>
          <w:b/>
          <w:sz w:val="26"/>
          <w:szCs w:val="26"/>
        </w:rPr>
        <w:t xml:space="preserve"> </w:t>
      </w:r>
      <w:r w:rsidR="0052659F">
        <w:rPr>
          <w:rFonts w:ascii="Times New Roman" w:hAnsi="Times New Roman"/>
          <w:sz w:val="26"/>
          <w:szCs w:val="26"/>
        </w:rPr>
        <w:t xml:space="preserve">FERC </w:t>
      </w:r>
      <w:r w:rsidRPr="00E9060E">
        <w:rPr>
          <w:rFonts w:ascii="Times New Roman" w:hAnsi="Times New Roman"/>
          <w:sz w:val="26"/>
          <w:szCs w:val="26"/>
        </w:rPr>
        <w:t xml:space="preserve">Form No. 60 is an annual reporting requirement for centralized service companies. The report’s function is to collect financial information (including balance sheet, assets, liabilities, billing and charges for associated and non-associated companies) from centralized service companies subject to the jurisdiction of the </w:t>
      </w:r>
      <w:r w:rsidR="0052659F">
        <w:rPr>
          <w:rFonts w:ascii="Times New Roman" w:hAnsi="Times New Roman"/>
          <w:sz w:val="26"/>
          <w:szCs w:val="26"/>
        </w:rPr>
        <w:t>Commission</w:t>
      </w:r>
      <w:r w:rsidRPr="00E9060E">
        <w:rPr>
          <w:rFonts w:ascii="Times New Roman" w:hAnsi="Times New Roman"/>
          <w:sz w:val="26"/>
          <w:szCs w:val="26"/>
        </w:rPr>
        <w:t xml:space="preserve">.  Unless Commission rule exempts or grants a waiver pursuant to 18 CFR 366.3 and 366.4 to the holding company system, every centralized service company in a holding company system must prepare and file electronically </w:t>
      </w:r>
      <w:r w:rsidR="0052659F">
        <w:rPr>
          <w:rFonts w:ascii="Times New Roman" w:hAnsi="Times New Roman"/>
          <w:sz w:val="26"/>
          <w:szCs w:val="26"/>
        </w:rPr>
        <w:t xml:space="preserve">a FERC </w:t>
      </w:r>
      <w:r w:rsidRPr="00E9060E">
        <w:rPr>
          <w:rFonts w:ascii="Times New Roman" w:hAnsi="Times New Roman"/>
          <w:sz w:val="26"/>
          <w:szCs w:val="26"/>
        </w:rPr>
        <w:t xml:space="preserve">Form No. 60, pursuant to the General Instructions in the form.  </w:t>
      </w:r>
    </w:p>
    <w:p w14:paraId="4716F3C4" w14:textId="77777777" w:rsidR="0052659F" w:rsidRDefault="0052659F" w:rsidP="00F14E3D">
      <w:pPr>
        <w:spacing w:after="0" w:line="240" w:lineRule="auto"/>
        <w:rPr>
          <w:rFonts w:ascii="Times New Roman" w:hAnsi="Times New Roman"/>
          <w:sz w:val="26"/>
          <w:szCs w:val="26"/>
        </w:rPr>
      </w:pPr>
    </w:p>
    <w:p w14:paraId="47B26D4F" w14:textId="3E2D0CDA" w:rsidR="0052659F" w:rsidRPr="00E9060E" w:rsidRDefault="0052659F" w:rsidP="00F14E3D">
      <w:pPr>
        <w:spacing w:after="0" w:line="240" w:lineRule="auto"/>
        <w:rPr>
          <w:rFonts w:ascii="Times New Roman" w:hAnsi="Times New Roman"/>
          <w:sz w:val="26"/>
          <w:szCs w:val="26"/>
        </w:rPr>
      </w:pPr>
      <w:r w:rsidRPr="0052659F">
        <w:rPr>
          <w:rFonts w:ascii="Times New Roman" w:hAnsi="Times New Roman"/>
          <w:sz w:val="26"/>
          <w:szCs w:val="26"/>
        </w:rPr>
        <w:t>If data from FERC Form No. 60 were not available, it would be difficult for the Commission to meet its mandatory review responsibilities because it would have fewer of the regulatory mechanisms needed to ensure transparency and to protect ratepayers.</w:t>
      </w:r>
    </w:p>
    <w:p w14:paraId="48EC52D3" w14:textId="77777777" w:rsidR="00F14E3D" w:rsidRPr="00E9060E" w:rsidRDefault="00F14E3D" w:rsidP="00BD0F89">
      <w:pPr>
        <w:spacing w:after="0" w:line="240" w:lineRule="auto"/>
        <w:rPr>
          <w:rFonts w:ascii="Times New Roman" w:hAnsi="Times New Roman"/>
          <w:b/>
          <w:sz w:val="26"/>
          <w:szCs w:val="26"/>
        </w:rPr>
      </w:pPr>
    </w:p>
    <w:p w14:paraId="4C3D06A5" w14:textId="231CDBCB"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b/>
          <w:sz w:val="26"/>
          <w:szCs w:val="26"/>
        </w:rPr>
        <w:t>FERC</w:t>
      </w:r>
      <w:r w:rsidR="000F1339" w:rsidRPr="00E9060E">
        <w:rPr>
          <w:rFonts w:ascii="Times New Roman" w:hAnsi="Times New Roman"/>
          <w:b/>
          <w:sz w:val="26"/>
          <w:szCs w:val="26"/>
        </w:rPr>
        <w:t xml:space="preserve"> Form No. </w:t>
      </w:r>
      <w:r w:rsidRPr="00E9060E">
        <w:rPr>
          <w:rFonts w:ascii="Times New Roman" w:hAnsi="Times New Roman"/>
          <w:b/>
          <w:sz w:val="26"/>
          <w:szCs w:val="26"/>
        </w:rPr>
        <w:t>714.</w:t>
      </w:r>
      <w:r w:rsidRPr="00E9060E">
        <w:rPr>
          <w:rFonts w:ascii="Times New Roman" w:hAnsi="Times New Roman"/>
          <w:sz w:val="26"/>
          <w:szCs w:val="26"/>
        </w:rPr>
        <w:t xml:space="preserve">  The Commission uses </w:t>
      </w:r>
      <w:r w:rsidR="0052659F">
        <w:rPr>
          <w:rFonts w:ascii="Times New Roman" w:hAnsi="Times New Roman"/>
          <w:sz w:val="26"/>
          <w:szCs w:val="26"/>
        </w:rPr>
        <w:t>FERC</w:t>
      </w:r>
      <w:r w:rsidRPr="00E9060E">
        <w:rPr>
          <w:rFonts w:ascii="Times New Roman" w:hAnsi="Times New Roman"/>
          <w:sz w:val="26"/>
          <w:szCs w:val="26"/>
        </w:rPr>
        <w:t xml:space="preserve"> </w:t>
      </w:r>
      <w:r w:rsidR="00EA5213" w:rsidRPr="00E9060E">
        <w:rPr>
          <w:rFonts w:ascii="Times New Roman" w:hAnsi="Times New Roman"/>
          <w:sz w:val="26"/>
          <w:szCs w:val="26"/>
        </w:rPr>
        <w:t xml:space="preserve">Form No. </w:t>
      </w:r>
      <w:r w:rsidRPr="00E9060E">
        <w:rPr>
          <w:rFonts w:ascii="Times New Roman" w:hAnsi="Times New Roman"/>
          <w:sz w:val="26"/>
          <w:szCs w:val="26"/>
        </w:rPr>
        <w:t xml:space="preserve">714 data to analyze power system operations.  The result of these analyses estimate the effect of changes in power system operations resulting from the installation of a new generating unit or plant, transmission facilities, energy transfers between systems, and/or new points of interconnections.  </w:t>
      </w:r>
      <w:r w:rsidR="0052659F">
        <w:rPr>
          <w:rFonts w:ascii="Times New Roman" w:hAnsi="Times New Roman"/>
          <w:sz w:val="26"/>
          <w:szCs w:val="26"/>
        </w:rPr>
        <w:t>FERC</w:t>
      </w:r>
      <w:r w:rsidRPr="00E9060E">
        <w:rPr>
          <w:rFonts w:ascii="Times New Roman" w:hAnsi="Times New Roman"/>
          <w:sz w:val="26"/>
          <w:szCs w:val="26"/>
        </w:rPr>
        <w:t xml:space="preserve"> </w:t>
      </w:r>
      <w:r w:rsidR="00EA5213" w:rsidRPr="00E9060E">
        <w:rPr>
          <w:rFonts w:ascii="Times New Roman" w:hAnsi="Times New Roman"/>
          <w:sz w:val="26"/>
          <w:szCs w:val="26"/>
        </w:rPr>
        <w:t xml:space="preserve">Form No. </w:t>
      </w:r>
      <w:r w:rsidRPr="00E9060E">
        <w:rPr>
          <w:rFonts w:ascii="Times New Roman" w:hAnsi="Times New Roman"/>
          <w:sz w:val="26"/>
          <w:szCs w:val="26"/>
        </w:rPr>
        <w:t>714 data assists in providing a broad picture of interconnected balancing authority area operations including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w:t>
      </w:r>
    </w:p>
    <w:p w14:paraId="5C34D2DD" w14:textId="2528B21F" w:rsidR="00BA412D" w:rsidRPr="00E9060E" w:rsidRDefault="00BA412D" w:rsidP="00BD0F89">
      <w:pPr>
        <w:spacing w:after="0" w:line="240" w:lineRule="auto"/>
        <w:rPr>
          <w:rFonts w:ascii="Times New Roman" w:hAnsi="Times New Roman"/>
          <w:sz w:val="26"/>
          <w:szCs w:val="26"/>
        </w:rPr>
      </w:pPr>
    </w:p>
    <w:p w14:paraId="718A49D7" w14:textId="77777777"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sz w:val="26"/>
          <w:szCs w:val="26"/>
        </w:rPr>
        <w:t>The Commission uses the collected data from planning areas to monitor forecasted demands by electric utilities with fundamental demand responsibilities and to develop hourly demand characteristics.</w:t>
      </w:r>
    </w:p>
    <w:p w14:paraId="613FA9F9" w14:textId="77777777" w:rsidR="00BA412D" w:rsidRPr="00E9060E" w:rsidRDefault="00BA412D" w:rsidP="00BD0F89">
      <w:pPr>
        <w:spacing w:after="0" w:line="240" w:lineRule="auto"/>
        <w:rPr>
          <w:rFonts w:ascii="Times New Roman" w:hAnsi="Times New Roman"/>
          <w:sz w:val="26"/>
          <w:szCs w:val="26"/>
        </w:rPr>
      </w:pPr>
    </w:p>
    <w:p w14:paraId="6268B2CF" w14:textId="25460BA8"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consequence of not collecting the information contained within the </w:t>
      </w:r>
      <w:r w:rsidR="005539AC">
        <w:rPr>
          <w:rFonts w:ascii="Times New Roman" w:hAnsi="Times New Roman"/>
          <w:sz w:val="26"/>
          <w:szCs w:val="26"/>
        </w:rPr>
        <w:t xml:space="preserve">FERC </w:t>
      </w:r>
      <w:r w:rsidR="00EA5213" w:rsidRPr="00E9060E">
        <w:rPr>
          <w:rFonts w:ascii="Times New Roman" w:hAnsi="Times New Roman"/>
          <w:sz w:val="26"/>
          <w:szCs w:val="26"/>
        </w:rPr>
        <w:t xml:space="preserve">Form No. </w:t>
      </w:r>
      <w:r w:rsidRPr="00E9060E">
        <w:rPr>
          <w:rFonts w:ascii="Times New Roman" w:hAnsi="Times New Roman"/>
          <w:sz w:val="26"/>
          <w:szCs w:val="26"/>
        </w:rPr>
        <w:t xml:space="preserve">714 would be impeded support for the Commission’s regulatory functions associated with the processing of rate applications and cases, proposed mergers and dispositions of jurisdictional facilities, and understanding of the planning and operational needs of the grid.  The Commission, other federal and state regulatory agencies, transmission users, and the public may lose </w:t>
      </w:r>
      <w:r w:rsidR="0052659F">
        <w:rPr>
          <w:rFonts w:ascii="Times New Roman" w:hAnsi="Times New Roman"/>
          <w:sz w:val="26"/>
          <w:szCs w:val="26"/>
        </w:rPr>
        <w:t>the</w:t>
      </w:r>
      <w:r w:rsidRPr="00E9060E">
        <w:rPr>
          <w:rFonts w:ascii="Times New Roman" w:hAnsi="Times New Roman"/>
          <w:sz w:val="26"/>
          <w:szCs w:val="26"/>
        </w:rPr>
        <w:t xml:space="preserve"> capability of monitoring the operations of the wholesale electric market for possible abuses of market power and the environment, and the efforts of electric utility entities in ensuring that resource capabilities could sufficiently and reliably meet system peak and forecast loads.  </w:t>
      </w:r>
    </w:p>
    <w:p w14:paraId="65A0AAFB" w14:textId="77777777" w:rsidR="0088425D" w:rsidRPr="00E9060E" w:rsidRDefault="0088425D" w:rsidP="00BD0F89">
      <w:pPr>
        <w:spacing w:after="0" w:line="240" w:lineRule="auto"/>
        <w:rPr>
          <w:rFonts w:ascii="Times New Roman" w:hAnsi="Times New Roman"/>
          <w:sz w:val="26"/>
          <w:szCs w:val="26"/>
        </w:rPr>
      </w:pPr>
    </w:p>
    <w:p w14:paraId="5FCC3BB8" w14:textId="77777777" w:rsidR="00471F97" w:rsidRPr="00E9060E" w:rsidRDefault="00471F97"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CONSIDERATION OF THE USE OF IMPROVED INFORMATION TECHNOLOGY TO REDUCE THE BURDEN AND TECHNICAL OR LEGAL OBSTACLES TO REDUCING BURDEN</w:t>
      </w:r>
    </w:p>
    <w:p w14:paraId="391BE832" w14:textId="77777777" w:rsidR="00471F97" w:rsidRPr="00E9060E" w:rsidRDefault="00471F97" w:rsidP="00BD0F89">
      <w:pPr>
        <w:spacing w:after="0" w:line="240" w:lineRule="auto"/>
        <w:ind w:left="360" w:hanging="360"/>
        <w:rPr>
          <w:rFonts w:ascii="Times New Roman" w:hAnsi="Times New Roman"/>
          <w:sz w:val="26"/>
          <w:szCs w:val="26"/>
        </w:rPr>
      </w:pPr>
    </w:p>
    <w:p w14:paraId="7EA7A4A5" w14:textId="4E8ACDD7" w:rsidR="0088425D" w:rsidRPr="00E9060E" w:rsidRDefault="0088425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purpose of the Forms Refresh effort and this </w:t>
      </w:r>
      <w:r w:rsidR="00C656D8">
        <w:rPr>
          <w:rFonts w:ascii="Times New Roman" w:hAnsi="Times New Roman"/>
          <w:sz w:val="26"/>
          <w:szCs w:val="26"/>
        </w:rPr>
        <w:t>final rule</w:t>
      </w:r>
      <w:r w:rsidRPr="00E9060E">
        <w:rPr>
          <w:rFonts w:ascii="Times New Roman" w:hAnsi="Times New Roman"/>
          <w:sz w:val="26"/>
          <w:szCs w:val="26"/>
        </w:rPr>
        <w:t xml:space="preserve"> is to transition from a software platform which is no longer supported by the vendor to a more modern and efficient approach.  The use of XBRL should make the information in these forms easier for filers </w:t>
      </w:r>
      <w:r w:rsidR="00A257FF">
        <w:rPr>
          <w:rFonts w:ascii="Times New Roman" w:hAnsi="Times New Roman"/>
          <w:sz w:val="26"/>
          <w:szCs w:val="26"/>
        </w:rPr>
        <w:t>to submit</w:t>
      </w:r>
      <w:r w:rsidRPr="00E9060E">
        <w:rPr>
          <w:rFonts w:ascii="Times New Roman" w:hAnsi="Times New Roman"/>
          <w:sz w:val="26"/>
          <w:szCs w:val="26"/>
        </w:rPr>
        <w:t xml:space="preserve"> and data users to analyze</w:t>
      </w:r>
      <w:r w:rsidR="00A257FF">
        <w:rPr>
          <w:rFonts w:ascii="Times New Roman" w:hAnsi="Times New Roman"/>
          <w:sz w:val="26"/>
          <w:szCs w:val="26"/>
        </w:rPr>
        <w:t>,</w:t>
      </w:r>
      <w:r w:rsidRPr="00E9060E">
        <w:rPr>
          <w:rFonts w:ascii="Times New Roman" w:hAnsi="Times New Roman"/>
          <w:sz w:val="26"/>
          <w:szCs w:val="26"/>
        </w:rPr>
        <w:t xml:space="preserve"> and assist in automating regulatory filings.  In addition, the Commission believes that transitioning from the current Visual FoxPro system to XBRL will decrease the costs</w:t>
      </w:r>
      <w:r w:rsidR="00F65138">
        <w:rPr>
          <w:rFonts w:ascii="Times New Roman" w:hAnsi="Times New Roman"/>
          <w:sz w:val="26"/>
          <w:szCs w:val="26"/>
        </w:rPr>
        <w:t xml:space="preserve"> (</w:t>
      </w:r>
      <w:r w:rsidRPr="00E9060E">
        <w:rPr>
          <w:rFonts w:ascii="Times New Roman" w:hAnsi="Times New Roman"/>
          <w:sz w:val="26"/>
          <w:szCs w:val="26"/>
        </w:rPr>
        <w:t>over time</w:t>
      </w:r>
      <w:r w:rsidR="00F65138">
        <w:rPr>
          <w:rFonts w:ascii="Times New Roman" w:hAnsi="Times New Roman"/>
          <w:sz w:val="26"/>
          <w:szCs w:val="26"/>
        </w:rPr>
        <w:t>)</w:t>
      </w:r>
      <w:r w:rsidRPr="00E9060E">
        <w:rPr>
          <w:rFonts w:ascii="Times New Roman" w:hAnsi="Times New Roman"/>
          <w:sz w:val="26"/>
          <w:szCs w:val="26"/>
        </w:rPr>
        <w:t xml:space="preserve"> of preparing the necessary data for submission and complying with future changes to filing requirements set forth by the Commission.  </w:t>
      </w:r>
    </w:p>
    <w:p w14:paraId="00645005" w14:textId="77777777" w:rsidR="0088425D" w:rsidRPr="00E9060E" w:rsidRDefault="0088425D" w:rsidP="00BD0F89">
      <w:pPr>
        <w:spacing w:after="0" w:line="240" w:lineRule="auto"/>
        <w:ind w:left="360" w:hanging="360"/>
        <w:rPr>
          <w:rFonts w:ascii="Times New Roman" w:hAnsi="Times New Roman"/>
          <w:sz w:val="26"/>
          <w:szCs w:val="26"/>
        </w:rPr>
      </w:pPr>
    </w:p>
    <w:p w14:paraId="235E8FE2"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14:paraId="7DC29030" w14:textId="77777777" w:rsidR="00F0627E" w:rsidRPr="00E9060E" w:rsidRDefault="00F0627E" w:rsidP="00BD0F89">
      <w:pPr>
        <w:spacing w:after="0" w:line="240" w:lineRule="auto"/>
        <w:ind w:left="360" w:hanging="360"/>
        <w:rPr>
          <w:rFonts w:ascii="Times New Roman" w:hAnsi="Times New Roman"/>
          <w:sz w:val="26"/>
          <w:szCs w:val="26"/>
        </w:rPr>
      </w:pPr>
    </w:p>
    <w:p w14:paraId="2C228DC8" w14:textId="70B92F15" w:rsidR="0084303A" w:rsidRPr="00E9060E" w:rsidRDefault="002E36BA" w:rsidP="00BD0F89">
      <w:pPr>
        <w:spacing w:after="0" w:line="240" w:lineRule="auto"/>
        <w:rPr>
          <w:rFonts w:ascii="Times New Roman" w:hAnsi="Times New Roman"/>
          <w:sz w:val="26"/>
          <w:szCs w:val="26"/>
        </w:rPr>
      </w:pPr>
      <w:r w:rsidRPr="00E9060E">
        <w:rPr>
          <w:rFonts w:ascii="Times New Roman" w:hAnsi="Times New Roman"/>
          <w:sz w:val="26"/>
          <w:szCs w:val="26"/>
        </w:rPr>
        <w:t xml:space="preserve">Under the </w:t>
      </w:r>
      <w:r w:rsidR="00C656D8">
        <w:rPr>
          <w:rFonts w:ascii="Times New Roman" w:hAnsi="Times New Roman"/>
          <w:sz w:val="26"/>
          <w:szCs w:val="26"/>
        </w:rPr>
        <w:t>final rule</w:t>
      </w:r>
      <w:r w:rsidRPr="00E9060E">
        <w:rPr>
          <w:rFonts w:ascii="Times New Roman" w:hAnsi="Times New Roman"/>
          <w:sz w:val="26"/>
          <w:szCs w:val="26"/>
        </w:rPr>
        <w:t xml:space="preserve">, the Commission is not proposing to change the information currently collected in the VFP Forms, but rather to change the </w:t>
      </w:r>
      <w:r w:rsidR="00B57C5A">
        <w:rPr>
          <w:rFonts w:ascii="Times New Roman" w:hAnsi="Times New Roman"/>
          <w:sz w:val="26"/>
          <w:szCs w:val="26"/>
        </w:rPr>
        <w:t xml:space="preserve">reporting </w:t>
      </w:r>
      <w:r w:rsidRPr="00E9060E">
        <w:rPr>
          <w:rFonts w:ascii="Times New Roman" w:hAnsi="Times New Roman"/>
          <w:sz w:val="26"/>
          <w:szCs w:val="26"/>
        </w:rPr>
        <w:t xml:space="preserve">format from VFP to XBRL. </w:t>
      </w:r>
      <w:r w:rsidR="0084303A" w:rsidRPr="00E9060E">
        <w:rPr>
          <w:rFonts w:ascii="Times New Roman" w:hAnsi="Times New Roman"/>
          <w:sz w:val="26"/>
          <w:szCs w:val="26"/>
        </w:rPr>
        <w:t xml:space="preserve"> </w:t>
      </w:r>
    </w:p>
    <w:p w14:paraId="44A5ED60" w14:textId="77777777" w:rsidR="0084303A" w:rsidRPr="00E9060E" w:rsidRDefault="0084303A" w:rsidP="00BD0F89">
      <w:pPr>
        <w:spacing w:after="0" w:line="240" w:lineRule="auto"/>
        <w:rPr>
          <w:rFonts w:ascii="Times New Roman" w:hAnsi="Times New Roman"/>
          <w:sz w:val="26"/>
          <w:szCs w:val="26"/>
        </w:rPr>
      </w:pPr>
    </w:p>
    <w:p w14:paraId="2C904CCD" w14:textId="77777777" w:rsidR="00494814" w:rsidRPr="00E9060E" w:rsidRDefault="0084303A" w:rsidP="00BD0F89">
      <w:pPr>
        <w:spacing w:after="0" w:line="240" w:lineRule="auto"/>
        <w:rPr>
          <w:rFonts w:ascii="Times New Roman" w:hAnsi="Times New Roman"/>
          <w:sz w:val="26"/>
          <w:szCs w:val="26"/>
        </w:rPr>
      </w:pPr>
      <w:r w:rsidRPr="00E9060E">
        <w:rPr>
          <w:rFonts w:ascii="Times New Roman" w:hAnsi="Times New Roman"/>
          <w:sz w:val="26"/>
          <w:szCs w:val="26"/>
        </w:rPr>
        <w:t xml:space="preserve">A </w:t>
      </w:r>
      <w:r w:rsidR="002E36BA" w:rsidRPr="00E9060E">
        <w:rPr>
          <w:rFonts w:ascii="Times New Roman" w:hAnsi="Times New Roman"/>
          <w:sz w:val="26"/>
          <w:szCs w:val="26"/>
        </w:rPr>
        <w:t>description of t</w:t>
      </w:r>
      <w:r w:rsidR="00107DA8" w:rsidRPr="00E9060E">
        <w:rPr>
          <w:rFonts w:ascii="Times New Roman" w:hAnsi="Times New Roman"/>
          <w:sz w:val="26"/>
          <w:szCs w:val="26"/>
        </w:rPr>
        <w:t>he Commission</w:t>
      </w:r>
      <w:r w:rsidR="002E36BA" w:rsidRPr="00E9060E">
        <w:rPr>
          <w:rFonts w:ascii="Times New Roman" w:hAnsi="Times New Roman"/>
          <w:sz w:val="26"/>
          <w:szCs w:val="26"/>
        </w:rPr>
        <w:t>’s efforts to</w:t>
      </w:r>
      <w:r w:rsidR="00107DA8" w:rsidRPr="00E9060E">
        <w:rPr>
          <w:rFonts w:ascii="Times New Roman" w:hAnsi="Times New Roman"/>
          <w:sz w:val="26"/>
          <w:szCs w:val="26"/>
        </w:rPr>
        <w:t xml:space="preserve"> periodically review filing requirements concurrent with OMB review or as the Commission deems necessary to eliminate duplicative filing and to minimize the filing burden</w:t>
      </w:r>
      <w:r w:rsidR="00F04C98" w:rsidRPr="00E9060E">
        <w:rPr>
          <w:rFonts w:ascii="Times New Roman" w:hAnsi="Times New Roman"/>
          <w:sz w:val="26"/>
          <w:szCs w:val="26"/>
        </w:rPr>
        <w:t xml:space="preserve"> is provided</w:t>
      </w:r>
      <w:r w:rsidRPr="00E9060E">
        <w:rPr>
          <w:rFonts w:ascii="Times New Roman" w:hAnsi="Times New Roman"/>
          <w:sz w:val="26"/>
          <w:szCs w:val="26"/>
        </w:rPr>
        <w:t xml:space="preserve"> below</w:t>
      </w:r>
      <w:r w:rsidR="00107DA8" w:rsidRPr="00E9060E">
        <w:rPr>
          <w:rFonts w:ascii="Times New Roman" w:hAnsi="Times New Roman"/>
          <w:sz w:val="26"/>
          <w:szCs w:val="26"/>
        </w:rPr>
        <w:t xml:space="preserve">.  </w:t>
      </w:r>
    </w:p>
    <w:p w14:paraId="36DF0E8B" w14:textId="77777777" w:rsidR="007D436E" w:rsidRPr="00E9060E" w:rsidRDefault="007D436E" w:rsidP="00BD0F89">
      <w:pPr>
        <w:spacing w:after="0" w:line="240" w:lineRule="auto"/>
        <w:rPr>
          <w:rFonts w:ascii="Times New Roman" w:hAnsi="Times New Roman"/>
          <w:sz w:val="26"/>
          <w:szCs w:val="26"/>
        </w:rPr>
      </w:pPr>
    </w:p>
    <w:p w14:paraId="263DBB92" w14:textId="7D509AF9" w:rsidR="007D436E" w:rsidRPr="00E9060E" w:rsidRDefault="00EA5213" w:rsidP="00BD0F89">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2F405E" w:rsidRPr="00E9060E">
        <w:rPr>
          <w:rFonts w:ascii="Times New Roman" w:hAnsi="Times New Roman"/>
          <w:b/>
          <w:sz w:val="26"/>
          <w:szCs w:val="26"/>
        </w:rPr>
        <w:t>Form</w:t>
      </w:r>
      <w:r w:rsidRPr="00E9060E">
        <w:rPr>
          <w:rFonts w:ascii="Times New Roman" w:hAnsi="Times New Roman"/>
          <w:b/>
          <w:sz w:val="26"/>
          <w:szCs w:val="26"/>
        </w:rPr>
        <w:t xml:space="preserve"> Nos.</w:t>
      </w:r>
      <w:r w:rsidR="002F405E" w:rsidRPr="00E9060E">
        <w:rPr>
          <w:rFonts w:ascii="Times New Roman" w:hAnsi="Times New Roman"/>
          <w:b/>
          <w:sz w:val="26"/>
          <w:szCs w:val="26"/>
        </w:rPr>
        <w:t xml:space="preserve"> </w:t>
      </w:r>
      <w:r w:rsidR="00CB35C5" w:rsidRPr="00E9060E">
        <w:rPr>
          <w:rFonts w:ascii="Times New Roman" w:hAnsi="Times New Roman"/>
          <w:b/>
          <w:sz w:val="26"/>
          <w:szCs w:val="26"/>
        </w:rPr>
        <w:t>1T, 1-FT, 3-QT, 2, 2A, 6T, 6-QT</w:t>
      </w:r>
      <w:r w:rsidR="001D6157">
        <w:rPr>
          <w:rFonts w:ascii="Times New Roman" w:hAnsi="Times New Roman"/>
          <w:b/>
          <w:sz w:val="26"/>
          <w:szCs w:val="26"/>
        </w:rPr>
        <w:t xml:space="preserve">, and </w:t>
      </w:r>
      <w:r w:rsidR="001D6157" w:rsidRPr="001D6157">
        <w:rPr>
          <w:rFonts w:ascii="Times New Roman" w:hAnsi="Times New Roman"/>
          <w:b/>
          <w:sz w:val="26"/>
          <w:szCs w:val="26"/>
        </w:rPr>
        <w:t xml:space="preserve">60A </w:t>
      </w:r>
      <w:r w:rsidR="00CB35C5" w:rsidRPr="00E9060E">
        <w:rPr>
          <w:rFonts w:ascii="Times New Roman" w:hAnsi="Times New Roman"/>
          <w:b/>
          <w:sz w:val="26"/>
          <w:szCs w:val="26"/>
        </w:rPr>
        <w:t xml:space="preserve">(and </w:t>
      </w:r>
      <w:r w:rsidR="002F405E" w:rsidRPr="00E9060E">
        <w:rPr>
          <w:rFonts w:ascii="Times New Roman" w:hAnsi="Times New Roman"/>
          <w:b/>
          <w:sz w:val="26"/>
          <w:szCs w:val="26"/>
        </w:rPr>
        <w:t xml:space="preserve">1, 1-F, </w:t>
      </w:r>
      <w:r w:rsidR="007D436E" w:rsidRPr="00E9060E">
        <w:rPr>
          <w:rFonts w:ascii="Times New Roman" w:hAnsi="Times New Roman"/>
          <w:b/>
          <w:sz w:val="26"/>
          <w:szCs w:val="26"/>
        </w:rPr>
        <w:t>3-Q</w:t>
      </w:r>
      <w:r w:rsidR="002F405E" w:rsidRPr="00E9060E">
        <w:rPr>
          <w:rFonts w:ascii="Times New Roman" w:hAnsi="Times New Roman"/>
          <w:b/>
          <w:sz w:val="26"/>
          <w:szCs w:val="26"/>
        </w:rPr>
        <w:t xml:space="preserve">, </w:t>
      </w:r>
      <w:r w:rsidR="00444280" w:rsidRPr="00E9060E">
        <w:rPr>
          <w:rFonts w:ascii="Times New Roman" w:hAnsi="Times New Roman"/>
          <w:b/>
          <w:sz w:val="26"/>
          <w:szCs w:val="26"/>
        </w:rPr>
        <w:t>6</w:t>
      </w:r>
      <w:r w:rsidR="001D6157">
        <w:rPr>
          <w:rFonts w:ascii="Times New Roman" w:hAnsi="Times New Roman"/>
          <w:b/>
          <w:sz w:val="26"/>
          <w:szCs w:val="26"/>
        </w:rPr>
        <w:t>,</w:t>
      </w:r>
      <w:r w:rsidR="00444280" w:rsidRPr="00E9060E">
        <w:rPr>
          <w:rFonts w:ascii="Times New Roman" w:hAnsi="Times New Roman"/>
          <w:b/>
          <w:sz w:val="26"/>
          <w:szCs w:val="26"/>
        </w:rPr>
        <w:t xml:space="preserve"> 6-Q</w:t>
      </w:r>
      <w:r w:rsidR="001D6157">
        <w:rPr>
          <w:rFonts w:ascii="Times New Roman" w:hAnsi="Times New Roman"/>
          <w:b/>
          <w:sz w:val="26"/>
          <w:szCs w:val="26"/>
        </w:rPr>
        <w:t>, and 60</w:t>
      </w:r>
      <w:r w:rsidR="00CB35C5" w:rsidRPr="00E9060E">
        <w:rPr>
          <w:rFonts w:ascii="Times New Roman" w:hAnsi="Times New Roman"/>
          <w:b/>
          <w:sz w:val="26"/>
          <w:szCs w:val="26"/>
        </w:rPr>
        <w:t>)</w:t>
      </w:r>
      <w:r w:rsidR="007D436E" w:rsidRPr="00E9060E">
        <w:rPr>
          <w:rFonts w:ascii="Times New Roman" w:hAnsi="Times New Roman"/>
          <w:b/>
          <w:sz w:val="26"/>
          <w:szCs w:val="26"/>
        </w:rPr>
        <w:t xml:space="preserve">.  </w:t>
      </w:r>
      <w:r w:rsidR="007D436E" w:rsidRPr="00E9060E">
        <w:rPr>
          <w:rFonts w:ascii="Times New Roman" w:hAnsi="Times New Roman"/>
          <w:sz w:val="26"/>
          <w:szCs w:val="26"/>
        </w:rPr>
        <w:t>While some jurisdictional entities may file similar information with the Securities and Exchange Commission (SEC), the level of detail concerning assets, liabilities, stockholders</w:t>
      </w:r>
      <w:r w:rsidR="00045AD7">
        <w:rPr>
          <w:rFonts w:ascii="Times New Roman" w:hAnsi="Times New Roman"/>
          <w:sz w:val="26"/>
          <w:szCs w:val="26"/>
        </w:rPr>
        <w:t>’</w:t>
      </w:r>
      <w:r w:rsidR="007D436E" w:rsidRPr="00E9060E">
        <w:rPr>
          <w:rFonts w:ascii="Times New Roman" w:hAnsi="Times New Roman"/>
          <w:sz w:val="26"/>
          <w:szCs w:val="26"/>
        </w:rPr>
        <w:t xml:space="preserve"> equity along with the revenues, expenses, gains, and losses is different for the Commission and the SEC.  The financial statements filed with the SEC are on a consolidated, or parent company basis.  The Commission notes that a majority of the jurisdictional entities that it regulates files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2951980C" w14:textId="77777777" w:rsidR="007D436E" w:rsidRPr="00E9060E" w:rsidRDefault="007D436E" w:rsidP="00BD0F89">
      <w:pPr>
        <w:spacing w:after="0" w:line="240" w:lineRule="auto"/>
        <w:rPr>
          <w:rFonts w:ascii="Times New Roman" w:hAnsi="Times New Roman"/>
          <w:sz w:val="26"/>
          <w:szCs w:val="26"/>
        </w:rPr>
      </w:pPr>
    </w:p>
    <w:p w14:paraId="3A42CD31" w14:textId="50D13DEB"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 xml:space="preserve">714.  </w:t>
      </w:r>
      <w:r w:rsidR="00867915" w:rsidRPr="00E9060E">
        <w:rPr>
          <w:rFonts w:ascii="Times New Roman" w:hAnsi="Times New Roman"/>
          <w:sz w:val="26"/>
          <w:szCs w:val="26"/>
        </w:rPr>
        <w:t xml:space="preserve">As relates to the </w:t>
      </w:r>
      <w:r w:rsidR="005539AC">
        <w:rPr>
          <w:rFonts w:ascii="Times New Roman" w:hAnsi="Times New Roman"/>
          <w:sz w:val="26"/>
          <w:szCs w:val="26"/>
        </w:rPr>
        <w:t xml:space="preserve">FERC </w:t>
      </w:r>
      <w:r w:rsidR="00EA5213" w:rsidRPr="00E9060E">
        <w:rPr>
          <w:rFonts w:ascii="Times New Roman" w:hAnsi="Times New Roman"/>
          <w:sz w:val="26"/>
          <w:szCs w:val="26"/>
        </w:rPr>
        <w:t>Form No.</w:t>
      </w:r>
      <w:r w:rsidR="00F65138">
        <w:rPr>
          <w:rFonts w:ascii="Times New Roman" w:hAnsi="Times New Roman"/>
          <w:sz w:val="26"/>
          <w:szCs w:val="26"/>
        </w:rPr>
        <w:t xml:space="preserve"> </w:t>
      </w:r>
      <w:r w:rsidR="00867915" w:rsidRPr="00E9060E">
        <w:rPr>
          <w:rFonts w:ascii="Times New Roman" w:hAnsi="Times New Roman"/>
          <w:sz w:val="26"/>
          <w:szCs w:val="26"/>
        </w:rPr>
        <w:t>714, t</w:t>
      </w:r>
      <w:r w:rsidRPr="00E9060E">
        <w:rPr>
          <w:rFonts w:ascii="Times New Roman" w:hAnsi="Times New Roman"/>
          <w:sz w:val="26"/>
          <w:szCs w:val="26"/>
        </w:rPr>
        <w:t xml:space="preserve">he U.S. Energy Information Administration (EIA) implemented a </w:t>
      </w:r>
      <w:r w:rsidR="001A62D9" w:rsidRPr="00E9060E">
        <w:rPr>
          <w:rFonts w:ascii="Times New Roman" w:hAnsi="Times New Roman"/>
          <w:sz w:val="26"/>
          <w:szCs w:val="26"/>
        </w:rPr>
        <w:t xml:space="preserve">data collection of </w:t>
      </w:r>
      <w:r w:rsidRPr="00E9060E">
        <w:rPr>
          <w:rFonts w:ascii="Times New Roman" w:hAnsi="Times New Roman"/>
          <w:sz w:val="26"/>
          <w:szCs w:val="26"/>
        </w:rPr>
        <w:t xml:space="preserve">hourly electric power data from all </w:t>
      </w:r>
      <w:r w:rsidR="00FF71B5" w:rsidRPr="00E9060E">
        <w:rPr>
          <w:rFonts w:ascii="Times New Roman" w:hAnsi="Times New Roman"/>
          <w:sz w:val="26"/>
          <w:szCs w:val="26"/>
        </w:rPr>
        <w:t>entities</w:t>
      </w:r>
      <w:r w:rsidRPr="00E9060E">
        <w:rPr>
          <w:rFonts w:ascii="Times New Roman" w:hAnsi="Times New Roman"/>
          <w:sz w:val="26"/>
          <w:szCs w:val="26"/>
        </w:rPr>
        <w:t xml:space="preserve"> in the contiguous United States</w:t>
      </w:r>
      <w:r w:rsidR="00FF71B5" w:rsidRPr="00E9060E">
        <w:rPr>
          <w:rFonts w:ascii="Times New Roman" w:hAnsi="Times New Roman"/>
          <w:sz w:val="26"/>
          <w:szCs w:val="26"/>
        </w:rPr>
        <w:t xml:space="preserve"> that are listed in the NERC Compliance Registry as a balancing authority</w:t>
      </w:r>
      <w:r w:rsidRPr="00E9060E">
        <w:rPr>
          <w:rFonts w:ascii="Times New Roman" w:hAnsi="Times New Roman"/>
          <w:sz w:val="26"/>
          <w:szCs w:val="26"/>
        </w:rPr>
        <w:t>.  Th</w:t>
      </w:r>
      <w:r w:rsidR="00EA0F6E" w:rsidRPr="00E9060E">
        <w:rPr>
          <w:rFonts w:ascii="Times New Roman" w:hAnsi="Times New Roman"/>
          <w:sz w:val="26"/>
          <w:szCs w:val="26"/>
        </w:rPr>
        <w:t xml:space="preserve">e </w:t>
      </w:r>
      <w:r w:rsidRPr="00E9060E">
        <w:rPr>
          <w:rFonts w:ascii="Times New Roman" w:hAnsi="Times New Roman"/>
          <w:sz w:val="26"/>
          <w:szCs w:val="26"/>
        </w:rPr>
        <w:t xml:space="preserve">EIA-930: Hourly and Daily Balancing Authority Operations Report, requires the filing of hourly balancing authority operating data </w:t>
      </w:r>
      <w:r w:rsidR="005B04C3" w:rsidRPr="00E9060E">
        <w:rPr>
          <w:rFonts w:ascii="Times New Roman" w:hAnsi="Times New Roman"/>
          <w:sz w:val="26"/>
          <w:szCs w:val="26"/>
        </w:rPr>
        <w:t xml:space="preserve">including day-ahead demand forecast, actual demand, net generation, and net metered tie line flow </w:t>
      </w:r>
      <w:r w:rsidRPr="00E9060E">
        <w:rPr>
          <w:rFonts w:ascii="Times New Roman" w:hAnsi="Times New Roman"/>
          <w:sz w:val="26"/>
          <w:szCs w:val="26"/>
        </w:rPr>
        <w:t xml:space="preserve">to EIA.  The data </w:t>
      </w:r>
      <w:r w:rsidR="00E5589D" w:rsidRPr="00E9060E">
        <w:rPr>
          <w:rFonts w:ascii="Times New Roman" w:hAnsi="Times New Roman"/>
          <w:sz w:val="26"/>
          <w:szCs w:val="26"/>
        </w:rPr>
        <w:t>is</w:t>
      </w:r>
      <w:r w:rsidRPr="00E9060E">
        <w:rPr>
          <w:rFonts w:ascii="Times New Roman" w:hAnsi="Times New Roman"/>
          <w:sz w:val="26"/>
          <w:szCs w:val="26"/>
        </w:rPr>
        <w:t xml:space="preserve"> posted onto a publicly available website</w:t>
      </w:r>
      <w:r w:rsidR="00F65138" w:rsidRPr="001123D4">
        <w:rPr>
          <w:rStyle w:val="FootnoteReference"/>
          <w:rFonts w:ascii="Times New Roman" w:hAnsi="Times New Roman"/>
          <w:sz w:val="26"/>
          <w:szCs w:val="26"/>
          <w:vertAlign w:val="superscript"/>
        </w:rPr>
        <w:footnoteReference w:id="14"/>
      </w:r>
      <w:r w:rsidRPr="00C81277">
        <w:rPr>
          <w:rFonts w:ascii="Times New Roman" w:hAnsi="Times New Roman"/>
          <w:sz w:val="26"/>
          <w:szCs w:val="26"/>
          <w:vertAlign w:val="superscript"/>
        </w:rPr>
        <w:t xml:space="preserve"> </w:t>
      </w:r>
      <w:r w:rsidRPr="00E9060E">
        <w:rPr>
          <w:rFonts w:ascii="Times New Roman" w:hAnsi="Times New Roman"/>
          <w:sz w:val="26"/>
          <w:szCs w:val="26"/>
        </w:rPr>
        <w:t xml:space="preserve">and </w:t>
      </w:r>
      <w:r w:rsidR="00186976" w:rsidRPr="00E9060E">
        <w:rPr>
          <w:rFonts w:ascii="Times New Roman" w:hAnsi="Times New Roman"/>
          <w:sz w:val="26"/>
          <w:szCs w:val="26"/>
        </w:rPr>
        <w:t>can</w:t>
      </w:r>
      <w:r w:rsidRPr="00E9060E">
        <w:rPr>
          <w:rFonts w:ascii="Times New Roman" w:hAnsi="Times New Roman"/>
          <w:sz w:val="26"/>
          <w:szCs w:val="26"/>
        </w:rPr>
        <w:t xml:space="preserve"> be used to monitor the near-real time status and trends of the electric power industry and to support the enhancement of electric system operations.</w:t>
      </w:r>
    </w:p>
    <w:p w14:paraId="2FC6998F" w14:textId="77777777" w:rsidR="00BA412D" w:rsidRPr="00E9060E" w:rsidRDefault="00BA412D" w:rsidP="00BD0F89">
      <w:pPr>
        <w:spacing w:after="0" w:line="240" w:lineRule="auto"/>
        <w:rPr>
          <w:rFonts w:ascii="Times New Roman" w:hAnsi="Times New Roman"/>
          <w:sz w:val="26"/>
          <w:szCs w:val="26"/>
        </w:rPr>
      </w:pPr>
    </w:p>
    <w:p w14:paraId="70FDC4BC" w14:textId="77777777" w:rsidR="00BA412D" w:rsidRPr="00E9060E" w:rsidRDefault="00D11211" w:rsidP="00BD0F89">
      <w:pPr>
        <w:spacing w:after="0" w:line="240" w:lineRule="auto"/>
        <w:rPr>
          <w:rFonts w:ascii="Times New Roman" w:hAnsi="Times New Roman"/>
          <w:sz w:val="26"/>
          <w:szCs w:val="26"/>
        </w:rPr>
      </w:pPr>
      <w:r w:rsidRPr="00E9060E">
        <w:rPr>
          <w:rFonts w:ascii="Times New Roman" w:hAnsi="Times New Roman"/>
          <w:sz w:val="26"/>
          <w:szCs w:val="26"/>
        </w:rPr>
        <w:t>However, the EIA-930 does not include more granular data on generating plant capabilities, identification of adjacent interconnections, or system lambda.  Also, t</w:t>
      </w:r>
      <w:r w:rsidR="00BA412D" w:rsidRPr="00E9060E">
        <w:rPr>
          <w:rFonts w:ascii="Times New Roman" w:hAnsi="Times New Roman"/>
          <w:sz w:val="26"/>
          <w:szCs w:val="26"/>
        </w:rPr>
        <w:t>here are no other Federal agencies responsible for obtaining planning area</w:t>
      </w:r>
      <w:r w:rsidRPr="00E9060E">
        <w:rPr>
          <w:rFonts w:ascii="Times New Roman" w:hAnsi="Times New Roman"/>
          <w:sz w:val="26"/>
          <w:szCs w:val="26"/>
        </w:rPr>
        <w:t>-level</w:t>
      </w:r>
      <w:r w:rsidR="00BA412D" w:rsidRPr="00E9060E">
        <w:rPr>
          <w:rFonts w:ascii="Times New Roman" w:hAnsi="Times New Roman"/>
          <w:sz w:val="26"/>
          <w:szCs w:val="26"/>
        </w:rPr>
        <w:t xml:space="preserve"> data consist</w:t>
      </w:r>
      <w:r w:rsidRPr="00E9060E">
        <w:rPr>
          <w:rFonts w:ascii="Times New Roman" w:hAnsi="Times New Roman"/>
          <w:sz w:val="26"/>
          <w:szCs w:val="26"/>
        </w:rPr>
        <w:t>ing</w:t>
      </w:r>
      <w:r w:rsidR="00BA412D" w:rsidRPr="00E9060E">
        <w:rPr>
          <w:rFonts w:ascii="Times New Roman" w:hAnsi="Times New Roman"/>
          <w:sz w:val="26"/>
          <w:szCs w:val="26"/>
        </w:rPr>
        <w:t xml:space="preserve"> of forecasted demands and hourly demand characteristics from electric utility entities with fundamental demand responsibilities.</w:t>
      </w:r>
    </w:p>
    <w:p w14:paraId="2F70AA54" w14:textId="77777777" w:rsidR="00F0627E" w:rsidRPr="00E9060E" w:rsidRDefault="00F0627E" w:rsidP="00BD0F89">
      <w:pPr>
        <w:spacing w:after="0" w:line="240" w:lineRule="auto"/>
        <w:rPr>
          <w:rFonts w:ascii="Times New Roman" w:hAnsi="Times New Roman"/>
          <w:sz w:val="26"/>
          <w:szCs w:val="26"/>
        </w:rPr>
      </w:pPr>
    </w:p>
    <w:p w14:paraId="1043320F"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METHODS USED TO MINIMIZE THE BURDEN IN COLLECTION OF INFORMATION INVOLVING SMALL ENTITIES</w:t>
      </w:r>
    </w:p>
    <w:p w14:paraId="7CE41F3F" w14:textId="77777777" w:rsidR="00F0627E" w:rsidRPr="00E9060E" w:rsidRDefault="00F0627E" w:rsidP="00BD0F89">
      <w:pPr>
        <w:spacing w:after="0" w:line="240" w:lineRule="auto"/>
        <w:rPr>
          <w:rFonts w:ascii="Times New Roman" w:hAnsi="Times New Roman"/>
          <w:sz w:val="26"/>
          <w:szCs w:val="26"/>
        </w:rPr>
      </w:pPr>
    </w:p>
    <w:p w14:paraId="568F9DC2" w14:textId="3E078F37" w:rsidR="007D436E" w:rsidRPr="00E9060E" w:rsidRDefault="00EA5213"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 xml:space="preserve">FERC </w:t>
      </w:r>
      <w:r w:rsidR="007D436E" w:rsidRPr="00E9060E">
        <w:rPr>
          <w:rFonts w:ascii="Times New Roman" w:eastAsia="Times New Roman" w:hAnsi="Times New Roman"/>
          <w:b/>
          <w:sz w:val="26"/>
          <w:szCs w:val="26"/>
        </w:rPr>
        <w:t>Form</w:t>
      </w:r>
      <w:r w:rsidRPr="00E9060E">
        <w:rPr>
          <w:rFonts w:ascii="Times New Roman" w:eastAsia="Times New Roman" w:hAnsi="Times New Roman"/>
          <w:b/>
          <w:sz w:val="26"/>
          <w:szCs w:val="26"/>
        </w:rPr>
        <w:t xml:space="preserve"> No</w:t>
      </w:r>
      <w:r w:rsidR="007D436E" w:rsidRPr="00E9060E">
        <w:rPr>
          <w:rFonts w:ascii="Times New Roman" w:eastAsia="Times New Roman" w:hAnsi="Times New Roman"/>
          <w:b/>
          <w:sz w:val="26"/>
          <w:szCs w:val="26"/>
        </w:rPr>
        <w:t>s</w:t>
      </w:r>
      <w:r w:rsidRPr="00E9060E">
        <w:rPr>
          <w:rFonts w:ascii="Times New Roman" w:eastAsia="Times New Roman" w:hAnsi="Times New Roman"/>
          <w:b/>
          <w:sz w:val="26"/>
          <w:szCs w:val="26"/>
        </w:rPr>
        <w:t>.</w:t>
      </w:r>
      <w:r w:rsidR="007D436E" w:rsidRPr="00E9060E">
        <w:rPr>
          <w:rFonts w:ascii="Times New Roman" w:eastAsia="Times New Roman" w:hAnsi="Times New Roman"/>
          <w:b/>
          <w:sz w:val="26"/>
          <w:szCs w:val="26"/>
        </w:rPr>
        <w:t xml:space="preserve"> </w:t>
      </w:r>
      <w:r w:rsidR="003E1795" w:rsidRPr="00E9060E">
        <w:rPr>
          <w:rFonts w:ascii="Times New Roman" w:eastAsia="Times New Roman" w:hAnsi="Times New Roman"/>
          <w:b/>
          <w:sz w:val="26"/>
          <w:szCs w:val="26"/>
        </w:rPr>
        <w:t xml:space="preserve">1T, 1-FT, 3-QT, </w:t>
      </w:r>
      <w:r w:rsidR="002F405E" w:rsidRPr="00E9060E">
        <w:rPr>
          <w:rFonts w:ascii="Times New Roman" w:eastAsia="Times New Roman" w:hAnsi="Times New Roman"/>
          <w:b/>
          <w:sz w:val="26"/>
          <w:szCs w:val="26"/>
        </w:rPr>
        <w:t>2, and 2-A</w:t>
      </w:r>
      <w:r w:rsidR="003E1795" w:rsidRPr="00E9060E">
        <w:rPr>
          <w:rFonts w:ascii="Times New Roman" w:eastAsia="Times New Roman" w:hAnsi="Times New Roman"/>
          <w:b/>
          <w:sz w:val="26"/>
          <w:szCs w:val="26"/>
        </w:rPr>
        <w:t xml:space="preserve"> (and 1, 1-F, and 3-Q)</w:t>
      </w:r>
      <w:r w:rsidR="007D436E" w:rsidRPr="00E9060E">
        <w:rPr>
          <w:rFonts w:ascii="Times New Roman" w:eastAsia="Times New Roman" w:hAnsi="Times New Roman"/>
          <w:b/>
          <w:sz w:val="26"/>
          <w:szCs w:val="26"/>
        </w:rPr>
        <w:t>.</w:t>
      </w:r>
      <w:r w:rsidR="007D436E" w:rsidRPr="00E9060E">
        <w:rPr>
          <w:rFonts w:ascii="Times New Roman" w:eastAsia="Times New Roman" w:hAnsi="Times New Roman"/>
          <w:sz w:val="26"/>
          <w:szCs w:val="26"/>
        </w:rPr>
        <w:t xml:space="preserve">  As noted previously, </w:t>
      </w:r>
      <w:r w:rsidR="003C0867">
        <w:rPr>
          <w:rFonts w:ascii="Times New Roman" w:eastAsia="Times New Roman" w:hAnsi="Times New Roman"/>
          <w:sz w:val="26"/>
          <w:szCs w:val="26"/>
        </w:rPr>
        <w:t>FERC</w:t>
      </w:r>
      <w:r w:rsidR="007D436E"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1 is filed by major utilities or licensees and as such does not apply to small entities.  </w:t>
      </w:r>
      <w:r w:rsidR="003C0867">
        <w:rPr>
          <w:rFonts w:ascii="Times New Roman" w:eastAsia="Times New Roman" w:hAnsi="Times New Roman"/>
          <w:sz w:val="26"/>
          <w:szCs w:val="26"/>
        </w:rPr>
        <w:t>FERC</w:t>
      </w:r>
      <w:r w:rsidR="007D436E"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1-F is filed by public utilities </w:t>
      </w:r>
      <w:r w:rsidR="00332C5C" w:rsidRPr="00332C5C">
        <w:rPr>
          <w:rFonts w:ascii="Times New Roman" w:eastAsia="Times New Roman" w:hAnsi="Times New Roman"/>
          <w:sz w:val="26"/>
          <w:szCs w:val="26"/>
        </w:rPr>
        <w:t xml:space="preserve">that are not major utilities </w:t>
      </w:r>
      <w:r w:rsidR="00332C5C">
        <w:rPr>
          <w:rFonts w:ascii="Times New Roman" w:eastAsia="Times New Roman" w:hAnsi="Times New Roman"/>
          <w:sz w:val="26"/>
          <w:szCs w:val="26"/>
        </w:rPr>
        <w:t xml:space="preserve">and that have </w:t>
      </w:r>
      <w:r w:rsidR="007D436E" w:rsidRPr="00E9060E">
        <w:rPr>
          <w:rFonts w:ascii="Times New Roman" w:eastAsia="Times New Roman" w:hAnsi="Times New Roman"/>
          <w:sz w:val="26"/>
          <w:szCs w:val="26"/>
        </w:rPr>
        <w:t xml:space="preserve">total sales of 10,000 megawatt-hours or more </w:t>
      </w:r>
      <w:r w:rsidR="00332C5C">
        <w:rPr>
          <w:rFonts w:ascii="Times New Roman" w:eastAsia="Times New Roman" w:hAnsi="Times New Roman"/>
          <w:sz w:val="26"/>
          <w:szCs w:val="26"/>
        </w:rPr>
        <w:t>in each of the three prior calendar years</w:t>
      </w:r>
      <w:r w:rsidR="007D436E" w:rsidRPr="00E9060E">
        <w:rPr>
          <w:rFonts w:ascii="Times New Roman" w:eastAsia="Times New Roman" w:hAnsi="Times New Roman"/>
          <w:sz w:val="26"/>
          <w:szCs w:val="26"/>
        </w:rPr>
        <w:t xml:space="preserve">.  </w:t>
      </w:r>
      <w:r w:rsidR="003C0867">
        <w:rPr>
          <w:rFonts w:ascii="Times New Roman" w:eastAsia="Times New Roman" w:hAnsi="Times New Roman"/>
          <w:sz w:val="26"/>
          <w:szCs w:val="26"/>
        </w:rPr>
        <w:t xml:space="preserve">In addition, </w:t>
      </w:r>
      <w:r w:rsidR="003C0867" w:rsidRPr="003C0867">
        <w:rPr>
          <w:rFonts w:ascii="Times New Roman" w:eastAsia="Times New Roman" w:hAnsi="Times New Roman"/>
          <w:sz w:val="26"/>
          <w:szCs w:val="26"/>
        </w:rPr>
        <w:t xml:space="preserve">FERC Form No. 2 is filed by “Major” natural gas companies that have combined gas transported or stored for a fee that exceeds 50 million Dekatherms in each of the three previous calendar years.  </w:t>
      </w:r>
      <w:r w:rsidR="005539AC">
        <w:rPr>
          <w:rFonts w:ascii="Times New Roman" w:eastAsia="Times New Roman" w:hAnsi="Times New Roman"/>
          <w:sz w:val="26"/>
          <w:szCs w:val="26"/>
        </w:rPr>
        <w:t xml:space="preserve">FERC </w:t>
      </w:r>
      <w:r w:rsidR="003C0867" w:rsidRPr="003C0867">
        <w:rPr>
          <w:rFonts w:ascii="Times New Roman" w:eastAsia="Times New Roman" w:hAnsi="Times New Roman"/>
          <w:sz w:val="26"/>
          <w:szCs w:val="26"/>
        </w:rPr>
        <w:t xml:space="preserve">Form No. 2-A is filed by “Non-Major” natural gas companies that have total gas sales or volume transactions that exceeds 200,000 Dekatherms in each of the three previous calendar years, but does not qualify as Major. </w:t>
      </w:r>
      <w:r w:rsidR="007D436E" w:rsidRPr="00E9060E">
        <w:rPr>
          <w:rFonts w:ascii="Times New Roman" w:eastAsia="Times New Roman" w:hAnsi="Times New Roman"/>
          <w:sz w:val="26"/>
          <w:szCs w:val="26"/>
        </w:rPr>
        <w:t xml:space="preserve">The </w:t>
      </w:r>
      <w:r w:rsidR="005539AC">
        <w:rPr>
          <w:rFonts w:ascii="Times New Roman" w:eastAsia="Times New Roman" w:hAnsi="Times New Roman"/>
          <w:sz w:val="26"/>
          <w:szCs w:val="26"/>
        </w:rPr>
        <w:t xml:space="preserve">FERC </w:t>
      </w:r>
      <w:r w:rsidR="007D436E" w:rsidRPr="00E9060E">
        <w:rPr>
          <w:rFonts w:ascii="Times New Roman" w:eastAsia="Times New Roman" w:hAnsi="Times New Roman"/>
          <w:sz w:val="26"/>
          <w:szCs w:val="26"/>
        </w:rPr>
        <w:t xml:space="preserve">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3-Q is filed only by electric or gas companies that file Forms </w:t>
      </w:r>
      <w:r w:rsidR="00456A2B" w:rsidRPr="00E9060E">
        <w:rPr>
          <w:rFonts w:ascii="Times New Roman" w:eastAsia="Times New Roman" w:hAnsi="Times New Roman"/>
          <w:sz w:val="26"/>
          <w:szCs w:val="26"/>
        </w:rPr>
        <w:t xml:space="preserve">Nos. </w:t>
      </w:r>
      <w:r w:rsidR="007D436E" w:rsidRPr="00E9060E">
        <w:rPr>
          <w:rFonts w:ascii="Times New Roman" w:eastAsia="Times New Roman" w:hAnsi="Times New Roman"/>
          <w:sz w:val="26"/>
          <w:szCs w:val="26"/>
        </w:rPr>
        <w:t>1, 1-F, 2, or 2-A</w:t>
      </w:r>
      <w:r w:rsidR="00444280" w:rsidRPr="00E9060E">
        <w:rPr>
          <w:rFonts w:ascii="Times New Roman" w:eastAsia="Times New Roman" w:hAnsi="Times New Roman"/>
          <w:sz w:val="26"/>
          <w:szCs w:val="26"/>
        </w:rPr>
        <w:t xml:space="preserve">, </w:t>
      </w:r>
      <w:r w:rsidR="007D436E" w:rsidRPr="00E9060E">
        <w:rPr>
          <w:rFonts w:ascii="Times New Roman" w:eastAsia="Times New Roman" w:hAnsi="Times New Roman"/>
          <w:sz w:val="26"/>
          <w:szCs w:val="26"/>
        </w:rPr>
        <w:t xml:space="preserve">and therefore excludes companies that do not qualify as Major or Nonmajor.  If the reporting requirements represent an undue burden on small businesses, the affected entity may seek a waiver of the </w:t>
      </w:r>
      <w:r w:rsidR="00332C5C">
        <w:rPr>
          <w:rFonts w:ascii="Times New Roman" w:eastAsia="Times New Roman" w:hAnsi="Times New Roman"/>
          <w:sz w:val="26"/>
          <w:szCs w:val="26"/>
        </w:rPr>
        <w:t>filing</w:t>
      </w:r>
      <w:r w:rsidR="007D436E" w:rsidRPr="00E9060E">
        <w:rPr>
          <w:rFonts w:ascii="Times New Roman" w:eastAsia="Times New Roman" w:hAnsi="Times New Roman"/>
          <w:sz w:val="26"/>
          <w:szCs w:val="26"/>
        </w:rPr>
        <w:t xml:space="preserve"> requirements from the Commission.  However, the Commission believes that the information collected on these forms is the minimum necessary to provide a meaningful review of financial conditions and </w:t>
      </w:r>
      <w:r w:rsidR="00332C5C">
        <w:rPr>
          <w:rFonts w:ascii="Times New Roman" w:eastAsia="Times New Roman" w:hAnsi="Times New Roman"/>
          <w:sz w:val="26"/>
          <w:szCs w:val="26"/>
        </w:rPr>
        <w:t xml:space="preserve">that </w:t>
      </w:r>
      <w:r w:rsidR="007D436E" w:rsidRPr="00E9060E">
        <w:rPr>
          <w:rFonts w:ascii="Times New Roman" w:eastAsia="Times New Roman" w:hAnsi="Times New Roman"/>
          <w:sz w:val="26"/>
          <w:szCs w:val="26"/>
        </w:rPr>
        <w:t>impose</w:t>
      </w:r>
      <w:r w:rsidR="00332C5C">
        <w:rPr>
          <w:rFonts w:ascii="Times New Roman" w:eastAsia="Times New Roman" w:hAnsi="Times New Roman"/>
          <w:sz w:val="26"/>
          <w:szCs w:val="26"/>
        </w:rPr>
        <w:t>s</w:t>
      </w:r>
      <w:r w:rsidR="007D436E" w:rsidRPr="00E9060E">
        <w:rPr>
          <w:rFonts w:ascii="Times New Roman" w:eastAsia="Times New Roman" w:hAnsi="Times New Roman"/>
          <w:sz w:val="26"/>
          <w:szCs w:val="26"/>
        </w:rPr>
        <w:t xml:space="preserve"> the least possible burden on entities.  </w:t>
      </w:r>
    </w:p>
    <w:p w14:paraId="5EA40EA4" w14:textId="77777777" w:rsidR="00680C13" w:rsidRPr="00E9060E" w:rsidRDefault="00680C13" w:rsidP="00BD0F89">
      <w:pPr>
        <w:spacing w:after="0" w:line="240" w:lineRule="auto"/>
        <w:rPr>
          <w:rFonts w:ascii="Times New Roman" w:eastAsia="Times New Roman" w:hAnsi="Times New Roman"/>
          <w:sz w:val="26"/>
          <w:szCs w:val="26"/>
        </w:rPr>
      </w:pPr>
    </w:p>
    <w:p w14:paraId="56D28A62" w14:textId="430E1037" w:rsidR="00BD0F89" w:rsidRPr="00E9060E" w:rsidRDefault="00EA5213" w:rsidP="00EC66AC">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 xml:space="preserve">FERC </w:t>
      </w:r>
      <w:r w:rsidR="00BD0F89" w:rsidRPr="00E9060E">
        <w:rPr>
          <w:rFonts w:ascii="Times New Roman" w:eastAsia="Times New Roman" w:hAnsi="Times New Roman"/>
          <w:b/>
          <w:sz w:val="26"/>
          <w:szCs w:val="26"/>
        </w:rPr>
        <w:t>F</w:t>
      </w:r>
      <w:r w:rsidR="0003545C" w:rsidRPr="00E9060E">
        <w:rPr>
          <w:rFonts w:ascii="Times New Roman" w:eastAsia="Times New Roman" w:hAnsi="Times New Roman"/>
          <w:b/>
          <w:sz w:val="26"/>
          <w:szCs w:val="26"/>
        </w:rPr>
        <w:t>orm</w:t>
      </w:r>
      <w:r w:rsidRPr="00E9060E">
        <w:rPr>
          <w:rFonts w:ascii="Times New Roman" w:eastAsia="Times New Roman" w:hAnsi="Times New Roman"/>
          <w:b/>
          <w:sz w:val="26"/>
          <w:szCs w:val="26"/>
        </w:rPr>
        <w:t xml:space="preserve"> Nos.</w:t>
      </w:r>
      <w:r w:rsidR="0003545C" w:rsidRPr="00E9060E">
        <w:rPr>
          <w:rFonts w:ascii="Times New Roman" w:eastAsia="Times New Roman" w:hAnsi="Times New Roman"/>
          <w:b/>
          <w:sz w:val="26"/>
          <w:szCs w:val="26"/>
        </w:rPr>
        <w:t xml:space="preserve"> </w:t>
      </w:r>
      <w:r w:rsidR="009B4282" w:rsidRPr="00E9060E">
        <w:rPr>
          <w:rFonts w:ascii="Times New Roman" w:eastAsia="Times New Roman" w:hAnsi="Times New Roman"/>
          <w:b/>
          <w:sz w:val="26"/>
          <w:szCs w:val="26"/>
        </w:rPr>
        <w:t>6T and 6-QT (a</w:t>
      </w:r>
      <w:r w:rsidR="00C062E4" w:rsidRPr="00E9060E">
        <w:rPr>
          <w:rFonts w:ascii="Times New Roman" w:eastAsia="Times New Roman" w:hAnsi="Times New Roman"/>
          <w:b/>
          <w:sz w:val="26"/>
          <w:szCs w:val="26"/>
        </w:rPr>
        <w:t>n</w:t>
      </w:r>
      <w:r w:rsidR="009B4282" w:rsidRPr="00E9060E">
        <w:rPr>
          <w:rFonts w:ascii="Times New Roman" w:eastAsia="Times New Roman" w:hAnsi="Times New Roman"/>
          <w:b/>
          <w:sz w:val="26"/>
          <w:szCs w:val="26"/>
        </w:rPr>
        <w:t xml:space="preserve">d </w:t>
      </w:r>
      <w:r w:rsidR="00BD0F89" w:rsidRPr="00E9060E">
        <w:rPr>
          <w:rFonts w:ascii="Times New Roman" w:eastAsia="Times New Roman" w:hAnsi="Times New Roman"/>
          <w:b/>
          <w:sz w:val="26"/>
          <w:szCs w:val="26"/>
        </w:rPr>
        <w:t>6</w:t>
      </w:r>
      <w:r w:rsidR="0003545C" w:rsidRPr="00E9060E">
        <w:rPr>
          <w:rFonts w:ascii="Times New Roman" w:eastAsia="Times New Roman" w:hAnsi="Times New Roman"/>
          <w:b/>
          <w:sz w:val="26"/>
          <w:szCs w:val="26"/>
        </w:rPr>
        <w:t xml:space="preserve"> and 6-Q</w:t>
      </w:r>
      <w:r w:rsidR="009B4282" w:rsidRPr="00E9060E">
        <w:rPr>
          <w:rFonts w:ascii="Times New Roman" w:eastAsia="Times New Roman" w:hAnsi="Times New Roman"/>
          <w:b/>
          <w:sz w:val="26"/>
          <w:szCs w:val="26"/>
        </w:rPr>
        <w:t>)</w:t>
      </w:r>
      <w:r w:rsidR="00BD0F89" w:rsidRPr="00E9060E">
        <w:rPr>
          <w:rFonts w:ascii="Times New Roman" w:eastAsia="Times New Roman" w:hAnsi="Times New Roman"/>
          <w:b/>
          <w:sz w:val="26"/>
          <w:szCs w:val="26"/>
        </w:rPr>
        <w:t xml:space="preserve">.  </w:t>
      </w:r>
      <w:r w:rsidR="00BD0F89" w:rsidRPr="00E9060E">
        <w:rPr>
          <w:rFonts w:ascii="Times New Roman" w:eastAsia="Times New Roman" w:hAnsi="Times New Roman"/>
          <w:sz w:val="26"/>
          <w:szCs w:val="26"/>
        </w:rPr>
        <w:t xml:space="preserve">The filing threshold for </w:t>
      </w:r>
      <w:r w:rsidR="003C0867">
        <w:rPr>
          <w:rFonts w:ascii="Times New Roman" w:eastAsia="Times New Roman" w:hAnsi="Times New Roman"/>
          <w:sz w:val="26"/>
          <w:szCs w:val="26"/>
        </w:rPr>
        <w:t>FERC</w:t>
      </w:r>
      <w:r w:rsidR="00BD0F89"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BD0F89" w:rsidRPr="00E9060E">
        <w:rPr>
          <w:rFonts w:ascii="Times New Roman" w:eastAsia="Times New Roman" w:hAnsi="Times New Roman"/>
          <w:sz w:val="26"/>
          <w:szCs w:val="26"/>
        </w:rPr>
        <w:t xml:space="preserve">6 is divided into three categories, based on the annual jurisdictional operating revenues of the respondent company.  (See </w:t>
      </w:r>
      <w:r w:rsidR="00F65138">
        <w:rPr>
          <w:rFonts w:ascii="Times New Roman" w:eastAsia="Times New Roman" w:hAnsi="Times New Roman"/>
          <w:sz w:val="26"/>
          <w:szCs w:val="26"/>
        </w:rPr>
        <w:t xml:space="preserve">the answer to Question </w:t>
      </w:r>
      <w:r w:rsidR="00BD0F89" w:rsidRPr="00E9060E">
        <w:rPr>
          <w:rFonts w:ascii="Times New Roman" w:eastAsia="Times New Roman" w:hAnsi="Times New Roman"/>
          <w:sz w:val="26"/>
          <w:szCs w:val="26"/>
        </w:rPr>
        <w:t xml:space="preserve">#2 above.)  Smaller companies are required to file only certain components of </w:t>
      </w:r>
      <w:r w:rsidR="003C0867">
        <w:rPr>
          <w:rFonts w:ascii="Times New Roman" w:eastAsia="Times New Roman" w:hAnsi="Times New Roman"/>
          <w:sz w:val="26"/>
          <w:szCs w:val="26"/>
        </w:rPr>
        <w:t>FERC</w:t>
      </w:r>
      <w:r w:rsidR="00BD0F89"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BD0F89" w:rsidRPr="00E9060E">
        <w:rPr>
          <w:rFonts w:ascii="Times New Roman" w:eastAsia="Times New Roman" w:hAnsi="Times New Roman"/>
          <w:sz w:val="26"/>
          <w:szCs w:val="26"/>
        </w:rPr>
        <w:t>6.  The Commission concluded that exempting a certain percentage of oil companies from filing the full FERC Form No. 6 in its entirety will not compromise its ability to gather meaningful data upon which to base its regulation of the oil pipeline industry.</w:t>
      </w:r>
    </w:p>
    <w:p w14:paraId="06DF878D" w14:textId="77777777" w:rsidR="00040F9F" w:rsidRPr="00E9060E" w:rsidRDefault="00040F9F" w:rsidP="00040F9F">
      <w:pPr>
        <w:spacing w:after="0" w:line="240" w:lineRule="auto"/>
        <w:rPr>
          <w:rFonts w:ascii="Times New Roman" w:eastAsia="Times New Roman" w:hAnsi="Times New Roman"/>
          <w:sz w:val="26"/>
          <w:szCs w:val="26"/>
        </w:rPr>
      </w:pPr>
    </w:p>
    <w:p w14:paraId="485FE35F" w14:textId="0D90E2A7" w:rsidR="00040F9F" w:rsidRPr="00E9060E" w:rsidRDefault="00EA5213" w:rsidP="00040F9F">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040F9F" w:rsidRPr="00E9060E">
        <w:rPr>
          <w:rFonts w:ascii="Times New Roman" w:hAnsi="Times New Roman"/>
          <w:b/>
          <w:sz w:val="26"/>
          <w:szCs w:val="26"/>
        </w:rPr>
        <w:t xml:space="preserve">Form </w:t>
      </w:r>
      <w:r w:rsidRPr="00E9060E">
        <w:rPr>
          <w:rFonts w:ascii="Times New Roman" w:hAnsi="Times New Roman"/>
          <w:b/>
          <w:sz w:val="26"/>
          <w:szCs w:val="26"/>
        </w:rPr>
        <w:t xml:space="preserve">No. </w:t>
      </w:r>
      <w:r w:rsidR="00040F9F" w:rsidRPr="00E9060E">
        <w:rPr>
          <w:rFonts w:ascii="Times New Roman" w:hAnsi="Times New Roman"/>
          <w:b/>
          <w:sz w:val="26"/>
          <w:szCs w:val="26"/>
        </w:rPr>
        <w:t>60A</w:t>
      </w:r>
      <w:r w:rsidR="00625D08" w:rsidRPr="00E9060E">
        <w:rPr>
          <w:rFonts w:ascii="Times New Roman" w:hAnsi="Times New Roman"/>
          <w:b/>
          <w:sz w:val="26"/>
          <w:szCs w:val="26"/>
        </w:rPr>
        <w:t xml:space="preserve"> (and 60)</w:t>
      </w:r>
      <w:r w:rsidR="00040F9F" w:rsidRPr="00E9060E">
        <w:rPr>
          <w:rFonts w:ascii="Times New Roman" w:hAnsi="Times New Roman"/>
          <w:sz w:val="26"/>
          <w:szCs w:val="26"/>
        </w:rPr>
        <w:t xml:space="preserve">.  The information requirements under </w:t>
      </w:r>
      <w:r w:rsidR="003C0867">
        <w:rPr>
          <w:rFonts w:ascii="Times New Roman" w:hAnsi="Times New Roman"/>
          <w:sz w:val="26"/>
          <w:szCs w:val="26"/>
        </w:rPr>
        <w:t xml:space="preserve">FERC </w:t>
      </w:r>
      <w:r w:rsidR="00040F9F" w:rsidRPr="00E9060E">
        <w:rPr>
          <w:rFonts w:ascii="Times New Roman" w:hAnsi="Times New Roman"/>
          <w:sz w:val="26"/>
          <w:szCs w:val="26"/>
        </w:rPr>
        <w:t xml:space="preserve">Form </w:t>
      </w:r>
      <w:r w:rsidR="00F50DEC" w:rsidRPr="00E9060E">
        <w:rPr>
          <w:rFonts w:ascii="Times New Roman" w:hAnsi="Times New Roman"/>
          <w:sz w:val="26"/>
          <w:szCs w:val="26"/>
        </w:rPr>
        <w:t xml:space="preserve">No. </w:t>
      </w:r>
      <w:r w:rsidR="00040F9F" w:rsidRPr="00E9060E">
        <w:rPr>
          <w:rFonts w:ascii="Times New Roman" w:hAnsi="Times New Roman"/>
          <w:sz w:val="26"/>
          <w:szCs w:val="26"/>
        </w:rPr>
        <w:t xml:space="preserve">60 apply to jurisdictional entities.  Companies that do not qualify to file </w:t>
      </w:r>
      <w:r w:rsidR="003C0867">
        <w:rPr>
          <w:rFonts w:ascii="Times New Roman" w:hAnsi="Times New Roman"/>
          <w:sz w:val="26"/>
          <w:szCs w:val="26"/>
        </w:rPr>
        <w:t xml:space="preserve">FERC </w:t>
      </w:r>
      <w:r w:rsidR="00040F9F" w:rsidRPr="00E9060E">
        <w:rPr>
          <w:rFonts w:ascii="Times New Roman" w:hAnsi="Times New Roman"/>
          <w:sz w:val="26"/>
          <w:szCs w:val="26"/>
        </w:rPr>
        <w:t xml:space="preserve">Form </w:t>
      </w:r>
      <w:r w:rsidR="00F50DEC" w:rsidRPr="00E9060E">
        <w:rPr>
          <w:rFonts w:ascii="Times New Roman" w:hAnsi="Times New Roman"/>
          <w:sz w:val="26"/>
          <w:szCs w:val="26"/>
        </w:rPr>
        <w:t xml:space="preserve">No. </w:t>
      </w:r>
      <w:r w:rsidR="00040F9F" w:rsidRPr="00E9060E">
        <w:rPr>
          <w:rFonts w:ascii="Times New Roman" w:hAnsi="Times New Roman"/>
          <w:sz w:val="26"/>
          <w:szCs w:val="26"/>
        </w:rPr>
        <w:t>60 use the FERC-61 to reduce burden on those small entities.  In general, holding companies to which the rules apply are not small entities.</w:t>
      </w:r>
      <w:r w:rsidR="003C0867">
        <w:rPr>
          <w:rFonts w:ascii="Times New Roman" w:hAnsi="Times New Roman"/>
          <w:sz w:val="26"/>
          <w:szCs w:val="26"/>
        </w:rPr>
        <w:t xml:space="preserve"> </w:t>
      </w:r>
      <w:r w:rsidR="003C0867" w:rsidRPr="003C0867">
        <w:rPr>
          <w:rFonts w:ascii="Times New Roman" w:hAnsi="Times New Roman"/>
          <w:sz w:val="26"/>
          <w:szCs w:val="26"/>
        </w:rPr>
        <w:t xml:space="preserve">If the reporting requirements represent an undue burden on small businesses, the affected entity may seek a waiver of the reporting requirements from the Commission.  However, the Commission believes that the information collected on these forms is the minimum necessary to provide a meaningful review of financial conditions and would impose the least possible burden on entities.  </w:t>
      </w:r>
    </w:p>
    <w:p w14:paraId="21A2815D" w14:textId="77777777" w:rsidR="00040F9F" w:rsidRPr="00E9060E" w:rsidRDefault="00040F9F" w:rsidP="00BD0F89">
      <w:pPr>
        <w:spacing w:after="0" w:line="240" w:lineRule="auto"/>
        <w:rPr>
          <w:rFonts w:ascii="Times New Roman" w:eastAsia="Times New Roman" w:hAnsi="Times New Roman"/>
          <w:sz w:val="26"/>
          <w:szCs w:val="26"/>
        </w:rPr>
      </w:pPr>
    </w:p>
    <w:p w14:paraId="72499C0E" w14:textId="2B721CFD" w:rsidR="00BA412D" w:rsidRPr="00E9060E" w:rsidRDefault="00BA412D" w:rsidP="00BD0F89">
      <w:pPr>
        <w:spacing w:after="0" w:line="240" w:lineRule="auto"/>
        <w:rPr>
          <w:rFonts w:ascii="Times New Roman" w:hAnsi="Times New Roman"/>
          <w:sz w:val="26"/>
          <w:szCs w:val="26"/>
        </w:rPr>
      </w:pPr>
      <w:r w:rsidRPr="00E9060E">
        <w:rPr>
          <w:rFonts w:ascii="Times New Roman" w:eastAsia="Times New Roman" w:hAnsi="Times New Roman"/>
          <w:b/>
          <w:sz w:val="26"/>
          <w:szCs w:val="26"/>
        </w:rPr>
        <w:t>FERC</w:t>
      </w:r>
      <w:r w:rsidR="00EA5213" w:rsidRPr="00E9060E">
        <w:rPr>
          <w:rFonts w:ascii="Times New Roman" w:eastAsia="Times New Roman" w:hAnsi="Times New Roman"/>
          <w:b/>
          <w:sz w:val="26"/>
          <w:szCs w:val="26"/>
        </w:rPr>
        <w:t xml:space="preserve"> Form No. </w:t>
      </w:r>
      <w:r w:rsidRPr="00E9060E">
        <w:rPr>
          <w:rFonts w:ascii="Times New Roman" w:eastAsia="Times New Roman" w:hAnsi="Times New Roman"/>
          <w:b/>
          <w:sz w:val="26"/>
          <w:szCs w:val="26"/>
        </w:rPr>
        <w:t xml:space="preserve">714.  </w:t>
      </w:r>
      <w:r w:rsidR="00625D08" w:rsidRPr="00E9060E">
        <w:rPr>
          <w:rFonts w:ascii="Times New Roman" w:hAnsi="Times New Roman"/>
          <w:sz w:val="26"/>
          <w:szCs w:val="26"/>
        </w:rPr>
        <w:t>The</w:t>
      </w:r>
      <w:r w:rsidRPr="00E9060E">
        <w:rPr>
          <w:rFonts w:ascii="Times New Roman" w:hAnsi="Times New Roman"/>
          <w:sz w:val="26"/>
          <w:szCs w:val="26"/>
        </w:rPr>
        <w:t xml:space="preserve"> Commission requires each balancing authority area and each electric utility with its planning area annual peak demand greater than 200 megawatts (MW) </w:t>
      </w:r>
      <w:r w:rsidR="003C0867">
        <w:rPr>
          <w:rFonts w:ascii="Times New Roman" w:hAnsi="Times New Roman"/>
          <w:sz w:val="26"/>
          <w:szCs w:val="26"/>
        </w:rPr>
        <w:t xml:space="preserve">for the reporting year, </w:t>
      </w:r>
      <w:r w:rsidRPr="00E9060E">
        <w:rPr>
          <w:rFonts w:ascii="Times New Roman" w:hAnsi="Times New Roman"/>
          <w:sz w:val="26"/>
          <w:szCs w:val="26"/>
        </w:rPr>
        <w:t xml:space="preserve">to </w:t>
      </w:r>
      <w:r w:rsidR="003C0867">
        <w:rPr>
          <w:rFonts w:ascii="Times New Roman" w:hAnsi="Times New Roman"/>
          <w:sz w:val="26"/>
          <w:szCs w:val="26"/>
        </w:rPr>
        <w:t xml:space="preserve">file a FERC </w:t>
      </w:r>
      <w:r w:rsidRPr="00E9060E">
        <w:rPr>
          <w:rFonts w:ascii="Times New Roman" w:hAnsi="Times New Roman"/>
          <w:sz w:val="26"/>
          <w:szCs w:val="26"/>
        </w:rPr>
        <w:t>F</w:t>
      </w:r>
      <w:r w:rsidR="00F50DEC" w:rsidRPr="00E9060E">
        <w:rPr>
          <w:rFonts w:ascii="Times New Roman" w:hAnsi="Times New Roman"/>
          <w:sz w:val="26"/>
          <w:szCs w:val="26"/>
        </w:rPr>
        <w:t xml:space="preserve">orm No. </w:t>
      </w:r>
      <w:r w:rsidRPr="00E9060E">
        <w:rPr>
          <w:rFonts w:ascii="Times New Roman" w:hAnsi="Times New Roman"/>
          <w:sz w:val="26"/>
          <w:szCs w:val="26"/>
        </w:rPr>
        <w:t>714 as a means of reducing burden for small entities.  This 200 MW threshold can result in a slight variation year to year in the number of balancing authorities and planning areas that are required to file the FERC</w:t>
      </w:r>
      <w:r w:rsidR="003C0867">
        <w:rPr>
          <w:rFonts w:ascii="Times New Roman" w:hAnsi="Times New Roman"/>
          <w:sz w:val="26"/>
          <w:szCs w:val="26"/>
        </w:rPr>
        <w:t xml:space="preserve"> Form No. </w:t>
      </w:r>
      <w:r w:rsidRPr="00E9060E">
        <w:rPr>
          <w:rFonts w:ascii="Times New Roman" w:hAnsi="Times New Roman"/>
          <w:sz w:val="26"/>
          <w:szCs w:val="26"/>
        </w:rPr>
        <w:t xml:space="preserve">714.  Small entities may have personnel constraints, and a significant increase in burden may be caused by requiring these entities to submit the </w:t>
      </w:r>
      <w:r w:rsidR="005539AC">
        <w:rPr>
          <w:rFonts w:ascii="Times New Roman" w:hAnsi="Times New Roman"/>
          <w:sz w:val="26"/>
          <w:szCs w:val="26"/>
        </w:rPr>
        <w:t xml:space="preserve">FERC </w:t>
      </w:r>
      <w:r w:rsidRPr="00E9060E">
        <w:rPr>
          <w:rFonts w:ascii="Times New Roman" w:hAnsi="Times New Roman"/>
          <w:sz w:val="26"/>
          <w:szCs w:val="26"/>
        </w:rPr>
        <w:t>F</w:t>
      </w:r>
      <w:r w:rsidR="00F50DEC" w:rsidRPr="00E9060E">
        <w:rPr>
          <w:rFonts w:ascii="Times New Roman" w:hAnsi="Times New Roman"/>
          <w:sz w:val="26"/>
          <w:szCs w:val="26"/>
        </w:rPr>
        <w:t xml:space="preserve">orm No. </w:t>
      </w:r>
      <w:r w:rsidRPr="00E9060E">
        <w:rPr>
          <w:rFonts w:ascii="Times New Roman" w:hAnsi="Times New Roman"/>
          <w:sz w:val="26"/>
          <w:szCs w:val="26"/>
        </w:rPr>
        <w:t>714 filing</w:t>
      </w:r>
      <w:r w:rsidR="00F50DEC" w:rsidRPr="00E9060E">
        <w:rPr>
          <w:rFonts w:ascii="Times New Roman" w:hAnsi="Times New Roman"/>
          <w:sz w:val="26"/>
          <w:szCs w:val="26"/>
        </w:rPr>
        <w:t xml:space="preserve">.  Thus, </w:t>
      </w:r>
      <w:r w:rsidRPr="00E9060E">
        <w:rPr>
          <w:rFonts w:ascii="Times New Roman" w:hAnsi="Times New Roman"/>
          <w:sz w:val="26"/>
          <w:szCs w:val="26"/>
        </w:rPr>
        <w:t>setting a 200 MW threshold exempt</w:t>
      </w:r>
      <w:r w:rsidR="00F50DEC" w:rsidRPr="00E9060E">
        <w:rPr>
          <w:rFonts w:ascii="Times New Roman" w:hAnsi="Times New Roman"/>
          <w:sz w:val="26"/>
          <w:szCs w:val="26"/>
        </w:rPr>
        <w:t>s</w:t>
      </w:r>
      <w:r w:rsidRPr="00E9060E">
        <w:rPr>
          <w:rFonts w:ascii="Times New Roman" w:hAnsi="Times New Roman"/>
          <w:sz w:val="26"/>
          <w:szCs w:val="26"/>
        </w:rPr>
        <w:t xml:space="preserve"> many of these small entities from having to respond to this collection.</w:t>
      </w:r>
    </w:p>
    <w:p w14:paraId="0CF4CC09" w14:textId="77777777" w:rsidR="007D436E" w:rsidRPr="00E9060E" w:rsidRDefault="007D436E" w:rsidP="00BD0F89">
      <w:pPr>
        <w:spacing w:after="0" w:line="240" w:lineRule="auto"/>
        <w:rPr>
          <w:rFonts w:ascii="Times New Roman" w:eastAsia="Times New Roman" w:hAnsi="Times New Roman"/>
          <w:sz w:val="26"/>
          <w:szCs w:val="26"/>
        </w:rPr>
      </w:pPr>
    </w:p>
    <w:p w14:paraId="26442DFE"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CONSEQUENCE TO FEDERAL PROGRAM IF COLLECTION WERE CONDUCTED LESS FREQUENTLY</w:t>
      </w:r>
    </w:p>
    <w:p w14:paraId="20A53002" w14:textId="77777777" w:rsidR="00F0627E" w:rsidRPr="00E9060E" w:rsidRDefault="00F0627E" w:rsidP="00BD0F89">
      <w:pPr>
        <w:spacing w:after="0" w:line="240" w:lineRule="auto"/>
        <w:rPr>
          <w:rFonts w:ascii="Times New Roman" w:hAnsi="Times New Roman"/>
          <w:sz w:val="26"/>
          <w:szCs w:val="26"/>
        </w:rPr>
      </w:pPr>
    </w:p>
    <w:p w14:paraId="552FFD05" w14:textId="0A53DDE3" w:rsidR="007D436E" w:rsidRPr="00E9060E" w:rsidRDefault="00EA5213" w:rsidP="00BD0F89">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7D436E" w:rsidRPr="00E9060E">
        <w:rPr>
          <w:rFonts w:ascii="Times New Roman" w:hAnsi="Times New Roman"/>
          <w:b/>
          <w:sz w:val="26"/>
          <w:szCs w:val="26"/>
        </w:rPr>
        <w:t>Form</w:t>
      </w:r>
      <w:r w:rsidR="00295EB7" w:rsidRPr="00E9060E">
        <w:rPr>
          <w:rFonts w:ascii="Times New Roman" w:hAnsi="Times New Roman"/>
          <w:b/>
          <w:sz w:val="26"/>
          <w:szCs w:val="26"/>
        </w:rPr>
        <w:t xml:space="preserve"> Nos.</w:t>
      </w:r>
      <w:r w:rsidR="007D436E" w:rsidRPr="00E9060E">
        <w:rPr>
          <w:rFonts w:ascii="Times New Roman" w:hAnsi="Times New Roman"/>
          <w:b/>
          <w:sz w:val="26"/>
          <w:szCs w:val="26"/>
        </w:rPr>
        <w:t xml:space="preserve"> </w:t>
      </w:r>
      <w:r w:rsidR="00784459" w:rsidRPr="00E9060E">
        <w:rPr>
          <w:rFonts w:ascii="Times New Roman" w:hAnsi="Times New Roman"/>
          <w:b/>
          <w:sz w:val="26"/>
          <w:szCs w:val="26"/>
        </w:rPr>
        <w:t xml:space="preserve">1T, 1-FT, 3-QT (and </w:t>
      </w:r>
      <w:r w:rsidR="007D436E" w:rsidRPr="00E9060E">
        <w:rPr>
          <w:rFonts w:ascii="Times New Roman" w:hAnsi="Times New Roman"/>
          <w:b/>
          <w:sz w:val="26"/>
          <w:szCs w:val="26"/>
        </w:rPr>
        <w:t>1, 1-F, and 3-Q</w:t>
      </w:r>
      <w:r w:rsidR="00784459" w:rsidRPr="00E9060E">
        <w:rPr>
          <w:rFonts w:ascii="Times New Roman" w:hAnsi="Times New Roman"/>
          <w:b/>
          <w:sz w:val="26"/>
          <w:szCs w:val="26"/>
        </w:rPr>
        <w:t>)</w:t>
      </w:r>
      <w:r w:rsidR="007D436E" w:rsidRPr="00E9060E">
        <w:rPr>
          <w:rFonts w:ascii="Times New Roman" w:hAnsi="Times New Roman"/>
          <w:sz w:val="26"/>
          <w:szCs w:val="26"/>
        </w:rPr>
        <w:t>.  The existing Form</w:t>
      </w:r>
      <w:r w:rsidR="00F50DEC" w:rsidRPr="00E9060E">
        <w:rPr>
          <w:rFonts w:ascii="Times New Roman" w:hAnsi="Times New Roman"/>
          <w:sz w:val="26"/>
          <w:szCs w:val="26"/>
        </w:rPr>
        <w:t xml:space="preserve"> Nos.</w:t>
      </w:r>
      <w:r w:rsidR="007D436E" w:rsidRPr="00E9060E">
        <w:rPr>
          <w:rFonts w:ascii="Times New Roman" w:hAnsi="Times New Roman"/>
          <w:sz w:val="26"/>
          <w:szCs w:val="26"/>
        </w:rPr>
        <w:t xml:space="preserve"> 1 and 1-F are </w:t>
      </w:r>
      <w:r w:rsidR="007D436E" w:rsidRPr="004D31DD">
        <w:rPr>
          <w:rFonts w:ascii="Times New Roman" w:hAnsi="Times New Roman"/>
          <w:sz w:val="26"/>
          <w:szCs w:val="26"/>
        </w:rPr>
        <w:t>required</w:t>
      </w:r>
      <w:r w:rsidR="007D436E" w:rsidRPr="00E9060E">
        <w:rPr>
          <w:rFonts w:ascii="Times New Roman" w:hAnsi="Times New Roman"/>
          <w:sz w:val="26"/>
          <w:szCs w:val="26"/>
        </w:rPr>
        <w:t xml:space="preserve"> by the Commission to be submitted annually.  </w:t>
      </w:r>
      <w:r w:rsidR="00F50DEC" w:rsidRPr="00E9060E">
        <w:rPr>
          <w:rFonts w:ascii="Times New Roman" w:hAnsi="Times New Roman"/>
          <w:sz w:val="26"/>
          <w:szCs w:val="26"/>
        </w:rPr>
        <w:t>Annual r</w:t>
      </w:r>
      <w:r w:rsidR="007D436E" w:rsidRPr="00E9060E">
        <w:rPr>
          <w:rFonts w:ascii="Times New Roman" w:hAnsi="Times New Roman"/>
          <w:sz w:val="26"/>
          <w:szCs w:val="26"/>
        </w:rPr>
        <w:t>eporting is consistent with the reporting to the companies</w:t>
      </w:r>
      <w:r w:rsidR="00B80607">
        <w:rPr>
          <w:rFonts w:ascii="Times New Roman" w:hAnsi="Times New Roman"/>
          <w:sz w:val="26"/>
          <w:szCs w:val="26"/>
        </w:rPr>
        <w:t>’</w:t>
      </w:r>
      <w:r w:rsidR="007D436E" w:rsidRPr="00E9060E">
        <w:rPr>
          <w:rFonts w:ascii="Times New Roman" w:hAnsi="Times New Roman"/>
          <w:sz w:val="26"/>
          <w:szCs w:val="26"/>
        </w:rPr>
        <w:t xml:space="preserve"> own management, the Internal Revenue Service, state and other Federal agencies</w:t>
      </w:r>
      <w:r w:rsidR="00B80607">
        <w:rPr>
          <w:rFonts w:ascii="Times New Roman" w:hAnsi="Times New Roman"/>
          <w:sz w:val="26"/>
          <w:szCs w:val="26"/>
        </w:rPr>
        <w:t>’</w:t>
      </w:r>
      <w:r w:rsidR="007D436E" w:rsidRPr="00E9060E">
        <w:rPr>
          <w:rFonts w:ascii="Times New Roman" w:hAnsi="Times New Roman"/>
          <w:sz w:val="26"/>
          <w:szCs w:val="26"/>
        </w:rPr>
        <w:t xml:space="preserve"> (including Office of Management and Budget) requirements.</w:t>
      </w:r>
      <w:r w:rsidR="003C0867">
        <w:rPr>
          <w:rFonts w:ascii="Times New Roman" w:hAnsi="Times New Roman"/>
          <w:sz w:val="26"/>
          <w:szCs w:val="26"/>
        </w:rPr>
        <w:t xml:space="preserve">  </w:t>
      </w:r>
      <w:r w:rsidR="00F50DEC" w:rsidRPr="00E9060E">
        <w:rPr>
          <w:rFonts w:ascii="Times New Roman" w:hAnsi="Times New Roman"/>
          <w:sz w:val="26"/>
          <w:szCs w:val="26"/>
        </w:rPr>
        <w:t xml:space="preserve">The </w:t>
      </w:r>
      <w:r w:rsidR="005539AC">
        <w:rPr>
          <w:rFonts w:ascii="Times New Roman" w:hAnsi="Times New Roman"/>
          <w:sz w:val="26"/>
          <w:szCs w:val="26"/>
        </w:rPr>
        <w:t xml:space="preserve">FERC </w:t>
      </w:r>
      <w:r w:rsidR="00F50DEC" w:rsidRPr="00E9060E">
        <w:rPr>
          <w:rFonts w:ascii="Times New Roman" w:hAnsi="Times New Roman"/>
          <w:sz w:val="26"/>
          <w:szCs w:val="26"/>
        </w:rPr>
        <w:t xml:space="preserve">Form No. 3-Q filings provide quarterly updates to supplement the Form Nos 1, 1-F, 2, and </w:t>
      </w:r>
      <w:r w:rsidR="00AC3A31" w:rsidRPr="00E9060E">
        <w:rPr>
          <w:rFonts w:ascii="Times New Roman" w:hAnsi="Times New Roman"/>
          <w:sz w:val="26"/>
          <w:szCs w:val="26"/>
        </w:rPr>
        <w:t>2-A</w:t>
      </w:r>
      <w:r w:rsidR="001F7477" w:rsidRPr="00E9060E">
        <w:rPr>
          <w:rFonts w:ascii="Times New Roman" w:hAnsi="Times New Roman"/>
          <w:sz w:val="26"/>
          <w:szCs w:val="26"/>
        </w:rPr>
        <w:t>.  This quarterly information provides the Commission and the public with updated and timely information regarding a company’s financial and operational status</w:t>
      </w:r>
      <w:r w:rsidR="00F50DEC" w:rsidRPr="00E9060E">
        <w:rPr>
          <w:rFonts w:ascii="Times New Roman" w:hAnsi="Times New Roman"/>
          <w:sz w:val="26"/>
          <w:szCs w:val="26"/>
        </w:rPr>
        <w:t>.</w:t>
      </w:r>
      <w:r w:rsidR="001F7477" w:rsidRPr="00E9060E">
        <w:rPr>
          <w:rFonts w:ascii="Times New Roman" w:hAnsi="Times New Roman"/>
          <w:sz w:val="26"/>
          <w:szCs w:val="26"/>
        </w:rPr>
        <w:t xml:space="preserve">  If the collections were conducted less frequently, the Commission would have difficulty performing its mandated review responsibilities with respect to the assessment of the financial condition of public utilities and licensees</w:t>
      </w:r>
      <w:r w:rsidR="003C0867">
        <w:rPr>
          <w:rFonts w:ascii="Times New Roman" w:hAnsi="Times New Roman"/>
          <w:sz w:val="26"/>
          <w:szCs w:val="26"/>
        </w:rPr>
        <w:t xml:space="preserve"> </w:t>
      </w:r>
      <w:r w:rsidR="003C0867" w:rsidRPr="003C0867">
        <w:rPr>
          <w:rFonts w:ascii="Times New Roman" w:hAnsi="Times New Roman"/>
          <w:sz w:val="26"/>
          <w:szCs w:val="26"/>
        </w:rPr>
        <w:t xml:space="preserve">and the Commission and third parties would have difficulty responding to and making fully informed decisions in a timely manner particularly to rapidly changing financial conditions of entities subject to </w:t>
      </w:r>
      <w:r w:rsidR="00950E12">
        <w:rPr>
          <w:rFonts w:ascii="Times New Roman" w:hAnsi="Times New Roman"/>
          <w:sz w:val="26"/>
          <w:szCs w:val="26"/>
        </w:rPr>
        <w:t>the Commission’</w:t>
      </w:r>
      <w:r w:rsidR="003C0867" w:rsidRPr="003C0867">
        <w:rPr>
          <w:rFonts w:ascii="Times New Roman" w:hAnsi="Times New Roman"/>
          <w:sz w:val="26"/>
          <w:szCs w:val="26"/>
        </w:rPr>
        <w:t>s jurisdiction</w:t>
      </w:r>
      <w:r w:rsidR="001F7477" w:rsidRPr="00E9060E">
        <w:rPr>
          <w:rFonts w:ascii="Times New Roman" w:hAnsi="Times New Roman"/>
          <w:sz w:val="26"/>
          <w:szCs w:val="26"/>
        </w:rPr>
        <w:t>.</w:t>
      </w:r>
    </w:p>
    <w:p w14:paraId="09821ED7" w14:textId="77777777" w:rsidR="007D436E" w:rsidRPr="00E9060E" w:rsidRDefault="007D436E" w:rsidP="00BD0F89">
      <w:pPr>
        <w:spacing w:after="0" w:line="240" w:lineRule="auto"/>
        <w:rPr>
          <w:rFonts w:ascii="Times New Roman" w:hAnsi="Times New Roman"/>
          <w:b/>
          <w:sz w:val="26"/>
          <w:szCs w:val="26"/>
        </w:rPr>
      </w:pPr>
    </w:p>
    <w:p w14:paraId="5FE5E4E9" w14:textId="192471E1" w:rsidR="002C0DA6" w:rsidRPr="00E9060E" w:rsidRDefault="00EA5213" w:rsidP="001123D4">
      <w:pPr>
        <w:spacing w:line="240" w:lineRule="auto"/>
        <w:rPr>
          <w:rFonts w:ascii="Times New Roman" w:eastAsia="Times New Roman" w:hAnsi="Times New Roman"/>
          <w:sz w:val="26"/>
          <w:szCs w:val="26"/>
        </w:rPr>
      </w:pPr>
      <w:r w:rsidRPr="00E9060E">
        <w:rPr>
          <w:rFonts w:ascii="Times New Roman" w:hAnsi="Times New Roman"/>
          <w:b/>
          <w:sz w:val="26"/>
          <w:szCs w:val="26"/>
        </w:rPr>
        <w:t xml:space="preserve">FERC </w:t>
      </w:r>
      <w:r w:rsidR="002C0DA6" w:rsidRPr="00E9060E">
        <w:rPr>
          <w:rFonts w:ascii="Times New Roman" w:hAnsi="Times New Roman"/>
          <w:b/>
          <w:sz w:val="26"/>
          <w:szCs w:val="26"/>
        </w:rPr>
        <w:t>F</w:t>
      </w:r>
      <w:r w:rsidR="0003545C" w:rsidRPr="00E9060E">
        <w:rPr>
          <w:rFonts w:ascii="Times New Roman" w:hAnsi="Times New Roman"/>
          <w:b/>
          <w:sz w:val="26"/>
          <w:szCs w:val="26"/>
        </w:rPr>
        <w:t>orm</w:t>
      </w:r>
      <w:r w:rsidR="00295EB7" w:rsidRPr="00E9060E">
        <w:rPr>
          <w:rFonts w:ascii="Times New Roman" w:hAnsi="Times New Roman"/>
          <w:b/>
          <w:sz w:val="26"/>
          <w:szCs w:val="26"/>
        </w:rPr>
        <w:t xml:space="preserve"> Nos.</w:t>
      </w:r>
      <w:r w:rsidR="0003545C" w:rsidRPr="00E9060E">
        <w:rPr>
          <w:rFonts w:ascii="Times New Roman" w:hAnsi="Times New Roman"/>
          <w:b/>
          <w:sz w:val="26"/>
          <w:szCs w:val="26"/>
        </w:rPr>
        <w:t xml:space="preserve"> 2 and </w:t>
      </w:r>
      <w:r w:rsidR="00AC3A31" w:rsidRPr="00E9060E">
        <w:rPr>
          <w:rFonts w:ascii="Times New Roman" w:hAnsi="Times New Roman"/>
          <w:b/>
          <w:sz w:val="26"/>
          <w:szCs w:val="26"/>
        </w:rPr>
        <w:t>2-A</w:t>
      </w:r>
      <w:r w:rsidR="002C0DA6" w:rsidRPr="00E9060E">
        <w:rPr>
          <w:rFonts w:ascii="Times New Roman" w:hAnsi="Times New Roman"/>
          <w:b/>
          <w:sz w:val="26"/>
          <w:szCs w:val="26"/>
        </w:rPr>
        <w:t xml:space="preserve">.  </w:t>
      </w:r>
      <w:r w:rsidR="002C0DA6" w:rsidRPr="00E9060E">
        <w:rPr>
          <w:rFonts w:ascii="Times New Roman" w:eastAsia="Times New Roman" w:hAnsi="Times New Roman"/>
          <w:sz w:val="26"/>
          <w:szCs w:val="26"/>
        </w:rPr>
        <w:t xml:space="preserve">Annual reporting is consistent with </w:t>
      </w:r>
      <w:r w:rsidR="008B0858">
        <w:rPr>
          <w:rFonts w:ascii="Times New Roman" w:eastAsia="Times New Roman" w:hAnsi="Times New Roman"/>
          <w:sz w:val="26"/>
          <w:szCs w:val="26"/>
        </w:rPr>
        <w:t>companies’</w:t>
      </w:r>
      <w:r w:rsidR="002C0DA6" w:rsidRPr="00E9060E">
        <w:rPr>
          <w:rFonts w:ascii="Times New Roman" w:eastAsia="Times New Roman" w:hAnsi="Times New Roman"/>
          <w:sz w:val="26"/>
          <w:szCs w:val="26"/>
        </w:rPr>
        <w:t xml:space="preserve"> reporting  to their own management, the Internal Revenue Service, state and other Federal agencies.  </w:t>
      </w:r>
      <w:r w:rsidR="003C0867" w:rsidRPr="003C0867">
        <w:rPr>
          <w:rFonts w:ascii="Times New Roman" w:eastAsia="Times New Roman" w:hAnsi="Times New Roman"/>
          <w:sz w:val="26"/>
          <w:szCs w:val="26"/>
        </w:rPr>
        <w:t>If the collections were conducted less frequently, the Commission would have difficulty performing its mandated review responsibilities with respect to the assessment of the financial condition of public utilities and licensees</w:t>
      </w:r>
      <w:r w:rsidR="003C0867">
        <w:rPr>
          <w:rFonts w:ascii="Times New Roman" w:eastAsia="Times New Roman" w:hAnsi="Times New Roman"/>
          <w:sz w:val="26"/>
          <w:szCs w:val="26"/>
        </w:rPr>
        <w:t xml:space="preserve"> and </w:t>
      </w:r>
      <w:r w:rsidR="002C0DA6" w:rsidRPr="00E9060E">
        <w:rPr>
          <w:rFonts w:ascii="Times New Roman" w:eastAsia="Times New Roman" w:hAnsi="Times New Roman"/>
          <w:sz w:val="26"/>
          <w:szCs w:val="26"/>
        </w:rPr>
        <w:t xml:space="preserve">the Commission and third parties would </w:t>
      </w:r>
      <w:r w:rsidR="0003545C" w:rsidRPr="00E9060E">
        <w:rPr>
          <w:rFonts w:ascii="Times New Roman" w:eastAsia="Times New Roman" w:hAnsi="Times New Roman"/>
          <w:sz w:val="26"/>
          <w:szCs w:val="26"/>
        </w:rPr>
        <w:t>have difficulty</w:t>
      </w:r>
      <w:r w:rsidR="002C0DA6" w:rsidRPr="00E9060E">
        <w:rPr>
          <w:rFonts w:ascii="Times New Roman" w:eastAsia="Times New Roman" w:hAnsi="Times New Roman"/>
          <w:sz w:val="26"/>
          <w:szCs w:val="26"/>
        </w:rPr>
        <w:t xml:space="preserve"> respond</w:t>
      </w:r>
      <w:r w:rsidR="0003545C" w:rsidRPr="00E9060E">
        <w:rPr>
          <w:rFonts w:ascii="Times New Roman" w:eastAsia="Times New Roman" w:hAnsi="Times New Roman"/>
          <w:sz w:val="26"/>
          <w:szCs w:val="26"/>
        </w:rPr>
        <w:t>ing to</w:t>
      </w:r>
      <w:r w:rsidR="002C0DA6" w:rsidRPr="00E9060E">
        <w:rPr>
          <w:rFonts w:ascii="Times New Roman" w:eastAsia="Times New Roman" w:hAnsi="Times New Roman"/>
          <w:sz w:val="26"/>
          <w:szCs w:val="26"/>
        </w:rPr>
        <w:t xml:space="preserve"> and mak</w:t>
      </w:r>
      <w:r w:rsidR="0003545C" w:rsidRPr="00E9060E">
        <w:rPr>
          <w:rFonts w:ascii="Times New Roman" w:eastAsia="Times New Roman" w:hAnsi="Times New Roman"/>
          <w:sz w:val="26"/>
          <w:szCs w:val="26"/>
        </w:rPr>
        <w:t>ing</w:t>
      </w:r>
      <w:r w:rsidR="002C0DA6" w:rsidRPr="00E9060E">
        <w:rPr>
          <w:rFonts w:ascii="Times New Roman" w:eastAsia="Times New Roman" w:hAnsi="Times New Roman"/>
          <w:sz w:val="26"/>
          <w:szCs w:val="26"/>
        </w:rPr>
        <w:t xml:space="preserve"> full</w:t>
      </w:r>
      <w:r w:rsidR="0003545C" w:rsidRPr="00E9060E">
        <w:rPr>
          <w:rFonts w:ascii="Times New Roman" w:eastAsia="Times New Roman" w:hAnsi="Times New Roman"/>
          <w:sz w:val="26"/>
          <w:szCs w:val="26"/>
        </w:rPr>
        <w:t>y</w:t>
      </w:r>
      <w:r w:rsidR="002C0DA6" w:rsidRPr="00E9060E">
        <w:rPr>
          <w:rFonts w:ascii="Times New Roman" w:eastAsia="Times New Roman" w:hAnsi="Times New Roman"/>
          <w:sz w:val="26"/>
          <w:szCs w:val="26"/>
        </w:rPr>
        <w:t xml:space="preserve"> informed decisions in a timely manner particularly to rapidly changing financial conditions of entities subject to </w:t>
      </w:r>
      <w:r w:rsidR="00950E12">
        <w:rPr>
          <w:rFonts w:ascii="Times New Roman" w:eastAsia="Times New Roman" w:hAnsi="Times New Roman"/>
          <w:sz w:val="26"/>
          <w:szCs w:val="26"/>
        </w:rPr>
        <w:t>the Commission’s</w:t>
      </w:r>
      <w:r w:rsidR="002C0DA6" w:rsidRPr="00E9060E">
        <w:rPr>
          <w:rFonts w:ascii="Times New Roman" w:eastAsia="Times New Roman" w:hAnsi="Times New Roman"/>
          <w:sz w:val="26"/>
          <w:szCs w:val="26"/>
        </w:rPr>
        <w:t xml:space="preserve"> jurisdiction.</w:t>
      </w:r>
    </w:p>
    <w:p w14:paraId="118BB170" w14:textId="4E74104D" w:rsidR="00C443EF" w:rsidRPr="00E9060E" w:rsidRDefault="00EA5213"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FERC </w:t>
      </w:r>
      <w:r w:rsidR="004F0530" w:rsidRPr="00E9060E">
        <w:rPr>
          <w:rFonts w:ascii="Times New Roman" w:hAnsi="Times New Roman"/>
          <w:b/>
          <w:sz w:val="26"/>
          <w:szCs w:val="26"/>
        </w:rPr>
        <w:t>F</w:t>
      </w:r>
      <w:r w:rsidR="0003545C" w:rsidRPr="00E9060E">
        <w:rPr>
          <w:rFonts w:ascii="Times New Roman" w:hAnsi="Times New Roman"/>
          <w:b/>
          <w:sz w:val="26"/>
          <w:szCs w:val="26"/>
        </w:rPr>
        <w:t>orm</w:t>
      </w:r>
      <w:r w:rsidR="00295EB7" w:rsidRPr="00E9060E">
        <w:rPr>
          <w:rFonts w:ascii="Times New Roman" w:hAnsi="Times New Roman"/>
          <w:b/>
          <w:sz w:val="26"/>
          <w:szCs w:val="26"/>
        </w:rPr>
        <w:t xml:space="preserve"> Nos.</w:t>
      </w:r>
      <w:r w:rsidR="00293111" w:rsidRPr="00E9060E">
        <w:rPr>
          <w:rFonts w:ascii="Times New Roman" w:hAnsi="Times New Roman"/>
          <w:b/>
          <w:sz w:val="26"/>
          <w:szCs w:val="26"/>
        </w:rPr>
        <w:t xml:space="preserve"> </w:t>
      </w:r>
      <w:r w:rsidR="00784459" w:rsidRPr="00E9060E">
        <w:rPr>
          <w:rFonts w:ascii="Times New Roman" w:hAnsi="Times New Roman"/>
          <w:b/>
          <w:sz w:val="26"/>
          <w:szCs w:val="26"/>
        </w:rPr>
        <w:t xml:space="preserve">6T and 6-QT (and </w:t>
      </w:r>
      <w:r w:rsidR="004F0530" w:rsidRPr="00E9060E">
        <w:rPr>
          <w:rFonts w:ascii="Times New Roman" w:hAnsi="Times New Roman"/>
          <w:b/>
          <w:sz w:val="26"/>
          <w:szCs w:val="26"/>
        </w:rPr>
        <w:t xml:space="preserve">6 and </w:t>
      </w:r>
      <w:r w:rsidR="00AC3A31" w:rsidRPr="00E9060E">
        <w:rPr>
          <w:rFonts w:ascii="Times New Roman" w:hAnsi="Times New Roman"/>
          <w:b/>
          <w:sz w:val="26"/>
          <w:szCs w:val="26"/>
        </w:rPr>
        <w:t>6-Q</w:t>
      </w:r>
      <w:r w:rsidR="00784459" w:rsidRPr="00E9060E">
        <w:rPr>
          <w:rFonts w:ascii="Times New Roman" w:hAnsi="Times New Roman"/>
          <w:b/>
          <w:sz w:val="26"/>
          <w:szCs w:val="26"/>
        </w:rPr>
        <w:t>)</w:t>
      </w:r>
      <w:r w:rsidR="004F0530" w:rsidRPr="00E9060E">
        <w:rPr>
          <w:rFonts w:ascii="Times New Roman" w:hAnsi="Times New Roman"/>
          <w:b/>
          <w:sz w:val="26"/>
          <w:szCs w:val="26"/>
        </w:rPr>
        <w:t>.</w:t>
      </w:r>
      <w:r w:rsidR="004F0530" w:rsidRPr="00E9060E">
        <w:rPr>
          <w:rFonts w:ascii="Times New Roman" w:hAnsi="Times New Roman"/>
          <w:sz w:val="26"/>
          <w:szCs w:val="26"/>
        </w:rPr>
        <w:t xml:space="preserve">  The Commission is authorized by statute to collect this information on an annual </w:t>
      </w:r>
      <w:r w:rsidR="00EC66AC" w:rsidRPr="00E9060E">
        <w:rPr>
          <w:rFonts w:ascii="Times New Roman" w:hAnsi="Times New Roman"/>
          <w:sz w:val="26"/>
          <w:szCs w:val="26"/>
        </w:rPr>
        <w:t xml:space="preserve">and quarterly </w:t>
      </w:r>
      <w:r w:rsidR="004F0530" w:rsidRPr="00E9060E">
        <w:rPr>
          <w:rFonts w:ascii="Times New Roman" w:hAnsi="Times New Roman"/>
          <w:sz w:val="26"/>
          <w:szCs w:val="26"/>
        </w:rPr>
        <w:t>basis.  If the collection</w:t>
      </w:r>
      <w:r w:rsidR="00EC66AC" w:rsidRPr="00E9060E">
        <w:rPr>
          <w:rFonts w:ascii="Times New Roman" w:hAnsi="Times New Roman"/>
          <w:sz w:val="26"/>
          <w:szCs w:val="26"/>
        </w:rPr>
        <w:t>s</w:t>
      </w:r>
      <w:r w:rsidR="004F0530" w:rsidRPr="00E9060E">
        <w:rPr>
          <w:rFonts w:ascii="Times New Roman" w:hAnsi="Times New Roman"/>
          <w:sz w:val="26"/>
          <w:szCs w:val="26"/>
        </w:rPr>
        <w:t xml:space="preserve"> were conducted less frequently, the Commission would </w:t>
      </w:r>
      <w:r w:rsidR="0003545C" w:rsidRPr="00E9060E">
        <w:rPr>
          <w:rFonts w:ascii="Times New Roman" w:hAnsi="Times New Roman"/>
          <w:sz w:val="26"/>
          <w:szCs w:val="26"/>
        </w:rPr>
        <w:t>have difficulty</w:t>
      </w:r>
      <w:r w:rsidR="004F0530" w:rsidRPr="00E9060E">
        <w:rPr>
          <w:rFonts w:ascii="Times New Roman" w:hAnsi="Times New Roman"/>
          <w:sz w:val="26"/>
          <w:szCs w:val="26"/>
        </w:rPr>
        <w:t xml:space="preserve"> perform</w:t>
      </w:r>
      <w:r w:rsidR="0003545C" w:rsidRPr="00E9060E">
        <w:rPr>
          <w:rFonts w:ascii="Times New Roman" w:hAnsi="Times New Roman"/>
          <w:sz w:val="26"/>
          <w:szCs w:val="26"/>
        </w:rPr>
        <w:t>ing</w:t>
      </w:r>
      <w:r w:rsidR="004F0530" w:rsidRPr="00E9060E">
        <w:rPr>
          <w:rFonts w:ascii="Times New Roman" w:hAnsi="Times New Roman"/>
          <w:sz w:val="26"/>
          <w:szCs w:val="26"/>
        </w:rPr>
        <w:t xml:space="preserve"> its mandated review responsibilities with respect to the assessment of the financial conditions of oil pipeline companies. </w:t>
      </w:r>
      <w:r w:rsidR="00600A02" w:rsidRPr="00E9060E">
        <w:rPr>
          <w:rFonts w:ascii="Times New Roman" w:hAnsi="Times New Roman"/>
          <w:sz w:val="26"/>
          <w:szCs w:val="26"/>
        </w:rPr>
        <w:t xml:space="preserve"> </w:t>
      </w:r>
      <w:r w:rsidR="004F0530" w:rsidRPr="00E9060E">
        <w:rPr>
          <w:rFonts w:ascii="Times New Roman" w:hAnsi="Times New Roman"/>
          <w:sz w:val="26"/>
          <w:szCs w:val="26"/>
        </w:rPr>
        <w:t xml:space="preserve">The continued use of the </w:t>
      </w:r>
      <w:r w:rsidR="00EC66AC" w:rsidRPr="00E9060E">
        <w:rPr>
          <w:rFonts w:ascii="Times New Roman" w:hAnsi="Times New Roman"/>
          <w:sz w:val="26"/>
          <w:szCs w:val="26"/>
        </w:rPr>
        <w:t>information collections</w:t>
      </w:r>
      <w:r w:rsidR="004F0530" w:rsidRPr="00E9060E">
        <w:rPr>
          <w:rFonts w:ascii="Times New Roman" w:hAnsi="Times New Roman"/>
          <w:sz w:val="26"/>
          <w:szCs w:val="26"/>
        </w:rPr>
        <w:t xml:space="preserve"> ensure</w:t>
      </w:r>
      <w:r w:rsidR="00EC66AC" w:rsidRPr="00E9060E">
        <w:rPr>
          <w:rFonts w:ascii="Times New Roman" w:hAnsi="Times New Roman"/>
          <w:sz w:val="26"/>
          <w:szCs w:val="26"/>
        </w:rPr>
        <w:t>s</w:t>
      </w:r>
      <w:r w:rsidR="004F0530" w:rsidRPr="00E9060E">
        <w:rPr>
          <w:rFonts w:ascii="Times New Roman" w:hAnsi="Times New Roman"/>
          <w:sz w:val="26"/>
          <w:szCs w:val="26"/>
        </w:rPr>
        <w:t xml:space="preserve"> that the Commission has the financial, operational, and ratemaking information needed to carry out its regulatory responsibilities to monitor the oil pipeline industry.</w:t>
      </w:r>
    </w:p>
    <w:p w14:paraId="3722D3A7" w14:textId="77777777" w:rsidR="00C57F88" w:rsidRPr="00E9060E" w:rsidRDefault="00C57F88" w:rsidP="00C57F88">
      <w:pPr>
        <w:spacing w:after="0" w:line="240" w:lineRule="auto"/>
        <w:rPr>
          <w:rFonts w:ascii="Times New Roman" w:hAnsi="Times New Roman"/>
          <w:b/>
          <w:sz w:val="26"/>
          <w:szCs w:val="26"/>
        </w:rPr>
      </w:pPr>
    </w:p>
    <w:p w14:paraId="0AF45BEF" w14:textId="7E2363EF" w:rsidR="00950E12" w:rsidRPr="00950E12" w:rsidRDefault="00EA5213" w:rsidP="001123D4">
      <w:pPr>
        <w:spacing w:after="0" w:line="240" w:lineRule="auto"/>
        <w:rPr>
          <w:rFonts w:ascii="Times New Roman" w:eastAsiaTheme="minorHAnsi" w:hAnsi="Times New Roman"/>
          <w:sz w:val="26"/>
          <w:szCs w:val="26"/>
        </w:rPr>
      </w:pPr>
      <w:r w:rsidRPr="00E9060E">
        <w:rPr>
          <w:rFonts w:ascii="Times New Roman" w:hAnsi="Times New Roman"/>
          <w:b/>
          <w:sz w:val="26"/>
          <w:szCs w:val="26"/>
        </w:rPr>
        <w:t xml:space="preserve">FERC </w:t>
      </w:r>
      <w:r w:rsidR="00C57F88" w:rsidRPr="00E9060E">
        <w:rPr>
          <w:rFonts w:ascii="Times New Roman" w:hAnsi="Times New Roman"/>
          <w:b/>
          <w:sz w:val="26"/>
          <w:szCs w:val="26"/>
        </w:rPr>
        <w:t xml:space="preserve">Form </w:t>
      </w:r>
      <w:r w:rsidRPr="00E9060E">
        <w:rPr>
          <w:rFonts w:ascii="Times New Roman" w:hAnsi="Times New Roman"/>
          <w:b/>
          <w:sz w:val="26"/>
          <w:szCs w:val="26"/>
        </w:rPr>
        <w:t xml:space="preserve">No. </w:t>
      </w:r>
      <w:r w:rsidR="00C57F88" w:rsidRPr="00E9060E">
        <w:rPr>
          <w:rFonts w:ascii="Times New Roman" w:hAnsi="Times New Roman"/>
          <w:b/>
          <w:sz w:val="26"/>
          <w:szCs w:val="26"/>
        </w:rPr>
        <w:t>60A</w:t>
      </w:r>
      <w:r w:rsidR="00784459" w:rsidRPr="00E9060E">
        <w:rPr>
          <w:rFonts w:ascii="Times New Roman" w:hAnsi="Times New Roman"/>
          <w:b/>
          <w:sz w:val="26"/>
          <w:szCs w:val="26"/>
        </w:rPr>
        <w:t xml:space="preserve"> (and 60)</w:t>
      </w:r>
      <w:r w:rsidR="00C57F88" w:rsidRPr="00E9060E">
        <w:rPr>
          <w:rFonts w:ascii="Times New Roman" w:hAnsi="Times New Roman"/>
          <w:b/>
          <w:sz w:val="26"/>
          <w:szCs w:val="26"/>
        </w:rPr>
        <w:t xml:space="preserve">.  </w:t>
      </w:r>
      <w:r w:rsidR="00950E12" w:rsidRPr="00950E12">
        <w:rPr>
          <w:rFonts w:ascii="Times New Roman" w:eastAsiaTheme="minorHAnsi" w:hAnsi="Times New Roman"/>
          <w:sz w:val="26"/>
          <w:szCs w:val="26"/>
        </w:rPr>
        <w:t>Data from the FERC Form No. 60 provide</w:t>
      </w:r>
      <w:r w:rsidR="00950E12">
        <w:rPr>
          <w:rFonts w:ascii="Times New Roman" w:eastAsiaTheme="minorHAnsi" w:hAnsi="Times New Roman"/>
          <w:sz w:val="26"/>
          <w:szCs w:val="26"/>
        </w:rPr>
        <w:t>s</w:t>
      </w:r>
      <w:r w:rsidR="00950E12" w:rsidRPr="00950E12">
        <w:rPr>
          <w:rFonts w:ascii="Times New Roman" w:eastAsiaTheme="minorHAnsi" w:hAnsi="Times New Roman"/>
          <w:sz w:val="26"/>
          <w:szCs w:val="26"/>
        </w:rPr>
        <w:t xml:space="preserve"> a level of transparency that: </w:t>
      </w:r>
      <w:r w:rsidR="00ED465A">
        <w:rPr>
          <w:rFonts w:ascii="Times New Roman" w:eastAsiaTheme="minorHAnsi" w:hAnsi="Times New Roman"/>
          <w:sz w:val="26"/>
          <w:szCs w:val="26"/>
        </w:rPr>
        <w:t xml:space="preserve"> (</w:t>
      </w:r>
      <w:r w:rsidR="00950E12" w:rsidRPr="00950E12">
        <w:rPr>
          <w:rFonts w:ascii="Times New Roman" w:eastAsiaTheme="minorHAnsi" w:hAnsi="Times New Roman"/>
          <w:sz w:val="26"/>
          <w:szCs w:val="26"/>
        </w:rPr>
        <w:t xml:space="preserve">1) helps protect ratepayers from pass-through of improper service company costs,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 xml:space="preserve">2) enables the Commission to review and determine cost allocations (among holding company members) for certain non-power goods and services,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 xml:space="preserve">3) aids the Commission in meeting its oversight and market monitoring obligations, and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4) benefits the public, both as ratepayers and investors.  In addition, the Commission use</w:t>
      </w:r>
      <w:r w:rsidR="00950E12">
        <w:rPr>
          <w:rFonts w:ascii="Times New Roman" w:eastAsiaTheme="minorHAnsi" w:hAnsi="Times New Roman"/>
          <w:sz w:val="26"/>
          <w:szCs w:val="26"/>
        </w:rPr>
        <w:t>s</w:t>
      </w:r>
      <w:r w:rsidR="00950E12" w:rsidRPr="00950E12">
        <w:rPr>
          <w:rFonts w:ascii="Times New Roman" w:eastAsiaTheme="minorHAnsi" w:hAnsi="Times New Roman"/>
          <w:sz w:val="26"/>
          <w:szCs w:val="26"/>
        </w:rPr>
        <w:t xml:space="preserve"> these records during compliance reviews and special analyses.  If data from the FERC Form No. 60 and FERC-61 were collected less frequently, the Commission would have difficulty performing is mandated review responsibilities and would have fewer of the regulatory mechanisms necessary to ensure transparency, protect ratepayers, and confirm that rates are just and reasonable.  </w:t>
      </w:r>
    </w:p>
    <w:p w14:paraId="4E1E8FD3" w14:textId="145D8661" w:rsidR="00C57F88" w:rsidRPr="00E9060E" w:rsidRDefault="00C57F88" w:rsidP="00C57F88">
      <w:pPr>
        <w:spacing w:after="0" w:line="240" w:lineRule="auto"/>
        <w:rPr>
          <w:rFonts w:ascii="Times New Roman" w:hAnsi="Times New Roman"/>
          <w:sz w:val="26"/>
          <w:szCs w:val="26"/>
        </w:rPr>
      </w:pPr>
    </w:p>
    <w:p w14:paraId="7776F4E6" w14:textId="0828F513" w:rsidR="00C443EF" w:rsidRPr="00E9060E" w:rsidRDefault="00C443EF" w:rsidP="00A25906">
      <w:pPr>
        <w:spacing w:after="0" w:line="240" w:lineRule="auto"/>
        <w:rPr>
          <w:rFonts w:ascii="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 xml:space="preserve">714.  </w:t>
      </w:r>
      <w:r w:rsidRPr="00E9060E">
        <w:rPr>
          <w:rFonts w:ascii="Times New Roman" w:hAnsi="Times New Roman"/>
          <w:sz w:val="26"/>
          <w:szCs w:val="26"/>
        </w:rPr>
        <w:t xml:space="preserve">The </w:t>
      </w:r>
      <w:r w:rsidR="00427C6E" w:rsidRPr="00E9060E">
        <w:rPr>
          <w:rFonts w:ascii="Times New Roman" w:hAnsi="Times New Roman"/>
          <w:sz w:val="26"/>
          <w:szCs w:val="26"/>
        </w:rPr>
        <w:t xml:space="preserve">FERC-714 </w:t>
      </w:r>
      <w:r w:rsidRPr="00E9060E">
        <w:rPr>
          <w:rFonts w:ascii="Times New Roman" w:hAnsi="Times New Roman"/>
          <w:sz w:val="26"/>
          <w:szCs w:val="26"/>
        </w:rPr>
        <w:t>information collected is used on a continual basis by:</w:t>
      </w:r>
      <w:r w:rsidR="00B75C18" w:rsidRPr="00E9060E">
        <w:rPr>
          <w:rFonts w:ascii="Times New Roman" w:hAnsi="Times New Roman"/>
          <w:sz w:val="26"/>
          <w:szCs w:val="26"/>
        </w:rPr>
        <w:t xml:space="preserve"> (1) </w:t>
      </w:r>
      <w:r w:rsidRPr="00E9060E">
        <w:rPr>
          <w:rFonts w:ascii="Times New Roman" w:hAnsi="Times New Roman"/>
          <w:sz w:val="26"/>
          <w:szCs w:val="26"/>
        </w:rPr>
        <w:t>the Commission to review rates and charges, reliability issues and market structure relationships;</w:t>
      </w:r>
      <w:r w:rsidR="00B75C18" w:rsidRPr="00E9060E">
        <w:rPr>
          <w:rFonts w:ascii="Times New Roman" w:hAnsi="Times New Roman"/>
          <w:sz w:val="26"/>
          <w:szCs w:val="26"/>
        </w:rPr>
        <w:t xml:space="preserve"> (2) </w:t>
      </w:r>
      <w:r w:rsidRPr="00E9060E">
        <w:rPr>
          <w:rFonts w:ascii="Times New Roman" w:hAnsi="Times New Roman"/>
          <w:sz w:val="26"/>
          <w:szCs w:val="26"/>
        </w:rPr>
        <w:t>the U.S. Environmental Protection Agency to monitor the environmental impacts of electric generation as the power industry has become more competitive;</w:t>
      </w:r>
      <w:r w:rsidR="00B75C18" w:rsidRPr="00E9060E">
        <w:rPr>
          <w:rFonts w:ascii="Times New Roman" w:hAnsi="Times New Roman"/>
          <w:sz w:val="26"/>
          <w:szCs w:val="26"/>
        </w:rPr>
        <w:t xml:space="preserve"> (3) </w:t>
      </w:r>
      <w:r w:rsidRPr="00E9060E">
        <w:rPr>
          <w:rFonts w:ascii="Times New Roman" w:hAnsi="Times New Roman"/>
          <w:sz w:val="26"/>
          <w:szCs w:val="26"/>
        </w:rPr>
        <w:t>the U.S. Energy Information Administration to model various electricity markets; and</w:t>
      </w:r>
      <w:r w:rsidR="00B75C18" w:rsidRPr="00E9060E">
        <w:rPr>
          <w:rFonts w:ascii="Times New Roman" w:hAnsi="Times New Roman"/>
          <w:sz w:val="26"/>
          <w:szCs w:val="26"/>
        </w:rPr>
        <w:t xml:space="preserve"> (4) </w:t>
      </w:r>
      <w:r w:rsidRPr="00E9060E">
        <w:rPr>
          <w:rFonts w:ascii="Times New Roman" w:hAnsi="Times New Roman"/>
          <w:sz w:val="26"/>
          <w:szCs w:val="26"/>
        </w:rPr>
        <w:t>other federal and state regulatory authorities, market participants and the public to access and monitor the wholesale electric market and to determine the competitive impacts of proposed mergers and acquisitions.</w:t>
      </w:r>
    </w:p>
    <w:p w14:paraId="299E1730" w14:textId="77777777" w:rsidR="00C443EF" w:rsidRPr="00E9060E" w:rsidRDefault="00C443EF" w:rsidP="00A25906">
      <w:pPr>
        <w:spacing w:after="0" w:line="240" w:lineRule="auto"/>
        <w:rPr>
          <w:rFonts w:ascii="Times New Roman" w:hAnsi="Times New Roman"/>
          <w:sz w:val="26"/>
          <w:szCs w:val="26"/>
        </w:rPr>
      </w:pPr>
    </w:p>
    <w:p w14:paraId="38370DCD" w14:textId="689301AC" w:rsidR="007D436E" w:rsidRPr="00E9060E" w:rsidRDefault="00C443EF" w:rsidP="00A25906">
      <w:pPr>
        <w:spacing w:after="0" w:line="240" w:lineRule="auto"/>
        <w:rPr>
          <w:rFonts w:ascii="Times New Roman" w:hAnsi="Times New Roman"/>
          <w:sz w:val="26"/>
          <w:szCs w:val="26"/>
        </w:rPr>
      </w:pPr>
      <w:r w:rsidRPr="00E9060E">
        <w:rPr>
          <w:rFonts w:ascii="Times New Roman" w:hAnsi="Times New Roman"/>
          <w:sz w:val="26"/>
          <w:szCs w:val="26"/>
        </w:rPr>
        <w:t xml:space="preserve">Some of the information in particular filings may change markedly from one year to the next.  If the information were collected less frequently, the Commission would </w:t>
      </w:r>
      <w:r w:rsidR="0003545C" w:rsidRPr="00E9060E">
        <w:rPr>
          <w:rFonts w:ascii="Times New Roman" w:hAnsi="Times New Roman"/>
          <w:sz w:val="26"/>
          <w:szCs w:val="26"/>
        </w:rPr>
        <w:t xml:space="preserve">have difficulty </w:t>
      </w:r>
      <w:r w:rsidRPr="00E9060E">
        <w:rPr>
          <w:rFonts w:ascii="Times New Roman" w:hAnsi="Times New Roman"/>
          <w:sz w:val="26"/>
          <w:szCs w:val="26"/>
        </w:rPr>
        <w:t>perform</w:t>
      </w:r>
      <w:r w:rsidR="0003545C" w:rsidRPr="00E9060E">
        <w:rPr>
          <w:rFonts w:ascii="Times New Roman" w:hAnsi="Times New Roman"/>
          <w:sz w:val="26"/>
          <w:szCs w:val="26"/>
        </w:rPr>
        <w:t>ing</w:t>
      </w:r>
      <w:r w:rsidRPr="00E9060E">
        <w:rPr>
          <w:rFonts w:ascii="Times New Roman" w:hAnsi="Times New Roman"/>
          <w:sz w:val="26"/>
          <w:szCs w:val="26"/>
        </w:rPr>
        <w:t xml:space="preserve"> its mandated review and oversight in a timely and accurate manner.</w:t>
      </w:r>
      <w:r w:rsidR="00B75C18" w:rsidRPr="00E9060E">
        <w:rPr>
          <w:rFonts w:ascii="Times New Roman" w:hAnsi="Times New Roman"/>
          <w:sz w:val="26"/>
          <w:szCs w:val="26"/>
        </w:rPr>
        <w:t xml:space="preserve">  </w:t>
      </w:r>
    </w:p>
    <w:p w14:paraId="3319550E" w14:textId="77777777" w:rsidR="00F0627E" w:rsidRPr="00E9060E" w:rsidRDefault="00F0627E" w:rsidP="00BD0F89">
      <w:pPr>
        <w:spacing w:after="0" w:line="240" w:lineRule="auto"/>
        <w:rPr>
          <w:rFonts w:ascii="Times New Roman" w:hAnsi="Times New Roman"/>
          <w:sz w:val="26"/>
          <w:szCs w:val="26"/>
        </w:rPr>
      </w:pPr>
    </w:p>
    <w:p w14:paraId="6DE0BCEB"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SPECIAL CIRCUMSTANCES RELATING TO THE INFORMATION COLLECTION</w:t>
      </w:r>
    </w:p>
    <w:p w14:paraId="61BC8479" w14:textId="77777777" w:rsidR="00F0627E" w:rsidRPr="00E9060E" w:rsidRDefault="00F0627E" w:rsidP="00BD0F89">
      <w:pPr>
        <w:spacing w:after="0" w:line="240" w:lineRule="auto"/>
        <w:rPr>
          <w:rFonts w:ascii="Times New Roman" w:hAnsi="Times New Roman"/>
          <w:sz w:val="26"/>
          <w:szCs w:val="26"/>
        </w:rPr>
      </w:pPr>
    </w:p>
    <w:p w14:paraId="1832EE9A"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There are no special circumstances related to th</w:t>
      </w:r>
      <w:r w:rsidR="00EC66AC" w:rsidRPr="00E9060E">
        <w:rPr>
          <w:rFonts w:ascii="Times New Roman" w:hAnsi="Times New Roman"/>
          <w:sz w:val="26"/>
          <w:szCs w:val="26"/>
        </w:rPr>
        <w:t>ese</w:t>
      </w:r>
      <w:r w:rsidRPr="00E9060E">
        <w:rPr>
          <w:rFonts w:ascii="Times New Roman" w:hAnsi="Times New Roman"/>
          <w:sz w:val="26"/>
          <w:szCs w:val="26"/>
        </w:rPr>
        <w:t xml:space="preserve"> information collection</w:t>
      </w:r>
      <w:r w:rsidR="00EC66AC" w:rsidRPr="00E9060E">
        <w:rPr>
          <w:rFonts w:ascii="Times New Roman" w:hAnsi="Times New Roman"/>
          <w:sz w:val="26"/>
          <w:szCs w:val="26"/>
        </w:rPr>
        <w:t>s</w:t>
      </w:r>
      <w:r w:rsidR="001F56F4" w:rsidRPr="00E9060E">
        <w:rPr>
          <w:rFonts w:ascii="Times New Roman" w:hAnsi="Times New Roman"/>
          <w:sz w:val="26"/>
          <w:szCs w:val="26"/>
        </w:rPr>
        <w:t>, other than those mentioned below</w:t>
      </w:r>
      <w:r w:rsidRPr="00E9060E">
        <w:rPr>
          <w:rFonts w:ascii="Times New Roman" w:hAnsi="Times New Roman"/>
          <w:sz w:val="26"/>
          <w:szCs w:val="26"/>
        </w:rPr>
        <w:t>.</w:t>
      </w:r>
    </w:p>
    <w:p w14:paraId="74F838D9" w14:textId="77777777" w:rsidR="00517EC0" w:rsidRPr="00E9060E" w:rsidRDefault="00517EC0" w:rsidP="00BD0F89">
      <w:pPr>
        <w:spacing w:after="0" w:line="240" w:lineRule="auto"/>
        <w:ind w:left="360" w:hanging="360"/>
        <w:rPr>
          <w:rFonts w:ascii="Times New Roman" w:hAnsi="Times New Roman"/>
          <w:sz w:val="26"/>
          <w:szCs w:val="26"/>
        </w:rPr>
      </w:pPr>
    </w:p>
    <w:p w14:paraId="71A9D1CB" w14:textId="2EBDCF72" w:rsidR="00517EC0" w:rsidRPr="00E9060E" w:rsidRDefault="00517EC0" w:rsidP="00A96327">
      <w:pPr>
        <w:spacing w:after="0" w:line="240" w:lineRule="auto"/>
        <w:rPr>
          <w:rFonts w:ascii="Times New Roman" w:eastAsia="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60</w:t>
      </w:r>
      <w:r w:rsidR="00427C6E" w:rsidRPr="00E9060E">
        <w:rPr>
          <w:rFonts w:ascii="Times New Roman" w:hAnsi="Times New Roman"/>
          <w:b/>
          <w:sz w:val="26"/>
          <w:szCs w:val="26"/>
        </w:rPr>
        <w:t>A</w:t>
      </w:r>
      <w:r w:rsidR="00784459" w:rsidRPr="00E9060E">
        <w:rPr>
          <w:rFonts w:ascii="Times New Roman" w:hAnsi="Times New Roman"/>
          <w:b/>
          <w:sz w:val="26"/>
          <w:szCs w:val="26"/>
        </w:rPr>
        <w:t xml:space="preserve"> (and 60)</w:t>
      </w:r>
      <w:r w:rsidRPr="00E9060E">
        <w:rPr>
          <w:rFonts w:ascii="Times New Roman" w:hAnsi="Times New Roman"/>
          <w:b/>
          <w:sz w:val="26"/>
          <w:szCs w:val="26"/>
        </w:rPr>
        <w:t xml:space="preserve">.  </w:t>
      </w:r>
      <w:r w:rsidRPr="00E9060E">
        <w:rPr>
          <w:rFonts w:ascii="Times New Roman" w:hAnsi="Times New Roman"/>
          <w:sz w:val="26"/>
          <w:szCs w:val="26"/>
        </w:rPr>
        <w:t xml:space="preserve">The Commission assumed responsibility for the </w:t>
      </w:r>
      <w:r w:rsidR="005539AC">
        <w:rPr>
          <w:rFonts w:ascii="Times New Roman" w:hAnsi="Times New Roman"/>
          <w:sz w:val="26"/>
          <w:szCs w:val="26"/>
        </w:rPr>
        <w:t xml:space="preserve">FERC </w:t>
      </w:r>
      <w:r w:rsidR="00427C6E" w:rsidRPr="00E9060E">
        <w:rPr>
          <w:rFonts w:ascii="Times New Roman" w:hAnsi="Times New Roman"/>
          <w:sz w:val="26"/>
          <w:szCs w:val="26"/>
        </w:rPr>
        <w:t>F</w:t>
      </w:r>
      <w:r w:rsidR="00E248AE" w:rsidRPr="00E9060E">
        <w:rPr>
          <w:rFonts w:ascii="Times New Roman" w:hAnsi="Times New Roman"/>
          <w:sz w:val="26"/>
          <w:szCs w:val="26"/>
        </w:rPr>
        <w:t>orm No. 60</w:t>
      </w:r>
      <w:r w:rsidR="00427C6E" w:rsidRPr="00E9060E">
        <w:rPr>
          <w:rFonts w:ascii="Times New Roman" w:hAnsi="Times New Roman"/>
          <w:sz w:val="26"/>
          <w:szCs w:val="26"/>
        </w:rPr>
        <w:t xml:space="preserve"> </w:t>
      </w:r>
      <w:r w:rsidRPr="00E9060E">
        <w:rPr>
          <w:rFonts w:ascii="Times New Roman" w:hAnsi="Times New Roman"/>
          <w:sz w:val="26"/>
          <w:szCs w:val="26"/>
        </w:rPr>
        <w:t>reporting requirements</w:t>
      </w:r>
      <w:r w:rsidR="00427C6E" w:rsidRPr="00E9060E">
        <w:rPr>
          <w:rFonts w:ascii="Times New Roman" w:hAnsi="Times New Roman"/>
          <w:sz w:val="26"/>
          <w:szCs w:val="26"/>
        </w:rPr>
        <w:t>,</w:t>
      </w:r>
      <w:r w:rsidRPr="00E9060E">
        <w:rPr>
          <w:rFonts w:ascii="Times New Roman" w:hAnsi="Times New Roman"/>
          <w:sz w:val="26"/>
          <w:szCs w:val="26"/>
        </w:rPr>
        <w:t xml:space="preserve"> formerly required by the U.S. Securities and Exchange Commission (SEC)</w:t>
      </w:r>
      <w:r w:rsidR="00427C6E" w:rsidRPr="00E9060E">
        <w:rPr>
          <w:rFonts w:ascii="Times New Roman" w:hAnsi="Times New Roman"/>
          <w:sz w:val="26"/>
          <w:szCs w:val="26"/>
        </w:rPr>
        <w:t>,</w:t>
      </w:r>
      <w:r w:rsidRPr="00E9060E">
        <w:rPr>
          <w:rFonts w:ascii="Times New Roman" w:hAnsi="Times New Roman"/>
          <w:sz w:val="26"/>
          <w:szCs w:val="26"/>
        </w:rPr>
        <w:t xml:space="preserve"> and streamlined those requirements.  </w:t>
      </w:r>
      <w:r w:rsidRPr="00E9060E">
        <w:rPr>
          <w:rFonts w:ascii="Times New Roman" w:eastAsia="Times New Roman" w:hAnsi="Times New Roman"/>
          <w:sz w:val="26"/>
          <w:szCs w:val="26"/>
        </w:rPr>
        <w:t xml:space="preserve">These documents are necessary for the Commission to ensure that it is able to </w:t>
      </w:r>
      <w:r w:rsidR="00E248AE" w:rsidRPr="00E9060E">
        <w:rPr>
          <w:rFonts w:ascii="Times New Roman" w:eastAsia="Times New Roman" w:hAnsi="Times New Roman"/>
          <w:sz w:val="26"/>
          <w:szCs w:val="26"/>
        </w:rPr>
        <w:t>perform its oversight and review responsibilities</w:t>
      </w:r>
      <w:r w:rsidRPr="00E9060E">
        <w:rPr>
          <w:rFonts w:ascii="Times New Roman" w:eastAsia="Times New Roman" w:hAnsi="Times New Roman"/>
          <w:sz w:val="26"/>
          <w:szCs w:val="26"/>
        </w:rPr>
        <w:t xml:space="preserve">.  </w:t>
      </w:r>
      <w:r w:rsidR="00950E12" w:rsidRPr="00950E12">
        <w:rPr>
          <w:rFonts w:ascii="Times New Roman" w:eastAsia="Times New Roman" w:hAnsi="Times New Roman"/>
          <w:sz w:val="26"/>
          <w:szCs w:val="26"/>
        </w:rPr>
        <w:t>Jurisdictional companies may file for a request for a rate change at any time, but are not required to do so.  In addition, the Commission can require prospective changes to a company’s rates based on its own motion or upon complaint from an interested party.  Thus, retention of data beyond three years is necessary for Commission staff to adequately assess data submitted by entities, including the holding and service companies.  In addition, the Commission conducts audits of selected entities, and these periods under audit can require data beyond three years to demonstrate compliance with the audited areas.</w:t>
      </w:r>
    </w:p>
    <w:p w14:paraId="1AE2476B" w14:textId="77777777" w:rsidR="00517EC0" w:rsidRPr="00E9060E" w:rsidRDefault="00517EC0" w:rsidP="00BD0F89">
      <w:pPr>
        <w:spacing w:after="0" w:line="240" w:lineRule="auto"/>
        <w:ind w:left="360" w:hanging="360"/>
        <w:rPr>
          <w:rFonts w:ascii="Times New Roman" w:hAnsi="Times New Roman"/>
          <w:sz w:val="26"/>
          <w:szCs w:val="26"/>
        </w:rPr>
      </w:pPr>
    </w:p>
    <w:p w14:paraId="75DA9249"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CONSULT OUTSIDE THE AGENCY: SUMMARIZE PUBLIC COMMENTS AND THE AGENCY’S RESPONSE</w:t>
      </w:r>
    </w:p>
    <w:p w14:paraId="5D2AE01F" w14:textId="77777777" w:rsidR="00F0627E" w:rsidRPr="00E9060E" w:rsidRDefault="00F0627E" w:rsidP="00BD0F89">
      <w:pPr>
        <w:spacing w:after="0" w:line="240" w:lineRule="auto"/>
        <w:rPr>
          <w:rFonts w:ascii="Times New Roman" w:hAnsi="Times New Roman"/>
          <w:sz w:val="26"/>
          <w:szCs w:val="26"/>
        </w:rPr>
      </w:pPr>
    </w:p>
    <w:p w14:paraId="50E4EACA" w14:textId="6A38B9A1" w:rsidR="009C451A" w:rsidRPr="00E9060E" w:rsidRDefault="009C451A"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The Commission noted that the North American Energy Standards Board (NAESB) had helped facilitate meetings to develop the Commission’s eTariff system, and</w:t>
      </w:r>
      <w:r w:rsidR="009F136F" w:rsidRPr="00E9060E">
        <w:rPr>
          <w:rFonts w:ascii="Times New Roman" w:hAnsi="Times New Roman"/>
          <w:sz w:val="26"/>
          <w:szCs w:val="26"/>
        </w:rPr>
        <w:t>,</w:t>
      </w:r>
      <w:r w:rsidRPr="00E9060E">
        <w:rPr>
          <w:rFonts w:ascii="Times New Roman" w:hAnsi="Times New Roman"/>
          <w:sz w:val="26"/>
          <w:szCs w:val="26"/>
        </w:rPr>
        <w:t xml:space="preserve"> </w:t>
      </w:r>
      <w:r w:rsidR="009F136F" w:rsidRPr="00E9060E">
        <w:rPr>
          <w:rFonts w:ascii="Times New Roman" w:hAnsi="Times New Roman"/>
          <w:sz w:val="26"/>
          <w:szCs w:val="26"/>
        </w:rPr>
        <w:t xml:space="preserve">in Docket No. AD15-11, </w:t>
      </w:r>
      <w:r w:rsidRPr="00E9060E">
        <w:rPr>
          <w:rFonts w:ascii="Times New Roman" w:hAnsi="Times New Roman"/>
          <w:sz w:val="26"/>
          <w:szCs w:val="26"/>
        </w:rPr>
        <w:t xml:space="preserve">the Commission directed Commission staff to seek NAESB’s assistance in the process of developing standards for the submission of the VFP Forms to the Commission in the new XML format.  NAESB facilitated 18 meetings during which the transition of the forms was discussed.  </w:t>
      </w:r>
    </w:p>
    <w:p w14:paraId="791025F0" w14:textId="77777777" w:rsidR="009C451A" w:rsidRPr="00E9060E" w:rsidRDefault="009C451A" w:rsidP="00BD0F89">
      <w:pPr>
        <w:pStyle w:val="ListParagraph"/>
        <w:spacing w:after="0" w:line="240" w:lineRule="auto"/>
        <w:ind w:left="0"/>
        <w:rPr>
          <w:rFonts w:ascii="Times New Roman" w:hAnsi="Times New Roman"/>
          <w:sz w:val="26"/>
          <w:szCs w:val="26"/>
        </w:rPr>
      </w:pPr>
    </w:p>
    <w:p w14:paraId="7B8C713A" w14:textId="77777777" w:rsidR="009C451A" w:rsidRPr="00E9060E" w:rsidRDefault="009C451A"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Commission staff also discussed the filing of financial forms with other federal agencies.</w:t>
      </w:r>
    </w:p>
    <w:p w14:paraId="55E0C6D0" w14:textId="77777777" w:rsidR="009C451A" w:rsidRPr="00E9060E" w:rsidRDefault="009C451A" w:rsidP="00BD0F89">
      <w:pPr>
        <w:pStyle w:val="ListParagraph"/>
        <w:spacing w:after="0" w:line="240" w:lineRule="auto"/>
        <w:ind w:left="0"/>
        <w:rPr>
          <w:rFonts w:ascii="Times New Roman" w:hAnsi="Times New Roman"/>
          <w:sz w:val="26"/>
          <w:szCs w:val="26"/>
        </w:rPr>
      </w:pPr>
    </w:p>
    <w:p w14:paraId="1864A6EE" w14:textId="080CB1DC" w:rsidR="008A7B09" w:rsidRDefault="00913164"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 xml:space="preserve">Each FERC rulemaking (both proposed and final rules) is published in the Federal Register thereby providing public utilities and licensees, state commissions, Federal agencies, and other interested parties an opportunity to submit data, views, comments or suggestions </w:t>
      </w:r>
      <w:r w:rsidR="002B7556" w:rsidRPr="00E9060E">
        <w:rPr>
          <w:rFonts w:ascii="Times New Roman" w:hAnsi="Times New Roman"/>
          <w:sz w:val="26"/>
          <w:szCs w:val="26"/>
        </w:rPr>
        <w:t xml:space="preserve">on </w:t>
      </w:r>
      <w:r w:rsidRPr="00E9060E">
        <w:rPr>
          <w:rFonts w:ascii="Times New Roman" w:hAnsi="Times New Roman"/>
          <w:sz w:val="26"/>
          <w:szCs w:val="26"/>
        </w:rPr>
        <w:t>the collections of data.</w:t>
      </w:r>
      <w:r w:rsidR="006128B2" w:rsidRPr="00E9060E">
        <w:rPr>
          <w:rFonts w:ascii="Times New Roman" w:hAnsi="Times New Roman"/>
          <w:sz w:val="26"/>
          <w:szCs w:val="26"/>
        </w:rPr>
        <w:t xml:space="preserve">  The NOPR </w:t>
      </w:r>
      <w:r w:rsidR="00902C25" w:rsidRPr="00E9060E">
        <w:rPr>
          <w:rFonts w:ascii="Times New Roman" w:hAnsi="Times New Roman"/>
          <w:sz w:val="26"/>
          <w:szCs w:val="26"/>
        </w:rPr>
        <w:t xml:space="preserve">in Docket RM19-12 </w:t>
      </w:r>
      <w:r w:rsidR="009C451A" w:rsidRPr="00E9060E">
        <w:rPr>
          <w:rFonts w:ascii="Times New Roman" w:hAnsi="Times New Roman"/>
          <w:sz w:val="26"/>
          <w:szCs w:val="26"/>
        </w:rPr>
        <w:t xml:space="preserve">is </w:t>
      </w:r>
      <w:r w:rsidR="00967F31" w:rsidRPr="00E9060E">
        <w:rPr>
          <w:rFonts w:ascii="Times New Roman" w:hAnsi="Times New Roman"/>
          <w:sz w:val="26"/>
          <w:szCs w:val="26"/>
        </w:rPr>
        <w:t>posted in the Commission’s eLibrary system</w:t>
      </w:r>
      <w:r w:rsidR="007A5AF7" w:rsidRPr="00E9060E">
        <w:rPr>
          <w:rFonts w:ascii="Times New Roman" w:hAnsi="Times New Roman"/>
          <w:sz w:val="26"/>
          <w:szCs w:val="26"/>
        </w:rPr>
        <w:t xml:space="preserve"> and </w:t>
      </w:r>
      <w:r w:rsidR="00A96327" w:rsidRPr="00E9060E">
        <w:rPr>
          <w:rFonts w:ascii="Times New Roman" w:hAnsi="Times New Roman"/>
          <w:sz w:val="26"/>
          <w:szCs w:val="26"/>
        </w:rPr>
        <w:t xml:space="preserve">was published by the Federal Register at 84 FR </w:t>
      </w:r>
      <w:r w:rsidR="007A5AF7" w:rsidRPr="00E9060E">
        <w:rPr>
          <w:rFonts w:ascii="Times New Roman" w:hAnsi="Times New Roman"/>
          <w:sz w:val="26"/>
          <w:szCs w:val="26"/>
        </w:rPr>
        <w:t>1412 (2/4/2019)</w:t>
      </w:r>
      <w:r w:rsidR="00967F31" w:rsidRPr="00E9060E">
        <w:rPr>
          <w:rFonts w:ascii="Times New Roman" w:hAnsi="Times New Roman"/>
          <w:sz w:val="26"/>
          <w:szCs w:val="26"/>
        </w:rPr>
        <w:t xml:space="preserve">.  </w:t>
      </w:r>
      <w:r w:rsidR="008A7B09" w:rsidRPr="00987352">
        <w:rPr>
          <w:rFonts w:ascii="Times New Roman" w:hAnsi="Times New Roman"/>
          <w:sz w:val="26"/>
          <w:szCs w:val="26"/>
        </w:rPr>
        <w:t xml:space="preserve">There were no public comments on </w:t>
      </w:r>
      <w:r w:rsidR="00351E0A" w:rsidRPr="000113FC">
        <w:rPr>
          <w:rFonts w:ascii="Times New Roman" w:hAnsi="Times New Roman"/>
          <w:sz w:val="26"/>
          <w:szCs w:val="26"/>
        </w:rPr>
        <w:t xml:space="preserve">the </w:t>
      </w:r>
      <w:r w:rsidR="008A7B09" w:rsidRPr="00987352">
        <w:rPr>
          <w:rFonts w:ascii="Times New Roman" w:hAnsi="Times New Roman"/>
          <w:sz w:val="26"/>
          <w:szCs w:val="26"/>
        </w:rPr>
        <w:t>cost or burden</w:t>
      </w:r>
      <w:r w:rsidR="00351E0A">
        <w:rPr>
          <w:rFonts w:ascii="Times New Roman" w:hAnsi="Times New Roman"/>
          <w:sz w:val="26"/>
          <w:szCs w:val="26"/>
        </w:rPr>
        <w:t xml:space="preserve"> estimates included in the NOPR</w:t>
      </w:r>
      <w:r w:rsidR="008A7B09" w:rsidRPr="00987352">
        <w:rPr>
          <w:rFonts w:ascii="Times New Roman" w:hAnsi="Times New Roman"/>
          <w:sz w:val="26"/>
          <w:szCs w:val="26"/>
        </w:rPr>
        <w:t>.</w:t>
      </w:r>
      <w:r w:rsidR="008A7B09">
        <w:rPr>
          <w:rFonts w:ascii="Times New Roman" w:hAnsi="Times New Roman"/>
          <w:sz w:val="26"/>
          <w:szCs w:val="26"/>
        </w:rPr>
        <w:t xml:space="preserve">  </w:t>
      </w:r>
      <w:r w:rsidR="008A7B09" w:rsidRPr="008A7B09">
        <w:rPr>
          <w:rFonts w:ascii="Times New Roman" w:hAnsi="Times New Roman"/>
          <w:sz w:val="26"/>
          <w:szCs w:val="26"/>
        </w:rPr>
        <w:t xml:space="preserve">In providing support for </w:t>
      </w:r>
      <w:r w:rsidR="008A7B09">
        <w:rPr>
          <w:rFonts w:ascii="Times New Roman" w:hAnsi="Times New Roman"/>
          <w:sz w:val="26"/>
          <w:szCs w:val="26"/>
        </w:rPr>
        <w:t>FERC’s</w:t>
      </w:r>
      <w:r w:rsidR="008A7B09" w:rsidRPr="008A7B09">
        <w:rPr>
          <w:rFonts w:ascii="Times New Roman" w:hAnsi="Times New Roman"/>
          <w:sz w:val="26"/>
          <w:szCs w:val="26"/>
        </w:rPr>
        <w:t xml:space="preserve"> proposed use of XBRL, the commenters raise</w:t>
      </w:r>
      <w:r w:rsidR="00351E0A">
        <w:rPr>
          <w:rFonts w:ascii="Times New Roman" w:hAnsi="Times New Roman"/>
          <w:sz w:val="26"/>
          <w:szCs w:val="26"/>
        </w:rPr>
        <w:t>d</w:t>
      </w:r>
      <w:r w:rsidR="008A7B09" w:rsidRPr="008A7B09">
        <w:rPr>
          <w:rFonts w:ascii="Times New Roman" w:hAnsi="Times New Roman"/>
          <w:sz w:val="26"/>
          <w:szCs w:val="26"/>
        </w:rPr>
        <w:t xml:space="preserve"> issues for Commission consideration to ensure a smooth transition from VFP to XBRL, including recommendations for the timing of implementing XBRL as the standard and how much historical data the Commission should initially make available upon conversion to XBRL.  </w:t>
      </w:r>
      <w:r w:rsidR="008A7B09">
        <w:rPr>
          <w:rFonts w:ascii="Times New Roman" w:hAnsi="Times New Roman"/>
          <w:sz w:val="26"/>
          <w:szCs w:val="26"/>
        </w:rPr>
        <w:t>In response to these comments, the final rule notes that f</w:t>
      </w:r>
      <w:r w:rsidR="008A7B09" w:rsidRPr="008A7B09">
        <w:rPr>
          <w:rFonts w:ascii="Times New Roman" w:hAnsi="Times New Roman"/>
          <w:sz w:val="26"/>
          <w:szCs w:val="26"/>
        </w:rPr>
        <w:t>ollowing the release of the draft taxonomy, the Commission will convene staff-led technical conference(s) to enable interested industry members, vendors, and the public to discuss and propose revisions to the draft taxonomy, along with other important components of the XBRL system</w:t>
      </w:r>
      <w:r w:rsidR="008A7B09">
        <w:rPr>
          <w:rFonts w:ascii="Times New Roman" w:hAnsi="Times New Roman"/>
          <w:sz w:val="26"/>
          <w:szCs w:val="26"/>
        </w:rPr>
        <w:t xml:space="preserve">.  These technical conference(s) </w:t>
      </w:r>
      <w:r w:rsidR="008A7B09" w:rsidRPr="008A7B09">
        <w:rPr>
          <w:rFonts w:ascii="Times New Roman" w:hAnsi="Times New Roman"/>
          <w:sz w:val="26"/>
          <w:szCs w:val="26"/>
        </w:rPr>
        <w:t xml:space="preserve">will serve as the forum to discuss any issues related to the transition, including the implementation schedule, </w:t>
      </w:r>
      <w:r w:rsidR="008A7B09">
        <w:rPr>
          <w:rFonts w:ascii="Times New Roman" w:hAnsi="Times New Roman"/>
          <w:sz w:val="26"/>
          <w:szCs w:val="26"/>
        </w:rPr>
        <w:t xml:space="preserve">and all other technical concerns that may arise from a public review of the draft taxonomy and other documents planned to be released following the final rule.  </w:t>
      </w:r>
      <w:r w:rsidR="008A7B09" w:rsidRPr="008A7B09">
        <w:rPr>
          <w:rFonts w:ascii="Times New Roman" w:hAnsi="Times New Roman"/>
          <w:sz w:val="26"/>
          <w:szCs w:val="26"/>
        </w:rPr>
        <w:t>The Commission intends to provide a reasonable amount of time for issues to be vetted and addressed in the technical conference(s).  At the conclusion of the technical conference process, the Commission will continue to solicit comments and, after reviewing those comments, the Commission will issue an order adopting the final taxonomy, protocols, implementation guide and other documents, and establishing an implementation schedule</w:t>
      </w:r>
      <w:r w:rsidR="008A7B09">
        <w:rPr>
          <w:rFonts w:ascii="Times New Roman" w:hAnsi="Times New Roman"/>
          <w:sz w:val="26"/>
          <w:szCs w:val="26"/>
        </w:rPr>
        <w:t xml:space="preserve">.  </w:t>
      </w:r>
    </w:p>
    <w:p w14:paraId="780E1467" w14:textId="77777777" w:rsidR="008A7B09" w:rsidRDefault="008A7B09" w:rsidP="00BD0F89">
      <w:pPr>
        <w:pStyle w:val="ListParagraph"/>
        <w:spacing w:after="0" w:line="240" w:lineRule="auto"/>
        <w:ind w:left="0"/>
        <w:rPr>
          <w:rFonts w:ascii="Times New Roman" w:hAnsi="Times New Roman"/>
          <w:sz w:val="26"/>
          <w:szCs w:val="26"/>
        </w:rPr>
      </w:pPr>
    </w:p>
    <w:p w14:paraId="03CA6EF2" w14:textId="09EC499B" w:rsidR="008A7B09" w:rsidRPr="00E9060E" w:rsidRDefault="008A7B09" w:rsidP="00BD0F89">
      <w:pPr>
        <w:pStyle w:val="ListParagraph"/>
        <w:spacing w:after="0" w:line="240" w:lineRule="auto"/>
        <w:ind w:left="0"/>
        <w:rPr>
          <w:rFonts w:ascii="Times New Roman" w:hAnsi="Times New Roman"/>
          <w:sz w:val="26"/>
          <w:szCs w:val="26"/>
        </w:rPr>
      </w:pPr>
      <w:r>
        <w:rPr>
          <w:rFonts w:ascii="Times New Roman" w:hAnsi="Times New Roman"/>
          <w:sz w:val="26"/>
          <w:szCs w:val="26"/>
        </w:rPr>
        <w:t>T</w:t>
      </w:r>
      <w:r w:rsidRPr="008A7B09">
        <w:rPr>
          <w:rFonts w:ascii="Times New Roman" w:hAnsi="Times New Roman"/>
          <w:sz w:val="26"/>
          <w:szCs w:val="26"/>
        </w:rPr>
        <w:t xml:space="preserve">he Commission plans to provide an opportunity for interested industry members to test a version of the XBRL system before implementing the new XBRL system.  The technical conference(s) will be open to the public and the Commission encourages all interested entities, including vendors, to participate in the upcoming technical conference(s) and to test the system.  </w:t>
      </w:r>
    </w:p>
    <w:p w14:paraId="1F5BA73E" w14:textId="77777777" w:rsidR="009C451A" w:rsidRPr="00E9060E" w:rsidRDefault="009C451A" w:rsidP="00BD0F89">
      <w:pPr>
        <w:pStyle w:val="ListParagraph"/>
        <w:spacing w:after="0" w:line="240" w:lineRule="auto"/>
        <w:ind w:left="0"/>
        <w:rPr>
          <w:rFonts w:ascii="Times New Roman" w:hAnsi="Times New Roman"/>
          <w:b/>
          <w:sz w:val="26"/>
          <w:szCs w:val="26"/>
        </w:rPr>
      </w:pPr>
    </w:p>
    <w:p w14:paraId="1A2BC3FA"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PAYMENT OR GIFTS TO RESPONDENTS</w:t>
      </w:r>
    </w:p>
    <w:p w14:paraId="1C0A081E" w14:textId="77777777" w:rsidR="00F0627E" w:rsidRPr="00E9060E" w:rsidRDefault="00F0627E" w:rsidP="00BD0F89">
      <w:pPr>
        <w:spacing w:after="0" w:line="240" w:lineRule="auto"/>
        <w:rPr>
          <w:rFonts w:ascii="Times New Roman" w:hAnsi="Times New Roman"/>
          <w:sz w:val="26"/>
          <w:szCs w:val="26"/>
        </w:rPr>
      </w:pPr>
    </w:p>
    <w:p w14:paraId="47E62683"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There are no payments or gifts to respondents.</w:t>
      </w:r>
    </w:p>
    <w:p w14:paraId="63605198" w14:textId="77777777" w:rsidR="00F0627E" w:rsidRPr="00E9060E" w:rsidRDefault="00F0627E" w:rsidP="00BD0F89">
      <w:pPr>
        <w:spacing w:after="0" w:line="240" w:lineRule="auto"/>
        <w:rPr>
          <w:rFonts w:ascii="Times New Roman" w:hAnsi="Times New Roman"/>
          <w:sz w:val="26"/>
          <w:szCs w:val="26"/>
        </w:rPr>
      </w:pPr>
    </w:p>
    <w:p w14:paraId="0127248A"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ASSURANCE OF CONFIDENTIALITY PROVIDED TO RESPONDENTS</w:t>
      </w:r>
    </w:p>
    <w:p w14:paraId="55B18053" w14:textId="77777777" w:rsidR="00F0627E" w:rsidRPr="00E9060E" w:rsidRDefault="00F0627E" w:rsidP="00BD0F89">
      <w:pPr>
        <w:spacing w:after="0" w:line="240" w:lineRule="auto"/>
        <w:rPr>
          <w:rFonts w:ascii="Times New Roman" w:hAnsi="Times New Roman"/>
          <w:sz w:val="26"/>
          <w:szCs w:val="26"/>
        </w:rPr>
      </w:pPr>
    </w:p>
    <w:p w14:paraId="1594C0DB"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Commission does not consider the information collected in filings to be confidential.  However, the Commission will consider specific requests for confidential treatment (e.g. Critical </w:t>
      </w:r>
      <w:r w:rsidR="00084A7F" w:rsidRPr="00E9060E">
        <w:rPr>
          <w:rFonts w:ascii="Times New Roman" w:hAnsi="Times New Roman"/>
          <w:sz w:val="26"/>
          <w:szCs w:val="26"/>
        </w:rPr>
        <w:t>Energy/Electric</w:t>
      </w:r>
      <w:r w:rsidRPr="00E9060E">
        <w:rPr>
          <w:rFonts w:ascii="Times New Roman" w:hAnsi="Times New Roman"/>
          <w:sz w:val="26"/>
          <w:szCs w:val="26"/>
        </w:rPr>
        <w:t xml:space="preserve"> Infrastructure Information [CEII] or non-public) to the extent permitted by law.</w:t>
      </w:r>
      <w:r w:rsidRPr="00E9060E">
        <w:rPr>
          <w:rFonts w:ascii="Times New Roman" w:hAnsi="Times New Roman"/>
          <w:b/>
          <w:sz w:val="26"/>
          <w:szCs w:val="26"/>
          <w:vertAlign w:val="superscript"/>
        </w:rPr>
        <w:footnoteReference w:id="15"/>
      </w:r>
      <w:r w:rsidRPr="00E9060E">
        <w:rPr>
          <w:rFonts w:ascii="Times New Roman" w:hAnsi="Times New Roman"/>
          <w:sz w:val="26"/>
          <w:szCs w:val="26"/>
        </w:rPr>
        <w:t xml:space="preserve">  The Commission will review each request for confidential treatment on a case-by-case basis.</w:t>
      </w:r>
      <w:r w:rsidR="00084A7F" w:rsidRPr="00E9060E">
        <w:rPr>
          <w:rFonts w:ascii="Times New Roman" w:hAnsi="Times New Roman"/>
          <w:sz w:val="26"/>
          <w:szCs w:val="26"/>
        </w:rPr>
        <w:t xml:space="preserve"> </w:t>
      </w:r>
    </w:p>
    <w:p w14:paraId="06B74231" w14:textId="77777777" w:rsidR="00F0627E" w:rsidRPr="00E9060E" w:rsidRDefault="00F0627E" w:rsidP="00BD0F89">
      <w:pPr>
        <w:spacing w:after="0" w:line="240" w:lineRule="auto"/>
        <w:rPr>
          <w:rFonts w:ascii="Times New Roman" w:hAnsi="Times New Roman"/>
          <w:sz w:val="26"/>
          <w:szCs w:val="26"/>
        </w:rPr>
      </w:pPr>
    </w:p>
    <w:p w14:paraId="3F7300DB"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PROVIDE ADDITIONAL JUSTIFICATION FOR ANY QUESTIONS OF A SENSITIVE NATURE, SUCH AS SEXUAL BEHAVIOR AND ATTITUDES, RELIGIOUS BELIEFS, AND OTHER MATTERS THAT ARE COMMONLY CONSIDERED PRIVATE.</w:t>
      </w:r>
    </w:p>
    <w:p w14:paraId="39F4AE19" w14:textId="77777777" w:rsidR="00F0627E" w:rsidRPr="00E9060E" w:rsidRDefault="00F0627E" w:rsidP="00BD0F89">
      <w:pPr>
        <w:spacing w:after="0" w:line="240" w:lineRule="auto"/>
        <w:rPr>
          <w:rFonts w:ascii="Times New Roman" w:hAnsi="Times New Roman"/>
          <w:sz w:val="26"/>
          <w:szCs w:val="26"/>
        </w:rPr>
      </w:pPr>
    </w:p>
    <w:p w14:paraId="7AC7B511"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There are no questions of a sensitive nature. </w:t>
      </w:r>
    </w:p>
    <w:p w14:paraId="5A7A5206" w14:textId="77777777" w:rsidR="00F0627E" w:rsidRPr="00E9060E" w:rsidRDefault="00F0627E" w:rsidP="00BD0F89">
      <w:pPr>
        <w:spacing w:after="0" w:line="240" w:lineRule="auto"/>
        <w:rPr>
          <w:rFonts w:ascii="Times New Roman" w:hAnsi="Times New Roman"/>
          <w:sz w:val="26"/>
          <w:szCs w:val="26"/>
        </w:rPr>
      </w:pPr>
    </w:p>
    <w:p w14:paraId="21A98BF8" w14:textId="77777777" w:rsidR="00F0627E" w:rsidRPr="00E9060E" w:rsidRDefault="00F0627E" w:rsidP="00BD0F89">
      <w:pPr>
        <w:pStyle w:val="ListParagraph"/>
        <w:numPr>
          <w:ilvl w:val="0"/>
          <w:numId w:val="14"/>
        </w:numPr>
        <w:spacing w:after="0" w:line="240" w:lineRule="auto"/>
        <w:rPr>
          <w:rFonts w:ascii="Times New Roman" w:hAnsi="Times New Roman"/>
          <w:sz w:val="26"/>
          <w:szCs w:val="26"/>
        </w:rPr>
      </w:pPr>
      <w:r w:rsidRPr="00E9060E">
        <w:rPr>
          <w:rFonts w:ascii="Times New Roman" w:hAnsi="Times New Roman"/>
          <w:b/>
          <w:sz w:val="26"/>
          <w:szCs w:val="26"/>
        </w:rPr>
        <w:t>ESTIMATED BURDEN OF COLLECTION OF INFORMATION</w:t>
      </w:r>
    </w:p>
    <w:p w14:paraId="006B7021" w14:textId="77777777" w:rsidR="00AD2C01" w:rsidRPr="00E9060E" w:rsidRDefault="004A36E5" w:rsidP="00BD0F89">
      <w:pPr>
        <w:spacing w:after="0" w:line="240" w:lineRule="auto"/>
        <w:rPr>
          <w:rFonts w:ascii="Times New Roman" w:hAnsi="Times New Roman"/>
          <w:sz w:val="26"/>
          <w:szCs w:val="26"/>
        </w:rPr>
      </w:pPr>
      <w:r w:rsidRPr="00E9060E">
        <w:rPr>
          <w:rFonts w:ascii="Times New Roman" w:hAnsi="Times New Roman"/>
          <w:sz w:val="26"/>
          <w:szCs w:val="26"/>
        </w:rPr>
        <w:t xml:space="preserve"> </w:t>
      </w:r>
    </w:p>
    <w:p w14:paraId="34B95CF5" w14:textId="743E00F5" w:rsidR="00ED6497" w:rsidRPr="00E9060E" w:rsidRDefault="00AD2C01"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estimated changes to the burden and cost of the information collections </w:t>
      </w:r>
      <w:r w:rsidR="002B7556" w:rsidRPr="00E9060E">
        <w:rPr>
          <w:rFonts w:ascii="Times New Roman" w:hAnsi="Times New Roman"/>
          <w:sz w:val="26"/>
          <w:szCs w:val="26"/>
        </w:rPr>
        <w:t>due to</w:t>
      </w:r>
      <w:r w:rsidR="008D52BD" w:rsidRPr="00E9060E">
        <w:rPr>
          <w:rFonts w:ascii="Times New Roman" w:hAnsi="Times New Roman"/>
          <w:sz w:val="26"/>
          <w:szCs w:val="26"/>
        </w:rPr>
        <w:t xml:space="preserve"> the </w:t>
      </w:r>
      <w:r w:rsidR="00C656D8">
        <w:rPr>
          <w:rFonts w:ascii="Times New Roman" w:hAnsi="Times New Roman"/>
          <w:sz w:val="26"/>
          <w:szCs w:val="26"/>
        </w:rPr>
        <w:t>final rule</w:t>
      </w:r>
      <w:r w:rsidR="004C3208" w:rsidRPr="00E9060E">
        <w:rPr>
          <w:rFonts w:ascii="Times New Roman" w:hAnsi="Times New Roman"/>
          <w:sz w:val="26"/>
          <w:szCs w:val="26"/>
        </w:rPr>
        <w:t xml:space="preserve"> </w:t>
      </w:r>
      <w:r w:rsidRPr="00E9060E">
        <w:rPr>
          <w:rFonts w:ascii="Times New Roman" w:hAnsi="Times New Roman"/>
          <w:sz w:val="26"/>
          <w:szCs w:val="26"/>
        </w:rPr>
        <w:t xml:space="preserve">follow.  </w:t>
      </w:r>
    </w:p>
    <w:p w14:paraId="462FFAF9" w14:textId="77777777" w:rsidR="00ED6497" w:rsidRPr="00E9060E" w:rsidRDefault="00ED6497" w:rsidP="00BD0F89">
      <w:pPr>
        <w:spacing w:after="0" w:line="240" w:lineRule="auto"/>
        <w:rPr>
          <w:rFonts w:ascii="Times New Roman" w:hAnsi="Times New Roman"/>
          <w:sz w:val="26"/>
          <w:szCs w:val="26"/>
        </w:rPr>
      </w:pPr>
    </w:p>
    <w:p w14:paraId="0A46145D" w14:textId="09B7AFA4" w:rsidR="003B553B" w:rsidRPr="00E9060E" w:rsidRDefault="00BE4A0C" w:rsidP="00820D63">
      <w:pPr>
        <w:spacing w:after="0" w:line="240" w:lineRule="auto"/>
        <w:ind w:left="720"/>
        <w:rPr>
          <w:rFonts w:ascii="Times New Roman" w:hAnsi="Times New Roman"/>
          <w:i/>
          <w:sz w:val="26"/>
          <w:szCs w:val="26"/>
        </w:rPr>
      </w:pPr>
      <w:r w:rsidRPr="00E9060E">
        <w:rPr>
          <w:rFonts w:ascii="Times New Roman" w:hAnsi="Times New Roman"/>
          <w:i/>
          <w:sz w:val="26"/>
          <w:szCs w:val="26"/>
        </w:rPr>
        <w:t xml:space="preserve">Note that the </w:t>
      </w:r>
      <w:r w:rsidR="003B553B" w:rsidRPr="00E9060E">
        <w:rPr>
          <w:rFonts w:ascii="Times New Roman" w:hAnsi="Times New Roman"/>
          <w:i/>
          <w:sz w:val="26"/>
          <w:szCs w:val="26"/>
        </w:rPr>
        <w:t xml:space="preserve">text and tables </w:t>
      </w:r>
      <w:r w:rsidRPr="00E9060E">
        <w:rPr>
          <w:rFonts w:ascii="Times New Roman" w:hAnsi="Times New Roman"/>
          <w:i/>
          <w:sz w:val="26"/>
          <w:szCs w:val="26"/>
        </w:rPr>
        <w:t xml:space="preserve">in Questions 12-15 </w:t>
      </w:r>
      <w:r w:rsidR="003B553B" w:rsidRPr="00E9060E">
        <w:rPr>
          <w:rFonts w:ascii="Times New Roman" w:hAnsi="Times New Roman"/>
          <w:i/>
          <w:sz w:val="26"/>
          <w:szCs w:val="26"/>
        </w:rPr>
        <w:t xml:space="preserve">display the temporary placeholder information collection number (where needed) with the actual information collection number shown parenthetically for submittal of the </w:t>
      </w:r>
      <w:r w:rsidR="00C656D8">
        <w:rPr>
          <w:rFonts w:ascii="Times New Roman" w:hAnsi="Times New Roman"/>
          <w:i/>
          <w:sz w:val="26"/>
          <w:szCs w:val="26"/>
        </w:rPr>
        <w:t>final rule</w:t>
      </w:r>
      <w:r w:rsidR="003B553B" w:rsidRPr="00E9060E">
        <w:rPr>
          <w:rFonts w:ascii="Times New Roman" w:hAnsi="Times New Roman"/>
          <w:i/>
          <w:sz w:val="26"/>
          <w:szCs w:val="26"/>
        </w:rPr>
        <w:t xml:space="preserve"> to </w:t>
      </w:r>
      <w:r w:rsidR="00941B07" w:rsidRPr="00E9060E">
        <w:rPr>
          <w:rFonts w:ascii="Times New Roman" w:hAnsi="Times New Roman"/>
          <w:i/>
          <w:sz w:val="26"/>
          <w:szCs w:val="26"/>
        </w:rPr>
        <w:t xml:space="preserve">OMB (through </w:t>
      </w:r>
      <w:r w:rsidR="003B553B" w:rsidRPr="00E9060E">
        <w:rPr>
          <w:rFonts w:ascii="Times New Roman" w:hAnsi="Times New Roman"/>
          <w:i/>
          <w:sz w:val="26"/>
          <w:szCs w:val="26"/>
        </w:rPr>
        <w:t>ROCIS</w:t>
      </w:r>
      <w:r w:rsidR="00941B07" w:rsidRPr="00E9060E">
        <w:rPr>
          <w:rFonts w:ascii="Times New Roman" w:hAnsi="Times New Roman"/>
          <w:i/>
          <w:sz w:val="26"/>
          <w:szCs w:val="26"/>
        </w:rPr>
        <w:t>)</w:t>
      </w:r>
      <w:r w:rsidR="003B553B" w:rsidRPr="00E9060E">
        <w:rPr>
          <w:rFonts w:ascii="Times New Roman" w:hAnsi="Times New Roman"/>
          <w:i/>
          <w:sz w:val="26"/>
          <w:szCs w:val="26"/>
        </w:rPr>
        <w:t>.  The background and crosswalk on pages 1-</w:t>
      </w:r>
      <w:r w:rsidR="00941B07" w:rsidRPr="00E9060E">
        <w:rPr>
          <w:rFonts w:ascii="Times New Roman" w:hAnsi="Times New Roman"/>
          <w:i/>
          <w:sz w:val="26"/>
          <w:szCs w:val="26"/>
        </w:rPr>
        <w:t>4</w:t>
      </w:r>
      <w:r w:rsidR="003B553B" w:rsidRPr="00E9060E">
        <w:rPr>
          <w:rFonts w:ascii="Times New Roman" w:hAnsi="Times New Roman"/>
          <w:i/>
          <w:sz w:val="26"/>
          <w:szCs w:val="26"/>
        </w:rPr>
        <w:t>, above, provide more information about why the placeholders are needed and when they are being used.</w:t>
      </w:r>
    </w:p>
    <w:p w14:paraId="7FEC1A02" w14:textId="77777777" w:rsidR="003B553B" w:rsidRPr="00E9060E" w:rsidRDefault="003B553B" w:rsidP="00BD0F89">
      <w:pPr>
        <w:spacing w:after="0" w:line="240" w:lineRule="auto"/>
        <w:rPr>
          <w:rFonts w:ascii="Times New Roman" w:hAnsi="Times New Roman"/>
          <w:sz w:val="26"/>
          <w:szCs w:val="26"/>
        </w:rPr>
      </w:pPr>
    </w:p>
    <w:p w14:paraId="20411351" w14:textId="46DC5D39" w:rsidR="00100E2F" w:rsidRPr="00E9060E" w:rsidRDefault="009E3BA7" w:rsidP="00100E2F">
      <w:pPr>
        <w:spacing w:after="0" w:line="240" w:lineRule="auto"/>
        <w:rPr>
          <w:rFonts w:ascii="Times New Roman" w:hAnsi="Times New Roman"/>
          <w:sz w:val="26"/>
          <w:szCs w:val="26"/>
        </w:rPr>
      </w:pPr>
      <w:r w:rsidRPr="00E9060E">
        <w:rPr>
          <w:rFonts w:ascii="Times New Roman" w:hAnsi="Times New Roman"/>
          <w:sz w:val="26"/>
          <w:szCs w:val="26"/>
        </w:rPr>
        <w:t xml:space="preserve">The compliance burden estimates for the revisions to the filing process for the VFP Forms are based on several assumptions and unique assessments for each form.  However, all regulated entities required to submit the VFP Forms would have to map the reporting information to the Commission’s standard XBRL taxonomy and create a final submission file(s).  </w:t>
      </w:r>
      <w:r w:rsidR="00100E2F" w:rsidRPr="00E9060E">
        <w:rPr>
          <w:rFonts w:ascii="Times New Roman" w:hAnsi="Times New Roman"/>
          <w:sz w:val="26"/>
          <w:szCs w:val="26"/>
        </w:rPr>
        <w:t xml:space="preserve">The </w:t>
      </w:r>
      <w:r w:rsidR="00D17E68" w:rsidRPr="00E9060E">
        <w:rPr>
          <w:rFonts w:ascii="Times New Roman" w:hAnsi="Times New Roman"/>
          <w:sz w:val="26"/>
          <w:szCs w:val="26"/>
        </w:rPr>
        <w:t>following</w:t>
      </w:r>
      <w:r w:rsidR="00100E2F" w:rsidRPr="00E9060E">
        <w:rPr>
          <w:rFonts w:ascii="Times New Roman" w:hAnsi="Times New Roman"/>
          <w:sz w:val="26"/>
          <w:szCs w:val="26"/>
        </w:rPr>
        <w:t xml:space="preserve"> burden estimates </w:t>
      </w:r>
      <w:r w:rsidR="00D17E68" w:rsidRPr="00E9060E">
        <w:rPr>
          <w:rFonts w:ascii="Times New Roman" w:hAnsi="Times New Roman"/>
          <w:sz w:val="26"/>
          <w:szCs w:val="26"/>
        </w:rPr>
        <w:t>associated with</w:t>
      </w:r>
      <w:r w:rsidR="00100E2F" w:rsidRPr="00E9060E">
        <w:rPr>
          <w:rFonts w:ascii="Times New Roman" w:hAnsi="Times New Roman"/>
          <w:sz w:val="26"/>
          <w:szCs w:val="26"/>
        </w:rPr>
        <w:t xml:space="preserve"> the </w:t>
      </w:r>
      <w:r w:rsidR="00C656D8">
        <w:rPr>
          <w:rFonts w:ascii="Times New Roman" w:hAnsi="Times New Roman"/>
          <w:sz w:val="26"/>
          <w:szCs w:val="26"/>
        </w:rPr>
        <w:t>final rule</w:t>
      </w:r>
      <w:r w:rsidR="00100E2F" w:rsidRPr="00E9060E">
        <w:rPr>
          <w:rFonts w:ascii="Times New Roman" w:hAnsi="Times New Roman"/>
          <w:sz w:val="26"/>
          <w:szCs w:val="26"/>
        </w:rPr>
        <w:t xml:space="preserve"> are </w:t>
      </w:r>
      <w:r w:rsidR="00395C37" w:rsidRPr="00E9060E">
        <w:rPr>
          <w:rFonts w:ascii="Times New Roman" w:hAnsi="Times New Roman"/>
          <w:sz w:val="26"/>
          <w:szCs w:val="26"/>
        </w:rPr>
        <w:t xml:space="preserve">based on </w:t>
      </w:r>
      <w:r w:rsidR="00C56D52" w:rsidRPr="00E9060E">
        <w:rPr>
          <w:rFonts w:ascii="Times New Roman" w:hAnsi="Times New Roman"/>
          <w:sz w:val="26"/>
          <w:szCs w:val="26"/>
        </w:rPr>
        <w:t>the</w:t>
      </w:r>
      <w:r w:rsidR="00100E2F" w:rsidRPr="00E9060E">
        <w:rPr>
          <w:rFonts w:ascii="Times New Roman" w:hAnsi="Times New Roman"/>
          <w:sz w:val="26"/>
          <w:szCs w:val="26"/>
        </w:rPr>
        <w:t xml:space="preserve"> one-time implementation of </w:t>
      </w:r>
      <w:r w:rsidR="00D17E68" w:rsidRPr="00E9060E">
        <w:rPr>
          <w:rFonts w:ascii="Times New Roman" w:hAnsi="Times New Roman"/>
          <w:sz w:val="26"/>
          <w:szCs w:val="26"/>
        </w:rPr>
        <w:t>an</w:t>
      </w:r>
      <w:r w:rsidR="00100E2F" w:rsidRPr="00E9060E">
        <w:rPr>
          <w:rFonts w:ascii="Times New Roman" w:hAnsi="Times New Roman"/>
          <w:sz w:val="26"/>
          <w:szCs w:val="26"/>
        </w:rPr>
        <w:t xml:space="preserve"> XBRL</w:t>
      </w:r>
      <w:r w:rsidR="00D17E68" w:rsidRPr="00E9060E">
        <w:rPr>
          <w:rFonts w:ascii="Times New Roman" w:hAnsi="Times New Roman"/>
          <w:sz w:val="26"/>
          <w:szCs w:val="26"/>
        </w:rPr>
        <w:t>-</w:t>
      </w:r>
      <w:r w:rsidR="00D17E68" w:rsidRPr="000113FC">
        <w:rPr>
          <w:rFonts w:ascii="Times New Roman" w:hAnsi="Times New Roman"/>
          <w:sz w:val="26"/>
          <w:szCs w:val="26"/>
        </w:rPr>
        <w:t>based reporting system</w:t>
      </w:r>
      <w:r w:rsidR="00100E2F" w:rsidRPr="000113FC">
        <w:rPr>
          <w:rFonts w:ascii="Times New Roman" w:hAnsi="Times New Roman"/>
          <w:sz w:val="26"/>
          <w:szCs w:val="26"/>
        </w:rPr>
        <w:t xml:space="preserve"> (Year 1), and an ongoing estimate for maintenance of the XBRL</w:t>
      </w:r>
      <w:r w:rsidR="00C56D52" w:rsidRPr="000113FC">
        <w:rPr>
          <w:rFonts w:ascii="Times New Roman" w:hAnsi="Times New Roman"/>
          <w:sz w:val="26"/>
          <w:szCs w:val="26"/>
        </w:rPr>
        <w:t>-based</w:t>
      </w:r>
      <w:r w:rsidR="00100E2F" w:rsidRPr="000113FC">
        <w:rPr>
          <w:rFonts w:ascii="Times New Roman" w:hAnsi="Times New Roman"/>
          <w:sz w:val="26"/>
          <w:szCs w:val="26"/>
        </w:rPr>
        <w:t xml:space="preserve"> reporting system (Years 2 and 3).  The </w:t>
      </w:r>
      <w:r w:rsidR="00034914" w:rsidRPr="000113FC">
        <w:rPr>
          <w:rFonts w:ascii="Times New Roman" w:hAnsi="Times New Roman"/>
          <w:sz w:val="26"/>
          <w:szCs w:val="26"/>
        </w:rPr>
        <w:t>existing</w:t>
      </w:r>
      <w:r w:rsidR="00100E2F" w:rsidRPr="000113FC">
        <w:rPr>
          <w:rFonts w:ascii="Times New Roman" w:hAnsi="Times New Roman"/>
          <w:sz w:val="26"/>
          <w:szCs w:val="26"/>
        </w:rPr>
        <w:t xml:space="preserve"> </w:t>
      </w:r>
      <w:r w:rsidR="00826CE2" w:rsidRPr="000113FC">
        <w:rPr>
          <w:rFonts w:ascii="Times New Roman" w:hAnsi="Times New Roman"/>
          <w:sz w:val="26"/>
          <w:szCs w:val="26"/>
        </w:rPr>
        <w:t xml:space="preserve">estimated </w:t>
      </w:r>
      <w:r w:rsidR="00D17E68" w:rsidRPr="000113FC">
        <w:rPr>
          <w:rFonts w:ascii="Times New Roman" w:hAnsi="Times New Roman"/>
          <w:sz w:val="26"/>
          <w:szCs w:val="26"/>
        </w:rPr>
        <w:t xml:space="preserve">information collection </w:t>
      </w:r>
      <w:r w:rsidR="00100E2F" w:rsidRPr="000113FC">
        <w:rPr>
          <w:rFonts w:ascii="Times New Roman" w:hAnsi="Times New Roman"/>
          <w:sz w:val="26"/>
          <w:szCs w:val="26"/>
        </w:rPr>
        <w:t xml:space="preserve">burden for </w:t>
      </w:r>
      <w:r w:rsidR="00C15E12" w:rsidRPr="000113FC">
        <w:rPr>
          <w:rFonts w:ascii="Times New Roman" w:hAnsi="Times New Roman"/>
          <w:sz w:val="26"/>
          <w:szCs w:val="26"/>
        </w:rPr>
        <w:t xml:space="preserve">preparing </w:t>
      </w:r>
      <w:r w:rsidR="00100E2F" w:rsidRPr="000113FC">
        <w:rPr>
          <w:rFonts w:ascii="Times New Roman" w:hAnsi="Times New Roman"/>
          <w:sz w:val="26"/>
          <w:szCs w:val="26"/>
        </w:rPr>
        <w:t xml:space="preserve">each individual form referenced in the </w:t>
      </w:r>
      <w:r w:rsidR="00C656D8" w:rsidRPr="000113FC">
        <w:rPr>
          <w:rFonts w:ascii="Times New Roman" w:hAnsi="Times New Roman"/>
          <w:sz w:val="26"/>
          <w:szCs w:val="26"/>
        </w:rPr>
        <w:t>final rule</w:t>
      </w:r>
      <w:r w:rsidR="00932DF3" w:rsidRPr="000113FC">
        <w:rPr>
          <w:rFonts w:ascii="Times New Roman" w:hAnsi="Times New Roman"/>
          <w:sz w:val="26"/>
          <w:szCs w:val="26"/>
        </w:rPr>
        <w:t xml:space="preserve"> </w:t>
      </w:r>
      <w:r w:rsidR="00D17E68" w:rsidRPr="000113FC">
        <w:rPr>
          <w:rFonts w:ascii="Times New Roman" w:hAnsi="Times New Roman"/>
          <w:sz w:val="26"/>
          <w:szCs w:val="26"/>
        </w:rPr>
        <w:t>remains un</w:t>
      </w:r>
      <w:r w:rsidR="00100E2F" w:rsidRPr="000113FC">
        <w:rPr>
          <w:rFonts w:ascii="Times New Roman" w:hAnsi="Times New Roman"/>
          <w:sz w:val="26"/>
          <w:szCs w:val="26"/>
        </w:rPr>
        <w:t>changed.</w:t>
      </w:r>
      <w:r w:rsidR="00F16750" w:rsidRPr="000113FC">
        <w:rPr>
          <w:rFonts w:ascii="Times New Roman" w:hAnsi="Times New Roman"/>
          <w:sz w:val="26"/>
          <w:szCs w:val="26"/>
        </w:rPr>
        <w:t xml:space="preserve">  The final rule covers only the format for making the electronic filings and does not contain any</w:t>
      </w:r>
      <w:r w:rsidR="00F16750">
        <w:rPr>
          <w:rFonts w:ascii="Times New Roman" w:hAnsi="Times New Roman"/>
          <w:sz w:val="26"/>
          <w:szCs w:val="26"/>
        </w:rPr>
        <w:t xml:space="preserve"> revisions to </w:t>
      </w:r>
      <w:r w:rsidR="00A25906">
        <w:rPr>
          <w:rFonts w:ascii="Times New Roman" w:hAnsi="Times New Roman"/>
          <w:sz w:val="26"/>
          <w:szCs w:val="26"/>
        </w:rPr>
        <w:t xml:space="preserve">reporting requirements (i.e. </w:t>
      </w:r>
      <w:r w:rsidR="00F16750">
        <w:rPr>
          <w:rFonts w:ascii="Times New Roman" w:hAnsi="Times New Roman"/>
          <w:sz w:val="26"/>
          <w:szCs w:val="26"/>
        </w:rPr>
        <w:t>the substance of the required filings</w:t>
      </w:r>
      <w:r w:rsidR="00A25906">
        <w:rPr>
          <w:rFonts w:ascii="Times New Roman" w:hAnsi="Times New Roman"/>
          <w:sz w:val="26"/>
          <w:szCs w:val="26"/>
        </w:rPr>
        <w:t>)</w:t>
      </w:r>
      <w:r w:rsidR="00F16750">
        <w:rPr>
          <w:rFonts w:ascii="Times New Roman" w:hAnsi="Times New Roman"/>
          <w:sz w:val="26"/>
          <w:szCs w:val="26"/>
        </w:rPr>
        <w:t>.</w:t>
      </w:r>
    </w:p>
    <w:p w14:paraId="331A1EE9" w14:textId="77777777" w:rsidR="00100E2F" w:rsidRPr="00E9060E" w:rsidRDefault="00100E2F" w:rsidP="00100E2F">
      <w:pPr>
        <w:spacing w:after="0" w:line="240" w:lineRule="auto"/>
        <w:rPr>
          <w:rFonts w:ascii="Times New Roman" w:hAnsi="Times New Roman"/>
          <w:sz w:val="26"/>
          <w:szCs w:val="26"/>
        </w:rPr>
      </w:pPr>
    </w:p>
    <w:p w14:paraId="39BBEAE0" w14:textId="5C4ADC1A" w:rsidR="009E3BA7" w:rsidRPr="00E9060E" w:rsidRDefault="009E3BA7" w:rsidP="00100E2F">
      <w:pPr>
        <w:spacing w:after="0" w:line="240" w:lineRule="auto"/>
        <w:rPr>
          <w:rFonts w:ascii="Times New Roman" w:hAnsi="Times New Roman"/>
          <w:sz w:val="26"/>
          <w:szCs w:val="26"/>
        </w:rPr>
      </w:pPr>
      <w:r w:rsidRPr="00E9060E">
        <w:rPr>
          <w:rFonts w:ascii="Times New Roman" w:hAnsi="Times New Roman"/>
          <w:sz w:val="26"/>
          <w:szCs w:val="26"/>
        </w:rPr>
        <w:t>Based on discussions with other federal agencies, subject matter experts in XBRL data collection and the VFP Forms, and entities that have prepared their financial information in XBRL, we estimate that filers would incur the following average burden hours</w:t>
      </w:r>
      <w:r w:rsidR="002E7379" w:rsidRPr="00E9060E">
        <w:rPr>
          <w:rFonts w:ascii="Times New Roman" w:hAnsi="Times New Roman"/>
          <w:sz w:val="26"/>
          <w:szCs w:val="26"/>
        </w:rPr>
        <w:t>.  We</w:t>
      </w:r>
      <w:r w:rsidR="00AA2BD5" w:rsidRPr="00E9060E">
        <w:rPr>
          <w:rFonts w:ascii="Times New Roman" w:hAnsi="Times New Roman"/>
          <w:sz w:val="26"/>
          <w:szCs w:val="26"/>
        </w:rPr>
        <w:t xml:space="preserve"> </w:t>
      </w:r>
      <w:r w:rsidR="0096666B" w:rsidRPr="00E9060E">
        <w:rPr>
          <w:rFonts w:ascii="Times New Roman" w:hAnsi="Times New Roman"/>
          <w:sz w:val="26"/>
          <w:szCs w:val="26"/>
        </w:rPr>
        <w:t xml:space="preserve">conservatively estimate that this </w:t>
      </w:r>
      <w:r w:rsidR="002E7379" w:rsidRPr="00E9060E">
        <w:rPr>
          <w:rFonts w:ascii="Times New Roman" w:hAnsi="Times New Roman"/>
          <w:sz w:val="26"/>
          <w:szCs w:val="26"/>
        </w:rPr>
        <w:t xml:space="preserve">average </w:t>
      </w:r>
      <w:r w:rsidR="0096666B" w:rsidRPr="00E9060E">
        <w:rPr>
          <w:rFonts w:ascii="Times New Roman" w:hAnsi="Times New Roman"/>
          <w:sz w:val="26"/>
          <w:szCs w:val="26"/>
        </w:rPr>
        <w:t>burden will be approximately 80</w:t>
      </w:r>
      <w:r w:rsidR="002E7379" w:rsidRPr="00E9060E">
        <w:rPr>
          <w:rFonts w:ascii="Times New Roman" w:hAnsi="Times New Roman"/>
          <w:sz w:val="26"/>
          <w:szCs w:val="26"/>
        </w:rPr>
        <w:t xml:space="preserve"> percent</w:t>
      </w:r>
      <w:r w:rsidR="0096666B" w:rsidRPr="00E9060E">
        <w:rPr>
          <w:rFonts w:ascii="Times New Roman" w:hAnsi="Times New Roman"/>
          <w:sz w:val="26"/>
          <w:szCs w:val="26"/>
        </w:rPr>
        <w:t xml:space="preserve"> of the burden that the </w:t>
      </w:r>
      <w:r w:rsidR="002E7379" w:rsidRPr="00E9060E">
        <w:rPr>
          <w:rFonts w:ascii="Times New Roman" w:hAnsi="Times New Roman"/>
          <w:sz w:val="26"/>
          <w:szCs w:val="26"/>
        </w:rPr>
        <w:t xml:space="preserve">U.S. </w:t>
      </w:r>
      <w:r w:rsidR="0096666B" w:rsidRPr="00E9060E">
        <w:rPr>
          <w:rFonts w:ascii="Times New Roman" w:hAnsi="Times New Roman"/>
          <w:sz w:val="26"/>
          <w:szCs w:val="26"/>
        </w:rPr>
        <w:t xml:space="preserve">Securities and Exchange Commission (SEC) estimated </w:t>
      </w:r>
      <w:r w:rsidR="00E742EF" w:rsidRPr="00E9060E">
        <w:rPr>
          <w:rFonts w:ascii="Times New Roman" w:hAnsi="Times New Roman"/>
          <w:sz w:val="26"/>
          <w:szCs w:val="26"/>
        </w:rPr>
        <w:t xml:space="preserve">that </w:t>
      </w:r>
      <w:r w:rsidR="0096666B" w:rsidRPr="00E9060E">
        <w:rPr>
          <w:rFonts w:ascii="Times New Roman" w:hAnsi="Times New Roman"/>
          <w:sz w:val="26"/>
          <w:szCs w:val="26"/>
        </w:rPr>
        <w:t xml:space="preserve">filers would incur when the SEC mandated reporting of financial information in XBRL in </w:t>
      </w:r>
      <w:r w:rsidR="00633864" w:rsidRPr="00E9060E">
        <w:rPr>
          <w:rFonts w:ascii="Times New Roman" w:hAnsi="Times New Roman"/>
          <w:sz w:val="26"/>
          <w:szCs w:val="26"/>
        </w:rPr>
        <w:t xml:space="preserve">its </w:t>
      </w:r>
      <w:r w:rsidR="00C656D8">
        <w:rPr>
          <w:rFonts w:ascii="Times New Roman" w:hAnsi="Times New Roman"/>
          <w:sz w:val="26"/>
          <w:szCs w:val="26"/>
        </w:rPr>
        <w:t>final rule</w:t>
      </w:r>
      <w:r w:rsidR="00633864" w:rsidRPr="00E9060E">
        <w:rPr>
          <w:rFonts w:ascii="Times New Roman" w:hAnsi="Times New Roman"/>
          <w:sz w:val="26"/>
          <w:szCs w:val="26"/>
        </w:rPr>
        <w:t xml:space="preserve"> on </w:t>
      </w:r>
      <w:r w:rsidR="0096666B" w:rsidRPr="00E9060E">
        <w:rPr>
          <w:rFonts w:ascii="Times New Roman" w:hAnsi="Times New Roman"/>
          <w:sz w:val="26"/>
          <w:szCs w:val="26"/>
        </w:rPr>
        <w:t>Interactive Data to Improve Financial Reporting</w:t>
      </w:r>
      <w:r w:rsidR="00633864" w:rsidRPr="00E9060E">
        <w:rPr>
          <w:rFonts w:ascii="Times New Roman" w:hAnsi="Times New Roman"/>
          <w:sz w:val="26"/>
          <w:szCs w:val="26"/>
        </w:rPr>
        <w:t xml:space="preserve"> </w:t>
      </w:r>
      <w:r w:rsidR="00266990" w:rsidRPr="00E9060E">
        <w:rPr>
          <w:rFonts w:ascii="Times New Roman" w:hAnsi="Times New Roman"/>
          <w:sz w:val="26"/>
          <w:szCs w:val="26"/>
        </w:rPr>
        <w:t>(</w:t>
      </w:r>
      <w:r w:rsidR="00633864" w:rsidRPr="00E9060E">
        <w:rPr>
          <w:rFonts w:ascii="Times New Roman" w:hAnsi="Times New Roman"/>
          <w:sz w:val="26"/>
          <w:szCs w:val="26"/>
        </w:rPr>
        <w:t>issued on January 30, 2009</w:t>
      </w:r>
      <w:r w:rsidR="00266990" w:rsidRPr="00E9060E">
        <w:rPr>
          <w:rFonts w:ascii="Times New Roman" w:hAnsi="Times New Roman"/>
          <w:sz w:val="26"/>
          <w:szCs w:val="26"/>
        </w:rPr>
        <w:t>)</w:t>
      </w:r>
      <w:r w:rsidRPr="00E9060E">
        <w:rPr>
          <w:rFonts w:ascii="Times New Roman" w:hAnsi="Times New Roman"/>
          <w:sz w:val="26"/>
          <w:szCs w:val="26"/>
        </w:rPr>
        <w:t xml:space="preserve">: </w:t>
      </w:r>
    </w:p>
    <w:p w14:paraId="28C0ECB2" w14:textId="77777777" w:rsidR="0096666B" w:rsidRPr="00E9060E" w:rsidRDefault="0096666B" w:rsidP="00BD0F89">
      <w:pPr>
        <w:spacing w:after="0" w:line="240" w:lineRule="auto"/>
        <w:rPr>
          <w:rFonts w:ascii="Times New Roman" w:hAnsi="Times New Roman"/>
          <w:sz w:val="26"/>
          <w:szCs w:val="26"/>
        </w:rPr>
      </w:pPr>
    </w:p>
    <w:p w14:paraId="792E6F62" w14:textId="64D1D570"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 xml:space="preserve">XBRL Form Nos. </w:t>
      </w:r>
      <w:r w:rsidR="00BE20CB" w:rsidRPr="00E9060E">
        <w:rPr>
          <w:rFonts w:ascii="Times New Roman" w:hAnsi="Times New Roman"/>
          <w:sz w:val="26"/>
          <w:szCs w:val="26"/>
        </w:rPr>
        <w:t>1T, 1-FT, and 3-QT electric (</w:t>
      </w:r>
      <w:r w:rsidRPr="00E9060E">
        <w:rPr>
          <w:rFonts w:ascii="Times New Roman" w:hAnsi="Times New Roman"/>
          <w:sz w:val="26"/>
          <w:szCs w:val="26"/>
        </w:rPr>
        <w:t>1, 1-F, 3-Q electric</w:t>
      </w:r>
      <w:r w:rsidR="00BE20CB" w:rsidRPr="00E9060E">
        <w:rPr>
          <w:rFonts w:ascii="Times New Roman" w:hAnsi="Times New Roman"/>
          <w:sz w:val="26"/>
          <w:szCs w:val="26"/>
        </w:rPr>
        <w:t>)</w:t>
      </w:r>
      <w:r w:rsidRPr="00E9060E">
        <w:rPr>
          <w:rFonts w:ascii="Times New Roman" w:hAnsi="Times New Roman"/>
          <w:sz w:val="26"/>
          <w:szCs w:val="26"/>
        </w:rPr>
        <w:t xml:space="preserve">, 2, 2-A, </w:t>
      </w:r>
      <w:r w:rsidR="00BE20CB" w:rsidRPr="00E9060E">
        <w:rPr>
          <w:rFonts w:ascii="Times New Roman" w:hAnsi="Times New Roman"/>
          <w:sz w:val="26"/>
          <w:szCs w:val="26"/>
        </w:rPr>
        <w:t>3-QT natural gas, 6T, and 6-QT (</w:t>
      </w:r>
      <w:r w:rsidRPr="00E9060E">
        <w:rPr>
          <w:rFonts w:ascii="Times New Roman" w:hAnsi="Times New Roman"/>
          <w:sz w:val="26"/>
          <w:szCs w:val="26"/>
        </w:rPr>
        <w:t>3-Q natural gas, 6, and 6-Q</w:t>
      </w:r>
      <w:r w:rsidR="00BE20CB" w:rsidRPr="00E9060E">
        <w:rPr>
          <w:rFonts w:ascii="Times New Roman" w:hAnsi="Times New Roman"/>
          <w:sz w:val="26"/>
          <w:szCs w:val="26"/>
        </w:rPr>
        <w:t>)</w:t>
      </w:r>
      <w:r w:rsidRPr="00E9060E">
        <w:rPr>
          <w:rFonts w:ascii="Times New Roman" w:hAnsi="Times New Roman"/>
          <w:b/>
          <w:sz w:val="26"/>
          <w:szCs w:val="26"/>
          <w:vertAlign w:val="superscript"/>
        </w:rPr>
        <w:footnoteReference w:id="16"/>
      </w:r>
    </w:p>
    <w:p w14:paraId="057404E8"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4EECE6F6"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100 hours to prepare and submit the first filing using XBRL; and</w:t>
      </w:r>
    </w:p>
    <w:p w14:paraId="71654B6C"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14 hours for each subsequent filing in XBRL.</w:t>
      </w:r>
    </w:p>
    <w:p w14:paraId="560B6931" w14:textId="5C1CDDEA"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60</w:t>
      </w:r>
      <w:r w:rsidR="0051491B" w:rsidRPr="00E9060E">
        <w:rPr>
          <w:rFonts w:ascii="Times New Roman" w:hAnsi="Times New Roman"/>
          <w:sz w:val="26"/>
          <w:szCs w:val="26"/>
        </w:rPr>
        <w:t>A</w:t>
      </w:r>
      <w:r w:rsidR="00F12549" w:rsidRPr="00E9060E">
        <w:rPr>
          <w:rFonts w:ascii="Times New Roman" w:hAnsi="Times New Roman"/>
          <w:sz w:val="26"/>
          <w:szCs w:val="26"/>
        </w:rPr>
        <w:t xml:space="preserve"> (60)</w:t>
      </w:r>
    </w:p>
    <w:p w14:paraId="0ECF597E"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43A8DE56"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20 hours to prepare and submit the first filing made in XBRL; and</w:t>
      </w:r>
    </w:p>
    <w:p w14:paraId="40665F7C"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3 hours for each subsequent filing.</w:t>
      </w:r>
    </w:p>
    <w:p w14:paraId="3269F482" w14:textId="43F4A784"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714</w:t>
      </w:r>
    </w:p>
    <w:p w14:paraId="25D5FE9D"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1D958948"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15 hours to prepare and submit the first filing made in XBRL; and</w:t>
      </w:r>
    </w:p>
    <w:p w14:paraId="0CC04422"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2 hours for each subsequent filing.</w:t>
      </w:r>
    </w:p>
    <w:p w14:paraId="47028FF0" w14:textId="06EF4F1C" w:rsidR="00AD2C01" w:rsidRPr="00E9060E" w:rsidRDefault="00AD2C01" w:rsidP="00BD0F89">
      <w:pPr>
        <w:spacing w:after="0" w:line="240" w:lineRule="auto"/>
        <w:rPr>
          <w:rFonts w:ascii="Times New Roman" w:hAnsi="Times New Roman"/>
          <w:sz w:val="26"/>
          <w:szCs w:val="26"/>
        </w:rPr>
      </w:pPr>
    </w:p>
    <w:p w14:paraId="0B0DAE7E" w14:textId="02719B36" w:rsidR="009E65E7" w:rsidRPr="00E9060E" w:rsidRDefault="009E65E7" w:rsidP="00BD0F89">
      <w:pPr>
        <w:spacing w:after="0" w:line="240" w:lineRule="auto"/>
        <w:rPr>
          <w:rFonts w:ascii="Times New Roman" w:hAnsi="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383"/>
        <w:gridCol w:w="1289"/>
        <w:gridCol w:w="1197"/>
        <w:gridCol w:w="1293"/>
        <w:gridCol w:w="1471"/>
        <w:gridCol w:w="1289"/>
      </w:tblGrid>
      <w:tr w:rsidR="009E3BA7" w:rsidRPr="009E3BA7" w14:paraId="74862D27" w14:textId="77777777" w:rsidTr="009E3BA7">
        <w:trPr>
          <w:cantSplit/>
          <w:jc w:val="center"/>
        </w:trPr>
        <w:tc>
          <w:tcPr>
            <w:tcW w:w="5000" w:type="pct"/>
            <w:gridSpan w:val="7"/>
            <w:shd w:val="clear" w:color="auto" w:fill="D9D9D9"/>
          </w:tcPr>
          <w:p w14:paraId="3DEAB656" w14:textId="2620948E"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 xml:space="preserve">RM19-12-000 </w:t>
            </w:r>
            <w:r w:rsidR="00D42FA3" w:rsidRPr="00E9060E">
              <w:rPr>
                <w:rFonts w:ascii="Times New Roman" w:hAnsi="Times New Roman"/>
                <w:b/>
                <w:sz w:val="26"/>
                <w:szCs w:val="26"/>
              </w:rPr>
              <w:t>Final Rule</w:t>
            </w:r>
          </w:p>
          <w:p w14:paraId="7061D71B"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One-Time Implementation Burden, in Year 1</w:t>
            </w:r>
          </w:p>
        </w:tc>
      </w:tr>
      <w:tr w:rsidR="009E3BA7" w:rsidRPr="009E3BA7" w14:paraId="7973BBFA" w14:textId="77777777" w:rsidTr="009E3BA7">
        <w:trPr>
          <w:cantSplit/>
          <w:jc w:val="center"/>
        </w:trPr>
        <w:tc>
          <w:tcPr>
            <w:tcW w:w="864" w:type="pct"/>
            <w:shd w:val="clear" w:color="auto" w:fill="D9D9D9"/>
            <w:vAlign w:val="bottom"/>
          </w:tcPr>
          <w:p w14:paraId="5A7F253B" w14:textId="738ADF7A" w:rsidR="009E3BA7" w:rsidRPr="00E9060E" w:rsidRDefault="00D42FA3" w:rsidP="00D42FA3">
            <w:pPr>
              <w:keepNext/>
              <w:spacing w:after="0" w:line="240" w:lineRule="auto"/>
              <w:rPr>
                <w:rFonts w:ascii="Times New Roman" w:hAnsi="Times New Roman"/>
                <w:b/>
                <w:sz w:val="26"/>
                <w:szCs w:val="26"/>
              </w:rPr>
            </w:pPr>
            <w:r w:rsidRPr="00E9060E">
              <w:rPr>
                <w:rFonts w:ascii="Times New Roman" w:hAnsi="Times New Roman"/>
                <w:b/>
                <w:sz w:val="26"/>
                <w:szCs w:val="26"/>
              </w:rPr>
              <w:t>Information Collection (FERC Form No.)</w:t>
            </w:r>
          </w:p>
        </w:tc>
        <w:tc>
          <w:tcPr>
            <w:tcW w:w="722" w:type="pct"/>
            <w:shd w:val="clear" w:color="auto" w:fill="D9D9D9"/>
            <w:vAlign w:val="bottom"/>
          </w:tcPr>
          <w:p w14:paraId="5AC43035"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Number of Respondents</w:t>
            </w:r>
          </w:p>
          <w:p w14:paraId="337A510C"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w:t>
            </w:r>
          </w:p>
        </w:tc>
        <w:tc>
          <w:tcPr>
            <w:tcW w:w="673" w:type="pct"/>
            <w:shd w:val="clear" w:color="auto" w:fill="D9D9D9"/>
            <w:vAlign w:val="bottom"/>
          </w:tcPr>
          <w:p w14:paraId="7684137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Number of Responses per Respondent</w:t>
            </w:r>
          </w:p>
          <w:p w14:paraId="43ECDCA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(2)</w:t>
            </w:r>
          </w:p>
        </w:tc>
        <w:tc>
          <w:tcPr>
            <w:tcW w:w="625" w:type="pct"/>
            <w:shd w:val="clear" w:color="auto" w:fill="D9D9D9"/>
            <w:vAlign w:val="bottom"/>
          </w:tcPr>
          <w:p w14:paraId="70DAEEA0"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Number of Responses</w:t>
            </w:r>
          </w:p>
          <w:p w14:paraId="1A017427"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(1)*(2)=(3)</w:t>
            </w:r>
          </w:p>
        </w:tc>
        <w:tc>
          <w:tcPr>
            <w:tcW w:w="675" w:type="pct"/>
            <w:shd w:val="clear" w:color="auto" w:fill="D9D9D9"/>
            <w:vAlign w:val="bottom"/>
          </w:tcPr>
          <w:p w14:paraId="44D1B1B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Average Burden &amp; Cost Per Response</w:t>
            </w:r>
            <w:r w:rsidRPr="00E9060E">
              <w:rPr>
                <w:rFonts w:ascii="Times New Roman" w:hAnsi="Times New Roman"/>
                <w:b/>
                <w:sz w:val="26"/>
                <w:szCs w:val="26"/>
                <w:vertAlign w:val="superscript"/>
              </w:rPr>
              <w:footnoteReference w:id="17"/>
            </w:r>
          </w:p>
          <w:p w14:paraId="3B9C9AF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(4)</w:t>
            </w:r>
          </w:p>
        </w:tc>
        <w:tc>
          <w:tcPr>
            <w:tcW w:w="768" w:type="pct"/>
            <w:shd w:val="clear" w:color="auto" w:fill="D9D9D9"/>
            <w:vAlign w:val="bottom"/>
          </w:tcPr>
          <w:p w14:paraId="01F2DB5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Annual Burden Hours &amp; Cost</w:t>
            </w:r>
            <w:r w:rsidRPr="00E9060E">
              <w:rPr>
                <w:rFonts w:ascii="Times New Roman" w:hAnsi="Times New Roman"/>
                <w:b/>
                <w:sz w:val="26"/>
                <w:szCs w:val="26"/>
                <w:vertAlign w:val="superscript"/>
              </w:rPr>
              <w:footnoteReference w:id="18"/>
            </w:r>
          </w:p>
          <w:p w14:paraId="5CD65780"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(3)*(4)=(5)</w:t>
            </w:r>
          </w:p>
        </w:tc>
        <w:tc>
          <w:tcPr>
            <w:tcW w:w="673" w:type="pct"/>
            <w:shd w:val="clear" w:color="auto" w:fill="D9D9D9"/>
            <w:vAlign w:val="bottom"/>
          </w:tcPr>
          <w:p w14:paraId="25E7A5B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Cost per Respondent ($)</w:t>
            </w:r>
          </w:p>
          <w:p w14:paraId="42CE252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(5)÷(1)</w:t>
            </w:r>
          </w:p>
        </w:tc>
      </w:tr>
      <w:tr w:rsidR="009E3BA7" w:rsidRPr="009E3BA7" w14:paraId="576EF4D2"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67FF6738" w14:textId="31AC503F"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1T (</w:t>
            </w:r>
            <w:r w:rsidR="009E3BA7" w:rsidRPr="00E9060E">
              <w:rPr>
                <w:rFonts w:ascii="Times New Roman" w:hAnsi="Times New Roman"/>
                <w:sz w:val="26"/>
                <w:szCs w:val="26"/>
              </w:rPr>
              <w:t>1</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4C27C3D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3" w:type="pct"/>
            <w:tcBorders>
              <w:top w:val="single" w:sz="4" w:space="0" w:color="auto"/>
              <w:left w:val="single" w:sz="4" w:space="0" w:color="auto"/>
              <w:bottom w:val="single" w:sz="4" w:space="0" w:color="auto"/>
              <w:right w:val="single" w:sz="4" w:space="0" w:color="auto"/>
            </w:tcBorders>
            <w:vAlign w:val="bottom"/>
          </w:tcPr>
          <w:p w14:paraId="2C9193B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67DC56D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5" w:type="pct"/>
            <w:tcBorders>
              <w:top w:val="single" w:sz="4" w:space="0" w:color="auto"/>
              <w:left w:val="single" w:sz="4" w:space="0" w:color="auto"/>
              <w:bottom w:val="single" w:sz="4" w:space="0" w:color="auto"/>
              <w:right w:val="single" w:sz="4" w:space="0" w:color="auto"/>
            </w:tcBorders>
            <w:vAlign w:val="bottom"/>
          </w:tcPr>
          <w:p w14:paraId="0AFCC9B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1ED2D66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20,700 hrs.; $1,434,717</w:t>
            </w:r>
          </w:p>
        </w:tc>
        <w:tc>
          <w:tcPr>
            <w:tcW w:w="673" w:type="pct"/>
            <w:tcBorders>
              <w:top w:val="single" w:sz="4" w:space="0" w:color="auto"/>
              <w:left w:val="single" w:sz="4" w:space="0" w:color="auto"/>
              <w:bottom w:val="single" w:sz="4" w:space="0" w:color="auto"/>
              <w:right w:val="single" w:sz="4" w:space="0" w:color="auto"/>
            </w:tcBorders>
            <w:vAlign w:val="bottom"/>
          </w:tcPr>
          <w:p w14:paraId="1979243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079883C3"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6B307E3" w14:textId="50BDA8AE"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1-FT (</w:t>
            </w:r>
            <w:r w:rsidR="009E3BA7" w:rsidRPr="00E9060E">
              <w:rPr>
                <w:rFonts w:ascii="Times New Roman" w:hAnsi="Times New Roman"/>
                <w:sz w:val="26"/>
                <w:szCs w:val="26"/>
              </w:rPr>
              <w:t>1-F</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2D42630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3" w:type="pct"/>
            <w:tcBorders>
              <w:top w:val="single" w:sz="4" w:space="0" w:color="auto"/>
              <w:left w:val="single" w:sz="4" w:space="0" w:color="auto"/>
              <w:bottom w:val="single" w:sz="4" w:space="0" w:color="auto"/>
              <w:right w:val="single" w:sz="4" w:space="0" w:color="auto"/>
            </w:tcBorders>
            <w:vAlign w:val="bottom"/>
          </w:tcPr>
          <w:p w14:paraId="66DD31D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4ECF124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5" w:type="pct"/>
            <w:tcBorders>
              <w:top w:val="single" w:sz="4" w:space="0" w:color="auto"/>
              <w:left w:val="single" w:sz="4" w:space="0" w:color="auto"/>
              <w:bottom w:val="single" w:sz="4" w:space="0" w:color="auto"/>
              <w:right w:val="single" w:sz="4" w:space="0" w:color="auto"/>
            </w:tcBorders>
            <w:vAlign w:val="bottom"/>
          </w:tcPr>
          <w:p w14:paraId="78FDE91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3FE3FE6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500 hrs.; $34,655</w:t>
            </w:r>
          </w:p>
        </w:tc>
        <w:tc>
          <w:tcPr>
            <w:tcW w:w="673" w:type="pct"/>
            <w:tcBorders>
              <w:top w:val="single" w:sz="4" w:space="0" w:color="auto"/>
              <w:left w:val="single" w:sz="4" w:space="0" w:color="auto"/>
              <w:bottom w:val="single" w:sz="4" w:space="0" w:color="auto"/>
              <w:right w:val="single" w:sz="4" w:space="0" w:color="auto"/>
            </w:tcBorders>
            <w:vAlign w:val="bottom"/>
          </w:tcPr>
          <w:p w14:paraId="28A2C62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407FC8E5"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038F29" w14:textId="1F43833A"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electric (</w:t>
            </w:r>
            <w:r w:rsidR="009E3BA7" w:rsidRPr="00E9060E">
              <w:rPr>
                <w:rFonts w:ascii="Times New Roman" w:hAnsi="Times New Roman"/>
                <w:sz w:val="26"/>
                <w:szCs w:val="26"/>
              </w:rPr>
              <w:t>3-Q electric</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0097B7A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212</w:t>
            </w:r>
          </w:p>
        </w:tc>
        <w:tc>
          <w:tcPr>
            <w:tcW w:w="673" w:type="pct"/>
            <w:tcBorders>
              <w:top w:val="single" w:sz="4" w:space="0" w:color="auto"/>
              <w:left w:val="single" w:sz="4" w:space="0" w:color="auto"/>
              <w:bottom w:val="single" w:sz="4" w:space="0" w:color="auto"/>
              <w:right w:val="single" w:sz="4" w:space="0" w:color="auto"/>
            </w:tcBorders>
            <w:vAlign w:val="bottom"/>
          </w:tcPr>
          <w:p w14:paraId="576DCF3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tcBorders>
              <w:top w:val="single" w:sz="4" w:space="0" w:color="auto"/>
              <w:left w:val="single" w:sz="4" w:space="0" w:color="auto"/>
              <w:bottom w:val="single" w:sz="4" w:space="0" w:color="auto"/>
              <w:right w:val="single" w:sz="4" w:space="0" w:color="auto"/>
            </w:tcBorders>
            <w:vAlign w:val="bottom"/>
          </w:tcPr>
          <w:p w14:paraId="2AB29FB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636</w:t>
            </w:r>
          </w:p>
        </w:tc>
        <w:tc>
          <w:tcPr>
            <w:tcW w:w="675" w:type="pct"/>
            <w:tcBorders>
              <w:top w:val="single" w:sz="4" w:space="0" w:color="auto"/>
              <w:left w:val="single" w:sz="4" w:space="0" w:color="auto"/>
              <w:bottom w:val="single" w:sz="4" w:space="0" w:color="auto"/>
              <w:right w:val="single" w:sz="4" w:space="0" w:color="auto"/>
            </w:tcBorders>
            <w:vAlign w:val="bottom"/>
          </w:tcPr>
          <w:p w14:paraId="21A62C5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r w:rsidRPr="00E9060E">
              <w:rPr>
                <w:rFonts w:ascii="Times New Roman" w:hAnsi="Times New Roman"/>
                <w:b/>
                <w:sz w:val="26"/>
                <w:szCs w:val="26"/>
                <w:vertAlign w:val="superscript"/>
              </w:rPr>
              <w:footnoteReference w:id="19"/>
            </w:r>
          </w:p>
        </w:tc>
        <w:tc>
          <w:tcPr>
            <w:tcW w:w="768" w:type="pct"/>
            <w:tcBorders>
              <w:top w:val="single" w:sz="4" w:space="0" w:color="auto"/>
              <w:left w:val="single" w:sz="4" w:space="0" w:color="auto"/>
              <w:bottom w:val="single" w:sz="4" w:space="0" w:color="auto"/>
              <w:right w:val="single" w:sz="4" w:space="0" w:color="auto"/>
            </w:tcBorders>
            <w:vAlign w:val="bottom"/>
          </w:tcPr>
          <w:p w14:paraId="7EFEC4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vAlign w:val="bottom"/>
          </w:tcPr>
          <w:p w14:paraId="0EB493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573CCC71"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4AC9F8" w14:textId="101C4606"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w:t>
            </w:r>
          </w:p>
        </w:tc>
        <w:tc>
          <w:tcPr>
            <w:tcW w:w="722" w:type="pct"/>
            <w:tcBorders>
              <w:top w:val="single" w:sz="4" w:space="0" w:color="auto"/>
              <w:left w:val="single" w:sz="4" w:space="0" w:color="auto"/>
              <w:bottom w:val="single" w:sz="4" w:space="0" w:color="auto"/>
              <w:right w:val="single" w:sz="4" w:space="0" w:color="auto"/>
            </w:tcBorders>
            <w:vAlign w:val="bottom"/>
          </w:tcPr>
          <w:p w14:paraId="2D32DB3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3" w:type="pct"/>
            <w:tcBorders>
              <w:top w:val="single" w:sz="4" w:space="0" w:color="auto"/>
              <w:left w:val="single" w:sz="4" w:space="0" w:color="auto"/>
              <w:bottom w:val="single" w:sz="4" w:space="0" w:color="auto"/>
              <w:right w:val="single" w:sz="4" w:space="0" w:color="auto"/>
            </w:tcBorders>
            <w:vAlign w:val="bottom"/>
          </w:tcPr>
          <w:p w14:paraId="1311196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207BDB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5" w:type="pct"/>
            <w:tcBorders>
              <w:top w:val="single" w:sz="4" w:space="0" w:color="auto"/>
              <w:left w:val="single" w:sz="4" w:space="0" w:color="auto"/>
              <w:bottom w:val="single" w:sz="4" w:space="0" w:color="auto"/>
              <w:right w:val="single" w:sz="4" w:space="0" w:color="auto"/>
            </w:tcBorders>
            <w:vAlign w:val="bottom"/>
          </w:tcPr>
          <w:p w14:paraId="4E0640B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60EE11F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9,200 hrs.; $637,652</w:t>
            </w:r>
          </w:p>
        </w:tc>
        <w:tc>
          <w:tcPr>
            <w:tcW w:w="673" w:type="pct"/>
            <w:tcBorders>
              <w:top w:val="single" w:sz="4" w:space="0" w:color="auto"/>
              <w:left w:val="single" w:sz="4" w:space="0" w:color="auto"/>
              <w:bottom w:val="single" w:sz="4" w:space="0" w:color="auto"/>
              <w:right w:val="single" w:sz="4" w:space="0" w:color="auto"/>
            </w:tcBorders>
            <w:vAlign w:val="bottom"/>
          </w:tcPr>
          <w:p w14:paraId="283368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1F7385A8"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27BF200" w14:textId="024C1AA9"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2-A</w:t>
            </w:r>
          </w:p>
        </w:tc>
        <w:tc>
          <w:tcPr>
            <w:tcW w:w="722" w:type="pct"/>
            <w:tcBorders>
              <w:top w:val="single" w:sz="4" w:space="0" w:color="auto"/>
              <w:left w:val="single" w:sz="4" w:space="0" w:color="auto"/>
              <w:bottom w:val="single" w:sz="4" w:space="0" w:color="auto"/>
              <w:right w:val="single" w:sz="4" w:space="0" w:color="auto"/>
            </w:tcBorders>
            <w:vAlign w:val="bottom"/>
          </w:tcPr>
          <w:p w14:paraId="77FFD9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3" w:type="pct"/>
            <w:tcBorders>
              <w:top w:val="single" w:sz="4" w:space="0" w:color="auto"/>
              <w:left w:val="single" w:sz="4" w:space="0" w:color="auto"/>
              <w:bottom w:val="single" w:sz="4" w:space="0" w:color="auto"/>
              <w:right w:val="single" w:sz="4" w:space="0" w:color="auto"/>
            </w:tcBorders>
            <w:vAlign w:val="bottom"/>
          </w:tcPr>
          <w:p w14:paraId="2D55FAC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5681A7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5" w:type="pct"/>
            <w:tcBorders>
              <w:top w:val="single" w:sz="4" w:space="0" w:color="auto"/>
              <w:left w:val="single" w:sz="4" w:space="0" w:color="auto"/>
              <w:bottom w:val="single" w:sz="4" w:space="0" w:color="auto"/>
              <w:right w:val="single" w:sz="4" w:space="0" w:color="auto"/>
            </w:tcBorders>
            <w:vAlign w:val="bottom"/>
          </w:tcPr>
          <w:p w14:paraId="4705226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2B0608B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7,300 hrs.; $505,963</w:t>
            </w:r>
          </w:p>
        </w:tc>
        <w:tc>
          <w:tcPr>
            <w:tcW w:w="673" w:type="pct"/>
            <w:tcBorders>
              <w:top w:val="single" w:sz="4" w:space="0" w:color="auto"/>
              <w:left w:val="single" w:sz="4" w:space="0" w:color="auto"/>
              <w:bottom w:val="single" w:sz="4" w:space="0" w:color="auto"/>
              <w:right w:val="single" w:sz="4" w:space="0" w:color="auto"/>
            </w:tcBorders>
            <w:vAlign w:val="bottom"/>
          </w:tcPr>
          <w:p w14:paraId="2188FD8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51FBF96D" w14:textId="77777777" w:rsidTr="009E3BA7">
        <w:trPr>
          <w:cantSplit/>
          <w:jc w:val="center"/>
        </w:trPr>
        <w:tc>
          <w:tcPr>
            <w:tcW w:w="864" w:type="pct"/>
          </w:tcPr>
          <w:p w14:paraId="2DDB2E70" w14:textId="1C0F69EB"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natural gas (</w:t>
            </w:r>
            <w:r w:rsidR="009E3BA7" w:rsidRPr="00E9060E">
              <w:rPr>
                <w:rFonts w:ascii="Times New Roman" w:hAnsi="Times New Roman"/>
                <w:sz w:val="26"/>
                <w:szCs w:val="26"/>
              </w:rPr>
              <w:t>3-Q natural gas</w:t>
            </w:r>
            <w:r w:rsidRPr="00E9060E">
              <w:rPr>
                <w:rFonts w:ascii="Times New Roman" w:hAnsi="Times New Roman"/>
                <w:sz w:val="26"/>
                <w:szCs w:val="26"/>
              </w:rPr>
              <w:t>)</w:t>
            </w:r>
          </w:p>
        </w:tc>
        <w:tc>
          <w:tcPr>
            <w:tcW w:w="722" w:type="pct"/>
            <w:vAlign w:val="bottom"/>
          </w:tcPr>
          <w:p w14:paraId="4C913F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165</w:t>
            </w:r>
          </w:p>
        </w:tc>
        <w:tc>
          <w:tcPr>
            <w:tcW w:w="673" w:type="pct"/>
            <w:vAlign w:val="bottom"/>
          </w:tcPr>
          <w:p w14:paraId="7B32706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590FEAD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495</w:t>
            </w:r>
          </w:p>
        </w:tc>
        <w:tc>
          <w:tcPr>
            <w:tcW w:w="675" w:type="pct"/>
            <w:vAlign w:val="bottom"/>
          </w:tcPr>
          <w:p w14:paraId="52B089C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68" w:type="pct"/>
            <w:tcBorders>
              <w:top w:val="single" w:sz="4" w:space="0" w:color="auto"/>
              <w:left w:val="single" w:sz="4" w:space="0" w:color="auto"/>
              <w:bottom w:val="single" w:sz="4" w:space="0" w:color="auto"/>
              <w:right w:val="single" w:sz="4" w:space="0" w:color="auto"/>
            </w:tcBorders>
          </w:tcPr>
          <w:p w14:paraId="59A26B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tcPr>
          <w:p w14:paraId="46F221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B38A5A7" w14:textId="77777777" w:rsidTr="009E3BA7">
        <w:trPr>
          <w:cantSplit/>
          <w:jc w:val="center"/>
        </w:trPr>
        <w:tc>
          <w:tcPr>
            <w:tcW w:w="864" w:type="pct"/>
          </w:tcPr>
          <w:p w14:paraId="4A9CA0D7" w14:textId="6C4ECDF9" w:rsidR="009E3BA7" w:rsidRPr="00E9060E" w:rsidRDefault="00353CD5" w:rsidP="00BD0F89">
            <w:pPr>
              <w:keepNext/>
              <w:spacing w:after="0" w:line="240" w:lineRule="auto"/>
              <w:rPr>
                <w:rFonts w:ascii="Times New Roman" w:hAnsi="Times New Roman"/>
                <w:b/>
                <w:sz w:val="26"/>
                <w:szCs w:val="26"/>
              </w:rPr>
            </w:pPr>
            <w:r w:rsidRPr="00E9060E">
              <w:rPr>
                <w:rFonts w:ascii="Times New Roman" w:hAnsi="Times New Roman"/>
                <w:sz w:val="26"/>
                <w:szCs w:val="26"/>
              </w:rPr>
              <w:t>6T (</w:t>
            </w:r>
            <w:r w:rsidR="009E3BA7" w:rsidRPr="00E9060E">
              <w:rPr>
                <w:rFonts w:ascii="Times New Roman" w:hAnsi="Times New Roman"/>
                <w:sz w:val="26"/>
                <w:szCs w:val="26"/>
              </w:rPr>
              <w:t>6</w:t>
            </w:r>
            <w:r w:rsidRPr="00E9060E">
              <w:rPr>
                <w:rFonts w:ascii="Times New Roman" w:hAnsi="Times New Roman"/>
                <w:sz w:val="26"/>
                <w:szCs w:val="26"/>
              </w:rPr>
              <w:t>)</w:t>
            </w:r>
          </w:p>
        </w:tc>
        <w:tc>
          <w:tcPr>
            <w:tcW w:w="722" w:type="pct"/>
            <w:vAlign w:val="bottom"/>
          </w:tcPr>
          <w:p w14:paraId="75D3349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3" w:type="pct"/>
            <w:vAlign w:val="bottom"/>
          </w:tcPr>
          <w:p w14:paraId="42947E0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55B4E82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5" w:type="pct"/>
            <w:vAlign w:val="bottom"/>
          </w:tcPr>
          <w:p w14:paraId="183A1C4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tcPr>
          <w:p w14:paraId="085C4F1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24,400 hrs.; $1,691,164</w:t>
            </w:r>
          </w:p>
        </w:tc>
        <w:tc>
          <w:tcPr>
            <w:tcW w:w="673" w:type="pct"/>
            <w:tcBorders>
              <w:top w:val="single" w:sz="4" w:space="0" w:color="auto"/>
              <w:left w:val="single" w:sz="4" w:space="0" w:color="auto"/>
              <w:bottom w:val="single" w:sz="4" w:space="0" w:color="auto"/>
              <w:right w:val="single" w:sz="4" w:space="0" w:color="auto"/>
            </w:tcBorders>
          </w:tcPr>
          <w:p w14:paraId="58525FF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35B694C0" w14:textId="77777777" w:rsidTr="009E3BA7">
        <w:trPr>
          <w:cantSplit/>
          <w:jc w:val="center"/>
        </w:trPr>
        <w:tc>
          <w:tcPr>
            <w:tcW w:w="864" w:type="pct"/>
          </w:tcPr>
          <w:p w14:paraId="7737DB78" w14:textId="6FAA51BC"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6-QT (</w:t>
            </w:r>
            <w:r w:rsidR="009E3BA7" w:rsidRPr="00E9060E">
              <w:rPr>
                <w:rFonts w:ascii="Times New Roman" w:hAnsi="Times New Roman"/>
                <w:sz w:val="26"/>
                <w:szCs w:val="26"/>
              </w:rPr>
              <w:t>6-Q</w:t>
            </w:r>
            <w:r w:rsidRPr="00E9060E">
              <w:rPr>
                <w:rFonts w:ascii="Times New Roman" w:hAnsi="Times New Roman"/>
                <w:sz w:val="26"/>
                <w:szCs w:val="26"/>
              </w:rPr>
              <w:t>)</w:t>
            </w:r>
          </w:p>
        </w:tc>
        <w:tc>
          <w:tcPr>
            <w:tcW w:w="722" w:type="pct"/>
            <w:vAlign w:val="bottom"/>
          </w:tcPr>
          <w:p w14:paraId="34EB88B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3" w:type="pct"/>
            <w:vAlign w:val="bottom"/>
          </w:tcPr>
          <w:p w14:paraId="4AE8097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42C06DF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732</w:t>
            </w:r>
          </w:p>
        </w:tc>
        <w:tc>
          <w:tcPr>
            <w:tcW w:w="675" w:type="pct"/>
            <w:vAlign w:val="bottom"/>
          </w:tcPr>
          <w:p w14:paraId="6B47F5C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68" w:type="pct"/>
            <w:tcBorders>
              <w:top w:val="single" w:sz="4" w:space="0" w:color="auto"/>
              <w:left w:val="single" w:sz="4" w:space="0" w:color="auto"/>
              <w:bottom w:val="single" w:sz="4" w:space="0" w:color="auto"/>
              <w:right w:val="single" w:sz="4" w:space="0" w:color="auto"/>
            </w:tcBorders>
          </w:tcPr>
          <w:p w14:paraId="42AD751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tcPr>
          <w:p w14:paraId="1372C9D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A54892C" w14:textId="77777777" w:rsidTr="009E3BA7">
        <w:trPr>
          <w:cantSplit/>
          <w:jc w:val="center"/>
        </w:trPr>
        <w:tc>
          <w:tcPr>
            <w:tcW w:w="864" w:type="pct"/>
          </w:tcPr>
          <w:p w14:paraId="38755A73" w14:textId="45F41860"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sz w:val="26"/>
                <w:szCs w:val="26"/>
              </w:rPr>
              <w:t>60</w:t>
            </w:r>
            <w:r w:rsidR="0051491B" w:rsidRPr="00E9060E">
              <w:rPr>
                <w:rFonts w:ascii="Times New Roman" w:hAnsi="Times New Roman"/>
                <w:sz w:val="26"/>
                <w:szCs w:val="26"/>
              </w:rPr>
              <w:t>A</w:t>
            </w:r>
            <w:r w:rsidR="009E65E7" w:rsidRPr="00E9060E">
              <w:rPr>
                <w:rFonts w:ascii="Times New Roman" w:hAnsi="Times New Roman"/>
                <w:sz w:val="26"/>
                <w:szCs w:val="26"/>
              </w:rPr>
              <w:t xml:space="preserve"> (60)</w:t>
            </w:r>
          </w:p>
        </w:tc>
        <w:tc>
          <w:tcPr>
            <w:tcW w:w="722" w:type="pct"/>
            <w:vAlign w:val="bottom"/>
          </w:tcPr>
          <w:p w14:paraId="091BB94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3" w:type="pct"/>
            <w:vAlign w:val="bottom"/>
          </w:tcPr>
          <w:p w14:paraId="07A0C2C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3D5CECD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5" w:type="pct"/>
            <w:vAlign w:val="bottom"/>
          </w:tcPr>
          <w:p w14:paraId="30F5BAF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 hrs.; $1,386.20</w:t>
            </w:r>
          </w:p>
        </w:tc>
        <w:tc>
          <w:tcPr>
            <w:tcW w:w="768" w:type="pct"/>
            <w:tcBorders>
              <w:top w:val="single" w:sz="4" w:space="0" w:color="auto"/>
              <w:left w:val="single" w:sz="4" w:space="0" w:color="auto"/>
              <w:bottom w:val="single" w:sz="4" w:space="0" w:color="auto"/>
              <w:right w:val="single" w:sz="4" w:space="0" w:color="auto"/>
            </w:tcBorders>
          </w:tcPr>
          <w:p w14:paraId="5E12293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780 hrs.; $54,062</w:t>
            </w:r>
          </w:p>
        </w:tc>
        <w:tc>
          <w:tcPr>
            <w:tcW w:w="673" w:type="pct"/>
            <w:tcBorders>
              <w:top w:val="single" w:sz="4" w:space="0" w:color="auto"/>
              <w:left w:val="single" w:sz="4" w:space="0" w:color="auto"/>
              <w:bottom w:val="single" w:sz="4" w:space="0" w:color="auto"/>
              <w:right w:val="single" w:sz="4" w:space="0" w:color="auto"/>
            </w:tcBorders>
          </w:tcPr>
          <w:p w14:paraId="79C3DF2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$1,386.20</w:t>
            </w:r>
          </w:p>
        </w:tc>
      </w:tr>
      <w:tr w:rsidR="009E3BA7" w:rsidRPr="009E3BA7" w14:paraId="62335C2A" w14:textId="77777777" w:rsidTr="009E3BA7">
        <w:trPr>
          <w:cantSplit/>
          <w:jc w:val="center"/>
        </w:trPr>
        <w:tc>
          <w:tcPr>
            <w:tcW w:w="864" w:type="pct"/>
          </w:tcPr>
          <w:p w14:paraId="481F4B34" w14:textId="1E3FFD75" w:rsidR="009E3BA7" w:rsidRPr="00E9060E" w:rsidRDefault="009E3BA7" w:rsidP="00353CD5">
            <w:pPr>
              <w:keepNext/>
              <w:spacing w:after="0" w:line="240" w:lineRule="auto"/>
              <w:rPr>
                <w:rFonts w:ascii="Times New Roman" w:hAnsi="Times New Roman"/>
                <w:b/>
                <w:sz w:val="26"/>
                <w:szCs w:val="26"/>
              </w:rPr>
            </w:pPr>
            <w:r w:rsidRPr="00E9060E">
              <w:rPr>
                <w:rFonts w:ascii="Times New Roman" w:hAnsi="Times New Roman"/>
                <w:sz w:val="26"/>
                <w:szCs w:val="26"/>
              </w:rPr>
              <w:t>714</w:t>
            </w:r>
          </w:p>
        </w:tc>
        <w:tc>
          <w:tcPr>
            <w:tcW w:w="722" w:type="pct"/>
            <w:vAlign w:val="bottom"/>
          </w:tcPr>
          <w:p w14:paraId="7394EB2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3" w:type="pct"/>
            <w:vAlign w:val="bottom"/>
          </w:tcPr>
          <w:p w14:paraId="330DE1C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369C5CF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5" w:type="pct"/>
            <w:vAlign w:val="bottom"/>
          </w:tcPr>
          <w:p w14:paraId="27A6AA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15 hrs.; $1,039.65</w:t>
            </w:r>
          </w:p>
        </w:tc>
        <w:tc>
          <w:tcPr>
            <w:tcW w:w="768" w:type="pct"/>
            <w:tcBorders>
              <w:top w:val="single" w:sz="4" w:space="0" w:color="auto"/>
              <w:left w:val="single" w:sz="4" w:space="0" w:color="auto"/>
              <w:bottom w:val="single" w:sz="4" w:space="0" w:color="auto"/>
              <w:right w:val="single" w:sz="4" w:space="0" w:color="auto"/>
            </w:tcBorders>
          </w:tcPr>
          <w:p w14:paraId="3FDC2AC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2,640 hrs.; $182,977</w:t>
            </w:r>
          </w:p>
        </w:tc>
        <w:tc>
          <w:tcPr>
            <w:tcW w:w="673" w:type="pct"/>
            <w:tcBorders>
              <w:top w:val="single" w:sz="4" w:space="0" w:color="auto"/>
              <w:left w:val="single" w:sz="4" w:space="0" w:color="auto"/>
              <w:bottom w:val="single" w:sz="4" w:space="0" w:color="auto"/>
              <w:right w:val="single" w:sz="4" w:space="0" w:color="auto"/>
            </w:tcBorders>
          </w:tcPr>
          <w:p w14:paraId="7C624D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$1,039.65</w:t>
            </w:r>
          </w:p>
        </w:tc>
      </w:tr>
      <w:tr w:rsidR="009E3BA7" w:rsidRPr="009E3BA7" w14:paraId="42869A03" w14:textId="77777777" w:rsidTr="009E3BA7">
        <w:trPr>
          <w:cantSplit/>
          <w:jc w:val="center"/>
        </w:trPr>
        <w:tc>
          <w:tcPr>
            <w:tcW w:w="864" w:type="pct"/>
          </w:tcPr>
          <w:p w14:paraId="6763B31D" w14:textId="1531E7E9"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b/>
                <w:sz w:val="26"/>
                <w:szCs w:val="26"/>
              </w:rPr>
              <w:t xml:space="preserve">Total for </w:t>
            </w:r>
            <w:r w:rsidR="00D42FA3" w:rsidRPr="00E9060E">
              <w:rPr>
                <w:rFonts w:ascii="Times New Roman" w:hAnsi="Times New Roman"/>
                <w:b/>
                <w:sz w:val="26"/>
                <w:szCs w:val="26"/>
              </w:rPr>
              <w:t xml:space="preserve">One-Time </w:t>
            </w:r>
            <w:r w:rsidRPr="00E9060E">
              <w:rPr>
                <w:rFonts w:ascii="Times New Roman" w:hAnsi="Times New Roman"/>
                <w:b/>
                <w:sz w:val="26"/>
                <w:szCs w:val="26"/>
              </w:rPr>
              <w:t>Implementation Burden</w:t>
            </w:r>
          </w:p>
        </w:tc>
        <w:tc>
          <w:tcPr>
            <w:tcW w:w="1395" w:type="pct"/>
            <w:gridSpan w:val="2"/>
            <w:shd w:val="clear" w:color="auto" w:fill="D9D9D9" w:themeFill="background1" w:themeFillShade="D9"/>
            <w:vAlign w:val="bottom"/>
          </w:tcPr>
          <w:p w14:paraId="76DB4309" w14:textId="77777777" w:rsidR="009E3BA7" w:rsidRPr="00E9060E" w:rsidRDefault="009E3BA7" w:rsidP="00BD0F89">
            <w:pPr>
              <w:keepNext/>
              <w:spacing w:after="0" w:line="240" w:lineRule="auto"/>
              <w:jc w:val="right"/>
              <w:rPr>
                <w:rFonts w:ascii="Times New Roman" w:hAnsi="Times New Roman"/>
                <w:sz w:val="26"/>
                <w:szCs w:val="26"/>
              </w:rPr>
            </w:pPr>
          </w:p>
        </w:tc>
        <w:tc>
          <w:tcPr>
            <w:tcW w:w="625" w:type="pct"/>
            <w:vAlign w:val="bottom"/>
          </w:tcPr>
          <w:p w14:paraId="54A7B8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836</w:t>
            </w:r>
            <w:r w:rsidRPr="00E9060E">
              <w:rPr>
                <w:rFonts w:ascii="Times New Roman" w:hAnsi="Times New Roman"/>
                <w:b/>
                <w:sz w:val="26"/>
                <w:szCs w:val="26"/>
                <w:vertAlign w:val="superscript"/>
              </w:rPr>
              <w:footnoteReference w:id="20"/>
            </w:r>
          </w:p>
        </w:tc>
        <w:tc>
          <w:tcPr>
            <w:tcW w:w="675" w:type="pct"/>
            <w:shd w:val="clear" w:color="auto" w:fill="D9D9D9" w:themeFill="background1" w:themeFillShade="D9"/>
            <w:vAlign w:val="bottom"/>
          </w:tcPr>
          <w:p w14:paraId="416BD538" w14:textId="77777777" w:rsidR="009E3BA7" w:rsidRPr="00E9060E" w:rsidRDefault="009E3BA7" w:rsidP="00BD0F89">
            <w:pPr>
              <w:keepNext/>
              <w:spacing w:after="0" w:line="240" w:lineRule="auto"/>
              <w:jc w:val="right"/>
              <w:rPr>
                <w:rFonts w:ascii="Times New Roman" w:hAnsi="Times New Roman"/>
                <w:sz w:val="26"/>
                <w:szCs w:val="26"/>
              </w:rPr>
            </w:pPr>
          </w:p>
        </w:tc>
        <w:tc>
          <w:tcPr>
            <w:tcW w:w="768" w:type="pct"/>
            <w:tcBorders>
              <w:top w:val="single" w:sz="4" w:space="0" w:color="auto"/>
              <w:left w:val="single" w:sz="4" w:space="0" w:color="auto"/>
              <w:bottom w:val="single" w:sz="4" w:space="0" w:color="auto"/>
              <w:right w:val="single" w:sz="4" w:space="0" w:color="auto"/>
            </w:tcBorders>
            <w:vAlign w:val="bottom"/>
          </w:tcPr>
          <w:p w14:paraId="60DFA4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65,520 hrs.; $4,541,190</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B6B68F" w14:textId="77777777" w:rsidR="009E3BA7" w:rsidRPr="00E9060E" w:rsidRDefault="009E3BA7" w:rsidP="00BD0F89">
            <w:pPr>
              <w:keepNext/>
              <w:spacing w:after="0" w:line="240" w:lineRule="auto"/>
              <w:jc w:val="right"/>
              <w:rPr>
                <w:rFonts w:ascii="Times New Roman" w:hAnsi="Times New Roman"/>
                <w:sz w:val="26"/>
                <w:szCs w:val="26"/>
              </w:rPr>
            </w:pPr>
          </w:p>
        </w:tc>
      </w:tr>
    </w:tbl>
    <w:p w14:paraId="473C3BA6" w14:textId="77777777" w:rsidR="0096666B" w:rsidRPr="00E9060E" w:rsidRDefault="0096666B" w:rsidP="00BD0F89">
      <w:pPr>
        <w:spacing w:after="0" w:line="240" w:lineRule="auto"/>
        <w:rPr>
          <w:rFonts w:ascii="Times New Roman" w:hAnsi="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421"/>
        <w:gridCol w:w="1383"/>
        <w:gridCol w:w="1197"/>
        <w:gridCol w:w="1291"/>
        <w:gridCol w:w="1475"/>
        <w:gridCol w:w="1285"/>
      </w:tblGrid>
      <w:tr w:rsidR="009E3BA7" w:rsidRPr="009E3BA7" w14:paraId="1D2C0EE1" w14:textId="77777777" w:rsidTr="009E3BA7">
        <w:trPr>
          <w:cantSplit/>
          <w:jc w:val="center"/>
        </w:trPr>
        <w:tc>
          <w:tcPr>
            <w:tcW w:w="5000" w:type="pct"/>
            <w:gridSpan w:val="7"/>
            <w:shd w:val="clear" w:color="auto" w:fill="D9D9D9"/>
          </w:tcPr>
          <w:p w14:paraId="6BECE844" w14:textId="68E22071"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 xml:space="preserve">RM19-12-000 </w:t>
            </w:r>
            <w:r w:rsidR="00D42FA3" w:rsidRPr="00E9060E">
              <w:rPr>
                <w:rFonts w:ascii="Times New Roman" w:hAnsi="Times New Roman"/>
                <w:b/>
                <w:sz w:val="26"/>
                <w:szCs w:val="26"/>
              </w:rPr>
              <w:t>Final Rule</w:t>
            </w:r>
          </w:p>
          <w:p w14:paraId="7A9765D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Ongoing System Maintenance Burden, Starting in Year 2</w:t>
            </w:r>
          </w:p>
        </w:tc>
      </w:tr>
      <w:tr w:rsidR="009E3BA7" w:rsidRPr="009E3BA7" w14:paraId="2C0DD288" w14:textId="77777777" w:rsidTr="009E3BA7">
        <w:trPr>
          <w:cantSplit/>
          <w:jc w:val="center"/>
        </w:trPr>
        <w:tc>
          <w:tcPr>
            <w:tcW w:w="796" w:type="pct"/>
            <w:shd w:val="clear" w:color="auto" w:fill="D9D9D9"/>
            <w:vAlign w:val="bottom"/>
          </w:tcPr>
          <w:p w14:paraId="3E4392BF" w14:textId="5AA8C0AC" w:rsidR="009E3BA7" w:rsidRPr="00E9060E" w:rsidRDefault="00D42FA3" w:rsidP="00D42FA3">
            <w:pPr>
              <w:keepNext/>
              <w:spacing w:after="0" w:line="240" w:lineRule="auto"/>
              <w:rPr>
                <w:rFonts w:ascii="Times New Roman" w:hAnsi="Times New Roman"/>
                <w:b/>
                <w:sz w:val="26"/>
                <w:szCs w:val="26"/>
              </w:rPr>
            </w:pPr>
            <w:r w:rsidRPr="00E9060E">
              <w:rPr>
                <w:rFonts w:ascii="Times New Roman" w:hAnsi="Times New Roman"/>
                <w:b/>
                <w:sz w:val="26"/>
                <w:szCs w:val="26"/>
              </w:rPr>
              <w:t>Information Collection (FERC Form No.)</w:t>
            </w:r>
          </w:p>
        </w:tc>
        <w:tc>
          <w:tcPr>
            <w:tcW w:w="742" w:type="pct"/>
            <w:shd w:val="clear" w:color="auto" w:fill="D9D9D9"/>
            <w:vAlign w:val="bottom"/>
          </w:tcPr>
          <w:p w14:paraId="41618E6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Number of Respondents</w:t>
            </w:r>
          </w:p>
          <w:p w14:paraId="56A06679"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w:t>
            </w:r>
          </w:p>
        </w:tc>
        <w:tc>
          <w:tcPr>
            <w:tcW w:w="722" w:type="pct"/>
            <w:shd w:val="clear" w:color="auto" w:fill="D9D9D9"/>
            <w:vAlign w:val="bottom"/>
          </w:tcPr>
          <w:p w14:paraId="6288091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Number of Responses per Respondent</w:t>
            </w:r>
          </w:p>
          <w:p w14:paraId="17D2C9F3"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(2)</w:t>
            </w:r>
          </w:p>
        </w:tc>
        <w:tc>
          <w:tcPr>
            <w:tcW w:w="625" w:type="pct"/>
            <w:shd w:val="clear" w:color="auto" w:fill="D9D9D9"/>
            <w:vAlign w:val="bottom"/>
          </w:tcPr>
          <w:p w14:paraId="0C9A2108"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Number of Responses</w:t>
            </w:r>
          </w:p>
          <w:p w14:paraId="0FF1FAC3"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(1)*(2)=(3)</w:t>
            </w:r>
          </w:p>
        </w:tc>
        <w:tc>
          <w:tcPr>
            <w:tcW w:w="674" w:type="pct"/>
            <w:shd w:val="clear" w:color="auto" w:fill="D9D9D9"/>
            <w:vAlign w:val="bottom"/>
          </w:tcPr>
          <w:p w14:paraId="512DCFEC"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Average Burden &amp; Cost Per Response</w:t>
            </w:r>
            <w:r w:rsidRPr="00E9060E">
              <w:rPr>
                <w:rFonts w:ascii="Times New Roman" w:hAnsi="Times New Roman"/>
                <w:b/>
                <w:sz w:val="26"/>
                <w:szCs w:val="26"/>
                <w:vertAlign w:val="superscript"/>
              </w:rPr>
              <w:footnoteReference w:id="21"/>
            </w:r>
          </w:p>
          <w:p w14:paraId="658E7CB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(4)</w:t>
            </w:r>
          </w:p>
        </w:tc>
        <w:tc>
          <w:tcPr>
            <w:tcW w:w="770" w:type="pct"/>
            <w:shd w:val="clear" w:color="auto" w:fill="D9D9D9"/>
            <w:vAlign w:val="bottom"/>
          </w:tcPr>
          <w:p w14:paraId="2652FBC7"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Annual Burden Hours &amp; Cost</w:t>
            </w:r>
            <w:r w:rsidRPr="00E9060E">
              <w:rPr>
                <w:rFonts w:ascii="Times New Roman" w:hAnsi="Times New Roman"/>
                <w:b/>
                <w:sz w:val="26"/>
                <w:szCs w:val="26"/>
                <w:vertAlign w:val="superscript"/>
              </w:rPr>
              <w:footnoteReference w:id="22"/>
            </w:r>
          </w:p>
          <w:p w14:paraId="5891DAD5"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(3)*(4)=(5)</w:t>
            </w:r>
          </w:p>
        </w:tc>
        <w:tc>
          <w:tcPr>
            <w:tcW w:w="671" w:type="pct"/>
            <w:shd w:val="clear" w:color="auto" w:fill="D9D9D9"/>
            <w:vAlign w:val="bottom"/>
          </w:tcPr>
          <w:p w14:paraId="6E84F98A"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Cost per Respondent ($)</w:t>
            </w:r>
          </w:p>
          <w:p w14:paraId="7E660D01"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(5)÷(1)</w:t>
            </w:r>
          </w:p>
        </w:tc>
      </w:tr>
      <w:tr w:rsidR="009E3BA7" w:rsidRPr="009E3BA7" w14:paraId="5D75DEC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95265ED" w14:textId="16F45A85"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1T (</w:t>
            </w:r>
            <w:r w:rsidR="009E3BA7" w:rsidRPr="00E9060E">
              <w:rPr>
                <w:rFonts w:ascii="Times New Roman" w:hAnsi="Times New Roman"/>
                <w:sz w:val="26"/>
                <w:szCs w:val="26"/>
              </w:rPr>
              <w:t>1</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591D099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722" w:type="pct"/>
            <w:tcBorders>
              <w:top w:val="single" w:sz="4" w:space="0" w:color="auto"/>
              <w:left w:val="single" w:sz="4" w:space="0" w:color="auto"/>
              <w:bottom w:val="single" w:sz="4" w:space="0" w:color="auto"/>
              <w:right w:val="single" w:sz="4" w:space="0" w:color="auto"/>
            </w:tcBorders>
            <w:vAlign w:val="bottom"/>
          </w:tcPr>
          <w:p w14:paraId="4A06C80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0135191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4" w:type="pct"/>
            <w:tcBorders>
              <w:top w:val="single" w:sz="4" w:space="0" w:color="auto"/>
              <w:left w:val="single" w:sz="4" w:space="0" w:color="auto"/>
              <w:bottom w:val="single" w:sz="4" w:space="0" w:color="auto"/>
              <w:right w:val="single" w:sz="4" w:space="0" w:color="auto"/>
            </w:tcBorders>
            <w:vAlign w:val="bottom"/>
          </w:tcPr>
          <w:p w14:paraId="6D0FC7E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1174557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2,898 hrs.; $200,860</w:t>
            </w:r>
          </w:p>
        </w:tc>
        <w:tc>
          <w:tcPr>
            <w:tcW w:w="671" w:type="pct"/>
            <w:tcBorders>
              <w:top w:val="single" w:sz="4" w:space="0" w:color="auto"/>
              <w:left w:val="single" w:sz="4" w:space="0" w:color="auto"/>
              <w:bottom w:val="single" w:sz="4" w:space="0" w:color="auto"/>
              <w:right w:val="single" w:sz="4" w:space="0" w:color="auto"/>
            </w:tcBorders>
            <w:vAlign w:val="bottom"/>
          </w:tcPr>
          <w:p w14:paraId="36FE866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5ACAE707"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0DF134B8" w14:textId="538656F3"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1-FT (</w:t>
            </w:r>
            <w:r w:rsidR="009E3BA7" w:rsidRPr="00E9060E">
              <w:rPr>
                <w:rFonts w:ascii="Times New Roman" w:hAnsi="Times New Roman"/>
                <w:sz w:val="26"/>
                <w:szCs w:val="26"/>
              </w:rPr>
              <w:t>1-F</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79802CF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722" w:type="pct"/>
            <w:tcBorders>
              <w:top w:val="single" w:sz="4" w:space="0" w:color="auto"/>
              <w:left w:val="single" w:sz="4" w:space="0" w:color="auto"/>
              <w:bottom w:val="single" w:sz="4" w:space="0" w:color="auto"/>
              <w:right w:val="single" w:sz="4" w:space="0" w:color="auto"/>
            </w:tcBorders>
            <w:vAlign w:val="bottom"/>
          </w:tcPr>
          <w:p w14:paraId="4548F8E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B82CB8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4" w:type="pct"/>
            <w:tcBorders>
              <w:top w:val="single" w:sz="4" w:space="0" w:color="auto"/>
              <w:left w:val="single" w:sz="4" w:space="0" w:color="auto"/>
              <w:bottom w:val="single" w:sz="4" w:space="0" w:color="auto"/>
              <w:right w:val="single" w:sz="4" w:space="0" w:color="auto"/>
            </w:tcBorders>
            <w:vAlign w:val="bottom"/>
          </w:tcPr>
          <w:p w14:paraId="03C5F62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81B57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 xml:space="preserve">70 </w:t>
            </w:r>
            <w:bookmarkStart w:id="1" w:name="OLE_LINK1"/>
            <w:r w:rsidRPr="00E9060E">
              <w:rPr>
                <w:rFonts w:ascii="Times New Roman" w:hAnsi="Times New Roman"/>
                <w:sz w:val="26"/>
                <w:szCs w:val="26"/>
              </w:rPr>
              <w:t>hrs.;</w:t>
            </w:r>
            <w:bookmarkEnd w:id="1"/>
            <w:r w:rsidRPr="00E9060E">
              <w:rPr>
                <w:rFonts w:ascii="Times New Roman" w:hAnsi="Times New Roman"/>
                <w:sz w:val="26"/>
                <w:szCs w:val="26"/>
              </w:rPr>
              <w:t xml:space="preserve">  $4,852</w:t>
            </w:r>
          </w:p>
        </w:tc>
        <w:tc>
          <w:tcPr>
            <w:tcW w:w="671" w:type="pct"/>
            <w:tcBorders>
              <w:top w:val="single" w:sz="4" w:space="0" w:color="auto"/>
              <w:left w:val="single" w:sz="4" w:space="0" w:color="auto"/>
              <w:bottom w:val="single" w:sz="4" w:space="0" w:color="auto"/>
              <w:right w:val="single" w:sz="4" w:space="0" w:color="auto"/>
            </w:tcBorders>
            <w:vAlign w:val="bottom"/>
          </w:tcPr>
          <w:p w14:paraId="771AD0D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2B84F38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50DDB6C" w14:textId="091CA806"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electric (</w:t>
            </w:r>
            <w:r w:rsidR="009E3BA7" w:rsidRPr="00E9060E">
              <w:rPr>
                <w:rFonts w:ascii="Times New Roman" w:hAnsi="Times New Roman"/>
                <w:sz w:val="26"/>
                <w:szCs w:val="26"/>
              </w:rPr>
              <w:t>3-Q electric</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6FA79CF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212</w:t>
            </w:r>
          </w:p>
        </w:tc>
        <w:tc>
          <w:tcPr>
            <w:tcW w:w="722" w:type="pct"/>
            <w:tcBorders>
              <w:top w:val="single" w:sz="4" w:space="0" w:color="auto"/>
              <w:left w:val="single" w:sz="4" w:space="0" w:color="auto"/>
              <w:bottom w:val="single" w:sz="4" w:space="0" w:color="auto"/>
              <w:right w:val="single" w:sz="4" w:space="0" w:color="auto"/>
            </w:tcBorders>
            <w:vAlign w:val="bottom"/>
          </w:tcPr>
          <w:p w14:paraId="0C3CBA2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tcBorders>
              <w:top w:val="single" w:sz="4" w:space="0" w:color="auto"/>
              <w:left w:val="single" w:sz="4" w:space="0" w:color="auto"/>
              <w:bottom w:val="single" w:sz="4" w:space="0" w:color="auto"/>
              <w:right w:val="single" w:sz="4" w:space="0" w:color="auto"/>
            </w:tcBorders>
            <w:vAlign w:val="bottom"/>
          </w:tcPr>
          <w:p w14:paraId="10BEDDC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636</w:t>
            </w:r>
          </w:p>
        </w:tc>
        <w:tc>
          <w:tcPr>
            <w:tcW w:w="674" w:type="pct"/>
            <w:tcBorders>
              <w:top w:val="single" w:sz="4" w:space="0" w:color="auto"/>
              <w:left w:val="single" w:sz="4" w:space="0" w:color="auto"/>
              <w:bottom w:val="single" w:sz="4" w:space="0" w:color="auto"/>
              <w:right w:val="single" w:sz="4" w:space="0" w:color="auto"/>
            </w:tcBorders>
            <w:vAlign w:val="bottom"/>
          </w:tcPr>
          <w:p w14:paraId="054E490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2754341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45EFFB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71A715B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67EAEE0" w14:textId="0C2A752E"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w:t>
            </w:r>
          </w:p>
        </w:tc>
        <w:tc>
          <w:tcPr>
            <w:tcW w:w="742" w:type="pct"/>
            <w:tcBorders>
              <w:top w:val="single" w:sz="4" w:space="0" w:color="auto"/>
              <w:left w:val="single" w:sz="4" w:space="0" w:color="auto"/>
              <w:bottom w:val="single" w:sz="4" w:space="0" w:color="auto"/>
              <w:right w:val="single" w:sz="4" w:space="0" w:color="auto"/>
            </w:tcBorders>
            <w:vAlign w:val="bottom"/>
          </w:tcPr>
          <w:p w14:paraId="6507896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722" w:type="pct"/>
            <w:tcBorders>
              <w:top w:val="single" w:sz="4" w:space="0" w:color="auto"/>
              <w:left w:val="single" w:sz="4" w:space="0" w:color="auto"/>
              <w:bottom w:val="single" w:sz="4" w:space="0" w:color="auto"/>
              <w:right w:val="single" w:sz="4" w:space="0" w:color="auto"/>
            </w:tcBorders>
            <w:vAlign w:val="bottom"/>
          </w:tcPr>
          <w:p w14:paraId="6D2E75C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2A6932D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4" w:type="pct"/>
            <w:tcBorders>
              <w:top w:val="single" w:sz="4" w:space="0" w:color="auto"/>
              <w:left w:val="single" w:sz="4" w:space="0" w:color="auto"/>
              <w:bottom w:val="single" w:sz="4" w:space="0" w:color="auto"/>
              <w:right w:val="single" w:sz="4" w:space="0" w:color="auto"/>
            </w:tcBorders>
            <w:vAlign w:val="bottom"/>
          </w:tcPr>
          <w:p w14:paraId="20CFB94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03662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1,288 hrs.; $89,271</w:t>
            </w:r>
          </w:p>
        </w:tc>
        <w:tc>
          <w:tcPr>
            <w:tcW w:w="671" w:type="pct"/>
            <w:tcBorders>
              <w:top w:val="single" w:sz="4" w:space="0" w:color="auto"/>
              <w:left w:val="single" w:sz="4" w:space="0" w:color="auto"/>
              <w:bottom w:val="single" w:sz="4" w:space="0" w:color="auto"/>
              <w:right w:val="single" w:sz="4" w:space="0" w:color="auto"/>
            </w:tcBorders>
            <w:vAlign w:val="bottom"/>
          </w:tcPr>
          <w:p w14:paraId="0971E69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1E34FA1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1F869BE" w14:textId="371943B9"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2-A</w:t>
            </w:r>
          </w:p>
        </w:tc>
        <w:tc>
          <w:tcPr>
            <w:tcW w:w="742" w:type="pct"/>
            <w:tcBorders>
              <w:top w:val="single" w:sz="4" w:space="0" w:color="auto"/>
              <w:left w:val="single" w:sz="4" w:space="0" w:color="auto"/>
              <w:bottom w:val="single" w:sz="4" w:space="0" w:color="auto"/>
              <w:right w:val="single" w:sz="4" w:space="0" w:color="auto"/>
            </w:tcBorders>
            <w:vAlign w:val="bottom"/>
          </w:tcPr>
          <w:p w14:paraId="21FD5F4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722" w:type="pct"/>
            <w:tcBorders>
              <w:top w:val="single" w:sz="4" w:space="0" w:color="auto"/>
              <w:left w:val="single" w:sz="4" w:space="0" w:color="auto"/>
              <w:bottom w:val="single" w:sz="4" w:space="0" w:color="auto"/>
              <w:right w:val="single" w:sz="4" w:space="0" w:color="auto"/>
            </w:tcBorders>
            <w:vAlign w:val="bottom"/>
          </w:tcPr>
          <w:p w14:paraId="103D556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C01264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4" w:type="pct"/>
            <w:tcBorders>
              <w:top w:val="single" w:sz="4" w:space="0" w:color="auto"/>
              <w:left w:val="single" w:sz="4" w:space="0" w:color="auto"/>
              <w:bottom w:val="single" w:sz="4" w:space="0" w:color="auto"/>
              <w:right w:val="single" w:sz="4" w:space="0" w:color="auto"/>
            </w:tcBorders>
            <w:vAlign w:val="bottom"/>
          </w:tcPr>
          <w:p w14:paraId="7325786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7F89241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1,022 hrs.; $70,835</w:t>
            </w:r>
          </w:p>
        </w:tc>
        <w:tc>
          <w:tcPr>
            <w:tcW w:w="671" w:type="pct"/>
            <w:tcBorders>
              <w:top w:val="single" w:sz="4" w:space="0" w:color="auto"/>
              <w:left w:val="single" w:sz="4" w:space="0" w:color="auto"/>
              <w:bottom w:val="single" w:sz="4" w:space="0" w:color="auto"/>
              <w:right w:val="single" w:sz="4" w:space="0" w:color="auto"/>
            </w:tcBorders>
            <w:vAlign w:val="bottom"/>
          </w:tcPr>
          <w:p w14:paraId="4B3A7F5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22582B4F" w14:textId="77777777" w:rsidTr="009E3BA7">
        <w:trPr>
          <w:cantSplit/>
          <w:jc w:val="center"/>
        </w:trPr>
        <w:tc>
          <w:tcPr>
            <w:tcW w:w="796" w:type="pct"/>
          </w:tcPr>
          <w:p w14:paraId="716BF084" w14:textId="03189CA9"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natural gas (</w:t>
            </w:r>
            <w:r w:rsidR="009E3BA7" w:rsidRPr="00E9060E">
              <w:rPr>
                <w:rFonts w:ascii="Times New Roman" w:hAnsi="Times New Roman"/>
                <w:sz w:val="26"/>
                <w:szCs w:val="26"/>
              </w:rPr>
              <w:t>3-Q natural gas</w:t>
            </w:r>
            <w:r w:rsidRPr="00E9060E">
              <w:rPr>
                <w:rFonts w:ascii="Times New Roman" w:hAnsi="Times New Roman"/>
                <w:sz w:val="26"/>
                <w:szCs w:val="26"/>
              </w:rPr>
              <w:t>)</w:t>
            </w:r>
          </w:p>
        </w:tc>
        <w:tc>
          <w:tcPr>
            <w:tcW w:w="742" w:type="pct"/>
            <w:vAlign w:val="bottom"/>
          </w:tcPr>
          <w:p w14:paraId="54F6EAD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165</w:t>
            </w:r>
          </w:p>
        </w:tc>
        <w:tc>
          <w:tcPr>
            <w:tcW w:w="722" w:type="pct"/>
            <w:vAlign w:val="bottom"/>
          </w:tcPr>
          <w:p w14:paraId="1F9B3F4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21D82B9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495</w:t>
            </w:r>
          </w:p>
        </w:tc>
        <w:tc>
          <w:tcPr>
            <w:tcW w:w="674" w:type="pct"/>
            <w:vAlign w:val="bottom"/>
          </w:tcPr>
          <w:p w14:paraId="7D0DFA2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1C438FE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6F3643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1C30E391" w14:textId="77777777" w:rsidTr="009E3BA7">
        <w:trPr>
          <w:cantSplit/>
          <w:jc w:val="center"/>
        </w:trPr>
        <w:tc>
          <w:tcPr>
            <w:tcW w:w="796" w:type="pct"/>
          </w:tcPr>
          <w:p w14:paraId="2B823850" w14:textId="0D76FD12" w:rsidR="009E3BA7" w:rsidRPr="00E9060E" w:rsidRDefault="009E65E7" w:rsidP="00BD0F89">
            <w:pPr>
              <w:keepNext/>
              <w:spacing w:after="0" w:line="240" w:lineRule="auto"/>
              <w:rPr>
                <w:rFonts w:ascii="Times New Roman" w:hAnsi="Times New Roman"/>
                <w:b/>
                <w:sz w:val="26"/>
                <w:szCs w:val="26"/>
              </w:rPr>
            </w:pPr>
            <w:r w:rsidRPr="00E9060E">
              <w:rPr>
                <w:rFonts w:ascii="Times New Roman" w:hAnsi="Times New Roman"/>
                <w:sz w:val="26"/>
                <w:szCs w:val="26"/>
              </w:rPr>
              <w:t>6T (</w:t>
            </w:r>
            <w:r w:rsidR="009E3BA7" w:rsidRPr="00E9060E">
              <w:rPr>
                <w:rFonts w:ascii="Times New Roman" w:hAnsi="Times New Roman"/>
                <w:sz w:val="26"/>
                <w:szCs w:val="26"/>
              </w:rPr>
              <w:t>6</w:t>
            </w:r>
            <w:r w:rsidRPr="00E9060E">
              <w:rPr>
                <w:rFonts w:ascii="Times New Roman" w:hAnsi="Times New Roman"/>
                <w:sz w:val="26"/>
                <w:szCs w:val="26"/>
              </w:rPr>
              <w:t>)</w:t>
            </w:r>
          </w:p>
        </w:tc>
        <w:tc>
          <w:tcPr>
            <w:tcW w:w="742" w:type="pct"/>
            <w:vAlign w:val="bottom"/>
          </w:tcPr>
          <w:p w14:paraId="3DB71AE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722" w:type="pct"/>
            <w:vAlign w:val="bottom"/>
          </w:tcPr>
          <w:p w14:paraId="348FA81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06317A7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4" w:type="pct"/>
            <w:vAlign w:val="bottom"/>
          </w:tcPr>
          <w:p w14:paraId="3332F7F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455FEAC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3,416 hrs.; $236,763</w:t>
            </w:r>
          </w:p>
        </w:tc>
        <w:tc>
          <w:tcPr>
            <w:tcW w:w="671" w:type="pct"/>
            <w:tcBorders>
              <w:top w:val="single" w:sz="4" w:space="0" w:color="auto"/>
              <w:left w:val="single" w:sz="4" w:space="0" w:color="auto"/>
              <w:bottom w:val="single" w:sz="4" w:space="0" w:color="auto"/>
              <w:right w:val="single" w:sz="4" w:space="0" w:color="auto"/>
            </w:tcBorders>
            <w:vAlign w:val="bottom"/>
          </w:tcPr>
          <w:p w14:paraId="0BBE3CD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7E63DC74" w14:textId="77777777" w:rsidTr="009E3BA7">
        <w:trPr>
          <w:cantSplit/>
          <w:jc w:val="center"/>
        </w:trPr>
        <w:tc>
          <w:tcPr>
            <w:tcW w:w="796" w:type="pct"/>
          </w:tcPr>
          <w:p w14:paraId="1A96F4E4" w14:textId="1757CAA5" w:rsidR="009E3BA7" w:rsidRPr="00E9060E" w:rsidRDefault="009E65E7" w:rsidP="00BD0F89">
            <w:pPr>
              <w:keepNext/>
              <w:spacing w:after="0" w:line="240" w:lineRule="auto"/>
              <w:rPr>
                <w:rFonts w:ascii="Times New Roman" w:hAnsi="Times New Roman"/>
                <w:sz w:val="26"/>
                <w:szCs w:val="26"/>
              </w:rPr>
            </w:pPr>
            <w:r w:rsidRPr="00E9060E">
              <w:rPr>
                <w:rFonts w:ascii="Times New Roman" w:hAnsi="Times New Roman"/>
                <w:sz w:val="26"/>
                <w:szCs w:val="26"/>
              </w:rPr>
              <w:t>6-QT (</w:t>
            </w:r>
            <w:r w:rsidR="009E3BA7" w:rsidRPr="00E9060E">
              <w:rPr>
                <w:rFonts w:ascii="Times New Roman" w:hAnsi="Times New Roman"/>
                <w:sz w:val="26"/>
                <w:szCs w:val="26"/>
              </w:rPr>
              <w:t>6-Q</w:t>
            </w:r>
            <w:r w:rsidRPr="00E9060E">
              <w:rPr>
                <w:rFonts w:ascii="Times New Roman" w:hAnsi="Times New Roman"/>
                <w:sz w:val="26"/>
                <w:szCs w:val="26"/>
              </w:rPr>
              <w:t>)</w:t>
            </w:r>
          </w:p>
        </w:tc>
        <w:tc>
          <w:tcPr>
            <w:tcW w:w="742" w:type="pct"/>
            <w:vAlign w:val="bottom"/>
          </w:tcPr>
          <w:p w14:paraId="2C3D7FA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722" w:type="pct"/>
            <w:vAlign w:val="bottom"/>
          </w:tcPr>
          <w:p w14:paraId="4E5820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25E4F7F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732</w:t>
            </w:r>
          </w:p>
        </w:tc>
        <w:tc>
          <w:tcPr>
            <w:tcW w:w="674" w:type="pct"/>
            <w:vAlign w:val="bottom"/>
          </w:tcPr>
          <w:p w14:paraId="5C08C00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56BBA07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7707B97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26181C0" w14:textId="77777777" w:rsidTr="009E3BA7">
        <w:trPr>
          <w:cantSplit/>
          <w:jc w:val="center"/>
        </w:trPr>
        <w:tc>
          <w:tcPr>
            <w:tcW w:w="796" w:type="pct"/>
          </w:tcPr>
          <w:p w14:paraId="580D4BA5" w14:textId="2792138D"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sz w:val="26"/>
                <w:szCs w:val="26"/>
              </w:rPr>
              <w:t>60</w:t>
            </w:r>
            <w:r w:rsidR="0051491B" w:rsidRPr="00E9060E">
              <w:rPr>
                <w:rFonts w:ascii="Times New Roman" w:hAnsi="Times New Roman"/>
                <w:sz w:val="26"/>
                <w:szCs w:val="26"/>
              </w:rPr>
              <w:t>A</w:t>
            </w:r>
            <w:r w:rsidR="009E65E7" w:rsidRPr="00E9060E">
              <w:rPr>
                <w:rFonts w:ascii="Times New Roman" w:hAnsi="Times New Roman"/>
                <w:sz w:val="26"/>
                <w:szCs w:val="26"/>
              </w:rPr>
              <w:t xml:space="preserve"> (60)</w:t>
            </w:r>
          </w:p>
        </w:tc>
        <w:tc>
          <w:tcPr>
            <w:tcW w:w="742" w:type="pct"/>
            <w:vAlign w:val="bottom"/>
          </w:tcPr>
          <w:p w14:paraId="111BDC6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722" w:type="pct"/>
            <w:vAlign w:val="bottom"/>
          </w:tcPr>
          <w:p w14:paraId="74E203C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1DB7A5E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4" w:type="pct"/>
            <w:vAlign w:val="bottom"/>
          </w:tcPr>
          <w:p w14:paraId="2964B38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 hrs.; $207.93</w:t>
            </w:r>
          </w:p>
        </w:tc>
        <w:tc>
          <w:tcPr>
            <w:tcW w:w="770" w:type="pct"/>
            <w:tcBorders>
              <w:top w:val="single" w:sz="4" w:space="0" w:color="auto"/>
              <w:left w:val="single" w:sz="4" w:space="0" w:color="auto"/>
              <w:bottom w:val="single" w:sz="4" w:space="0" w:color="auto"/>
              <w:right w:val="single" w:sz="4" w:space="0" w:color="auto"/>
            </w:tcBorders>
            <w:vAlign w:val="bottom"/>
          </w:tcPr>
          <w:p w14:paraId="17486B1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117 hrs.; $8,109</w:t>
            </w:r>
          </w:p>
        </w:tc>
        <w:tc>
          <w:tcPr>
            <w:tcW w:w="671" w:type="pct"/>
            <w:tcBorders>
              <w:top w:val="single" w:sz="4" w:space="0" w:color="auto"/>
              <w:left w:val="single" w:sz="4" w:space="0" w:color="auto"/>
              <w:bottom w:val="single" w:sz="4" w:space="0" w:color="auto"/>
              <w:right w:val="single" w:sz="4" w:space="0" w:color="auto"/>
            </w:tcBorders>
            <w:vAlign w:val="bottom"/>
          </w:tcPr>
          <w:p w14:paraId="5040D61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$207.93</w:t>
            </w:r>
          </w:p>
        </w:tc>
      </w:tr>
      <w:tr w:rsidR="009E3BA7" w:rsidRPr="009E3BA7" w14:paraId="52E0C006" w14:textId="77777777" w:rsidTr="009E3BA7">
        <w:trPr>
          <w:cantSplit/>
          <w:jc w:val="center"/>
        </w:trPr>
        <w:tc>
          <w:tcPr>
            <w:tcW w:w="796" w:type="pct"/>
          </w:tcPr>
          <w:p w14:paraId="51BB7D56" w14:textId="1C2EEFEA" w:rsidR="009E3BA7" w:rsidRPr="00E9060E" w:rsidRDefault="009E3BA7" w:rsidP="00820D63">
            <w:pPr>
              <w:keepNext/>
              <w:spacing w:after="0" w:line="240" w:lineRule="auto"/>
              <w:rPr>
                <w:rFonts w:ascii="Times New Roman" w:hAnsi="Times New Roman"/>
                <w:b/>
                <w:sz w:val="26"/>
                <w:szCs w:val="26"/>
              </w:rPr>
            </w:pPr>
            <w:r w:rsidRPr="00E9060E">
              <w:rPr>
                <w:rFonts w:ascii="Times New Roman" w:hAnsi="Times New Roman"/>
                <w:sz w:val="26"/>
                <w:szCs w:val="26"/>
              </w:rPr>
              <w:t>714</w:t>
            </w:r>
          </w:p>
        </w:tc>
        <w:tc>
          <w:tcPr>
            <w:tcW w:w="742" w:type="pct"/>
            <w:vAlign w:val="bottom"/>
          </w:tcPr>
          <w:p w14:paraId="20C43D3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722" w:type="pct"/>
            <w:vAlign w:val="bottom"/>
          </w:tcPr>
          <w:p w14:paraId="236DFD5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4D9CC49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4" w:type="pct"/>
            <w:vAlign w:val="bottom"/>
          </w:tcPr>
          <w:p w14:paraId="122E30A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 hrs.; $138.62</w:t>
            </w:r>
          </w:p>
        </w:tc>
        <w:tc>
          <w:tcPr>
            <w:tcW w:w="770" w:type="pct"/>
            <w:tcBorders>
              <w:top w:val="single" w:sz="4" w:space="0" w:color="auto"/>
              <w:left w:val="single" w:sz="4" w:space="0" w:color="auto"/>
              <w:bottom w:val="single" w:sz="4" w:space="0" w:color="auto"/>
              <w:right w:val="single" w:sz="4" w:space="0" w:color="auto"/>
            </w:tcBorders>
            <w:vAlign w:val="bottom"/>
          </w:tcPr>
          <w:p w14:paraId="110DCD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352 hrs.; $24,397</w:t>
            </w:r>
          </w:p>
        </w:tc>
        <w:tc>
          <w:tcPr>
            <w:tcW w:w="671" w:type="pct"/>
            <w:tcBorders>
              <w:top w:val="single" w:sz="4" w:space="0" w:color="auto"/>
              <w:left w:val="single" w:sz="4" w:space="0" w:color="auto"/>
              <w:bottom w:val="single" w:sz="4" w:space="0" w:color="auto"/>
              <w:right w:val="single" w:sz="4" w:space="0" w:color="auto"/>
            </w:tcBorders>
            <w:vAlign w:val="bottom"/>
          </w:tcPr>
          <w:p w14:paraId="599F64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$138.62</w:t>
            </w:r>
          </w:p>
        </w:tc>
      </w:tr>
      <w:tr w:rsidR="009E3BA7" w:rsidRPr="009E3BA7" w14:paraId="09EFFB77" w14:textId="77777777" w:rsidTr="009E3BA7">
        <w:trPr>
          <w:cantSplit/>
          <w:jc w:val="center"/>
        </w:trPr>
        <w:tc>
          <w:tcPr>
            <w:tcW w:w="796" w:type="pct"/>
          </w:tcPr>
          <w:p w14:paraId="1333815F" w14:textId="68459D2B"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b/>
                <w:sz w:val="26"/>
                <w:szCs w:val="26"/>
              </w:rPr>
              <w:t xml:space="preserve">Total for </w:t>
            </w:r>
            <w:r w:rsidR="00D42FA3" w:rsidRPr="00E9060E">
              <w:rPr>
                <w:rFonts w:ascii="Times New Roman" w:hAnsi="Times New Roman"/>
                <w:b/>
                <w:sz w:val="26"/>
                <w:szCs w:val="26"/>
              </w:rPr>
              <w:t xml:space="preserve">Annual </w:t>
            </w:r>
            <w:r w:rsidRPr="00E9060E">
              <w:rPr>
                <w:rFonts w:ascii="Times New Roman" w:hAnsi="Times New Roman"/>
                <w:b/>
                <w:sz w:val="26"/>
                <w:szCs w:val="26"/>
              </w:rPr>
              <w:t>Ongoing Burden</w:t>
            </w:r>
            <w:r w:rsidR="00D42FA3" w:rsidRPr="00E9060E">
              <w:rPr>
                <w:rFonts w:ascii="Times New Roman" w:hAnsi="Times New Roman"/>
                <w:b/>
                <w:sz w:val="26"/>
                <w:szCs w:val="26"/>
              </w:rPr>
              <w:t>, starting in Year 2</w:t>
            </w:r>
          </w:p>
        </w:tc>
        <w:tc>
          <w:tcPr>
            <w:tcW w:w="1464" w:type="pct"/>
            <w:gridSpan w:val="2"/>
            <w:shd w:val="clear" w:color="auto" w:fill="D9D9D9" w:themeFill="background1" w:themeFillShade="D9"/>
            <w:vAlign w:val="bottom"/>
          </w:tcPr>
          <w:p w14:paraId="39F6CF29" w14:textId="77777777" w:rsidR="009E3BA7" w:rsidRPr="00E9060E" w:rsidRDefault="009E3BA7" w:rsidP="00BD0F89">
            <w:pPr>
              <w:keepNext/>
              <w:spacing w:after="0" w:line="240" w:lineRule="auto"/>
              <w:jc w:val="right"/>
              <w:rPr>
                <w:rFonts w:ascii="Times New Roman" w:hAnsi="Times New Roman"/>
                <w:sz w:val="26"/>
                <w:szCs w:val="26"/>
              </w:rPr>
            </w:pPr>
          </w:p>
        </w:tc>
        <w:tc>
          <w:tcPr>
            <w:tcW w:w="625" w:type="pct"/>
            <w:vAlign w:val="bottom"/>
          </w:tcPr>
          <w:p w14:paraId="4C7633D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836</w:t>
            </w:r>
            <w:r w:rsidRPr="009E3BA7">
              <w:rPr>
                <w:rFonts w:ascii="Times New Roman" w:hAnsi="Times New Roman"/>
                <w:b/>
                <w:sz w:val="26"/>
                <w:szCs w:val="26"/>
                <w:vertAlign w:val="superscript"/>
              </w:rPr>
              <w:footnoteReference w:id="23"/>
            </w:r>
          </w:p>
        </w:tc>
        <w:tc>
          <w:tcPr>
            <w:tcW w:w="674" w:type="pct"/>
            <w:shd w:val="clear" w:color="auto" w:fill="D9D9D9" w:themeFill="background1" w:themeFillShade="D9"/>
            <w:vAlign w:val="bottom"/>
          </w:tcPr>
          <w:p w14:paraId="6DAF4758" w14:textId="77777777" w:rsidR="009E3BA7" w:rsidRPr="00E9060E" w:rsidRDefault="009E3BA7" w:rsidP="00BD0F89">
            <w:pPr>
              <w:keepNext/>
              <w:spacing w:after="0" w:line="240" w:lineRule="auto"/>
              <w:jc w:val="right"/>
              <w:rPr>
                <w:rFonts w:ascii="Times New Roman" w:hAnsi="Times New Roman"/>
                <w:sz w:val="26"/>
                <w:szCs w:val="26"/>
              </w:rPr>
            </w:pPr>
          </w:p>
        </w:tc>
        <w:tc>
          <w:tcPr>
            <w:tcW w:w="770" w:type="pct"/>
            <w:tcBorders>
              <w:top w:val="single" w:sz="4" w:space="0" w:color="auto"/>
              <w:left w:val="single" w:sz="4" w:space="0" w:color="auto"/>
              <w:bottom w:val="single" w:sz="4" w:space="0" w:color="auto"/>
              <w:right w:val="single" w:sz="4" w:space="0" w:color="auto"/>
            </w:tcBorders>
            <w:vAlign w:val="bottom"/>
          </w:tcPr>
          <w:p w14:paraId="7850FA6B" w14:textId="77777777" w:rsidR="009E3BA7" w:rsidRPr="00E9060E" w:rsidRDefault="009E3BA7" w:rsidP="00BD0F89">
            <w:pPr>
              <w:keepNext/>
              <w:spacing w:after="0" w:line="240" w:lineRule="auto"/>
              <w:jc w:val="right"/>
              <w:rPr>
                <w:rFonts w:ascii="Times New Roman" w:hAnsi="Times New Roman"/>
                <w:sz w:val="26"/>
                <w:szCs w:val="26"/>
              </w:rPr>
            </w:pPr>
            <w:r w:rsidRPr="00E9060E" w:rsidDel="00822084">
              <w:rPr>
                <w:rFonts w:ascii="Times New Roman" w:hAnsi="Times New Roman"/>
                <w:sz w:val="26"/>
                <w:szCs w:val="26"/>
              </w:rPr>
              <w:t>9,</w:t>
            </w:r>
            <w:r w:rsidRPr="00E9060E">
              <w:rPr>
                <w:rFonts w:ascii="Times New Roman" w:hAnsi="Times New Roman"/>
                <w:sz w:val="26"/>
                <w:szCs w:val="26"/>
              </w:rPr>
              <w:t>163 hrs.; $635,087</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A3DA06" w14:textId="77777777" w:rsidR="009E3BA7" w:rsidRPr="00E9060E" w:rsidRDefault="009E3BA7" w:rsidP="00BD0F89">
            <w:pPr>
              <w:keepNext/>
              <w:spacing w:after="0" w:line="240" w:lineRule="auto"/>
              <w:jc w:val="right"/>
              <w:rPr>
                <w:rFonts w:ascii="Times New Roman" w:hAnsi="Times New Roman"/>
                <w:sz w:val="26"/>
                <w:szCs w:val="26"/>
              </w:rPr>
            </w:pPr>
          </w:p>
        </w:tc>
      </w:tr>
    </w:tbl>
    <w:p w14:paraId="568EAB31" w14:textId="77777777" w:rsidR="009E3BA7" w:rsidRPr="00E9060E" w:rsidRDefault="009E3BA7" w:rsidP="00BD0F89">
      <w:pPr>
        <w:spacing w:after="0" w:line="240" w:lineRule="auto"/>
        <w:rPr>
          <w:rFonts w:ascii="Times New Roman" w:hAnsi="Times New Roman"/>
          <w:sz w:val="26"/>
          <w:szCs w:val="26"/>
        </w:rPr>
      </w:pPr>
    </w:p>
    <w:p w14:paraId="3A4A6206" w14:textId="77777777"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Commission’s estimates for the hourly wage figure (as related to the implementation and ongoing burden estimate) are based on the Bureau of Labor Statistics data (for the Utilities sector, at </w:t>
      </w:r>
      <w:hyperlink r:id="rId14" w:history="1">
        <w:r w:rsidRPr="00E9060E">
          <w:rPr>
            <w:rStyle w:val="Hyperlink"/>
            <w:rFonts w:ascii="Times New Roman" w:hAnsi="Times New Roman"/>
            <w:sz w:val="26"/>
            <w:szCs w:val="26"/>
          </w:rPr>
          <w:t>http://www.bls.gov/oes/current/naics2_22.htm</w:t>
        </w:r>
      </w:hyperlink>
      <w:r w:rsidRPr="00E9060E">
        <w:rPr>
          <w:rFonts w:ascii="Times New Roman" w:hAnsi="Times New Roman"/>
          <w:sz w:val="26"/>
          <w:szCs w:val="26"/>
        </w:rPr>
        <w:t xml:space="preserve">, plus benefits information at </w:t>
      </w:r>
      <w:hyperlink r:id="rId15" w:history="1">
        <w:r w:rsidRPr="00E9060E">
          <w:rPr>
            <w:rStyle w:val="Hyperlink"/>
            <w:rFonts w:ascii="Times New Roman" w:hAnsi="Times New Roman"/>
            <w:sz w:val="26"/>
            <w:szCs w:val="26"/>
          </w:rPr>
          <w:t>http://www.bls.gov/news.release/ecec.nr0.htm</w:t>
        </w:r>
      </w:hyperlink>
      <w:r w:rsidRPr="00E9060E">
        <w:rPr>
          <w:rFonts w:ascii="Times New Roman" w:hAnsi="Times New Roman"/>
          <w:sz w:val="26"/>
          <w:szCs w:val="26"/>
        </w:rPr>
        <w:t>).  The salaries (plus benefits) for the eight occupational categories are:</w:t>
      </w:r>
    </w:p>
    <w:p w14:paraId="529F573F"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Management (Occupation Code: 11-0000): $94.28/hour</w:t>
      </w:r>
    </w:p>
    <w:p w14:paraId="45E2E846"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Information Security Analysts (Occupation Code: 15-1122): $60.90/hour</w:t>
      </w:r>
    </w:p>
    <w:p w14:paraId="2CF59DD9"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Legal (Occupation Code: 23-0000): $143.68/hour</w:t>
      </w:r>
    </w:p>
    <w:p w14:paraId="65B54E32"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Office and Administrative Support: $41.34/hour</w:t>
      </w:r>
    </w:p>
    <w:p w14:paraId="7785AF20"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Manager (Occupation Code: 11-3021): $96.51</w:t>
      </w:r>
    </w:p>
    <w:p w14:paraId="5E9C4C1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Management Analyst (Occupation Code: 13-1111): $63.32/hour</w:t>
      </w:r>
    </w:p>
    <w:p w14:paraId="2D201D1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Analyst (Occupation Code: 15-1120): $66.47/hour</w:t>
      </w:r>
    </w:p>
    <w:p w14:paraId="4408FC8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Accountants and Auditors (Occupation Code: 13-2011): $56.59/hour</w:t>
      </w:r>
    </w:p>
    <w:p w14:paraId="27CCCCF1" w14:textId="77777777"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average hourly cost for all eight of these categories is calculated assuming the following weights in correspondence to effort applied by each respective occupation: </w:t>
      </w:r>
    </w:p>
    <w:p w14:paraId="76DF03BA"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Management (Occupation Code: 11-0000): 5%</w:t>
      </w:r>
    </w:p>
    <w:p w14:paraId="649EF007"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Information Security Analysts (Occupation Code: 15-1122): 5%</w:t>
      </w:r>
    </w:p>
    <w:p w14:paraId="406B2751"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Legal (Occupation Code: 23-0000): 5%</w:t>
      </w:r>
    </w:p>
    <w:p w14:paraId="69D0220B"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Office and Administrative Support: 10%</w:t>
      </w:r>
    </w:p>
    <w:p w14:paraId="70B6F51B"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Manager (Occupation Code: 11-3021): 10%</w:t>
      </w:r>
    </w:p>
    <w:p w14:paraId="35E60957"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Management Analyst (Occupation Code: 13-1111): 5%</w:t>
      </w:r>
    </w:p>
    <w:p w14:paraId="5501243F"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Analyst (Occupation Code: 15-1120): 35%</w:t>
      </w:r>
    </w:p>
    <w:p w14:paraId="27D87654"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Accountants and Auditors (Occupation Code: 13-2011): 25%</w:t>
      </w:r>
    </w:p>
    <w:p w14:paraId="14F7E8F1" w14:textId="77777777" w:rsidR="00B53A4C" w:rsidRPr="00E9060E" w:rsidRDefault="00B53A4C" w:rsidP="00B53A4C">
      <w:pPr>
        <w:spacing w:after="0" w:line="240" w:lineRule="auto"/>
        <w:ind w:left="1080"/>
        <w:rPr>
          <w:rFonts w:ascii="Times New Roman" w:hAnsi="Times New Roman"/>
          <w:sz w:val="26"/>
          <w:szCs w:val="26"/>
        </w:rPr>
      </w:pPr>
    </w:p>
    <w:p w14:paraId="36404E81" w14:textId="4A82D5F6"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Overall, the average hourly cost uses the following calculation with all </w:t>
      </w:r>
      <w:r w:rsidR="00ED3AFC">
        <w:rPr>
          <w:rFonts w:ascii="Times New Roman" w:hAnsi="Times New Roman"/>
          <w:sz w:val="26"/>
          <w:szCs w:val="26"/>
        </w:rPr>
        <w:t>eight</w:t>
      </w:r>
      <w:r w:rsidRPr="00E9060E">
        <w:rPr>
          <w:rFonts w:ascii="Times New Roman" w:hAnsi="Times New Roman"/>
          <w:sz w:val="26"/>
          <w:szCs w:val="26"/>
        </w:rPr>
        <w:t xml:space="preserve"> occupations and their respective weights included:</w:t>
      </w:r>
    </w:p>
    <w:p w14:paraId="5C108A78" w14:textId="6AD406C1" w:rsidR="009E3BA7" w:rsidRPr="00E9060E" w:rsidRDefault="009E3BA7" w:rsidP="00BD0F89">
      <w:pPr>
        <w:spacing w:after="0" w:line="240" w:lineRule="auto"/>
        <w:ind w:left="720"/>
        <w:rPr>
          <w:rFonts w:ascii="Times New Roman" w:hAnsi="Times New Roman"/>
          <w:sz w:val="26"/>
          <w:szCs w:val="26"/>
        </w:rPr>
      </w:pPr>
      <w:r w:rsidRPr="00E9060E">
        <w:rPr>
          <w:rFonts w:ascii="Times New Roman" w:hAnsi="Times New Roman"/>
          <w:sz w:val="26"/>
          <w:szCs w:val="26"/>
        </w:rPr>
        <w:t>[($94.28/hour * 0.05) + ($60.90/hour * 0.05) + ($143.68/hour * 0.05) + ($41.34/hour * 0.1) + ($96.51/hour * 0.1) + ($63.32/hour * 0.05) + ($66.47/hour * 0.35) + ($56.59/hour * 0.25)] = $69.31.</w:t>
      </w:r>
    </w:p>
    <w:p w14:paraId="6DE5D812" w14:textId="77777777" w:rsidR="00D42FA3" w:rsidRPr="00E9060E" w:rsidRDefault="00D42FA3" w:rsidP="00BD0F89">
      <w:pPr>
        <w:spacing w:after="0" w:line="240" w:lineRule="auto"/>
        <w:ind w:left="720"/>
        <w:rPr>
          <w:rFonts w:ascii="Times New Roman" w:hAnsi="Times New Roman"/>
          <w:sz w:val="26"/>
          <w:szCs w:val="26"/>
        </w:rPr>
      </w:pPr>
    </w:p>
    <w:p w14:paraId="177B48F8" w14:textId="77777777" w:rsidR="00D42FA3" w:rsidRPr="00E9060E" w:rsidRDefault="00D42FA3" w:rsidP="00D42FA3">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 xml:space="preserve">Totals:  </w:t>
      </w:r>
    </w:p>
    <w:p w14:paraId="019D151C" w14:textId="6FAB15E7" w:rsidR="009E3BA7" w:rsidRPr="00E9060E" w:rsidRDefault="009E3BA7" w:rsidP="00B53A4C">
      <w:pPr>
        <w:pStyle w:val="ListParagraph"/>
        <w:numPr>
          <w:ilvl w:val="0"/>
          <w:numId w:val="33"/>
        </w:numPr>
        <w:spacing w:after="0" w:line="240" w:lineRule="auto"/>
        <w:ind w:left="1080"/>
        <w:rPr>
          <w:rFonts w:ascii="Times New Roman" w:hAnsi="Times New Roman"/>
          <w:sz w:val="26"/>
          <w:szCs w:val="26"/>
        </w:rPr>
      </w:pPr>
      <w:r w:rsidRPr="00E9060E">
        <w:rPr>
          <w:rFonts w:ascii="Times New Roman" w:hAnsi="Times New Roman"/>
          <w:sz w:val="26"/>
          <w:szCs w:val="26"/>
        </w:rPr>
        <w:t xml:space="preserve">The number of </w:t>
      </w:r>
      <w:r w:rsidR="007F41F8" w:rsidRPr="00E9060E">
        <w:rPr>
          <w:rFonts w:ascii="Times New Roman" w:hAnsi="Times New Roman"/>
          <w:sz w:val="26"/>
          <w:szCs w:val="26"/>
        </w:rPr>
        <w:t xml:space="preserve">annual </w:t>
      </w:r>
      <w:r w:rsidRPr="00E9060E">
        <w:rPr>
          <w:rFonts w:ascii="Times New Roman" w:hAnsi="Times New Roman"/>
          <w:sz w:val="26"/>
          <w:szCs w:val="26"/>
        </w:rPr>
        <w:t>responses related to both the implementation and ongoing burden is 836 responses.</w:t>
      </w:r>
      <w:r w:rsidRPr="00E9060E">
        <w:rPr>
          <w:rFonts w:ascii="Times New Roman" w:hAnsi="Times New Roman"/>
          <w:b/>
          <w:sz w:val="26"/>
          <w:szCs w:val="26"/>
          <w:vertAlign w:val="superscript"/>
        </w:rPr>
        <w:footnoteReference w:id="24"/>
      </w:r>
    </w:p>
    <w:p w14:paraId="023F7BCA" w14:textId="77777777" w:rsidR="009E3BA7" w:rsidRPr="00E9060E" w:rsidRDefault="009E3BA7" w:rsidP="00B53A4C">
      <w:pPr>
        <w:pStyle w:val="ListParagraph"/>
        <w:numPr>
          <w:ilvl w:val="0"/>
          <w:numId w:val="23"/>
        </w:numPr>
        <w:spacing w:after="0" w:line="240" w:lineRule="auto"/>
        <w:ind w:left="1080"/>
        <w:rPr>
          <w:rFonts w:ascii="Times New Roman" w:hAnsi="Times New Roman"/>
          <w:sz w:val="26"/>
          <w:szCs w:val="26"/>
        </w:rPr>
      </w:pPr>
      <w:r w:rsidRPr="00E9060E">
        <w:rPr>
          <w:rFonts w:ascii="Times New Roman" w:hAnsi="Times New Roman"/>
          <w:sz w:val="26"/>
          <w:szCs w:val="26"/>
        </w:rPr>
        <w:t>The implementation burden will be 65,520 hours for Year 1.</w:t>
      </w:r>
    </w:p>
    <w:p w14:paraId="587C92BB" w14:textId="77777777" w:rsidR="009E3BA7" w:rsidRPr="00E9060E" w:rsidRDefault="009E3BA7" w:rsidP="00B53A4C">
      <w:pPr>
        <w:pStyle w:val="ListParagraph"/>
        <w:numPr>
          <w:ilvl w:val="0"/>
          <w:numId w:val="23"/>
        </w:numPr>
        <w:spacing w:after="0" w:line="240" w:lineRule="auto"/>
        <w:ind w:left="1080"/>
        <w:rPr>
          <w:rFonts w:ascii="Times New Roman" w:hAnsi="Times New Roman"/>
          <w:sz w:val="26"/>
          <w:szCs w:val="26"/>
        </w:rPr>
      </w:pPr>
      <w:r w:rsidRPr="00E9060E">
        <w:rPr>
          <w:rFonts w:ascii="Times New Roman" w:hAnsi="Times New Roman"/>
          <w:sz w:val="26"/>
          <w:szCs w:val="26"/>
        </w:rPr>
        <w:t>The ongoing burden in Years 2 and 3 will be 9,163 hours per year.</w:t>
      </w:r>
    </w:p>
    <w:p w14:paraId="461B8CAC" w14:textId="77777777" w:rsidR="00D42FA3" w:rsidRPr="00E9060E" w:rsidRDefault="00D42FA3" w:rsidP="00D42FA3">
      <w:pPr>
        <w:pStyle w:val="ListParagraph"/>
        <w:spacing w:after="0" w:line="240" w:lineRule="auto"/>
        <w:ind w:left="360"/>
        <w:rPr>
          <w:rFonts w:ascii="Times New Roman" w:hAnsi="Times New Roman"/>
          <w:sz w:val="26"/>
          <w:szCs w:val="26"/>
        </w:rPr>
      </w:pPr>
    </w:p>
    <w:p w14:paraId="3E15E490" w14:textId="6E83588A" w:rsidR="009E3BA7" w:rsidRPr="00E9060E" w:rsidRDefault="00D42FA3" w:rsidP="00D42FA3">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For purposes of this submittal, w</w:t>
      </w:r>
      <w:r w:rsidR="007F41F8" w:rsidRPr="00E9060E">
        <w:rPr>
          <w:rFonts w:ascii="Times New Roman" w:hAnsi="Times New Roman"/>
          <w:sz w:val="26"/>
          <w:szCs w:val="26"/>
        </w:rPr>
        <w:t xml:space="preserve">e are averaging the figures for Years 1-3.  </w:t>
      </w:r>
      <w:r w:rsidR="009E3BA7" w:rsidRPr="00E9060E">
        <w:rPr>
          <w:rFonts w:ascii="Times New Roman" w:hAnsi="Times New Roman"/>
          <w:sz w:val="26"/>
          <w:szCs w:val="26"/>
        </w:rPr>
        <w:t>The responses and burden for Years 1-3 for both the implementation and ongoing burden are as follows:</w:t>
      </w:r>
    </w:p>
    <w:p w14:paraId="68EE449F" w14:textId="77777777" w:rsidR="009E3BA7" w:rsidRPr="00E9060E" w:rsidRDefault="009E3BA7" w:rsidP="00BD0F89">
      <w:pPr>
        <w:pStyle w:val="ListParagraph"/>
        <w:numPr>
          <w:ilvl w:val="1"/>
          <w:numId w:val="23"/>
        </w:numPr>
        <w:spacing w:after="0" w:line="240" w:lineRule="auto"/>
        <w:ind w:left="1080"/>
        <w:rPr>
          <w:rFonts w:ascii="Times New Roman" w:hAnsi="Times New Roman"/>
          <w:sz w:val="26"/>
          <w:szCs w:val="26"/>
        </w:rPr>
      </w:pPr>
      <w:r w:rsidRPr="00E9060E">
        <w:rPr>
          <w:rFonts w:ascii="Times New Roman" w:hAnsi="Times New Roman"/>
          <w:sz w:val="26"/>
          <w:szCs w:val="26"/>
        </w:rPr>
        <w:t xml:space="preserve">836 responses/year; </w:t>
      </w:r>
    </w:p>
    <w:p w14:paraId="17CB7F93" w14:textId="77777777" w:rsidR="009E3BA7" w:rsidRPr="00E9060E" w:rsidRDefault="009E3BA7" w:rsidP="00BD0F89">
      <w:pPr>
        <w:pStyle w:val="ListParagraph"/>
        <w:numPr>
          <w:ilvl w:val="1"/>
          <w:numId w:val="23"/>
        </w:numPr>
        <w:spacing w:after="0" w:line="240" w:lineRule="auto"/>
        <w:ind w:left="1080"/>
        <w:rPr>
          <w:rFonts w:ascii="Times New Roman" w:hAnsi="Times New Roman"/>
          <w:sz w:val="26"/>
          <w:szCs w:val="26"/>
        </w:rPr>
      </w:pPr>
      <w:r w:rsidRPr="00E9060E">
        <w:rPr>
          <w:rFonts w:ascii="Times New Roman" w:hAnsi="Times New Roman"/>
          <w:sz w:val="26"/>
          <w:szCs w:val="26"/>
        </w:rPr>
        <w:t>[(65,520 hours for Year 1) +</w:t>
      </w:r>
      <w:r w:rsidRPr="00E9060E" w:rsidDel="009E3359">
        <w:rPr>
          <w:rFonts w:ascii="Times New Roman" w:hAnsi="Times New Roman"/>
          <w:sz w:val="26"/>
          <w:szCs w:val="26"/>
        </w:rPr>
        <w:t xml:space="preserve"> </w:t>
      </w:r>
      <w:r w:rsidRPr="00E9060E">
        <w:rPr>
          <w:rFonts w:ascii="Times New Roman" w:hAnsi="Times New Roman"/>
          <w:sz w:val="26"/>
          <w:szCs w:val="26"/>
        </w:rPr>
        <w:t>(9,163 hours for Year 2) +</w:t>
      </w:r>
      <w:r w:rsidRPr="00E9060E" w:rsidDel="009E3359">
        <w:rPr>
          <w:rFonts w:ascii="Times New Roman" w:hAnsi="Times New Roman"/>
          <w:sz w:val="26"/>
          <w:szCs w:val="26"/>
        </w:rPr>
        <w:t xml:space="preserve"> </w:t>
      </w:r>
      <w:r w:rsidRPr="00E9060E">
        <w:rPr>
          <w:rFonts w:ascii="Times New Roman" w:hAnsi="Times New Roman"/>
          <w:sz w:val="26"/>
          <w:szCs w:val="26"/>
        </w:rPr>
        <w:t>(9,163 hours for Year 3)] ÷ 3 years =</w:t>
      </w:r>
      <w:r w:rsidRPr="00E9060E" w:rsidDel="009E3359">
        <w:rPr>
          <w:rFonts w:ascii="Times New Roman" w:hAnsi="Times New Roman"/>
          <w:sz w:val="26"/>
          <w:szCs w:val="26"/>
        </w:rPr>
        <w:t xml:space="preserve"> </w:t>
      </w:r>
      <w:r w:rsidRPr="00E9060E">
        <w:rPr>
          <w:rFonts w:ascii="Times New Roman" w:hAnsi="Times New Roman"/>
          <w:sz w:val="26"/>
          <w:szCs w:val="26"/>
        </w:rPr>
        <w:t>27,949 hours/year (annual average for Years 1-3).</w:t>
      </w:r>
    </w:p>
    <w:p w14:paraId="4D672573" w14:textId="77777777" w:rsidR="00F0627E" w:rsidRPr="00E9060E" w:rsidRDefault="00F0627E" w:rsidP="00BD0F89">
      <w:pPr>
        <w:spacing w:after="0" w:line="240" w:lineRule="auto"/>
        <w:rPr>
          <w:rFonts w:ascii="Times New Roman" w:hAnsi="Times New Roman"/>
          <w:sz w:val="26"/>
          <w:szCs w:val="26"/>
        </w:rPr>
      </w:pPr>
    </w:p>
    <w:p w14:paraId="09148C17" w14:textId="77777777" w:rsidR="00974AFC" w:rsidRPr="00E9060E" w:rsidRDefault="00974AFC" w:rsidP="00BD0F89">
      <w:pPr>
        <w:spacing w:after="0" w:line="240" w:lineRule="auto"/>
        <w:rPr>
          <w:rFonts w:ascii="Times New Roman" w:hAnsi="Times New Roman"/>
          <w:b/>
          <w:sz w:val="26"/>
          <w:szCs w:val="26"/>
        </w:rPr>
      </w:pPr>
      <w:r w:rsidRPr="00E9060E">
        <w:rPr>
          <w:rFonts w:ascii="Times New Roman" w:hAnsi="Times New Roman"/>
          <w:b/>
          <w:sz w:val="26"/>
          <w:szCs w:val="26"/>
        </w:rPr>
        <w:t>13.</w:t>
      </w:r>
      <w:r w:rsidR="00BF3095" w:rsidRPr="00E9060E">
        <w:rPr>
          <w:rFonts w:ascii="Times New Roman" w:hAnsi="Times New Roman"/>
          <w:b/>
          <w:sz w:val="26"/>
          <w:szCs w:val="26"/>
        </w:rPr>
        <w:t xml:space="preserve">   ESTIMATE OF THE TOTAL ANNUAL COST BURDEN TO </w:t>
      </w:r>
      <w:r w:rsidR="00F1537F" w:rsidRPr="00E9060E">
        <w:rPr>
          <w:rFonts w:ascii="Times New Roman" w:hAnsi="Times New Roman"/>
          <w:b/>
          <w:sz w:val="26"/>
          <w:szCs w:val="26"/>
        </w:rPr>
        <w:t>RESPONDENTS</w:t>
      </w:r>
      <w:r w:rsidR="00BF3095" w:rsidRPr="00E9060E">
        <w:rPr>
          <w:rFonts w:ascii="Times New Roman" w:hAnsi="Times New Roman"/>
          <w:b/>
          <w:sz w:val="26"/>
          <w:szCs w:val="26"/>
        </w:rPr>
        <w:t xml:space="preserve"> </w:t>
      </w:r>
    </w:p>
    <w:p w14:paraId="744F03A0" w14:textId="77777777" w:rsidR="00974AFC" w:rsidRPr="00E9060E" w:rsidRDefault="00974AFC" w:rsidP="00BD0F89">
      <w:pPr>
        <w:spacing w:after="0" w:line="240" w:lineRule="auto"/>
        <w:rPr>
          <w:rFonts w:ascii="Times New Roman" w:hAnsi="Times New Roman"/>
          <w:sz w:val="26"/>
          <w:szCs w:val="26"/>
        </w:rPr>
      </w:pPr>
    </w:p>
    <w:p w14:paraId="0DEC41BF" w14:textId="494AFFDB" w:rsidR="0027754C" w:rsidRPr="00E9060E" w:rsidRDefault="0027754C" w:rsidP="0027754C">
      <w:pPr>
        <w:spacing w:after="0" w:line="240" w:lineRule="auto"/>
        <w:rPr>
          <w:rFonts w:ascii="Times New Roman" w:eastAsiaTheme="minorHAnsi" w:hAnsi="Times New Roman"/>
          <w:sz w:val="26"/>
          <w:szCs w:val="26"/>
        </w:rPr>
      </w:pPr>
      <w:r w:rsidRPr="00E9060E">
        <w:rPr>
          <w:rFonts w:ascii="Times New Roman" w:eastAsiaTheme="minorHAnsi" w:hAnsi="Times New Roman"/>
          <w:sz w:val="26"/>
          <w:szCs w:val="26"/>
        </w:rPr>
        <w:t xml:space="preserve">Based on the number of filers we expect to be subject to the requirements, the number of filings that we expect those filers to make and the burden hours </w:t>
      </w:r>
      <w:r w:rsidRPr="00E9060E" w:rsidDel="00E009A8">
        <w:rPr>
          <w:rFonts w:ascii="Times New Roman" w:eastAsiaTheme="minorHAnsi" w:hAnsi="Times New Roman"/>
          <w:sz w:val="26"/>
          <w:szCs w:val="26"/>
        </w:rPr>
        <w:t xml:space="preserve">and out-of-pocket cost estimates </w:t>
      </w:r>
      <w:r w:rsidRPr="00E9060E">
        <w:rPr>
          <w:rFonts w:ascii="Times New Roman" w:eastAsiaTheme="minorHAnsi" w:hAnsi="Times New Roman"/>
          <w:sz w:val="26"/>
          <w:szCs w:val="26"/>
        </w:rPr>
        <w:t xml:space="preserve">described, we estimate that the average yearly burden of the requirements over the first three years would be $2,145,575 in out-of-pocket expenses per year.  This would be incurred by an average of 836 filers for an average yearly burden per filer of $2,566 in out-of-pocket expenses over Years 1-3.  </w:t>
      </w:r>
      <w:r w:rsidR="00100E2F" w:rsidRPr="00E9060E">
        <w:rPr>
          <w:rFonts w:ascii="Times New Roman" w:eastAsiaTheme="minorHAnsi" w:hAnsi="Times New Roman"/>
          <w:sz w:val="26"/>
          <w:szCs w:val="26"/>
        </w:rPr>
        <w:t xml:space="preserve">These numbers are derived </w:t>
      </w:r>
      <w:r w:rsidR="003D2490" w:rsidRPr="00E9060E">
        <w:rPr>
          <w:rFonts w:ascii="Times New Roman" w:eastAsiaTheme="minorHAnsi" w:hAnsi="Times New Roman"/>
          <w:sz w:val="26"/>
          <w:szCs w:val="26"/>
        </w:rPr>
        <w:t>as discussed below</w:t>
      </w:r>
      <w:r w:rsidR="00100E2F" w:rsidRPr="00E9060E">
        <w:rPr>
          <w:rFonts w:ascii="Times New Roman" w:eastAsiaTheme="minorHAnsi" w:hAnsi="Times New Roman"/>
          <w:sz w:val="26"/>
          <w:szCs w:val="26"/>
        </w:rPr>
        <w:t>.</w:t>
      </w:r>
    </w:p>
    <w:p w14:paraId="4A124803" w14:textId="77777777" w:rsidR="0027754C" w:rsidRPr="00E9060E" w:rsidRDefault="0027754C" w:rsidP="0027754C">
      <w:pPr>
        <w:spacing w:after="0" w:line="240" w:lineRule="auto"/>
        <w:rPr>
          <w:rFonts w:ascii="Times New Roman" w:eastAsiaTheme="minorHAnsi" w:hAnsi="Times New Roman"/>
          <w:sz w:val="26"/>
          <w:szCs w:val="26"/>
        </w:rPr>
      </w:pPr>
    </w:p>
    <w:p w14:paraId="696D51B4" w14:textId="77777777"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i/>
          <w:sz w:val="26"/>
          <w:szCs w:val="26"/>
        </w:rPr>
        <w:t>Out-of-pocket expenses</w:t>
      </w:r>
      <w:r w:rsidRPr="00E9060E">
        <w:rPr>
          <w:rFonts w:ascii="Times New Roman" w:hAnsi="Times New Roman"/>
          <w:sz w:val="26"/>
          <w:szCs w:val="26"/>
        </w:rPr>
        <w:t xml:space="preserve">:  </w:t>
      </w:r>
    </w:p>
    <w:p w14:paraId="4B6B06FF" w14:textId="77777777" w:rsidR="003D2490" w:rsidRPr="00E9060E" w:rsidRDefault="003D2490" w:rsidP="003D2490">
      <w:pPr>
        <w:spacing w:after="0" w:line="240" w:lineRule="auto"/>
        <w:rPr>
          <w:rFonts w:ascii="Times New Roman" w:hAnsi="Times New Roman"/>
          <w:sz w:val="26"/>
          <w:szCs w:val="26"/>
        </w:rPr>
      </w:pPr>
    </w:p>
    <w:p w14:paraId="7933039D" w14:textId="3EEAC642"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sz w:val="26"/>
          <w:szCs w:val="26"/>
        </w:rPr>
        <w:t xml:space="preserve">Year 1: Due to the relatively recent development of the XBRL technology, its fairly limited implementation at other agencies, and the substantial differences in the data collected among agencies and corresponding final code to implement XBRL-based reporting </w:t>
      </w:r>
      <w:r w:rsidRPr="00FA33AF">
        <w:rPr>
          <w:rFonts w:ascii="Times New Roman" w:hAnsi="Times New Roman"/>
          <w:sz w:val="26"/>
          <w:szCs w:val="26"/>
        </w:rPr>
        <w:t xml:space="preserve">systems, the Commission does not have sufficient data to specifically quantify the </w:t>
      </w:r>
      <w:r w:rsidR="00FA33AF" w:rsidRPr="000113FC">
        <w:rPr>
          <w:rFonts w:ascii="Times New Roman" w:hAnsi="Times New Roman"/>
          <w:sz w:val="26"/>
          <w:szCs w:val="26"/>
        </w:rPr>
        <w:t>out of pocket expenses</w:t>
      </w:r>
      <w:r w:rsidRPr="00FA33AF">
        <w:rPr>
          <w:rFonts w:ascii="Times New Roman" w:hAnsi="Times New Roman"/>
          <w:sz w:val="26"/>
          <w:szCs w:val="26"/>
        </w:rPr>
        <w:t xml:space="preserve"> in Year 1.  Further</w:t>
      </w:r>
      <w:r w:rsidRPr="00E9060E">
        <w:rPr>
          <w:rFonts w:ascii="Times New Roman" w:hAnsi="Times New Roman"/>
          <w:sz w:val="26"/>
          <w:szCs w:val="26"/>
        </w:rPr>
        <w:t xml:space="preserve">, the complexity of each filer’s current reporting system and the individual methods chosen for tagging data may vary considerably by filer, making estimates for out of pocket costs difficult to calculate for implementing XBRL in Year 1.  Thus, the estimates for the cost of implementation are reflected in the Year 1 </w:t>
      </w:r>
      <w:r w:rsidRPr="00FA33AF">
        <w:rPr>
          <w:rFonts w:ascii="Times New Roman" w:hAnsi="Times New Roman"/>
          <w:sz w:val="26"/>
          <w:szCs w:val="26"/>
        </w:rPr>
        <w:t>burden hours estimate for</w:t>
      </w:r>
      <w:r w:rsidRPr="00E9060E">
        <w:rPr>
          <w:rFonts w:ascii="Times New Roman" w:hAnsi="Times New Roman"/>
          <w:sz w:val="26"/>
          <w:szCs w:val="26"/>
        </w:rPr>
        <w:t xml:space="preserve"> each form. </w:t>
      </w:r>
    </w:p>
    <w:p w14:paraId="351EA2BC" w14:textId="77777777" w:rsidR="003D2490" w:rsidRPr="00E9060E" w:rsidRDefault="003D2490" w:rsidP="003D2490">
      <w:pPr>
        <w:spacing w:after="0" w:line="240" w:lineRule="auto"/>
        <w:rPr>
          <w:rFonts w:ascii="Times New Roman" w:hAnsi="Times New Roman"/>
          <w:sz w:val="26"/>
          <w:szCs w:val="26"/>
        </w:rPr>
      </w:pPr>
    </w:p>
    <w:p w14:paraId="7355E288" w14:textId="77777777"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sz w:val="26"/>
          <w:szCs w:val="26"/>
        </w:rPr>
        <w:t>In Years 2 and 3 (following the first year of implementation), we estimate that filers would incur the following out-of-pocket expenses for software, consulting, or filing agent services used:</w:t>
      </w:r>
    </w:p>
    <w:p w14:paraId="40E06C40" w14:textId="12C9C471"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 xml:space="preserve">XBRL Form Nos. </w:t>
      </w:r>
      <w:r w:rsidR="00DB7C0B" w:rsidRPr="00E9060E">
        <w:rPr>
          <w:rFonts w:ascii="Times New Roman" w:hAnsi="Times New Roman"/>
          <w:sz w:val="26"/>
          <w:szCs w:val="26"/>
        </w:rPr>
        <w:t>1T, 1-FT, 3-QT electric (</w:t>
      </w:r>
      <w:r w:rsidRPr="00E9060E">
        <w:rPr>
          <w:rFonts w:ascii="Times New Roman" w:hAnsi="Times New Roman"/>
          <w:sz w:val="26"/>
          <w:szCs w:val="26"/>
        </w:rPr>
        <w:t>1, 1-F, 3-Q electric</w:t>
      </w:r>
      <w:r w:rsidR="00DB7C0B" w:rsidRPr="00E9060E">
        <w:rPr>
          <w:rFonts w:ascii="Times New Roman" w:hAnsi="Times New Roman"/>
          <w:sz w:val="26"/>
          <w:szCs w:val="26"/>
        </w:rPr>
        <w:t>)</w:t>
      </w:r>
      <w:r w:rsidRPr="00E9060E">
        <w:rPr>
          <w:rFonts w:ascii="Times New Roman" w:hAnsi="Times New Roman"/>
          <w:sz w:val="26"/>
          <w:szCs w:val="26"/>
        </w:rPr>
        <w:t xml:space="preserve">, 2, 2-A, </w:t>
      </w:r>
      <w:r w:rsidR="00DB7C0B" w:rsidRPr="00E9060E">
        <w:rPr>
          <w:rFonts w:ascii="Times New Roman" w:hAnsi="Times New Roman"/>
          <w:sz w:val="26"/>
          <w:szCs w:val="26"/>
        </w:rPr>
        <w:t>3-QT natural gas (</w:t>
      </w:r>
      <w:r w:rsidRPr="00E9060E">
        <w:rPr>
          <w:rFonts w:ascii="Times New Roman" w:hAnsi="Times New Roman"/>
          <w:sz w:val="26"/>
          <w:szCs w:val="26"/>
        </w:rPr>
        <w:t>3-Q natural gas</w:t>
      </w:r>
      <w:r w:rsidR="00DB7C0B" w:rsidRPr="00E9060E">
        <w:rPr>
          <w:rFonts w:ascii="Times New Roman" w:hAnsi="Times New Roman"/>
          <w:sz w:val="26"/>
          <w:szCs w:val="26"/>
        </w:rPr>
        <w:t>)</w:t>
      </w:r>
      <w:r w:rsidRPr="00E9060E">
        <w:rPr>
          <w:rFonts w:ascii="Times New Roman" w:hAnsi="Times New Roman"/>
          <w:sz w:val="26"/>
          <w:szCs w:val="26"/>
        </w:rPr>
        <w:t xml:space="preserve">, </w:t>
      </w:r>
      <w:r w:rsidR="00DB7C0B" w:rsidRPr="00E9060E">
        <w:rPr>
          <w:rFonts w:ascii="Times New Roman" w:hAnsi="Times New Roman"/>
          <w:sz w:val="26"/>
          <w:szCs w:val="26"/>
        </w:rPr>
        <w:t>6T (</w:t>
      </w:r>
      <w:r w:rsidRPr="00E9060E">
        <w:rPr>
          <w:rFonts w:ascii="Times New Roman" w:hAnsi="Times New Roman"/>
          <w:sz w:val="26"/>
          <w:szCs w:val="26"/>
        </w:rPr>
        <w:t>6</w:t>
      </w:r>
      <w:r w:rsidR="00DB7C0B" w:rsidRPr="00E9060E">
        <w:rPr>
          <w:rFonts w:ascii="Times New Roman" w:hAnsi="Times New Roman"/>
          <w:sz w:val="26"/>
          <w:szCs w:val="26"/>
        </w:rPr>
        <w:t>)</w:t>
      </w:r>
      <w:r w:rsidRPr="00E9060E">
        <w:rPr>
          <w:rFonts w:ascii="Times New Roman" w:hAnsi="Times New Roman"/>
          <w:sz w:val="26"/>
          <w:szCs w:val="26"/>
        </w:rPr>
        <w:t xml:space="preserve">, and </w:t>
      </w:r>
      <w:r w:rsidR="00DB7C0B" w:rsidRPr="00E9060E">
        <w:rPr>
          <w:rFonts w:ascii="Times New Roman" w:hAnsi="Times New Roman"/>
          <w:sz w:val="26"/>
          <w:szCs w:val="26"/>
        </w:rPr>
        <w:t>6-QT (</w:t>
      </w:r>
      <w:r w:rsidRPr="00E9060E">
        <w:rPr>
          <w:rFonts w:ascii="Times New Roman" w:hAnsi="Times New Roman"/>
          <w:sz w:val="26"/>
          <w:szCs w:val="26"/>
        </w:rPr>
        <w:t>6-Q</w:t>
      </w:r>
      <w:r w:rsidR="00DB7C0B" w:rsidRPr="00E9060E">
        <w:rPr>
          <w:rFonts w:ascii="Times New Roman" w:hAnsi="Times New Roman"/>
          <w:sz w:val="26"/>
          <w:szCs w:val="26"/>
        </w:rPr>
        <w:t>)</w:t>
      </w:r>
      <w:r w:rsidRPr="00E9060E">
        <w:rPr>
          <w:rFonts w:ascii="Times New Roman" w:hAnsi="Times New Roman"/>
          <w:sz w:val="26"/>
          <w:szCs w:val="26"/>
        </w:rPr>
        <w:t>:</w:t>
      </w:r>
    </w:p>
    <w:p w14:paraId="7CA59C01" w14:textId="628B218F"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Out-of-pocket cost for software and filing agent services: $4,912 for each filing.</w:t>
      </w:r>
      <w:r w:rsidR="00DE55CB" w:rsidRPr="00E9060E">
        <w:rPr>
          <w:rStyle w:val="FootnoteReference"/>
          <w:rFonts w:ascii="Times New Roman" w:hAnsi="Times New Roman"/>
          <w:sz w:val="26"/>
          <w:szCs w:val="26"/>
          <w:vertAlign w:val="superscript"/>
        </w:rPr>
        <w:footnoteReference w:id="25"/>
      </w:r>
    </w:p>
    <w:p w14:paraId="785EBA83"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(621 respondents) * ($4,912 for each filing) = $3,050,352.</w:t>
      </w:r>
    </w:p>
    <w:p w14:paraId="65262002" w14:textId="27FAD883"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60A</w:t>
      </w:r>
      <w:r w:rsidR="00DB7C0B" w:rsidRPr="00E9060E">
        <w:rPr>
          <w:rFonts w:ascii="Times New Roman" w:hAnsi="Times New Roman"/>
          <w:sz w:val="26"/>
          <w:szCs w:val="26"/>
        </w:rPr>
        <w:t xml:space="preserve"> (60)</w:t>
      </w:r>
      <w:r w:rsidRPr="00E9060E">
        <w:rPr>
          <w:rFonts w:ascii="Times New Roman" w:hAnsi="Times New Roman"/>
          <w:sz w:val="26"/>
          <w:szCs w:val="26"/>
        </w:rPr>
        <w:t>:</w:t>
      </w:r>
    </w:p>
    <w:p w14:paraId="02A6E6A4" w14:textId="7AC45B18" w:rsidR="003D2490" w:rsidRPr="00E9060E" w:rsidRDefault="003D2490" w:rsidP="003D2490">
      <w:pPr>
        <w:numPr>
          <w:ilvl w:val="1"/>
          <w:numId w:val="20"/>
        </w:numPr>
        <w:spacing w:after="0" w:line="240" w:lineRule="auto"/>
        <w:rPr>
          <w:rFonts w:ascii="Times New Roman" w:hAnsi="Times New Roman"/>
          <w:sz w:val="26"/>
          <w:szCs w:val="26"/>
          <w:vertAlign w:val="superscript"/>
        </w:rPr>
      </w:pPr>
      <w:r w:rsidRPr="00E9060E">
        <w:rPr>
          <w:rFonts w:ascii="Times New Roman" w:hAnsi="Times New Roman"/>
          <w:sz w:val="26"/>
          <w:szCs w:val="26"/>
        </w:rPr>
        <w:t>Out-of-pocket cost for software and filing agent services: $982 for each filing.</w:t>
      </w:r>
      <w:r w:rsidR="00DE55CB" w:rsidRPr="00E9060E">
        <w:rPr>
          <w:rStyle w:val="FootnoteReference"/>
          <w:rFonts w:ascii="Times New Roman" w:hAnsi="Times New Roman"/>
          <w:sz w:val="26"/>
          <w:szCs w:val="26"/>
          <w:vertAlign w:val="superscript"/>
        </w:rPr>
        <w:footnoteReference w:id="26"/>
      </w:r>
    </w:p>
    <w:p w14:paraId="57EAC2FF"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(39 respondents) * ($982 for each filing) = $38,298.</w:t>
      </w:r>
    </w:p>
    <w:p w14:paraId="64478AED" w14:textId="0A172A6A"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714</w:t>
      </w:r>
    </w:p>
    <w:p w14:paraId="27A99239" w14:textId="421AEA36"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Out-of-pocket cost for software and filing agent services: $737 for each filing.</w:t>
      </w:r>
      <w:r w:rsidR="00DE55CB" w:rsidRPr="00E9060E">
        <w:rPr>
          <w:rStyle w:val="FootnoteReference"/>
          <w:rFonts w:ascii="Times New Roman" w:hAnsi="Times New Roman"/>
          <w:sz w:val="26"/>
          <w:szCs w:val="26"/>
          <w:vertAlign w:val="superscript"/>
        </w:rPr>
        <w:footnoteReference w:id="27"/>
      </w:r>
    </w:p>
    <w:p w14:paraId="2F5B4C4E"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(176 respondents) * ($737 for each filing) = $129,712.</w:t>
      </w:r>
    </w:p>
    <w:p w14:paraId="798E7496" w14:textId="77777777" w:rsidR="00B6477D" w:rsidRPr="00E9060E" w:rsidRDefault="00B6477D" w:rsidP="00B6477D">
      <w:pPr>
        <w:spacing w:after="0" w:line="240" w:lineRule="auto"/>
        <w:rPr>
          <w:rFonts w:ascii="Times New Roman" w:hAnsi="Times New Roman"/>
          <w:sz w:val="26"/>
          <w:szCs w:val="26"/>
        </w:rPr>
      </w:pPr>
      <w:r w:rsidRPr="00E9060E">
        <w:rPr>
          <w:rFonts w:ascii="Times New Roman" w:eastAsiaTheme="minorHAnsi" w:hAnsi="Times New Roman"/>
          <w:sz w:val="26"/>
          <w:szCs w:val="26"/>
        </w:rPr>
        <w:t>In Question 15, below, the “annual cost burden” imposed annually in Years 2 and 3 is averaged over Years 1-3 and is provided for each collection.</w:t>
      </w:r>
    </w:p>
    <w:p w14:paraId="691BA5A9" w14:textId="77777777" w:rsidR="00F0627E" w:rsidRPr="00E9060E" w:rsidRDefault="00F0627E" w:rsidP="00BD0F89">
      <w:pPr>
        <w:spacing w:after="0" w:line="240" w:lineRule="auto"/>
        <w:rPr>
          <w:rFonts w:ascii="Times New Roman" w:hAnsi="Times New Roman"/>
          <w:sz w:val="26"/>
          <w:szCs w:val="26"/>
        </w:rPr>
      </w:pPr>
    </w:p>
    <w:p w14:paraId="64AF384F" w14:textId="77777777" w:rsidR="00F0627E" w:rsidRPr="00E9060E" w:rsidRDefault="00974AFC" w:rsidP="00BD0F89">
      <w:pPr>
        <w:pStyle w:val="ListParagraph"/>
        <w:spacing w:after="0" w:line="240" w:lineRule="auto"/>
        <w:ind w:left="0"/>
        <w:rPr>
          <w:rFonts w:ascii="Times New Roman" w:hAnsi="Times New Roman"/>
          <w:sz w:val="26"/>
          <w:szCs w:val="26"/>
        </w:rPr>
      </w:pPr>
      <w:r w:rsidRPr="00E9060E">
        <w:rPr>
          <w:rFonts w:ascii="Times New Roman" w:hAnsi="Times New Roman"/>
          <w:b/>
          <w:sz w:val="26"/>
          <w:szCs w:val="26"/>
        </w:rPr>
        <w:t xml:space="preserve">14.  </w:t>
      </w:r>
      <w:r w:rsidR="00BF3095" w:rsidRPr="00E9060E">
        <w:rPr>
          <w:rFonts w:ascii="Times New Roman" w:hAnsi="Times New Roman"/>
          <w:b/>
          <w:sz w:val="26"/>
          <w:szCs w:val="26"/>
        </w:rPr>
        <w:t>ESTIMATED ANNUALIZED COST TO FEDERAL GOVERNMENT</w:t>
      </w:r>
    </w:p>
    <w:p w14:paraId="31100877" w14:textId="77777777" w:rsidR="00BF3095" w:rsidRPr="00E9060E" w:rsidRDefault="00BF3095" w:rsidP="00BD0F89">
      <w:pPr>
        <w:pStyle w:val="ListParagraph"/>
        <w:spacing w:after="0" w:line="240" w:lineRule="auto"/>
        <w:ind w:left="0"/>
        <w:rPr>
          <w:rFonts w:ascii="Times New Roman" w:hAnsi="Times New Roman"/>
          <w:sz w:val="26"/>
          <w:szCs w:val="26"/>
        </w:rPr>
      </w:pPr>
    </w:p>
    <w:p w14:paraId="6126CE7C" w14:textId="6E0700FD" w:rsidR="002F4AEF" w:rsidRDefault="00244BC9" w:rsidP="002F4AEF">
      <w:pPr>
        <w:spacing w:after="0" w:line="240" w:lineRule="auto"/>
        <w:rPr>
          <w:rFonts w:ascii="Times New Roman" w:hAnsi="Times New Roman"/>
          <w:sz w:val="26"/>
          <w:szCs w:val="26"/>
        </w:rPr>
      </w:pPr>
      <w:r w:rsidRPr="00E9060E">
        <w:rPr>
          <w:rFonts w:ascii="Times New Roman" w:hAnsi="Times New Roman"/>
          <w:sz w:val="26"/>
          <w:szCs w:val="26"/>
        </w:rPr>
        <w:t xml:space="preserve">The estimate of the cost for </w:t>
      </w:r>
      <w:r w:rsidR="007B6467">
        <w:rPr>
          <w:rFonts w:ascii="Times New Roman" w:hAnsi="Times New Roman"/>
          <w:sz w:val="26"/>
          <w:szCs w:val="26"/>
        </w:rPr>
        <w:t>“</w:t>
      </w:r>
      <w:r w:rsidRPr="00E9060E">
        <w:rPr>
          <w:rFonts w:ascii="Times New Roman" w:hAnsi="Times New Roman"/>
          <w:sz w:val="26"/>
          <w:szCs w:val="26"/>
        </w:rPr>
        <w:t>analysis and processing of filings</w:t>
      </w:r>
      <w:r w:rsidR="007B6467">
        <w:rPr>
          <w:rFonts w:ascii="Times New Roman" w:hAnsi="Times New Roman"/>
          <w:sz w:val="26"/>
          <w:szCs w:val="26"/>
        </w:rPr>
        <w:t>”</w:t>
      </w:r>
      <w:r w:rsidR="00247EBC" w:rsidRPr="00E9060E">
        <w:rPr>
          <w:rStyle w:val="FootnoteReference"/>
          <w:rFonts w:ascii="Times New Roman" w:hAnsi="Times New Roman"/>
          <w:sz w:val="26"/>
          <w:szCs w:val="26"/>
          <w:vertAlign w:val="superscript"/>
        </w:rPr>
        <w:footnoteReference w:id="28"/>
      </w:r>
      <w:r w:rsidRPr="00E9060E">
        <w:rPr>
          <w:rFonts w:ascii="Times New Roman" w:hAnsi="Times New Roman"/>
          <w:sz w:val="26"/>
          <w:szCs w:val="26"/>
          <w:vertAlign w:val="superscript"/>
        </w:rPr>
        <w:t xml:space="preserve"> </w:t>
      </w:r>
      <w:r w:rsidRPr="00E9060E">
        <w:rPr>
          <w:rFonts w:ascii="Times New Roman" w:hAnsi="Times New Roman"/>
          <w:sz w:val="26"/>
          <w:szCs w:val="26"/>
        </w:rPr>
        <w:t>is based on salaries and benefits for professional and clerical support.  This estimated cost represents staff analysis, decision-making, and review of any actual filings submitted in response to the information collection</w:t>
      </w:r>
      <w:r w:rsidR="00946E0D" w:rsidRPr="00E9060E">
        <w:rPr>
          <w:rFonts w:ascii="Times New Roman" w:hAnsi="Times New Roman"/>
          <w:sz w:val="26"/>
          <w:szCs w:val="26"/>
        </w:rPr>
        <w:t>s</w:t>
      </w:r>
      <w:r w:rsidRPr="00E9060E">
        <w:rPr>
          <w:rFonts w:ascii="Times New Roman" w:hAnsi="Times New Roman"/>
          <w:sz w:val="26"/>
          <w:szCs w:val="26"/>
        </w:rPr>
        <w:t>.</w:t>
      </w:r>
      <w:r w:rsidR="00247EBC" w:rsidRPr="00E9060E">
        <w:rPr>
          <w:rFonts w:ascii="Times New Roman" w:hAnsi="Times New Roman"/>
          <w:sz w:val="26"/>
          <w:szCs w:val="26"/>
        </w:rPr>
        <w:t xml:space="preserve">  The </w:t>
      </w:r>
      <w:r w:rsidR="00E45830" w:rsidRPr="00E9060E">
        <w:rPr>
          <w:rFonts w:ascii="Times New Roman" w:hAnsi="Times New Roman"/>
          <w:sz w:val="26"/>
          <w:szCs w:val="26"/>
        </w:rPr>
        <w:t xml:space="preserve">number of </w:t>
      </w:r>
      <w:r w:rsidR="00D522C0" w:rsidRPr="00E9060E">
        <w:rPr>
          <w:rFonts w:ascii="Times New Roman" w:hAnsi="Times New Roman"/>
          <w:sz w:val="26"/>
          <w:szCs w:val="26"/>
        </w:rPr>
        <w:t xml:space="preserve">federal </w:t>
      </w:r>
      <w:r w:rsidR="00E45830" w:rsidRPr="00E9060E">
        <w:rPr>
          <w:rFonts w:ascii="Times New Roman" w:hAnsi="Times New Roman"/>
          <w:sz w:val="26"/>
          <w:szCs w:val="26"/>
        </w:rPr>
        <w:t xml:space="preserve">FTEs </w:t>
      </w:r>
      <w:r w:rsidR="002F4AEF">
        <w:rPr>
          <w:rFonts w:ascii="Times New Roman" w:hAnsi="Times New Roman"/>
          <w:sz w:val="26"/>
          <w:szCs w:val="26"/>
        </w:rPr>
        <w:t xml:space="preserve">required to analyze and process filings </w:t>
      </w:r>
      <w:r w:rsidR="00D522C0" w:rsidRPr="00E9060E">
        <w:rPr>
          <w:rFonts w:ascii="Times New Roman" w:hAnsi="Times New Roman"/>
          <w:sz w:val="26"/>
          <w:szCs w:val="26"/>
        </w:rPr>
        <w:t>is</w:t>
      </w:r>
      <w:r w:rsidR="00E45830" w:rsidRPr="00E9060E">
        <w:rPr>
          <w:rFonts w:ascii="Times New Roman" w:hAnsi="Times New Roman"/>
          <w:sz w:val="26"/>
          <w:szCs w:val="26"/>
        </w:rPr>
        <w:t xml:space="preserve"> not expected to change due to the </w:t>
      </w:r>
      <w:r w:rsidR="00C656D8">
        <w:rPr>
          <w:rFonts w:ascii="Times New Roman" w:hAnsi="Times New Roman"/>
          <w:sz w:val="26"/>
          <w:szCs w:val="26"/>
        </w:rPr>
        <w:t>final rule</w:t>
      </w:r>
      <w:r w:rsidR="00E02C12" w:rsidRPr="00E9060E">
        <w:rPr>
          <w:rFonts w:ascii="Times New Roman" w:hAnsi="Times New Roman"/>
          <w:sz w:val="26"/>
          <w:szCs w:val="26"/>
        </w:rPr>
        <w:t xml:space="preserve"> </w:t>
      </w:r>
      <w:r w:rsidR="00E45830" w:rsidRPr="00E9060E">
        <w:rPr>
          <w:rFonts w:ascii="Times New Roman" w:hAnsi="Times New Roman"/>
          <w:sz w:val="26"/>
          <w:szCs w:val="26"/>
        </w:rPr>
        <w:t>in RM19-12</w:t>
      </w:r>
      <w:r w:rsidR="002F4AEF">
        <w:rPr>
          <w:rFonts w:ascii="Times New Roman" w:hAnsi="Times New Roman"/>
          <w:sz w:val="26"/>
          <w:szCs w:val="26"/>
        </w:rPr>
        <w:t>.  However, there are</w:t>
      </w:r>
      <w:r w:rsidR="00DE6870" w:rsidRPr="00E9060E">
        <w:rPr>
          <w:rFonts w:ascii="Times New Roman" w:hAnsi="Times New Roman"/>
          <w:sz w:val="26"/>
          <w:szCs w:val="26"/>
        </w:rPr>
        <w:t xml:space="preserve"> additional costs </w:t>
      </w:r>
      <w:r w:rsidR="002F4AEF">
        <w:rPr>
          <w:rFonts w:ascii="Times New Roman" w:hAnsi="Times New Roman"/>
          <w:sz w:val="26"/>
          <w:szCs w:val="26"/>
        </w:rPr>
        <w:t xml:space="preserve">related to the adoption of XBRL </w:t>
      </w:r>
      <w:r w:rsidR="00DE6870" w:rsidRPr="00E9060E">
        <w:rPr>
          <w:rFonts w:ascii="Times New Roman" w:hAnsi="Times New Roman"/>
          <w:sz w:val="26"/>
          <w:szCs w:val="26"/>
        </w:rPr>
        <w:t xml:space="preserve">for the PRA work and for the IT contract.  </w:t>
      </w:r>
      <w:r w:rsidR="00A27235" w:rsidRPr="00E9060E">
        <w:rPr>
          <w:rFonts w:ascii="Times New Roman" w:hAnsi="Times New Roman"/>
          <w:sz w:val="26"/>
          <w:szCs w:val="26"/>
        </w:rPr>
        <w:t>(The corresponding annual and hourly FERC costs use the figures for 2018, as noted.)</w:t>
      </w:r>
      <w:r w:rsidR="002F4AEF">
        <w:rPr>
          <w:rFonts w:ascii="Times New Roman" w:hAnsi="Times New Roman"/>
          <w:sz w:val="26"/>
          <w:szCs w:val="26"/>
        </w:rPr>
        <w:t xml:space="preserve">  To the extent there is also a projected increase in FTEs necessary to adopt and implement XBRL, those estimates will be provided </w:t>
      </w:r>
      <w:r w:rsidR="00320E77">
        <w:rPr>
          <w:rFonts w:ascii="Times New Roman" w:hAnsi="Times New Roman"/>
          <w:sz w:val="26"/>
          <w:szCs w:val="26"/>
        </w:rPr>
        <w:t>when</w:t>
      </w:r>
      <w:r w:rsidR="002F4AEF">
        <w:rPr>
          <w:rFonts w:ascii="Times New Roman" w:hAnsi="Times New Roman"/>
          <w:sz w:val="26"/>
          <w:szCs w:val="26"/>
        </w:rPr>
        <w:t xml:space="preserve"> </w:t>
      </w:r>
      <w:r w:rsidR="002F4AEF" w:rsidRPr="002F4AEF">
        <w:rPr>
          <w:rFonts w:ascii="Times New Roman" w:hAnsi="Times New Roman"/>
          <w:sz w:val="26"/>
          <w:szCs w:val="26"/>
        </w:rPr>
        <w:t xml:space="preserve">the Commission </w:t>
      </w:r>
      <w:r w:rsidR="00320E77">
        <w:rPr>
          <w:rFonts w:ascii="Times New Roman" w:hAnsi="Times New Roman"/>
          <w:sz w:val="26"/>
          <w:szCs w:val="26"/>
        </w:rPr>
        <w:t>submits to OMB</w:t>
      </w:r>
      <w:r w:rsidR="002F4AEF" w:rsidRPr="002F4AEF">
        <w:rPr>
          <w:rFonts w:ascii="Times New Roman" w:hAnsi="Times New Roman"/>
          <w:sz w:val="26"/>
          <w:szCs w:val="26"/>
        </w:rPr>
        <w:t xml:space="preserve"> </w:t>
      </w:r>
      <w:r w:rsidR="002F4AEF">
        <w:rPr>
          <w:rFonts w:ascii="Times New Roman" w:hAnsi="Times New Roman"/>
          <w:sz w:val="26"/>
          <w:szCs w:val="26"/>
        </w:rPr>
        <w:t>the</w:t>
      </w:r>
      <w:r w:rsidR="002F4AEF" w:rsidRPr="002F4AEF">
        <w:rPr>
          <w:rFonts w:ascii="Times New Roman" w:hAnsi="Times New Roman"/>
          <w:sz w:val="26"/>
          <w:szCs w:val="26"/>
        </w:rPr>
        <w:t xml:space="preserve"> order adopting the final taxonomy, protocols, and implementation guide, and establishing an implementation schedule</w:t>
      </w:r>
      <w:r w:rsidR="003346BA">
        <w:rPr>
          <w:rFonts w:ascii="Times New Roman" w:hAnsi="Times New Roman"/>
          <w:sz w:val="26"/>
          <w:szCs w:val="26"/>
        </w:rPr>
        <w:t>.</w:t>
      </w:r>
    </w:p>
    <w:p w14:paraId="5468B955" w14:textId="77777777" w:rsidR="00946E0D" w:rsidRPr="00E9060E" w:rsidRDefault="00946E0D" w:rsidP="00BD0F89">
      <w:pPr>
        <w:spacing w:after="0" w:line="240" w:lineRule="auto"/>
        <w:rPr>
          <w:rFonts w:ascii="Times New Roman" w:hAnsi="Times New Roman"/>
          <w:sz w:val="26"/>
          <w:szCs w:val="26"/>
        </w:rPr>
      </w:pPr>
    </w:p>
    <w:p w14:paraId="509AE618" w14:textId="77777777" w:rsidR="00244BC9" w:rsidRPr="00E9060E" w:rsidRDefault="00244BC9" w:rsidP="00BD0F89">
      <w:pPr>
        <w:spacing w:after="0" w:line="240" w:lineRule="auto"/>
        <w:rPr>
          <w:rFonts w:ascii="Times New Roman" w:hAnsi="Times New Roman"/>
          <w:sz w:val="26"/>
          <w:szCs w:val="26"/>
        </w:rPr>
      </w:pPr>
      <w:r w:rsidRPr="00E9060E">
        <w:rPr>
          <w:rFonts w:ascii="Times New Roman" w:hAnsi="Times New Roman"/>
          <w:sz w:val="26"/>
          <w:szCs w:val="26"/>
        </w:rPr>
        <w:t>The Paperwork Reduction Act (PRA) Administrative Cost</w:t>
      </w:r>
      <w:r w:rsidR="00C75FFF" w:rsidRPr="00E9060E">
        <w:rPr>
          <w:rStyle w:val="FootnoteReference"/>
          <w:rFonts w:ascii="Times New Roman" w:hAnsi="Times New Roman"/>
          <w:sz w:val="26"/>
          <w:szCs w:val="26"/>
          <w:vertAlign w:val="superscript"/>
        </w:rPr>
        <w:footnoteReference w:id="29"/>
      </w:r>
      <w:r w:rsidRPr="00E9060E">
        <w:rPr>
          <w:rFonts w:ascii="Times New Roman" w:hAnsi="Times New Roman"/>
          <w:sz w:val="26"/>
          <w:szCs w:val="26"/>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179F5FE" w14:textId="77777777" w:rsidR="00244BC9" w:rsidRPr="00E9060E" w:rsidRDefault="00244BC9" w:rsidP="00BD0F89">
      <w:pPr>
        <w:spacing w:after="0" w:line="240" w:lineRule="auto"/>
        <w:rPr>
          <w:rFonts w:ascii="Times New Roman" w:hAnsi="Times New Roman"/>
          <w:sz w:val="26"/>
          <w:szCs w:val="26"/>
        </w:rPr>
      </w:pPr>
    </w:p>
    <w:p w14:paraId="1EDEF1DC" w14:textId="32F92755"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estimated </w:t>
      </w:r>
      <w:r w:rsidR="00B15505" w:rsidRPr="00E9060E">
        <w:rPr>
          <w:rFonts w:ascii="Times New Roman" w:hAnsi="Times New Roman"/>
          <w:sz w:val="26"/>
          <w:szCs w:val="26"/>
        </w:rPr>
        <w:t xml:space="preserve">additional </w:t>
      </w:r>
      <w:r w:rsidR="00F20B97" w:rsidRPr="00E9060E">
        <w:rPr>
          <w:rFonts w:ascii="Times New Roman" w:hAnsi="Times New Roman"/>
          <w:sz w:val="26"/>
          <w:szCs w:val="26"/>
        </w:rPr>
        <w:t xml:space="preserve">annualized </w:t>
      </w:r>
      <w:r w:rsidRPr="00E9060E">
        <w:rPr>
          <w:rFonts w:ascii="Times New Roman" w:hAnsi="Times New Roman"/>
          <w:sz w:val="26"/>
          <w:szCs w:val="26"/>
        </w:rPr>
        <w:t>cost</w:t>
      </w:r>
      <w:r w:rsidR="00F20B97" w:rsidRPr="00E9060E">
        <w:rPr>
          <w:rFonts w:ascii="Times New Roman" w:hAnsi="Times New Roman"/>
          <w:sz w:val="26"/>
          <w:szCs w:val="26"/>
        </w:rPr>
        <w:t xml:space="preserve"> to the Federal Government</w:t>
      </w:r>
      <w:r w:rsidR="00247EBC" w:rsidRPr="00E9060E">
        <w:rPr>
          <w:rFonts w:ascii="Times New Roman" w:hAnsi="Times New Roman"/>
          <w:sz w:val="26"/>
          <w:szCs w:val="26"/>
        </w:rPr>
        <w:t xml:space="preserve"> </w:t>
      </w:r>
      <w:r w:rsidR="00B15505" w:rsidRPr="00E9060E">
        <w:rPr>
          <w:rFonts w:ascii="Times New Roman" w:hAnsi="Times New Roman"/>
          <w:sz w:val="26"/>
          <w:szCs w:val="26"/>
        </w:rPr>
        <w:t xml:space="preserve">due to the </w:t>
      </w:r>
      <w:r w:rsidR="00C656D8">
        <w:rPr>
          <w:rFonts w:ascii="Times New Roman" w:hAnsi="Times New Roman"/>
          <w:sz w:val="26"/>
          <w:szCs w:val="26"/>
        </w:rPr>
        <w:t>final rule</w:t>
      </w:r>
      <w:r w:rsidR="00B15505" w:rsidRPr="00E9060E">
        <w:rPr>
          <w:rFonts w:ascii="Times New Roman" w:hAnsi="Times New Roman"/>
          <w:sz w:val="26"/>
          <w:szCs w:val="26"/>
        </w:rPr>
        <w:t xml:space="preserve"> in RM19-12 </w:t>
      </w:r>
      <w:r w:rsidR="00E20CEF" w:rsidRPr="00E9060E">
        <w:rPr>
          <w:rFonts w:ascii="Times New Roman" w:hAnsi="Times New Roman"/>
          <w:sz w:val="26"/>
          <w:szCs w:val="26"/>
        </w:rPr>
        <w:t>follows.</w:t>
      </w:r>
      <w:r w:rsidR="003C729F" w:rsidRPr="00E9060E">
        <w:rPr>
          <w:rStyle w:val="FootnoteReference"/>
          <w:rFonts w:ascii="Times New Roman" w:hAnsi="Times New Roman"/>
          <w:sz w:val="26"/>
          <w:szCs w:val="26"/>
          <w:vertAlign w:val="superscript"/>
        </w:rPr>
        <w:footnoteReference w:id="30"/>
      </w:r>
      <w:r w:rsidRPr="00E9060E">
        <w:rPr>
          <w:rFonts w:ascii="Times New Roman" w:hAnsi="Times New Roman"/>
          <w:sz w:val="26"/>
          <w:szCs w:val="26"/>
          <w:vertAlign w:val="superscript"/>
        </w:rPr>
        <w:t xml:space="preserve"> </w:t>
      </w:r>
      <w:r w:rsidR="00247EBC" w:rsidRPr="00E9060E">
        <w:rPr>
          <w:rFonts w:ascii="Times New Roman" w:hAnsi="Times New Roman"/>
          <w:sz w:val="26"/>
          <w:szCs w:val="26"/>
        </w:rPr>
        <w:t xml:space="preserve"> </w:t>
      </w:r>
    </w:p>
    <w:p w14:paraId="69F13D91" w14:textId="77777777" w:rsidR="00A116AE" w:rsidRPr="00E9060E" w:rsidRDefault="00A116AE" w:rsidP="0051491B">
      <w:pPr>
        <w:spacing w:after="0" w:line="240" w:lineRule="auto"/>
        <w:rPr>
          <w:rFonts w:ascii="Times New Roman" w:hAnsi="Times New Roman"/>
          <w:sz w:val="26"/>
          <w:szCs w:val="26"/>
        </w:rPr>
      </w:pPr>
    </w:p>
    <w:tbl>
      <w:tblPr>
        <w:tblW w:w="10185" w:type="dxa"/>
        <w:jc w:val="right"/>
        <w:tblLayout w:type="fixed"/>
        <w:tblLook w:val="04A0" w:firstRow="1" w:lastRow="0" w:firstColumn="1" w:lastColumn="0" w:noHBand="0" w:noVBand="1"/>
      </w:tblPr>
      <w:tblGrid>
        <w:gridCol w:w="1970"/>
        <w:gridCol w:w="2070"/>
        <w:gridCol w:w="1980"/>
        <w:gridCol w:w="1980"/>
        <w:gridCol w:w="2185"/>
      </w:tblGrid>
      <w:tr w:rsidR="00DE6870" w:rsidRPr="00533D70" w14:paraId="3D23B22F" w14:textId="77777777" w:rsidTr="000113FC">
        <w:trPr>
          <w:trHeight w:val="999"/>
          <w:jc w:val="right"/>
        </w:trPr>
        <w:tc>
          <w:tcPr>
            <w:tcW w:w="10185" w:type="dxa"/>
            <w:gridSpan w:val="5"/>
            <w:tcBorders>
              <w:top w:val="single" w:sz="8" w:space="0" w:color="auto"/>
              <w:left w:val="single" w:sz="8" w:space="0" w:color="auto"/>
              <w:bottom w:val="single" w:sz="4" w:space="0" w:color="auto"/>
              <w:right w:val="single" w:sz="4" w:space="0" w:color="auto"/>
            </w:tcBorders>
            <w:shd w:val="clear" w:color="000000" w:fill="D9D9D9"/>
            <w:vAlign w:val="center"/>
          </w:tcPr>
          <w:p w14:paraId="073CA8C8" w14:textId="2C27AD61" w:rsidR="00DE6870" w:rsidRPr="00E9060E" w:rsidRDefault="00DE6870" w:rsidP="00320E77">
            <w:pPr>
              <w:spacing w:after="0" w:line="240" w:lineRule="auto"/>
              <w:ind w:right="874"/>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Additional Federal Cost Due to the Final Rule in Docket No. RM19-12</w:t>
            </w:r>
          </w:p>
        </w:tc>
      </w:tr>
      <w:tr w:rsidR="00320E77" w:rsidRPr="00533D70" w14:paraId="35AF1324" w14:textId="77777777" w:rsidTr="000113FC">
        <w:trPr>
          <w:trHeight w:val="2842"/>
          <w:jc w:val="right"/>
        </w:trPr>
        <w:tc>
          <w:tcPr>
            <w:tcW w:w="197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757F6E2" w14:textId="77777777" w:rsidR="00533D70" w:rsidRPr="00E9060E" w:rsidRDefault="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Information Collection</w:t>
            </w:r>
          </w:p>
        </w:tc>
        <w:tc>
          <w:tcPr>
            <w:tcW w:w="2070" w:type="dxa"/>
            <w:tcBorders>
              <w:top w:val="single" w:sz="8" w:space="0" w:color="auto"/>
              <w:left w:val="nil"/>
              <w:bottom w:val="single" w:sz="4" w:space="0" w:color="auto"/>
              <w:right w:val="single" w:sz="4" w:space="0" w:color="auto"/>
            </w:tcBorders>
            <w:shd w:val="clear" w:color="000000" w:fill="D9D9D9"/>
            <w:vAlign w:val="bottom"/>
            <w:hideMark/>
          </w:tcPr>
          <w:p w14:paraId="64A70FCB" w14:textId="4D6AE0D0" w:rsidR="00533D70" w:rsidRPr="00E9060E" w:rsidRDefault="00533D70" w:rsidP="003A14EF">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Full-Time Equivalents (FTEs)) for </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Analysis &amp; Processing of Filings</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xml:space="preserve"> --The Staff expects no change due to the </w:t>
            </w:r>
            <w:r w:rsidR="00E02C12" w:rsidRPr="00E9060E">
              <w:rPr>
                <w:rFonts w:ascii="Times New Roman" w:eastAsia="Times New Roman" w:hAnsi="Times New Roman"/>
                <w:b/>
                <w:color w:val="000000"/>
                <w:sz w:val="26"/>
                <w:szCs w:val="26"/>
              </w:rPr>
              <w:t xml:space="preserve">Final Rule  </w:t>
            </w:r>
            <w:r w:rsidRPr="00E9060E">
              <w:rPr>
                <w:rFonts w:ascii="Times New Roman" w:eastAsia="Times New Roman" w:hAnsi="Times New Roman"/>
                <w:b/>
                <w:color w:val="000000"/>
                <w:sz w:val="26"/>
                <w:szCs w:val="26"/>
              </w:rPr>
              <w:t>in RM19-12.</w:t>
            </w:r>
          </w:p>
        </w:tc>
        <w:tc>
          <w:tcPr>
            <w:tcW w:w="1980" w:type="dxa"/>
            <w:tcBorders>
              <w:top w:val="single" w:sz="8" w:space="0" w:color="auto"/>
              <w:left w:val="nil"/>
              <w:bottom w:val="single" w:sz="4" w:space="0" w:color="auto"/>
              <w:right w:val="single" w:sz="4" w:space="0" w:color="auto"/>
            </w:tcBorders>
            <w:shd w:val="clear" w:color="000000" w:fill="D9D9D9"/>
            <w:vAlign w:val="bottom"/>
            <w:hideMark/>
          </w:tcPr>
          <w:p w14:paraId="7815DAD3" w14:textId="3362A2F8"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Staff Cost of Analysis &amp; Processing of Filings (FTEs * $164,820/year) </w:t>
            </w:r>
          </w:p>
        </w:tc>
        <w:tc>
          <w:tcPr>
            <w:tcW w:w="1980" w:type="dxa"/>
            <w:tcBorders>
              <w:top w:val="single" w:sz="8" w:space="0" w:color="auto"/>
              <w:left w:val="nil"/>
              <w:bottom w:val="single" w:sz="4" w:space="0" w:color="auto"/>
              <w:right w:val="single" w:sz="4" w:space="0" w:color="auto"/>
            </w:tcBorders>
            <w:shd w:val="clear" w:color="000000" w:fill="D9D9D9"/>
            <w:vAlign w:val="bottom"/>
            <w:hideMark/>
          </w:tcPr>
          <w:p w14:paraId="7978C90F"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PRA Administrative Cost ($4,931 per collection)</w:t>
            </w:r>
          </w:p>
        </w:tc>
        <w:tc>
          <w:tcPr>
            <w:tcW w:w="2185" w:type="dxa"/>
            <w:tcBorders>
              <w:top w:val="single" w:sz="8" w:space="0" w:color="auto"/>
              <w:left w:val="nil"/>
              <w:bottom w:val="single" w:sz="4" w:space="0" w:color="auto"/>
              <w:right w:val="single" w:sz="4" w:space="0" w:color="auto"/>
            </w:tcBorders>
            <w:shd w:val="clear" w:color="000000" w:fill="D9D9D9"/>
            <w:vAlign w:val="bottom"/>
            <w:hideMark/>
          </w:tcPr>
          <w:p w14:paraId="29C640C2" w14:textId="3B9D92A1"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Estimated Annual Federal Cost (rounded)</w:t>
            </w:r>
          </w:p>
        </w:tc>
      </w:tr>
      <w:tr w:rsidR="00320E77" w:rsidRPr="00533D70" w14:paraId="44C8F842" w14:textId="77777777" w:rsidTr="000113FC">
        <w:trPr>
          <w:trHeight w:val="1127"/>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187E1C8E" w14:textId="183F64CE"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CA424C" w:rsidRPr="00E9060E">
              <w:rPr>
                <w:rFonts w:ascii="Times New Roman" w:eastAsia="Times New Roman" w:hAnsi="Times New Roman"/>
                <w:b/>
                <w:color w:val="000000"/>
                <w:sz w:val="26"/>
                <w:szCs w:val="26"/>
              </w:rPr>
              <w:t>1T (</w:t>
            </w:r>
            <w:r w:rsidRPr="00E9060E">
              <w:rPr>
                <w:rFonts w:ascii="Times New Roman" w:eastAsia="Times New Roman" w:hAnsi="Times New Roman"/>
                <w:b/>
                <w:color w:val="000000"/>
                <w:sz w:val="26"/>
                <w:szCs w:val="26"/>
              </w:rPr>
              <w:t>1</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FERC-</w:t>
            </w:r>
            <w:r w:rsidR="00CA424C" w:rsidRPr="00E9060E">
              <w:rPr>
                <w:rFonts w:ascii="Times New Roman" w:eastAsia="Times New Roman" w:hAnsi="Times New Roman"/>
                <w:b/>
                <w:color w:val="000000"/>
                <w:sz w:val="26"/>
                <w:szCs w:val="26"/>
              </w:rPr>
              <w:t>1-FT (</w:t>
            </w:r>
            <w:r w:rsidR="00AC3A31" w:rsidRPr="00E9060E">
              <w:rPr>
                <w:rFonts w:ascii="Times New Roman" w:eastAsia="Times New Roman" w:hAnsi="Times New Roman"/>
                <w:b/>
                <w:color w:val="000000"/>
                <w:sz w:val="26"/>
                <w:szCs w:val="26"/>
              </w:rPr>
              <w:t>1-F</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&amp; FERC-3</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Q</w:t>
            </w:r>
            <w:r w:rsidR="00CA424C" w:rsidRPr="00E9060E">
              <w:rPr>
                <w:rFonts w:ascii="Times New Roman" w:eastAsia="Times New Roman" w:hAnsi="Times New Roman"/>
                <w:b/>
                <w:color w:val="000000"/>
                <w:sz w:val="26"/>
                <w:szCs w:val="26"/>
              </w:rPr>
              <w:t>T</w:t>
            </w:r>
            <w:r w:rsidRPr="00E9060E">
              <w:rPr>
                <w:rFonts w:ascii="Times New Roman" w:eastAsia="Times New Roman" w:hAnsi="Times New Roman"/>
                <w:b/>
                <w:color w:val="000000"/>
                <w:sz w:val="26"/>
                <w:szCs w:val="26"/>
              </w:rPr>
              <w:t xml:space="preserve"> </w:t>
            </w:r>
            <w:r w:rsidR="00CA424C" w:rsidRPr="00E9060E">
              <w:rPr>
                <w:rFonts w:ascii="Times New Roman" w:eastAsia="Times New Roman" w:hAnsi="Times New Roman"/>
                <w:b/>
                <w:color w:val="000000"/>
                <w:sz w:val="26"/>
                <w:szCs w:val="26"/>
              </w:rPr>
              <w:t xml:space="preserve">(3-Q </w:t>
            </w:r>
            <w:r w:rsidRPr="00E9060E">
              <w:rPr>
                <w:rFonts w:ascii="Times New Roman" w:eastAsia="Times New Roman" w:hAnsi="Times New Roman"/>
                <w:b/>
                <w:color w:val="000000"/>
                <w:sz w:val="26"/>
                <w:szCs w:val="26"/>
              </w:rPr>
              <w:t>(electric and gas)</w:t>
            </w:r>
          </w:p>
        </w:tc>
        <w:tc>
          <w:tcPr>
            <w:tcW w:w="2070" w:type="dxa"/>
            <w:tcBorders>
              <w:top w:val="nil"/>
              <w:left w:val="nil"/>
              <w:bottom w:val="single" w:sz="4" w:space="0" w:color="auto"/>
              <w:right w:val="single" w:sz="4" w:space="0" w:color="auto"/>
            </w:tcBorders>
            <w:shd w:val="clear" w:color="auto" w:fill="auto"/>
            <w:vAlign w:val="bottom"/>
            <w:hideMark/>
          </w:tcPr>
          <w:p w14:paraId="391A2A36" w14:textId="530AF320"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r w:rsidR="00320E77">
              <w:rPr>
                <w:rFonts w:ascii="Times New Roman" w:eastAsia="Times New Roman" w:hAnsi="Times New Roman"/>
                <w:color w:val="000000"/>
                <w:sz w:val="26"/>
                <w:szCs w:val="26"/>
              </w:rPr>
              <w:t xml:space="preserve"> for existing forms</w:t>
            </w:r>
          </w:p>
        </w:tc>
        <w:tc>
          <w:tcPr>
            <w:tcW w:w="1980" w:type="dxa"/>
            <w:tcBorders>
              <w:top w:val="nil"/>
              <w:left w:val="nil"/>
              <w:bottom w:val="single" w:sz="4" w:space="0" w:color="auto"/>
              <w:right w:val="single" w:sz="4" w:space="0" w:color="auto"/>
            </w:tcBorders>
            <w:shd w:val="clear" w:color="auto" w:fill="auto"/>
            <w:vAlign w:val="bottom"/>
            <w:hideMark/>
          </w:tcPr>
          <w:p w14:paraId="3BD21D0E" w14:textId="413BCDD6" w:rsidR="00533D70" w:rsidRPr="00E9060E" w:rsidRDefault="00B57C21" w:rsidP="000113FC">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006D0BCD">
              <w:rPr>
                <w:rFonts w:ascii="Times New Roman" w:eastAsia="Times New Roman" w:hAnsi="Times New Roman"/>
                <w:color w:val="000000"/>
                <w:sz w:val="26"/>
                <w:szCs w:val="26"/>
              </w:rPr>
              <w:t>u</w:t>
            </w:r>
            <w:r>
              <w:rPr>
                <w:rFonts w:ascii="Times New Roman" w:eastAsia="Times New Roman" w:hAnsi="Times New Roman"/>
                <w:color w:val="000000"/>
                <w:sz w:val="26"/>
                <w:szCs w:val="26"/>
              </w:rPr>
              <w:t>nchanged</w:t>
            </w:r>
            <w:r w:rsidR="00320E77">
              <w:rPr>
                <w:rFonts w:ascii="Times New Roman" w:eastAsia="Times New Roman" w:hAnsi="Times New Roman"/>
                <w:color w:val="000000"/>
                <w:sz w:val="26"/>
                <w:szCs w:val="26"/>
              </w:rPr>
              <w:t xml:space="preserve"> for existing forms</w:t>
            </w:r>
          </w:p>
        </w:tc>
        <w:tc>
          <w:tcPr>
            <w:tcW w:w="1980" w:type="dxa"/>
            <w:tcBorders>
              <w:top w:val="nil"/>
              <w:left w:val="nil"/>
              <w:bottom w:val="single" w:sz="4" w:space="0" w:color="auto"/>
              <w:right w:val="single" w:sz="4" w:space="0" w:color="auto"/>
            </w:tcBorders>
            <w:shd w:val="clear" w:color="auto" w:fill="auto"/>
            <w:noWrap/>
            <w:vAlign w:val="bottom"/>
            <w:hideMark/>
          </w:tcPr>
          <w:p w14:paraId="06B167D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$19,724.00</w:t>
            </w:r>
          </w:p>
        </w:tc>
        <w:tc>
          <w:tcPr>
            <w:tcW w:w="2185" w:type="dxa"/>
            <w:tcBorders>
              <w:top w:val="nil"/>
              <w:left w:val="nil"/>
              <w:bottom w:val="single" w:sz="4" w:space="0" w:color="auto"/>
              <w:right w:val="single" w:sz="4" w:space="0" w:color="auto"/>
            </w:tcBorders>
            <w:shd w:val="clear" w:color="auto" w:fill="auto"/>
            <w:noWrap/>
            <w:vAlign w:val="bottom"/>
            <w:hideMark/>
          </w:tcPr>
          <w:p w14:paraId="5EE9A76D" w14:textId="76449E11" w:rsidR="00533D70" w:rsidRPr="00E9060E" w:rsidRDefault="00B57C21" w:rsidP="004E4AAE">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$19,724.00</w:t>
            </w:r>
          </w:p>
        </w:tc>
      </w:tr>
      <w:tr w:rsidR="00320E77" w:rsidRPr="00533D70" w14:paraId="2EAA6AF0" w14:textId="77777777" w:rsidTr="000113FC">
        <w:trPr>
          <w:trHeight w:val="451"/>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6CE8D8E3" w14:textId="77777777"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FERC-2</w:t>
            </w:r>
          </w:p>
        </w:tc>
        <w:tc>
          <w:tcPr>
            <w:tcW w:w="2070" w:type="dxa"/>
            <w:tcBorders>
              <w:top w:val="nil"/>
              <w:left w:val="nil"/>
              <w:bottom w:val="single" w:sz="4" w:space="0" w:color="auto"/>
              <w:right w:val="single" w:sz="4" w:space="0" w:color="auto"/>
            </w:tcBorders>
            <w:shd w:val="clear" w:color="auto" w:fill="auto"/>
            <w:vAlign w:val="bottom"/>
            <w:hideMark/>
          </w:tcPr>
          <w:p w14:paraId="3BD55F4C" w14:textId="4170E078"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vAlign w:val="bottom"/>
            <w:hideMark/>
          </w:tcPr>
          <w:p w14:paraId="03B5B091" w14:textId="226043D2"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6C4368D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711ADD58" w14:textId="62169C2A" w:rsidR="00533D70" w:rsidRPr="00E9060E" w:rsidRDefault="00B57C21">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r>
              <w:rPr>
                <w:rFonts w:ascii="Times New Roman" w:eastAsia="Times New Roman" w:hAnsi="Times New Roman"/>
                <w:color w:val="000000"/>
                <w:sz w:val="26"/>
                <w:szCs w:val="26"/>
              </w:rPr>
              <w:t xml:space="preserve"> </w:t>
            </w:r>
          </w:p>
        </w:tc>
      </w:tr>
      <w:tr w:rsidR="00320E77" w:rsidRPr="00533D70" w14:paraId="2FC8431A"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5AD5374D" w14:textId="0D63818D"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AC3A31" w:rsidRPr="00E9060E">
              <w:rPr>
                <w:rFonts w:ascii="Times New Roman" w:eastAsia="Times New Roman" w:hAnsi="Times New Roman"/>
                <w:b/>
                <w:color w:val="000000"/>
                <w:sz w:val="26"/>
                <w:szCs w:val="26"/>
              </w:rPr>
              <w:t>2-A</w:t>
            </w:r>
          </w:p>
        </w:tc>
        <w:tc>
          <w:tcPr>
            <w:tcW w:w="2070" w:type="dxa"/>
            <w:tcBorders>
              <w:top w:val="nil"/>
              <w:left w:val="nil"/>
              <w:bottom w:val="single" w:sz="4" w:space="0" w:color="auto"/>
              <w:right w:val="single" w:sz="4" w:space="0" w:color="auto"/>
            </w:tcBorders>
            <w:shd w:val="clear" w:color="auto" w:fill="auto"/>
            <w:vAlign w:val="bottom"/>
            <w:hideMark/>
          </w:tcPr>
          <w:p w14:paraId="40B77511" w14:textId="1871DF09"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vAlign w:val="bottom"/>
            <w:hideMark/>
          </w:tcPr>
          <w:p w14:paraId="5912DCD3" w14:textId="638625B3" w:rsidR="00533D70" w:rsidRPr="00E9060E" w:rsidRDefault="00B57C21">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43AE67B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14CDA1E3" w14:textId="2C611E2B"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6CEAE0F8"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30C31AC8" w14:textId="7E8EE6B2"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CA424C" w:rsidRPr="00E9060E">
              <w:rPr>
                <w:rFonts w:ascii="Times New Roman" w:eastAsia="Times New Roman" w:hAnsi="Times New Roman"/>
                <w:b/>
                <w:color w:val="000000"/>
                <w:sz w:val="26"/>
                <w:szCs w:val="26"/>
              </w:rPr>
              <w:t>6T (</w:t>
            </w:r>
            <w:r w:rsidRPr="00E9060E">
              <w:rPr>
                <w:rFonts w:ascii="Times New Roman" w:eastAsia="Times New Roman" w:hAnsi="Times New Roman"/>
                <w:b/>
                <w:color w:val="000000"/>
                <w:sz w:val="26"/>
                <w:szCs w:val="26"/>
              </w:rPr>
              <w:t>6</w:t>
            </w:r>
            <w:r w:rsidR="00CA424C" w:rsidRPr="00E9060E">
              <w:rPr>
                <w:rFonts w:ascii="Times New Roman" w:eastAsia="Times New Roman" w:hAnsi="Times New Roman"/>
                <w:b/>
                <w:color w:val="000000"/>
                <w:sz w:val="26"/>
                <w:szCs w:val="26"/>
              </w:rPr>
              <w:t>)</w:t>
            </w:r>
          </w:p>
        </w:tc>
        <w:tc>
          <w:tcPr>
            <w:tcW w:w="2070" w:type="dxa"/>
            <w:tcBorders>
              <w:top w:val="nil"/>
              <w:left w:val="nil"/>
              <w:bottom w:val="single" w:sz="4" w:space="0" w:color="auto"/>
              <w:right w:val="single" w:sz="4" w:space="0" w:color="auto"/>
            </w:tcBorders>
            <w:shd w:val="clear" w:color="auto" w:fill="auto"/>
            <w:vAlign w:val="bottom"/>
            <w:hideMark/>
          </w:tcPr>
          <w:p w14:paraId="47E7386F" w14:textId="38DD8DBE"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0C6CC2A2" w14:textId="03E5606C"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noWrap/>
            <w:vAlign w:val="bottom"/>
            <w:hideMark/>
          </w:tcPr>
          <w:p w14:paraId="43737F3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40E3596F" w14:textId="11B0AF28"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3443AD2E"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09C58EA5" w14:textId="5DD13BFE"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AC3A31" w:rsidRPr="00E9060E">
              <w:rPr>
                <w:rFonts w:ascii="Times New Roman" w:eastAsia="Times New Roman" w:hAnsi="Times New Roman"/>
                <w:b/>
                <w:color w:val="000000"/>
                <w:sz w:val="26"/>
                <w:szCs w:val="26"/>
              </w:rPr>
              <w:t>6-Q</w:t>
            </w:r>
            <w:r w:rsidR="00E02C12" w:rsidRPr="00E9060E">
              <w:rPr>
                <w:rFonts w:ascii="Times New Roman" w:eastAsia="Times New Roman" w:hAnsi="Times New Roman"/>
                <w:b/>
                <w:color w:val="000000"/>
                <w:sz w:val="26"/>
                <w:szCs w:val="26"/>
              </w:rPr>
              <w:t>T (6-Q)</w:t>
            </w:r>
          </w:p>
        </w:tc>
        <w:tc>
          <w:tcPr>
            <w:tcW w:w="2070" w:type="dxa"/>
            <w:tcBorders>
              <w:top w:val="nil"/>
              <w:left w:val="nil"/>
              <w:bottom w:val="single" w:sz="4" w:space="0" w:color="auto"/>
              <w:right w:val="single" w:sz="4" w:space="0" w:color="auto"/>
            </w:tcBorders>
            <w:shd w:val="clear" w:color="auto" w:fill="auto"/>
            <w:vAlign w:val="bottom"/>
            <w:hideMark/>
          </w:tcPr>
          <w:p w14:paraId="7AFE0FDA" w14:textId="1F5DD650"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7FB31C12" w14:textId="2FBEEBFA"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noWrap/>
            <w:vAlign w:val="bottom"/>
            <w:hideMark/>
          </w:tcPr>
          <w:p w14:paraId="1548E4B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287BE66D" w14:textId="4A6FA911"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153B108F"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23577F6D" w14:textId="38B5C373"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FERC-60A </w:t>
            </w:r>
            <w:r w:rsidR="00E02C12" w:rsidRPr="00E9060E">
              <w:rPr>
                <w:rFonts w:ascii="Times New Roman" w:eastAsia="Times New Roman" w:hAnsi="Times New Roman"/>
                <w:b/>
                <w:color w:val="000000"/>
                <w:sz w:val="26"/>
                <w:szCs w:val="26"/>
              </w:rPr>
              <w:t xml:space="preserve"> (60)</w:t>
            </w:r>
          </w:p>
        </w:tc>
        <w:tc>
          <w:tcPr>
            <w:tcW w:w="2070" w:type="dxa"/>
            <w:tcBorders>
              <w:top w:val="nil"/>
              <w:left w:val="nil"/>
              <w:bottom w:val="single" w:sz="4" w:space="0" w:color="auto"/>
              <w:right w:val="single" w:sz="4" w:space="0" w:color="auto"/>
            </w:tcBorders>
            <w:shd w:val="clear" w:color="auto" w:fill="auto"/>
            <w:vAlign w:val="bottom"/>
            <w:hideMark/>
          </w:tcPr>
          <w:p w14:paraId="6EC03789" w14:textId="1DA7200F"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5F1F72C9" w14:textId="4F1F7228"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 for existing form</w:t>
            </w:r>
            <w:r w:rsidR="00B57C21">
              <w:rPr>
                <w:rFonts w:ascii="Times New Roman" w:eastAsia="Times New Roman" w:hAnsi="Times New Roman"/>
                <w:color w:val="000000"/>
                <w:sz w:val="26"/>
                <w:szCs w:val="26"/>
              </w:rPr>
              <w:t>d</w:t>
            </w:r>
          </w:p>
        </w:tc>
        <w:tc>
          <w:tcPr>
            <w:tcW w:w="1980" w:type="dxa"/>
            <w:tcBorders>
              <w:top w:val="nil"/>
              <w:left w:val="nil"/>
              <w:bottom w:val="single" w:sz="4" w:space="0" w:color="auto"/>
              <w:right w:val="single" w:sz="4" w:space="0" w:color="auto"/>
            </w:tcBorders>
            <w:shd w:val="clear" w:color="auto" w:fill="auto"/>
            <w:noWrap/>
            <w:vAlign w:val="bottom"/>
            <w:hideMark/>
          </w:tcPr>
          <w:p w14:paraId="54837823"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52A4BEDD" w14:textId="046B4C0A"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79A35F3C"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15F7037C" w14:textId="2350D781" w:rsidR="00533D70" w:rsidRPr="00E9060E" w:rsidRDefault="00533D70" w:rsidP="00820D63">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FERC-714</w:t>
            </w:r>
          </w:p>
        </w:tc>
        <w:tc>
          <w:tcPr>
            <w:tcW w:w="2070" w:type="dxa"/>
            <w:tcBorders>
              <w:top w:val="nil"/>
              <w:left w:val="nil"/>
              <w:bottom w:val="single" w:sz="4" w:space="0" w:color="auto"/>
              <w:right w:val="single" w:sz="4" w:space="0" w:color="auto"/>
            </w:tcBorders>
            <w:shd w:val="clear" w:color="auto" w:fill="auto"/>
            <w:vAlign w:val="bottom"/>
            <w:hideMark/>
          </w:tcPr>
          <w:p w14:paraId="404D751A" w14:textId="1E063DEF" w:rsidR="00533D70" w:rsidRPr="00E9060E" w:rsidRDefault="00320E77">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sidR="00B364C5">
              <w:rPr>
                <w:rFonts w:ascii="Times New Roman" w:eastAsia="Times New Roman" w:hAnsi="Times New Roman"/>
                <w:color w:val="000000"/>
                <w:sz w:val="26"/>
                <w:szCs w:val="26"/>
              </w:rPr>
              <w:t xml:space="preserve"> </w:t>
            </w:r>
          </w:p>
        </w:tc>
        <w:tc>
          <w:tcPr>
            <w:tcW w:w="1980" w:type="dxa"/>
            <w:tcBorders>
              <w:top w:val="nil"/>
              <w:left w:val="nil"/>
              <w:bottom w:val="single" w:sz="4" w:space="0" w:color="auto"/>
              <w:right w:val="single" w:sz="4" w:space="0" w:color="auto"/>
            </w:tcBorders>
            <w:shd w:val="clear" w:color="auto" w:fill="auto"/>
            <w:vAlign w:val="bottom"/>
            <w:hideMark/>
          </w:tcPr>
          <w:p w14:paraId="7692441A" w14:textId="7082C1C1"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644B9B9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439D03B0" w14:textId="634FF156"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1B1050DC" w14:textId="77777777" w:rsidTr="000113FC">
        <w:trPr>
          <w:trHeight w:val="1214"/>
          <w:jc w:val="right"/>
        </w:trPr>
        <w:tc>
          <w:tcPr>
            <w:tcW w:w="1970" w:type="dxa"/>
            <w:tcBorders>
              <w:top w:val="nil"/>
              <w:left w:val="single" w:sz="4" w:space="0" w:color="auto"/>
              <w:bottom w:val="single" w:sz="4" w:space="0" w:color="auto"/>
              <w:right w:val="single" w:sz="4" w:space="0" w:color="auto"/>
            </w:tcBorders>
            <w:shd w:val="clear" w:color="auto" w:fill="auto"/>
            <w:vAlign w:val="center"/>
            <w:hideMark/>
          </w:tcPr>
          <w:p w14:paraId="0B897B02" w14:textId="0D4A9AF4" w:rsidR="00533D70" w:rsidRPr="00E9060E" w:rsidRDefault="00533D70" w:rsidP="003A14EF">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Total </w:t>
            </w:r>
            <w:r w:rsidR="00AB65D8" w:rsidRPr="00E9060E">
              <w:rPr>
                <w:rFonts w:ascii="Times New Roman" w:eastAsia="Times New Roman" w:hAnsi="Times New Roman"/>
                <w:b/>
                <w:color w:val="000000"/>
                <w:sz w:val="26"/>
                <w:szCs w:val="26"/>
              </w:rPr>
              <w:t xml:space="preserve">Additional </w:t>
            </w:r>
            <w:r w:rsidRPr="00E9060E">
              <w:rPr>
                <w:rFonts w:ascii="Times New Roman" w:eastAsia="Times New Roman" w:hAnsi="Times New Roman"/>
                <w:b/>
                <w:color w:val="000000"/>
                <w:sz w:val="26"/>
                <w:szCs w:val="26"/>
              </w:rPr>
              <w:t xml:space="preserve">FERC Costs </w:t>
            </w:r>
            <w:r w:rsidR="00AB65D8" w:rsidRPr="00E9060E">
              <w:rPr>
                <w:rFonts w:ascii="Times New Roman" w:eastAsia="Times New Roman" w:hAnsi="Times New Roman"/>
                <w:b/>
                <w:color w:val="000000"/>
                <w:sz w:val="26"/>
                <w:szCs w:val="26"/>
              </w:rPr>
              <w:t>fo</w:t>
            </w:r>
            <w:r w:rsidR="00B80607">
              <w:rPr>
                <w:rFonts w:ascii="Times New Roman" w:eastAsia="Times New Roman" w:hAnsi="Times New Roman"/>
                <w:b/>
                <w:color w:val="000000"/>
                <w:sz w:val="26"/>
                <w:szCs w:val="26"/>
              </w:rPr>
              <w:t>r “</w:t>
            </w:r>
            <w:r w:rsidRPr="00E9060E">
              <w:rPr>
                <w:rFonts w:ascii="Times New Roman" w:eastAsia="Times New Roman" w:hAnsi="Times New Roman"/>
                <w:b/>
                <w:color w:val="000000"/>
                <w:sz w:val="26"/>
                <w:szCs w:val="26"/>
              </w:rPr>
              <w:t>Analysis and Processing of Filings</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xml:space="preserve"> and </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PRA Administration</w:t>
            </w:r>
            <w:r w:rsidR="00B80607">
              <w:rPr>
                <w:rFonts w:ascii="Times New Roman" w:eastAsia="Times New Roman" w:hAnsi="Times New Roman"/>
                <w:b/>
                <w:color w:val="000000"/>
                <w:sz w:val="26"/>
                <w:szCs w:val="26"/>
              </w:rPr>
              <w:t>”</w:t>
            </w:r>
          </w:p>
        </w:tc>
        <w:tc>
          <w:tcPr>
            <w:tcW w:w="2070" w:type="dxa"/>
            <w:tcBorders>
              <w:top w:val="nil"/>
              <w:left w:val="nil"/>
              <w:bottom w:val="single" w:sz="4" w:space="0" w:color="auto"/>
              <w:right w:val="single" w:sz="4" w:space="0" w:color="auto"/>
            </w:tcBorders>
            <w:shd w:val="clear" w:color="auto" w:fill="auto"/>
            <w:vAlign w:val="bottom"/>
            <w:hideMark/>
          </w:tcPr>
          <w:p w14:paraId="3440B91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vAlign w:val="bottom"/>
            <w:hideMark/>
          </w:tcPr>
          <w:p w14:paraId="32099E7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noWrap/>
            <w:vAlign w:val="bottom"/>
            <w:hideMark/>
          </w:tcPr>
          <w:p w14:paraId="36121A4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85" w:type="dxa"/>
            <w:tcBorders>
              <w:top w:val="nil"/>
              <w:left w:val="nil"/>
              <w:bottom w:val="single" w:sz="4" w:space="0" w:color="auto"/>
              <w:right w:val="single" w:sz="4" w:space="0" w:color="auto"/>
            </w:tcBorders>
            <w:shd w:val="clear" w:color="auto" w:fill="auto"/>
            <w:noWrap/>
            <w:vAlign w:val="bottom"/>
            <w:hideMark/>
          </w:tcPr>
          <w:p w14:paraId="6F86A261" w14:textId="0227464E" w:rsidR="00533D70" w:rsidRPr="00E9060E" w:rsidRDefault="00B364C5"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$49,310</w:t>
            </w:r>
          </w:p>
        </w:tc>
      </w:tr>
      <w:tr w:rsidR="00320E77" w:rsidRPr="00533D70" w14:paraId="6339AAE1" w14:textId="77777777" w:rsidTr="000113FC">
        <w:trPr>
          <w:trHeight w:val="1529"/>
          <w:jc w:val="right"/>
        </w:trPr>
        <w:tc>
          <w:tcPr>
            <w:tcW w:w="1970" w:type="dxa"/>
            <w:tcBorders>
              <w:top w:val="nil"/>
              <w:left w:val="single" w:sz="4" w:space="0" w:color="auto"/>
              <w:bottom w:val="single" w:sz="4" w:space="0" w:color="auto"/>
              <w:right w:val="single" w:sz="4" w:space="0" w:color="auto"/>
            </w:tcBorders>
            <w:shd w:val="clear" w:color="auto" w:fill="auto"/>
            <w:vAlign w:val="center"/>
            <w:hideMark/>
          </w:tcPr>
          <w:p w14:paraId="5BFAD7DE" w14:textId="72F27B22"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 IT development</w:t>
            </w:r>
            <w:r w:rsidR="00A002E7">
              <w:rPr>
                <w:rFonts w:ascii="Times New Roman" w:eastAsia="Times New Roman" w:hAnsi="Times New Roman"/>
                <w:b/>
                <w:color w:val="000000"/>
                <w:sz w:val="26"/>
                <w:szCs w:val="26"/>
              </w:rPr>
              <w:t>, implementation,</w:t>
            </w:r>
            <w:r w:rsidRPr="00E9060E">
              <w:rPr>
                <w:rFonts w:ascii="Times New Roman" w:eastAsia="Times New Roman" w:hAnsi="Times New Roman"/>
                <w:b/>
                <w:color w:val="000000"/>
                <w:sz w:val="26"/>
                <w:szCs w:val="26"/>
              </w:rPr>
              <w:t xml:space="preserve"> &amp; maintenance costs</w:t>
            </w:r>
          </w:p>
        </w:tc>
        <w:tc>
          <w:tcPr>
            <w:tcW w:w="2070" w:type="dxa"/>
            <w:tcBorders>
              <w:top w:val="nil"/>
              <w:left w:val="nil"/>
              <w:bottom w:val="single" w:sz="4" w:space="0" w:color="auto"/>
              <w:right w:val="single" w:sz="4" w:space="0" w:color="auto"/>
            </w:tcBorders>
            <w:shd w:val="clear" w:color="auto" w:fill="auto"/>
            <w:vAlign w:val="center"/>
            <w:hideMark/>
          </w:tcPr>
          <w:p w14:paraId="4138589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vAlign w:val="center"/>
            <w:hideMark/>
          </w:tcPr>
          <w:p w14:paraId="29AB2C6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noWrap/>
            <w:vAlign w:val="bottom"/>
            <w:hideMark/>
          </w:tcPr>
          <w:p w14:paraId="26D3A1A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85" w:type="dxa"/>
            <w:tcBorders>
              <w:top w:val="nil"/>
              <w:left w:val="nil"/>
              <w:bottom w:val="single" w:sz="4" w:space="0" w:color="auto"/>
              <w:right w:val="single" w:sz="4" w:space="0" w:color="auto"/>
            </w:tcBorders>
            <w:shd w:val="clear" w:color="auto" w:fill="auto"/>
            <w:vAlign w:val="bottom"/>
            <w:hideMark/>
          </w:tcPr>
          <w:p w14:paraId="1FED0731" w14:textId="6705BF43" w:rsidR="00533D70" w:rsidRPr="00E9060E" w:rsidRDefault="00383706" w:rsidP="004E4AAE">
            <w:pPr>
              <w:spacing w:after="0" w:line="240" w:lineRule="auto"/>
              <w:jc w:val="right"/>
              <w:rPr>
                <w:rFonts w:ascii="Times New Roman" w:eastAsia="Times New Roman" w:hAnsi="Times New Roman"/>
                <w:color w:val="000000"/>
                <w:sz w:val="26"/>
                <w:szCs w:val="26"/>
              </w:rPr>
            </w:pPr>
            <w:r w:rsidRPr="00383706">
              <w:rPr>
                <w:rFonts w:ascii="Times New Roman" w:eastAsia="Times New Roman" w:hAnsi="Times New Roman"/>
                <w:color w:val="000000"/>
                <w:sz w:val="26"/>
                <w:szCs w:val="26"/>
              </w:rPr>
              <w:t xml:space="preserve">$5,399,889.45 </w:t>
            </w:r>
          </w:p>
        </w:tc>
      </w:tr>
      <w:tr w:rsidR="00B364C5" w:rsidRPr="00533D70" w14:paraId="39A90C73" w14:textId="77777777" w:rsidTr="000113FC">
        <w:trPr>
          <w:trHeight w:val="539"/>
          <w:jc w:val="right"/>
        </w:trPr>
        <w:tc>
          <w:tcPr>
            <w:tcW w:w="1970" w:type="dxa"/>
            <w:tcBorders>
              <w:top w:val="nil"/>
              <w:left w:val="single" w:sz="4" w:space="0" w:color="auto"/>
              <w:bottom w:val="single" w:sz="4" w:space="0" w:color="auto"/>
              <w:right w:val="single" w:sz="4" w:space="0" w:color="auto"/>
            </w:tcBorders>
            <w:shd w:val="clear" w:color="auto" w:fill="auto"/>
            <w:vAlign w:val="bottom"/>
          </w:tcPr>
          <w:p w14:paraId="230AABF0" w14:textId="05D57971" w:rsidR="00B364C5" w:rsidRPr="00E9060E" w:rsidRDefault="00B364C5" w:rsidP="00533D70">
            <w:pPr>
              <w:spacing w:after="0" w:line="240"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t>TOTAL COST</w:t>
            </w:r>
          </w:p>
        </w:tc>
        <w:tc>
          <w:tcPr>
            <w:tcW w:w="2070" w:type="dxa"/>
            <w:tcBorders>
              <w:top w:val="nil"/>
              <w:left w:val="nil"/>
              <w:bottom w:val="single" w:sz="4" w:space="0" w:color="auto"/>
              <w:right w:val="single" w:sz="4" w:space="0" w:color="auto"/>
            </w:tcBorders>
            <w:shd w:val="clear" w:color="auto" w:fill="auto"/>
            <w:vAlign w:val="bottom"/>
          </w:tcPr>
          <w:p w14:paraId="6B72DFFD"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1980" w:type="dxa"/>
            <w:tcBorders>
              <w:top w:val="nil"/>
              <w:left w:val="nil"/>
              <w:bottom w:val="single" w:sz="4" w:space="0" w:color="auto"/>
              <w:right w:val="single" w:sz="4" w:space="0" w:color="auto"/>
            </w:tcBorders>
            <w:shd w:val="clear" w:color="auto" w:fill="auto"/>
            <w:vAlign w:val="bottom"/>
          </w:tcPr>
          <w:p w14:paraId="3107E9E4"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1980" w:type="dxa"/>
            <w:tcBorders>
              <w:top w:val="nil"/>
              <w:left w:val="nil"/>
              <w:bottom w:val="single" w:sz="4" w:space="0" w:color="auto"/>
              <w:right w:val="single" w:sz="4" w:space="0" w:color="auto"/>
            </w:tcBorders>
            <w:shd w:val="clear" w:color="auto" w:fill="auto"/>
            <w:noWrap/>
            <w:vAlign w:val="bottom"/>
          </w:tcPr>
          <w:p w14:paraId="17A4A8C5"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2185" w:type="dxa"/>
            <w:tcBorders>
              <w:top w:val="nil"/>
              <w:left w:val="nil"/>
              <w:bottom w:val="single" w:sz="4" w:space="0" w:color="auto"/>
              <w:right w:val="single" w:sz="4" w:space="0" w:color="auto"/>
            </w:tcBorders>
            <w:shd w:val="clear" w:color="auto" w:fill="auto"/>
            <w:vAlign w:val="bottom"/>
          </w:tcPr>
          <w:p w14:paraId="22EB5859" w14:textId="715C87DF" w:rsidR="00B364C5" w:rsidRPr="00383706" w:rsidRDefault="00B364C5" w:rsidP="000113FC">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$5,449,199.45</w:t>
            </w:r>
          </w:p>
        </w:tc>
      </w:tr>
    </w:tbl>
    <w:p w14:paraId="0396A396" w14:textId="269EAAC8" w:rsidR="002A725B" w:rsidRPr="00E9060E" w:rsidRDefault="00A002E7" w:rsidP="00BD0F89">
      <w:pPr>
        <w:spacing w:after="0" w:line="240" w:lineRule="auto"/>
        <w:rPr>
          <w:rFonts w:ascii="Times New Roman" w:hAnsi="Times New Roman"/>
          <w:sz w:val="26"/>
          <w:szCs w:val="26"/>
        </w:rPr>
      </w:pPr>
      <w:r>
        <w:rPr>
          <w:rFonts w:ascii="Times New Roman" w:hAnsi="Times New Roman"/>
          <w:sz w:val="26"/>
          <w:szCs w:val="26"/>
        </w:rPr>
        <w:t xml:space="preserve">For administrative convenience, the IT cost of </w:t>
      </w:r>
      <w:r w:rsidRPr="00A002E7">
        <w:rPr>
          <w:rFonts w:ascii="Times New Roman" w:hAnsi="Times New Roman"/>
          <w:sz w:val="26"/>
          <w:szCs w:val="26"/>
        </w:rPr>
        <w:t>$5,399,889.45</w:t>
      </w:r>
      <w:r>
        <w:rPr>
          <w:rFonts w:ascii="Times New Roman" w:hAnsi="Times New Roman"/>
          <w:sz w:val="26"/>
          <w:szCs w:val="26"/>
        </w:rPr>
        <w:t xml:space="preserve"> is being equally split over Years 1-3 for each of the 10 forms, giving $179,996.32</w:t>
      </w:r>
      <w:r w:rsidR="00AF4A01">
        <w:rPr>
          <w:rFonts w:ascii="Times New Roman" w:hAnsi="Times New Roman"/>
          <w:sz w:val="26"/>
          <w:szCs w:val="26"/>
        </w:rPr>
        <w:t xml:space="preserve"> [($5,399,889.45 ÷ 10) ÷3 = $179,996.32]</w:t>
      </w:r>
      <w:r>
        <w:rPr>
          <w:rFonts w:ascii="Times New Roman" w:hAnsi="Times New Roman"/>
          <w:sz w:val="26"/>
          <w:szCs w:val="26"/>
        </w:rPr>
        <w:t xml:space="preserve"> annually per form.</w:t>
      </w:r>
    </w:p>
    <w:p w14:paraId="55FC1BFA" w14:textId="77777777" w:rsidR="003F4A59" w:rsidRPr="00E9060E" w:rsidRDefault="003F4A59" w:rsidP="00BD0F89">
      <w:pPr>
        <w:spacing w:after="0" w:line="240" w:lineRule="auto"/>
        <w:rPr>
          <w:rFonts w:ascii="Times New Roman" w:hAnsi="Times New Roman"/>
          <w:sz w:val="26"/>
          <w:szCs w:val="26"/>
        </w:rPr>
      </w:pPr>
    </w:p>
    <w:p w14:paraId="43CA34DD" w14:textId="77777777" w:rsidR="00F20B97"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15. REASONS FOR CHANGES IN BURDEN INCLUDING THE NEED FOR ANY INCREASE</w:t>
      </w:r>
    </w:p>
    <w:p w14:paraId="3F5AE378" w14:textId="77777777" w:rsidR="00F20B97" w:rsidRPr="00E9060E" w:rsidRDefault="00F20B97" w:rsidP="00BD0F89">
      <w:pPr>
        <w:spacing w:after="0" w:line="240" w:lineRule="auto"/>
        <w:rPr>
          <w:rFonts w:ascii="Times New Roman" w:hAnsi="Times New Roman"/>
          <w:sz w:val="26"/>
          <w:szCs w:val="26"/>
        </w:rPr>
      </w:pPr>
    </w:p>
    <w:p w14:paraId="538C513A" w14:textId="6F84BAFA" w:rsidR="001C012B" w:rsidRPr="00E9060E" w:rsidRDefault="001C012B" w:rsidP="001C012B">
      <w:pPr>
        <w:spacing w:after="0" w:line="240" w:lineRule="auto"/>
        <w:rPr>
          <w:rFonts w:ascii="Times New Roman" w:hAnsi="Times New Roman"/>
          <w:sz w:val="26"/>
          <w:szCs w:val="26"/>
        </w:rPr>
      </w:pPr>
      <w:bookmarkStart w:id="2" w:name="_bmk1"/>
      <w:r>
        <w:rPr>
          <w:rFonts w:ascii="Times New Roman" w:hAnsi="Times New Roman"/>
          <w:b/>
          <w:sz w:val="26"/>
          <w:szCs w:val="26"/>
        </w:rPr>
        <w:t xml:space="preserve">Adjustment in Estimate.  </w:t>
      </w:r>
      <w:r>
        <w:rPr>
          <w:rFonts w:ascii="Times New Roman" w:hAnsi="Times New Roman"/>
          <w:sz w:val="26"/>
          <w:szCs w:val="26"/>
        </w:rPr>
        <w:t xml:space="preserve">For the FERC Form No. 2-A, there is an adjustment of the agency estimate of +7 respondents (and responses) and +1,773.76 burden hours.  This is due to normal </w:t>
      </w:r>
      <w:r w:rsidR="006D0BCD">
        <w:rPr>
          <w:rFonts w:ascii="Times New Roman" w:hAnsi="Times New Roman"/>
          <w:sz w:val="26"/>
          <w:szCs w:val="26"/>
        </w:rPr>
        <w:t>fluctuation</w:t>
      </w:r>
      <w:r>
        <w:rPr>
          <w:rFonts w:ascii="Times New Roman" w:hAnsi="Times New Roman"/>
          <w:sz w:val="26"/>
          <w:szCs w:val="26"/>
        </w:rPr>
        <w:t>s in industry (e.g., companies merging or splitting, or entering or leaving the field).</w:t>
      </w:r>
    </w:p>
    <w:p w14:paraId="559061B1" w14:textId="77777777" w:rsidR="001C012B" w:rsidRDefault="001C012B" w:rsidP="001C012B">
      <w:pPr>
        <w:spacing w:after="0" w:line="240" w:lineRule="auto"/>
        <w:rPr>
          <w:rFonts w:ascii="Times New Roman" w:hAnsi="Times New Roman"/>
          <w:b/>
          <w:sz w:val="26"/>
          <w:szCs w:val="26"/>
        </w:rPr>
      </w:pPr>
    </w:p>
    <w:p w14:paraId="1CD53CA0" w14:textId="45187013" w:rsidR="00450F57" w:rsidRDefault="001C012B" w:rsidP="001C012B">
      <w:pPr>
        <w:spacing w:after="0" w:line="240" w:lineRule="auto"/>
        <w:rPr>
          <w:rFonts w:ascii="Times New Roman" w:hAnsi="Times New Roman"/>
          <w:sz w:val="26"/>
          <w:szCs w:val="26"/>
        </w:rPr>
      </w:pPr>
      <w:r>
        <w:rPr>
          <w:rFonts w:ascii="Times New Roman" w:hAnsi="Times New Roman"/>
          <w:b/>
          <w:sz w:val="26"/>
          <w:szCs w:val="26"/>
        </w:rPr>
        <w:t xml:space="preserve">Program Change.  </w:t>
      </w:r>
      <w:r w:rsidR="00E31823" w:rsidRPr="00E9060E">
        <w:rPr>
          <w:rFonts w:ascii="Times New Roman" w:hAnsi="Times New Roman"/>
          <w:sz w:val="26"/>
          <w:szCs w:val="26"/>
        </w:rPr>
        <w:t>FERC is transition</w:t>
      </w:r>
      <w:r w:rsidR="003A14EF" w:rsidRPr="00E9060E">
        <w:rPr>
          <w:rFonts w:ascii="Times New Roman" w:hAnsi="Times New Roman"/>
          <w:sz w:val="26"/>
          <w:szCs w:val="26"/>
        </w:rPr>
        <w:t>ing</w:t>
      </w:r>
      <w:r w:rsidR="00E31823" w:rsidRPr="00E9060E">
        <w:rPr>
          <w:rFonts w:ascii="Times New Roman" w:hAnsi="Times New Roman"/>
          <w:sz w:val="26"/>
          <w:szCs w:val="26"/>
        </w:rPr>
        <w:t xml:space="preserve"> from the current use of the VFP software, which is no longer supported by its developer, to a type of Extensible Mark</w:t>
      </w:r>
      <w:r w:rsidR="003E74C9" w:rsidRPr="00E9060E">
        <w:rPr>
          <w:rFonts w:ascii="Times New Roman" w:hAnsi="Times New Roman"/>
          <w:sz w:val="26"/>
          <w:szCs w:val="26"/>
        </w:rPr>
        <w:t>u</w:t>
      </w:r>
      <w:r w:rsidR="00E31823" w:rsidRPr="00E9060E">
        <w:rPr>
          <w:rFonts w:ascii="Times New Roman" w:hAnsi="Times New Roman"/>
          <w:sz w:val="26"/>
          <w:szCs w:val="26"/>
        </w:rPr>
        <w:t xml:space="preserve">p Language called eXtensible Business Reporting Language (XBRL).  The XBRL standard would be used to file the Commission’s VFP Forms.  The use of XBRL should make the information in these forms easier for filers and data users to analyze and assist in automating regulatory filings and business information processing.  In addition, the Commission believes that transitioning from the current VFP system to XBRL will decrease the costs, over time, of preparing the necessary data for submission and complying with future changes to filing requirements set forth by the Commission.  The Commission is also proposing to revise its regulations to require filers of </w:t>
      </w:r>
      <w:r w:rsidR="005539AC">
        <w:rPr>
          <w:rFonts w:ascii="Times New Roman" w:hAnsi="Times New Roman"/>
          <w:sz w:val="26"/>
          <w:szCs w:val="26"/>
        </w:rPr>
        <w:t xml:space="preserve">FERC </w:t>
      </w:r>
      <w:r w:rsidR="00E31823" w:rsidRPr="00E9060E">
        <w:rPr>
          <w:rFonts w:ascii="Times New Roman" w:hAnsi="Times New Roman"/>
          <w:sz w:val="26"/>
          <w:szCs w:val="26"/>
        </w:rPr>
        <w:t xml:space="preserve">Form No. </w:t>
      </w:r>
      <w:r w:rsidR="00325D43" w:rsidRPr="00E9060E">
        <w:rPr>
          <w:rFonts w:ascii="Times New Roman" w:hAnsi="Times New Roman"/>
          <w:sz w:val="26"/>
          <w:szCs w:val="26"/>
        </w:rPr>
        <w:t>1-FT (</w:t>
      </w:r>
      <w:r w:rsidR="00E31823" w:rsidRPr="00E9060E">
        <w:rPr>
          <w:rFonts w:ascii="Times New Roman" w:hAnsi="Times New Roman"/>
          <w:sz w:val="26"/>
          <w:szCs w:val="26"/>
        </w:rPr>
        <w:t>1-F</w:t>
      </w:r>
      <w:r w:rsidR="00325D43" w:rsidRPr="00E9060E">
        <w:rPr>
          <w:rFonts w:ascii="Times New Roman" w:hAnsi="Times New Roman"/>
          <w:sz w:val="26"/>
          <w:szCs w:val="26"/>
        </w:rPr>
        <w:t>)</w:t>
      </w:r>
      <w:r w:rsidR="00E31823" w:rsidRPr="00E9060E">
        <w:rPr>
          <w:rFonts w:ascii="Times New Roman" w:hAnsi="Times New Roman"/>
          <w:sz w:val="26"/>
          <w:szCs w:val="26"/>
        </w:rPr>
        <w:t xml:space="preserve"> to file their report in electronic media pursuant to 18 CFR 385.2011.</w:t>
      </w:r>
    </w:p>
    <w:p w14:paraId="54CD0C71" w14:textId="32F5F608" w:rsidR="001C012B" w:rsidRDefault="001C012B" w:rsidP="00BD0F89">
      <w:pPr>
        <w:spacing w:after="0" w:line="240" w:lineRule="auto"/>
        <w:rPr>
          <w:rFonts w:ascii="Times New Roman" w:hAnsi="Times New Roman"/>
          <w:sz w:val="26"/>
          <w:szCs w:val="26"/>
        </w:rPr>
      </w:pPr>
    </w:p>
    <w:p w14:paraId="3B838B49" w14:textId="77777777" w:rsidR="00E31823" w:rsidRPr="00E9060E" w:rsidRDefault="00E31823" w:rsidP="00BD0F89">
      <w:pPr>
        <w:spacing w:after="0" w:line="240" w:lineRule="auto"/>
        <w:rPr>
          <w:rFonts w:ascii="Times New Roman" w:hAnsi="Times New Roman"/>
          <w:b/>
          <w:sz w:val="26"/>
          <w:szCs w:val="26"/>
          <w:u w:val="single"/>
        </w:rPr>
      </w:pPr>
    </w:p>
    <w:p w14:paraId="40833C19" w14:textId="6AC04AAE" w:rsidR="00E31823" w:rsidRDefault="006955A3" w:rsidP="00BD0F89">
      <w:pPr>
        <w:spacing w:after="0" w:line="240" w:lineRule="auto"/>
        <w:rPr>
          <w:rFonts w:ascii="Times New Roman" w:hAnsi="Times New Roman"/>
          <w:sz w:val="26"/>
          <w:szCs w:val="26"/>
        </w:rPr>
      </w:pPr>
      <w:r w:rsidRPr="00E9060E">
        <w:rPr>
          <w:rFonts w:ascii="Times New Roman" w:hAnsi="Times New Roman"/>
          <w:sz w:val="26"/>
          <w:szCs w:val="26"/>
        </w:rPr>
        <w:t>The following table</w:t>
      </w:r>
      <w:r w:rsidR="004D4E3A" w:rsidRPr="00E9060E">
        <w:rPr>
          <w:rStyle w:val="FootnoteReference"/>
          <w:rFonts w:ascii="Times New Roman" w:hAnsi="Times New Roman"/>
          <w:sz w:val="26"/>
          <w:szCs w:val="26"/>
          <w:vertAlign w:val="superscript"/>
        </w:rPr>
        <w:footnoteReference w:id="31"/>
      </w:r>
      <w:r w:rsidRPr="00E9060E">
        <w:rPr>
          <w:rFonts w:ascii="Times New Roman" w:hAnsi="Times New Roman"/>
          <w:sz w:val="26"/>
          <w:szCs w:val="26"/>
          <w:vertAlign w:val="superscript"/>
        </w:rPr>
        <w:t xml:space="preserve"> </w:t>
      </w:r>
      <w:r w:rsidRPr="00E9060E">
        <w:rPr>
          <w:rFonts w:ascii="Times New Roman" w:hAnsi="Times New Roman"/>
          <w:sz w:val="26"/>
          <w:szCs w:val="26"/>
        </w:rPr>
        <w:t>show</w:t>
      </w:r>
      <w:r w:rsidR="00E31823" w:rsidRPr="00E9060E">
        <w:rPr>
          <w:rFonts w:ascii="Times New Roman" w:hAnsi="Times New Roman"/>
          <w:sz w:val="26"/>
          <w:szCs w:val="26"/>
        </w:rPr>
        <w:t>s</w:t>
      </w:r>
      <w:r w:rsidRPr="00E9060E">
        <w:rPr>
          <w:rFonts w:ascii="Times New Roman" w:hAnsi="Times New Roman"/>
          <w:sz w:val="26"/>
          <w:szCs w:val="26"/>
        </w:rPr>
        <w:t xml:space="preserve"> </w:t>
      </w:r>
      <w:r w:rsidR="00C731FD" w:rsidRPr="00E9060E">
        <w:rPr>
          <w:rFonts w:ascii="Times New Roman" w:hAnsi="Times New Roman"/>
          <w:sz w:val="26"/>
          <w:szCs w:val="26"/>
        </w:rPr>
        <w:t xml:space="preserve">the </w:t>
      </w:r>
      <w:r w:rsidRPr="00E9060E">
        <w:rPr>
          <w:rFonts w:ascii="Times New Roman" w:hAnsi="Times New Roman"/>
          <w:sz w:val="26"/>
          <w:szCs w:val="26"/>
        </w:rPr>
        <w:t xml:space="preserve">changes </w:t>
      </w:r>
      <w:r w:rsidR="003A14EF" w:rsidRPr="00E9060E">
        <w:rPr>
          <w:rFonts w:ascii="Times New Roman" w:hAnsi="Times New Roman"/>
          <w:sz w:val="26"/>
          <w:szCs w:val="26"/>
        </w:rPr>
        <w:t xml:space="preserve">due to the </w:t>
      </w:r>
      <w:r w:rsidR="00C656D8">
        <w:rPr>
          <w:rFonts w:ascii="Times New Roman" w:hAnsi="Times New Roman"/>
          <w:sz w:val="26"/>
          <w:szCs w:val="26"/>
        </w:rPr>
        <w:t>f</w:t>
      </w:r>
      <w:r w:rsidR="003A14EF" w:rsidRPr="00E9060E">
        <w:rPr>
          <w:rFonts w:ascii="Times New Roman" w:hAnsi="Times New Roman"/>
          <w:sz w:val="26"/>
          <w:szCs w:val="26"/>
        </w:rPr>
        <w:t xml:space="preserve">inal </w:t>
      </w:r>
      <w:r w:rsidR="00C656D8">
        <w:rPr>
          <w:rFonts w:ascii="Times New Roman" w:hAnsi="Times New Roman"/>
          <w:sz w:val="26"/>
          <w:szCs w:val="26"/>
        </w:rPr>
        <w:t>r</w:t>
      </w:r>
      <w:r w:rsidR="003A14EF" w:rsidRPr="00E9060E">
        <w:rPr>
          <w:rFonts w:ascii="Times New Roman" w:hAnsi="Times New Roman"/>
          <w:sz w:val="26"/>
          <w:szCs w:val="26"/>
        </w:rPr>
        <w:t>ule in Docket No. RM19-12</w:t>
      </w:r>
      <w:r w:rsidR="00DF777F">
        <w:rPr>
          <w:rFonts w:ascii="Times New Roman" w:hAnsi="Times New Roman"/>
          <w:sz w:val="26"/>
          <w:szCs w:val="26"/>
        </w:rPr>
        <w:t>,</w:t>
      </w:r>
      <w:r w:rsidR="003A14EF" w:rsidRPr="00E9060E">
        <w:rPr>
          <w:rFonts w:ascii="Times New Roman" w:hAnsi="Times New Roman"/>
          <w:sz w:val="26"/>
          <w:szCs w:val="26"/>
        </w:rPr>
        <w:t xml:space="preserve"> </w:t>
      </w:r>
      <w:r w:rsidR="00087DA2">
        <w:rPr>
          <w:rFonts w:ascii="Times New Roman" w:hAnsi="Times New Roman"/>
          <w:sz w:val="26"/>
          <w:szCs w:val="26"/>
        </w:rPr>
        <w:t xml:space="preserve">plus an adjustment </w:t>
      </w:r>
      <w:r w:rsidR="00DF777F">
        <w:rPr>
          <w:rFonts w:ascii="Times New Roman" w:hAnsi="Times New Roman"/>
          <w:sz w:val="26"/>
          <w:szCs w:val="26"/>
        </w:rPr>
        <w:t xml:space="preserve">(unrelated to the rulemaking) </w:t>
      </w:r>
      <w:r w:rsidR="00087DA2">
        <w:rPr>
          <w:rFonts w:ascii="Times New Roman" w:hAnsi="Times New Roman"/>
          <w:sz w:val="26"/>
          <w:szCs w:val="26"/>
        </w:rPr>
        <w:t>in the number of filers of the FERC Form No. 2-A.  The figures are</w:t>
      </w:r>
      <w:r w:rsidRPr="00E9060E">
        <w:rPr>
          <w:rFonts w:ascii="Times New Roman" w:hAnsi="Times New Roman"/>
          <w:sz w:val="26"/>
          <w:szCs w:val="26"/>
        </w:rPr>
        <w:t xml:space="preserve"> based on ROCIS (and reginfo.gov) metadata</w:t>
      </w:r>
      <w:r w:rsidR="00C731FD" w:rsidRPr="00E9060E">
        <w:rPr>
          <w:rFonts w:ascii="Times New Roman" w:hAnsi="Times New Roman"/>
          <w:sz w:val="26"/>
          <w:szCs w:val="26"/>
        </w:rPr>
        <w:t>.</w:t>
      </w:r>
      <w:r w:rsidR="005B0B0A">
        <w:rPr>
          <w:rFonts w:ascii="Times New Roman" w:hAnsi="Times New Roman"/>
          <w:sz w:val="26"/>
          <w:szCs w:val="26"/>
        </w:rPr>
        <w:t xml:space="preserve">  “Annual cost burden” is the annual “out-of-pocket” expenses estimated </w:t>
      </w:r>
      <w:r w:rsidR="00DF777F">
        <w:rPr>
          <w:rFonts w:ascii="Times New Roman" w:hAnsi="Times New Roman"/>
          <w:sz w:val="26"/>
          <w:szCs w:val="26"/>
        </w:rPr>
        <w:t>for</w:t>
      </w:r>
      <w:r w:rsidR="005B0B0A">
        <w:rPr>
          <w:rFonts w:ascii="Times New Roman" w:hAnsi="Times New Roman"/>
          <w:sz w:val="26"/>
          <w:szCs w:val="26"/>
        </w:rPr>
        <w:t xml:space="preserve"> Years 2 and 3 (as described in Question 13); the figure is averaged over 3 years.</w:t>
      </w:r>
    </w:p>
    <w:p w14:paraId="13FAAB4F" w14:textId="2D008A90" w:rsidR="00020395" w:rsidRDefault="00020395" w:rsidP="00BD0F89">
      <w:pPr>
        <w:spacing w:after="0" w:line="240" w:lineRule="auto"/>
        <w:rPr>
          <w:rFonts w:ascii="Times New Roman" w:hAnsi="Times New Roman"/>
          <w:sz w:val="26"/>
          <w:szCs w:val="26"/>
        </w:rPr>
      </w:pPr>
    </w:p>
    <w:p w14:paraId="3B043F63" w14:textId="327128F8" w:rsidR="00020395" w:rsidRPr="00E9060E" w:rsidRDefault="00020395" w:rsidP="00BD0F89">
      <w:pPr>
        <w:spacing w:after="0" w:line="240" w:lineRule="auto"/>
        <w:rPr>
          <w:rFonts w:ascii="Times New Roman" w:hAnsi="Times New Roman"/>
          <w:sz w:val="26"/>
          <w:szCs w:val="26"/>
        </w:rPr>
      </w:pPr>
      <w:r>
        <w:rPr>
          <w:rFonts w:ascii="Times New Roman" w:hAnsi="Times New Roman"/>
          <w:sz w:val="26"/>
          <w:szCs w:val="26"/>
        </w:rPr>
        <w:t xml:space="preserve">Note that a placeholder of "1" is used for some entries for the FERC Form Nos. 3-QT (electric and natural gas) and 6-QT in order to submit these to OMB for review.  The burden and cost related to the rulemaking are covered under FERC Form Nos. 1T, 1-FT, </w:t>
      </w:r>
      <w:r w:rsidR="006D0BCD">
        <w:rPr>
          <w:rFonts w:ascii="Times New Roman" w:hAnsi="Times New Roman"/>
          <w:sz w:val="26"/>
          <w:szCs w:val="26"/>
        </w:rPr>
        <w:t xml:space="preserve">2, 2-A </w:t>
      </w:r>
      <w:r>
        <w:rPr>
          <w:rFonts w:ascii="Times New Roman" w:hAnsi="Times New Roman"/>
          <w:sz w:val="26"/>
          <w:szCs w:val="26"/>
        </w:rPr>
        <w:t>and 6T.</w:t>
      </w:r>
    </w:p>
    <w:p w14:paraId="3306DB76" w14:textId="13983BB8" w:rsidR="002570FB" w:rsidRPr="00E9060E" w:rsidRDefault="002570FB" w:rsidP="00497925">
      <w:pPr>
        <w:spacing w:after="0" w:line="259" w:lineRule="auto"/>
        <w:rPr>
          <w:rFonts w:ascii="Times New Roman" w:hAnsi="Times New Roman"/>
          <w:sz w:val="26"/>
          <w:szCs w:val="26"/>
        </w:rPr>
      </w:pPr>
    </w:p>
    <w:tbl>
      <w:tblPr>
        <w:tblW w:w="926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86"/>
        <w:gridCol w:w="1469"/>
        <w:gridCol w:w="1516"/>
        <w:gridCol w:w="1386"/>
        <w:gridCol w:w="1531"/>
        <w:gridCol w:w="2072"/>
      </w:tblGrid>
      <w:tr w:rsidR="005B0B0A" w:rsidRPr="00533D70" w14:paraId="466476A3" w14:textId="77777777" w:rsidTr="00D1510B">
        <w:trPr>
          <w:trHeight w:val="2835"/>
        </w:trPr>
        <w:tc>
          <w:tcPr>
            <w:tcW w:w="1600" w:type="dxa"/>
            <w:shd w:val="clear" w:color="000000" w:fill="D9D9D9"/>
            <w:vAlign w:val="bottom"/>
            <w:hideMark/>
          </w:tcPr>
          <w:p w14:paraId="5D221A1A" w14:textId="615A81F7" w:rsidR="00533D70" w:rsidRPr="00E9060E" w:rsidRDefault="003A14EF"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Form No. </w:t>
            </w:r>
          </w:p>
        </w:tc>
        <w:tc>
          <w:tcPr>
            <w:tcW w:w="1680" w:type="dxa"/>
            <w:shd w:val="clear" w:color="000000" w:fill="D9D9D9"/>
            <w:vAlign w:val="bottom"/>
            <w:hideMark/>
          </w:tcPr>
          <w:p w14:paraId="00503542"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w:t>
            </w:r>
          </w:p>
        </w:tc>
        <w:tc>
          <w:tcPr>
            <w:tcW w:w="1420" w:type="dxa"/>
            <w:shd w:val="clear" w:color="000000" w:fill="D9D9D9"/>
            <w:vAlign w:val="bottom"/>
            <w:hideMark/>
          </w:tcPr>
          <w:p w14:paraId="2017E857"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Total Request</w:t>
            </w:r>
          </w:p>
        </w:tc>
        <w:tc>
          <w:tcPr>
            <w:tcW w:w="1160" w:type="dxa"/>
            <w:shd w:val="clear" w:color="000000" w:fill="D9D9D9"/>
            <w:vAlign w:val="bottom"/>
            <w:hideMark/>
          </w:tcPr>
          <w:p w14:paraId="50391065"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Previously Approved</w:t>
            </w:r>
          </w:p>
        </w:tc>
        <w:tc>
          <w:tcPr>
            <w:tcW w:w="1300" w:type="dxa"/>
            <w:shd w:val="clear" w:color="000000" w:fill="D9D9D9"/>
            <w:vAlign w:val="bottom"/>
            <w:hideMark/>
          </w:tcPr>
          <w:p w14:paraId="3836E329"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Change due to Adjustment in Estimate</w:t>
            </w:r>
          </w:p>
        </w:tc>
        <w:tc>
          <w:tcPr>
            <w:tcW w:w="2100" w:type="dxa"/>
            <w:shd w:val="clear" w:color="000000" w:fill="D9D9D9"/>
            <w:vAlign w:val="bottom"/>
            <w:hideMark/>
          </w:tcPr>
          <w:p w14:paraId="2CB56806"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Average Annual Change Due to Agency Discretion (Burden changes [implementation and ongoing maintenance] are being averaged over Years 1-3)</w:t>
            </w:r>
          </w:p>
        </w:tc>
      </w:tr>
      <w:tr w:rsidR="005B0B0A" w:rsidRPr="00533D70" w14:paraId="6F742ABA" w14:textId="77777777" w:rsidTr="00D1510B">
        <w:trPr>
          <w:trHeight w:val="630"/>
        </w:trPr>
        <w:tc>
          <w:tcPr>
            <w:tcW w:w="1600" w:type="dxa"/>
            <w:vMerge w:val="restart"/>
            <w:shd w:val="clear" w:color="auto" w:fill="auto"/>
            <w:vAlign w:val="bottom"/>
            <w:hideMark/>
          </w:tcPr>
          <w:p w14:paraId="1728177F" w14:textId="6838D2C5" w:rsidR="00533D70" w:rsidRPr="00E9060E" w:rsidRDefault="00CA424C"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1T (</w:t>
            </w:r>
            <w:r w:rsidR="00533D70" w:rsidRPr="00E9060E">
              <w:rPr>
                <w:rFonts w:ascii="Times New Roman" w:eastAsia="Times New Roman" w:hAnsi="Times New Roman"/>
                <w:b/>
                <w:color w:val="000000"/>
                <w:sz w:val="26"/>
                <w:szCs w:val="26"/>
              </w:rPr>
              <w:t>1</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781A132A"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1B5E1CA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207</w:t>
            </w:r>
          </w:p>
        </w:tc>
        <w:tc>
          <w:tcPr>
            <w:tcW w:w="1160" w:type="dxa"/>
            <w:shd w:val="clear" w:color="auto" w:fill="auto"/>
            <w:vAlign w:val="center"/>
            <w:hideMark/>
          </w:tcPr>
          <w:p w14:paraId="047E302D" w14:textId="0E9C4BFD"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780AEB56" w14:textId="1D1BF3D7"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55F33CE6" w14:textId="70C44E8C"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207</w:t>
            </w:r>
            <w:r w:rsidR="00533D70" w:rsidRPr="00E9060E">
              <w:rPr>
                <w:rFonts w:ascii="Times New Roman" w:eastAsia="Times New Roman" w:hAnsi="Times New Roman"/>
                <w:color w:val="000000"/>
                <w:sz w:val="26"/>
                <w:szCs w:val="26"/>
              </w:rPr>
              <w:t> </w:t>
            </w:r>
          </w:p>
        </w:tc>
      </w:tr>
      <w:tr w:rsidR="005B0B0A" w:rsidRPr="00533D70" w14:paraId="523567E5" w14:textId="77777777" w:rsidTr="00D1510B">
        <w:trPr>
          <w:trHeight w:val="630"/>
        </w:trPr>
        <w:tc>
          <w:tcPr>
            <w:tcW w:w="1600" w:type="dxa"/>
            <w:vMerge/>
            <w:vAlign w:val="center"/>
            <w:hideMark/>
          </w:tcPr>
          <w:p w14:paraId="5698265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603D2B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7BB77AA9" w14:textId="54664B28"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8,832</w:t>
            </w:r>
          </w:p>
        </w:tc>
        <w:tc>
          <w:tcPr>
            <w:tcW w:w="1160" w:type="dxa"/>
            <w:shd w:val="clear" w:color="auto" w:fill="auto"/>
            <w:vAlign w:val="center"/>
            <w:hideMark/>
          </w:tcPr>
          <w:p w14:paraId="48E9B0D6" w14:textId="735E2561"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4831DCE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3BF57279" w14:textId="7DCCF0FF" w:rsidR="00533D70" w:rsidRPr="00E9060E" w:rsidRDefault="00533D70" w:rsidP="00CA424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8,832</w:t>
            </w:r>
          </w:p>
        </w:tc>
      </w:tr>
      <w:tr w:rsidR="005B0B0A" w:rsidRPr="00533D70" w14:paraId="48B8CEE1" w14:textId="77777777" w:rsidTr="00D1510B">
        <w:trPr>
          <w:trHeight w:val="315"/>
        </w:trPr>
        <w:tc>
          <w:tcPr>
            <w:tcW w:w="1600" w:type="dxa"/>
            <w:vMerge/>
            <w:vAlign w:val="center"/>
            <w:hideMark/>
          </w:tcPr>
          <w:p w14:paraId="65DF912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CD0AAFC"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C3C5E42" w14:textId="430D318F" w:rsidR="00533D70" w:rsidRPr="00E9060E" w:rsidRDefault="005B0B0A" w:rsidP="00820D63">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w:t>
            </w:r>
            <w:r w:rsidRPr="005B0B0A">
              <w:rPr>
                <w:rFonts w:ascii="Times New Roman" w:eastAsia="Times New Roman" w:hAnsi="Times New Roman"/>
                <w:color w:val="000000"/>
                <w:sz w:val="26"/>
                <w:szCs w:val="26"/>
              </w:rPr>
              <w:t>677,854.62</w:t>
            </w:r>
          </w:p>
        </w:tc>
        <w:tc>
          <w:tcPr>
            <w:tcW w:w="1160" w:type="dxa"/>
            <w:shd w:val="clear" w:color="auto" w:fill="auto"/>
            <w:vAlign w:val="center"/>
            <w:hideMark/>
          </w:tcPr>
          <w:p w14:paraId="32F90C94" w14:textId="6C331430"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7645452"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F039D5C" w14:textId="7E9A5C16" w:rsidR="00533D70" w:rsidRPr="00E9060E" w:rsidRDefault="00533D70" w:rsidP="005B0B0A">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677,854.62</w:t>
            </w:r>
          </w:p>
        </w:tc>
      </w:tr>
      <w:tr w:rsidR="005B0B0A" w:rsidRPr="00533D70" w14:paraId="1C1DCE88" w14:textId="77777777" w:rsidTr="00D1510B">
        <w:trPr>
          <w:trHeight w:val="630"/>
        </w:trPr>
        <w:tc>
          <w:tcPr>
            <w:tcW w:w="1600" w:type="dxa"/>
            <w:vMerge w:val="restart"/>
            <w:shd w:val="clear" w:color="auto" w:fill="auto"/>
            <w:vAlign w:val="bottom"/>
            <w:hideMark/>
          </w:tcPr>
          <w:p w14:paraId="74E55C56" w14:textId="66FABAF0" w:rsidR="00533D70" w:rsidRPr="00E9060E" w:rsidRDefault="00AC3A31"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1-F</w:t>
            </w:r>
            <w:r w:rsidR="003A14EF" w:rsidRPr="00E9060E">
              <w:rPr>
                <w:rFonts w:ascii="Times New Roman" w:eastAsia="Times New Roman" w:hAnsi="Times New Roman"/>
                <w:b/>
                <w:color w:val="000000"/>
                <w:sz w:val="26"/>
                <w:szCs w:val="26"/>
              </w:rPr>
              <w:t>T (1-F)</w:t>
            </w:r>
          </w:p>
        </w:tc>
        <w:tc>
          <w:tcPr>
            <w:tcW w:w="1680" w:type="dxa"/>
            <w:shd w:val="clear" w:color="auto" w:fill="auto"/>
            <w:vAlign w:val="center"/>
            <w:hideMark/>
          </w:tcPr>
          <w:p w14:paraId="1E143DD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0995187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w:t>
            </w:r>
          </w:p>
        </w:tc>
        <w:tc>
          <w:tcPr>
            <w:tcW w:w="1160" w:type="dxa"/>
            <w:shd w:val="clear" w:color="auto" w:fill="auto"/>
            <w:vAlign w:val="center"/>
            <w:hideMark/>
          </w:tcPr>
          <w:p w14:paraId="37D8E314" w14:textId="1A78F58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68C392E" w14:textId="2D71050E"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1C7A550F" w14:textId="08581B99"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w:t>
            </w:r>
            <w:r w:rsidR="00533D70" w:rsidRPr="00E9060E">
              <w:rPr>
                <w:rFonts w:ascii="Times New Roman" w:eastAsia="Times New Roman" w:hAnsi="Times New Roman"/>
                <w:color w:val="000000"/>
                <w:sz w:val="26"/>
                <w:szCs w:val="26"/>
              </w:rPr>
              <w:t> </w:t>
            </w:r>
          </w:p>
        </w:tc>
      </w:tr>
      <w:tr w:rsidR="005B0B0A" w:rsidRPr="00533D70" w14:paraId="2BE01063" w14:textId="77777777" w:rsidTr="00D1510B">
        <w:trPr>
          <w:trHeight w:val="630"/>
        </w:trPr>
        <w:tc>
          <w:tcPr>
            <w:tcW w:w="1600" w:type="dxa"/>
            <w:vMerge/>
            <w:vAlign w:val="center"/>
            <w:hideMark/>
          </w:tcPr>
          <w:p w14:paraId="3E890615"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9BB22D4"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0B33F8A2" w14:textId="63DBB3F7" w:rsidR="00533D70" w:rsidRPr="00E9060E" w:rsidRDefault="004D4E3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213</w:t>
            </w:r>
          </w:p>
        </w:tc>
        <w:tc>
          <w:tcPr>
            <w:tcW w:w="1160" w:type="dxa"/>
            <w:shd w:val="clear" w:color="auto" w:fill="auto"/>
            <w:vAlign w:val="center"/>
            <w:hideMark/>
          </w:tcPr>
          <w:p w14:paraId="63D61B9E" w14:textId="0B444040"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7EE622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F383F44"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213.333</w:t>
            </w:r>
          </w:p>
        </w:tc>
      </w:tr>
      <w:tr w:rsidR="005B0B0A" w:rsidRPr="00533D70" w14:paraId="6D95A80C" w14:textId="77777777" w:rsidTr="00D1510B">
        <w:trPr>
          <w:trHeight w:val="315"/>
        </w:trPr>
        <w:tc>
          <w:tcPr>
            <w:tcW w:w="1600" w:type="dxa"/>
            <w:vMerge/>
            <w:vAlign w:val="center"/>
            <w:hideMark/>
          </w:tcPr>
          <w:p w14:paraId="4DE1630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5AA1052B"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6E502599" w14:textId="5B8BB1BD" w:rsidR="00533D70" w:rsidRPr="00E9060E" w:rsidRDefault="005B0B0A" w:rsidP="00820D63">
            <w:pPr>
              <w:spacing w:after="0" w:line="240" w:lineRule="auto"/>
              <w:jc w:val="right"/>
              <w:rPr>
                <w:rFonts w:ascii="Times New Roman" w:eastAsia="Times New Roman" w:hAnsi="Times New Roman"/>
                <w:color w:val="000000"/>
                <w:sz w:val="26"/>
                <w:szCs w:val="26"/>
              </w:rPr>
            </w:pPr>
            <w:r w:rsidRPr="005B0B0A">
              <w:rPr>
                <w:rFonts w:ascii="Times New Roman" w:eastAsia="Times New Roman" w:hAnsi="Times New Roman"/>
                <w:color w:val="000000"/>
                <w:sz w:val="26"/>
                <w:szCs w:val="26"/>
              </w:rPr>
              <w:t>$16,373.30</w:t>
            </w:r>
          </w:p>
        </w:tc>
        <w:tc>
          <w:tcPr>
            <w:tcW w:w="1160" w:type="dxa"/>
            <w:shd w:val="clear" w:color="auto" w:fill="auto"/>
            <w:vAlign w:val="center"/>
            <w:hideMark/>
          </w:tcPr>
          <w:p w14:paraId="13BF5CC4" w14:textId="192E8651"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F567A2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239A32A5" w14:textId="3E00A5FA" w:rsidR="00533D70" w:rsidRPr="00E9060E" w:rsidRDefault="005B0B0A" w:rsidP="00820D63">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$16,373.30</w:t>
            </w:r>
          </w:p>
        </w:tc>
      </w:tr>
      <w:tr w:rsidR="005B0B0A" w:rsidRPr="00533D70" w14:paraId="21B01E4C" w14:textId="77777777" w:rsidTr="00D1510B">
        <w:trPr>
          <w:trHeight w:val="630"/>
        </w:trPr>
        <w:tc>
          <w:tcPr>
            <w:tcW w:w="1600" w:type="dxa"/>
            <w:vMerge w:val="restart"/>
            <w:shd w:val="clear" w:color="auto" w:fill="auto"/>
            <w:vAlign w:val="bottom"/>
            <w:hideMark/>
          </w:tcPr>
          <w:p w14:paraId="215CD8D6" w14:textId="3BE26E31" w:rsidR="00533D70" w:rsidRPr="00E9060E" w:rsidRDefault="004D4E3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3-QT (</w:t>
            </w:r>
            <w:r w:rsidR="00533D70" w:rsidRPr="00E9060E">
              <w:rPr>
                <w:rFonts w:ascii="Times New Roman" w:eastAsia="Times New Roman" w:hAnsi="Times New Roman"/>
                <w:b/>
                <w:color w:val="000000"/>
                <w:sz w:val="26"/>
                <w:szCs w:val="26"/>
              </w:rPr>
              <w:t>3Q</w:t>
            </w:r>
            <w:r w:rsidRPr="00E9060E">
              <w:rPr>
                <w:rFonts w:ascii="Times New Roman" w:eastAsia="Times New Roman" w:hAnsi="Times New Roman"/>
                <w:b/>
                <w:color w:val="000000"/>
                <w:sz w:val="26"/>
                <w:szCs w:val="26"/>
              </w:rPr>
              <w:t>)</w:t>
            </w:r>
            <w:r w:rsidR="00533D70" w:rsidRPr="00E9060E">
              <w:rPr>
                <w:rFonts w:ascii="Times New Roman" w:eastAsia="Times New Roman" w:hAnsi="Times New Roman"/>
                <w:b/>
                <w:color w:val="000000"/>
                <w:sz w:val="26"/>
                <w:szCs w:val="26"/>
              </w:rPr>
              <w:t xml:space="preserve"> electric</w:t>
            </w:r>
          </w:p>
        </w:tc>
        <w:tc>
          <w:tcPr>
            <w:tcW w:w="1680" w:type="dxa"/>
            <w:shd w:val="clear" w:color="auto" w:fill="auto"/>
            <w:vAlign w:val="center"/>
            <w:hideMark/>
          </w:tcPr>
          <w:p w14:paraId="01F7429E"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05C355B5" w14:textId="3956D97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31BBBDF9" w14:textId="53E2823A"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A73D34A" w14:textId="33AAC18A"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187D804F" w14:textId="270556C8"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r w:rsidR="00533D70" w:rsidRPr="00E9060E">
              <w:rPr>
                <w:rFonts w:ascii="Times New Roman" w:eastAsia="Times New Roman" w:hAnsi="Times New Roman"/>
                <w:color w:val="000000"/>
                <w:sz w:val="26"/>
                <w:szCs w:val="26"/>
              </w:rPr>
              <w:t> </w:t>
            </w:r>
          </w:p>
        </w:tc>
      </w:tr>
      <w:tr w:rsidR="005B0B0A" w:rsidRPr="00533D70" w14:paraId="39490F82" w14:textId="77777777" w:rsidTr="00D1510B">
        <w:trPr>
          <w:trHeight w:val="630"/>
        </w:trPr>
        <w:tc>
          <w:tcPr>
            <w:tcW w:w="1600" w:type="dxa"/>
            <w:vMerge/>
            <w:vAlign w:val="center"/>
            <w:hideMark/>
          </w:tcPr>
          <w:p w14:paraId="7C86FF4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1FCD2D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3B31B4F6" w14:textId="38CF9623" w:rsidR="00533D70" w:rsidRPr="00E9060E" w:rsidRDefault="00746ABD"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7CF80AF2" w14:textId="0EBF8FBD"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2C8CDF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C934849" w14:textId="65FA0306"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0888360B" w14:textId="77777777" w:rsidTr="00D1510B">
        <w:trPr>
          <w:trHeight w:val="315"/>
        </w:trPr>
        <w:tc>
          <w:tcPr>
            <w:tcW w:w="1600" w:type="dxa"/>
            <w:vMerge/>
            <w:vAlign w:val="center"/>
            <w:hideMark/>
          </w:tcPr>
          <w:p w14:paraId="42E4B2C9"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5AABAA93"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06BBB647" w14:textId="0F23D3E6"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833B38">
              <w:rPr>
                <w:rFonts w:ascii="Times New Roman" w:eastAsia="Times New Roman" w:hAnsi="Times New Roman"/>
                <w:color w:val="000000"/>
                <w:sz w:val="26"/>
                <w:szCs w:val="26"/>
              </w:rPr>
              <w:t>0</w:t>
            </w:r>
          </w:p>
        </w:tc>
        <w:tc>
          <w:tcPr>
            <w:tcW w:w="1160" w:type="dxa"/>
            <w:shd w:val="clear" w:color="auto" w:fill="auto"/>
            <w:vAlign w:val="center"/>
            <w:hideMark/>
          </w:tcPr>
          <w:p w14:paraId="6A4C7258" w14:textId="39EC2A35"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1CB8EC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49316F50" w14:textId="44958E4D"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833B38">
              <w:rPr>
                <w:rFonts w:ascii="Times New Roman" w:eastAsia="Times New Roman" w:hAnsi="Times New Roman"/>
                <w:color w:val="000000"/>
                <w:sz w:val="26"/>
                <w:szCs w:val="26"/>
              </w:rPr>
              <w:t>0</w:t>
            </w:r>
          </w:p>
        </w:tc>
      </w:tr>
      <w:tr w:rsidR="005B0B0A" w:rsidRPr="00533D70" w14:paraId="0B162B45" w14:textId="77777777" w:rsidTr="00D1510B">
        <w:trPr>
          <w:trHeight w:val="630"/>
        </w:trPr>
        <w:tc>
          <w:tcPr>
            <w:tcW w:w="1600" w:type="dxa"/>
            <w:vMerge w:val="restart"/>
            <w:shd w:val="clear" w:color="auto" w:fill="auto"/>
            <w:vAlign w:val="bottom"/>
            <w:hideMark/>
          </w:tcPr>
          <w:p w14:paraId="6C8DFFA3" w14:textId="31E51A14" w:rsidR="00533D70" w:rsidRPr="00E9060E" w:rsidRDefault="004D4E3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3-QT (</w:t>
            </w:r>
            <w:r w:rsidR="00533D70" w:rsidRPr="00E9060E">
              <w:rPr>
                <w:rFonts w:ascii="Times New Roman" w:eastAsia="Times New Roman" w:hAnsi="Times New Roman"/>
                <w:b/>
                <w:color w:val="000000"/>
                <w:sz w:val="26"/>
                <w:szCs w:val="26"/>
              </w:rPr>
              <w:t>3Q</w:t>
            </w:r>
            <w:r w:rsidRPr="00E9060E">
              <w:rPr>
                <w:rFonts w:ascii="Times New Roman" w:eastAsia="Times New Roman" w:hAnsi="Times New Roman"/>
                <w:b/>
                <w:color w:val="000000"/>
                <w:sz w:val="26"/>
                <w:szCs w:val="26"/>
              </w:rPr>
              <w:t>)</w:t>
            </w:r>
            <w:r w:rsidR="00533D70" w:rsidRPr="00E9060E">
              <w:rPr>
                <w:rFonts w:ascii="Times New Roman" w:eastAsia="Times New Roman" w:hAnsi="Times New Roman"/>
                <w:b/>
                <w:color w:val="000000"/>
                <w:sz w:val="26"/>
                <w:szCs w:val="26"/>
              </w:rPr>
              <w:t xml:space="preserve"> gas</w:t>
            </w:r>
          </w:p>
        </w:tc>
        <w:tc>
          <w:tcPr>
            <w:tcW w:w="1680" w:type="dxa"/>
            <w:shd w:val="clear" w:color="auto" w:fill="auto"/>
            <w:vAlign w:val="center"/>
            <w:hideMark/>
          </w:tcPr>
          <w:p w14:paraId="1E95008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55424609" w14:textId="6641CE0E"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6A859EEF" w14:textId="058AE10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32F2499" w14:textId="3BE89421"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629BB907" w14:textId="01F42B32" w:rsidR="00533D70" w:rsidRPr="00E9060E" w:rsidRDefault="00746ABD"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r w:rsidR="00533D70" w:rsidRPr="00E9060E">
              <w:rPr>
                <w:rFonts w:ascii="Times New Roman" w:eastAsia="Times New Roman" w:hAnsi="Times New Roman"/>
                <w:color w:val="000000"/>
                <w:sz w:val="26"/>
                <w:szCs w:val="26"/>
              </w:rPr>
              <w:t> </w:t>
            </w:r>
          </w:p>
        </w:tc>
      </w:tr>
      <w:tr w:rsidR="005B0B0A" w:rsidRPr="00533D70" w14:paraId="27CFB583" w14:textId="77777777" w:rsidTr="00D1510B">
        <w:trPr>
          <w:trHeight w:val="630"/>
        </w:trPr>
        <w:tc>
          <w:tcPr>
            <w:tcW w:w="1600" w:type="dxa"/>
            <w:vMerge/>
            <w:vAlign w:val="center"/>
            <w:hideMark/>
          </w:tcPr>
          <w:p w14:paraId="6C86B4D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06D517A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37F8BF94" w14:textId="648778BF"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5CDA51CD" w14:textId="3C303185"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E8118C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9A0C5C3" w14:textId="1FE89801" w:rsidR="00533D70" w:rsidRPr="00E9060E" w:rsidRDefault="00746ABD"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2D74E08E" w14:textId="77777777" w:rsidTr="00D1510B">
        <w:trPr>
          <w:trHeight w:val="315"/>
        </w:trPr>
        <w:tc>
          <w:tcPr>
            <w:tcW w:w="1600" w:type="dxa"/>
            <w:vMerge/>
            <w:vAlign w:val="center"/>
            <w:hideMark/>
          </w:tcPr>
          <w:p w14:paraId="66733D2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DFED85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64BE5825" w14:textId="391C2C4A"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c>
          <w:tcPr>
            <w:tcW w:w="1160" w:type="dxa"/>
            <w:shd w:val="clear" w:color="auto" w:fill="auto"/>
            <w:vAlign w:val="center"/>
            <w:hideMark/>
          </w:tcPr>
          <w:p w14:paraId="75487BD9" w14:textId="08DBE921"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c>
          <w:tcPr>
            <w:tcW w:w="1300" w:type="dxa"/>
            <w:shd w:val="clear" w:color="auto" w:fill="auto"/>
            <w:vAlign w:val="center"/>
            <w:hideMark/>
          </w:tcPr>
          <w:p w14:paraId="78C4300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974B5F3" w14:textId="778B4D15"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r>
      <w:tr w:rsidR="005B0B0A" w:rsidRPr="00533D70" w14:paraId="7EDD0FC2" w14:textId="77777777" w:rsidTr="00D1510B">
        <w:trPr>
          <w:trHeight w:val="630"/>
        </w:trPr>
        <w:tc>
          <w:tcPr>
            <w:tcW w:w="1600" w:type="dxa"/>
            <w:vMerge w:val="restart"/>
            <w:shd w:val="clear" w:color="auto" w:fill="auto"/>
            <w:vAlign w:val="bottom"/>
            <w:hideMark/>
          </w:tcPr>
          <w:p w14:paraId="77D760AE" w14:textId="3D265119"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w:t>
            </w:r>
          </w:p>
        </w:tc>
        <w:tc>
          <w:tcPr>
            <w:tcW w:w="1680" w:type="dxa"/>
            <w:shd w:val="clear" w:color="auto" w:fill="auto"/>
            <w:vAlign w:val="center"/>
            <w:hideMark/>
          </w:tcPr>
          <w:p w14:paraId="1CA4DCCA"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7BB6E24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92</w:t>
            </w:r>
          </w:p>
        </w:tc>
        <w:tc>
          <w:tcPr>
            <w:tcW w:w="1160" w:type="dxa"/>
            <w:shd w:val="clear" w:color="auto" w:fill="auto"/>
            <w:vAlign w:val="center"/>
            <w:hideMark/>
          </w:tcPr>
          <w:p w14:paraId="3214E1F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92</w:t>
            </w:r>
          </w:p>
        </w:tc>
        <w:tc>
          <w:tcPr>
            <w:tcW w:w="1300" w:type="dxa"/>
            <w:shd w:val="clear" w:color="auto" w:fill="auto"/>
            <w:vAlign w:val="center"/>
            <w:hideMark/>
          </w:tcPr>
          <w:p w14:paraId="662E9953" w14:textId="36192460"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24BCED0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B0B0A" w:rsidRPr="00533D70" w14:paraId="6DA75C9B" w14:textId="77777777" w:rsidTr="00D1510B">
        <w:trPr>
          <w:trHeight w:val="630"/>
        </w:trPr>
        <w:tc>
          <w:tcPr>
            <w:tcW w:w="1600" w:type="dxa"/>
            <w:vMerge/>
            <w:vAlign w:val="center"/>
            <w:hideMark/>
          </w:tcPr>
          <w:p w14:paraId="01B281D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382C9C7B"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227BE012"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153,793</w:t>
            </w:r>
          </w:p>
        </w:tc>
        <w:tc>
          <w:tcPr>
            <w:tcW w:w="1160" w:type="dxa"/>
            <w:shd w:val="clear" w:color="auto" w:fill="auto"/>
            <w:vAlign w:val="center"/>
            <w:hideMark/>
          </w:tcPr>
          <w:p w14:paraId="054FE4A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149,868</w:t>
            </w:r>
          </w:p>
        </w:tc>
        <w:tc>
          <w:tcPr>
            <w:tcW w:w="1300" w:type="dxa"/>
            <w:shd w:val="clear" w:color="auto" w:fill="auto"/>
            <w:vAlign w:val="center"/>
            <w:hideMark/>
          </w:tcPr>
          <w:p w14:paraId="6504043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6623274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3,925.330</w:t>
            </w:r>
          </w:p>
        </w:tc>
      </w:tr>
      <w:tr w:rsidR="005B0B0A" w:rsidRPr="00533D70" w14:paraId="52BA81FD" w14:textId="77777777" w:rsidTr="00D1510B">
        <w:trPr>
          <w:trHeight w:val="315"/>
        </w:trPr>
        <w:tc>
          <w:tcPr>
            <w:tcW w:w="1600" w:type="dxa"/>
            <w:vMerge/>
            <w:vAlign w:val="center"/>
            <w:hideMark/>
          </w:tcPr>
          <w:p w14:paraId="4898A9E2"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3BA1B72"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35BB9DCF" w14:textId="341C0A8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301,268.72</w:t>
            </w:r>
          </w:p>
        </w:tc>
        <w:tc>
          <w:tcPr>
            <w:tcW w:w="1160" w:type="dxa"/>
            <w:shd w:val="clear" w:color="auto" w:fill="auto"/>
            <w:vAlign w:val="center"/>
            <w:hideMark/>
          </w:tcPr>
          <w:p w14:paraId="79A1ED48" w14:textId="32CD67CA"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418D040"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56FA1312" w14:textId="0D137C70"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301,268.72</w:t>
            </w:r>
          </w:p>
        </w:tc>
      </w:tr>
      <w:tr w:rsidR="005B0B0A" w:rsidRPr="00533D70" w14:paraId="16995B51" w14:textId="77777777" w:rsidTr="00D1510B">
        <w:trPr>
          <w:trHeight w:val="630"/>
        </w:trPr>
        <w:tc>
          <w:tcPr>
            <w:tcW w:w="1600" w:type="dxa"/>
            <w:vMerge w:val="restart"/>
            <w:shd w:val="clear" w:color="auto" w:fill="auto"/>
            <w:vAlign w:val="bottom"/>
            <w:hideMark/>
          </w:tcPr>
          <w:p w14:paraId="5819A8B1" w14:textId="02021223" w:rsidR="00533D70" w:rsidRPr="00E9060E" w:rsidRDefault="00AC3A31"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2-A</w:t>
            </w:r>
          </w:p>
        </w:tc>
        <w:tc>
          <w:tcPr>
            <w:tcW w:w="1680" w:type="dxa"/>
            <w:shd w:val="clear" w:color="auto" w:fill="auto"/>
            <w:vAlign w:val="center"/>
            <w:hideMark/>
          </w:tcPr>
          <w:p w14:paraId="6B6969B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46095C0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73</w:t>
            </w:r>
          </w:p>
        </w:tc>
        <w:tc>
          <w:tcPr>
            <w:tcW w:w="1160" w:type="dxa"/>
            <w:shd w:val="clear" w:color="auto" w:fill="auto"/>
            <w:vAlign w:val="center"/>
            <w:hideMark/>
          </w:tcPr>
          <w:p w14:paraId="701C94E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66</w:t>
            </w:r>
          </w:p>
        </w:tc>
        <w:tc>
          <w:tcPr>
            <w:tcW w:w="1300" w:type="dxa"/>
            <w:shd w:val="clear" w:color="auto" w:fill="auto"/>
            <w:vAlign w:val="center"/>
            <w:hideMark/>
          </w:tcPr>
          <w:p w14:paraId="1389D86F" w14:textId="4CA5D6A8"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w:t>
            </w:r>
          </w:p>
        </w:tc>
        <w:tc>
          <w:tcPr>
            <w:tcW w:w="2100" w:type="dxa"/>
            <w:shd w:val="clear" w:color="auto" w:fill="auto"/>
            <w:vAlign w:val="center"/>
            <w:hideMark/>
          </w:tcPr>
          <w:p w14:paraId="2A40E4E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B0B0A" w:rsidRPr="00533D70" w14:paraId="60C6F448" w14:textId="77777777" w:rsidTr="00D1510B">
        <w:trPr>
          <w:trHeight w:val="630"/>
        </w:trPr>
        <w:tc>
          <w:tcPr>
            <w:tcW w:w="1600" w:type="dxa"/>
            <w:vMerge/>
            <w:vAlign w:val="center"/>
            <w:hideMark/>
          </w:tcPr>
          <w:p w14:paraId="1450E22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7E00E70D" w14:textId="0A94EE81" w:rsidR="00533D70" w:rsidRPr="00E9060E" w:rsidRDefault="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03ACEBB7" w14:textId="3F99962D" w:rsidR="00533D70" w:rsidRPr="00E9060E" w:rsidRDefault="00087DA2">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21,612</w:t>
            </w:r>
            <w:r w:rsidR="00E62FB0">
              <w:rPr>
                <w:rFonts w:ascii="Times New Roman" w:eastAsia="Times New Roman" w:hAnsi="Times New Roman"/>
                <w:color w:val="000000"/>
                <w:sz w:val="26"/>
                <w:szCs w:val="26"/>
              </w:rPr>
              <w:t xml:space="preserve"> </w:t>
            </w:r>
          </w:p>
        </w:tc>
        <w:tc>
          <w:tcPr>
            <w:tcW w:w="1160" w:type="dxa"/>
            <w:shd w:val="clear" w:color="auto" w:fill="auto"/>
            <w:vAlign w:val="center"/>
            <w:hideMark/>
          </w:tcPr>
          <w:p w14:paraId="1BDB870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16,724</w:t>
            </w:r>
          </w:p>
        </w:tc>
        <w:tc>
          <w:tcPr>
            <w:tcW w:w="1300" w:type="dxa"/>
            <w:shd w:val="clear" w:color="auto" w:fill="auto"/>
            <w:vAlign w:val="center"/>
            <w:hideMark/>
          </w:tcPr>
          <w:p w14:paraId="4FD8C0B5" w14:textId="3C4EBB3C"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r w:rsidR="00F85BEB">
              <w:rPr>
                <w:rFonts w:ascii="Times New Roman" w:eastAsia="Times New Roman" w:hAnsi="Times New Roman"/>
                <w:color w:val="000000"/>
                <w:sz w:val="26"/>
                <w:szCs w:val="26"/>
              </w:rPr>
              <w:t>1,773</w:t>
            </w:r>
          </w:p>
        </w:tc>
        <w:tc>
          <w:tcPr>
            <w:tcW w:w="2100" w:type="dxa"/>
            <w:shd w:val="clear" w:color="auto" w:fill="auto"/>
            <w:vAlign w:val="center"/>
            <w:hideMark/>
          </w:tcPr>
          <w:p w14:paraId="4965C86E" w14:textId="02230CC0"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w:t>
            </w:r>
            <w:r w:rsidR="00E62FB0">
              <w:rPr>
                <w:rFonts w:ascii="Times New Roman" w:eastAsia="Times New Roman" w:hAnsi="Times New Roman"/>
                <w:color w:val="000000"/>
                <w:sz w:val="26"/>
                <w:szCs w:val="26"/>
              </w:rPr>
              <w:t>115</w:t>
            </w:r>
          </w:p>
        </w:tc>
      </w:tr>
      <w:tr w:rsidR="005B0B0A" w:rsidRPr="00533D70" w14:paraId="314E78FD" w14:textId="77777777" w:rsidTr="00D1510B">
        <w:trPr>
          <w:trHeight w:val="315"/>
        </w:trPr>
        <w:tc>
          <w:tcPr>
            <w:tcW w:w="1600" w:type="dxa"/>
            <w:vMerge/>
            <w:vAlign w:val="center"/>
            <w:hideMark/>
          </w:tcPr>
          <w:p w14:paraId="4B966392"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376A3B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59738EDA" w14:textId="15ACD168"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239,050.18</w:t>
            </w:r>
          </w:p>
        </w:tc>
        <w:tc>
          <w:tcPr>
            <w:tcW w:w="1160" w:type="dxa"/>
            <w:shd w:val="clear" w:color="auto" w:fill="auto"/>
            <w:vAlign w:val="center"/>
            <w:hideMark/>
          </w:tcPr>
          <w:p w14:paraId="413C2633" w14:textId="21EA4A58"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B9246A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5AE0DA5" w14:textId="3432C7FE"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239,050.18</w:t>
            </w:r>
          </w:p>
        </w:tc>
      </w:tr>
      <w:tr w:rsidR="005B0B0A" w:rsidRPr="00533D70" w14:paraId="74437A98" w14:textId="77777777" w:rsidTr="00D1510B">
        <w:trPr>
          <w:trHeight w:val="630"/>
        </w:trPr>
        <w:tc>
          <w:tcPr>
            <w:tcW w:w="1600" w:type="dxa"/>
            <w:vMerge w:val="restart"/>
            <w:shd w:val="clear" w:color="auto" w:fill="auto"/>
            <w:vAlign w:val="bottom"/>
            <w:hideMark/>
          </w:tcPr>
          <w:p w14:paraId="2A845A1A" w14:textId="247E8B54" w:rsidR="00533D70" w:rsidRPr="00E9060E" w:rsidRDefault="007468F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6T (</w:t>
            </w:r>
            <w:r w:rsidR="00533D70" w:rsidRPr="00E9060E">
              <w:rPr>
                <w:rFonts w:ascii="Times New Roman" w:eastAsia="Times New Roman" w:hAnsi="Times New Roman"/>
                <w:b/>
                <w:color w:val="000000"/>
                <w:sz w:val="26"/>
                <w:szCs w:val="26"/>
              </w:rPr>
              <w:t>6</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3281694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29B03D0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244</w:t>
            </w:r>
          </w:p>
        </w:tc>
        <w:tc>
          <w:tcPr>
            <w:tcW w:w="1160" w:type="dxa"/>
            <w:shd w:val="clear" w:color="auto" w:fill="auto"/>
            <w:vAlign w:val="center"/>
            <w:hideMark/>
          </w:tcPr>
          <w:p w14:paraId="692221E3" w14:textId="1128BF1B"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D7AF454" w14:textId="3FA02C58" w:rsidR="00533D70" w:rsidRPr="00E9060E" w:rsidRDefault="00533D70" w:rsidP="00820D63">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50FC25D0" w14:textId="61BBC6E3"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244</w:t>
            </w:r>
            <w:r w:rsidR="00533D70" w:rsidRPr="00E9060E">
              <w:rPr>
                <w:rFonts w:ascii="Times New Roman" w:eastAsia="Times New Roman" w:hAnsi="Times New Roman"/>
                <w:color w:val="000000"/>
                <w:sz w:val="26"/>
                <w:szCs w:val="26"/>
              </w:rPr>
              <w:t> </w:t>
            </w:r>
          </w:p>
        </w:tc>
      </w:tr>
      <w:tr w:rsidR="005B0B0A" w:rsidRPr="00533D70" w14:paraId="52037040" w14:textId="77777777" w:rsidTr="00D1510B">
        <w:trPr>
          <w:trHeight w:val="630"/>
        </w:trPr>
        <w:tc>
          <w:tcPr>
            <w:tcW w:w="1600" w:type="dxa"/>
            <w:vMerge/>
            <w:vAlign w:val="center"/>
            <w:hideMark/>
          </w:tcPr>
          <w:p w14:paraId="5BC317D9"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676B8C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739B4EB5" w14:textId="1B2F33B1"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10,411</w:t>
            </w:r>
          </w:p>
        </w:tc>
        <w:tc>
          <w:tcPr>
            <w:tcW w:w="1160" w:type="dxa"/>
            <w:shd w:val="clear" w:color="auto" w:fill="auto"/>
            <w:vAlign w:val="center"/>
            <w:hideMark/>
          </w:tcPr>
          <w:p w14:paraId="28275A3C" w14:textId="5880BB87"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8BD799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67EEDF8F" w14:textId="7CDECDA9"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10,410.</w:t>
            </w:r>
            <w:r w:rsidR="00094ECF" w:rsidRPr="00E9060E" w:rsidDel="00094ECF">
              <w:rPr>
                <w:rFonts w:ascii="Times New Roman" w:eastAsia="Times New Roman" w:hAnsi="Times New Roman"/>
                <w:color w:val="000000"/>
                <w:sz w:val="26"/>
                <w:szCs w:val="26"/>
              </w:rPr>
              <w:t xml:space="preserve"> </w:t>
            </w:r>
            <w:r w:rsidRPr="00E9060E">
              <w:rPr>
                <w:rFonts w:ascii="Times New Roman" w:eastAsia="Times New Roman" w:hAnsi="Times New Roman"/>
                <w:color w:val="000000"/>
                <w:sz w:val="26"/>
                <w:szCs w:val="26"/>
              </w:rPr>
              <w:t>7</w:t>
            </w:r>
          </w:p>
        </w:tc>
      </w:tr>
      <w:tr w:rsidR="005B0B0A" w:rsidRPr="00533D70" w14:paraId="71E76386" w14:textId="77777777" w:rsidTr="00D1510B">
        <w:trPr>
          <w:trHeight w:val="315"/>
        </w:trPr>
        <w:tc>
          <w:tcPr>
            <w:tcW w:w="1600" w:type="dxa"/>
            <w:vMerge/>
            <w:vAlign w:val="center"/>
            <w:hideMark/>
          </w:tcPr>
          <w:p w14:paraId="68F63864"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8DE38CF"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103626EF" w14:textId="6DF91C4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094ECF">
              <w:rPr>
                <w:rFonts w:ascii="Times New Roman" w:eastAsia="Times New Roman" w:hAnsi="Times New Roman"/>
                <w:color w:val="000000"/>
                <w:sz w:val="26"/>
                <w:szCs w:val="26"/>
              </w:rPr>
              <w:t>799,017.04</w:t>
            </w:r>
          </w:p>
        </w:tc>
        <w:tc>
          <w:tcPr>
            <w:tcW w:w="1160" w:type="dxa"/>
            <w:shd w:val="clear" w:color="auto" w:fill="auto"/>
            <w:vAlign w:val="center"/>
            <w:hideMark/>
          </w:tcPr>
          <w:p w14:paraId="0880481D" w14:textId="3444E150"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C5B373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262C334" w14:textId="0DA81C5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094ECF">
              <w:rPr>
                <w:rFonts w:ascii="Times New Roman" w:eastAsia="Times New Roman" w:hAnsi="Times New Roman"/>
                <w:color w:val="000000"/>
                <w:sz w:val="26"/>
                <w:szCs w:val="26"/>
              </w:rPr>
              <w:t>799,017.04</w:t>
            </w:r>
          </w:p>
        </w:tc>
      </w:tr>
      <w:tr w:rsidR="005B0B0A" w:rsidRPr="00533D70" w14:paraId="7A1A27C8" w14:textId="77777777" w:rsidTr="00D1510B">
        <w:trPr>
          <w:trHeight w:val="630"/>
        </w:trPr>
        <w:tc>
          <w:tcPr>
            <w:tcW w:w="1600" w:type="dxa"/>
            <w:vMerge w:val="restart"/>
            <w:shd w:val="clear" w:color="auto" w:fill="auto"/>
            <w:vAlign w:val="bottom"/>
            <w:hideMark/>
          </w:tcPr>
          <w:p w14:paraId="54E21060" w14:textId="25B3DB5A" w:rsidR="00533D70" w:rsidRPr="00E9060E" w:rsidRDefault="007468F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6-QT (</w:t>
            </w:r>
            <w:r w:rsidR="00AC3A31" w:rsidRPr="00E9060E">
              <w:rPr>
                <w:rFonts w:ascii="Times New Roman" w:eastAsia="Times New Roman" w:hAnsi="Times New Roman"/>
                <w:b/>
                <w:color w:val="000000"/>
                <w:sz w:val="26"/>
                <w:szCs w:val="26"/>
              </w:rPr>
              <w:t>6-Q</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7F9B271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7E376CA0" w14:textId="0DA24059"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2F4F3D39" w14:textId="248B4098"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DEC7A5E" w14:textId="7D4B72D9" w:rsidR="00533D70" w:rsidRPr="00E9060E" w:rsidRDefault="00533D70" w:rsidP="00820D63">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441F26A4" w14:textId="5281DBB4"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7CE21854" w14:textId="77777777" w:rsidTr="00D1510B">
        <w:trPr>
          <w:trHeight w:val="630"/>
        </w:trPr>
        <w:tc>
          <w:tcPr>
            <w:tcW w:w="1600" w:type="dxa"/>
            <w:vMerge/>
            <w:vAlign w:val="center"/>
            <w:hideMark/>
          </w:tcPr>
          <w:p w14:paraId="58752B6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20FD38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5432E790" w14:textId="6D160804"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3FEA7360" w14:textId="013E845B"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0591194"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4041D3B" w14:textId="5668571F"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256A3DC8" w14:textId="77777777" w:rsidTr="00D1510B">
        <w:trPr>
          <w:trHeight w:val="465"/>
        </w:trPr>
        <w:tc>
          <w:tcPr>
            <w:tcW w:w="1600" w:type="dxa"/>
            <w:vMerge/>
            <w:vAlign w:val="center"/>
            <w:hideMark/>
          </w:tcPr>
          <w:p w14:paraId="08CC3BB1"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1E1A9B71"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DCA02FB" w14:textId="7BE325B6"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8FA" w:rsidRPr="00E9060E">
              <w:rPr>
                <w:rFonts w:ascii="Times New Roman" w:eastAsia="Times New Roman" w:hAnsi="Times New Roman"/>
                <w:color w:val="000000"/>
                <w:sz w:val="26"/>
                <w:szCs w:val="26"/>
              </w:rPr>
              <w:t>0</w:t>
            </w:r>
          </w:p>
        </w:tc>
        <w:tc>
          <w:tcPr>
            <w:tcW w:w="1160" w:type="dxa"/>
            <w:shd w:val="clear" w:color="auto" w:fill="auto"/>
            <w:vAlign w:val="center"/>
            <w:hideMark/>
          </w:tcPr>
          <w:p w14:paraId="49E15B95" w14:textId="2855ECA2"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65833B7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68D4A59" w14:textId="542AC089"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8FA" w:rsidRPr="00E9060E">
              <w:rPr>
                <w:rFonts w:ascii="Times New Roman" w:eastAsia="Times New Roman" w:hAnsi="Times New Roman"/>
                <w:color w:val="000000"/>
                <w:sz w:val="26"/>
                <w:szCs w:val="26"/>
              </w:rPr>
              <w:t>0</w:t>
            </w:r>
          </w:p>
        </w:tc>
      </w:tr>
      <w:tr w:rsidR="005B0B0A" w:rsidRPr="00533D70" w14:paraId="69F7206A" w14:textId="77777777" w:rsidTr="00D1510B">
        <w:trPr>
          <w:trHeight w:val="630"/>
        </w:trPr>
        <w:tc>
          <w:tcPr>
            <w:tcW w:w="1600" w:type="dxa"/>
            <w:vMerge w:val="restart"/>
            <w:shd w:val="clear" w:color="auto" w:fill="auto"/>
            <w:vAlign w:val="bottom"/>
            <w:hideMark/>
          </w:tcPr>
          <w:p w14:paraId="77D0E876" w14:textId="7FF2E143"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60A</w:t>
            </w:r>
            <w:r w:rsidR="007468FA" w:rsidRPr="00E9060E">
              <w:rPr>
                <w:rFonts w:ascii="Times New Roman" w:eastAsia="Times New Roman" w:hAnsi="Times New Roman"/>
                <w:b/>
                <w:color w:val="000000"/>
                <w:sz w:val="26"/>
                <w:szCs w:val="26"/>
              </w:rPr>
              <w:t xml:space="preserve"> (60)</w:t>
            </w:r>
            <w:r w:rsidRPr="00E9060E">
              <w:rPr>
                <w:rFonts w:ascii="Times New Roman" w:eastAsia="Times New Roman" w:hAnsi="Times New Roman"/>
                <w:b/>
                <w:color w:val="000000"/>
                <w:sz w:val="26"/>
                <w:szCs w:val="26"/>
              </w:rPr>
              <w:t xml:space="preserve"> </w:t>
            </w:r>
            <w:r w:rsidRPr="00E9060E">
              <w:rPr>
                <w:rFonts w:ascii="Times New Roman" w:eastAsia="Times New Roman" w:hAnsi="Times New Roman"/>
                <w:color w:val="000000"/>
                <w:sz w:val="26"/>
                <w:szCs w:val="26"/>
              </w:rPr>
              <w:t xml:space="preserve">[does not include figures for  FERC-61 or FERC-555A, not affected by </w:t>
            </w:r>
            <w:r w:rsidR="006B42A9" w:rsidRPr="00E9060E">
              <w:rPr>
                <w:rFonts w:ascii="Times New Roman" w:eastAsia="Times New Roman" w:hAnsi="Times New Roman"/>
                <w:color w:val="000000"/>
                <w:sz w:val="26"/>
                <w:szCs w:val="26"/>
              </w:rPr>
              <w:t>Final Rule in RM19-12</w:t>
            </w:r>
            <w:r w:rsidRPr="00E9060E">
              <w:rPr>
                <w:rFonts w:ascii="Times New Roman" w:eastAsia="Times New Roman" w:hAnsi="Times New Roman"/>
                <w:color w:val="000000"/>
                <w:sz w:val="26"/>
                <w:szCs w:val="26"/>
              </w:rPr>
              <w:t>]</w:t>
            </w:r>
          </w:p>
        </w:tc>
        <w:tc>
          <w:tcPr>
            <w:tcW w:w="1680" w:type="dxa"/>
            <w:shd w:val="clear" w:color="auto" w:fill="auto"/>
            <w:vAlign w:val="center"/>
            <w:hideMark/>
          </w:tcPr>
          <w:p w14:paraId="2472E9A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677AB65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w:t>
            </w:r>
          </w:p>
        </w:tc>
        <w:tc>
          <w:tcPr>
            <w:tcW w:w="1160" w:type="dxa"/>
            <w:shd w:val="clear" w:color="auto" w:fill="auto"/>
            <w:vAlign w:val="center"/>
            <w:hideMark/>
          </w:tcPr>
          <w:p w14:paraId="69B2C993"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AEC0AA9" w14:textId="0A84CDB9"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2100" w:type="dxa"/>
            <w:shd w:val="clear" w:color="auto" w:fill="auto"/>
            <w:vAlign w:val="center"/>
            <w:hideMark/>
          </w:tcPr>
          <w:p w14:paraId="1C61AB58" w14:textId="23D4F977"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w:t>
            </w:r>
          </w:p>
        </w:tc>
      </w:tr>
      <w:tr w:rsidR="005B0B0A" w:rsidRPr="00533D70" w14:paraId="0872C001" w14:textId="77777777" w:rsidTr="00D1510B">
        <w:trPr>
          <w:trHeight w:val="630"/>
        </w:trPr>
        <w:tc>
          <w:tcPr>
            <w:tcW w:w="1600" w:type="dxa"/>
            <w:vMerge/>
            <w:vAlign w:val="center"/>
            <w:hideMark/>
          </w:tcPr>
          <w:p w14:paraId="48A36D5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0A716A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651CA8E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338</w:t>
            </w:r>
          </w:p>
        </w:tc>
        <w:tc>
          <w:tcPr>
            <w:tcW w:w="1160" w:type="dxa"/>
            <w:shd w:val="clear" w:color="auto" w:fill="auto"/>
            <w:vAlign w:val="center"/>
            <w:hideMark/>
          </w:tcPr>
          <w:p w14:paraId="1789AF5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8197B1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2495232A" w14:textId="3C731A1B"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338</w:t>
            </w:r>
          </w:p>
        </w:tc>
      </w:tr>
      <w:tr w:rsidR="005B0B0A" w:rsidRPr="00533D70" w14:paraId="08673E56" w14:textId="77777777" w:rsidTr="00D1510B">
        <w:trPr>
          <w:trHeight w:val="1080"/>
        </w:trPr>
        <w:tc>
          <w:tcPr>
            <w:tcW w:w="1600" w:type="dxa"/>
            <w:vMerge/>
            <w:vAlign w:val="center"/>
            <w:hideMark/>
          </w:tcPr>
          <w:p w14:paraId="353C8D41"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F03B480"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C30940C" w14:textId="26BD496A"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$25,</w:t>
            </w:r>
            <w:r w:rsidR="00094ECF">
              <w:rPr>
                <w:rFonts w:ascii="Times New Roman" w:eastAsia="Times New Roman" w:hAnsi="Times New Roman"/>
                <w:color w:val="000000"/>
                <w:sz w:val="26"/>
                <w:szCs w:val="26"/>
              </w:rPr>
              <w:t>609.74</w:t>
            </w:r>
          </w:p>
        </w:tc>
        <w:tc>
          <w:tcPr>
            <w:tcW w:w="1160" w:type="dxa"/>
            <w:shd w:val="clear" w:color="auto" w:fill="auto"/>
            <w:vAlign w:val="center"/>
            <w:hideMark/>
          </w:tcPr>
          <w:p w14:paraId="6EAC92CF" w14:textId="01C5B1C1"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6D88F22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39BFA69A" w14:textId="46B6258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$25,</w:t>
            </w:r>
            <w:r w:rsidR="00094ECF">
              <w:rPr>
                <w:rFonts w:ascii="Times New Roman" w:eastAsia="Times New Roman" w:hAnsi="Times New Roman"/>
                <w:color w:val="000000"/>
                <w:sz w:val="26"/>
                <w:szCs w:val="26"/>
              </w:rPr>
              <w:t>609.74</w:t>
            </w:r>
          </w:p>
        </w:tc>
      </w:tr>
      <w:tr w:rsidR="005B0B0A" w:rsidRPr="00533D70" w14:paraId="7A10EAA5" w14:textId="77777777" w:rsidTr="00D1510B">
        <w:trPr>
          <w:trHeight w:val="630"/>
        </w:trPr>
        <w:tc>
          <w:tcPr>
            <w:tcW w:w="1600" w:type="dxa"/>
            <w:vMerge w:val="restart"/>
            <w:shd w:val="clear" w:color="auto" w:fill="auto"/>
            <w:vAlign w:val="bottom"/>
            <w:hideMark/>
          </w:tcPr>
          <w:p w14:paraId="7BCF1B4A" w14:textId="23B8B1D1"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714</w:t>
            </w:r>
          </w:p>
        </w:tc>
        <w:tc>
          <w:tcPr>
            <w:tcW w:w="1680" w:type="dxa"/>
            <w:shd w:val="clear" w:color="auto" w:fill="auto"/>
            <w:vAlign w:val="center"/>
            <w:hideMark/>
          </w:tcPr>
          <w:p w14:paraId="5356F2F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49B4157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176</w:t>
            </w:r>
          </w:p>
        </w:tc>
        <w:tc>
          <w:tcPr>
            <w:tcW w:w="1160" w:type="dxa"/>
            <w:shd w:val="clear" w:color="auto" w:fill="auto"/>
            <w:vAlign w:val="center"/>
            <w:hideMark/>
          </w:tcPr>
          <w:p w14:paraId="1CA97737" w14:textId="3D083CEC"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176</w:t>
            </w:r>
          </w:p>
        </w:tc>
        <w:tc>
          <w:tcPr>
            <w:tcW w:w="1300" w:type="dxa"/>
            <w:shd w:val="clear" w:color="auto" w:fill="auto"/>
            <w:vAlign w:val="center"/>
            <w:hideMark/>
          </w:tcPr>
          <w:p w14:paraId="2C4F36C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5F60453" w14:textId="00161170"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r>
      <w:tr w:rsidR="005B0B0A" w:rsidRPr="00533D70" w14:paraId="42DDA5C9" w14:textId="77777777" w:rsidTr="00D1510B">
        <w:trPr>
          <w:trHeight w:val="630"/>
        </w:trPr>
        <w:tc>
          <w:tcPr>
            <w:tcW w:w="1600" w:type="dxa"/>
            <w:vMerge/>
            <w:vAlign w:val="center"/>
            <w:hideMark/>
          </w:tcPr>
          <w:p w14:paraId="7606BDF0"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7BB1A61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693D643E" w14:textId="69A7B826"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16,427</w:t>
            </w:r>
          </w:p>
        </w:tc>
        <w:tc>
          <w:tcPr>
            <w:tcW w:w="1160" w:type="dxa"/>
            <w:shd w:val="clear" w:color="auto" w:fill="auto"/>
            <w:vAlign w:val="center"/>
            <w:hideMark/>
          </w:tcPr>
          <w:p w14:paraId="733B9F06" w14:textId="62506810"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15,312</w:t>
            </w:r>
          </w:p>
        </w:tc>
        <w:tc>
          <w:tcPr>
            <w:tcW w:w="1300" w:type="dxa"/>
            <w:shd w:val="clear" w:color="auto" w:fill="auto"/>
            <w:vAlign w:val="center"/>
            <w:hideMark/>
          </w:tcPr>
          <w:p w14:paraId="515096B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BB326A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1,114.667</w:t>
            </w:r>
          </w:p>
        </w:tc>
      </w:tr>
      <w:tr w:rsidR="005B0B0A" w:rsidRPr="00533D70" w14:paraId="39B922BF" w14:textId="77777777" w:rsidTr="00D1510B">
        <w:trPr>
          <w:trHeight w:val="630"/>
        </w:trPr>
        <w:tc>
          <w:tcPr>
            <w:tcW w:w="1600" w:type="dxa"/>
            <w:vMerge/>
            <w:vAlign w:val="center"/>
            <w:hideMark/>
          </w:tcPr>
          <w:p w14:paraId="4C2DEBCE"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18BC2B3C"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05D357C5" w14:textId="6CE76AC9" w:rsidR="00533D70" w:rsidRPr="00E9060E" w:rsidRDefault="00533D70" w:rsidP="003B5F09">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3B5F09">
              <w:rPr>
                <w:rFonts w:ascii="Times New Roman" w:eastAsia="Times New Roman" w:hAnsi="Times New Roman"/>
                <w:color w:val="000000"/>
                <w:sz w:val="26"/>
                <w:szCs w:val="26"/>
              </w:rPr>
              <w:t>129,712</w:t>
            </w:r>
          </w:p>
        </w:tc>
        <w:tc>
          <w:tcPr>
            <w:tcW w:w="1160" w:type="dxa"/>
            <w:shd w:val="clear" w:color="auto" w:fill="auto"/>
            <w:vAlign w:val="center"/>
            <w:hideMark/>
          </w:tcPr>
          <w:p w14:paraId="17DAD22C" w14:textId="690C80E9"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40BD9EE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4585D13E" w14:textId="2B351952" w:rsidR="00533D70" w:rsidRPr="00E9060E" w:rsidRDefault="00533D70" w:rsidP="003B5F09">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3B5F09">
              <w:rPr>
                <w:rFonts w:ascii="Times New Roman" w:eastAsia="Times New Roman" w:hAnsi="Times New Roman"/>
                <w:color w:val="000000"/>
                <w:sz w:val="26"/>
                <w:szCs w:val="26"/>
              </w:rPr>
              <w:t>129,712</w:t>
            </w:r>
          </w:p>
        </w:tc>
      </w:tr>
      <w:tr w:rsidR="00533D70" w:rsidRPr="00533D70" w14:paraId="7F27CE86" w14:textId="77777777" w:rsidTr="000113FC">
        <w:trPr>
          <w:trHeight w:val="315"/>
        </w:trPr>
        <w:tc>
          <w:tcPr>
            <w:tcW w:w="9260" w:type="dxa"/>
            <w:gridSpan w:val="6"/>
            <w:shd w:val="clear" w:color="auto" w:fill="auto"/>
            <w:vAlign w:val="bottom"/>
            <w:hideMark/>
          </w:tcPr>
          <w:p w14:paraId="0E76D07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33D70" w:rsidRPr="00533D70" w14:paraId="4A4B143B" w14:textId="77777777" w:rsidTr="000113FC">
        <w:trPr>
          <w:trHeight w:val="645"/>
        </w:trPr>
        <w:tc>
          <w:tcPr>
            <w:tcW w:w="9260" w:type="dxa"/>
            <w:gridSpan w:val="6"/>
            <w:shd w:val="clear" w:color="auto" w:fill="auto"/>
            <w:vAlign w:val="bottom"/>
            <w:hideMark/>
          </w:tcPr>
          <w:p w14:paraId="352AE976" w14:textId="6D534010" w:rsidR="00533D70" w:rsidRPr="00E9060E" w:rsidRDefault="00533D70" w:rsidP="00321785">
            <w:pPr>
              <w:spacing w:after="0" w:line="240" w:lineRule="auto"/>
              <w:rPr>
                <w:rFonts w:ascii="Times New Roman" w:eastAsia="Times New Roman" w:hAnsi="Times New Roman"/>
                <w:i/>
                <w:color w:val="000000"/>
                <w:sz w:val="26"/>
                <w:szCs w:val="26"/>
              </w:rPr>
            </w:pPr>
            <w:r w:rsidRPr="00E9060E">
              <w:rPr>
                <w:rFonts w:ascii="Times New Roman" w:eastAsia="Times New Roman" w:hAnsi="Times New Roman"/>
                <w:i/>
                <w:color w:val="000000"/>
                <w:sz w:val="26"/>
                <w:szCs w:val="26"/>
              </w:rPr>
              <w:t xml:space="preserve">Note:  </w:t>
            </w:r>
            <w:r w:rsidR="00B80607">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Annual Cost burden</w:t>
            </w:r>
            <w:r w:rsidR="00B80607">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 xml:space="preserve"> is the out-of-pocket non-burden hour expenses which filers are estimated to incur in Years 2 </w:t>
            </w:r>
            <w:r w:rsidR="00321785" w:rsidRPr="00E9060E">
              <w:rPr>
                <w:rFonts w:ascii="Times New Roman" w:eastAsia="Times New Roman" w:hAnsi="Times New Roman"/>
                <w:i/>
                <w:color w:val="000000"/>
                <w:sz w:val="26"/>
                <w:szCs w:val="26"/>
              </w:rPr>
              <w:t xml:space="preserve">and </w:t>
            </w:r>
            <w:r w:rsidRPr="00E9060E">
              <w:rPr>
                <w:rFonts w:ascii="Times New Roman" w:eastAsia="Times New Roman" w:hAnsi="Times New Roman"/>
                <w:i/>
                <w:color w:val="000000"/>
                <w:sz w:val="26"/>
                <w:szCs w:val="26"/>
              </w:rPr>
              <w:t xml:space="preserve">3 </w:t>
            </w:r>
            <w:r w:rsidR="009F358D">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and beyond</w:t>
            </w:r>
            <w:r w:rsidR="009F358D">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  Those costs are being averaged over Years 1-3.</w:t>
            </w:r>
          </w:p>
        </w:tc>
      </w:tr>
    </w:tbl>
    <w:p w14:paraId="06A2F2CD" w14:textId="587255A6" w:rsidR="00B6477D" w:rsidRPr="00E9060E" w:rsidRDefault="00B6477D" w:rsidP="003A3343">
      <w:pPr>
        <w:spacing w:after="0" w:line="259" w:lineRule="auto"/>
        <w:rPr>
          <w:rFonts w:ascii="Times New Roman" w:hAnsi="Times New Roman"/>
          <w:sz w:val="26"/>
          <w:szCs w:val="26"/>
        </w:rPr>
      </w:pPr>
    </w:p>
    <w:p w14:paraId="05DB6CB6" w14:textId="78A10965" w:rsidR="00E31823" w:rsidRPr="00E9060E" w:rsidRDefault="00F83E09"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total number of responses does not include the responses for Form Nos. </w:t>
      </w:r>
      <w:r w:rsidR="00623560" w:rsidRPr="00E9060E">
        <w:rPr>
          <w:rFonts w:ascii="Times New Roman" w:hAnsi="Times New Roman"/>
          <w:sz w:val="26"/>
          <w:szCs w:val="26"/>
        </w:rPr>
        <w:t>3-QT electric (</w:t>
      </w:r>
      <w:r w:rsidRPr="00E9060E">
        <w:rPr>
          <w:rFonts w:ascii="Times New Roman" w:hAnsi="Times New Roman"/>
          <w:sz w:val="26"/>
          <w:szCs w:val="26"/>
        </w:rPr>
        <w:t>3-Q electric</w:t>
      </w:r>
      <w:r w:rsidR="00623560" w:rsidRPr="00E9060E">
        <w:rPr>
          <w:rFonts w:ascii="Times New Roman" w:hAnsi="Times New Roman"/>
          <w:sz w:val="26"/>
          <w:szCs w:val="26"/>
        </w:rPr>
        <w:t>)</w:t>
      </w:r>
      <w:r w:rsidRPr="00E9060E">
        <w:rPr>
          <w:rFonts w:ascii="Times New Roman" w:hAnsi="Times New Roman"/>
          <w:sz w:val="26"/>
          <w:szCs w:val="26"/>
        </w:rPr>
        <w:t xml:space="preserve">, </w:t>
      </w:r>
      <w:r w:rsidR="00623560" w:rsidRPr="00E9060E">
        <w:rPr>
          <w:rFonts w:ascii="Times New Roman" w:hAnsi="Times New Roman"/>
          <w:sz w:val="26"/>
          <w:szCs w:val="26"/>
        </w:rPr>
        <w:t>3-QT natural gas (</w:t>
      </w:r>
      <w:r w:rsidRPr="00E9060E">
        <w:rPr>
          <w:rFonts w:ascii="Times New Roman" w:hAnsi="Times New Roman"/>
          <w:sz w:val="26"/>
          <w:szCs w:val="26"/>
        </w:rPr>
        <w:t>3-Q natural gas</w:t>
      </w:r>
      <w:r w:rsidR="00623560" w:rsidRPr="00E9060E">
        <w:rPr>
          <w:rFonts w:ascii="Times New Roman" w:hAnsi="Times New Roman"/>
          <w:sz w:val="26"/>
          <w:szCs w:val="26"/>
        </w:rPr>
        <w:t>)</w:t>
      </w:r>
      <w:r w:rsidRPr="00E9060E">
        <w:rPr>
          <w:rFonts w:ascii="Times New Roman" w:hAnsi="Times New Roman"/>
          <w:sz w:val="26"/>
          <w:szCs w:val="26"/>
        </w:rPr>
        <w:t xml:space="preserve">, or </w:t>
      </w:r>
      <w:r w:rsidR="00623560" w:rsidRPr="00E9060E">
        <w:rPr>
          <w:rFonts w:ascii="Times New Roman" w:hAnsi="Times New Roman"/>
          <w:sz w:val="26"/>
          <w:szCs w:val="26"/>
        </w:rPr>
        <w:t>6-QT (</w:t>
      </w:r>
      <w:r w:rsidRPr="00E9060E">
        <w:rPr>
          <w:rFonts w:ascii="Times New Roman" w:hAnsi="Times New Roman"/>
          <w:sz w:val="26"/>
          <w:szCs w:val="26"/>
        </w:rPr>
        <w:t>6-Q</w:t>
      </w:r>
      <w:r w:rsidR="00623560" w:rsidRPr="00E9060E">
        <w:rPr>
          <w:rFonts w:ascii="Times New Roman" w:hAnsi="Times New Roman"/>
          <w:sz w:val="26"/>
          <w:szCs w:val="26"/>
        </w:rPr>
        <w:t>)</w:t>
      </w:r>
      <w:r w:rsidRPr="00E9060E">
        <w:rPr>
          <w:rFonts w:ascii="Times New Roman" w:hAnsi="Times New Roman"/>
          <w:sz w:val="26"/>
          <w:szCs w:val="26"/>
        </w:rPr>
        <w:t xml:space="preserve"> because the burden hours for tagging Form Nos. </w:t>
      </w:r>
      <w:r w:rsidR="00623560" w:rsidRPr="00E9060E">
        <w:rPr>
          <w:rFonts w:ascii="Times New Roman" w:hAnsi="Times New Roman"/>
          <w:sz w:val="26"/>
          <w:szCs w:val="26"/>
        </w:rPr>
        <w:t>1T (</w:t>
      </w:r>
      <w:r w:rsidRPr="00E9060E">
        <w:rPr>
          <w:rFonts w:ascii="Times New Roman" w:hAnsi="Times New Roman"/>
          <w:sz w:val="26"/>
          <w:szCs w:val="26"/>
        </w:rPr>
        <w:t>1</w:t>
      </w:r>
      <w:r w:rsidR="00623560" w:rsidRPr="00E9060E">
        <w:rPr>
          <w:rFonts w:ascii="Times New Roman" w:hAnsi="Times New Roman"/>
          <w:sz w:val="26"/>
          <w:szCs w:val="26"/>
        </w:rPr>
        <w:t>)</w:t>
      </w:r>
      <w:r w:rsidRPr="00E9060E">
        <w:rPr>
          <w:rFonts w:ascii="Times New Roman" w:hAnsi="Times New Roman"/>
          <w:sz w:val="26"/>
          <w:szCs w:val="26"/>
        </w:rPr>
        <w:t>,</w:t>
      </w:r>
      <w:r w:rsidR="00C030D2" w:rsidRPr="00E9060E">
        <w:rPr>
          <w:rFonts w:ascii="Times New Roman" w:hAnsi="Times New Roman"/>
          <w:sz w:val="26"/>
          <w:szCs w:val="26"/>
        </w:rPr>
        <w:t xml:space="preserve"> </w:t>
      </w:r>
      <w:r w:rsidR="00623560" w:rsidRPr="00E9060E">
        <w:rPr>
          <w:rFonts w:ascii="Times New Roman" w:hAnsi="Times New Roman"/>
          <w:sz w:val="26"/>
          <w:szCs w:val="26"/>
        </w:rPr>
        <w:t>1-FT (</w:t>
      </w:r>
      <w:r w:rsidR="00C030D2" w:rsidRPr="00E9060E">
        <w:rPr>
          <w:rFonts w:ascii="Times New Roman" w:hAnsi="Times New Roman"/>
          <w:sz w:val="26"/>
          <w:szCs w:val="26"/>
        </w:rPr>
        <w:t>1-F</w:t>
      </w:r>
      <w:r w:rsidR="00623560" w:rsidRPr="00E9060E">
        <w:rPr>
          <w:rFonts w:ascii="Times New Roman" w:hAnsi="Times New Roman"/>
          <w:sz w:val="26"/>
          <w:szCs w:val="26"/>
        </w:rPr>
        <w:t>)</w:t>
      </w:r>
      <w:r w:rsidR="00C030D2" w:rsidRPr="00E9060E">
        <w:rPr>
          <w:rFonts w:ascii="Times New Roman" w:hAnsi="Times New Roman"/>
          <w:sz w:val="26"/>
          <w:szCs w:val="26"/>
        </w:rPr>
        <w:t xml:space="preserve">, </w:t>
      </w:r>
      <w:r w:rsidRPr="00E9060E">
        <w:rPr>
          <w:rFonts w:ascii="Times New Roman" w:hAnsi="Times New Roman"/>
          <w:sz w:val="26"/>
          <w:szCs w:val="26"/>
        </w:rPr>
        <w:t>2,</w:t>
      </w:r>
      <w:r w:rsidR="00C030D2" w:rsidRPr="00E9060E">
        <w:rPr>
          <w:rFonts w:ascii="Times New Roman" w:hAnsi="Times New Roman"/>
          <w:sz w:val="26"/>
          <w:szCs w:val="26"/>
        </w:rPr>
        <w:t xml:space="preserve"> 2-A,</w:t>
      </w:r>
      <w:r w:rsidR="00343643" w:rsidRPr="00E9060E">
        <w:rPr>
          <w:rFonts w:ascii="Times New Roman" w:hAnsi="Times New Roman"/>
          <w:sz w:val="26"/>
          <w:szCs w:val="26"/>
        </w:rPr>
        <w:t xml:space="preserve"> </w:t>
      </w:r>
      <w:r w:rsidRPr="00E9060E">
        <w:rPr>
          <w:rFonts w:ascii="Times New Roman" w:hAnsi="Times New Roman"/>
          <w:sz w:val="26"/>
          <w:szCs w:val="26"/>
        </w:rPr>
        <w:t xml:space="preserve">and </w:t>
      </w:r>
      <w:r w:rsidR="00623560" w:rsidRPr="00E9060E">
        <w:rPr>
          <w:rFonts w:ascii="Times New Roman" w:hAnsi="Times New Roman"/>
          <w:sz w:val="26"/>
          <w:szCs w:val="26"/>
        </w:rPr>
        <w:t>6T (</w:t>
      </w:r>
      <w:r w:rsidRPr="00E9060E">
        <w:rPr>
          <w:rFonts w:ascii="Times New Roman" w:hAnsi="Times New Roman"/>
          <w:sz w:val="26"/>
          <w:szCs w:val="26"/>
        </w:rPr>
        <w:t>6</w:t>
      </w:r>
      <w:r w:rsidR="00623560" w:rsidRPr="00E9060E">
        <w:rPr>
          <w:rFonts w:ascii="Times New Roman" w:hAnsi="Times New Roman"/>
          <w:sz w:val="26"/>
          <w:szCs w:val="26"/>
        </w:rPr>
        <w:t>)</w:t>
      </w:r>
      <w:r w:rsidRPr="00E9060E">
        <w:rPr>
          <w:rFonts w:ascii="Times New Roman" w:hAnsi="Times New Roman"/>
          <w:sz w:val="26"/>
          <w:szCs w:val="26"/>
        </w:rPr>
        <w:t xml:space="preserve"> include the number of hours required to tag the </w:t>
      </w:r>
      <w:r w:rsidR="006B42A9" w:rsidRPr="00E9060E">
        <w:rPr>
          <w:rFonts w:ascii="Times New Roman" w:hAnsi="Times New Roman"/>
          <w:sz w:val="26"/>
          <w:szCs w:val="26"/>
        </w:rPr>
        <w:t xml:space="preserve">associated </w:t>
      </w:r>
      <w:r w:rsidRPr="00E9060E">
        <w:rPr>
          <w:rFonts w:ascii="Times New Roman" w:hAnsi="Times New Roman"/>
          <w:sz w:val="26"/>
          <w:szCs w:val="26"/>
        </w:rPr>
        <w:t>quarterly responses.  The quarterly filings are generally a subset of the annual filings.</w:t>
      </w:r>
    </w:p>
    <w:bookmarkEnd w:id="2"/>
    <w:p w14:paraId="4DE62675" w14:textId="77777777" w:rsidR="00471F97" w:rsidRPr="00E9060E" w:rsidRDefault="00471F97" w:rsidP="00BD0F89">
      <w:pPr>
        <w:spacing w:after="0" w:line="240" w:lineRule="auto"/>
        <w:rPr>
          <w:rFonts w:ascii="Times New Roman" w:hAnsi="Times New Roman"/>
          <w:sz w:val="26"/>
          <w:szCs w:val="26"/>
        </w:rPr>
      </w:pPr>
    </w:p>
    <w:p w14:paraId="115E3405"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16. </w:t>
      </w:r>
      <w:r w:rsidR="00F0627E" w:rsidRPr="00E9060E">
        <w:rPr>
          <w:rFonts w:ascii="Times New Roman" w:hAnsi="Times New Roman"/>
          <w:b/>
          <w:sz w:val="26"/>
          <w:szCs w:val="26"/>
        </w:rPr>
        <w:t>TIME SCHEDULE FOR PUBLICATION OF DATA</w:t>
      </w:r>
    </w:p>
    <w:p w14:paraId="65FE4B4D" w14:textId="77777777" w:rsidR="00F0627E" w:rsidRPr="00E9060E" w:rsidRDefault="00F0627E" w:rsidP="00BD0F89">
      <w:pPr>
        <w:spacing w:after="0" w:line="240" w:lineRule="auto"/>
        <w:rPr>
          <w:rFonts w:ascii="Times New Roman" w:hAnsi="Times New Roman"/>
          <w:sz w:val="26"/>
          <w:szCs w:val="26"/>
        </w:rPr>
      </w:pPr>
    </w:p>
    <w:p w14:paraId="679BBE9C" w14:textId="77777777" w:rsidR="001D289D" w:rsidRPr="00E9060E" w:rsidRDefault="001D289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There is no publication of </w:t>
      </w:r>
      <w:r w:rsidR="00587AD0" w:rsidRPr="00E9060E">
        <w:rPr>
          <w:rFonts w:ascii="Times New Roman" w:hAnsi="Times New Roman"/>
          <w:sz w:val="26"/>
          <w:szCs w:val="26"/>
        </w:rPr>
        <w:t>data</w:t>
      </w:r>
      <w:r w:rsidRPr="00E9060E">
        <w:rPr>
          <w:rFonts w:ascii="Times New Roman" w:hAnsi="Times New Roman"/>
          <w:sz w:val="26"/>
          <w:szCs w:val="26"/>
        </w:rPr>
        <w:t xml:space="preserve">. </w:t>
      </w:r>
    </w:p>
    <w:p w14:paraId="5CEC4741" w14:textId="77777777" w:rsidR="00F20B97" w:rsidRPr="00E9060E" w:rsidRDefault="00F20B97" w:rsidP="00BD0F89">
      <w:pPr>
        <w:spacing w:after="0" w:line="240" w:lineRule="auto"/>
        <w:rPr>
          <w:rFonts w:ascii="Times New Roman" w:hAnsi="Times New Roman"/>
          <w:sz w:val="26"/>
          <w:szCs w:val="26"/>
        </w:rPr>
      </w:pPr>
    </w:p>
    <w:p w14:paraId="6F76679F"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17. </w:t>
      </w:r>
      <w:r w:rsidR="00F0627E" w:rsidRPr="00E9060E">
        <w:rPr>
          <w:rFonts w:ascii="Times New Roman" w:hAnsi="Times New Roman"/>
          <w:b/>
          <w:sz w:val="26"/>
          <w:szCs w:val="26"/>
        </w:rPr>
        <w:t>DISPLAY OF EXPIRATION DATE</w:t>
      </w:r>
    </w:p>
    <w:p w14:paraId="2C7224E4" w14:textId="77777777" w:rsidR="00F0627E" w:rsidRPr="00E9060E" w:rsidRDefault="00F0627E" w:rsidP="00BD0F89">
      <w:pPr>
        <w:spacing w:after="0" w:line="240" w:lineRule="auto"/>
        <w:rPr>
          <w:rFonts w:ascii="Times New Roman" w:hAnsi="Times New Roman"/>
          <w:sz w:val="26"/>
          <w:szCs w:val="26"/>
        </w:rPr>
      </w:pPr>
    </w:p>
    <w:p w14:paraId="31FE087C" w14:textId="77777777" w:rsidR="00027DC9" w:rsidRPr="00E9060E" w:rsidRDefault="001D289D" w:rsidP="00BD0F89">
      <w:pPr>
        <w:spacing w:after="0" w:line="240" w:lineRule="auto"/>
        <w:rPr>
          <w:rFonts w:ascii="Times New Roman" w:hAnsi="Times New Roman"/>
          <w:color w:val="0000FF"/>
          <w:sz w:val="26"/>
          <w:szCs w:val="26"/>
          <w:u w:val="single"/>
        </w:rPr>
      </w:pPr>
      <w:r w:rsidRPr="00E9060E">
        <w:rPr>
          <w:rFonts w:ascii="Times New Roman" w:hAnsi="Times New Roman"/>
          <w:sz w:val="26"/>
          <w:szCs w:val="26"/>
        </w:rPr>
        <w:t xml:space="preserve">The expiration dates are posted on ferc.gov at </w:t>
      </w:r>
      <w:hyperlink r:id="rId16" w:history="1">
        <w:r w:rsidRPr="00E9060E">
          <w:rPr>
            <w:rStyle w:val="Hyperlink"/>
            <w:rFonts w:ascii="Times New Roman" w:hAnsi="Times New Roman"/>
            <w:sz w:val="26"/>
            <w:szCs w:val="26"/>
          </w:rPr>
          <w:t>http://www.ferc.gov/docs-filing/info-collections.asp</w:t>
        </w:r>
      </w:hyperlink>
      <w:r w:rsidRPr="00E9060E">
        <w:rPr>
          <w:rFonts w:ascii="Times New Roman" w:hAnsi="Times New Roman"/>
          <w:sz w:val="26"/>
          <w:szCs w:val="26"/>
        </w:rPr>
        <w:t xml:space="preserve"> </w:t>
      </w:r>
      <w:r w:rsidR="00A51BC6" w:rsidRPr="00E9060E">
        <w:rPr>
          <w:rFonts w:ascii="Times New Roman" w:hAnsi="Times New Roman"/>
          <w:sz w:val="26"/>
          <w:szCs w:val="26"/>
        </w:rPr>
        <w:t>and on the forms where applicable.</w:t>
      </w:r>
      <w:r w:rsidRPr="00E9060E">
        <w:rPr>
          <w:rFonts w:ascii="Times New Roman" w:hAnsi="Times New Roman"/>
          <w:sz w:val="26"/>
          <w:szCs w:val="26"/>
        </w:rPr>
        <w:t xml:space="preserve"> </w:t>
      </w:r>
    </w:p>
    <w:p w14:paraId="799845B9" w14:textId="77777777" w:rsidR="00027DC9" w:rsidRPr="00E9060E" w:rsidRDefault="00027DC9" w:rsidP="00BD0F89">
      <w:pPr>
        <w:spacing w:after="0" w:line="240" w:lineRule="auto"/>
        <w:rPr>
          <w:rFonts w:ascii="Times New Roman" w:hAnsi="Times New Roman"/>
          <w:sz w:val="26"/>
          <w:szCs w:val="26"/>
        </w:rPr>
      </w:pPr>
    </w:p>
    <w:p w14:paraId="61B7D1C0"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18.  </w:t>
      </w:r>
      <w:r w:rsidR="00F0627E" w:rsidRPr="00E9060E">
        <w:rPr>
          <w:rFonts w:ascii="Times New Roman" w:hAnsi="Times New Roman"/>
          <w:b/>
          <w:sz w:val="26"/>
          <w:szCs w:val="26"/>
        </w:rPr>
        <w:t>EXCEPTIONS TO THE CERTIFICATION STATEMENT</w:t>
      </w:r>
    </w:p>
    <w:p w14:paraId="63F6A337" w14:textId="77777777" w:rsidR="001D289D" w:rsidRPr="00E9060E" w:rsidRDefault="001D289D" w:rsidP="00BD0F89">
      <w:pPr>
        <w:spacing w:after="0" w:line="240" w:lineRule="auto"/>
        <w:rPr>
          <w:rFonts w:ascii="Times New Roman" w:hAnsi="Times New Roman"/>
          <w:b/>
          <w:sz w:val="26"/>
          <w:szCs w:val="26"/>
        </w:rPr>
      </w:pPr>
    </w:p>
    <w:p w14:paraId="07E0677A" w14:textId="77777777" w:rsidR="00F0627E" w:rsidRPr="00E9060E" w:rsidRDefault="001D289D" w:rsidP="00C87990">
      <w:pPr>
        <w:spacing w:after="160" w:line="240" w:lineRule="auto"/>
        <w:rPr>
          <w:rFonts w:ascii="Times New Roman" w:hAnsi="Times New Roman"/>
          <w:sz w:val="26"/>
          <w:szCs w:val="26"/>
        </w:rPr>
      </w:pPr>
      <w:r w:rsidRPr="00E9060E">
        <w:rPr>
          <w:rFonts w:ascii="Times New Roman" w:hAnsi="Times New Roman"/>
          <w:sz w:val="26"/>
          <w:szCs w:val="26"/>
        </w:rPr>
        <w:t>There are no exception</w:t>
      </w:r>
      <w:r w:rsidR="000836EF" w:rsidRPr="00E9060E">
        <w:rPr>
          <w:rFonts w:ascii="Times New Roman" w:hAnsi="Times New Roman"/>
          <w:sz w:val="26"/>
          <w:szCs w:val="26"/>
        </w:rPr>
        <w:t>s</w:t>
      </w:r>
      <w:r w:rsidRPr="00E9060E">
        <w:rPr>
          <w:rFonts w:ascii="Times New Roman" w:hAnsi="Times New Roman"/>
          <w:sz w:val="26"/>
          <w:szCs w:val="26"/>
        </w:rPr>
        <w:t xml:space="preserve">. </w:t>
      </w:r>
    </w:p>
    <w:sectPr w:rsidR="00F0627E" w:rsidRPr="00E9060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23975" w14:textId="77777777" w:rsidR="00E84A96" w:rsidRDefault="00E84A96" w:rsidP="009C7F55">
      <w:pPr>
        <w:spacing w:after="0" w:line="240" w:lineRule="auto"/>
      </w:pPr>
      <w:r>
        <w:separator/>
      </w:r>
    </w:p>
  </w:endnote>
  <w:endnote w:type="continuationSeparator" w:id="0">
    <w:p w14:paraId="1B9760C8" w14:textId="77777777" w:rsidR="00E84A96" w:rsidRDefault="00E84A96" w:rsidP="009C7F55">
      <w:pPr>
        <w:spacing w:after="0" w:line="240" w:lineRule="auto"/>
      </w:pPr>
      <w:r>
        <w:continuationSeparator/>
      </w:r>
    </w:p>
  </w:endnote>
  <w:endnote w:type="continuationNotice" w:id="1">
    <w:p w14:paraId="5D4D2992" w14:textId="77777777" w:rsidR="00E84A96" w:rsidRDefault="00E84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694AABE9" w14:textId="31D9813D" w:rsidR="00E84A96" w:rsidRDefault="00E84A96">
        <w:pPr>
          <w:pStyle w:val="Footer"/>
          <w:jc w:val="right"/>
        </w:pPr>
        <w:r>
          <w:fldChar w:fldCharType="begin"/>
        </w:r>
        <w:r>
          <w:instrText xml:space="preserve"> PAGE   \* MERGEFORMAT </w:instrText>
        </w:r>
        <w:r>
          <w:fldChar w:fldCharType="separate"/>
        </w:r>
        <w:r w:rsidR="0009038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49253" w14:textId="77777777" w:rsidR="00E84A96" w:rsidRDefault="00E84A96" w:rsidP="009C7F55">
      <w:pPr>
        <w:spacing w:after="0" w:line="240" w:lineRule="auto"/>
      </w:pPr>
      <w:r>
        <w:separator/>
      </w:r>
    </w:p>
  </w:footnote>
  <w:footnote w:type="continuationSeparator" w:id="0">
    <w:p w14:paraId="1394CEE6" w14:textId="77777777" w:rsidR="00E84A96" w:rsidRDefault="00E84A96" w:rsidP="009C7F55">
      <w:pPr>
        <w:spacing w:after="0" w:line="240" w:lineRule="auto"/>
      </w:pPr>
      <w:r>
        <w:continuationSeparator/>
      </w:r>
    </w:p>
  </w:footnote>
  <w:footnote w:type="continuationNotice" w:id="1">
    <w:p w14:paraId="6916E63B" w14:textId="77777777" w:rsidR="00E84A96" w:rsidRDefault="00E84A96">
      <w:pPr>
        <w:spacing w:after="0" w:line="240" w:lineRule="auto"/>
      </w:pPr>
    </w:p>
  </w:footnote>
  <w:footnote w:id="2">
    <w:p w14:paraId="6B39B4A7" w14:textId="2C1F7FD4" w:rsidR="00E84A96" w:rsidRPr="001E6691" w:rsidRDefault="00E84A96">
      <w:pPr>
        <w:pStyle w:val="FootnoteText"/>
        <w:rPr>
          <w:sz w:val="26"/>
          <w:szCs w:val="26"/>
        </w:rPr>
      </w:pPr>
      <w:r w:rsidRPr="00820D63">
        <w:rPr>
          <w:rStyle w:val="FootnoteReference"/>
          <w:sz w:val="24"/>
          <w:szCs w:val="24"/>
          <w:vertAlign w:val="superscript"/>
        </w:rPr>
        <w:footnoteRef/>
      </w:r>
      <w:r w:rsidRPr="00820D63">
        <w:rPr>
          <w:sz w:val="24"/>
          <w:szCs w:val="24"/>
          <w:vertAlign w:val="superscript"/>
        </w:rPr>
        <w:t xml:space="preserve"> </w:t>
      </w:r>
      <w:r w:rsidRPr="000113FC">
        <w:rPr>
          <w:sz w:val="26"/>
          <w:szCs w:val="26"/>
        </w:rPr>
        <w:t xml:space="preserve">The Forms Refresh effort was announced on 4/16/2015 in Docket No. AD15-11 (“Order Instituting Proceeding To Develop Electronic Filing </w:t>
      </w:r>
      <w:r w:rsidRPr="001E6691">
        <w:rPr>
          <w:sz w:val="26"/>
          <w:szCs w:val="26"/>
        </w:rPr>
        <w:t>Protocols For Commission Forms,” -</w:t>
      </w:r>
    </w:p>
    <w:p w14:paraId="1FD45B83" w14:textId="41887D00" w:rsidR="00E84A96" w:rsidRPr="001E6691" w:rsidRDefault="00E84A96">
      <w:pPr>
        <w:pStyle w:val="FootnoteText"/>
        <w:rPr>
          <w:sz w:val="26"/>
          <w:szCs w:val="26"/>
        </w:rPr>
      </w:pPr>
      <w:r w:rsidRPr="001E6691">
        <w:rPr>
          <w:sz w:val="26"/>
          <w:szCs w:val="26"/>
        </w:rPr>
        <w:t xml:space="preserve">posted in FERC’s eLibrary at </w:t>
      </w:r>
      <w:hyperlink r:id="rId1" w:history="1">
        <w:r w:rsidRPr="001E6691">
          <w:rPr>
            <w:rStyle w:val="Hyperlink"/>
            <w:sz w:val="26"/>
            <w:szCs w:val="26"/>
          </w:rPr>
          <w:t>https://elibrary.ferc.gov/idmws/common/opennat.asp?fileID=13841811</w:t>
        </w:r>
      </w:hyperlink>
      <w:r w:rsidRPr="001E6691">
        <w:rPr>
          <w:sz w:val="26"/>
          <w:szCs w:val="26"/>
        </w:rPr>
        <w:t xml:space="preserve">).  The Notice of Proposed Rulemaking (NOPR) is posted at </w:t>
      </w:r>
      <w:hyperlink r:id="rId2" w:history="1">
        <w:r w:rsidRPr="001E6691">
          <w:rPr>
            <w:rStyle w:val="Hyperlink"/>
            <w:sz w:val="26"/>
            <w:szCs w:val="26"/>
          </w:rPr>
          <w:t>https://elibrary.ferc.gov/idmws/common/OpenNat.asp?fileID=15142191</w:t>
        </w:r>
      </w:hyperlink>
      <w:r w:rsidRPr="001E6691">
        <w:rPr>
          <w:sz w:val="26"/>
          <w:szCs w:val="26"/>
        </w:rPr>
        <w:t xml:space="preserve">.  The final rule is posted at </w:t>
      </w:r>
      <w:hyperlink r:id="rId3" w:history="1">
        <w:r w:rsidRPr="001E6691">
          <w:rPr>
            <w:rStyle w:val="Hyperlink"/>
            <w:sz w:val="26"/>
            <w:szCs w:val="26"/>
          </w:rPr>
          <w:t>https://elibrary.ferc.gov/idmws/common/opennat.asp?fileID=15278794</w:t>
        </w:r>
      </w:hyperlink>
      <w:r>
        <w:rPr>
          <w:sz w:val="26"/>
          <w:szCs w:val="26"/>
        </w:rPr>
        <w:t xml:space="preserve">; the News Release is posted at </w:t>
      </w:r>
      <w:hyperlink r:id="rId4" w:history="1">
        <w:r w:rsidRPr="00BC6293">
          <w:rPr>
            <w:rStyle w:val="Hyperlink"/>
            <w:sz w:val="26"/>
            <w:szCs w:val="26"/>
          </w:rPr>
          <w:t>https://elibrary.ferc.gov/idmws/common/opennat.asp?fileID=15278905</w:t>
        </w:r>
      </w:hyperlink>
      <w:r>
        <w:rPr>
          <w:sz w:val="26"/>
          <w:szCs w:val="26"/>
        </w:rPr>
        <w:t>.</w:t>
      </w:r>
    </w:p>
  </w:footnote>
  <w:footnote w:id="3">
    <w:p w14:paraId="30C77959" w14:textId="2A1DDC56" w:rsidR="00E84A96" w:rsidRPr="00820D63" w:rsidRDefault="00E84A96" w:rsidP="009658D5">
      <w:pPr>
        <w:pStyle w:val="FootnoteText"/>
        <w:rPr>
          <w:sz w:val="24"/>
          <w:szCs w:val="24"/>
        </w:rPr>
      </w:pPr>
      <w:r w:rsidRPr="001E6691">
        <w:rPr>
          <w:rStyle w:val="FootnoteReference"/>
          <w:sz w:val="24"/>
          <w:szCs w:val="24"/>
          <w:vertAlign w:val="superscript"/>
        </w:rPr>
        <w:footnoteRef/>
      </w:r>
      <w:r w:rsidRPr="001E6691">
        <w:rPr>
          <w:sz w:val="24"/>
          <w:szCs w:val="24"/>
        </w:rPr>
        <w:t xml:space="preserve"> </w:t>
      </w:r>
      <w:r w:rsidRPr="001E6691">
        <w:rPr>
          <w:sz w:val="26"/>
          <w:szCs w:val="26"/>
        </w:rPr>
        <w:t>Note that OMB Control No.1902-0215 also includes FERC</w:t>
      </w:r>
      <w:r w:rsidRPr="00A1700D">
        <w:rPr>
          <w:sz w:val="24"/>
          <w:szCs w:val="24"/>
        </w:rPr>
        <w:t xml:space="preserve">-61 (Narrative Description Of Service </w:t>
      </w:r>
      <w:r w:rsidRPr="000113FC">
        <w:rPr>
          <w:sz w:val="26"/>
          <w:szCs w:val="26"/>
        </w:rPr>
        <w:t>Co. Functions) and FERC-555A (Preservation of Records for Holding Cos. and Service Cos. Subject to Public Utility Holding Company Act of  2005), which are not affected by the Forms Refresh rulemaking and not addressed here.  In addition, the regular renewal of the FERC Form No. 60, FERC-61, and FERC-555A (all included in OMB Control No. 1902-0215 and pending OMB review) is a separate activity from the Forms Refresh effort and not addressed here.</w:t>
      </w:r>
    </w:p>
  </w:footnote>
  <w:footnote w:id="4">
    <w:p w14:paraId="7EEB7197" w14:textId="28E240A3"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Unless otherwise specified, the FERC</w:t>
      </w:r>
      <w:r>
        <w:rPr>
          <w:sz w:val="26"/>
          <w:szCs w:val="26"/>
        </w:rPr>
        <w:t xml:space="preserve"> Form No. </w:t>
      </w:r>
      <w:r w:rsidRPr="000113FC">
        <w:rPr>
          <w:sz w:val="26"/>
          <w:szCs w:val="26"/>
        </w:rPr>
        <w:t>3-QT and FERC</w:t>
      </w:r>
      <w:r>
        <w:rPr>
          <w:sz w:val="26"/>
          <w:szCs w:val="26"/>
        </w:rPr>
        <w:t xml:space="preserve"> Form No. </w:t>
      </w:r>
      <w:r w:rsidRPr="000113FC">
        <w:rPr>
          <w:sz w:val="26"/>
          <w:szCs w:val="26"/>
        </w:rPr>
        <w:t>3</w:t>
      </w:r>
      <w:r>
        <w:rPr>
          <w:sz w:val="26"/>
          <w:szCs w:val="26"/>
        </w:rPr>
        <w:t>-</w:t>
      </w:r>
      <w:r w:rsidRPr="000113FC">
        <w:rPr>
          <w:sz w:val="26"/>
          <w:szCs w:val="26"/>
        </w:rPr>
        <w:t>Q refer to both the electric and gas versions, which are separate ICs in ROCIS and reginfo.gov.</w:t>
      </w:r>
    </w:p>
  </w:footnote>
  <w:footnote w:id="5">
    <w:p w14:paraId="2971A43E" w14:textId="37B40AFD" w:rsidR="00E84A96" w:rsidRPr="000113FC" w:rsidRDefault="00E84A96" w:rsidP="00CC72A5">
      <w:pPr>
        <w:pStyle w:val="FootnoteText"/>
        <w:rPr>
          <w:sz w:val="26"/>
          <w:szCs w:val="26"/>
        </w:rPr>
      </w:pPr>
      <w:r w:rsidRPr="000113FC">
        <w:rPr>
          <w:sz w:val="26"/>
          <w:szCs w:val="26"/>
          <w:vertAlign w:val="superscript"/>
        </w:rPr>
        <w:footnoteRef/>
      </w:r>
      <w:r w:rsidRPr="000113FC">
        <w:rPr>
          <w:sz w:val="26"/>
          <w:szCs w:val="26"/>
          <w:vertAlign w:val="superscript"/>
        </w:rPr>
        <w:t xml:space="preserve"> </w:t>
      </w:r>
      <w:r w:rsidRPr="000113FC">
        <w:rPr>
          <w:sz w:val="26"/>
          <w:szCs w:val="26"/>
        </w:rPr>
        <w:t>18 CFR § 141.1.  Nonoperating entities formerly designated as Major and new entities that expect to be in the Major category should file as detailed in 18 CFR § 101, General Instructions (1)(A)(3).</w:t>
      </w:r>
    </w:p>
  </w:footnote>
  <w:footnote w:id="6">
    <w:p w14:paraId="07B6B811" w14:textId="6C8AF7B0" w:rsidR="00E84A96" w:rsidRPr="000113FC" w:rsidRDefault="00E84A96" w:rsidP="00CC72A5">
      <w:pPr>
        <w:pStyle w:val="FootnoteText"/>
        <w:rPr>
          <w:sz w:val="26"/>
          <w:szCs w:val="26"/>
        </w:rPr>
      </w:pPr>
      <w:r w:rsidRPr="000113FC">
        <w:rPr>
          <w:sz w:val="26"/>
          <w:szCs w:val="26"/>
          <w:vertAlign w:val="superscript"/>
        </w:rPr>
        <w:footnoteRef/>
      </w:r>
      <w:r w:rsidRPr="000113FC">
        <w:rPr>
          <w:sz w:val="26"/>
          <w:szCs w:val="26"/>
          <w:vertAlign w:val="superscript"/>
        </w:rPr>
        <w:t xml:space="preserve"> </w:t>
      </w:r>
      <w:r w:rsidRPr="000113FC">
        <w:rPr>
          <w:sz w:val="26"/>
          <w:szCs w:val="26"/>
        </w:rPr>
        <w:t>18 CFR § 141.2.  Nonoperating entities formerly designated as Nonmajor and new entities that expect to be in the Nonmajor category should file as detailed in 18 CFR § 101, General Instructions (1)(A)(2).</w:t>
      </w:r>
    </w:p>
  </w:footnote>
  <w:footnote w:id="7">
    <w:p w14:paraId="07C019FA" w14:textId="67B7196D" w:rsidR="00E84A96" w:rsidRPr="00F8004A" w:rsidRDefault="00E84A96" w:rsidP="00CC72A5">
      <w:pPr>
        <w:pStyle w:val="FootnoteText"/>
        <w:rPr>
          <w:sz w:val="24"/>
          <w:szCs w:val="24"/>
        </w:rPr>
      </w:pPr>
      <w:r w:rsidRPr="000113FC">
        <w:rPr>
          <w:rStyle w:val="FootnoteReference"/>
          <w:rFonts w:eastAsia="Calibri"/>
          <w:sz w:val="26"/>
          <w:szCs w:val="26"/>
          <w:vertAlign w:val="superscript"/>
        </w:rPr>
        <w:footnoteRef/>
      </w:r>
      <w:r w:rsidRPr="000113FC">
        <w:rPr>
          <w:sz w:val="26"/>
          <w:szCs w:val="26"/>
        </w:rPr>
        <w:t xml:space="preserve"> 18 CFR 260.1(b). For natural gas, “Major” pertains to a company whose combined gas transported or stored for a fee exceed 50 million Dth in each of the three previous calendar years. 18 CFR 260.2(b).  “Nonmajor” pertains to a company not meeting the filing threshold for Major, but having total gas sales or volume transactions exceeding 200,000 Dth in each of the three previous calendar years.</w:t>
      </w:r>
    </w:p>
  </w:footnote>
  <w:footnote w:id="8">
    <w:p w14:paraId="6FB14F54" w14:textId="77777777" w:rsidR="00E84A96" w:rsidRPr="000113FC" w:rsidRDefault="00E84A96" w:rsidP="002F405E">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Cost of Service Requirements and Filing Requirements for Oil Pipelines</w:t>
      </w:r>
      <w:r w:rsidRPr="000113FC">
        <w:rPr>
          <w:sz w:val="26"/>
          <w:szCs w:val="26"/>
        </w:rPr>
        <w:t>, Order No. 571, FERC Stats. &amp; Regs., Regulation Preambles Jan. 1991- June 1996 ¶ 31,006, at p. 31,169 (1995).</w:t>
      </w:r>
    </w:p>
  </w:footnote>
  <w:footnote w:id="9">
    <w:p w14:paraId="003D3C9C"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The Commission established an indexing methodology that allows oil pipelines to change their rates subject to certain ceiling levels instead of making cost-of-service filings.  The Commission reviews the index level every five years to ensure it adequately reflects changes to industry costs.  </w:t>
      </w:r>
    </w:p>
  </w:footnote>
  <w:footnote w:id="10">
    <w:p w14:paraId="484AE026" w14:textId="77777777" w:rsidR="00E84A96" w:rsidRPr="000113FC" w:rsidRDefault="00E84A96" w:rsidP="00CC72A5">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See</w:t>
      </w:r>
      <w:r w:rsidRPr="000113FC">
        <w:rPr>
          <w:sz w:val="26"/>
          <w:szCs w:val="26"/>
        </w:rPr>
        <w:t xml:space="preserve"> 18 CFR Part 101 (Uniform System Of Accounts Prescribed For Public Utilities And Licensees Subject To The Provisions Of The Federal Power Act).</w:t>
      </w:r>
    </w:p>
  </w:footnote>
  <w:footnote w:id="11">
    <w:p w14:paraId="7B85E37A" w14:textId="77777777" w:rsidR="00E84A96" w:rsidRPr="000113FC" w:rsidRDefault="00E84A96" w:rsidP="00A326E2">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See</w:t>
      </w:r>
      <w:r w:rsidRPr="000113FC">
        <w:rPr>
          <w:sz w:val="26"/>
          <w:szCs w:val="26"/>
        </w:rPr>
        <w:t xml:space="preserve"> 18 CFR Part 201 (Uniform System Of Accounts Prescribed For Natural Gas Companies Subject To The Provisions Of The Natural Gas Act).</w:t>
      </w:r>
    </w:p>
  </w:footnote>
  <w:footnote w:id="12">
    <w:p w14:paraId="483B3396" w14:textId="77777777" w:rsidR="00E84A96" w:rsidRPr="000113FC" w:rsidRDefault="00E84A96" w:rsidP="005C5FA3">
      <w:pPr>
        <w:pStyle w:val="FootnoteText"/>
        <w:rPr>
          <w:sz w:val="26"/>
          <w:szCs w:val="26"/>
        </w:rPr>
      </w:pPr>
      <w:r w:rsidRPr="000113FC">
        <w:rPr>
          <w:rStyle w:val="FootnoteReference"/>
          <w:rFonts w:eastAsia="Calibri"/>
          <w:sz w:val="26"/>
          <w:szCs w:val="26"/>
          <w:vertAlign w:val="superscript"/>
        </w:rPr>
        <w:footnoteRef/>
      </w:r>
      <w:r w:rsidRPr="000113FC">
        <w:rPr>
          <w:sz w:val="26"/>
          <w:szCs w:val="26"/>
          <w:vertAlign w:val="superscript"/>
        </w:rPr>
        <w:t xml:space="preserve"> </w:t>
      </w:r>
      <w:r w:rsidRPr="000113FC">
        <w:rPr>
          <w:sz w:val="26"/>
          <w:szCs w:val="26"/>
        </w:rPr>
        <w:t>See 18 CFR Part 352, Uniform Systems Of Accounts Prescribed For Oil Pipeline Companies Subject To The Provisions Of The Interstate Commerce Act.</w:t>
      </w:r>
    </w:p>
  </w:footnote>
  <w:footnote w:id="13">
    <w:p w14:paraId="65448936" w14:textId="6F28AE4A" w:rsidR="00E84A96" w:rsidRPr="000113FC" w:rsidRDefault="00E84A96">
      <w:pPr>
        <w:pStyle w:val="FootnoteText"/>
        <w:rPr>
          <w:sz w:val="26"/>
          <w:szCs w:val="26"/>
        </w:rPr>
      </w:pPr>
      <w:r w:rsidRPr="001123D4">
        <w:rPr>
          <w:rStyle w:val="FootnoteReference"/>
          <w:sz w:val="26"/>
          <w:szCs w:val="26"/>
          <w:vertAlign w:val="superscript"/>
        </w:rPr>
        <w:footnoteRef/>
      </w:r>
      <w:r w:rsidRPr="001123D4">
        <w:rPr>
          <w:sz w:val="26"/>
          <w:szCs w:val="26"/>
          <w:vertAlign w:val="superscript"/>
        </w:rPr>
        <w:t xml:space="preserve"> </w:t>
      </w:r>
      <w:r w:rsidRPr="000113FC">
        <w:rPr>
          <w:sz w:val="26"/>
          <w:szCs w:val="26"/>
        </w:rPr>
        <w:t xml:space="preserve">The proposed temporary information collection </w:t>
      </w:r>
      <w:r w:rsidRPr="00F3221E">
        <w:rPr>
          <w:sz w:val="26"/>
          <w:szCs w:val="26"/>
        </w:rPr>
        <w:t>number “</w:t>
      </w:r>
      <w:r w:rsidRPr="000113FC">
        <w:rPr>
          <w:sz w:val="26"/>
          <w:szCs w:val="26"/>
        </w:rPr>
        <w:t>FERC Form No. 60A</w:t>
      </w:r>
      <w:r w:rsidRPr="00F3221E">
        <w:rPr>
          <w:sz w:val="26"/>
          <w:szCs w:val="26"/>
        </w:rPr>
        <w:t>”</w:t>
      </w:r>
      <w:r w:rsidRPr="000113FC">
        <w:rPr>
          <w:sz w:val="26"/>
          <w:szCs w:val="26"/>
        </w:rPr>
        <w:t xml:space="preserve"> covers the proposed industry burden to convert to filing the </w:t>
      </w:r>
      <w:r w:rsidRPr="00F3221E">
        <w:rPr>
          <w:sz w:val="26"/>
          <w:szCs w:val="26"/>
        </w:rPr>
        <w:t xml:space="preserve">FERC </w:t>
      </w:r>
      <w:r w:rsidRPr="000113FC">
        <w:rPr>
          <w:sz w:val="26"/>
          <w:szCs w:val="26"/>
        </w:rPr>
        <w:t xml:space="preserve">Form No. 60 using XBRL, as discussed in the final rule in RM19-12.  </w:t>
      </w:r>
    </w:p>
  </w:footnote>
  <w:footnote w:id="14">
    <w:p w14:paraId="064153EA" w14:textId="62B90BE1" w:rsidR="00E84A96" w:rsidRPr="001123D4" w:rsidRDefault="00E84A96">
      <w:pPr>
        <w:pStyle w:val="FootnoteText"/>
        <w:rPr>
          <w:sz w:val="26"/>
          <w:szCs w:val="26"/>
        </w:rPr>
      </w:pPr>
      <w:r w:rsidRPr="001123D4">
        <w:rPr>
          <w:rStyle w:val="FootnoteReference"/>
          <w:sz w:val="26"/>
          <w:szCs w:val="26"/>
          <w:vertAlign w:val="superscript"/>
        </w:rPr>
        <w:footnoteRef/>
      </w:r>
      <w:r w:rsidRPr="001123D4">
        <w:rPr>
          <w:sz w:val="26"/>
          <w:szCs w:val="26"/>
        </w:rPr>
        <w:t xml:space="preserve"> </w:t>
      </w:r>
      <w:hyperlink r:id="rId5" w:anchor="/status?end=20190628T11" w:history="1">
        <w:r w:rsidRPr="001123D4">
          <w:rPr>
            <w:rStyle w:val="Hyperlink"/>
            <w:sz w:val="26"/>
            <w:szCs w:val="26"/>
          </w:rPr>
          <w:t>https://www.eia.gov/realtime_grid/#/status?end=20190628T11</w:t>
        </w:r>
      </w:hyperlink>
    </w:p>
  </w:footnote>
  <w:footnote w:id="15">
    <w:p w14:paraId="2236E29A" w14:textId="0AD6663D" w:rsidR="00E84A96" w:rsidRPr="000113FC" w:rsidRDefault="00E84A96" w:rsidP="00F0627E">
      <w:pPr>
        <w:pStyle w:val="FootnoteText"/>
        <w:rPr>
          <w:sz w:val="26"/>
          <w:szCs w:val="26"/>
        </w:rPr>
      </w:pPr>
      <w:r w:rsidRPr="000113FC">
        <w:rPr>
          <w:rStyle w:val="FootnoteReference"/>
          <w:sz w:val="26"/>
          <w:szCs w:val="26"/>
          <w:vertAlign w:val="superscript"/>
        </w:rPr>
        <w:footnoteRef/>
      </w:r>
      <w:r w:rsidRPr="000113FC">
        <w:rPr>
          <w:sz w:val="26"/>
          <w:szCs w:val="26"/>
        </w:rPr>
        <w:t xml:space="preserve"> 18 C.F.R. §</w:t>
      </w:r>
      <w:r w:rsidRPr="00F3221E">
        <w:rPr>
          <w:sz w:val="26"/>
          <w:szCs w:val="26"/>
        </w:rPr>
        <w:t xml:space="preserve">§ </w:t>
      </w:r>
      <w:r w:rsidRPr="000113FC">
        <w:rPr>
          <w:sz w:val="26"/>
          <w:szCs w:val="26"/>
        </w:rPr>
        <w:t>388.112</w:t>
      </w:r>
      <w:r w:rsidRPr="00F3221E">
        <w:rPr>
          <w:sz w:val="26"/>
          <w:szCs w:val="26"/>
        </w:rPr>
        <w:t xml:space="preserve"> and 388.113</w:t>
      </w:r>
      <w:r w:rsidRPr="000113FC">
        <w:rPr>
          <w:sz w:val="26"/>
          <w:szCs w:val="26"/>
        </w:rPr>
        <w:t xml:space="preserve">.  More information on the CEII definition, program and requirements is posted at </w:t>
      </w:r>
      <w:hyperlink r:id="rId6" w:history="1">
        <w:r w:rsidRPr="000113FC">
          <w:rPr>
            <w:rStyle w:val="Hyperlink"/>
            <w:sz w:val="26"/>
            <w:szCs w:val="26"/>
          </w:rPr>
          <w:t>http://www.ferc.gov/legal/ceii-foia/ceii.asp</w:t>
        </w:r>
      </w:hyperlink>
      <w:r w:rsidRPr="000113FC">
        <w:rPr>
          <w:sz w:val="26"/>
          <w:szCs w:val="26"/>
        </w:rPr>
        <w:t xml:space="preserve">. </w:t>
      </w:r>
    </w:p>
  </w:footnote>
  <w:footnote w:id="16">
    <w:p w14:paraId="2E9FF102" w14:textId="1B201A5E"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 xml:space="preserve">The internal burden hours for tagging Form Nos. 1T and 3-QT electric (1 and 3-Q electric) are combined because the annual information reported in </w:t>
      </w:r>
      <w:r w:rsidRPr="00F3221E">
        <w:rPr>
          <w:sz w:val="26"/>
          <w:szCs w:val="26"/>
        </w:rPr>
        <w:t xml:space="preserve">FERC </w:t>
      </w:r>
      <w:r w:rsidRPr="000113FC">
        <w:rPr>
          <w:sz w:val="26"/>
          <w:szCs w:val="26"/>
        </w:rPr>
        <w:t>Form No. 1T (1) is a compilation of the information reported in the prior three quarters in Form Nos. 3-QT electric (3-Q electric) in addition to the fourth quarter.  Similarly, we have combined the number of internal burden hours for tagging the Form Nos. 2 and 3-QT natural gas (3-Q natural gas) and the Form Nos. 6T and 6-QT (6 and 6-Q), respectively, because the annual Form Nos. 2 and 6T (6) are based on a compilation of the information reported in the prior three quarters in Form Nos. 3-QT natural gas (3-Q natural gas) and 6-QT (6-Q) in addition to the fourth quarter.</w:t>
      </w:r>
    </w:p>
  </w:footnote>
  <w:footnote w:id="17">
    <w:p w14:paraId="48EDA302"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average burden and cost per response is calculated using the hourly wage figures described in detail below.</w:t>
      </w:r>
    </w:p>
  </w:footnote>
  <w:footnote w:id="18">
    <w:p w14:paraId="5F934FED"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Every figure in this column is rounded to the nearest dollar.</w:t>
      </w:r>
    </w:p>
  </w:footnote>
  <w:footnote w:id="19">
    <w:p w14:paraId="316E2CE3" w14:textId="5E031B14"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There is no change to the internal burden hours for filing Form Nos. 3-QT electric (3-Q electric), 3-QT natural gas (3-Q natural gas), and 6-QT (6-Q) because the burden hours associated with these quarterly forms are included in the burden hours calculated for filing Form Nos. 1T (1), 2, and 6T (6).</w:t>
      </w:r>
    </w:p>
  </w:footnote>
  <w:footnote w:id="20">
    <w:p w14:paraId="6ABCC89E" w14:textId="0212DB6C"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total number of responses does not include the responses for Form Nos. 3-QT electric (3-Q electric), 3-QT natural gas (3-Q natural gas), or 6-QT (6-Q) because the burden hours for tagging Form Nos. 1T (1), 2, and 6T (6) include the number of hours required to tag the quarterly responses.  The quarterly filings are generally a subset of the annual filings.</w:t>
      </w:r>
    </w:p>
  </w:footnote>
  <w:footnote w:id="21">
    <w:p w14:paraId="67695287"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The average burden and cost per response is calculated using the hourly wage figures described in detail below.</w:t>
      </w:r>
    </w:p>
  </w:footnote>
  <w:footnote w:id="22">
    <w:p w14:paraId="4E8FEBEB"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Every figure in this column is rounded to the nearest dollar.</w:t>
      </w:r>
    </w:p>
  </w:footnote>
  <w:footnote w:id="23">
    <w:p w14:paraId="025A7F46" w14:textId="2F059019"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This total number of responses does not include the responses for Form Nos. 3-QT electric, 3-QT natural gas (3-Q electric , 3-Q natural gas), or 6-QT (6-Q) because the burden hours for tagging Form Nos. 1T (1), 2, and 6T (6) include the number of hours required to tag the quarterly responses.  The quarterly filings are generally a subset of the annual filings.</w:t>
      </w:r>
    </w:p>
  </w:footnote>
  <w:footnote w:id="24">
    <w:p w14:paraId="64D15F4B" w14:textId="1D6C981A"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total number of responses does not include the responses for Form Nos. 3-QT electric (3-Q electric), 3-QT natural gas (3-Q natural gas), or 6-QT (6-Q) because the burden hours for tagging Form Nos. 1T (1), 2, and 6T (6) include the number of hours required to tag the quarterly responses.  The quarterly filings are generally a subset of the annual filings.</w:t>
      </w:r>
    </w:p>
  </w:footnote>
  <w:footnote w:id="25">
    <w:p w14:paraId="41C655F7" w14:textId="16F2C0C2" w:rsidR="00E84A96"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w:t>
      </w:r>
    </w:p>
    <w:p w14:paraId="2DEBA949" w14:textId="15B098D4" w:rsidR="00E84A96" w:rsidRPr="000113FC" w:rsidRDefault="00E84A96">
      <w:pPr>
        <w:pStyle w:val="FootnoteText"/>
        <w:rPr>
          <w:sz w:val="26"/>
          <w:szCs w:val="26"/>
        </w:rPr>
      </w:pPr>
      <w:r>
        <w:rPr>
          <w:sz w:val="26"/>
          <w:szCs w:val="26"/>
        </w:rPr>
        <w:t>The annual cost per filing of $4,912 for Years 2 and 3 is being averaged over 3 years for Question 15, giving $3,274.66 per year per filing.</w:t>
      </w:r>
    </w:p>
  </w:footnote>
  <w:footnote w:id="26">
    <w:p w14:paraId="59E7A599" w14:textId="2B5EB782" w:rsidR="00E84A96" w:rsidRDefault="00E84A96" w:rsidP="005E0B91">
      <w:pPr>
        <w:pStyle w:val="CommentText"/>
        <w:spacing w:after="0"/>
        <w:rPr>
          <w:rFonts w:ascii="Times New Roman" w:hAnsi="Times New Roman"/>
          <w:sz w:val="26"/>
          <w:szCs w:val="26"/>
        </w:rPr>
      </w:pPr>
      <w:r w:rsidRPr="000113FC">
        <w:rPr>
          <w:rStyle w:val="FootnoteReference"/>
          <w:rFonts w:ascii="Times New Roman" w:hAnsi="Times New Roman"/>
          <w:sz w:val="26"/>
          <w:szCs w:val="26"/>
          <w:vertAlign w:val="superscript"/>
        </w:rPr>
        <w:footnoteRef/>
      </w:r>
      <w:r w:rsidRPr="000113FC">
        <w:rPr>
          <w:rFonts w:ascii="Times New Roman" w:hAnsi="Times New Roman"/>
          <w:sz w:val="26"/>
          <w:szCs w:val="26"/>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  This is a considerably smaller collection than the others that are grouped together, yet this is still a conservatively high estimate based on the number of fields in the collection, its length, and its complexity.</w:t>
      </w:r>
    </w:p>
    <w:p w14:paraId="39D1414F" w14:textId="6AC16941" w:rsidR="00E84A96" w:rsidRPr="000113FC" w:rsidRDefault="00E84A96" w:rsidP="005E0B91">
      <w:pPr>
        <w:pStyle w:val="CommentText"/>
        <w:spacing w:after="0"/>
        <w:rPr>
          <w:rFonts w:ascii="Times New Roman" w:hAnsi="Times New Roman"/>
          <w:sz w:val="26"/>
          <w:szCs w:val="26"/>
        </w:rPr>
      </w:pPr>
      <w:r w:rsidRPr="000113FC">
        <w:rPr>
          <w:rFonts w:ascii="Times New Roman" w:hAnsi="Times New Roman"/>
          <w:sz w:val="26"/>
          <w:szCs w:val="26"/>
        </w:rPr>
        <w:t xml:space="preserve">The annual cost </w:t>
      </w:r>
      <w:r>
        <w:rPr>
          <w:rFonts w:ascii="Times New Roman" w:hAnsi="Times New Roman"/>
          <w:sz w:val="26"/>
          <w:szCs w:val="26"/>
        </w:rPr>
        <w:t xml:space="preserve">per filing </w:t>
      </w:r>
      <w:r w:rsidRPr="000113FC">
        <w:rPr>
          <w:rFonts w:ascii="Times New Roman" w:hAnsi="Times New Roman"/>
          <w:sz w:val="26"/>
          <w:szCs w:val="26"/>
        </w:rPr>
        <w:t>of $</w:t>
      </w:r>
      <w:r>
        <w:rPr>
          <w:rFonts w:ascii="Times New Roman" w:hAnsi="Times New Roman"/>
          <w:sz w:val="26"/>
          <w:szCs w:val="26"/>
        </w:rPr>
        <w:t>982</w:t>
      </w:r>
      <w:r w:rsidRPr="000113FC">
        <w:rPr>
          <w:rFonts w:ascii="Times New Roman" w:hAnsi="Times New Roman"/>
          <w:sz w:val="26"/>
          <w:szCs w:val="26"/>
        </w:rPr>
        <w:t xml:space="preserve"> for Years 2 and 3 is being averaged over 3 years for Question 15, giving $</w:t>
      </w:r>
      <w:r>
        <w:rPr>
          <w:rFonts w:ascii="Times New Roman" w:hAnsi="Times New Roman"/>
          <w:sz w:val="26"/>
          <w:szCs w:val="26"/>
        </w:rPr>
        <w:t>654.66</w:t>
      </w:r>
      <w:r w:rsidRPr="000113FC">
        <w:rPr>
          <w:rFonts w:ascii="Times New Roman" w:hAnsi="Times New Roman"/>
          <w:sz w:val="26"/>
          <w:szCs w:val="26"/>
        </w:rPr>
        <w:t xml:space="preserve"> per year per filing.</w:t>
      </w:r>
    </w:p>
  </w:footnote>
  <w:footnote w:id="27">
    <w:p w14:paraId="1D97E107" w14:textId="4549B4D5" w:rsidR="00E84A96" w:rsidRDefault="00E84A96" w:rsidP="00DE55CB">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cost is estimated based on 12% of the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final rule).  This is an even smaller collection than the other forms, yet this is still a conservatively high estimate based on the number of fields in the collection, its length, and its complexity.</w:t>
      </w:r>
    </w:p>
    <w:p w14:paraId="7D14EA92" w14:textId="27C30532" w:rsidR="00E84A96" w:rsidRPr="000113FC" w:rsidRDefault="00E84A96" w:rsidP="00DE55CB">
      <w:pPr>
        <w:pStyle w:val="FootnoteText"/>
        <w:rPr>
          <w:sz w:val="26"/>
          <w:szCs w:val="26"/>
        </w:rPr>
      </w:pPr>
      <w:r w:rsidRPr="00A216FC">
        <w:rPr>
          <w:sz w:val="26"/>
          <w:szCs w:val="26"/>
        </w:rPr>
        <w:t xml:space="preserve">The annual cost per filing </w:t>
      </w:r>
      <w:r>
        <w:rPr>
          <w:sz w:val="26"/>
          <w:szCs w:val="26"/>
        </w:rPr>
        <w:t>of $737</w:t>
      </w:r>
      <w:r w:rsidRPr="00A216FC">
        <w:rPr>
          <w:sz w:val="26"/>
          <w:szCs w:val="26"/>
        </w:rPr>
        <w:t xml:space="preserve"> for Years 2 and 3 is being averaged over 3 years for Question 15, giving $</w:t>
      </w:r>
      <w:r>
        <w:rPr>
          <w:sz w:val="26"/>
          <w:szCs w:val="26"/>
        </w:rPr>
        <w:t>491.33</w:t>
      </w:r>
      <w:r w:rsidRPr="00A216FC">
        <w:rPr>
          <w:sz w:val="26"/>
          <w:szCs w:val="26"/>
        </w:rPr>
        <w:t xml:space="preserve"> per year per filing.</w:t>
      </w:r>
    </w:p>
  </w:footnote>
  <w:footnote w:id="28">
    <w:p w14:paraId="4F41A94C"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estimate uses the FERC’s FY 2018 average annual salary plus benefits of one FERC FTE (full-time equivalent [$164,820 per year or $79.00 per hour]).  (These estimates were updated in May 2018.)</w:t>
      </w:r>
    </w:p>
  </w:footnote>
  <w:footnote w:id="29">
    <w:p w14:paraId="2508AC6A"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This estimate was updated May 2018.</w:t>
      </w:r>
    </w:p>
  </w:footnote>
  <w:footnote w:id="30">
    <w:p w14:paraId="58CB363F" w14:textId="4C67B41A"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 xml:space="preserve">The federal costs for the FERC Form Nos. 1T (1), 1-FT (1-F), and 3-QT electric and natural gas (3-Q (electric and natural gas) will be included under the ICR for FERC Form No. 1T (1) in ROCIS and reginfo.gov.  </w:t>
      </w:r>
    </w:p>
  </w:footnote>
  <w:footnote w:id="31">
    <w:p w14:paraId="70EE6536" w14:textId="1427B4B5"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burden and total number of responses do not include the responses for Form Nos. 3-QT electric, 3-QT natural gas (3-Q electric, 3-Q natural gas), or 6-QT (6-Q) because the burden hours for tagging Form Nos. 1T (1), 2, and 6T (6) include the number of responses and burden hours required to tag the quarterly responses.  The quarterly filings are generally a subset of the annual filings. However, to enable submittal to OMB, we are including 1 response and 1 burden hour as placeholders (rather than 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63E8" w14:textId="72987FF8" w:rsidR="00E84A96" w:rsidRPr="0003147A" w:rsidRDefault="00E84A96" w:rsidP="00540CE8">
    <w:pPr>
      <w:pStyle w:val="Header"/>
      <w:rPr>
        <w:rFonts w:ascii="Times New Roman" w:hAnsi="Times New Roman"/>
        <w:sz w:val="24"/>
        <w:szCs w:val="24"/>
      </w:rPr>
    </w:pPr>
    <w:r>
      <w:rPr>
        <w:rFonts w:ascii="Times New Roman" w:hAnsi="Times New Roman"/>
        <w:sz w:val="24"/>
        <w:szCs w:val="24"/>
      </w:rPr>
      <w:t xml:space="preserve">Ten (10) FERC Information Collections (“VFP Forms”), as </w:t>
    </w:r>
    <w:r w:rsidRPr="002C3ADD">
      <w:rPr>
        <w:rFonts w:ascii="Times New Roman" w:hAnsi="Times New Roman"/>
        <w:sz w:val="24"/>
        <w:szCs w:val="24"/>
      </w:rPr>
      <w:t xml:space="preserve">detailed on pages </w:t>
    </w:r>
    <w:r w:rsidRPr="00DB2A8A">
      <w:rPr>
        <w:rFonts w:ascii="Times New Roman" w:hAnsi="Times New Roman"/>
        <w:sz w:val="24"/>
        <w:szCs w:val="24"/>
      </w:rPr>
      <w:t>1-</w:t>
    </w:r>
    <w:r>
      <w:rPr>
        <w:rFonts w:ascii="Times New Roman" w:hAnsi="Times New Roman"/>
        <w:sz w:val="24"/>
        <w:szCs w:val="24"/>
      </w:rPr>
      <w:t>4</w:t>
    </w:r>
    <w:r w:rsidRPr="00DB2A8A">
      <w:rPr>
        <w:rFonts w:ascii="Times New Roman" w:hAnsi="Times New Roman"/>
        <w:sz w:val="24"/>
        <w:szCs w:val="24"/>
      </w:rPr>
      <w:t xml:space="preserve"> </w:t>
    </w:r>
  </w:p>
  <w:p w14:paraId="74966563" w14:textId="64F2D62C" w:rsidR="00E84A96" w:rsidRDefault="00E84A96">
    <w:pPr>
      <w:pStyle w:val="Header"/>
      <w:rPr>
        <w:rFonts w:ascii="Times New Roman" w:hAnsi="Times New Roman"/>
        <w:sz w:val="24"/>
        <w:szCs w:val="24"/>
      </w:rPr>
    </w:pPr>
    <w:r w:rsidRPr="00320E77">
      <w:rPr>
        <w:rFonts w:ascii="Times New Roman" w:hAnsi="Times New Roman"/>
        <w:sz w:val="24"/>
        <w:szCs w:val="24"/>
      </w:rPr>
      <w:t>Final Rule (</w:t>
    </w:r>
    <w:r w:rsidRPr="001E6691">
      <w:rPr>
        <w:rFonts w:ascii="Times New Roman" w:hAnsi="Times New Roman"/>
        <w:sz w:val="24"/>
        <w:szCs w:val="24"/>
      </w:rPr>
      <w:t>issued 6/20/2019)</w:t>
    </w:r>
    <w:r w:rsidRPr="00320E77">
      <w:rPr>
        <w:rFonts w:ascii="Times New Roman" w:hAnsi="Times New Roman"/>
        <w:sz w:val="24"/>
        <w:szCs w:val="24"/>
      </w:rPr>
      <w:t xml:space="preserve"> in</w:t>
    </w:r>
    <w:r w:rsidRPr="009D3942">
      <w:rPr>
        <w:rFonts w:ascii="Times New Roman" w:hAnsi="Times New Roman"/>
        <w:sz w:val="24"/>
        <w:szCs w:val="24"/>
      </w:rPr>
      <w:t xml:space="preserve"> Docket No. RM19-</w:t>
    </w:r>
    <w:r w:rsidRPr="004C7946">
      <w:rPr>
        <w:rFonts w:ascii="Times New Roman" w:hAnsi="Times New Roman"/>
        <w:sz w:val="24"/>
        <w:szCs w:val="24"/>
      </w:rPr>
      <w:t>12; RIN 1902-AF58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4301C"/>
    <w:multiLevelType w:val="hybridMultilevel"/>
    <w:tmpl w:val="BE5E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7C4573"/>
    <w:multiLevelType w:val="hybridMultilevel"/>
    <w:tmpl w:val="77D20E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6A02FA"/>
    <w:multiLevelType w:val="hybridMultilevel"/>
    <w:tmpl w:val="49522658"/>
    <w:lvl w:ilvl="0" w:tplc="7E9E0764">
      <w:start w:val="1"/>
      <w:numFmt w:val="decimal"/>
      <w:lvlText w:val="%1)"/>
      <w:lvlJc w:val="left"/>
      <w:pPr>
        <w:ind w:left="720" w:hanging="360"/>
      </w:pPr>
      <w:rPr>
        <w:i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2614ABA"/>
    <w:multiLevelType w:val="hybridMultilevel"/>
    <w:tmpl w:val="7AEAC9F6"/>
    <w:lvl w:ilvl="0" w:tplc="04090001">
      <w:start w:val="1"/>
      <w:numFmt w:val="bullet"/>
      <w:lvlText w:val=""/>
      <w:lvlJc w:val="left"/>
      <w:pPr>
        <w:ind w:left="1080" w:hanging="360"/>
      </w:pPr>
      <w:rPr>
        <w:rFonts w:ascii="Symbol" w:hAnsi="Symbol" w:hint="default"/>
      </w:rPr>
    </w:lvl>
    <w:lvl w:ilvl="1" w:tplc="95CACDF6">
      <w:start w:val="1"/>
      <w:numFmt w:val="bullet"/>
      <w:lvlText w:val="o"/>
      <w:lvlJc w:val="left"/>
      <w:pPr>
        <w:ind w:left="1800" w:hanging="360"/>
      </w:pPr>
      <w:rPr>
        <w:rFonts w:ascii="Courier New" w:hAnsi="Courier New" w:cs="Courier New" w:hint="default"/>
        <w:vertAlign w:val="baseline"/>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66966E0"/>
    <w:multiLevelType w:val="hybridMultilevel"/>
    <w:tmpl w:val="D992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B4714C"/>
    <w:multiLevelType w:val="hybridMultilevel"/>
    <w:tmpl w:val="97EC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3C7DBB"/>
    <w:multiLevelType w:val="hybridMultilevel"/>
    <w:tmpl w:val="736A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29"/>
  </w:num>
  <w:num w:numId="3">
    <w:abstractNumId w:val="20"/>
  </w:num>
  <w:num w:numId="4">
    <w:abstractNumId w:val="30"/>
  </w:num>
  <w:num w:numId="5">
    <w:abstractNumId w:val="5"/>
  </w:num>
  <w:num w:numId="6">
    <w:abstractNumId w:val="31"/>
  </w:num>
  <w:num w:numId="7">
    <w:abstractNumId w:val="7"/>
  </w:num>
  <w:num w:numId="8">
    <w:abstractNumId w:val="3"/>
  </w:num>
  <w:num w:numId="9">
    <w:abstractNumId w:val="17"/>
  </w:num>
  <w:num w:numId="10">
    <w:abstractNumId w:val="10"/>
  </w:num>
  <w:num w:numId="11">
    <w:abstractNumId w:val="23"/>
  </w:num>
  <w:num w:numId="12">
    <w:abstractNumId w:val="16"/>
  </w:num>
  <w:num w:numId="13">
    <w:abstractNumId w:val="4"/>
  </w:num>
  <w:num w:numId="14">
    <w:abstractNumId w:val="32"/>
  </w:num>
  <w:num w:numId="15">
    <w:abstractNumId w:val="12"/>
  </w:num>
  <w:num w:numId="16">
    <w:abstractNumId w:val="25"/>
  </w:num>
  <w:num w:numId="17">
    <w:abstractNumId w:val="9"/>
  </w:num>
  <w:num w:numId="18">
    <w:abstractNumId w:val="15"/>
  </w:num>
  <w:num w:numId="19">
    <w:abstractNumId w:val="21"/>
  </w:num>
  <w:num w:numId="20">
    <w:abstractNumId w:val="18"/>
  </w:num>
  <w:num w:numId="21">
    <w:abstractNumId w:val="28"/>
  </w:num>
  <w:num w:numId="22">
    <w:abstractNumId w:val="14"/>
  </w:num>
  <w:num w:numId="23">
    <w:abstractNumId w:val="1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4"/>
  </w:num>
  <w:num w:numId="28">
    <w:abstractNumId w:val="13"/>
  </w:num>
  <w:num w:numId="29">
    <w:abstractNumId w:val="26"/>
  </w:num>
  <w:num w:numId="30">
    <w:abstractNumId w:val="1"/>
  </w:num>
  <w:num w:numId="31">
    <w:abstractNumId w:val="0"/>
  </w:num>
  <w:num w:numId="32">
    <w:abstractNumId w:val="27"/>
  </w:num>
  <w:num w:numId="33">
    <w:abstractNumId w:val="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79D"/>
    <w:rsid w:val="000076FA"/>
    <w:rsid w:val="000113FC"/>
    <w:rsid w:val="000201FB"/>
    <w:rsid w:val="00020395"/>
    <w:rsid w:val="00020C6B"/>
    <w:rsid w:val="00024EF8"/>
    <w:rsid w:val="00027998"/>
    <w:rsid w:val="00027DC9"/>
    <w:rsid w:val="00030D70"/>
    <w:rsid w:val="0003147A"/>
    <w:rsid w:val="00031C79"/>
    <w:rsid w:val="00034914"/>
    <w:rsid w:val="00035067"/>
    <w:rsid w:val="0003545C"/>
    <w:rsid w:val="00037D0E"/>
    <w:rsid w:val="00037F63"/>
    <w:rsid w:val="00040F9F"/>
    <w:rsid w:val="00041ECE"/>
    <w:rsid w:val="00042C21"/>
    <w:rsid w:val="00044A19"/>
    <w:rsid w:val="00045AD7"/>
    <w:rsid w:val="00045EFB"/>
    <w:rsid w:val="0006118D"/>
    <w:rsid w:val="00063E71"/>
    <w:rsid w:val="00066375"/>
    <w:rsid w:val="00072071"/>
    <w:rsid w:val="000762E1"/>
    <w:rsid w:val="00077B16"/>
    <w:rsid w:val="0008302B"/>
    <w:rsid w:val="000836EF"/>
    <w:rsid w:val="00084A7F"/>
    <w:rsid w:val="00086571"/>
    <w:rsid w:val="00087DA2"/>
    <w:rsid w:val="00090389"/>
    <w:rsid w:val="000909E2"/>
    <w:rsid w:val="0009171A"/>
    <w:rsid w:val="00092424"/>
    <w:rsid w:val="000924F2"/>
    <w:rsid w:val="000930CB"/>
    <w:rsid w:val="00094ECF"/>
    <w:rsid w:val="000951BE"/>
    <w:rsid w:val="0009626A"/>
    <w:rsid w:val="000A4E4C"/>
    <w:rsid w:val="000A6077"/>
    <w:rsid w:val="000A6A09"/>
    <w:rsid w:val="000B0965"/>
    <w:rsid w:val="000B31D7"/>
    <w:rsid w:val="000B40D1"/>
    <w:rsid w:val="000B51EA"/>
    <w:rsid w:val="000B72B1"/>
    <w:rsid w:val="000C0209"/>
    <w:rsid w:val="000C6A11"/>
    <w:rsid w:val="000D1D54"/>
    <w:rsid w:val="000D3EC3"/>
    <w:rsid w:val="000D3F25"/>
    <w:rsid w:val="000E2F0F"/>
    <w:rsid w:val="000E4567"/>
    <w:rsid w:val="000E4925"/>
    <w:rsid w:val="000E6F19"/>
    <w:rsid w:val="000F00C3"/>
    <w:rsid w:val="000F1339"/>
    <w:rsid w:val="000F1377"/>
    <w:rsid w:val="000F35AD"/>
    <w:rsid w:val="000F448F"/>
    <w:rsid w:val="000F619B"/>
    <w:rsid w:val="000F646F"/>
    <w:rsid w:val="000F6ABA"/>
    <w:rsid w:val="00100E2F"/>
    <w:rsid w:val="00102068"/>
    <w:rsid w:val="001021F0"/>
    <w:rsid w:val="00102BD6"/>
    <w:rsid w:val="0010332E"/>
    <w:rsid w:val="0010372C"/>
    <w:rsid w:val="00104ACF"/>
    <w:rsid w:val="00105BD2"/>
    <w:rsid w:val="001072E3"/>
    <w:rsid w:val="00107DA8"/>
    <w:rsid w:val="001114E4"/>
    <w:rsid w:val="001121AE"/>
    <w:rsid w:val="001123D4"/>
    <w:rsid w:val="00116509"/>
    <w:rsid w:val="00116CF2"/>
    <w:rsid w:val="001263E8"/>
    <w:rsid w:val="00130FC3"/>
    <w:rsid w:val="00132C6B"/>
    <w:rsid w:val="00132D64"/>
    <w:rsid w:val="00133311"/>
    <w:rsid w:val="001360DE"/>
    <w:rsid w:val="0013718A"/>
    <w:rsid w:val="00141C5F"/>
    <w:rsid w:val="00141ED0"/>
    <w:rsid w:val="00142DB5"/>
    <w:rsid w:val="00144FDA"/>
    <w:rsid w:val="00145CD8"/>
    <w:rsid w:val="00151068"/>
    <w:rsid w:val="00152282"/>
    <w:rsid w:val="00156589"/>
    <w:rsid w:val="00156C20"/>
    <w:rsid w:val="00163942"/>
    <w:rsid w:val="001668D3"/>
    <w:rsid w:val="00171CAC"/>
    <w:rsid w:val="001728EF"/>
    <w:rsid w:val="00183CBA"/>
    <w:rsid w:val="00185D62"/>
    <w:rsid w:val="00186976"/>
    <w:rsid w:val="001902A4"/>
    <w:rsid w:val="00191A45"/>
    <w:rsid w:val="001968EA"/>
    <w:rsid w:val="001A450A"/>
    <w:rsid w:val="001A5362"/>
    <w:rsid w:val="001A5ED7"/>
    <w:rsid w:val="001A62D9"/>
    <w:rsid w:val="001B1ED2"/>
    <w:rsid w:val="001B430C"/>
    <w:rsid w:val="001B5056"/>
    <w:rsid w:val="001C012B"/>
    <w:rsid w:val="001C2900"/>
    <w:rsid w:val="001C2A53"/>
    <w:rsid w:val="001C2A6C"/>
    <w:rsid w:val="001C2FE9"/>
    <w:rsid w:val="001C34B8"/>
    <w:rsid w:val="001C74AB"/>
    <w:rsid w:val="001C79D6"/>
    <w:rsid w:val="001D0B5C"/>
    <w:rsid w:val="001D289D"/>
    <w:rsid w:val="001D6157"/>
    <w:rsid w:val="001D67EE"/>
    <w:rsid w:val="001D7B2E"/>
    <w:rsid w:val="001E3E6B"/>
    <w:rsid w:val="001E55A1"/>
    <w:rsid w:val="001E6691"/>
    <w:rsid w:val="001F096A"/>
    <w:rsid w:val="001F0B90"/>
    <w:rsid w:val="001F18B7"/>
    <w:rsid w:val="001F2364"/>
    <w:rsid w:val="001F56F4"/>
    <w:rsid w:val="001F7477"/>
    <w:rsid w:val="001F7D8D"/>
    <w:rsid w:val="00200CB5"/>
    <w:rsid w:val="00201EDE"/>
    <w:rsid w:val="00204B38"/>
    <w:rsid w:val="00206783"/>
    <w:rsid w:val="002123B8"/>
    <w:rsid w:val="00216F0A"/>
    <w:rsid w:val="002200D8"/>
    <w:rsid w:val="002213AA"/>
    <w:rsid w:val="00221430"/>
    <w:rsid w:val="00221EB9"/>
    <w:rsid w:val="00222BC5"/>
    <w:rsid w:val="00227F0E"/>
    <w:rsid w:val="0023069C"/>
    <w:rsid w:val="00230706"/>
    <w:rsid w:val="00232B1B"/>
    <w:rsid w:val="00232DF7"/>
    <w:rsid w:val="0023303D"/>
    <w:rsid w:val="00233478"/>
    <w:rsid w:val="002356D9"/>
    <w:rsid w:val="00236DFB"/>
    <w:rsid w:val="002408E6"/>
    <w:rsid w:val="00244A57"/>
    <w:rsid w:val="00244BC9"/>
    <w:rsid w:val="002458F5"/>
    <w:rsid w:val="00247273"/>
    <w:rsid w:val="002476F2"/>
    <w:rsid w:val="00247EBC"/>
    <w:rsid w:val="002570FB"/>
    <w:rsid w:val="0026269A"/>
    <w:rsid w:val="00265315"/>
    <w:rsid w:val="00266990"/>
    <w:rsid w:val="00274467"/>
    <w:rsid w:val="00274FED"/>
    <w:rsid w:val="0027683E"/>
    <w:rsid w:val="0027754C"/>
    <w:rsid w:val="00280AFF"/>
    <w:rsid w:val="00283BFF"/>
    <w:rsid w:val="002913ED"/>
    <w:rsid w:val="00293111"/>
    <w:rsid w:val="00293F34"/>
    <w:rsid w:val="00295050"/>
    <w:rsid w:val="002953E1"/>
    <w:rsid w:val="00295EB7"/>
    <w:rsid w:val="002A2FA4"/>
    <w:rsid w:val="002A352B"/>
    <w:rsid w:val="002A725B"/>
    <w:rsid w:val="002B093B"/>
    <w:rsid w:val="002B3A8A"/>
    <w:rsid w:val="002B4655"/>
    <w:rsid w:val="002B7556"/>
    <w:rsid w:val="002C0782"/>
    <w:rsid w:val="002C0DA6"/>
    <w:rsid w:val="002C248B"/>
    <w:rsid w:val="002C2F20"/>
    <w:rsid w:val="002C3322"/>
    <w:rsid w:val="002C3ADD"/>
    <w:rsid w:val="002C6711"/>
    <w:rsid w:val="002D0023"/>
    <w:rsid w:val="002D5CAD"/>
    <w:rsid w:val="002D7472"/>
    <w:rsid w:val="002E034F"/>
    <w:rsid w:val="002E36BA"/>
    <w:rsid w:val="002E3C82"/>
    <w:rsid w:val="002E7379"/>
    <w:rsid w:val="002F0CAD"/>
    <w:rsid w:val="002F30F7"/>
    <w:rsid w:val="002F3E65"/>
    <w:rsid w:val="002F405E"/>
    <w:rsid w:val="002F4935"/>
    <w:rsid w:val="002F4AEF"/>
    <w:rsid w:val="002F5C7C"/>
    <w:rsid w:val="002F641C"/>
    <w:rsid w:val="002F6746"/>
    <w:rsid w:val="00300112"/>
    <w:rsid w:val="003056DE"/>
    <w:rsid w:val="00306736"/>
    <w:rsid w:val="00306DB0"/>
    <w:rsid w:val="00311CD2"/>
    <w:rsid w:val="003141EF"/>
    <w:rsid w:val="00314E84"/>
    <w:rsid w:val="0031780A"/>
    <w:rsid w:val="00320E77"/>
    <w:rsid w:val="00321785"/>
    <w:rsid w:val="003227B5"/>
    <w:rsid w:val="00325D43"/>
    <w:rsid w:val="0032632B"/>
    <w:rsid w:val="00331FD7"/>
    <w:rsid w:val="00332C5C"/>
    <w:rsid w:val="003334C6"/>
    <w:rsid w:val="003346BA"/>
    <w:rsid w:val="00337481"/>
    <w:rsid w:val="003376ED"/>
    <w:rsid w:val="00343643"/>
    <w:rsid w:val="00344C60"/>
    <w:rsid w:val="003475BC"/>
    <w:rsid w:val="00350618"/>
    <w:rsid w:val="00351E0A"/>
    <w:rsid w:val="00353CBC"/>
    <w:rsid w:val="00353CD5"/>
    <w:rsid w:val="00353E6D"/>
    <w:rsid w:val="003567C7"/>
    <w:rsid w:val="003568D6"/>
    <w:rsid w:val="00357252"/>
    <w:rsid w:val="00361948"/>
    <w:rsid w:val="003625D4"/>
    <w:rsid w:val="00364E7B"/>
    <w:rsid w:val="003665B8"/>
    <w:rsid w:val="003725EE"/>
    <w:rsid w:val="00373D37"/>
    <w:rsid w:val="00383706"/>
    <w:rsid w:val="003856AE"/>
    <w:rsid w:val="00395C37"/>
    <w:rsid w:val="00395E45"/>
    <w:rsid w:val="00395FB2"/>
    <w:rsid w:val="00397094"/>
    <w:rsid w:val="003A136F"/>
    <w:rsid w:val="003A14EF"/>
    <w:rsid w:val="003A23FA"/>
    <w:rsid w:val="003A3343"/>
    <w:rsid w:val="003A3DE2"/>
    <w:rsid w:val="003A4EF3"/>
    <w:rsid w:val="003B49ED"/>
    <w:rsid w:val="003B553B"/>
    <w:rsid w:val="003B5F09"/>
    <w:rsid w:val="003B6C91"/>
    <w:rsid w:val="003C0867"/>
    <w:rsid w:val="003C0E57"/>
    <w:rsid w:val="003C1A04"/>
    <w:rsid w:val="003C729F"/>
    <w:rsid w:val="003D08BB"/>
    <w:rsid w:val="003D205A"/>
    <w:rsid w:val="003D2490"/>
    <w:rsid w:val="003D2D84"/>
    <w:rsid w:val="003D3227"/>
    <w:rsid w:val="003D79BB"/>
    <w:rsid w:val="003E1795"/>
    <w:rsid w:val="003E6B4D"/>
    <w:rsid w:val="003E74C9"/>
    <w:rsid w:val="003F25BB"/>
    <w:rsid w:val="003F2628"/>
    <w:rsid w:val="003F4A59"/>
    <w:rsid w:val="00402B60"/>
    <w:rsid w:val="00403FA6"/>
    <w:rsid w:val="004073F4"/>
    <w:rsid w:val="004101B0"/>
    <w:rsid w:val="0041285F"/>
    <w:rsid w:val="00413357"/>
    <w:rsid w:val="00413C13"/>
    <w:rsid w:val="00414464"/>
    <w:rsid w:val="00415251"/>
    <w:rsid w:val="00415856"/>
    <w:rsid w:val="00427C6E"/>
    <w:rsid w:val="004345EE"/>
    <w:rsid w:val="00434D25"/>
    <w:rsid w:val="004410F1"/>
    <w:rsid w:val="00442CD7"/>
    <w:rsid w:val="004432C4"/>
    <w:rsid w:val="0044394A"/>
    <w:rsid w:val="00444280"/>
    <w:rsid w:val="00444888"/>
    <w:rsid w:val="0044533A"/>
    <w:rsid w:val="00445DAD"/>
    <w:rsid w:val="00446E92"/>
    <w:rsid w:val="004470B4"/>
    <w:rsid w:val="00450550"/>
    <w:rsid w:val="00450F57"/>
    <w:rsid w:val="00452008"/>
    <w:rsid w:val="00456A2B"/>
    <w:rsid w:val="004665B0"/>
    <w:rsid w:val="00466FD7"/>
    <w:rsid w:val="00471F97"/>
    <w:rsid w:val="004733B2"/>
    <w:rsid w:val="0047741E"/>
    <w:rsid w:val="00480D2F"/>
    <w:rsid w:val="004830DC"/>
    <w:rsid w:val="00484DC2"/>
    <w:rsid w:val="00484EB3"/>
    <w:rsid w:val="0048721A"/>
    <w:rsid w:val="00487B87"/>
    <w:rsid w:val="00490D11"/>
    <w:rsid w:val="00491824"/>
    <w:rsid w:val="00493DD9"/>
    <w:rsid w:val="00494814"/>
    <w:rsid w:val="00497925"/>
    <w:rsid w:val="004A36E5"/>
    <w:rsid w:val="004A6AF0"/>
    <w:rsid w:val="004A7AE4"/>
    <w:rsid w:val="004B26EF"/>
    <w:rsid w:val="004B7E8E"/>
    <w:rsid w:val="004C3208"/>
    <w:rsid w:val="004C3C5F"/>
    <w:rsid w:val="004C5451"/>
    <w:rsid w:val="004C5C74"/>
    <w:rsid w:val="004C7946"/>
    <w:rsid w:val="004D07A4"/>
    <w:rsid w:val="004D31DD"/>
    <w:rsid w:val="004D3772"/>
    <w:rsid w:val="004D42C0"/>
    <w:rsid w:val="004D4E3A"/>
    <w:rsid w:val="004E0BBC"/>
    <w:rsid w:val="004E23A6"/>
    <w:rsid w:val="004E2A6E"/>
    <w:rsid w:val="004E4AAE"/>
    <w:rsid w:val="004E6A05"/>
    <w:rsid w:val="004F0530"/>
    <w:rsid w:val="004F364E"/>
    <w:rsid w:val="004F3E66"/>
    <w:rsid w:val="004F4316"/>
    <w:rsid w:val="004F4BCE"/>
    <w:rsid w:val="004F5376"/>
    <w:rsid w:val="005008CD"/>
    <w:rsid w:val="005052A7"/>
    <w:rsid w:val="0050696C"/>
    <w:rsid w:val="00512214"/>
    <w:rsid w:val="00513CC8"/>
    <w:rsid w:val="0051491B"/>
    <w:rsid w:val="00515869"/>
    <w:rsid w:val="00515F5E"/>
    <w:rsid w:val="00517EC0"/>
    <w:rsid w:val="0052498D"/>
    <w:rsid w:val="00524C2C"/>
    <w:rsid w:val="0052605E"/>
    <w:rsid w:val="0052659F"/>
    <w:rsid w:val="00532CEA"/>
    <w:rsid w:val="00533D70"/>
    <w:rsid w:val="00534DFB"/>
    <w:rsid w:val="00536181"/>
    <w:rsid w:val="00540CE8"/>
    <w:rsid w:val="005449A5"/>
    <w:rsid w:val="005513D0"/>
    <w:rsid w:val="005539AC"/>
    <w:rsid w:val="00553ACB"/>
    <w:rsid w:val="00554E46"/>
    <w:rsid w:val="00554E82"/>
    <w:rsid w:val="0055599D"/>
    <w:rsid w:val="005630B0"/>
    <w:rsid w:val="0056385F"/>
    <w:rsid w:val="0056524C"/>
    <w:rsid w:val="00565432"/>
    <w:rsid w:val="00566FD5"/>
    <w:rsid w:val="005676E5"/>
    <w:rsid w:val="00570BB8"/>
    <w:rsid w:val="00576739"/>
    <w:rsid w:val="00581B0F"/>
    <w:rsid w:val="00581B3E"/>
    <w:rsid w:val="00583484"/>
    <w:rsid w:val="00587AD0"/>
    <w:rsid w:val="005900E2"/>
    <w:rsid w:val="00590632"/>
    <w:rsid w:val="0059069E"/>
    <w:rsid w:val="005929C3"/>
    <w:rsid w:val="00594E71"/>
    <w:rsid w:val="005A007F"/>
    <w:rsid w:val="005A220A"/>
    <w:rsid w:val="005A33F0"/>
    <w:rsid w:val="005A6433"/>
    <w:rsid w:val="005A7AF4"/>
    <w:rsid w:val="005B0185"/>
    <w:rsid w:val="005B04A8"/>
    <w:rsid w:val="005B04C3"/>
    <w:rsid w:val="005B0B0A"/>
    <w:rsid w:val="005C5DAB"/>
    <w:rsid w:val="005C5FA3"/>
    <w:rsid w:val="005D08A7"/>
    <w:rsid w:val="005D1C9E"/>
    <w:rsid w:val="005D3BC2"/>
    <w:rsid w:val="005D426E"/>
    <w:rsid w:val="005D7CC4"/>
    <w:rsid w:val="005E0B91"/>
    <w:rsid w:val="005E3D37"/>
    <w:rsid w:val="005E77C1"/>
    <w:rsid w:val="005F1EFB"/>
    <w:rsid w:val="00600A02"/>
    <w:rsid w:val="00600BD2"/>
    <w:rsid w:val="00603BBA"/>
    <w:rsid w:val="006128B2"/>
    <w:rsid w:val="00613ECA"/>
    <w:rsid w:val="00623560"/>
    <w:rsid w:val="006241F8"/>
    <w:rsid w:val="0062523A"/>
    <w:rsid w:val="00625D08"/>
    <w:rsid w:val="00630B8E"/>
    <w:rsid w:val="00631DA8"/>
    <w:rsid w:val="00633864"/>
    <w:rsid w:val="006377D8"/>
    <w:rsid w:val="006540D2"/>
    <w:rsid w:val="00654909"/>
    <w:rsid w:val="00661B57"/>
    <w:rsid w:val="00666CEE"/>
    <w:rsid w:val="00667425"/>
    <w:rsid w:val="0067145A"/>
    <w:rsid w:val="00672874"/>
    <w:rsid w:val="00672EA7"/>
    <w:rsid w:val="00673209"/>
    <w:rsid w:val="00676409"/>
    <w:rsid w:val="00677D55"/>
    <w:rsid w:val="006800CE"/>
    <w:rsid w:val="00680C13"/>
    <w:rsid w:val="006912CB"/>
    <w:rsid w:val="00693436"/>
    <w:rsid w:val="006955A3"/>
    <w:rsid w:val="006977BC"/>
    <w:rsid w:val="006A1C37"/>
    <w:rsid w:val="006B083F"/>
    <w:rsid w:val="006B137D"/>
    <w:rsid w:val="006B1A8D"/>
    <w:rsid w:val="006B2D5B"/>
    <w:rsid w:val="006B42A9"/>
    <w:rsid w:val="006B48FF"/>
    <w:rsid w:val="006B590A"/>
    <w:rsid w:val="006C0AA8"/>
    <w:rsid w:val="006C4D26"/>
    <w:rsid w:val="006C66E8"/>
    <w:rsid w:val="006C6D90"/>
    <w:rsid w:val="006C787B"/>
    <w:rsid w:val="006D0BCD"/>
    <w:rsid w:val="006D22CF"/>
    <w:rsid w:val="006D47B7"/>
    <w:rsid w:val="006D6EBD"/>
    <w:rsid w:val="006E159B"/>
    <w:rsid w:val="006E1DFD"/>
    <w:rsid w:val="006E4F89"/>
    <w:rsid w:val="006E5D79"/>
    <w:rsid w:val="006E7D72"/>
    <w:rsid w:val="006F26C7"/>
    <w:rsid w:val="006F33DA"/>
    <w:rsid w:val="006F5CD1"/>
    <w:rsid w:val="00701724"/>
    <w:rsid w:val="007038AF"/>
    <w:rsid w:val="00705579"/>
    <w:rsid w:val="007060B2"/>
    <w:rsid w:val="007070B7"/>
    <w:rsid w:val="00711EB9"/>
    <w:rsid w:val="007163E6"/>
    <w:rsid w:val="007175B6"/>
    <w:rsid w:val="00724829"/>
    <w:rsid w:val="00725E44"/>
    <w:rsid w:val="007300B3"/>
    <w:rsid w:val="007347F9"/>
    <w:rsid w:val="00736C27"/>
    <w:rsid w:val="00742B28"/>
    <w:rsid w:val="007445A8"/>
    <w:rsid w:val="00745AA1"/>
    <w:rsid w:val="007468FA"/>
    <w:rsid w:val="00746AA0"/>
    <w:rsid w:val="00746ABD"/>
    <w:rsid w:val="00756BE0"/>
    <w:rsid w:val="007603ED"/>
    <w:rsid w:val="007640FB"/>
    <w:rsid w:val="0076535E"/>
    <w:rsid w:val="00766516"/>
    <w:rsid w:val="00766B21"/>
    <w:rsid w:val="00780149"/>
    <w:rsid w:val="00782DCD"/>
    <w:rsid w:val="00784459"/>
    <w:rsid w:val="0078772D"/>
    <w:rsid w:val="007933C5"/>
    <w:rsid w:val="007951AD"/>
    <w:rsid w:val="00797209"/>
    <w:rsid w:val="007A5AF7"/>
    <w:rsid w:val="007A6113"/>
    <w:rsid w:val="007B0D41"/>
    <w:rsid w:val="007B3BB5"/>
    <w:rsid w:val="007B529B"/>
    <w:rsid w:val="007B6467"/>
    <w:rsid w:val="007C32BF"/>
    <w:rsid w:val="007C5E46"/>
    <w:rsid w:val="007C66F3"/>
    <w:rsid w:val="007D2EF7"/>
    <w:rsid w:val="007D436E"/>
    <w:rsid w:val="007E0190"/>
    <w:rsid w:val="007E0D8A"/>
    <w:rsid w:val="007E4B1C"/>
    <w:rsid w:val="007E640A"/>
    <w:rsid w:val="007E7453"/>
    <w:rsid w:val="007F1D30"/>
    <w:rsid w:val="007F41F8"/>
    <w:rsid w:val="007F773F"/>
    <w:rsid w:val="00803BFB"/>
    <w:rsid w:val="00805F8F"/>
    <w:rsid w:val="00810A96"/>
    <w:rsid w:val="00811E58"/>
    <w:rsid w:val="00812301"/>
    <w:rsid w:val="008143EC"/>
    <w:rsid w:val="00817FDA"/>
    <w:rsid w:val="00820173"/>
    <w:rsid w:val="00820D63"/>
    <w:rsid w:val="0082124B"/>
    <w:rsid w:val="00826CE2"/>
    <w:rsid w:val="00833B38"/>
    <w:rsid w:val="0084158D"/>
    <w:rsid w:val="00841F27"/>
    <w:rsid w:val="00842282"/>
    <w:rsid w:val="008426CC"/>
    <w:rsid w:val="00842D7E"/>
    <w:rsid w:val="0084303A"/>
    <w:rsid w:val="00847CF4"/>
    <w:rsid w:val="008530FC"/>
    <w:rsid w:val="00855994"/>
    <w:rsid w:val="00856707"/>
    <w:rsid w:val="008634BD"/>
    <w:rsid w:val="00867915"/>
    <w:rsid w:val="00876F3B"/>
    <w:rsid w:val="00881CBE"/>
    <w:rsid w:val="00883041"/>
    <w:rsid w:val="0088425D"/>
    <w:rsid w:val="008873E7"/>
    <w:rsid w:val="00890E48"/>
    <w:rsid w:val="00891EFB"/>
    <w:rsid w:val="00897C21"/>
    <w:rsid w:val="008A7B09"/>
    <w:rsid w:val="008B0858"/>
    <w:rsid w:val="008B0CCF"/>
    <w:rsid w:val="008B14CD"/>
    <w:rsid w:val="008C00AE"/>
    <w:rsid w:val="008C4024"/>
    <w:rsid w:val="008C6BC7"/>
    <w:rsid w:val="008C7ABB"/>
    <w:rsid w:val="008D4B3A"/>
    <w:rsid w:val="008D52BD"/>
    <w:rsid w:val="008E05A7"/>
    <w:rsid w:val="008E0A2C"/>
    <w:rsid w:val="008E103D"/>
    <w:rsid w:val="008E6E94"/>
    <w:rsid w:val="008E7655"/>
    <w:rsid w:val="008F6EF7"/>
    <w:rsid w:val="008F711B"/>
    <w:rsid w:val="00900535"/>
    <w:rsid w:val="00902C25"/>
    <w:rsid w:val="00904961"/>
    <w:rsid w:val="00905520"/>
    <w:rsid w:val="00906819"/>
    <w:rsid w:val="00913164"/>
    <w:rsid w:val="009148F1"/>
    <w:rsid w:val="0091728C"/>
    <w:rsid w:val="00921288"/>
    <w:rsid w:val="00921D23"/>
    <w:rsid w:val="0092238A"/>
    <w:rsid w:val="00923E07"/>
    <w:rsid w:val="0092600F"/>
    <w:rsid w:val="0092686E"/>
    <w:rsid w:val="00927DC8"/>
    <w:rsid w:val="009312F1"/>
    <w:rsid w:val="009315E3"/>
    <w:rsid w:val="00932D78"/>
    <w:rsid w:val="00932DF3"/>
    <w:rsid w:val="00935BC9"/>
    <w:rsid w:val="00941B07"/>
    <w:rsid w:val="00943671"/>
    <w:rsid w:val="0094390D"/>
    <w:rsid w:val="00944F95"/>
    <w:rsid w:val="0094517B"/>
    <w:rsid w:val="00946E0D"/>
    <w:rsid w:val="00950E12"/>
    <w:rsid w:val="00950EBC"/>
    <w:rsid w:val="009535DA"/>
    <w:rsid w:val="00953EDD"/>
    <w:rsid w:val="00957B46"/>
    <w:rsid w:val="00960A67"/>
    <w:rsid w:val="00963B12"/>
    <w:rsid w:val="009658D5"/>
    <w:rsid w:val="0096666B"/>
    <w:rsid w:val="00967F31"/>
    <w:rsid w:val="00971C1C"/>
    <w:rsid w:val="00973DE4"/>
    <w:rsid w:val="00973E82"/>
    <w:rsid w:val="00974AFC"/>
    <w:rsid w:val="009810F7"/>
    <w:rsid w:val="009844B9"/>
    <w:rsid w:val="009852B7"/>
    <w:rsid w:val="00987352"/>
    <w:rsid w:val="009A1489"/>
    <w:rsid w:val="009A1E1A"/>
    <w:rsid w:val="009A27AC"/>
    <w:rsid w:val="009B11E7"/>
    <w:rsid w:val="009B3BC7"/>
    <w:rsid w:val="009B4282"/>
    <w:rsid w:val="009B513C"/>
    <w:rsid w:val="009B6F37"/>
    <w:rsid w:val="009C451A"/>
    <w:rsid w:val="009C7060"/>
    <w:rsid w:val="009C7F55"/>
    <w:rsid w:val="009D3942"/>
    <w:rsid w:val="009D5ABA"/>
    <w:rsid w:val="009D5AC4"/>
    <w:rsid w:val="009E14B3"/>
    <w:rsid w:val="009E2F41"/>
    <w:rsid w:val="009E3BA7"/>
    <w:rsid w:val="009E65E7"/>
    <w:rsid w:val="009F136F"/>
    <w:rsid w:val="009F1CCD"/>
    <w:rsid w:val="009F2120"/>
    <w:rsid w:val="009F2CCD"/>
    <w:rsid w:val="009F308B"/>
    <w:rsid w:val="009F358D"/>
    <w:rsid w:val="009F616E"/>
    <w:rsid w:val="009F63D6"/>
    <w:rsid w:val="009F6869"/>
    <w:rsid w:val="009F6CFB"/>
    <w:rsid w:val="009F6D6D"/>
    <w:rsid w:val="00A002E7"/>
    <w:rsid w:val="00A008B4"/>
    <w:rsid w:val="00A02532"/>
    <w:rsid w:val="00A03054"/>
    <w:rsid w:val="00A04B1E"/>
    <w:rsid w:val="00A05351"/>
    <w:rsid w:val="00A06351"/>
    <w:rsid w:val="00A06841"/>
    <w:rsid w:val="00A10FBC"/>
    <w:rsid w:val="00A116AE"/>
    <w:rsid w:val="00A12047"/>
    <w:rsid w:val="00A1551C"/>
    <w:rsid w:val="00A1700D"/>
    <w:rsid w:val="00A175B6"/>
    <w:rsid w:val="00A216FC"/>
    <w:rsid w:val="00A23DF1"/>
    <w:rsid w:val="00A23F07"/>
    <w:rsid w:val="00A24B3E"/>
    <w:rsid w:val="00A25292"/>
    <w:rsid w:val="00A257FF"/>
    <w:rsid w:val="00A25906"/>
    <w:rsid w:val="00A27235"/>
    <w:rsid w:val="00A27B71"/>
    <w:rsid w:val="00A31CD3"/>
    <w:rsid w:val="00A326E2"/>
    <w:rsid w:val="00A33C28"/>
    <w:rsid w:val="00A33CDF"/>
    <w:rsid w:val="00A344C4"/>
    <w:rsid w:val="00A3739B"/>
    <w:rsid w:val="00A37EC4"/>
    <w:rsid w:val="00A4362B"/>
    <w:rsid w:val="00A45EED"/>
    <w:rsid w:val="00A51BC6"/>
    <w:rsid w:val="00A52612"/>
    <w:rsid w:val="00A53FC7"/>
    <w:rsid w:val="00A541FD"/>
    <w:rsid w:val="00A60DFC"/>
    <w:rsid w:val="00A62A3F"/>
    <w:rsid w:val="00A67EF4"/>
    <w:rsid w:val="00A717CB"/>
    <w:rsid w:val="00A8054E"/>
    <w:rsid w:val="00A829CB"/>
    <w:rsid w:val="00A83CFF"/>
    <w:rsid w:val="00A84F60"/>
    <w:rsid w:val="00A86181"/>
    <w:rsid w:val="00A94966"/>
    <w:rsid w:val="00A962BC"/>
    <w:rsid w:val="00A96327"/>
    <w:rsid w:val="00A9668A"/>
    <w:rsid w:val="00AA05FF"/>
    <w:rsid w:val="00AA2BD5"/>
    <w:rsid w:val="00AA7547"/>
    <w:rsid w:val="00AB3680"/>
    <w:rsid w:val="00AB42C6"/>
    <w:rsid w:val="00AB65D8"/>
    <w:rsid w:val="00AB6AC1"/>
    <w:rsid w:val="00AB7D6C"/>
    <w:rsid w:val="00AB7F2C"/>
    <w:rsid w:val="00AC3A31"/>
    <w:rsid w:val="00AC3CDC"/>
    <w:rsid w:val="00AC4004"/>
    <w:rsid w:val="00AC485F"/>
    <w:rsid w:val="00AC60DF"/>
    <w:rsid w:val="00AC66B6"/>
    <w:rsid w:val="00AD01B0"/>
    <w:rsid w:val="00AD180E"/>
    <w:rsid w:val="00AD2C01"/>
    <w:rsid w:val="00AE6820"/>
    <w:rsid w:val="00AE733B"/>
    <w:rsid w:val="00AF2AA1"/>
    <w:rsid w:val="00AF2BF2"/>
    <w:rsid w:val="00AF3755"/>
    <w:rsid w:val="00AF4A01"/>
    <w:rsid w:val="00AF7046"/>
    <w:rsid w:val="00B018B1"/>
    <w:rsid w:val="00B05CEF"/>
    <w:rsid w:val="00B10F56"/>
    <w:rsid w:val="00B13D59"/>
    <w:rsid w:val="00B14E3F"/>
    <w:rsid w:val="00B15505"/>
    <w:rsid w:val="00B270B9"/>
    <w:rsid w:val="00B3007B"/>
    <w:rsid w:val="00B303A5"/>
    <w:rsid w:val="00B31EEB"/>
    <w:rsid w:val="00B33512"/>
    <w:rsid w:val="00B364C5"/>
    <w:rsid w:val="00B3664B"/>
    <w:rsid w:val="00B42FC6"/>
    <w:rsid w:val="00B45833"/>
    <w:rsid w:val="00B5132F"/>
    <w:rsid w:val="00B527BC"/>
    <w:rsid w:val="00B53A4C"/>
    <w:rsid w:val="00B5758E"/>
    <w:rsid w:val="00B57C21"/>
    <w:rsid w:val="00B57C5A"/>
    <w:rsid w:val="00B6311A"/>
    <w:rsid w:val="00B6477D"/>
    <w:rsid w:val="00B66C65"/>
    <w:rsid w:val="00B740A7"/>
    <w:rsid w:val="00B74E8B"/>
    <w:rsid w:val="00B75C18"/>
    <w:rsid w:val="00B75C98"/>
    <w:rsid w:val="00B75FEE"/>
    <w:rsid w:val="00B770B2"/>
    <w:rsid w:val="00B80607"/>
    <w:rsid w:val="00B81214"/>
    <w:rsid w:val="00B92542"/>
    <w:rsid w:val="00B96E8B"/>
    <w:rsid w:val="00B97EDD"/>
    <w:rsid w:val="00BA0479"/>
    <w:rsid w:val="00BA412D"/>
    <w:rsid w:val="00BA47E0"/>
    <w:rsid w:val="00BA7959"/>
    <w:rsid w:val="00BB30E4"/>
    <w:rsid w:val="00BB4271"/>
    <w:rsid w:val="00BB505F"/>
    <w:rsid w:val="00BC4ED1"/>
    <w:rsid w:val="00BC7FDF"/>
    <w:rsid w:val="00BD0F89"/>
    <w:rsid w:val="00BD1E81"/>
    <w:rsid w:val="00BD7562"/>
    <w:rsid w:val="00BD77BE"/>
    <w:rsid w:val="00BD7A22"/>
    <w:rsid w:val="00BE00F1"/>
    <w:rsid w:val="00BE20CB"/>
    <w:rsid w:val="00BE264B"/>
    <w:rsid w:val="00BE3C78"/>
    <w:rsid w:val="00BE4A0C"/>
    <w:rsid w:val="00BE75DC"/>
    <w:rsid w:val="00BF189C"/>
    <w:rsid w:val="00BF3095"/>
    <w:rsid w:val="00BF4790"/>
    <w:rsid w:val="00C01AAF"/>
    <w:rsid w:val="00C030D2"/>
    <w:rsid w:val="00C0510A"/>
    <w:rsid w:val="00C062E4"/>
    <w:rsid w:val="00C107F4"/>
    <w:rsid w:val="00C10D6A"/>
    <w:rsid w:val="00C110FB"/>
    <w:rsid w:val="00C139CA"/>
    <w:rsid w:val="00C15E12"/>
    <w:rsid w:val="00C27D83"/>
    <w:rsid w:val="00C377CF"/>
    <w:rsid w:val="00C443EF"/>
    <w:rsid w:val="00C4624A"/>
    <w:rsid w:val="00C47938"/>
    <w:rsid w:val="00C5088F"/>
    <w:rsid w:val="00C5150A"/>
    <w:rsid w:val="00C532EB"/>
    <w:rsid w:val="00C54986"/>
    <w:rsid w:val="00C54F29"/>
    <w:rsid w:val="00C557D6"/>
    <w:rsid w:val="00C561C1"/>
    <w:rsid w:val="00C56D52"/>
    <w:rsid w:val="00C57F88"/>
    <w:rsid w:val="00C656D8"/>
    <w:rsid w:val="00C66BC9"/>
    <w:rsid w:val="00C70452"/>
    <w:rsid w:val="00C705C0"/>
    <w:rsid w:val="00C731FD"/>
    <w:rsid w:val="00C740BC"/>
    <w:rsid w:val="00C75FFF"/>
    <w:rsid w:val="00C76774"/>
    <w:rsid w:val="00C81277"/>
    <w:rsid w:val="00C8155F"/>
    <w:rsid w:val="00C82243"/>
    <w:rsid w:val="00C8405D"/>
    <w:rsid w:val="00C85321"/>
    <w:rsid w:val="00C8596E"/>
    <w:rsid w:val="00C87990"/>
    <w:rsid w:val="00C96383"/>
    <w:rsid w:val="00CA16B4"/>
    <w:rsid w:val="00CA2EAE"/>
    <w:rsid w:val="00CA424C"/>
    <w:rsid w:val="00CA4364"/>
    <w:rsid w:val="00CA48C2"/>
    <w:rsid w:val="00CA4CE7"/>
    <w:rsid w:val="00CA6D90"/>
    <w:rsid w:val="00CA7B4A"/>
    <w:rsid w:val="00CB2F25"/>
    <w:rsid w:val="00CB35C5"/>
    <w:rsid w:val="00CB3C50"/>
    <w:rsid w:val="00CB7B65"/>
    <w:rsid w:val="00CC16D9"/>
    <w:rsid w:val="00CC52A8"/>
    <w:rsid w:val="00CC6A15"/>
    <w:rsid w:val="00CC72A5"/>
    <w:rsid w:val="00CD146E"/>
    <w:rsid w:val="00CD2ED1"/>
    <w:rsid w:val="00CD3908"/>
    <w:rsid w:val="00CD4025"/>
    <w:rsid w:val="00CD5F6C"/>
    <w:rsid w:val="00CF2498"/>
    <w:rsid w:val="00CF4098"/>
    <w:rsid w:val="00D042E5"/>
    <w:rsid w:val="00D0696C"/>
    <w:rsid w:val="00D07FEE"/>
    <w:rsid w:val="00D11211"/>
    <w:rsid w:val="00D1162D"/>
    <w:rsid w:val="00D12C80"/>
    <w:rsid w:val="00D13613"/>
    <w:rsid w:val="00D1510B"/>
    <w:rsid w:val="00D17E68"/>
    <w:rsid w:val="00D21E6B"/>
    <w:rsid w:val="00D22D87"/>
    <w:rsid w:val="00D2462F"/>
    <w:rsid w:val="00D26A54"/>
    <w:rsid w:val="00D354B7"/>
    <w:rsid w:val="00D3652D"/>
    <w:rsid w:val="00D36922"/>
    <w:rsid w:val="00D42FA3"/>
    <w:rsid w:val="00D43F60"/>
    <w:rsid w:val="00D44FCA"/>
    <w:rsid w:val="00D50329"/>
    <w:rsid w:val="00D52169"/>
    <w:rsid w:val="00D522C0"/>
    <w:rsid w:val="00D52E91"/>
    <w:rsid w:val="00D53FDE"/>
    <w:rsid w:val="00D54AEE"/>
    <w:rsid w:val="00D62D87"/>
    <w:rsid w:val="00D631E3"/>
    <w:rsid w:val="00D66646"/>
    <w:rsid w:val="00D66D2B"/>
    <w:rsid w:val="00D66E7C"/>
    <w:rsid w:val="00D70BE5"/>
    <w:rsid w:val="00D71F7E"/>
    <w:rsid w:val="00D75D8A"/>
    <w:rsid w:val="00D82E93"/>
    <w:rsid w:val="00D87ADE"/>
    <w:rsid w:val="00D9245D"/>
    <w:rsid w:val="00D946D9"/>
    <w:rsid w:val="00D966A1"/>
    <w:rsid w:val="00DA1081"/>
    <w:rsid w:val="00DA4FB1"/>
    <w:rsid w:val="00DA5459"/>
    <w:rsid w:val="00DA67C7"/>
    <w:rsid w:val="00DB039F"/>
    <w:rsid w:val="00DB2809"/>
    <w:rsid w:val="00DB2A8A"/>
    <w:rsid w:val="00DB4D60"/>
    <w:rsid w:val="00DB684E"/>
    <w:rsid w:val="00DB7C0B"/>
    <w:rsid w:val="00DC2DF2"/>
    <w:rsid w:val="00DD0D3D"/>
    <w:rsid w:val="00DD64B9"/>
    <w:rsid w:val="00DE1ED3"/>
    <w:rsid w:val="00DE2213"/>
    <w:rsid w:val="00DE45F5"/>
    <w:rsid w:val="00DE55CB"/>
    <w:rsid w:val="00DE6870"/>
    <w:rsid w:val="00DF015E"/>
    <w:rsid w:val="00DF4375"/>
    <w:rsid w:val="00DF54BF"/>
    <w:rsid w:val="00DF777F"/>
    <w:rsid w:val="00E00CD4"/>
    <w:rsid w:val="00E0190B"/>
    <w:rsid w:val="00E02C12"/>
    <w:rsid w:val="00E06149"/>
    <w:rsid w:val="00E0726A"/>
    <w:rsid w:val="00E07461"/>
    <w:rsid w:val="00E147E8"/>
    <w:rsid w:val="00E14A9B"/>
    <w:rsid w:val="00E14D45"/>
    <w:rsid w:val="00E20CEF"/>
    <w:rsid w:val="00E220E3"/>
    <w:rsid w:val="00E229C1"/>
    <w:rsid w:val="00E248AE"/>
    <w:rsid w:val="00E25368"/>
    <w:rsid w:val="00E25E23"/>
    <w:rsid w:val="00E31823"/>
    <w:rsid w:val="00E3186C"/>
    <w:rsid w:val="00E41507"/>
    <w:rsid w:val="00E44F78"/>
    <w:rsid w:val="00E45830"/>
    <w:rsid w:val="00E47DBC"/>
    <w:rsid w:val="00E47DF9"/>
    <w:rsid w:val="00E53F53"/>
    <w:rsid w:val="00E55236"/>
    <w:rsid w:val="00E5589D"/>
    <w:rsid w:val="00E55CE1"/>
    <w:rsid w:val="00E55FFB"/>
    <w:rsid w:val="00E56DB0"/>
    <w:rsid w:val="00E61CEF"/>
    <w:rsid w:val="00E62B7D"/>
    <w:rsid w:val="00E62FB0"/>
    <w:rsid w:val="00E64B16"/>
    <w:rsid w:val="00E6521C"/>
    <w:rsid w:val="00E71432"/>
    <w:rsid w:val="00E71ED5"/>
    <w:rsid w:val="00E72FAA"/>
    <w:rsid w:val="00E742EF"/>
    <w:rsid w:val="00E76B73"/>
    <w:rsid w:val="00E83743"/>
    <w:rsid w:val="00E837F5"/>
    <w:rsid w:val="00E84A96"/>
    <w:rsid w:val="00E85160"/>
    <w:rsid w:val="00E9060E"/>
    <w:rsid w:val="00E90F63"/>
    <w:rsid w:val="00E96DA4"/>
    <w:rsid w:val="00E96FA8"/>
    <w:rsid w:val="00EA0F6E"/>
    <w:rsid w:val="00EA13DC"/>
    <w:rsid w:val="00EA4095"/>
    <w:rsid w:val="00EA483D"/>
    <w:rsid w:val="00EA5213"/>
    <w:rsid w:val="00EB1F54"/>
    <w:rsid w:val="00EB790F"/>
    <w:rsid w:val="00EC2F1A"/>
    <w:rsid w:val="00EC66AC"/>
    <w:rsid w:val="00ED0585"/>
    <w:rsid w:val="00ED3AFC"/>
    <w:rsid w:val="00ED4466"/>
    <w:rsid w:val="00ED465A"/>
    <w:rsid w:val="00ED4806"/>
    <w:rsid w:val="00ED6497"/>
    <w:rsid w:val="00ED6A48"/>
    <w:rsid w:val="00EE0F6F"/>
    <w:rsid w:val="00EE2A51"/>
    <w:rsid w:val="00EE3F5A"/>
    <w:rsid w:val="00EE3F87"/>
    <w:rsid w:val="00EF6BF6"/>
    <w:rsid w:val="00F00BB4"/>
    <w:rsid w:val="00F03B07"/>
    <w:rsid w:val="00F04C98"/>
    <w:rsid w:val="00F0524D"/>
    <w:rsid w:val="00F0627E"/>
    <w:rsid w:val="00F12549"/>
    <w:rsid w:val="00F14982"/>
    <w:rsid w:val="00F14E3D"/>
    <w:rsid w:val="00F1537F"/>
    <w:rsid w:val="00F16750"/>
    <w:rsid w:val="00F16E26"/>
    <w:rsid w:val="00F176BF"/>
    <w:rsid w:val="00F20B97"/>
    <w:rsid w:val="00F227B8"/>
    <w:rsid w:val="00F22C78"/>
    <w:rsid w:val="00F24965"/>
    <w:rsid w:val="00F2523E"/>
    <w:rsid w:val="00F271DD"/>
    <w:rsid w:val="00F27DE4"/>
    <w:rsid w:val="00F31A61"/>
    <w:rsid w:val="00F3221E"/>
    <w:rsid w:val="00F3311F"/>
    <w:rsid w:val="00F33746"/>
    <w:rsid w:val="00F33D5A"/>
    <w:rsid w:val="00F34348"/>
    <w:rsid w:val="00F35B01"/>
    <w:rsid w:val="00F37C40"/>
    <w:rsid w:val="00F42BCC"/>
    <w:rsid w:val="00F43C6B"/>
    <w:rsid w:val="00F44BD0"/>
    <w:rsid w:val="00F44E01"/>
    <w:rsid w:val="00F45526"/>
    <w:rsid w:val="00F4797B"/>
    <w:rsid w:val="00F50DC7"/>
    <w:rsid w:val="00F50DEC"/>
    <w:rsid w:val="00F550B9"/>
    <w:rsid w:val="00F55BD9"/>
    <w:rsid w:val="00F56391"/>
    <w:rsid w:val="00F60CC1"/>
    <w:rsid w:val="00F60F4E"/>
    <w:rsid w:val="00F638F0"/>
    <w:rsid w:val="00F63B33"/>
    <w:rsid w:val="00F65138"/>
    <w:rsid w:val="00F736DF"/>
    <w:rsid w:val="00F75CD2"/>
    <w:rsid w:val="00F77A70"/>
    <w:rsid w:val="00F8004A"/>
    <w:rsid w:val="00F830D4"/>
    <w:rsid w:val="00F83E09"/>
    <w:rsid w:val="00F84151"/>
    <w:rsid w:val="00F85BEB"/>
    <w:rsid w:val="00F86665"/>
    <w:rsid w:val="00F90E4B"/>
    <w:rsid w:val="00F919F7"/>
    <w:rsid w:val="00F95236"/>
    <w:rsid w:val="00F958BA"/>
    <w:rsid w:val="00F97AD7"/>
    <w:rsid w:val="00FA2D8C"/>
    <w:rsid w:val="00FA33AF"/>
    <w:rsid w:val="00FA355B"/>
    <w:rsid w:val="00FB5639"/>
    <w:rsid w:val="00FB6446"/>
    <w:rsid w:val="00FB6F1D"/>
    <w:rsid w:val="00FC5103"/>
    <w:rsid w:val="00FD16E6"/>
    <w:rsid w:val="00FD1DA6"/>
    <w:rsid w:val="00FD484D"/>
    <w:rsid w:val="00FD504F"/>
    <w:rsid w:val="00FE0AB4"/>
    <w:rsid w:val="00FE19F4"/>
    <w:rsid w:val="00FE4B4B"/>
    <w:rsid w:val="00FE5980"/>
    <w:rsid w:val="00FF1138"/>
    <w:rsid w:val="00FF17DD"/>
    <w:rsid w:val="00FF1FF8"/>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72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7425">
      <w:bodyDiv w:val="1"/>
      <w:marLeft w:val="0"/>
      <w:marRight w:val="0"/>
      <w:marTop w:val="0"/>
      <w:marBottom w:val="0"/>
      <w:divBdr>
        <w:top w:val="none" w:sz="0" w:space="0" w:color="auto"/>
        <w:left w:val="none" w:sz="0" w:space="0" w:color="auto"/>
        <w:bottom w:val="none" w:sz="0" w:space="0" w:color="auto"/>
        <w:right w:val="none" w:sz="0" w:space="0" w:color="auto"/>
      </w:divBdr>
    </w:div>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478352342">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ews.release/ecec.nr0.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naics2_22.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5278794" TargetMode="External"/><Relationship Id="rId2" Type="http://schemas.openxmlformats.org/officeDocument/2006/relationships/hyperlink" Target="https://elibrary.ferc.gov/idmws/common/OpenNat.asp?fileID=15142191" TargetMode="External"/><Relationship Id="rId1" Type="http://schemas.openxmlformats.org/officeDocument/2006/relationships/hyperlink" Target="https://elibrary.ferc.gov/idmws/common/opennat.asp?fileID=13841811" TargetMode="External"/><Relationship Id="rId6" Type="http://schemas.openxmlformats.org/officeDocument/2006/relationships/hyperlink" Target="http://www.ferc.gov/legal/ceii-foia/ceii.asp" TargetMode="External"/><Relationship Id="rId5" Type="http://schemas.openxmlformats.org/officeDocument/2006/relationships/hyperlink" Target="https://www.eia.gov/realtime_grid/" TargetMode="External"/><Relationship Id="rId4" Type="http://schemas.openxmlformats.org/officeDocument/2006/relationships/hyperlink" Target="https://elibrary.ferc.gov/idmws/common/opennat.asp?fileID=15278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2019-07-03T04:00:00+00:00</Date>
    <Status xmlns="d6eefc7d-9817-4fa6-84d5-3bc009be21b8">Final</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54FAD-F904-4C63-92C2-7DDBFB0A1DE8}">
  <ds:schemaRefs>
    <ds:schemaRef ds:uri="http://schemas.microsoft.com/office/2006/metadata/customXsn"/>
  </ds:schemaRefs>
</ds:datastoreItem>
</file>

<file path=customXml/itemProps2.xml><?xml version="1.0" encoding="utf-8"?>
<ds:datastoreItem xmlns:ds="http://schemas.openxmlformats.org/officeDocument/2006/customXml" ds:itemID="{C4F74F5A-054B-4810-BCDE-310351198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4.xml><?xml version="1.0" encoding="utf-8"?>
<ds:datastoreItem xmlns:ds="http://schemas.openxmlformats.org/officeDocument/2006/customXml" ds:itemID="{9DF57017-6D35-4700-942D-9BCDC1A55FC4}">
  <ds:schemaRefs>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6.xml><?xml version="1.0" encoding="utf-8"?>
<ds:datastoreItem xmlns:ds="http://schemas.openxmlformats.org/officeDocument/2006/customXml" ds:itemID="{20074554-71A6-43C6-86C3-9EDFF20E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8675</Words>
  <Characters>49451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RM19-12-000 Final Rule supporting statement</vt:lpstr>
    </vt:vector>
  </TitlesOfParts>
  <Company>FERC</Company>
  <LinksUpToDate>false</LinksUpToDate>
  <CharactersWithSpaces>58010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RM19-12-000 Final Rule supporting statement</dc:title>
  <dc:subject/>
  <dc:creator>Michele Chambers</dc:creator>
  <cp:keywords/>
  <dc:description/>
  <cp:lastModifiedBy>SYSTEM</cp:lastModifiedBy>
  <cp:revision>2</cp:revision>
  <cp:lastPrinted>2019-06-03T15:02:00Z</cp:lastPrinted>
  <dcterms:created xsi:type="dcterms:W3CDTF">2019-07-03T16:41:00Z</dcterms:created>
  <dcterms:modified xsi:type="dcterms:W3CDTF">2019-07-03T16:41:00Z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