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D8CED5F" w:rsidR="00CA4CD6" w:rsidRPr="00D3420B" w:rsidRDefault="00CA4CD6" w:rsidP="00A7661C">
      <w:pPr>
        <w:tabs>
          <w:tab w:val="center" w:pos="4680"/>
        </w:tabs>
        <w:jc w:val="center"/>
        <w:rPr>
          <w:b/>
          <w:bCs/>
        </w:rPr>
      </w:pPr>
      <w:bookmarkStart w:id="0" w:name="_GoBack"/>
      <w:bookmarkEnd w:id="0"/>
      <w:r w:rsidRPr="00D3420B">
        <w:rPr>
          <w:b/>
          <w:bCs/>
        </w:rPr>
        <w:t>SUPPORTING STATEMENT</w:t>
      </w:r>
    </w:p>
    <w:p w14:paraId="070B4005" w14:textId="77777777" w:rsidR="00CA4CD6" w:rsidRPr="00D3420B" w:rsidRDefault="00CA4CD6" w:rsidP="00504745">
      <w:pPr>
        <w:tabs>
          <w:tab w:val="center" w:pos="4680"/>
        </w:tabs>
        <w:outlineLvl w:val="0"/>
      </w:pPr>
      <w:r w:rsidRPr="00D3420B">
        <w:rPr>
          <w:b/>
          <w:bCs/>
        </w:rPr>
        <w:tab/>
        <w:t>ENVIRONMENTAL PROTECTION AGENCY</w:t>
      </w:r>
    </w:p>
    <w:p w14:paraId="55A3AE59" w14:textId="77777777" w:rsidR="00CA4CD6" w:rsidRPr="00D3420B" w:rsidRDefault="00CA4CD6">
      <w:pPr>
        <w:tabs>
          <w:tab w:val="center" w:pos="4680"/>
        </w:tabs>
      </w:pPr>
      <w:r w:rsidRPr="00D3420B">
        <w:tab/>
      </w:r>
    </w:p>
    <w:p w14:paraId="3C8864FA" w14:textId="1C81935F" w:rsidR="00CA4CD6" w:rsidRPr="00D3420B" w:rsidRDefault="00396C85">
      <w:r w:rsidRPr="00D3420B">
        <w:rPr>
          <w:b/>
        </w:rPr>
        <w:t xml:space="preserve">NSPS </w:t>
      </w:r>
      <w:r w:rsidR="00145551" w:rsidRPr="00D3420B">
        <w:rPr>
          <w:b/>
        </w:rPr>
        <w:t>for Greenhouse Gas Emissions f</w:t>
      </w:r>
      <w:r w:rsidR="0029305D" w:rsidRPr="00D3420B">
        <w:rPr>
          <w:b/>
        </w:rPr>
        <w:t xml:space="preserve">or New Electric Utility Generating Units </w:t>
      </w:r>
      <w:r w:rsidR="00A10747">
        <w:rPr>
          <w:b/>
        </w:rPr>
        <w:t xml:space="preserve">                </w:t>
      </w:r>
      <w:r w:rsidR="00145551" w:rsidRPr="00D3420B">
        <w:rPr>
          <w:b/>
        </w:rPr>
        <w:t>(40 CFR part 60, subpart TTTT)</w:t>
      </w:r>
      <w:r w:rsidRPr="00D3420B">
        <w:rPr>
          <w:b/>
        </w:rPr>
        <w:t xml:space="preserve"> </w:t>
      </w:r>
      <w:r w:rsidR="00145551" w:rsidRPr="00D3420B">
        <w:rPr>
          <w:b/>
        </w:rPr>
        <w:t>(Renewal)</w:t>
      </w:r>
    </w:p>
    <w:p w14:paraId="49855593" w14:textId="77777777" w:rsidR="00CA4CD6" w:rsidRPr="00D3420B" w:rsidRDefault="00CA4CD6"/>
    <w:p w14:paraId="1B30C59E" w14:textId="3823C072" w:rsidR="00CA4CD6" w:rsidRPr="00D3420B" w:rsidRDefault="00CA4CD6" w:rsidP="00504745">
      <w:pPr>
        <w:outlineLvl w:val="0"/>
        <w:rPr>
          <w:b/>
          <w:bCs/>
        </w:rPr>
      </w:pPr>
      <w:r w:rsidRPr="00D3420B">
        <w:rPr>
          <w:b/>
          <w:bCs/>
        </w:rPr>
        <w:t>1.</w:t>
      </w:r>
      <w:r w:rsidR="009C7E97" w:rsidRPr="00D3420B">
        <w:rPr>
          <w:b/>
          <w:bCs/>
        </w:rPr>
        <w:t xml:space="preserve"> </w:t>
      </w:r>
      <w:r w:rsidRPr="00D3420B">
        <w:rPr>
          <w:b/>
          <w:bCs/>
        </w:rPr>
        <w:t>Identification of the Information Collection</w:t>
      </w:r>
    </w:p>
    <w:p w14:paraId="3919F060" w14:textId="77777777" w:rsidR="00CA4CD6" w:rsidRPr="00D3420B" w:rsidRDefault="00CA4CD6">
      <w:pPr>
        <w:rPr>
          <w:b/>
          <w:bCs/>
        </w:rPr>
      </w:pPr>
    </w:p>
    <w:p w14:paraId="332772A2" w14:textId="1B654EC7" w:rsidR="00CA4CD6" w:rsidRPr="00D3420B" w:rsidRDefault="00CA4CD6">
      <w:pPr>
        <w:ind w:firstLine="720"/>
        <w:rPr>
          <w:b/>
          <w:bCs/>
        </w:rPr>
      </w:pPr>
      <w:r w:rsidRPr="00D3420B">
        <w:rPr>
          <w:b/>
          <w:bCs/>
        </w:rPr>
        <w:t>1(a)</w:t>
      </w:r>
      <w:r w:rsidR="009C7E97" w:rsidRPr="00D3420B">
        <w:rPr>
          <w:b/>
          <w:bCs/>
        </w:rPr>
        <w:t xml:space="preserve"> </w:t>
      </w:r>
      <w:r w:rsidRPr="00D3420B">
        <w:rPr>
          <w:b/>
          <w:bCs/>
        </w:rPr>
        <w:t>Title of the Information Collection</w:t>
      </w:r>
    </w:p>
    <w:p w14:paraId="0B658FF0" w14:textId="77777777" w:rsidR="00CA4CD6" w:rsidRPr="00D3420B" w:rsidRDefault="00CA4CD6">
      <w:pPr>
        <w:rPr>
          <w:b/>
          <w:bCs/>
        </w:rPr>
      </w:pPr>
    </w:p>
    <w:p w14:paraId="524FB0EB" w14:textId="2FC5D90F" w:rsidR="00CA4CD6" w:rsidRPr="00D3420B" w:rsidRDefault="00396C85" w:rsidP="002B29A5">
      <w:pPr>
        <w:rPr>
          <w:bCs/>
        </w:rPr>
      </w:pPr>
      <w:bookmarkStart w:id="1" w:name="_Hlk3029577"/>
      <w:r w:rsidRPr="00D3420B">
        <w:rPr>
          <w:bCs/>
        </w:rPr>
        <w:t>NSPS</w:t>
      </w:r>
      <w:r w:rsidR="002B29A5" w:rsidRPr="00D3420B">
        <w:rPr>
          <w:bCs/>
        </w:rPr>
        <w:t xml:space="preserve"> for </w:t>
      </w:r>
      <w:r w:rsidR="00145551" w:rsidRPr="00D3420B">
        <w:rPr>
          <w:bCs/>
        </w:rPr>
        <w:t xml:space="preserve">Greenhouse Gas Emissions </w:t>
      </w:r>
      <w:r w:rsidR="0029305D" w:rsidRPr="00D3420B">
        <w:rPr>
          <w:bCs/>
        </w:rPr>
        <w:t xml:space="preserve">for New Electric Utility Generating Units </w:t>
      </w:r>
      <w:r w:rsidR="002B29A5" w:rsidRPr="00D3420B">
        <w:rPr>
          <w:bCs/>
        </w:rPr>
        <w:t xml:space="preserve">(40 CFR Part </w:t>
      </w:r>
      <w:r w:rsidR="00145551" w:rsidRPr="00D3420B">
        <w:rPr>
          <w:bCs/>
        </w:rPr>
        <w:t>60</w:t>
      </w:r>
      <w:r w:rsidR="002B29A5" w:rsidRPr="00D3420B">
        <w:rPr>
          <w:bCs/>
        </w:rPr>
        <w:t xml:space="preserve">, Subpart </w:t>
      </w:r>
      <w:r w:rsidR="00145551" w:rsidRPr="00D3420B">
        <w:rPr>
          <w:bCs/>
        </w:rPr>
        <w:t>TTTT</w:t>
      </w:r>
      <w:r w:rsidR="002B29A5" w:rsidRPr="00D3420B">
        <w:rPr>
          <w:bCs/>
        </w:rPr>
        <w:t xml:space="preserve">) (Renewal), </w:t>
      </w:r>
      <w:bookmarkEnd w:id="1"/>
      <w:r w:rsidR="002B29A5" w:rsidRPr="00D3420B">
        <w:rPr>
          <w:bCs/>
        </w:rPr>
        <w:t xml:space="preserve">EPA ICR Number </w:t>
      </w:r>
      <w:r w:rsidR="00145551" w:rsidRPr="00D3420B">
        <w:rPr>
          <w:bCs/>
        </w:rPr>
        <w:t>2465.04</w:t>
      </w:r>
      <w:r w:rsidR="002B29A5" w:rsidRPr="00D3420B">
        <w:rPr>
          <w:bCs/>
        </w:rPr>
        <w:t>, OMB Control Number 2060-</w:t>
      </w:r>
      <w:r w:rsidR="007F70D1">
        <w:rPr>
          <w:bCs/>
        </w:rPr>
        <w:t>0685</w:t>
      </w:r>
      <w:r w:rsidR="002B29A5" w:rsidRPr="00D3420B">
        <w:rPr>
          <w:bCs/>
        </w:rPr>
        <w:t xml:space="preserve">. </w:t>
      </w:r>
    </w:p>
    <w:p w14:paraId="56431331" w14:textId="77777777" w:rsidR="00CA4CD6" w:rsidRPr="00D3420B" w:rsidRDefault="00CA4CD6">
      <w:pPr>
        <w:rPr>
          <w:b/>
          <w:bCs/>
        </w:rPr>
      </w:pPr>
    </w:p>
    <w:p w14:paraId="36120418" w14:textId="61B2224D" w:rsidR="00CA4CD6" w:rsidRPr="00D3420B" w:rsidRDefault="00CA4CD6">
      <w:pPr>
        <w:ind w:firstLine="720"/>
      </w:pPr>
      <w:r w:rsidRPr="00D3420B">
        <w:rPr>
          <w:b/>
          <w:bCs/>
        </w:rPr>
        <w:t>1(b)</w:t>
      </w:r>
      <w:r w:rsidR="009C7E97" w:rsidRPr="00D3420B">
        <w:rPr>
          <w:b/>
          <w:bCs/>
        </w:rPr>
        <w:t xml:space="preserve"> </w:t>
      </w:r>
      <w:r w:rsidRPr="00D3420B">
        <w:rPr>
          <w:b/>
          <w:bCs/>
        </w:rPr>
        <w:t>Short Characterization/Abstract</w:t>
      </w:r>
      <w:r w:rsidRPr="00D3420B">
        <w:tab/>
      </w:r>
      <w:r w:rsidRPr="00D3420B">
        <w:tab/>
      </w:r>
    </w:p>
    <w:p w14:paraId="6C33EB0D" w14:textId="77777777" w:rsidR="00CA4CD6" w:rsidRPr="00D3420B" w:rsidRDefault="00CA4CD6"/>
    <w:p w14:paraId="1ECD45DD" w14:textId="0F06073E" w:rsidR="00CA4CD6" w:rsidRPr="00D3420B" w:rsidRDefault="00CA4CD6">
      <w:pPr>
        <w:ind w:firstLine="720"/>
      </w:pPr>
      <w:r w:rsidRPr="00D3420B">
        <w:t xml:space="preserve">The </w:t>
      </w:r>
      <w:r w:rsidR="00396C85" w:rsidRPr="00D3420B">
        <w:t>New Source Performance Standards (NSPS)</w:t>
      </w:r>
      <w:r w:rsidR="004E7DEB" w:rsidRPr="00D3420B">
        <w:t xml:space="preserve"> </w:t>
      </w:r>
      <w:r w:rsidRPr="00D3420B">
        <w:t xml:space="preserve">for </w:t>
      </w:r>
      <w:r w:rsidR="00A10747" w:rsidRPr="00A10747">
        <w:t xml:space="preserve">Greenhouse Gas Emissions for New Electric Utility Generating Units </w:t>
      </w:r>
      <w:r w:rsidR="00025BD2" w:rsidRPr="00D3420B">
        <w:t xml:space="preserve">(40 CFR Part 60, Subpart TTTT) </w:t>
      </w:r>
      <w:r w:rsidRPr="00D3420B">
        <w:t xml:space="preserve">were proposed on </w:t>
      </w:r>
      <w:r w:rsidR="0045615E" w:rsidRPr="00D3420B">
        <w:t>June 2, 2014</w:t>
      </w:r>
      <w:r w:rsidRPr="00D3420B">
        <w:t xml:space="preserve">, and promulgated on </w:t>
      </w:r>
      <w:r w:rsidR="0045615E" w:rsidRPr="00D3420B">
        <w:t xml:space="preserve">October 23, 2015 (80 FR </w:t>
      </w:r>
      <w:r w:rsidR="0045615E" w:rsidRPr="00D3420B">
        <w:rPr>
          <w:sz w:val="27"/>
          <w:szCs w:val="27"/>
        </w:rPr>
        <w:t>64510).</w:t>
      </w:r>
      <w:r w:rsidR="0045615E" w:rsidRPr="00D3420B">
        <w:t xml:space="preserve"> </w:t>
      </w:r>
      <w:r w:rsidRPr="00D3420B">
        <w:t xml:space="preserve">These regulations apply </w:t>
      </w:r>
      <w:r w:rsidR="00724BC7" w:rsidRPr="00D3420B">
        <w:t>to new</w:t>
      </w:r>
      <w:r w:rsidR="00F47CA2" w:rsidRPr="00D3420B">
        <w:t>ly constructed, modified or reconstructed</w:t>
      </w:r>
      <w:r w:rsidR="00724BC7" w:rsidRPr="00D3420B">
        <w:t xml:space="preserve"> </w:t>
      </w:r>
      <w:r w:rsidRPr="00D3420B">
        <w:t xml:space="preserve">facilities </w:t>
      </w:r>
      <w:r w:rsidR="00025BD2" w:rsidRPr="00D3420B">
        <w:t>with electric utility generating units (EGUs)</w:t>
      </w:r>
      <w:r w:rsidR="0045615E" w:rsidRPr="00D3420B">
        <w:t xml:space="preserve"> including any steam generating unit, IGCC, or stationary combustion turbine that commenced construction after January 8, 2014 or commenced reconstruction after June 18, 2014</w:t>
      </w:r>
      <w:r w:rsidR="004E7DEB" w:rsidRPr="00D3420B">
        <w:t xml:space="preserve">. </w:t>
      </w:r>
      <w:r w:rsidR="004E7DEB" w:rsidRPr="00D3420B">
        <w:rPr>
          <w:rFonts w:eastAsia="Courier New"/>
        </w:rPr>
        <w:t>To be considered an EGU the unit must be</w:t>
      </w:r>
      <w:r w:rsidR="00A10747">
        <w:rPr>
          <w:rFonts w:eastAsia="Courier New"/>
        </w:rPr>
        <w:t>:</w:t>
      </w:r>
      <w:r w:rsidR="004E7DEB" w:rsidRPr="00D3420B">
        <w:rPr>
          <w:rFonts w:eastAsia="Courier New"/>
        </w:rPr>
        <w:t xml:space="preserve"> (1) capable of combusting more than 250 MMBtu/h heat input of fossil fuel</w:t>
      </w:r>
      <w:r w:rsidR="00A10747">
        <w:rPr>
          <w:rFonts w:eastAsia="Courier New"/>
        </w:rPr>
        <w:t>;</w:t>
      </w:r>
      <w:r w:rsidR="004E7DEB" w:rsidRPr="00D3420B">
        <w:rPr>
          <w:rFonts w:eastAsia="Courier New"/>
        </w:rPr>
        <w:t xml:space="preserve"> and (2) serve a generator capable of supplying more than 25 MW net to a utility distribution system (i.e., for sale to the grid).</w:t>
      </w:r>
      <w:r w:rsidR="004E7DEB" w:rsidRPr="00D3420B" w:rsidDel="00025BD2">
        <w:t xml:space="preserve"> </w:t>
      </w:r>
      <w:r w:rsidRPr="00D3420B">
        <w:t>New facilities include those that commenced construction, modification or reconstruction after the date of proposal.</w:t>
      </w:r>
      <w:r w:rsidR="009C7E97" w:rsidRPr="00D3420B">
        <w:t xml:space="preserve"> </w:t>
      </w:r>
      <w:r w:rsidRPr="00D3420B">
        <w:t xml:space="preserve">This information is being collected to assure compliance with 40 CFR </w:t>
      </w:r>
      <w:r w:rsidR="006810C3" w:rsidRPr="00D3420B">
        <w:t xml:space="preserve">Part </w:t>
      </w:r>
      <w:r w:rsidRPr="00D3420B">
        <w:t>6</w:t>
      </w:r>
      <w:r w:rsidR="004E7DEB" w:rsidRPr="00D3420B">
        <w:t>0</w:t>
      </w:r>
      <w:r w:rsidRPr="00D3420B">
        <w:t xml:space="preserve">, </w:t>
      </w:r>
      <w:r w:rsidR="006810C3" w:rsidRPr="00D3420B">
        <w:t xml:space="preserve">Subpart </w:t>
      </w:r>
      <w:r w:rsidR="004E7DEB" w:rsidRPr="00D3420B">
        <w:t>TTTT</w:t>
      </w:r>
      <w:r w:rsidRPr="00D3420B">
        <w:t>.</w:t>
      </w:r>
    </w:p>
    <w:p w14:paraId="43FDF7BE" w14:textId="77777777" w:rsidR="00CA4CD6" w:rsidRPr="00D3420B" w:rsidRDefault="00CA4CD6"/>
    <w:p w14:paraId="0116004E" w14:textId="6F0D15FA" w:rsidR="00CA4CD6" w:rsidRPr="00D3420B" w:rsidRDefault="00CA4CD6" w:rsidP="0038203D">
      <w:pPr>
        <w:pStyle w:val="Para"/>
      </w:pPr>
      <w:r w:rsidRPr="00D3420B">
        <w:t>In general, all</w:t>
      </w:r>
      <w:r w:rsidR="00396C85" w:rsidRPr="00D3420B">
        <w:t xml:space="preserve"> NSPS</w:t>
      </w:r>
      <w:r w:rsidRPr="00D3420B">
        <w:t xml:space="preserve"> standards require initial notifications, performance tests, and periodic reports by the owners/operators of the affected facilities.</w:t>
      </w:r>
      <w:r w:rsidR="009C7E97" w:rsidRPr="00D3420B">
        <w:t xml:space="preserve"> </w:t>
      </w:r>
      <w:r w:rsidR="00385745" w:rsidRPr="00D3420B">
        <w:rPr>
          <w:rFonts w:ascii="Times New Roman" w:hAnsi="Times New Roman"/>
        </w:rPr>
        <w:t>This NSPS</w:t>
      </w:r>
      <w:r w:rsidR="00385745" w:rsidRPr="00D3420B">
        <w:rPr>
          <w:rFonts w:ascii="Times New Roman" w:eastAsia="Times New Roman" w:hAnsi="Times New Roman"/>
          <w:bCs/>
          <w:szCs w:val="24"/>
        </w:rPr>
        <w:t xml:space="preserve"> imposes a minimal information collection burden on affected sources</w:t>
      </w:r>
      <w:r w:rsidR="00385745" w:rsidRPr="00D3420B">
        <w:rPr>
          <w:rFonts w:ascii="Times New Roman" w:eastAsia="Times New Roman" w:hAnsi="Times New Roman"/>
          <w:szCs w:val="24"/>
        </w:rPr>
        <w:t xml:space="preserve"> beyond what sources would already be subject to under the authorities of CAA parts 75 (Acid Rain Program CEM requirements) and 98 (Mandatory GHG Reporting, applicable to EGUs that capture CO</w:t>
      </w:r>
      <w:r w:rsidR="00385745" w:rsidRPr="00D3420B">
        <w:rPr>
          <w:rFonts w:ascii="Times New Roman" w:eastAsia="Times New Roman" w:hAnsi="Times New Roman"/>
          <w:szCs w:val="24"/>
          <w:vertAlign w:val="subscript"/>
        </w:rPr>
        <w:t>2</w:t>
      </w:r>
      <w:r w:rsidR="00385745" w:rsidRPr="00D3420B">
        <w:rPr>
          <w:rFonts w:ascii="Times New Roman" w:eastAsia="Times New Roman" w:hAnsi="Times New Roman"/>
          <w:szCs w:val="24"/>
        </w:rPr>
        <w:t xml:space="preserve">). </w:t>
      </w:r>
      <w:r w:rsidR="00385745" w:rsidRPr="00D3420B">
        <w:rPr>
          <w:rFonts w:ascii="Times New Roman" w:hAnsi="Times New Roman"/>
          <w:szCs w:val="24"/>
        </w:rPr>
        <w:t>OMB has previously approved the information collection requirements contained in the existing part 75 and 98 regulations (40 CFR part 75 and 40 CFR part 98) under the provisions of the Paperwork Reduction Act, 44 U.S.C. 3501 et seq. and has assigned OMB control numbers 2060-0626 and 2060-0629, respectively.</w:t>
      </w:r>
      <w:r w:rsidR="00385745" w:rsidRPr="00D3420B">
        <w:rPr>
          <w:rFonts w:ascii="Times New Roman" w:hAnsi="Times New Roman"/>
          <w:b/>
          <w:szCs w:val="24"/>
        </w:rPr>
        <w:t xml:space="preserve"> </w:t>
      </w:r>
      <w:r w:rsidR="00385745" w:rsidRPr="00D3420B">
        <w:rPr>
          <w:rFonts w:ascii="Times New Roman" w:hAnsi="Times New Roman"/>
          <w:szCs w:val="24"/>
        </w:rPr>
        <w:t>Apart from certain reporting costs to comply with the emission standards under the rule, there are no additional information collection costs, as the information required by the rule is already collected and reported by other regulatory programs.</w:t>
      </w:r>
      <w:r w:rsidR="00B9065B">
        <w:rPr>
          <w:rFonts w:ascii="Times New Roman" w:hAnsi="Times New Roman"/>
          <w:szCs w:val="24"/>
        </w:rPr>
        <w:t xml:space="preserve"> </w:t>
      </w:r>
      <w:r w:rsidRPr="00D3420B">
        <w:t xml:space="preserve">These notifications, reports, and records are essential in determining compliance, and are required of </w:t>
      </w:r>
      <w:r w:rsidR="00A10747">
        <w:t xml:space="preserve">  </w:t>
      </w:r>
      <w:r w:rsidRPr="00D3420B">
        <w:t xml:space="preserve">all affected facilities subject to </w:t>
      </w:r>
      <w:r w:rsidR="00396C85" w:rsidRPr="00D3420B">
        <w:t>NSPS</w:t>
      </w:r>
      <w:r w:rsidRPr="00D3420B">
        <w:t>.</w:t>
      </w:r>
      <w:r w:rsidR="009C7E97" w:rsidRPr="00D3420B">
        <w:t xml:space="preserve"> </w:t>
      </w:r>
    </w:p>
    <w:p w14:paraId="4416605D" w14:textId="77777777" w:rsidR="00CA4CD6" w:rsidRPr="00D3420B" w:rsidRDefault="00CA4CD6"/>
    <w:p w14:paraId="297BBA30" w14:textId="54D3CBAD"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Any owner/operator subject to the provisions of this part shall maintain a file </w:t>
      </w:r>
      <w:r w:rsidR="00E110E3" w:rsidRPr="00D3420B">
        <w:t xml:space="preserve">containing </w:t>
      </w:r>
      <w:r w:rsidRPr="00D3420B">
        <w:t xml:space="preserve">these </w:t>
      </w:r>
      <w:r w:rsidR="00E110E3" w:rsidRPr="00D3420B">
        <w:t>documents</w:t>
      </w:r>
      <w:r w:rsidRPr="00D3420B">
        <w:t xml:space="preserve">, and retain the file for at least </w:t>
      </w:r>
      <w:r w:rsidR="00F47CA2" w:rsidRPr="00D3420B">
        <w:t>three</w:t>
      </w:r>
      <w:r w:rsidRPr="00D3420B">
        <w:t xml:space="preserve"> years following the </w:t>
      </w:r>
      <w:r w:rsidR="00E110E3" w:rsidRPr="00D3420B">
        <w:t xml:space="preserve">generation date of </w:t>
      </w:r>
      <w:r w:rsidRPr="00D3420B">
        <w:t>such maintenance reports and records.</w:t>
      </w:r>
      <w:r w:rsidR="009C7E97" w:rsidRPr="00D3420B">
        <w:t xml:space="preserve"> </w:t>
      </w:r>
      <w:r w:rsidRPr="00D3420B">
        <w:t>All reports are sent to the delegated state or local authority.</w:t>
      </w:r>
      <w:r w:rsidR="009C7E97" w:rsidRPr="00D3420B">
        <w:t xml:space="preserve"> </w:t>
      </w:r>
      <w:r w:rsidR="00A10747">
        <w:t xml:space="preserve">     </w:t>
      </w:r>
      <w:r w:rsidRPr="00D3420B">
        <w:t>I</w:t>
      </w:r>
      <w:r w:rsidR="00A10747">
        <w:t>f</w:t>
      </w:r>
      <w:r w:rsidRPr="00D3420B">
        <w:t xml:space="preserve"> there is no such delegated authority, the reports are sent directly to the </w:t>
      </w:r>
      <w:r w:rsidR="00A10747">
        <w:t>U.</w:t>
      </w:r>
      <w:r w:rsidRPr="00D3420B">
        <w:t>S</w:t>
      </w:r>
      <w:r w:rsidR="00A10747">
        <w:t>.</w:t>
      </w:r>
      <w:r w:rsidRPr="00D3420B">
        <w:t xml:space="preserve"> Environmental Protection Agency</w:t>
      </w:r>
      <w:r w:rsidR="00A10747">
        <w:t>’s</w:t>
      </w:r>
      <w:r w:rsidRPr="00D3420B">
        <w:t xml:space="preserve"> (EPA) regional office</w:t>
      </w:r>
      <w:r w:rsidR="00A10747">
        <w:t>s</w:t>
      </w:r>
      <w:r w:rsidRPr="00D3420B">
        <w:t>.</w:t>
      </w:r>
    </w:p>
    <w:p w14:paraId="68F09CAA" w14:textId="4B8D3097" w:rsidR="00F47CA2" w:rsidRPr="00D3420B" w:rsidRDefault="003E47DB" w:rsidP="00995188">
      <w:pPr>
        <w:pBdr>
          <w:top w:val="single" w:sz="6" w:space="0" w:color="FFFFFF"/>
          <w:left w:val="single" w:sz="6" w:space="0" w:color="FFFFFF"/>
          <w:bottom w:val="single" w:sz="6" w:space="0" w:color="FFFFFF"/>
          <w:right w:val="single" w:sz="6" w:space="0" w:color="FFFFFF"/>
        </w:pBdr>
        <w:ind w:firstLine="720"/>
      </w:pPr>
      <w:r w:rsidRPr="00D3420B">
        <w:lastRenderedPageBreak/>
        <w:t xml:space="preserve">The </w:t>
      </w:r>
      <w:r w:rsidR="00A10747">
        <w:t>‘</w:t>
      </w:r>
      <w:r w:rsidRPr="00D3420B">
        <w:t>burden</w:t>
      </w:r>
      <w:r w:rsidR="00A10747">
        <w:t>’</w:t>
      </w:r>
      <w:r w:rsidRPr="00D3420B">
        <w:t xml:space="preserve"> to the “Affected Public” may be found </w:t>
      </w:r>
      <w:r w:rsidR="00A10747">
        <w:t xml:space="preserve">below </w:t>
      </w:r>
      <w:r w:rsidRPr="00D3420B">
        <w:t>in Table 1: Annual Respondent Burden and Cost –</w:t>
      </w:r>
      <w:r w:rsidR="00396C85" w:rsidRPr="00D3420B">
        <w:rPr>
          <w:bCs/>
        </w:rPr>
        <w:t xml:space="preserve"> </w:t>
      </w:r>
      <w:bookmarkStart w:id="2" w:name="_Hlk3027140"/>
      <w:r w:rsidR="0029305D" w:rsidRPr="00D3420B">
        <w:rPr>
          <w:bCs/>
        </w:rPr>
        <w:t xml:space="preserve">NSPS for Greenhouse Gas Emissions for New Electric Utility Generating Units (40 CFR Part 60, Subpart TTTT) (Renewal). </w:t>
      </w:r>
      <w:bookmarkEnd w:id="2"/>
      <w:r w:rsidR="00CD5A94" w:rsidRPr="00D3420B">
        <w:rPr>
          <w:bCs/>
        </w:rPr>
        <w:t xml:space="preserve">The </w:t>
      </w:r>
      <w:r w:rsidR="00A10747">
        <w:rPr>
          <w:bCs/>
        </w:rPr>
        <w:t>‘</w:t>
      </w:r>
      <w:r w:rsidR="00CD5A94" w:rsidRPr="00D3420B">
        <w:rPr>
          <w:bCs/>
        </w:rPr>
        <w:t>burden</w:t>
      </w:r>
      <w:r w:rsidR="00A10747">
        <w:rPr>
          <w:bCs/>
        </w:rPr>
        <w:t>’</w:t>
      </w:r>
      <w:r w:rsidR="00CD5A94" w:rsidRPr="00D3420B">
        <w:rPr>
          <w:bCs/>
        </w:rPr>
        <w:t xml:space="preserve"> to the “Federal Government” </w:t>
      </w:r>
      <w:r w:rsidR="00CD5A94" w:rsidRPr="00D3420B">
        <w:t>is attributed entirely to work performed by</w:t>
      </w:r>
      <w:r w:rsidR="00A10747">
        <w:t xml:space="preserve"> either F</w:t>
      </w:r>
      <w:r w:rsidR="00CD5A94" w:rsidRPr="00D3420B">
        <w:t>ederal employees or government contractors and may be found</w:t>
      </w:r>
      <w:r w:rsidR="00A10747">
        <w:t xml:space="preserve"> below</w:t>
      </w:r>
      <w:r w:rsidR="00CD5A94" w:rsidRPr="00D3420B">
        <w:t xml:space="preserve"> in </w:t>
      </w:r>
      <w:r w:rsidRPr="00D3420B">
        <w:t xml:space="preserve">Table 2: Average Annual EPA Burden and Cost – </w:t>
      </w:r>
      <w:r w:rsidR="0029305D" w:rsidRPr="00D3420B">
        <w:rPr>
          <w:bCs/>
        </w:rPr>
        <w:t>NSPS for Greenhouse Gas Emissions for New Electric Utility Generating Units (40 CFR Part 60, Subpart TTTT) (Renewal).</w:t>
      </w:r>
      <w:r w:rsidR="00F47CA2" w:rsidRPr="00D3420B">
        <w:rPr>
          <w:bCs/>
        </w:rPr>
        <w:t xml:space="preserve"> There are approximately 32 facilities, </w:t>
      </w:r>
      <w:r w:rsidR="00F47CA2" w:rsidRPr="00D3420B">
        <w:t>operating 12 affected NGCC units and 25 affected natural gas-fired simple cycle CT units</w:t>
      </w:r>
      <w:r w:rsidR="00995188" w:rsidRPr="00D3420B">
        <w:t xml:space="preserve">, which are owned and operated by the </w:t>
      </w:r>
      <w:r w:rsidR="00A10747">
        <w:t>E</w:t>
      </w:r>
      <w:r w:rsidR="00995188" w:rsidRPr="00D3420B">
        <w:t xml:space="preserve">lectric </w:t>
      </w:r>
      <w:r w:rsidR="00A10747">
        <w:t>U</w:t>
      </w:r>
      <w:r w:rsidR="00995188" w:rsidRPr="00D3420B">
        <w:t xml:space="preserve">tility industry. None of the 32 facilities in the United States are owned by </w:t>
      </w:r>
      <w:r w:rsidR="00A10747">
        <w:t xml:space="preserve">either </w:t>
      </w:r>
      <w:r w:rsidR="00995188" w:rsidRPr="00D3420B">
        <w:t>state, local, tribal or the Federal government. They are all owned and operated by privately-owned, for-profit businesses. We assume that they will all respond</w:t>
      </w:r>
      <w:r w:rsidR="00A10747">
        <w:t xml:space="preserve"> to EPA inquiries</w:t>
      </w:r>
      <w:r w:rsidR="00995188" w:rsidRPr="00D3420B">
        <w:t xml:space="preserve">. </w:t>
      </w:r>
    </w:p>
    <w:p w14:paraId="19C52537" w14:textId="77777777" w:rsidR="00F47CA2" w:rsidRPr="00D3420B" w:rsidRDefault="00F47CA2">
      <w:pPr>
        <w:pBdr>
          <w:top w:val="single" w:sz="6" w:space="0" w:color="FFFFFF"/>
          <w:left w:val="single" w:sz="6" w:space="0" w:color="FFFFFF"/>
          <w:bottom w:val="single" w:sz="6" w:space="0" w:color="FFFFFF"/>
          <w:right w:val="single" w:sz="6" w:space="0" w:color="FFFFFF"/>
        </w:pBdr>
        <w:ind w:firstLine="720"/>
      </w:pPr>
    </w:p>
    <w:p w14:paraId="1709118D" w14:textId="1FE4D3AE"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Based on our consultations with industry representatives, there are an average of </w:t>
      </w:r>
      <w:r w:rsidR="00F47CA2" w:rsidRPr="00D3420B">
        <w:t xml:space="preserve">1.1 </w:t>
      </w:r>
      <w:r w:rsidRPr="00D3420B">
        <w:t xml:space="preserve">affected </w:t>
      </w:r>
      <w:r w:rsidR="00733561" w:rsidRPr="00D3420B">
        <w:t>unit</w:t>
      </w:r>
      <w:r w:rsidRPr="00D3420B">
        <w:t xml:space="preserve"> at each plant site and each plant site has only one respondent (i.e., the owner/operator of the plant site).</w:t>
      </w:r>
      <w:r w:rsidR="00F47CA2" w:rsidRPr="00D3420B">
        <w:t xml:space="preserve"> </w:t>
      </w:r>
    </w:p>
    <w:p w14:paraId="51F311CF"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4FF05E4" w14:textId="7845D209" w:rsidR="00CA4CD6" w:rsidRPr="00D3420B" w:rsidRDefault="00E10DA7">
      <w:pPr>
        <w:pBdr>
          <w:top w:val="single" w:sz="6" w:space="0" w:color="FFFFFF"/>
          <w:left w:val="single" w:sz="6" w:space="0" w:color="FFFFFF"/>
          <w:bottom w:val="single" w:sz="6" w:space="0" w:color="FFFFFF"/>
          <w:right w:val="single" w:sz="6" w:space="0" w:color="FFFFFF"/>
        </w:pBdr>
        <w:ind w:firstLine="720"/>
      </w:pPr>
      <w:r w:rsidRPr="00D3420B">
        <w:t xml:space="preserve">Over the next three years, </w:t>
      </w:r>
      <w:r w:rsidR="00D91C34" w:rsidRPr="00D3420B">
        <w:t xml:space="preserve">approximately </w:t>
      </w:r>
      <w:r w:rsidR="00995188" w:rsidRPr="00D3420B">
        <w:t xml:space="preserve">32 </w:t>
      </w:r>
      <w:r w:rsidR="00CA4CD6" w:rsidRPr="00D3420B">
        <w:t>respondents</w:t>
      </w:r>
      <w:r w:rsidR="00396C85" w:rsidRPr="00D3420B">
        <w:t xml:space="preserve"> </w:t>
      </w:r>
      <w:r w:rsidRPr="00D3420B">
        <w:t>per year will be subject to the</w:t>
      </w:r>
      <w:r w:rsidR="00A10747">
        <w:t>se</w:t>
      </w:r>
      <w:r w:rsidRPr="00D3420B">
        <w:t xml:space="preserve"> standard</w:t>
      </w:r>
      <w:r w:rsidR="00A10747">
        <w:t>s</w:t>
      </w:r>
      <w:r w:rsidR="00CA4CD6" w:rsidRPr="00D3420B">
        <w:t xml:space="preserve">, and </w:t>
      </w:r>
      <w:r w:rsidR="00504302" w:rsidRPr="00D3420B">
        <w:t xml:space="preserve">no </w:t>
      </w:r>
      <w:r w:rsidRPr="00D3420B">
        <w:t xml:space="preserve">additional </w:t>
      </w:r>
      <w:r w:rsidR="00CA4CD6" w:rsidRPr="00D3420B">
        <w:t xml:space="preserve">respondents </w:t>
      </w:r>
      <w:r w:rsidRPr="00D3420B">
        <w:t xml:space="preserve">per year </w:t>
      </w:r>
      <w:r w:rsidR="00CA4CD6" w:rsidRPr="00D3420B">
        <w:t>will become subject to the</w:t>
      </w:r>
      <w:r w:rsidR="00A10747">
        <w:t>se same</w:t>
      </w:r>
      <w:r w:rsidR="00CA4CD6" w:rsidRPr="00D3420B">
        <w:t xml:space="preserve"> </w:t>
      </w:r>
      <w:r w:rsidRPr="00D3420B">
        <w:t>standard</w:t>
      </w:r>
      <w:r w:rsidR="00A10747">
        <w:t>s</w:t>
      </w:r>
      <w:r w:rsidRPr="00D3420B">
        <w:t>.</w:t>
      </w:r>
      <w:r w:rsidR="009C7E97" w:rsidRPr="00D3420B">
        <w:t xml:space="preserve"> </w:t>
      </w:r>
    </w:p>
    <w:p w14:paraId="7691F7E8"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365C973F" w14:textId="028DE83A" w:rsidR="009D6567" w:rsidRPr="00D3420B" w:rsidRDefault="00992201">
      <w:pPr>
        <w:pBdr>
          <w:top w:val="single" w:sz="6" w:space="0" w:color="FFFFFF"/>
          <w:left w:val="single" w:sz="6" w:space="0" w:color="FFFFFF"/>
          <w:bottom w:val="single" w:sz="6" w:space="0" w:color="FFFFFF"/>
          <w:right w:val="single" w:sz="6" w:space="0" w:color="FFFFFF"/>
        </w:pBdr>
        <w:ind w:firstLine="720"/>
      </w:pPr>
      <w:bookmarkStart w:id="3" w:name="_Hlk531695615"/>
      <w:r w:rsidRPr="00D3420B">
        <w:t>The Office of Management and Budget (OMB) approved the currently</w:t>
      </w:r>
      <w:r w:rsidR="00A10747">
        <w:t>-</w:t>
      </w:r>
      <w:r w:rsidRPr="00D3420B">
        <w:t>active ICR without any “Terms of Clearance”.</w:t>
      </w:r>
      <w:bookmarkEnd w:id="3"/>
    </w:p>
    <w:p w14:paraId="70A26DD3" w14:textId="77777777" w:rsidR="002B29A5" w:rsidRPr="00D3420B" w:rsidRDefault="002B29A5" w:rsidP="002B29A5"/>
    <w:p w14:paraId="225C18C3" w14:textId="06250CC5" w:rsidR="00CA4CD6" w:rsidRPr="00D3420B" w:rsidRDefault="00CA4CD6" w:rsidP="00504745">
      <w:pPr>
        <w:pBdr>
          <w:top w:val="single" w:sz="6" w:space="0" w:color="FFFFFF"/>
          <w:left w:val="single" w:sz="6" w:space="0" w:color="FFFFFF"/>
          <w:bottom w:val="single" w:sz="6" w:space="0" w:color="FFFFFF"/>
          <w:right w:val="single" w:sz="6" w:space="0" w:color="FFFFFF"/>
        </w:pBdr>
        <w:outlineLvl w:val="0"/>
      </w:pPr>
      <w:r w:rsidRPr="00D3420B">
        <w:rPr>
          <w:b/>
          <w:bCs/>
        </w:rPr>
        <w:t>2.</w:t>
      </w:r>
      <w:r w:rsidR="009C7E97" w:rsidRPr="00D3420B">
        <w:rPr>
          <w:b/>
          <w:bCs/>
        </w:rPr>
        <w:t xml:space="preserve"> </w:t>
      </w:r>
      <w:r w:rsidRPr="00D3420B">
        <w:rPr>
          <w:b/>
          <w:bCs/>
        </w:rPr>
        <w:t>Need for and Use of the Collection</w:t>
      </w:r>
    </w:p>
    <w:p w14:paraId="422EB3E7"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D3420B" w:rsidRDefault="00CA4CD6">
      <w:pPr>
        <w:pBdr>
          <w:top w:val="single" w:sz="6" w:space="0" w:color="FFFFFF"/>
          <w:left w:val="single" w:sz="6" w:space="0" w:color="FFFFFF"/>
          <w:bottom w:val="single" w:sz="6" w:space="0" w:color="FFFFFF"/>
          <w:right w:val="single" w:sz="6" w:space="0" w:color="FFFFFF"/>
        </w:pBdr>
        <w:ind w:firstLine="720"/>
        <w:rPr>
          <w:b/>
          <w:bCs/>
        </w:rPr>
      </w:pPr>
      <w:r w:rsidRPr="00D3420B">
        <w:rPr>
          <w:b/>
          <w:bCs/>
        </w:rPr>
        <w:t>2(a)</w:t>
      </w:r>
      <w:r w:rsidR="009C7E97" w:rsidRPr="00D3420B">
        <w:rPr>
          <w:b/>
          <w:bCs/>
        </w:rPr>
        <w:t xml:space="preserve"> </w:t>
      </w:r>
      <w:r w:rsidRPr="00D3420B">
        <w:rPr>
          <w:b/>
          <w:bCs/>
        </w:rPr>
        <w:t>Need/Authority for the Collection</w:t>
      </w:r>
    </w:p>
    <w:p w14:paraId="026866BC"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A39E35B" w14:textId="416C347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The EPA is charged under Section 111 of the Clean Air Act (CAA), as amended, </w:t>
      </w:r>
      <w:r w:rsidR="00A10747">
        <w:t xml:space="preserve">           </w:t>
      </w:r>
      <w:r w:rsidRPr="00D3420B">
        <w:t xml:space="preserve">to establish standards of performance for new stationary sources that reflect: </w:t>
      </w:r>
    </w:p>
    <w:p w14:paraId="19D40895"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D3420B" w:rsidRDefault="00CA4CD6">
      <w:pPr>
        <w:pBdr>
          <w:top w:val="single" w:sz="6" w:space="0" w:color="FFFFFF"/>
          <w:left w:val="single" w:sz="6" w:space="0" w:color="FFFFFF"/>
          <w:bottom w:val="single" w:sz="6" w:space="0" w:color="FFFFFF"/>
          <w:right w:val="single" w:sz="6" w:space="0" w:color="FFFFFF"/>
        </w:pBdr>
        <w:ind w:left="1440" w:right="1440"/>
      </w:pPr>
      <w:r w:rsidRPr="00D3420B">
        <w:rPr>
          <w:b/>
          <w:bCs/>
        </w:rPr>
        <w:t>. . .</w:t>
      </w:r>
      <w:r w:rsidRPr="00D3420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D3420B">
        <w:t xml:space="preserve"> </w:t>
      </w:r>
      <w:r w:rsidRPr="00D3420B">
        <w:t>Section 111(a)(l).</w:t>
      </w:r>
    </w:p>
    <w:p w14:paraId="76467C94"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0F06054" w14:textId="77777777" w:rsidR="00995188" w:rsidRPr="00D3420B" w:rsidRDefault="00CA4CD6" w:rsidP="00995188">
      <w:pPr>
        <w:pBdr>
          <w:top w:val="single" w:sz="6" w:space="0" w:color="FFFFFF"/>
          <w:left w:val="single" w:sz="6" w:space="0" w:color="FFFFFF"/>
          <w:bottom w:val="single" w:sz="6" w:space="0" w:color="FFFFFF"/>
          <w:right w:val="single" w:sz="6" w:space="0" w:color="FFFFFF"/>
        </w:pBdr>
        <w:ind w:firstLine="720"/>
      </w:pPr>
      <w:r w:rsidRPr="00D3420B">
        <w:t>The Agency refers to this charge as selecting the best demonstrated technology (BDT).</w:t>
      </w:r>
      <w:r w:rsidR="009C7E97" w:rsidRPr="00D3420B">
        <w:t xml:space="preserve"> </w:t>
      </w:r>
      <w:r w:rsidRPr="00D3420B">
        <w:t xml:space="preserve">Section 111 also requires that the Administrator review and, if appropriate, revise such standards every </w:t>
      </w:r>
      <w:r w:rsidR="00E90E82" w:rsidRPr="00D3420B">
        <w:t>eight</w:t>
      </w:r>
      <w:r w:rsidRPr="00D3420B">
        <w:t xml:space="preserve"> years.</w:t>
      </w:r>
      <w:r w:rsidR="00995188" w:rsidRPr="00D3420B">
        <w:t xml:space="preserve"> In addition, section 114(a) states that the Administrator may require any owner/operator subject to any requirement of this Act to: </w:t>
      </w:r>
    </w:p>
    <w:p w14:paraId="40AC35D5" w14:textId="77777777" w:rsidR="00995188" w:rsidRPr="00D3420B" w:rsidRDefault="00995188" w:rsidP="00995188">
      <w:pPr>
        <w:pBdr>
          <w:top w:val="single" w:sz="6" w:space="0" w:color="FFFFFF"/>
          <w:left w:val="single" w:sz="6" w:space="0" w:color="FFFFFF"/>
          <w:bottom w:val="single" w:sz="6" w:space="0" w:color="FFFFFF"/>
          <w:right w:val="single" w:sz="6" w:space="0" w:color="FFFFFF"/>
        </w:pBdr>
      </w:pPr>
    </w:p>
    <w:p w14:paraId="00224DFB" w14:textId="7C521CD7" w:rsidR="0029305D" w:rsidRPr="00D3420B" w:rsidRDefault="00995188" w:rsidP="0038203D">
      <w:pPr>
        <w:pBdr>
          <w:top w:val="single" w:sz="6" w:space="0" w:color="FFFFFF"/>
          <w:left w:val="single" w:sz="6" w:space="0" w:color="FFFFFF"/>
          <w:bottom w:val="single" w:sz="6" w:space="0" w:color="FFFFFF"/>
          <w:right w:val="single" w:sz="6" w:space="0" w:color="FFFFFF"/>
        </w:pBdr>
        <w:ind w:left="1440" w:right="1440"/>
      </w:pPr>
      <w:r w:rsidRPr="00D3420B">
        <w:t xml:space="preserve">(A) Establish and maintain such records; (B) make such reports; (C) install, use, and maintain such monitoring equipment, and use such audit procedures, or methods; (D) sample such emissions (in </w:t>
      </w:r>
      <w:r w:rsidRPr="00D3420B">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69954608" w14:textId="7A582FDC"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In the Administrator's judgment, </w:t>
      </w:r>
      <w:r w:rsidR="0029305D" w:rsidRPr="00D3420B">
        <w:t>CO</w:t>
      </w:r>
      <w:r w:rsidR="0029305D" w:rsidRPr="00D3420B">
        <w:rPr>
          <w:vertAlign w:val="subscript"/>
        </w:rPr>
        <w:t>2</w:t>
      </w:r>
      <w:r w:rsidRPr="00D3420B">
        <w:t xml:space="preserve"> emissions from </w:t>
      </w:r>
      <w:r w:rsidR="0029305D" w:rsidRPr="00D3420B">
        <w:t>EGUs</w:t>
      </w:r>
      <w:r w:rsidRPr="00D3420B">
        <w:t xml:space="preserve"> </w:t>
      </w:r>
      <w:r w:rsidR="00A10747">
        <w:t xml:space="preserve">either </w:t>
      </w:r>
      <w:r w:rsidRPr="00D3420B">
        <w:t xml:space="preserve">cause or contribute to air pollution that may reasonably be anticipated to endanger public health </w:t>
      </w:r>
      <w:r w:rsidR="00A10747">
        <w:t>and/</w:t>
      </w:r>
      <w:r w:rsidRPr="00D3420B">
        <w:t>or welfare.</w:t>
      </w:r>
      <w:r w:rsidR="009C7E97" w:rsidRPr="00D3420B">
        <w:t xml:space="preserve"> </w:t>
      </w:r>
      <w:r w:rsidRPr="00D3420B">
        <w:t>Therefore, the</w:t>
      </w:r>
      <w:r w:rsidR="0029305D" w:rsidRPr="00D3420B">
        <w:t xml:space="preserve"> NSPS</w:t>
      </w:r>
      <w:r w:rsidRPr="00D3420B">
        <w:t xml:space="preserve"> were promulgated for this source category at 40 CFR </w:t>
      </w:r>
      <w:r w:rsidR="006810C3" w:rsidRPr="00D3420B">
        <w:t xml:space="preserve">Part </w:t>
      </w:r>
      <w:r w:rsidRPr="00D3420B">
        <w:t>60,</w:t>
      </w:r>
      <w:r w:rsidRPr="00D3420B">
        <w:rPr>
          <w:b/>
          <w:bCs/>
          <w:i/>
          <w:iCs/>
        </w:rPr>
        <w:t xml:space="preserve"> </w:t>
      </w:r>
      <w:r w:rsidR="006810C3" w:rsidRPr="00D3420B">
        <w:t xml:space="preserve">Subpart </w:t>
      </w:r>
      <w:r w:rsidR="0029305D" w:rsidRPr="00D3420B">
        <w:t>TTTT</w:t>
      </w:r>
      <w:r w:rsidRPr="00D3420B">
        <w:t>.</w:t>
      </w:r>
    </w:p>
    <w:p w14:paraId="7731FDB9" w14:textId="77777777" w:rsidR="00CA4CD6" w:rsidRPr="00D3420B" w:rsidRDefault="00CA4CD6" w:rsidP="00CE4204">
      <w:pPr>
        <w:pBdr>
          <w:top w:val="single" w:sz="6" w:space="0" w:color="FFFFFF"/>
          <w:left w:val="single" w:sz="6" w:space="0" w:color="FFFFFF"/>
          <w:bottom w:val="single" w:sz="6" w:space="0" w:color="FFFFFF"/>
          <w:right w:val="single" w:sz="6" w:space="0" w:color="FFFFFF"/>
        </w:pBdr>
      </w:pPr>
    </w:p>
    <w:p w14:paraId="53DF9898" w14:textId="7B8F7076"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2(b)</w:t>
      </w:r>
      <w:r w:rsidR="009C7E97" w:rsidRPr="00D3420B">
        <w:rPr>
          <w:b/>
          <w:bCs/>
        </w:rPr>
        <w:t xml:space="preserve"> </w:t>
      </w:r>
      <w:r w:rsidRPr="00D3420B">
        <w:rPr>
          <w:b/>
          <w:bCs/>
        </w:rPr>
        <w:t>Practical Utility/Users of the Data</w:t>
      </w:r>
    </w:p>
    <w:p w14:paraId="16A166A4" w14:textId="5EF379D8" w:rsidR="00CA4CD6" w:rsidRPr="00D3420B" w:rsidRDefault="00CA4CD6">
      <w:pPr>
        <w:pBdr>
          <w:top w:val="single" w:sz="6" w:space="0" w:color="FFFFFF"/>
          <w:left w:val="single" w:sz="6" w:space="0" w:color="FFFFFF"/>
          <w:bottom w:val="single" w:sz="6" w:space="0" w:color="FFFFFF"/>
          <w:right w:val="single" w:sz="6" w:space="0" w:color="FFFFFF"/>
        </w:pBdr>
      </w:pPr>
    </w:p>
    <w:p w14:paraId="0991F016" w14:textId="2431062E" w:rsidR="00CA4CD6" w:rsidRPr="00D3420B" w:rsidRDefault="0029305D" w:rsidP="00CE4204">
      <w:pPr>
        <w:pBdr>
          <w:top w:val="single" w:sz="6" w:space="0" w:color="FFFFFF"/>
          <w:left w:val="single" w:sz="6" w:space="0" w:color="FFFFFF"/>
          <w:bottom w:val="single" w:sz="6" w:space="0" w:color="FFFFFF"/>
          <w:right w:val="single" w:sz="6" w:space="0" w:color="FFFFFF"/>
        </w:pBdr>
      </w:pPr>
      <w:r w:rsidRPr="00D3420B">
        <w:tab/>
      </w:r>
      <w:r w:rsidR="00CA4CD6" w:rsidRPr="00D3420B">
        <w:t xml:space="preserve">The recordkeeping and reporting requirements in the standard ensure compliance with </w:t>
      </w:r>
      <w:r w:rsidR="00A10747">
        <w:t xml:space="preserve"> </w:t>
      </w:r>
      <w:r w:rsidR="00CA4CD6" w:rsidRPr="00D3420B">
        <w:t xml:space="preserve">the applicable regulations which </w:t>
      </w:r>
      <w:r w:rsidR="00556535" w:rsidRPr="00D3420B">
        <w:t>were</w:t>
      </w:r>
      <w:r w:rsidR="00CA4CD6" w:rsidRPr="00D3420B">
        <w:t xml:space="preserve"> promulgated in accordance with the Clean Air Act.</w:t>
      </w:r>
      <w:r w:rsidR="009C7E97" w:rsidRPr="00D3420B">
        <w:t xml:space="preserve"> </w:t>
      </w:r>
      <w:r w:rsidR="00CA4CD6" w:rsidRPr="00D3420B">
        <w:t>The collected information is also used for targeting inspections and as evidence in legal proceedings.</w:t>
      </w:r>
    </w:p>
    <w:p w14:paraId="3EB42F78"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5AE16A17" w14:textId="77241062" w:rsidR="00CA4CD6" w:rsidRPr="00D3420B" w:rsidRDefault="004A1271">
      <w:pPr>
        <w:pBdr>
          <w:top w:val="single" w:sz="6" w:space="0" w:color="FFFFFF"/>
          <w:left w:val="single" w:sz="6" w:space="0" w:color="FFFFFF"/>
          <w:bottom w:val="single" w:sz="6" w:space="0" w:color="FFFFFF"/>
          <w:right w:val="single" w:sz="6" w:space="0" w:color="FFFFFF"/>
        </w:pBdr>
      </w:pPr>
      <w:r w:rsidRPr="00D3420B">
        <w:t xml:space="preserve"> </w:t>
      </w:r>
      <w:r w:rsidR="00177CC7" w:rsidRPr="00D3420B">
        <w:tab/>
      </w:r>
      <w:r w:rsidRPr="00D3420B">
        <w:t>The rule requires continuous emission monitors to measure CO</w:t>
      </w:r>
      <w:r w:rsidRPr="00D3420B">
        <w:rPr>
          <w:vertAlign w:val="subscript"/>
        </w:rPr>
        <w:t>2</w:t>
      </w:r>
      <w:r w:rsidRPr="00D3420B">
        <w:t xml:space="preserve"> concentration, stack gas flow rate, and stack gas moisture content in accordance with 40 CFR part 75 in order to determine hourly CO</w:t>
      </w:r>
      <w:r w:rsidRPr="00D3420B">
        <w:rPr>
          <w:vertAlign w:val="subscript"/>
        </w:rPr>
        <w:t>2</w:t>
      </w:r>
      <w:r w:rsidRPr="00D3420B">
        <w:t xml:space="preserve"> mass emissions rates. The rule allows owners or operators of EGUs that burn exclusively gaseous or liquid fuels to install fuel flow meters and monitor fuel flow rate, the gross calorific value (GCV) of the fuel, unit operating time, and gross output in place of a continuous emissions monitor. The initial performance compliance demonstration consists of calculating the CO</w:t>
      </w:r>
      <w:r w:rsidRPr="00D3420B">
        <w:rPr>
          <w:vertAlign w:val="subscript"/>
        </w:rPr>
        <w:t>2</w:t>
      </w:r>
      <w:r w:rsidRPr="00D3420B">
        <w:t xml:space="preserve"> mass emissions rate using the first 12 operating months of data (hourly CO</w:t>
      </w:r>
      <w:r w:rsidRPr="00D3420B">
        <w:rPr>
          <w:vertAlign w:val="subscript"/>
        </w:rPr>
        <w:t>2</w:t>
      </w:r>
      <w:r w:rsidRPr="00D3420B">
        <w:t xml:space="preserve"> average concentration, mass flow rate, and electrical power generation) on a rolling average basis. </w:t>
      </w:r>
    </w:p>
    <w:p w14:paraId="74487C15" w14:textId="77777777" w:rsidR="00A10747" w:rsidRDefault="00A10747" w:rsidP="0038203D">
      <w:pPr>
        <w:pStyle w:val="Para"/>
        <w:rPr>
          <w:rFonts w:ascii="Times New Roman" w:hAnsi="Times New Roman"/>
        </w:rPr>
      </w:pPr>
    </w:p>
    <w:p w14:paraId="14AFE8F2" w14:textId="135D100F" w:rsidR="00CA4CD6" w:rsidRPr="00D3420B" w:rsidRDefault="00A76CFA" w:rsidP="0038203D">
      <w:pPr>
        <w:pStyle w:val="Para"/>
        <w:rPr>
          <w:rFonts w:ascii="Times New Roman" w:hAnsi="Times New Roman"/>
          <w:szCs w:val="24"/>
        </w:rPr>
      </w:pPr>
      <w:r w:rsidRPr="00D3420B">
        <w:rPr>
          <w:rFonts w:ascii="Times New Roman" w:hAnsi="Times New Roman"/>
        </w:rPr>
        <w:t>Owners or operators of newly constructed, modified, or reconstructed units are required to comply with the notification, reporting, and recordkeeping requirements in the section 111 regulatory general provisions (40 CFR part 60, subpart A), in 40 CFR part 75, and in 40 CFR part 98. Owners or operators must record hourly average CO</w:t>
      </w:r>
      <w:r w:rsidRPr="00D3420B">
        <w:rPr>
          <w:rFonts w:ascii="Times New Roman" w:hAnsi="Times New Roman"/>
          <w:vertAlign w:val="subscript"/>
        </w:rPr>
        <w:t>2</w:t>
      </w:r>
      <w:r w:rsidRPr="00D3420B">
        <w:rPr>
          <w:rFonts w:ascii="Times New Roman" w:hAnsi="Times New Roman"/>
        </w:rPr>
        <w:t xml:space="preserve"> emissions concentration, hourly average flow rate, unit operating time, and gross electric generation, and keep records of calculations performed in determining compliance. </w:t>
      </w:r>
      <w:r w:rsidR="00CA4CD6" w:rsidRPr="00D3420B">
        <w:t>The notifications</w:t>
      </w:r>
      <w:r w:rsidR="004A1271" w:rsidRPr="00D3420B">
        <w:t>, reports,</w:t>
      </w:r>
      <w:r w:rsidR="00CA4CD6" w:rsidRPr="00D3420B">
        <w:t xml:space="preserve"> </w:t>
      </w:r>
      <w:r w:rsidR="004A1271" w:rsidRPr="00D3420B">
        <w:t xml:space="preserve">and records </w:t>
      </w:r>
      <w:r w:rsidR="00CA4CD6" w:rsidRPr="00D3420B">
        <w:t>required in the</w:t>
      </w:r>
      <w:r w:rsidR="00A10747">
        <w:t>se</w:t>
      </w:r>
      <w:r w:rsidR="00CA4CD6" w:rsidRPr="00D3420B">
        <w:t xml:space="preserve"> standard</w:t>
      </w:r>
      <w:r w:rsidR="00A10747">
        <w:t>s</w:t>
      </w:r>
      <w:r w:rsidR="00CA4CD6" w:rsidRPr="00D3420B">
        <w:t xml:space="preserve"> are used to</w:t>
      </w:r>
      <w:r w:rsidR="00995188" w:rsidRPr="00D3420B">
        <w:rPr>
          <w:rFonts w:ascii="Times New Roman" w:hAnsi="Times New Roman"/>
        </w:rPr>
        <w:t xml:space="preserve">: 1) inform the Agency or delegated authority when </w:t>
      </w:r>
      <w:r w:rsidR="00995188" w:rsidRPr="00D3420B">
        <w:rPr>
          <w:rFonts w:ascii="Times New Roman" w:hAnsi="Times New Roman"/>
          <w:szCs w:val="24"/>
        </w:rPr>
        <w:t>newly constructed, modified, and reconstructed EGUs become subject to the</w:t>
      </w:r>
      <w:r w:rsidR="00A10747">
        <w:rPr>
          <w:rFonts w:ascii="Times New Roman" w:hAnsi="Times New Roman"/>
          <w:szCs w:val="24"/>
        </w:rPr>
        <w:t>se</w:t>
      </w:r>
      <w:r w:rsidR="00995188" w:rsidRPr="00D3420B">
        <w:rPr>
          <w:rFonts w:ascii="Times New Roman" w:hAnsi="Times New Roman"/>
          <w:szCs w:val="24"/>
        </w:rPr>
        <w:t xml:space="preserve"> standards</w:t>
      </w:r>
      <w:r w:rsidR="00A10747">
        <w:rPr>
          <w:rFonts w:ascii="Times New Roman" w:hAnsi="Times New Roman"/>
          <w:szCs w:val="24"/>
        </w:rPr>
        <w:t>;</w:t>
      </w:r>
      <w:r w:rsidR="00995188" w:rsidRPr="00D3420B">
        <w:rPr>
          <w:rFonts w:ascii="Times New Roman" w:hAnsi="Times New Roman"/>
          <w:szCs w:val="24"/>
        </w:rPr>
        <w:t xml:space="preserve"> 2) ensure that the NSPS is being properly applied; 3) identify those facilities that should be inspected; 4) identify those facilities that may benefit from compliance assistance activities; and 5) ensure that process and emissions control/monitoring equipment are being properly operated and maintained on a continuous basis.</w:t>
      </w:r>
    </w:p>
    <w:p w14:paraId="6AAD95B8" w14:textId="5952E4D8" w:rsidR="00CD5A94" w:rsidRPr="00D3420B" w:rsidRDefault="00CD5A94" w:rsidP="00F704D2">
      <w:pPr>
        <w:pBdr>
          <w:top w:val="single" w:sz="6" w:space="0" w:color="FFFFFF"/>
          <w:left w:val="single" w:sz="6" w:space="0" w:color="FFFFFF"/>
          <w:bottom w:val="single" w:sz="6" w:space="0" w:color="FFFFFF"/>
          <w:right w:val="single" w:sz="6" w:space="0" w:color="FFFFFF"/>
        </w:pBdr>
        <w:ind w:firstLine="720"/>
      </w:pPr>
      <w:r w:rsidRPr="00D3420B">
        <w:t>The required quarterly reports are used to determine periods of excess emissions, identify problems at the facility, verify operation/maintenance procedures, and for compliance determinations.</w:t>
      </w:r>
    </w:p>
    <w:p w14:paraId="6E24BED6" w14:textId="77777777" w:rsidR="00606DEF" w:rsidRPr="00D3420B" w:rsidRDefault="00606DEF">
      <w:pPr>
        <w:pBdr>
          <w:top w:val="single" w:sz="6" w:space="0" w:color="FFFFFF"/>
          <w:left w:val="single" w:sz="6" w:space="0" w:color="FFFFFF"/>
          <w:bottom w:val="single" w:sz="6" w:space="0" w:color="FFFFFF"/>
          <w:right w:val="single" w:sz="6" w:space="0" w:color="FFFFFF"/>
        </w:pBdr>
      </w:pPr>
    </w:p>
    <w:p w14:paraId="12BA0C09" w14:textId="44502564" w:rsidR="00CA4CD6" w:rsidRPr="00D3420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3420B">
        <w:rPr>
          <w:b/>
          <w:bCs/>
        </w:rPr>
        <w:t>3.</w:t>
      </w:r>
      <w:r w:rsidR="009C7E97" w:rsidRPr="00D3420B">
        <w:rPr>
          <w:b/>
          <w:bCs/>
        </w:rPr>
        <w:t xml:space="preserve"> </w:t>
      </w:r>
      <w:r w:rsidRPr="00D3420B">
        <w:rPr>
          <w:b/>
          <w:bCs/>
        </w:rPr>
        <w:t>Non</w:t>
      </w:r>
      <w:r w:rsidR="00A10747">
        <w:rPr>
          <w:b/>
          <w:bCs/>
        </w:rPr>
        <w:t>-</w:t>
      </w:r>
      <w:r w:rsidRPr="00D3420B">
        <w:rPr>
          <w:b/>
          <w:bCs/>
        </w:rPr>
        <w:t>duplication, Consultations, and Other Collection Criteria</w:t>
      </w:r>
    </w:p>
    <w:p w14:paraId="066C6527"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07713F45" w14:textId="4862E691" w:rsidR="00CA4CD6" w:rsidRPr="00D3420B" w:rsidRDefault="00CA4CD6">
      <w:pPr>
        <w:pBdr>
          <w:top w:val="single" w:sz="6" w:space="0" w:color="FFFFFF"/>
          <w:left w:val="single" w:sz="6" w:space="0" w:color="FFFFFF"/>
          <w:bottom w:val="single" w:sz="6" w:space="0" w:color="FFFFFF"/>
          <w:right w:val="single" w:sz="6" w:space="0" w:color="FFFFFF"/>
        </w:pBdr>
        <w:ind w:firstLine="720"/>
        <w:rPr>
          <w:b/>
          <w:bCs/>
        </w:rPr>
      </w:pPr>
      <w:r w:rsidRPr="00D3420B">
        <w:t>The requested recordkeeping an</w:t>
      </w:r>
      <w:r w:rsidR="003F1AFC" w:rsidRPr="00D3420B">
        <w:t xml:space="preserve">d reporting are required under </w:t>
      </w:r>
      <w:r w:rsidRPr="00D3420B">
        <w:t xml:space="preserve">40 CFR </w:t>
      </w:r>
      <w:r w:rsidR="006810C3" w:rsidRPr="00D3420B">
        <w:t xml:space="preserve">Part </w:t>
      </w:r>
      <w:r w:rsidRPr="00D3420B">
        <w:t xml:space="preserve">60, </w:t>
      </w:r>
      <w:r w:rsidR="006810C3" w:rsidRPr="00D3420B">
        <w:t>Subpart</w:t>
      </w:r>
      <w:r w:rsidR="003F1AFC" w:rsidRPr="00D3420B">
        <w:t xml:space="preserve"> </w:t>
      </w:r>
      <w:r w:rsidR="0029305D" w:rsidRPr="00D3420B">
        <w:t>TTTT</w:t>
      </w:r>
      <w:r w:rsidRPr="00D3420B">
        <w:t>.</w:t>
      </w:r>
    </w:p>
    <w:p w14:paraId="1E94F317"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533E7599" w14:textId="51B7357C"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3(a)</w:t>
      </w:r>
      <w:r w:rsidR="009C7E97" w:rsidRPr="00D3420B">
        <w:rPr>
          <w:b/>
          <w:bCs/>
        </w:rPr>
        <w:t xml:space="preserve"> </w:t>
      </w:r>
      <w:r w:rsidRPr="00D3420B">
        <w:rPr>
          <w:b/>
          <w:bCs/>
        </w:rPr>
        <w:t>Non</w:t>
      </w:r>
      <w:r w:rsidR="00A10747">
        <w:rPr>
          <w:b/>
          <w:bCs/>
        </w:rPr>
        <w:t>-</w:t>
      </w:r>
      <w:r w:rsidRPr="00D3420B">
        <w:rPr>
          <w:b/>
          <w:bCs/>
        </w:rPr>
        <w:t>duplication</w:t>
      </w:r>
    </w:p>
    <w:p w14:paraId="1E3249EC"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0A4AA653" w14:textId="0276F83C"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 If the subject standard</w:t>
      </w:r>
      <w:r w:rsidR="00A10747">
        <w:t>(</w:t>
      </w:r>
      <w:r w:rsidRPr="00D3420B">
        <w:t>s</w:t>
      </w:r>
      <w:r w:rsidR="00A10747">
        <w:t>)</w:t>
      </w:r>
      <w:r w:rsidRPr="00D3420B">
        <w:t xml:space="preserve"> have not been delegated, the information is sent directly to the appropriate EPA regional office.</w:t>
      </w:r>
      <w:r w:rsidR="009C7E97" w:rsidRPr="00D3420B">
        <w:t xml:space="preserve"> </w:t>
      </w:r>
      <w:r w:rsidRPr="00D3420B">
        <w:t>Otherwise, the information is sent directly to the delegated state or local agency.</w:t>
      </w:r>
      <w:r w:rsidR="009C7E97" w:rsidRPr="00D3420B">
        <w:t xml:space="preserve"> </w:t>
      </w:r>
      <w:r w:rsidRPr="00D3420B">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D3420B">
        <w:t xml:space="preserve"> </w:t>
      </w:r>
      <w:r w:rsidRPr="00D3420B">
        <w:t xml:space="preserve">Therefore, duplication </w:t>
      </w:r>
      <w:r w:rsidR="00A10747">
        <w:t xml:space="preserve">does not </w:t>
      </w:r>
      <w:r w:rsidRPr="00D3420B">
        <w:t>exist.</w:t>
      </w:r>
    </w:p>
    <w:p w14:paraId="6CDB6B7B"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3(b)</w:t>
      </w:r>
      <w:r w:rsidR="009C7E97" w:rsidRPr="00D3420B">
        <w:rPr>
          <w:b/>
          <w:bCs/>
        </w:rPr>
        <w:t xml:space="preserve"> </w:t>
      </w:r>
      <w:r w:rsidRPr="00D3420B">
        <w:rPr>
          <w:b/>
          <w:bCs/>
        </w:rPr>
        <w:t>Public Notice Required Prior to ICR Submission to OMB</w:t>
      </w:r>
    </w:p>
    <w:p w14:paraId="6A95B63F"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0C7D8B1F" w14:textId="49C3899B"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An announcement of a public comment period for the renewal of this ICR was published in the </w:t>
      </w:r>
      <w:r w:rsidRPr="00D3420B">
        <w:rPr>
          <w:i/>
        </w:rPr>
        <w:t>Federal Register</w:t>
      </w:r>
      <w:r w:rsidRPr="00D3420B">
        <w:t xml:space="preserve"> (</w:t>
      </w:r>
      <w:r w:rsidR="00504302" w:rsidRPr="00D3420B">
        <w:t>83 FR 24785</w:t>
      </w:r>
      <w:r w:rsidRPr="00D3420B">
        <w:t xml:space="preserve">) on </w:t>
      </w:r>
      <w:r w:rsidR="00F27717" w:rsidRPr="00D3420B">
        <w:t>May 30, 2018.</w:t>
      </w:r>
      <w:r w:rsidR="009C7E97" w:rsidRPr="00D3420B">
        <w:t xml:space="preserve"> </w:t>
      </w:r>
      <w:r w:rsidRPr="00D3420B">
        <w:t xml:space="preserve">No comments were received on the </w:t>
      </w:r>
      <w:r w:rsidR="00A10747">
        <w:t>‘</w:t>
      </w:r>
      <w:r w:rsidRPr="00D3420B">
        <w:t>burden</w:t>
      </w:r>
      <w:r w:rsidR="00A10747">
        <w:t>’</w:t>
      </w:r>
      <w:r w:rsidRPr="00D3420B">
        <w:t xml:space="preserve"> published in the </w:t>
      </w:r>
      <w:r w:rsidRPr="00D3420B">
        <w:rPr>
          <w:i/>
        </w:rPr>
        <w:t>Federal Register</w:t>
      </w:r>
      <w:r w:rsidR="00DC56DE" w:rsidRPr="00D3420B">
        <w:rPr>
          <w:i/>
        </w:rPr>
        <w:t xml:space="preserve"> </w:t>
      </w:r>
      <w:r w:rsidR="00DC56DE" w:rsidRPr="00D3420B">
        <w:t>for this renewal</w:t>
      </w:r>
      <w:r w:rsidR="00F27717" w:rsidRPr="00D3420B">
        <w:t>.</w:t>
      </w:r>
      <w:r w:rsidRPr="00D3420B">
        <w:t xml:space="preserve"> </w:t>
      </w:r>
    </w:p>
    <w:p w14:paraId="474EDDE2"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D3420B" w:rsidRDefault="00123889" w:rsidP="00123889">
      <w:pPr>
        <w:pBdr>
          <w:top w:val="single" w:sz="6" w:space="0" w:color="FFFFFF"/>
          <w:left w:val="single" w:sz="6" w:space="0" w:color="FFFFFF"/>
          <w:bottom w:val="single" w:sz="6" w:space="0" w:color="FFFFFF"/>
          <w:right w:val="single" w:sz="6" w:space="0" w:color="FFFFFF"/>
        </w:pBdr>
        <w:ind w:firstLine="720"/>
      </w:pPr>
      <w:r w:rsidRPr="00D3420B">
        <w:rPr>
          <w:b/>
          <w:bCs/>
        </w:rPr>
        <w:t>3(c)</w:t>
      </w:r>
      <w:r w:rsidR="009C7E97" w:rsidRPr="00D3420B">
        <w:rPr>
          <w:b/>
          <w:bCs/>
        </w:rPr>
        <w:t xml:space="preserve"> </w:t>
      </w:r>
      <w:r w:rsidRPr="00D3420B">
        <w:rPr>
          <w:b/>
          <w:bCs/>
        </w:rPr>
        <w:t>Consultations</w:t>
      </w:r>
    </w:p>
    <w:p w14:paraId="0193644F" w14:textId="77777777" w:rsidR="00E53137" w:rsidRPr="00D3420B" w:rsidRDefault="00E53137" w:rsidP="00D92F66">
      <w:pPr>
        <w:spacing w:line="244" w:lineRule="exact"/>
      </w:pPr>
    </w:p>
    <w:p w14:paraId="7E521393" w14:textId="7B197CD8" w:rsidR="00277F42" w:rsidRPr="00D3420B" w:rsidRDefault="0023313F" w:rsidP="00CE4204">
      <w:pPr>
        <w:rPr>
          <w:strike/>
          <w:sz w:val="22"/>
          <w:szCs w:val="22"/>
        </w:rPr>
      </w:pPr>
      <w:r w:rsidRPr="00D3420B">
        <w:tab/>
      </w:r>
      <w:r w:rsidR="002B6993" w:rsidRPr="00D3420B">
        <w:t>The Agency has consulted i</w:t>
      </w:r>
      <w:r w:rsidR="00E25DB6" w:rsidRPr="00D3420B">
        <w:rPr>
          <w:bCs/>
        </w:rPr>
        <w:t xml:space="preserve">ndustry experts and internal data sources </w:t>
      </w:r>
      <w:r w:rsidR="002B6993" w:rsidRPr="00D3420B">
        <w:rPr>
          <w:bCs/>
        </w:rPr>
        <w:t xml:space="preserve">to </w:t>
      </w:r>
      <w:r w:rsidR="00E25DB6" w:rsidRPr="00D3420B">
        <w:rPr>
          <w:bCs/>
        </w:rPr>
        <w:t>project</w:t>
      </w:r>
      <w:r w:rsidR="002B6993" w:rsidRPr="00D3420B">
        <w:rPr>
          <w:bCs/>
        </w:rPr>
        <w:t xml:space="preserve"> the number of affected facilities and </w:t>
      </w:r>
      <w:r w:rsidR="00E25DB6" w:rsidRPr="00D3420B">
        <w:rPr>
          <w:bCs/>
        </w:rPr>
        <w:t>industry growth over the next three years.</w:t>
      </w:r>
      <w:r w:rsidR="009C7E97" w:rsidRPr="00D3420B">
        <w:rPr>
          <w:b/>
          <w:bCs/>
        </w:rPr>
        <w:t xml:space="preserve"> </w:t>
      </w:r>
      <w:r w:rsidR="00277F42" w:rsidRPr="00D3420B">
        <w:t>The primary source of information as reported by industry, in compliance with the recordkeeping and reporting provisions in the</w:t>
      </w:r>
      <w:r w:rsidR="00A10747">
        <w:t>se</w:t>
      </w:r>
      <w:r w:rsidR="00277F42" w:rsidRPr="00D3420B">
        <w:t xml:space="preserve"> standard</w:t>
      </w:r>
      <w:r w:rsidR="00A10747">
        <w:t>s</w:t>
      </w:r>
      <w:r w:rsidR="00277F42" w:rsidRPr="00D3420B">
        <w:t xml:space="preserve">, </w:t>
      </w:r>
      <w:r w:rsidR="00CC5B39" w:rsidRPr="00D3420B">
        <w:t>is the Integrated Compliance Information System (ICIS).</w:t>
      </w:r>
      <w:r w:rsidR="009C7E97" w:rsidRPr="00D3420B">
        <w:t xml:space="preserve"> </w:t>
      </w:r>
      <w:r w:rsidR="00CC5B39" w:rsidRPr="00D3420B">
        <w:t>ICIS is EPA’s database for the collection, maintenance, and retrieval of compliance data for industrial and government-owned facilities.</w:t>
      </w:r>
      <w:r w:rsidR="009C7E97" w:rsidRPr="00D3420B">
        <w:rPr>
          <w:sz w:val="22"/>
          <w:szCs w:val="22"/>
        </w:rPr>
        <w:t xml:space="preserve"> </w:t>
      </w:r>
      <w:r w:rsidR="00277F42" w:rsidRPr="00D3420B">
        <w:t xml:space="preserve">The growth rate for the industry is based on our consultations with the Agency’s internal industry experts. Approximately </w:t>
      </w:r>
      <w:r w:rsidR="00E0029A" w:rsidRPr="00D3420B">
        <w:t>32</w:t>
      </w:r>
      <w:r w:rsidR="00277F42" w:rsidRPr="00D3420B">
        <w:t xml:space="preserve"> respondents will be subject to the</w:t>
      </w:r>
      <w:r w:rsidR="00A10747">
        <w:t>se</w:t>
      </w:r>
      <w:r w:rsidR="00277F42" w:rsidRPr="00D3420B">
        <w:t xml:space="preserve"> </w:t>
      </w:r>
      <w:r w:rsidR="00A10747">
        <w:t xml:space="preserve">same </w:t>
      </w:r>
      <w:r w:rsidR="00277F42" w:rsidRPr="00D3420B">
        <w:t>standard</w:t>
      </w:r>
      <w:r w:rsidR="00A10747">
        <w:t>s</w:t>
      </w:r>
      <w:r w:rsidR="00277F42" w:rsidRPr="00D3420B">
        <w:t xml:space="preserve"> over the </w:t>
      </w:r>
      <w:r w:rsidR="00647BBB" w:rsidRPr="00D3420B">
        <w:t>three-year</w:t>
      </w:r>
      <w:r w:rsidR="00277F42" w:rsidRPr="00D3420B">
        <w:t xml:space="preserve"> period covered by this ICR.</w:t>
      </w:r>
    </w:p>
    <w:p w14:paraId="2DC5F7D3" w14:textId="77777777" w:rsidR="00277F42" w:rsidRPr="00D3420B" w:rsidRDefault="00277F42" w:rsidP="00277F42"/>
    <w:p w14:paraId="1EC1123A" w14:textId="148E39F0" w:rsidR="00123889" w:rsidRPr="00D3420B" w:rsidRDefault="0029006A" w:rsidP="00E30A50">
      <w:pPr>
        <w:ind w:firstLine="720"/>
      </w:pPr>
      <w:r w:rsidRPr="00D3420B">
        <w:t>I</w:t>
      </w:r>
      <w:r w:rsidR="00123889" w:rsidRPr="00D3420B">
        <w:t xml:space="preserve">ndustry trade associations and other interested parties were provided an opportunity to comment on the </w:t>
      </w:r>
      <w:r w:rsidR="00A10747">
        <w:t>‘</w:t>
      </w:r>
      <w:r w:rsidR="00123889" w:rsidRPr="00D3420B">
        <w:t>burden</w:t>
      </w:r>
      <w:r w:rsidR="00A10747">
        <w:t>’</w:t>
      </w:r>
      <w:r w:rsidR="00123889" w:rsidRPr="00D3420B">
        <w:t xml:space="preserve"> associated with the</w:t>
      </w:r>
      <w:r w:rsidR="00A10747">
        <w:t>se</w:t>
      </w:r>
      <w:r w:rsidR="00123889" w:rsidRPr="00D3420B">
        <w:t xml:space="preserve"> standard</w:t>
      </w:r>
      <w:r w:rsidR="00A10747">
        <w:t>s</w:t>
      </w:r>
      <w:r w:rsidR="00123889" w:rsidRPr="00D3420B">
        <w:t xml:space="preserve"> as </w:t>
      </w:r>
      <w:r w:rsidR="00A10747">
        <w:t xml:space="preserve">they were </w:t>
      </w:r>
      <w:r w:rsidR="00123889" w:rsidRPr="00D3420B">
        <w:t>being developed and the</w:t>
      </w:r>
      <w:r w:rsidR="00A10747">
        <w:t>se same</w:t>
      </w:r>
      <w:r w:rsidR="00123889" w:rsidRPr="00D3420B">
        <w:t xml:space="preserve"> standard</w:t>
      </w:r>
      <w:r w:rsidR="00A10747">
        <w:t>s</w:t>
      </w:r>
      <w:r w:rsidR="00123889" w:rsidRPr="00D3420B">
        <w:t xml:space="preserve"> ha</w:t>
      </w:r>
      <w:r w:rsidR="00A10747">
        <w:t>ve</w:t>
      </w:r>
      <w:r w:rsidR="00123889" w:rsidRPr="00D3420B">
        <w:t xml:space="preserve"> been reviewed</w:t>
      </w:r>
      <w:r w:rsidR="00A10747" w:rsidRPr="00A10747">
        <w:t xml:space="preserve"> previously</w:t>
      </w:r>
      <w:r w:rsidR="00123889" w:rsidRPr="00D3420B">
        <w:t xml:space="preserve"> to determine the minimum information needed for compliance purposes.</w:t>
      </w:r>
      <w:r w:rsidR="001433D3" w:rsidRPr="00D3420B">
        <w:t xml:space="preserve"> In developing this ICR, we contacted both the </w:t>
      </w:r>
      <w:r w:rsidR="00991222" w:rsidRPr="00D3420B">
        <w:t>Electric Power Research</w:t>
      </w:r>
      <w:r w:rsidR="00590A85" w:rsidRPr="00D3420B">
        <w:t xml:space="preserve"> Institute</w:t>
      </w:r>
      <w:r w:rsidR="00A10747">
        <w:t xml:space="preserve"> </w:t>
      </w:r>
      <w:r w:rsidR="00590A85" w:rsidRPr="00D3420B">
        <w:t>(EPRI)</w:t>
      </w:r>
      <w:r w:rsidR="00A10747">
        <w:t>,</w:t>
      </w:r>
      <w:r w:rsidR="007C7365" w:rsidRPr="00D3420B">
        <w:t xml:space="preserve"> at </w:t>
      </w:r>
      <w:r w:rsidR="00E30A50" w:rsidRPr="00D3420B">
        <w:t>(</w:t>
      </w:r>
      <w:r w:rsidR="007C7365" w:rsidRPr="00D3420B">
        <w:t>800</w:t>
      </w:r>
      <w:r w:rsidR="00E30A50" w:rsidRPr="00D3420B">
        <w:t xml:space="preserve">) </w:t>
      </w:r>
      <w:r w:rsidR="007C7365" w:rsidRPr="00D3420B">
        <w:t>313-3774</w:t>
      </w:r>
      <w:r w:rsidR="00A10747">
        <w:t>,</w:t>
      </w:r>
      <w:r w:rsidR="001433D3" w:rsidRPr="00D3420B">
        <w:t xml:space="preserve"> and the</w:t>
      </w:r>
      <w:r w:rsidR="00590A85" w:rsidRPr="00D3420B">
        <w:t xml:space="preserve"> Edison Electric Institute (EEI)</w:t>
      </w:r>
      <w:r w:rsidR="00A10747">
        <w:t>,</w:t>
      </w:r>
      <w:r w:rsidR="001433D3" w:rsidRPr="00D3420B">
        <w:t xml:space="preserve"> at </w:t>
      </w:r>
      <w:r w:rsidR="00E30A50" w:rsidRPr="00D3420B">
        <w:t>(</w:t>
      </w:r>
      <w:r w:rsidR="007C7365" w:rsidRPr="00D3420B">
        <w:t>202</w:t>
      </w:r>
      <w:r w:rsidR="00E30A50" w:rsidRPr="00D3420B">
        <w:t>)</w:t>
      </w:r>
      <w:r w:rsidR="007C7365" w:rsidRPr="00D3420B">
        <w:t>508-5000</w:t>
      </w:r>
      <w:r w:rsidR="001433D3" w:rsidRPr="00D3420B">
        <w:t>.</w:t>
      </w:r>
      <w:r w:rsidR="00E30A50" w:rsidRPr="00D3420B">
        <w:t xml:space="preserve"> In </w:t>
      </w:r>
      <w:r w:rsidR="00A10747">
        <w:t xml:space="preserve">the </w:t>
      </w:r>
      <w:r w:rsidR="00E30A50" w:rsidRPr="00D3420B">
        <w:t>light of potential interest among governmental entities, we also initiated consultations with governmental entities</w:t>
      </w:r>
      <w:r w:rsidR="00A10747">
        <w:t>,</w:t>
      </w:r>
      <w:r w:rsidR="00E30A50" w:rsidRPr="00D3420B">
        <w:t xml:space="preserve"> including the National Conference of State Legislatures</w:t>
      </w:r>
      <w:r w:rsidR="00A10747">
        <w:t>,</w:t>
      </w:r>
      <w:r w:rsidR="00E30A50" w:rsidRPr="00D3420B">
        <w:t xml:space="preserve"> at (</w:t>
      </w:r>
      <w:hyperlink r:id="rId9" w:history="1">
        <w:r w:rsidR="00E30A50" w:rsidRPr="00D3420B">
          <w:rPr>
            <w:rStyle w:val="Hyperlink"/>
            <w:color w:val="auto"/>
          </w:rPr>
          <w:t>202) 624-5400</w:t>
        </w:r>
      </w:hyperlink>
      <w:r w:rsidR="00A10747">
        <w:rPr>
          <w:rStyle w:val="Hyperlink"/>
          <w:color w:val="auto"/>
        </w:rPr>
        <w:t>,</w:t>
      </w:r>
      <w:r w:rsidR="00E30A50" w:rsidRPr="00D3420B">
        <w:t xml:space="preserve"> and the Environmental Council of States</w:t>
      </w:r>
      <w:r w:rsidR="00A10747">
        <w:t>,</w:t>
      </w:r>
      <w:r w:rsidR="00E30A50" w:rsidRPr="00D3420B">
        <w:t xml:space="preserve"> at (202) 266-4920.</w:t>
      </w:r>
    </w:p>
    <w:p w14:paraId="6FE4F3DD" w14:textId="77777777" w:rsidR="00277F42" w:rsidRPr="00D3420B" w:rsidRDefault="00277F42" w:rsidP="00123889"/>
    <w:p w14:paraId="12978817" w14:textId="7E4803B7" w:rsidR="00CF2B37" w:rsidRPr="00D3420B" w:rsidRDefault="00D42D52" w:rsidP="0038203D">
      <w:pPr>
        <w:widowControl/>
        <w:ind w:firstLine="720"/>
      </w:pPr>
      <w:r w:rsidRPr="00D3420B">
        <w:rPr>
          <w:bCs/>
        </w:rPr>
        <w:t>It is our policy to respond after a thorough review of comments received since the last ICR renewal</w:t>
      </w:r>
      <w:r w:rsidR="004A1F06">
        <w:rPr>
          <w:bCs/>
        </w:rPr>
        <w:t>,</w:t>
      </w:r>
      <w:r w:rsidRPr="00D3420B">
        <w:rPr>
          <w:bCs/>
        </w:rPr>
        <w:t xml:space="preserve"> as well as </w:t>
      </w:r>
      <w:r w:rsidR="004A1F06">
        <w:rPr>
          <w:bCs/>
        </w:rPr>
        <w:t xml:space="preserve">for </w:t>
      </w:r>
      <w:r w:rsidRPr="00D3420B">
        <w:rPr>
          <w:bCs/>
        </w:rPr>
        <w:t xml:space="preserve">those submitted in response to the </w:t>
      </w:r>
      <w:r w:rsidR="005253D4" w:rsidRPr="00D3420B">
        <w:rPr>
          <w:bCs/>
        </w:rPr>
        <w:t>f</w:t>
      </w:r>
      <w:r w:rsidRPr="00D3420B">
        <w:rPr>
          <w:bCs/>
        </w:rPr>
        <w:t xml:space="preserve">irst </w:t>
      </w:r>
      <w:r w:rsidRPr="00D3420B">
        <w:rPr>
          <w:bCs/>
          <w:i/>
        </w:rPr>
        <w:t>Federal Register</w:t>
      </w:r>
      <w:r w:rsidRPr="00D3420B">
        <w:rPr>
          <w:bCs/>
        </w:rPr>
        <w:t xml:space="preserve"> </w:t>
      </w:r>
      <w:r w:rsidR="005253D4" w:rsidRPr="00D3420B">
        <w:rPr>
          <w:bCs/>
        </w:rPr>
        <w:t>n</w:t>
      </w:r>
      <w:r w:rsidRPr="00D3420B">
        <w:rPr>
          <w:bCs/>
        </w:rPr>
        <w:t>otice.</w:t>
      </w:r>
      <w:r w:rsidR="009C7E97" w:rsidRPr="00D3420B">
        <w:rPr>
          <w:bCs/>
        </w:rPr>
        <w:t xml:space="preserve"> </w:t>
      </w:r>
      <w:r w:rsidR="0029006A" w:rsidRPr="00D3420B">
        <w:t>In this case, no comments were received.</w:t>
      </w:r>
    </w:p>
    <w:p w14:paraId="44DBC235" w14:textId="77777777" w:rsidR="00123889" w:rsidRPr="00D3420B" w:rsidRDefault="00123889">
      <w:pPr>
        <w:pBdr>
          <w:top w:val="single" w:sz="6" w:space="0" w:color="FFFFFF"/>
          <w:left w:val="single" w:sz="6" w:space="0" w:color="FFFFFF"/>
          <w:bottom w:val="single" w:sz="6" w:space="0" w:color="FFFFFF"/>
          <w:right w:val="single" w:sz="6" w:space="0" w:color="FFFFFF"/>
        </w:pBdr>
      </w:pPr>
    </w:p>
    <w:p w14:paraId="3DB64864" w14:textId="2F516C41"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3(d)</w:t>
      </w:r>
      <w:r w:rsidR="009C7E97" w:rsidRPr="00D3420B">
        <w:rPr>
          <w:b/>
          <w:bCs/>
        </w:rPr>
        <w:t xml:space="preserve"> </w:t>
      </w:r>
      <w:r w:rsidRPr="00D3420B">
        <w:rPr>
          <w:b/>
          <w:bCs/>
        </w:rPr>
        <w:t>Effects of Less</w:t>
      </w:r>
      <w:r w:rsidR="004A1F06">
        <w:rPr>
          <w:b/>
          <w:bCs/>
        </w:rPr>
        <w:t>-</w:t>
      </w:r>
      <w:r w:rsidRPr="00D3420B">
        <w:rPr>
          <w:b/>
          <w:bCs/>
        </w:rPr>
        <w:t>Frequent Collection</w:t>
      </w:r>
    </w:p>
    <w:p w14:paraId="1503F5B4"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53F5B7E8" w14:textId="61B2B8B4"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Less</w:t>
      </w:r>
      <w:r w:rsidR="004A1F06">
        <w:t>-</w:t>
      </w:r>
      <w:r w:rsidRPr="00D3420B">
        <w:t>frequent information collection would decrease the margin of assurance that facilities are continuing to meet the</w:t>
      </w:r>
      <w:r w:rsidR="004A1F06">
        <w:t>se</w:t>
      </w:r>
      <w:r w:rsidRPr="00D3420B">
        <w:t xml:space="preserve"> standards.</w:t>
      </w:r>
      <w:r w:rsidR="009C7E97" w:rsidRPr="00D3420B">
        <w:t xml:space="preserve"> </w:t>
      </w:r>
      <w:r w:rsidRPr="00D3420B">
        <w:t>Requirements for information gathering and recordkeeping are useful techniques to ensure that good operation and maintenance practices are applied and emission limitations are met.</w:t>
      </w:r>
      <w:r w:rsidR="009C7E97" w:rsidRPr="00D3420B">
        <w:t xml:space="preserve"> </w:t>
      </w:r>
      <w:r w:rsidRPr="00D3420B">
        <w:t xml:space="preserve">If the information required by these standards was collected less frequently, </w:t>
      </w:r>
      <w:r w:rsidR="002C1F95" w:rsidRPr="00D3420B">
        <w:t xml:space="preserve">the proper </w:t>
      </w:r>
      <w:r w:rsidRPr="00D3420B">
        <w:t xml:space="preserve">operation and maintenance of control equipment </w:t>
      </w:r>
      <w:r w:rsidR="002C1F95" w:rsidRPr="00D3420B">
        <w:t>and the possibility of detecting violations would be less likely.</w:t>
      </w:r>
    </w:p>
    <w:p w14:paraId="149D1DFE"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3(e)</w:t>
      </w:r>
      <w:r w:rsidR="009C7E97" w:rsidRPr="00D3420B">
        <w:rPr>
          <w:b/>
          <w:bCs/>
        </w:rPr>
        <w:t xml:space="preserve"> </w:t>
      </w:r>
      <w:r w:rsidRPr="00D3420B">
        <w:rPr>
          <w:b/>
          <w:bCs/>
        </w:rPr>
        <w:t>General Guidelines</w:t>
      </w:r>
    </w:p>
    <w:p w14:paraId="59BB0C1B"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D3420B" w:rsidRDefault="00101B40">
      <w:pPr>
        <w:pBdr>
          <w:top w:val="single" w:sz="6" w:space="0" w:color="FFFFFF"/>
          <w:left w:val="single" w:sz="6" w:space="0" w:color="FFFFFF"/>
          <w:bottom w:val="single" w:sz="6" w:space="0" w:color="FFFFFF"/>
          <w:right w:val="single" w:sz="6" w:space="0" w:color="FFFFFF"/>
        </w:pBdr>
        <w:ind w:firstLine="720"/>
      </w:pPr>
      <w:r w:rsidRPr="00D3420B">
        <w:t>T</w:t>
      </w:r>
      <w:r w:rsidR="00CA4CD6" w:rsidRPr="00D3420B">
        <w:t xml:space="preserve">hese reporting or recordkeeping requirements </w:t>
      </w:r>
      <w:r w:rsidRPr="00D3420B">
        <w:t xml:space="preserve">do not </w:t>
      </w:r>
      <w:r w:rsidR="00CA4CD6" w:rsidRPr="00D3420B">
        <w:t xml:space="preserve">violate any of the regulations </w:t>
      </w:r>
      <w:r w:rsidR="00206932" w:rsidRPr="00D3420B">
        <w:t>promulgated by</w:t>
      </w:r>
      <w:r w:rsidRPr="00D3420B">
        <w:t xml:space="preserve"> </w:t>
      </w:r>
      <w:r w:rsidR="00CA4CD6" w:rsidRPr="00D3420B">
        <w:t xml:space="preserve">OMB </w:t>
      </w:r>
      <w:r w:rsidRPr="00D3420B">
        <w:t>under</w:t>
      </w:r>
      <w:r w:rsidR="00CA4CD6" w:rsidRPr="00D3420B">
        <w:t xml:space="preserve"> 5 CFR </w:t>
      </w:r>
      <w:r w:rsidR="003B384B" w:rsidRPr="00D3420B">
        <w:t xml:space="preserve">Part </w:t>
      </w:r>
      <w:r w:rsidR="00CA4CD6" w:rsidRPr="00D3420B">
        <w:t xml:space="preserve">1320, </w:t>
      </w:r>
      <w:r w:rsidR="003B384B" w:rsidRPr="00D3420B">
        <w:t xml:space="preserve">Section </w:t>
      </w:r>
      <w:r w:rsidR="00CA4CD6" w:rsidRPr="00D3420B">
        <w:t>1320.5.</w:t>
      </w:r>
    </w:p>
    <w:p w14:paraId="54F37663"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3(f)</w:t>
      </w:r>
      <w:r w:rsidR="009C7E97" w:rsidRPr="00D3420B">
        <w:rPr>
          <w:b/>
          <w:bCs/>
        </w:rPr>
        <w:t xml:space="preserve"> </w:t>
      </w:r>
      <w:r w:rsidRPr="00D3420B">
        <w:rPr>
          <w:b/>
          <w:bCs/>
        </w:rPr>
        <w:t>Confidentiality</w:t>
      </w:r>
    </w:p>
    <w:p w14:paraId="0CAD7BAC"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66E3BEA" w14:textId="359E5CA0"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Any information submitted to the Agency for which a claim of confidentiality is made will be safeguarded according to the Agency policies set forth in Title 40, chapter 1, part 2, subpart B - Confidentiality of Business Information</w:t>
      </w:r>
      <w:r w:rsidR="004A1F06">
        <w:t xml:space="preserve"> (CBI)</w:t>
      </w:r>
      <w:r w:rsidRPr="00D3420B">
        <w:t xml:space="preserve"> (see 40 CFR 2; 41 </w:t>
      </w:r>
      <w:r w:rsidRPr="00D3420B">
        <w:rPr>
          <w:u w:val="single"/>
        </w:rPr>
        <w:t>FR</w:t>
      </w:r>
      <w:r w:rsidRPr="00D3420B">
        <w:t xml:space="preserve"> 36902, September 1, 1976; amended by 43 </w:t>
      </w:r>
      <w:r w:rsidRPr="00D3420B">
        <w:rPr>
          <w:u w:val="single"/>
        </w:rPr>
        <w:t>FR</w:t>
      </w:r>
      <w:r w:rsidRPr="00D3420B">
        <w:t xml:space="preserve"> 40000, September 8, 1978; 43 </w:t>
      </w:r>
      <w:r w:rsidRPr="00D3420B">
        <w:rPr>
          <w:u w:val="single"/>
        </w:rPr>
        <w:t>FR</w:t>
      </w:r>
      <w:r w:rsidRPr="00D3420B">
        <w:t xml:space="preserve"> 42251, September 20, 1978; 44 </w:t>
      </w:r>
      <w:r w:rsidRPr="00D3420B">
        <w:rPr>
          <w:u w:val="single"/>
        </w:rPr>
        <w:t>FR</w:t>
      </w:r>
      <w:r w:rsidRPr="00D3420B">
        <w:t xml:space="preserve"> 17674, March 23, 1979).</w:t>
      </w:r>
    </w:p>
    <w:p w14:paraId="7DFD7651"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3(g)</w:t>
      </w:r>
      <w:r w:rsidR="009C7E97" w:rsidRPr="00D3420B">
        <w:rPr>
          <w:b/>
          <w:bCs/>
        </w:rPr>
        <w:t xml:space="preserve"> </w:t>
      </w:r>
      <w:r w:rsidRPr="00D3420B">
        <w:rPr>
          <w:b/>
          <w:bCs/>
        </w:rPr>
        <w:t>Sensitive Questions</w:t>
      </w:r>
    </w:p>
    <w:p w14:paraId="43845BA7"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7BCDBBA" w14:textId="3AF1EFE8" w:rsidR="00CA4CD6" w:rsidRPr="00D3420B" w:rsidRDefault="0040391F">
      <w:pPr>
        <w:pBdr>
          <w:top w:val="single" w:sz="6" w:space="0" w:color="FFFFFF"/>
          <w:left w:val="single" w:sz="6" w:space="0" w:color="FFFFFF"/>
          <w:bottom w:val="single" w:sz="6" w:space="0" w:color="FFFFFF"/>
          <w:right w:val="single" w:sz="6" w:space="0" w:color="FFFFFF"/>
        </w:pBdr>
        <w:ind w:firstLine="720"/>
      </w:pPr>
      <w:r w:rsidRPr="00D3420B">
        <w:t>T</w:t>
      </w:r>
      <w:r w:rsidR="00CA4CD6" w:rsidRPr="00D3420B">
        <w:t xml:space="preserve">he reporting or recordkeeping requirements </w:t>
      </w:r>
      <w:r w:rsidRPr="00D3420B">
        <w:t>in the</w:t>
      </w:r>
      <w:r w:rsidR="004A1F06">
        <w:t>se</w:t>
      </w:r>
      <w:r w:rsidRPr="00D3420B">
        <w:t xml:space="preserve"> standard</w:t>
      </w:r>
      <w:r w:rsidR="004A1F06">
        <w:t>s</w:t>
      </w:r>
      <w:r w:rsidRPr="00D3420B">
        <w:t xml:space="preserve"> do not </w:t>
      </w:r>
      <w:r w:rsidR="00B46A57" w:rsidRPr="00D3420B">
        <w:t xml:space="preserve">include </w:t>
      </w:r>
      <w:r w:rsidR="00CA4CD6" w:rsidRPr="00D3420B">
        <w:t>sensitive questions.</w:t>
      </w:r>
    </w:p>
    <w:p w14:paraId="3346420B"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D3420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3420B">
        <w:rPr>
          <w:b/>
          <w:bCs/>
        </w:rPr>
        <w:t>4.</w:t>
      </w:r>
      <w:r w:rsidR="009C7E97" w:rsidRPr="00D3420B">
        <w:rPr>
          <w:b/>
          <w:bCs/>
        </w:rPr>
        <w:t xml:space="preserve"> </w:t>
      </w:r>
      <w:r w:rsidRPr="00D3420B">
        <w:rPr>
          <w:b/>
          <w:bCs/>
        </w:rPr>
        <w:t>The Respondents and the Information Requested</w:t>
      </w:r>
    </w:p>
    <w:p w14:paraId="716EC39B"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4(a)</w:t>
      </w:r>
      <w:r w:rsidR="009C7E97" w:rsidRPr="00D3420B">
        <w:rPr>
          <w:b/>
          <w:bCs/>
        </w:rPr>
        <w:t xml:space="preserve"> </w:t>
      </w:r>
      <w:r w:rsidRPr="00D3420B">
        <w:rPr>
          <w:b/>
          <w:bCs/>
        </w:rPr>
        <w:t>Respondents/SIC Codes</w:t>
      </w:r>
    </w:p>
    <w:p w14:paraId="2A102922"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906C309" w14:textId="2064A8FC"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The respondents to the recordkeeping and reporting requirements are </w:t>
      </w:r>
      <w:r w:rsidR="00911092" w:rsidRPr="00D3420B">
        <w:t>fossil fuel-fired electric utility steam generating units</w:t>
      </w:r>
      <w:r w:rsidRPr="00D3420B">
        <w:t>.</w:t>
      </w:r>
      <w:r w:rsidR="009C7E97" w:rsidRPr="00D3420B">
        <w:t xml:space="preserve"> </w:t>
      </w:r>
      <w:r w:rsidRPr="00D3420B">
        <w:t xml:space="preserve">The </w:t>
      </w:r>
      <w:r w:rsidR="00CF2B37" w:rsidRPr="00D3420B">
        <w:t>United States Standard Industrial Classification (</w:t>
      </w:r>
      <w:r w:rsidRPr="00D3420B">
        <w:t>SIC</w:t>
      </w:r>
      <w:r w:rsidR="00CF2B37" w:rsidRPr="00D3420B">
        <w:t>)</w:t>
      </w:r>
      <w:r w:rsidRPr="00D3420B">
        <w:t xml:space="preserve"> code</w:t>
      </w:r>
      <w:r w:rsidR="00911092" w:rsidRPr="00D3420B">
        <w:t>s</w:t>
      </w:r>
      <w:r w:rsidRPr="00D3420B">
        <w:t xml:space="preserve"> for the respondents affected by the standards </w:t>
      </w:r>
      <w:r w:rsidR="00911092" w:rsidRPr="00D3420B">
        <w:t>are</w:t>
      </w:r>
      <w:r w:rsidRPr="00D3420B">
        <w:t xml:space="preserve"> </w:t>
      </w:r>
      <w:r w:rsidR="00E30A50" w:rsidRPr="00D3420B">
        <w:t>included in the table below</w:t>
      </w:r>
      <w:r w:rsidR="004A1F06">
        <w:t>:</w:t>
      </w:r>
      <w:r w:rsidR="009C7E97" w:rsidRPr="00D3420B">
        <w:t xml:space="preserve"> </w:t>
      </w:r>
    </w:p>
    <w:p w14:paraId="23750743" w14:textId="7EE824F8" w:rsidR="00CA4CD6"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320"/>
        <w:gridCol w:w="2610"/>
        <w:gridCol w:w="2430"/>
      </w:tblGrid>
      <w:tr w:rsidR="00177CC7" w:rsidRPr="00D3420B" w14:paraId="4654FAA0" w14:textId="77777777" w:rsidTr="0038203D">
        <w:tc>
          <w:tcPr>
            <w:tcW w:w="4320" w:type="dxa"/>
          </w:tcPr>
          <w:p w14:paraId="5BA46AC2" w14:textId="77777777" w:rsidR="00CA4CD6" w:rsidRPr="00D3420B" w:rsidRDefault="00CA4CD6" w:rsidP="009C7E97">
            <w:pPr>
              <w:jc w:val="center"/>
            </w:pPr>
          </w:p>
          <w:p w14:paraId="4DA07103" w14:textId="71935B4F" w:rsidR="00CA4CD6" w:rsidRPr="00D3420B"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3420B">
              <w:rPr>
                <w:b/>
                <w:bCs/>
              </w:rPr>
              <w:t>Standard</w:t>
            </w:r>
            <w:r w:rsidR="004C701D" w:rsidRPr="00D3420B">
              <w:rPr>
                <w:b/>
                <w:bCs/>
              </w:rPr>
              <w:t xml:space="preserve"> </w:t>
            </w:r>
            <w:r w:rsidR="004C701D" w:rsidRPr="00D3420B">
              <w:rPr>
                <w:b/>
              </w:rPr>
              <w:t xml:space="preserve">(40 CFR </w:t>
            </w:r>
            <w:r w:rsidR="00CF2B37" w:rsidRPr="00D3420B">
              <w:rPr>
                <w:b/>
              </w:rPr>
              <w:t>P</w:t>
            </w:r>
            <w:r w:rsidR="004C701D" w:rsidRPr="00D3420B">
              <w:rPr>
                <w:b/>
              </w:rPr>
              <w:t xml:space="preserve">art 60, </w:t>
            </w:r>
            <w:r w:rsidR="00CF2B37" w:rsidRPr="00D3420B">
              <w:rPr>
                <w:b/>
              </w:rPr>
              <w:t>S</w:t>
            </w:r>
            <w:r w:rsidR="004C701D" w:rsidRPr="00D3420B">
              <w:rPr>
                <w:b/>
              </w:rPr>
              <w:t xml:space="preserve">ubpart </w:t>
            </w:r>
            <w:r w:rsidR="00D01CA7" w:rsidRPr="00D3420B">
              <w:rPr>
                <w:b/>
              </w:rPr>
              <w:t>TTTT</w:t>
            </w:r>
            <w:r w:rsidR="004C701D" w:rsidRPr="00D3420B">
              <w:rPr>
                <w:b/>
              </w:rPr>
              <w:t>)</w:t>
            </w:r>
          </w:p>
        </w:tc>
        <w:tc>
          <w:tcPr>
            <w:tcW w:w="2610" w:type="dxa"/>
          </w:tcPr>
          <w:p w14:paraId="1F1C6672" w14:textId="77777777" w:rsidR="00CA4CD6" w:rsidRPr="00D3420B" w:rsidRDefault="00CA4CD6" w:rsidP="009C7E97">
            <w:pPr>
              <w:jc w:val="center"/>
              <w:rPr>
                <w:b/>
                <w:bCs/>
              </w:rPr>
            </w:pPr>
          </w:p>
          <w:p w14:paraId="1F92DB8A" w14:textId="77777777" w:rsidR="00CA4CD6" w:rsidRPr="00D3420B"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3420B">
              <w:rPr>
                <w:b/>
                <w:bCs/>
              </w:rPr>
              <w:t>SIC Codes</w:t>
            </w:r>
          </w:p>
        </w:tc>
        <w:tc>
          <w:tcPr>
            <w:tcW w:w="2430" w:type="dxa"/>
          </w:tcPr>
          <w:p w14:paraId="5FFCF27B" w14:textId="77777777" w:rsidR="00CA4CD6" w:rsidRPr="00D3420B" w:rsidRDefault="00CA4CD6" w:rsidP="009C7E97">
            <w:pPr>
              <w:jc w:val="center"/>
              <w:rPr>
                <w:b/>
                <w:bCs/>
              </w:rPr>
            </w:pPr>
          </w:p>
          <w:p w14:paraId="05EF3F1D" w14:textId="77777777" w:rsidR="00CA4CD6" w:rsidRPr="00D3420B"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3420B">
              <w:rPr>
                <w:b/>
                <w:bCs/>
              </w:rPr>
              <w:t>NAICS Codes</w:t>
            </w:r>
          </w:p>
        </w:tc>
      </w:tr>
      <w:tr w:rsidR="00177CC7" w:rsidRPr="00D3420B" w14:paraId="43A768BC" w14:textId="77777777" w:rsidTr="0038203D">
        <w:tc>
          <w:tcPr>
            <w:tcW w:w="4320" w:type="dxa"/>
          </w:tcPr>
          <w:p w14:paraId="69D88A48" w14:textId="7EB5426B" w:rsidR="00CA4CD6" w:rsidRPr="00D3420B" w:rsidRDefault="008E3104" w:rsidP="009C7E97">
            <w:pPr>
              <w:pBdr>
                <w:top w:val="single" w:sz="6" w:space="0" w:color="FFFFFF"/>
                <w:left w:val="single" w:sz="6" w:space="0" w:color="FFFFFF"/>
                <w:bottom w:val="single" w:sz="6" w:space="0" w:color="FFFFFF"/>
                <w:right w:val="single" w:sz="6" w:space="0" w:color="FFFFFF"/>
              </w:pBdr>
            </w:pPr>
            <w:r w:rsidRPr="00D3420B">
              <w:t>Fossil Fuel Electric Power Generation</w:t>
            </w:r>
          </w:p>
        </w:tc>
        <w:tc>
          <w:tcPr>
            <w:tcW w:w="2610" w:type="dxa"/>
          </w:tcPr>
          <w:p w14:paraId="65180B57" w14:textId="0B984AAC" w:rsidR="00CA4CD6" w:rsidRPr="00D3420B" w:rsidRDefault="008E3104" w:rsidP="009C7E97">
            <w:pPr>
              <w:pBdr>
                <w:top w:val="single" w:sz="6" w:space="0" w:color="FFFFFF"/>
                <w:left w:val="single" w:sz="6" w:space="0" w:color="FFFFFF"/>
                <w:bottom w:val="single" w:sz="6" w:space="0" w:color="FFFFFF"/>
                <w:right w:val="single" w:sz="6" w:space="0" w:color="FFFFFF"/>
              </w:pBdr>
            </w:pPr>
            <w:r w:rsidRPr="00D3420B">
              <w:t>4931,</w:t>
            </w:r>
            <w:r w:rsidR="00E30A50" w:rsidRPr="00D3420B">
              <w:t xml:space="preserve"> </w:t>
            </w:r>
            <w:r w:rsidRPr="00D3420B">
              <w:t>4939,</w:t>
            </w:r>
            <w:r w:rsidR="00E30A50" w:rsidRPr="00D3420B">
              <w:t xml:space="preserve"> </w:t>
            </w:r>
            <w:r w:rsidRPr="00D3420B">
              <w:t>4911</w:t>
            </w:r>
          </w:p>
        </w:tc>
        <w:tc>
          <w:tcPr>
            <w:tcW w:w="2430" w:type="dxa"/>
          </w:tcPr>
          <w:p w14:paraId="2270277B" w14:textId="5B571F84" w:rsidR="00CA4CD6" w:rsidRPr="00D3420B" w:rsidRDefault="008E3104" w:rsidP="009C7E97">
            <w:pPr>
              <w:pBdr>
                <w:top w:val="single" w:sz="6" w:space="0" w:color="FFFFFF"/>
                <w:left w:val="single" w:sz="6" w:space="0" w:color="FFFFFF"/>
                <w:bottom w:val="single" w:sz="6" w:space="0" w:color="FFFFFF"/>
                <w:right w:val="single" w:sz="6" w:space="0" w:color="FFFFFF"/>
              </w:pBdr>
            </w:pPr>
            <w:r w:rsidRPr="00D3420B">
              <w:t>221112</w:t>
            </w:r>
          </w:p>
        </w:tc>
      </w:tr>
      <w:tr w:rsidR="00177CC7" w:rsidRPr="00D3420B" w14:paraId="0E5BE08E" w14:textId="77777777" w:rsidTr="0038203D">
        <w:tc>
          <w:tcPr>
            <w:tcW w:w="4320" w:type="dxa"/>
          </w:tcPr>
          <w:p w14:paraId="64F9034A" w14:textId="6F890781" w:rsidR="00B97DFF" w:rsidRPr="00D3420B" w:rsidRDefault="00B97DFF" w:rsidP="009C7E97">
            <w:pPr>
              <w:tabs>
                <w:tab w:val="left" w:pos="3045"/>
              </w:tabs>
            </w:pPr>
            <w:r w:rsidRPr="00D3420B">
              <w:t>Electric Power Generation, Transmission and Distribution</w:t>
            </w:r>
          </w:p>
        </w:tc>
        <w:tc>
          <w:tcPr>
            <w:tcW w:w="2610" w:type="dxa"/>
          </w:tcPr>
          <w:p w14:paraId="40002C70" w14:textId="4197F0AF" w:rsidR="00B97DFF" w:rsidRPr="00D3420B" w:rsidRDefault="00E30A50" w:rsidP="009C7E97">
            <w:pPr>
              <w:pBdr>
                <w:top w:val="single" w:sz="6" w:space="0" w:color="FFFFFF"/>
                <w:left w:val="single" w:sz="6" w:space="0" w:color="FFFFFF"/>
                <w:bottom w:val="single" w:sz="6" w:space="0" w:color="FFFFFF"/>
                <w:right w:val="single" w:sz="6" w:space="0" w:color="FFFFFF"/>
              </w:pBdr>
            </w:pPr>
            <w:r w:rsidRPr="00D3420B">
              <w:t>4931, 4939, 4911</w:t>
            </w:r>
          </w:p>
        </w:tc>
        <w:tc>
          <w:tcPr>
            <w:tcW w:w="2430" w:type="dxa"/>
          </w:tcPr>
          <w:p w14:paraId="61B59682" w14:textId="0DE81313" w:rsidR="00B97DFF" w:rsidRPr="00D3420B" w:rsidRDefault="00B97DFF" w:rsidP="009C7E97">
            <w:pPr>
              <w:pBdr>
                <w:top w:val="single" w:sz="6" w:space="0" w:color="FFFFFF"/>
                <w:left w:val="single" w:sz="6" w:space="0" w:color="FFFFFF"/>
                <w:bottom w:val="single" w:sz="6" w:space="0" w:color="FFFFFF"/>
                <w:right w:val="single" w:sz="6" w:space="0" w:color="FFFFFF"/>
              </w:pBdr>
            </w:pPr>
            <w:r w:rsidRPr="00D3420B">
              <w:t>2211</w:t>
            </w:r>
          </w:p>
        </w:tc>
      </w:tr>
      <w:tr w:rsidR="00177CC7" w:rsidRPr="00D3420B" w14:paraId="1381BC79" w14:textId="77777777" w:rsidTr="0038203D">
        <w:tc>
          <w:tcPr>
            <w:tcW w:w="4320" w:type="dxa"/>
          </w:tcPr>
          <w:p w14:paraId="5BF69ED4" w14:textId="26D7B979" w:rsidR="00CA4CD6" w:rsidRPr="00D3420B" w:rsidRDefault="008E3104" w:rsidP="009C7E97">
            <w:pPr>
              <w:tabs>
                <w:tab w:val="left" w:pos="3045"/>
              </w:tabs>
            </w:pPr>
            <w:r w:rsidRPr="00D3420B">
              <w:t>Fossil fuel electric power generating units in Indian Country</w:t>
            </w:r>
            <w:r w:rsidR="009C7E97" w:rsidRPr="00D3420B">
              <w:tab/>
            </w:r>
          </w:p>
        </w:tc>
        <w:tc>
          <w:tcPr>
            <w:tcW w:w="2610" w:type="dxa"/>
          </w:tcPr>
          <w:p w14:paraId="44CB63F6" w14:textId="1FDACA3E" w:rsidR="00CA4CD6" w:rsidRPr="00D3420B" w:rsidRDefault="00EF5A35" w:rsidP="009C7E97">
            <w:pPr>
              <w:pBdr>
                <w:top w:val="single" w:sz="6" w:space="0" w:color="FFFFFF"/>
                <w:left w:val="single" w:sz="6" w:space="0" w:color="FFFFFF"/>
                <w:bottom w:val="single" w:sz="6" w:space="0" w:color="FFFFFF"/>
                <w:right w:val="single" w:sz="6" w:space="0" w:color="FFFFFF"/>
              </w:pBdr>
            </w:pPr>
            <w:r w:rsidRPr="00D3420B">
              <w:t>8641</w:t>
            </w:r>
          </w:p>
        </w:tc>
        <w:tc>
          <w:tcPr>
            <w:tcW w:w="2430" w:type="dxa"/>
          </w:tcPr>
          <w:p w14:paraId="65FC1A16" w14:textId="2E0B6423" w:rsidR="00CA4CD6" w:rsidRPr="00D3420B" w:rsidRDefault="008E3104" w:rsidP="009C7E97">
            <w:pPr>
              <w:pBdr>
                <w:top w:val="single" w:sz="6" w:space="0" w:color="FFFFFF"/>
                <w:left w:val="single" w:sz="6" w:space="0" w:color="FFFFFF"/>
                <w:bottom w:val="single" w:sz="6" w:space="0" w:color="FFFFFF"/>
                <w:right w:val="single" w:sz="6" w:space="0" w:color="FFFFFF"/>
              </w:pBdr>
            </w:pPr>
            <w:r w:rsidRPr="00D3420B">
              <w:t>921150</w:t>
            </w:r>
          </w:p>
        </w:tc>
      </w:tr>
    </w:tbl>
    <w:p w14:paraId="3E22D9ED" w14:textId="5B619003" w:rsidR="00CA4CD6" w:rsidRPr="00D3420B" w:rsidRDefault="009C7E97">
      <w:pPr>
        <w:pBdr>
          <w:top w:val="single" w:sz="6" w:space="0" w:color="FFFFFF"/>
          <w:left w:val="single" w:sz="6" w:space="0" w:color="FFFFFF"/>
          <w:bottom w:val="single" w:sz="6" w:space="0" w:color="FFFFFF"/>
          <w:right w:val="single" w:sz="6" w:space="0" w:color="FFFFFF"/>
        </w:pBdr>
      </w:pPr>
      <w:r w:rsidRPr="00D3420B">
        <w:t xml:space="preserve"> </w:t>
      </w:r>
    </w:p>
    <w:p w14:paraId="5A0F24B3" w14:textId="48DEB96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4(b)</w:t>
      </w:r>
      <w:r w:rsidR="009C7E97" w:rsidRPr="00D3420B">
        <w:rPr>
          <w:b/>
          <w:bCs/>
        </w:rPr>
        <w:t xml:space="preserve"> </w:t>
      </w:r>
      <w:r w:rsidRPr="00D3420B">
        <w:rPr>
          <w:b/>
          <w:bCs/>
        </w:rPr>
        <w:t>Information Requested</w:t>
      </w:r>
      <w:r w:rsidRPr="00D3420B">
        <w:t xml:space="preserve"> </w:t>
      </w:r>
    </w:p>
    <w:p w14:paraId="417133C3"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D342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3420B">
        <w:rPr>
          <w:b/>
          <w:bCs/>
        </w:rPr>
        <w:t>(i)</w:t>
      </w:r>
      <w:r w:rsidR="009C7E97" w:rsidRPr="00D3420B">
        <w:rPr>
          <w:b/>
          <w:bCs/>
        </w:rPr>
        <w:t xml:space="preserve"> </w:t>
      </w:r>
      <w:r w:rsidRPr="00D3420B">
        <w:rPr>
          <w:b/>
          <w:bCs/>
        </w:rPr>
        <w:t>Data Items</w:t>
      </w:r>
    </w:p>
    <w:p w14:paraId="3A10B4F8"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04513B5" w14:textId="76A104E0" w:rsidR="00CA4CD6" w:rsidRPr="00D3420B" w:rsidRDefault="00817E8B" w:rsidP="00D01CA7">
      <w:pPr>
        <w:pBdr>
          <w:top w:val="single" w:sz="6" w:space="0" w:color="FFFFFF"/>
          <w:left w:val="single" w:sz="6" w:space="0" w:color="FFFFFF"/>
          <w:bottom w:val="single" w:sz="6" w:space="0" w:color="FFFFFF"/>
          <w:right w:val="single" w:sz="6" w:space="0" w:color="FFFFFF"/>
        </w:pBdr>
        <w:ind w:firstLine="720"/>
      </w:pPr>
      <w:r w:rsidRPr="00D3420B">
        <w:t>I</w:t>
      </w:r>
      <w:r w:rsidR="00CA4CD6" w:rsidRPr="00D3420B">
        <w:t>n this ICR</w:t>
      </w:r>
      <w:r w:rsidRPr="00D3420B">
        <w:t>, all the data</w:t>
      </w:r>
      <w:r w:rsidR="00CA4CD6" w:rsidRPr="00D3420B">
        <w:t xml:space="preserve"> </w:t>
      </w:r>
      <w:r w:rsidRPr="00D3420B">
        <w:t xml:space="preserve">that </w:t>
      </w:r>
      <w:r w:rsidR="00456B7B" w:rsidRPr="00D3420B">
        <w:t xml:space="preserve">are </w:t>
      </w:r>
      <w:r w:rsidR="00CA4CD6" w:rsidRPr="00D3420B">
        <w:t xml:space="preserve">recorded or reported </w:t>
      </w:r>
      <w:r w:rsidRPr="00D3420B">
        <w:t>is</w:t>
      </w:r>
      <w:r w:rsidR="00CA4CD6" w:rsidRPr="00D3420B">
        <w:t xml:space="preserve"> required by</w:t>
      </w:r>
      <w:r w:rsidR="00233F0F" w:rsidRPr="00D3420B">
        <w:t xml:space="preserve"> the</w:t>
      </w:r>
      <w:r w:rsidR="00CA4CD6" w:rsidRPr="00D3420B">
        <w:t xml:space="preserve"> </w:t>
      </w:r>
      <w:r w:rsidR="00D01CA7" w:rsidRPr="00D3420B">
        <w:rPr>
          <w:bCs/>
        </w:rPr>
        <w:t xml:space="preserve">NSPS for Greenhouse Gas Emissions for New Electric Utility Generating Units (40 CFR Part 60, Subpart TTTT) </w:t>
      </w:r>
    </w:p>
    <w:p w14:paraId="64F6F189"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A source must make the following reports:</w:t>
      </w:r>
    </w:p>
    <w:p w14:paraId="4FB425C2" w14:textId="77777777" w:rsidR="00CA4CD6" w:rsidRPr="00D3420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177CC7" w:rsidRPr="00D3420B" w14:paraId="57118738" w14:textId="77777777" w:rsidTr="003820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D3420B" w:rsidRDefault="00CA4CD6">
            <w:pPr>
              <w:spacing w:line="120" w:lineRule="exact"/>
            </w:pPr>
          </w:p>
          <w:p w14:paraId="6037C871" w14:textId="77777777" w:rsidR="00CA4CD6" w:rsidRPr="00D3420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3420B">
              <w:rPr>
                <w:b/>
              </w:rPr>
              <w:t>Notification</w:t>
            </w:r>
            <w:r w:rsidR="006E4A6E" w:rsidRPr="00D3420B">
              <w:rPr>
                <w:b/>
              </w:rPr>
              <w:t>s</w:t>
            </w:r>
          </w:p>
        </w:tc>
      </w:tr>
      <w:tr w:rsidR="00177CC7" w:rsidRPr="00D3420B" w14:paraId="3C77EC7A" w14:textId="77777777" w:rsidTr="0038203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B307089" w:rsidR="00CA4CD6" w:rsidRPr="00D3420B" w:rsidRDefault="00EF5A35">
            <w:pPr>
              <w:pBdr>
                <w:top w:val="single" w:sz="6" w:space="0" w:color="FFFFFF"/>
                <w:left w:val="single" w:sz="6" w:space="0" w:color="FFFFFF"/>
                <w:bottom w:val="single" w:sz="6" w:space="0" w:color="FFFFFF"/>
                <w:right w:val="single" w:sz="6" w:space="0" w:color="FFFFFF"/>
              </w:pBdr>
              <w:spacing w:after="58"/>
            </w:pPr>
            <w:r w:rsidRPr="00D3420B">
              <w:t>N</w:t>
            </w:r>
            <w:r w:rsidR="00B830CD" w:rsidRPr="00D3420B">
              <w:t>otification</w:t>
            </w:r>
            <w:r w:rsidRPr="00D3420B">
              <w:t xml:space="preserve"> of 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F165A86" w:rsidR="00CA4CD6" w:rsidRPr="00D3420B" w:rsidRDefault="00223327">
            <w:pPr>
              <w:pBdr>
                <w:top w:val="single" w:sz="6" w:space="0" w:color="FFFFFF"/>
                <w:left w:val="single" w:sz="6" w:space="0" w:color="FFFFFF"/>
                <w:bottom w:val="single" w:sz="6" w:space="0" w:color="FFFFFF"/>
                <w:right w:val="single" w:sz="6" w:space="0" w:color="FFFFFF"/>
              </w:pBdr>
              <w:spacing w:after="58"/>
            </w:pPr>
            <w:r w:rsidRPr="00D3420B">
              <w:t>§60.7(a)(1),</w:t>
            </w:r>
            <w:r w:rsidR="00EF04BE" w:rsidRPr="00D3420B">
              <w:t xml:space="preserve"> </w:t>
            </w:r>
            <w:r w:rsidR="00D8325A" w:rsidRPr="00D3420B">
              <w:t xml:space="preserve">§60.5550(a) </w:t>
            </w:r>
          </w:p>
        </w:tc>
      </w:tr>
      <w:tr w:rsidR="00CA4CD6" w:rsidRPr="00D3420B" w14:paraId="74DBFC89" w14:textId="77777777" w:rsidTr="0038203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D311766" w:rsidR="00CA4CD6" w:rsidRPr="00D3420B" w:rsidRDefault="00EF5A35">
            <w:pPr>
              <w:pBdr>
                <w:top w:val="single" w:sz="6" w:space="0" w:color="FFFFFF"/>
                <w:left w:val="single" w:sz="6" w:space="0" w:color="FFFFFF"/>
                <w:bottom w:val="single" w:sz="6" w:space="0" w:color="FFFFFF"/>
                <w:right w:val="single" w:sz="6" w:space="0" w:color="FFFFFF"/>
              </w:pBdr>
              <w:spacing w:after="58"/>
            </w:pPr>
            <w:r w:rsidRPr="00D3420B">
              <w:t>Notification of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3439955" w:rsidR="00CA4CD6" w:rsidRPr="00D3420B" w:rsidRDefault="00EF5A35">
            <w:pPr>
              <w:pBdr>
                <w:top w:val="single" w:sz="6" w:space="0" w:color="FFFFFF"/>
                <w:left w:val="single" w:sz="6" w:space="0" w:color="FFFFFF"/>
                <w:bottom w:val="single" w:sz="6" w:space="0" w:color="FFFFFF"/>
                <w:right w:val="single" w:sz="6" w:space="0" w:color="FFFFFF"/>
              </w:pBdr>
              <w:spacing w:after="58"/>
            </w:pPr>
            <w:r w:rsidRPr="00D3420B">
              <w:t>§60.7(a)(3)</w:t>
            </w:r>
            <w:r w:rsidR="00D8325A" w:rsidRPr="00D3420B">
              <w:t>, §60.5550(a)</w:t>
            </w:r>
          </w:p>
        </w:tc>
      </w:tr>
    </w:tbl>
    <w:p w14:paraId="186FF6F5" w14:textId="77777777" w:rsidR="00CA4CD6" w:rsidRPr="00D3420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177CC7" w:rsidRPr="00D3420B" w14:paraId="47D81F2C" w14:textId="77777777" w:rsidTr="003820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D3420B" w:rsidRDefault="00CA4CD6">
            <w:pPr>
              <w:spacing w:line="120" w:lineRule="exact"/>
            </w:pPr>
          </w:p>
          <w:p w14:paraId="361B13EC" w14:textId="77777777" w:rsidR="00CA4CD6" w:rsidRPr="00D3420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3420B">
              <w:rPr>
                <w:b/>
              </w:rPr>
              <w:t>Reports</w:t>
            </w:r>
          </w:p>
        </w:tc>
      </w:tr>
      <w:tr w:rsidR="00CA4CD6" w:rsidRPr="00D3420B" w14:paraId="46D42E18" w14:textId="77777777" w:rsidTr="0038203D">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1DB0E85D" w:rsidR="00CA4CD6" w:rsidRPr="00D3420B" w:rsidRDefault="00EF5A35">
            <w:pPr>
              <w:pBdr>
                <w:top w:val="single" w:sz="6" w:space="0" w:color="FFFFFF"/>
                <w:left w:val="single" w:sz="6" w:space="0" w:color="FFFFFF"/>
                <w:bottom w:val="single" w:sz="6" w:space="0" w:color="FFFFFF"/>
                <w:right w:val="single" w:sz="6" w:space="0" w:color="FFFFFF"/>
              </w:pBdr>
              <w:spacing w:after="58"/>
            </w:pPr>
            <w:r w:rsidRPr="00D3420B">
              <w:t>Electronic q</w:t>
            </w:r>
            <w:r w:rsidR="00223327" w:rsidRPr="00D3420B">
              <w:t>uarterly compliance reports</w:t>
            </w:r>
            <w:r w:rsidR="00350F59" w:rsidRPr="00D3420B">
              <w:t xml:space="preserve"> (includes excess emissions and downtime)</w:t>
            </w:r>
          </w:p>
        </w:tc>
        <w:tc>
          <w:tcPr>
            <w:tcW w:w="2070" w:type="dxa"/>
            <w:tcBorders>
              <w:top w:val="single" w:sz="7" w:space="0" w:color="000000"/>
              <w:left w:val="single" w:sz="7" w:space="0" w:color="000000"/>
              <w:bottom w:val="single" w:sz="7" w:space="0" w:color="000000"/>
              <w:right w:val="single" w:sz="7" w:space="0" w:color="000000"/>
            </w:tcBorders>
          </w:tcPr>
          <w:p w14:paraId="6DF7646A" w14:textId="68C77EA5" w:rsidR="00CA4CD6" w:rsidRPr="00D3420B" w:rsidRDefault="00350F59">
            <w:pPr>
              <w:pBdr>
                <w:top w:val="single" w:sz="6" w:space="0" w:color="FFFFFF"/>
                <w:left w:val="single" w:sz="6" w:space="0" w:color="FFFFFF"/>
                <w:bottom w:val="single" w:sz="6" w:space="0" w:color="FFFFFF"/>
                <w:right w:val="single" w:sz="6" w:space="0" w:color="FFFFFF"/>
              </w:pBdr>
              <w:spacing w:after="58"/>
            </w:pPr>
            <w:r w:rsidRPr="00D3420B">
              <w:t>§60.5555(a),(b)</w:t>
            </w:r>
          </w:p>
        </w:tc>
      </w:tr>
    </w:tbl>
    <w:p w14:paraId="727C7661" w14:textId="77777777" w:rsidR="00CA4CD6" w:rsidRPr="00D3420B"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A source must keep the following records:</w:t>
      </w:r>
    </w:p>
    <w:p w14:paraId="593483DA" w14:textId="77777777" w:rsidR="00CA4CD6" w:rsidRPr="00D3420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177CC7" w:rsidRPr="00D3420B" w14:paraId="1F0D0E86" w14:textId="77777777" w:rsidTr="0038203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D3420B" w:rsidRDefault="00CA4CD6">
            <w:pPr>
              <w:spacing w:line="120" w:lineRule="exact"/>
            </w:pPr>
          </w:p>
          <w:p w14:paraId="4924ACFC" w14:textId="77777777" w:rsidR="00CA4CD6" w:rsidRPr="00D3420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3420B">
              <w:rPr>
                <w:b/>
              </w:rPr>
              <w:t>Recordkeeping</w:t>
            </w:r>
          </w:p>
        </w:tc>
      </w:tr>
      <w:tr w:rsidR="00177CC7" w:rsidRPr="00D3420B" w14:paraId="36691C85" w14:textId="77777777" w:rsidTr="0038203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05F355B" w:rsidR="00CA4CD6" w:rsidRPr="00D3420B" w:rsidRDefault="004F672D">
            <w:pPr>
              <w:pBdr>
                <w:top w:val="single" w:sz="6" w:space="0" w:color="FFFFFF"/>
                <w:left w:val="single" w:sz="6" w:space="0" w:color="FFFFFF"/>
                <w:bottom w:val="single" w:sz="6" w:space="0" w:color="FFFFFF"/>
                <w:right w:val="single" w:sz="6" w:space="0" w:color="FFFFFF"/>
              </w:pBdr>
              <w:spacing w:after="58"/>
            </w:pPr>
            <w:r w:rsidRPr="00D3420B">
              <w:t>Records of hourly and total CO2 mass emissions calculations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3EBE6AF7" w:rsidR="00CA4CD6" w:rsidRPr="00D3420B" w:rsidRDefault="00350F59">
            <w:pPr>
              <w:pBdr>
                <w:top w:val="single" w:sz="6" w:space="0" w:color="FFFFFF"/>
                <w:left w:val="single" w:sz="6" w:space="0" w:color="FFFFFF"/>
                <w:bottom w:val="single" w:sz="6" w:space="0" w:color="FFFFFF"/>
                <w:right w:val="single" w:sz="6" w:space="0" w:color="FFFFFF"/>
              </w:pBdr>
              <w:spacing w:after="58"/>
            </w:pPr>
            <w:r w:rsidRPr="00D3420B">
              <w:t>§60.5560(d)-(g)</w:t>
            </w:r>
          </w:p>
        </w:tc>
      </w:tr>
      <w:tr w:rsidR="00177CC7" w:rsidRPr="00D3420B" w14:paraId="7B98B13A" w14:textId="77777777" w:rsidTr="0038203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DA87C2A" w:rsidR="00CA4CD6" w:rsidRPr="00D3420B" w:rsidRDefault="00350F59">
            <w:pPr>
              <w:pBdr>
                <w:top w:val="single" w:sz="6" w:space="0" w:color="FFFFFF"/>
                <w:left w:val="single" w:sz="6" w:space="0" w:color="FFFFFF"/>
                <w:bottom w:val="single" w:sz="6" w:space="0" w:color="FFFFFF"/>
                <w:right w:val="single" w:sz="6" w:space="0" w:color="FFFFFF"/>
              </w:pBdr>
              <w:spacing w:after="58"/>
            </w:pPr>
            <w:r w:rsidRPr="00D3420B">
              <w:t>Records of malfunctions or downtime</w:t>
            </w:r>
          </w:p>
        </w:tc>
        <w:tc>
          <w:tcPr>
            <w:tcW w:w="2250" w:type="dxa"/>
            <w:tcBorders>
              <w:top w:val="single" w:sz="7" w:space="0" w:color="000000"/>
              <w:left w:val="single" w:sz="7" w:space="0" w:color="000000"/>
              <w:bottom w:val="single" w:sz="7" w:space="0" w:color="000000"/>
              <w:right w:val="single" w:sz="7" w:space="0" w:color="000000"/>
            </w:tcBorders>
          </w:tcPr>
          <w:p w14:paraId="06801B01" w14:textId="454C5B01" w:rsidR="00CA4CD6" w:rsidRPr="00D3420B" w:rsidRDefault="00350F59">
            <w:pPr>
              <w:pBdr>
                <w:top w:val="single" w:sz="6" w:space="0" w:color="FFFFFF"/>
                <w:left w:val="single" w:sz="6" w:space="0" w:color="FFFFFF"/>
                <w:bottom w:val="single" w:sz="6" w:space="0" w:color="FFFFFF"/>
                <w:right w:val="single" w:sz="6" w:space="0" w:color="FFFFFF"/>
              </w:pBdr>
              <w:spacing w:after="58"/>
            </w:pPr>
            <w:r w:rsidRPr="00D3420B">
              <w:t>§§60.7(b), 60.5560(a)</w:t>
            </w:r>
          </w:p>
        </w:tc>
      </w:tr>
      <w:tr w:rsidR="00CA4CD6" w:rsidRPr="00D3420B" w14:paraId="32AE5640" w14:textId="77777777" w:rsidTr="0038203D">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FEFD909" w:rsidR="00CA4CD6" w:rsidRPr="00D3420B" w:rsidRDefault="00350F59">
            <w:pPr>
              <w:pBdr>
                <w:top w:val="single" w:sz="6" w:space="0" w:color="FFFFFF"/>
                <w:left w:val="single" w:sz="6" w:space="0" w:color="FFFFFF"/>
                <w:bottom w:val="single" w:sz="6" w:space="0" w:color="FFFFFF"/>
                <w:right w:val="single" w:sz="6" w:space="0" w:color="FFFFFF"/>
              </w:pBdr>
              <w:spacing w:after="58"/>
            </w:pPr>
            <w:r w:rsidRPr="00D3420B">
              <w:t>Records of performance evaluations</w:t>
            </w:r>
          </w:p>
        </w:tc>
        <w:tc>
          <w:tcPr>
            <w:tcW w:w="2250" w:type="dxa"/>
            <w:tcBorders>
              <w:top w:val="single" w:sz="7" w:space="0" w:color="000000"/>
              <w:left w:val="single" w:sz="7" w:space="0" w:color="000000"/>
              <w:bottom w:val="single" w:sz="7" w:space="0" w:color="000000"/>
              <w:right w:val="single" w:sz="7" w:space="0" w:color="000000"/>
            </w:tcBorders>
          </w:tcPr>
          <w:p w14:paraId="7F8F2C95" w14:textId="40638C13" w:rsidR="00CA4CD6" w:rsidRPr="00D3420B" w:rsidRDefault="00350F59">
            <w:pPr>
              <w:pBdr>
                <w:top w:val="single" w:sz="6" w:space="0" w:color="FFFFFF"/>
                <w:left w:val="single" w:sz="6" w:space="0" w:color="FFFFFF"/>
                <w:bottom w:val="single" w:sz="6" w:space="0" w:color="FFFFFF"/>
                <w:right w:val="single" w:sz="6" w:space="0" w:color="FFFFFF"/>
              </w:pBdr>
              <w:spacing w:after="58"/>
            </w:pPr>
            <w:r w:rsidRPr="00D3420B">
              <w:t>§§60.7(f), 60.5560(a)</w:t>
            </w:r>
          </w:p>
        </w:tc>
      </w:tr>
    </w:tbl>
    <w:p w14:paraId="62512DB9"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D3420B" w:rsidRDefault="00CA4CD6" w:rsidP="00504745">
      <w:pPr>
        <w:pBdr>
          <w:top w:val="single" w:sz="6" w:space="0" w:color="FFFFFF"/>
          <w:left w:val="single" w:sz="6" w:space="0" w:color="FFFFFF"/>
          <w:bottom w:val="single" w:sz="6" w:space="0" w:color="FFFFFF"/>
          <w:right w:val="single" w:sz="6" w:space="0" w:color="FFFFFF"/>
        </w:pBdr>
        <w:outlineLvl w:val="0"/>
      </w:pPr>
      <w:r w:rsidRPr="00D3420B">
        <w:rPr>
          <w:u w:val="single"/>
        </w:rPr>
        <w:t>Electronic Reporting</w:t>
      </w:r>
    </w:p>
    <w:p w14:paraId="32C12C74"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5313BE49" w14:textId="0DDD33F7" w:rsidR="00350F59" w:rsidRPr="00D3420B" w:rsidRDefault="00A76CFA" w:rsidP="00350F59">
      <w:pPr>
        <w:ind w:firstLine="720"/>
      </w:pPr>
      <w:r w:rsidRPr="00D3420B">
        <w:t xml:space="preserve">As part of an Agency-wide effort to facilitate reporting of environmental data and reports, the rule requires that owners and operators subject to this regulation must electronically submit quarterly emissions summary reports that include excess emissions and continuous monitoring systems performance data. </w:t>
      </w:r>
      <w:r w:rsidR="00350F59" w:rsidRPr="00D3420B">
        <w:t>Owners or operators submit these reports to the EPA using the Emissions Collection and Monitoring Plan System (ECMPS) Client Tool provided by the Clean Air Markets Division in the EPA Office of Atmospheric Programs.</w:t>
      </w:r>
    </w:p>
    <w:p w14:paraId="7A1F3237" w14:textId="77777777" w:rsidR="00350F59" w:rsidRPr="00D3420B" w:rsidRDefault="00350F59" w:rsidP="00350F59">
      <w:pPr>
        <w:ind w:firstLine="720"/>
      </w:pPr>
    </w:p>
    <w:p w14:paraId="17492E3E" w14:textId="26CEEFFC" w:rsidR="00CA4CD6" w:rsidRPr="00D3420B" w:rsidRDefault="00A76CFA" w:rsidP="0049327D">
      <w:pPr>
        <w:pBdr>
          <w:top w:val="single" w:sz="6" w:space="0" w:color="FFFFFF"/>
          <w:left w:val="single" w:sz="6" w:space="0" w:color="FFFFFF"/>
          <w:bottom w:val="single" w:sz="6" w:space="0" w:color="FFFFFF"/>
          <w:right w:val="single" w:sz="6" w:space="0" w:color="FFFFFF"/>
        </w:pBdr>
        <w:ind w:firstLine="720"/>
      </w:pPr>
      <w:r w:rsidRPr="00D3420B">
        <w:t>Additionally, s</w:t>
      </w:r>
      <w:r w:rsidR="002743D2" w:rsidRPr="00D3420B">
        <w:t>ome of the r</w:t>
      </w:r>
      <w:r w:rsidR="00CA4CD6" w:rsidRPr="00D3420B">
        <w:t>espondents are using monitoring equipment that automatically records parameter data.</w:t>
      </w:r>
      <w:r w:rsidR="009C7E97" w:rsidRPr="00D3420B">
        <w:t xml:space="preserve"> </w:t>
      </w:r>
      <w:r w:rsidR="00CA4CD6" w:rsidRPr="00D3420B">
        <w:t xml:space="preserve">Although personnel at the affected facility must </w:t>
      </w:r>
      <w:r w:rsidR="002743D2" w:rsidRPr="00D3420B">
        <w:t xml:space="preserve">still </w:t>
      </w:r>
      <w:r w:rsidR="00CA4CD6" w:rsidRPr="00D3420B">
        <w:t xml:space="preserve">evaluate the data, internal automation has significantly reduced the burden associated with monitoring and recordkeeping at </w:t>
      </w:r>
      <w:r w:rsidR="002743D2" w:rsidRPr="00D3420B">
        <w:t>a</w:t>
      </w:r>
      <w:r w:rsidR="00CA4CD6" w:rsidRPr="00D3420B">
        <w:t xml:space="preserve"> plant site.</w:t>
      </w:r>
      <w:r w:rsidRPr="00D3420B">
        <w:t xml:space="preserve"> </w:t>
      </w:r>
    </w:p>
    <w:p w14:paraId="6D7FBD4A"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D3420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3420B">
        <w:rPr>
          <w:b/>
          <w:bCs/>
        </w:rPr>
        <w:t>(ii)</w:t>
      </w:r>
      <w:r w:rsidR="009C7E97" w:rsidRPr="00D3420B">
        <w:rPr>
          <w:b/>
          <w:bCs/>
        </w:rPr>
        <w:t xml:space="preserve"> </w:t>
      </w:r>
      <w:r w:rsidRPr="00D3420B">
        <w:rPr>
          <w:b/>
          <w:bCs/>
        </w:rPr>
        <w:t>Respondent Activities</w:t>
      </w:r>
      <w:r w:rsidRPr="00D3420B">
        <w:rPr>
          <w:b/>
          <w:bCs/>
        </w:rPr>
        <w:tab/>
      </w:r>
    </w:p>
    <w:p w14:paraId="4D182B77" w14:textId="77777777" w:rsidR="00CA4CD6" w:rsidRPr="00D3420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177CC7" w:rsidRPr="00D3420B" w14:paraId="74E6A1CE" w14:textId="77777777" w:rsidTr="0038203D">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D3420B" w:rsidRDefault="00CA4CD6">
            <w:pPr>
              <w:spacing w:line="120" w:lineRule="exact"/>
            </w:pPr>
          </w:p>
          <w:p w14:paraId="7977683B"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D3420B">
              <w:rPr>
                <w:b/>
                <w:bCs/>
              </w:rPr>
              <w:t>Respondent Activities</w:t>
            </w:r>
          </w:p>
        </w:tc>
      </w:tr>
      <w:tr w:rsidR="00177CC7" w:rsidRPr="00D3420B" w14:paraId="6266A788"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D3420B" w:rsidRDefault="00CA4CD6">
            <w:pPr>
              <w:spacing w:line="120" w:lineRule="exact"/>
              <w:rPr>
                <w:b/>
                <w:bCs/>
              </w:rPr>
            </w:pPr>
          </w:p>
          <w:p w14:paraId="2A5A39C3" w14:textId="104F26E8" w:rsidR="00CA4CD6" w:rsidRPr="00D3420B" w:rsidRDefault="0049327D">
            <w:pPr>
              <w:pBdr>
                <w:top w:val="single" w:sz="6" w:space="0" w:color="FFFFFF"/>
                <w:left w:val="single" w:sz="6" w:space="0" w:color="FFFFFF"/>
                <w:bottom w:val="single" w:sz="6" w:space="0" w:color="FFFFFF"/>
                <w:right w:val="single" w:sz="6" w:space="0" w:color="FFFFFF"/>
              </w:pBdr>
              <w:spacing w:after="55"/>
            </w:pPr>
            <w:r w:rsidRPr="00D3420B">
              <w:t>Familiarization with the regulatory requirements.</w:t>
            </w:r>
          </w:p>
        </w:tc>
      </w:tr>
      <w:tr w:rsidR="00177CC7" w:rsidRPr="00D3420B" w14:paraId="43B6AB03"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D3420B" w:rsidRDefault="00CA4CD6">
            <w:pPr>
              <w:spacing w:line="120" w:lineRule="exact"/>
            </w:pPr>
          </w:p>
          <w:p w14:paraId="0EC55766" w14:textId="0B4CCA98"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 xml:space="preserve">Install, calibrate, maintain, and operate </w:t>
            </w:r>
            <w:r w:rsidR="00C76CDD" w:rsidRPr="00D3420B">
              <w:t xml:space="preserve">CEMS for CO2 or </w:t>
            </w:r>
            <w:r w:rsidR="00C63166" w:rsidRPr="00D3420B">
              <w:t xml:space="preserve">monitors </w:t>
            </w:r>
            <w:r w:rsidRPr="00D3420B">
              <w:t xml:space="preserve">for </w:t>
            </w:r>
            <w:r w:rsidR="00C76CDD" w:rsidRPr="00D3420B">
              <w:t>fuel flow rate,</w:t>
            </w:r>
            <w:r w:rsidR="00C63166" w:rsidRPr="00D3420B">
              <w:t xml:space="preserve"> and </w:t>
            </w:r>
            <w:r w:rsidR="00C76CDD" w:rsidRPr="00D3420B">
              <w:t>unit operating time</w:t>
            </w:r>
            <w:r w:rsidR="008D19D9" w:rsidRPr="00D3420B">
              <w:t xml:space="preserve"> of the EGU</w:t>
            </w:r>
            <w:r w:rsidRPr="00D3420B">
              <w:t>.</w:t>
            </w:r>
            <w:r w:rsidR="009C7E97" w:rsidRPr="00D3420B">
              <w:t xml:space="preserve"> </w:t>
            </w:r>
          </w:p>
        </w:tc>
      </w:tr>
      <w:tr w:rsidR="00177CC7" w:rsidRPr="00D3420B" w14:paraId="3E845C8F"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D3420B" w:rsidRDefault="00CA4CD6">
            <w:pPr>
              <w:spacing w:line="120" w:lineRule="exact"/>
            </w:pPr>
          </w:p>
          <w:p w14:paraId="32FA11A9"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Write the notifications and reports listed above.</w:t>
            </w:r>
          </w:p>
        </w:tc>
      </w:tr>
      <w:tr w:rsidR="00177CC7" w:rsidRPr="00D3420B" w14:paraId="0AF39510"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D3420B" w:rsidRDefault="00CA4CD6">
            <w:pPr>
              <w:spacing w:line="120" w:lineRule="exact"/>
            </w:pPr>
          </w:p>
          <w:p w14:paraId="7BA88497"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Enter information required to be recorded above.</w:t>
            </w:r>
          </w:p>
        </w:tc>
      </w:tr>
      <w:tr w:rsidR="00177CC7" w:rsidRPr="00D3420B" w14:paraId="570646C8"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D3420B" w:rsidRDefault="00CA4CD6">
            <w:pPr>
              <w:spacing w:line="120" w:lineRule="exact"/>
            </w:pPr>
          </w:p>
          <w:p w14:paraId="45548886" w14:textId="113EAD8F"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Submit the required reports developing, acquiring, installing, and utilizing technology and systems for collecting, validating, and verifying information.</w:t>
            </w:r>
          </w:p>
        </w:tc>
      </w:tr>
      <w:tr w:rsidR="00177CC7" w:rsidRPr="00D3420B" w14:paraId="53EA099E"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D3420B" w:rsidRDefault="00CA4CD6">
            <w:pPr>
              <w:spacing w:line="120" w:lineRule="exact"/>
            </w:pPr>
          </w:p>
          <w:p w14:paraId="0826CF44" w14:textId="2C951447"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Develop, acquire, install, and utilize technology and systems for processing and maintaining information.</w:t>
            </w:r>
          </w:p>
        </w:tc>
      </w:tr>
      <w:tr w:rsidR="00177CC7" w:rsidRPr="00D3420B" w14:paraId="49D0EACC"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D3420B" w:rsidRDefault="00CA4CD6">
            <w:pPr>
              <w:spacing w:line="120" w:lineRule="exact"/>
            </w:pPr>
          </w:p>
          <w:p w14:paraId="4546D7C8" w14:textId="6E37ACA6"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Develop, acquire, install, and utilize technology and systems for disclosing and providing information.</w:t>
            </w:r>
          </w:p>
        </w:tc>
      </w:tr>
      <w:tr w:rsidR="00177CC7" w:rsidRPr="00D3420B" w14:paraId="3DBECFDB" w14:textId="77777777" w:rsidTr="0038203D">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D3420B" w:rsidRDefault="00CA4CD6">
            <w:pPr>
              <w:spacing w:line="120" w:lineRule="exact"/>
            </w:pPr>
          </w:p>
          <w:p w14:paraId="350FE487"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5"/>
            </w:pPr>
            <w:r w:rsidRPr="00D3420B">
              <w:t>Train personnel to be able to respond to a collection of information.</w:t>
            </w:r>
          </w:p>
        </w:tc>
      </w:tr>
      <w:tr w:rsidR="00CA4CD6" w:rsidRPr="00D3420B" w14:paraId="6D8DB44A" w14:textId="77777777" w:rsidTr="0038203D">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D3420B" w:rsidRDefault="00CA4CD6">
            <w:pPr>
              <w:spacing w:line="120" w:lineRule="exact"/>
            </w:pPr>
          </w:p>
          <w:p w14:paraId="0D6818D7" w14:textId="77777777" w:rsidR="00CA4CD6" w:rsidRPr="00D3420B" w:rsidRDefault="00CA4CD6">
            <w:pPr>
              <w:pBdr>
                <w:top w:val="single" w:sz="6" w:space="0" w:color="FFFFFF"/>
                <w:left w:val="single" w:sz="6" w:space="0" w:color="FFFFFF"/>
                <w:bottom w:val="single" w:sz="6" w:space="0" w:color="FFFFFF"/>
                <w:right w:val="single" w:sz="6" w:space="0" w:color="FFFFFF"/>
              </w:pBdr>
              <w:spacing w:after="74"/>
            </w:pPr>
            <w:r w:rsidRPr="00D3420B">
              <w:t>Transmit, or otherwise disclose the information.</w:t>
            </w:r>
          </w:p>
        </w:tc>
      </w:tr>
    </w:tbl>
    <w:p w14:paraId="704A5FF5"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D3420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3420B">
        <w:rPr>
          <w:b/>
          <w:bCs/>
        </w:rPr>
        <w:t>5.</w:t>
      </w:r>
      <w:r w:rsidR="009C7E97" w:rsidRPr="00D3420B">
        <w:rPr>
          <w:b/>
          <w:bCs/>
        </w:rPr>
        <w:t xml:space="preserve"> </w:t>
      </w:r>
      <w:r w:rsidRPr="00D3420B">
        <w:rPr>
          <w:b/>
          <w:bCs/>
        </w:rPr>
        <w:t>The Information Collected:</w:t>
      </w:r>
      <w:r w:rsidR="009C7E97" w:rsidRPr="00D3420B">
        <w:rPr>
          <w:b/>
          <w:bCs/>
        </w:rPr>
        <w:t xml:space="preserve"> </w:t>
      </w:r>
      <w:r w:rsidRPr="00D3420B">
        <w:rPr>
          <w:b/>
          <w:bCs/>
        </w:rPr>
        <w:t>Agency Activities, Collection Methodology, and Information Management</w:t>
      </w:r>
    </w:p>
    <w:p w14:paraId="548DB40C" w14:textId="4508220D" w:rsidR="00CA4CD6" w:rsidRDefault="00CA4CD6">
      <w:pPr>
        <w:pBdr>
          <w:top w:val="single" w:sz="6" w:space="0" w:color="FFFFFF"/>
          <w:left w:val="single" w:sz="6" w:space="0" w:color="FFFFFF"/>
          <w:bottom w:val="single" w:sz="6" w:space="0" w:color="FFFFFF"/>
          <w:right w:val="single" w:sz="6" w:space="0" w:color="FFFFFF"/>
        </w:pBdr>
        <w:rPr>
          <w:b/>
          <w:bCs/>
        </w:rPr>
      </w:pPr>
    </w:p>
    <w:p w14:paraId="5B4105B4" w14:textId="68E759BC"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5(a)</w:t>
      </w:r>
      <w:r w:rsidR="009C7E97" w:rsidRPr="00D3420B">
        <w:rPr>
          <w:b/>
          <w:bCs/>
        </w:rPr>
        <w:t xml:space="preserve"> </w:t>
      </w:r>
      <w:r w:rsidRPr="00D3420B">
        <w:rPr>
          <w:b/>
          <w:bCs/>
        </w:rPr>
        <w:t>Agency Activities</w:t>
      </w:r>
      <w:r w:rsidR="009C7E97" w:rsidRPr="00D3420B">
        <w:t xml:space="preserve"> </w:t>
      </w:r>
    </w:p>
    <w:p w14:paraId="68849FF5"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2F9647A" w14:textId="50B38BFC"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EPA conducts the following activities in connection with the acquisition, analysis, storage, and distribution of the required information</w:t>
      </w:r>
      <w:r w:rsidR="004A1F06">
        <w:t>:</w:t>
      </w:r>
    </w:p>
    <w:p w14:paraId="74907A6D" w14:textId="77777777" w:rsidR="00CA4CD6" w:rsidRPr="00D3420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177CC7" w:rsidRPr="00D3420B"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D3420B" w:rsidRDefault="00CA4CD6">
            <w:pPr>
              <w:spacing w:line="120" w:lineRule="exact"/>
            </w:pPr>
          </w:p>
          <w:p w14:paraId="05C22BE9"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3420B">
              <w:rPr>
                <w:b/>
                <w:bCs/>
              </w:rPr>
              <w:t>Agency Activities</w:t>
            </w:r>
          </w:p>
        </w:tc>
      </w:tr>
      <w:tr w:rsidR="00177CC7" w:rsidRPr="00D3420B"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D3420B" w:rsidRDefault="00CA4CD6">
            <w:pPr>
              <w:spacing w:line="120" w:lineRule="exact"/>
            </w:pPr>
          </w:p>
          <w:p w14:paraId="38CEAAD5" w14:textId="7B656D22" w:rsidR="00CA4CD6" w:rsidRPr="00D3420B" w:rsidRDefault="00CA4CD6">
            <w:pPr>
              <w:pBdr>
                <w:top w:val="single" w:sz="6" w:space="0" w:color="FFFFFF"/>
                <w:left w:val="single" w:sz="6" w:space="0" w:color="FFFFFF"/>
                <w:bottom w:val="single" w:sz="6" w:space="0" w:color="FFFFFF"/>
                <w:right w:val="single" w:sz="6" w:space="0" w:color="FFFFFF"/>
              </w:pBdr>
              <w:spacing w:after="52"/>
            </w:pPr>
            <w:r w:rsidRPr="00D3420B">
              <w:t xml:space="preserve">Review notifications and reports, including </w:t>
            </w:r>
            <w:r w:rsidR="003B5642" w:rsidRPr="00D3420B">
              <w:t>quarterly emissions summary</w:t>
            </w:r>
            <w:r w:rsidRPr="00D3420B">
              <w:t xml:space="preserve"> reports</w:t>
            </w:r>
            <w:r w:rsidR="003B5642" w:rsidRPr="00D3420B">
              <w:t xml:space="preserve"> (includes</w:t>
            </w:r>
            <w:r w:rsidRPr="00D3420B">
              <w:t xml:space="preserve"> excess emissions</w:t>
            </w:r>
            <w:r w:rsidR="003B5642" w:rsidRPr="00D3420B">
              <w:t>)</w:t>
            </w:r>
            <w:r w:rsidRPr="00D3420B">
              <w:t xml:space="preserve"> required to be submitted by industry.</w:t>
            </w:r>
          </w:p>
        </w:tc>
      </w:tr>
      <w:tr w:rsidR="00177CC7" w:rsidRPr="00D3420B"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D3420B" w:rsidRDefault="00CA4CD6">
            <w:pPr>
              <w:spacing w:line="120" w:lineRule="exact"/>
            </w:pPr>
          </w:p>
          <w:p w14:paraId="139C96FE"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2"/>
            </w:pPr>
            <w:r w:rsidRPr="00D3420B">
              <w:t>Audit facility records.</w:t>
            </w:r>
          </w:p>
        </w:tc>
      </w:tr>
      <w:tr w:rsidR="00D91C34" w:rsidRPr="00D3420B"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3420B" w:rsidRDefault="006D4402" w:rsidP="00D91C34">
            <w:pPr>
              <w:pBdr>
                <w:top w:val="single" w:sz="6" w:space="0" w:color="FFFFFF"/>
                <w:left w:val="single" w:sz="6" w:space="0" w:color="FFFFFF"/>
                <w:bottom w:val="single" w:sz="6" w:space="0" w:color="FFFFFF"/>
                <w:right w:val="single" w:sz="6" w:space="0" w:color="FFFFFF"/>
              </w:pBdr>
              <w:spacing w:after="72"/>
            </w:pPr>
            <w:r w:rsidRPr="00D3420B">
              <w:t xml:space="preserve">Input, analyze, and maintain data in </w:t>
            </w:r>
            <w:r w:rsidR="00D61125" w:rsidRPr="00D3420B">
              <w:t xml:space="preserve">the </w:t>
            </w:r>
            <w:r w:rsidR="00D91C34" w:rsidRPr="00D3420B">
              <w:t xml:space="preserve">Enforcement and Compliance History Online (ECHO) and ICIS. </w:t>
            </w:r>
          </w:p>
        </w:tc>
      </w:tr>
    </w:tbl>
    <w:p w14:paraId="680C217E"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5(b)</w:t>
      </w:r>
      <w:r w:rsidR="009C7E97" w:rsidRPr="00D3420B">
        <w:rPr>
          <w:b/>
          <w:bCs/>
        </w:rPr>
        <w:t xml:space="preserve"> </w:t>
      </w:r>
      <w:r w:rsidRPr="00D3420B">
        <w:rPr>
          <w:b/>
          <w:bCs/>
        </w:rPr>
        <w:t>Collection Methodology and Management</w:t>
      </w:r>
    </w:p>
    <w:p w14:paraId="74B70979"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CF35A7F" w14:textId="42743F2A"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Following notification of startup, the reviewing authority </w:t>
      </w:r>
      <w:r w:rsidR="002B29A7" w:rsidRPr="00D3420B">
        <w:t xml:space="preserve">could </w:t>
      </w:r>
      <w:r w:rsidRPr="00D3420B">
        <w:t>inspect the source to determine whether the</w:t>
      </w:r>
      <w:r w:rsidR="008D19D9" w:rsidRPr="00D3420B">
        <w:t xml:space="preserve"> CO</w:t>
      </w:r>
      <w:r w:rsidR="008D19D9" w:rsidRPr="00D3420B">
        <w:rPr>
          <w:vertAlign w:val="subscript"/>
        </w:rPr>
        <w:t>2</w:t>
      </w:r>
      <w:r w:rsidR="008D19D9" w:rsidRPr="00D3420B">
        <w:t xml:space="preserve"> CEMS and the associated automatic data acquisition system </w:t>
      </w:r>
      <w:r w:rsidRPr="00D3420B">
        <w:t>are properly installed and operated.</w:t>
      </w:r>
      <w:r w:rsidR="009C7E97" w:rsidRPr="00D3420B">
        <w:t xml:space="preserve"> </w:t>
      </w:r>
      <w:r w:rsidRPr="00D3420B">
        <w:t>Data and records maintained by the respondents are tabulated and published for use in compliance and enforcement programs.</w:t>
      </w:r>
      <w:r w:rsidR="009C7E97" w:rsidRPr="00D3420B">
        <w:t xml:space="preserve"> </w:t>
      </w:r>
      <w:r w:rsidRPr="00D3420B">
        <w:t xml:space="preserve">The </w:t>
      </w:r>
      <w:r w:rsidR="008D19D9" w:rsidRPr="00D3420B">
        <w:t xml:space="preserve">quarterly </w:t>
      </w:r>
      <w:r w:rsidRPr="00D3420B">
        <w:t>reports are used for problem identification, as a check on source operation and maintenance, and for compliance determinations.</w:t>
      </w:r>
    </w:p>
    <w:p w14:paraId="0EE39793"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Information contained in </w:t>
      </w:r>
      <w:r w:rsidR="004C701D" w:rsidRPr="00D3420B">
        <w:t xml:space="preserve">the reports is </w:t>
      </w:r>
      <w:r w:rsidR="006D4402" w:rsidRPr="00D3420B">
        <w:t>reported by state and local governments in the ICIS Air database, which is</w:t>
      </w:r>
      <w:r w:rsidRPr="00D3420B">
        <w:t xml:space="preserve"> operated and maintained by EPA's Office of Compliance.</w:t>
      </w:r>
      <w:r w:rsidR="009C7E97" w:rsidRPr="00D3420B">
        <w:t xml:space="preserve"> </w:t>
      </w:r>
      <w:r w:rsidR="00F5262C" w:rsidRPr="00D3420B">
        <w:t>IC</w:t>
      </w:r>
      <w:r w:rsidR="004C701D" w:rsidRPr="00D3420B">
        <w:t xml:space="preserve">IS </w:t>
      </w:r>
      <w:r w:rsidRPr="00D3420B">
        <w:t>is EPA</w:t>
      </w:r>
      <w:r w:rsidR="004C701D" w:rsidRPr="00D3420B">
        <w:t>’</w:t>
      </w:r>
      <w:r w:rsidRPr="00D3420B">
        <w:t>s database for the collection, maintenance, and retrieval of compliance data for industrial and government-owned facilities.</w:t>
      </w:r>
      <w:r w:rsidR="009C7E97" w:rsidRPr="00D3420B">
        <w:t xml:space="preserve"> </w:t>
      </w:r>
      <w:r w:rsidRPr="00D3420B">
        <w:t xml:space="preserve">EPA uses </w:t>
      </w:r>
      <w:r w:rsidR="006D4402" w:rsidRPr="00D3420B">
        <w:t>ICIS</w:t>
      </w:r>
      <w:r w:rsidRPr="00D3420B">
        <w:t xml:space="preserve"> for tracking air pollution compliance and enforcement by local and state regulatory agencies, EPA regional offices and EPA headquarters.</w:t>
      </w:r>
      <w:r w:rsidR="009C7E97" w:rsidRPr="00D3420B">
        <w:t xml:space="preserve"> </w:t>
      </w:r>
      <w:r w:rsidRPr="00D3420B">
        <w:t>EPA and its delegated Authorities can edit, store, retrieve and analyze the data.</w:t>
      </w:r>
    </w:p>
    <w:p w14:paraId="017D28EB"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39977937" w14:textId="00A80BB3"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 The records required by this regulation must be retained by the owner/operator for </w:t>
      </w:r>
      <w:r w:rsidR="008D19D9" w:rsidRPr="00D3420B">
        <w:t>three</w:t>
      </w:r>
      <w:r w:rsidRPr="00D3420B">
        <w:t xml:space="preserve"> years.</w:t>
      </w:r>
    </w:p>
    <w:p w14:paraId="03121584"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5(c)</w:t>
      </w:r>
      <w:r w:rsidR="009C7E97" w:rsidRPr="00D3420B">
        <w:rPr>
          <w:b/>
          <w:bCs/>
        </w:rPr>
        <w:t xml:space="preserve"> </w:t>
      </w:r>
      <w:r w:rsidRPr="00D3420B">
        <w:rPr>
          <w:b/>
          <w:bCs/>
        </w:rPr>
        <w:t>Small Entity Flexibility</w:t>
      </w:r>
    </w:p>
    <w:p w14:paraId="36C56F4A" w14:textId="77777777" w:rsidR="00CA4CD6" w:rsidRPr="00D3420B" w:rsidRDefault="00CA4CD6" w:rsidP="006E4A6E">
      <w:pPr>
        <w:pBdr>
          <w:top w:val="single" w:sz="6" w:space="0" w:color="FFFFFF"/>
          <w:left w:val="single" w:sz="6" w:space="0" w:color="FFFFFF"/>
          <w:bottom w:val="single" w:sz="6" w:space="0" w:color="FFFFFF"/>
          <w:right w:val="single" w:sz="6" w:space="0" w:color="FFFFFF"/>
        </w:pBdr>
      </w:pPr>
    </w:p>
    <w:p w14:paraId="15694245" w14:textId="1EA360B9" w:rsidR="00CA4CD6" w:rsidRPr="00D3420B" w:rsidRDefault="00CA4CD6" w:rsidP="0038203D">
      <w:pPr>
        <w:pBdr>
          <w:top w:val="single" w:sz="6" w:space="0" w:color="FFFFFF"/>
          <w:left w:val="single" w:sz="6" w:space="0" w:color="FFFFFF"/>
          <w:bottom w:val="single" w:sz="6" w:space="0" w:color="FFFFFF"/>
          <w:right w:val="single" w:sz="6" w:space="0" w:color="FFFFFF"/>
        </w:pBdr>
        <w:ind w:firstLine="720"/>
      </w:pPr>
      <w:r w:rsidRPr="00D3420B">
        <w:t>A majority of the respondents are large entities (i.e., large businesses).</w:t>
      </w:r>
      <w:r w:rsidR="009C7E97" w:rsidRPr="00D3420B">
        <w:t xml:space="preserve"> </w:t>
      </w:r>
      <w:r w:rsidRPr="00D3420B">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D3420B">
        <w:t xml:space="preserve"> </w:t>
      </w:r>
      <w:r w:rsidRPr="00D3420B">
        <w:t xml:space="preserve">The Agency considers these </w:t>
      </w:r>
      <w:r w:rsidR="002B29A7" w:rsidRPr="00D3420B">
        <w:t xml:space="preserve">to be the minimum </w:t>
      </w:r>
      <w:r w:rsidRPr="00D3420B">
        <w:t>requirements needed to ensure compliance and, therefore, cannot reduce them further for small entities.</w:t>
      </w:r>
      <w:r w:rsidR="009C7E97" w:rsidRPr="00D3420B">
        <w:t xml:space="preserve"> </w:t>
      </w:r>
      <w:r w:rsidRPr="00D3420B">
        <w:t>To the extent that larger businesses can use economies of scale to reduce their burden, the overall burden will be reduced.</w:t>
      </w:r>
    </w:p>
    <w:p w14:paraId="2324259B"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5(d)</w:t>
      </w:r>
      <w:r w:rsidR="009C7E97" w:rsidRPr="00D3420B">
        <w:rPr>
          <w:b/>
          <w:bCs/>
        </w:rPr>
        <w:t xml:space="preserve"> </w:t>
      </w:r>
      <w:r w:rsidRPr="00D3420B">
        <w:rPr>
          <w:b/>
          <w:bCs/>
        </w:rPr>
        <w:t>Collection Schedule</w:t>
      </w:r>
    </w:p>
    <w:p w14:paraId="3350D18F"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3E842D25" w14:textId="4F6C50FD" w:rsidR="00CA4CD6" w:rsidRPr="00D3420B" w:rsidRDefault="00CA4CD6">
      <w:pPr>
        <w:pBdr>
          <w:top w:val="single" w:sz="6" w:space="0" w:color="FFFFFF"/>
          <w:left w:val="single" w:sz="6" w:space="0" w:color="FFFFFF"/>
          <w:bottom w:val="single" w:sz="6" w:space="0" w:color="FFFFFF"/>
          <w:right w:val="single" w:sz="6" w:space="0" w:color="FFFFFF"/>
        </w:pBdr>
        <w:ind w:firstLine="720"/>
        <w:rPr>
          <w:b/>
          <w:bCs/>
        </w:rPr>
      </w:pPr>
      <w:r w:rsidRPr="00D3420B">
        <w:t xml:space="preserve">The specific frequency for each information collection activity within this request is shown </w:t>
      </w:r>
      <w:r w:rsidR="004A1F06">
        <w:t xml:space="preserve">below, </w:t>
      </w:r>
      <w:r w:rsidR="0042126C">
        <w:t>at the end of this document</w:t>
      </w:r>
      <w:r w:rsidR="004A1F06">
        <w:t>,</w:t>
      </w:r>
      <w:r w:rsidR="0042126C">
        <w:t xml:space="preserve"> in </w:t>
      </w:r>
      <w:r w:rsidRPr="00D3420B">
        <w:t xml:space="preserve">Table 1: </w:t>
      </w:r>
      <w:r w:rsidR="00CF2B37" w:rsidRPr="00D3420B">
        <w:t>Annual Respondent Burden and Cost –</w:t>
      </w:r>
      <w:r w:rsidRPr="00D3420B">
        <w:t xml:space="preserve"> </w:t>
      </w:r>
      <w:r w:rsidR="001C5A1D" w:rsidRPr="00D3420B">
        <w:rPr>
          <w:bCs/>
        </w:rPr>
        <w:t>NSPS for Greenhouse Gas Emissions for New Electric Utility Generating Units (40 CFR Part 60, Subpart TTTT) (Renewal).</w:t>
      </w:r>
      <w:r w:rsidR="001C5A1D" w:rsidRPr="00D3420B" w:rsidDel="001C5A1D">
        <w:t xml:space="preserve"> </w:t>
      </w:r>
    </w:p>
    <w:p w14:paraId="6FC4C83E"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D3420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3420B">
        <w:rPr>
          <w:b/>
          <w:bCs/>
        </w:rPr>
        <w:t>6.</w:t>
      </w:r>
      <w:r w:rsidR="009C7E97" w:rsidRPr="00D3420B">
        <w:rPr>
          <w:b/>
          <w:bCs/>
        </w:rPr>
        <w:t xml:space="preserve"> </w:t>
      </w:r>
      <w:r w:rsidRPr="00D3420B">
        <w:rPr>
          <w:b/>
          <w:bCs/>
        </w:rPr>
        <w:t>Estimating the Burden and Cost of the Collection</w:t>
      </w:r>
    </w:p>
    <w:p w14:paraId="02161EF1" w14:textId="77777777" w:rsidR="00CA4CD6" w:rsidRPr="00D3420B"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30E247B" w:rsidR="00CA4CD6" w:rsidRPr="00D3420B" w:rsidRDefault="00CA4CD6" w:rsidP="004C701D">
      <w:pPr>
        <w:pBdr>
          <w:top w:val="single" w:sz="6" w:space="1" w:color="FFFFFF"/>
          <w:left w:val="single" w:sz="6" w:space="0" w:color="FFFFFF"/>
          <w:bottom w:val="single" w:sz="6" w:space="0" w:color="FFFFFF"/>
          <w:right w:val="single" w:sz="6" w:space="0" w:color="FFFFFF"/>
        </w:pBdr>
        <w:ind w:firstLine="720"/>
      </w:pPr>
      <w:r w:rsidRPr="00D3420B">
        <w:t>Table 1 documents the computation of individual burdens for the recordkeeping and reporting requirements applicable to the industry for the subpart included in this ICR.</w:t>
      </w:r>
      <w:r w:rsidR="009C7E97" w:rsidRPr="00D3420B">
        <w:t xml:space="preserve"> </w:t>
      </w:r>
      <w:r w:rsidRPr="00D3420B">
        <w:t xml:space="preserve">The individual burdens are expressed under standardized headings believed to be consistent with the concept of </w:t>
      </w:r>
      <w:r w:rsidR="004A1F06">
        <w:t>‘B</w:t>
      </w:r>
      <w:r w:rsidRPr="00D3420B">
        <w:t>urden</w:t>
      </w:r>
      <w:r w:rsidR="004A1F06">
        <w:t>’</w:t>
      </w:r>
      <w:r w:rsidRPr="00D3420B">
        <w:t xml:space="preserve"> under the Paperwork Reduction Act.</w:t>
      </w:r>
      <w:r w:rsidR="009C7E97" w:rsidRPr="00D3420B">
        <w:t xml:space="preserve"> </w:t>
      </w:r>
      <w:r w:rsidRPr="00D3420B">
        <w:t>Where appropriate, specific tasks and major assumptions have been identified.</w:t>
      </w:r>
      <w:r w:rsidR="009C7E97" w:rsidRPr="00D3420B">
        <w:t xml:space="preserve"> </w:t>
      </w:r>
      <w:r w:rsidRPr="00D3420B">
        <w:t>Responses to this information collection are mandatory.</w:t>
      </w:r>
    </w:p>
    <w:p w14:paraId="155BCD52" w14:textId="77777777" w:rsidR="00CA4CD6" w:rsidRPr="00D3420B" w:rsidRDefault="00CA4CD6" w:rsidP="004C701D">
      <w:pPr>
        <w:pBdr>
          <w:top w:val="single" w:sz="6" w:space="1" w:color="FFFFFF"/>
          <w:left w:val="single" w:sz="6" w:space="0" w:color="FFFFFF"/>
          <w:bottom w:val="single" w:sz="6" w:space="0" w:color="FFFFFF"/>
          <w:right w:val="single" w:sz="6" w:space="0" w:color="FFFFFF"/>
        </w:pBdr>
      </w:pPr>
    </w:p>
    <w:p w14:paraId="7DE0914F" w14:textId="209A45AC" w:rsidR="00CA4CD6" w:rsidRPr="00D3420B" w:rsidRDefault="00CA4CD6" w:rsidP="004C701D">
      <w:pPr>
        <w:pBdr>
          <w:top w:val="single" w:sz="6" w:space="1" w:color="FFFFFF"/>
          <w:left w:val="single" w:sz="6" w:space="0" w:color="FFFFFF"/>
          <w:bottom w:val="single" w:sz="6" w:space="0" w:color="FFFFFF"/>
          <w:right w:val="single" w:sz="6" w:space="0" w:color="FFFFFF"/>
        </w:pBdr>
        <w:ind w:firstLine="720"/>
      </w:pPr>
      <w:r w:rsidRPr="00D3420B">
        <w:t>The Agency may n</w:t>
      </w:r>
      <w:r w:rsidR="004A1F06">
        <w:t>either</w:t>
      </w:r>
      <w:r w:rsidRPr="00D3420B">
        <w:t xml:space="preserve"> conduct </w:t>
      </w:r>
      <w:r w:rsidR="004A1F06">
        <w:t>n</w:t>
      </w:r>
      <w:r w:rsidRPr="00D3420B">
        <w:t>or sponsor, and a person is not required to respond to, a collection of information unless it displays a currently valid OMB Control Number.</w:t>
      </w:r>
    </w:p>
    <w:p w14:paraId="2B3391B1" w14:textId="77777777" w:rsidR="00CA4CD6" w:rsidRPr="00D3420B"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D3420B" w:rsidRDefault="00CA4CD6" w:rsidP="004C701D">
      <w:pPr>
        <w:pBdr>
          <w:top w:val="single" w:sz="6" w:space="1" w:color="FFFFFF"/>
          <w:left w:val="single" w:sz="6" w:space="0" w:color="FFFFFF"/>
          <w:bottom w:val="single" w:sz="6" w:space="0" w:color="FFFFFF"/>
          <w:right w:val="single" w:sz="6" w:space="0" w:color="FFFFFF"/>
        </w:pBdr>
        <w:ind w:firstLine="720"/>
      </w:pPr>
      <w:r w:rsidRPr="00D3420B">
        <w:rPr>
          <w:b/>
          <w:bCs/>
        </w:rPr>
        <w:t>6(a)</w:t>
      </w:r>
      <w:r w:rsidR="009C7E97" w:rsidRPr="00D3420B">
        <w:rPr>
          <w:b/>
          <w:bCs/>
        </w:rPr>
        <w:t xml:space="preserve"> </w:t>
      </w:r>
      <w:r w:rsidRPr="00D3420B">
        <w:rPr>
          <w:b/>
          <w:bCs/>
        </w:rPr>
        <w:t>Estimating Respondent Burden</w:t>
      </w:r>
    </w:p>
    <w:p w14:paraId="78A0A3FF" w14:textId="77777777" w:rsidR="00CA4CD6" w:rsidRPr="00D3420B" w:rsidRDefault="00CA4CD6" w:rsidP="004C701D">
      <w:pPr>
        <w:pBdr>
          <w:top w:val="single" w:sz="6" w:space="1" w:color="FFFFFF"/>
          <w:left w:val="single" w:sz="6" w:space="0" w:color="FFFFFF"/>
          <w:bottom w:val="single" w:sz="6" w:space="0" w:color="FFFFFF"/>
          <w:right w:val="single" w:sz="6" w:space="0" w:color="FFFFFF"/>
        </w:pBdr>
      </w:pPr>
    </w:p>
    <w:p w14:paraId="45C05676" w14:textId="296BF76F" w:rsidR="00CA4CD6" w:rsidRPr="00D3420B" w:rsidRDefault="00CA4CD6" w:rsidP="004C701D">
      <w:pPr>
        <w:pBdr>
          <w:top w:val="single" w:sz="6" w:space="1" w:color="FFFFFF"/>
          <w:left w:val="single" w:sz="6" w:space="0" w:color="FFFFFF"/>
          <w:bottom w:val="single" w:sz="6" w:space="0" w:color="FFFFFF"/>
          <w:right w:val="single" w:sz="6" w:space="0" w:color="FFFFFF"/>
        </w:pBdr>
        <w:ind w:firstLine="720"/>
      </w:pPr>
      <w:r w:rsidRPr="00D3420B">
        <w:t>The average annual burden to industry over the next three years from these recordkeeping and reporting requirement</w:t>
      </w:r>
      <w:r w:rsidR="004C701D" w:rsidRPr="00D3420B">
        <w:t xml:space="preserve">s is estimated to be </w:t>
      </w:r>
      <w:r w:rsidR="00137DE5" w:rsidRPr="00D3420B">
        <w:t>883</w:t>
      </w:r>
      <w:r w:rsidR="004A1F06">
        <w:t xml:space="preserve"> hours</w:t>
      </w:r>
      <w:r w:rsidR="004C701D" w:rsidRPr="00D3420B">
        <w:t xml:space="preserve"> (</w:t>
      </w:r>
      <w:r w:rsidRPr="00D3420B">
        <w:t>Total Labor Hours from Table 1</w:t>
      </w:r>
      <w:r w:rsidR="004A1F06">
        <w:t xml:space="preserve"> below</w:t>
      </w:r>
      <w:r w:rsidRPr="00D3420B">
        <w:t>).</w:t>
      </w:r>
      <w:r w:rsidR="009C7E97" w:rsidRPr="00D3420B">
        <w:t xml:space="preserve"> </w:t>
      </w:r>
      <w:r w:rsidR="001C5991" w:rsidRPr="00D3420B">
        <w:t>T</w:t>
      </w:r>
      <w:r w:rsidRPr="00D3420B">
        <w:t>hese hours are based on Agency studies and background documen</w:t>
      </w:r>
      <w:r w:rsidR="004C701D" w:rsidRPr="00D3420B">
        <w:t>ts from the development of the</w:t>
      </w:r>
      <w:r w:rsidR="004A1F06">
        <w:t>se</w:t>
      </w:r>
      <w:r w:rsidR="004C701D" w:rsidRPr="00D3420B">
        <w:t xml:space="preserve"> </w:t>
      </w:r>
      <w:r w:rsidRPr="00D3420B">
        <w:t>regulation</w:t>
      </w:r>
      <w:r w:rsidR="004A1F06">
        <w:t>s</w:t>
      </w:r>
      <w:r w:rsidRPr="00D3420B">
        <w:t>, Agency knowledge and experience with the</w:t>
      </w:r>
      <w:r w:rsidR="001C5A1D" w:rsidRPr="00D3420B">
        <w:t xml:space="preserve"> NSPS</w:t>
      </w:r>
      <w:r w:rsidRPr="00D3420B">
        <w:t xml:space="preserve"> program, the previously</w:t>
      </w:r>
      <w:r w:rsidR="004A1F06">
        <w:t>-</w:t>
      </w:r>
      <w:r w:rsidRPr="00D3420B">
        <w:t>approved ICR, and any comments received.</w:t>
      </w:r>
    </w:p>
    <w:p w14:paraId="7EC1CB33" w14:textId="77777777" w:rsidR="00CA4CD6" w:rsidRPr="00D3420B"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D3420B"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D3420B">
        <w:rPr>
          <w:b/>
          <w:bCs/>
        </w:rPr>
        <w:t>6(b)</w:t>
      </w:r>
      <w:r w:rsidR="009C7E97" w:rsidRPr="00D3420B">
        <w:rPr>
          <w:b/>
          <w:bCs/>
        </w:rPr>
        <w:t xml:space="preserve"> </w:t>
      </w:r>
      <w:r w:rsidRPr="00D3420B">
        <w:rPr>
          <w:b/>
          <w:bCs/>
        </w:rPr>
        <w:t>Estimating Respondent Costs</w:t>
      </w:r>
    </w:p>
    <w:p w14:paraId="0E390395" w14:textId="77777777" w:rsidR="002712EB" w:rsidRPr="00D3420B"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D3420B"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D3420B">
        <w:rPr>
          <w:b/>
          <w:bCs/>
        </w:rPr>
        <w:t>(i)</w:t>
      </w:r>
      <w:r w:rsidR="009C7E97" w:rsidRPr="00D3420B">
        <w:rPr>
          <w:b/>
          <w:bCs/>
        </w:rPr>
        <w:t xml:space="preserve"> </w:t>
      </w:r>
      <w:r w:rsidRPr="00D3420B">
        <w:rPr>
          <w:b/>
          <w:bCs/>
        </w:rPr>
        <w:t>Estimating Labor Costs</w:t>
      </w:r>
      <w:r w:rsidRPr="00D3420B">
        <w:t xml:space="preserve"> </w:t>
      </w:r>
    </w:p>
    <w:p w14:paraId="26DC8943" w14:textId="77777777" w:rsidR="002712EB" w:rsidRPr="00D3420B" w:rsidRDefault="002712EB" w:rsidP="004C701D">
      <w:pPr>
        <w:pBdr>
          <w:top w:val="single" w:sz="6" w:space="1" w:color="FFFFFF"/>
          <w:left w:val="single" w:sz="6" w:space="0" w:color="FFFFFF"/>
          <w:bottom w:val="single" w:sz="6" w:space="0" w:color="FFFFFF"/>
          <w:right w:val="single" w:sz="6" w:space="0" w:color="FFFFFF"/>
        </w:pBdr>
      </w:pPr>
      <w:r w:rsidRPr="00D3420B">
        <w:t xml:space="preserve"> </w:t>
      </w:r>
    </w:p>
    <w:p w14:paraId="758A8F40" w14:textId="77777777" w:rsidR="002712EB" w:rsidRPr="00D3420B" w:rsidRDefault="002712EB" w:rsidP="004C701D">
      <w:pPr>
        <w:pBdr>
          <w:top w:val="single" w:sz="6" w:space="1" w:color="FFFFFF"/>
          <w:left w:val="single" w:sz="6" w:space="0" w:color="FFFFFF"/>
          <w:bottom w:val="single" w:sz="6" w:space="0" w:color="FFFFFF"/>
          <w:right w:val="single" w:sz="6" w:space="0" w:color="FFFFFF"/>
        </w:pBdr>
        <w:ind w:firstLine="720"/>
      </w:pPr>
      <w:r w:rsidRPr="00D3420B">
        <w:t xml:space="preserve">This ICR uses the following labor rates: </w:t>
      </w:r>
    </w:p>
    <w:p w14:paraId="5FA68821" w14:textId="77777777" w:rsidR="002712EB" w:rsidRPr="00D3420B" w:rsidRDefault="002712EB" w:rsidP="004C701D">
      <w:pPr>
        <w:pBdr>
          <w:top w:val="single" w:sz="6" w:space="1" w:color="FFFFFF"/>
          <w:left w:val="single" w:sz="6" w:space="0" w:color="FFFFFF"/>
          <w:bottom w:val="single" w:sz="6" w:space="0" w:color="FFFFFF"/>
          <w:right w:val="single" w:sz="6" w:space="0" w:color="FFFFFF"/>
        </w:pBdr>
      </w:pPr>
    </w:p>
    <w:p w14:paraId="12C139D3" w14:textId="1724AFF0" w:rsidR="002712EB" w:rsidRPr="00D3420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3420B">
        <w:t>Managerial</w:t>
      </w:r>
      <w:r w:rsidRPr="00D3420B">
        <w:tab/>
        <w:t>$</w:t>
      </w:r>
      <w:r w:rsidR="00206E8E" w:rsidRPr="00D3420B">
        <w:t>147.</w:t>
      </w:r>
      <w:r w:rsidR="00176CA3" w:rsidRPr="00D3420B">
        <w:t>40</w:t>
      </w:r>
      <w:r w:rsidRPr="00D3420B">
        <w:t xml:space="preserve"> ($</w:t>
      </w:r>
      <w:r w:rsidR="008C71FC" w:rsidRPr="00D3420B">
        <w:t>70.19</w:t>
      </w:r>
      <w:r w:rsidRPr="00D3420B">
        <w:t>+ 110%)</w:t>
      </w:r>
      <w:r w:rsidR="009C7E97" w:rsidRPr="00D3420B">
        <w:t xml:space="preserve"> </w:t>
      </w:r>
      <w:r w:rsidRPr="00D3420B">
        <w:t xml:space="preserve"> </w:t>
      </w:r>
    </w:p>
    <w:p w14:paraId="19D41358" w14:textId="142E8C35" w:rsidR="002712EB" w:rsidRPr="00D3420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3420B">
        <w:t>Technical</w:t>
      </w:r>
      <w:r w:rsidRPr="00D3420B">
        <w:tab/>
        <w:t>$</w:t>
      </w:r>
      <w:r w:rsidR="00206E8E" w:rsidRPr="00D3420B">
        <w:t>117.9</w:t>
      </w:r>
      <w:r w:rsidR="00176CA3" w:rsidRPr="00D3420B">
        <w:t>2</w:t>
      </w:r>
      <w:r w:rsidR="00811EA5" w:rsidRPr="00D3420B">
        <w:t xml:space="preserve"> ($</w:t>
      </w:r>
      <w:r w:rsidR="00206E8E" w:rsidRPr="00D3420B">
        <w:t>56.15</w:t>
      </w:r>
      <w:r w:rsidRPr="00D3420B">
        <w:t xml:space="preserve"> + 110%)</w:t>
      </w:r>
    </w:p>
    <w:p w14:paraId="77F6D994" w14:textId="2FAB9DA9" w:rsidR="002712EB" w:rsidRPr="00D3420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3420B">
        <w:t>Clerical</w:t>
      </w:r>
      <w:r w:rsidRPr="00D3420B">
        <w:tab/>
        <w:t>$</w:t>
      </w:r>
      <w:r w:rsidR="00206E8E" w:rsidRPr="00D3420B">
        <w:t>57.0</w:t>
      </w:r>
      <w:r w:rsidR="00176CA3" w:rsidRPr="00D3420B">
        <w:t>2</w:t>
      </w:r>
      <w:r w:rsidRPr="00D3420B">
        <w:t xml:space="preserve"> ($</w:t>
      </w:r>
      <w:r w:rsidR="00206E8E" w:rsidRPr="00D3420B">
        <w:t>27.15</w:t>
      </w:r>
      <w:r w:rsidRPr="00D3420B">
        <w:t xml:space="preserve"> + 110%)</w:t>
      </w:r>
    </w:p>
    <w:p w14:paraId="5405EEF6" w14:textId="77777777" w:rsidR="002712EB" w:rsidRPr="00D3420B" w:rsidRDefault="002712EB" w:rsidP="002712EB">
      <w:pPr>
        <w:pBdr>
          <w:top w:val="single" w:sz="6" w:space="0" w:color="FFFFFF"/>
          <w:left w:val="single" w:sz="6" w:space="0" w:color="FFFFFF"/>
          <w:bottom w:val="single" w:sz="6" w:space="0" w:color="FFFFFF"/>
          <w:right w:val="single" w:sz="6" w:space="0" w:color="FFFFFF"/>
        </w:pBdr>
      </w:pPr>
    </w:p>
    <w:p w14:paraId="02AD384D" w14:textId="5A648A5D" w:rsidR="002712EB" w:rsidRPr="00D3420B" w:rsidRDefault="002712EB" w:rsidP="0038203D">
      <w:pPr>
        <w:pBdr>
          <w:top w:val="single" w:sz="6" w:space="0" w:color="FFFFFF"/>
          <w:left w:val="single" w:sz="6" w:space="0" w:color="FFFFFF"/>
          <w:bottom w:val="single" w:sz="6" w:space="0" w:color="FFFFFF"/>
          <w:right w:val="single" w:sz="6" w:space="0" w:color="FFFFFF"/>
        </w:pBdr>
        <w:ind w:firstLine="720"/>
      </w:pPr>
      <w:r w:rsidRPr="00D3420B">
        <w:t xml:space="preserve">These rates are from the United States Department of Labor, Bureau of Labor Statistics, </w:t>
      </w:r>
      <w:r w:rsidR="0062215C" w:rsidRPr="00D3420B">
        <w:t xml:space="preserve">June </w:t>
      </w:r>
      <w:r w:rsidR="00D91C34" w:rsidRPr="00D3420B">
        <w:t>201</w:t>
      </w:r>
      <w:r w:rsidR="00206E8E" w:rsidRPr="00D3420B">
        <w:t>8</w:t>
      </w:r>
      <w:r w:rsidRPr="00D3420B">
        <w:t xml:space="preserve">, </w:t>
      </w:r>
      <w:r w:rsidR="004C701D" w:rsidRPr="00D3420B">
        <w:t>“</w:t>
      </w:r>
      <w:r w:rsidRPr="00D3420B">
        <w:t>Table 2. Civilian Workers, by occupational and industry group.</w:t>
      </w:r>
      <w:r w:rsidR="004C701D" w:rsidRPr="00D3420B">
        <w:t>”</w:t>
      </w:r>
      <w:r w:rsidR="009C7E97" w:rsidRPr="00D3420B">
        <w:t xml:space="preserve"> </w:t>
      </w:r>
      <w:r w:rsidRPr="00D3420B">
        <w:t xml:space="preserve">The rates are from column 1, </w:t>
      </w:r>
      <w:r w:rsidR="004C701D" w:rsidRPr="00D3420B">
        <w:t>“</w:t>
      </w:r>
      <w:r w:rsidRPr="00D3420B">
        <w:t>Total compensation.</w:t>
      </w:r>
      <w:r w:rsidR="004C701D" w:rsidRPr="00D3420B">
        <w:t>”</w:t>
      </w:r>
      <w:r w:rsidR="009C7E97" w:rsidRPr="00D3420B">
        <w:t xml:space="preserve"> </w:t>
      </w:r>
      <w:r w:rsidRPr="00D3420B">
        <w:t>The rates have been increased by 110 percent to account for the benefit packages available to those employed by private industry.</w:t>
      </w:r>
    </w:p>
    <w:p w14:paraId="7883C787" w14:textId="339B849F" w:rsidR="00CA4CD6" w:rsidRPr="00D342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3420B">
        <w:rPr>
          <w:b/>
          <w:bCs/>
        </w:rPr>
        <w:t>(ii)</w:t>
      </w:r>
      <w:r w:rsidR="009C7E97" w:rsidRPr="00D3420B">
        <w:rPr>
          <w:b/>
          <w:bCs/>
        </w:rPr>
        <w:t xml:space="preserve"> </w:t>
      </w:r>
      <w:r w:rsidRPr="00D3420B">
        <w:rPr>
          <w:b/>
          <w:bCs/>
        </w:rPr>
        <w:t>Estimating Capital/Startup and Operation and Maintenance Costs</w:t>
      </w:r>
    </w:p>
    <w:p w14:paraId="74AFFA6A" w14:textId="77777777" w:rsidR="001C777D" w:rsidRPr="00D3420B" w:rsidRDefault="001C777D">
      <w:pPr>
        <w:pBdr>
          <w:top w:val="single" w:sz="6" w:space="0" w:color="FFFFFF"/>
          <w:left w:val="single" w:sz="6" w:space="0" w:color="FFFFFF"/>
          <w:bottom w:val="single" w:sz="6" w:space="0" w:color="FFFFFF"/>
          <w:right w:val="single" w:sz="6" w:space="0" w:color="FFFFFF"/>
        </w:pBdr>
        <w:ind w:firstLine="720"/>
      </w:pPr>
    </w:p>
    <w:p w14:paraId="45DD0130" w14:textId="7C40F6D2" w:rsidR="00CA4CD6" w:rsidRPr="00D3420B" w:rsidRDefault="002B69B9" w:rsidP="0038203D">
      <w:pPr>
        <w:pBdr>
          <w:top w:val="single" w:sz="6" w:space="0" w:color="FFFFFF"/>
          <w:left w:val="single" w:sz="6" w:space="0" w:color="FFFFFF"/>
          <w:bottom w:val="single" w:sz="6" w:space="0" w:color="FFFFFF"/>
          <w:right w:val="single" w:sz="6" w:space="0" w:color="FFFFFF"/>
        </w:pBdr>
        <w:ind w:firstLine="720"/>
      </w:pPr>
      <w:r w:rsidRPr="00D3420B">
        <w:t>The only costs to the regulated industry resulting from information collection activities required by the subject standard(s) are labor costs. There are no capital/startup or operation and maintenance costs.</w:t>
      </w:r>
    </w:p>
    <w:p w14:paraId="2DD142A4"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D63807A" w14:textId="77777777" w:rsidR="00B9065B" w:rsidRDefault="00B9065B"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0257B3CF" w14:textId="77777777" w:rsidR="00B9065B" w:rsidRDefault="00B9065B"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6D44C573" w:rsidR="00CA4CD6" w:rsidRPr="00D3420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3420B">
        <w:rPr>
          <w:b/>
          <w:bCs/>
        </w:rPr>
        <w:t>(iii)</w:t>
      </w:r>
      <w:r w:rsidR="009C7E97" w:rsidRPr="00D3420B">
        <w:rPr>
          <w:b/>
          <w:bCs/>
        </w:rPr>
        <w:t xml:space="preserve"> </w:t>
      </w:r>
      <w:r w:rsidRPr="00D3420B">
        <w:rPr>
          <w:b/>
          <w:bCs/>
        </w:rPr>
        <w:t>Capital/Startup vs. Operation and Maintenance (O&amp;M) Costs</w:t>
      </w:r>
    </w:p>
    <w:p w14:paraId="0FE2FFF9" w14:textId="77777777" w:rsidR="007D7BE5" w:rsidRPr="00D3420B" w:rsidRDefault="007D7BE5" w:rsidP="00504745">
      <w:pPr>
        <w:pBdr>
          <w:top w:val="single" w:sz="6" w:space="0" w:color="FFFFFF"/>
          <w:left w:val="single" w:sz="6" w:space="0" w:color="FFFFFF"/>
          <w:bottom w:val="single" w:sz="6" w:space="0" w:color="FFFFFF"/>
          <w:right w:val="single" w:sz="6" w:space="0" w:color="FFFFFF"/>
        </w:pBdr>
        <w:ind w:firstLine="1440"/>
        <w:outlineLvl w:val="0"/>
      </w:pPr>
    </w:p>
    <w:p w14:paraId="4BF29F61" w14:textId="2E002C60" w:rsidR="00CA4CD6" w:rsidRPr="00D3420B" w:rsidRDefault="007D7BE5" w:rsidP="0038203D">
      <w:pPr>
        <w:pBdr>
          <w:top w:val="single" w:sz="6" w:space="0" w:color="FFFFFF"/>
          <w:left w:val="single" w:sz="6" w:space="0" w:color="FFFFFF"/>
          <w:bottom w:val="single" w:sz="6" w:space="0" w:color="FFFFFF"/>
          <w:right w:val="single" w:sz="6" w:space="0" w:color="FFFFFF"/>
        </w:pBdr>
        <w:ind w:firstLine="720"/>
      </w:pPr>
      <w:r w:rsidRPr="00D3420B">
        <w:t xml:space="preserve">The only type of industry costs associated with the information collection activity in the regulations are labor costs. </w:t>
      </w:r>
      <w:r w:rsidR="004A1F06">
        <w:t>Again, t</w:t>
      </w:r>
      <w:r w:rsidRPr="00D3420B">
        <w:t>here are no capital/startup or operation and maintenance costs</w:t>
      </w:r>
      <w:r w:rsidR="004A1F06">
        <w:t xml:space="preserve"> for this ICR</w:t>
      </w:r>
      <w:r w:rsidRPr="00D3420B">
        <w:t>.</w:t>
      </w:r>
    </w:p>
    <w:p w14:paraId="3E481E4D"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6(c)</w:t>
      </w:r>
      <w:r w:rsidR="009C7E97" w:rsidRPr="00D3420B">
        <w:rPr>
          <w:b/>
          <w:bCs/>
        </w:rPr>
        <w:t xml:space="preserve"> </w:t>
      </w:r>
      <w:r w:rsidRPr="00D3420B">
        <w:rPr>
          <w:b/>
          <w:bCs/>
        </w:rPr>
        <w:t>Estimating Agency Burden and Cost</w:t>
      </w:r>
    </w:p>
    <w:p w14:paraId="18AAA04C"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64D4459F" w14:textId="57B32A8D"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The only costs to the Agency are those costs associated with analysis of the reported information.</w:t>
      </w:r>
      <w:r w:rsidR="009C7E97" w:rsidRPr="00D3420B">
        <w:t xml:space="preserve"> </w:t>
      </w:r>
      <w:r w:rsidRPr="00D3420B">
        <w:t>EPA's overall compliance and enforcement program i</w:t>
      </w:r>
      <w:r w:rsidR="005C42AC" w:rsidRPr="00D3420B">
        <w:t>ncludes</w:t>
      </w:r>
      <w:r w:rsidR="004A1F06">
        <w:t xml:space="preserve"> such</w:t>
      </w:r>
      <w:r w:rsidR="005C42AC" w:rsidRPr="00D3420B">
        <w:t xml:space="preserve"> activities as the </w:t>
      </w:r>
      <w:r w:rsidRPr="00D3420B">
        <w:t>examination of records maint</w:t>
      </w:r>
      <w:r w:rsidR="0035325B" w:rsidRPr="00D3420B">
        <w:t xml:space="preserve">ained by the respondents, </w:t>
      </w:r>
      <w:r w:rsidRPr="00D3420B">
        <w:t xml:space="preserve">periodic inspection of sources of emissions, and the publication and distribution of collected information. </w:t>
      </w:r>
    </w:p>
    <w:p w14:paraId="3E7FBF93"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5E549F0" w14:textId="3FA29741"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The average annual Agency cost during the three years of the ICR is estimated to be $</w:t>
      </w:r>
      <w:r w:rsidR="00137DE5" w:rsidRPr="00D3420B">
        <w:t>28,000</w:t>
      </w:r>
      <w:r w:rsidRPr="00D3420B">
        <w:t>.</w:t>
      </w:r>
      <w:r w:rsidR="009C7E97" w:rsidRPr="00D3420B">
        <w:t xml:space="preserve"> </w:t>
      </w:r>
    </w:p>
    <w:p w14:paraId="0852465F"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This cost is based on the average hourly labor rate as follows:</w:t>
      </w:r>
    </w:p>
    <w:p w14:paraId="72B9D038" w14:textId="77777777" w:rsidR="00D2273E" w:rsidRPr="00D3420B" w:rsidRDefault="00D2273E" w:rsidP="00D2273E"/>
    <w:p w14:paraId="5D75E75B" w14:textId="376ED88E" w:rsidR="00CA4CD6" w:rsidRPr="00D3420B" w:rsidRDefault="00D2273E" w:rsidP="00D2273E">
      <w:r w:rsidRPr="00D3420B">
        <w:tab/>
      </w:r>
      <w:r w:rsidRPr="00D3420B">
        <w:tab/>
      </w:r>
      <w:r w:rsidR="00CA4CD6" w:rsidRPr="00D3420B">
        <w:t>Managerial</w:t>
      </w:r>
      <w:r w:rsidR="00CA4CD6" w:rsidRPr="00D3420B">
        <w:tab/>
        <w:t>$</w:t>
      </w:r>
      <w:r w:rsidR="00206E8E" w:rsidRPr="00D3420B">
        <w:t>65.71</w:t>
      </w:r>
      <w:r w:rsidR="00CA4CD6" w:rsidRPr="00D3420B">
        <w:t xml:space="preserve"> (GS-13, Step 5, $</w:t>
      </w:r>
      <w:r w:rsidR="00206E8E" w:rsidRPr="00D3420B">
        <w:t>41.07</w:t>
      </w:r>
      <w:r w:rsidR="00CA4CD6" w:rsidRPr="00D3420B">
        <w:t xml:space="preserve"> </w:t>
      </w:r>
      <w:r w:rsidR="00E77D5E" w:rsidRPr="00D3420B">
        <w:t>+ 60%</w:t>
      </w:r>
      <w:r w:rsidR="00D46FA2" w:rsidRPr="00D3420B">
        <w:t xml:space="preserve">) </w:t>
      </w:r>
    </w:p>
    <w:p w14:paraId="0F39875F" w14:textId="2200CCE8" w:rsidR="00CA4CD6" w:rsidRPr="00D3420B" w:rsidRDefault="00D2273E" w:rsidP="00D2273E">
      <w:r w:rsidRPr="00D3420B">
        <w:tab/>
      </w:r>
      <w:r w:rsidRPr="00D3420B">
        <w:tab/>
      </w:r>
      <w:r w:rsidR="00CA4CD6" w:rsidRPr="00D3420B">
        <w:t>Technical</w:t>
      </w:r>
      <w:r w:rsidR="00CA4CD6" w:rsidRPr="00D3420B">
        <w:tab/>
        <w:t>$</w:t>
      </w:r>
      <w:r w:rsidR="00206E8E" w:rsidRPr="00D3420B">
        <w:t>48.75</w:t>
      </w:r>
      <w:r w:rsidR="00CA4CD6" w:rsidRPr="00D3420B">
        <w:t xml:space="preserve"> (GS-12, Step 1, $</w:t>
      </w:r>
      <w:r w:rsidR="00206E8E" w:rsidRPr="00D3420B">
        <w:t>30.47</w:t>
      </w:r>
      <w:r w:rsidR="00CA4CD6" w:rsidRPr="00D3420B">
        <w:t xml:space="preserve"> </w:t>
      </w:r>
      <w:r w:rsidR="00E77D5E" w:rsidRPr="00D3420B">
        <w:t>+ 60%</w:t>
      </w:r>
      <w:r w:rsidR="00CA4CD6" w:rsidRPr="00D3420B">
        <w:t>)</w:t>
      </w:r>
    </w:p>
    <w:p w14:paraId="2D0AFDE9" w14:textId="34219254" w:rsidR="00CA4CD6" w:rsidRPr="00D3420B" w:rsidRDefault="00D2273E" w:rsidP="00D2273E">
      <w:r w:rsidRPr="00D3420B">
        <w:tab/>
      </w:r>
      <w:r w:rsidRPr="00D3420B">
        <w:tab/>
      </w:r>
      <w:r w:rsidR="00CA4CD6" w:rsidRPr="00D3420B">
        <w:t>Clerical</w:t>
      </w:r>
      <w:r w:rsidR="00CA4CD6" w:rsidRPr="00D3420B">
        <w:tab/>
        <w:t>$</w:t>
      </w:r>
      <w:r w:rsidR="00206E8E" w:rsidRPr="00D3420B">
        <w:t>26.38</w:t>
      </w:r>
      <w:r w:rsidR="00CA4CD6" w:rsidRPr="00D3420B">
        <w:t xml:space="preserve"> (GS-6, Step 3, $</w:t>
      </w:r>
      <w:r w:rsidR="00206E8E" w:rsidRPr="00D3420B">
        <w:t>16.49</w:t>
      </w:r>
      <w:r w:rsidR="00CA4CD6" w:rsidRPr="00D3420B">
        <w:t xml:space="preserve"> </w:t>
      </w:r>
      <w:r w:rsidR="00E77D5E" w:rsidRPr="00D3420B">
        <w:t>+ 60%</w:t>
      </w:r>
      <w:r w:rsidR="00CA4CD6" w:rsidRPr="00D3420B">
        <w:t>)</w:t>
      </w:r>
    </w:p>
    <w:p w14:paraId="19BBA88A"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F3D8841" w14:textId="52D0C532" w:rsidR="00CA4CD6" w:rsidRPr="00D3420B" w:rsidRDefault="00CA4CD6" w:rsidP="0038203D">
      <w:pPr>
        <w:pBdr>
          <w:top w:val="single" w:sz="6" w:space="0" w:color="FFFFFF"/>
          <w:left w:val="single" w:sz="6" w:space="0" w:color="FFFFFF"/>
          <w:bottom w:val="single" w:sz="6" w:space="0" w:color="FFFFFF"/>
          <w:right w:val="single" w:sz="6" w:space="0" w:color="FFFFFF"/>
        </w:pBdr>
        <w:ind w:firstLine="720"/>
      </w:pPr>
      <w:r w:rsidRPr="00D3420B">
        <w:t>These rates are from the Office of Personnel Management (OPM)</w:t>
      </w:r>
      <w:r w:rsidR="007A458D" w:rsidRPr="00D3420B">
        <w:t>,</w:t>
      </w:r>
      <w:r w:rsidRPr="00D3420B">
        <w:t xml:space="preserve"> </w:t>
      </w:r>
      <w:r w:rsidR="00547974" w:rsidRPr="00D3420B">
        <w:t xml:space="preserve">2018 </w:t>
      </w:r>
      <w:r w:rsidRPr="00D3420B">
        <w:t>General Schedule</w:t>
      </w:r>
      <w:r w:rsidR="007A458D" w:rsidRPr="00D3420B">
        <w:t>,</w:t>
      </w:r>
      <w:r w:rsidRPr="00D3420B">
        <w:t xml:space="preserve"> which excludes locality rates of pay.</w:t>
      </w:r>
      <w:r w:rsidR="009C7E97" w:rsidRPr="00D3420B">
        <w:t xml:space="preserve"> </w:t>
      </w:r>
      <w:r w:rsidR="00E77D5E" w:rsidRPr="00D3420B">
        <w:t>The rates have been increased by 60</w:t>
      </w:r>
      <w:r w:rsidR="00D2273E" w:rsidRPr="00D3420B">
        <w:t xml:space="preserve"> percent</w:t>
      </w:r>
      <w:r w:rsidR="00E77D5E" w:rsidRPr="00D3420B">
        <w:t xml:space="preserve"> to account for the benefit packages available to </w:t>
      </w:r>
      <w:r w:rsidR="004A1F06">
        <w:t xml:space="preserve">Federal </w:t>
      </w:r>
      <w:r w:rsidR="00E77D5E" w:rsidRPr="00D3420B">
        <w:t>government employees.</w:t>
      </w:r>
      <w:r w:rsidR="009C7E97" w:rsidRPr="00D3420B">
        <w:t xml:space="preserve"> </w:t>
      </w:r>
      <w:r w:rsidRPr="00D3420B">
        <w:t xml:space="preserve">Details upon which this estimate is based appear </w:t>
      </w:r>
      <w:r w:rsidR="004A1F06">
        <w:t xml:space="preserve">below, </w:t>
      </w:r>
      <w:r w:rsidR="0042126C">
        <w:t>at the end of this document</w:t>
      </w:r>
      <w:r w:rsidR="004A1F06">
        <w:t>,</w:t>
      </w:r>
      <w:r w:rsidR="007A458D" w:rsidRPr="00D3420B">
        <w:t xml:space="preserve"> in </w:t>
      </w:r>
      <w:r w:rsidRPr="00D3420B">
        <w:t xml:space="preserve">Table 2: </w:t>
      </w:r>
      <w:r w:rsidR="00CF2B37" w:rsidRPr="00D3420B">
        <w:t>Average Annual EPA Burden and Cost –</w:t>
      </w:r>
      <w:r w:rsidR="00144F35" w:rsidRPr="00D3420B">
        <w:t xml:space="preserve"> </w:t>
      </w:r>
      <w:r w:rsidR="00B97DFF" w:rsidRPr="00D3420B">
        <w:rPr>
          <w:bCs/>
        </w:rPr>
        <w:t>NSPS for Greenhouse Gas Emissions for New Electric Utility Generating Units (40 CFR Part 60, Subpart TTTT) (Renewal).</w:t>
      </w:r>
      <w:r w:rsidR="00B97DFF" w:rsidRPr="00D3420B" w:rsidDel="001C5A1D">
        <w:t xml:space="preserve"> </w:t>
      </w:r>
    </w:p>
    <w:p w14:paraId="7D624E93"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D3420B" w:rsidRDefault="00CA4CD6">
      <w:pPr>
        <w:pBdr>
          <w:top w:val="single" w:sz="6" w:space="0" w:color="FFFFFF"/>
          <w:left w:val="single" w:sz="6" w:space="0" w:color="FFFFFF"/>
          <w:bottom w:val="single" w:sz="6" w:space="0" w:color="FFFFFF"/>
          <w:right w:val="single" w:sz="6" w:space="0" w:color="FFFFFF"/>
        </w:pBdr>
        <w:ind w:firstLine="720"/>
        <w:rPr>
          <w:b/>
          <w:bCs/>
        </w:rPr>
      </w:pPr>
      <w:r w:rsidRPr="00D3420B">
        <w:rPr>
          <w:b/>
          <w:bCs/>
        </w:rPr>
        <w:t>6(d)</w:t>
      </w:r>
      <w:r w:rsidR="009C7E97" w:rsidRPr="00D3420B">
        <w:rPr>
          <w:b/>
          <w:bCs/>
        </w:rPr>
        <w:t xml:space="preserve"> </w:t>
      </w:r>
      <w:r w:rsidRPr="00D3420B">
        <w:rPr>
          <w:b/>
          <w:bCs/>
        </w:rPr>
        <w:t>Estimating the Respondent Universe and Total Burden and Costs</w:t>
      </w:r>
    </w:p>
    <w:p w14:paraId="622E2F29" w14:textId="77777777" w:rsidR="00CA4CD6" w:rsidRPr="00D3420B" w:rsidRDefault="00CA4CD6">
      <w:pPr>
        <w:pBdr>
          <w:top w:val="single" w:sz="6" w:space="0" w:color="FFFFFF"/>
          <w:left w:val="single" w:sz="6" w:space="0" w:color="FFFFFF"/>
          <w:bottom w:val="single" w:sz="6" w:space="0" w:color="FFFFFF"/>
          <w:right w:val="single" w:sz="6" w:space="0" w:color="FFFFFF"/>
        </w:pBdr>
        <w:rPr>
          <w:b/>
          <w:bCs/>
        </w:rPr>
      </w:pPr>
    </w:p>
    <w:p w14:paraId="20D417A8" w14:textId="4F621F33"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Based on our research for this ICR, on average over the next three years, approximately </w:t>
      </w:r>
      <w:r w:rsidR="001C777D" w:rsidRPr="00D3420B">
        <w:t>32</w:t>
      </w:r>
      <w:r w:rsidRPr="00D3420B">
        <w:t xml:space="preserve"> existing respondents will be subject to the</w:t>
      </w:r>
      <w:r w:rsidR="004A1F06">
        <w:t>se</w:t>
      </w:r>
      <w:r w:rsidRPr="00D3420B">
        <w:t xml:space="preserve"> standard</w:t>
      </w:r>
      <w:r w:rsidR="004A1F06">
        <w:t>s</w:t>
      </w:r>
      <w:r w:rsidRPr="00D3420B">
        <w:t>.</w:t>
      </w:r>
      <w:r w:rsidR="009C7E97" w:rsidRPr="00D3420B">
        <w:t xml:space="preserve"> </w:t>
      </w:r>
      <w:r w:rsidRPr="00D3420B">
        <w:t xml:space="preserve">It is estimated that </w:t>
      </w:r>
      <w:r w:rsidR="001C777D" w:rsidRPr="00D3420B">
        <w:t>no</w:t>
      </w:r>
      <w:r w:rsidRPr="00D3420B">
        <w:t xml:space="preserve"> additiona</w:t>
      </w:r>
      <w:r w:rsidR="001C777D" w:rsidRPr="00D3420B">
        <w:t>l</w:t>
      </w:r>
      <w:r w:rsidRPr="00D3420B">
        <w:t xml:space="preserve"> respondents per year will become subject</w:t>
      </w:r>
      <w:r w:rsidR="004A1F06">
        <w:t xml:space="preserve"> to these same standards</w:t>
      </w:r>
      <w:r w:rsidRPr="00D3420B">
        <w:t>.</w:t>
      </w:r>
      <w:r w:rsidR="009C7E97" w:rsidRPr="00D3420B">
        <w:t xml:space="preserve"> </w:t>
      </w:r>
      <w:r w:rsidRPr="00D3420B">
        <w:t>The overall average number of responden</w:t>
      </w:r>
      <w:r w:rsidR="0035325B" w:rsidRPr="00D3420B">
        <w:t>ts, as shown in the table below,</w:t>
      </w:r>
      <w:r w:rsidRPr="00D3420B">
        <w:t xml:space="preserve"> is </w:t>
      </w:r>
      <w:r w:rsidR="001C777D" w:rsidRPr="00D3420B">
        <w:t>32</w:t>
      </w:r>
      <w:r w:rsidRPr="00D3420B">
        <w:t xml:space="preserve"> per year.</w:t>
      </w:r>
      <w:r w:rsidR="009C7E97" w:rsidRPr="00D3420B">
        <w:t xml:space="preserve"> </w:t>
      </w:r>
    </w:p>
    <w:p w14:paraId="039C40C2"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1C6CF2D9" w14:textId="7999B661" w:rsidR="00CA4CD6" w:rsidRDefault="00CA4CD6">
      <w:pPr>
        <w:pBdr>
          <w:top w:val="single" w:sz="6" w:space="0" w:color="FFFFFF"/>
          <w:left w:val="single" w:sz="6" w:space="0" w:color="FFFFFF"/>
          <w:bottom w:val="single" w:sz="6" w:space="0" w:color="FFFFFF"/>
          <w:right w:val="single" w:sz="6" w:space="0" w:color="FFFFFF"/>
        </w:pBdr>
        <w:ind w:firstLine="720"/>
      </w:pPr>
      <w:r w:rsidRPr="00D3420B">
        <w:t xml:space="preserve">The number of respondents is calculated using the following table </w:t>
      </w:r>
      <w:r w:rsidR="002B29A7" w:rsidRPr="00D3420B">
        <w:t xml:space="preserve">that </w:t>
      </w:r>
      <w:r w:rsidRPr="00D3420B">
        <w:t>addresses the three years covered by this ICR</w:t>
      </w:r>
      <w:r w:rsidR="004A1F06">
        <w:t>:</w:t>
      </w:r>
      <w:r w:rsidR="009C7E97" w:rsidRPr="00D3420B">
        <w:t xml:space="preserve"> </w:t>
      </w:r>
    </w:p>
    <w:p w14:paraId="18F6B190" w14:textId="4B069157" w:rsidR="00B9065B" w:rsidRDefault="00B9065B">
      <w:pPr>
        <w:pBdr>
          <w:top w:val="single" w:sz="6" w:space="0" w:color="FFFFFF"/>
          <w:left w:val="single" w:sz="6" w:space="0" w:color="FFFFFF"/>
          <w:bottom w:val="single" w:sz="6" w:space="0" w:color="FFFFFF"/>
          <w:right w:val="single" w:sz="6" w:space="0" w:color="FFFFFF"/>
        </w:pBdr>
        <w:ind w:firstLine="720"/>
      </w:pPr>
    </w:p>
    <w:p w14:paraId="5602A101" w14:textId="3DE77A81" w:rsidR="00B9065B" w:rsidRDefault="00B9065B">
      <w:pPr>
        <w:pBdr>
          <w:top w:val="single" w:sz="6" w:space="0" w:color="FFFFFF"/>
          <w:left w:val="single" w:sz="6" w:space="0" w:color="FFFFFF"/>
          <w:bottom w:val="single" w:sz="6" w:space="0" w:color="FFFFFF"/>
          <w:right w:val="single" w:sz="6" w:space="0" w:color="FFFFFF"/>
        </w:pBdr>
        <w:ind w:firstLine="720"/>
      </w:pPr>
    </w:p>
    <w:p w14:paraId="74538A37" w14:textId="43EA5AA3" w:rsidR="00B9065B" w:rsidRDefault="00B9065B">
      <w:pPr>
        <w:pBdr>
          <w:top w:val="single" w:sz="6" w:space="0" w:color="FFFFFF"/>
          <w:left w:val="single" w:sz="6" w:space="0" w:color="FFFFFF"/>
          <w:bottom w:val="single" w:sz="6" w:space="0" w:color="FFFFFF"/>
          <w:right w:val="single" w:sz="6" w:space="0" w:color="FFFFFF"/>
        </w:pBdr>
        <w:ind w:firstLine="720"/>
      </w:pPr>
    </w:p>
    <w:p w14:paraId="10A40665" w14:textId="77777777" w:rsidR="00B9065B" w:rsidRPr="00D3420B" w:rsidRDefault="00B9065B">
      <w:pPr>
        <w:pBdr>
          <w:top w:val="single" w:sz="6" w:space="0" w:color="FFFFFF"/>
          <w:left w:val="single" w:sz="6" w:space="0" w:color="FFFFFF"/>
          <w:bottom w:val="single" w:sz="6" w:space="0" w:color="FFFFFF"/>
          <w:right w:val="single" w:sz="6" w:space="0" w:color="FFFFFF"/>
        </w:pBdr>
        <w:ind w:firstLine="720"/>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3D3EE2" w:rsidRPr="00D3420B" w14:paraId="0445B489" w14:textId="77777777" w:rsidTr="00C831CA">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7CD441C6" w14:textId="77777777" w:rsidR="003D3EE2" w:rsidRPr="00D3420B" w:rsidRDefault="003D3EE2" w:rsidP="00C831CA">
            <w:pPr>
              <w:spacing w:line="120" w:lineRule="exact"/>
            </w:pPr>
          </w:p>
          <w:p w14:paraId="75EC45FB"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jc w:val="center"/>
              <w:rPr>
                <w:b/>
                <w:bCs/>
              </w:rPr>
            </w:pPr>
            <w:r w:rsidRPr="00D3420B">
              <w:rPr>
                <w:b/>
                <w:bCs/>
              </w:rPr>
              <w:t>Number of Respondents</w:t>
            </w:r>
          </w:p>
        </w:tc>
      </w:tr>
      <w:tr w:rsidR="003D3EE2" w:rsidRPr="00D3420B" w14:paraId="61DF2A4B" w14:textId="77777777" w:rsidTr="00C831CA">
        <w:tc>
          <w:tcPr>
            <w:tcW w:w="900" w:type="dxa"/>
            <w:tcBorders>
              <w:top w:val="single" w:sz="7" w:space="0" w:color="000000"/>
              <w:left w:val="single" w:sz="7" w:space="0" w:color="000000"/>
              <w:bottom w:val="single" w:sz="6" w:space="0" w:color="FFFFFF"/>
              <w:right w:val="single" w:sz="6" w:space="0" w:color="FFFFFF"/>
            </w:tcBorders>
          </w:tcPr>
          <w:p w14:paraId="012B931C" w14:textId="77777777" w:rsidR="003D3EE2" w:rsidRPr="00D3420B" w:rsidRDefault="003D3EE2" w:rsidP="00C831CA">
            <w:pPr>
              <w:spacing w:line="120" w:lineRule="exact"/>
              <w:rPr>
                <w:b/>
                <w:bCs/>
              </w:rPr>
            </w:pPr>
          </w:p>
          <w:p w14:paraId="7FB75A81"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3818160E" w14:textId="77777777" w:rsidR="003D3EE2" w:rsidRPr="00D3420B" w:rsidRDefault="003D3EE2" w:rsidP="00C831CA">
            <w:pPr>
              <w:spacing w:line="120" w:lineRule="exact"/>
              <w:rPr>
                <w:sz w:val="18"/>
                <w:szCs w:val="18"/>
              </w:rPr>
            </w:pPr>
          </w:p>
          <w:p w14:paraId="0F12DA9A"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18"/>
                <w:szCs w:val="18"/>
              </w:rPr>
            </w:pPr>
            <w:r w:rsidRPr="00D3420B">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6158EC4F" w14:textId="77777777" w:rsidR="003D3EE2" w:rsidRPr="00D3420B" w:rsidRDefault="003D3EE2" w:rsidP="00C831CA">
            <w:pPr>
              <w:spacing w:line="120" w:lineRule="exact"/>
              <w:rPr>
                <w:sz w:val="18"/>
                <w:szCs w:val="18"/>
              </w:rPr>
            </w:pPr>
          </w:p>
          <w:p w14:paraId="2B6E6C8A"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18"/>
                <w:szCs w:val="18"/>
              </w:rPr>
            </w:pPr>
            <w:r w:rsidRPr="00D3420B">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4646BBCE" w14:textId="77777777" w:rsidR="003D3EE2" w:rsidRPr="00D3420B" w:rsidRDefault="003D3EE2" w:rsidP="00C831CA">
            <w:pPr>
              <w:spacing w:line="120" w:lineRule="exact"/>
              <w:rPr>
                <w:sz w:val="18"/>
                <w:szCs w:val="18"/>
              </w:rPr>
            </w:pPr>
          </w:p>
          <w:p w14:paraId="229FA73A"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18"/>
                <w:szCs w:val="18"/>
              </w:rPr>
            </w:pPr>
          </w:p>
        </w:tc>
      </w:tr>
      <w:tr w:rsidR="003D3EE2" w:rsidRPr="00D3420B" w14:paraId="0C53E228" w14:textId="77777777" w:rsidTr="00C831CA">
        <w:tc>
          <w:tcPr>
            <w:tcW w:w="900" w:type="dxa"/>
            <w:tcBorders>
              <w:top w:val="single" w:sz="7" w:space="0" w:color="000000"/>
              <w:left w:val="single" w:sz="7" w:space="0" w:color="000000"/>
              <w:bottom w:val="single" w:sz="8" w:space="0" w:color="000000"/>
              <w:right w:val="single" w:sz="6" w:space="0" w:color="FFFFFF"/>
            </w:tcBorders>
          </w:tcPr>
          <w:p w14:paraId="4966715D" w14:textId="77777777" w:rsidR="003D3EE2" w:rsidRPr="00D3420B" w:rsidRDefault="003D3EE2" w:rsidP="00C831CA">
            <w:pPr>
              <w:spacing w:line="120" w:lineRule="exact"/>
              <w:rPr>
                <w:sz w:val="18"/>
                <w:szCs w:val="18"/>
              </w:rPr>
            </w:pPr>
          </w:p>
          <w:p w14:paraId="7A17C8C2"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rPr>
                <w:sz w:val="20"/>
                <w:szCs w:val="20"/>
              </w:rPr>
            </w:pPr>
          </w:p>
          <w:p w14:paraId="7D7DC1B8"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jc w:val="center"/>
              <w:rPr>
                <w:sz w:val="20"/>
                <w:szCs w:val="20"/>
              </w:rPr>
            </w:pPr>
            <w:r w:rsidRPr="00D3420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5C7DAACD" w14:textId="77777777" w:rsidR="003D3EE2" w:rsidRPr="00D3420B" w:rsidRDefault="003D3EE2" w:rsidP="00C831CA">
            <w:pPr>
              <w:spacing w:line="120" w:lineRule="exact"/>
              <w:rPr>
                <w:sz w:val="20"/>
                <w:szCs w:val="20"/>
              </w:rPr>
            </w:pPr>
          </w:p>
          <w:p w14:paraId="5C0E5728"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(A)</w:t>
            </w:r>
          </w:p>
          <w:p w14:paraId="2D328DD2"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20"/>
                <w:szCs w:val="20"/>
              </w:rPr>
            </w:pPr>
            <w:r w:rsidRPr="00D3420B">
              <w:rPr>
                <w:sz w:val="20"/>
                <w:szCs w:val="20"/>
              </w:rPr>
              <w:t xml:space="preserve">Number of New Respondents </w:t>
            </w:r>
            <w:r w:rsidRPr="00D3420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7778789" w14:textId="77777777" w:rsidR="003D3EE2" w:rsidRPr="00D3420B" w:rsidRDefault="003D3EE2" w:rsidP="00C831CA">
            <w:pPr>
              <w:spacing w:line="120" w:lineRule="exact"/>
              <w:rPr>
                <w:sz w:val="20"/>
                <w:szCs w:val="20"/>
              </w:rPr>
            </w:pPr>
          </w:p>
          <w:p w14:paraId="0F9748DF"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(B)</w:t>
            </w:r>
          </w:p>
          <w:p w14:paraId="39D34C08"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20"/>
                <w:szCs w:val="20"/>
              </w:rPr>
            </w:pPr>
            <w:r w:rsidRPr="00D3420B">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7A18B182" w14:textId="77777777" w:rsidR="003D3EE2" w:rsidRPr="00D3420B" w:rsidRDefault="003D3EE2" w:rsidP="00C831CA">
            <w:pPr>
              <w:spacing w:line="120" w:lineRule="exact"/>
              <w:rPr>
                <w:sz w:val="20"/>
                <w:szCs w:val="20"/>
              </w:rPr>
            </w:pPr>
          </w:p>
          <w:p w14:paraId="205EC9EE"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(C)</w:t>
            </w:r>
          </w:p>
          <w:p w14:paraId="6F75731E"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20"/>
                <w:szCs w:val="20"/>
              </w:rPr>
            </w:pPr>
            <w:r w:rsidRPr="00D3420B">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7CE46EE" w14:textId="77777777" w:rsidR="003D3EE2" w:rsidRPr="00D3420B" w:rsidRDefault="003D3EE2" w:rsidP="00C831CA">
            <w:pPr>
              <w:spacing w:line="120" w:lineRule="exact"/>
              <w:rPr>
                <w:sz w:val="20"/>
                <w:szCs w:val="20"/>
              </w:rPr>
            </w:pPr>
          </w:p>
          <w:p w14:paraId="0F83C3D9"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(D)</w:t>
            </w:r>
          </w:p>
          <w:p w14:paraId="4CFD15D3"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20"/>
                <w:szCs w:val="20"/>
              </w:rPr>
            </w:pPr>
            <w:r w:rsidRPr="00D3420B">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243B301F" w14:textId="77777777" w:rsidR="003D3EE2" w:rsidRPr="00D3420B" w:rsidRDefault="003D3EE2" w:rsidP="00C831CA">
            <w:pPr>
              <w:spacing w:line="120" w:lineRule="exact"/>
              <w:rPr>
                <w:sz w:val="20"/>
                <w:szCs w:val="20"/>
              </w:rPr>
            </w:pPr>
          </w:p>
          <w:p w14:paraId="0DB1E164"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(E)</w:t>
            </w:r>
          </w:p>
          <w:p w14:paraId="7C2081C8"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rPr>
                <w:sz w:val="20"/>
                <w:szCs w:val="20"/>
              </w:rPr>
            </w:pPr>
            <w:r w:rsidRPr="00D3420B">
              <w:rPr>
                <w:sz w:val="20"/>
                <w:szCs w:val="20"/>
              </w:rPr>
              <w:t>Number of Respondents</w:t>
            </w:r>
          </w:p>
          <w:p w14:paraId="061FC84D"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spacing w:after="52"/>
              <w:rPr>
                <w:sz w:val="20"/>
                <w:szCs w:val="20"/>
              </w:rPr>
            </w:pPr>
            <w:r w:rsidRPr="00D3420B">
              <w:rPr>
                <w:sz w:val="20"/>
                <w:szCs w:val="20"/>
              </w:rPr>
              <w:t>(E=A+B+C-D)</w:t>
            </w:r>
          </w:p>
        </w:tc>
      </w:tr>
      <w:tr w:rsidR="003D3EE2" w:rsidRPr="00D3420B" w14:paraId="7E7483F6" w14:textId="77777777" w:rsidTr="00C831CA">
        <w:tc>
          <w:tcPr>
            <w:tcW w:w="900" w:type="dxa"/>
            <w:tcBorders>
              <w:top w:val="single" w:sz="8" w:space="0" w:color="000000"/>
              <w:left w:val="single" w:sz="8" w:space="0" w:color="000000"/>
              <w:bottom w:val="single" w:sz="6" w:space="0" w:color="000000"/>
              <w:right w:val="single" w:sz="6" w:space="0" w:color="000000"/>
            </w:tcBorders>
          </w:tcPr>
          <w:p w14:paraId="0917C425"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6FCC67FA" w14:textId="453DFD41"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FBDC5EE" w14:textId="00A68825"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c>
          <w:tcPr>
            <w:tcW w:w="2070" w:type="dxa"/>
            <w:tcBorders>
              <w:top w:val="single" w:sz="8" w:space="0" w:color="000000"/>
              <w:left w:val="single" w:sz="6" w:space="0" w:color="000000"/>
              <w:bottom w:val="single" w:sz="6" w:space="0" w:color="000000"/>
              <w:right w:val="single" w:sz="6" w:space="0" w:color="000000"/>
            </w:tcBorders>
            <w:vAlign w:val="center"/>
          </w:tcPr>
          <w:p w14:paraId="7E5EE258" w14:textId="02F33AD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191E5497" w14:textId="73FFEC31"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B9FD9D5" w14:textId="2A59B2A8"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r>
      <w:tr w:rsidR="003D3EE2" w:rsidRPr="00D3420B" w14:paraId="7C4EC0BE" w14:textId="77777777" w:rsidTr="00C831CA">
        <w:tc>
          <w:tcPr>
            <w:tcW w:w="900" w:type="dxa"/>
            <w:tcBorders>
              <w:top w:val="single" w:sz="6" w:space="0" w:color="000000"/>
              <w:left w:val="single" w:sz="8" w:space="0" w:color="000000"/>
              <w:bottom w:val="single" w:sz="6" w:space="0" w:color="000000"/>
              <w:right w:val="single" w:sz="6" w:space="0" w:color="000000"/>
            </w:tcBorders>
          </w:tcPr>
          <w:p w14:paraId="56F76E6D"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D542163" w14:textId="76298099"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F91D258" w14:textId="10AC53E3"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c>
          <w:tcPr>
            <w:tcW w:w="2070" w:type="dxa"/>
            <w:tcBorders>
              <w:top w:val="single" w:sz="6" w:space="0" w:color="000000"/>
              <w:left w:val="single" w:sz="6" w:space="0" w:color="000000"/>
              <w:bottom w:val="single" w:sz="6" w:space="0" w:color="000000"/>
              <w:right w:val="single" w:sz="6" w:space="0" w:color="000000"/>
            </w:tcBorders>
            <w:vAlign w:val="center"/>
          </w:tcPr>
          <w:p w14:paraId="283F4BB8" w14:textId="48250812"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F488BD7" w14:textId="3C150C70"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D298136" w14:textId="5FB6FADA"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r>
      <w:tr w:rsidR="003D3EE2" w:rsidRPr="00D3420B" w14:paraId="7C6FB559" w14:textId="77777777" w:rsidTr="00C831CA">
        <w:tc>
          <w:tcPr>
            <w:tcW w:w="900" w:type="dxa"/>
            <w:tcBorders>
              <w:top w:val="single" w:sz="6" w:space="0" w:color="000000"/>
              <w:left w:val="single" w:sz="8" w:space="0" w:color="000000"/>
              <w:bottom w:val="single" w:sz="6" w:space="0" w:color="000000"/>
              <w:right w:val="single" w:sz="6" w:space="0" w:color="000000"/>
            </w:tcBorders>
          </w:tcPr>
          <w:p w14:paraId="744527D7"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C1655D3" w14:textId="3137738E"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FE736BA" w14:textId="294D7520"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c>
          <w:tcPr>
            <w:tcW w:w="2070" w:type="dxa"/>
            <w:tcBorders>
              <w:top w:val="single" w:sz="6" w:space="0" w:color="000000"/>
              <w:left w:val="single" w:sz="6" w:space="0" w:color="000000"/>
              <w:bottom w:val="single" w:sz="6" w:space="0" w:color="000000"/>
              <w:right w:val="single" w:sz="6" w:space="0" w:color="000000"/>
            </w:tcBorders>
            <w:vAlign w:val="center"/>
          </w:tcPr>
          <w:p w14:paraId="042B4475" w14:textId="4FB37CB2"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AEDE98A" w14:textId="0E8AE940"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4250CFA" w14:textId="01830F92"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r>
      <w:tr w:rsidR="003D3EE2" w:rsidRPr="00D3420B" w14:paraId="7EC85F29" w14:textId="77777777" w:rsidTr="00C831CA">
        <w:tc>
          <w:tcPr>
            <w:tcW w:w="900" w:type="dxa"/>
            <w:tcBorders>
              <w:top w:val="single" w:sz="6" w:space="0" w:color="000000"/>
              <w:left w:val="single" w:sz="8" w:space="0" w:color="000000"/>
              <w:bottom w:val="single" w:sz="8" w:space="0" w:color="000000"/>
              <w:right w:val="single" w:sz="6" w:space="0" w:color="000000"/>
            </w:tcBorders>
          </w:tcPr>
          <w:p w14:paraId="648D1210" w14:textId="77777777"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2FADE09" w14:textId="3758DFBC"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3D24BA2A" w14:textId="72214F7C"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c>
          <w:tcPr>
            <w:tcW w:w="2070" w:type="dxa"/>
            <w:tcBorders>
              <w:top w:val="single" w:sz="6" w:space="0" w:color="000000"/>
              <w:left w:val="single" w:sz="6" w:space="0" w:color="000000"/>
              <w:bottom w:val="single" w:sz="8" w:space="0" w:color="000000"/>
              <w:right w:val="single" w:sz="6" w:space="0" w:color="000000"/>
            </w:tcBorders>
            <w:vAlign w:val="center"/>
          </w:tcPr>
          <w:p w14:paraId="4506AE41" w14:textId="33C3A78F"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C57DB04" w14:textId="0222F773"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179F568" w14:textId="3DF529DB" w:rsidR="003D3EE2" w:rsidRPr="00D3420B" w:rsidRDefault="003D3EE2" w:rsidP="00C831CA">
            <w:pPr>
              <w:pBdr>
                <w:top w:val="single" w:sz="6" w:space="0" w:color="FFFFFF"/>
                <w:left w:val="single" w:sz="6" w:space="0" w:color="FFFFFF"/>
                <w:bottom w:val="single" w:sz="6" w:space="0" w:color="FFFFFF"/>
                <w:right w:val="single" w:sz="6" w:space="0" w:color="FFFFFF"/>
              </w:pBdr>
              <w:jc w:val="center"/>
              <w:rPr>
                <w:sz w:val="18"/>
                <w:szCs w:val="18"/>
              </w:rPr>
            </w:pPr>
            <w:r w:rsidRPr="00D3420B">
              <w:rPr>
                <w:sz w:val="18"/>
                <w:szCs w:val="18"/>
              </w:rPr>
              <w:t>32</w:t>
            </w:r>
          </w:p>
        </w:tc>
      </w:tr>
    </w:tbl>
    <w:p w14:paraId="7C547DF5" w14:textId="6349CCAD" w:rsidR="00CA4CD6" w:rsidRPr="00D3420B"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3420B">
        <w:rPr>
          <w:vertAlign w:val="superscript"/>
        </w:rPr>
        <w:t>1</w:t>
      </w:r>
      <w:r w:rsidRPr="00D3420B">
        <w:t xml:space="preserve"> </w:t>
      </w:r>
      <w:r w:rsidRPr="00D3420B">
        <w:rPr>
          <w:sz w:val="20"/>
          <w:szCs w:val="20"/>
        </w:rPr>
        <w:t>New respondents include sources with constructed, reconstructed and modified affected facilities.</w:t>
      </w:r>
      <w:r w:rsidR="009C7E97" w:rsidRPr="00D3420B">
        <w:rPr>
          <w:sz w:val="20"/>
          <w:szCs w:val="20"/>
        </w:rPr>
        <w:t xml:space="preserve"> </w:t>
      </w:r>
    </w:p>
    <w:p w14:paraId="50712C32" w14:textId="77777777" w:rsidR="00CA4CD6" w:rsidRPr="00D3420B" w:rsidRDefault="00CA4CD6">
      <w:pPr>
        <w:pBdr>
          <w:top w:val="single" w:sz="6" w:space="0" w:color="FFFFFF"/>
          <w:left w:val="single" w:sz="6" w:space="0" w:color="FFFFFF"/>
          <w:bottom w:val="single" w:sz="6" w:space="0" w:color="FFFFFF"/>
          <w:right w:val="single" w:sz="6" w:space="0" w:color="FFFFFF"/>
        </w:pBdr>
        <w:ind w:firstLine="5760"/>
      </w:pPr>
    </w:p>
    <w:p w14:paraId="7FFE05DC" w14:textId="47735A26" w:rsidR="00CA4CD6" w:rsidRPr="00D3420B" w:rsidRDefault="002B29A7" w:rsidP="00CE4204">
      <w:pPr>
        <w:pBdr>
          <w:top w:val="single" w:sz="6" w:space="0" w:color="FFFFFF"/>
          <w:left w:val="single" w:sz="6" w:space="0" w:color="FFFFFF"/>
          <w:bottom w:val="single" w:sz="6" w:space="0" w:color="FFFFFF"/>
          <w:right w:val="single" w:sz="6" w:space="0" w:color="FFFFFF"/>
        </w:pBdr>
        <w:ind w:firstLine="720"/>
      </w:pPr>
      <w:r w:rsidRPr="00D3420B">
        <w:t>C</w:t>
      </w:r>
      <w:r w:rsidR="00CA4CD6" w:rsidRPr="00D3420B">
        <w:t>olumn D is subtracted</w:t>
      </w:r>
      <w:r w:rsidRPr="00D3420B">
        <w:t xml:space="preserve"> to avoid double-counting respondents</w:t>
      </w:r>
      <w:r w:rsidR="00CA4CD6" w:rsidRPr="00D3420B">
        <w:t>.</w:t>
      </w:r>
      <w:r w:rsidR="009C7E97" w:rsidRPr="00D3420B">
        <w:t xml:space="preserve"> </w:t>
      </w:r>
      <w:r w:rsidR="00CA4CD6" w:rsidRPr="00D3420B">
        <w:t xml:space="preserve">As shown above, the average Number of Respondents over the </w:t>
      </w:r>
      <w:r w:rsidR="001414C4" w:rsidRPr="00D3420B">
        <w:t>three-year</w:t>
      </w:r>
      <w:r w:rsidR="00CA4CD6" w:rsidRPr="00D3420B">
        <w:t xml:space="preserve"> period of this ICR is </w:t>
      </w:r>
      <w:r w:rsidR="001C777D" w:rsidRPr="00D3420B">
        <w:t>32</w:t>
      </w:r>
      <w:r w:rsidR="00507EC5" w:rsidRPr="00D3420B">
        <w:t xml:space="preserve">. </w:t>
      </w:r>
    </w:p>
    <w:p w14:paraId="6343745F" w14:textId="77777777" w:rsidR="00CA4CD6" w:rsidRPr="00D3420B" w:rsidRDefault="00CA4CD6" w:rsidP="00CE4204">
      <w:pPr>
        <w:pBdr>
          <w:top w:val="single" w:sz="6" w:space="0" w:color="FFFFFF"/>
          <w:left w:val="single" w:sz="6" w:space="0" w:color="FFFFFF"/>
          <w:bottom w:val="single" w:sz="6" w:space="0" w:color="FFFFFF"/>
          <w:right w:val="single" w:sz="6" w:space="0" w:color="FFFFFF"/>
        </w:pBdr>
      </w:pPr>
    </w:p>
    <w:p w14:paraId="2DD44DAF" w14:textId="4E53DEC1"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The total number of annual responses per year is calculated using the following table: </w:t>
      </w:r>
    </w:p>
    <w:p w14:paraId="44B4FF00" w14:textId="77777777" w:rsidR="00CA4CD6" w:rsidRPr="00D3420B"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177CC7" w:rsidRPr="00D3420B" w14:paraId="046B3587" w14:textId="77777777" w:rsidTr="003D3EE2">
        <w:trPr>
          <w:tblHeader/>
        </w:trPr>
        <w:tc>
          <w:tcPr>
            <w:tcW w:w="9180" w:type="dxa"/>
            <w:gridSpan w:val="5"/>
          </w:tcPr>
          <w:p w14:paraId="6EA78754" w14:textId="77777777" w:rsidR="00CA4CD6" w:rsidRPr="00D3420B" w:rsidRDefault="00CA4CD6">
            <w:pPr>
              <w:spacing w:line="120" w:lineRule="exact"/>
              <w:rPr>
                <w:sz w:val="20"/>
                <w:szCs w:val="20"/>
              </w:rPr>
            </w:pPr>
          </w:p>
          <w:p w14:paraId="2BFF83AC" w14:textId="77777777" w:rsidR="00CA4CD6" w:rsidRPr="00D3420B" w:rsidRDefault="00CA4CD6">
            <w:pPr>
              <w:pBdr>
                <w:top w:val="single" w:sz="6" w:space="0" w:color="FFFFFF"/>
                <w:left w:val="single" w:sz="6" w:space="0" w:color="FFFFFF"/>
                <w:bottom w:val="single" w:sz="6" w:space="0" w:color="FFFFFF"/>
                <w:right w:val="single" w:sz="6" w:space="0" w:color="FFFFFF"/>
              </w:pBdr>
              <w:spacing w:after="52"/>
              <w:jc w:val="center"/>
              <w:rPr>
                <w:b/>
                <w:bCs/>
                <w:sz w:val="20"/>
                <w:szCs w:val="20"/>
              </w:rPr>
            </w:pPr>
            <w:r w:rsidRPr="00D3420B">
              <w:rPr>
                <w:b/>
                <w:bCs/>
                <w:sz w:val="20"/>
                <w:szCs w:val="20"/>
              </w:rPr>
              <w:t>Total Annual Responses</w:t>
            </w:r>
          </w:p>
        </w:tc>
      </w:tr>
      <w:tr w:rsidR="00177CC7" w:rsidRPr="00D3420B" w14:paraId="081547E5" w14:textId="77777777" w:rsidTr="003D3EE2">
        <w:tc>
          <w:tcPr>
            <w:tcW w:w="2700" w:type="dxa"/>
          </w:tcPr>
          <w:p w14:paraId="1FF13FEE" w14:textId="77777777" w:rsidR="00CA4CD6" w:rsidRPr="00D3420B" w:rsidRDefault="00CA4CD6" w:rsidP="0035325B">
            <w:pPr>
              <w:spacing w:line="120" w:lineRule="exact"/>
              <w:jc w:val="center"/>
              <w:rPr>
                <w:b/>
                <w:bCs/>
                <w:sz w:val="20"/>
                <w:szCs w:val="20"/>
              </w:rPr>
            </w:pPr>
          </w:p>
          <w:p w14:paraId="052E56AB"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(A)</w:t>
            </w:r>
          </w:p>
          <w:p w14:paraId="5DBFA35A"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D3420B">
              <w:rPr>
                <w:sz w:val="20"/>
                <w:szCs w:val="20"/>
              </w:rPr>
              <w:t>Information Collection Activity</w:t>
            </w:r>
          </w:p>
        </w:tc>
        <w:tc>
          <w:tcPr>
            <w:tcW w:w="1260" w:type="dxa"/>
          </w:tcPr>
          <w:p w14:paraId="1512DB18" w14:textId="77777777" w:rsidR="00CA4CD6" w:rsidRPr="00D3420B" w:rsidRDefault="00CA4CD6" w:rsidP="0035325B">
            <w:pPr>
              <w:spacing w:line="120" w:lineRule="exact"/>
              <w:jc w:val="center"/>
              <w:rPr>
                <w:sz w:val="20"/>
                <w:szCs w:val="20"/>
              </w:rPr>
            </w:pPr>
          </w:p>
          <w:p w14:paraId="0F6BDBA6"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(B)</w:t>
            </w:r>
          </w:p>
          <w:p w14:paraId="37D61E10"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D3420B">
              <w:rPr>
                <w:sz w:val="20"/>
                <w:szCs w:val="20"/>
              </w:rPr>
              <w:t>Number of Respondents</w:t>
            </w:r>
          </w:p>
        </w:tc>
        <w:tc>
          <w:tcPr>
            <w:tcW w:w="1260" w:type="dxa"/>
          </w:tcPr>
          <w:p w14:paraId="7C8774CA" w14:textId="77777777" w:rsidR="00CA4CD6" w:rsidRPr="00D3420B" w:rsidRDefault="00CA4CD6" w:rsidP="0035325B">
            <w:pPr>
              <w:spacing w:line="120" w:lineRule="exact"/>
              <w:jc w:val="center"/>
              <w:rPr>
                <w:sz w:val="20"/>
                <w:szCs w:val="20"/>
              </w:rPr>
            </w:pPr>
          </w:p>
          <w:p w14:paraId="73986CBB"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(C)</w:t>
            </w:r>
          </w:p>
          <w:p w14:paraId="39902BCF"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D3420B">
              <w:rPr>
                <w:sz w:val="20"/>
                <w:szCs w:val="20"/>
              </w:rPr>
              <w:t>Number of Responses</w:t>
            </w:r>
          </w:p>
        </w:tc>
        <w:tc>
          <w:tcPr>
            <w:tcW w:w="1890" w:type="dxa"/>
          </w:tcPr>
          <w:p w14:paraId="3214EDCF" w14:textId="77777777" w:rsidR="00CA4CD6" w:rsidRPr="00D3420B" w:rsidRDefault="00CA4CD6" w:rsidP="0035325B">
            <w:pPr>
              <w:spacing w:line="120" w:lineRule="exact"/>
              <w:jc w:val="center"/>
              <w:rPr>
                <w:sz w:val="20"/>
                <w:szCs w:val="20"/>
              </w:rPr>
            </w:pPr>
          </w:p>
          <w:p w14:paraId="67F3EBBF"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(D)</w:t>
            </w:r>
          </w:p>
          <w:p w14:paraId="13A7FE84"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D3420B">
              <w:rPr>
                <w:sz w:val="20"/>
                <w:szCs w:val="20"/>
              </w:rPr>
              <w:t>Number of Existing Respondents That Keep Records But Do Not Submit Reports</w:t>
            </w:r>
          </w:p>
        </w:tc>
        <w:tc>
          <w:tcPr>
            <w:tcW w:w="2070" w:type="dxa"/>
          </w:tcPr>
          <w:p w14:paraId="2EDBD8A8" w14:textId="77777777" w:rsidR="00CA4CD6" w:rsidRPr="00D3420B" w:rsidRDefault="00CA4CD6" w:rsidP="0035325B">
            <w:pPr>
              <w:spacing w:line="120" w:lineRule="exact"/>
              <w:jc w:val="center"/>
              <w:rPr>
                <w:sz w:val="20"/>
                <w:szCs w:val="20"/>
              </w:rPr>
            </w:pPr>
          </w:p>
          <w:p w14:paraId="4313828B"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(E)</w:t>
            </w:r>
          </w:p>
          <w:p w14:paraId="5E83DC58" w14:textId="645CCDB7" w:rsidR="00CA4CD6" w:rsidRPr="00D3420B"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Total Annual</w:t>
            </w:r>
            <w:r w:rsidR="009C7E97" w:rsidRPr="00D3420B">
              <w:rPr>
                <w:sz w:val="20"/>
                <w:szCs w:val="20"/>
              </w:rPr>
              <w:t xml:space="preserve"> </w:t>
            </w:r>
            <w:r w:rsidRPr="00D3420B">
              <w:rPr>
                <w:sz w:val="20"/>
                <w:szCs w:val="20"/>
              </w:rPr>
              <w:t>Responses</w:t>
            </w:r>
          </w:p>
          <w:p w14:paraId="03A9119C" w14:textId="77777777" w:rsidR="00CA4CD6" w:rsidRPr="00D3420B"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D3420B">
              <w:rPr>
                <w:sz w:val="20"/>
                <w:szCs w:val="20"/>
              </w:rPr>
              <w:t>E=(BxC)+D</w:t>
            </w:r>
          </w:p>
        </w:tc>
      </w:tr>
      <w:tr w:rsidR="00177CC7" w:rsidRPr="00D3420B" w14:paraId="16C1203F" w14:textId="77777777" w:rsidTr="003D3EE2">
        <w:trPr>
          <w:trHeight w:val="366"/>
        </w:trPr>
        <w:tc>
          <w:tcPr>
            <w:tcW w:w="2700" w:type="dxa"/>
            <w:vAlign w:val="center"/>
          </w:tcPr>
          <w:p w14:paraId="7DB8FBDE" w14:textId="1326D5D0" w:rsidR="00CA4CD6" w:rsidRPr="00D3420B" w:rsidRDefault="001C777D" w:rsidP="001C777D">
            <w:pPr>
              <w:pBdr>
                <w:top w:val="single" w:sz="6" w:space="0" w:color="FFFFFF"/>
                <w:left w:val="single" w:sz="6" w:space="0" w:color="FFFFFF"/>
                <w:bottom w:val="single" w:sz="6" w:space="0" w:color="FFFFFF"/>
                <w:right w:val="single" w:sz="6" w:space="0" w:color="FFFFFF"/>
              </w:pBdr>
              <w:rPr>
                <w:sz w:val="20"/>
                <w:szCs w:val="20"/>
              </w:rPr>
            </w:pPr>
            <w:r w:rsidRPr="00D3420B">
              <w:rPr>
                <w:sz w:val="20"/>
                <w:szCs w:val="20"/>
              </w:rPr>
              <w:t>Prepare/Submit Emissions Summary Report</w:t>
            </w:r>
          </w:p>
        </w:tc>
        <w:tc>
          <w:tcPr>
            <w:tcW w:w="1260" w:type="dxa"/>
            <w:vAlign w:val="center"/>
          </w:tcPr>
          <w:p w14:paraId="63308014" w14:textId="490ADC9D" w:rsidR="00CA4CD6" w:rsidRPr="00D3420B" w:rsidRDefault="00C433E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32</w:t>
            </w:r>
          </w:p>
        </w:tc>
        <w:tc>
          <w:tcPr>
            <w:tcW w:w="1260" w:type="dxa"/>
            <w:vAlign w:val="center"/>
          </w:tcPr>
          <w:p w14:paraId="7D6BA6A3" w14:textId="1A1FB1DF" w:rsidR="00CA4CD6" w:rsidRPr="00D3420B" w:rsidRDefault="001C777D"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1</w:t>
            </w:r>
          </w:p>
        </w:tc>
        <w:tc>
          <w:tcPr>
            <w:tcW w:w="1890" w:type="dxa"/>
            <w:vAlign w:val="center"/>
          </w:tcPr>
          <w:p w14:paraId="508145DD" w14:textId="40B4D5D0" w:rsidR="00CA4CD6" w:rsidRPr="00D3420B" w:rsidRDefault="00C433E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c>
          <w:tcPr>
            <w:tcW w:w="2070" w:type="dxa"/>
            <w:vAlign w:val="center"/>
          </w:tcPr>
          <w:p w14:paraId="70F8E048" w14:textId="61610A7B" w:rsidR="00CA4CD6" w:rsidRPr="00D3420B" w:rsidRDefault="00C433E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32</w:t>
            </w:r>
          </w:p>
        </w:tc>
      </w:tr>
      <w:tr w:rsidR="00177CC7" w:rsidRPr="00D3420B" w14:paraId="300564D1" w14:textId="77777777" w:rsidTr="003D3EE2">
        <w:trPr>
          <w:trHeight w:val="366"/>
        </w:trPr>
        <w:tc>
          <w:tcPr>
            <w:tcW w:w="2700" w:type="dxa"/>
            <w:vAlign w:val="center"/>
          </w:tcPr>
          <w:p w14:paraId="0F46E3DF" w14:textId="0D964DAD" w:rsidR="00CA4CD6" w:rsidRPr="00D3420B" w:rsidRDefault="003B42D6" w:rsidP="00D91C34">
            <w:pPr>
              <w:pBdr>
                <w:top w:val="single" w:sz="6" w:space="0" w:color="FFFFFF"/>
                <w:left w:val="single" w:sz="6" w:space="0" w:color="FFFFFF"/>
                <w:bottom w:val="single" w:sz="6" w:space="0" w:color="FFFFFF"/>
                <w:right w:val="single" w:sz="6" w:space="0" w:color="FFFFFF"/>
              </w:pBdr>
              <w:rPr>
                <w:sz w:val="20"/>
                <w:szCs w:val="20"/>
              </w:rPr>
            </w:pPr>
            <w:r w:rsidRPr="00D3420B">
              <w:rPr>
                <w:sz w:val="20"/>
                <w:szCs w:val="20"/>
              </w:rPr>
              <w:t>Notification of construction</w:t>
            </w:r>
          </w:p>
        </w:tc>
        <w:tc>
          <w:tcPr>
            <w:tcW w:w="1260" w:type="dxa"/>
            <w:vAlign w:val="center"/>
          </w:tcPr>
          <w:p w14:paraId="06C154FF" w14:textId="6715CFB1"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c>
          <w:tcPr>
            <w:tcW w:w="1260" w:type="dxa"/>
            <w:vAlign w:val="center"/>
          </w:tcPr>
          <w:p w14:paraId="40F59661" w14:textId="4FEDEB92"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1</w:t>
            </w:r>
          </w:p>
        </w:tc>
        <w:tc>
          <w:tcPr>
            <w:tcW w:w="1890" w:type="dxa"/>
            <w:vAlign w:val="center"/>
          </w:tcPr>
          <w:p w14:paraId="3E42D994" w14:textId="5D7AC9FA"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c>
          <w:tcPr>
            <w:tcW w:w="2070" w:type="dxa"/>
            <w:vAlign w:val="center"/>
          </w:tcPr>
          <w:p w14:paraId="4B9F0EBE" w14:textId="77310507"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r>
      <w:tr w:rsidR="00177CC7" w:rsidRPr="00D3420B" w14:paraId="4FB1550D" w14:textId="77777777" w:rsidTr="003D3EE2">
        <w:trPr>
          <w:trHeight w:val="366"/>
        </w:trPr>
        <w:tc>
          <w:tcPr>
            <w:tcW w:w="2700" w:type="dxa"/>
            <w:vAlign w:val="center"/>
          </w:tcPr>
          <w:p w14:paraId="5387B54C" w14:textId="09547D28" w:rsidR="00CA4CD6" w:rsidRPr="00D3420B" w:rsidRDefault="00CB7A05" w:rsidP="00D91C34">
            <w:pPr>
              <w:pBdr>
                <w:top w:val="single" w:sz="6" w:space="0" w:color="FFFFFF"/>
                <w:left w:val="single" w:sz="6" w:space="0" w:color="FFFFFF"/>
                <w:bottom w:val="single" w:sz="6" w:space="0" w:color="FFFFFF"/>
                <w:right w:val="single" w:sz="6" w:space="0" w:color="FFFFFF"/>
              </w:pBdr>
              <w:rPr>
                <w:sz w:val="20"/>
                <w:szCs w:val="20"/>
              </w:rPr>
            </w:pPr>
            <w:r w:rsidRPr="00D3420B">
              <w:rPr>
                <w:sz w:val="20"/>
                <w:szCs w:val="20"/>
              </w:rPr>
              <w:t>Notification of startup</w:t>
            </w:r>
          </w:p>
        </w:tc>
        <w:tc>
          <w:tcPr>
            <w:tcW w:w="1260" w:type="dxa"/>
            <w:vAlign w:val="center"/>
          </w:tcPr>
          <w:p w14:paraId="5E226832" w14:textId="4ACDB036"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c>
          <w:tcPr>
            <w:tcW w:w="1260" w:type="dxa"/>
            <w:vAlign w:val="center"/>
          </w:tcPr>
          <w:p w14:paraId="61FE4D7C" w14:textId="757325B7"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1</w:t>
            </w:r>
          </w:p>
        </w:tc>
        <w:tc>
          <w:tcPr>
            <w:tcW w:w="1890" w:type="dxa"/>
            <w:vAlign w:val="center"/>
          </w:tcPr>
          <w:p w14:paraId="4628B654" w14:textId="4AA35642"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c>
          <w:tcPr>
            <w:tcW w:w="2070" w:type="dxa"/>
            <w:vAlign w:val="center"/>
          </w:tcPr>
          <w:p w14:paraId="2ACB2E06" w14:textId="2E9AE2B1" w:rsidR="00CA4CD6" w:rsidRPr="00D3420B" w:rsidRDefault="00CB7A0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0</w:t>
            </w:r>
          </w:p>
        </w:tc>
      </w:tr>
      <w:tr w:rsidR="00177CC7" w:rsidRPr="00D3420B" w14:paraId="6C13DEF4" w14:textId="77777777" w:rsidTr="003D3EE2">
        <w:trPr>
          <w:trHeight w:val="366"/>
        </w:trPr>
        <w:tc>
          <w:tcPr>
            <w:tcW w:w="2700" w:type="dxa"/>
            <w:vAlign w:val="center"/>
          </w:tcPr>
          <w:p w14:paraId="7BBFA3A2" w14:textId="77777777" w:rsidR="00CA4CD6" w:rsidRPr="00D3420B" w:rsidRDefault="00CA4CD6" w:rsidP="00D91C34">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35BE08A" w14:textId="77777777" w:rsidR="00CA4CD6" w:rsidRPr="00D3420B"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45D39C51" w14:textId="77777777" w:rsidR="00CA4CD6" w:rsidRPr="00D3420B"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191EB1FB" w14:textId="77777777" w:rsidR="00CA4CD6" w:rsidRPr="00D3420B"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Total</w:t>
            </w:r>
          </w:p>
        </w:tc>
        <w:tc>
          <w:tcPr>
            <w:tcW w:w="2070" w:type="dxa"/>
            <w:vAlign w:val="center"/>
          </w:tcPr>
          <w:p w14:paraId="69A7F94D" w14:textId="02957E64" w:rsidR="00CA4CD6" w:rsidRPr="00D3420B" w:rsidRDefault="00C433E5" w:rsidP="00D91C34">
            <w:pPr>
              <w:pBdr>
                <w:top w:val="single" w:sz="6" w:space="0" w:color="FFFFFF"/>
                <w:left w:val="single" w:sz="6" w:space="0" w:color="FFFFFF"/>
                <w:bottom w:val="single" w:sz="6" w:space="0" w:color="FFFFFF"/>
                <w:right w:val="single" w:sz="6" w:space="0" w:color="FFFFFF"/>
              </w:pBdr>
              <w:jc w:val="center"/>
              <w:rPr>
                <w:sz w:val="20"/>
                <w:szCs w:val="20"/>
              </w:rPr>
            </w:pPr>
            <w:r w:rsidRPr="00D3420B">
              <w:rPr>
                <w:sz w:val="20"/>
                <w:szCs w:val="20"/>
              </w:rPr>
              <w:t>32</w:t>
            </w:r>
          </w:p>
        </w:tc>
      </w:tr>
    </w:tbl>
    <w:p w14:paraId="515D2AA1"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5D4A849" w14:textId="5B916B1C" w:rsidR="00CA4CD6" w:rsidRPr="00D3420B" w:rsidRDefault="00CA4CD6" w:rsidP="00CE4204">
      <w:pPr>
        <w:pBdr>
          <w:top w:val="single" w:sz="6" w:space="0" w:color="FFFFFF"/>
          <w:left w:val="single" w:sz="6" w:space="0" w:color="FFFFFF"/>
          <w:bottom w:val="single" w:sz="6" w:space="0" w:color="FFFFFF"/>
          <w:right w:val="single" w:sz="6" w:space="0" w:color="FFFFFF"/>
        </w:pBdr>
        <w:ind w:firstLine="720"/>
      </w:pPr>
      <w:r w:rsidRPr="00D3420B">
        <w:t xml:space="preserve">The number of Total Annual Responses is </w:t>
      </w:r>
      <w:r w:rsidR="00E13BE5" w:rsidRPr="00D3420B">
        <w:t>32</w:t>
      </w:r>
      <w:r w:rsidRPr="00D3420B">
        <w:t>.</w:t>
      </w:r>
      <w:r w:rsidR="009C7E97" w:rsidRPr="00D3420B">
        <w:t xml:space="preserve"> </w:t>
      </w:r>
    </w:p>
    <w:p w14:paraId="00EB0D7F"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8CA59B8" w14:textId="7228D69A" w:rsidR="00CA4CD6" w:rsidRPr="00D3420B" w:rsidRDefault="00CA4CD6" w:rsidP="0038203D">
      <w:pPr>
        <w:pBdr>
          <w:top w:val="single" w:sz="6" w:space="0" w:color="FFFFFF"/>
          <w:left w:val="single" w:sz="6" w:space="0" w:color="FFFFFF"/>
          <w:bottom w:val="single" w:sz="6" w:space="0" w:color="FFFFFF"/>
          <w:right w:val="single" w:sz="6" w:space="0" w:color="FFFFFF"/>
        </w:pBdr>
        <w:ind w:firstLine="720"/>
      </w:pPr>
      <w:r w:rsidRPr="00D3420B">
        <w:t>The total annual labor costs are</w:t>
      </w:r>
      <w:r w:rsidR="00C433E5" w:rsidRPr="00D3420B">
        <w:t xml:space="preserve"> $</w:t>
      </w:r>
      <w:r w:rsidR="003D3EE2" w:rsidRPr="00D3420B">
        <w:t>101</w:t>
      </w:r>
      <w:r w:rsidR="00E13BE5" w:rsidRPr="00D3420B">
        <w:t>,000</w:t>
      </w:r>
      <w:r w:rsidRPr="00D3420B">
        <w:t>.</w:t>
      </w:r>
      <w:r w:rsidR="004A1F06">
        <w:t>00 (rounded).</w:t>
      </w:r>
      <w:r w:rsidR="009C7E97" w:rsidRPr="00D3420B">
        <w:t xml:space="preserve"> </w:t>
      </w:r>
      <w:r w:rsidRPr="00D3420B">
        <w:t xml:space="preserve">Details regarding these estimates may be found </w:t>
      </w:r>
      <w:r w:rsidR="004A1F06">
        <w:t xml:space="preserve">below, </w:t>
      </w:r>
      <w:r w:rsidR="000312D6">
        <w:t>at the end of this document</w:t>
      </w:r>
      <w:r w:rsidR="004A1F06">
        <w:t>,</w:t>
      </w:r>
      <w:r w:rsidR="007A458D" w:rsidRPr="00D3420B">
        <w:t xml:space="preserve"> </w:t>
      </w:r>
      <w:r w:rsidR="0035325B" w:rsidRPr="00D3420B">
        <w:t>in Table 1:</w:t>
      </w:r>
      <w:r w:rsidRPr="00D3420B">
        <w:t xml:space="preserve"> Annual Respondent Burden and Cost</w:t>
      </w:r>
      <w:r w:rsidR="00CF2B37" w:rsidRPr="00D3420B">
        <w:t xml:space="preserve"> –</w:t>
      </w:r>
      <w:r w:rsidRPr="00D3420B">
        <w:t xml:space="preserve"> </w:t>
      </w:r>
      <w:r w:rsidR="00986435" w:rsidRPr="00D3420B">
        <w:rPr>
          <w:bCs/>
        </w:rPr>
        <w:t>NSPS for Greenhouse Gas Emissions for New Electric Utility Generating Units (40 CFR Part 60, Subpart TTTT) (Renewal).</w:t>
      </w:r>
      <w:r w:rsidR="00986435" w:rsidRPr="00D3420B" w:rsidDel="001C5A1D">
        <w:t xml:space="preserve"> </w:t>
      </w:r>
    </w:p>
    <w:p w14:paraId="15E0BE64" w14:textId="2895832E" w:rsidR="00CA4CD6" w:rsidRDefault="00CA4CD6">
      <w:pPr>
        <w:pBdr>
          <w:top w:val="single" w:sz="6" w:space="0" w:color="FFFFFF"/>
          <w:left w:val="single" w:sz="6" w:space="0" w:color="FFFFFF"/>
          <w:bottom w:val="single" w:sz="6" w:space="0" w:color="FFFFFF"/>
          <w:right w:val="single" w:sz="6" w:space="0" w:color="FFFFFF"/>
        </w:pBdr>
      </w:pPr>
    </w:p>
    <w:p w14:paraId="794D6E4C" w14:textId="2A8D52C5" w:rsidR="004A1F06" w:rsidRDefault="004A1F06">
      <w:pPr>
        <w:pBdr>
          <w:top w:val="single" w:sz="6" w:space="0" w:color="FFFFFF"/>
          <w:left w:val="single" w:sz="6" w:space="0" w:color="FFFFFF"/>
          <w:bottom w:val="single" w:sz="6" w:space="0" w:color="FFFFFF"/>
          <w:right w:val="single" w:sz="6" w:space="0" w:color="FFFFFF"/>
        </w:pBdr>
      </w:pPr>
    </w:p>
    <w:p w14:paraId="0AAD1E78" w14:textId="77777777" w:rsidR="004A1F06" w:rsidRPr="00D3420B" w:rsidRDefault="004A1F06">
      <w:pPr>
        <w:pBdr>
          <w:top w:val="single" w:sz="6" w:space="0" w:color="FFFFFF"/>
          <w:left w:val="single" w:sz="6" w:space="0" w:color="FFFFFF"/>
          <w:bottom w:val="single" w:sz="6" w:space="0" w:color="FFFFFF"/>
          <w:right w:val="single" w:sz="6" w:space="0" w:color="FFFFFF"/>
        </w:pBdr>
      </w:pPr>
    </w:p>
    <w:p w14:paraId="69F4ADEF" w14:textId="285DE2E7"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6(e)</w:t>
      </w:r>
      <w:r w:rsidR="009C7E97" w:rsidRPr="00D3420B">
        <w:rPr>
          <w:b/>
          <w:bCs/>
        </w:rPr>
        <w:t xml:space="preserve"> </w:t>
      </w:r>
      <w:r w:rsidRPr="00D3420B">
        <w:rPr>
          <w:b/>
          <w:bCs/>
        </w:rPr>
        <w:t>Bottom Line Burden Hours and Cost Tables</w:t>
      </w:r>
    </w:p>
    <w:p w14:paraId="6AC19F16"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100F319" w14:textId="747A18D9"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The detailed bottom line burden hours and cost calculations for the respondents and the Agency are shown </w:t>
      </w:r>
      <w:r w:rsidR="004A1F06">
        <w:t>below</w:t>
      </w:r>
      <w:r w:rsidR="004A1F06" w:rsidRPr="004A1F06">
        <w:t xml:space="preserve"> at the end of this document</w:t>
      </w:r>
      <w:r w:rsidR="004A1F06">
        <w:t xml:space="preserve"> </w:t>
      </w:r>
      <w:r w:rsidRPr="00D3420B">
        <w:t>in Tables 1 and 2, respectively, and summarized below.</w:t>
      </w:r>
      <w:r w:rsidR="009C7E97" w:rsidRPr="00D3420B">
        <w:t xml:space="preserve"> </w:t>
      </w:r>
    </w:p>
    <w:p w14:paraId="3C7AD355"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D342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3420B">
        <w:rPr>
          <w:b/>
          <w:bCs/>
        </w:rPr>
        <w:t>(i) Respondent Tally</w:t>
      </w:r>
    </w:p>
    <w:p w14:paraId="587E1B8A"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1E00E370" w14:textId="308632C7" w:rsidR="00986435" w:rsidRPr="00D3420B" w:rsidRDefault="00CA4CD6" w:rsidP="00986435">
      <w:pPr>
        <w:pBdr>
          <w:top w:val="single" w:sz="6" w:space="0" w:color="FFFFFF"/>
          <w:left w:val="single" w:sz="6" w:space="0" w:color="FFFFFF"/>
          <w:bottom w:val="single" w:sz="6" w:space="0" w:color="FFFFFF"/>
          <w:right w:val="single" w:sz="6" w:space="0" w:color="FFFFFF"/>
        </w:pBdr>
        <w:ind w:firstLine="720"/>
        <w:rPr>
          <w:b/>
          <w:bCs/>
        </w:rPr>
      </w:pPr>
      <w:r w:rsidRPr="00D3420B">
        <w:t xml:space="preserve">The total annual labor </w:t>
      </w:r>
      <w:r w:rsidR="002C416A" w:rsidRPr="00D3420B">
        <w:t>hours are</w:t>
      </w:r>
      <w:r w:rsidRPr="00D3420B">
        <w:t xml:space="preserve"> </w:t>
      </w:r>
      <w:r w:rsidR="00F7147B">
        <w:t>883</w:t>
      </w:r>
      <w:r w:rsidR="009A6590">
        <w:t xml:space="preserve"> (rounded)</w:t>
      </w:r>
      <w:r w:rsidRPr="00D3420B">
        <w:t>.</w:t>
      </w:r>
      <w:r w:rsidR="009C7E97" w:rsidRPr="00D3420B">
        <w:t xml:space="preserve"> </w:t>
      </w:r>
      <w:r w:rsidRPr="00D3420B">
        <w:t>Details regarding these estimates may be found</w:t>
      </w:r>
      <w:r w:rsidR="009A6590">
        <w:t xml:space="preserve"> below</w:t>
      </w:r>
      <w:r w:rsidRPr="00D3420B">
        <w:t xml:space="preserve"> in Table 1</w:t>
      </w:r>
      <w:r w:rsidR="003D3EE2" w:rsidRPr="00D3420B">
        <w:t>:</w:t>
      </w:r>
      <w:r w:rsidR="009C7E97" w:rsidRPr="00D3420B">
        <w:t xml:space="preserve"> </w:t>
      </w:r>
      <w:r w:rsidRPr="00D3420B">
        <w:t>Annual Respondent Burden and Cost</w:t>
      </w:r>
      <w:r w:rsidR="00CF2B37" w:rsidRPr="00D3420B">
        <w:t xml:space="preserve"> – </w:t>
      </w:r>
      <w:r w:rsidR="00986435" w:rsidRPr="00D3420B">
        <w:rPr>
          <w:bCs/>
        </w:rPr>
        <w:t>NSPS for Greenhouse Gas Emissions for New Electric Utility Generating Units (40 CFR Part 60, Subpart TTTT) (Renewal).</w:t>
      </w:r>
      <w:r w:rsidR="00986435" w:rsidRPr="00D3420B" w:rsidDel="001C5A1D">
        <w:t xml:space="preserve"> </w:t>
      </w:r>
    </w:p>
    <w:p w14:paraId="109815C3" w14:textId="79AED80B" w:rsidR="0049327D" w:rsidRPr="00D3420B" w:rsidRDefault="00986435" w:rsidP="0021722B">
      <w:pPr>
        <w:pBdr>
          <w:top w:val="single" w:sz="6" w:space="0" w:color="FFFFFF"/>
          <w:left w:val="single" w:sz="6" w:space="0" w:color="FFFFFF"/>
          <w:bottom w:val="single" w:sz="6" w:space="0" w:color="FFFFFF"/>
          <w:right w:val="single" w:sz="6" w:space="0" w:color="FFFFFF"/>
        </w:pBdr>
        <w:ind w:firstLine="720"/>
      </w:pPr>
      <w:r w:rsidRPr="00D3420B" w:rsidDel="00986435">
        <w:t xml:space="preserve"> </w:t>
      </w:r>
    </w:p>
    <w:p w14:paraId="35878380" w14:textId="15830157" w:rsidR="0049327D" w:rsidRPr="00D3420B" w:rsidRDefault="0049327D" w:rsidP="0021722B">
      <w:pPr>
        <w:pBdr>
          <w:top w:val="single" w:sz="6" w:space="0" w:color="FFFFFF"/>
          <w:left w:val="single" w:sz="6" w:space="0" w:color="FFFFFF"/>
          <w:bottom w:val="single" w:sz="6" w:space="0" w:color="FFFFFF"/>
          <w:right w:val="single" w:sz="6" w:space="0" w:color="FFFFFF"/>
        </w:pBdr>
        <w:ind w:firstLine="720"/>
      </w:pPr>
      <w:r w:rsidRPr="00D3420B">
        <w:t>We assume that burdens for managerial tasks take 5% of the time required for technical tasks because the typical tasks for managers are to review and approve reports.</w:t>
      </w:r>
      <w:r w:rsidR="009C7E97" w:rsidRPr="00D3420B">
        <w:t xml:space="preserve"> </w:t>
      </w:r>
      <w:r w:rsidRPr="00D3420B">
        <w:t>Clerical burdens are assumed to take 10% of the time required for technical tasks because the typical duties of clerical staff are to proofread the reports, make copies and maintain records.</w:t>
      </w:r>
    </w:p>
    <w:p w14:paraId="2AAFBC61" w14:textId="77777777" w:rsidR="00144F35" w:rsidRPr="00D3420B" w:rsidRDefault="00144F35" w:rsidP="0021722B">
      <w:pPr>
        <w:pBdr>
          <w:top w:val="single" w:sz="6" w:space="0" w:color="FFFFFF"/>
          <w:left w:val="single" w:sz="6" w:space="0" w:color="FFFFFF"/>
          <w:bottom w:val="single" w:sz="6" w:space="0" w:color="FFFFFF"/>
          <w:right w:val="single" w:sz="6" w:space="0" w:color="FFFFFF"/>
        </w:pBdr>
        <w:ind w:firstLine="720"/>
      </w:pPr>
    </w:p>
    <w:p w14:paraId="09C36C38" w14:textId="43D46412" w:rsidR="0021722B" w:rsidRPr="00D3420B" w:rsidRDefault="00CA4CD6" w:rsidP="002B69B9">
      <w:pPr>
        <w:pBdr>
          <w:top w:val="single" w:sz="6" w:space="0" w:color="FFFFFF"/>
          <w:left w:val="single" w:sz="6" w:space="0" w:color="FFFFFF"/>
          <w:bottom w:val="single" w:sz="6" w:space="0" w:color="FFFFFF"/>
          <w:right w:val="single" w:sz="6" w:space="0" w:color="FFFFFF"/>
        </w:pBdr>
        <w:ind w:firstLine="720"/>
      </w:pPr>
      <w:r w:rsidRPr="00D3420B">
        <w:t xml:space="preserve">Furthermore, the annual public reporting and recordkeeping burden for this collection of information is estimated to average </w:t>
      </w:r>
      <w:r w:rsidR="005A48AA" w:rsidRPr="00D3420B">
        <w:t>2</w:t>
      </w:r>
      <w:r w:rsidR="00833B97" w:rsidRPr="00D3420B">
        <w:t>8</w:t>
      </w:r>
      <w:r w:rsidRPr="00D3420B">
        <w:t xml:space="preserve"> hours per response</w:t>
      </w:r>
      <w:r w:rsidR="0021722B" w:rsidRPr="00D3420B">
        <w:t>.</w:t>
      </w:r>
    </w:p>
    <w:p w14:paraId="17A23A04" w14:textId="77777777" w:rsidR="00CA4CD6" w:rsidRPr="00D3420B"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D3420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3420B">
        <w:rPr>
          <w:b/>
          <w:bCs/>
        </w:rPr>
        <w:t>(ii) The Agency Tally</w:t>
      </w:r>
    </w:p>
    <w:p w14:paraId="046A0083"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71A25750" w14:textId="3572AEB0" w:rsidR="00CA4CD6" w:rsidRPr="00D3420B" w:rsidRDefault="00CA4CD6" w:rsidP="00144F35">
      <w:pPr>
        <w:pBdr>
          <w:top w:val="single" w:sz="6" w:space="0" w:color="FFFFFF"/>
          <w:left w:val="single" w:sz="6" w:space="0" w:color="FFFFFF"/>
          <w:bottom w:val="single" w:sz="6" w:space="0" w:color="FFFFFF"/>
          <w:right w:val="single" w:sz="6" w:space="0" w:color="FFFFFF"/>
        </w:pBdr>
        <w:ind w:firstLine="720"/>
      </w:pPr>
      <w:r w:rsidRPr="00D3420B">
        <w:t xml:space="preserve">The average annual Agency burden and cost over next three years is estimated to be </w:t>
      </w:r>
      <w:r w:rsidR="000312D6">
        <w:t>589</w:t>
      </w:r>
      <w:r w:rsidRPr="00D3420B">
        <w:t xml:space="preserve"> labor hours at a cost of </w:t>
      </w:r>
      <w:r w:rsidR="00986435" w:rsidRPr="00D3420B">
        <w:t>$</w:t>
      </w:r>
      <w:r w:rsidR="00833B97" w:rsidRPr="00D3420B">
        <w:t>28,000</w:t>
      </w:r>
      <w:r w:rsidR="009A6590">
        <w:t>; s</w:t>
      </w:r>
      <w:r w:rsidR="00144F35" w:rsidRPr="00D3420B">
        <w:t xml:space="preserve">ee </w:t>
      </w:r>
      <w:r w:rsidR="009A6590">
        <w:t xml:space="preserve">below in </w:t>
      </w:r>
      <w:r w:rsidR="00144F35" w:rsidRPr="00D3420B">
        <w:t xml:space="preserve">Table 2: </w:t>
      </w:r>
      <w:r w:rsidR="00CF2B37" w:rsidRPr="00D3420B">
        <w:t>Average Annual EPA Burden and Cost –</w:t>
      </w:r>
      <w:r w:rsidR="00144F35" w:rsidRPr="00D3420B">
        <w:t xml:space="preserve"> </w:t>
      </w:r>
      <w:r w:rsidR="006179D1" w:rsidRPr="00D3420B">
        <w:rPr>
          <w:bCs/>
        </w:rPr>
        <w:t>NSPS for Greenhouse Gas Emissions for New Electric Utility Generating Units (40 CFR Part 60, Subpart TTTT) (Renewal).</w:t>
      </w:r>
      <w:r w:rsidR="006179D1" w:rsidRPr="00D3420B" w:rsidDel="001C5A1D">
        <w:t xml:space="preserve"> </w:t>
      </w:r>
    </w:p>
    <w:p w14:paraId="47DC86B1" w14:textId="77777777" w:rsidR="0049327D" w:rsidRPr="00D3420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D3420B" w:rsidRDefault="0049327D" w:rsidP="00144F35">
      <w:pPr>
        <w:pBdr>
          <w:top w:val="single" w:sz="6" w:space="0" w:color="FFFFFF"/>
          <w:left w:val="single" w:sz="6" w:space="0" w:color="FFFFFF"/>
          <w:bottom w:val="single" w:sz="6" w:space="0" w:color="FFFFFF"/>
          <w:right w:val="single" w:sz="6" w:space="0" w:color="FFFFFF"/>
        </w:pBdr>
        <w:ind w:firstLine="720"/>
      </w:pPr>
      <w:r w:rsidRPr="00D3420B">
        <w:t>We assume that burdens for managerial tasks take 5% of the time required for technical tasks because the typical tasks for managers are to review and approve reports.</w:t>
      </w:r>
      <w:r w:rsidR="009C7E97" w:rsidRPr="00D3420B">
        <w:t xml:space="preserve"> </w:t>
      </w:r>
      <w:r w:rsidRPr="00D3420B">
        <w:t>Clerical burdens are assumed to take 10% of the time required for technical tasks because the typical duties of clerical staff are to proofread the reports, make copies and maintain records.</w:t>
      </w:r>
    </w:p>
    <w:p w14:paraId="7BFC7AF7"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6(f)</w:t>
      </w:r>
      <w:r w:rsidR="009C7E97" w:rsidRPr="00D3420B">
        <w:rPr>
          <w:b/>
          <w:bCs/>
        </w:rPr>
        <w:t xml:space="preserve"> </w:t>
      </w:r>
      <w:r w:rsidRPr="00D3420B">
        <w:rPr>
          <w:b/>
          <w:bCs/>
        </w:rPr>
        <w:t>Reasons for Change in Burden</w:t>
      </w:r>
    </w:p>
    <w:p w14:paraId="2CC29317"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23C42165" w14:textId="3B92574C" w:rsidR="00CA4CD6" w:rsidRPr="00D3420B" w:rsidRDefault="001B1C38" w:rsidP="00CE4204">
      <w:pPr>
        <w:pBdr>
          <w:top w:val="single" w:sz="6" w:space="0" w:color="FFFFFF"/>
          <w:left w:val="single" w:sz="6" w:space="0" w:color="FFFFFF"/>
          <w:bottom w:val="single" w:sz="6" w:space="0" w:color="FFFFFF"/>
          <w:right w:val="single" w:sz="6" w:space="0" w:color="FFFFFF"/>
        </w:pBdr>
        <w:ind w:firstLine="720"/>
      </w:pPr>
      <w:r w:rsidRPr="00D3420B">
        <w:t xml:space="preserve">There is an adjustment increase in the total estimated burden as currently identified in the OMB Inventory of Approved Burdens. </w:t>
      </w:r>
      <w:r w:rsidR="003A4388" w:rsidRPr="00D3420B">
        <w:t>The change in the burden and cost estimates occurred because the</w:t>
      </w:r>
      <w:r w:rsidR="009A6590">
        <w:t>se</w:t>
      </w:r>
      <w:r w:rsidR="003A4388" w:rsidRPr="00D3420B">
        <w:t xml:space="preserve"> standard</w:t>
      </w:r>
      <w:r w:rsidR="009A6590">
        <w:t>s</w:t>
      </w:r>
      <w:r w:rsidR="003A4388" w:rsidRPr="00D3420B">
        <w:t xml:space="preserve"> ha</w:t>
      </w:r>
      <w:r w:rsidR="009A6590">
        <w:t>ve</w:t>
      </w:r>
      <w:r w:rsidR="003A4388" w:rsidRPr="00D3420B">
        <w:t xml:space="preserve"> been in effect for more than three years. The previous ICR reflected those burdens and costs associated with the initial activities for subject facilities. This ICR, by in large, reflects the on-going burden and costs for existing facilities. This ICR also assumes that all existing respondents will spend up to 8 hours annually for review of the rule, and will continue to submit quarterly reports. </w:t>
      </w:r>
      <w:r w:rsidR="00CE4204" w:rsidRPr="00D3420B">
        <w:t xml:space="preserve">There </w:t>
      </w:r>
      <w:r w:rsidR="002B69B9" w:rsidRPr="00D3420B">
        <w:t>are no</w:t>
      </w:r>
      <w:r w:rsidR="00CE4204" w:rsidRPr="00D3420B">
        <w:t xml:space="preserve"> capital or operation and maintenance costs</w:t>
      </w:r>
      <w:r w:rsidR="002B69B9" w:rsidRPr="00D3420B">
        <w:t xml:space="preserve"> associated with th</w:t>
      </w:r>
      <w:r w:rsidR="009A6590">
        <w:t>ese</w:t>
      </w:r>
      <w:r w:rsidR="002B69B9" w:rsidRPr="00D3420B">
        <w:t xml:space="preserve"> </w:t>
      </w:r>
      <w:r w:rsidR="009A6590">
        <w:t xml:space="preserve">same </w:t>
      </w:r>
      <w:r w:rsidR="002B69B9" w:rsidRPr="00D3420B">
        <w:t>standard</w:t>
      </w:r>
      <w:r w:rsidR="009A6590">
        <w:t>s</w:t>
      </w:r>
      <w:r w:rsidR="00CE4204" w:rsidRPr="00D3420B">
        <w:t>.</w:t>
      </w:r>
    </w:p>
    <w:p w14:paraId="44E992F0" w14:textId="4D4FB002" w:rsidR="001B1C38" w:rsidRDefault="001B1C38">
      <w:pPr>
        <w:pBdr>
          <w:top w:val="single" w:sz="6" w:space="0" w:color="FFFFFF"/>
          <w:left w:val="single" w:sz="6" w:space="0" w:color="FFFFFF"/>
          <w:bottom w:val="single" w:sz="6" w:space="0" w:color="FFFFFF"/>
          <w:right w:val="single" w:sz="6" w:space="0" w:color="FFFFFF"/>
        </w:pBdr>
        <w:ind w:firstLine="720"/>
        <w:rPr>
          <w:b/>
          <w:bCs/>
        </w:rPr>
      </w:pPr>
    </w:p>
    <w:p w14:paraId="3641EEAB" w14:textId="4D8B7D6B"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rPr>
          <w:b/>
          <w:bCs/>
        </w:rPr>
        <w:t>6(g)</w:t>
      </w:r>
      <w:r w:rsidR="009C7E97" w:rsidRPr="00D3420B">
        <w:rPr>
          <w:b/>
          <w:bCs/>
        </w:rPr>
        <w:t xml:space="preserve"> </w:t>
      </w:r>
      <w:r w:rsidRPr="00D3420B">
        <w:rPr>
          <w:b/>
          <w:bCs/>
        </w:rPr>
        <w:t>Burden Statement</w:t>
      </w:r>
    </w:p>
    <w:p w14:paraId="1A6DDAD5"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0370E683" w14:textId="6889B052"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 xml:space="preserve">The annual public reporting and recordkeeping burden for this collection of information is estimated to average </w:t>
      </w:r>
      <w:r w:rsidR="00C433E5" w:rsidRPr="00D3420B">
        <w:t>2</w:t>
      </w:r>
      <w:r w:rsidR="00833B97" w:rsidRPr="00D3420B">
        <w:t>8</w:t>
      </w:r>
      <w:r w:rsidRPr="00D3420B">
        <w:t xml:space="preserve"> hours per response.</w:t>
      </w:r>
      <w:r w:rsidR="009C7E97" w:rsidRPr="00D3420B">
        <w:t xml:space="preserve"> </w:t>
      </w:r>
      <w:r w:rsidRPr="00D3420B">
        <w:t xml:space="preserve">Burden means the total time, effort, or financial resources expended by persons to generate, maintain, retain, or disclose or provide information </w:t>
      </w:r>
      <w:r w:rsidR="009A6590">
        <w:t xml:space="preserve">either </w:t>
      </w:r>
      <w:r w:rsidRPr="00D3420B">
        <w:t>to or for a Federal agency.</w:t>
      </w:r>
      <w:r w:rsidR="009C7E97" w:rsidRPr="00D3420B">
        <w:t xml:space="preserve"> </w:t>
      </w:r>
      <w:r w:rsidRPr="00D3420B">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D3420B" w:rsidRDefault="00CA4CD6">
      <w:pPr>
        <w:pBdr>
          <w:top w:val="single" w:sz="6" w:space="0" w:color="FFFFFF"/>
          <w:left w:val="single" w:sz="6" w:space="0" w:color="FFFFFF"/>
          <w:bottom w:val="single" w:sz="6" w:space="0" w:color="FFFFFF"/>
          <w:right w:val="single" w:sz="6" w:space="0" w:color="FFFFFF"/>
        </w:pBdr>
      </w:pPr>
    </w:p>
    <w:p w14:paraId="6B7CC239" w14:textId="782BD273" w:rsidR="00CA4CD6" w:rsidRPr="00D3420B" w:rsidRDefault="00CA4CD6">
      <w:pPr>
        <w:pBdr>
          <w:top w:val="single" w:sz="6" w:space="0" w:color="FFFFFF"/>
          <w:left w:val="single" w:sz="6" w:space="0" w:color="FFFFFF"/>
          <w:bottom w:val="single" w:sz="6" w:space="0" w:color="FFFFFF"/>
          <w:right w:val="single" w:sz="6" w:space="0" w:color="FFFFFF"/>
        </w:pBdr>
        <w:ind w:firstLine="720"/>
      </w:pPr>
      <w:r w:rsidRPr="00D3420B">
        <w:t>An agency may n</w:t>
      </w:r>
      <w:r w:rsidR="009A6590">
        <w:t>either</w:t>
      </w:r>
      <w:r w:rsidRPr="00D3420B">
        <w:t xml:space="preserve"> conduct </w:t>
      </w:r>
      <w:r w:rsidR="009A6590">
        <w:t>n</w:t>
      </w:r>
      <w:r w:rsidRPr="00D3420B">
        <w:t xml:space="preserve">or sponsor, and a person is not required to respond to, </w:t>
      </w:r>
      <w:r w:rsidR="009A6590">
        <w:t xml:space="preserve">  </w:t>
      </w:r>
      <w:r w:rsidRPr="00D3420B">
        <w:t>a collection of information unless it displays a valid OMB Control Number.</w:t>
      </w:r>
      <w:r w:rsidR="009C7E97" w:rsidRPr="00D3420B">
        <w:t xml:space="preserve"> </w:t>
      </w:r>
      <w:r w:rsidRPr="00D3420B">
        <w:t>The OMB Control Numbers for EPA</w:t>
      </w:r>
      <w:r w:rsidR="00906EDB" w:rsidRPr="00D3420B">
        <w:t xml:space="preserve"> </w:t>
      </w:r>
      <w:r w:rsidRPr="00D3420B">
        <w:t xml:space="preserve">regulations are listed at 40 CFR </w:t>
      </w:r>
      <w:r w:rsidR="00377D7F" w:rsidRPr="00D3420B">
        <w:t xml:space="preserve">Part </w:t>
      </w:r>
      <w:r w:rsidRPr="00D3420B">
        <w:t xml:space="preserve">9 and 48 CFR </w:t>
      </w:r>
      <w:r w:rsidR="00377D7F" w:rsidRPr="00D3420B">
        <w:t xml:space="preserve">Chapter </w:t>
      </w:r>
      <w:r w:rsidRPr="00D3420B">
        <w:t>15.</w:t>
      </w:r>
    </w:p>
    <w:p w14:paraId="2C33F27B" w14:textId="77777777" w:rsidR="006741F7" w:rsidRPr="00D3420B" w:rsidRDefault="006741F7" w:rsidP="00354C15"/>
    <w:p w14:paraId="5FEA1034" w14:textId="55DA4F10" w:rsidR="00354C15" w:rsidRPr="00D3420B" w:rsidRDefault="00FB0650" w:rsidP="00354C15">
      <w:r w:rsidRPr="00D3420B">
        <w:tab/>
      </w:r>
      <w:r w:rsidR="00CA4CD6" w:rsidRPr="00D3420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D3420B">
        <w:t>EPA-HQ-OECA-</w:t>
      </w:r>
      <w:bookmarkStart w:id="4" w:name="_Hlk4139921"/>
      <w:r w:rsidR="00CB7A05" w:rsidRPr="00D3420B">
        <w:t>2018-0249</w:t>
      </w:r>
      <w:bookmarkEnd w:id="4"/>
      <w:r w:rsidR="00CB7A05" w:rsidRPr="00D3420B">
        <w:t xml:space="preserve">. </w:t>
      </w:r>
      <w:r w:rsidR="00354C15" w:rsidRPr="00D3420B">
        <w:t xml:space="preserve">An electronic version of the public docket is available at </w:t>
      </w:r>
      <w:hyperlink r:id="rId10" w:history="1">
        <w:r w:rsidR="00377D7F" w:rsidRPr="00D3420B">
          <w:rPr>
            <w:rStyle w:val="Hyperlink"/>
            <w:color w:val="auto"/>
          </w:rPr>
          <w:t>http://www.regulations.gov/</w:t>
        </w:r>
      </w:hyperlink>
      <w:r w:rsidR="009A6590">
        <w:rPr>
          <w:rStyle w:val="Hyperlink"/>
          <w:color w:val="auto"/>
        </w:rPr>
        <w:t>,</w:t>
      </w:r>
      <w:r w:rsidR="00377D7F" w:rsidRPr="00D3420B">
        <w:t xml:space="preserve"> </w:t>
      </w:r>
      <w:r w:rsidR="00354C15" w:rsidRPr="00D3420B">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D3420B">
        <w:t xml:space="preserve"> </w:t>
      </w:r>
      <w:r w:rsidR="00354C15" w:rsidRPr="00D3420B">
        <w:t>When in the system</w:t>
      </w:r>
      <w:r w:rsidR="00354C15" w:rsidRPr="00D3420B">
        <w:rPr>
          <w:rStyle w:val="1"/>
        </w:rPr>
        <w:t>, select “search,” then key in the docket ID number identified in this document.</w:t>
      </w:r>
      <w:r w:rsidR="009C7E97" w:rsidRPr="00D3420B">
        <w:rPr>
          <w:rStyle w:val="1"/>
        </w:rPr>
        <w:t xml:space="preserve"> </w:t>
      </w:r>
      <w:r w:rsidR="00354C15" w:rsidRPr="00D3420B">
        <w:rPr>
          <w:rStyle w:val="1"/>
        </w:rPr>
        <w:t xml:space="preserve">The documents are also </w:t>
      </w:r>
      <w:r w:rsidR="00CA4CD6" w:rsidRPr="00D3420B">
        <w:t xml:space="preserve">available for public viewing at the Enforcement and Compliance Docket and Information Center in the EPA Docket Center (EPA/DC), </w:t>
      </w:r>
      <w:r w:rsidR="009A6590">
        <w:t>WJC</w:t>
      </w:r>
      <w:r w:rsidR="00D95819" w:rsidRPr="00D3420B">
        <w:t xml:space="preserve"> West, Room 3334</w:t>
      </w:r>
      <w:r w:rsidR="00CA4CD6" w:rsidRPr="00D3420B">
        <w:t>, 1301 Constitution Ave., NW, Washington, DC.</w:t>
      </w:r>
      <w:r w:rsidR="009C7E97" w:rsidRPr="00D3420B">
        <w:t xml:space="preserve"> </w:t>
      </w:r>
      <w:r w:rsidR="00CA4CD6" w:rsidRPr="00D3420B">
        <w:t>The EPA Docket Center Public Reading Room is open from 8:30 a.m. to 4:30 p.m., Monday through Friday, excluding legal holidays.</w:t>
      </w:r>
      <w:r w:rsidR="009C7E97" w:rsidRPr="00D3420B">
        <w:t xml:space="preserve"> </w:t>
      </w:r>
      <w:r w:rsidR="00CA4CD6" w:rsidRPr="00D3420B">
        <w:t xml:space="preserve">The telephone number for the Reading Room is (202) 566-1744, and the telephone number </w:t>
      </w:r>
      <w:r w:rsidR="00354C15" w:rsidRPr="00D3420B">
        <w:t>for the docket center i</w:t>
      </w:r>
      <w:r w:rsidR="00CA4CD6" w:rsidRPr="00D3420B">
        <w:t>s (202) 566-</w:t>
      </w:r>
      <w:r w:rsidR="00850ACF" w:rsidRPr="00D3420B">
        <w:t>17</w:t>
      </w:r>
      <w:r w:rsidR="009A6590">
        <w:t>52</w:t>
      </w:r>
      <w:r w:rsidR="00354C15" w:rsidRPr="00D3420B">
        <w:t>.</w:t>
      </w:r>
      <w:r w:rsidR="009C7E97" w:rsidRPr="00D3420B">
        <w:t xml:space="preserve"> </w:t>
      </w:r>
      <w:r w:rsidR="00CA4CD6" w:rsidRPr="00D3420B">
        <w:t>Also, you can send comments to the Office of Information and Regulatory Affairs, Office of Management and Budget, 725 17th Street, NW, Washington, DC 20503, Attention: Desk Officer for EPA.</w:t>
      </w:r>
      <w:r w:rsidR="009C7E97" w:rsidRPr="00D3420B">
        <w:t xml:space="preserve"> </w:t>
      </w:r>
      <w:r w:rsidR="00CA4CD6" w:rsidRPr="00D3420B">
        <w:t xml:space="preserve">Please include the EPA Docket ID Number </w:t>
      </w:r>
      <w:r w:rsidR="00144A82" w:rsidRPr="00D3420B">
        <w:t>EPA-HQ-OECA-</w:t>
      </w:r>
      <w:r w:rsidR="00CB7A05" w:rsidRPr="00D3420B">
        <w:t xml:space="preserve">2018-0249 </w:t>
      </w:r>
      <w:r w:rsidR="00CA4CD6" w:rsidRPr="00D3420B">
        <w:t>and OMB Control Number</w:t>
      </w:r>
      <w:r w:rsidR="005B5E3B" w:rsidRPr="00D3420B">
        <w:t>s</w:t>
      </w:r>
      <w:r w:rsidR="00CA4CD6" w:rsidRPr="00D3420B">
        <w:t xml:space="preserve"> </w:t>
      </w:r>
      <w:r w:rsidR="005B5E3B" w:rsidRPr="00D3420B">
        <w:t>2060-0626 and 2060-0629</w:t>
      </w:r>
      <w:r w:rsidR="005B5E3B" w:rsidRPr="00D3420B" w:rsidDel="005B5E3B">
        <w:t xml:space="preserve"> </w:t>
      </w:r>
      <w:r w:rsidR="00CA4CD6" w:rsidRPr="00D3420B">
        <w:t xml:space="preserve"> in any correspondence. </w:t>
      </w:r>
    </w:p>
    <w:p w14:paraId="317C8B96" w14:textId="77777777" w:rsidR="00F340DF" w:rsidRPr="00D3420B" w:rsidRDefault="00F340DF" w:rsidP="00F340DF">
      <w:pPr>
        <w:rPr>
          <w:rStyle w:val="1"/>
          <w:rFonts w:ascii="WP TypographicSymbols" w:hAnsi="WP TypographicSymbols" w:cs="WP TypographicSymbols"/>
        </w:rPr>
      </w:pPr>
    </w:p>
    <w:p w14:paraId="1203B42A" w14:textId="77777777" w:rsidR="00F340DF" w:rsidRPr="00D3420B" w:rsidRDefault="00CA4CD6" w:rsidP="00504745">
      <w:pPr>
        <w:outlineLvl w:val="0"/>
        <w:rPr>
          <w:b/>
          <w:bCs/>
        </w:rPr>
      </w:pPr>
      <w:r w:rsidRPr="00D3420B">
        <w:rPr>
          <w:b/>
          <w:bCs/>
        </w:rPr>
        <w:t>Part B of the Supporting Statement</w:t>
      </w:r>
    </w:p>
    <w:p w14:paraId="33236B5A" w14:textId="77777777" w:rsidR="00F340DF" w:rsidRPr="00D3420B" w:rsidRDefault="00F340DF" w:rsidP="00F340DF">
      <w:pPr>
        <w:rPr>
          <w:b/>
          <w:bCs/>
        </w:rPr>
      </w:pPr>
    </w:p>
    <w:p w14:paraId="70DA2918" w14:textId="77777777" w:rsidR="00CA4CD6" w:rsidRPr="00D3420B" w:rsidRDefault="00CA4CD6" w:rsidP="00F340DF">
      <w:r w:rsidRPr="00D3420B">
        <w:t>This part is not applicable because no statistical methods were used in collecting this information.</w:t>
      </w:r>
    </w:p>
    <w:p w14:paraId="7C676FE8" w14:textId="77777777" w:rsidR="00144F35" w:rsidRPr="00D3420B" w:rsidRDefault="00144F35" w:rsidP="00F340DF">
      <w:pPr>
        <w:sectPr w:rsidR="00144F35" w:rsidRPr="00D3420B"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37BC6491" w:rsidR="00144F35" w:rsidRPr="00D3420B" w:rsidRDefault="00144F35" w:rsidP="004002B7">
      <w:pPr>
        <w:ind w:left="-450" w:right="-180"/>
        <w:outlineLvl w:val="0"/>
        <w:rPr>
          <w:b/>
          <w:bCs/>
        </w:rPr>
      </w:pPr>
      <w:r w:rsidRPr="00D3420B">
        <w:rPr>
          <w:b/>
          <w:bCs/>
        </w:rPr>
        <w:t xml:space="preserve">Table 1: Annual Respondent Burden and Cost – </w:t>
      </w:r>
      <w:r w:rsidR="00C433E5" w:rsidRPr="00D3420B">
        <w:rPr>
          <w:b/>
          <w:bCs/>
        </w:rPr>
        <w:t>NSPS for GHG Emissions for Newly Constructed, Modified, and Reconstructed EGUs (40 CFR part 60, subpart TTTT)</w:t>
      </w:r>
    </w:p>
    <w:tbl>
      <w:tblPr>
        <w:tblW w:w="139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1270"/>
        <w:gridCol w:w="1350"/>
        <w:gridCol w:w="1417"/>
        <w:gridCol w:w="1373"/>
        <w:gridCol w:w="1044"/>
        <w:gridCol w:w="1170"/>
        <w:gridCol w:w="1350"/>
        <w:gridCol w:w="1011"/>
        <w:gridCol w:w="1249"/>
        <w:gridCol w:w="26"/>
      </w:tblGrid>
      <w:tr w:rsidR="004002B7" w:rsidRPr="00FB0456" w14:paraId="5CF47861" w14:textId="77777777" w:rsidTr="004002B7">
        <w:trPr>
          <w:gridAfter w:val="1"/>
          <w:wAfter w:w="26" w:type="dxa"/>
          <w:trHeight w:val="1259"/>
        </w:trPr>
        <w:tc>
          <w:tcPr>
            <w:tcW w:w="2690" w:type="dxa"/>
            <w:shd w:val="clear" w:color="auto" w:fill="auto"/>
            <w:vAlign w:val="center"/>
            <w:hideMark/>
          </w:tcPr>
          <w:p w14:paraId="34ABDF43" w14:textId="77777777" w:rsidR="004002B7" w:rsidRPr="00FB0456" w:rsidRDefault="004002B7" w:rsidP="003A4388">
            <w:pPr>
              <w:widowControl/>
              <w:autoSpaceDE/>
              <w:autoSpaceDN/>
              <w:adjustRightInd/>
              <w:jc w:val="center"/>
              <w:rPr>
                <w:b/>
                <w:bCs/>
                <w:sz w:val="20"/>
                <w:szCs w:val="20"/>
              </w:rPr>
            </w:pPr>
            <w:r w:rsidRPr="00FB0456">
              <w:rPr>
                <w:b/>
                <w:bCs/>
                <w:sz w:val="20"/>
                <w:szCs w:val="20"/>
              </w:rPr>
              <w:t> </w:t>
            </w:r>
          </w:p>
        </w:tc>
        <w:tc>
          <w:tcPr>
            <w:tcW w:w="1270" w:type="dxa"/>
            <w:shd w:val="clear" w:color="auto" w:fill="auto"/>
            <w:vAlign w:val="center"/>
            <w:hideMark/>
          </w:tcPr>
          <w:p w14:paraId="3AFCB96D" w14:textId="77777777" w:rsidR="004002B7" w:rsidRPr="00FB0456" w:rsidRDefault="004002B7" w:rsidP="003A4388">
            <w:pPr>
              <w:widowControl/>
              <w:autoSpaceDE/>
              <w:autoSpaceDN/>
              <w:adjustRightInd/>
              <w:jc w:val="center"/>
              <w:rPr>
                <w:b/>
                <w:bCs/>
                <w:sz w:val="20"/>
                <w:szCs w:val="20"/>
              </w:rPr>
            </w:pPr>
            <w:r w:rsidRPr="00FB0456">
              <w:rPr>
                <w:b/>
                <w:bCs/>
                <w:sz w:val="20"/>
                <w:szCs w:val="20"/>
              </w:rPr>
              <w:t>(A)</w:t>
            </w:r>
            <w:r w:rsidRPr="00FB0456">
              <w:rPr>
                <w:b/>
                <w:bCs/>
                <w:sz w:val="20"/>
                <w:szCs w:val="20"/>
              </w:rPr>
              <w:br/>
              <w:t>Hours per Occurrence</w:t>
            </w:r>
          </w:p>
          <w:p w14:paraId="40A0EDFF" w14:textId="0C624CFD" w:rsidR="004002B7" w:rsidRPr="00FB0456" w:rsidRDefault="004002B7" w:rsidP="003A4388">
            <w:pPr>
              <w:rPr>
                <w:b/>
                <w:bCs/>
                <w:sz w:val="20"/>
                <w:szCs w:val="20"/>
              </w:rPr>
            </w:pPr>
            <w:r w:rsidRPr="00FB0456">
              <w:rPr>
                <w:sz w:val="20"/>
                <w:szCs w:val="20"/>
              </w:rPr>
              <w:t> </w:t>
            </w:r>
          </w:p>
        </w:tc>
        <w:tc>
          <w:tcPr>
            <w:tcW w:w="1350" w:type="dxa"/>
            <w:shd w:val="clear" w:color="auto" w:fill="auto"/>
            <w:vAlign w:val="center"/>
            <w:hideMark/>
          </w:tcPr>
          <w:p w14:paraId="6639099A" w14:textId="77777777" w:rsidR="004002B7" w:rsidRPr="00FB0456" w:rsidRDefault="004002B7" w:rsidP="003A4388">
            <w:pPr>
              <w:widowControl/>
              <w:autoSpaceDE/>
              <w:autoSpaceDN/>
              <w:adjustRightInd/>
              <w:jc w:val="center"/>
              <w:rPr>
                <w:b/>
                <w:bCs/>
                <w:sz w:val="20"/>
                <w:szCs w:val="20"/>
              </w:rPr>
            </w:pPr>
            <w:r w:rsidRPr="00FB0456">
              <w:rPr>
                <w:b/>
                <w:bCs/>
                <w:sz w:val="20"/>
                <w:szCs w:val="20"/>
              </w:rPr>
              <w:t xml:space="preserve"> (B)  Occurrences/ Respondent/ Year</w:t>
            </w:r>
          </w:p>
          <w:p w14:paraId="78D7359C" w14:textId="3532490A" w:rsidR="004002B7" w:rsidRPr="00FB0456" w:rsidRDefault="004002B7" w:rsidP="003A4388">
            <w:pPr>
              <w:rPr>
                <w:b/>
                <w:bCs/>
                <w:sz w:val="20"/>
                <w:szCs w:val="20"/>
              </w:rPr>
            </w:pPr>
            <w:r w:rsidRPr="00FB0456">
              <w:rPr>
                <w:b/>
                <w:bCs/>
                <w:sz w:val="20"/>
                <w:szCs w:val="20"/>
              </w:rPr>
              <w:t> </w:t>
            </w:r>
          </w:p>
        </w:tc>
        <w:tc>
          <w:tcPr>
            <w:tcW w:w="1417" w:type="dxa"/>
            <w:shd w:val="clear" w:color="auto" w:fill="auto"/>
            <w:vAlign w:val="center"/>
            <w:hideMark/>
          </w:tcPr>
          <w:p w14:paraId="001DE6CC" w14:textId="77777777" w:rsidR="004002B7" w:rsidRPr="00FB0456" w:rsidRDefault="004002B7" w:rsidP="003A4388">
            <w:pPr>
              <w:widowControl/>
              <w:autoSpaceDE/>
              <w:autoSpaceDN/>
              <w:adjustRightInd/>
              <w:jc w:val="center"/>
              <w:rPr>
                <w:b/>
                <w:bCs/>
                <w:sz w:val="20"/>
                <w:szCs w:val="20"/>
              </w:rPr>
            </w:pPr>
            <w:r w:rsidRPr="00FB0456">
              <w:rPr>
                <w:b/>
                <w:bCs/>
                <w:sz w:val="20"/>
                <w:szCs w:val="20"/>
              </w:rPr>
              <w:t>(C)</w:t>
            </w:r>
            <w:r w:rsidRPr="00FB0456">
              <w:rPr>
                <w:b/>
                <w:bCs/>
                <w:sz w:val="20"/>
                <w:szCs w:val="20"/>
              </w:rPr>
              <w:br/>
              <w:t>Hours/ Respondent/</w:t>
            </w:r>
            <w:r w:rsidRPr="00FB0456">
              <w:rPr>
                <w:b/>
                <w:bCs/>
                <w:sz w:val="20"/>
                <w:szCs w:val="20"/>
              </w:rPr>
              <w:br/>
              <w:t xml:space="preserve">Year </w:t>
            </w:r>
          </w:p>
          <w:p w14:paraId="7330AA0A" w14:textId="162BBD7C" w:rsidR="004002B7" w:rsidRPr="00FB0456" w:rsidRDefault="004002B7" w:rsidP="003A4388">
            <w:pPr>
              <w:jc w:val="center"/>
              <w:rPr>
                <w:b/>
                <w:bCs/>
                <w:sz w:val="20"/>
                <w:szCs w:val="20"/>
              </w:rPr>
            </w:pPr>
            <w:r w:rsidRPr="00FB0456">
              <w:rPr>
                <w:b/>
                <w:bCs/>
                <w:sz w:val="20"/>
                <w:szCs w:val="20"/>
              </w:rPr>
              <w:t>(A x B)</w:t>
            </w:r>
          </w:p>
        </w:tc>
        <w:tc>
          <w:tcPr>
            <w:tcW w:w="1373" w:type="dxa"/>
            <w:shd w:val="clear" w:color="auto" w:fill="auto"/>
            <w:vAlign w:val="center"/>
            <w:hideMark/>
          </w:tcPr>
          <w:p w14:paraId="0321F59F" w14:textId="3100C1D8" w:rsidR="004002B7" w:rsidRPr="00FB0456" w:rsidRDefault="004002B7" w:rsidP="003A4388">
            <w:pPr>
              <w:widowControl/>
              <w:autoSpaceDE/>
              <w:autoSpaceDN/>
              <w:adjustRightInd/>
              <w:jc w:val="center"/>
              <w:rPr>
                <w:b/>
                <w:bCs/>
                <w:sz w:val="20"/>
                <w:szCs w:val="20"/>
              </w:rPr>
            </w:pPr>
            <w:r w:rsidRPr="00FB0456">
              <w:rPr>
                <w:b/>
                <w:bCs/>
                <w:sz w:val="20"/>
                <w:szCs w:val="20"/>
              </w:rPr>
              <w:t>(D)  Respondents/ Year</w:t>
            </w:r>
            <w:r>
              <w:rPr>
                <w:b/>
                <w:bCs/>
                <w:sz w:val="20"/>
                <w:szCs w:val="20"/>
              </w:rPr>
              <w:t xml:space="preserve"> </w:t>
            </w:r>
            <w:r w:rsidRPr="00FB0456">
              <w:rPr>
                <w:b/>
                <w:bCs/>
                <w:sz w:val="20"/>
                <w:szCs w:val="20"/>
                <w:vertAlign w:val="superscript"/>
              </w:rPr>
              <w:t>a</w:t>
            </w:r>
          </w:p>
          <w:p w14:paraId="2CF831F4" w14:textId="48D8749B" w:rsidR="004002B7" w:rsidRPr="00FB0456" w:rsidRDefault="004002B7" w:rsidP="003A4388">
            <w:pPr>
              <w:rPr>
                <w:b/>
                <w:bCs/>
                <w:sz w:val="20"/>
                <w:szCs w:val="20"/>
              </w:rPr>
            </w:pPr>
            <w:r w:rsidRPr="00FB0456">
              <w:rPr>
                <w:b/>
                <w:bCs/>
                <w:sz w:val="20"/>
                <w:szCs w:val="20"/>
              </w:rPr>
              <w:t> </w:t>
            </w:r>
          </w:p>
        </w:tc>
        <w:tc>
          <w:tcPr>
            <w:tcW w:w="1044" w:type="dxa"/>
            <w:shd w:val="clear" w:color="auto" w:fill="auto"/>
            <w:vAlign w:val="center"/>
            <w:hideMark/>
          </w:tcPr>
          <w:p w14:paraId="5C302B2C" w14:textId="77777777" w:rsidR="004002B7" w:rsidRPr="00FB0456" w:rsidRDefault="004002B7" w:rsidP="003A4388">
            <w:pPr>
              <w:widowControl/>
              <w:autoSpaceDE/>
              <w:autoSpaceDN/>
              <w:adjustRightInd/>
              <w:jc w:val="center"/>
              <w:rPr>
                <w:b/>
                <w:bCs/>
                <w:sz w:val="20"/>
                <w:szCs w:val="20"/>
              </w:rPr>
            </w:pPr>
            <w:r w:rsidRPr="00FB0456">
              <w:rPr>
                <w:b/>
                <w:bCs/>
                <w:sz w:val="20"/>
                <w:szCs w:val="20"/>
              </w:rPr>
              <w:t>(E)</w:t>
            </w:r>
            <w:r w:rsidRPr="00FB0456">
              <w:rPr>
                <w:b/>
                <w:bCs/>
                <w:sz w:val="20"/>
                <w:szCs w:val="20"/>
              </w:rPr>
              <w:br/>
              <w:t>Total Hours/ Year</w:t>
            </w:r>
          </w:p>
          <w:p w14:paraId="48A11BE8" w14:textId="3EF52D4C" w:rsidR="004002B7" w:rsidRPr="00FB0456" w:rsidRDefault="004002B7" w:rsidP="003A4388">
            <w:pPr>
              <w:jc w:val="center"/>
              <w:rPr>
                <w:b/>
                <w:bCs/>
                <w:sz w:val="20"/>
                <w:szCs w:val="20"/>
              </w:rPr>
            </w:pPr>
            <w:r w:rsidRPr="00FB0456">
              <w:rPr>
                <w:b/>
                <w:bCs/>
                <w:sz w:val="20"/>
                <w:szCs w:val="20"/>
              </w:rPr>
              <w:t>(C x D)</w:t>
            </w:r>
          </w:p>
        </w:tc>
        <w:tc>
          <w:tcPr>
            <w:tcW w:w="1170" w:type="dxa"/>
            <w:shd w:val="clear" w:color="auto" w:fill="auto"/>
            <w:vAlign w:val="center"/>
            <w:hideMark/>
          </w:tcPr>
          <w:p w14:paraId="5C9C7C4C" w14:textId="77777777" w:rsidR="004002B7" w:rsidRPr="00FB0456" w:rsidRDefault="004002B7" w:rsidP="003A4388">
            <w:pPr>
              <w:widowControl/>
              <w:autoSpaceDE/>
              <w:autoSpaceDN/>
              <w:adjustRightInd/>
              <w:jc w:val="center"/>
              <w:rPr>
                <w:b/>
                <w:bCs/>
                <w:sz w:val="20"/>
                <w:szCs w:val="20"/>
              </w:rPr>
            </w:pPr>
            <w:r w:rsidRPr="00FB0456">
              <w:rPr>
                <w:b/>
                <w:bCs/>
                <w:sz w:val="20"/>
                <w:szCs w:val="20"/>
              </w:rPr>
              <w:t>(F)  Technical Hours/ Year</w:t>
            </w:r>
          </w:p>
          <w:p w14:paraId="67B86AF2" w14:textId="7A59585B" w:rsidR="004002B7" w:rsidRPr="00FB0456" w:rsidRDefault="004002B7" w:rsidP="003A4388">
            <w:pPr>
              <w:jc w:val="center"/>
              <w:rPr>
                <w:b/>
                <w:bCs/>
                <w:sz w:val="20"/>
                <w:szCs w:val="20"/>
              </w:rPr>
            </w:pPr>
            <w:r w:rsidRPr="00FB0456">
              <w:rPr>
                <w:b/>
                <w:bCs/>
                <w:sz w:val="20"/>
                <w:szCs w:val="20"/>
              </w:rPr>
              <w:t>(C x D)</w:t>
            </w:r>
          </w:p>
        </w:tc>
        <w:tc>
          <w:tcPr>
            <w:tcW w:w="1350" w:type="dxa"/>
            <w:shd w:val="clear" w:color="auto" w:fill="auto"/>
            <w:vAlign w:val="center"/>
            <w:hideMark/>
          </w:tcPr>
          <w:p w14:paraId="07E88A62" w14:textId="77777777" w:rsidR="004002B7" w:rsidRPr="00FB0456" w:rsidRDefault="004002B7" w:rsidP="003A4388">
            <w:pPr>
              <w:widowControl/>
              <w:autoSpaceDE/>
              <w:autoSpaceDN/>
              <w:adjustRightInd/>
              <w:jc w:val="center"/>
              <w:rPr>
                <w:b/>
                <w:bCs/>
                <w:sz w:val="20"/>
                <w:szCs w:val="20"/>
              </w:rPr>
            </w:pPr>
            <w:r w:rsidRPr="00FB0456">
              <w:rPr>
                <w:b/>
                <w:bCs/>
                <w:sz w:val="20"/>
                <w:szCs w:val="20"/>
              </w:rPr>
              <w:t>(G)</w:t>
            </w:r>
            <w:r w:rsidRPr="00FB0456">
              <w:rPr>
                <w:b/>
                <w:bCs/>
                <w:sz w:val="20"/>
                <w:szCs w:val="20"/>
              </w:rPr>
              <w:br/>
              <w:t>Managerial Hours/</w:t>
            </w:r>
          </w:p>
          <w:p w14:paraId="1ABDAFE0" w14:textId="77777777" w:rsidR="004002B7" w:rsidRPr="00FB0456" w:rsidRDefault="004002B7" w:rsidP="003A4388">
            <w:pPr>
              <w:widowControl/>
              <w:autoSpaceDE/>
              <w:autoSpaceDN/>
              <w:adjustRightInd/>
              <w:jc w:val="center"/>
              <w:rPr>
                <w:b/>
                <w:bCs/>
                <w:sz w:val="20"/>
                <w:szCs w:val="20"/>
              </w:rPr>
            </w:pPr>
            <w:r w:rsidRPr="00FB0456">
              <w:rPr>
                <w:b/>
                <w:bCs/>
                <w:sz w:val="20"/>
                <w:szCs w:val="20"/>
              </w:rPr>
              <w:t>Year</w:t>
            </w:r>
          </w:p>
          <w:p w14:paraId="28EBB3B0" w14:textId="7A10F0B9" w:rsidR="004002B7" w:rsidRPr="00FB0456" w:rsidRDefault="004002B7" w:rsidP="003A4388">
            <w:pPr>
              <w:jc w:val="center"/>
              <w:rPr>
                <w:b/>
                <w:bCs/>
                <w:sz w:val="20"/>
                <w:szCs w:val="20"/>
              </w:rPr>
            </w:pPr>
            <w:r w:rsidRPr="00FB0456">
              <w:rPr>
                <w:b/>
                <w:bCs/>
                <w:sz w:val="20"/>
                <w:szCs w:val="20"/>
              </w:rPr>
              <w:t>(E x .05)</w:t>
            </w:r>
          </w:p>
        </w:tc>
        <w:tc>
          <w:tcPr>
            <w:tcW w:w="1011" w:type="dxa"/>
            <w:shd w:val="clear" w:color="auto" w:fill="auto"/>
            <w:vAlign w:val="center"/>
            <w:hideMark/>
          </w:tcPr>
          <w:p w14:paraId="373713FD" w14:textId="628234DD" w:rsidR="004002B7" w:rsidRPr="00FB0456" w:rsidRDefault="004002B7" w:rsidP="003A4388">
            <w:pPr>
              <w:widowControl/>
              <w:autoSpaceDE/>
              <w:autoSpaceDN/>
              <w:adjustRightInd/>
              <w:jc w:val="center"/>
              <w:rPr>
                <w:b/>
                <w:bCs/>
                <w:sz w:val="20"/>
                <w:szCs w:val="20"/>
              </w:rPr>
            </w:pPr>
            <w:r w:rsidRPr="00FB0456">
              <w:rPr>
                <w:b/>
                <w:bCs/>
                <w:sz w:val="20"/>
                <w:szCs w:val="20"/>
              </w:rPr>
              <w:t>(H)</w:t>
            </w:r>
            <w:r w:rsidRPr="00FB0456">
              <w:rPr>
                <w:b/>
                <w:bCs/>
                <w:sz w:val="20"/>
                <w:szCs w:val="20"/>
              </w:rPr>
              <w:br/>
              <w:t>Clerical Hours/</w:t>
            </w:r>
            <w:r>
              <w:rPr>
                <w:b/>
                <w:bCs/>
                <w:sz w:val="20"/>
                <w:szCs w:val="20"/>
              </w:rPr>
              <w:t xml:space="preserve"> </w:t>
            </w:r>
            <w:r w:rsidRPr="00FB0456">
              <w:rPr>
                <w:b/>
                <w:bCs/>
                <w:sz w:val="20"/>
                <w:szCs w:val="20"/>
              </w:rPr>
              <w:t>Year</w:t>
            </w:r>
          </w:p>
          <w:p w14:paraId="75591E62" w14:textId="5706B4DD" w:rsidR="004002B7" w:rsidRPr="00FB0456" w:rsidRDefault="004002B7" w:rsidP="003A4388">
            <w:pPr>
              <w:jc w:val="center"/>
              <w:rPr>
                <w:b/>
                <w:bCs/>
                <w:sz w:val="20"/>
                <w:szCs w:val="20"/>
              </w:rPr>
            </w:pPr>
            <w:r w:rsidRPr="00FB0456">
              <w:rPr>
                <w:b/>
                <w:bCs/>
                <w:sz w:val="20"/>
                <w:szCs w:val="20"/>
              </w:rPr>
              <w:t xml:space="preserve">(E x .10) </w:t>
            </w:r>
          </w:p>
        </w:tc>
        <w:tc>
          <w:tcPr>
            <w:tcW w:w="1249" w:type="dxa"/>
            <w:shd w:val="clear" w:color="auto" w:fill="auto"/>
            <w:vAlign w:val="center"/>
            <w:hideMark/>
          </w:tcPr>
          <w:p w14:paraId="30EA889C" w14:textId="0519408E" w:rsidR="004002B7" w:rsidRPr="00FB0456" w:rsidRDefault="004002B7" w:rsidP="003A4388">
            <w:pPr>
              <w:widowControl/>
              <w:autoSpaceDE/>
              <w:autoSpaceDN/>
              <w:adjustRightInd/>
              <w:jc w:val="center"/>
              <w:rPr>
                <w:b/>
                <w:bCs/>
                <w:sz w:val="20"/>
                <w:szCs w:val="20"/>
              </w:rPr>
            </w:pPr>
            <w:r w:rsidRPr="00FB0456">
              <w:rPr>
                <w:b/>
                <w:bCs/>
                <w:sz w:val="20"/>
                <w:szCs w:val="20"/>
              </w:rPr>
              <w:t>(H)</w:t>
            </w:r>
            <w:r w:rsidRPr="00FB0456">
              <w:rPr>
                <w:b/>
                <w:bCs/>
                <w:sz w:val="20"/>
                <w:szCs w:val="20"/>
              </w:rPr>
              <w:br/>
              <w:t>Cost/ Year</w:t>
            </w:r>
            <w:r>
              <w:rPr>
                <w:b/>
                <w:bCs/>
                <w:sz w:val="20"/>
                <w:szCs w:val="20"/>
              </w:rPr>
              <w:t xml:space="preserve"> </w:t>
            </w:r>
            <w:r w:rsidRPr="00FB0456">
              <w:rPr>
                <w:b/>
                <w:bCs/>
                <w:sz w:val="20"/>
                <w:szCs w:val="20"/>
                <w:vertAlign w:val="superscript"/>
              </w:rPr>
              <w:t>c</w:t>
            </w:r>
          </w:p>
          <w:p w14:paraId="76EF7F53" w14:textId="3087836B" w:rsidR="004002B7" w:rsidRPr="00FB0456" w:rsidRDefault="004002B7" w:rsidP="003A4388">
            <w:pPr>
              <w:rPr>
                <w:b/>
                <w:bCs/>
                <w:sz w:val="20"/>
                <w:szCs w:val="20"/>
              </w:rPr>
            </w:pPr>
            <w:r w:rsidRPr="00FB0456">
              <w:rPr>
                <w:sz w:val="20"/>
                <w:szCs w:val="20"/>
              </w:rPr>
              <w:t> </w:t>
            </w:r>
          </w:p>
        </w:tc>
      </w:tr>
      <w:tr w:rsidR="003A4388" w:rsidRPr="00FB0456" w14:paraId="00276A35" w14:textId="77777777" w:rsidTr="004002B7">
        <w:trPr>
          <w:gridAfter w:val="1"/>
          <w:wAfter w:w="26" w:type="dxa"/>
          <w:trHeight w:val="260"/>
        </w:trPr>
        <w:tc>
          <w:tcPr>
            <w:tcW w:w="2690" w:type="dxa"/>
            <w:shd w:val="clear" w:color="auto" w:fill="auto"/>
            <w:vAlign w:val="center"/>
            <w:hideMark/>
          </w:tcPr>
          <w:p w14:paraId="37CC6C3F" w14:textId="77777777" w:rsidR="003A4388" w:rsidRPr="00FB0456" w:rsidRDefault="003A4388" w:rsidP="003A4388">
            <w:pPr>
              <w:widowControl/>
              <w:autoSpaceDE/>
              <w:autoSpaceDN/>
              <w:adjustRightInd/>
              <w:rPr>
                <w:sz w:val="20"/>
                <w:szCs w:val="20"/>
              </w:rPr>
            </w:pPr>
            <w:r w:rsidRPr="00FB0456">
              <w:rPr>
                <w:sz w:val="20"/>
                <w:szCs w:val="20"/>
              </w:rPr>
              <w:t>1. Applications</w:t>
            </w:r>
          </w:p>
        </w:tc>
        <w:tc>
          <w:tcPr>
            <w:tcW w:w="1270" w:type="dxa"/>
            <w:shd w:val="clear" w:color="auto" w:fill="auto"/>
            <w:vAlign w:val="center"/>
            <w:hideMark/>
          </w:tcPr>
          <w:p w14:paraId="3861830E"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bottom"/>
            <w:hideMark/>
          </w:tcPr>
          <w:p w14:paraId="0FED8595" w14:textId="77777777" w:rsidR="003A4388" w:rsidRPr="00FB0456" w:rsidRDefault="003A4388" w:rsidP="003A4388">
            <w:pPr>
              <w:widowControl/>
              <w:autoSpaceDE/>
              <w:autoSpaceDN/>
              <w:adjustRightInd/>
              <w:rPr>
                <w:sz w:val="20"/>
                <w:szCs w:val="20"/>
              </w:rPr>
            </w:pPr>
            <w:r w:rsidRPr="00FB0456">
              <w:rPr>
                <w:sz w:val="20"/>
                <w:szCs w:val="20"/>
              </w:rPr>
              <w:t> </w:t>
            </w:r>
          </w:p>
        </w:tc>
        <w:tc>
          <w:tcPr>
            <w:tcW w:w="1417" w:type="dxa"/>
            <w:shd w:val="clear" w:color="auto" w:fill="auto"/>
            <w:vAlign w:val="bottom"/>
            <w:hideMark/>
          </w:tcPr>
          <w:p w14:paraId="262A6246" w14:textId="77777777" w:rsidR="003A4388" w:rsidRPr="00FB0456" w:rsidRDefault="003A4388" w:rsidP="003A4388">
            <w:pPr>
              <w:widowControl/>
              <w:autoSpaceDE/>
              <w:autoSpaceDN/>
              <w:adjustRightInd/>
              <w:rPr>
                <w:sz w:val="20"/>
                <w:szCs w:val="20"/>
              </w:rPr>
            </w:pPr>
            <w:r w:rsidRPr="00FB0456">
              <w:rPr>
                <w:sz w:val="20"/>
                <w:szCs w:val="20"/>
              </w:rPr>
              <w:t> </w:t>
            </w:r>
          </w:p>
        </w:tc>
        <w:tc>
          <w:tcPr>
            <w:tcW w:w="1373" w:type="dxa"/>
            <w:shd w:val="clear" w:color="auto" w:fill="auto"/>
            <w:vAlign w:val="bottom"/>
            <w:hideMark/>
          </w:tcPr>
          <w:p w14:paraId="4308D34C" w14:textId="77777777" w:rsidR="003A4388" w:rsidRPr="00FB0456" w:rsidRDefault="003A4388" w:rsidP="003A4388">
            <w:pPr>
              <w:widowControl/>
              <w:autoSpaceDE/>
              <w:autoSpaceDN/>
              <w:adjustRightInd/>
              <w:rPr>
                <w:sz w:val="20"/>
                <w:szCs w:val="20"/>
              </w:rPr>
            </w:pPr>
            <w:r w:rsidRPr="00FB0456">
              <w:rPr>
                <w:sz w:val="20"/>
                <w:szCs w:val="20"/>
              </w:rPr>
              <w:t> </w:t>
            </w:r>
          </w:p>
        </w:tc>
        <w:tc>
          <w:tcPr>
            <w:tcW w:w="1044" w:type="dxa"/>
            <w:shd w:val="clear" w:color="auto" w:fill="auto"/>
            <w:vAlign w:val="center"/>
            <w:hideMark/>
          </w:tcPr>
          <w:p w14:paraId="449EE978"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bottom"/>
            <w:hideMark/>
          </w:tcPr>
          <w:p w14:paraId="1F6F78C9" w14:textId="77777777" w:rsidR="003A4388" w:rsidRPr="00FB0456" w:rsidRDefault="003A4388" w:rsidP="003A4388">
            <w:pPr>
              <w:widowControl/>
              <w:autoSpaceDE/>
              <w:autoSpaceDN/>
              <w:adjustRightInd/>
              <w:rPr>
                <w:sz w:val="20"/>
                <w:szCs w:val="20"/>
              </w:rPr>
            </w:pPr>
            <w:r w:rsidRPr="00FB0456">
              <w:rPr>
                <w:sz w:val="20"/>
                <w:szCs w:val="20"/>
              </w:rPr>
              <w:t> </w:t>
            </w:r>
          </w:p>
        </w:tc>
        <w:tc>
          <w:tcPr>
            <w:tcW w:w="1350" w:type="dxa"/>
            <w:shd w:val="clear" w:color="auto" w:fill="auto"/>
            <w:vAlign w:val="bottom"/>
            <w:hideMark/>
          </w:tcPr>
          <w:p w14:paraId="127988D8" w14:textId="77777777" w:rsidR="003A4388" w:rsidRPr="00FB0456" w:rsidRDefault="003A4388" w:rsidP="003A4388">
            <w:pPr>
              <w:widowControl/>
              <w:autoSpaceDE/>
              <w:autoSpaceDN/>
              <w:adjustRightInd/>
              <w:rPr>
                <w:sz w:val="20"/>
                <w:szCs w:val="20"/>
              </w:rPr>
            </w:pPr>
            <w:r w:rsidRPr="00FB0456">
              <w:rPr>
                <w:sz w:val="20"/>
                <w:szCs w:val="20"/>
              </w:rPr>
              <w:t> </w:t>
            </w:r>
          </w:p>
        </w:tc>
        <w:tc>
          <w:tcPr>
            <w:tcW w:w="1011" w:type="dxa"/>
            <w:shd w:val="clear" w:color="auto" w:fill="auto"/>
            <w:vAlign w:val="bottom"/>
            <w:hideMark/>
          </w:tcPr>
          <w:p w14:paraId="5B83876E" w14:textId="77777777" w:rsidR="003A4388" w:rsidRPr="00FB0456" w:rsidRDefault="003A4388" w:rsidP="003A4388">
            <w:pPr>
              <w:widowControl/>
              <w:autoSpaceDE/>
              <w:autoSpaceDN/>
              <w:adjustRightInd/>
              <w:rPr>
                <w:sz w:val="20"/>
                <w:szCs w:val="20"/>
              </w:rPr>
            </w:pPr>
            <w:r w:rsidRPr="00FB0456">
              <w:rPr>
                <w:sz w:val="20"/>
                <w:szCs w:val="20"/>
              </w:rPr>
              <w:t> </w:t>
            </w:r>
          </w:p>
        </w:tc>
        <w:tc>
          <w:tcPr>
            <w:tcW w:w="1249" w:type="dxa"/>
            <w:shd w:val="clear" w:color="auto" w:fill="auto"/>
            <w:vAlign w:val="bottom"/>
            <w:hideMark/>
          </w:tcPr>
          <w:p w14:paraId="5FEF734E" w14:textId="77777777" w:rsidR="003A4388" w:rsidRPr="00FB0456" w:rsidRDefault="003A4388" w:rsidP="003A4388">
            <w:pPr>
              <w:widowControl/>
              <w:autoSpaceDE/>
              <w:autoSpaceDN/>
              <w:adjustRightInd/>
              <w:rPr>
                <w:sz w:val="20"/>
                <w:szCs w:val="20"/>
              </w:rPr>
            </w:pPr>
            <w:r w:rsidRPr="00FB0456">
              <w:rPr>
                <w:sz w:val="20"/>
                <w:szCs w:val="20"/>
              </w:rPr>
              <w:t> </w:t>
            </w:r>
          </w:p>
        </w:tc>
      </w:tr>
      <w:tr w:rsidR="003A4388" w:rsidRPr="00FB0456" w14:paraId="78C545EC" w14:textId="77777777" w:rsidTr="004002B7">
        <w:trPr>
          <w:gridAfter w:val="1"/>
          <w:wAfter w:w="26" w:type="dxa"/>
          <w:trHeight w:val="341"/>
        </w:trPr>
        <w:tc>
          <w:tcPr>
            <w:tcW w:w="2690" w:type="dxa"/>
            <w:shd w:val="clear" w:color="auto" w:fill="auto"/>
            <w:vAlign w:val="center"/>
            <w:hideMark/>
          </w:tcPr>
          <w:p w14:paraId="032211D4" w14:textId="77777777" w:rsidR="003A4388" w:rsidRPr="00FB0456" w:rsidRDefault="003A4388" w:rsidP="003A4388">
            <w:pPr>
              <w:widowControl/>
              <w:autoSpaceDE/>
              <w:autoSpaceDN/>
              <w:adjustRightInd/>
              <w:rPr>
                <w:sz w:val="20"/>
                <w:szCs w:val="20"/>
              </w:rPr>
            </w:pPr>
            <w:r w:rsidRPr="00FB0456">
              <w:rPr>
                <w:sz w:val="20"/>
                <w:szCs w:val="20"/>
              </w:rPr>
              <w:t>2. Survey and studies</w:t>
            </w:r>
          </w:p>
        </w:tc>
        <w:tc>
          <w:tcPr>
            <w:tcW w:w="1270" w:type="dxa"/>
            <w:shd w:val="clear" w:color="auto" w:fill="auto"/>
            <w:vAlign w:val="center"/>
            <w:hideMark/>
          </w:tcPr>
          <w:p w14:paraId="4D12A9B0"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bottom"/>
            <w:hideMark/>
          </w:tcPr>
          <w:p w14:paraId="6004AB93" w14:textId="77777777" w:rsidR="003A4388" w:rsidRPr="00FB0456" w:rsidRDefault="003A4388" w:rsidP="003A4388">
            <w:pPr>
              <w:widowControl/>
              <w:autoSpaceDE/>
              <w:autoSpaceDN/>
              <w:adjustRightInd/>
              <w:rPr>
                <w:sz w:val="20"/>
                <w:szCs w:val="20"/>
              </w:rPr>
            </w:pPr>
            <w:r w:rsidRPr="00FB0456">
              <w:rPr>
                <w:sz w:val="20"/>
                <w:szCs w:val="20"/>
              </w:rPr>
              <w:t> </w:t>
            </w:r>
          </w:p>
        </w:tc>
        <w:tc>
          <w:tcPr>
            <w:tcW w:w="1417" w:type="dxa"/>
            <w:shd w:val="clear" w:color="auto" w:fill="auto"/>
            <w:vAlign w:val="bottom"/>
            <w:hideMark/>
          </w:tcPr>
          <w:p w14:paraId="2E3720D6" w14:textId="77777777" w:rsidR="003A4388" w:rsidRPr="00FB0456" w:rsidRDefault="003A4388" w:rsidP="003A4388">
            <w:pPr>
              <w:widowControl/>
              <w:autoSpaceDE/>
              <w:autoSpaceDN/>
              <w:adjustRightInd/>
              <w:rPr>
                <w:sz w:val="20"/>
                <w:szCs w:val="20"/>
              </w:rPr>
            </w:pPr>
            <w:r w:rsidRPr="00FB0456">
              <w:rPr>
                <w:sz w:val="20"/>
                <w:szCs w:val="20"/>
              </w:rPr>
              <w:t> </w:t>
            </w:r>
          </w:p>
        </w:tc>
        <w:tc>
          <w:tcPr>
            <w:tcW w:w="1373" w:type="dxa"/>
            <w:shd w:val="clear" w:color="auto" w:fill="auto"/>
            <w:vAlign w:val="bottom"/>
            <w:hideMark/>
          </w:tcPr>
          <w:p w14:paraId="13F383F1" w14:textId="77777777" w:rsidR="003A4388" w:rsidRPr="00FB0456" w:rsidRDefault="003A4388" w:rsidP="003A4388">
            <w:pPr>
              <w:widowControl/>
              <w:autoSpaceDE/>
              <w:autoSpaceDN/>
              <w:adjustRightInd/>
              <w:rPr>
                <w:sz w:val="20"/>
                <w:szCs w:val="20"/>
              </w:rPr>
            </w:pPr>
            <w:r w:rsidRPr="00FB0456">
              <w:rPr>
                <w:sz w:val="20"/>
                <w:szCs w:val="20"/>
              </w:rPr>
              <w:t> </w:t>
            </w:r>
          </w:p>
        </w:tc>
        <w:tc>
          <w:tcPr>
            <w:tcW w:w="1044" w:type="dxa"/>
            <w:shd w:val="clear" w:color="auto" w:fill="auto"/>
            <w:vAlign w:val="center"/>
            <w:hideMark/>
          </w:tcPr>
          <w:p w14:paraId="001971FF"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bottom"/>
            <w:hideMark/>
          </w:tcPr>
          <w:p w14:paraId="6B36F503" w14:textId="77777777" w:rsidR="003A4388" w:rsidRPr="00FB0456" w:rsidRDefault="003A4388" w:rsidP="003A4388">
            <w:pPr>
              <w:widowControl/>
              <w:autoSpaceDE/>
              <w:autoSpaceDN/>
              <w:adjustRightInd/>
              <w:rPr>
                <w:sz w:val="20"/>
                <w:szCs w:val="20"/>
              </w:rPr>
            </w:pPr>
            <w:r w:rsidRPr="00FB0456">
              <w:rPr>
                <w:sz w:val="20"/>
                <w:szCs w:val="20"/>
              </w:rPr>
              <w:t> </w:t>
            </w:r>
          </w:p>
        </w:tc>
        <w:tc>
          <w:tcPr>
            <w:tcW w:w="1350" w:type="dxa"/>
            <w:shd w:val="clear" w:color="auto" w:fill="auto"/>
            <w:vAlign w:val="bottom"/>
            <w:hideMark/>
          </w:tcPr>
          <w:p w14:paraId="366268D5" w14:textId="77777777" w:rsidR="003A4388" w:rsidRPr="00FB0456" w:rsidRDefault="003A4388" w:rsidP="003A4388">
            <w:pPr>
              <w:widowControl/>
              <w:autoSpaceDE/>
              <w:autoSpaceDN/>
              <w:adjustRightInd/>
              <w:rPr>
                <w:sz w:val="20"/>
                <w:szCs w:val="20"/>
              </w:rPr>
            </w:pPr>
            <w:r w:rsidRPr="00FB0456">
              <w:rPr>
                <w:sz w:val="20"/>
                <w:szCs w:val="20"/>
              </w:rPr>
              <w:t> </w:t>
            </w:r>
          </w:p>
        </w:tc>
        <w:tc>
          <w:tcPr>
            <w:tcW w:w="1011" w:type="dxa"/>
            <w:shd w:val="clear" w:color="auto" w:fill="auto"/>
            <w:vAlign w:val="bottom"/>
            <w:hideMark/>
          </w:tcPr>
          <w:p w14:paraId="785C747D" w14:textId="77777777" w:rsidR="003A4388" w:rsidRPr="00FB0456" w:rsidRDefault="003A4388" w:rsidP="003A4388">
            <w:pPr>
              <w:widowControl/>
              <w:autoSpaceDE/>
              <w:autoSpaceDN/>
              <w:adjustRightInd/>
              <w:rPr>
                <w:sz w:val="20"/>
                <w:szCs w:val="20"/>
              </w:rPr>
            </w:pPr>
            <w:r w:rsidRPr="00FB0456">
              <w:rPr>
                <w:sz w:val="20"/>
                <w:szCs w:val="20"/>
              </w:rPr>
              <w:t> </w:t>
            </w:r>
          </w:p>
        </w:tc>
        <w:tc>
          <w:tcPr>
            <w:tcW w:w="1249" w:type="dxa"/>
            <w:shd w:val="clear" w:color="auto" w:fill="auto"/>
            <w:vAlign w:val="bottom"/>
            <w:hideMark/>
          </w:tcPr>
          <w:p w14:paraId="0DEDD9B2" w14:textId="77777777" w:rsidR="003A4388" w:rsidRPr="00FB0456" w:rsidRDefault="003A4388" w:rsidP="003A4388">
            <w:pPr>
              <w:widowControl/>
              <w:autoSpaceDE/>
              <w:autoSpaceDN/>
              <w:adjustRightInd/>
              <w:rPr>
                <w:sz w:val="20"/>
                <w:szCs w:val="20"/>
              </w:rPr>
            </w:pPr>
            <w:r w:rsidRPr="00FB0456">
              <w:rPr>
                <w:sz w:val="20"/>
                <w:szCs w:val="20"/>
              </w:rPr>
              <w:t> </w:t>
            </w:r>
          </w:p>
        </w:tc>
      </w:tr>
      <w:tr w:rsidR="003A4388" w:rsidRPr="00FB0456" w14:paraId="1839AD93" w14:textId="77777777" w:rsidTr="004002B7">
        <w:trPr>
          <w:gridAfter w:val="1"/>
          <w:wAfter w:w="26" w:type="dxa"/>
          <w:trHeight w:val="450"/>
        </w:trPr>
        <w:tc>
          <w:tcPr>
            <w:tcW w:w="2690" w:type="dxa"/>
            <w:shd w:val="clear" w:color="auto" w:fill="auto"/>
            <w:noWrap/>
            <w:vAlign w:val="bottom"/>
            <w:hideMark/>
          </w:tcPr>
          <w:p w14:paraId="43185AC8" w14:textId="77777777" w:rsidR="003A4388" w:rsidRPr="00FB0456" w:rsidRDefault="003A4388" w:rsidP="003A4388">
            <w:pPr>
              <w:widowControl/>
              <w:autoSpaceDE/>
              <w:autoSpaceDN/>
              <w:adjustRightInd/>
              <w:rPr>
                <w:sz w:val="20"/>
                <w:szCs w:val="20"/>
              </w:rPr>
            </w:pPr>
            <w:r w:rsidRPr="00FB0456">
              <w:rPr>
                <w:sz w:val="20"/>
                <w:szCs w:val="20"/>
              </w:rPr>
              <w:t>3. Acquisition, installation, and utilization of technical systems</w:t>
            </w:r>
          </w:p>
        </w:tc>
        <w:tc>
          <w:tcPr>
            <w:tcW w:w="1270" w:type="dxa"/>
            <w:shd w:val="clear" w:color="auto" w:fill="auto"/>
            <w:vAlign w:val="center"/>
            <w:hideMark/>
          </w:tcPr>
          <w:p w14:paraId="185F81C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bottom"/>
            <w:hideMark/>
          </w:tcPr>
          <w:p w14:paraId="23035277" w14:textId="77777777" w:rsidR="003A4388" w:rsidRPr="00FB0456" w:rsidRDefault="003A4388" w:rsidP="003A4388">
            <w:pPr>
              <w:widowControl/>
              <w:autoSpaceDE/>
              <w:autoSpaceDN/>
              <w:adjustRightInd/>
              <w:rPr>
                <w:sz w:val="20"/>
                <w:szCs w:val="20"/>
              </w:rPr>
            </w:pPr>
            <w:r w:rsidRPr="00FB0456">
              <w:rPr>
                <w:sz w:val="20"/>
                <w:szCs w:val="20"/>
              </w:rPr>
              <w:t> </w:t>
            </w:r>
          </w:p>
        </w:tc>
        <w:tc>
          <w:tcPr>
            <w:tcW w:w="1417" w:type="dxa"/>
            <w:shd w:val="clear" w:color="auto" w:fill="auto"/>
            <w:vAlign w:val="bottom"/>
            <w:hideMark/>
          </w:tcPr>
          <w:p w14:paraId="517F7386" w14:textId="77777777" w:rsidR="003A4388" w:rsidRPr="00FB0456" w:rsidRDefault="003A4388" w:rsidP="003A4388">
            <w:pPr>
              <w:widowControl/>
              <w:autoSpaceDE/>
              <w:autoSpaceDN/>
              <w:adjustRightInd/>
              <w:rPr>
                <w:sz w:val="20"/>
                <w:szCs w:val="20"/>
              </w:rPr>
            </w:pPr>
            <w:r w:rsidRPr="00FB0456">
              <w:rPr>
                <w:sz w:val="20"/>
                <w:szCs w:val="20"/>
              </w:rPr>
              <w:t> </w:t>
            </w:r>
          </w:p>
        </w:tc>
        <w:tc>
          <w:tcPr>
            <w:tcW w:w="1373" w:type="dxa"/>
            <w:shd w:val="clear" w:color="auto" w:fill="auto"/>
            <w:vAlign w:val="bottom"/>
            <w:hideMark/>
          </w:tcPr>
          <w:p w14:paraId="217FC2C9" w14:textId="77777777" w:rsidR="003A4388" w:rsidRPr="00FB0456" w:rsidRDefault="003A4388" w:rsidP="003A4388">
            <w:pPr>
              <w:widowControl/>
              <w:autoSpaceDE/>
              <w:autoSpaceDN/>
              <w:adjustRightInd/>
              <w:rPr>
                <w:sz w:val="20"/>
                <w:szCs w:val="20"/>
              </w:rPr>
            </w:pPr>
            <w:r w:rsidRPr="00FB0456">
              <w:rPr>
                <w:sz w:val="20"/>
                <w:szCs w:val="20"/>
              </w:rPr>
              <w:t> </w:t>
            </w:r>
          </w:p>
        </w:tc>
        <w:tc>
          <w:tcPr>
            <w:tcW w:w="1044" w:type="dxa"/>
            <w:shd w:val="clear" w:color="auto" w:fill="auto"/>
            <w:vAlign w:val="center"/>
            <w:hideMark/>
          </w:tcPr>
          <w:p w14:paraId="3D604A19"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bottom"/>
            <w:hideMark/>
          </w:tcPr>
          <w:p w14:paraId="320779F3" w14:textId="77777777" w:rsidR="003A4388" w:rsidRPr="00FB0456" w:rsidRDefault="003A4388" w:rsidP="003A4388">
            <w:pPr>
              <w:widowControl/>
              <w:autoSpaceDE/>
              <w:autoSpaceDN/>
              <w:adjustRightInd/>
              <w:rPr>
                <w:sz w:val="20"/>
                <w:szCs w:val="20"/>
              </w:rPr>
            </w:pPr>
            <w:r w:rsidRPr="00FB0456">
              <w:rPr>
                <w:sz w:val="20"/>
                <w:szCs w:val="20"/>
              </w:rPr>
              <w:t> </w:t>
            </w:r>
          </w:p>
        </w:tc>
        <w:tc>
          <w:tcPr>
            <w:tcW w:w="1350" w:type="dxa"/>
            <w:shd w:val="clear" w:color="auto" w:fill="auto"/>
            <w:vAlign w:val="bottom"/>
            <w:hideMark/>
          </w:tcPr>
          <w:p w14:paraId="63DE2316" w14:textId="77777777" w:rsidR="003A4388" w:rsidRPr="00FB0456" w:rsidRDefault="003A4388" w:rsidP="003A4388">
            <w:pPr>
              <w:widowControl/>
              <w:autoSpaceDE/>
              <w:autoSpaceDN/>
              <w:adjustRightInd/>
              <w:rPr>
                <w:sz w:val="20"/>
                <w:szCs w:val="20"/>
              </w:rPr>
            </w:pPr>
            <w:r w:rsidRPr="00FB0456">
              <w:rPr>
                <w:sz w:val="20"/>
                <w:szCs w:val="20"/>
              </w:rPr>
              <w:t> </w:t>
            </w:r>
          </w:p>
        </w:tc>
        <w:tc>
          <w:tcPr>
            <w:tcW w:w="1011" w:type="dxa"/>
            <w:shd w:val="clear" w:color="auto" w:fill="auto"/>
            <w:vAlign w:val="bottom"/>
            <w:hideMark/>
          </w:tcPr>
          <w:p w14:paraId="5BF4EB97" w14:textId="77777777" w:rsidR="003A4388" w:rsidRPr="00FB0456" w:rsidRDefault="003A4388" w:rsidP="003A4388">
            <w:pPr>
              <w:widowControl/>
              <w:autoSpaceDE/>
              <w:autoSpaceDN/>
              <w:adjustRightInd/>
              <w:rPr>
                <w:sz w:val="20"/>
                <w:szCs w:val="20"/>
              </w:rPr>
            </w:pPr>
            <w:r w:rsidRPr="00FB0456">
              <w:rPr>
                <w:sz w:val="20"/>
                <w:szCs w:val="20"/>
              </w:rPr>
              <w:t> </w:t>
            </w:r>
          </w:p>
        </w:tc>
        <w:tc>
          <w:tcPr>
            <w:tcW w:w="1249" w:type="dxa"/>
            <w:shd w:val="clear" w:color="auto" w:fill="auto"/>
            <w:vAlign w:val="bottom"/>
            <w:hideMark/>
          </w:tcPr>
          <w:p w14:paraId="5DFEEF92" w14:textId="77777777" w:rsidR="003A4388" w:rsidRPr="00FB0456" w:rsidRDefault="003A4388" w:rsidP="003A4388">
            <w:pPr>
              <w:widowControl/>
              <w:autoSpaceDE/>
              <w:autoSpaceDN/>
              <w:adjustRightInd/>
              <w:rPr>
                <w:sz w:val="20"/>
                <w:szCs w:val="20"/>
              </w:rPr>
            </w:pPr>
            <w:r w:rsidRPr="00FB0456">
              <w:rPr>
                <w:sz w:val="20"/>
                <w:szCs w:val="20"/>
              </w:rPr>
              <w:t> </w:t>
            </w:r>
          </w:p>
        </w:tc>
      </w:tr>
      <w:tr w:rsidR="003A4388" w:rsidRPr="00FB0456" w14:paraId="6B031513" w14:textId="77777777" w:rsidTr="004002B7">
        <w:trPr>
          <w:gridAfter w:val="1"/>
          <w:wAfter w:w="26" w:type="dxa"/>
          <w:trHeight w:val="260"/>
        </w:trPr>
        <w:tc>
          <w:tcPr>
            <w:tcW w:w="2690" w:type="dxa"/>
            <w:shd w:val="clear" w:color="auto" w:fill="auto"/>
            <w:vAlign w:val="center"/>
            <w:hideMark/>
          </w:tcPr>
          <w:p w14:paraId="77C4ABB4" w14:textId="77777777" w:rsidR="003A4388" w:rsidRPr="00FB0456" w:rsidRDefault="003A4388" w:rsidP="003A4388">
            <w:pPr>
              <w:widowControl/>
              <w:autoSpaceDE/>
              <w:autoSpaceDN/>
              <w:adjustRightInd/>
              <w:rPr>
                <w:sz w:val="20"/>
                <w:szCs w:val="20"/>
              </w:rPr>
            </w:pPr>
            <w:r w:rsidRPr="00FB0456">
              <w:rPr>
                <w:sz w:val="20"/>
                <w:szCs w:val="20"/>
              </w:rPr>
              <w:t>4. Reporting Requirements</w:t>
            </w:r>
          </w:p>
        </w:tc>
        <w:tc>
          <w:tcPr>
            <w:tcW w:w="1270" w:type="dxa"/>
            <w:shd w:val="clear" w:color="auto" w:fill="auto"/>
            <w:vAlign w:val="center"/>
            <w:hideMark/>
          </w:tcPr>
          <w:p w14:paraId="4EFC0749"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bottom"/>
            <w:hideMark/>
          </w:tcPr>
          <w:p w14:paraId="35B04EC4" w14:textId="77777777" w:rsidR="003A4388" w:rsidRPr="00FB0456" w:rsidRDefault="003A4388" w:rsidP="003A4388">
            <w:pPr>
              <w:widowControl/>
              <w:autoSpaceDE/>
              <w:autoSpaceDN/>
              <w:adjustRightInd/>
              <w:rPr>
                <w:sz w:val="20"/>
                <w:szCs w:val="20"/>
              </w:rPr>
            </w:pPr>
            <w:r w:rsidRPr="00FB0456">
              <w:rPr>
                <w:sz w:val="20"/>
                <w:szCs w:val="20"/>
              </w:rPr>
              <w:t> </w:t>
            </w:r>
          </w:p>
        </w:tc>
        <w:tc>
          <w:tcPr>
            <w:tcW w:w="1417" w:type="dxa"/>
            <w:shd w:val="clear" w:color="auto" w:fill="auto"/>
            <w:vAlign w:val="bottom"/>
            <w:hideMark/>
          </w:tcPr>
          <w:p w14:paraId="47CA8779" w14:textId="77777777" w:rsidR="003A4388" w:rsidRPr="00FB0456" w:rsidRDefault="003A4388" w:rsidP="003A4388">
            <w:pPr>
              <w:widowControl/>
              <w:autoSpaceDE/>
              <w:autoSpaceDN/>
              <w:adjustRightInd/>
              <w:rPr>
                <w:sz w:val="20"/>
                <w:szCs w:val="20"/>
              </w:rPr>
            </w:pPr>
            <w:r w:rsidRPr="00FB0456">
              <w:rPr>
                <w:sz w:val="20"/>
                <w:szCs w:val="20"/>
              </w:rPr>
              <w:t> </w:t>
            </w:r>
          </w:p>
        </w:tc>
        <w:tc>
          <w:tcPr>
            <w:tcW w:w="1373" w:type="dxa"/>
            <w:shd w:val="clear" w:color="auto" w:fill="auto"/>
            <w:vAlign w:val="bottom"/>
            <w:hideMark/>
          </w:tcPr>
          <w:p w14:paraId="3FBC17BB" w14:textId="77777777" w:rsidR="003A4388" w:rsidRPr="00FB0456" w:rsidRDefault="003A4388" w:rsidP="003A4388">
            <w:pPr>
              <w:widowControl/>
              <w:autoSpaceDE/>
              <w:autoSpaceDN/>
              <w:adjustRightInd/>
              <w:rPr>
                <w:sz w:val="20"/>
                <w:szCs w:val="20"/>
              </w:rPr>
            </w:pPr>
            <w:r w:rsidRPr="00FB0456">
              <w:rPr>
                <w:sz w:val="20"/>
                <w:szCs w:val="20"/>
              </w:rPr>
              <w:t> </w:t>
            </w:r>
          </w:p>
        </w:tc>
        <w:tc>
          <w:tcPr>
            <w:tcW w:w="1044" w:type="dxa"/>
            <w:shd w:val="clear" w:color="auto" w:fill="auto"/>
            <w:vAlign w:val="center"/>
            <w:hideMark/>
          </w:tcPr>
          <w:p w14:paraId="2DE7348E"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bottom"/>
            <w:hideMark/>
          </w:tcPr>
          <w:p w14:paraId="19D7FA57" w14:textId="77777777" w:rsidR="003A4388" w:rsidRPr="00FB0456" w:rsidRDefault="003A4388" w:rsidP="003A4388">
            <w:pPr>
              <w:widowControl/>
              <w:autoSpaceDE/>
              <w:autoSpaceDN/>
              <w:adjustRightInd/>
              <w:rPr>
                <w:sz w:val="20"/>
                <w:szCs w:val="20"/>
              </w:rPr>
            </w:pPr>
            <w:r w:rsidRPr="00FB0456">
              <w:rPr>
                <w:sz w:val="20"/>
                <w:szCs w:val="20"/>
              </w:rPr>
              <w:t> </w:t>
            </w:r>
          </w:p>
        </w:tc>
        <w:tc>
          <w:tcPr>
            <w:tcW w:w="1350" w:type="dxa"/>
            <w:shd w:val="clear" w:color="auto" w:fill="auto"/>
            <w:vAlign w:val="bottom"/>
            <w:hideMark/>
          </w:tcPr>
          <w:p w14:paraId="0DAB8B6A" w14:textId="77777777" w:rsidR="003A4388" w:rsidRPr="00FB0456" w:rsidRDefault="003A4388" w:rsidP="003A4388">
            <w:pPr>
              <w:widowControl/>
              <w:autoSpaceDE/>
              <w:autoSpaceDN/>
              <w:adjustRightInd/>
              <w:rPr>
                <w:sz w:val="20"/>
                <w:szCs w:val="20"/>
              </w:rPr>
            </w:pPr>
            <w:r w:rsidRPr="00FB0456">
              <w:rPr>
                <w:sz w:val="20"/>
                <w:szCs w:val="20"/>
              </w:rPr>
              <w:t> </w:t>
            </w:r>
          </w:p>
        </w:tc>
        <w:tc>
          <w:tcPr>
            <w:tcW w:w="1011" w:type="dxa"/>
            <w:shd w:val="clear" w:color="auto" w:fill="auto"/>
            <w:vAlign w:val="bottom"/>
            <w:hideMark/>
          </w:tcPr>
          <w:p w14:paraId="091010A4" w14:textId="77777777" w:rsidR="003A4388" w:rsidRPr="00FB0456" w:rsidRDefault="003A4388" w:rsidP="003A4388">
            <w:pPr>
              <w:widowControl/>
              <w:autoSpaceDE/>
              <w:autoSpaceDN/>
              <w:adjustRightInd/>
              <w:rPr>
                <w:sz w:val="20"/>
                <w:szCs w:val="20"/>
              </w:rPr>
            </w:pPr>
            <w:r w:rsidRPr="00FB0456">
              <w:rPr>
                <w:sz w:val="20"/>
                <w:szCs w:val="20"/>
              </w:rPr>
              <w:t> </w:t>
            </w:r>
          </w:p>
        </w:tc>
        <w:tc>
          <w:tcPr>
            <w:tcW w:w="1249" w:type="dxa"/>
            <w:shd w:val="clear" w:color="auto" w:fill="auto"/>
            <w:vAlign w:val="bottom"/>
            <w:hideMark/>
          </w:tcPr>
          <w:p w14:paraId="485B20B8" w14:textId="77777777" w:rsidR="003A4388" w:rsidRPr="00FB0456" w:rsidRDefault="003A4388" w:rsidP="003A4388">
            <w:pPr>
              <w:widowControl/>
              <w:autoSpaceDE/>
              <w:autoSpaceDN/>
              <w:adjustRightInd/>
              <w:rPr>
                <w:sz w:val="20"/>
                <w:szCs w:val="20"/>
              </w:rPr>
            </w:pPr>
            <w:r w:rsidRPr="00FB0456">
              <w:rPr>
                <w:sz w:val="20"/>
                <w:szCs w:val="20"/>
              </w:rPr>
              <w:t> </w:t>
            </w:r>
          </w:p>
        </w:tc>
      </w:tr>
      <w:tr w:rsidR="003A4388" w:rsidRPr="00FB0456" w14:paraId="0CC3C7EE" w14:textId="77777777" w:rsidTr="004002B7">
        <w:trPr>
          <w:gridAfter w:val="1"/>
          <w:wAfter w:w="26" w:type="dxa"/>
          <w:trHeight w:val="431"/>
        </w:trPr>
        <w:tc>
          <w:tcPr>
            <w:tcW w:w="2690" w:type="dxa"/>
            <w:shd w:val="clear" w:color="auto" w:fill="auto"/>
            <w:vAlign w:val="center"/>
            <w:hideMark/>
          </w:tcPr>
          <w:p w14:paraId="704C58C2" w14:textId="77777777" w:rsidR="003A4388" w:rsidRPr="00FB0456" w:rsidRDefault="003A4388" w:rsidP="003A4388">
            <w:pPr>
              <w:widowControl/>
              <w:autoSpaceDE/>
              <w:autoSpaceDN/>
              <w:adjustRightInd/>
              <w:rPr>
                <w:sz w:val="20"/>
                <w:szCs w:val="20"/>
              </w:rPr>
            </w:pPr>
            <w:r w:rsidRPr="00FB0456">
              <w:rPr>
                <w:sz w:val="20"/>
                <w:szCs w:val="20"/>
              </w:rPr>
              <w:t xml:space="preserve">A. Familiarization of regulatory requirements </w:t>
            </w:r>
            <w:r w:rsidRPr="00FB0456">
              <w:rPr>
                <w:sz w:val="20"/>
                <w:szCs w:val="20"/>
                <w:vertAlign w:val="superscript"/>
              </w:rPr>
              <w:t>b</w:t>
            </w:r>
          </w:p>
        </w:tc>
        <w:tc>
          <w:tcPr>
            <w:tcW w:w="1270" w:type="dxa"/>
            <w:shd w:val="clear" w:color="auto" w:fill="auto"/>
            <w:vAlign w:val="center"/>
            <w:hideMark/>
          </w:tcPr>
          <w:p w14:paraId="3BF6092E" w14:textId="77777777" w:rsidR="003A4388" w:rsidRPr="00FB0456" w:rsidRDefault="003A4388" w:rsidP="003A4388">
            <w:pPr>
              <w:widowControl/>
              <w:autoSpaceDE/>
              <w:autoSpaceDN/>
              <w:adjustRightInd/>
              <w:jc w:val="center"/>
              <w:rPr>
                <w:sz w:val="20"/>
                <w:szCs w:val="20"/>
              </w:rPr>
            </w:pPr>
            <w:r w:rsidRPr="00FB0456">
              <w:rPr>
                <w:sz w:val="20"/>
                <w:szCs w:val="20"/>
              </w:rPr>
              <w:t>8</w:t>
            </w:r>
          </w:p>
        </w:tc>
        <w:tc>
          <w:tcPr>
            <w:tcW w:w="1350" w:type="dxa"/>
            <w:shd w:val="clear" w:color="auto" w:fill="auto"/>
            <w:vAlign w:val="center"/>
            <w:hideMark/>
          </w:tcPr>
          <w:p w14:paraId="68CB098B" w14:textId="77777777" w:rsidR="003A4388" w:rsidRPr="00FB0456" w:rsidRDefault="003A4388" w:rsidP="003A4388">
            <w:pPr>
              <w:widowControl/>
              <w:autoSpaceDE/>
              <w:autoSpaceDN/>
              <w:adjustRightInd/>
              <w:jc w:val="center"/>
              <w:rPr>
                <w:sz w:val="20"/>
                <w:szCs w:val="20"/>
              </w:rPr>
            </w:pPr>
            <w:r w:rsidRPr="00FB0456">
              <w:rPr>
                <w:sz w:val="20"/>
                <w:szCs w:val="20"/>
              </w:rPr>
              <w:t>1</w:t>
            </w:r>
          </w:p>
        </w:tc>
        <w:tc>
          <w:tcPr>
            <w:tcW w:w="1417" w:type="dxa"/>
            <w:shd w:val="clear" w:color="auto" w:fill="auto"/>
            <w:vAlign w:val="center"/>
            <w:hideMark/>
          </w:tcPr>
          <w:p w14:paraId="5039FF8C" w14:textId="77777777" w:rsidR="003A4388" w:rsidRPr="00FB0456" w:rsidRDefault="003A4388" w:rsidP="003A4388">
            <w:pPr>
              <w:widowControl/>
              <w:autoSpaceDE/>
              <w:autoSpaceDN/>
              <w:adjustRightInd/>
              <w:jc w:val="center"/>
              <w:rPr>
                <w:sz w:val="20"/>
                <w:szCs w:val="20"/>
              </w:rPr>
            </w:pPr>
            <w:r w:rsidRPr="00FB0456">
              <w:rPr>
                <w:sz w:val="20"/>
                <w:szCs w:val="20"/>
              </w:rPr>
              <w:t>8</w:t>
            </w:r>
          </w:p>
        </w:tc>
        <w:tc>
          <w:tcPr>
            <w:tcW w:w="1373" w:type="dxa"/>
            <w:shd w:val="clear" w:color="auto" w:fill="auto"/>
            <w:noWrap/>
            <w:vAlign w:val="center"/>
            <w:hideMark/>
          </w:tcPr>
          <w:p w14:paraId="5C0D86D5" w14:textId="77777777" w:rsidR="003A4388" w:rsidRPr="00FB0456" w:rsidRDefault="003A4388" w:rsidP="003A4388">
            <w:pPr>
              <w:widowControl/>
              <w:autoSpaceDE/>
              <w:autoSpaceDN/>
              <w:adjustRightInd/>
              <w:jc w:val="center"/>
              <w:rPr>
                <w:sz w:val="20"/>
                <w:szCs w:val="20"/>
              </w:rPr>
            </w:pPr>
            <w:r w:rsidRPr="00FB0456">
              <w:rPr>
                <w:sz w:val="20"/>
                <w:szCs w:val="20"/>
              </w:rPr>
              <w:t>32</w:t>
            </w:r>
          </w:p>
        </w:tc>
        <w:tc>
          <w:tcPr>
            <w:tcW w:w="1044" w:type="dxa"/>
            <w:shd w:val="clear" w:color="auto" w:fill="auto"/>
            <w:vAlign w:val="center"/>
            <w:hideMark/>
          </w:tcPr>
          <w:p w14:paraId="0DFA8594" w14:textId="77777777" w:rsidR="003A4388" w:rsidRPr="00FB0456" w:rsidRDefault="003A4388" w:rsidP="003A4388">
            <w:pPr>
              <w:widowControl/>
              <w:autoSpaceDE/>
              <w:autoSpaceDN/>
              <w:adjustRightInd/>
              <w:jc w:val="center"/>
              <w:rPr>
                <w:sz w:val="20"/>
                <w:szCs w:val="20"/>
              </w:rPr>
            </w:pPr>
            <w:r w:rsidRPr="00FB0456">
              <w:rPr>
                <w:sz w:val="20"/>
                <w:szCs w:val="20"/>
              </w:rPr>
              <w:t>256</w:t>
            </w:r>
          </w:p>
        </w:tc>
        <w:tc>
          <w:tcPr>
            <w:tcW w:w="1170" w:type="dxa"/>
            <w:shd w:val="clear" w:color="auto" w:fill="auto"/>
            <w:vAlign w:val="center"/>
            <w:hideMark/>
          </w:tcPr>
          <w:p w14:paraId="5EE33D54" w14:textId="77777777" w:rsidR="003A4388" w:rsidRPr="00FB0456" w:rsidRDefault="003A4388" w:rsidP="003A4388">
            <w:pPr>
              <w:widowControl/>
              <w:autoSpaceDE/>
              <w:autoSpaceDN/>
              <w:adjustRightInd/>
              <w:jc w:val="center"/>
              <w:rPr>
                <w:sz w:val="20"/>
                <w:szCs w:val="20"/>
              </w:rPr>
            </w:pPr>
            <w:r w:rsidRPr="00FB0456">
              <w:rPr>
                <w:sz w:val="20"/>
                <w:szCs w:val="20"/>
              </w:rPr>
              <w:t>256</w:t>
            </w:r>
          </w:p>
        </w:tc>
        <w:tc>
          <w:tcPr>
            <w:tcW w:w="1350" w:type="dxa"/>
            <w:shd w:val="clear" w:color="auto" w:fill="auto"/>
            <w:vAlign w:val="center"/>
            <w:hideMark/>
          </w:tcPr>
          <w:p w14:paraId="4EB4B30E" w14:textId="77777777" w:rsidR="003A4388" w:rsidRPr="00FB0456" w:rsidRDefault="003A4388" w:rsidP="003A4388">
            <w:pPr>
              <w:widowControl/>
              <w:autoSpaceDE/>
              <w:autoSpaceDN/>
              <w:adjustRightInd/>
              <w:jc w:val="center"/>
              <w:rPr>
                <w:sz w:val="20"/>
                <w:szCs w:val="20"/>
              </w:rPr>
            </w:pPr>
            <w:r w:rsidRPr="00FB0456">
              <w:rPr>
                <w:sz w:val="20"/>
                <w:szCs w:val="20"/>
              </w:rPr>
              <w:t>13</w:t>
            </w:r>
          </w:p>
        </w:tc>
        <w:tc>
          <w:tcPr>
            <w:tcW w:w="1011" w:type="dxa"/>
            <w:shd w:val="clear" w:color="auto" w:fill="auto"/>
            <w:vAlign w:val="center"/>
            <w:hideMark/>
          </w:tcPr>
          <w:p w14:paraId="0545FD60" w14:textId="77777777" w:rsidR="003A4388" w:rsidRPr="00FB0456" w:rsidRDefault="003A4388" w:rsidP="003A4388">
            <w:pPr>
              <w:widowControl/>
              <w:autoSpaceDE/>
              <w:autoSpaceDN/>
              <w:adjustRightInd/>
              <w:jc w:val="center"/>
              <w:rPr>
                <w:sz w:val="20"/>
                <w:szCs w:val="20"/>
              </w:rPr>
            </w:pPr>
            <w:r w:rsidRPr="00FB0456">
              <w:rPr>
                <w:sz w:val="20"/>
                <w:szCs w:val="20"/>
              </w:rPr>
              <w:t>26</w:t>
            </w:r>
          </w:p>
        </w:tc>
        <w:tc>
          <w:tcPr>
            <w:tcW w:w="1249" w:type="dxa"/>
            <w:shd w:val="clear" w:color="auto" w:fill="auto"/>
            <w:vAlign w:val="center"/>
            <w:hideMark/>
          </w:tcPr>
          <w:p w14:paraId="691604D1" w14:textId="77777777" w:rsidR="003A4388" w:rsidRPr="00FB0456" w:rsidRDefault="003A4388" w:rsidP="003A4388">
            <w:pPr>
              <w:widowControl/>
              <w:autoSpaceDE/>
              <w:autoSpaceDN/>
              <w:adjustRightInd/>
              <w:jc w:val="right"/>
              <w:rPr>
                <w:sz w:val="20"/>
                <w:szCs w:val="20"/>
              </w:rPr>
            </w:pPr>
            <w:r w:rsidRPr="00FB0456">
              <w:rPr>
                <w:sz w:val="20"/>
                <w:szCs w:val="20"/>
              </w:rPr>
              <w:t>$33,533.95</w:t>
            </w:r>
          </w:p>
        </w:tc>
      </w:tr>
      <w:tr w:rsidR="003A4388" w:rsidRPr="00FB0456" w14:paraId="40D078CF" w14:textId="77777777" w:rsidTr="004002B7">
        <w:trPr>
          <w:gridAfter w:val="1"/>
          <w:wAfter w:w="26" w:type="dxa"/>
          <w:trHeight w:val="323"/>
        </w:trPr>
        <w:tc>
          <w:tcPr>
            <w:tcW w:w="2690" w:type="dxa"/>
            <w:shd w:val="clear" w:color="auto" w:fill="auto"/>
            <w:vAlign w:val="center"/>
            <w:hideMark/>
          </w:tcPr>
          <w:p w14:paraId="4DD9AE8E" w14:textId="77777777" w:rsidR="003A4388" w:rsidRPr="00FB0456" w:rsidRDefault="003A4388" w:rsidP="003A4388">
            <w:pPr>
              <w:widowControl/>
              <w:autoSpaceDE/>
              <w:autoSpaceDN/>
              <w:adjustRightInd/>
              <w:rPr>
                <w:sz w:val="20"/>
                <w:szCs w:val="20"/>
              </w:rPr>
            </w:pPr>
            <w:r w:rsidRPr="00FB0456">
              <w:rPr>
                <w:sz w:val="20"/>
                <w:szCs w:val="20"/>
              </w:rPr>
              <w:t>B. Required activities</w:t>
            </w:r>
          </w:p>
        </w:tc>
        <w:tc>
          <w:tcPr>
            <w:tcW w:w="1270" w:type="dxa"/>
            <w:shd w:val="clear" w:color="auto" w:fill="auto"/>
            <w:vAlign w:val="center"/>
            <w:hideMark/>
          </w:tcPr>
          <w:p w14:paraId="330A6729"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3124671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417" w:type="dxa"/>
            <w:shd w:val="clear" w:color="auto" w:fill="auto"/>
            <w:vAlign w:val="center"/>
            <w:hideMark/>
          </w:tcPr>
          <w:p w14:paraId="5C94877E"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73" w:type="dxa"/>
            <w:shd w:val="clear" w:color="auto" w:fill="auto"/>
            <w:noWrap/>
            <w:vAlign w:val="center"/>
            <w:hideMark/>
          </w:tcPr>
          <w:p w14:paraId="491EE34F"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44" w:type="dxa"/>
            <w:shd w:val="clear" w:color="auto" w:fill="auto"/>
            <w:vAlign w:val="center"/>
            <w:hideMark/>
          </w:tcPr>
          <w:p w14:paraId="4103352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center"/>
            <w:hideMark/>
          </w:tcPr>
          <w:p w14:paraId="331BD345"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4D84C253"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11" w:type="dxa"/>
            <w:shd w:val="clear" w:color="auto" w:fill="auto"/>
            <w:vAlign w:val="center"/>
            <w:hideMark/>
          </w:tcPr>
          <w:p w14:paraId="791FD632"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249" w:type="dxa"/>
            <w:shd w:val="clear" w:color="auto" w:fill="auto"/>
            <w:vAlign w:val="center"/>
            <w:hideMark/>
          </w:tcPr>
          <w:p w14:paraId="55693985" w14:textId="77777777" w:rsidR="003A4388" w:rsidRPr="00FB0456" w:rsidRDefault="003A4388" w:rsidP="003A4388">
            <w:pPr>
              <w:widowControl/>
              <w:autoSpaceDE/>
              <w:autoSpaceDN/>
              <w:adjustRightInd/>
              <w:jc w:val="right"/>
              <w:rPr>
                <w:sz w:val="20"/>
                <w:szCs w:val="20"/>
              </w:rPr>
            </w:pPr>
            <w:r w:rsidRPr="00FB0456">
              <w:rPr>
                <w:sz w:val="20"/>
                <w:szCs w:val="20"/>
              </w:rPr>
              <w:t> </w:t>
            </w:r>
          </w:p>
        </w:tc>
      </w:tr>
      <w:tr w:rsidR="003A4388" w:rsidRPr="00FB0456" w14:paraId="28FABF7E" w14:textId="77777777" w:rsidTr="004002B7">
        <w:trPr>
          <w:gridAfter w:val="1"/>
          <w:wAfter w:w="26" w:type="dxa"/>
          <w:trHeight w:val="251"/>
        </w:trPr>
        <w:tc>
          <w:tcPr>
            <w:tcW w:w="2690" w:type="dxa"/>
            <w:shd w:val="clear" w:color="auto" w:fill="auto"/>
            <w:vAlign w:val="center"/>
            <w:hideMark/>
          </w:tcPr>
          <w:p w14:paraId="18B780B5" w14:textId="77777777" w:rsidR="003A4388" w:rsidRPr="00FB0456" w:rsidRDefault="003A4388" w:rsidP="003A4388">
            <w:pPr>
              <w:widowControl/>
              <w:autoSpaceDE/>
              <w:autoSpaceDN/>
              <w:adjustRightInd/>
              <w:rPr>
                <w:sz w:val="20"/>
                <w:szCs w:val="20"/>
              </w:rPr>
            </w:pPr>
            <w:r w:rsidRPr="00FB0456">
              <w:rPr>
                <w:sz w:val="20"/>
                <w:szCs w:val="20"/>
              </w:rPr>
              <w:t xml:space="preserve">    Notification of construction</w:t>
            </w:r>
          </w:p>
        </w:tc>
        <w:tc>
          <w:tcPr>
            <w:tcW w:w="1270" w:type="dxa"/>
            <w:shd w:val="clear" w:color="auto" w:fill="auto"/>
            <w:vAlign w:val="center"/>
            <w:hideMark/>
          </w:tcPr>
          <w:p w14:paraId="52D15B9F" w14:textId="77777777" w:rsidR="003A4388" w:rsidRPr="00FB0456" w:rsidRDefault="003A4388" w:rsidP="003A4388">
            <w:pPr>
              <w:widowControl/>
              <w:autoSpaceDE/>
              <w:autoSpaceDN/>
              <w:adjustRightInd/>
              <w:jc w:val="center"/>
              <w:rPr>
                <w:sz w:val="20"/>
                <w:szCs w:val="20"/>
              </w:rPr>
            </w:pPr>
            <w:r w:rsidRPr="00FB0456">
              <w:rPr>
                <w:sz w:val="20"/>
                <w:szCs w:val="20"/>
              </w:rPr>
              <w:t>2</w:t>
            </w:r>
          </w:p>
        </w:tc>
        <w:tc>
          <w:tcPr>
            <w:tcW w:w="1350" w:type="dxa"/>
            <w:shd w:val="clear" w:color="auto" w:fill="auto"/>
            <w:vAlign w:val="center"/>
            <w:hideMark/>
          </w:tcPr>
          <w:p w14:paraId="44B4C19F" w14:textId="77777777" w:rsidR="003A4388" w:rsidRPr="00FB0456" w:rsidRDefault="003A4388" w:rsidP="003A4388">
            <w:pPr>
              <w:widowControl/>
              <w:autoSpaceDE/>
              <w:autoSpaceDN/>
              <w:adjustRightInd/>
              <w:jc w:val="center"/>
              <w:rPr>
                <w:sz w:val="20"/>
                <w:szCs w:val="20"/>
              </w:rPr>
            </w:pPr>
            <w:r w:rsidRPr="00FB0456">
              <w:rPr>
                <w:sz w:val="20"/>
                <w:szCs w:val="20"/>
              </w:rPr>
              <w:t>1</w:t>
            </w:r>
          </w:p>
        </w:tc>
        <w:tc>
          <w:tcPr>
            <w:tcW w:w="1417" w:type="dxa"/>
            <w:shd w:val="clear" w:color="auto" w:fill="auto"/>
            <w:vAlign w:val="center"/>
            <w:hideMark/>
          </w:tcPr>
          <w:p w14:paraId="6574C8F3" w14:textId="77777777" w:rsidR="003A4388" w:rsidRPr="00FB0456" w:rsidRDefault="003A4388" w:rsidP="003A4388">
            <w:pPr>
              <w:widowControl/>
              <w:autoSpaceDE/>
              <w:autoSpaceDN/>
              <w:adjustRightInd/>
              <w:jc w:val="center"/>
              <w:rPr>
                <w:sz w:val="20"/>
                <w:szCs w:val="20"/>
              </w:rPr>
            </w:pPr>
            <w:r w:rsidRPr="00FB0456">
              <w:rPr>
                <w:sz w:val="20"/>
                <w:szCs w:val="20"/>
              </w:rPr>
              <w:t>1</w:t>
            </w:r>
          </w:p>
        </w:tc>
        <w:tc>
          <w:tcPr>
            <w:tcW w:w="1373" w:type="dxa"/>
            <w:shd w:val="clear" w:color="auto" w:fill="auto"/>
            <w:noWrap/>
            <w:vAlign w:val="center"/>
            <w:hideMark/>
          </w:tcPr>
          <w:p w14:paraId="4C4E0A76"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044" w:type="dxa"/>
            <w:shd w:val="clear" w:color="auto" w:fill="auto"/>
            <w:vAlign w:val="center"/>
            <w:hideMark/>
          </w:tcPr>
          <w:p w14:paraId="68F43831"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170" w:type="dxa"/>
            <w:shd w:val="clear" w:color="auto" w:fill="auto"/>
            <w:vAlign w:val="center"/>
            <w:hideMark/>
          </w:tcPr>
          <w:p w14:paraId="7C1C9C25"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350" w:type="dxa"/>
            <w:shd w:val="clear" w:color="auto" w:fill="auto"/>
            <w:vAlign w:val="center"/>
            <w:hideMark/>
          </w:tcPr>
          <w:p w14:paraId="709F2A4E"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011" w:type="dxa"/>
            <w:shd w:val="clear" w:color="auto" w:fill="auto"/>
            <w:vAlign w:val="center"/>
            <w:hideMark/>
          </w:tcPr>
          <w:p w14:paraId="2526DDB6"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249" w:type="dxa"/>
            <w:shd w:val="clear" w:color="auto" w:fill="auto"/>
            <w:vAlign w:val="center"/>
            <w:hideMark/>
          </w:tcPr>
          <w:p w14:paraId="5F144DD5" w14:textId="77777777" w:rsidR="003A4388" w:rsidRPr="00FB0456" w:rsidRDefault="003A4388" w:rsidP="003A4388">
            <w:pPr>
              <w:widowControl/>
              <w:autoSpaceDE/>
              <w:autoSpaceDN/>
              <w:adjustRightInd/>
              <w:jc w:val="right"/>
              <w:rPr>
                <w:sz w:val="20"/>
                <w:szCs w:val="20"/>
              </w:rPr>
            </w:pPr>
            <w:r w:rsidRPr="00FB0456">
              <w:rPr>
                <w:sz w:val="20"/>
                <w:szCs w:val="20"/>
              </w:rPr>
              <w:t>$0</w:t>
            </w:r>
          </w:p>
        </w:tc>
      </w:tr>
      <w:tr w:rsidR="003A4388" w:rsidRPr="00FB0456" w14:paraId="6B41ED2A" w14:textId="77777777" w:rsidTr="004002B7">
        <w:trPr>
          <w:gridAfter w:val="1"/>
          <w:wAfter w:w="26" w:type="dxa"/>
          <w:trHeight w:val="260"/>
        </w:trPr>
        <w:tc>
          <w:tcPr>
            <w:tcW w:w="2690" w:type="dxa"/>
            <w:shd w:val="clear" w:color="auto" w:fill="auto"/>
            <w:vAlign w:val="center"/>
            <w:hideMark/>
          </w:tcPr>
          <w:p w14:paraId="369119D1" w14:textId="77777777" w:rsidR="003A4388" w:rsidRPr="00FB0456" w:rsidRDefault="003A4388" w:rsidP="003A4388">
            <w:pPr>
              <w:widowControl/>
              <w:autoSpaceDE/>
              <w:autoSpaceDN/>
              <w:adjustRightInd/>
              <w:rPr>
                <w:sz w:val="20"/>
                <w:szCs w:val="20"/>
              </w:rPr>
            </w:pPr>
            <w:r w:rsidRPr="00FB0456">
              <w:rPr>
                <w:sz w:val="20"/>
                <w:szCs w:val="20"/>
              </w:rPr>
              <w:t xml:space="preserve">    Notification of startup</w:t>
            </w:r>
          </w:p>
        </w:tc>
        <w:tc>
          <w:tcPr>
            <w:tcW w:w="1270" w:type="dxa"/>
            <w:shd w:val="clear" w:color="auto" w:fill="auto"/>
            <w:vAlign w:val="center"/>
            <w:hideMark/>
          </w:tcPr>
          <w:p w14:paraId="779846FB" w14:textId="77777777" w:rsidR="003A4388" w:rsidRPr="00FB0456" w:rsidRDefault="003A4388" w:rsidP="003A4388">
            <w:pPr>
              <w:widowControl/>
              <w:autoSpaceDE/>
              <w:autoSpaceDN/>
              <w:adjustRightInd/>
              <w:jc w:val="center"/>
              <w:rPr>
                <w:sz w:val="20"/>
                <w:szCs w:val="20"/>
              </w:rPr>
            </w:pPr>
            <w:r w:rsidRPr="00FB0456">
              <w:rPr>
                <w:sz w:val="20"/>
                <w:szCs w:val="20"/>
              </w:rPr>
              <w:t>2</w:t>
            </w:r>
          </w:p>
        </w:tc>
        <w:tc>
          <w:tcPr>
            <w:tcW w:w="1350" w:type="dxa"/>
            <w:shd w:val="clear" w:color="auto" w:fill="auto"/>
            <w:vAlign w:val="center"/>
            <w:hideMark/>
          </w:tcPr>
          <w:p w14:paraId="27E80625" w14:textId="77777777" w:rsidR="003A4388" w:rsidRPr="00FB0456" w:rsidRDefault="003A4388" w:rsidP="003A4388">
            <w:pPr>
              <w:widowControl/>
              <w:autoSpaceDE/>
              <w:autoSpaceDN/>
              <w:adjustRightInd/>
              <w:jc w:val="center"/>
              <w:rPr>
                <w:sz w:val="20"/>
                <w:szCs w:val="20"/>
              </w:rPr>
            </w:pPr>
            <w:r w:rsidRPr="00FB0456">
              <w:rPr>
                <w:sz w:val="20"/>
                <w:szCs w:val="20"/>
              </w:rPr>
              <w:t>1</w:t>
            </w:r>
          </w:p>
        </w:tc>
        <w:tc>
          <w:tcPr>
            <w:tcW w:w="1417" w:type="dxa"/>
            <w:shd w:val="clear" w:color="auto" w:fill="auto"/>
            <w:vAlign w:val="center"/>
            <w:hideMark/>
          </w:tcPr>
          <w:p w14:paraId="0B406FC5" w14:textId="77777777" w:rsidR="003A4388" w:rsidRPr="00FB0456" w:rsidRDefault="003A4388" w:rsidP="003A4388">
            <w:pPr>
              <w:widowControl/>
              <w:autoSpaceDE/>
              <w:autoSpaceDN/>
              <w:adjustRightInd/>
              <w:jc w:val="center"/>
              <w:rPr>
                <w:sz w:val="20"/>
                <w:szCs w:val="20"/>
              </w:rPr>
            </w:pPr>
            <w:r w:rsidRPr="00FB0456">
              <w:rPr>
                <w:sz w:val="20"/>
                <w:szCs w:val="20"/>
              </w:rPr>
              <w:t>1</w:t>
            </w:r>
          </w:p>
        </w:tc>
        <w:tc>
          <w:tcPr>
            <w:tcW w:w="1373" w:type="dxa"/>
            <w:shd w:val="clear" w:color="auto" w:fill="auto"/>
            <w:noWrap/>
            <w:vAlign w:val="center"/>
            <w:hideMark/>
          </w:tcPr>
          <w:p w14:paraId="420C8021"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044" w:type="dxa"/>
            <w:shd w:val="clear" w:color="auto" w:fill="auto"/>
            <w:vAlign w:val="center"/>
            <w:hideMark/>
          </w:tcPr>
          <w:p w14:paraId="749C483A"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170" w:type="dxa"/>
            <w:shd w:val="clear" w:color="auto" w:fill="auto"/>
            <w:vAlign w:val="center"/>
            <w:hideMark/>
          </w:tcPr>
          <w:p w14:paraId="2A8BDBE6"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350" w:type="dxa"/>
            <w:shd w:val="clear" w:color="auto" w:fill="auto"/>
            <w:vAlign w:val="center"/>
            <w:hideMark/>
          </w:tcPr>
          <w:p w14:paraId="527FBFB9"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011" w:type="dxa"/>
            <w:shd w:val="clear" w:color="auto" w:fill="auto"/>
            <w:vAlign w:val="center"/>
            <w:hideMark/>
          </w:tcPr>
          <w:p w14:paraId="09EB0CC1"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249" w:type="dxa"/>
            <w:shd w:val="clear" w:color="auto" w:fill="auto"/>
            <w:vAlign w:val="center"/>
            <w:hideMark/>
          </w:tcPr>
          <w:p w14:paraId="1954F4D9" w14:textId="77777777" w:rsidR="003A4388" w:rsidRPr="00FB0456" w:rsidRDefault="003A4388" w:rsidP="003A4388">
            <w:pPr>
              <w:widowControl/>
              <w:autoSpaceDE/>
              <w:autoSpaceDN/>
              <w:adjustRightInd/>
              <w:jc w:val="right"/>
              <w:rPr>
                <w:sz w:val="20"/>
                <w:szCs w:val="20"/>
              </w:rPr>
            </w:pPr>
            <w:r w:rsidRPr="00FB0456">
              <w:rPr>
                <w:sz w:val="20"/>
                <w:szCs w:val="20"/>
              </w:rPr>
              <w:t>$0</w:t>
            </w:r>
          </w:p>
        </w:tc>
      </w:tr>
      <w:tr w:rsidR="003A4388" w:rsidRPr="00FB0456" w14:paraId="58421AA8" w14:textId="77777777" w:rsidTr="004002B7">
        <w:trPr>
          <w:gridAfter w:val="1"/>
          <w:wAfter w:w="26" w:type="dxa"/>
          <w:trHeight w:val="170"/>
        </w:trPr>
        <w:tc>
          <w:tcPr>
            <w:tcW w:w="2690" w:type="dxa"/>
            <w:shd w:val="clear" w:color="auto" w:fill="auto"/>
            <w:vAlign w:val="bottom"/>
            <w:hideMark/>
          </w:tcPr>
          <w:p w14:paraId="5B345745" w14:textId="77777777" w:rsidR="003A4388" w:rsidRPr="00FB0456" w:rsidRDefault="003A4388" w:rsidP="003A4388">
            <w:pPr>
              <w:widowControl/>
              <w:autoSpaceDE/>
              <w:autoSpaceDN/>
              <w:adjustRightInd/>
              <w:rPr>
                <w:sz w:val="20"/>
                <w:szCs w:val="20"/>
              </w:rPr>
            </w:pPr>
            <w:r w:rsidRPr="00FB0456">
              <w:rPr>
                <w:sz w:val="20"/>
                <w:szCs w:val="20"/>
              </w:rPr>
              <w:t>C. Create information</w:t>
            </w:r>
          </w:p>
        </w:tc>
        <w:tc>
          <w:tcPr>
            <w:tcW w:w="1270" w:type="dxa"/>
            <w:shd w:val="clear" w:color="auto" w:fill="auto"/>
            <w:vAlign w:val="center"/>
            <w:hideMark/>
          </w:tcPr>
          <w:p w14:paraId="0204EB61" w14:textId="77777777" w:rsidR="003A4388" w:rsidRPr="00FB0456" w:rsidRDefault="003A4388" w:rsidP="003A4388">
            <w:pPr>
              <w:widowControl/>
              <w:autoSpaceDE/>
              <w:autoSpaceDN/>
              <w:adjustRightInd/>
              <w:jc w:val="center"/>
              <w:rPr>
                <w:sz w:val="20"/>
                <w:szCs w:val="20"/>
              </w:rPr>
            </w:pPr>
            <w:r w:rsidRPr="00FB0456">
              <w:rPr>
                <w:sz w:val="20"/>
                <w:szCs w:val="20"/>
              </w:rPr>
              <w:t>See 4E</w:t>
            </w:r>
          </w:p>
        </w:tc>
        <w:tc>
          <w:tcPr>
            <w:tcW w:w="1350" w:type="dxa"/>
            <w:shd w:val="clear" w:color="auto" w:fill="auto"/>
            <w:vAlign w:val="center"/>
            <w:hideMark/>
          </w:tcPr>
          <w:p w14:paraId="11C69EA4"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417" w:type="dxa"/>
            <w:shd w:val="clear" w:color="auto" w:fill="auto"/>
            <w:vAlign w:val="center"/>
            <w:hideMark/>
          </w:tcPr>
          <w:p w14:paraId="0BC0A81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73" w:type="dxa"/>
            <w:shd w:val="clear" w:color="auto" w:fill="auto"/>
            <w:noWrap/>
            <w:vAlign w:val="center"/>
            <w:hideMark/>
          </w:tcPr>
          <w:p w14:paraId="78FE234B"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44" w:type="dxa"/>
            <w:shd w:val="clear" w:color="auto" w:fill="auto"/>
            <w:vAlign w:val="center"/>
            <w:hideMark/>
          </w:tcPr>
          <w:p w14:paraId="489CEE61"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center"/>
            <w:hideMark/>
          </w:tcPr>
          <w:p w14:paraId="4771DC13"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7614A0C3"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11" w:type="dxa"/>
            <w:shd w:val="clear" w:color="auto" w:fill="auto"/>
            <w:vAlign w:val="center"/>
            <w:hideMark/>
          </w:tcPr>
          <w:p w14:paraId="10684D35"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249" w:type="dxa"/>
            <w:shd w:val="clear" w:color="auto" w:fill="auto"/>
            <w:vAlign w:val="center"/>
            <w:hideMark/>
          </w:tcPr>
          <w:p w14:paraId="0C66A12E" w14:textId="77777777" w:rsidR="003A4388" w:rsidRPr="00FB0456" w:rsidRDefault="003A4388" w:rsidP="003A4388">
            <w:pPr>
              <w:widowControl/>
              <w:autoSpaceDE/>
              <w:autoSpaceDN/>
              <w:adjustRightInd/>
              <w:jc w:val="right"/>
              <w:rPr>
                <w:sz w:val="20"/>
                <w:szCs w:val="20"/>
              </w:rPr>
            </w:pPr>
            <w:r w:rsidRPr="00FB0456">
              <w:rPr>
                <w:sz w:val="20"/>
                <w:szCs w:val="20"/>
              </w:rPr>
              <w:t> </w:t>
            </w:r>
          </w:p>
        </w:tc>
      </w:tr>
      <w:tr w:rsidR="003A4388" w:rsidRPr="00FB0456" w14:paraId="0E8FAF0C" w14:textId="77777777" w:rsidTr="004002B7">
        <w:trPr>
          <w:gridAfter w:val="1"/>
          <w:wAfter w:w="26" w:type="dxa"/>
          <w:trHeight w:val="287"/>
        </w:trPr>
        <w:tc>
          <w:tcPr>
            <w:tcW w:w="2690" w:type="dxa"/>
            <w:shd w:val="clear" w:color="auto" w:fill="auto"/>
            <w:vAlign w:val="bottom"/>
            <w:hideMark/>
          </w:tcPr>
          <w:p w14:paraId="7B057AAA" w14:textId="77777777" w:rsidR="003A4388" w:rsidRPr="00FB0456" w:rsidRDefault="003A4388" w:rsidP="003A4388">
            <w:pPr>
              <w:widowControl/>
              <w:autoSpaceDE/>
              <w:autoSpaceDN/>
              <w:adjustRightInd/>
              <w:rPr>
                <w:sz w:val="20"/>
                <w:szCs w:val="20"/>
              </w:rPr>
            </w:pPr>
            <w:r w:rsidRPr="00FB0456">
              <w:rPr>
                <w:sz w:val="20"/>
                <w:szCs w:val="20"/>
              </w:rPr>
              <w:t>D. Gather existing information</w:t>
            </w:r>
          </w:p>
        </w:tc>
        <w:tc>
          <w:tcPr>
            <w:tcW w:w="1270" w:type="dxa"/>
            <w:shd w:val="clear" w:color="auto" w:fill="auto"/>
            <w:vAlign w:val="center"/>
            <w:hideMark/>
          </w:tcPr>
          <w:p w14:paraId="1C3FD195" w14:textId="77777777" w:rsidR="003A4388" w:rsidRPr="00FB0456" w:rsidRDefault="003A4388" w:rsidP="003A4388">
            <w:pPr>
              <w:widowControl/>
              <w:autoSpaceDE/>
              <w:autoSpaceDN/>
              <w:adjustRightInd/>
              <w:jc w:val="center"/>
              <w:rPr>
                <w:sz w:val="20"/>
                <w:szCs w:val="20"/>
              </w:rPr>
            </w:pPr>
            <w:r w:rsidRPr="00FB0456">
              <w:rPr>
                <w:sz w:val="20"/>
                <w:szCs w:val="20"/>
              </w:rPr>
              <w:t>See 4E</w:t>
            </w:r>
          </w:p>
        </w:tc>
        <w:tc>
          <w:tcPr>
            <w:tcW w:w="1350" w:type="dxa"/>
            <w:shd w:val="clear" w:color="auto" w:fill="auto"/>
            <w:vAlign w:val="center"/>
            <w:hideMark/>
          </w:tcPr>
          <w:p w14:paraId="5758047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417" w:type="dxa"/>
            <w:shd w:val="clear" w:color="auto" w:fill="auto"/>
            <w:vAlign w:val="center"/>
            <w:hideMark/>
          </w:tcPr>
          <w:p w14:paraId="66B11490"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73" w:type="dxa"/>
            <w:shd w:val="clear" w:color="auto" w:fill="auto"/>
            <w:noWrap/>
            <w:vAlign w:val="center"/>
            <w:hideMark/>
          </w:tcPr>
          <w:p w14:paraId="326EBA65"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44" w:type="dxa"/>
            <w:shd w:val="clear" w:color="auto" w:fill="auto"/>
            <w:vAlign w:val="center"/>
            <w:hideMark/>
          </w:tcPr>
          <w:p w14:paraId="5CF1859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center"/>
            <w:hideMark/>
          </w:tcPr>
          <w:p w14:paraId="389FB878"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6274A4AA"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11" w:type="dxa"/>
            <w:shd w:val="clear" w:color="auto" w:fill="auto"/>
            <w:vAlign w:val="center"/>
            <w:hideMark/>
          </w:tcPr>
          <w:p w14:paraId="2FDDFC21"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249" w:type="dxa"/>
            <w:shd w:val="clear" w:color="auto" w:fill="auto"/>
            <w:vAlign w:val="center"/>
            <w:hideMark/>
          </w:tcPr>
          <w:p w14:paraId="721E46D1" w14:textId="77777777" w:rsidR="003A4388" w:rsidRPr="00FB0456" w:rsidRDefault="003A4388" w:rsidP="003A4388">
            <w:pPr>
              <w:widowControl/>
              <w:autoSpaceDE/>
              <w:autoSpaceDN/>
              <w:adjustRightInd/>
              <w:jc w:val="right"/>
              <w:rPr>
                <w:sz w:val="20"/>
                <w:szCs w:val="20"/>
              </w:rPr>
            </w:pPr>
            <w:r w:rsidRPr="00FB0456">
              <w:rPr>
                <w:sz w:val="20"/>
                <w:szCs w:val="20"/>
              </w:rPr>
              <w:t> </w:t>
            </w:r>
          </w:p>
        </w:tc>
      </w:tr>
      <w:tr w:rsidR="003A4388" w:rsidRPr="00FB0456" w14:paraId="05939688" w14:textId="77777777" w:rsidTr="004002B7">
        <w:trPr>
          <w:gridAfter w:val="1"/>
          <w:wAfter w:w="26" w:type="dxa"/>
          <w:trHeight w:val="1125"/>
        </w:trPr>
        <w:tc>
          <w:tcPr>
            <w:tcW w:w="2690" w:type="dxa"/>
            <w:shd w:val="clear" w:color="auto" w:fill="auto"/>
            <w:vAlign w:val="center"/>
            <w:hideMark/>
          </w:tcPr>
          <w:p w14:paraId="393B2139" w14:textId="0CAD7B36" w:rsidR="003A4388" w:rsidRPr="00FB0456" w:rsidRDefault="003A4388" w:rsidP="003A4388">
            <w:pPr>
              <w:widowControl/>
              <w:autoSpaceDE/>
              <w:autoSpaceDN/>
              <w:adjustRightInd/>
              <w:rPr>
                <w:sz w:val="20"/>
                <w:szCs w:val="20"/>
              </w:rPr>
            </w:pPr>
            <w:r w:rsidRPr="00FB0456">
              <w:rPr>
                <w:sz w:val="20"/>
                <w:szCs w:val="20"/>
              </w:rPr>
              <w:t>E. Prepare/Submit Emissions Summary Report</w:t>
            </w:r>
            <w:r w:rsidRPr="00FB0456">
              <w:rPr>
                <w:sz w:val="20"/>
                <w:szCs w:val="20"/>
              </w:rPr>
              <w:br/>
              <w:t>(Includes reporting of excess emissions &amp; downtime)</w:t>
            </w:r>
          </w:p>
        </w:tc>
        <w:tc>
          <w:tcPr>
            <w:tcW w:w="1270" w:type="dxa"/>
            <w:shd w:val="clear" w:color="auto" w:fill="auto"/>
            <w:vAlign w:val="center"/>
            <w:hideMark/>
          </w:tcPr>
          <w:p w14:paraId="2C765496" w14:textId="77777777" w:rsidR="003A4388" w:rsidRPr="00FB0456" w:rsidRDefault="003A4388" w:rsidP="003A4388">
            <w:pPr>
              <w:widowControl/>
              <w:autoSpaceDE/>
              <w:autoSpaceDN/>
              <w:adjustRightInd/>
              <w:jc w:val="center"/>
              <w:rPr>
                <w:sz w:val="20"/>
                <w:szCs w:val="20"/>
              </w:rPr>
            </w:pPr>
            <w:r w:rsidRPr="00FB0456">
              <w:rPr>
                <w:sz w:val="20"/>
                <w:szCs w:val="20"/>
              </w:rPr>
              <w:t>4</w:t>
            </w:r>
          </w:p>
        </w:tc>
        <w:tc>
          <w:tcPr>
            <w:tcW w:w="1350" w:type="dxa"/>
            <w:shd w:val="clear" w:color="auto" w:fill="auto"/>
            <w:vAlign w:val="center"/>
            <w:hideMark/>
          </w:tcPr>
          <w:p w14:paraId="5297BFE7" w14:textId="77777777" w:rsidR="003A4388" w:rsidRPr="00FB0456" w:rsidRDefault="003A4388" w:rsidP="003A4388">
            <w:pPr>
              <w:widowControl/>
              <w:autoSpaceDE/>
              <w:autoSpaceDN/>
              <w:adjustRightInd/>
              <w:jc w:val="center"/>
              <w:rPr>
                <w:sz w:val="20"/>
                <w:szCs w:val="20"/>
              </w:rPr>
            </w:pPr>
            <w:r w:rsidRPr="00FB0456">
              <w:rPr>
                <w:sz w:val="20"/>
                <w:szCs w:val="20"/>
              </w:rPr>
              <w:t>4</w:t>
            </w:r>
          </w:p>
        </w:tc>
        <w:tc>
          <w:tcPr>
            <w:tcW w:w="1417" w:type="dxa"/>
            <w:shd w:val="clear" w:color="auto" w:fill="auto"/>
            <w:vAlign w:val="center"/>
            <w:hideMark/>
          </w:tcPr>
          <w:p w14:paraId="22A9F0B7" w14:textId="77777777" w:rsidR="003A4388" w:rsidRPr="00FB0456" w:rsidRDefault="003A4388" w:rsidP="003A4388">
            <w:pPr>
              <w:widowControl/>
              <w:autoSpaceDE/>
              <w:autoSpaceDN/>
              <w:adjustRightInd/>
              <w:jc w:val="center"/>
              <w:rPr>
                <w:sz w:val="20"/>
                <w:szCs w:val="20"/>
              </w:rPr>
            </w:pPr>
            <w:r w:rsidRPr="00FB0456">
              <w:rPr>
                <w:sz w:val="20"/>
                <w:szCs w:val="20"/>
              </w:rPr>
              <w:t>16</w:t>
            </w:r>
          </w:p>
        </w:tc>
        <w:tc>
          <w:tcPr>
            <w:tcW w:w="1373" w:type="dxa"/>
            <w:shd w:val="clear" w:color="auto" w:fill="auto"/>
            <w:noWrap/>
            <w:vAlign w:val="center"/>
            <w:hideMark/>
          </w:tcPr>
          <w:p w14:paraId="6C845041" w14:textId="77777777" w:rsidR="003A4388" w:rsidRPr="00FB0456" w:rsidRDefault="003A4388" w:rsidP="003A4388">
            <w:pPr>
              <w:widowControl/>
              <w:autoSpaceDE/>
              <w:autoSpaceDN/>
              <w:adjustRightInd/>
              <w:jc w:val="center"/>
              <w:rPr>
                <w:sz w:val="20"/>
                <w:szCs w:val="20"/>
              </w:rPr>
            </w:pPr>
            <w:r w:rsidRPr="00FB0456">
              <w:rPr>
                <w:sz w:val="20"/>
                <w:szCs w:val="20"/>
              </w:rPr>
              <w:t>32</w:t>
            </w:r>
          </w:p>
        </w:tc>
        <w:tc>
          <w:tcPr>
            <w:tcW w:w="1044" w:type="dxa"/>
            <w:shd w:val="clear" w:color="auto" w:fill="auto"/>
            <w:vAlign w:val="center"/>
            <w:hideMark/>
          </w:tcPr>
          <w:p w14:paraId="2B07BB29" w14:textId="77777777" w:rsidR="003A4388" w:rsidRPr="00FB0456" w:rsidRDefault="003A4388" w:rsidP="003A4388">
            <w:pPr>
              <w:widowControl/>
              <w:autoSpaceDE/>
              <w:autoSpaceDN/>
              <w:adjustRightInd/>
              <w:jc w:val="center"/>
              <w:rPr>
                <w:sz w:val="20"/>
                <w:szCs w:val="20"/>
              </w:rPr>
            </w:pPr>
            <w:r w:rsidRPr="00FB0456">
              <w:rPr>
                <w:sz w:val="20"/>
                <w:szCs w:val="20"/>
              </w:rPr>
              <w:t>512</w:t>
            </w:r>
          </w:p>
        </w:tc>
        <w:tc>
          <w:tcPr>
            <w:tcW w:w="1170" w:type="dxa"/>
            <w:shd w:val="clear" w:color="auto" w:fill="auto"/>
            <w:vAlign w:val="center"/>
            <w:hideMark/>
          </w:tcPr>
          <w:p w14:paraId="62A3DCF3" w14:textId="77777777" w:rsidR="003A4388" w:rsidRPr="00FB0456" w:rsidRDefault="003A4388" w:rsidP="003A4388">
            <w:pPr>
              <w:widowControl/>
              <w:autoSpaceDE/>
              <w:autoSpaceDN/>
              <w:adjustRightInd/>
              <w:jc w:val="center"/>
              <w:rPr>
                <w:sz w:val="20"/>
                <w:szCs w:val="20"/>
              </w:rPr>
            </w:pPr>
            <w:r w:rsidRPr="00FB0456">
              <w:rPr>
                <w:sz w:val="20"/>
                <w:szCs w:val="20"/>
              </w:rPr>
              <w:t>512</w:t>
            </w:r>
          </w:p>
        </w:tc>
        <w:tc>
          <w:tcPr>
            <w:tcW w:w="1350" w:type="dxa"/>
            <w:shd w:val="clear" w:color="auto" w:fill="auto"/>
            <w:vAlign w:val="center"/>
            <w:hideMark/>
          </w:tcPr>
          <w:p w14:paraId="436033F0" w14:textId="77777777" w:rsidR="003A4388" w:rsidRPr="00FB0456" w:rsidRDefault="003A4388" w:rsidP="003A4388">
            <w:pPr>
              <w:widowControl/>
              <w:autoSpaceDE/>
              <w:autoSpaceDN/>
              <w:adjustRightInd/>
              <w:jc w:val="center"/>
              <w:rPr>
                <w:sz w:val="20"/>
                <w:szCs w:val="20"/>
              </w:rPr>
            </w:pPr>
            <w:r w:rsidRPr="00FB0456">
              <w:rPr>
                <w:sz w:val="20"/>
                <w:szCs w:val="20"/>
              </w:rPr>
              <w:t>26</w:t>
            </w:r>
          </w:p>
        </w:tc>
        <w:tc>
          <w:tcPr>
            <w:tcW w:w="1011" w:type="dxa"/>
            <w:shd w:val="clear" w:color="auto" w:fill="auto"/>
            <w:vAlign w:val="center"/>
            <w:hideMark/>
          </w:tcPr>
          <w:p w14:paraId="5CB559F9" w14:textId="77777777" w:rsidR="003A4388" w:rsidRPr="00FB0456" w:rsidRDefault="003A4388" w:rsidP="003A4388">
            <w:pPr>
              <w:widowControl/>
              <w:autoSpaceDE/>
              <w:autoSpaceDN/>
              <w:adjustRightInd/>
              <w:jc w:val="center"/>
              <w:rPr>
                <w:sz w:val="20"/>
                <w:szCs w:val="20"/>
              </w:rPr>
            </w:pPr>
            <w:r w:rsidRPr="00FB0456">
              <w:rPr>
                <w:sz w:val="20"/>
                <w:szCs w:val="20"/>
              </w:rPr>
              <w:t>51</w:t>
            </w:r>
          </w:p>
        </w:tc>
        <w:tc>
          <w:tcPr>
            <w:tcW w:w="1249" w:type="dxa"/>
            <w:shd w:val="clear" w:color="auto" w:fill="auto"/>
            <w:vAlign w:val="center"/>
            <w:hideMark/>
          </w:tcPr>
          <w:p w14:paraId="344992DA" w14:textId="77777777" w:rsidR="003A4388" w:rsidRPr="00FB0456" w:rsidRDefault="003A4388" w:rsidP="003A4388">
            <w:pPr>
              <w:widowControl/>
              <w:autoSpaceDE/>
              <w:autoSpaceDN/>
              <w:adjustRightInd/>
              <w:jc w:val="right"/>
              <w:rPr>
                <w:sz w:val="20"/>
                <w:szCs w:val="20"/>
              </w:rPr>
            </w:pPr>
            <w:r w:rsidRPr="00FB0456">
              <w:rPr>
                <w:sz w:val="20"/>
                <w:szCs w:val="20"/>
              </w:rPr>
              <w:t>$67,067.90</w:t>
            </w:r>
          </w:p>
        </w:tc>
      </w:tr>
      <w:tr w:rsidR="003A4388" w:rsidRPr="00FB0456" w14:paraId="7317639C" w14:textId="77777777" w:rsidTr="004002B7">
        <w:trPr>
          <w:gridAfter w:val="1"/>
          <w:wAfter w:w="26" w:type="dxa"/>
          <w:trHeight w:val="161"/>
        </w:trPr>
        <w:tc>
          <w:tcPr>
            <w:tcW w:w="2690" w:type="dxa"/>
            <w:shd w:val="clear" w:color="auto" w:fill="auto"/>
            <w:vAlign w:val="bottom"/>
            <w:hideMark/>
          </w:tcPr>
          <w:p w14:paraId="0A029103" w14:textId="77777777" w:rsidR="003A4388" w:rsidRPr="00FB0456" w:rsidRDefault="003A4388" w:rsidP="003A4388">
            <w:pPr>
              <w:widowControl/>
              <w:autoSpaceDE/>
              <w:autoSpaceDN/>
              <w:adjustRightInd/>
              <w:rPr>
                <w:b/>
                <w:bCs/>
                <w:i/>
                <w:iCs/>
                <w:sz w:val="20"/>
                <w:szCs w:val="20"/>
              </w:rPr>
            </w:pPr>
            <w:r w:rsidRPr="00FB0456">
              <w:rPr>
                <w:b/>
                <w:bCs/>
                <w:i/>
                <w:iCs/>
                <w:sz w:val="20"/>
                <w:szCs w:val="20"/>
              </w:rPr>
              <w:t>Reporting Subtotal</w:t>
            </w:r>
          </w:p>
        </w:tc>
        <w:tc>
          <w:tcPr>
            <w:tcW w:w="1270" w:type="dxa"/>
            <w:shd w:val="clear" w:color="auto" w:fill="auto"/>
            <w:vAlign w:val="center"/>
            <w:hideMark/>
          </w:tcPr>
          <w:p w14:paraId="1F81DD02"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5408630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417" w:type="dxa"/>
            <w:shd w:val="clear" w:color="auto" w:fill="auto"/>
            <w:vAlign w:val="center"/>
            <w:hideMark/>
          </w:tcPr>
          <w:p w14:paraId="60CCD4F2"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73" w:type="dxa"/>
            <w:shd w:val="clear" w:color="auto" w:fill="auto"/>
            <w:noWrap/>
            <w:vAlign w:val="center"/>
            <w:hideMark/>
          </w:tcPr>
          <w:p w14:paraId="2D121EFB"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44" w:type="dxa"/>
            <w:shd w:val="clear" w:color="auto" w:fill="auto"/>
            <w:vAlign w:val="center"/>
            <w:hideMark/>
          </w:tcPr>
          <w:p w14:paraId="2B3B5F92"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3531" w:type="dxa"/>
            <w:gridSpan w:val="3"/>
            <w:shd w:val="clear" w:color="auto" w:fill="auto"/>
            <w:vAlign w:val="center"/>
            <w:hideMark/>
          </w:tcPr>
          <w:p w14:paraId="1FCE3C75" w14:textId="77777777" w:rsidR="003A4388" w:rsidRPr="00FB0456" w:rsidRDefault="003A4388" w:rsidP="003A4388">
            <w:pPr>
              <w:widowControl/>
              <w:autoSpaceDE/>
              <w:autoSpaceDN/>
              <w:adjustRightInd/>
              <w:jc w:val="center"/>
              <w:rPr>
                <w:sz w:val="20"/>
                <w:szCs w:val="20"/>
              </w:rPr>
            </w:pPr>
            <w:r w:rsidRPr="00FB0456">
              <w:rPr>
                <w:sz w:val="20"/>
                <w:szCs w:val="20"/>
              </w:rPr>
              <w:t>883</w:t>
            </w:r>
          </w:p>
        </w:tc>
        <w:tc>
          <w:tcPr>
            <w:tcW w:w="1249" w:type="dxa"/>
            <w:shd w:val="clear" w:color="auto" w:fill="auto"/>
            <w:vAlign w:val="center"/>
            <w:hideMark/>
          </w:tcPr>
          <w:p w14:paraId="45F214DE" w14:textId="77777777" w:rsidR="003A4388" w:rsidRPr="00FB0456" w:rsidRDefault="003A4388" w:rsidP="003A4388">
            <w:pPr>
              <w:widowControl/>
              <w:autoSpaceDE/>
              <w:autoSpaceDN/>
              <w:adjustRightInd/>
              <w:jc w:val="right"/>
              <w:rPr>
                <w:sz w:val="20"/>
                <w:szCs w:val="20"/>
              </w:rPr>
            </w:pPr>
            <w:r w:rsidRPr="00FB0456">
              <w:rPr>
                <w:sz w:val="20"/>
                <w:szCs w:val="20"/>
              </w:rPr>
              <w:t>$100,602</w:t>
            </w:r>
          </w:p>
        </w:tc>
      </w:tr>
      <w:tr w:rsidR="003A4388" w:rsidRPr="00FB0456" w14:paraId="340B408B" w14:textId="77777777" w:rsidTr="004002B7">
        <w:trPr>
          <w:gridAfter w:val="1"/>
          <w:wAfter w:w="26" w:type="dxa"/>
          <w:trHeight w:val="278"/>
        </w:trPr>
        <w:tc>
          <w:tcPr>
            <w:tcW w:w="2690" w:type="dxa"/>
            <w:shd w:val="clear" w:color="auto" w:fill="auto"/>
            <w:vAlign w:val="bottom"/>
            <w:hideMark/>
          </w:tcPr>
          <w:p w14:paraId="63554524" w14:textId="1F8C6B87" w:rsidR="003A4388" w:rsidRPr="00FB0456" w:rsidRDefault="003A4388" w:rsidP="003A4388">
            <w:pPr>
              <w:widowControl/>
              <w:autoSpaceDE/>
              <w:autoSpaceDN/>
              <w:adjustRightInd/>
              <w:rPr>
                <w:sz w:val="20"/>
                <w:szCs w:val="20"/>
              </w:rPr>
            </w:pPr>
            <w:r w:rsidRPr="00FB0456">
              <w:rPr>
                <w:sz w:val="20"/>
                <w:szCs w:val="20"/>
              </w:rPr>
              <w:t>5. Recordkeeping requirements</w:t>
            </w:r>
            <w:r w:rsidR="00BE4ACB" w:rsidRPr="00FB0456">
              <w:rPr>
                <w:sz w:val="20"/>
                <w:szCs w:val="20"/>
              </w:rPr>
              <w:t xml:space="preserve"> </w:t>
            </w:r>
          </w:p>
        </w:tc>
        <w:tc>
          <w:tcPr>
            <w:tcW w:w="1270" w:type="dxa"/>
            <w:shd w:val="clear" w:color="auto" w:fill="auto"/>
            <w:vAlign w:val="center"/>
            <w:hideMark/>
          </w:tcPr>
          <w:p w14:paraId="594A5E74" w14:textId="676ABE54" w:rsidR="003A4388" w:rsidRPr="00FB0456" w:rsidRDefault="00BE4ACB" w:rsidP="003A4388">
            <w:pPr>
              <w:widowControl/>
              <w:autoSpaceDE/>
              <w:autoSpaceDN/>
              <w:adjustRightInd/>
              <w:jc w:val="center"/>
              <w:rPr>
                <w:sz w:val="20"/>
                <w:szCs w:val="20"/>
              </w:rPr>
            </w:pPr>
            <w:r w:rsidRPr="00FB0456">
              <w:rPr>
                <w:sz w:val="20"/>
                <w:szCs w:val="20"/>
              </w:rPr>
              <w:t>See 4</w:t>
            </w:r>
            <w:r w:rsidR="003E104F" w:rsidRPr="00FB0456">
              <w:rPr>
                <w:sz w:val="20"/>
                <w:szCs w:val="20"/>
              </w:rPr>
              <w:t>A-E</w:t>
            </w:r>
          </w:p>
        </w:tc>
        <w:tc>
          <w:tcPr>
            <w:tcW w:w="1350" w:type="dxa"/>
            <w:shd w:val="clear" w:color="auto" w:fill="auto"/>
            <w:vAlign w:val="center"/>
            <w:hideMark/>
          </w:tcPr>
          <w:p w14:paraId="151662F5"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417" w:type="dxa"/>
            <w:shd w:val="clear" w:color="auto" w:fill="auto"/>
            <w:vAlign w:val="center"/>
            <w:hideMark/>
          </w:tcPr>
          <w:p w14:paraId="16DF0A2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73" w:type="dxa"/>
            <w:shd w:val="clear" w:color="auto" w:fill="auto"/>
            <w:noWrap/>
            <w:vAlign w:val="center"/>
            <w:hideMark/>
          </w:tcPr>
          <w:p w14:paraId="05962A88"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44" w:type="dxa"/>
            <w:shd w:val="clear" w:color="auto" w:fill="auto"/>
            <w:vAlign w:val="center"/>
            <w:hideMark/>
          </w:tcPr>
          <w:p w14:paraId="6CEA5023"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shd w:val="clear" w:color="auto" w:fill="auto"/>
            <w:vAlign w:val="center"/>
            <w:hideMark/>
          </w:tcPr>
          <w:p w14:paraId="74113969"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53D46429"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11" w:type="dxa"/>
            <w:shd w:val="clear" w:color="auto" w:fill="auto"/>
            <w:vAlign w:val="center"/>
            <w:hideMark/>
          </w:tcPr>
          <w:p w14:paraId="16134BD8"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249" w:type="dxa"/>
            <w:shd w:val="clear" w:color="auto" w:fill="auto"/>
            <w:vAlign w:val="center"/>
            <w:hideMark/>
          </w:tcPr>
          <w:p w14:paraId="7D5153DD" w14:textId="77777777" w:rsidR="003A4388" w:rsidRPr="00FB0456" w:rsidRDefault="003A4388" w:rsidP="003A4388">
            <w:pPr>
              <w:widowControl/>
              <w:autoSpaceDE/>
              <w:autoSpaceDN/>
              <w:adjustRightInd/>
              <w:jc w:val="right"/>
              <w:rPr>
                <w:sz w:val="20"/>
                <w:szCs w:val="20"/>
              </w:rPr>
            </w:pPr>
            <w:r w:rsidRPr="00FB0456">
              <w:rPr>
                <w:sz w:val="20"/>
                <w:szCs w:val="20"/>
              </w:rPr>
              <w:t> </w:t>
            </w:r>
          </w:p>
        </w:tc>
      </w:tr>
      <w:tr w:rsidR="003A4388" w:rsidRPr="00FB0456" w14:paraId="5412E5DB" w14:textId="77777777" w:rsidTr="004002B7">
        <w:trPr>
          <w:gridAfter w:val="1"/>
          <w:wAfter w:w="26" w:type="dxa"/>
          <w:trHeight w:val="170"/>
        </w:trPr>
        <w:tc>
          <w:tcPr>
            <w:tcW w:w="2690" w:type="dxa"/>
            <w:shd w:val="clear" w:color="auto" w:fill="auto"/>
            <w:vAlign w:val="center"/>
            <w:hideMark/>
          </w:tcPr>
          <w:p w14:paraId="781E1C2D" w14:textId="1E9619E5" w:rsidR="003A4388" w:rsidRPr="00FB0456" w:rsidRDefault="003A4388" w:rsidP="003A4388">
            <w:pPr>
              <w:widowControl/>
              <w:autoSpaceDE/>
              <w:autoSpaceDN/>
              <w:adjustRightInd/>
              <w:rPr>
                <w:b/>
                <w:bCs/>
                <w:i/>
                <w:iCs/>
                <w:sz w:val="20"/>
                <w:szCs w:val="20"/>
              </w:rPr>
            </w:pPr>
            <w:r w:rsidRPr="00FB0456">
              <w:rPr>
                <w:b/>
                <w:bCs/>
                <w:i/>
                <w:iCs/>
                <w:sz w:val="20"/>
                <w:szCs w:val="20"/>
              </w:rPr>
              <w:t>Recordkeeping Subtotal</w:t>
            </w:r>
            <w:r w:rsidR="00BE4ACB" w:rsidRPr="00FB0456">
              <w:rPr>
                <w:sz w:val="20"/>
                <w:szCs w:val="20"/>
                <w:vertAlign w:val="superscript"/>
              </w:rPr>
              <w:t xml:space="preserve"> d</w:t>
            </w:r>
          </w:p>
        </w:tc>
        <w:tc>
          <w:tcPr>
            <w:tcW w:w="1270" w:type="dxa"/>
            <w:shd w:val="clear" w:color="auto" w:fill="auto"/>
            <w:vAlign w:val="center"/>
            <w:hideMark/>
          </w:tcPr>
          <w:p w14:paraId="362BF56A"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shd w:val="clear" w:color="auto" w:fill="auto"/>
            <w:vAlign w:val="center"/>
            <w:hideMark/>
          </w:tcPr>
          <w:p w14:paraId="4F72C224"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417" w:type="dxa"/>
            <w:shd w:val="clear" w:color="auto" w:fill="auto"/>
            <w:vAlign w:val="center"/>
            <w:hideMark/>
          </w:tcPr>
          <w:p w14:paraId="008EC8BB"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73" w:type="dxa"/>
            <w:shd w:val="clear" w:color="auto" w:fill="auto"/>
            <w:noWrap/>
            <w:vAlign w:val="center"/>
            <w:hideMark/>
          </w:tcPr>
          <w:p w14:paraId="00B765C2"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44" w:type="dxa"/>
            <w:shd w:val="clear" w:color="auto" w:fill="auto"/>
            <w:vAlign w:val="center"/>
            <w:hideMark/>
          </w:tcPr>
          <w:p w14:paraId="16C78352"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3531" w:type="dxa"/>
            <w:gridSpan w:val="3"/>
            <w:shd w:val="clear" w:color="auto" w:fill="auto"/>
            <w:vAlign w:val="center"/>
            <w:hideMark/>
          </w:tcPr>
          <w:p w14:paraId="7F059678" w14:textId="77777777" w:rsidR="003A4388" w:rsidRPr="00FB0456" w:rsidRDefault="003A4388" w:rsidP="003A4388">
            <w:pPr>
              <w:widowControl/>
              <w:autoSpaceDE/>
              <w:autoSpaceDN/>
              <w:adjustRightInd/>
              <w:jc w:val="center"/>
              <w:rPr>
                <w:sz w:val="20"/>
                <w:szCs w:val="20"/>
              </w:rPr>
            </w:pPr>
            <w:r w:rsidRPr="00FB0456">
              <w:rPr>
                <w:sz w:val="20"/>
                <w:szCs w:val="20"/>
              </w:rPr>
              <w:t>0</w:t>
            </w:r>
          </w:p>
        </w:tc>
        <w:tc>
          <w:tcPr>
            <w:tcW w:w="1249" w:type="dxa"/>
            <w:shd w:val="clear" w:color="auto" w:fill="auto"/>
            <w:vAlign w:val="center"/>
            <w:hideMark/>
          </w:tcPr>
          <w:p w14:paraId="146A7B8F" w14:textId="77777777" w:rsidR="003A4388" w:rsidRPr="00FB0456" w:rsidRDefault="003A4388" w:rsidP="003A4388">
            <w:pPr>
              <w:widowControl/>
              <w:autoSpaceDE/>
              <w:autoSpaceDN/>
              <w:adjustRightInd/>
              <w:jc w:val="right"/>
              <w:rPr>
                <w:sz w:val="20"/>
                <w:szCs w:val="20"/>
              </w:rPr>
            </w:pPr>
            <w:r w:rsidRPr="00FB0456">
              <w:rPr>
                <w:sz w:val="20"/>
                <w:szCs w:val="20"/>
              </w:rPr>
              <w:t>$0</w:t>
            </w:r>
          </w:p>
        </w:tc>
      </w:tr>
      <w:tr w:rsidR="003A4388" w:rsidRPr="00FB0456" w14:paraId="7D210204" w14:textId="77777777" w:rsidTr="004002B7">
        <w:trPr>
          <w:gridAfter w:val="1"/>
          <w:wAfter w:w="26" w:type="dxa"/>
          <w:trHeight w:val="360"/>
        </w:trPr>
        <w:tc>
          <w:tcPr>
            <w:tcW w:w="2690" w:type="dxa"/>
            <w:shd w:val="clear" w:color="auto" w:fill="auto"/>
            <w:vAlign w:val="center"/>
            <w:hideMark/>
          </w:tcPr>
          <w:p w14:paraId="7408D248" w14:textId="05148A5D" w:rsidR="003A4388" w:rsidRPr="00FB0456" w:rsidRDefault="003A4388" w:rsidP="003A4388">
            <w:pPr>
              <w:widowControl/>
              <w:autoSpaceDE/>
              <w:autoSpaceDN/>
              <w:adjustRightInd/>
              <w:rPr>
                <w:b/>
                <w:sz w:val="20"/>
                <w:szCs w:val="20"/>
              </w:rPr>
            </w:pPr>
            <w:r w:rsidRPr="00FB0456">
              <w:rPr>
                <w:b/>
                <w:sz w:val="20"/>
                <w:szCs w:val="20"/>
              </w:rPr>
              <w:t>TOTAL LABOR BURDEN AND COST (rounded)</w:t>
            </w:r>
            <w:r w:rsidR="00BE4ACB" w:rsidRPr="00FB0456">
              <w:rPr>
                <w:b/>
                <w:sz w:val="20"/>
                <w:szCs w:val="20"/>
                <w:vertAlign w:val="superscript"/>
              </w:rPr>
              <w:t>e</w:t>
            </w:r>
          </w:p>
        </w:tc>
        <w:tc>
          <w:tcPr>
            <w:tcW w:w="1270" w:type="dxa"/>
            <w:shd w:val="clear" w:color="auto" w:fill="auto"/>
            <w:vAlign w:val="center"/>
            <w:hideMark/>
          </w:tcPr>
          <w:p w14:paraId="1177F830" w14:textId="77777777" w:rsidR="003A4388" w:rsidRPr="00FB0456" w:rsidRDefault="003A4388" w:rsidP="003A4388">
            <w:pPr>
              <w:widowControl/>
              <w:autoSpaceDE/>
              <w:autoSpaceDN/>
              <w:adjustRightInd/>
              <w:jc w:val="right"/>
              <w:rPr>
                <w:sz w:val="20"/>
                <w:szCs w:val="20"/>
              </w:rPr>
            </w:pPr>
            <w:r w:rsidRPr="00FB0456">
              <w:rPr>
                <w:sz w:val="20"/>
                <w:szCs w:val="20"/>
              </w:rPr>
              <w:t> </w:t>
            </w:r>
          </w:p>
        </w:tc>
        <w:tc>
          <w:tcPr>
            <w:tcW w:w="1350" w:type="dxa"/>
            <w:shd w:val="clear" w:color="auto" w:fill="auto"/>
            <w:vAlign w:val="bottom"/>
            <w:hideMark/>
          </w:tcPr>
          <w:p w14:paraId="42790FCC" w14:textId="77777777" w:rsidR="003A4388" w:rsidRPr="00FB0456" w:rsidRDefault="003A4388" w:rsidP="003A4388">
            <w:pPr>
              <w:widowControl/>
              <w:autoSpaceDE/>
              <w:autoSpaceDN/>
              <w:adjustRightInd/>
              <w:rPr>
                <w:sz w:val="20"/>
                <w:szCs w:val="20"/>
              </w:rPr>
            </w:pPr>
            <w:r w:rsidRPr="00FB0456">
              <w:rPr>
                <w:sz w:val="20"/>
                <w:szCs w:val="20"/>
              </w:rPr>
              <w:t> </w:t>
            </w:r>
          </w:p>
        </w:tc>
        <w:tc>
          <w:tcPr>
            <w:tcW w:w="1417" w:type="dxa"/>
            <w:shd w:val="clear" w:color="auto" w:fill="auto"/>
            <w:vAlign w:val="center"/>
            <w:hideMark/>
          </w:tcPr>
          <w:p w14:paraId="395FCE17" w14:textId="77777777" w:rsidR="003A4388" w:rsidRPr="00FB0456" w:rsidRDefault="003A4388" w:rsidP="003A4388">
            <w:pPr>
              <w:widowControl/>
              <w:autoSpaceDE/>
              <w:autoSpaceDN/>
              <w:adjustRightInd/>
              <w:jc w:val="right"/>
              <w:rPr>
                <w:sz w:val="20"/>
                <w:szCs w:val="20"/>
              </w:rPr>
            </w:pPr>
            <w:r w:rsidRPr="00FB0456">
              <w:rPr>
                <w:sz w:val="20"/>
                <w:szCs w:val="20"/>
              </w:rPr>
              <w:t> </w:t>
            </w:r>
          </w:p>
        </w:tc>
        <w:tc>
          <w:tcPr>
            <w:tcW w:w="1373" w:type="dxa"/>
            <w:shd w:val="clear" w:color="auto" w:fill="auto"/>
            <w:vAlign w:val="bottom"/>
            <w:hideMark/>
          </w:tcPr>
          <w:p w14:paraId="2B721F0D" w14:textId="77777777" w:rsidR="003A4388" w:rsidRPr="00FB0456" w:rsidRDefault="003A4388" w:rsidP="003A4388">
            <w:pPr>
              <w:widowControl/>
              <w:autoSpaceDE/>
              <w:autoSpaceDN/>
              <w:adjustRightInd/>
              <w:rPr>
                <w:sz w:val="20"/>
                <w:szCs w:val="20"/>
              </w:rPr>
            </w:pPr>
            <w:r w:rsidRPr="00FB0456">
              <w:rPr>
                <w:sz w:val="20"/>
                <w:szCs w:val="20"/>
              </w:rPr>
              <w:t> </w:t>
            </w:r>
          </w:p>
        </w:tc>
        <w:tc>
          <w:tcPr>
            <w:tcW w:w="1044" w:type="dxa"/>
            <w:shd w:val="clear" w:color="auto" w:fill="auto"/>
            <w:vAlign w:val="center"/>
            <w:hideMark/>
          </w:tcPr>
          <w:p w14:paraId="541DEF44"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3531" w:type="dxa"/>
            <w:gridSpan w:val="3"/>
            <w:shd w:val="clear" w:color="auto" w:fill="auto"/>
            <w:vAlign w:val="center"/>
            <w:hideMark/>
          </w:tcPr>
          <w:p w14:paraId="1B70F0BA" w14:textId="77777777" w:rsidR="003A4388" w:rsidRPr="00FB0456" w:rsidRDefault="003A4388" w:rsidP="003A4388">
            <w:pPr>
              <w:widowControl/>
              <w:autoSpaceDE/>
              <w:autoSpaceDN/>
              <w:adjustRightInd/>
              <w:jc w:val="center"/>
              <w:rPr>
                <w:sz w:val="20"/>
                <w:szCs w:val="20"/>
              </w:rPr>
            </w:pPr>
            <w:r w:rsidRPr="00FB0456">
              <w:rPr>
                <w:sz w:val="20"/>
                <w:szCs w:val="20"/>
              </w:rPr>
              <w:t>883</w:t>
            </w:r>
          </w:p>
        </w:tc>
        <w:tc>
          <w:tcPr>
            <w:tcW w:w="1249" w:type="dxa"/>
            <w:shd w:val="clear" w:color="auto" w:fill="auto"/>
            <w:vAlign w:val="center"/>
            <w:hideMark/>
          </w:tcPr>
          <w:p w14:paraId="56CFCE0F" w14:textId="77777777" w:rsidR="003A4388" w:rsidRPr="00FB0456" w:rsidRDefault="003A4388" w:rsidP="003A4388">
            <w:pPr>
              <w:widowControl/>
              <w:autoSpaceDE/>
              <w:autoSpaceDN/>
              <w:adjustRightInd/>
              <w:jc w:val="right"/>
              <w:rPr>
                <w:sz w:val="20"/>
                <w:szCs w:val="20"/>
              </w:rPr>
            </w:pPr>
            <w:r w:rsidRPr="00FB0456">
              <w:rPr>
                <w:sz w:val="20"/>
                <w:szCs w:val="20"/>
              </w:rPr>
              <w:t>$101,000</w:t>
            </w:r>
          </w:p>
        </w:tc>
      </w:tr>
      <w:tr w:rsidR="003A4388" w:rsidRPr="00FB0456" w14:paraId="3FF98487" w14:textId="77777777" w:rsidTr="004002B7">
        <w:trPr>
          <w:gridAfter w:val="1"/>
          <w:wAfter w:w="26" w:type="dxa"/>
          <w:trHeight w:val="380"/>
        </w:trPr>
        <w:tc>
          <w:tcPr>
            <w:tcW w:w="2690" w:type="dxa"/>
            <w:tcBorders>
              <w:bottom w:val="single" w:sz="4" w:space="0" w:color="auto"/>
            </w:tcBorders>
            <w:shd w:val="clear" w:color="auto" w:fill="auto"/>
            <w:vAlign w:val="center"/>
            <w:hideMark/>
          </w:tcPr>
          <w:p w14:paraId="76575B38" w14:textId="000CD034" w:rsidR="003A4388" w:rsidRPr="00FB0456" w:rsidRDefault="003A4388" w:rsidP="003A4388">
            <w:pPr>
              <w:widowControl/>
              <w:autoSpaceDE/>
              <w:autoSpaceDN/>
              <w:adjustRightInd/>
              <w:rPr>
                <w:b/>
                <w:sz w:val="20"/>
                <w:szCs w:val="20"/>
              </w:rPr>
            </w:pPr>
            <w:r w:rsidRPr="00FB0456">
              <w:rPr>
                <w:b/>
                <w:sz w:val="20"/>
                <w:szCs w:val="20"/>
              </w:rPr>
              <w:t>TOTAL CAPITAL AND O&amp;M COSTS (rounded)</w:t>
            </w:r>
            <w:r w:rsidR="00BE4ACB" w:rsidRPr="00FB0456">
              <w:rPr>
                <w:b/>
                <w:sz w:val="20"/>
                <w:szCs w:val="20"/>
                <w:vertAlign w:val="superscript"/>
              </w:rPr>
              <w:t>e</w:t>
            </w:r>
          </w:p>
        </w:tc>
        <w:tc>
          <w:tcPr>
            <w:tcW w:w="1270" w:type="dxa"/>
            <w:tcBorders>
              <w:bottom w:val="single" w:sz="4" w:space="0" w:color="auto"/>
            </w:tcBorders>
            <w:shd w:val="clear" w:color="auto" w:fill="auto"/>
            <w:vAlign w:val="center"/>
            <w:hideMark/>
          </w:tcPr>
          <w:p w14:paraId="105378A5" w14:textId="77777777" w:rsidR="003A4388" w:rsidRPr="00FB0456" w:rsidRDefault="003A4388" w:rsidP="003A4388">
            <w:pPr>
              <w:widowControl/>
              <w:autoSpaceDE/>
              <w:autoSpaceDN/>
              <w:adjustRightInd/>
              <w:jc w:val="right"/>
              <w:rPr>
                <w:sz w:val="20"/>
                <w:szCs w:val="20"/>
              </w:rPr>
            </w:pPr>
            <w:r w:rsidRPr="00FB0456">
              <w:rPr>
                <w:sz w:val="20"/>
                <w:szCs w:val="20"/>
              </w:rPr>
              <w:t> </w:t>
            </w:r>
          </w:p>
        </w:tc>
        <w:tc>
          <w:tcPr>
            <w:tcW w:w="1350" w:type="dxa"/>
            <w:tcBorders>
              <w:bottom w:val="single" w:sz="4" w:space="0" w:color="auto"/>
            </w:tcBorders>
            <w:shd w:val="clear" w:color="auto" w:fill="auto"/>
            <w:vAlign w:val="center"/>
            <w:hideMark/>
          </w:tcPr>
          <w:p w14:paraId="6D480ACF" w14:textId="77777777" w:rsidR="003A4388" w:rsidRPr="00FB0456" w:rsidRDefault="003A4388" w:rsidP="003A4388">
            <w:pPr>
              <w:widowControl/>
              <w:autoSpaceDE/>
              <w:autoSpaceDN/>
              <w:adjustRightInd/>
              <w:jc w:val="right"/>
              <w:rPr>
                <w:sz w:val="20"/>
                <w:szCs w:val="20"/>
              </w:rPr>
            </w:pPr>
            <w:r w:rsidRPr="00FB0456">
              <w:rPr>
                <w:sz w:val="20"/>
                <w:szCs w:val="20"/>
              </w:rPr>
              <w:t> </w:t>
            </w:r>
          </w:p>
        </w:tc>
        <w:tc>
          <w:tcPr>
            <w:tcW w:w="1417" w:type="dxa"/>
            <w:tcBorders>
              <w:bottom w:val="single" w:sz="4" w:space="0" w:color="auto"/>
            </w:tcBorders>
            <w:shd w:val="clear" w:color="auto" w:fill="auto"/>
            <w:vAlign w:val="center"/>
            <w:hideMark/>
          </w:tcPr>
          <w:p w14:paraId="7FD3A23A" w14:textId="77777777" w:rsidR="003A4388" w:rsidRPr="00FB0456" w:rsidRDefault="003A4388" w:rsidP="003A4388">
            <w:pPr>
              <w:widowControl/>
              <w:autoSpaceDE/>
              <w:autoSpaceDN/>
              <w:adjustRightInd/>
              <w:jc w:val="right"/>
              <w:rPr>
                <w:sz w:val="20"/>
                <w:szCs w:val="20"/>
              </w:rPr>
            </w:pPr>
            <w:r w:rsidRPr="00FB0456">
              <w:rPr>
                <w:sz w:val="20"/>
                <w:szCs w:val="20"/>
              </w:rPr>
              <w:t> </w:t>
            </w:r>
          </w:p>
        </w:tc>
        <w:tc>
          <w:tcPr>
            <w:tcW w:w="1373" w:type="dxa"/>
            <w:tcBorders>
              <w:bottom w:val="single" w:sz="4" w:space="0" w:color="auto"/>
            </w:tcBorders>
            <w:shd w:val="clear" w:color="auto" w:fill="auto"/>
            <w:vAlign w:val="center"/>
            <w:hideMark/>
          </w:tcPr>
          <w:p w14:paraId="75039529" w14:textId="77777777" w:rsidR="003A4388" w:rsidRPr="00FB0456" w:rsidRDefault="003A4388" w:rsidP="003A4388">
            <w:pPr>
              <w:widowControl/>
              <w:autoSpaceDE/>
              <w:autoSpaceDN/>
              <w:adjustRightInd/>
              <w:jc w:val="right"/>
              <w:rPr>
                <w:sz w:val="20"/>
                <w:szCs w:val="20"/>
              </w:rPr>
            </w:pPr>
            <w:r w:rsidRPr="00FB0456">
              <w:rPr>
                <w:sz w:val="20"/>
                <w:szCs w:val="20"/>
              </w:rPr>
              <w:t> </w:t>
            </w:r>
          </w:p>
        </w:tc>
        <w:tc>
          <w:tcPr>
            <w:tcW w:w="1044" w:type="dxa"/>
            <w:tcBorders>
              <w:bottom w:val="single" w:sz="4" w:space="0" w:color="auto"/>
            </w:tcBorders>
            <w:shd w:val="clear" w:color="auto" w:fill="auto"/>
            <w:vAlign w:val="center"/>
            <w:hideMark/>
          </w:tcPr>
          <w:p w14:paraId="257E3D1B"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170" w:type="dxa"/>
            <w:tcBorders>
              <w:bottom w:val="single" w:sz="4" w:space="0" w:color="auto"/>
            </w:tcBorders>
            <w:shd w:val="clear" w:color="auto" w:fill="auto"/>
            <w:vAlign w:val="center"/>
            <w:hideMark/>
          </w:tcPr>
          <w:p w14:paraId="76FB0E58"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350" w:type="dxa"/>
            <w:tcBorders>
              <w:bottom w:val="single" w:sz="4" w:space="0" w:color="auto"/>
            </w:tcBorders>
            <w:shd w:val="clear" w:color="000000" w:fill="FFFFFF"/>
            <w:vAlign w:val="center"/>
            <w:hideMark/>
          </w:tcPr>
          <w:p w14:paraId="1862487F"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011" w:type="dxa"/>
            <w:tcBorders>
              <w:bottom w:val="single" w:sz="4" w:space="0" w:color="auto"/>
            </w:tcBorders>
            <w:shd w:val="clear" w:color="auto" w:fill="auto"/>
            <w:vAlign w:val="center"/>
            <w:hideMark/>
          </w:tcPr>
          <w:p w14:paraId="0D83F3CD" w14:textId="77777777" w:rsidR="003A4388" w:rsidRPr="00FB0456" w:rsidRDefault="003A4388" w:rsidP="003A4388">
            <w:pPr>
              <w:widowControl/>
              <w:autoSpaceDE/>
              <w:autoSpaceDN/>
              <w:adjustRightInd/>
              <w:jc w:val="center"/>
              <w:rPr>
                <w:sz w:val="20"/>
                <w:szCs w:val="20"/>
              </w:rPr>
            </w:pPr>
            <w:r w:rsidRPr="00FB0456">
              <w:rPr>
                <w:sz w:val="20"/>
                <w:szCs w:val="20"/>
              </w:rPr>
              <w:t> </w:t>
            </w:r>
          </w:p>
        </w:tc>
        <w:tc>
          <w:tcPr>
            <w:tcW w:w="1249" w:type="dxa"/>
            <w:tcBorders>
              <w:bottom w:val="single" w:sz="4" w:space="0" w:color="auto"/>
            </w:tcBorders>
            <w:shd w:val="clear" w:color="auto" w:fill="auto"/>
            <w:vAlign w:val="center"/>
            <w:hideMark/>
          </w:tcPr>
          <w:p w14:paraId="1A2CB3C6" w14:textId="77777777" w:rsidR="003A4388" w:rsidRPr="00FB0456" w:rsidRDefault="003A4388" w:rsidP="003A4388">
            <w:pPr>
              <w:widowControl/>
              <w:autoSpaceDE/>
              <w:autoSpaceDN/>
              <w:adjustRightInd/>
              <w:jc w:val="right"/>
              <w:rPr>
                <w:sz w:val="20"/>
                <w:szCs w:val="20"/>
              </w:rPr>
            </w:pPr>
            <w:r w:rsidRPr="00FB0456">
              <w:rPr>
                <w:sz w:val="20"/>
                <w:szCs w:val="20"/>
              </w:rPr>
              <w:t>$0</w:t>
            </w:r>
          </w:p>
        </w:tc>
      </w:tr>
      <w:tr w:rsidR="00961198" w:rsidRPr="00FB0456" w14:paraId="2998E14B" w14:textId="77777777" w:rsidTr="004002B7">
        <w:trPr>
          <w:gridAfter w:val="1"/>
          <w:wAfter w:w="26" w:type="dxa"/>
          <w:trHeight w:val="380"/>
        </w:trPr>
        <w:tc>
          <w:tcPr>
            <w:tcW w:w="2690" w:type="dxa"/>
            <w:tcBorders>
              <w:bottom w:val="single" w:sz="4" w:space="0" w:color="auto"/>
            </w:tcBorders>
            <w:shd w:val="clear" w:color="auto" w:fill="auto"/>
            <w:noWrap/>
            <w:vAlign w:val="bottom"/>
            <w:hideMark/>
          </w:tcPr>
          <w:p w14:paraId="625E0176" w14:textId="069C1A22" w:rsidR="003A4388" w:rsidRPr="00FB0456" w:rsidRDefault="003A4388" w:rsidP="003A4388">
            <w:pPr>
              <w:widowControl/>
              <w:autoSpaceDE/>
              <w:autoSpaceDN/>
              <w:adjustRightInd/>
              <w:rPr>
                <w:b/>
                <w:sz w:val="20"/>
                <w:szCs w:val="20"/>
              </w:rPr>
            </w:pPr>
            <w:r w:rsidRPr="00FB0456">
              <w:rPr>
                <w:b/>
                <w:sz w:val="20"/>
                <w:szCs w:val="20"/>
              </w:rPr>
              <w:t>GRAND TOTAL (rounded)</w:t>
            </w:r>
            <w:r w:rsidR="00BE4ACB" w:rsidRPr="00FB0456">
              <w:rPr>
                <w:b/>
                <w:sz w:val="20"/>
                <w:szCs w:val="20"/>
                <w:vertAlign w:val="superscript"/>
              </w:rPr>
              <w:t>e</w:t>
            </w:r>
          </w:p>
        </w:tc>
        <w:tc>
          <w:tcPr>
            <w:tcW w:w="1270" w:type="dxa"/>
            <w:tcBorders>
              <w:bottom w:val="single" w:sz="4" w:space="0" w:color="auto"/>
            </w:tcBorders>
            <w:shd w:val="clear" w:color="auto" w:fill="auto"/>
            <w:noWrap/>
            <w:vAlign w:val="bottom"/>
            <w:hideMark/>
          </w:tcPr>
          <w:p w14:paraId="4B6B0494" w14:textId="77777777" w:rsidR="003A4388" w:rsidRPr="00FB0456" w:rsidRDefault="003A4388" w:rsidP="003A4388">
            <w:pPr>
              <w:widowControl/>
              <w:autoSpaceDE/>
              <w:autoSpaceDN/>
              <w:adjustRightInd/>
              <w:rPr>
                <w:sz w:val="20"/>
                <w:szCs w:val="20"/>
              </w:rPr>
            </w:pPr>
            <w:r w:rsidRPr="00FB0456">
              <w:rPr>
                <w:sz w:val="20"/>
                <w:szCs w:val="20"/>
              </w:rPr>
              <w:t> </w:t>
            </w:r>
          </w:p>
        </w:tc>
        <w:tc>
          <w:tcPr>
            <w:tcW w:w="1350" w:type="dxa"/>
            <w:tcBorders>
              <w:bottom w:val="single" w:sz="4" w:space="0" w:color="auto"/>
            </w:tcBorders>
            <w:shd w:val="clear" w:color="auto" w:fill="auto"/>
            <w:noWrap/>
            <w:vAlign w:val="bottom"/>
            <w:hideMark/>
          </w:tcPr>
          <w:p w14:paraId="639B6D24" w14:textId="77777777" w:rsidR="003A4388" w:rsidRPr="00FB0456" w:rsidRDefault="003A4388" w:rsidP="003A4388">
            <w:pPr>
              <w:widowControl/>
              <w:autoSpaceDE/>
              <w:autoSpaceDN/>
              <w:adjustRightInd/>
              <w:rPr>
                <w:sz w:val="20"/>
                <w:szCs w:val="20"/>
              </w:rPr>
            </w:pPr>
            <w:r w:rsidRPr="00FB0456">
              <w:rPr>
                <w:sz w:val="20"/>
                <w:szCs w:val="20"/>
              </w:rPr>
              <w:t> </w:t>
            </w:r>
          </w:p>
        </w:tc>
        <w:tc>
          <w:tcPr>
            <w:tcW w:w="1417" w:type="dxa"/>
            <w:tcBorders>
              <w:bottom w:val="single" w:sz="4" w:space="0" w:color="auto"/>
            </w:tcBorders>
            <w:shd w:val="clear" w:color="auto" w:fill="auto"/>
            <w:noWrap/>
            <w:vAlign w:val="bottom"/>
            <w:hideMark/>
          </w:tcPr>
          <w:p w14:paraId="5CB6F3F0" w14:textId="77777777" w:rsidR="003A4388" w:rsidRPr="00FB0456" w:rsidRDefault="003A4388" w:rsidP="003A4388">
            <w:pPr>
              <w:widowControl/>
              <w:autoSpaceDE/>
              <w:autoSpaceDN/>
              <w:adjustRightInd/>
              <w:rPr>
                <w:sz w:val="20"/>
                <w:szCs w:val="20"/>
              </w:rPr>
            </w:pPr>
            <w:r w:rsidRPr="00FB0456">
              <w:rPr>
                <w:sz w:val="20"/>
                <w:szCs w:val="20"/>
              </w:rPr>
              <w:t> </w:t>
            </w:r>
          </w:p>
        </w:tc>
        <w:tc>
          <w:tcPr>
            <w:tcW w:w="1373" w:type="dxa"/>
            <w:tcBorders>
              <w:bottom w:val="single" w:sz="4" w:space="0" w:color="auto"/>
            </w:tcBorders>
            <w:shd w:val="clear" w:color="auto" w:fill="auto"/>
            <w:noWrap/>
            <w:vAlign w:val="bottom"/>
            <w:hideMark/>
          </w:tcPr>
          <w:p w14:paraId="71B933AC" w14:textId="77777777" w:rsidR="003A4388" w:rsidRPr="00FB0456" w:rsidRDefault="003A4388" w:rsidP="003A4388">
            <w:pPr>
              <w:widowControl/>
              <w:autoSpaceDE/>
              <w:autoSpaceDN/>
              <w:adjustRightInd/>
              <w:rPr>
                <w:sz w:val="20"/>
                <w:szCs w:val="20"/>
              </w:rPr>
            </w:pPr>
            <w:r w:rsidRPr="00FB0456">
              <w:rPr>
                <w:sz w:val="20"/>
                <w:szCs w:val="20"/>
              </w:rPr>
              <w:t> </w:t>
            </w:r>
          </w:p>
        </w:tc>
        <w:tc>
          <w:tcPr>
            <w:tcW w:w="1044" w:type="dxa"/>
            <w:tcBorders>
              <w:bottom w:val="single" w:sz="4" w:space="0" w:color="auto"/>
            </w:tcBorders>
            <w:shd w:val="clear" w:color="auto" w:fill="auto"/>
            <w:noWrap/>
            <w:vAlign w:val="bottom"/>
            <w:hideMark/>
          </w:tcPr>
          <w:p w14:paraId="6900467E" w14:textId="77777777" w:rsidR="003A4388" w:rsidRPr="00FB0456" w:rsidRDefault="003A4388" w:rsidP="003A4388">
            <w:pPr>
              <w:widowControl/>
              <w:autoSpaceDE/>
              <w:autoSpaceDN/>
              <w:adjustRightInd/>
              <w:rPr>
                <w:sz w:val="20"/>
                <w:szCs w:val="20"/>
              </w:rPr>
            </w:pPr>
            <w:r w:rsidRPr="00FB0456">
              <w:rPr>
                <w:sz w:val="20"/>
                <w:szCs w:val="20"/>
              </w:rPr>
              <w:t> </w:t>
            </w:r>
          </w:p>
        </w:tc>
        <w:tc>
          <w:tcPr>
            <w:tcW w:w="1170" w:type="dxa"/>
            <w:tcBorders>
              <w:bottom w:val="single" w:sz="4" w:space="0" w:color="auto"/>
            </w:tcBorders>
            <w:shd w:val="clear" w:color="auto" w:fill="auto"/>
            <w:noWrap/>
            <w:vAlign w:val="bottom"/>
            <w:hideMark/>
          </w:tcPr>
          <w:p w14:paraId="4A9D3719" w14:textId="77777777" w:rsidR="003A4388" w:rsidRPr="00FB0456" w:rsidRDefault="003A4388" w:rsidP="003A4388">
            <w:pPr>
              <w:widowControl/>
              <w:autoSpaceDE/>
              <w:autoSpaceDN/>
              <w:adjustRightInd/>
              <w:rPr>
                <w:sz w:val="20"/>
                <w:szCs w:val="20"/>
              </w:rPr>
            </w:pPr>
            <w:r w:rsidRPr="00FB0456">
              <w:rPr>
                <w:sz w:val="20"/>
                <w:szCs w:val="20"/>
              </w:rPr>
              <w:t> </w:t>
            </w:r>
          </w:p>
        </w:tc>
        <w:tc>
          <w:tcPr>
            <w:tcW w:w="1350" w:type="dxa"/>
            <w:tcBorders>
              <w:bottom w:val="single" w:sz="4" w:space="0" w:color="auto"/>
            </w:tcBorders>
            <w:shd w:val="clear" w:color="auto" w:fill="auto"/>
            <w:noWrap/>
            <w:vAlign w:val="bottom"/>
            <w:hideMark/>
          </w:tcPr>
          <w:p w14:paraId="0C57A66F" w14:textId="77777777" w:rsidR="003A4388" w:rsidRPr="00FB0456" w:rsidRDefault="003A4388" w:rsidP="003A4388">
            <w:pPr>
              <w:widowControl/>
              <w:autoSpaceDE/>
              <w:autoSpaceDN/>
              <w:adjustRightInd/>
              <w:rPr>
                <w:sz w:val="20"/>
                <w:szCs w:val="20"/>
              </w:rPr>
            </w:pPr>
            <w:r w:rsidRPr="00FB0456">
              <w:rPr>
                <w:sz w:val="20"/>
                <w:szCs w:val="20"/>
              </w:rPr>
              <w:t> </w:t>
            </w:r>
          </w:p>
        </w:tc>
        <w:tc>
          <w:tcPr>
            <w:tcW w:w="1011" w:type="dxa"/>
            <w:tcBorders>
              <w:bottom w:val="single" w:sz="4" w:space="0" w:color="auto"/>
            </w:tcBorders>
            <w:shd w:val="clear" w:color="auto" w:fill="auto"/>
            <w:noWrap/>
            <w:vAlign w:val="bottom"/>
            <w:hideMark/>
          </w:tcPr>
          <w:p w14:paraId="19989677" w14:textId="77777777" w:rsidR="003A4388" w:rsidRPr="00FB0456" w:rsidRDefault="003A4388" w:rsidP="003A4388">
            <w:pPr>
              <w:widowControl/>
              <w:autoSpaceDE/>
              <w:autoSpaceDN/>
              <w:adjustRightInd/>
              <w:rPr>
                <w:sz w:val="20"/>
                <w:szCs w:val="20"/>
              </w:rPr>
            </w:pPr>
            <w:r w:rsidRPr="00FB0456">
              <w:rPr>
                <w:sz w:val="20"/>
                <w:szCs w:val="20"/>
              </w:rPr>
              <w:t> </w:t>
            </w:r>
          </w:p>
        </w:tc>
        <w:tc>
          <w:tcPr>
            <w:tcW w:w="1249" w:type="dxa"/>
            <w:tcBorders>
              <w:bottom w:val="single" w:sz="4" w:space="0" w:color="auto"/>
            </w:tcBorders>
            <w:shd w:val="clear" w:color="auto" w:fill="auto"/>
            <w:noWrap/>
            <w:vAlign w:val="bottom"/>
            <w:hideMark/>
          </w:tcPr>
          <w:p w14:paraId="0DD1182B" w14:textId="77777777" w:rsidR="003A4388" w:rsidRPr="00FB0456" w:rsidRDefault="003A4388" w:rsidP="003A4388">
            <w:pPr>
              <w:widowControl/>
              <w:autoSpaceDE/>
              <w:autoSpaceDN/>
              <w:adjustRightInd/>
              <w:jc w:val="right"/>
              <w:rPr>
                <w:sz w:val="20"/>
                <w:szCs w:val="20"/>
              </w:rPr>
            </w:pPr>
            <w:r w:rsidRPr="00FB0456">
              <w:rPr>
                <w:sz w:val="20"/>
                <w:szCs w:val="20"/>
              </w:rPr>
              <w:t>$101,000</w:t>
            </w:r>
          </w:p>
        </w:tc>
      </w:tr>
      <w:tr w:rsidR="00961198" w:rsidRPr="00FB0456" w14:paraId="4F03DCCE" w14:textId="77777777" w:rsidTr="004002B7">
        <w:trPr>
          <w:gridAfter w:val="1"/>
          <w:wAfter w:w="26" w:type="dxa"/>
          <w:trHeight w:val="310"/>
        </w:trPr>
        <w:tc>
          <w:tcPr>
            <w:tcW w:w="2690" w:type="dxa"/>
            <w:tcBorders>
              <w:top w:val="single" w:sz="4" w:space="0" w:color="auto"/>
              <w:left w:val="nil"/>
              <w:bottom w:val="nil"/>
              <w:right w:val="nil"/>
            </w:tcBorders>
            <w:shd w:val="clear" w:color="auto" w:fill="auto"/>
            <w:noWrap/>
            <w:vAlign w:val="bottom"/>
            <w:hideMark/>
          </w:tcPr>
          <w:p w14:paraId="6907D282" w14:textId="77777777" w:rsidR="003A4388" w:rsidRPr="00FB0456" w:rsidRDefault="003A4388" w:rsidP="003A4388">
            <w:pPr>
              <w:widowControl/>
              <w:autoSpaceDE/>
              <w:autoSpaceDN/>
              <w:adjustRightInd/>
              <w:jc w:val="right"/>
              <w:rPr>
                <w:sz w:val="20"/>
                <w:szCs w:val="20"/>
              </w:rPr>
            </w:pPr>
          </w:p>
        </w:tc>
        <w:tc>
          <w:tcPr>
            <w:tcW w:w="1270" w:type="dxa"/>
            <w:tcBorders>
              <w:top w:val="single" w:sz="4" w:space="0" w:color="auto"/>
              <w:left w:val="nil"/>
              <w:bottom w:val="nil"/>
              <w:right w:val="nil"/>
            </w:tcBorders>
            <w:shd w:val="clear" w:color="auto" w:fill="auto"/>
            <w:noWrap/>
            <w:vAlign w:val="bottom"/>
            <w:hideMark/>
          </w:tcPr>
          <w:p w14:paraId="6C23C461" w14:textId="77777777" w:rsidR="003A4388" w:rsidRPr="00FB0456" w:rsidRDefault="003A4388" w:rsidP="003A4388">
            <w:pPr>
              <w:widowControl/>
              <w:autoSpaceDE/>
              <w:autoSpaceDN/>
              <w:adjustRightInd/>
              <w:rPr>
                <w:sz w:val="20"/>
                <w:szCs w:val="20"/>
              </w:rPr>
            </w:pPr>
          </w:p>
        </w:tc>
        <w:tc>
          <w:tcPr>
            <w:tcW w:w="1350" w:type="dxa"/>
            <w:tcBorders>
              <w:top w:val="single" w:sz="4" w:space="0" w:color="auto"/>
              <w:left w:val="nil"/>
              <w:bottom w:val="nil"/>
              <w:right w:val="nil"/>
            </w:tcBorders>
            <w:shd w:val="clear" w:color="auto" w:fill="auto"/>
            <w:noWrap/>
            <w:vAlign w:val="bottom"/>
            <w:hideMark/>
          </w:tcPr>
          <w:p w14:paraId="3331A072" w14:textId="77777777" w:rsidR="003A4388" w:rsidRPr="00FB0456" w:rsidRDefault="003A4388" w:rsidP="003A4388">
            <w:pPr>
              <w:widowControl/>
              <w:autoSpaceDE/>
              <w:autoSpaceDN/>
              <w:adjustRightInd/>
              <w:rPr>
                <w:sz w:val="20"/>
                <w:szCs w:val="20"/>
              </w:rPr>
            </w:pPr>
          </w:p>
        </w:tc>
        <w:tc>
          <w:tcPr>
            <w:tcW w:w="1417" w:type="dxa"/>
            <w:tcBorders>
              <w:top w:val="single" w:sz="4" w:space="0" w:color="auto"/>
              <w:left w:val="nil"/>
              <w:bottom w:val="nil"/>
              <w:right w:val="nil"/>
            </w:tcBorders>
            <w:shd w:val="clear" w:color="auto" w:fill="auto"/>
            <w:noWrap/>
            <w:vAlign w:val="bottom"/>
            <w:hideMark/>
          </w:tcPr>
          <w:p w14:paraId="11E4FBC6" w14:textId="77777777" w:rsidR="003A4388" w:rsidRPr="00FB0456" w:rsidRDefault="003A4388" w:rsidP="003A4388">
            <w:pPr>
              <w:widowControl/>
              <w:autoSpaceDE/>
              <w:autoSpaceDN/>
              <w:adjustRightInd/>
              <w:rPr>
                <w:sz w:val="20"/>
                <w:szCs w:val="20"/>
              </w:rPr>
            </w:pPr>
          </w:p>
        </w:tc>
        <w:tc>
          <w:tcPr>
            <w:tcW w:w="1373" w:type="dxa"/>
            <w:tcBorders>
              <w:top w:val="single" w:sz="4" w:space="0" w:color="auto"/>
              <w:left w:val="nil"/>
              <w:bottom w:val="nil"/>
              <w:right w:val="nil"/>
            </w:tcBorders>
            <w:shd w:val="clear" w:color="auto" w:fill="auto"/>
            <w:noWrap/>
            <w:vAlign w:val="bottom"/>
            <w:hideMark/>
          </w:tcPr>
          <w:p w14:paraId="189BA3EA" w14:textId="77777777" w:rsidR="003A4388" w:rsidRPr="00FB0456" w:rsidRDefault="003A4388" w:rsidP="003A4388">
            <w:pPr>
              <w:widowControl/>
              <w:autoSpaceDE/>
              <w:autoSpaceDN/>
              <w:adjustRightInd/>
              <w:rPr>
                <w:sz w:val="20"/>
                <w:szCs w:val="20"/>
              </w:rPr>
            </w:pPr>
          </w:p>
        </w:tc>
        <w:tc>
          <w:tcPr>
            <w:tcW w:w="1044" w:type="dxa"/>
            <w:tcBorders>
              <w:top w:val="single" w:sz="4" w:space="0" w:color="auto"/>
              <w:left w:val="nil"/>
              <w:bottom w:val="nil"/>
              <w:right w:val="nil"/>
            </w:tcBorders>
            <w:shd w:val="clear" w:color="auto" w:fill="auto"/>
            <w:noWrap/>
            <w:vAlign w:val="bottom"/>
            <w:hideMark/>
          </w:tcPr>
          <w:p w14:paraId="25EBF857" w14:textId="77777777" w:rsidR="003A4388" w:rsidRPr="00FB0456" w:rsidRDefault="003A4388" w:rsidP="003A4388">
            <w:pPr>
              <w:widowControl/>
              <w:autoSpaceDE/>
              <w:autoSpaceDN/>
              <w:adjustRightInd/>
              <w:rPr>
                <w:sz w:val="20"/>
                <w:szCs w:val="20"/>
              </w:rPr>
            </w:pPr>
          </w:p>
        </w:tc>
        <w:tc>
          <w:tcPr>
            <w:tcW w:w="1170" w:type="dxa"/>
            <w:tcBorders>
              <w:top w:val="single" w:sz="4" w:space="0" w:color="auto"/>
              <w:left w:val="nil"/>
              <w:bottom w:val="nil"/>
              <w:right w:val="nil"/>
            </w:tcBorders>
            <w:shd w:val="clear" w:color="auto" w:fill="auto"/>
            <w:noWrap/>
            <w:vAlign w:val="bottom"/>
            <w:hideMark/>
          </w:tcPr>
          <w:p w14:paraId="68A2DB26" w14:textId="77777777" w:rsidR="003A4388" w:rsidRPr="00FB0456" w:rsidRDefault="003A4388" w:rsidP="003A4388">
            <w:pPr>
              <w:widowControl/>
              <w:autoSpaceDE/>
              <w:autoSpaceDN/>
              <w:adjustRightInd/>
              <w:rPr>
                <w:sz w:val="20"/>
                <w:szCs w:val="20"/>
              </w:rPr>
            </w:pPr>
          </w:p>
        </w:tc>
        <w:tc>
          <w:tcPr>
            <w:tcW w:w="1350" w:type="dxa"/>
            <w:tcBorders>
              <w:top w:val="single" w:sz="4" w:space="0" w:color="auto"/>
              <w:left w:val="nil"/>
              <w:bottom w:val="nil"/>
              <w:right w:val="nil"/>
            </w:tcBorders>
            <w:shd w:val="clear" w:color="auto" w:fill="auto"/>
            <w:noWrap/>
            <w:vAlign w:val="bottom"/>
            <w:hideMark/>
          </w:tcPr>
          <w:p w14:paraId="4ABE2DD3" w14:textId="77777777" w:rsidR="003A4388" w:rsidRPr="00FB0456" w:rsidRDefault="003A4388" w:rsidP="003A4388">
            <w:pPr>
              <w:widowControl/>
              <w:autoSpaceDE/>
              <w:autoSpaceDN/>
              <w:adjustRightInd/>
              <w:rPr>
                <w:sz w:val="20"/>
                <w:szCs w:val="20"/>
              </w:rPr>
            </w:pPr>
          </w:p>
        </w:tc>
        <w:tc>
          <w:tcPr>
            <w:tcW w:w="1011" w:type="dxa"/>
            <w:tcBorders>
              <w:top w:val="single" w:sz="4" w:space="0" w:color="auto"/>
              <w:left w:val="nil"/>
              <w:bottom w:val="nil"/>
              <w:right w:val="nil"/>
            </w:tcBorders>
            <w:shd w:val="clear" w:color="auto" w:fill="auto"/>
            <w:noWrap/>
            <w:vAlign w:val="bottom"/>
            <w:hideMark/>
          </w:tcPr>
          <w:p w14:paraId="7CF0DC81" w14:textId="77777777" w:rsidR="003A4388" w:rsidRPr="00FB0456" w:rsidRDefault="003A4388" w:rsidP="003A4388">
            <w:pPr>
              <w:widowControl/>
              <w:autoSpaceDE/>
              <w:autoSpaceDN/>
              <w:adjustRightInd/>
              <w:rPr>
                <w:sz w:val="20"/>
                <w:szCs w:val="20"/>
              </w:rPr>
            </w:pPr>
          </w:p>
        </w:tc>
        <w:tc>
          <w:tcPr>
            <w:tcW w:w="1249" w:type="dxa"/>
            <w:tcBorders>
              <w:top w:val="single" w:sz="4" w:space="0" w:color="auto"/>
              <w:left w:val="nil"/>
              <w:bottom w:val="nil"/>
              <w:right w:val="nil"/>
            </w:tcBorders>
            <w:shd w:val="clear" w:color="auto" w:fill="auto"/>
            <w:noWrap/>
            <w:vAlign w:val="bottom"/>
            <w:hideMark/>
          </w:tcPr>
          <w:p w14:paraId="3F482D6F" w14:textId="77777777" w:rsidR="003A4388" w:rsidRPr="00FB0456" w:rsidRDefault="003A4388" w:rsidP="003A4388">
            <w:pPr>
              <w:widowControl/>
              <w:autoSpaceDE/>
              <w:autoSpaceDN/>
              <w:adjustRightInd/>
              <w:rPr>
                <w:sz w:val="20"/>
                <w:szCs w:val="20"/>
              </w:rPr>
            </w:pPr>
          </w:p>
        </w:tc>
      </w:tr>
      <w:tr w:rsidR="00961198" w:rsidRPr="00FB0456" w14:paraId="41D12152" w14:textId="77777777" w:rsidTr="004002B7">
        <w:trPr>
          <w:gridAfter w:val="1"/>
          <w:wAfter w:w="26" w:type="dxa"/>
          <w:trHeight w:val="310"/>
        </w:trPr>
        <w:tc>
          <w:tcPr>
            <w:tcW w:w="2690" w:type="dxa"/>
            <w:tcBorders>
              <w:top w:val="nil"/>
              <w:left w:val="nil"/>
              <w:bottom w:val="nil"/>
              <w:right w:val="nil"/>
            </w:tcBorders>
            <w:shd w:val="clear" w:color="auto" w:fill="auto"/>
            <w:noWrap/>
            <w:vAlign w:val="bottom"/>
            <w:hideMark/>
          </w:tcPr>
          <w:p w14:paraId="623AB0BD" w14:textId="77777777" w:rsidR="003A4388" w:rsidRPr="00FB0456" w:rsidRDefault="003A4388" w:rsidP="003A4388">
            <w:pPr>
              <w:widowControl/>
              <w:autoSpaceDE/>
              <w:autoSpaceDN/>
              <w:adjustRightInd/>
              <w:rPr>
                <w:b/>
                <w:bCs/>
                <w:sz w:val="20"/>
                <w:szCs w:val="20"/>
              </w:rPr>
            </w:pPr>
            <w:r w:rsidRPr="00FB0456">
              <w:rPr>
                <w:b/>
                <w:bCs/>
                <w:sz w:val="20"/>
                <w:szCs w:val="20"/>
              </w:rPr>
              <w:t>Assumptions</w:t>
            </w:r>
          </w:p>
        </w:tc>
        <w:tc>
          <w:tcPr>
            <w:tcW w:w="1270" w:type="dxa"/>
            <w:tcBorders>
              <w:top w:val="nil"/>
              <w:left w:val="nil"/>
              <w:bottom w:val="nil"/>
              <w:right w:val="nil"/>
            </w:tcBorders>
            <w:shd w:val="clear" w:color="auto" w:fill="auto"/>
            <w:noWrap/>
            <w:vAlign w:val="bottom"/>
            <w:hideMark/>
          </w:tcPr>
          <w:p w14:paraId="009B1DB4" w14:textId="77777777" w:rsidR="003A4388" w:rsidRPr="00FB0456" w:rsidRDefault="003A4388" w:rsidP="003A4388">
            <w:pPr>
              <w:widowControl/>
              <w:autoSpaceDE/>
              <w:autoSpaceDN/>
              <w:adjustRightInd/>
              <w:rPr>
                <w:b/>
                <w:bCs/>
                <w:sz w:val="20"/>
                <w:szCs w:val="20"/>
              </w:rPr>
            </w:pPr>
          </w:p>
        </w:tc>
        <w:tc>
          <w:tcPr>
            <w:tcW w:w="1350" w:type="dxa"/>
            <w:tcBorders>
              <w:top w:val="nil"/>
              <w:left w:val="nil"/>
              <w:bottom w:val="nil"/>
              <w:right w:val="nil"/>
            </w:tcBorders>
            <w:shd w:val="clear" w:color="auto" w:fill="auto"/>
            <w:noWrap/>
            <w:vAlign w:val="bottom"/>
            <w:hideMark/>
          </w:tcPr>
          <w:p w14:paraId="59CF2A1A" w14:textId="77777777" w:rsidR="003A4388" w:rsidRPr="00FB0456" w:rsidRDefault="003A4388" w:rsidP="003A4388">
            <w:pPr>
              <w:widowControl/>
              <w:autoSpaceDE/>
              <w:autoSpaceDN/>
              <w:adjustRightInd/>
              <w:rPr>
                <w:sz w:val="20"/>
                <w:szCs w:val="20"/>
              </w:rPr>
            </w:pPr>
          </w:p>
        </w:tc>
        <w:tc>
          <w:tcPr>
            <w:tcW w:w="1417" w:type="dxa"/>
            <w:tcBorders>
              <w:top w:val="nil"/>
              <w:left w:val="nil"/>
              <w:bottom w:val="nil"/>
              <w:right w:val="nil"/>
            </w:tcBorders>
            <w:shd w:val="clear" w:color="auto" w:fill="auto"/>
            <w:noWrap/>
            <w:vAlign w:val="bottom"/>
            <w:hideMark/>
          </w:tcPr>
          <w:p w14:paraId="7B8F0B9F" w14:textId="77777777" w:rsidR="003A4388" w:rsidRPr="00FB0456" w:rsidRDefault="003A4388" w:rsidP="003A4388">
            <w:pPr>
              <w:widowControl/>
              <w:autoSpaceDE/>
              <w:autoSpaceDN/>
              <w:adjustRightInd/>
              <w:rPr>
                <w:sz w:val="20"/>
                <w:szCs w:val="20"/>
              </w:rPr>
            </w:pPr>
          </w:p>
        </w:tc>
        <w:tc>
          <w:tcPr>
            <w:tcW w:w="1373" w:type="dxa"/>
            <w:tcBorders>
              <w:top w:val="nil"/>
              <w:left w:val="nil"/>
              <w:bottom w:val="nil"/>
              <w:right w:val="nil"/>
            </w:tcBorders>
            <w:shd w:val="clear" w:color="auto" w:fill="auto"/>
            <w:noWrap/>
            <w:vAlign w:val="bottom"/>
            <w:hideMark/>
          </w:tcPr>
          <w:p w14:paraId="39BDD8CF" w14:textId="77777777" w:rsidR="003A4388" w:rsidRPr="00FB0456" w:rsidRDefault="003A4388" w:rsidP="003A4388">
            <w:pPr>
              <w:widowControl/>
              <w:autoSpaceDE/>
              <w:autoSpaceDN/>
              <w:adjustRightInd/>
              <w:rPr>
                <w:sz w:val="20"/>
                <w:szCs w:val="20"/>
              </w:rPr>
            </w:pPr>
          </w:p>
        </w:tc>
        <w:tc>
          <w:tcPr>
            <w:tcW w:w="1044" w:type="dxa"/>
            <w:tcBorders>
              <w:top w:val="nil"/>
              <w:left w:val="nil"/>
              <w:bottom w:val="nil"/>
              <w:right w:val="nil"/>
            </w:tcBorders>
            <w:shd w:val="clear" w:color="auto" w:fill="auto"/>
            <w:noWrap/>
            <w:vAlign w:val="bottom"/>
            <w:hideMark/>
          </w:tcPr>
          <w:p w14:paraId="43335564" w14:textId="77777777" w:rsidR="003A4388" w:rsidRPr="00FB0456" w:rsidRDefault="003A4388" w:rsidP="003A4388">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35FAF27" w14:textId="77777777" w:rsidR="003A4388" w:rsidRPr="00FB0456" w:rsidRDefault="003A4388" w:rsidP="003A4388">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8CF2C22" w14:textId="77777777" w:rsidR="003A4388" w:rsidRPr="00FB0456" w:rsidRDefault="003A4388" w:rsidP="003A4388">
            <w:pPr>
              <w:widowControl/>
              <w:autoSpaceDE/>
              <w:autoSpaceDN/>
              <w:adjustRightInd/>
              <w:rPr>
                <w:sz w:val="20"/>
                <w:szCs w:val="20"/>
              </w:rPr>
            </w:pPr>
          </w:p>
        </w:tc>
        <w:tc>
          <w:tcPr>
            <w:tcW w:w="1011" w:type="dxa"/>
            <w:tcBorders>
              <w:top w:val="nil"/>
              <w:left w:val="nil"/>
              <w:bottom w:val="nil"/>
              <w:right w:val="nil"/>
            </w:tcBorders>
            <w:shd w:val="clear" w:color="auto" w:fill="auto"/>
            <w:noWrap/>
            <w:vAlign w:val="bottom"/>
            <w:hideMark/>
          </w:tcPr>
          <w:p w14:paraId="2EDCDA56" w14:textId="77777777" w:rsidR="003A4388" w:rsidRPr="00FB0456" w:rsidRDefault="003A4388" w:rsidP="003A4388">
            <w:pPr>
              <w:widowControl/>
              <w:autoSpaceDE/>
              <w:autoSpaceDN/>
              <w:adjustRightInd/>
              <w:rPr>
                <w:sz w:val="20"/>
                <w:szCs w:val="20"/>
              </w:rPr>
            </w:pPr>
          </w:p>
        </w:tc>
        <w:tc>
          <w:tcPr>
            <w:tcW w:w="1249" w:type="dxa"/>
            <w:tcBorders>
              <w:top w:val="nil"/>
              <w:left w:val="nil"/>
              <w:bottom w:val="nil"/>
              <w:right w:val="nil"/>
            </w:tcBorders>
            <w:shd w:val="clear" w:color="auto" w:fill="auto"/>
            <w:noWrap/>
            <w:vAlign w:val="bottom"/>
            <w:hideMark/>
          </w:tcPr>
          <w:p w14:paraId="69B0E1BE" w14:textId="77777777" w:rsidR="003A4388" w:rsidRPr="00FB0456" w:rsidRDefault="003A4388" w:rsidP="003A4388">
            <w:pPr>
              <w:widowControl/>
              <w:autoSpaceDE/>
              <w:autoSpaceDN/>
              <w:adjustRightInd/>
              <w:rPr>
                <w:sz w:val="20"/>
                <w:szCs w:val="20"/>
              </w:rPr>
            </w:pPr>
          </w:p>
        </w:tc>
      </w:tr>
      <w:tr w:rsidR="00D3420B" w:rsidRPr="00FB0456" w14:paraId="60A98AEB" w14:textId="77777777" w:rsidTr="004002B7">
        <w:trPr>
          <w:trHeight w:val="468"/>
        </w:trPr>
        <w:tc>
          <w:tcPr>
            <w:tcW w:w="13950" w:type="dxa"/>
            <w:gridSpan w:val="11"/>
            <w:tcBorders>
              <w:top w:val="nil"/>
              <w:left w:val="nil"/>
              <w:bottom w:val="nil"/>
              <w:right w:val="nil"/>
            </w:tcBorders>
            <w:shd w:val="clear" w:color="auto" w:fill="auto"/>
            <w:vAlign w:val="center"/>
            <w:hideMark/>
          </w:tcPr>
          <w:p w14:paraId="0EF824D4" w14:textId="6673FA6B" w:rsidR="003A4388" w:rsidRPr="00FB0456" w:rsidRDefault="003A4388" w:rsidP="003A4388">
            <w:pPr>
              <w:widowControl/>
              <w:autoSpaceDE/>
              <w:autoSpaceDN/>
              <w:adjustRightInd/>
              <w:rPr>
                <w:sz w:val="20"/>
                <w:szCs w:val="20"/>
              </w:rPr>
            </w:pPr>
            <w:r w:rsidRPr="00FB0456">
              <w:rPr>
                <w:sz w:val="20"/>
                <w:szCs w:val="20"/>
                <w:vertAlign w:val="superscript"/>
              </w:rPr>
              <w:t>a</w:t>
            </w:r>
            <w:r w:rsidRPr="00FB0456">
              <w:rPr>
                <w:sz w:val="20"/>
                <w:szCs w:val="20"/>
              </w:rPr>
              <w:t xml:space="preserve"> </w:t>
            </w:r>
            <w:r w:rsidR="00EF0FB2" w:rsidRPr="00FB0456">
              <w:rPr>
                <w:sz w:val="20"/>
                <w:szCs w:val="20"/>
              </w:rPr>
              <w:t xml:space="preserve">We have assumed that there are approximately 37 units (12 combined cycle CT facilities and 25 simple cycle CT units)  at 32 facilities. There no new sources anticipated over the next 3 years.  </w:t>
            </w:r>
          </w:p>
        </w:tc>
      </w:tr>
      <w:tr w:rsidR="00D3420B" w:rsidRPr="00FB0456" w14:paraId="23E8321A" w14:textId="77777777" w:rsidTr="004002B7">
        <w:trPr>
          <w:trHeight w:val="324"/>
        </w:trPr>
        <w:tc>
          <w:tcPr>
            <w:tcW w:w="13950" w:type="dxa"/>
            <w:gridSpan w:val="11"/>
            <w:tcBorders>
              <w:top w:val="nil"/>
              <w:left w:val="nil"/>
              <w:bottom w:val="nil"/>
              <w:right w:val="nil"/>
            </w:tcBorders>
            <w:shd w:val="clear" w:color="auto" w:fill="auto"/>
            <w:vAlign w:val="center"/>
            <w:hideMark/>
          </w:tcPr>
          <w:p w14:paraId="63433229" w14:textId="77777777" w:rsidR="003A4388" w:rsidRPr="00FB0456" w:rsidRDefault="003A4388" w:rsidP="003A4388">
            <w:pPr>
              <w:widowControl/>
              <w:autoSpaceDE/>
              <w:autoSpaceDN/>
              <w:adjustRightInd/>
              <w:rPr>
                <w:sz w:val="20"/>
                <w:szCs w:val="20"/>
              </w:rPr>
            </w:pPr>
            <w:r w:rsidRPr="00FB0456">
              <w:rPr>
                <w:sz w:val="20"/>
                <w:szCs w:val="20"/>
                <w:vertAlign w:val="superscript"/>
              </w:rPr>
              <w:t>b</w:t>
            </w:r>
            <w:r w:rsidRPr="00FB0456">
              <w:rPr>
                <w:sz w:val="20"/>
                <w:szCs w:val="20"/>
              </w:rPr>
              <w:t xml:space="preserve"> Assumes one-time burden of 30 hours (based on an average reading rate of 100 words/minute) to read and understand rule requirements, divided equally among technical and managerial staff.</w:t>
            </w:r>
          </w:p>
        </w:tc>
      </w:tr>
      <w:tr w:rsidR="00D3420B" w:rsidRPr="00FB0456" w14:paraId="55D508D1" w14:textId="77777777" w:rsidTr="004002B7">
        <w:trPr>
          <w:trHeight w:val="801"/>
        </w:trPr>
        <w:tc>
          <w:tcPr>
            <w:tcW w:w="13950" w:type="dxa"/>
            <w:gridSpan w:val="11"/>
            <w:tcBorders>
              <w:top w:val="nil"/>
              <w:left w:val="nil"/>
              <w:bottom w:val="nil"/>
              <w:right w:val="nil"/>
            </w:tcBorders>
            <w:shd w:val="clear" w:color="auto" w:fill="auto"/>
            <w:vAlign w:val="center"/>
            <w:hideMark/>
          </w:tcPr>
          <w:p w14:paraId="745FF921" w14:textId="77777777" w:rsidR="003A4388" w:rsidRPr="00FB0456" w:rsidRDefault="003A4388" w:rsidP="003A4388">
            <w:pPr>
              <w:widowControl/>
              <w:autoSpaceDE/>
              <w:autoSpaceDN/>
              <w:adjustRightInd/>
              <w:rPr>
                <w:sz w:val="20"/>
                <w:szCs w:val="20"/>
              </w:rPr>
            </w:pPr>
            <w:r w:rsidRPr="00FB0456">
              <w:rPr>
                <w:sz w:val="20"/>
                <w:szCs w:val="20"/>
                <w:vertAlign w:val="superscript"/>
              </w:rPr>
              <w:t>c</w:t>
            </w:r>
            <w:r w:rsidRPr="00FB0456">
              <w:rPr>
                <w:sz w:val="20"/>
                <w:szCs w:val="20"/>
              </w:rPr>
              <w:t xml:space="preserve">  This ICR uses the following labor rates: Technical $117.92 ($56.15 + 110%); Managerial $147.40 ($70.19 + 110%); and Clerical $57.02 ($27.15+ 110%).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14:paraId="1DD6D5CE" w14:textId="2B3AD15A" w:rsidR="00BE4ACB" w:rsidRPr="00FB0456" w:rsidRDefault="00BE4ACB" w:rsidP="003A4388">
            <w:pPr>
              <w:widowControl/>
              <w:autoSpaceDE/>
              <w:autoSpaceDN/>
              <w:adjustRightInd/>
              <w:rPr>
                <w:sz w:val="20"/>
                <w:szCs w:val="20"/>
              </w:rPr>
            </w:pPr>
            <w:r w:rsidRPr="00FB0456">
              <w:rPr>
                <w:sz w:val="20"/>
                <w:szCs w:val="20"/>
                <w:vertAlign w:val="superscript"/>
              </w:rPr>
              <w:t>d</w:t>
            </w:r>
            <w:r w:rsidRPr="00FB0456">
              <w:rPr>
                <w:sz w:val="20"/>
                <w:szCs w:val="20"/>
              </w:rPr>
              <w:t xml:space="preserve"> All recordkeeping burden </w:t>
            </w:r>
            <w:r w:rsidR="00E522FB" w:rsidRPr="00FB0456">
              <w:rPr>
                <w:sz w:val="20"/>
                <w:szCs w:val="20"/>
              </w:rPr>
              <w:t>is accounted for in the listed reporting activities.</w:t>
            </w:r>
          </w:p>
        </w:tc>
      </w:tr>
      <w:tr w:rsidR="00D3420B" w:rsidRPr="00FB0456" w14:paraId="2B4A5D4F" w14:textId="77777777" w:rsidTr="004002B7">
        <w:trPr>
          <w:trHeight w:val="65"/>
        </w:trPr>
        <w:tc>
          <w:tcPr>
            <w:tcW w:w="13950" w:type="dxa"/>
            <w:gridSpan w:val="11"/>
            <w:tcBorders>
              <w:top w:val="nil"/>
              <w:left w:val="nil"/>
              <w:bottom w:val="nil"/>
              <w:right w:val="nil"/>
            </w:tcBorders>
            <w:shd w:val="clear" w:color="auto" w:fill="auto"/>
            <w:vAlign w:val="center"/>
            <w:hideMark/>
          </w:tcPr>
          <w:p w14:paraId="68C0109E" w14:textId="2DA34985" w:rsidR="003A4388" w:rsidRPr="00FB0456" w:rsidRDefault="00BE4ACB" w:rsidP="003A4388">
            <w:pPr>
              <w:widowControl/>
              <w:autoSpaceDE/>
              <w:autoSpaceDN/>
              <w:adjustRightInd/>
              <w:rPr>
                <w:sz w:val="20"/>
                <w:szCs w:val="20"/>
              </w:rPr>
            </w:pPr>
            <w:r w:rsidRPr="00FB0456">
              <w:rPr>
                <w:sz w:val="20"/>
                <w:szCs w:val="20"/>
                <w:vertAlign w:val="superscript"/>
              </w:rPr>
              <w:t xml:space="preserve">e  </w:t>
            </w:r>
            <w:r w:rsidR="003A4388" w:rsidRPr="00FB0456">
              <w:rPr>
                <w:sz w:val="20"/>
                <w:szCs w:val="20"/>
              </w:rPr>
              <w:t xml:space="preserve">Totals have been rounded to 3 significant figures. Figures may not add exactly due to rounding. </w:t>
            </w:r>
          </w:p>
        </w:tc>
      </w:tr>
    </w:tbl>
    <w:p w14:paraId="6CB24DB0" w14:textId="77777777" w:rsidR="00144F35" w:rsidRPr="00D3420B" w:rsidRDefault="00144F35" w:rsidP="00F340DF">
      <w:pPr>
        <w:rPr>
          <w:b/>
          <w:bCs/>
        </w:rPr>
      </w:pPr>
    </w:p>
    <w:p w14:paraId="69295A20" w14:textId="77777777" w:rsidR="003D6951" w:rsidRPr="00D3420B" w:rsidRDefault="003D6951" w:rsidP="003D6951"/>
    <w:p w14:paraId="5EDF628F" w14:textId="0B0E69D4" w:rsidR="00144F35" w:rsidRPr="00D3420B" w:rsidRDefault="00144F35" w:rsidP="004002B7">
      <w:pPr>
        <w:ind w:left="-450"/>
        <w:outlineLvl w:val="0"/>
        <w:rPr>
          <w:b/>
          <w:bCs/>
        </w:rPr>
      </w:pPr>
      <w:r w:rsidRPr="00D3420B">
        <w:rPr>
          <w:b/>
          <w:bCs/>
        </w:rPr>
        <w:br w:type="page"/>
        <w:t xml:space="preserve">Table 2: Average Annual EPA Burden and Cost – </w:t>
      </w:r>
      <w:r w:rsidR="00C433E5" w:rsidRPr="00D3420B">
        <w:rPr>
          <w:b/>
          <w:bCs/>
        </w:rPr>
        <w:t>NSPS for GHG Emissions for Newly Constructed, Modified, and Reconstructed EGUs (40 CFR part 60, subpart TTTT)</w:t>
      </w:r>
    </w:p>
    <w:tbl>
      <w:tblPr>
        <w:tblW w:w="14842" w:type="dxa"/>
        <w:tblInd w:w="-460" w:type="dxa"/>
        <w:tblLayout w:type="fixed"/>
        <w:tblLook w:val="04A0" w:firstRow="1" w:lastRow="0" w:firstColumn="1" w:lastColumn="0" w:noHBand="0" w:noVBand="1"/>
      </w:tblPr>
      <w:tblGrid>
        <w:gridCol w:w="2615"/>
        <w:gridCol w:w="1360"/>
        <w:gridCol w:w="1476"/>
        <w:gridCol w:w="1363"/>
        <w:gridCol w:w="1474"/>
        <w:gridCol w:w="928"/>
        <w:gridCol w:w="25"/>
        <w:gridCol w:w="1106"/>
        <w:gridCol w:w="1302"/>
        <w:gridCol w:w="956"/>
        <w:gridCol w:w="1260"/>
        <w:gridCol w:w="243"/>
        <w:gridCol w:w="24"/>
        <w:gridCol w:w="236"/>
        <w:gridCol w:w="236"/>
        <w:gridCol w:w="238"/>
      </w:tblGrid>
      <w:tr w:rsidR="004002B7" w:rsidRPr="004002B7" w14:paraId="6CFC9F42" w14:textId="77777777" w:rsidTr="004002B7">
        <w:trPr>
          <w:gridAfter w:val="4"/>
          <w:wAfter w:w="734" w:type="dxa"/>
          <w:trHeight w:val="1311"/>
        </w:trPr>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17B6C" w14:textId="77777777" w:rsidR="004002B7" w:rsidRPr="004002B7" w:rsidRDefault="004002B7" w:rsidP="00C831CA">
            <w:pPr>
              <w:widowControl/>
              <w:autoSpaceDE/>
              <w:autoSpaceDN/>
              <w:adjustRightInd/>
              <w:jc w:val="center"/>
              <w:rPr>
                <w:b/>
                <w:bCs/>
                <w:sz w:val="22"/>
                <w:szCs w:val="22"/>
              </w:rPr>
            </w:pPr>
            <w:r w:rsidRPr="004002B7">
              <w:rPr>
                <w:b/>
                <w:bCs/>
                <w:sz w:val="22"/>
                <w:szCs w:val="22"/>
              </w:rPr>
              <w:t>Burden Item</w:t>
            </w:r>
          </w:p>
        </w:tc>
        <w:tc>
          <w:tcPr>
            <w:tcW w:w="1360" w:type="dxa"/>
            <w:tcBorders>
              <w:top w:val="single" w:sz="4" w:space="0" w:color="auto"/>
              <w:left w:val="single" w:sz="4" w:space="0" w:color="auto"/>
              <w:right w:val="single" w:sz="4" w:space="0" w:color="auto"/>
            </w:tcBorders>
            <w:shd w:val="clear" w:color="auto" w:fill="auto"/>
            <w:vAlign w:val="center"/>
            <w:hideMark/>
          </w:tcPr>
          <w:p w14:paraId="61D9F07A" w14:textId="77777777" w:rsidR="004002B7" w:rsidRPr="004002B7" w:rsidRDefault="004002B7" w:rsidP="00C831CA">
            <w:pPr>
              <w:widowControl/>
              <w:autoSpaceDE/>
              <w:autoSpaceDN/>
              <w:adjustRightInd/>
              <w:jc w:val="center"/>
              <w:rPr>
                <w:b/>
                <w:bCs/>
                <w:sz w:val="22"/>
                <w:szCs w:val="22"/>
              </w:rPr>
            </w:pPr>
            <w:r w:rsidRPr="004002B7">
              <w:rPr>
                <w:b/>
                <w:bCs/>
                <w:sz w:val="22"/>
                <w:szCs w:val="22"/>
              </w:rPr>
              <w:t>(A)</w:t>
            </w:r>
            <w:r w:rsidRPr="004002B7">
              <w:rPr>
                <w:b/>
                <w:bCs/>
                <w:sz w:val="22"/>
                <w:szCs w:val="22"/>
              </w:rPr>
              <w:br/>
              <w:t>Hours per Occurrence</w:t>
            </w:r>
          </w:p>
          <w:p w14:paraId="41B89B27" w14:textId="00EB5E3A" w:rsidR="004002B7" w:rsidRPr="004002B7" w:rsidRDefault="004002B7" w:rsidP="00C831CA">
            <w:pPr>
              <w:rPr>
                <w:b/>
                <w:bCs/>
                <w:sz w:val="22"/>
                <w:szCs w:val="22"/>
              </w:rPr>
            </w:pPr>
            <w:r w:rsidRPr="004002B7">
              <w:rPr>
                <w:sz w:val="22"/>
                <w:szCs w:val="22"/>
              </w:rPr>
              <w:t> </w:t>
            </w:r>
          </w:p>
        </w:tc>
        <w:tc>
          <w:tcPr>
            <w:tcW w:w="1476" w:type="dxa"/>
            <w:tcBorders>
              <w:top w:val="single" w:sz="4" w:space="0" w:color="auto"/>
              <w:left w:val="single" w:sz="4" w:space="0" w:color="auto"/>
              <w:right w:val="single" w:sz="4" w:space="0" w:color="auto"/>
            </w:tcBorders>
            <w:shd w:val="clear" w:color="auto" w:fill="auto"/>
            <w:vAlign w:val="center"/>
            <w:hideMark/>
          </w:tcPr>
          <w:p w14:paraId="2E278A59" w14:textId="77777777" w:rsidR="004002B7" w:rsidRPr="004002B7" w:rsidRDefault="004002B7" w:rsidP="00C831CA">
            <w:pPr>
              <w:widowControl/>
              <w:autoSpaceDE/>
              <w:autoSpaceDN/>
              <w:adjustRightInd/>
              <w:jc w:val="center"/>
              <w:rPr>
                <w:b/>
                <w:bCs/>
                <w:sz w:val="22"/>
                <w:szCs w:val="22"/>
              </w:rPr>
            </w:pPr>
            <w:r w:rsidRPr="004002B7">
              <w:rPr>
                <w:b/>
                <w:bCs/>
                <w:sz w:val="22"/>
                <w:szCs w:val="22"/>
              </w:rPr>
              <w:t xml:space="preserve">(B)  Occurrences/ Respondent/ </w:t>
            </w:r>
          </w:p>
          <w:p w14:paraId="6224F47E" w14:textId="3DF33ADE" w:rsidR="004002B7" w:rsidRPr="004002B7" w:rsidRDefault="004002B7" w:rsidP="00C831CA">
            <w:pPr>
              <w:jc w:val="center"/>
              <w:rPr>
                <w:b/>
                <w:bCs/>
                <w:sz w:val="22"/>
                <w:szCs w:val="22"/>
              </w:rPr>
            </w:pPr>
            <w:r w:rsidRPr="004002B7">
              <w:rPr>
                <w:b/>
                <w:bCs/>
                <w:sz w:val="22"/>
                <w:szCs w:val="22"/>
              </w:rPr>
              <w:t>Year</w:t>
            </w:r>
          </w:p>
        </w:tc>
        <w:tc>
          <w:tcPr>
            <w:tcW w:w="1363" w:type="dxa"/>
            <w:tcBorders>
              <w:top w:val="single" w:sz="4" w:space="0" w:color="auto"/>
              <w:left w:val="single" w:sz="4" w:space="0" w:color="auto"/>
              <w:right w:val="single" w:sz="4" w:space="0" w:color="auto"/>
            </w:tcBorders>
            <w:shd w:val="clear" w:color="auto" w:fill="auto"/>
            <w:vAlign w:val="center"/>
            <w:hideMark/>
          </w:tcPr>
          <w:p w14:paraId="7DDD26B6" w14:textId="77777777" w:rsidR="004002B7" w:rsidRPr="004002B7" w:rsidRDefault="004002B7" w:rsidP="00C831CA">
            <w:pPr>
              <w:widowControl/>
              <w:autoSpaceDE/>
              <w:autoSpaceDN/>
              <w:adjustRightInd/>
              <w:jc w:val="center"/>
              <w:rPr>
                <w:b/>
                <w:bCs/>
                <w:sz w:val="22"/>
                <w:szCs w:val="22"/>
              </w:rPr>
            </w:pPr>
            <w:r w:rsidRPr="004002B7">
              <w:rPr>
                <w:b/>
                <w:bCs/>
                <w:sz w:val="22"/>
                <w:szCs w:val="22"/>
              </w:rPr>
              <w:t>(C)</w:t>
            </w:r>
            <w:r w:rsidRPr="004002B7">
              <w:rPr>
                <w:b/>
                <w:bCs/>
                <w:sz w:val="22"/>
                <w:szCs w:val="22"/>
              </w:rPr>
              <w:br/>
              <w:t xml:space="preserve">Hours/ Respondent/ Year </w:t>
            </w:r>
          </w:p>
          <w:p w14:paraId="3EC470FF" w14:textId="2823003E" w:rsidR="004002B7" w:rsidRPr="004002B7" w:rsidRDefault="004002B7" w:rsidP="00C831CA">
            <w:pPr>
              <w:jc w:val="center"/>
              <w:rPr>
                <w:b/>
                <w:bCs/>
                <w:sz w:val="22"/>
                <w:szCs w:val="22"/>
              </w:rPr>
            </w:pPr>
            <w:r w:rsidRPr="004002B7">
              <w:rPr>
                <w:b/>
                <w:bCs/>
                <w:sz w:val="22"/>
                <w:szCs w:val="22"/>
              </w:rPr>
              <w:t>(A x B)</w:t>
            </w:r>
          </w:p>
        </w:tc>
        <w:tc>
          <w:tcPr>
            <w:tcW w:w="1474" w:type="dxa"/>
            <w:tcBorders>
              <w:top w:val="single" w:sz="4" w:space="0" w:color="auto"/>
              <w:left w:val="single" w:sz="4" w:space="0" w:color="auto"/>
              <w:right w:val="single" w:sz="4" w:space="0" w:color="auto"/>
            </w:tcBorders>
            <w:shd w:val="clear" w:color="auto" w:fill="auto"/>
            <w:vAlign w:val="center"/>
            <w:hideMark/>
          </w:tcPr>
          <w:p w14:paraId="7BD74123" w14:textId="0F9973EE" w:rsidR="004002B7" w:rsidRPr="004002B7" w:rsidRDefault="004002B7" w:rsidP="00C831CA">
            <w:pPr>
              <w:widowControl/>
              <w:autoSpaceDE/>
              <w:autoSpaceDN/>
              <w:adjustRightInd/>
              <w:jc w:val="center"/>
              <w:rPr>
                <w:b/>
                <w:bCs/>
                <w:sz w:val="22"/>
                <w:szCs w:val="22"/>
              </w:rPr>
            </w:pPr>
            <w:r w:rsidRPr="004002B7">
              <w:rPr>
                <w:b/>
                <w:bCs/>
                <w:sz w:val="22"/>
                <w:szCs w:val="22"/>
              </w:rPr>
              <w:t xml:space="preserve">(D)  Respondents/ Year </w:t>
            </w:r>
            <w:r w:rsidRPr="004002B7">
              <w:rPr>
                <w:b/>
                <w:bCs/>
                <w:sz w:val="22"/>
                <w:szCs w:val="22"/>
                <w:vertAlign w:val="superscript"/>
              </w:rPr>
              <w:t>a</w:t>
            </w:r>
          </w:p>
          <w:p w14:paraId="112FBDB5" w14:textId="0BEAD70D" w:rsidR="004002B7" w:rsidRPr="004002B7" w:rsidRDefault="004002B7" w:rsidP="00C831CA">
            <w:pPr>
              <w:rPr>
                <w:b/>
                <w:bCs/>
                <w:sz w:val="22"/>
                <w:szCs w:val="22"/>
              </w:rPr>
            </w:pPr>
            <w:r w:rsidRPr="004002B7">
              <w:rPr>
                <w:b/>
                <w:bCs/>
                <w:sz w:val="22"/>
                <w:szCs w:val="22"/>
              </w:rPr>
              <w:t> </w:t>
            </w:r>
          </w:p>
        </w:tc>
        <w:tc>
          <w:tcPr>
            <w:tcW w:w="928" w:type="dxa"/>
            <w:tcBorders>
              <w:top w:val="single" w:sz="4" w:space="0" w:color="auto"/>
              <w:left w:val="single" w:sz="4" w:space="0" w:color="auto"/>
              <w:right w:val="single" w:sz="4" w:space="0" w:color="auto"/>
            </w:tcBorders>
            <w:shd w:val="clear" w:color="auto" w:fill="auto"/>
            <w:vAlign w:val="center"/>
            <w:hideMark/>
          </w:tcPr>
          <w:p w14:paraId="66895C47" w14:textId="77777777" w:rsidR="004002B7" w:rsidRPr="004002B7" w:rsidRDefault="004002B7" w:rsidP="00C831CA">
            <w:pPr>
              <w:widowControl/>
              <w:autoSpaceDE/>
              <w:autoSpaceDN/>
              <w:adjustRightInd/>
              <w:jc w:val="center"/>
              <w:rPr>
                <w:b/>
                <w:bCs/>
                <w:sz w:val="22"/>
                <w:szCs w:val="22"/>
              </w:rPr>
            </w:pPr>
            <w:r w:rsidRPr="004002B7">
              <w:rPr>
                <w:b/>
                <w:bCs/>
                <w:sz w:val="22"/>
                <w:szCs w:val="22"/>
              </w:rPr>
              <w:t>(E)</w:t>
            </w:r>
            <w:r w:rsidRPr="004002B7">
              <w:rPr>
                <w:b/>
                <w:bCs/>
                <w:sz w:val="22"/>
                <w:szCs w:val="22"/>
              </w:rPr>
              <w:br/>
              <w:t>Total Hours/ Year</w:t>
            </w:r>
          </w:p>
          <w:p w14:paraId="6F8D7EC6" w14:textId="3EA5FEFD" w:rsidR="004002B7" w:rsidRPr="004002B7" w:rsidRDefault="004002B7" w:rsidP="00C831CA">
            <w:pPr>
              <w:jc w:val="center"/>
              <w:rPr>
                <w:b/>
                <w:bCs/>
                <w:sz w:val="22"/>
                <w:szCs w:val="22"/>
              </w:rPr>
            </w:pPr>
            <w:r w:rsidRPr="004002B7">
              <w:rPr>
                <w:b/>
                <w:bCs/>
                <w:sz w:val="22"/>
                <w:szCs w:val="22"/>
              </w:rPr>
              <w:t>(C x D)</w:t>
            </w:r>
          </w:p>
        </w:tc>
        <w:tc>
          <w:tcPr>
            <w:tcW w:w="1131" w:type="dxa"/>
            <w:gridSpan w:val="2"/>
            <w:tcBorders>
              <w:top w:val="single" w:sz="4" w:space="0" w:color="auto"/>
              <w:left w:val="single" w:sz="4" w:space="0" w:color="auto"/>
              <w:right w:val="single" w:sz="4" w:space="0" w:color="auto"/>
            </w:tcBorders>
            <w:shd w:val="clear" w:color="auto" w:fill="auto"/>
            <w:vAlign w:val="center"/>
            <w:hideMark/>
          </w:tcPr>
          <w:p w14:paraId="7CD2EBA6" w14:textId="77777777" w:rsidR="004002B7" w:rsidRPr="004002B7" w:rsidRDefault="004002B7" w:rsidP="00C831CA">
            <w:pPr>
              <w:widowControl/>
              <w:autoSpaceDE/>
              <w:autoSpaceDN/>
              <w:adjustRightInd/>
              <w:jc w:val="center"/>
              <w:rPr>
                <w:b/>
                <w:bCs/>
                <w:sz w:val="22"/>
                <w:szCs w:val="22"/>
              </w:rPr>
            </w:pPr>
            <w:r w:rsidRPr="004002B7">
              <w:rPr>
                <w:b/>
                <w:bCs/>
                <w:sz w:val="22"/>
                <w:szCs w:val="22"/>
              </w:rPr>
              <w:t>(F)  Technical Hours/ Year</w:t>
            </w:r>
          </w:p>
          <w:p w14:paraId="224570B6" w14:textId="42A74714" w:rsidR="004002B7" w:rsidRPr="004002B7" w:rsidRDefault="004002B7" w:rsidP="00C831CA">
            <w:pPr>
              <w:jc w:val="center"/>
              <w:rPr>
                <w:b/>
                <w:bCs/>
                <w:sz w:val="22"/>
                <w:szCs w:val="22"/>
              </w:rPr>
            </w:pPr>
            <w:r w:rsidRPr="004002B7">
              <w:rPr>
                <w:b/>
                <w:bCs/>
                <w:sz w:val="22"/>
                <w:szCs w:val="22"/>
              </w:rPr>
              <w:t>(C x D)</w:t>
            </w:r>
          </w:p>
        </w:tc>
        <w:tc>
          <w:tcPr>
            <w:tcW w:w="1302" w:type="dxa"/>
            <w:tcBorders>
              <w:top w:val="single" w:sz="4" w:space="0" w:color="auto"/>
              <w:left w:val="single" w:sz="4" w:space="0" w:color="auto"/>
              <w:right w:val="single" w:sz="4" w:space="0" w:color="auto"/>
            </w:tcBorders>
            <w:shd w:val="clear" w:color="auto" w:fill="auto"/>
            <w:vAlign w:val="center"/>
            <w:hideMark/>
          </w:tcPr>
          <w:p w14:paraId="3169C000" w14:textId="77777777" w:rsidR="004002B7" w:rsidRPr="004002B7" w:rsidRDefault="004002B7" w:rsidP="00C831CA">
            <w:pPr>
              <w:widowControl/>
              <w:autoSpaceDE/>
              <w:autoSpaceDN/>
              <w:adjustRightInd/>
              <w:jc w:val="center"/>
              <w:rPr>
                <w:b/>
                <w:bCs/>
                <w:sz w:val="22"/>
                <w:szCs w:val="22"/>
              </w:rPr>
            </w:pPr>
            <w:r w:rsidRPr="004002B7">
              <w:rPr>
                <w:b/>
                <w:bCs/>
                <w:sz w:val="22"/>
                <w:szCs w:val="22"/>
              </w:rPr>
              <w:t>(G)</w:t>
            </w:r>
            <w:r w:rsidRPr="004002B7">
              <w:rPr>
                <w:b/>
                <w:bCs/>
                <w:sz w:val="22"/>
                <w:szCs w:val="22"/>
              </w:rPr>
              <w:br/>
              <w:t>Managerial Hours/ Year</w:t>
            </w:r>
          </w:p>
          <w:p w14:paraId="5D01B67B" w14:textId="40F78C5A" w:rsidR="004002B7" w:rsidRPr="004002B7" w:rsidRDefault="004002B7" w:rsidP="00C831CA">
            <w:pPr>
              <w:jc w:val="center"/>
              <w:rPr>
                <w:b/>
                <w:bCs/>
                <w:sz w:val="22"/>
                <w:szCs w:val="22"/>
              </w:rPr>
            </w:pPr>
            <w:r w:rsidRPr="004002B7">
              <w:rPr>
                <w:b/>
                <w:bCs/>
                <w:sz w:val="22"/>
                <w:szCs w:val="22"/>
              </w:rPr>
              <w:t>(E x .05)</w:t>
            </w:r>
          </w:p>
        </w:tc>
        <w:tc>
          <w:tcPr>
            <w:tcW w:w="956" w:type="dxa"/>
            <w:tcBorders>
              <w:top w:val="single" w:sz="4" w:space="0" w:color="auto"/>
              <w:left w:val="single" w:sz="4" w:space="0" w:color="auto"/>
              <w:right w:val="single" w:sz="4" w:space="0" w:color="auto"/>
            </w:tcBorders>
            <w:shd w:val="clear" w:color="auto" w:fill="auto"/>
            <w:vAlign w:val="center"/>
            <w:hideMark/>
          </w:tcPr>
          <w:p w14:paraId="4DAA05D4" w14:textId="77777777" w:rsidR="004002B7" w:rsidRPr="004002B7" w:rsidRDefault="004002B7" w:rsidP="00C831CA">
            <w:pPr>
              <w:widowControl/>
              <w:autoSpaceDE/>
              <w:autoSpaceDN/>
              <w:adjustRightInd/>
              <w:jc w:val="center"/>
              <w:rPr>
                <w:b/>
                <w:bCs/>
                <w:sz w:val="22"/>
                <w:szCs w:val="22"/>
              </w:rPr>
            </w:pPr>
            <w:r w:rsidRPr="004002B7">
              <w:rPr>
                <w:b/>
                <w:bCs/>
                <w:sz w:val="22"/>
                <w:szCs w:val="22"/>
              </w:rPr>
              <w:t>(H) Clerical Hours/ Year</w:t>
            </w:r>
          </w:p>
          <w:p w14:paraId="25C267A6" w14:textId="0EAE6571" w:rsidR="004002B7" w:rsidRPr="004002B7" w:rsidRDefault="004002B7" w:rsidP="00C831CA">
            <w:pPr>
              <w:jc w:val="center"/>
              <w:rPr>
                <w:b/>
                <w:bCs/>
                <w:sz w:val="22"/>
                <w:szCs w:val="22"/>
              </w:rPr>
            </w:pPr>
            <w:r w:rsidRPr="004002B7">
              <w:rPr>
                <w:b/>
                <w:bCs/>
                <w:sz w:val="22"/>
                <w:szCs w:val="22"/>
              </w:rPr>
              <w:t xml:space="preserve">(E x .10) </w:t>
            </w:r>
          </w:p>
        </w:tc>
        <w:tc>
          <w:tcPr>
            <w:tcW w:w="1260" w:type="dxa"/>
            <w:tcBorders>
              <w:top w:val="single" w:sz="4" w:space="0" w:color="auto"/>
              <w:left w:val="single" w:sz="4" w:space="0" w:color="auto"/>
              <w:right w:val="single" w:sz="4" w:space="0" w:color="auto"/>
            </w:tcBorders>
            <w:shd w:val="clear" w:color="auto" w:fill="auto"/>
            <w:vAlign w:val="center"/>
            <w:hideMark/>
          </w:tcPr>
          <w:p w14:paraId="4012C672" w14:textId="0D0134AD" w:rsidR="004002B7" w:rsidRPr="004002B7" w:rsidRDefault="004002B7" w:rsidP="00C831CA">
            <w:pPr>
              <w:widowControl/>
              <w:autoSpaceDE/>
              <w:autoSpaceDN/>
              <w:adjustRightInd/>
              <w:jc w:val="center"/>
              <w:rPr>
                <w:b/>
                <w:bCs/>
                <w:sz w:val="22"/>
                <w:szCs w:val="22"/>
              </w:rPr>
            </w:pPr>
            <w:r w:rsidRPr="004002B7">
              <w:rPr>
                <w:b/>
                <w:bCs/>
                <w:sz w:val="22"/>
                <w:szCs w:val="22"/>
              </w:rPr>
              <w:t>(I)</w:t>
            </w:r>
            <w:r w:rsidRPr="004002B7">
              <w:rPr>
                <w:b/>
                <w:bCs/>
                <w:sz w:val="22"/>
                <w:szCs w:val="22"/>
              </w:rPr>
              <w:br/>
              <w:t xml:space="preserve">Cost/ Year </w:t>
            </w:r>
            <w:r w:rsidRPr="004002B7">
              <w:rPr>
                <w:b/>
                <w:bCs/>
                <w:sz w:val="22"/>
                <w:szCs w:val="22"/>
                <w:vertAlign w:val="superscript"/>
              </w:rPr>
              <w:t>b</w:t>
            </w:r>
          </w:p>
          <w:p w14:paraId="2E0F126A" w14:textId="2B53E2B9" w:rsidR="004002B7" w:rsidRPr="004002B7" w:rsidRDefault="004002B7" w:rsidP="00C831CA">
            <w:pPr>
              <w:jc w:val="center"/>
              <w:rPr>
                <w:b/>
                <w:bCs/>
                <w:sz w:val="22"/>
                <w:szCs w:val="22"/>
              </w:rPr>
            </w:pPr>
            <w:r w:rsidRPr="004002B7">
              <w:rPr>
                <w:b/>
                <w:bCs/>
                <w:sz w:val="22"/>
                <w:szCs w:val="22"/>
              </w:rPr>
              <w:t> </w:t>
            </w:r>
          </w:p>
        </w:tc>
        <w:tc>
          <w:tcPr>
            <w:tcW w:w="243" w:type="dxa"/>
            <w:tcBorders>
              <w:top w:val="nil"/>
              <w:left w:val="single" w:sz="4" w:space="0" w:color="auto"/>
              <w:bottom w:val="nil"/>
              <w:right w:val="nil"/>
            </w:tcBorders>
            <w:shd w:val="clear" w:color="auto" w:fill="auto"/>
            <w:vAlign w:val="bottom"/>
            <w:hideMark/>
          </w:tcPr>
          <w:p w14:paraId="13422E73" w14:textId="77777777" w:rsidR="004002B7" w:rsidRPr="004002B7" w:rsidRDefault="004002B7" w:rsidP="00C831CA">
            <w:pPr>
              <w:widowControl/>
              <w:autoSpaceDE/>
              <w:autoSpaceDN/>
              <w:adjustRightInd/>
              <w:jc w:val="center"/>
              <w:rPr>
                <w:b/>
                <w:bCs/>
                <w:sz w:val="22"/>
                <w:szCs w:val="22"/>
              </w:rPr>
            </w:pPr>
          </w:p>
        </w:tc>
      </w:tr>
      <w:tr w:rsidR="004002B7" w:rsidRPr="004002B7" w14:paraId="1C3DC565" w14:textId="77777777" w:rsidTr="004002B7">
        <w:trPr>
          <w:gridAfter w:val="4"/>
          <w:wAfter w:w="734" w:type="dxa"/>
          <w:trHeight w:val="486"/>
        </w:trPr>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6115" w14:textId="77777777" w:rsidR="00C831CA" w:rsidRPr="004002B7" w:rsidRDefault="00C831CA" w:rsidP="00C831CA">
            <w:pPr>
              <w:widowControl/>
              <w:autoSpaceDE/>
              <w:autoSpaceDN/>
              <w:adjustRightInd/>
              <w:rPr>
                <w:sz w:val="22"/>
                <w:szCs w:val="22"/>
              </w:rPr>
            </w:pPr>
            <w:r w:rsidRPr="004002B7">
              <w:rPr>
                <w:sz w:val="22"/>
                <w:szCs w:val="22"/>
              </w:rPr>
              <w:t>Notification of construction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A60A8" w14:textId="77777777" w:rsidR="00C831CA" w:rsidRPr="004002B7" w:rsidRDefault="00C831CA" w:rsidP="00C831CA">
            <w:pPr>
              <w:widowControl/>
              <w:autoSpaceDE/>
              <w:autoSpaceDN/>
              <w:adjustRightInd/>
              <w:jc w:val="center"/>
              <w:rPr>
                <w:sz w:val="22"/>
                <w:szCs w:val="22"/>
              </w:rPr>
            </w:pPr>
            <w:r w:rsidRPr="004002B7">
              <w:rPr>
                <w:sz w:val="22"/>
                <w:szCs w:val="22"/>
              </w:rPr>
              <w:t>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AFACE" w14:textId="77777777" w:rsidR="00C831CA" w:rsidRPr="004002B7" w:rsidRDefault="00C831CA" w:rsidP="00C831CA">
            <w:pPr>
              <w:widowControl/>
              <w:autoSpaceDE/>
              <w:autoSpaceDN/>
              <w:adjustRightInd/>
              <w:jc w:val="center"/>
              <w:rPr>
                <w:sz w:val="22"/>
                <w:szCs w:val="22"/>
              </w:rPr>
            </w:pPr>
            <w:r w:rsidRPr="004002B7">
              <w:rPr>
                <w:sz w:val="22"/>
                <w:szCs w:val="22"/>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6849" w14:textId="77777777" w:rsidR="00C831CA" w:rsidRPr="004002B7" w:rsidRDefault="00C831CA" w:rsidP="00C831CA">
            <w:pPr>
              <w:widowControl/>
              <w:autoSpaceDE/>
              <w:autoSpaceDN/>
              <w:adjustRightInd/>
              <w:jc w:val="center"/>
              <w:rPr>
                <w:sz w:val="22"/>
                <w:szCs w:val="22"/>
              </w:rPr>
            </w:pPr>
            <w:r w:rsidRPr="004002B7">
              <w:rPr>
                <w:sz w:val="22"/>
                <w:szCs w:val="22"/>
              </w:rPr>
              <w:t>1</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17BE2"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A4BE3"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FE4BEA"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2FAA4"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64CFB"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40623" w14:textId="77777777" w:rsidR="00C831CA" w:rsidRPr="004002B7" w:rsidRDefault="00C831CA" w:rsidP="00C831CA">
            <w:pPr>
              <w:widowControl/>
              <w:autoSpaceDE/>
              <w:autoSpaceDN/>
              <w:adjustRightInd/>
              <w:jc w:val="right"/>
              <w:rPr>
                <w:sz w:val="22"/>
                <w:szCs w:val="22"/>
              </w:rPr>
            </w:pPr>
            <w:r w:rsidRPr="004002B7">
              <w:rPr>
                <w:sz w:val="22"/>
                <w:szCs w:val="22"/>
              </w:rPr>
              <w:t>$0</w:t>
            </w:r>
          </w:p>
        </w:tc>
        <w:tc>
          <w:tcPr>
            <w:tcW w:w="243" w:type="dxa"/>
            <w:vMerge w:val="restart"/>
            <w:tcBorders>
              <w:top w:val="nil"/>
              <w:left w:val="single" w:sz="4" w:space="0" w:color="auto"/>
              <w:right w:val="nil"/>
            </w:tcBorders>
            <w:shd w:val="clear" w:color="auto" w:fill="auto"/>
            <w:vAlign w:val="bottom"/>
            <w:hideMark/>
          </w:tcPr>
          <w:p w14:paraId="526C3518" w14:textId="77777777" w:rsidR="00C831CA" w:rsidRPr="004002B7" w:rsidRDefault="00C831CA" w:rsidP="00C831CA">
            <w:pPr>
              <w:widowControl/>
              <w:autoSpaceDE/>
              <w:autoSpaceDN/>
              <w:adjustRightInd/>
              <w:jc w:val="right"/>
              <w:rPr>
                <w:sz w:val="22"/>
                <w:szCs w:val="22"/>
              </w:rPr>
            </w:pPr>
          </w:p>
        </w:tc>
      </w:tr>
      <w:tr w:rsidR="004002B7" w:rsidRPr="004002B7" w14:paraId="55051529" w14:textId="77777777" w:rsidTr="004002B7">
        <w:trPr>
          <w:gridAfter w:val="4"/>
          <w:wAfter w:w="734" w:type="dxa"/>
          <w:trHeight w:val="486"/>
        </w:trPr>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E8D21" w14:textId="77777777" w:rsidR="00C831CA" w:rsidRPr="004002B7" w:rsidRDefault="00C831CA" w:rsidP="00C831CA">
            <w:pPr>
              <w:widowControl/>
              <w:autoSpaceDE/>
              <w:autoSpaceDN/>
              <w:adjustRightInd/>
              <w:rPr>
                <w:sz w:val="22"/>
                <w:szCs w:val="22"/>
              </w:rPr>
            </w:pPr>
            <w:r w:rsidRPr="004002B7">
              <w:rPr>
                <w:sz w:val="22"/>
                <w:szCs w:val="22"/>
              </w:rPr>
              <w:t>Notification of startup</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905A6" w14:textId="77777777" w:rsidR="00C831CA" w:rsidRPr="004002B7" w:rsidRDefault="00C831CA" w:rsidP="00C831CA">
            <w:pPr>
              <w:widowControl/>
              <w:autoSpaceDE/>
              <w:autoSpaceDN/>
              <w:adjustRightInd/>
              <w:jc w:val="center"/>
              <w:rPr>
                <w:sz w:val="22"/>
                <w:szCs w:val="22"/>
              </w:rPr>
            </w:pPr>
            <w:r w:rsidRPr="004002B7">
              <w:rPr>
                <w:sz w:val="22"/>
                <w:szCs w:val="22"/>
              </w:rPr>
              <w:t>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AA944" w14:textId="77777777" w:rsidR="00C831CA" w:rsidRPr="004002B7" w:rsidRDefault="00C831CA" w:rsidP="00C831CA">
            <w:pPr>
              <w:widowControl/>
              <w:autoSpaceDE/>
              <w:autoSpaceDN/>
              <w:adjustRightInd/>
              <w:jc w:val="center"/>
              <w:rPr>
                <w:sz w:val="22"/>
                <w:szCs w:val="22"/>
              </w:rPr>
            </w:pPr>
            <w:r w:rsidRPr="004002B7">
              <w:rPr>
                <w:sz w:val="22"/>
                <w:szCs w:val="22"/>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C681F" w14:textId="77777777" w:rsidR="00C831CA" w:rsidRPr="004002B7" w:rsidRDefault="00C831CA" w:rsidP="00C831CA">
            <w:pPr>
              <w:widowControl/>
              <w:autoSpaceDE/>
              <w:autoSpaceDN/>
              <w:adjustRightInd/>
              <w:jc w:val="center"/>
              <w:rPr>
                <w:sz w:val="22"/>
                <w:szCs w:val="22"/>
              </w:rPr>
            </w:pPr>
            <w:r w:rsidRPr="004002B7">
              <w:rPr>
                <w:sz w:val="22"/>
                <w:szCs w:val="22"/>
              </w:rPr>
              <w:t>1</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65F9"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BCCE9"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11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0DD1D"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6C8B"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3BD27" w14:textId="77777777" w:rsidR="00C831CA" w:rsidRPr="004002B7" w:rsidRDefault="00C831CA" w:rsidP="00C831CA">
            <w:pPr>
              <w:widowControl/>
              <w:autoSpaceDE/>
              <w:autoSpaceDN/>
              <w:adjustRightInd/>
              <w:jc w:val="center"/>
              <w:rPr>
                <w:sz w:val="22"/>
                <w:szCs w:val="22"/>
              </w:rPr>
            </w:pPr>
            <w:r w:rsidRPr="004002B7">
              <w:rPr>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C64E5" w14:textId="77777777" w:rsidR="00C831CA" w:rsidRPr="004002B7" w:rsidRDefault="00C831CA" w:rsidP="00C831CA">
            <w:pPr>
              <w:widowControl/>
              <w:autoSpaceDE/>
              <w:autoSpaceDN/>
              <w:adjustRightInd/>
              <w:jc w:val="right"/>
              <w:rPr>
                <w:sz w:val="22"/>
                <w:szCs w:val="22"/>
              </w:rPr>
            </w:pPr>
            <w:r w:rsidRPr="004002B7">
              <w:rPr>
                <w:sz w:val="22"/>
                <w:szCs w:val="22"/>
              </w:rPr>
              <w:t>$0</w:t>
            </w:r>
          </w:p>
        </w:tc>
        <w:tc>
          <w:tcPr>
            <w:tcW w:w="243" w:type="dxa"/>
            <w:vMerge/>
            <w:tcBorders>
              <w:top w:val="nil"/>
              <w:left w:val="single" w:sz="4" w:space="0" w:color="auto"/>
            </w:tcBorders>
            <w:vAlign w:val="center"/>
            <w:hideMark/>
          </w:tcPr>
          <w:p w14:paraId="0E079C55" w14:textId="77777777" w:rsidR="00C831CA" w:rsidRPr="004002B7" w:rsidRDefault="00C831CA" w:rsidP="00C831CA">
            <w:pPr>
              <w:widowControl/>
              <w:autoSpaceDE/>
              <w:autoSpaceDN/>
              <w:adjustRightInd/>
              <w:rPr>
                <w:sz w:val="22"/>
                <w:szCs w:val="22"/>
              </w:rPr>
            </w:pPr>
          </w:p>
        </w:tc>
      </w:tr>
      <w:tr w:rsidR="004002B7" w:rsidRPr="004002B7" w14:paraId="7E3C9511" w14:textId="77777777" w:rsidTr="004002B7">
        <w:trPr>
          <w:gridAfter w:val="4"/>
          <w:wAfter w:w="734" w:type="dxa"/>
          <w:trHeight w:val="516"/>
        </w:trPr>
        <w:tc>
          <w:tcPr>
            <w:tcW w:w="2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3C91F" w14:textId="77777777" w:rsidR="00C831CA" w:rsidRPr="004002B7" w:rsidRDefault="00C831CA" w:rsidP="00C831CA">
            <w:pPr>
              <w:widowControl/>
              <w:autoSpaceDE/>
              <w:autoSpaceDN/>
              <w:adjustRightInd/>
              <w:rPr>
                <w:sz w:val="22"/>
                <w:szCs w:val="22"/>
              </w:rPr>
            </w:pPr>
            <w:r w:rsidRPr="004002B7">
              <w:rPr>
                <w:sz w:val="22"/>
                <w:szCs w:val="22"/>
              </w:rPr>
              <w:t xml:space="preserve">Prepare/Submit Emissions Summary Report </w:t>
            </w:r>
          </w:p>
          <w:p w14:paraId="714449D1" w14:textId="155D71CF" w:rsidR="00C831CA" w:rsidRPr="004002B7" w:rsidRDefault="00C831CA" w:rsidP="00C831CA">
            <w:pPr>
              <w:widowControl/>
              <w:autoSpaceDE/>
              <w:autoSpaceDN/>
              <w:adjustRightInd/>
              <w:rPr>
                <w:sz w:val="22"/>
                <w:szCs w:val="22"/>
              </w:rPr>
            </w:pPr>
            <w:r w:rsidRPr="004002B7">
              <w:rPr>
                <w:sz w:val="22"/>
                <w:szCs w:val="22"/>
              </w:rPr>
              <w:t>(Includes reporting of excess emissions &amp; downtime)</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0CDE9" w14:textId="77777777" w:rsidR="00C831CA" w:rsidRPr="004002B7" w:rsidRDefault="00C831CA" w:rsidP="00C831CA">
            <w:pPr>
              <w:widowControl/>
              <w:autoSpaceDE/>
              <w:autoSpaceDN/>
              <w:adjustRightInd/>
              <w:jc w:val="center"/>
              <w:rPr>
                <w:sz w:val="22"/>
                <w:szCs w:val="22"/>
              </w:rPr>
            </w:pPr>
            <w:r w:rsidRPr="004002B7">
              <w:rPr>
                <w:sz w:val="22"/>
                <w:szCs w:val="22"/>
              </w:rPr>
              <w:t>4</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84E91" w14:textId="77777777" w:rsidR="00C831CA" w:rsidRPr="004002B7" w:rsidRDefault="00C831CA" w:rsidP="00C831CA">
            <w:pPr>
              <w:widowControl/>
              <w:autoSpaceDE/>
              <w:autoSpaceDN/>
              <w:adjustRightInd/>
              <w:jc w:val="center"/>
              <w:rPr>
                <w:sz w:val="22"/>
                <w:szCs w:val="22"/>
              </w:rPr>
            </w:pPr>
            <w:r w:rsidRPr="004002B7">
              <w:rPr>
                <w:sz w:val="22"/>
                <w:szCs w:val="22"/>
              </w:rPr>
              <w:t>4</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AF23C" w14:textId="77777777" w:rsidR="00C831CA" w:rsidRPr="004002B7" w:rsidRDefault="00C831CA" w:rsidP="00C831CA">
            <w:pPr>
              <w:widowControl/>
              <w:autoSpaceDE/>
              <w:autoSpaceDN/>
              <w:adjustRightInd/>
              <w:jc w:val="center"/>
              <w:rPr>
                <w:sz w:val="22"/>
                <w:szCs w:val="22"/>
              </w:rPr>
            </w:pPr>
            <w:r w:rsidRPr="004002B7">
              <w:rPr>
                <w:sz w:val="22"/>
                <w:szCs w:val="22"/>
              </w:rPr>
              <w:t>16</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AE4E" w14:textId="77777777" w:rsidR="00C831CA" w:rsidRPr="004002B7" w:rsidRDefault="00C831CA" w:rsidP="00C831CA">
            <w:pPr>
              <w:widowControl/>
              <w:autoSpaceDE/>
              <w:autoSpaceDN/>
              <w:adjustRightInd/>
              <w:jc w:val="center"/>
              <w:rPr>
                <w:sz w:val="22"/>
                <w:szCs w:val="22"/>
              </w:rPr>
            </w:pPr>
            <w:r w:rsidRPr="004002B7">
              <w:rPr>
                <w:sz w:val="22"/>
                <w:szCs w:val="22"/>
              </w:rPr>
              <w:t>32</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ABD42" w14:textId="77777777" w:rsidR="00C831CA" w:rsidRPr="004002B7" w:rsidRDefault="00C831CA" w:rsidP="00C831CA">
            <w:pPr>
              <w:widowControl/>
              <w:autoSpaceDE/>
              <w:autoSpaceDN/>
              <w:adjustRightInd/>
              <w:jc w:val="center"/>
              <w:rPr>
                <w:sz w:val="22"/>
                <w:szCs w:val="22"/>
              </w:rPr>
            </w:pPr>
            <w:r w:rsidRPr="004002B7">
              <w:rPr>
                <w:sz w:val="22"/>
                <w:szCs w:val="22"/>
              </w:rPr>
              <w:t>512</w:t>
            </w:r>
          </w:p>
        </w:tc>
        <w:tc>
          <w:tcPr>
            <w:tcW w:w="11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B350F" w14:textId="77777777" w:rsidR="00C831CA" w:rsidRPr="004002B7" w:rsidRDefault="00C831CA" w:rsidP="00C831CA">
            <w:pPr>
              <w:widowControl/>
              <w:autoSpaceDE/>
              <w:autoSpaceDN/>
              <w:adjustRightInd/>
              <w:jc w:val="center"/>
              <w:rPr>
                <w:sz w:val="22"/>
                <w:szCs w:val="22"/>
              </w:rPr>
            </w:pPr>
            <w:r w:rsidRPr="004002B7">
              <w:rPr>
                <w:sz w:val="22"/>
                <w:szCs w:val="22"/>
              </w:rPr>
              <w:t>512</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F877A" w14:textId="77777777" w:rsidR="00C831CA" w:rsidRPr="004002B7" w:rsidRDefault="00C831CA" w:rsidP="00C831CA">
            <w:pPr>
              <w:widowControl/>
              <w:autoSpaceDE/>
              <w:autoSpaceDN/>
              <w:adjustRightInd/>
              <w:jc w:val="center"/>
              <w:rPr>
                <w:sz w:val="22"/>
                <w:szCs w:val="22"/>
              </w:rPr>
            </w:pPr>
            <w:r w:rsidRPr="004002B7">
              <w:rPr>
                <w:sz w:val="22"/>
                <w:szCs w:val="22"/>
              </w:rPr>
              <w:t>26</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D03A6" w14:textId="77777777" w:rsidR="00C831CA" w:rsidRPr="004002B7" w:rsidRDefault="00C831CA" w:rsidP="00C831CA">
            <w:pPr>
              <w:widowControl/>
              <w:autoSpaceDE/>
              <w:autoSpaceDN/>
              <w:adjustRightInd/>
              <w:jc w:val="center"/>
              <w:rPr>
                <w:sz w:val="22"/>
                <w:szCs w:val="22"/>
              </w:rPr>
            </w:pPr>
            <w:r w:rsidRPr="004002B7">
              <w:rPr>
                <w:sz w:val="22"/>
                <w:szCs w:val="22"/>
              </w:rPr>
              <w:t>51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1D738" w14:textId="77777777" w:rsidR="00C831CA" w:rsidRPr="004002B7" w:rsidRDefault="00C831CA" w:rsidP="00C831CA">
            <w:pPr>
              <w:widowControl/>
              <w:autoSpaceDE/>
              <w:autoSpaceDN/>
              <w:adjustRightInd/>
              <w:jc w:val="right"/>
              <w:rPr>
                <w:sz w:val="22"/>
                <w:szCs w:val="22"/>
              </w:rPr>
            </w:pPr>
            <w:r w:rsidRPr="004002B7">
              <w:rPr>
                <w:sz w:val="22"/>
                <w:szCs w:val="22"/>
              </w:rPr>
              <w:t>$27,992.83</w:t>
            </w:r>
          </w:p>
        </w:tc>
        <w:tc>
          <w:tcPr>
            <w:tcW w:w="243" w:type="dxa"/>
            <w:vMerge/>
            <w:tcBorders>
              <w:top w:val="nil"/>
              <w:left w:val="single" w:sz="4" w:space="0" w:color="auto"/>
            </w:tcBorders>
            <w:vAlign w:val="center"/>
            <w:hideMark/>
          </w:tcPr>
          <w:p w14:paraId="4D1A1FA3" w14:textId="77777777" w:rsidR="00C831CA" w:rsidRPr="004002B7" w:rsidRDefault="00C831CA" w:rsidP="00C831CA">
            <w:pPr>
              <w:widowControl/>
              <w:autoSpaceDE/>
              <w:autoSpaceDN/>
              <w:adjustRightInd/>
              <w:rPr>
                <w:sz w:val="22"/>
                <w:szCs w:val="22"/>
              </w:rPr>
            </w:pPr>
          </w:p>
        </w:tc>
      </w:tr>
      <w:tr w:rsidR="00C831CA" w:rsidRPr="004002B7" w14:paraId="626FFC26" w14:textId="77777777" w:rsidTr="004002B7">
        <w:trPr>
          <w:gridAfter w:val="5"/>
          <w:wAfter w:w="977" w:type="dxa"/>
          <w:trHeight w:val="304"/>
        </w:trPr>
        <w:tc>
          <w:tcPr>
            <w:tcW w:w="2615" w:type="dxa"/>
            <w:vMerge/>
            <w:tcBorders>
              <w:top w:val="single" w:sz="4" w:space="0" w:color="auto"/>
              <w:left w:val="single" w:sz="4" w:space="0" w:color="auto"/>
              <w:bottom w:val="single" w:sz="4" w:space="0" w:color="auto"/>
              <w:right w:val="single" w:sz="4" w:space="0" w:color="auto"/>
            </w:tcBorders>
            <w:vAlign w:val="center"/>
            <w:hideMark/>
          </w:tcPr>
          <w:p w14:paraId="419C8E17" w14:textId="77777777" w:rsidR="00C831CA" w:rsidRPr="004002B7" w:rsidRDefault="00C831CA" w:rsidP="00C831CA">
            <w:pPr>
              <w:widowControl/>
              <w:autoSpaceDE/>
              <w:autoSpaceDN/>
              <w:adjustRightInd/>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E03E831" w14:textId="77777777" w:rsidR="00C831CA" w:rsidRPr="004002B7" w:rsidRDefault="00C831CA" w:rsidP="00C831CA">
            <w:pPr>
              <w:widowControl/>
              <w:autoSpaceDE/>
              <w:autoSpaceDN/>
              <w:adjustRightInd/>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6EF5F7D" w14:textId="77777777" w:rsidR="00C831CA" w:rsidRPr="004002B7" w:rsidRDefault="00C831CA" w:rsidP="00C831CA">
            <w:pPr>
              <w:widowControl/>
              <w:autoSpaceDE/>
              <w:autoSpaceDN/>
              <w:adjustRightInd/>
              <w:rPr>
                <w:sz w:val="22"/>
                <w:szCs w:val="22"/>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82F2763" w14:textId="77777777" w:rsidR="00C831CA" w:rsidRPr="004002B7" w:rsidRDefault="00C831CA" w:rsidP="00C831CA">
            <w:pPr>
              <w:widowControl/>
              <w:autoSpaceDE/>
              <w:autoSpaceDN/>
              <w:adjustRightInd/>
              <w:rPr>
                <w:sz w:val="22"/>
                <w:szCs w:val="22"/>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1406C6CD" w14:textId="77777777" w:rsidR="00C831CA" w:rsidRPr="004002B7" w:rsidRDefault="00C831CA" w:rsidP="00C831CA">
            <w:pPr>
              <w:widowControl/>
              <w:autoSpaceDE/>
              <w:autoSpaceDN/>
              <w:adjustRightInd/>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63056509" w14:textId="77777777" w:rsidR="00C831CA" w:rsidRPr="004002B7" w:rsidRDefault="00C831CA" w:rsidP="00C831CA">
            <w:pPr>
              <w:widowControl/>
              <w:autoSpaceDE/>
              <w:autoSpaceDN/>
              <w:adjustRightInd/>
              <w:rPr>
                <w:sz w:val="22"/>
                <w:szCs w:val="22"/>
              </w:rPr>
            </w:pPr>
          </w:p>
        </w:tc>
        <w:tc>
          <w:tcPr>
            <w:tcW w:w="1131" w:type="dxa"/>
            <w:gridSpan w:val="2"/>
            <w:vMerge/>
            <w:tcBorders>
              <w:top w:val="single" w:sz="4" w:space="0" w:color="auto"/>
              <w:left w:val="single" w:sz="4" w:space="0" w:color="auto"/>
              <w:bottom w:val="single" w:sz="4" w:space="0" w:color="auto"/>
              <w:right w:val="single" w:sz="4" w:space="0" w:color="auto"/>
            </w:tcBorders>
            <w:vAlign w:val="center"/>
            <w:hideMark/>
          </w:tcPr>
          <w:p w14:paraId="6101FDCF" w14:textId="77777777" w:rsidR="00C831CA" w:rsidRPr="004002B7" w:rsidRDefault="00C831CA" w:rsidP="00C831CA">
            <w:pPr>
              <w:widowControl/>
              <w:autoSpaceDE/>
              <w:autoSpaceDN/>
              <w:adjustRightInd/>
              <w:rPr>
                <w:sz w:val="22"/>
                <w:szCs w:val="22"/>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2472CB7D" w14:textId="77777777" w:rsidR="00C831CA" w:rsidRPr="004002B7" w:rsidRDefault="00C831CA" w:rsidP="00C831CA">
            <w:pPr>
              <w:widowControl/>
              <w:autoSpaceDE/>
              <w:autoSpaceDN/>
              <w:adjustRightInd/>
              <w:rPr>
                <w:sz w:val="22"/>
                <w:szCs w:val="22"/>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62F5335B" w14:textId="77777777" w:rsidR="00C831CA" w:rsidRPr="004002B7" w:rsidRDefault="00C831CA" w:rsidP="00C831CA">
            <w:pPr>
              <w:widowControl/>
              <w:autoSpaceDE/>
              <w:autoSpaceDN/>
              <w:adjustRightInd/>
              <w:rPr>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3C005B1" w14:textId="77777777" w:rsidR="00C831CA" w:rsidRPr="004002B7" w:rsidRDefault="00C831CA" w:rsidP="00C831CA">
            <w:pPr>
              <w:widowControl/>
              <w:autoSpaceDE/>
              <w:autoSpaceDN/>
              <w:adjustRightInd/>
              <w:rPr>
                <w:sz w:val="22"/>
                <w:szCs w:val="22"/>
              </w:rPr>
            </w:pPr>
          </w:p>
        </w:tc>
      </w:tr>
      <w:tr w:rsidR="00C831CA" w:rsidRPr="004002B7" w14:paraId="28BFB6E8" w14:textId="77777777" w:rsidTr="004002B7">
        <w:trPr>
          <w:gridAfter w:val="5"/>
          <w:wAfter w:w="977" w:type="dxa"/>
          <w:trHeight w:val="385"/>
        </w:trPr>
        <w:tc>
          <w:tcPr>
            <w:tcW w:w="924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C6ABBBC" w14:textId="781EA59C" w:rsidR="00C831CA" w:rsidRPr="004002B7" w:rsidRDefault="00C831CA" w:rsidP="00C831CA">
            <w:pPr>
              <w:widowControl/>
              <w:autoSpaceDE/>
              <w:autoSpaceDN/>
              <w:adjustRightInd/>
              <w:rPr>
                <w:b/>
                <w:sz w:val="22"/>
                <w:szCs w:val="22"/>
              </w:rPr>
            </w:pPr>
            <w:r w:rsidRPr="004002B7">
              <w:rPr>
                <w:b/>
                <w:sz w:val="22"/>
                <w:szCs w:val="22"/>
              </w:rPr>
              <w:t>TOTAL (rounded)</w:t>
            </w:r>
            <w:r w:rsidRPr="004002B7">
              <w:rPr>
                <w:b/>
                <w:sz w:val="22"/>
                <w:szCs w:val="22"/>
                <w:vertAlign w:val="superscript"/>
              </w:rPr>
              <w:t>c</w:t>
            </w:r>
          </w:p>
        </w:tc>
        <w:tc>
          <w:tcPr>
            <w:tcW w:w="3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B11C7A" w14:textId="77777777" w:rsidR="00C831CA" w:rsidRPr="004002B7" w:rsidRDefault="00C831CA" w:rsidP="00C831CA">
            <w:pPr>
              <w:widowControl/>
              <w:autoSpaceDE/>
              <w:autoSpaceDN/>
              <w:adjustRightInd/>
              <w:jc w:val="center"/>
              <w:rPr>
                <w:b/>
                <w:sz w:val="22"/>
                <w:szCs w:val="22"/>
              </w:rPr>
            </w:pPr>
            <w:r w:rsidRPr="004002B7">
              <w:rPr>
                <w:b/>
                <w:sz w:val="22"/>
                <w:szCs w:val="22"/>
              </w:rPr>
              <w:t>589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E2D7E" w14:textId="77777777" w:rsidR="00C831CA" w:rsidRPr="004002B7" w:rsidRDefault="00C831CA" w:rsidP="00C831CA">
            <w:pPr>
              <w:widowControl/>
              <w:autoSpaceDE/>
              <w:autoSpaceDN/>
              <w:adjustRightInd/>
              <w:jc w:val="right"/>
              <w:rPr>
                <w:b/>
                <w:sz w:val="22"/>
                <w:szCs w:val="22"/>
              </w:rPr>
            </w:pPr>
            <w:r w:rsidRPr="004002B7">
              <w:rPr>
                <w:b/>
                <w:sz w:val="22"/>
                <w:szCs w:val="22"/>
              </w:rPr>
              <w:t>$28,000</w:t>
            </w:r>
          </w:p>
        </w:tc>
      </w:tr>
      <w:tr w:rsidR="00C831CA" w:rsidRPr="004002B7" w14:paraId="59C9FF62" w14:textId="77777777" w:rsidTr="004002B7">
        <w:trPr>
          <w:gridAfter w:val="5"/>
          <w:wAfter w:w="977" w:type="dxa"/>
          <w:trHeight w:val="314"/>
        </w:trPr>
        <w:tc>
          <w:tcPr>
            <w:tcW w:w="2615" w:type="dxa"/>
            <w:tcBorders>
              <w:top w:val="single" w:sz="4" w:space="0" w:color="auto"/>
              <w:left w:val="nil"/>
              <w:bottom w:val="nil"/>
              <w:right w:val="nil"/>
            </w:tcBorders>
            <w:shd w:val="clear" w:color="auto" w:fill="auto"/>
            <w:noWrap/>
            <w:vAlign w:val="bottom"/>
            <w:hideMark/>
          </w:tcPr>
          <w:p w14:paraId="5E96245B" w14:textId="77777777" w:rsidR="00C831CA" w:rsidRPr="004002B7" w:rsidRDefault="00C831CA" w:rsidP="00C831CA">
            <w:pPr>
              <w:widowControl/>
              <w:autoSpaceDE/>
              <w:autoSpaceDN/>
              <w:adjustRightInd/>
              <w:jc w:val="center"/>
              <w:rPr>
                <w:sz w:val="22"/>
                <w:szCs w:val="22"/>
              </w:rPr>
            </w:pPr>
            <w:r w:rsidRPr="004002B7">
              <w:rPr>
                <w:sz w:val="22"/>
                <w:szCs w:val="22"/>
              </w:rPr>
              <w:t> </w:t>
            </w:r>
          </w:p>
        </w:tc>
        <w:tc>
          <w:tcPr>
            <w:tcW w:w="1360" w:type="dxa"/>
            <w:tcBorders>
              <w:top w:val="single" w:sz="4" w:space="0" w:color="auto"/>
              <w:left w:val="nil"/>
              <w:bottom w:val="nil"/>
              <w:right w:val="nil"/>
            </w:tcBorders>
            <w:shd w:val="clear" w:color="auto" w:fill="auto"/>
            <w:noWrap/>
            <w:vAlign w:val="bottom"/>
            <w:hideMark/>
          </w:tcPr>
          <w:p w14:paraId="40FD976B" w14:textId="77777777" w:rsidR="00C831CA" w:rsidRPr="004002B7" w:rsidRDefault="00C831CA" w:rsidP="00C831CA">
            <w:pPr>
              <w:widowControl/>
              <w:autoSpaceDE/>
              <w:autoSpaceDN/>
              <w:adjustRightInd/>
              <w:jc w:val="center"/>
              <w:rPr>
                <w:sz w:val="22"/>
                <w:szCs w:val="22"/>
              </w:rPr>
            </w:pPr>
          </w:p>
        </w:tc>
        <w:tc>
          <w:tcPr>
            <w:tcW w:w="1476" w:type="dxa"/>
            <w:tcBorders>
              <w:top w:val="single" w:sz="4" w:space="0" w:color="auto"/>
              <w:left w:val="nil"/>
              <w:bottom w:val="nil"/>
              <w:right w:val="nil"/>
            </w:tcBorders>
            <w:shd w:val="clear" w:color="auto" w:fill="auto"/>
            <w:noWrap/>
            <w:vAlign w:val="bottom"/>
            <w:hideMark/>
          </w:tcPr>
          <w:p w14:paraId="5BA6ADF9" w14:textId="77777777" w:rsidR="00C831CA" w:rsidRPr="004002B7" w:rsidRDefault="00C831CA" w:rsidP="00C831CA">
            <w:pPr>
              <w:widowControl/>
              <w:autoSpaceDE/>
              <w:autoSpaceDN/>
              <w:adjustRightInd/>
              <w:rPr>
                <w:sz w:val="22"/>
                <w:szCs w:val="22"/>
              </w:rPr>
            </w:pPr>
          </w:p>
        </w:tc>
        <w:tc>
          <w:tcPr>
            <w:tcW w:w="1363" w:type="dxa"/>
            <w:tcBorders>
              <w:top w:val="single" w:sz="4" w:space="0" w:color="auto"/>
              <w:left w:val="nil"/>
              <w:bottom w:val="nil"/>
              <w:right w:val="nil"/>
            </w:tcBorders>
            <w:shd w:val="clear" w:color="auto" w:fill="auto"/>
            <w:noWrap/>
            <w:vAlign w:val="bottom"/>
          </w:tcPr>
          <w:p w14:paraId="246D1BF3" w14:textId="77777777" w:rsidR="00C831CA" w:rsidRPr="004002B7" w:rsidRDefault="00C831CA" w:rsidP="00C831CA">
            <w:pPr>
              <w:widowControl/>
              <w:autoSpaceDE/>
              <w:autoSpaceDN/>
              <w:adjustRightInd/>
              <w:rPr>
                <w:sz w:val="22"/>
                <w:szCs w:val="22"/>
              </w:rPr>
            </w:pPr>
          </w:p>
        </w:tc>
        <w:tc>
          <w:tcPr>
            <w:tcW w:w="1474" w:type="dxa"/>
            <w:tcBorders>
              <w:top w:val="single" w:sz="4" w:space="0" w:color="auto"/>
              <w:left w:val="nil"/>
              <w:bottom w:val="nil"/>
              <w:right w:val="nil"/>
            </w:tcBorders>
            <w:shd w:val="clear" w:color="auto" w:fill="auto"/>
            <w:noWrap/>
            <w:vAlign w:val="bottom"/>
            <w:hideMark/>
          </w:tcPr>
          <w:p w14:paraId="08D601BD" w14:textId="77777777" w:rsidR="00C831CA" w:rsidRPr="004002B7" w:rsidRDefault="00C831CA" w:rsidP="00C831CA">
            <w:pPr>
              <w:widowControl/>
              <w:autoSpaceDE/>
              <w:autoSpaceDN/>
              <w:adjustRightInd/>
              <w:rPr>
                <w:sz w:val="22"/>
                <w:szCs w:val="22"/>
              </w:rPr>
            </w:pPr>
          </w:p>
        </w:tc>
        <w:tc>
          <w:tcPr>
            <w:tcW w:w="928" w:type="dxa"/>
            <w:tcBorders>
              <w:top w:val="single" w:sz="4" w:space="0" w:color="auto"/>
              <w:left w:val="nil"/>
              <w:bottom w:val="nil"/>
              <w:right w:val="nil"/>
            </w:tcBorders>
            <w:shd w:val="clear" w:color="auto" w:fill="auto"/>
            <w:noWrap/>
            <w:vAlign w:val="bottom"/>
            <w:hideMark/>
          </w:tcPr>
          <w:p w14:paraId="150D5594" w14:textId="77777777" w:rsidR="00C831CA" w:rsidRPr="004002B7" w:rsidRDefault="00C831CA" w:rsidP="00C831CA">
            <w:pPr>
              <w:widowControl/>
              <w:autoSpaceDE/>
              <w:autoSpaceDN/>
              <w:adjustRightInd/>
              <w:rPr>
                <w:sz w:val="22"/>
                <w:szCs w:val="22"/>
              </w:rPr>
            </w:pPr>
          </w:p>
        </w:tc>
        <w:tc>
          <w:tcPr>
            <w:tcW w:w="1131" w:type="dxa"/>
            <w:gridSpan w:val="2"/>
            <w:tcBorders>
              <w:top w:val="single" w:sz="4" w:space="0" w:color="auto"/>
              <w:left w:val="nil"/>
              <w:bottom w:val="nil"/>
              <w:right w:val="nil"/>
            </w:tcBorders>
            <w:shd w:val="clear" w:color="auto" w:fill="auto"/>
            <w:noWrap/>
            <w:vAlign w:val="bottom"/>
            <w:hideMark/>
          </w:tcPr>
          <w:p w14:paraId="3B98BECC" w14:textId="77777777" w:rsidR="00C831CA" w:rsidRPr="004002B7" w:rsidRDefault="00C831CA" w:rsidP="00C831CA">
            <w:pPr>
              <w:widowControl/>
              <w:autoSpaceDE/>
              <w:autoSpaceDN/>
              <w:adjustRightInd/>
              <w:rPr>
                <w:sz w:val="22"/>
                <w:szCs w:val="22"/>
              </w:rPr>
            </w:pPr>
          </w:p>
        </w:tc>
        <w:tc>
          <w:tcPr>
            <w:tcW w:w="1302" w:type="dxa"/>
            <w:tcBorders>
              <w:top w:val="single" w:sz="4" w:space="0" w:color="auto"/>
              <w:left w:val="nil"/>
              <w:bottom w:val="nil"/>
              <w:right w:val="nil"/>
            </w:tcBorders>
            <w:shd w:val="clear" w:color="auto" w:fill="auto"/>
            <w:noWrap/>
            <w:vAlign w:val="bottom"/>
            <w:hideMark/>
          </w:tcPr>
          <w:p w14:paraId="6DDC5C24" w14:textId="77777777" w:rsidR="00C831CA" w:rsidRPr="004002B7" w:rsidRDefault="00C831CA" w:rsidP="00C831CA">
            <w:pPr>
              <w:widowControl/>
              <w:autoSpaceDE/>
              <w:autoSpaceDN/>
              <w:adjustRightInd/>
              <w:rPr>
                <w:sz w:val="22"/>
                <w:szCs w:val="22"/>
              </w:rPr>
            </w:pPr>
          </w:p>
        </w:tc>
        <w:tc>
          <w:tcPr>
            <w:tcW w:w="956" w:type="dxa"/>
            <w:tcBorders>
              <w:top w:val="single" w:sz="4" w:space="0" w:color="auto"/>
              <w:left w:val="nil"/>
              <w:bottom w:val="nil"/>
              <w:right w:val="nil"/>
            </w:tcBorders>
            <w:shd w:val="clear" w:color="auto" w:fill="auto"/>
            <w:noWrap/>
            <w:vAlign w:val="bottom"/>
            <w:hideMark/>
          </w:tcPr>
          <w:p w14:paraId="39C7CE95" w14:textId="77777777" w:rsidR="00C831CA" w:rsidRPr="004002B7" w:rsidRDefault="00C831CA" w:rsidP="00C831CA">
            <w:pPr>
              <w:widowControl/>
              <w:autoSpaceDE/>
              <w:autoSpaceDN/>
              <w:adjustRightInd/>
              <w:rPr>
                <w:sz w:val="22"/>
                <w:szCs w:val="22"/>
              </w:rPr>
            </w:pPr>
          </w:p>
        </w:tc>
        <w:tc>
          <w:tcPr>
            <w:tcW w:w="1260" w:type="dxa"/>
            <w:tcBorders>
              <w:top w:val="single" w:sz="4" w:space="0" w:color="auto"/>
              <w:left w:val="nil"/>
              <w:bottom w:val="nil"/>
              <w:right w:val="nil"/>
            </w:tcBorders>
            <w:shd w:val="clear" w:color="auto" w:fill="auto"/>
            <w:noWrap/>
            <w:vAlign w:val="bottom"/>
            <w:hideMark/>
          </w:tcPr>
          <w:p w14:paraId="414D0D8F" w14:textId="77777777" w:rsidR="00C831CA" w:rsidRPr="004002B7" w:rsidRDefault="00C831CA" w:rsidP="00C831CA">
            <w:pPr>
              <w:widowControl/>
              <w:autoSpaceDE/>
              <w:autoSpaceDN/>
              <w:adjustRightInd/>
              <w:rPr>
                <w:sz w:val="22"/>
                <w:szCs w:val="22"/>
              </w:rPr>
            </w:pPr>
          </w:p>
        </w:tc>
      </w:tr>
      <w:tr w:rsidR="00C831CA" w:rsidRPr="004002B7" w14:paraId="227703D7" w14:textId="77777777" w:rsidTr="004002B7">
        <w:trPr>
          <w:gridAfter w:val="5"/>
          <w:wAfter w:w="977" w:type="dxa"/>
          <w:trHeight w:val="314"/>
        </w:trPr>
        <w:tc>
          <w:tcPr>
            <w:tcW w:w="2615" w:type="dxa"/>
            <w:tcBorders>
              <w:top w:val="nil"/>
              <w:left w:val="nil"/>
              <w:bottom w:val="nil"/>
              <w:right w:val="nil"/>
            </w:tcBorders>
            <w:shd w:val="clear" w:color="auto" w:fill="auto"/>
            <w:noWrap/>
            <w:vAlign w:val="bottom"/>
            <w:hideMark/>
          </w:tcPr>
          <w:p w14:paraId="6F0B3D4B" w14:textId="77777777" w:rsidR="00C831CA" w:rsidRPr="004002B7" w:rsidRDefault="00C831CA" w:rsidP="00C831CA">
            <w:pPr>
              <w:widowControl/>
              <w:autoSpaceDE/>
              <w:autoSpaceDN/>
              <w:adjustRightInd/>
              <w:rPr>
                <w:b/>
                <w:bCs/>
                <w:sz w:val="22"/>
                <w:szCs w:val="22"/>
              </w:rPr>
            </w:pPr>
            <w:r w:rsidRPr="004002B7">
              <w:rPr>
                <w:b/>
                <w:bCs/>
                <w:sz w:val="22"/>
                <w:szCs w:val="22"/>
              </w:rPr>
              <w:t>Assumptions</w:t>
            </w:r>
          </w:p>
        </w:tc>
        <w:tc>
          <w:tcPr>
            <w:tcW w:w="1360" w:type="dxa"/>
            <w:tcBorders>
              <w:top w:val="nil"/>
              <w:left w:val="nil"/>
              <w:bottom w:val="nil"/>
              <w:right w:val="nil"/>
            </w:tcBorders>
            <w:shd w:val="clear" w:color="auto" w:fill="auto"/>
            <w:noWrap/>
            <w:vAlign w:val="bottom"/>
            <w:hideMark/>
          </w:tcPr>
          <w:p w14:paraId="1D3B6208" w14:textId="77777777" w:rsidR="00C831CA" w:rsidRPr="004002B7" w:rsidRDefault="00C831CA" w:rsidP="00C831CA">
            <w:pPr>
              <w:widowControl/>
              <w:autoSpaceDE/>
              <w:autoSpaceDN/>
              <w:adjustRightInd/>
              <w:rPr>
                <w:b/>
                <w:bCs/>
                <w:sz w:val="22"/>
                <w:szCs w:val="22"/>
              </w:rPr>
            </w:pPr>
          </w:p>
        </w:tc>
        <w:tc>
          <w:tcPr>
            <w:tcW w:w="1476" w:type="dxa"/>
            <w:tcBorders>
              <w:top w:val="nil"/>
              <w:left w:val="nil"/>
              <w:bottom w:val="nil"/>
              <w:right w:val="nil"/>
            </w:tcBorders>
            <w:shd w:val="clear" w:color="auto" w:fill="auto"/>
            <w:noWrap/>
            <w:vAlign w:val="bottom"/>
            <w:hideMark/>
          </w:tcPr>
          <w:p w14:paraId="0A2C8315" w14:textId="77777777" w:rsidR="00C831CA" w:rsidRPr="004002B7" w:rsidRDefault="00C831CA" w:rsidP="00C831CA">
            <w:pPr>
              <w:widowControl/>
              <w:autoSpaceDE/>
              <w:autoSpaceDN/>
              <w:adjustRightInd/>
              <w:rPr>
                <w:sz w:val="22"/>
                <w:szCs w:val="22"/>
              </w:rPr>
            </w:pPr>
          </w:p>
        </w:tc>
        <w:tc>
          <w:tcPr>
            <w:tcW w:w="1363" w:type="dxa"/>
            <w:tcBorders>
              <w:top w:val="nil"/>
              <w:left w:val="nil"/>
              <w:bottom w:val="nil"/>
              <w:right w:val="nil"/>
            </w:tcBorders>
            <w:shd w:val="clear" w:color="auto" w:fill="auto"/>
            <w:noWrap/>
            <w:vAlign w:val="bottom"/>
            <w:hideMark/>
          </w:tcPr>
          <w:p w14:paraId="68AD7C9E" w14:textId="77777777" w:rsidR="00C831CA" w:rsidRPr="004002B7" w:rsidRDefault="00C831CA" w:rsidP="00C831CA">
            <w:pPr>
              <w:widowControl/>
              <w:autoSpaceDE/>
              <w:autoSpaceDN/>
              <w:adjustRightInd/>
              <w:rPr>
                <w:sz w:val="22"/>
                <w:szCs w:val="22"/>
              </w:rPr>
            </w:pPr>
          </w:p>
        </w:tc>
        <w:tc>
          <w:tcPr>
            <w:tcW w:w="1474" w:type="dxa"/>
            <w:tcBorders>
              <w:top w:val="nil"/>
              <w:left w:val="nil"/>
              <w:bottom w:val="nil"/>
              <w:right w:val="nil"/>
            </w:tcBorders>
            <w:shd w:val="clear" w:color="auto" w:fill="auto"/>
            <w:noWrap/>
            <w:vAlign w:val="bottom"/>
            <w:hideMark/>
          </w:tcPr>
          <w:p w14:paraId="629297E2" w14:textId="77777777" w:rsidR="00C831CA" w:rsidRPr="004002B7" w:rsidRDefault="00C831CA" w:rsidP="00C831CA">
            <w:pPr>
              <w:widowControl/>
              <w:autoSpaceDE/>
              <w:autoSpaceDN/>
              <w:adjustRightInd/>
              <w:rPr>
                <w:sz w:val="22"/>
                <w:szCs w:val="22"/>
              </w:rPr>
            </w:pPr>
          </w:p>
        </w:tc>
        <w:tc>
          <w:tcPr>
            <w:tcW w:w="928" w:type="dxa"/>
            <w:tcBorders>
              <w:top w:val="nil"/>
              <w:left w:val="nil"/>
              <w:bottom w:val="nil"/>
              <w:right w:val="nil"/>
            </w:tcBorders>
            <w:shd w:val="clear" w:color="auto" w:fill="auto"/>
            <w:noWrap/>
            <w:vAlign w:val="bottom"/>
            <w:hideMark/>
          </w:tcPr>
          <w:p w14:paraId="2CD994D1" w14:textId="77777777" w:rsidR="00C831CA" w:rsidRPr="004002B7" w:rsidRDefault="00C831CA" w:rsidP="00C831CA">
            <w:pPr>
              <w:widowControl/>
              <w:autoSpaceDE/>
              <w:autoSpaceDN/>
              <w:adjustRightInd/>
              <w:rPr>
                <w:sz w:val="22"/>
                <w:szCs w:val="22"/>
              </w:rPr>
            </w:pPr>
          </w:p>
        </w:tc>
        <w:tc>
          <w:tcPr>
            <w:tcW w:w="1131" w:type="dxa"/>
            <w:gridSpan w:val="2"/>
            <w:tcBorders>
              <w:top w:val="nil"/>
              <w:left w:val="nil"/>
              <w:bottom w:val="nil"/>
              <w:right w:val="nil"/>
            </w:tcBorders>
            <w:shd w:val="clear" w:color="auto" w:fill="auto"/>
            <w:noWrap/>
            <w:vAlign w:val="bottom"/>
            <w:hideMark/>
          </w:tcPr>
          <w:p w14:paraId="322ED5FE" w14:textId="77777777" w:rsidR="00C831CA" w:rsidRPr="004002B7" w:rsidRDefault="00C831CA" w:rsidP="00C831CA">
            <w:pPr>
              <w:widowControl/>
              <w:autoSpaceDE/>
              <w:autoSpaceDN/>
              <w:adjustRightInd/>
              <w:rPr>
                <w:sz w:val="22"/>
                <w:szCs w:val="22"/>
              </w:rPr>
            </w:pPr>
          </w:p>
        </w:tc>
        <w:tc>
          <w:tcPr>
            <w:tcW w:w="1302" w:type="dxa"/>
            <w:tcBorders>
              <w:top w:val="nil"/>
              <w:left w:val="nil"/>
              <w:bottom w:val="nil"/>
              <w:right w:val="nil"/>
            </w:tcBorders>
            <w:shd w:val="clear" w:color="auto" w:fill="auto"/>
            <w:noWrap/>
            <w:vAlign w:val="bottom"/>
            <w:hideMark/>
          </w:tcPr>
          <w:p w14:paraId="49D4305D" w14:textId="77777777" w:rsidR="00C831CA" w:rsidRPr="004002B7" w:rsidRDefault="00C831CA" w:rsidP="00C831CA">
            <w:pPr>
              <w:widowControl/>
              <w:autoSpaceDE/>
              <w:autoSpaceDN/>
              <w:adjustRightInd/>
              <w:rPr>
                <w:sz w:val="22"/>
                <w:szCs w:val="22"/>
              </w:rPr>
            </w:pPr>
          </w:p>
        </w:tc>
        <w:tc>
          <w:tcPr>
            <w:tcW w:w="956" w:type="dxa"/>
            <w:tcBorders>
              <w:top w:val="nil"/>
              <w:left w:val="nil"/>
              <w:bottom w:val="nil"/>
              <w:right w:val="nil"/>
            </w:tcBorders>
            <w:shd w:val="clear" w:color="auto" w:fill="auto"/>
            <w:noWrap/>
            <w:vAlign w:val="bottom"/>
            <w:hideMark/>
          </w:tcPr>
          <w:p w14:paraId="6C503760" w14:textId="77777777" w:rsidR="00C831CA" w:rsidRPr="004002B7" w:rsidRDefault="00C831CA" w:rsidP="00C831CA">
            <w:pPr>
              <w:widowControl/>
              <w:autoSpaceDE/>
              <w:autoSpaceDN/>
              <w:adjustRightInd/>
              <w:rPr>
                <w:sz w:val="22"/>
                <w:szCs w:val="22"/>
              </w:rPr>
            </w:pPr>
          </w:p>
        </w:tc>
        <w:tc>
          <w:tcPr>
            <w:tcW w:w="1260" w:type="dxa"/>
            <w:tcBorders>
              <w:top w:val="nil"/>
              <w:left w:val="nil"/>
              <w:bottom w:val="nil"/>
              <w:right w:val="nil"/>
            </w:tcBorders>
            <w:shd w:val="clear" w:color="auto" w:fill="auto"/>
            <w:noWrap/>
            <w:vAlign w:val="bottom"/>
            <w:hideMark/>
          </w:tcPr>
          <w:p w14:paraId="5C6944AD" w14:textId="77777777" w:rsidR="00C831CA" w:rsidRPr="004002B7" w:rsidRDefault="00C831CA" w:rsidP="00C831CA">
            <w:pPr>
              <w:widowControl/>
              <w:autoSpaceDE/>
              <w:autoSpaceDN/>
              <w:adjustRightInd/>
              <w:rPr>
                <w:sz w:val="22"/>
                <w:szCs w:val="22"/>
              </w:rPr>
            </w:pPr>
          </w:p>
        </w:tc>
      </w:tr>
      <w:tr w:rsidR="00C831CA" w:rsidRPr="004002B7" w14:paraId="77D97D3F" w14:textId="77777777" w:rsidTr="004002B7">
        <w:trPr>
          <w:trHeight w:val="684"/>
        </w:trPr>
        <w:tc>
          <w:tcPr>
            <w:tcW w:w="14132" w:type="dxa"/>
            <w:gridSpan w:val="13"/>
            <w:tcBorders>
              <w:top w:val="nil"/>
              <w:left w:val="nil"/>
              <w:bottom w:val="nil"/>
              <w:right w:val="nil"/>
            </w:tcBorders>
            <w:shd w:val="clear" w:color="auto" w:fill="auto"/>
            <w:vAlign w:val="center"/>
            <w:hideMark/>
          </w:tcPr>
          <w:p w14:paraId="51A54147" w14:textId="5D667ED7" w:rsidR="00C831CA" w:rsidRPr="004002B7" w:rsidRDefault="00C831CA" w:rsidP="00C831CA">
            <w:pPr>
              <w:widowControl/>
              <w:autoSpaceDE/>
              <w:autoSpaceDN/>
              <w:adjustRightInd/>
              <w:rPr>
                <w:sz w:val="22"/>
                <w:szCs w:val="22"/>
              </w:rPr>
            </w:pPr>
            <w:r w:rsidRPr="004002B7">
              <w:rPr>
                <w:sz w:val="22"/>
                <w:szCs w:val="22"/>
                <w:vertAlign w:val="superscript"/>
              </w:rPr>
              <w:t>a</w:t>
            </w:r>
            <w:r w:rsidRPr="004002B7">
              <w:rPr>
                <w:sz w:val="22"/>
                <w:szCs w:val="22"/>
              </w:rPr>
              <w:t xml:space="preserve"> We have assumed that there are approximately 37 units (12 combined cycle CT facilities and 25 simple cycle CT units)  at 32 facilities. There </w:t>
            </w:r>
            <w:r w:rsidR="000312D6">
              <w:rPr>
                <w:sz w:val="22"/>
                <w:szCs w:val="22"/>
              </w:rPr>
              <w:t xml:space="preserve">are </w:t>
            </w:r>
            <w:r w:rsidRPr="004002B7">
              <w:rPr>
                <w:sz w:val="22"/>
                <w:szCs w:val="22"/>
              </w:rPr>
              <w:t xml:space="preserve">no new sources anticipated over the next 3 years.  </w:t>
            </w:r>
          </w:p>
        </w:tc>
        <w:tc>
          <w:tcPr>
            <w:tcW w:w="236" w:type="dxa"/>
            <w:tcBorders>
              <w:top w:val="nil"/>
              <w:left w:val="nil"/>
              <w:bottom w:val="nil"/>
              <w:right w:val="nil"/>
            </w:tcBorders>
            <w:shd w:val="clear" w:color="auto" w:fill="auto"/>
            <w:noWrap/>
            <w:vAlign w:val="bottom"/>
            <w:hideMark/>
          </w:tcPr>
          <w:p w14:paraId="4BC6330F" w14:textId="77777777" w:rsidR="00C831CA" w:rsidRPr="004002B7" w:rsidRDefault="00C831CA" w:rsidP="00C831CA">
            <w:pPr>
              <w:widowControl/>
              <w:autoSpaceDE/>
              <w:autoSpaceDN/>
              <w:adjustRightInd/>
              <w:rPr>
                <w:sz w:val="22"/>
                <w:szCs w:val="22"/>
              </w:rPr>
            </w:pPr>
          </w:p>
        </w:tc>
        <w:tc>
          <w:tcPr>
            <w:tcW w:w="236" w:type="dxa"/>
            <w:tcBorders>
              <w:top w:val="nil"/>
              <w:left w:val="nil"/>
              <w:bottom w:val="nil"/>
              <w:right w:val="nil"/>
            </w:tcBorders>
            <w:shd w:val="clear" w:color="auto" w:fill="auto"/>
            <w:noWrap/>
            <w:vAlign w:val="bottom"/>
            <w:hideMark/>
          </w:tcPr>
          <w:p w14:paraId="0DA1A05E" w14:textId="77777777" w:rsidR="00C831CA" w:rsidRPr="004002B7" w:rsidRDefault="00C831CA" w:rsidP="00C831CA">
            <w:pPr>
              <w:widowControl/>
              <w:autoSpaceDE/>
              <w:autoSpaceDN/>
              <w:adjustRightInd/>
              <w:rPr>
                <w:sz w:val="22"/>
                <w:szCs w:val="22"/>
              </w:rPr>
            </w:pPr>
          </w:p>
        </w:tc>
        <w:tc>
          <w:tcPr>
            <w:tcW w:w="238" w:type="dxa"/>
            <w:tcBorders>
              <w:top w:val="nil"/>
              <w:left w:val="nil"/>
              <w:bottom w:val="nil"/>
              <w:right w:val="nil"/>
            </w:tcBorders>
            <w:shd w:val="clear" w:color="auto" w:fill="auto"/>
            <w:noWrap/>
            <w:vAlign w:val="bottom"/>
            <w:hideMark/>
          </w:tcPr>
          <w:p w14:paraId="0C91E86E" w14:textId="77777777" w:rsidR="00C831CA" w:rsidRPr="004002B7" w:rsidRDefault="00C831CA" w:rsidP="00C831CA">
            <w:pPr>
              <w:widowControl/>
              <w:autoSpaceDE/>
              <w:autoSpaceDN/>
              <w:adjustRightInd/>
              <w:rPr>
                <w:sz w:val="22"/>
                <w:szCs w:val="22"/>
              </w:rPr>
            </w:pPr>
          </w:p>
        </w:tc>
      </w:tr>
      <w:tr w:rsidR="004002B7" w:rsidRPr="004002B7" w14:paraId="1ED87791" w14:textId="77777777" w:rsidTr="004002B7">
        <w:trPr>
          <w:gridAfter w:val="5"/>
          <w:wAfter w:w="977" w:type="dxa"/>
          <w:trHeight w:val="912"/>
        </w:trPr>
        <w:tc>
          <w:tcPr>
            <w:tcW w:w="13865" w:type="dxa"/>
            <w:gridSpan w:val="11"/>
            <w:tcBorders>
              <w:top w:val="nil"/>
              <w:left w:val="nil"/>
              <w:bottom w:val="nil"/>
              <w:right w:val="nil"/>
            </w:tcBorders>
            <w:shd w:val="clear" w:color="auto" w:fill="auto"/>
            <w:vAlign w:val="center"/>
            <w:hideMark/>
          </w:tcPr>
          <w:p w14:paraId="3265F46C" w14:textId="77777777" w:rsidR="004002B7" w:rsidRPr="004002B7" w:rsidRDefault="004002B7" w:rsidP="00C831CA">
            <w:pPr>
              <w:widowControl/>
              <w:autoSpaceDE/>
              <w:autoSpaceDN/>
              <w:adjustRightInd/>
              <w:rPr>
                <w:sz w:val="22"/>
                <w:szCs w:val="22"/>
              </w:rPr>
            </w:pPr>
            <w:r w:rsidRPr="004002B7">
              <w:rPr>
                <w:sz w:val="22"/>
                <w:szCs w:val="22"/>
                <w:vertAlign w:val="superscript"/>
              </w:rPr>
              <w:t>b</w:t>
            </w:r>
            <w:r w:rsidRPr="004002B7">
              <w:rPr>
                <w:sz w:val="22"/>
                <w:szCs w:val="22"/>
              </w:rPr>
              <w:t xml:space="preserve">  This cost is based on the average hourly labor rate as follows: Technical $48.75 (GS-12, Step 1, $30.47 + 60%); Managerial $65.71 (GS-13, Step 5, $41.07 + 60%); and Clerical $26.38 (GS-6, Step 3, $16.49 + 60%).  This ICR assumes that Managerial hours are 5 percent of Technical hours, and Clerical hours are 10 percent of Technical hours.  These rates are from the OPM, 2018 General Schedule, which excludes locality rates of pay.  The rates have been increased by 60 percent to account for the benefit packages available to government employees.</w:t>
            </w:r>
          </w:p>
        </w:tc>
      </w:tr>
      <w:tr w:rsidR="00C831CA" w:rsidRPr="004002B7" w14:paraId="21C16340" w14:textId="77777777" w:rsidTr="004002B7">
        <w:trPr>
          <w:trHeight w:val="314"/>
        </w:trPr>
        <w:tc>
          <w:tcPr>
            <w:tcW w:w="14132" w:type="dxa"/>
            <w:gridSpan w:val="13"/>
            <w:tcBorders>
              <w:top w:val="nil"/>
              <w:left w:val="nil"/>
              <w:bottom w:val="nil"/>
              <w:right w:val="nil"/>
            </w:tcBorders>
            <w:shd w:val="clear" w:color="auto" w:fill="auto"/>
            <w:vAlign w:val="center"/>
            <w:hideMark/>
          </w:tcPr>
          <w:p w14:paraId="64CA228D" w14:textId="77777777" w:rsidR="00C831CA" w:rsidRPr="004002B7" w:rsidRDefault="00C831CA" w:rsidP="00C831CA">
            <w:pPr>
              <w:widowControl/>
              <w:autoSpaceDE/>
              <w:autoSpaceDN/>
              <w:adjustRightInd/>
              <w:rPr>
                <w:sz w:val="22"/>
                <w:szCs w:val="22"/>
              </w:rPr>
            </w:pPr>
            <w:r w:rsidRPr="004002B7">
              <w:rPr>
                <w:sz w:val="22"/>
                <w:szCs w:val="22"/>
                <w:vertAlign w:val="superscript"/>
              </w:rPr>
              <w:t xml:space="preserve">c  </w:t>
            </w:r>
            <w:r w:rsidRPr="004002B7">
              <w:rPr>
                <w:sz w:val="22"/>
                <w:szCs w:val="22"/>
              </w:rPr>
              <w:t xml:space="preserve">Totals have been rounded to 3 significant figures. Figures may not add exactly due to rounding. </w:t>
            </w:r>
          </w:p>
        </w:tc>
        <w:tc>
          <w:tcPr>
            <w:tcW w:w="236" w:type="dxa"/>
            <w:tcBorders>
              <w:top w:val="nil"/>
              <w:left w:val="nil"/>
              <w:bottom w:val="nil"/>
              <w:right w:val="nil"/>
            </w:tcBorders>
            <w:shd w:val="clear" w:color="auto" w:fill="auto"/>
            <w:noWrap/>
            <w:vAlign w:val="bottom"/>
            <w:hideMark/>
          </w:tcPr>
          <w:p w14:paraId="399C732F" w14:textId="77777777" w:rsidR="00C831CA" w:rsidRPr="004002B7" w:rsidRDefault="00C831CA" w:rsidP="00C831CA">
            <w:pPr>
              <w:widowControl/>
              <w:autoSpaceDE/>
              <w:autoSpaceDN/>
              <w:adjustRightInd/>
              <w:rPr>
                <w:sz w:val="22"/>
                <w:szCs w:val="22"/>
              </w:rPr>
            </w:pPr>
          </w:p>
        </w:tc>
        <w:tc>
          <w:tcPr>
            <w:tcW w:w="236" w:type="dxa"/>
            <w:tcBorders>
              <w:top w:val="nil"/>
              <w:left w:val="nil"/>
              <w:bottom w:val="nil"/>
              <w:right w:val="nil"/>
            </w:tcBorders>
            <w:shd w:val="clear" w:color="auto" w:fill="auto"/>
            <w:noWrap/>
            <w:vAlign w:val="bottom"/>
            <w:hideMark/>
          </w:tcPr>
          <w:p w14:paraId="41FBA47F" w14:textId="77777777" w:rsidR="00C831CA" w:rsidRPr="004002B7" w:rsidRDefault="00C831CA" w:rsidP="00C831CA">
            <w:pPr>
              <w:widowControl/>
              <w:autoSpaceDE/>
              <w:autoSpaceDN/>
              <w:adjustRightInd/>
              <w:rPr>
                <w:sz w:val="22"/>
                <w:szCs w:val="22"/>
              </w:rPr>
            </w:pPr>
          </w:p>
        </w:tc>
        <w:tc>
          <w:tcPr>
            <w:tcW w:w="238" w:type="dxa"/>
            <w:tcBorders>
              <w:top w:val="nil"/>
              <w:left w:val="nil"/>
              <w:bottom w:val="nil"/>
              <w:right w:val="nil"/>
            </w:tcBorders>
            <w:shd w:val="clear" w:color="auto" w:fill="auto"/>
            <w:noWrap/>
            <w:vAlign w:val="bottom"/>
            <w:hideMark/>
          </w:tcPr>
          <w:p w14:paraId="6DE26E7B" w14:textId="77777777" w:rsidR="00C831CA" w:rsidRPr="004002B7" w:rsidRDefault="00C831CA" w:rsidP="00C831CA">
            <w:pPr>
              <w:widowControl/>
              <w:autoSpaceDE/>
              <w:autoSpaceDN/>
              <w:adjustRightInd/>
              <w:rPr>
                <w:sz w:val="22"/>
                <w:szCs w:val="22"/>
              </w:rPr>
            </w:pPr>
          </w:p>
        </w:tc>
      </w:tr>
    </w:tbl>
    <w:p w14:paraId="29F78B96" w14:textId="77777777" w:rsidR="00162ECC" w:rsidRPr="00D3420B" w:rsidRDefault="00162ECC" w:rsidP="00F340DF"/>
    <w:sectPr w:rsidR="00162ECC" w:rsidRPr="00D3420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44E6D" w14:textId="77777777" w:rsidR="00A10747" w:rsidRDefault="00A10747">
      <w:r>
        <w:separator/>
      </w:r>
    </w:p>
  </w:endnote>
  <w:endnote w:type="continuationSeparator" w:id="0">
    <w:p w14:paraId="70ACEB3E" w14:textId="77777777" w:rsidR="00A10747" w:rsidRDefault="00A1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Ellipt BT">
    <w:altName w:val="Times New Roman"/>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BEA4" w14:textId="77777777" w:rsidR="00A10747" w:rsidRDefault="00A10747">
      <w:r>
        <w:separator/>
      </w:r>
    </w:p>
  </w:footnote>
  <w:footnote w:type="continuationSeparator" w:id="0">
    <w:p w14:paraId="130E2413" w14:textId="77777777" w:rsidR="00A10747" w:rsidRDefault="00A10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A10747" w:rsidRDefault="00A10747">
    <w:pPr>
      <w:framePr w:w="9361" w:wrap="notBeside" w:vAnchor="text" w:hAnchor="text" w:x="1" w:y="1"/>
      <w:jc w:val="center"/>
    </w:pPr>
    <w:r>
      <w:fldChar w:fldCharType="begin"/>
    </w:r>
    <w:r>
      <w:instrText xml:space="preserve">PAGE </w:instrText>
    </w:r>
    <w:r>
      <w:fldChar w:fldCharType="separate"/>
    </w:r>
    <w:r w:rsidR="00A55C41">
      <w:rPr>
        <w:noProof/>
      </w:rPr>
      <w:t>2</w:t>
    </w:r>
    <w:r>
      <w:rPr>
        <w:noProof/>
      </w:rPr>
      <w:fldChar w:fldCharType="end"/>
    </w:r>
  </w:p>
  <w:p w14:paraId="5B65F028" w14:textId="77777777" w:rsidR="00A10747" w:rsidRDefault="00A10747"/>
  <w:p w14:paraId="70BB230B" w14:textId="77777777" w:rsidR="00A10747" w:rsidRDefault="00A1074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5BD2"/>
    <w:rsid w:val="000312D6"/>
    <w:rsid w:val="0003619B"/>
    <w:rsid w:val="00055BDF"/>
    <w:rsid w:val="00055DC5"/>
    <w:rsid w:val="000920E0"/>
    <w:rsid w:val="000A1FBB"/>
    <w:rsid w:val="000A687C"/>
    <w:rsid w:val="000B2E1C"/>
    <w:rsid w:val="000C52CF"/>
    <w:rsid w:val="000D2272"/>
    <w:rsid w:val="000F772C"/>
    <w:rsid w:val="00101B40"/>
    <w:rsid w:val="00102B52"/>
    <w:rsid w:val="0010697C"/>
    <w:rsid w:val="00122CF4"/>
    <w:rsid w:val="00123889"/>
    <w:rsid w:val="00126A7C"/>
    <w:rsid w:val="001356D4"/>
    <w:rsid w:val="00137DE5"/>
    <w:rsid w:val="0014079D"/>
    <w:rsid w:val="001414C4"/>
    <w:rsid w:val="001433D3"/>
    <w:rsid w:val="00144978"/>
    <w:rsid w:val="00144A82"/>
    <w:rsid w:val="00144F35"/>
    <w:rsid w:val="00145551"/>
    <w:rsid w:val="0015433E"/>
    <w:rsid w:val="00162ECC"/>
    <w:rsid w:val="00165DCF"/>
    <w:rsid w:val="00173A5F"/>
    <w:rsid w:val="00176CA3"/>
    <w:rsid w:val="00177CC7"/>
    <w:rsid w:val="00186DA3"/>
    <w:rsid w:val="001872A0"/>
    <w:rsid w:val="00195753"/>
    <w:rsid w:val="001A0B41"/>
    <w:rsid w:val="001B0B9A"/>
    <w:rsid w:val="001B1C38"/>
    <w:rsid w:val="001B29C3"/>
    <w:rsid w:val="001B35F2"/>
    <w:rsid w:val="001C5991"/>
    <w:rsid w:val="001C5A1D"/>
    <w:rsid w:val="001C777D"/>
    <w:rsid w:val="001D762C"/>
    <w:rsid w:val="001F19FF"/>
    <w:rsid w:val="002041C5"/>
    <w:rsid w:val="002063FE"/>
    <w:rsid w:val="00206932"/>
    <w:rsid w:val="00206E8E"/>
    <w:rsid w:val="002130D1"/>
    <w:rsid w:val="0021722B"/>
    <w:rsid w:val="00223327"/>
    <w:rsid w:val="0022738C"/>
    <w:rsid w:val="0023313F"/>
    <w:rsid w:val="00233F0F"/>
    <w:rsid w:val="00234A28"/>
    <w:rsid w:val="00236DB3"/>
    <w:rsid w:val="00242BC6"/>
    <w:rsid w:val="002431D9"/>
    <w:rsid w:val="002638A0"/>
    <w:rsid w:val="002679E5"/>
    <w:rsid w:val="002712EB"/>
    <w:rsid w:val="0027222A"/>
    <w:rsid w:val="00273E3E"/>
    <w:rsid w:val="002743D2"/>
    <w:rsid w:val="00276991"/>
    <w:rsid w:val="00277F42"/>
    <w:rsid w:val="00280FCF"/>
    <w:rsid w:val="00281CAE"/>
    <w:rsid w:val="0029006A"/>
    <w:rsid w:val="002904E7"/>
    <w:rsid w:val="0029305D"/>
    <w:rsid w:val="002976E9"/>
    <w:rsid w:val="002B29A5"/>
    <w:rsid w:val="002B29A7"/>
    <w:rsid w:val="002B517F"/>
    <w:rsid w:val="002B5A29"/>
    <w:rsid w:val="002B6993"/>
    <w:rsid w:val="002B69B9"/>
    <w:rsid w:val="002C1F95"/>
    <w:rsid w:val="002C416A"/>
    <w:rsid w:val="002C77DF"/>
    <w:rsid w:val="002D7683"/>
    <w:rsid w:val="002E7944"/>
    <w:rsid w:val="002F674B"/>
    <w:rsid w:val="002F6DB3"/>
    <w:rsid w:val="003139FC"/>
    <w:rsid w:val="00341540"/>
    <w:rsid w:val="00350F59"/>
    <w:rsid w:val="003511C6"/>
    <w:rsid w:val="00352975"/>
    <w:rsid w:val="0035325B"/>
    <w:rsid w:val="00354C15"/>
    <w:rsid w:val="00377D7F"/>
    <w:rsid w:val="0038203D"/>
    <w:rsid w:val="00385745"/>
    <w:rsid w:val="00396C85"/>
    <w:rsid w:val="003A4388"/>
    <w:rsid w:val="003B1E92"/>
    <w:rsid w:val="003B384B"/>
    <w:rsid w:val="003B42D6"/>
    <w:rsid w:val="003B5642"/>
    <w:rsid w:val="003C4B46"/>
    <w:rsid w:val="003C4D7B"/>
    <w:rsid w:val="003C5023"/>
    <w:rsid w:val="003D3EE2"/>
    <w:rsid w:val="003D6951"/>
    <w:rsid w:val="003E0320"/>
    <w:rsid w:val="003E104F"/>
    <w:rsid w:val="003E30B5"/>
    <w:rsid w:val="003E3BD0"/>
    <w:rsid w:val="003E47DB"/>
    <w:rsid w:val="003E4C18"/>
    <w:rsid w:val="003F1AFC"/>
    <w:rsid w:val="003F7C83"/>
    <w:rsid w:val="004002B7"/>
    <w:rsid w:val="0040391F"/>
    <w:rsid w:val="00404A15"/>
    <w:rsid w:val="0042126C"/>
    <w:rsid w:val="00422F7C"/>
    <w:rsid w:val="0044133C"/>
    <w:rsid w:val="00442D84"/>
    <w:rsid w:val="00455557"/>
    <w:rsid w:val="0045615E"/>
    <w:rsid w:val="00456B7B"/>
    <w:rsid w:val="00460A38"/>
    <w:rsid w:val="00484A45"/>
    <w:rsid w:val="0049327D"/>
    <w:rsid w:val="004A084D"/>
    <w:rsid w:val="004A1271"/>
    <w:rsid w:val="004A1F06"/>
    <w:rsid w:val="004A4B25"/>
    <w:rsid w:val="004C5E95"/>
    <w:rsid w:val="004C701D"/>
    <w:rsid w:val="004E7DEB"/>
    <w:rsid w:val="004F1469"/>
    <w:rsid w:val="004F56DC"/>
    <w:rsid w:val="004F672D"/>
    <w:rsid w:val="004F6FCD"/>
    <w:rsid w:val="00504302"/>
    <w:rsid w:val="00504745"/>
    <w:rsid w:val="00507EC5"/>
    <w:rsid w:val="00516952"/>
    <w:rsid w:val="005225A2"/>
    <w:rsid w:val="005253D4"/>
    <w:rsid w:val="0053277C"/>
    <w:rsid w:val="00547974"/>
    <w:rsid w:val="00551815"/>
    <w:rsid w:val="00556535"/>
    <w:rsid w:val="00560AD2"/>
    <w:rsid w:val="00565A51"/>
    <w:rsid w:val="00571260"/>
    <w:rsid w:val="00583626"/>
    <w:rsid w:val="00584384"/>
    <w:rsid w:val="00590A85"/>
    <w:rsid w:val="005A1986"/>
    <w:rsid w:val="005A48AA"/>
    <w:rsid w:val="005B5DE8"/>
    <w:rsid w:val="005B5E3B"/>
    <w:rsid w:val="005C3665"/>
    <w:rsid w:val="005C42AC"/>
    <w:rsid w:val="005D385C"/>
    <w:rsid w:val="005E0A9B"/>
    <w:rsid w:val="005E194B"/>
    <w:rsid w:val="005F42F8"/>
    <w:rsid w:val="00601205"/>
    <w:rsid w:val="00606DEF"/>
    <w:rsid w:val="006179D1"/>
    <w:rsid w:val="0062215C"/>
    <w:rsid w:val="00631517"/>
    <w:rsid w:val="00635DBD"/>
    <w:rsid w:val="00646DAF"/>
    <w:rsid w:val="00647BBB"/>
    <w:rsid w:val="006741F7"/>
    <w:rsid w:val="006810C3"/>
    <w:rsid w:val="00683B4D"/>
    <w:rsid w:val="00694B55"/>
    <w:rsid w:val="006A6978"/>
    <w:rsid w:val="006B2209"/>
    <w:rsid w:val="006D1B12"/>
    <w:rsid w:val="006D4402"/>
    <w:rsid w:val="006E4A6E"/>
    <w:rsid w:val="006E642B"/>
    <w:rsid w:val="00706C73"/>
    <w:rsid w:val="00724BC7"/>
    <w:rsid w:val="00733561"/>
    <w:rsid w:val="00742C28"/>
    <w:rsid w:val="00754D1E"/>
    <w:rsid w:val="00756E2A"/>
    <w:rsid w:val="00757966"/>
    <w:rsid w:val="00763160"/>
    <w:rsid w:val="00780612"/>
    <w:rsid w:val="00786A20"/>
    <w:rsid w:val="0079715F"/>
    <w:rsid w:val="007A0634"/>
    <w:rsid w:val="007A16F4"/>
    <w:rsid w:val="007A2F55"/>
    <w:rsid w:val="007A458D"/>
    <w:rsid w:val="007B5114"/>
    <w:rsid w:val="007C0FAA"/>
    <w:rsid w:val="007C7365"/>
    <w:rsid w:val="007D7BE5"/>
    <w:rsid w:val="007E6FF4"/>
    <w:rsid w:val="007F07FB"/>
    <w:rsid w:val="007F70D1"/>
    <w:rsid w:val="00810507"/>
    <w:rsid w:val="00811EA5"/>
    <w:rsid w:val="00813E69"/>
    <w:rsid w:val="00817E8B"/>
    <w:rsid w:val="008338D4"/>
    <w:rsid w:val="00833B97"/>
    <w:rsid w:val="00837642"/>
    <w:rsid w:val="0084255D"/>
    <w:rsid w:val="00850ACF"/>
    <w:rsid w:val="00852038"/>
    <w:rsid w:val="00861489"/>
    <w:rsid w:val="0088639E"/>
    <w:rsid w:val="00895082"/>
    <w:rsid w:val="008A46EB"/>
    <w:rsid w:val="008B407C"/>
    <w:rsid w:val="008C71FC"/>
    <w:rsid w:val="008D119D"/>
    <w:rsid w:val="008D19D9"/>
    <w:rsid w:val="008E3104"/>
    <w:rsid w:val="008E65E6"/>
    <w:rsid w:val="008F285B"/>
    <w:rsid w:val="008F4564"/>
    <w:rsid w:val="009018EC"/>
    <w:rsid w:val="0090485D"/>
    <w:rsid w:val="00906EDB"/>
    <w:rsid w:val="00911092"/>
    <w:rsid w:val="00912E00"/>
    <w:rsid w:val="00923C46"/>
    <w:rsid w:val="00961198"/>
    <w:rsid w:val="0097103C"/>
    <w:rsid w:val="009711DB"/>
    <w:rsid w:val="009737C0"/>
    <w:rsid w:val="00981C20"/>
    <w:rsid w:val="00986435"/>
    <w:rsid w:val="009903E5"/>
    <w:rsid w:val="00991222"/>
    <w:rsid w:val="00992201"/>
    <w:rsid w:val="00995188"/>
    <w:rsid w:val="009A0F50"/>
    <w:rsid w:val="009A16CD"/>
    <w:rsid w:val="009A266E"/>
    <w:rsid w:val="009A6590"/>
    <w:rsid w:val="009C06F5"/>
    <w:rsid w:val="009C7E97"/>
    <w:rsid w:val="009D6567"/>
    <w:rsid w:val="009E0F31"/>
    <w:rsid w:val="009E7032"/>
    <w:rsid w:val="009F08AA"/>
    <w:rsid w:val="00A007F5"/>
    <w:rsid w:val="00A02501"/>
    <w:rsid w:val="00A038EC"/>
    <w:rsid w:val="00A10747"/>
    <w:rsid w:val="00A10DBD"/>
    <w:rsid w:val="00A145B0"/>
    <w:rsid w:val="00A15172"/>
    <w:rsid w:val="00A26EF7"/>
    <w:rsid w:val="00A277D6"/>
    <w:rsid w:val="00A379F8"/>
    <w:rsid w:val="00A50E60"/>
    <w:rsid w:val="00A51A9E"/>
    <w:rsid w:val="00A54EEA"/>
    <w:rsid w:val="00A55C41"/>
    <w:rsid w:val="00A56BFF"/>
    <w:rsid w:val="00A73600"/>
    <w:rsid w:val="00A74834"/>
    <w:rsid w:val="00A74C1E"/>
    <w:rsid w:val="00A7661C"/>
    <w:rsid w:val="00A76CFA"/>
    <w:rsid w:val="00A949F7"/>
    <w:rsid w:val="00A95BC7"/>
    <w:rsid w:val="00A962DF"/>
    <w:rsid w:val="00AA4008"/>
    <w:rsid w:val="00AA7835"/>
    <w:rsid w:val="00AF3AED"/>
    <w:rsid w:val="00AF70A1"/>
    <w:rsid w:val="00AF7F94"/>
    <w:rsid w:val="00B07D22"/>
    <w:rsid w:val="00B07F79"/>
    <w:rsid w:val="00B16C07"/>
    <w:rsid w:val="00B41FFF"/>
    <w:rsid w:val="00B46A57"/>
    <w:rsid w:val="00B65754"/>
    <w:rsid w:val="00B66231"/>
    <w:rsid w:val="00B769F1"/>
    <w:rsid w:val="00B82025"/>
    <w:rsid w:val="00B830CD"/>
    <w:rsid w:val="00B9065B"/>
    <w:rsid w:val="00B97DFF"/>
    <w:rsid w:val="00BA0A91"/>
    <w:rsid w:val="00BA4887"/>
    <w:rsid w:val="00BB3390"/>
    <w:rsid w:val="00BB3C1A"/>
    <w:rsid w:val="00BC6DEF"/>
    <w:rsid w:val="00BD7CAE"/>
    <w:rsid w:val="00BE2989"/>
    <w:rsid w:val="00BE4ACB"/>
    <w:rsid w:val="00BE7A11"/>
    <w:rsid w:val="00BF722F"/>
    <w:rsid w:val="00C10ED1"/>
    <w:rsid w:val="00C122E7"/>
    <w:rsid w:val="00C13FE8"/>
    <w:rsid w:val="00C30A60"/>
    <w:rsid w:val="00C33ABA"/>
    <w:rsid w:val="00C37BB6"/>
    <w:rsid w:val="00C433E5"/>
    <w:rsid w:val="00C52EFD"/>
    <w:rsid w:val="00C63166"/>
    <w:rsid w:val="00C64378"/>
    <w:rsid w:val="00C75CF0"/>
    <w:rsid w:val="00C76CDD"/>
    <w:rsid w:val="00C808B5"/>
    <w:rsid w:val="00C82DB6"/>
    <w:rsid w:val="00C831CA"/>
    <w:rsid w:val="00C85086"/>
    <w:rsid w:val="00C85D35"/>
    <w:rsid w:val="00CA13BB"/>
    <w:rsid w:val="00CA4CD6"/>
    <w:rsid w:val="00CA7DA0"/>
    <w:rsid w:val="00CB7A05"/>
    <w:rsid w:val="00CC48AB"/>
    <w:rsid w:val="00CC58F6"/>
    <w:rsid w:val="00CC5B39"/>
    <w:rsid w:val="00CD0739"/>
    <w:rsid w:val="00CD2069"/>
    <w:rsid w:val="00CD280D"/>
    <w:rsid w:val="00CD5A94"/>
    <w:rsid w:val="00CE4204"/>
    <w:rsid w:val="00CF2B37"/>
    <w:rsid w:val="00D01CA7"/>
    <w:rsid w:val="00D13D9A"/>
    <w:rsid w:val="00D14A8D"/>
    <w:rsid w:val="00D21198"/>
    <w:rsid w:val="00D2273E"/>
    <w:rsid w:val="00D22A33"/>
    <w:rsid w:val="00D23BDD"/>
    <w:rsid w:val="00D3420B"/>
    <w:rsid w:val="00D402BC"/>
    <w:rsid w:val="00D42D52"/>
    <w:rsid w:val="00D46FA2"/>
    <w:rsid w:val="00D5080D"/>
    <w:rsid w:val="00D56F5F"/>
    <w:rsid w:val="00D61125"/>
    <w:rsid w:val="00D61B37"/>
    <w:rsid w:val="00D63B96"/>
    <w:rsid w:val="00D8325A"/>
    <w:rsid w:val="00D91C34"/>
    <w:rsid w:val="00D92F66"/>
    <w:rsid w:val="00D95819"/>
    <w:rsid w:val="00DA7285"/>
    <w:rsid w:val="00DB59E1"/>
    <w:rsid w:val="00DB786E"/>
    <w:rsid w:val="00DC56DE"/>
    <w:rsid w:val="00DC7D7C"/>
    <w:rsid w:val="00DD0312"/>
    <w:rsid w:val="00DD0E6E"/>
    <w:rsid w:val="00DD1AC1"/>
    <w:rsid w:val="00DD7D49"/>
    <w:rsid w:val="00DE27C4"/>
    <w:rsid w:val="00DF5C4E"/>
    <w:rsid w:val="00DF661C"/>
    <w:rsid w:val="00E0029A"/>
    <w:rsid w:val="00E10DA7"/>
    <w:rsid w:val="00E110E3"/>
    <w:rsid w:val="00E13BE5"/>
    <w:rsid w:val="00E1538C"/>
    <w:rsid w:val="00E25DB6"/>
    <w:rsid w:val="00E276CD"/>
    <w:rsid w:val="00E30A50"/>
    <w:rsid w:val="00E32EDA"/>
    <w:rsid w:val="00E522FB"/>
    <w:rsid w:val="00E53137"/>
    <w:rsid w:val="00E702F6"/>
    <w:rsid w:val="00E72D70"/>
    <w:rsid w:val="00E77D5E"/>
    <w:rsid w:val="00E868BB"/>
    <w:rsid w:val="00E90E82"/>
    <w:rsid w:val="00EA37A9"/>
    <w:rsid w:val="00EA7026"/>
    <w:rsid w:val="00EB4D0A"/>
    <w:rsid w:val="00EC4074"/>
    <w:rsid w:val="00ED741E"/>
    <w:rsid w:val="00EF04BE"/>
    <w:rsid w:val="00EF0FB2"/>
    <w:rsid w:val="00EF113F"/>
    <w:rsid w:val="00EF5A35"/>
    <w:rsid w:val="00F02EB3"/>
    <w:rsid w:val="00F033F0"/>
    <w:rsid w:val="00F03803"/>
    <w:rsid w:val="00F066C9"/>
    <w:rsid w:val="00F17898"/>
    <w:rsid w:val="00F20822"/>
    <w:rsid w:val="00F27717"/>
    <w:rsid w:val="00F340DF"/>
    <w:rsid w:val="00F47CA2"/>
    <w:rsid w:val="00F5262C"/>
    <w:rsid w:val="00F538BC"/>
    <w:rsid w:val="00F5584C"/>
    <w:rsid w:val="00F63A35"/>
    <w:rsid w:val="00F704D2"/>
    <w:rsid w:val="00F7147B"/>
    <w:rsid w:val="00F87E6A"/>
    <w:rsid w:val="00F9092B"/>
    <w:rsid w:val="00F92D22"/>
    <w:rsid w:val="00FB0456"/>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customStyle="1" w:styleId="Para">
    <w:name w:val="Para"/>
    <w:basedOn w:val="Normal"/>
    <w:qFormat/>
    <w:rsid w:val="00385745"/>
    <w:pPr>
      <w:widowControl/>
      <w:autoSpaceDE/>
      <w:autoSpaceDN/>
      <w:adjustRightInd/>
      <w:spacing w:after="120"/>
      <w:ind w:firstLine="720"/>
    </w:pPr>
    <w:rPr>
      <w:rFonts w:ascii="ZapfEllipt BT" w:eastAsia="Calibri" w:hAnsi="ZapfEllipt BT"/>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customStyle="1" w:styleId="Para">
    <w:name w:val="Para"/>
    <w:basedOn w:val="Normal"/>
    <w:qFormat/>
    <w:rsid w:val="00385745"/>
    <w:pPr>
      <w:widowControl/>
      <w:autoSpaceDE/>
      <w:autoSpaceDN/>
      <w:adjustRightInd/>
      <w:spacing w:after="120"/>
      <w:ind w:firstLine="720"/>
    </w:pPr>
    <w:rPr>
      <w:rFonts w:ascii="ZapfEllipt BT" w:eastAsia="Calibri" w:hAnsi="ZapfEllipt B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4125390">
      <w:bodyDiv w:val="1"/>
      <w:marLeft w:val="0"/>
      <w:marRight w:val="0"/>
      <w:marTop w:val="0"/>
      <w:marBottom w:val="0"/>
      <w:divBdr>
        <w:top w:val="none" w:sz="0" w:space="0" w:color="auto"/>
        <w:left w:val="none" w:sz="0" w:space="0" w:color="auto"/>
        <w:bottom w:val="none" w:sz="0" w:space="0" w:color="auto"/>
        <w:right w:val="none" w:sz="0" w:space="0" w:color="auto"/>
      </w:divBdr>
    </w:div>
    <w:div w:id="500243174">
      <w:bodyDiv w:val="1"/>
      <w:marLeft w:val="0"/>
      <w:marRight w:val="0"/>
      <w:marTop w:val="0"/>
      <w:marBottom w:val="0"/>
      <w:divBdr>
        <w:top w:val="none" w:sz="0" w:space="0" w:color="auto"/>
        <w:left w:val="none" w:sz="0" w:space="0" w:color="auto"/>
        <w:bottom w:val="none" w:sz="0" w:space="0" w:color="auto"/>
        <w:right w:val="none" w:sz="0" w:space="0" w:color="auto"/>
      </w:divBdr>
    </w:div>
    <w:div w:id="56696177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00960207">
      <w:bodyDiv w:val="1"/>
      <w:marLeft w:val="0"/>
      <w:marRight w:val="0"/>
      <w:marTop w:val="0"/>
      <w:marBottom w:val="0"/>
      <w:divBdr>
        <w:top w:val="none" w:sz="0" w:space="0" w:color="auto"/>
        <w:left w:val="none" w:sz="0" w:space="0" w:color="auto"/>
        <w:bottom w:val="none" w:sz="0" w:space="0" w:color="auto"/>
        <w:right w:val="none" w:sz="0" w:space="0" w:color="auto"/>
      </w:divBdr>
    </w:div>
    <w:div w:id="1236353635">
      <w:bodyDiv w:val="1"/>
      <w:marLeft w:val="0"/>
      <w:marRight w:val="0"/>
      <w:marTop w:val="0"/>
      <w:marBottom w:val="0"/>
      <w:divBdr>
        <w:top w:val="none" w:sz="0" w:space="0" w:color="auto"/>
        <w:left w:val="none" w:sz="0" w:space="0" w:color="auto"/>
        <w:bottom w:val="none" w:sz="0" w:space="0" w:color="auto"/>
        <w:right w:val="none" w:sz="0" w:space="0" w:color="auto"/>
      </w:divBdr>
    </w:div>
    <w:div w:id="1251350468">
      <w:bodyDiv w:val="1"/>
      <w:marLeft w:val="0"/>
      <w:marRight w:val="0"/>
      <w:marTop w:val="0"/>
      <w:marBottom w:val="0"/>
      <w:divBdr>
        <w:top w:val="none" w:sz="0" w:space="0" w:color="auto"/>
        <w:left w:val="none" w:sz="0" w:space="0" w:color="auto"/>
        <w:bottom w:val="none" w:sz="0" w:space="0" w:color="auto"/>
        <w:right w:val="none" w:sz="0" w:space="0" w:color="auto"/>
      </w:divBdr>
    </w:div>
    <w:div w:id="1978218855">
      <w:bodyDiv w:val="1"/>
      <w:marLeft w:val="0"/>
      <w:marRight w:val="0"/>
      <w:marTop w:val="0"/>
      <w:marBottom w:val="0"/>
      <w:divBdr>
        <w:top w:val="none" w:sz="0" w:space="0" w:color="auto"/>
        <w:left w:val="none" w:sz="0" w:space="0" w:color="auto"/>
        <w:bottom w:val="none" w:sz="0" w:space="0" w:color="auto"/>
        <w:right w:val="none" w:sz="0" w:space="0" w:color="auto"/>
      </w:divBdr>
    </w:div>
    <w:div w:id="21199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tel:2026245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AA73-898F-4B76-8ED1-FC71EB5A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5014</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2019-04-03T20:26:00Z</cp:lastPrinted>
  <dcterms:created xsi:type="dcterms:W3CDTF">2019-05-30T20:45:00Z</dcterms:created>
  <dcterms:modified xsi:type="dcterms:W3CDTF">2019-05-30T20:45:00Z</dcterms:modified>
</cp:coreProperties>
</file>