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9" w:type="dxa"/>
        <w:tblInd w:w="-108" w:type="dxa"/>
        <w:tblLayout w:type="fixed"/>
        <w:tblLook w:val="0000" w:firstRow="0" w:lastRow="0" w:firstColumn="0" w:lastColumn="0" w:noHBand="0" w:noVBand="0"/>
      </w:tblPr>
      <w:tblGrid>
        <w:gridCol w:w="4668"/>
        <w:gridCol w:w="2577"/>
        <w:gridCol w:w="2524"/>
      </w:tblGrid>
      <w:tr w:rsidR="007F6122" w:rsidTr="00D57490">
        <w:trPr>
          <w:cantSplit/>
          <w:trHeight w:val="1062"/>
        </w:trPr>
        <w:tc>
          <w:tcPr>
            <w:tcW w:w="4668" w:type="dxa"/>
          </w:tcPr>
          <w:bookmarkStart w:id="0" w:name="_GoBack"/>
          <w:bookmarkEnd w:id="0"/>
          <w:p w:rsidR="007F6122" w:rsidRDefault="007F6122" w:rsidP="007F6122">
            <w:pPr>
              <w:rPr>
                <w:color w:val="0000FF"/>
              </w:rPr>
            </w:pPr>
            <w:r>
              <w:rPr>
                <w:color w:val="0000FF"/>
              </w:rPr>
              <w:object w:dxaOrig="7487" w:dyaOrig="7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fillcolor="window">
                  <v:imagedata r:id="rId8" o:title=""/>
                </v:shape>
                <o:OLEObject Type="Embed" ProgID="MSDraw" ShapeID="_x0000_i1025" DrawAspect="Content" ObjectID="_1620115455" r:id="rId9">
                  <o:FieldCodes>\* mergeformat</o:FieldCodes>
                </o:OLEObject>
              </w:object>
            </w:r>
          </w:p>
          <w:p w:rsidR="007F6122" w:rsidRDefault="007F6122" w:rsidP="007F6122">
            <w:pPr>
              <w:rPr>
                <w:color w:val="0000FF"/>
              </w:rPr>
            </w:pPr>
          </w:p>
          <w:p w:rsidR="007F6122" w:rsidRPr="00342425" w:rsidRDefault="007F6122" w:rsidP="007F6122">
            <w:pPr>
              <w:rPr>
                <w:rFonts w:ascii="Arial" w:hAnsi="Arial"/>
                <w:b/>
                <w:color w:val="000080"/>
                <w:sz w:val="18"/>
              </w:rPr>
            </w:pPr>
            <w:r w:rsidRPr="00342425">
              <w:rPr>
                <w:rFonts w:ascii="Arial" w:hAnsi="Arial"/>
                <w:b/>
                <w:color w:val="000080"/>
                <w:sz w:val="18"/>
              </w:rPr>
              <w:t>U.S. Department</w:t>
            </w:r>
            <w:r>
              <w:rPr>
                <w:rFonts w:ascii="Arial" w:hAnsi="Arial"/>
                <w:b/>
                <w:color w:val="000080"/>
                <w:sz w:val="18"/>
              </w:rPr>
              <w:t xml:space="preserve"> of </w:t>
            </w:r>
          </w:p>
          <w:p w:rsidR="007F6122" w:rsidRDefault="007F6122" w:rsidP="007F6122">
            <w:pPr>
              <w:rPr>
                <w:color w:val="0000FF"/>
              </w:rPr>
            </w:pPr>
            <w:r w:rsidRPr="00342425">
              <w:rPr>
                <w:rFonts w:ascii="Arial" w:hAnsi="Arial"/>
                <w:b/>
                <w:color w:val="000080"/>
                <w:sz w:val="18"/>
              </w:rPr>
              <w:t>Transportation</w:t>
            </w:r>
          </w:p>
        </w:tc>
        <w:tc>
          <w:tcPr>
            <w:tcW w:w="2577" w:type="dxa"/>
          </w:tcPr>
          <w:p w:rsidR="007F6122" w:rsidRDefault="007F6122" w:rsidP="007F6122">
            <w:pPr>
              <w:jc w:val="right"/>
              <w:rPr>
                <w:color w:val="0000FF"/>
              </w:rPr>
            </w:pPr>
          </w:p>
        </w:tc>
        <w:tc>
          <w:tcPr>
            <w:tcW w:w="2524" w:type="dxa"/>
          </w:tcPr>
          <w:p w:rsidR="007F6122" w:rsidRDefault="007F6122" w:rsidP="007F6122">
            <w:pPr>
              <w:rPr>
                <w:rFonts w:ascii="Arial" w:hAnsi="Arial"/>
                <w:b/>
                <w:color w:val="000080"/>
                <w:sz w:val="14"/>
              </w:rPr>
            </w:pPr>
          </w:p>
          <w:p w:rsidR="007F6122" w:rsidRDefault="007F6122" w:rsidP="007F6122">
            <w:pPr>
              <w:rPr>
                <w:rFonts w:ascii="Arial" w:hAnsi="Arial"/>
                <w:b/>
                <w:color w:val="000080"/>
                <w:sz w:val="14"/>
              </w:rPr>
            </w:pPr>
          </w:p>
          <w:p w:rsidR="007F6122" w:rsidRDefault="007F6122" w:rsidP="007F6122">
            <w:pPr>
              <w:rPr>
                <w:rFonts w:ascii="Arial" w:hAnsi="Arial"/>
                <w:b/>
                <w:color w:val="000080"/>
                <w:sz w:val="14"/>
              </w:rPr>
            </w:pPr>
          </w:p>
          <w:p w:rsidR="007F6122" w:rsidRDefault="007F6122" w:rsidP="007F6122">
            <w:pPr>
              <w:rPr>
                <w:rFonts w:ascii="Arial" w:hAnsi="Arial"/>
                <w:b/>
                <w:color w:val="000080"/>
                <w:sz w:val="14"/>
              </w:rPr>
            </w:pPr>
          </w:p>
          <w:p w:rsidR="007F6122" w:rsidRDefault="007F6122" w:rsidP="007F6122">
            <w:pPr>
              <w:rPr>
                <w:rFonts w:ascii="Arial" w:hAnsi="Arial"/>
                <w:b/>
                <w:color w:val="000080"/>
                <w:sz w:val="14"/>
              </w:rPr>
            </w:pPr>
          </w:p>
          <w:p w:rsidR="007F6122" w:rsidRPr="00342425" w:rsidRDefault="007F6122" w:rsidP="007F6122">
            <w:pPr>
              <w:rPr>
                <w:rFonts w:ascii="Arial" w:hAnsi="Arial"/>
                <w:b/>
                <w:color w:val="000080"/>
                <w:sz w:val="14"/>
              </w:rPr>
            </w:pPr>
            <w:r w:rsidRPr="00342425">
              <w:rPr>
                <w:rFonts w:ascii="Arial" w:hAnsi="Arial"/>
                <w:b/>
                <w:color w:val="000080"/>
                <w:sz w:val="14"/>
              </w:rPr>
              <w:t>1200 New Jersey Avenue, S.E.</w:t>
            </w:r>
          </w:p>
          <w:p w:rsidR="007F6122" w:rsidRPr="00342425" w:rsidRDefault="007F6122" w:rsidP="007F6122">
            <w:pPr>
              <w:rPr>
                <w:rFonts w:ascii="Arial" w:hAnsi="Arial"/>
                <w:b/>
                <w:color w:val="0000FF"/>
                <w:sz w:val="14"/>
              </w:rPr>
            </w:pPr>
            <w:r w:rsidRPr="00342425">
              <w:rPr>
                <w:rFonts w:ascii="Arial" w:hAnsi="Arial"/>
                <w:b/>
                <w:color w:val="000080"/>
                <w:sz w:val="14"/>
              </w:rPr>
              <w:t>Washington, D.C. 20590</w:t>
            </w:r>
          </w:p>
          <w:p w:rsidR="007F6122" w:rsidRDefault="007F6122" w:rsidP="007F6122">
            <w:pPr>
              <w:rPr>
                <w:rFonts w:ascii="Arial" w:hAnsi="Arial"/>
                <w:color w:val="0000FF"/>
                <w:sz w:val="14"/>
              </w:rPr>
            </w:pPr>
          </w:p>
        </w:tc>
      </w:tr>
      <w:tr w:rsidR="007F6122" w:rsidTr="00D57490">
        <w:trPr>
          <w:cantSplit/>
          <w:trHeight w:val="1305"/>
        </w:trPr>
        <w:tc>
          <w:tcPr>
            <w:tcW w:w="4668" w:type="dxa"/>
          </w:tcPr>
          <w:p w:rsidR="007F6122" w:rsidRDefault="007F6122" w:rsidP="007F6122">
            <w:pPr>
              <w:rPr>
                <w:rFonts w:ascii="Arial" w:hAnsi="Arial"/>
                <w:color w:val="0000FF"/>
                <w:sz w:val="18"/>
              </w:rPr>
            </w:pPr>
          </w:p>
          <w:p w:rsidR="007F6122" w:rsidRPr="00342425" w:rsidRDefault="007F6122" w:rsidP="007F6122">
            <w:pPr>
              <w:rPr>
                <w:rFonts w:ascii="Arial" w:hAnsi="Arial"/>
                <w:b/>
                <w:color w:val="000080"/>
                <w:sz w:val="18"/>
              </w:rPr>
            </w:pPr>
            <w:r w:rsidRPr="00342425">
              <w:rPr>
                <w:rFonts w:ascii="Arial" w:hAnsi="Arial"/>
                <w:b/>
                <w:color w:val="000080"/>
                <w:sz w:val="18"/>
              </w:rPr>
              <w:t>Office of the Secretary</w:t>
            </w:r>
          </w:p>
          <w:p w:rsidR="007F6122" w:rsidRPr="00342425" w:rsidRDefault="007F6122" w:rsidP="007F6122">
            <w:pPr>
              <w:rPr>
                <w:rFonts w:ascii="Arial" w:hAnsi="Arial"/>
                <w:b/>
                <w:color w:val="000080"/>
                <w:sz w:val="18"/>
              </w:rPr>
            </w:pPr>
            <w:r w:rsidRPr="00342425">
              <w:rPr>
                <w:rFonts w:ascii="Arial" w:hAnsi="Arial"/>
                <w:b/>
                <w:color w:val="000080"/>
                <w:sz w:val="18"/>
              </w:rPr>
              <w:t>of Transportation</w:t>
            </w:r>
          </w:p>
          <w:p w:rsidR="007F6122" w:rsidRDefault="007F6122" w:rsidP="007F6122">
            <w:pPr>
              <w:rPr>
                <w:rFonts w:ascii="Arial" w:hAnsi="Arial"/>
                <w:color w:val="0000FF"/>
                <w:sz w:val="18"/>
              </w:rPr>
            </w:pPr>
          </w:p>
          <w:p w:rsidR="007F6122" w:rsidRDefault="007F6122" w:rsidP="007F6122">
            <w:pPr>
              <w:rPr>
                <w:rFonts w:ascii="Arial" w:hAnsi="Arial"/>
                <w:color w:val="000080"/>
                <w:sz w:val="18"/>
              </w:rPr>
            </w:pPr>
            <w:r w:rsidRPr="00342425">
              <w:rPr>
                <w:rFonts w:ascii="Arial" w:hAnsi="Arial"/>
                <w:color w:val="000080"/>
                <w:sz w:val="18"/>
              </w:rPr>
              <w:t xml:space="preserve">Bureau of </w:t>
            </w:r>
          </w:p>
          <w:p w:rsidR="007F6122" w:rsidRDefault="007F6122" w:rsidP="007F6122">
            <w:pPr>
              <w:rPr>
                <w:rFonts w:ascii="Arial" w:hAnsi="Arial"/>
                <w:color w:val="000080"/>
                <w:sz w:val="18"/>
              </w:rPr>
            </w:pPr>
            <w:r w:rsidRPr="00342425">
              <w:rPr>
                <w:rFonts w:ascii="Arial" w:hAnsi="Arial"/>
                <w:color w:val="000080"/>
                <w:sz w:val="18"/>
              </w:rPr>
              <w:t xml:space="preserve">Transportation </w:t>
            </w:r>
          </w:p>
          <w:p w:rsidR="007F6122" w:rsidRDefault="007F6122" w:rsidP="007F6122">
            <w:pPr>
              <w:rPr>
                <w:rFonts w:ascii="Arial" w:hAnsi="Arial"/>
                <w:color w:val="0000FF"/>
                <w:sz w:val="18"/>
              </w:rPr>
            </w:pPr>
            <w:r w:rsidRPr="00342425">
              <w:rPr>
                <w:rFonts w:ascii="Arial" w:hAnsi="Arial"/>
                <w:color w:val="000080"/>
                <w:sz w:val="18"/>
              </w:rPr>
              <w:t>Statistics</w:t>
            </w:r>
          </w:p>
        </w:tc>
        <w:tc>
          <w:tcPr>
            <w:tcW w:w="2577" w:type="dxa"/>
          </w:tcPr>
          <w:p w:rsidR="007F6122" w:rsidRDefault="007F6122" w:rsidP="007F6122">
            <w:pPr>
              <w:tabs>
                <w:tab w:val="center" w:pos="2880"/>
              </w:tabs>
              <w:rPr>
                <w:rFonts w:ascii="Arial" w:hAnsi="Arial"/>
                <w:color w:val="000080"/>
                <w:sz w:val="14"/>
              </w:rPr>
            </w:pPr>
          </w:p>
        </w:tc>
        <w:tc>
          <w:tcPr>
            <w:tcW w:w="2524" w:type="dxa"/>
          </w:tcPr>
          <w:p w:rsidR="007F6122" w:rsidRDefault="007F6122" w:rsidP="007F6122">
            <w:pPr>
              <w:rPr>
                <w:rFonts w:ascii="Arial" w:hAnsi="Arial"/>
                <w:color w:val="0000FF"/>
                <w:sz w:val="14"/>
              </w:rPr>
            </w:pPr>
          </w:p>
        </w:tc>
      </w:tr>
    </w:tbl>
    <w:p w:rsidR="00D57490" w:rsidRDefault="00D57490" w:rsidP="009656DB">
      <w:pPr>
        <w:rPr>
          <w:sz w:val="22"/>
          <w:szCs w:val="22"/>
        </w:rPr>
      </w:pPr>
    </w:p>
    <w:p w:rsidR="00D57490" w:rsidRDefault="00D57490" w:rsidP="009656DB">
      <w:pPr>
        <w:rPr>
          <w:sz w:val="22"/>
          <w:szCs w:val="22"/>
        </w:rPr>
      </w:pPr>
      <w:r>
        <w:rPr>
          <w:sz w:val="22"/>
          <w:szCs w:val="22"/>
        </w:rPr>
        <w:t>April 01, 2020</w:t>
      </w:r>
    </w:p>
    <w:p w:rsidR="00D57490" w:rsidRDefault="00D57490" w:rsidP="009656DB">
      <w:pPr>
        <w:rPr>
          <w:sz w:val="22"/>
          <w:szCs w:val="22"/>
        </w:rPr>
      </w:pPr>
    </w:p>
    <w:p w:rsidR="00D57490" w:rsidRDefault="00D57490" w:rsidP="009656DB">
      <w:pPr>
        <w:rPr>
          <w:sz w:val="22"/>
          <w:szCs w:val="22"/>
        </w:rPr>
      </w:pPr>
      <w:r>
        <w:rPr>
          <w:sz w:val="22"/>
          <w:szCs w:val="22"/>
        </w:rPr>
        <w:t>Ferry Operator</w:t>
      </w:r>
    </w:p>
    <w:p w:rsidR="00D57490" w:rsidRDefault="00D57490" w:rsidP="009656DB">
      <w:pPr>
        <w:rPr>
          <w:sz w:val="22"/>
          <w:szCs w:val="22"/>
        </w:rPr>
      </w:pPr>
      <w:r>
        <w:rPr>
          <w:sz w:val="22"/>
          <w:szCs w:val="22"/>
        </w:rPr>
        <w:t xml:space="preserve">123 Main Street </w:t>
      </w:r>
    </w:p>
    <w:p w:rsidR="00D57490" w:rsidRDefault="00D57490" w:rsidP="009656DB">
      <w:pPr>
        <w:rPr>
          <w:sz w:val="22"/>
          <w:szCs w:val="22"/>
        </w:rPr>
      </w:pPr>
      <w:r>
        <w:rPr>
          <w:sz w:val="22"/>
          <w:szCs w:val="22"/>
        </w:rPr>
        <w:t>Anywhere, DC  00000</w:t>
      </w:r>
    </w:p>
    <w:p w:rsidR="00D57490" w:rsidRDefault="00D57490" w:rsidP="009656DB">
      <w:pPr>
        <w:rPr>
          <w:sz w:val="22"/>
          <w:szCs w:val="22"/>
        </w:rPr>
      </w:pPr>
    </w:p>
    <w:p w:rsidR="009656DB" w:rsidRPr="00953DE4" w:rsidRDefault="006855C3" w:rsidP="009656DB">
      <w:pPr>
        <w:rPr>
          <w:sz w:val="22"/>
          <w:szCs w:val="22"/>
        </w:rPr>
      </w:pPr>
      <w:r w:rsidRPr="00953DE4">
        <w:rPr>
          <w:sz w:val="22"/>
          <w:szCs w:val="22"/>
        </w:rPr>
        <w:t xml:space="preserve">Dear </w:t>
      </w:r>
      <w:r w:rsidR="00953DE4" w:rsidRPr="00953DE4">
        <w:rPr>
          <w:sz w:val="22"/>
          <w:szCs w:val="22"/>
        </w:rPr>
        <w:fldChar w:fldCharType="begin"/>
      </w:r>
      <w:r w:rsidR="00953DE4" w:rsidRPr="00953DE4">
        <w:rPr>
          <w:sz w:val="22"/>
          <w:szCs w:val="22"/>
        </w:rPr>
        <w:instrText xml:space="preserve"> MERGEFIELD Primary_Contact_Name </w:instrText>
      </w:r>
      <w:r w:rsidR="00953DE4" w:rsidRPr="00953DE4">
        <w:rPr>
          <w:sz w:val="22"/>
          <w:szCs w:val="22"/>
        </w:rPr>
        <w:fldChar w:fldCharType="separate"/>
      </w:r>
      <w:r w:rsidR="00844187" w:rsidRPr="002F1FCA">
        <w:rPr>
          <w:noProof/>
          <w:sz w:val="22"/>
          <w:szCs w:val="22"/>
        </w:rPr>
        <w:t>Ferry Operator</w:t>
      </w:r>
      <w:r w:rsidR="00953DE4" w:rsidRPr="00953DE4">
        <w:rPr>
          <w:noProof/>
          <w:sz w:val="22"/>
          <w:szCs w:val="22"/>
        </w:rPr>
        <w:fldChar w:fldCharType="end"/>
      </w:r>
      <w:r w:rsidRPr="00953DE4">
        <w:rPr>
          <w:sz w:val="22"/>
          <w:szCs w:val="22"/>
        </w:rPr>
        <w:t>,</w:t>
      </w:r>
    </w:p>
    <w:p w:rsidR="009656DB" w:rsidRPr="00953DE4" w:rsidRDefault="009656DB" w:rsidP="009656DB">
      <w:pPr>
        <w:rPr>
          <w:sz w:val="22"/>
          <w:szCs w:val="22"/>
        </w:rPr>
      </w:pPr>
    </w:p>
    <w:p w:rsidR="008760B0" w:rsidRDefault="006855C3" w:rsidP="009656DB">
      <w:pPr>
        <w:ind w:firstLine="432"/>
        <w:rPr>
          <w:sz w:val="22"/>
          <w:szCs w:val="22"/>
        </w:rPr>
      </w:pPr>
      <w:r w:rsidRPr="00953DE4">
        <w:rPr>
          <w:sz w:val="22"/>
          <w:szCs w:val="22"/>
        </w:rPr>
        <w:t>We are excited to announce the launch of the 20</w:t>
      </w:r>
      <w:r w:rsidR="008760B0">
        <w:rPr>
          <w:sz w:val="22"/>
          <w:szCs w:val="22"/>
        </w:rPr>
        <w:t>20</w:t>
      </w:r>
      <w:r w:rsidRPr="00953DE4">
        <w:rPr>
          <w:sz w:val="22"/>
          <w:szCs w:val="22"/>
        </w:rPr>
        <w:t xml:space="preserve"> National Census of Ferry Operators (NCFO).  Every two years, the U.S. Department of Transportation’s Bureau of Transportation Statistics collects data from all ferry operators in the United States as part of its legislative requirement to</w:t>
      </w:r>
      <w:r w:rsidRPr="00953DE4">
        <w:rPr>
          <w:i/>
          <w:sz w:val="22"/>
          <w:szCs w:val="22"/>
        </w:rPr>
        <w:t xml:space="preserve"> ‘maintain a national ferry database containing current information regarding routes, vessels, passengers and vehicles carried’.</w:t>
      </w:r>
      <w:r w:rsidRPr="00953DE4">
        <w:rPr>
          <w:sz w:val="22"/>
          <w:szCs w:val="22"/>
        </w:rPr>
        <w:t xml:space="preserve">  Signed into law on December 4, 2015, The Fixing Ameri</w:t>
      </w:r>
      <w:r w:rsidR="00F30D5A" w:rsidRPr="00953DE4">
        <w:rPr>
          <w:sz w:val="22"/>
          <w:szCs w:val="22"/>
        </w:rPr>
        <w:t>ca’s Surface Transportation</w:t>
      </w:r>
      <w:r w:rsidRPr="00953DE4">
        <w:rPr>
          <w:sz w:val="22"/>
          <w:szCs w:val="22"/>
        </w:rPr>
        <w:t xml:space="preserve"> (FAST) </w:t>
      </w:r>
      <w:r w:rsidR="00F30D5A" w:rsidRPr="00953DE4">
        <w:rPr>
          <w:sz w:val="22"/>
          <w:szCs w:val="22"/>
        </w:rPr>
        <w:t xml:space="preserve">Act </w:t>
      </w:r>
      <w:r w:rsidRPr="00953DE4">
        <w:rPr>
          <w:sz w:val="22"/>
          <w:szCs w:val="22"/>
        </w:rPr>
        <w:t>continues the requirement for the information collected by the NCFO to be used by the Federal Highway Administration to allocate Federal grant funds (Public Law 114-94, sec. 1112).</w:t>
      </w:r>
      <w:r w:rsidR="008760B0">
        <w:rPr>
          <w:sz w:val="22"/>
          <w:szCs w:val="22"/>
        </w:rPr>
        <w:t xml:space="preserve">  </w:t>
      </w:r>
    </w:p>
    <w:p w:rsidR="008760B0" w:rsidRDefault="008760B0" w:rsidP="009656DB">
      <w:pPr>
        <w:ind w:firstLine="432"/>
        <w:rPr>
          <w:sz w:val="22"/>
          <w:szCs w:val="22"/>
        </w:rPr>
      </w:pPr>
    </w:p>
    <w:p w:rsidR="009656DB" w:rsidRPr="00953DE4" w:rsidRDefault="008760B0" w:rsidP="009656DB">
      <w:pPr>
        <w:ind w:firstLine="432"/>
        <w:rPr>
          <w:sz w:val="22"/>
          <w:szCs w:val="22"/>
        </w:rPr>
      </w:pPr>
      <w:r w:rsidRPr="00BA1D71">
        <w:rPr>
          <w:sz w:val="22"/>
          <w:szCs w:val="22"/>
        </w:rPr>
        <w:t>The census collects information needed to help the government support the Ferry industry’s growth and security as a key component of the nation’s transportation infrastructure.  More specifically, the data you provide here will be used by the Federal Highway Administration (FHWA) to allocate monies from the ferry boat discretionary fund.</w:t>
      </w:r>
    </w:p>
    <w:p w:rsidR="009656DB" w:rsidRPr="00953DE4" w:rsidRDefault="009656DB" w:rsidP="009656DB">
      <w:pPr>
        <w:rPr>
          <w:b/>
          <w:sz w:val="22"/>
          <w:szCs w:val="22"/>
        </w:rPr>
      </w:pPr>
    </w:p>
    <w:p w:rsidR="009656DB" w:rsidRPr="00953DE4" w:rsidRDefault="006855C3" w:rsidP="009656DB">
      <w:pPr>
        <w:ind w:firstLine="432"/>
        <w:rPr>
          <w:sz w:val="22"/>
          <w:szCs w:val="22"/>
        </w:rPr>
      </w:pPr>
      <w:r w:rsidRPr="00953DE4">
        <w:rPr>
          <w:sz w:val="22"/>
          <w:szCs w:val="22"/>
        </w:rPr>
        <w:t xml:space="preserve">To complete your 2018 NCFO survey please use the following URL to connect to the online survey: </w:t>
      </w:r>
      <w:hyperlink r:id="rId10" w:history="1">
        <w:r w:rsidRPr="00953DE4">
          <w:rPr>
            <w:rStyle w:val="Hyperlink"/>
            <w:sz w:val="22"/>
            <w:szCs w:val="22"/>
          </w:rPr>
          <w:t>survey.bts.gov/ferry</w:t>
        </w:r>
      </w:hyperlink>
      <w:r w:rsidRPr="00953DE4">
        <w:rPr>
          <w:sz w:val="22"/>
          <w:szCs w:val="22"/>
        </w:rPr>
        <w:t>.  Once you access the online survey you will be asked to log on using your operation’s unique username and password, as provided here:</w:t>
      </w:r>
    </w:p>
    <w:p w:rsidR="009656DB" w:rsidRPr="00953DE4" w:rsidRDefault="008760B0" w:rsidP="00953DE4">
      <w:pPr>
        <w:rPr>
          <w:b/>
          <w:sz w:val="22"/>
          <w:szCs w:val="22"/>
        </w:rPr>
      </w:pPr>
      <w:r>
        <w:rPr>
          <w:b/>
          <w:sz w:val="22"/>
          <w:szCs w:val="22"/>
        </w:rPr>
        <w:t>Username: ncfo0000</w:t>
      </w:r>
    </w:p>
    <w:p w:rsidR="009656DB" w:rsidRPr="00953DE4" w:rsidRDefault="00953DE4" w:rsidP="00953DE4">
      <w:pPr>
        <w:rPr>
          <w:b/>
          <w:sz w:val="22"/>
          <w:szCs w:val="22"/>
        </w:rPr>
      </w:pPr>
      <w:r>
        <w:rPr>
          <w:b/>
          <w:sz w:val="22"/>
          <w:szCs w:val="22"/>
        </w:rPr>
        <w:t>P</w:t>
      </w:r>
      <w:r w:rsidR="006855C3" w:rsidRPr="00953DE4">
        <w:rPr>
          <w:b/>
          <w:sz w:val="22"/>
          <w:szCs w:val="22"/>
        </w:rPr>
        <w:t xml:space="preserve">assword: </w:t>
      </w:r>
      <w:r w:rsidR="008760B0">
        <w:rPr>
          <w:b/>
          <w:sz w:val="22"/>
          <w:szCs w:val="22"/>
        </w:rPr>
        <w:t>unique</w:t>
      </w:r>
    </w:p>
    <w:p w:rsidR="009656DB" w:rsidRPr="00953DE4" w:rsidRDefault="009656DB" w:rsidP="009656DB">
      <w:pPr>
        <w:rPr>
          <w:sz w:val="22"/>
          <w:szCs w:val="22"/>
        </w:rPr>
      </w:pPr>
    </w:p>
    <w:p w:rsidR="009656DB" w:rsidRPr="00953DE4" w:rsidRDefault="006855C3" w:rsidP="009656DB">
      <w:pPr>
        <w:ind w:firstLine="432"/>
        <w:rPr>
          <w:sz w:val="22"/>
          <w:szCs w:val="22"/>
        </w:rPr>
      </w:pPr>
      <w:r w:rsidRPr="00953DE4">
        <w:rPr>
          <w:sz w:val="22"/>
          <w:szCs w:val="22"/>
        </w:rPr>
        <w:t xml:space="preserve">The NCFO is a voluntary survey and should take each ferry operator on average 30 minutes to complete. This data collection effort has been approved by the U.S. Office of Management and Budget (OMB Number: 2139-0009, Expiration Date: </w:t>
      </w:r>
      <w:r w:rsidR="008760B0">
        <w:rPr>
          <w:sz w:val="22"/>
          <w:szCs w:val="22"/>
        </w:rPr>
        <w:t>TBD</w:t>
      </w:r>
      <w:r w:rsidRPr="00953DE4">
        <w:rPr>
          <w:sz w:val="22"/>
          <w:szCs w:val="22"/>
        </w:rPr>
        <w:t xml:space="preserve">).  If you desire additional information about this census or have technical problems completing the online survey, please contact us at (800) 853-1351 or </w:t>
      </w:r>
      <w:hyperlink r:id="rId11" w:history="1">
        <w:r w:rsidRPr="00953DE4">
          <w:rPr>
            <w:rStyle w:val="Hyperlink"/>
            <w:sz w:val="22"/>
            <w:szCs w:val="22"/>
          </w:rPr>
          <w:t>ferry@dot.gov</w:t>
        </w:r>
      </w:hyperlink>
    </w:p>
    <w:p w:rsidR="00953DE4" w:rsidRDefault="00953DE4" w:rsidP="009656DB">
      <w:pPr>
        <w:ind w:firstLine="432"/>
        <w:rPr>
          <w:sz w:val="22"/>
          <w:szCs w:val="22"/>
        </w:rPr>
      </w:pPr>
    </w:p>
    <w:p w:rsidR="009656DB" w:rsidRPr="00953DE4" w:rsidRDefault="006855C3" w:rsidP="009656DB">
      <w:pPr>
        <w:ind w:firstLine="432"/>
        <w:rPr>
          <w:sz w:val="22"/>
          <w:szCs w:val="22"/>
        </w:rPr>
      </w:pPr>
      <w:r w:rsidRPr="00953DE4">
        <w:rPr>
          <w:sz w:val="22"/>
          <w:szCs w:val="22"/>
        </w:rPr>
        <w:t xml:space="preserve">I urge you to take advantage of this opportunity to </w:t>
      </w:r>
      <w:r w:rsidR="00BF70F6">
        <w:rPr>
          <w:sz w:val="22"/>
          <w:szCs w:val="22"/>
        </w:rPr>
        <w:t xml:space="preserve">do your part to </w:t>
      </w:r>
      <w:r w:rsidRPr="00953DE4">
        <w:rPr>
          <w:sz w:val="22"/>
          <w:szCs w:val="22"/>
        </w:rPr>
        <w:t xml:space="preserve">provide an accurate picture of the current status of the nation’s ferry industry.  Thank you in advance for your participation.  </w:t>
      </w:r>
    </w:p>
    <w:p w:rsidR="009656DB" w:rsidRPr="00953DE4" w:rsidRDefault="009656DB" w:rsidP="009656DB">
      <w:pPr>
        <w:rPr>
          <w:sz w:val="22"/>
          <w:szCs w:val="22"/>
        </w:rPr>
      </w:pPr>
    </w:p>
    <w:p w:rsidR="00D57490" w:rsidRDefault="006855C3" w:rsidP="009656DB">
      <w:pPr>
        <w:rPr>
          <w:sz w:val="22"/>
          <w:szCs w:val="22"/>
        </w:rPr>
      </w:pPr>
      <w:r w:rsidRPr="00953DE4">
        <w:rPr>
          <w:sz w:val="22"/>
          <w:szCs w:val="22"/>
        </w:rPr>
        <w:t>Sincerely,</w:t>
      </w:r>
    </w:p>
    <w:p w:rsidR="00D57490" w:rsidRPr="00953DE4" w:rsidRDefault="00D57490" w:rsidP="009656DB">
      <w:pPr>
        <w:rPr>
          <w:sz w:val="22"/>
          <w:szCs w:val="22"/>
        </w:rPr>
      </w:pPr>
      <w:r>
        <w:rPr>
          <w:noProof/>
        </w:rPr>
        <w:drawing>
          <wp:inline distT="0" distB="0" distL="0" distR="0" wp14:anchorId="3BECC823" wp14:editId="05C6C820">
            <wp:extent cx="1225826" cy="2858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5826" cy="285884"/>
                    </a:xfrm>
                    <a:prstGeom prst="rect">
                      <a:avLst/>
                    </a:prstGeom>
                    <a:noFill/>
                    <a:ln>
                      <a:noFill/>
                    </a:ln>
                  </pic:spPr>
                </pic:pic>
              </a:graphicData>
            </a:graphic>
          </wp:inline>
        </w:drawing>
      </w:r>
    </w:p>
    <w:p w:rsidR="009656DB" w:rsidRPr="00953DE4" w:rsidRDefault="006855C3" w:rsidP="009656DB">
      <w:pPr>
        <w:rPr>
          <w:sz w:val="22"/>
          <w:szCs w:val="22"/>
        </w:rPr>
      </w:pPr>
      <w:r w:rsidRPr="00953DE4">
        <w:rPr>
          <w:sz w:val="22"/>
          <w:szCs w:val="22"/>
        </w:rPr>
        <w:t>Patricia S. Hu</w:t>
      </w:r>
    </w:p>
    <w:p w:rsidR="003235B5" w:rsidRPr="00953DE4" w:rsidRDefault="003235B5" w:rsidP="009656DB">
      <w:pPr>
        <w:rPr>
          <w:sz w:val="22"/>
          <w:szCs w:val="22"/>
        </w:rPr>
      </w:pPr>
      <w:r w:rsidRPr="00953DE4">
        <w:rPr>
          <w:sz w:val="22"/>
          <w:szCs w:val="22"/>
        </w:rPr>
        <w:t>Director</w:t>
      </w:r>
    </w:p>
    <w:p w:rsidR="009656DB" w:rsidRPr="00953DE4" w:rsidRDefault="006855C3" w:rsidP="009656DB">
      <w:pPr>
        <w:rPr>
          <w:sz w:val="22"/>
          <w:szCs w:val="22"/>
        </w:rPr>
      </w:pPr>
      <w:r w:rsidRPr="00953DE4">
        <w:rPr>
          <w:sz w:val="22"/>
          <w:szCs w:val="22"/>
        </w:rPr>
        <w:t>Bureau of Transportation Statistics</w:t>
      </w:r>
    </w:p>
    <w:sectPr w:rsidR="009656DB" w:rsidRPr="00953DE4" w:rsidSect="00D57490">
      <w:headerReference w:type="default" r:id="rId13"/>
      <w:headerReference w:type="first" r:id="rId14"/>
      <w:pgSz w:w="12240" w:h="15840"/>
      <w:pgMar w:top="720" w:right="1440" w:bottom="450"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0CA" w:rsidRDefault="006070CA" w:rsidP="007F6122">
      <w:r>
        <w:separator/>
      </w:r>
    </w:p>
  </w:endnote>
  <w:endnote w:type="continuationSeparator" w:id="0">
    <w:p w:rsidR="006070CA" w:rsidRDefault="006070CA" w:rsidP="007F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0CA" w:rsidRDefault="006070CA" w:rsidP="007F6122">
      <w:r>
        <w:separator/>
      </w:r>
    </w:p>
  </w:footnote>
  <w:footnote w:type="continuationSeparator" w:id="0">
    <w:p w:rsidR="006070CA" w:rsidRDefault="006070CA" w:rsidP="007F6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75095"/>
      <w:docPartObj>
        <w:docPartGallery w:val="Page Numbers (Top of Page)"/>
        <w:docPartUnique/>
      </w:docPartObj>
    </w:sdtPr>
    <w:sdtEndPr>
      <w:rPr>
        <w:noProof/>
      </w:rPr>
    </w:sdtEndPr>
    <w:sdtContent>
      <w:p w:rsidR="00844187" w:rsidRDefault="00844187">
        <w:pPr>
          <w:pStyle w:val="Header"/>
          <w:jc w:val="right"/>
        </w:pPr>
        <w:r>
          <w:t>2</w:t>
        </w:r>
      </w:p>
    </w:sdtContent>
  </w:sdt>
  <w:p w:rsidR="00844187" w:rsidRDefault="008441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187" w:rsidRDefault="00844187">
    <w:pPr>
      <w:pStyle w:val="Header"/>
      <w:jc w:val="right"/>
    </w:pPr>
  </w:p>
  <w:p w:rsidR="00844187" w:rsidRDefault="00844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F5"/>
    <w:rsid w:val="0001663B"/>
    <w:rsid w:val="00125CF5"/>
    <w:rsid w:val="00296151"/>
    <w:rsid w:val="003235B5"/>
    <w:rsid w:val="004312E6"/>
    <w:rsid w:val="00435E9E"/>
    <w:rsid w:val="004751DF"/>
    <w:rsid w:val="004C693A"/>
    <w:rsid w:val="006070CA"/>
    <w:rsid w:val="0065264F"/>
    <w:rsid w:val="006855C3"/>
    <w:rsid w:val="00742089"/>
    <w:rsid w:val="007F6122"/>
    <w:rsid w:val="00844187"/>
    <w:rsid w:val="008760B0"/>
    <w:rsid w:val="00927ADE"/>
    <w:rsid w:val="00953DE4"/>
    <w:rsid w:val="009656DB"/>
    <w:rsid w:val="00A0631D"/>
    <w:rsid w:val="00A76DFB"/>
    <w:rsid w:val="00B936D8"/>
    <w:rsid w:val="00BA1D71"/>
    <w:rsid w:val="00BF70F6"/>
    <w:rsid w:val="00D57490"/>
    <w:rsid w:val="00D8478A"/>
    <w:rsid w:val="00DD35AD"/>
    <w:rsid w:val="00DD41DB"/>
    <w:rsid w:val="00E45017"/>
    <w:rsid w:val="00F30D5A"/>
    <w:rsid w:val="00FF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5D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C05D3E"/>
    <w:rPr>
      <w:color w:val="0000FF"/>
      <w:u w:val="single"/>
    </w:rPr>
  </w:style>
  <w:style w:type="paragraph" w:styleId="BalloonText">
    <w:name w:val="Balloon Text"/>
    <w:basedOn w:val="Normal"/>
    <w:link w:val="BalloonTextChar"/>
    <w:uiPriority w:val="99"/>
    <w:semiHidden/>
    <w:unhideWhenUsed/>
    <w:rsid w:val="00C05D3E"/>
    <w:rPr>
      <w:rFonts w:ascii="Tahoma" w:hAnsi="Tahoma" w:cs="Tahoma"/>
      <w:sz w:val="16"/>
      <w:szCs w:val="16"/>
    </w:rPr>
  </w:style>
  <w:style w:type="character" w:customStyle="1" w:styleId="BalloonTextChar">
    <w:name w:val="Balloon Text Char"/>
    <w:basedOn w:val="DefaultParagraphFont"/>
    <w:link w:val="BalloonText"/>
    <w:uiPriority w:val="99"/>
    <w:semiHidden/>
    <w:rsid w:val="00C05D3E"/>
    <w:rPr>
      <w:rFonts w:ascii="Tahoma" w:eastAsia="Times New Roman" w:hAnsi="Tahoma" w:cs="Tahoma"/>
      <w:sz w:val="16"/>
      <w:szCs w:val="16"/>
    </w:rPr>
  </w:style>
  <w:style w:type="character" w:customStyle="1" w:styleId="Mention">
    <w:name w:val="Mention"/>
    <w:basedOn w:val="DefaultParagraphFont"/>
    <w:uiPriority w:val="99"/>
    <w:semiHidden/>
    <w:unhideWhenUsed/>
    <w:rsid w:val="0069533A"/>
    <w:rPr>
      <w:color w:val="2B579A"/>
      <w:shd w:val="clear" w:color="auto" w:fill="E6E6E6"/>
    </w:rPr>
  </w:style>
  <w:style w:type="paragraph" w:styleId="Header">
    <w:name w:val="header"/>
    <w:basedOn w:val="Normal"/>
    <w:link w:val="HeaderChar"/>
    <w:uiPriority w:val="99"/>
    <w:unhideWhenUsed/>
    <w:rsid w:val="007F6122"/>
    <w:pPr>
      <w:tabs>
        <w:tab w:val="center" w:pos="4680"/>
        <w:tab w:val="right" w:pos="9360"/>
      </w:tabs>
    </w:pPr>
  </w:style>
  <w:style w:type="character" w:customStyle="1" w:styleId="HeaderChar">
    <w:name w:val="Header Char"/>
    <w:basedOn w:val="DefaultParagraphFont"/>
    <w:link w:val="Header"/>
    <w:uiPriority w:val="99"/>
    <w:rsid w:val="007F61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6122"/>
    <w:pPr>
      <w:tabs>
        <w:tab w:val="center" w:pos="4680"/>
        <w:tab w:val="right" w:pos="9360"/>
      </w:tabs>
    </w:pPr>
  </w:style>
  <w:style w:type="character" w:customStyle="1" w:styleId="FooterChar">
    <w:name w:val="Footer Char"/>
    <w:basedOn w:val="DefaultParagraphFont"/>
    <w:link w:val="Footer"/>
    <w:uiPriority w:val="99"/>
    <w:rsid w:val="007F612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5D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C05D3E"/>
    <w:rPr>
      <w:color w:val="0000FF"/>
      <w:u w:val="single"/>
    </w:rPr>
  </w:style>
  <w:style w:type="paragraph" w:styleId="BalloonText">
    <w:name w:val="Balloon Text"/>
    <w:basedOn w:val="Normal"/>
    <w:link w:val="BalloonTextChar"/>
    <w:uiPriority w:val="99"/>
    <w:semiHidden/>
    <w:unhideWhenUsed/>
    <w:rsid w:val="00C05D3E"/>
    <w:rPr>
      <w:rFonts w:ascii="Tahoma" w:hAnsi="Tahoma" w:cs="Tahoma"/>
      <w:sz w:val="16"/>
      <w:szCs w:val="16"/>
    </w:rPr>
  </w:style>
  <w:style w:type="character" w:customStyle="1" w:styleId="BalloonTextChar">
    <w:name w:val="Balloon Text Char"/>
    <w:basedOn w:val="DefaultParagraphFont"/>
    <w:link w:val="BalloonText"/>
    <w:uiPriority w:val="99"/>
    <w:semiHidden/>
    <w:rsid w:val="00C05D3E"/>
    <w:rPr>
      <w:rFonts w:ascii="Tahoma" w:eastAsia="Times New Roman" w:hAnsi="Tahoma" w:cs="Tahoma"/>
      <w:sz w:val="16"/>
      <w:szCs w:val="16"/>
    </w:rPr>
  </w:style>
  <w:style w:type="character" w:customStyle="1" w:styleId="Mention">
    <w:name w:val="Mention"/>
    <w:basedOn w:val="DefaultParagraphFont"/>
    <w:uiPriority w:val="99"/>
    <w:semiHidden/>
    <w:unhideWhenUsed/>
    <w:rsid w:val="0069533A"/>
    <w:rPr>
      <w:color w:val="2B579A"/>
      <w:shd w:val="clear" w:color="auto" w:fill="E6E6E6"/>
    </w:rPr>
  </w:style>
  <w:style w:type="paragraph" w:styleId="Header">
    <w:name w:val="header"/>
    <w:basedOn w:val="Normal"/>
    <w:link w:val="HeaderChar"/>
    <w:uiPriority w:val="99"/>
    <w:unhideWhenUsed/>
    <w:rsid w:val="007F6122"/>
    <w:pPr>
      <w:tabs>
        <w:tab w:val="center" w:pos="4680"/>
        <w:tab w:val="right" w:pos="9360"/>
      </w:tabs>
    </w:pPr>
  </w:style>
  <w:style w:type="character" w:customStyle="1" w:styleId="HeaderChar">
    <w:name w:val="Header Char"/>
    <w:basedOn w:val="DefaultParagraphFont"/>
    <w:link w:val="Header"/>
    <w:uiPriority w:val="99"/>
    <w:rsid w:val="007F61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6122"/>
    <w:pPr>
      <w:tabs>
        <w:tab w:val="center" w:pos="4680"/>
        <w:tab w:val="right" w:pos="9360"/>
      </w:tabs>
    </w:pPr>
  </w:style>
  <w:style w:type="character" w:customStyle="1" w:styleId="FooterChar">
    <w:name w:val="Footer Char"/>
    <w:basedOn w:val="DefaultParagraphFont"/>
    <w:link w:val="Footer"/>
    <w:uiPriority w:val="99"/>
    <w:rsid w:val="007F61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ITHQNWFS001\data\Survey%20Programs\NCFO\2018%20FERRY%20CENSUS\2%20-%20Prenotice\ferry@dot.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rvey.bts.gov/ferr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CE96A-32EF-468E-B5D8-DC7C9F2C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SYSTEM</cp:lastModifiedBy>
  <cp:revision>2</cp:revision>
  <cp:lastPrinted>2018-07-11T12:50:00Z</cp:lastPrinted>
  <dcterms:created xsi:type="dcterms:W3CDTF">2019-05-23T15:18:00Z</dcterms:created>
  <dcterms:modified xsi:type="dcterms:W3CDTF">2019-05-23T15:18:00Z</dcterms:modified>
</cp:coreProperties>
</file>