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10D97" w14:textId="77777777"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14:paraId="55610D98"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55610D99" w14:textId="2CF57F2F"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A6456C">
        <w:rPr>
          <w:rFonts w:eastAsia="Times New Roman" w:cs="Times New Roman"/>
          <w:b/>
          <w:szCs w:val="24"/>
        </w:rPr>
        <w:t>0096</w:t>
      </w:r>
    </w:p>
    <w:p w14:paraId="55610D9A" w14:textId="38469663" w:rsidR="00D12FEB" w:rsidRPr="00335AB1" w:rsidRDefault="0004355F" w:rsidP="00335AB1">
      <w:pPr>
        <w:tabs>
          <w:tab w:val="center" w:pos="4680"/>
        </w:tabs>
        <w:suppressAutoHyphens/>
        <w:spacing w:after="240"/>
        <w:jc w:val="center"/>
        <w:rPr>
          <w:rFonts w:eastAsia="Times New Roman" w:cs="Times New Roman"/>
          <w:szCs w:val="24"/>
        </w:rPr>
      </w:pPr>
      <w:r>
        <w:rPr>
          <w:rFonts w:eastAsia="Times New Roman" w:cs="Times New Roman"/>
          <w:szCs w:val="24"/>
        </w:rPr>
        <w:t>Swap Data Recordkeeping and</w:t>
      </w:r>
      <w:r w:rsidR="00A6456C">
        <w:rPr>
          <w:rFonts w:eastAsia="Times New Roman" w:cs="Times New Roman"/>
          <w:szCs w:val="24"/>
        </w:rPr>
        <w:t xml:space="preserve"> Reporting Requirements</w:t>
      </w:r>
    </w:p>
    <w:p w14:paraId="55610D9B"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55610D9C" w14:textId="719CFD4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2C291D">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2C291D">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14:paraId="4CB40FDD" w14:textId="185ECA7B" w:rsidR="00AC5827" w:rsidRDefault="00730FF7" w:rsidP="00EE575D">
      <w:pPr>
        <w:autoSpaceDE w:val="0"/>
        <w:autoSpaceDN w:val="0"/>
        <w:adjustRightInd w:val="0"/>
        <w:ind w:firstLine="720"/>
        <w:rPr>
          <w:rFonts w:eastAsia="Times New Roman" w:cs="Times New Roman"/>
          <w:color w:val="000000"/>
          <w:szCs w:val="24"/>
        </w:rPr>
      </w:pPr>
      <w:r w:rsidRPr="00730FF7">
        <w:rPr>
          <w:rFonts w:eastAsia="Times New Roman" w:cs="Times New Roman"/>
          <w:color w:val="000000"/>
          <w:szCs w:val="24"/>
        </w:rPr>
        <w:t>On July 21, 2010, the Dodd-Frank Wall Street Reform and Consumer Protection Act (“Dodd Frank Act”) went into effect.</w:t>
      </w:r>
      <w:r w:rsidRPr="00730FF7">
        <w:rPr>
          <w:rFonts w:eastAsia="Times New Roman" w:cs="Times New Roman"/>
          <w:color w:val="000000"/>
          <w:szCs w:val="24"/>
          <w:vertAlign w:val="superscript"/>
        </w:rPr>
        <w:footnoteReference w:id="1"/>
      </w:r>
      <w:r w:rsidRPr="00730FF7">
        <w:rPr>
          <w:rFonts w:eastAsia="Times New Roman" w:cs="Times New Roman"/>
          <w:color w:val="000000"/>
          <w:szCs w:val="24"/>
        </w:rPr>
        <w:t xml:space="preserve"> Title VII of the Dodd-Frank Act amends the Commodity Exchange Act (“CEA”)</w:t>
      </w:r>
      <w:r w:rsidRPr="00730FF7">
        <w:rPr>
          <w:rFonts w:eastAsia="Times New Roman" w:cs="Times New Roman"/>
          <w:color w:val="000000"/>
          <w:szCs w:val="24"/>
          <w:vertAlign w:val="superscript"/>
        </w:rPr>
        <w:footnoteReference w:id="2"/>
      </w:r>
      <w:r w:rsidRPr="00730FF7">
        <w:rPr>
          <w:rFonts w:eastAsia="Times New Roman" w:cs="Times New Roman"/>
          <w:color w:val="000000"/>
          <w:szCs w:val="24"/>
        </w:rPr>
        <w:t xml:space="preserve"> to establish a comprehensive new regulatory framework for swaps and security-based swaps. Section 728 of the Dodd-Frank Act specifically requires the Commodity Futures Trading Commission (“CFTC” or “Com</w:t>
      </w:r>
      <w:r w:rsidR="00860155">
        <w:rPr>
          <w:rFonts w:eastAsia="Times New Roman" w:cs="Times New Roman"/>
          <w:color w:val="000000"/>
          <w:szCs w:val="24"/>
        </w:rPr>
        <w:t>mission”) to establish standards for swap data recordkeeping and reporting, including the data elements to be collected and maintained by swap data repositories (“SDRs”) for each swap. Section 729 of the Dodd-Frank Act required that at least one counterparty to each swap have an obligation to report data concerning each swap. On December 20, 2011, the Commission adopted Part 45 of the Commission’s regulations to establish the swap data recordkeeping and reporting requirements mandated by the Dodd-Frank Act.</w:t>
      </w:r>
      <w:r w:rsidR="005F41E1">
        <w:rPr>
          <w:rStyle w:val="FootnoteReference"/>
          <w:rFonts w:eastAsia="Times New Roman" w:cs="Times New Roman"/>
          <w:color w:val="000000"/>
          <w:szCs w:val="24"/>
        </w:rPr>
        <w:footnoteReference w:id="3"/>
      </w:r>
      <w:r w:rsidR="00860155">
        <w:rPr>
          <w:rFonts w:eastAsia="Times New Roman" w:cs="Times New Roman"/>
          <w:color w:val="000000"/>
          <w:szCs w:val="24"/>
        </w:rPr>
        <w:t xml:space="preserve"> </w:t>
      </w:r>
    </w:p>
    <w:p w14:paraId="27F331B2" w14:textId="77777777" w:rsidR="00AC5827" w:rsidRDefault="00AC5827" w:rsidP="00730FF7">
      <w:pPr>
        <w:autoSpaceDE w:val="0"/>
        <w:autoSpaceDN w:val="0"/>
        <w:adjustRightInd w:val="0"/>
        <w:ind w:firstLine="720"/>
        <w:jc w:val="both"/>
        <w:rPr>
          <w:rFonts w:eastAsia="Times New Roman" w:cs="Times New Roman"/>
          <w:color w:val="000000"/>
          <w:szCs w:val="24"/>
        </w:rPr>
      </w:pPr>
    </w:p>
    <w:p w14:paraId="37C63409" w14:textId="6DF9F842" w:rsidR="00AC5827" w:rsidRPr="00AC5827" w:rsidRDefault="00AC5827" w:rsidP="00EE575D">
      <w:pPr>
        <w:autoSpaceDE w:val="0"/>
        <w:autoSpaceDN w:val="0"/>
        <w:adjustRightInd w:val="0"/>
        <w:ind w:firstLine="720"/>
        <w:rPr>
          <w:rFonts w:eastAsia="Times New Roman" w:cs="Times New Roman"/>
          <w:color w:val="000000"/>
          <w:szCs w:val="24"/>
        </w:rPr>
      </w:pPr>
      <w:r w:rsidRPr="00AC5827">
        <w:rPr>
          <w:rFonts w:eastAsia="Times New Roman" w:cs="Times New Roman"/>
          <w:color w:val="000000"/>
          <w:szCs w:val="24"/>
        </w:rPr>
        <w:t>On July 10, 2017, Commission staff announced a comprehensive review of swap reporting regulations and released the Roadmap to Achieve High Quality Swap Data (“Roadmap”)</w:t>
      </w:r>
      <w:bookmarkStart w:id="1" w:name="_Ref498697230"/>
      <w:r w:rsidRPr="00AC5827">
        <w:rPr>
          <w:rFonts w:eastAsia="Times New Roman" w:cs="Times New Roman"/>
          <w:color w:val="000000"/>
          <w:szCs w:val="24"/>
          <w:vertAlign w:val="superscript"/>
        </w:rPr>
        <w:footnoteReference w:id="4"/>
      </w:r>
      <w:bookmarkEnd w:id="1"/>
      <w:r w:rsidRPr="00AC5827">
        <w:rPr>
          <w:rFonts w:eastAsia="Times New Roman" w:cs="Times New Roman"/>
          <w:color w:val="000000"/>
          <w:szCs w:val="24"/>
        </w:rPr>
        <w:t xml:space="preserve"> to solicit feedback on improvements to data reporting and how the Commission’s regulatory goals may be achieved without imposing unnecessary burdens on market participants. The Commission is now issuing a notice of proposed rulemaking as part of this Roadmap initiative that will address relevant feedback received and streamline data reporting requirements. To the extent t</w:t>
      </w:r>
      <w:r w:rsidR="002E5A4F">
        <w:rPr>
          <w:rFonts w:eastAsia="Times New Roman" w:cs="Times New Roman"/>
          <w:color w:val="000000"/>
          <w:szCs w:val="24"/>
        </w:rPr>
        <w:t>hat the proposed amendments to P</w:t>
      </w:r>
      <w:r w:rsidRPr="00AC5827">
        <w:rPr>
          <w:rFonts w:eastAsia="Times New Roman" w:cs="Times New Roman"/>
          <w:color w:val="000000"/>
          <w:szCs w:val="24"/>
        </w:rPr>
        <w:t xml:space="preserve">art </w:t>
      </w:r>
      <w:r w:rsidR="00EE575D">
        <w:rPr>
          <w:rFonts w:eastAsia="Times New Roman" w:cs="Times New Roman"/>
          <w:color w:val="000000"/>
          <w:szCs w:val="24"/>
        </w:rPr>
        <w:t>45</w:t>
      </w:r>
      <w:r w:rsidRPr="00AC5827">
        <w:rPr>
          <w:rFonts w:eastAsia="Times New Roman" w:cs="Times New Roman"/>
          <w:color w:val="000000"/>
          <w:szCs w:val="24"/>
        </w:rPr>
        <w:t xml:space="preserve"> in the proposal would introduce new information collections that were not previously included in Information Collection 3038-00</w:t>
      </w:r>
      <w:r w:rsidR="00EE575D">
        <w:rPr>
          <w:rFonts w:eastAsia="Times New Roman" w:cs="Times New Roman"/>
          <w:color w:val="000000"/>
          <w:szCs w:val="24"/>
        </w:rPr>
        <w:t>96</w:t>
      </w:r>
      <w:r w:rsidRPr="00AC5827">
        <w:rPr>
          <w:rFonts w:eastAsia="Times New Roman" w:cs="Times New Roman"/>
          <w:color w:val="000000"/>
          <w:szCs w:val="24"/>
        </w:rPr>
        <w:t xml:space="preserve"> or modify existing collections already included in Information Collection 3038-00</w:t>
      </w:r>
      <w:r w:rsidR="00EE575D">
        <w:rPr>
          <w:rFonts w:eastAsia="Times New Roman" w:cs="Times New Roman"/>
          <w:color w:val="000000"/>
          <w:szCs w:val="24"/>
        </w:rPr>
        <w:t>96</w:t>
      </w:r>
      <w:r w:rsidRPr="00AC5827">
        <w:rPr>
          <w:rFonts w:eastAsia="Times New Roman" w:cs="Times New Roman"/>
          <w:color w:val="000000"/>
          <w:szCs w:val="24"/>
        </w:rPr>
        <w:t>, the Commission is proposing to revise Information Collection 3038-00</w:t>
      </w:r>
      <w:r w:rsidR="00EE575D">
        <w:rPr>
          <w:rFonts w:eastAsia="Times New Roman" w:cs="Times New Roman"/>
          <w:color w:val="000000"/>
          <w:szCs w:val="24"/>
        </w:rPr>
        <w:t>96</w:t>
      </w:r>
      <w:r w:rsidRPr="00AC5827">
        <w:rPr>
          <w:rFonts w:eastAsia="Times New Roman" w:cs="Times New Roman"/>
          <w:color w:val="000000"/>
          <w:szCs w:val="24"/>
        </w:rPr>
        <w:t xml:space="preserve"> to account for these additions and modifications. Most information collections discussed in existing </w:t>
      </w:r>
      <w:r w:rsidR="00EE575D">
        <w:rPr>
          <w:rFonts w:eastAsia="Times New Roman" w:cs="Times New Roman"/>
          <w:color w:val="000000"/>
          <w:szCs w:val="24"/>
        </w:rPr>
        <w:t xml:space="preserve">Information </w:t>
      </w:r>
      <w:r w:rsidR="00EE575D">
        <w:rPr>
          <w:rFonts w:eastAsia="Times New Roman" w:cs="Times New Roman"/>
          <w:color w:val="000000"/>
          <w:szCs w:val="24"/>
        </w:rPr>
        <w:lastRenderedPageBreak/>
        <w:t>Collection 3038-0096</w:t>
      </w:r>
      <w:r w:rsidRPr="00AC5827">
        <w:rPr>
          <w:rFonts w:eastAsia="Times New Roman" w:cs="Times New Roman"/>
          <w:color w:val="000000"/>
          <w:szCs w:val="24"/>
        </w:rPr>
        <w:t xml:space="preserve"> would not be impacted by the proposed revisions, and the Commission is not proposing to revise the estimated burdens associated with those collections.</w:t>
      </w:r>
    </w:p>
    <w:p w14:paraId="55610D9D" w14:textId="01D63132" w:rsidR="00642B6A" w:rsidRDefault="00642B6A" w:rsidP="00EE575D">
      <w:pPr>
        <w:autoSpaceDE w:val="0"/>
        <w:autoSpaceDN w:val="0"/>
        <w:adjustRightInd w:val="0"/>
        <w:jc w:val="both"/>
        <w:rPr>
          <w:rFonts w:eastAsia="Times New Roman" w:cs="Times New Roman"/>
          <w:color w:val="000000"/>
          <w:szCs w:val="24"/>
        </w:rPr>
      </w:pPr>
    </w:p>
    <w:p w14:paraId="425FB4DF" w14:textId="01B994D0" w:rsidR="00EE575D" w:rsidRPr="00EE575D" w:rsidRDefault="00EE575D" w:rsidP="00EE575D">
      <w:pPr>
        <w:autoSpaceDE w:val="0"/>
        <w:autoSpaceDN w:val="0"/>
        <w:adjustRightInd w:val="0"/>
        <w:ind w:firstLine="720"/>
        <w:rPr>
          <w:rFonts w:eastAsia="Times New Roman" w:cs="Times New Roman"/>
          <w:color w:val="000000"/>
          <w:szCs w:val="24"/>
        </w:rPr>
      </w:pPr>
      <w:r w:rsidRPr="00EE575D">
        <w:rPr>
          <w:rFonts w:eastAsia="Times New Roman" w:cs="Times New Roman"/>
          <w:color w:val="000000"/>
          <w:szCs w:val="24"/>
        </w:rPr>
        <w:t xml:space="preserve">The proposed new or revised information collections could affect </w:t>
      </w:r>
      <w:r>
        <w:rPr>
          <w:rFonts w:eastAsia="Times New Roman" w:cs="Times New Roman"/>
          <w:color w:val="000000"/>
          <w:szCs w:val="24"/>
        </w:rPr>
        <w:t>swap execution facilities (“SEFs”)</w:t>
      </w:r>
      <w:r w:rsidRPr="00EE575D">
        <w:rPr>
          <w:rFonts w:eastAsia="Times New Roman" w:cs="Times New Roman"/>
          <w:color w:val="000000"/>
          <w:szCs w:val="24"/>
        </w:rPr>
        <w:t xml:space="preserve">, </w:t>
      </w:r>
      <w:r>
        <w:rPr>
          <w:rFonts w:eastAsia="Times New Roman" w:cs="Times New Roman"/>
          <w:color w:val="000000"/>
          <w:szCs w:val="24"/>
        </w:rPr>
        <w:t>designated contract markets (“</w:t>
      </w:r>
      <w:r w:rsidRPr="00EE575D">
        <w:rPr>
          <w:rFonts w:eastAsia="Times New Roman" w:cs="Times New Roman"/>
          <w:color w:val="000000"/>
          <w:szCs w:val="24"/>
        </w:rPr>
        <w:t>DCMs</w:t>
      </w:r>
      <w:r>
        <w:rPr>
          <w:rFonts w:eastAsia="Times New Roman" w:cs="Times New Roman"/>
          <w:color w:val="000000"/>
          <w:szCs w:val="24"/>
        </w:rPr>
        <w:t>”)</w:t>
      </w:r>
      <w:r w:rsidRPr="00EE575D">
        <w:rPr>
          <w:rFonts w:eastAsia="Times New Roman" w:cs="Times New Roman"/>
          <w:color w:val="000000"/>
          <w:szCs w:val="24"/>
        </w:rPr>
        <w:t xml:space="preserve">, SDRs, </w:t>
      </w:r>
      <w:r>
        <w:rPr>
          <w:rFonts w:eastAsia="Times New Roman" w:cs="Times New Roman"/>
          <w:color w:val="000000"/>
          <w:szCs w:val="24"/>
        </w:rPr>
        <w:t>swap dealers (“</w:t>
      </w:r>
      <w:r w:rsidRPr="00EE575D">
        <w:rPr>
          <w:rFonts w:eastAsia="Times New Roman" w:cs="Times New Roman"/>
          <w:color w:val="000000"/>
          <w:szCs w:val="24"/>
        </w:rPr>
        <w:t>SDs</w:t>
      </w:r>
      <w:r>
        <w:rPr>
          <w:rFonts w:eastAsia="Times New Roman" w:cs="Times New Roman"/>
          <w:color w:val="000000"/>
          <w:szCs w:val="24"/>
        </w:rPr>
        <w:t>”)</w:t>
      </w:r>
      <w:r w:rsidRPr="00EE575D">
        <w:rPr>
          <w:rFonts w:eastAsia="Times New Roman" w:cs="Times New Roman"/>
          <w:color w:val="000000"/>
          <w:szCs w:val="24"/>
        </w:rPr>
        <w:t xml:space="preserve">, </w:t>
      </w:r>
      <w:r>
        <w:rPr>
          <w:rFonts w:eastAsia="Times New Roman" w:cs="Times New Roman"/>
          <w:color w:val="000000"/>
          <w:szCs w:val="24"/>
        </w:rPr>
        <w:t>major swap participants (“</w:t>
      </w:r>
      <w:r w:rsidRPr="00EE575D">
        <w:rPr>
          <w:rFonts w:eastAsia="Times New Roman" w:cs="Times New Roman"/>
          <w:color w:val="000000"/>
          <w:szCs w:val="24"/>
        </w:rPr>
        <w:t>MSPs</w:t>
      </w:r>
      <w:r>
        <w:rPr>
          <w:rFonts w:eastAsia="Times New Roman" w:cs="Times New Roman"/>
          <w:color w:val="000000"/>
          <w:szCs w:val="24"/>
        </w:rPr>
        <w:t>”)</w:t>
      </w:r>
      <w:r w:rsidRPr="00EE575D">
        <w:rPr>
          <w:rFonts w:eastAsia="Times New Roman" w:cs="Times New Roman"/>
          <w:color w:val="000000"/>
          <w:szCs w:val="24"/>
        </w:rPr>
        <w:t xml:space="preserve">, </w:t>
      </w:r>
      <w:r>
        <w:rPr>
          <w:rFonts w:eastAsia="Times New Roman" w:cs="Times New Roman"/>
          <w:color w:val="000000"/>
          <w:szCs w:val="24"/>
        </w:rPr>
        <w:t xml:space="preserve">derivatives clearing organizations (“DCOs”) </w:t>
      </w:r>
      <w:r w:rsidRPr="00EE575D">
        <w:rPr>
          <w:rFonts w:eastAsia="Times New Roman" w:cs="Times New Roman"/>
          <w:color w:val="000000"/>
          <w:szCs w:val="24"/>
        </w:rPr>
        <w:t xml:space="preserve">and other </w:t>
      </w:r>
      <w:r>
        <w:rPr>
          <w:rFonts w:eastAsia="Times New Roman" w:cs="Times New Roman"/>
          <w:color w:val="000000"/>
          <w:szCs w:val="24"/>
        </w:rPr>
        <w:t xml:space="preserve">non-SD/MSP/DCO reporting </w:t>
      </w:r>
      <w:r w:rsidRPr="00EE575D">
        <w:rPr>
          <w:rFonts w:eastAsia="Times New Roman" w:cs="Times New Roman"/>
          <w:color w:val="000000"/>
          <w:szCs w:val="24"/>
        </w:rPr>
        <w:t>counterparties or entities that may become them in the future. The Commission is proposing to add or modify information collections for the following regulations:</w:t>
      </w:r>
    </w:p>
    <w:p w14:paraId="421D8723" w14:textId="77777777" w:rsidR="00EE575D" w:rsidRDefault="00EE575D" w:rsidP="00EE575D">
      <w:pPr>
        <w:autoSpaceDE w:val="0"/>
        <w:autoSpaceDN w:val="0"/>
        <w:adjustRightInd w:val="0"/>
        <w:jc w:val="both"/>
        <w:rPr>
          <w:rFonts w:eastAsia="Times New Roman" w:cs="Times New Roman"/>
          <w:color w:val="000000"/>
          <w:szCs w:val="24"/>
        </w:rPr>
      </w:pPr>
    </w:p>
    <w:p w14:paraId="478EA43D" w14:textId="552D3742" w:rsidR="00EE575D" w:rsidRDefault="0063799D" w:rsidP="0063799D">
      <w:pPr>
        <w:pStyle w:val="ListParagraph"/>
        <w:numPr>
          <w:ilvl w:val="0"/>
          <w:numId w:val="3"/>
        </w:numPr>
        <w:autoSpaceDE w:val="0"/>
        <w:autoSpaceDN w:val="0"/>
        <w:adjustRightInd w:val="0"/>
        <w:rPr>
          <w:rFonts w:eastAsia="Times New Roman" w:cs="Times New Roman"/>
          <w:color w:val="000000"/>
          <w:szCs w:val="24"/>
        </w:rPr>
      </w:pPr>
      <w:r w:rsidRPr="0063799D">
        <w:rPr>
          <w:rFonts w:eastAsia="Times New Roman" w:cs="Times New Roman"/>
          <w:color w:val="000000"/>
          <w:szCs w:val="24"/>
        </w:rPr>
        <w:t xml:space="preserve">The Commission is proposing to move the SDR </w:t>
      </w:r>
      <w:r>
        <w:rPr>
          <w:rFonts w:eastAsia="Times New Roman" w:cs="Times New Roman"/>
          <w:color w:val="000000"/>
          <w:szCs w:val="24"/>
        </w:rPr>
        <w:t>recordkeeping requirements from current § 45.2(f) and (g) to proposed § 49.12</w:t>
      </w:r>
      <w:r w:rsidRPr="0063799D">
        <w:rPr>
          <w:rFonts w:eastAsia="Times New Roman" w:cs="Times New Roman"/>
          <w:color w:val="000000"/>
          <w:szCs w:val="24"/>
        </w:rPr>
        <w:t>. Thi</w:t>
      </w:r>
      <w:r>
        <w:rPr>
          <w:rFonts w:eastAsia="Times New Roman" w:cs="Times New Roman"/>
          <w:color w:val="000000"/>
          <w:szCs w:val="24"/>
        </w:rPr>
        <w:t>s move will include the removal</w:t>
      </w:r>
      <w:r w:rsidRPr="0063799D">
        <w:rPr>
          <w:rFonts w:eastAsia="Times New Roman" w:cs="Times New Roman"/>
          <w:color w:val="000000"/>
          <w:szCs w:val="24"/>
        </w:rPr>
        <w:t xml:space="preserve"> of the associated burden hours from </w:t>
      </w:r>
      <w:r>
        <w:rPr>
          <w:rFonts w:eastAsia="Times New Roman" w:cs="Times New Roman"/>
          <w:color w:val="000000"/>
          <w:szCs w:val="24"/>
        </w:rPr>
        <w:t>Information Collection 3038-0096</w:t>
      </w:r>
      <w:r w:rsidRPr="0063799D">
        <w:rPr>
          <w:rFonts w:eastAsia="Times New Roman" w:cs="Times New Roman"/>
          <w:color w:val="000000"/>
          <w:szCs w:val="24"/>
        </w:rPr>
        <w:t>.</w:t>
      </w:r>
      <w:r>
        <w:rPr>
          <w:rStyle w:val="FootnoteReference"/>
          <w:rFonts w:eastAsia="Times New Roman" w:cs="Times New Roman"/>
          <w:color w:val="000000"/>
          <w:szCs w:val="24"/>
        </w:rPr>
        <w:footnoteReference w:id="5"/>
      </w:r>
      <w:r w:rsidRPr="0063799D">
        <w:rPr>
          <w:rFonts w:eastAsia="Times New Roman" w:cs="Times New Roman"/>
          <w:color w:val="000000"/>
          <w:szCs w:val="24"/>
        </w:rPr>
        <w:t xml:space="preserve"> The Commission estimates the bur</w:t>
      </w:r>
      <w:r w:rsidR="004D0658">
        <w:rPr>
          <w:rFonts w:eastAsia="Times New Roman" w:cs="Times New Roman"/>
          <w:color w:val="000000"/>
          <w:szCs w:val="24"/>
        </w:rPr>
        <w:t>den to be removed from 3038-0096 at 50</w:t>
      </w:r>
      <w:r w:rsidRPr="0063799D">
        <w:rPr>
          <w:rFonts w:eastAsia="Times New Roman" w:cs="Times New Roman"/>
          <w:color w:val="000000"/>
          <w:szCs w:val="24"/>
        </w:rPr>
        <w:t xml:space="preserve"> hours per </w:t>
      </w:r>
      <w:r w:rsidR="004D0658">
        <w:rPr>
          <w:rFonts w:eastAsia="Times New Roman" w:cs="Times New Roman"/>
          <w:color w:val="000000"/>
          <w:szCs w:val="24"/>
        </w:rPr>
        <w:t>SDR, for a total reduction of 150</w:t>
      </w:r>
      <w:r w:rsidRPr="0063799D">
        <w:rPr>
          <w:rFonts w:eastAsia="Times New Roman" w:cs="Times New Roman"/>
          <w:color w:val="000000"/>
          <w:szCs w:val="24"/>
        </w:rPr>
        <w:t xml:space="preserve"> burden hours annually</w:t>
      </w:r>
      <w:r w:rsidR="004D0658">
        <w:rPr>
          <w:rFonts w:eastAsia="Times New Roman" w:cs="Times New Roman"/>
          <w:color w:val="000000"/>
          <w:szCs w:val="24"/>
        </w:rPr>
        <w:t xml:space="preserve"> (50</w:t>
      </w:r>
      <w:r w:rsidRPr="0063799D">
        <w:rPr>
          <w:rFonts w:eastAsia="Times New Roman" w:cs="Times New Roman"/>
          <w:color w:val="000000"/>
          <w:szCs w:val="24"/>
        </w:rPr>
        <w:t xml:space="preserve"> burden hours per SDR x 3 SDRs).</w:t>
      </w:r>
    </w:p>
    <w:p w14:paraId="1DB4C846" w14:textId="77777777" w:rsidR="004D0658" w:rsidRDefault="004D0658" w:rsidP="004D0658">
      <w:pPr>
        <w:pStyle w:val="ListParagraph"/>
        <w:autoSpaceDE w:val="0"/>
        <w:autoSpaceDN w:val="0"/>
        <w:adjustRightInd w:val="0"/>
        <w:rPr>
          <w:rFonts w:eastAsia="Times New Roman" w:cs="Times New Roman"/>
          <w:color w:val="000000"/>
          <w:szCs w:val="24"/>
        </w:rPr>
      </w:pPr>
    </w:p>
    <w:p w14:paraId="21ECEB42" w14:textId="10FBA2CF" w:rsidR="00034BD0" w:rsidRDefault="00034BD0" w:rsidP="00034BD0">
      <w:pPr>
        <w:pStyle w:val="ListParagraph"/>
        <w:numPr>
          <w:ilvl w:val="0"/>
          <w:numId w:val="3"/>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Section </w:t>
      </w:r>
      <w:r w:rsidRPr="00034BD0">
        <w:rPr>
          <w:rFonts w:eastAsia="Times New Roman" w:cs="Times New Roman"/>
          <w:color w:val="000000"/>
          <w:szCs w:val="24"/>
        </w:rPr>
        <w:t>45.14</w:t>
      </w:r>
      <w:r>
        <w:rPr>
          <w:rFonts w:eastAsia="Times New Roman" w:cs="Times New Roman"/>
          <w:color w:val="000000"/>
          <w:szCs w:val="24"/>
        </w:rPr>
        <w:t xml:space="preserve"> of the Commission’s regulations contains the requirements related to corrections of errors and omissions in swap data. Proposed § 45.14(a) would create a new requirement for reporting counterparties to verify the accuracy and completeness of swap data as part of the Commission’s proposed verification requirements. Proposed § 45.14(a) would require reporting counterparties to conform to the verification policies and procedures created by SDRs pursuant to proposed § 49.11</w:t>
      </w:r>
      <w:r w:rsidR="00B90465">
        <w:rPr>
          <w:rFonts w:eastAsia="Times New Roman" w:cs="Times New Roman"/>
          <w:color w:val="000000"/>
          <w:szCs w:val="24"/>
        </w:rPr>
        <w:t xml:space="preserve">, including receiving and responding </w:t>
      </w:r>
      <w:r w:rsidR="00541DEE">
        <w:rPr>
          <w:rFonts w:eastAsia="Times New Roman" w:cs="Times New Roman"/>
          <w:color w:val="000000"/>
          <w:szCs w:val="24"/>
        </w:rPr>
        <w:t xml:space="preserve">as required </w:t>
      </w:r>
      <w:r w:rsidR="00B90465">
        <w:rPr>
          <w:rFonts w:eastAsia="Times New Roman" w:cs="Times New Roman"/>
          <w:color w:val="000000"/>
          <w:szCs w:val="24"/>
        </w:rPr>
        <w:t>to open swaps reports provided by the SDRs on a weekly or monthly basis, depending on the registration</w:t>
      </w:r>
      <w:r>
        <w:rPr>
          <w:rFonts w:eastAsia="Times New Roman" w:cs="Times New Roman"/>
          <w:color w:val="000000"/>
          <w:szCs w:val="24"/>
        </w:rPr>
        <w:t xml:space="preserve"> </w:t>
      </w:r>
      <w:r w:rsidR="00B90465">
        <w:rPr>
          <w:rFonts w:eastAsia="Times New Roman" w:cs="Times New Roman"/>
          <w:color w:val="000000"/>
          <w:szCs w:val="24"/>
        </w:rPr>
        <w:t>status of the reporting counterparty.</w:t>
      </w:r>
    </w:p>
    <w:p w14:paraId="34FE6B58" w14:textId="77777777" w:rsidR="00B90465" w:rsidRPr="00B90465" w:rsidRDefault="00B90465" w:rsidP="00B90465">
      <w:pPr>
        <w:pStyle w:val="ListParagraph"/>
        <w:rPr>
          <w:rFonts w:eastAsia="Times New Roman" w:cs="Times New Roman"/>
          <w:color w:val="000000"/>
          <w:szCs w:val="24"/>
        </w:rPr>
      </w:pPr>
    </w:p>
    <w:p w14:paraId="0350FCC0" w14:textId="41508DEC" w:rsidR="00B90465" w:rsidRPr="00034BD0" w:rsidRDefault="00736C38" w:rsidP="00034BD0">
      <w:pPr>
        <w:pStyle w:val="ListParagraph"/>
        <w:numPr>
          <w:ilvl w:val="0"/>
          <w:numId w:val="3"/>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Proposed § 45.14(b) would, similar to current § 45.14, require SEFs, DCMs, and reporting counterparties to correct errors and omissions in swap data previously reported to an SDR, or erroneously not reported to an SDR as required, as soon as technologically practicable after the error or omission is discovered. Most of the proposed modifications to the corrections requirements in proposed § 45.14 do not have PRA implications, but the Commission is proposing to add a new requirement for SEFs, DCMs, and reporting counterparties to notify the director of the Commission’s Division of Market Oversight when data errors or omissions cannot be corrected within three business days of discovery. In such case, proposed § 45.14(b) would require the SEF, DCM, or reporting counterparty </w:t>
      </w:r>
      <w:r w:rsidR="004A5230">
        <w:rPr>
          <w:rFonts w:eastAsia="Times New Roman" w:cs="Times New Roman"/>
          <w:color w:val="000000"/>
          <w:szCs w:val="24"/>
        </w:rPr>
        <w:t>to provide the director of the Division of Market Oversight with an initial assessment of the errors and omissions and an initial remediation plan.</w:t>
      </w:r>
    </w:p>
    <w:p w14:paraId="55610D9E" w14:textId="77777777" w:rsidR="00C032F4" w:rsidRPr="00B86819" w:rsidRDefault="00C032F4" w:rsidP="00642B6A">
      <w:pPr>
        <w:autoSpaceDE w:val="0"/>
        <w:autoSpaceDN w:val="0"/>
        <w:adjustRightInd w:val="0"/>
        <w:rPr>
          <w:rFonts w:eastAsia="Times New Roman" w:cs="Times New Roman"/>
          <w:color w:val="000000"/>
          <w:szCs w:val="24"/>
        </w:rPr>
      </w:pPr>
    </w:p>
    <w:p w14:paraId="55610D9F" w14:textId="4F9FEB7E" w:rsidR="00642B6A" w:rsidRPr="00B86819" w:rsidRDefault="00642B6A" w:rsidP="00FE503D">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2C291D">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14:paraId="55610DA0" w14:textId="01254E15" w:rsidR="00642B6A" w:rsidRDefault="00682896" w:rsidP="001577B2">
      <w:pPr>
        <w:rPr>
          <w:rFonts w:eastAsia="Times New Roman" w:cs="Times New Roman"/>
          <w:color w:val="000000"/>
          <w:szCs w:val="24"/>
        </w:rPr>
      </w:pPr>
      <w:r>
        <w:rPr>
          <w:rFonts w:eastAsia="Times New Roman" w:cs="Times New Roman"/>
          <w:color w:val="000000"/>
          <w:szCs w:val="24"/>
        </w:rPr>
        <w:lastRenderedPageBreak/>
        <w:tab/>
        <w:t xml:space="preserve">The Commission uses the data required to be reported under Part 45 of the Commission’s regulations to fulfill its regulatory mandates, including systemic risk mitigation, market monitoring, and market abuse prevention. </w:t>
      </w:r>
      <w:r w:rsidRPr="00682896">
        <w:rPr>
          <w:rFonts w:eastAsia="Times New Roman" w:cs="Times New Roman"/>
          <w:color w:val="000000"/>
          <w:szCs w:val="24"/>
        </w:rPr>
        <w:t xml:space="preserve">Additionally, the data </w:t>
      </w:r>
      <w:r>
        <w:rPr>
          <w:rFonts w:eastAsia="Times New Roman" w:cs="Times New Roman"/>
          <w:color w:val="000000"/>
          <w:szCs w:val="24"/>
        </w:rPr>
        <w:t>may be made</w:t>
      </w:r>
      <w:r w:rsidRPr="00682896">
        <w:rPr>
          <w:rFonts w:eastAsia="Times New Roman" w:cs="Times New Roman"/>
          <w:color w:val="000000"/>
          <w:szCs w:val="24"/>
        </w:rPr>
        <w:t xml:space="preserve"> available to other domestic and foreign regulators, including the Board of Governors of the Federal Reserve System, Office of the Comptroller of the Currency, Federal Deposit Insurance Corporation, Farm Credit Administration and Federal Housing Finance Agency, Financial Stability Oversight Council, Securities and Exchange Commission, Department of Justice, and any other regulator the Commission determines to be appropriate, including foreign financial supervisors, foreign central banks, and foreign ministries.</w:t>
      </w:r>
    </w:p>
    <w:p w14:paraId="36D9C1E4" w14:textId="77777777" w:rsidR="00682896" w:rsidRPr="00B86819" w:rsidRDefault="00682896" w:rsidP="001577B2">
      <w:pPr>
        <w:rPr>
          <w:rFonts w:eastAsia="Times New Roman" w:cs="Times New Roman"/>
          <w:color w:val="000000"/>
          <w:szCs w:val="24"/>
        </w:rPr>
      </w:pPr>
    </w:p>
    <w:p w14:paraId="55610DA1" w14:textId="6ADB906D"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2C291D">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14:paraId="55610DA2" w14:textId="605C24EF" w:rsidR="00642B6A" w:rsidRPr="00642B6A" w:rsidRDefault="00615248" w:rsidP="00615248">
      <w:pPr>
        <w:tabs>
          <w:tab w:val="left" w:pos="-720"/>
          <w:tab w:val="left" w:pos="0"/>
        </w:tabs>
        <w:spacing w:after="240"/>
        <w:rPr>
          <w:rFonts w:eastAsia="Times New Roman" w:cs="Times New Roman"/>
          <w:szCs w:val="24"/>
        </w:rPr>
      </w:pPr>
      <w:r>
        <w:rPr>
          <w:rFonts w:eastAsia="Times New Roman" w:cs="Times New Roman"/>
          <w:szCs w:val="24"/>
        </w:rPr>
        <w:tab/>
      </w:r>
      <w:r w:rsidRPr="00615248">
        <w:rPr>
          <w:rFonts w:eastAsia="Times New Roman" w:cs="Times New Roman"/>
          <w:szCs w:val="24"/>
        </w:rPr>
        <w:t xml:space="preserve">All of the current and proposed information collections within Information Collection </w:t>
      </w:r>
      <w:r>
        <w:rPr>
          <w:rFonts w:eastAsia="Times New Roman" w:cs="Times New Roman"/>
          <w:szCs w:val="24"/>
        </w:rPr>
        <w:t>3038-0096</w:t>
      </w:r>
      <w:r w:rsidRPr="00615248">
        <w:rPr>
          <w:rFonts w:eastAsia="Times New Roman" w:cs="Times New Roman"/>
          <w:szCs w:val="24"/>
        </w:rPr>
        <w:t xml:space="preserve"> involve the use of electronic collection protocols. All required data submissions to the Commission must be electronic.</w:t>
      </w:r>
    </w:p>
    <w:p w14:paraId="55610DA3" w14:textId="052E64EC"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2C291D">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14:paraId="55610DA4" w14:textId="75C9270D" w:rsidR="00642B6A" w:rsidRPr="00642B6A" w:rsidRDefault="00615248" w:rsidP="00615248">
      <w:pPr>
        <w:tabs>
          <w:tab w:val="left" w:pos="-720"/>
        </w:tabs>
        <w:spacing w:after="240"/>
        <w:rPr>
          <w:rFonts w:eastAsia="Times New Roman" w:cs="Times New Roman"/>
          <w:szCs w:val="24"/>
        </w:rPr>
      </w:pPr>
      <w:r>
        <w:rPr>
          <w:rFonts w:eastAsia="Times New Roman" w:cs="Times New Roman"/>
          <w:szCs w:val="24"/>
        </w:rPr>
        <w:tab/>
      </w:r>
      <w:r w:rsidRPr="00615248">
        <w:rPr>
          <w:rFonts w:eastAsia="Times New Roman" w:cs="Times New Roman"/>
          <w:szCs w:val="24"/>
        </w:rPr>
        <w:t xml:space="preserve">The information </w:t>
      </w:r>
      <w:r w:rsidR="002E5A4F">
        <w:rPr>
          <w:rFonts w:eastAsia="Times New Roman" w:cs="Times New Roman"/>
          <w:szCs w:val="24"/>
        </w:rPr>
        <w:t>collected pursuant to P</w:t>
      </w:r>
      <w:r>
        <w:rPr>
          <w:rFonts w:eastAsia="Times New Roman" w:cs="Times New Roman"/>
          <w:szCs w:val="24"/>
        </w:rPr>
        <w:t>art 45</w:t>
      </w:r>
      <w:r w:rsidRPr="00615248">
        <w:rPr>
          <w:rFonts w:eastAsia="Times New Roman" w:cs="Times New Roman"/>
          <w:szCs w:val="24"/>
        </w:rPr>
        <w:t xml:space="preserve"> of the Commission’s regulations is not already collected by the Commission or other regulator for any other purpose and is not publicly available through another source. The swap data is unique and no other similar information is available. There are no other existing regulations that could be modified to serve a similar purpose in any practical way.</w:t>
      </w:r>
    </w:p>
    <w:p w14:paraId="55610DA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55610DA6" w14:textId="7EF5602A" w:rsidR="00642B6A" w:rsidRPr="00642B6A" w:rsidRDefault="00615248" w:rsidP="00615248">
      <w:pPr>
        <w:tabs>
          <w:tab w:val="left" w:pos="-720"/>
        </w:tabs>
        <w:spacing w:after="240"/>
        <w:rPr>
          <w:rFonts w:eastAsia="Times New Roman" w:cs="Times New Roman"/>
          <w:szCs w:val="24"/>
        </w:rPr>
      </w:pPr>
      <w:r>
        <w:rPr>
          <w:rFonts w:eastAsia="Times New Roman" w:cs="Times New Roman"/>
          <w:szCs w:val="24"/>
        </w:rPr>
        <w:tab/>
      </w:r>
      <w:r w:rsidRPr="00615248">
        <w:rPr>
          <w:rFonts w:eastAsia="Times New Roman" w:cs="Times New Roman"/>
          <w:szCs w:val="24"/>
        </w:rPr>
        <w:t>This collection of information would not involve any small business or other small entities. The Commission has previously established that none of the entities that would be affected by this collection are small entities.</w:t>
      </w:r>
    </w:p>
    <w:p w14:paraId="55610DA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55610DA8" w14:textId="329619A2" w:rsidR="00642B6A" w:rsidRPr="00642B6A" w:rsidRDefault="00250179" w:rsidP="00250179">
      <w:pPr>
        <w:tabs>
          <w:tab w:val="left" w:pos="-720"/>
          <w:tab w:val="left" w:pos="0"/>
        </w:tabs>
        <w:spacing w:after="240"/>
        <w:ind w:firstLine="720"/>
        <w:rPr>
          <w:rFonts w:eastAsia="Times New Roman" w:cs="Times New Roman"/>
          <w:color w:val="000000"/>
          <w:szCs w:val="24"/>
        </w:rPr>
      </w:pPr>
      <w:r w:rsidRPr="00250179">
        <w:rPr>
          <w:rFonts w:eastAsia="Times New Roman" w:cs="Times New Roman"/>
          <w:color w:val="000000"/>
          <w:szCs w:val="24"/>
        </w:rPr>
        <w:t>If the information required under this collection of information were not collected or were collected less frequently, enforcement of the CEA and the Commission’s regulations would be severely curtailed. The Commission would be less able</w:t>
      </w:r>
      <w:r>
        <w:rPr>
          <w:rFonts w:eastAsia="Times New Roman" w:cs="Times New Roman"/>
          <w:color w:val="000000"/>
          <w:szCs w:val="24"/>
        </w:rPr>
        <w:t xml:space="preserve"> to oversee the compliance of registered entities</w:t>
      </w:r>
      <w:r w:rsidRPr="00250179">
        <w:rPr>
          <w:rFonts w:eastAsia="Times New Roman" w:cs="Times New Roman"/>
          <w:color w:val="000000"/>
          <w:szCs w:val="24"/>
        </w:rPr>
        <w:t xml:space="preserve"> and would be unable to effectively </w:t>
      </w:r>
      <w:r>
        <w:rPr>
          <w:rFonts w:eastAsia="Times New Roman" w:cs="Times New Roman"/>
          <w:color w:val="000000"/>
          <w:szCs w:val="24"/>
        </w:rPr>
        <w:t>monitor the swaps markets, as was the intention of the Dodd-Frank Act.</w:t>
      </w:r>
      <w:r w:rsidRPr="00250179">
        <w:rPr>
          <w:rFonts w:eastAsia="Times New Roman" w:cs="Times New Roman"/>
          <w:color w:val="000000"/>
          <w:szCs w:val="24"/>
        </w:rPr>
        <w:t xml:space="preserve"> </w:t>
      </w:r>
    </w:p>
    <w:p w14:paraId="55610DA9"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55610DAA"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55610DAB" w14:textId="5783DD11" w:rsidR="00642B6A" w:rsidRDefault="005411BE" w:rsidP="005411BE">
      <w:pPr>
        <w:tabs>
          <w:tab w:val="left" w:pos="-720"/>
        </w:tabs>
        <w:spacing w:after="240"/>
        <w:ind w:firstLine="720"/>
        <w:rPr>
          <w:rFonts w:eastAsia="Times New Roman" w:cs="Times New Roman"/>
          <w:szCs w:val="24"/>
        </w:rPr>
      </w:pPr>
      <w:r>
        <w:rPr>
          <w:rFonts w:eastAsia="Times New Roman" w:cs="Times New Roman"/>
          <w:szCs w:val="24"/>
        </w:rPr>
        <w:t>The proposed amendments to § 45.14(a)</w:t>
      </w:r>
      <w:r w:rsidRPr="005411BE">
        <w:rPr>
          <w:rFonts w:eastAsia="Times New Roman" w:cs="Times New Roman"/>
          <w:szCs w:val="24"/>
        </w:rPr>
        <w:t xml:space="preserve"> would require the associated collections to be conducted on a weekly or monthly basis, depending on the registration status of the reporting counterparty receiving the open swaps reports from the SDRs. This frequency is necessary to help ensure that </w:t>
      </w:r>
      <w:r w:rsidR="00BC2176">
        <w:rPr>
          <w:rFonts w:eastAsia="Times New Roman" w:cs="Times New Roman"/>
          <w:szCs w:val="24"/>
        </w:rPr>
        <w:t xml:space="preserve">the swap </w:t>
      </w:r>
      <w:r w:rsidRPr="005411BE">
        <w:rPr>
          <w:rFonts w:eastAsia="Times New Roman" w:cs="Times New Roman"/>
          <w:szCs w:val="24"/>
        </w:rPr>
        <w:t>data available to t</w:t>
      </w:r>
      <w:r w:rsidR="00BC2176">
        <w:rPr>
          <w:rFonts w:eastAsia="Times New Roman" w:cs="Times New Roman"/>
          <w:szCs w:val="24"/>
        </w:rPr>
        <w:t xml:space="preserve">he Commission is </w:t>
      </w:r>
      <w:r w:rsidRPr="005411BE">
        <w:rPr>
          <w:rFonts w:eastAsia="Times New Roman" w:cs="Times New Roman"/>
          <w:szCs w:val="24"/>
        </w:rPr>
        <w:t>accurate and complete. Less frequent collection could hamper the Commission’s ability to oversee the swaps markets and perform</w:t>
      </w:r>
      <w:r>
        <w:rPr>
          <w:rFonts w:eastAsia="Times New Roman" w:cs="Times New Roman"/>
          <w:szCs w:val="24"/>
        </w:rPr>
        <w:t xml:space="preserve"> its regulatory functions</w:t>
      </w:r>
      <w:r w:rsidRPr="005411BE">
        <w:rPr>
          <w:rFonts w:eastAsia="Times New Roman" w:cs="Times New Roman"/>
          <w:szCs w:val="24"/>
        </w:rPr>
        <w:t>.</w:t>
      </w:r>
    </w:p>
    <w:p w14:paraId="476D3748" w14:textId="77D41EF4" w:rsidR="005411BE" w:rsidRPr="00642B6A" w:rsidRDefault="005411BE" w:rsidP="005411BE">
      <w:pPr>
        <w:tabs>
          <w:tab w:val="left" w:pos="-720"/>
        </w:tabs>
        <w:spacing w:after="240"/>
        <w:ind w:firstLine="720"/>
        <w:rPr>
          <w:rFonts w:eastAsia="Times New Roman" w:cs="Times New Roman"/>
          <w:szCs w:val="24"/>
        </w:rPr>
      </w:pPr>
      <w:r w:rsidRPr="005411BE">
        <w:rPr>
          <w:rFonts w:eastAsia="Times New Roman" w:cs="Times New Roman"/>
          <w:szCs w:val="24"/>
        </w:rPr>
        <w:t xml:space="preserve">The proposed amendments to </w:t>
      </w:r>
      <w:r>
        <w:rPr>
          <w:rFonts w:eastAsia="Times New Roman" w:cs="Times New Roman"/>
          <w:szCs w:val="24"/>
        </w:rPr>
        <w:t>§ 45.14(b</w:t>
      </w:r>
      <w:r w:rsidRPr="005411BE">
        <w:rPr>
          <w:rFonts w:eastAsia="Times New Roman" w:cs="Times New Roman"/>
          <w:szCs w:val="24"/>
        </w:rPr>
        <w:t>) do not specifically require the collection of information more than quarterly, as the required collection is event specific, but the collections could theoretically occur more than quarterly. The Commission, however, believes that the collection will likely occur less than quarterly for each respondent. Based on the Commission’s experience with reporting errors and omissions by SEFs, DCMs, and reporting counterparties, errors and omissions that require more than three business days to correct occur far less often than once a quarter per respondent.</w:t>
      </w:r>
    </w:p>
    <w:p w14:paraId="55610DAC"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5D5FEE8D" w14:textId="66E8770E" w:rsidR="00492597" w:rsidRDefault="003E7084" w:rsidP="003E7084">
      <w:pPr>
        <w:tabs>
          <w:tab w:val="left" w:pos="-720"/>
          <w:tab w:val="left" w:pos="0"/>
          <w:tab w:val="left" w:pos="720"/>
        </w:tabs>
        <w:spacing w:after="240"/>
        <w:ind w:firstLine="720"/>
        <w:rPr>
          <w:rFonts w:eastAsia="Times New Roman" w:cs="Times New Roman"/>
          <w:szCs w:val="24"/>
        </w:rPr>
      </w:pPr>
      <w:r>
        <w:rPr>
          <w:rFonts w:eastAsia="Times New Roman" w:cs="Times New Roman"/>
          <w:szCs w:val="24"/>
        </w:rPr>
        <w:t>The proposed collections related to proposed § 45.14(a) would require information to be provided fewer than 30 days after the triggering event for the collection. This requirement is necessary to ensure that swap data maintained by SDRs is verified in a timely manner, in order for accurate swap data to be available to the Commission in performing its regulatory functions.</w:t>
      </w:r>
    </w:p>
    <w:p w14:paraId="55610DAD" w14:textId="0C817486" w:rsidR="00642B6A" w:rsidRPr="00642B6A" w:rsidRDefault="00492597" w:rsidP="00492597">
      <w:pPr>
        <w:tabs>
          <w:tab w:val="left" w:pos="-720"/>
          <w:tab w:val="left" w:pos="0"/>
          <w:tab w:val="left" w:pos="720"/>
        </w:tabs>
        <w:spacing w:after="240"/>
        <w:ind w:firstLine="720"/>
        <w:rPr>
          <w:rFonts w:eastAsia="Times New Roman" w:cs="Times New Roman"/>
          <w:szCs w:val="24"/>
        </w:rPr>
      </w:pPr>
      <w:r w:rsidRPr="00492597">
        <w:rPr>
          <w:rFonts w:eastAsia="Times New Roman" w:cs="Times New Roman"/>
          <w:szCs w:val="24"/>
        </w:rPr>
        <w:t>The proposed coll</w:t>
      </w:r>
      <w:r>
        <w:rPr>
          <w:rFonts w:eastAsia="Times New Roman" w:cs="Times New Roman"/>
          <w:szCs w:val="24"/>
        </w:rPr>
        <w:t>ections related to proposed § 45.14(b</w:t>
      </w:r>
      <w:r w:rsidRPr="00492597">
        <w:rPr>
          <w:rFonts w:eastAsia="Times New Roman" w:cs="Times New Roman"/>
          <w:szCs w:val="24"/>
        </w:rPr>
        <w:t>) would require information to be provided fewer than 30 days after the triggering event for the collection. This requirement is necessary to ensure that the Commission is aware of potentially large amounts of incorrect or omitted data in order to adjust its regulatory initiatives to compensate and to more efficiently work with SEFs, DCMs, SDRs, and reporting counterparties to have the data corrected as soon as possible.</w:t>
      </w:r>
    </w:p>
    <w:p w14:paraId="55610DAE"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55610DAF" w14:textId="7635FA26" w:rsidR="00642B6A" w:rsidRPr="00642B6A" w:rsidRDefault="00615248" w:rsidP="00D945B5">
      <w:pPr>
        <w:tabs>
          <w:tab w:val="left" w:pos="-720"/>
          <w:tab w:val="left" w:pos="0"/>
          <w:tab w:val="left" w:pos="720"/>
        </w:tabs>
        <w:spacing w:after="240"/>
        <w:jc w:val="both"/>
        <w:rPr>
          <w:rFonts w:eastAsia="Times New Roman" w:cs="Times New Roman"/>
          <w:b/>
          <w:szCs w:val="24"/>
        </w:rPr>
      </w:pPr>
      <w:r>
        <w:rPr>
          <w:rFonts w:eastAsia="Times New Roman" w:cs="Times New Roman"/>
          <w:szCs w:val="24"/>
        </w:rPr>
        <w:tab/>
      </w:r>
      <w:r w:rsidRPr="00615248">
        <w:rPr>
          <w:rFonts w:eastAsia="Times New Roman" w:cs="Times New Roman"/>
          <w:szCs w:val="24"/>
        </w:rPr>
        <w:t>Not applicable, respondents are not required to submit more than an original and two copies of any document.</w:t>
      </w:r>
    </w:p>
    <w:p w14:paraId="55610DB0"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55610DB1" w14:textId="77FEC8C0"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002E5A4F">
        <w:rPr>
          <w:rFonts w:eastAsia="Times New Roman" w:cs="Times New Roman"/>
          <w:szCs w:val="24"/>
        </w:rPr>
        <w:t>The proposed amendments to P</w:t>
      </w:r>
      <w:r w:rsidR="00356DB6">
        <w:rPr>
          <w:rFonts w:eastAsia="Times New Roman" w:cs="Times New Roman"/>
          <w:szCs w:val="24"/>
        </w:rPr>
        <w:t>art 45 would not modify Information Collection 3038-0096 in regard to recordkeeping requirements beyond moving the SDR</w:t>
      </w:r>
      <w:r w:rsidR="002E5A4F">
        <w:rPr>
          <w:rFonts w:eastAsia="Times New Roman" w:cs="Times New Roman"/>
          <w:szCs w:val="24"/>
        </w:rPr>
        <w:t xml:space="preserve"> recordkeeping requirements to P</w:t>
      </w:r>
      <w:r w:rsidR="00356DB6">
        <w:rPr>
          <w:rFonts w:eastAsia="Times New Roman" w:cs="Times New Roman"/>
          <w:szCs w:val="24"/>
        </w:rPr>
        <w:t xml:space="preserve">art 49 – and </w:t>
      </w:r>
      <w:r w:rsidR="001946BF">
        <w:rPr>
          <w:rFonts w:eastAsia="Times New Roman" w:cs="Times New Roman"/>
          <w:szCs w:val="24"/>
        </w:rPr>
        <w:t xml:space="preserve">removing </w:t>
      </w:r>
      <w:r w:rsidR="00356DB6">
        <w:rPr>
          <w:rFonts w:eastAsia="Times New Roman" w:cs="Times New Roman"/>
          <w:szCs w:val="24"/>
        </w:rPr>
        <w:t>the associated burden from Information Collection 3038-0096</w:t>
      </w:r>
      <w:r w:rsidR="001946BF">
        <w:rPr>
          <w:rFonts w:eastAsia="Times New Roman" w:cs="Times New Roman"/>
          <w:szCs w:val="24"/>
        </w:rPr>
        <w:t xml:space="preserve"> </w:t>
      </w:r>
      <w:r w:rsidR="00356DB6">
        <w:rPr>
          <w:rFonts w:eastAsia="Times New Roman" w:cs="Times New Roman"/>
          <w:szCs w:val="24"/>
        </w:rPr>
        <w:t>– as described above. The recordkeeping requirements of § 45.2 and other Commission regulations, including §§ 1.31 and 49.12 would continue to require records of the information required under Information Collection 3038-0096 to be kept for at least five years. Those recordkeeping obligations are discussed in previous filings related to Information Collection 3038-0096 and the information collections for the other Commission regulations.</w:t>
      </w:r>
    </w:p>
    <w:p w14:paraId="55610DB2"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55610DB3" w14:textId="02F61E1E" w:rsidR="00697065" w:rsidRDefault="00615248" w:rsidP="00615248">
      <w:pPr>
        <w:tabs>
          <w:tab w:val="left" w:pos="-720"/>
          <w:tab w:val="left" w:pos="0"/>
          <w:tab w:val="left" w:pos="720"/>
        </w:tabs>
        <w:spacing w:after="240"/>
        <w:contextualSpacing/>
        <w:rPr>
          <w:rFonts w:eastAsia="Times New Roman" w:cs="Times New Roman"/>
        </w:rPr>
      </w:pPr>
      <w:r>
        <w:rPr>
          <w:rFonts w:eastAsia="Times New Roman" w:cs="Times New Roman"/>
        </w:rPr>
        <w:tab/>
      </w:r>
      <w:r w:rsidRPr="00615248">
        <w:rPr>
          <w:rFonts w:eastAsia="Times New Roman" w:cs="Times New Roman"/>
        </w:rPr>
        <w:t>Not applicable, the proposed collection does not involve the use of any statistical data classification.</w:t>
      </w:r>
    </w:p>
    <w:p w14:paraId="36EE0438" w14:textId="77777777" w:rsidR="00615248" w:rsidRPr="00642B6A" w:rsidRDefault="00615248" w:rsidP="00615248">
      <w:pPr>
        <w:tabs>
          <w:tab w:val="left" w:pos="-720"/>
          <w:tab w:val="left" w:pos="0"/>
          <w:tab w:val="left" w:pos="720"/>
        </w:tabs>
        <w:spacing w:after="240"/>
        <w:contextualSpacing/>
        <w:rPr>
          <w:rFonts w:eastAsia="Times New Roman" w:cs="Times New Roman"/>
        </w:rPr>
      </w:pPr>
    </w:p>
    <w:p w14:paraId="55610DB4" w14:textId="77777777" w:rsidR="00642B6A" w:rsidRDefault="00642B6A" w:rsidP="004618A5">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14:paraId="6E6762A9" w14:textId="799C44DE" w:rsidR="00615248" w:rsidRPr="004618A5" w:rsidRDefault="00615248" w:rsidP="00615248">
      <w:pPr>
        <w:tabs>
          <w:tab w:val="left" w:pos="-720"/>
          <w:tab w:val="left" w:pos="0"/>
          <w:tab w:val="left" w:pos="720"/>
        </w:tabs>
        <w:spacing w:after="240"/>
        <w:rPr>
          <w:rFonts w:eastAsia="Times New Roman" w:cs="Times New Roman"/>
          <w:szCs w:val="24"/>
        </w:rPr>
      </w:pPr>
      <w:r>
        <w:rPr>
          <w:rFonts w:eastAsia="Times New Roman" w:cs="Times New Roman"/>
          <w:szCs w:val="24"/>
        </w:rPr>
        <w:tab/>
      </w:r>
      <w:r w:rsidRPr="00615248">
        <w:rPr>
          <w:rFonts w:eastAsia="Times New Roman" w:cs="Times New Roman"/>
          <w:szCs w:val="24"/>
        </w:rPr>
        <w:t>Not applicable, the proposed collection does not involve the use of any statistical data classification.</w:t>
      </w:r>
    </w:p>
    <w:p w14:paraId="55610DB5"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6ED156C0" w14:textId="4EBD59FF" w:rsidR="00615248" w:rsidRPr="00615248" w:rsidRDefault="00615248" w:rsidP="00615248">
      <w:pPr>
        <w:tabs>
          <w:tab w:val="left" w:pos="-720"/>
          <w:tab w:val="left" w:pos="0"/>
          <w:tab w:val="left" w:pos="720"/>
        </w:tabs>
        <w:spacing w:after="240"/>
        <w:rPr>
          <w:rFonts w:eastAsia="Times New Roman" w:cs="Times New Roman"/>
          <w:szCs w:val="24"/>
        </w:rPr>
      </w:pPr>
      <w:r>
        <w:rPr>
          <w:rFonts w:eastAsia="Times New Roman" w:cs="Times New Roman"/>
          <w:szCs w:val="24"/>
        </w:rPr>
        <w:tab/>
      </w:r>
      <w:r w:rsidRPr="00615248">
        <w:rPr>
          <w:rFonts w:eastAsia="Times New Roman" w:cs="Times New Roman"/>
          <w:szCs w:val="24"/>
        </w:rPr>
        <w:t>Not applicable, the proposed collection does not include any pledges of confidentiality that are not supported by authority established in statute or regulation.</w:t>
      </w:r>
    </w:p>
    <w:p w14:paraId="55610DB6"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55610DB7" w14:textId="00BDA927" w:rsidR="00642B6A" w:rsidRPr="00C9497A" w:rsidRDefault="00D97E72" w:rsidP="00D97E72">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w:t>
      </w:r>
      <w:r w:rsidR="00F64BF3">
        <w:rPr>
          <w:rFonts w:eastAsia="Times New Roman" w:cs="Times New Roman"/>
          <w:szCs w:val="24"/>
        </w:rPr>
        <w:t>(6) of the Act as well as in §§</w:t>
      </w:r>
      <w:r>
        <w:rPr>
          <w:rFonts w:eastAsia="Times New Roman" w:cs="Times New Roman"/>
          <w:szCs w:val="24"/>
        </w:rPr>
        <w:t xml:space="preserve"> </w:t>
      </w:r>
      <w:r w:rsidRPr="00AD0896">
        <w:rPr>
          <w:rFonts w:eastAsia="Times New Roman" w:cs="Times New Roman"/>
          <w:szCs w:val="24"/>
        </w:rPr>
        <w:t>49.16, 49.17, and 49.18, and parts 145 and 147 of the Commission’s regulations.</w:t>
      </w:r>
      <w:r>
        <w:rPr>
          <w:rFonts w:eastAsia="Times New Roman" w:cs="Times New Roman"/>
          <w:b/>
          <w:szCs w:val="24"/>
        </w:rPr>
        <w:t xml:space="preserve"> </w:t>
      </w:r>
      <w:r>
        <w:rPr>
          <w:rFonts w:eastAsia="Times New Roman" w:cs="Times New Roman"/>
          <w:szCs w:val="24"/>
        </w:rPr>
        <w:t>Information required to be collected or reported under Information Collection 3038-0096 is generally not made public, though it may be shared wit</w:t>
      </w:r>
      <w:r w:rsidR="002E5A4F">
        <w:rPr>
          <w:rFonts w:eastAsia="Times New Roman" w:cs="Times New Roman"/>
          <w:szCs w:val="24"/>
        </w:rPr>
        <w:t>h other regulators pursuant to P</w:t>
      </w:r>
      <w:r>
        <w:rPr>
          <w:rFonts w:eastAsia="Times New Roman" w:cs="Times New Roman"/>
          <w:szCs w:val="24"/>
        </w:rPr>
        <w:t>art 49 of the Commission’s regulations.</w:t>
      </w:r>
    </w:p>
    <w:p w14:paraId="55610DB8" w14:textId="18CE36B1"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2C291D">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2C291D">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14:paraId="55610DB9" w14:textId="08AEFF16" w:rsidR="00653547" w:rsidRPr="00642B6A" w:rsidRDefault="00B86819" w:rsidP="00D97E72">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 </w:t>
      </w:r>
      <w:r w:rsidR="00615248" w:rsidRPr="00615248">
        <w:rPr>
          <w:rFonts w:eastAsia="Times New Roman" w:cs="Times New Roman"/>
          <w:szCs w:val="24"/>
        </w:rPr>
        <w:t>The Commission seeks public comment on any aspect of the proposed amendments to this collection of information in the proposing release for this proposed rulemaking</w:t>
      </w:r>
      <w:r w:rsidR="0004355F">
        <w:rPr>
          <w:rFonts w:eastAsia="Times New Roman" w:cs="Times New Roman"/>
          <w:szCs w:val="24"/>
        </w:rPr>
        <w:t xml:space="preserve"> dated _____, 2019 beginning on page _____</w:t>
      </w:r>
      <w:r w:rsidR="00615248" w:rsidRPr="00615248">
        <w:rPr>
          <w:rFonts w:eastAsia="Times New Roman" w:cs="Times New Roman"/>
          <w:szCs w:val="24"/>
        </w:rPr>
        <w:t>.</w:t>
      </w:r>
    </w:p>
    <w:p w14:paraId="55610DBA"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55610DBB" w14:textId="4AFDC80C" w:rsidR="0027708A" w:rsidRDefault="00615248" w:rsidP="00615248">
      <w:pPr>
        <w:tabs>
          <w:tab w:val="left" w:pos="-720"/>
        </w:tabs>
        <w:spacing w:after="240"/>
        <w:rPr>
          <w:rFonts w:eastAsia="Times New Roman" w:cs="Times New Roman"/>
          <w:szCs w:val="24"/>
        </w:rPr>
      </w:pPr>
      <w:r>
        <w:rPr>
          <w:rFonts w:eastAsia="Times New Roman" w:cs="Times New Roman"/>
          <w:szCs w:val="24"/>
        </w:rPr>
        <w:tab/>
      </w:r>
      <w:r w:rsidRPr="00615248">
        <w:rPr>
          <w:rFonts w:eastAsia="Times New Roman" w:cs="Times New Roman"/>
          <w:szCs w:val="24"/>
        </w:rPr>
        <w:t>Not applicable, no payment or gift will be provided to respondents.</w:t>
      </w:r>
      <w:r w:rsidRPr="00615248">
        <w:rPr>
          <w:rFonts w:eastAsia="Times New Roman" w:cs="Times New Roman"/>
          <w:szCs w:val="24"/>
        </w:rPr>
        <w:tab/>
      </w:r>
    </w:p>
    <w:p w14:paraId="55610DBC"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55610DBD" w14:textId="5CBCFD1C" w:rsidR="00D945B5" w:rsidRPr="00D97E72" w:rsidRDefault="00D97E72" w:rsidP="00D97E72">
      <w:pPr>
        <w:tabs>
          <w:tab w:val="left" w:pos="-720"/>
        </w:tabs>
        <w:spacing w:after="240"/>
        <w:ind w:firstLine="720"/>
        <w:rPr>
          <w:rFonts w:eastAsia="Times New Roman" w:cs="Times New Roman"/>
          <w:szCs w:val="24"/>
        </w:rPr>
      </w:pPr>
      <w:r w:rsidRPr="00D97E72">
        <w:rPr>
          <w:rFonts w:eastAsia="Times New Roman" w:cs="Times New Roman"/>
          <w:szCs w:val="24"/>
        </w:rPr>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43.4, 49.16, 49.17, and 49.18, and parts 145 and 147 of the Commission’s regulations. Information required to be collected or reported under Information Collection 3038-0096 is generally not made public, though it may be shared wit</w:t>
      </w:r>
      <w:r w:rsidR="002E5A4F">
        <w:rPr>
          <w:rFonts w:eastAsia="Times New Roman" w:cs="Times New Roman"/>
          <w:szCs w:val="24"/>
        </w:rPr>
        <w:t>h other regulators pursuant to P</w:t>
      </w:r>
      <w:r w:rsidRPr="00D97E72">
        <w:rPr>
          <w:rFonts w:eastAsia="Times New Roman" w:cs="Times New Roman"/>
          <w:szCs w:val="24"/>
        </w:rPr>
        <w:t>art 49 of the Commission’s regulations.</w:t>
      </w:r>
    </w:p>
    <w:p w14:paraId="55610DBE" w14:textId="4BB829B3"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2C291D">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747838C" w14:textId="37FAEF6A" w:rsidR="00615248" w:rsidRPr="00615248" w:rsidRDefault="00615248" w:rsidP="00615248">
      <w:pPr>
        <w:tabs>
          <w:tab w:val="left" w:pos="-720"/>
        </w:tabs>
        <w:suppressAutoHyphens/>
        <w:rPr>
          <w:rFonts w:eastAsia="Times New Roman" w:cs="Times New Roman"/>
          <w:szCs w:val="24"/>
        </w:rPr>
      </w:pPr>
      <w:r>
        <w:rPr>
          <w:rFonts w:eastAsia="Times New Roman" w:cs="Times New Roman"/>
          <w:szCs w:val="24"/>
        </w:rPr>
        <w:tab/>
      </w:r>
      <w:r w:rsidRPr="00615248">
        <w:rPr>
          <w:rFonts w:eastAsia="Times New Roman" w:cs="Times New Roman"/>
          <w:szCs w:val="24"/>
        </w:rPr>
        <w:t>Not applicable, the collection does not involve any questions of a sensitive nature, as the term is used in this question.</w:t>
      </w:r>
    </w:p>
    <w:p w14:paraId="73FB35B0" w14:textId="77777777" w:rsidR="00615248" w:rsidRPr="00642B6A" w:rsidRDefault="00615248" w:rsidP="00615248">
      <w:pPr>
        <w:tabs>
          <w:tab w:val="left" w:pos="-720"/>
        </w:tabs>
        <w:suppressAutoHyphens/>
        <w:rPr>
          <w:rFonts w:eastAsia="Times New Roman" w:cs="Times New Roman"/>
          <w:szCs w:val="24"/>
        </w:rPr>
      </w:pPr>
    </w:p>
    <w:p w14:paraId="55610DC0" w14:textId="283B0ADF" w:rsidR="00642B6A" w:rsidRPr="00642B6A" w:rsidRDefault="00642B6A" w:rsidP="00505251">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2C291D">
        <w:rPr>
          <w:rFonts w:eastAsia="Times New Roman" w:cs="Times New Roman"/>
          <w:b/>
          <w:szCs w:val="24"/>
        </w:rPr>
        <w:t xml:space="preserve">the collection of information. </w:t>
      </w:r>
      <w:r w:rsidRPr="00642B6A">
        <w:rPr>
          <w:rFonts w:eastAsia="Times New Roman" w:cs="Times New Roman"/>
          <w:b/>
          <w:szCs w:val="24"/>
        </w:rPr>
        <w:t>The Statement should:</w:t>
      </w:r>
    </w:p>
    <w:p w14:paraId="55610DC1" w14:textId="1EF7D0A2"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2C291D">
        <w:rPr>
          <w:rFonts w:eastAsia="Times New Roman" w:cs="Times New Roman"/>
          <w:b/>
          <w:szCs w:val="24"/>
        </w:rPr>
        <w:t xml:space="preserve"> how the burden was estimated. </w:t>
      </w:r>
      <w:r w:rsidRPr="00642B6A">
        <w:rPr>
          <w:rFonts w:eastAsia="Times New Roman" w:cs="Times New Roman"/>
          <w:b/>
          <w:szCs w:val="24"/>
        </w:rPr>
        <w:t xml:space="preserve">Unless directed to do so, agencies should not conduct special surveys to obtain information on which </w:t>
      </w:r>
      <w:r w:rsidR="002C291D">
        <w:rPr>
          <w:rFonts w:eastAsia="Times New Roman" w:cs="Times New Roman"/>
          <w:b/>
          <w:szCs w:val="24"/>
        </w:rPr>
        <w:t xml:space="preserve">to base hour burden estimates. </w:t>
      </w:r>
      <w:r w:rsidRPr="00642B6A">
        <w:rPr>
          <w:rFonts w:eastAsia="Times New Roman" w:cs="Times New Roman"/>
          <w:b/>
          <w:szCs w:val="24"/>
        </w:rPr>
        <w:t>Consultation with a sample (fewer than ten) of poten</w:t>
      </w:r>
      <w:r w:rsidR="002C291D">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2C291D">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14:paraId="55610DC2"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55610DC3" w14:textId="7756D2BE"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2C291D">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2C291D">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14:paraId="3D5D9354" w14:textId="77777777" w:rsidR="00615248" w:rsidRPr="00615248" w:rsidRDefault="00615248" w:rsidP="00615248">
      <w:pPr>
        <w:ind w:firstLine="720"/>
        <w:rPr>
          <w:rFonts w:eastAsia="Times New Roman" w:cs="Times New Roman"/>
          <w:color w:val="000000"/>
          <w:szCs w:val="24"/>
        </w:rPr>
      </w:pPr>
      <w:r w:rsidRPr="00615248">
        <w:rPr>
          <w:rFonts w:eastAsia="Times New Roman" w:cs="Times New Roman"/>
          <w:color w:val="000000"/>
          <w:szCs w:val="24"/>
        </w:rPr>
        <w:t>Please see attachment A for the estimated hour burden for the proposed collections of information discussed in this supporting statement.</w:t>
      </w:r>
    </w:p>
    <w:p w14:paraId="49E9D40F" w14:textId="77777777" w:rsidR="00615248" w:rsidRPr="00615248" w:rsidRDefault="00615248" w:rsidP="00615248">
      <w:pPr>
        <w:rPr>
          <w:rFonts w:eastAsia="Times New Roman" w:cs="Times New Roman"/>
          <w:color w:val="000000"/>
          <w:szCs w:val="24"/>
        </w:rPr>
      </w:pPr>
    </w:p>
    <w:p w14:paraId="55610DC4" w14:textId="0A4ABECB" w:rsidR="00642B6A" w:rsidRPr="00642B6A" w:rsidRDefault="00615248" w:rsidP="00615248">
      <w:pPr>
        <w:ind w:firstLine="720"/>
        <w:rPr>
          <w:rFonts w:eastAsia="Times New Roman" w:cs="Times New Roman"/>
          <w:color w:val="000000"/>
          <w:szCs w:val="24"/>
        </w:rPr>
      </w:pPr>
      <w:r w:rsidRPr="00615248">
        <w:rPr>
          <w:rFonts w:eastAsia="Times New Roman" w:cs="Times New Roman"/>
          <w:color w:val="000000"/>
          <w:szCs w:val="24"/>
        </w:rPr>
        <w:t xml:space="preserve">In calculating this cost estimate,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Employment and Wages Report (May 2018) 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w:t>
      </w:r>
      <w:r w:rsidR="002C291D">
        <w:rPr>
          <w:rFonts w:eastAsia="Times New Roman" w:cs="Times New Roman"/>
          <w:color w:val="000000"/>
          <w:szCs w:val="24"/>
        </w:rPr>
        <w:t>the collection of information.</w:t>
      </w:r>
    </w:p>
    <w:p w14:paraId="55610DC5" w14:textId="77777777" w:rsidR="00642B6A" w:rsidRPr="00642B6A" w:rsidRDefault="00642B6A" w:rsidP="00642B6A">
      <w:pPr>
        <w:ind w:firstLine="720"/>
        <w:rPr>
          <w:rFonts w:eastAsia="Times New Roman" w:cs="Times New Roman"/>
          <w:color w:val="000000"/>
          <w:szCs w:val="24"/>
        </w:rPr>
      </w:pPr>
    </w:p>
    <w:p w14:paraId="55610DC6" w14:textId="670F3934"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sidR="002C291D">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14:paraId="55610DC7" w14:textId="55992D9B"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w:t>
      </w:r>
      <w:r w:rsidR="002C291D">
        <w:rPr>
          <w:rFonts w:eastAsia="Times New Roman" w:cs="Times New Roman"/>
          <w:b/>
          <w:szCs w:val="24"/>
        </w:rPr>
        <w:t xml:space="preserve">urchase of services component. </w:t>
      </w:r>
      <w:r w:rsidRPr="00642B6A">
        <w:rPr>
          <w:rFonts w:eastAsia="Times New Roman" w:cs="Times New Roman"/>
          <w:b/>
          <w:szCs w:val="24"/>
        </w:rPr>
        <w:t>The estimates should take into account costs associated with generating, maintaining, and disclosing</w:t>
      </w:r>
      <w:r w:rsidR="002C291D">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sidR="002C291D">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14:paraId="55610DC8" w14:textId="308C1D83"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2C291D">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5610DC9"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5610DCA" w14:textId="77777777" w:rsidR="00642B6A" w:rsidRDefault="009B1E93" w:rsidP="00FE503D">
      <w:pPr>
        <w:ind w:firstLine="720"/>
        <w:jc w:val="both"/>
        <w:rPr>
          <w:rFonts w:eastAsia="Times New Roman" w:cs="Times New Roman"/>
          <w:color w:val="000000"/>
          <w:szCs w:val="24"/>
        </w:rPr>
      </w:pPr>
      <w:r w:rsidRPr="009B1E93">
        <w:t xml:space="preserve"> </w:t>
      </w:r>
    </w:p>
    <w:p w14:paraId="4F30E4E1" w14:textId="77777777" w:rsidR="00D97E72" w:rsidRPr="00D97E72" w:rsidRDefault="00D97E72" w:rsidP="00D97E72">
      <w:pPr>
        <w:ind w:firstLine="720"/>
        <w:rPr>
          <w:rFonts w:eastAsia="Times New Roman" w:cs="Times New Roman"/>
          <w:color w:val="000000"/>
          <w:szCs w:val="24"/>
        </w:rPr>
      </w:pPr>
      <w:r w:rsidRPr="00D97E72">
        <w:rPr>
          <w:rFonts w:eastAsia="Times New Roman" w:cs="Times New Roman"/>
          <w:color w:val="000000"/>
          <w:szCs w:val="24"/>
        </w:rPr>
        <w:t>In calculating this cost estimate,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Employment and Wages Report (May 2018)</w:t>
      </w:r>
      <w:r w:rsidRPr="00D97E72">
        <w:rPr>
          <w:rFonts w:eastAsia="Times New Roman" w:cs="Times New Roman"/>
          <w:color w:val="000000"/>
          <w:szCs w:val="24"/>
          <w:vertAlign w:val="superscript"/>
        </w:rPr>
        <w:t xml:space="preserve"> </w:t>
      </w:r>
      <w:r w:rsidRPr="00D97E72">
        <w:rPr>
          <w:rFonts w:eastAsia="Times New Roman" w:cs="Times New Roman"/>
          <w:color w:val="000000"/>
          <w:szCs w:val="24"/>
          <w:vertAlign w:val="superscript"/>
        </w:rPr>
        <w:footnoteReference w:id="6"/>
      </w:r>
      <w:r w:rsidRPr="00D97E72">
        <w:rPr>
          <w:rFonts w:eastAsia="Times New Roman" w:cs="Times New Roman"/>
          <w:color w:val="000000"/>
          <w:szCs w:val="24"/>
        </w:rPr>
        <w:t xml:space="preserve"> 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 The Commission believes that costs discussed in the response to this question will largely arise from the need for SDRs to use staff resources to update and maintain their operations and therefore the wage rate is the proper method to estimate the costs.</w:t>
      </w:r>
    </w:p>
    <w:p w14:paraId="20426BD9" w14:textId="77777777" w:rsidR="00FF2A3A" w:rsidRDefault="00FF2A3A" w:rsidP="00D97E72">
      <w:pPr>
        <w:ind w:firstLine="720"/>
        <w:rPr>
          <w:rFonts w:eastAsia="Times New Roman" w:cs="Times New Roman"/>
          <w:color w:val="000000"/>
          <w:szCs w:val="24"/>
        </w:rPr>
      </w:pPr>
    </w:p>
    <w:p w14:paraId="21C969C7" w14:textId="01781704" w:rsidR="00D97E72" w:rsidRPr="00D56A90" w:rsidRDefault="00F80736" w:rsidP="00041C91">
      <w:pPr>
        <w:ind w:firstLine="720"/>
        <w:rPr>
          <w:rFonts w:eastAsia="Times New Roman" w:cs="Times New Roman"/>
          <w:color w:val="000000"/>
          <w:szCs w:val="24"/>
        </w:rPr>
      </w:pPr>
      <w:r w:rsidRPr="00D56A90">
        <w:rPr>
          <w:rFonts w:eastAsia="Times New Roman" w:cs="Times New Roman"/>
          <w:color w:val="000000"/>
          <w:szCs w:val="24"/>
        </w:rPr>
        <w:t xml:space="preserve">Proposed § </w:t>
      </w:r>
      <w:r w:rsidR="00D97E72" w:rsidRPr="00D56A90">
        <w:rPr>
          <w:rFonts w:eastAsia="Times New Roman" w:cs="Times New Roman"/>
          <w:color w:val="000000"/>
          <w:szCs w:val="24"/>
        </w:rPr>
        <w:t>45.14</w:t>
      </w:r>
      <w:r w:rsidRPr="00D56A90">
        <w:rPr>
          <w:rFonts w:eastAsia="Times New Roman" w:cs="Times New Roman"/>
          <w:color w:val="000000"/>
          <w:szCs w:val="24"/>
        </w:rPr>
        <w:t xml:space="preserve">(a) would create costs for reporting counterparties </w:t>
      </w:r>
      <w:r w:rsidR="00942E2B" w:rsidRPr="00D56A90">
        <w:rPr>
          <w:rFonts w:eastAsia="Times New Roman" w:cs="Times New Roman"/>
          <w:color w:val="000000"/>
          <w:szCs w:val="24"/>
        </w:rPr>
        <w:t xml:space="preserve">relate to the need to build or update their systems in order to perform their verification responsibilities. In addition to the costs discussed under the response to Question 12 above and in Attachment A, the Commission estimates that reporting counterparties would each need 100 hours to build or update their systems, for a cost of $7,223.00 per reporting counterparty </w:t>
      </w:r>
      <w:r w:rsidRPr="00D56A90">
        <w:rPr>
          <w:rFonts w:eastAsia="Times New Roman" w:cs="Times New Roman"/>
          <w:color w:val="000000"/>
          <w:szCs w:val="24"/>
        </w:rPr>
        <w:t>(</w:t>
      </w:r>
      <w:r w:rsidR="00942E2B" w:rsidRPr="00D56A90">
        <w:rPr>
          <w:rFonts w:eastAsia="Times New Roman" w:cs="Times New Roman"/>
          <w:color w:val="000000"/>
          <w:szCs w:val="24"/>
        </w:rPr>
        <w:t xml:space="preserve">100 hours x $72.23/hour) and a total </w:t>
      </w:r>
      <w:r w:rsidR="004F0500" w:rsidRPr="00D56A90">
        <w:rPr>
          <w:rFonts w:eastAsia="Times New Roman" w:cs="Times New Roman"/>
          <w:color w:val="000000"/>
          <w:szCs w:val="24"/>
        </w:rPr>
        <w:t xml:space="preserve">additional </w:t>
      </w:r>
      <w:r w:rsidR="00942E2B" w:rsidRPr="00D56A90">
        <w:rPr>
          <w:rFonts w:eastAsia="Times New Roman" w:cs="Times New Roman"/>
          <w:color w:val="000000"/>
          <w:szCs w:val="24"/>
        </w:rPr>
        <w:t xml:space="preserve">cost </w:t>
      </w:r>
      <w:r w:rsidR="004F0500" w:rsidRPr="00D56A90">
        <w:rPr>
          <w:rFonts w:eastAsia="Times New Roman" w:cs="Times New Roman"/>
          <w:color w:val="000000"/>
          <w:szCs w:val="24"/>
        </w:rPr>
        <w:t>across</w:t>
      </w:r>
      <w:r w:rsidR="00942E2B" w:rsidRPr="00D56A90">
        <w:rPr>
          <w:rFonts w:eastAsia="Times New Roman" w:cs="Times New Roman"/>
          <w:color w:val="000000"/>
          <w:szCs w:val="24"/>
        </w:rPr>
        <w:t xml:space="preserve"> all </w:t>
      </w:r>
      <w:r w:rsidR="00877032">
        <w:rPr>
          <w:rFonts w:eastAsia="Times New Roman" w:cs="Times New Roman"/>
          <w:color w:val="000000"/>
          <w:szCs w:val="24"/>
        </w:rPr>
        <w:t xml:space="preserve">1,702 </w:t>
      </w:r>
      <w:r w:rsidR="00942E2B" w:rsidRPr="00D56A90">
        <w:rPr>
          <w:rFonts w:eastAsia="Times New Roman" w:cs="Times New Roman"/>
          <w:color w:val="000000"/>
          <w:szCs w:val="24"/>
        </w:rPr>
        <w:t xml:space="preserve">reporting counterparties of $12,293,546.00. The Commission also estimates that reporting counterparties would each need 10 hours per year to maintain their verification systems, at a cost of $722.30 per reporting counterparty (10 hours x $72.23/hour) for a total additional maintenance cost </w:t>
      </w:r>
      <w:r w:rsidR="004F0500" w:rsidRPr="00D56A90">
        <w:rPr>
          <w:rFonts w:eastAsia="Times New Roman" w:cs="Times New Roman"/>
          <w:color w:val="000000"/>
          <w:szCs w:val="24"/>
        </w:rPr>
        <w:t>across</w:t>
      </w:r>
      <w:r w:rsidR="00942E2B" w:rsidRPr="00D56A90">
        <w:rPr>
          <w:rFonts w:eastAsia="Times New Roman" w:cs="Times New Roman"/>
          <w:color w:val="000000"/>
          <w:szCs w:val="24"/>
        </w:rPr>
        <w:t xml:space="preserve"> all </w:t>
      </w:r>
      <w:r w:rsidR="004F0500" w:rsidRPr="00D56A90">
        <w:rPr>
          <w:rFonts w:eastAsia="Times New Roman" w:cs="Times New Roman"/>
          <w:color w:val="000000"/>
          <w:szCs w:val="24"/>
        </w:rPr>
        <w:t xml:space="preserve">reporting </w:t>
      </w:r>
      <w:r w:rsidR="00942E2B" w:rsidRPr="00D56A90">
        <w:rPr>
          <w:rFonts w:eastAsia="Times New Roman" w:cs="Times New Roman"/>
          <w:color w:val="000000"/>
          <w:szCs w:val="24"/>
        </w:rPr>
        <w:t xml:space="preserve">counterparties </w:t>
      </w:r>
      <w:r w:rsidR="004F0500" w:rsidRPr="00D56A90">
        <w:rPr>
          <w:rFonts w:eastAsia="Times New Roman" w:cs="Times New Roman"/>
          <w:color w:val="000000"/>
          <w:szCs w:val="24"/>
        </w:rPr>
        <w:t>of $1,229,354.60 per year.</w:t>
      </w:r>
    </w:p>
    <w:p w14:paraId="3B8741A5" w14:textId="77777777" w:rsidR="00D97E72" w:rsidRPr="00642B6A" w:rsidRDefault="00D97E72" w:rsidP="00BF5C1A">
      <w:pPr>
        <w:rPr>
          <w:rFonts w:eastAsia="Times New Roman" w:cs="Times New Roman"/>
          <w:color w:val="000000"/>
          <w:szCs w:val="24"/>
        </w:rPr>
      </w:pPr>
    </w:p>
    <w:p w14:paraId="55610DCC" w14:textId="36F32FDC"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2C291D">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2C291D">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2C291D">
        <w:rPr>
          <w:rFonts w:eastAsia="Times New Roman" w:cs="Times New Roman"/>
          <w:b/>
          <w:szCs w:val="24"/>
        </w:rPr>
        <w:t xml:space="preserve"> 13, and 14 in a single table.</w:t>
      </w:r>
    </w:p>
    <w:p w14:paraId="55610DCD" w14:textId="571326AA" w:rsidR="00642B6A" w:rsidRPr="00642B6A" w:rsidRDefault="00A70480" w:rsidP="00A70480">
      <w:pPr>
        <w:tabs>
          <w:tab w:val="left" w:pos="-720"/>
        </w:tabs>
        <w:spacing w:after="240"/>
        <w:rPr>
          <w:rFonts w:eastAsia="Times New Roman" w:cs="Times New Roman"/>
          <w:szCs w:val="24"/>
        </w:rPr>
      </w:pPr>
      <w:r>
        <w:rPr>
          <w:rFonts w:eastAsia="Times New Roman" w:cs="Times New Roman"/>
          <w:szCs w:val="24"/>
        </w:rPr>
        <w:tab/>
      </w:r>
      <w:r w:rsidR="00D97E72" w:rsidRPr="00D97E72">
        <w:rPr>
          <w:rFonts w:eastAsia="Times New Roman" w:cs="Times New Roman"/>
          <w:szCs w:val="24"/>
        </w:rPr>
        <w:t>The Commission does not anticipate that the proposed changes will require additional staff time or technology resources beyond what is already dedicated to this collection, as discussed in previous filings related to Information C</w:t>
      </w:r>
      <w:r w:rsidR="00D97E72">
        <w:rPr>
          <w:rFonts w:eastAsia="Times New Roman" w:cs="Times New Roman"/>
          <w:szCs w:val="24"/>
        </w:rPr>
        <w:t>ollection 3038-0096</w:t>
      </w:r>
      <w:r w:rsidR="00D97E72" w:rsidRPr="00D97E72">
        <w:rPr>
          <w:rFonts w:eastAsia="Times New Roman" w:cs="Times New Roman"/>
          <w:szCs w:val="24"/>
        </w:rPr>
        <w:t>.</w:t>
      </w:r>
    </w:p>
    <w:p w14:paraId="55610DCE"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55610DCF" w14:textId="66BEB887" w:rsidR="00642B6A" w:rsidRPr="00A70480" w:rsidRDefault="00A70480" w:rsidP="00A70480">
      <w:pPr>
        <w:tabs>
          <w:tab w:val="left" w:pos="-720"/>
        </w:tabs>
        <w:spacing w:after="240"/>
        <w:ind w:firstLine="720"/>
        <w:rPr>
          <w:rFonts w:eastAsia="Times New Roman" w:cs="Times New Roman"/>
          <w:szCs w:val="24"/>
        </w:rPr>
      </w:pPr>
      <w:r w:rsidRPr="00A70480">
        <w:t>As discussed above, the Commission is</w:t>
      </w:r>
      <w:r w:rsidR="002E5A4F">
        <w:t xml:space="preserve"> proposing amendments to P</w:t>
      </w:r>
      <w:r>
        <w:t>art 45</w:t>
      </w:r>
      <w:r w:rsidRPr="00A70480">
        <w:t xml:space="preserve"> of the Commission</w:t>
      </w:r>
      <w:r>
        <w:t>’s</w:t>
      </w:r>
      <w:r w:rsidRPr="00A70480">
        <w:t xml:space="preserve"> regulations in order to improve the quality of swap data available</w:t>
      </w:r>
      <w:r>
        <w:t xml:space="preserve"> to the Commission</w:t>
      </w:r>
      <w:r w:rsidRPr="00A70480">
        <w:t xml:space="preserve"> as well as to streamline regulatory requirements governing data reporting. This supporting statement discusses adjustments to burden hours calculations for </w:t>
      </w:r>
      <w:r>
        <w:t>Information Collection 3038-0096</w:t>
      </w:r>
      <w:r w:rsidRPr="00A70480">
        <w:t xml:space="preserve"> to account for modified and new burdens associated with the proposed changes to the regulation. The Commission is also updating the overall burden hours, collection volumes, and costs related to </w:t>
      </w:r>
      <w:r>
        <w:t>Information Collection 3038-0096</w:t>
      </w:r>
      <w:r w:rsidRPr="00A70480">
        <w:t xml:space="preserve">, based on updated information related to other collections within </w:t>
      </w:r>
      <w:r>
        <w:t>Information Collection 3038-0096</w:t>
      </w:r>
      <w:r w:rsidRPr="00A70480">
        <w:t xml:space="preserve"> that are not being modified by this proposal. For example, the Commission is updating the estimated numbers of each type of entity affected by this collection to accurately reflect the current number of each type of entity. This</w:t>
      </w:r>
      <w:r>
        <w:t xml:space="preserve"> includes 24 SEFs (previously 40</w:t>
      </w:r>
      <w:r w:rsidRPr="00A70480">
        <w:t>), 3 DCMs that allow execution of swaps (prev</w:t>
      </w:r>
      <w:r>
        <w:t>iously 18), 3 SDRs (previously 4</w:t>
      </w:r>
      <w:r w:rsidRPr="00A70480">
        <w:t xml:space="preserve">), </w:t>
      </w:r>
      <w:r w:rsidR="001D493A">
        <w:t xml:space="preserve">14 DCOs (previously 12), </w:t>
      </w:r>
      <w:r w:rsidRPr="00A70480">
        <w:t>103 SDs/MSPs (previously 125), and 1585 non-SD/non-MSP reportin</w:t>
      </w:r>
      <w:r>
        <w:t>g counterparties (previously 325</w:t>
      </w:r>
      <w:r w:rsidRPr="00A70480">
        <w:t>).</w:t>
      </w:r>
    </w:p>
    <w:p w14:paraId="55610DD0" w14:textId="04EE3BBE"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2C291D">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14:paraId="55610DD1" w14:textId="110FA7D6" w:rsidR="00642B6A" w:rsidRPr="00642B6A" w:rsidRDefault="00192A3B" w:rsidP="00642B6A">
      <w:pPr>
        <w:tabs>
          <w:tab w:val="left" w:pos="-720"/>
        </w:tabs>
        <w:spacing w:after="240"/>
        <w:rPr>
          <w:rFonts w:eastAsia="Times New Roman" w:cs="Times New Roman"/>
          <w:szCs w:val="24"/>
        </w:rPr>
      </w:pPr>
      <w:r>
        <w:rPr>
          <w:rFonts w:eastAsia="Times New Roman" w:cs="Times New Roman"/>
          <w:szCs w:val="24"/>
        </w:rPr>
        <w:tab/>
      </w:r>
      <w:r w:rsidRPr="00192A3B">
        <w:rPr>
          <w:rFonts w:eastAsia="Times New Roman" w:cs="Times New Roman"/>
          <w:szCs w:val="24"/>
        </w:rPr>
        <w:t>Not applicable, the results of this collection of information are not planned to be published for statistical use.</w:t>
      </w:r>
    </w:p>
    <w:p w14:paraId="55610DD2"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55610DD3" w14:textId="044FD12D" w:rsidR="00642B6A" w:rsidRPr="00642B6A" w:rsidRDefault="00192A3B" w:rsidP="00642B6A">
      <w:pPr>
        <w:tabs>
          <w:tab w:val="left" w:pos="-720"/>
        </w:tabs>
        <w:spacing w:after="240"/>
        <w:rPr>
          <w:rFonts w:eastAsia="Times New Roman" w:cs="Times New Roman"/>
          <w:szCs w:val="24"/>
        </w:rPr>
      </w:pPr>
      <w:r w:rsidRPr="00192A3B">
        <w:rPr>
          <w:rFonts w:eastAsia="Times New Roman" w:cs="Times New Roman"/>
          <w:szCs w:val="24"/>
        </w:rPr>
        <w:tab/>
        <w:t>Not applicable, the Commission is not seeking such approval for this publication.</w:t>
      </w:r>
    </w:p>
    <w:p w14:paraId="55610DD4"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55610DD5" w14:textId="0507A9C1" w:rsidR="009D00FB" w:rsidRDefault="00192A3B" w:rsidP="009D00FB">
      <w:pPr>
        <w:tabs>
          <w:tab w:val="left" w:pos="-720"/>
        </w:tabs>
        <w:spacing w:after="240"/>
        <w:rPr>
          <w:rFonts w:eastAsia="Times New Roman" w:cs="Times New Roman"/>
          <w:szCs w:val="24"/>
        </w:rPr>
      </w:pPr>
      <w:r>
        <w:rPr>
          <w:rFonts w:eastAsia="Times New Roman" w:cs="Times New Roman"/>
          <w:szCs w:val="24"/>
        </w:rPr>
        <w:tab/>
      </w:r>
      <w:r w:rsidRPr="00192A3B">
        <w:rPr>
          <w:rFonts w:eastAsia="Times New Roman" w:cs="Times New Roman"/>
          <w:szCs w:val="24"/>
        </w:rPr>
        <w:t>Not applicable, there are no exceptions.</w:t>
      </w:r>
    </w:p>
    <w:p w14:paraId="55610DD6" w14:textId="77777777" w:rsidR="00B74CE1" w:rsidRDefault="00B74CE1">
      <w:pPr>
        <w:spacing w:after="200" w:line="276" w:lineRule="auto"/>
        <w:rPr>
          <w:rFonts w:eastAsia="Times New Roman" w:cs="Times New Roman"/>
          <w:szCs w:val="24"/>
        </w:rPr>
      </w:pPr>
      <w:r>
        <w:rPr>
          <w:rFonts w:eastAsia="Times New Roman" w:cs="Times New Roman"/>
          <w:szCs w:val="24"/>
        </w:rPr>
        <w:br w:type="page"/>
      </w:r>
    </w:p>
    <w:p w14:paraId="55610DD7" w14:textId="77777777" w:rsidR="009D00FB" w:rsidRDefault="009D00FB">
      <w:pPr>
        <w:spacing w:after="200" w:line="276" w:lineRule="auto"/>
        <w:rPr>
          <w:rFonts w:eastAsia="Times New Roman" w:cs="Times New Roman"/>
          <w:szCs w:val="24"/>
        </w:rPr>
      </w:pPr>
    </w:p>
    <w:p w14:paraId="55610DD8" w14:textId="77777777"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14:paraId="55610DD9" w14:textId="77777777" w:rsidR="00642B6A" w:rsidRPr="00642B6A" w:rsidRDefault="00642B6A" w:rsidP="00642B6A">
      <w:pPr>
        <w:jc w:val="center"/>
        <w:rPr>
          <w:rFonts w:eastAsia="Times New Roman" w:cs="Times New Roman"/>
          <w:b/>
          <w:szCs w:val="24"/>
        </w:rPr>
      </w:pPr>
    </w:p>
    <w:p w14:paraId="55610DDA" w14:textId="5A2A78E0" w:rsidR="00642B6A" w:rsidRDefault="007F3179" w:rsidP="00642B6A">
      <w:pPr>
        <w:jc w:val="center"/>
        <w:rPr>
          <w:rFonts w:eastAsia="Times New Roman" w:cs="Times New Roman"/>
          <w:b/>
          <w:szCs w:val="24"/>
        </w:rPr>
      </w:pPr>
      <w:r w:rsidRPr="007F3179">
        <w:rPr>
          <w:rFonts w:eastAsia="Times New Roman" w:cs="Times New Roman"/>
          <w:b/>
          <w:szCs w:val="24"/>
        </w:rPr>
        <w:t>OMB Control Number 3038-</w:t>
      </w:r>
      <w:r w:rsidR="000F12D9">
        <w:rPr>
          <w:rFonts w:eastAsia="Times New Roman" w:cs="Times New Roman"/>
          <w:b/>
          <w:szCs w:val="24"/>
        </w:rPr>
        <w:t>0096</w:t>
      </w:r>
    </w:p>
    <w:p w14:paraId="7A0C2708" w14:textId="6152E9FA" w:rsidR="000F12D9" w:rsidRPr="000F12D9" w:rsidRDefault="00877032" w:rsidP="000F12D9">
      <w:pPr>
        <w:jc w:val="center"/>
        <w:rPr>
          <w:rFonts w:eastAsia="Times New Roman" w:cs="Times New Roman"/>
          <w:szCs w:val="24"/>
        </w:rPr>
      </w:pPr>
      <w:r>
        <w:rPr>
          <w:rFonts w:eastAsia="Times New Roman" w:cs="Times New Roman"/>
          <w:szCs w:val="24"/>
        </w:rPr>
        <w:t>Swap Data Recordkeeping and</w:t>
      </w:r>
      <w:r w:rsidR="000F12D9" w:rsidRPr="000F12D9">
        <w:rPr>
          <w:rFonts w:eastAsia="Times New Roman" w:cs="Times New Roman"/>
          <w:szCs w:val="24"/>
        </w:rPr>
        <w:t xml:space="preserve"> Reporting Requirements</w:t>
      </w:r>
    </w:p>
    <w:p w14:paraId="30F8F70D" w14:textId="77777777" w:rsidR="000F12D9" w:rsidRPr="00642B6A" w:rsidRDefault="000F12D9" w:rsidP="00642B6A">
      <w:pPr>
        <w:jc w:val="center"/>
        <w:rPr>
          <w:rFonts w:eastAsia="Times New Roman" w:cs="Times New Roman"/>
          <w:b/>
          <w:szCs w:val="24"/>
        </w:rPr>
      </w:pPr>
    </w:p>
    <w:p w14:paraId="55610DDB" w14:textId="77777777" w:rsidR="00642B6A" w:rsidRPr="00642B6A" w:rsidRDefault="00642B6A" w:rsidP="00642B6A">
      <w:pPr>
        <w:jc w:val="center"/>
        <w:rPr>
          <w:rFonts w:eastAsia="Times New Roman" w:cs="Times New Roman"/>
          <w:b/>
          <w:szCs w:val="24"/>
        </w:rPr>
      </w:pPr>
    </w:p>
    <w:p w14:paraId="55610DDC" w14:textId="00237805" w:rsidR="008F6D4A" w:rsidRPr="008F6D4A" w:rsidRDefault="008F6D4A" w:rsidP="008F6D4A">
      <w:pPr>
        <w:jc w:val="center"/>
        <w:rPr>
          <w:rFonts w:eastAsia="Times New Roman" w:cs="Times New Roman"/>
          <w:szCs w:val="24"/>
        </w:rPr>
      </w:pPr>
      <w:r w:rsidRPr="008F6D4A">
        <w:rPr>
          <w:rFonts w:eastAsia="Times New Roman" w:cs="Times New Roman"/>
          <w:szCs w:val="24"/>
        </w:rPr>
        <w:t>Reporting Burden</w:t>
      </w:r>
    </w:p>
    <w:p w14:paraId="55610DDD" w14:textId="77777777" w:rsidR="008F6D4A" w:rsidRPr="008F6D4A" w:rsidRDefault="008F6D4A" w:rsidP="008F6D4A">
      <w:pPr>
        <w:jc w:val="center"/>
        <w:rPr>
          <w:rFonts w:eastAsia="Times New Roman" w:cs="Times New Roman"/>
          <w:szCs w:val="24"/>
        </w:rPr>
      </w:pPr>
    </w:p>
    <w:tbl>
      <w:tblPr>
        <w:tblW w:w="6015"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2"/>
        <w:gridCol w:w="1262"/>
        <w:gridCol w:w="1350"/>
        <w:gridCol w:w="991"/>
        <w:gridCol w:w="1346"/>
        <w:gridCol w:w="901"/>
        <w:gridCol w:w="1350"/>
        <w:gridCol w:w="899"/>
        <w:gridCol w:w="901"/>
        <w:gridCol w:w="1258"/>
      </w:tblGrid>
      <w:tr w:rsidR="00284172" w:rsidRPr="008F6D4A" w:rsidDel="009C6DB4" w14:paraId="55610DFB" w14:textId="77777777" w:rsidTr="00F01379">
        <w:trPr>
          <w:trHeight w:val="1427"/>
        </w:trPr>
        <w:tc>
          <w:tcPr>
            <w:tcW w:w="548" w:type="pct"/>
          </w:tcPr>
          <w:p w14:paraId="55610DDE"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p w14:paraId="55610DDF"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Regulation(s)</w:t>
            </w:r>
          </w:p>
        </w:tc>
        <w:tc>
          <w:tcPr>
            <w:tcW w:w="548" w:type="pct"/>
          </w:tcPr>
          <w:p w14:paraId="55610DE0"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w:t>
            </w:r>
          </w:p>
          <w:p w14:paraId="55610DE1"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Estimated Number of Respondents </w:t>
            </w:r>
          </w:p>
          <w:p w14:paraId="55610DE2"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p>
        </w:tc>
        <w:tc>
          <w:tcPr>
            <w:tcW w:w="586" w:type="pct"/>
          </w:tcPr>
          <w:p w14:paraId="55610DE3"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w:t>
            </w:r>
          </w:p>
          <w:p w14:paraId="55610DE4"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Number of Reports</w:t>
            </w:r>
          </w:p>
          <w:p w14:paraId="55610DE5"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by Each Respondent</w:t>
            </w:r>
          </w:p>
        </w:tc>
        <w:tc>
          <w:tcPr>
            <w:tcW w:w="430" w:type="pct"/>
          </w:tcPr>
          <w:p w14:paraId="55610DE6"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4.</w:t>
            </w:r>
          </w:p>
          <w:p w14:paraId="55610DE7"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Estimated Average Number of Burden Hours per Response</w:t>
            </w:r>
          </w:p>
        </w:tc>
        <w:tc>
          <w:tcPr>
            <w:tcW w:w="584" w:type="pct"/>
          </w:tcPr>
          <w:p w14:paraId="55610DE8"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w:t>
            </w:r>
          </w:p>
          <w:p w14:paraId="55610DE9" w14:textId="3704E0AD" w:rsidR="007D22E3" w:rsidRDefault="002C291D"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Annual</w:t>
            </w:r>
            <w:r w:rsidR="007D22E3" w:rsidRPr="005E41B2">
              <w:rPr>
                <w:rFonts w:ascii="Arial" w:eastAsia="Times New Roman" w:hAnsi="Arial" w:cs="Times New Roman"/>
                <w:b/>
                <w:sz w:val="16"/>
                <w:szCs w:val="16"/>
              </w:rPr>
              <w:t xml:space="preserve"> Number of Burden Hours per Respondent</w:t>
            </w:r>
          </w:p>
          <w:p w14:paraId="55610DEA"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391" w:type="pct"/>
          </w:tcPr>
          <w:p w14:paraId="55610DEB"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6.</w:t>
            </w:r>
            <w:r w:rsidRPr="005E41B2">
              <w:rPr>
                <w:rFonts w:ascii="Arial" w:eastAsia="Times New Roman" w:hAnsi="Arial" w:cs="Times New Roman"/>
                <w:b/>
                <w:sz w:val="16"/>
                <w:szCs w:val="16"/>
              </w:rPr>
              <w:t xml:space="preserve"> </w:t>
            </w:r>
          </w:p>
          <w:p w14:paraId="55610DEC" w14:textId="19E23E76" w:rsidR="007D22E3" w:rsidRDefault="00284172"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 of </w:t>
            </w:r>
            <w:r w:rsidR="007D22E3" w:rsidRPr="005E41B2">
              <w:rPr>
                <w:rFonts w:ascii="Arial" w:eastAsia="Times New Roman" w:hAnsi="Arial" w:cs="Times New Roman"/>
                <w:b/>
                <w:sz w:val="16"/>
                <w:szCs w:val="16"/>
              </w:rPr>
              <w:t>Average Burden Hour Cost</w:t>
            </w:r>
            <w:r w:rsidR="007D22E3" w:rsidRPr="005E41B2">
              <w:rPr>
                <w:rFonts w:ascii="Arial" w:eastAsia="Times New Roman" w:hAnsi="Arial" w:cs="Times New Roman"/>
                <w:b/>
                <w:sz w:val="16"/>
                <w:szCs w:val="16"/>
                <w:vertAlign w:val="superscript"/>
              </w:rPr>
              <w:footnoteReference w:id="7"/>
            </w:r>
          </w:p>
          <w:p w14:paraId="55610DED"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p>
        </w:tc>
        <w:tc>
          <w:tcPr>
            <w:tcW w:w="586" w:type="pct"/>
          </w:tcPr>
          <w:p w14:paraId="55610DEE" w14:textId="77777777" w:rsidR="007D22E3" w:rsidRDefault="007D22E3" w:rsidP="00A910FB">
            <w:pPr>
              <w:jc w:val="center"/>
              <w:rPr>
                <w:rFonts w:ascii="Arial" w:hAnsi="Arial" w:cs="Arial"/>
                <w:b/>
                <w:sz w:val="16"/>
                <w:szCs w:val="16"/>
              </w:rPr>
            </w:pPr>
            <w:r>
              <w:rPr>
                <w:rFonts w:ascii="Arial" w:hAnsi="Arial" w:cs="Arial"/>
                <w:b/>
                <w:sz w:val="16"/>
                <w:szCs w:val="16"/>
              </w:rPr>
              <w:t>7.</w:t>
            </w:r>
          </w:p>
          <w:p w14:paraId="55610DEF" w14:textId="77777777" w:rsidR="007D22E3" w:rsidRDefault="007D22E3" w:rsidP="00A910FB">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14:paraId="55610DF0" w14:textId="77777777" w:rsidR="007D22E3" w:rsidRPr="005E41B2" w:rsidRDefault="007D22E3" w:rsidP="00A910FB">
            <w:pPr>
              <w:jc w:val="center"/>
              <w:rPr>
                <w:rFonts w:ascii="Arial" w:hAnsi="Arial" w:cs="Arial"/>
                <w:b/>
                <w:sz w:val="16"/>
                <w:szCs w:val="16"/>
              </w:rPr>
            </w:pPr>
            <w:r>
              <w:rPr>
                <w:rFonts w:ascii="Arial" w:hAnsi="Arial" w:cs="Arial"/>
                <w:b/>
                <w:sz w:val="16"/>
                <w:szCs w:val="16"/>
              </w:rPr>
              <w:t>(5 x 6)</w:t>
            </w:r>
          </w:p>
        </w:tc>
        <w:tc>
          <w:tcPr>
            <w:tcW w:w="390" w:type="pct"/>
          </w:tcPr>
          <w:p w14:paraId="55610DF1"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8.</w:t>
            </w:r>
          </w:p>
          <w:p w14:paraId="55610DF2"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Total Annual</w:t>
            </w:r>
          </w:p>
          <w:p w14:paraId="55610DF3"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Responses</w:t>
            </w:r>
          </w:p>
          <w:p w14:paraId="55610DF4"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(2 x 3)</w:t>
            </w:r>
          </w:p>
        </w:tc>
        <w:tc>
          <w:tcPr>
            <w:tcW w:w="391" w:type="pct"/>
          </w:tcPr>
          <w:p w14:paraId="55610DF5" w14:textId="77777777" w:rsidR="007D22E3" w:rsidRPr="00C91CB5"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9</w:t>
            </w:r>
            <w:r w:rsidRPr="00C91CB5">
              <w:rPr>
                <w:rFonts w:ascii="Arial" w:eastAsia="Times New Roman" w:hAnsi="Arial" w:cs="Times New Roman"/>
                <w:b/>
                <w:sz w:val="16"/>
                <w:szCs w:val="16"/>
              </w:rPr>
              <w:t>.</w:t>
            </w:r>
          </w:p>
          <w:p w14:paraId="55610DF6" w14:textId="07FB4C74" w:rsidR="007D22E3" w:rsidRDefault="002C291D"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Total Annual </w:t>
            </w:r>
            <w:r w:rsidR="007D22E3" w:rsidRPr="00C91CB5">
              <w:rPr>
                <w:rFonts w:ascii="Arial" w:eastAsia="Times New Roman" w:hAnsi="Arial" w:cs="Times New Roman"/>
                <w:b/>
                <w:sz w:val="16"/>
                <w:szCs w:val="16"/>
              </w:rPr>
              <w:t>Number of Burden Hours</w:t>
            </w:r>
          </w:p>
          <w:p w14:paraId="55610DF7"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47" w:type="pct"/>
          </w:tcPr>
          <w:p w14:paraId="55610DF8"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10.</w:t>
            </w:r>
          </w:p>
          <w:p w14:paraId="55610DF9"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Total Annual </w:t>
            </w:r>
            <w:r>
              <w:rPr>
                <w:rFonts w:ascii="Arial" w:eastAsia="Times New Roman" w:hAnsi="Arial" w:cs="Times New Roman"/>
                <w:b/>
                <w:sz w:val="16"/>
                <w:szCs w:val="16"/>
              </w:rPr>
              <w:t>Burden Hour Cost of A</w:t>
            </w:r>
            <w:r w:rsidRPr="005E41B2">
              <w:rPr>
                <w:rFonts w:ascii="Arial" w:eastAsia="Times New Roman" w:hAnsi="Arial" w:cs="Times New Roman"/>
                <w:b/>
                <w:sz w:val="16"/>
                <w:szCs w:val="16"/>
              </w:rPr>
              <w:t xml:space="preserve">ll </w:t>
            </w:r>
            <w:r>
              <w:rPr>
                <w:rFonts w:ascii="Arial" w:eastAsia="Times New Roman" w:hAnsi="Arial" w:cs="Times New Roman"/>
                <w:b/>
                <w:sz w:val="16"/>
                <w:szCs w:val="16"/>
              </w:rPr>
              <w:t>R</w:t>
            </w:r>
            <w:r w:rsidRPr="005E41B2">
              <w:rPr>
                <w:rFonts w:ascii="Arial" w:eastAsia="Times New Roman" w:hAnsi="Arial" w:cs="Times New Roman"/>
                <w:b/>
                <w:sz w:val="16"/>
                <w:szCs w:val="16"/>
              </w:rPr>
              <w:t>esponses</w:t>
            </w:r>
          </w:p>
          <w:p w14:paraId="55610DFA" w14:textId="77777777" w:rsidR="007D22E3" w:rsidRPr="005E41B2" w:rsidDel="009C6DB4"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284172" w:rsidRPr="00284172" w14:paraId="55610E06" w14:textId="77777777" w:rsidTr="00F01379">
        <w:trPr>
          <w:trHeight w:val="977"/>
        </w:trPr>
        <w:tc>
          <w:tcPr>
            <w:tcW w:w="548" w:type="pct"/>
          </w:tcPr>
          <w:p w14:paraId="55610DFC" w14:textId="755B089E" w:rsidR="007D22E3" w:rsidRPr="00284172" w:rsidRDefault="000F12D9" w:rsidP="00A910FB">
            <w:pPr>
              <w:tabs>
                <w:tab w:val="left" w:pos="-720"/>
                <w:tab w:val="left" w:pos="0"/>
              </w:tabs>
              <w:suppressAutoHyphens/>
              <w:jc w:val="center"/>
              <w:rPr>
                <w:rFonts w:ascii="Arial" w:eastAsia="Times New Roman" w:hAnsi="Arial" w:cs="Times New Roman"/>
                <w:sz w:val="16"/>
                <w:szCs w:val="16"/>
              </w:rPr>
            </w:pPr>
            <w:r w:rsidRPr="00284172">
              <w:rPr>
                <w:rFonts w:ascii="Arial" w:eastAsia="Times New Roman" w:hAnsi="Arial" w:cs="Times New Roman"/>
                <w:sz w:val="16"/>
                <w:szCs w:val="16"/>
              </w:rPr>
              <w:t>45.14</w:t>
            </w:r>
            <w:r w:rsidR="0030413D" w:rsidRPr="00284172">
              <w:rPr>
                <w:rFonts w:ascii="Arial" w:eastAsia="Times New Roman" w:hAnsi="Arial" w:cs="Times New Roman"/>
                <w:sz w:val="16"/>
                <w:szCs w:val="16"/>
              </w:rPr>
              <w:t>(a)</w:t>
            </w:r>
          </w:p>
        </w:tc>
        <w:tc>
          <w:tcPr>
            <w:tcW w:w="548" w:type="pct"/>
          </w:tcPr>
          <w:p w14:paraId="17FDDAD1" w14:textId="3D10B92F" w:rsidR="00284172" w:rsidRPr="00284172" w:rsidRDefault="00284172" w:rsidP="00A910FB">
            <w:pPr>
              <w:tabs>
                <w:tab w:val="left" w:pos="-720"/>
                <w:tab w:val="left" w:pos="0"/>
              </w:tabs>
              <w:suppressAutoHyphens/>
              <w:jc w:val="center"/>
              <w:rPr>
                <w:rFonts w:ascii="Arial" w:eastAsia="Times New Roman" w:hAnsi="Arial" w:cs="Times New Roman"/>
                <w:sz w:val="16"/>
                <w:szCs w:val="16"/>
              </w:rPr>
            </w:pPr>
            <w:r w:rsidRPr="00284172">
              <w:rPr>
                <w:rFonts w:ascii="Arial" w:eastAsia="Times New Roman" w:hAnsi="Arial" w:cs="Times New Roman"/>
                <w:sz w:val="16"/>
                <w:szCs w:val="16"/>
              </w:rPr>
              <w:t>117 SD/MSP/ DCO</w:t>
            </w:r>
          </w:p>
          <w:p w14:paraId="6C30008E" w14:textId="77777777" w:rsidR="00284172" w:rsidRPr="00284172" w:rsidRDefault="00284172" w:rsidP="00A910FB">
            <w:pPr>
              <w:tabs>
                <w:tab w:val="left" w:pos="-720"/>
                <w:tab w:val="left" w:pos="0"/>
              </w:tabs>
              <w:suppressAutoHyphens/>
              <w:jc w:val="center"/>
              <w:rPr>
                <w:rFonts w:ascii="Arial" w:eastAsia="Times New Roman" w:hAnsi="Arial" w:cs="Times New Roman"/>
                <w:sz w:val="16"/>
                <w:szCs w:val="16"/>
              </w:rPr>
            </w:pPr>
          </w:p>
          <w:p w14:paraId="0D6AC492" w14:textId="77777777" w:rsidR="003256A6" w:rsidRDefault="003256A6" w:rsidP="00A910FB">
            <w:pPr>
              <w:tabs>
                <w:tab w:val="left" w:pos="-720"/>
                <w:tab w:val="left" w:pos="0"/>
              </w:tabs>
              <w:suppressAutoHyphens/>
              <w:jc w:val="center"/>
              <w:rPr>
                <w:rFonts w:ascii="Arial" w:eastAsia="Times New Roman" w:hAnsi="Arial" w:cs="Times New Roman"/>
                <w:sz w:val="16"/>
                <w:szCs w:val="16"/>
              </w:rPr>
            </w:pPr>
          </w:p>
          <w:p w14:paraId="55610DFD" w14:textId="5AF4E96E" w:rsidR="007D22E3" w:rsidRPr="00284172" w:rsidRDefault="00284172" w:rsidP="00A910FB">
            <w:pPr>
              <w:tabs>
                <w:tab w:val="left" w:pos="-720"/>
                <w:tab w:val="left" w:pos="0"/>
              </w:tabs>
              <w:suppressAutoHyphens/>
              <w:jc w:val="center"/>
              <w:rPr>
                <w:rFonts w:ascii="Arial" w:eastAsia="Times New Roman" w:hAnsi="Arial" w:cs="Times New Roman"/>
                <w:sz w:val="16"/>
                <w:szCs w:val="16"/>
              </w:rPr>
            </w:pPr>
            <w:r w:rsidRPr="00284172">
              <w:rPr>
                <w:rFonts w:ascii="Arial" w:eastAsia="Times New Roman" w:hAnsi="Arial" w:cs="Times New Roman"/>
                <w:sz w:val="16"/>
                <w:szCs w:val="16"/>
              </w:rPr>
              <w:t>1585 Non-SD/MSP/DCO</w:t>
            </w:r>
          </w:p>
        </w:tc>
        <w:tc>
          <w:tcPr>
            <w:tcW w:w="586" w:type="pct"/>
          </w:tcPr>
          <w:p w14:paraId="50E1F5BF" w14:textId="0A752482" w:rsidR="00284172" w:rsidRPr="00284172" w:rsidRDefault="00284172"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 xml:space="preserve">52 </w:t>
            </w:r>
            <w:r w:rsidRPr="00284172">
              <w:rPr>
                <w:rFonts w:ascii="Arial" w:eastAsia="Times New Roman" w:hAnsi="Arial" w:cs="Times New Roman"/>
                <w:sz w:val="16"/>
                <w:szCs w:val="16"/>
              </w:rPr>
              <w:t>(SD/MSP/DCO)</w:t>
            </w:r>
          </w:p>
          <w:p w14:paraId="40D10473" w14:textId="77777777" w:rsidR="00284172" w:rsidRPr="00284172" w:rsidRDefault="00284172" w:rsidP="00A910FB">
            <w:pPr>
              <w:tabs>
                <w:tab w:val="left" w:pos="-720"/>
                <w:tab w:val="left" w:pos="0"/>
              </w:tabs>
              <w:suppressAutoHyphens/>
              <w:jc w:val="center"/>
              <w:rPr>
                <w:rFonts w:ascii="Arial" w:eastAsia="Times New Roman" w:hAnsi="Arial" w:cs="Times New Roman"/>
                <w:sz w:val="16"/>
                <w:szCs w:val="16"/>
              </w:rPr>
            </w:pPr>
          </w:p>
          <w:p w14:paraId="06616C68" w14:textId="77777777" w:rsidR="003256A6" w:rsidRDefault="003256A6" w:rsidP="00A910FB">
            <w:pPr>
              <w:tabs>
                <w:tab w:val="left" w:pos="-720"/>
                <w:tab w:val="left" w:pos="0"/>
              </w:tabs>
              <w:suppressAutoHyphens/>
              <w:jc w:val="center"/>
              <w:rPr>
                <w:rFonts w:ascii="Arial" w:eastAsia="Times New Roman" w:hAnsi="Arial" w:cs="Times New Roman"/>
                <w:sz w:val="16"/>
                <w:szCs w:val="16"/>
              </w:rPr>
            </w:pPr>
          </w:p>
          <w:p w14:paraId="55610DFE" w14:textId="2F31BCAE" w:rsidR="007D22E3" w:rsidRPr="00284172" w:rsidRDefault="00284172"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12 (Non-SD/MSP/DCO)</w:t>
            </w:r>
          </w:p>
        </w:tc>
        <w:tc>
          <w:tcPr>
            <w:tcW w:w="430" w:type="pct"/>
          </w:tcPr>
          <w:p w14:paraId="55610DFF" w14:textId="4B06421A" w:rsidR="007D22E3" w:rsidRPr="00284172" w:rsidRDefault="00284172"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2</w:t>
            </w:r>
          </w:p>
        </w:tc>
        <w:tc>
          <w:tcPr>
            <w:tcW w:w="584" w:type="pct"/>
          </w:tcPr>
          <w:p w14:paraId="1A630268" w14:textId="77777777" w:rsidR="00284172" w:rsidRDefault="00284172"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104 (SD/MSP/DCO)</w:t>
            </w:r>
          </w:p>
          <w:p w14:paraId="4F763950" w14:textId="77777777" w:rsidR="00407723" w:rsidRDefault="00407723" w:rsidP="00A910FB">
            <w:pPr>
              <w:tabs>
                <w:tab w:val="left" w:pos="-720"/>
                <w:tab w:val="left" w:pos="0"/>
              </w:tabs>
              <w:suppressAutoHyphens/>
              <w:jc w:val="center"/>
              <w:rPr>
                <w:rFonts w:ascii="Arial" w:eastAsia="Times New Roman" w:hAnsi="Arial" w:cs="Times New Roman"/>
                <w:sz w:val="16"/>
                <w:szCs w:val="16"/>
              </w:rPr>
            </w:pPr>
          </w:p>
          <w:p w14:paraId="0FE9835C" w14:textId="77777777" w:rsidR="003256A6" w:rsidRDefault="003256A6" w:rsidP="00A910FB">
            <w:pPr>
              <w:tabs>
                <w:tab w:val="left" w:pos="-720"/>
                <w:tab w:val="left" w:pos="0"/>
              </w:tabs>
              <w:suppressAutoHyphens/>
              <w:jc w:val="center"/>
              <w:rPr>
                <w:rFonts w:ascii="Arial" w:eastAsia="Times New Roman" w:hAnsi="Arial" w:cs="Times New Roman"/>
                <w:sz w:val="16"/>
                <w:szCs w:val="16"/>
              </w:rPr>
            </w:pPr>
          </w:p>
          <w:p w14:paraId="55610E00" w14:textId="0C6128A8" w:rsidR="007D22E3" w:rsidRPr="00284172" w:rsidRDefault="00284172"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24 (Non-SD/MSP/DCO)</w:t>
            </w:r>
          </w:p>
        </w:tc>
        <w:tc>
          <w:tcPr>
            <w:tcW w:w="391" w:type="pct"/>
          </w:tcPr>
          <w:p w14:paraId="55610E01" w14:textId="3A3CF05B" w:rsidR="007D22E3" w:rsidRPr="00284172" w:rsidRDefault="00407723"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$72.23</w:t>
            </w:r>
          </w:p>
        </w:tc>
        <w:tc>
          <w:tcPr>
            <w:tcW w:w="586" w:type="pct"/>
          </w:tcPr>
          <w:p w14:paraId="180C8295" w14:textId="43F06754" w:rsidR="00407723" w:rsidRDefault="00407723" w:rsidP="00407723">
            <w:pPr>
              <w:jc w:val="center"/>
              <w:rPr>
                <w:rFonts w:ascii="Arial" w:hAnsi="Arial" w:cs="Arial"/>
                <w:sz w:val="16"/>
                <w:szCs w:val="16"/>
              </w:rPr>
            </w:pPr>
            <w:r>
              <w:rPr>
                <w:rFonts w:ascii="Arial" w:hAnsi="Arial" w:cs="Arial"/>
                <w:sz w:val="16"/>
                <w:szCs w:val="16"/>
              </w:rPr>
              <w:t>$</w:t>
            </w:r>
            <w:r w:rsidR="00C07AF7">
              <w:rPr>
                <w:rFonts w:ascii="Arial" w:hAnsi="Arial" w:cs="Arial"/>
                <w:sz w:val="16"/>
                <w:szCs w:val="16"/>
              </w:rPr>
              <w:t>7,511.92</w:t>
            </w:r>
            <w:r>
              <w:rPr>
                <w:rFonts w:ascii="Arial" w:hAnsi="Arial" w:cs="Arial"/>
                <w:sz w:val="16"/>
                <w:szCs w:val="16"/>
              </w:rPr>
              <w:t xml:space="preserve"> (SD/MSP/DCO)</w:t>
            </w:r>
          </w:p>
          <w:p w14:paraId="4751965B" w14:textId="77777777" w:rsidR="00407723" w:rsidRDefault="00407723" w:rsidP="00407723">
            <w:pPr>
              <w:jc w:val="center"/>
              <w:rPr>
                <w:rFonts w:ascii="Arial" w:hAnsi="Arial" w:cs="Arial"/>
                <w:sz w:val="16"/>
                <w:szCs w:val="16"/>
              </w:rPr>
            </w:pPr>
          </w:p>
          <w:p w14:paraId="23C677AA" w14:textId="77777777" w:rsidR="003256A6" w:rsidRDefault="003256A6" w:rsidP="00407723">
            <w:pPr>
              <w:jc w:val="center"/>
              <w:rPr>
                <w:rFonts w:ascii="Arial" w:hAnsi="Arial" w:cs="Arial"/>
                <w:sz w:val="16"/>
                <w:szCs w:val="16"/>
              </w:rPr>
            </w:pPr>
          </w:p>
          <w:p w14:paraId="55610E02" w14:textId="1A2CE0E5" w:rsidR="007D22E3" w:rsidRPr="00284172" w:rsidRDefault="00407723" w:rsidP="00407723">
            <w:pPr>
              <w:jc w:val="center"/>
              <w:rPr>
                <w:rFonts w:ascii="Arial" w:hAnsi="Arial" w:cs="Arial"/>
                <w:sz w:val="16"/>
                <w:szCs w:val="16"/>
              </w:rPr>
            </w:pPr>
            <w:r>
              <w:rPr>
                <w:rFonts w:ascii="Arial" w:hAnsi="Arial" w:cs="Arial"/>
                <w:sz w:val="16"/>
                <w:szCs w:val="16"/>
              </w:rPr>
              <w:t>$1,</w:t>
            </w:r>
            <w:r w:rsidR="003256A6">
              <w:rPr>
                <w:rFonts w:ascii="Arial" w:hAnsi="Arial" w:cs="Arial"/>
                <w:sz w:val="16"/>
                <w:szCs w:val="16"/>
              </w:rPr>
              <w:t>733.52 (Non-SD/MSP/DCO)</w:t>
            </w:r>
          </w:p>
        </w:tc>
        <w:tc>
          <w:tcPr>
            <w:tcW w:w="390" w:type="pct"/>
          </w:tcPr>
          <w:p w14:paraId="16427A54" w14:textId="77777777" w:rsidR="003256A6" w:rsidRDefault="003256A6"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6,084 (SD/MSP/DCO)</w:t>
            </w:r>
          </w:p>
          <w:p w14:paraId="24D815C9" w14:textId="77777777" w:rsidR="003256A6" w:rsidRDefault="003256A6" w:rsidP="003256A6">
            <w:pPr>
              <w:tabs>
                <w:tab w:val="left" w:pos="-720"/>
                <w:tab w:val="left" w:pos="0"/>
              </w:tabs>
              <w:suppressAutoHyphens/>
              <w:jc w:val="center"/>
              <w:rPr>
                <w:rFonts w:ascii="Arial" w:eastAsia="Times New Roman" w:hAnsi="Arial" w:cs="Times New Roman"/>
                <w:sz w:val="16"/>
                <w:szCs w:val="16"/>
              </w:rPr>
            </w:pPr>
          </w:p>
          <w:p w14:paraId="55610E03" w14:textId="70DD974D" w:rsidR="007D22E3" w:rsidRPr="00284172" w:rsidRDefault="003256A6" w:rsidP="003256A6">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19</w:t>
            </w:r>
            <w:r w:rsidR="001D493A">
              <w:rPr>
                <w:rFonts w:ascii="Arial" w:eastAsia="Times New Roman" w:hAnsi="Arial" w:cs="Times New Roman"/>
                <w:sz w:val="16"/>
                <w:szCs w:val="16"/>
              </w:rPr>
              <w:t>,</w:t>
            </w:r>
            <w:r>
              <w:rPr>
                <w:rFonts w:ascii="Arial" w:eastAsia="Times New Roman" w:hAnsi="Arial" w:cs="Times New Roman"/>
                <w:sz w:val="16"/>
                <w:szCs w:val="16"/>
              </w:rPr>
              <w:t>020 (Non-SD/MSP/DCO)</w:t>
            </w:r>
          </w:p>
        </w:tc>
        <w:tc>
          <w:tcPr>
            <w:tcW w:w="391" w:type="pct"/>
          </w:tcPr>
          <w:p w14:paraId="14AE9036" w14:textId="77777777" w:rsidR="003256A6" w:rsidRDefault="003256A6"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12,168 (SD/MSP/DCO)</w:t>
            </w:r>
          </w:p>
          <w:p w14:paraId="10C88C13" w14:textId="77777777" w:rsidR="003256A6" w:rsidRDefault="003256A6" w:rsidP="003256A6">
            <w:pPr>
              <w:tabs>
                <w:tab w:val="left" w:pos="-720"/>
                <w:tab w:val="left" w:pos="0"/>
              </w:tabs>
              <w:suppressAutoHyphens/>
              <w:jc w:val="center"/>
              <w:rPr>
                <w:rFonts w:ascii="Arial" w:eastAsia="Times New Roman" w:hAnsi="Arial" w:cs="Times New Roman"/>
                <w:sz w:val="16"/>
                <w:szCs w:val="16"/>
              </w:rPr>
            </w:pPr>
          </w:p>
          <w:p w14:paraId="55610E04" w14:textId="73AA393F" w:rsidR="007D22E3" w:rsidRPr="00284172" w:rsidRDefault="003256A6" w:rsidP="003256A6">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38,040 (Non-SD/MSP/DCO)</w:t>
            </w:r>
          </w:p>
        </w:tc>
        <w:tc>
          <w:tcPr>
            <w:tcW w:w="547" w:type="pct"/>
          </w:tcPr>
          <w:p w14:paraId="2ACEE562" w14:textId="0AA1D6DC" w:rsidR="003256A6" w:rsidRDefault="003256A6"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$878,</w:t>
            </w:r>
            <w:r w:rsidR="00C07AF7">
              <w:rPr>
                <w:rFonts w:ascii="Arial" w:eastAsia="Times New Roman" w:hAnsi="Arial" w:cs="Times New Roman"/>
                <w:sz w:val="16"/>
                <w:szCs w:val="16"/>
              </w:rPr>
              <w:t>894.64</w:t>
            </w:r>
            <w:r>
              <w:rPr>
                <w:rFonts w:ascii="Arial" w:eastAsia="Times New Roman" w:hAnsi="Arial" w:cs="Times New Roman"/>
                <w:sz w:val="16"/>
                <w:szCs w:val="16"/>
              </w:rPr>
              <w:t xml:space="preserve"> (SD/MSP/</w:t>
            </w:r>
          </w:p>
          <w:p w14:paraId="63E7450D" w14:textId="5E42B8CA" w:rsidR="003256A6" w:rsidRDefault="003256A6"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DCO)</w:t>
            </w:r>
          </w:p>
          <w:p w14:paraId="4E672B6B" w14:textId="77777777" w:rsidR="003256A6" w:rsidRDefault="003256A6" w:rsidP="00A910FB">
            <w:pPr>
              <w:tabs>
                <w:tab w:val="left" w:pos="-720"/>
                <w:tab w:val="left" w:pos="0"/>
              </w:tabs>
              <w:suppressAutoHyphens/>
              <w:jc w:val="center"/>
              <w:rPr>
                <w:rFonts w:ascii="Arial" w:eastAsia="Times New Roman" w:hAnsi="Arial" w:cs="Times New Roman"/>
                <w:sz w:val="16"/>
                <w:szCs w:val="16"/>
              </w:rPr>
            </w:pPr>
          </w:p>
          <w:p w14:paraId="78B27663" w14:textId="2B0E9367" w:rsidR="003256A6" w:rsidRDefault="003256A6" w:rsidP="003256A6">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$2,747,629</w:t>
            </w:r>
            <w:r w:rsidR="00C07AF7">
              <w:rPr>
                <w:rFonts w:ascii="Arial" w:eastAsia="Times New Roman" w:hAnsi="Arial" w:cs="Times New Roman"/>
                <w:sz w:val="16"/>
                <w:szCs w:val="16"/>
              </w:rPr>
              <w:t>.20</w:t>
            </w:r>
            <w:r>
              <w:rPr>
                <w:rFonts w:ascii="Arial" w:eastAsia="Times New Roman" w:hAnsi="Arial" w:cs="Times New Roman"/>
                <w:sz w:val="16"/>
                <w:szCs w:val="16"/>
              </w:rPr>
              <w:t xml:space="preserve"> (Non-SD/MSP/</w:t>
            </w:r>
          </w:p>
          <w:p w14:paraId="55610E05" w14:textId="7174AAB9" w:rsidR="007D22E3" w:rsidRPr="00284172" w:rsidRDefault="003256A6" w:rsidP="003256A6">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DCO)</w:t>
            </w:r>
          </w:p>
        </w:tc>
      </w:tr>
      <w:tr w:rsidR="00284172" w:rsidRPr="00284172" w14:paraId="47E1C140" w14:textId="77777777" w:rsidTr="00F01379">
        <w:trPr>
          <w:trHeight w:val="977"/>
        </w:trPr>
        <w:tc>
          <w:tcPr>
            <w:tcW w:w="548" w:type="pct"/>
          </w:tcPr>
          <w:p w14:paraId="78D483EC" w14:textId="07DF1ED8" w:rsidR="000F12D9" w:rsidRPr="00284172" w:rsidRDefault="0030413D" w:rsidP="00A910FB">
            <w:pPr>
              <w:tabs>
                <w:tab w:val="left" w:pos="-720"/>
                <w:tab w:val="left" w:pos="0"/>
              </w:tabs>
              <w:suppressAutoHyphens/>
              <w:jc w:val="center"/>
              <w:rPr>
                <w:rFonts w:ascii="Arial" w:eastAsia="Times New Roman" w:hAnsi="Arial" w:cs="Times New Roman"/>
                <w:sz w:val="16"/>
                <w:szCs w:val="16"/>
              </w:rPr>
            </w:pPr>
            <w:r w:rsidRPr="00284172">
              <w:rPr>
                <w:rFonts w:ascii="Arial" w:eastAsia="Times New Roman" w:hAnsi="Arial" w:cs="Times New Roman"/>
                <w:sz w:val="16"/>
                <w:szCs w:val="16"/>
              </w:rPr>
              <w:t>45.14(b)</w:t>
            </w:r>
          </w:p>
        </w:tc>
        <w:tc>
          <w:tcPr>
            <w:tcW w:w="548" w:type="pct"/>
          </w:tcPr>
          <w:p w14:paraId="0BD5DC4A" w14:textId="1467548B" w:rsidR="000F12D9" w:rsidRPr="00284172" w:rsidRDefault="00F01379"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1729</w:t>
            </w:r>
            <w:r w:rsidR="00877032">
              <w:rPr>
                <w:rFonts w:ascii="Arial" w:eastAsia="Times New Roman" w:hAnsi="Arial" w:cs="Times New Roman"/>
                <w:sz w:val="16"/>
                <w:szCs w:val="16"/>
              </w:rPr>
              <w:t xml:space="preserve"> SEF/DCM/ </w:t>
            </w:r>
            <w:r w:rsidR="003813FB">
              <w:rPr>
                <w:rFonts w:ascii="Arial" w:eastAsia="Times New Roman" w:hAnsi="Arial" w:cs="Times New Roman"/>
                <w:sz w:val="16"/>
                <w:szCs w:val="16"/>
              </w:rPr>
              <w:t>Reporting counterpar</w:t>
            </w:r>
            <w:r w:rsidR="00877032">
              <w:rPr>
                <w:rFonts w:ascii="Arial" w:eastAsia="Times New Roman" w:hAnsi="Arial" w:cs="Times New Roman"/>
                <w:sz w:val="16"/>
                <w:szCs w:val="16"/>
              </w:rPr>
              <w:t>ty</w:t>
            </w:r>
          </w:p>
        </w:tc>
        <w:tc>
          <w:tcPr>
            <w:tcW w:w="586" w:type="pct"/>
          </w:tcPr>
          <w:p w14:paraId="2670B78F" w14:textId="6D89D511" w:rsidR="000F12D9" w:rsidRPr="00284172" w:rsidRDefault="00F01379"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w:t>
            </w:r>
          </w:p>
        </w:tc>
        <w:tc>
          <w:tcPr>
            <w:tcW w:w="430" w:type="pct"/>
          </w:tcPr>
          <w:p w14:paraId="4D3EB706" w14:textId="0F79CA8E" w:rsidR="000F12D9" w:rsidRPr="00284172" w:rsidRDefault="00F01379"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30</w:t>
            </w:r>
          </w:p>
        </w:tc>
        <w:tc>
          <w:tcPr>
            <w:tcW w:w="584" w:type="pct"/>
          </w:tcPr>
          <w:p w14:paraId="7A00455B" w14:textId="105EDD31" w:rsidR="000F12D9" w:rsidRPr="00284172" w:rsidRDefault="00F01379"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30</w:t>
            </w:r>
          </w:p>
        </w:tc>
        <w:tc>
          <w:tcPr>
            <w:tcW w:w="391" w:type="pct"/>
          </w:tcPr>
          <w:p w14:paraId="7771AEA3" w14:textId="52A4E057" w:rsidR="000F12D9" w:rsidRPr="00284172" w:rsidRDefault="00F01379"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$72.23</w:t>
            </w:r>
          </w:p>
        </w:tc>
        <w:tc>
          <w:tcPr>
            <w:tcW w:w="586" w:type="pct"/>
          </w:tcPr>
          <w:p w14:paraId="5F45A9B6" w14:textId="7B68683C" w:rsidR="000F12D9" w:rsidRPr="00284172" w:rsidRDefault="00F01379" w:rsidP="00F01379">
            <w:pPr>
              <w:jc w:val="center"/>
              <w:rPr>
                <w:rFonts w:ascii="Arial" w:hAnsi="Arial" w:cs="Arial"/>
                <w:sz w:val="16"/>
                <w:szCs w:val="16"/>
              </w:rPr>
            </w:pPr>
            <w:r>
              <w:rPr>
                <w:rFonts w:ascii="Arial" w:hAnsi="Arial" w:cs="Arial"/>
                <w:sz w:val="16"/>
                <w:szCs w:val="16"/>
              </w:rPr>
              <w:t>$2166.90</w:t>
            </w:r>
          </w:p>
        </w:tc>
        <w:tc>
          <w:tcPr>
            <w:tcW w:w="390" w:type="pct"/>
          </w:tcPr>
          <w:p w14:paraId="0E8C86C2" w14:textId="419F1D28" w:rsidR="000F12D9" w:rsidRPr="00284172" w:rsidRDefault="00F01379" w:rsidP="00F01379">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w:t>
            </w:r>
            <w:r w:rsidR="001D493A">
              <w:rPr>
                <w:rFonts w:ascii="Arial" w:eastAsia="Times New Roman" w:hAnsi="Arial" w:cs="Times New Roman"/>
                <w:sz w:val="16"/>
                <w:szCs w:val="16"/>
              </w:rPr>
              <w:t>,</w:t>
            </w:r>
            <w:r>
              <w:rPr>
                <w:rFonts w:ascii="Arial" w:eastAsia="Times New Roman" w:hAnsi="Arial" w:cs="Times New Roman"/>
                <w:sz w:val="16"/>
                <w:szCs w:val="16"/>
              </w:rPr>
              <w:t>729</w:t>
            </w:r>
          </w:p>
        </w:tc>
        <w:tc>
          <w:tcPr>
            <w:tcW w:w="391" w:type="pct"/>
          </w:tcPr>
          <w:p w14:paraId="401A7992" w14:textId="304E2C13" w:rsidR="000F12D9" w:rsidRPr="00284172" w:rsidRDefault="00F01379" w:rsidP="00F01379">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51,870</w:t>
            </w:r>
          </w:p>
        </w:tc>
        <w:tc>
          <w:tcPr>
            <w:tcW w:w="547" w:type="pct"/>
          </w:tcPr>
          <w:p w14:paraId="52B6BF9D" w14:textId="71590042" w:rsidR="000F12D9" w:rsidRPr="00284172" w:rsidRDefault="00F01379" w:rsidP="00F01379">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$3,746,570.10</w:t>
            </w:r>
          </w:p>
        </w:tc>
      </w:tr>
    </w:tbl>
    <w:p w14:paraId="55610E12" w14:textId="77777777" w:rsidR="008F6D4A" w:rsidRPr="00284172" w:rsidRDefault="008F6D4A" w:rsidP="008F6D4A">
      <w:pPr>
        <w:rPr>
          <w:rFonts w:eastAsia="Times New Roman" w:cs="Times New Roman"/>
          <w:szCs w:val="24"/>
        </w:rPr>
      </w:pPr>
    </w:p>
    <w:p w14:paraId="55610E13" w14:textId="62D14412" w:rsidR="008F6D4A" w:rsidRDefault="008F6D4A" w:rsidP="008F6D4A">
      <w:pPr>
        <w:jc w:val="center"/>
        <w:rPr>
          <w:rFonts w:eastAsia="Times New Roman" w:cs="Times New Roman"/>
          <w:szCs w:val="24"/>
        </w:rPr>
      </w:pPr>
      <w:r w:rsidRPr="008F6D4A">
        <w:rPr>
          <w:rFonts w:eastAsia="Times New Roman" w:cs="Times New Roman"/>
          <w:szCs w:val="24"/>
        </w:rPr>
        <w:t>Recordkeeping Burden</w:t>
      </w:r>
    </w:p>
    <w:p w14:paraId="55610E14" w14:textId="77777777" w:rsidR="007D22E3" w:rsidRPr="008F6D4A" w:rsidRDefault="007D22E3" w:rsidP="008F6D4A">
      <w:pPr>
        <w:jc w:val="center"/>
        <w:rPr>
          <w:rFonts w:eastAsia="Times New Roman" w:cs="Times New Roman"/>
          <w:szCs w:val="24"/>
        </w:rPr>
      </w:pPr>
    </w:p>
    <w:tbl>
      <w:tblPr>
        <w:tblW w:w="6015"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263"/>
        <w:gridCol w:w="1263"/>
        <w:gridCol w:w="1083"/>
        <w:gridCol w:w="1159"/>
        <w:gridCol w:w="901"/>
        <w:gridCol w:w="1170"/>
        <w:gridCol w:w="1260"/>
        <w:gridCol w:w="903"/>
        <w:gridCol w:w="1258"/>
      </w:tblGrid>
      <w:tr w:rsidR="00567EE5" w:rsidRPr="008F6D4A" w:rsidDel="009C6DB4" w14:paraId="55610E32" w14:textId="77777777" w:rsidTr="00F01379">
        <w:trPr>
          <w:trHeight w:val="1427"/>
        </w:trPr>
        <w:tc>
          <w:tcPr>
            <w:tcW w:w="547" w:type="pct"/>
          </w:tcPr>
          <w:p w14:paraId="55610E15"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p w14:paraId="55610E16"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Regulation(s)</w:t>
            </w:r>
          </w:p>
        </w:tc>
        <w:tc>
          <w:tcPr>
            <w:tcW w:w="548" w:type="pct"/>
          </w:tcPr>
          <w:p w14:paraId="55610E17"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w:t>
            </w:r>
          </w:p>
          <w:p w14:paraId="55610E18"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Estimated Number of Respondents </w:t>
            </w:r>
          </w:p>
          <w:p w14:paraId="55610E19"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p>
        </w:tc>
        <w:tc>
          <w:tcPr>
            <w:tcW w:w="548" w:type="pct"/>
          </w:tcPr>
          <w:p w14:paraId="55610E1A"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w:t>
            </w:r>
          </w:p>
          <w:p w14:paraId="55610E1B"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Number of Reports</w:t>
            </w:r>
          </w:p>
          <w:p w14:paraId="55610E1C"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by Each Respondent</w:t>
            </w:r>
          </w:p>
        </w:tc>
        <w:tc>
          <w:tcPr>
            <w:tcW w:w="470" w:type="pct"/>
          </w:tcPr>
          <w:p w14:paraId="55610E1D"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4.</w:t>
            </w:r>
          </w:p>
          <w:p w14:paraId="55610E1E"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Estimated Average Number of Burden Hours per Response</w:t>
            </w:r>
          </w:p>
        </w:tc>
        <w:tc>
          <w:tcPr>
            <w:tcW w:w="503" w:type="pct"/>
          </w:tcPr>
          <w:p w14:paraId="55610E1F"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w:t>
            </w:r>
          </w:p>
          <w:p w14:paraId="55610E20" w14:textId="7326FFFF" w:rsidR="007D22E3" w:rsidRDefault="002C291D"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Annual </w:t>
            </w:r>
            <w:r w:rsidR="007D22E3" w:rsidRPr="005E41B2">
              <w:rPr>
                <w:rFonts w:ascii="Arial" w:eastAsia="Times New Roman" w:hAnsi="Arial" w:cs="Times New Roman"/>
                <w:b/>
                <w:sz w:val="16"/>
                <w:szCs w:val="16"/>
              </w:rPr>
              <w:t>Number of Burden Hours per Respondent</w:t>
            </w:r>
          </w:p>
          <w:p w14:paraId="55610E21"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391" w:type="pct"/>
          </w:tcPr>
          <w:p w14:paraId="55610E22"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6.</w:t>
            </w:r>
            <w:r w:rsidRPr="005E41B2">
              <w:rPr>
                <w:rFonts w:ascii="Arial" w:eastAsia="Times New Roman" w:hAnsi="Arial" w:cs="Times New Roman"/>
                <w:b/>
                <w:sz w:val="16"/>
                <w:szCs w:val="16"/>
              </w:rPr>
              <w:t xml:space="preserve"> </w:t>
            </w:r>
          </w:p>
          <w:p w14:paraId="55610E23" w14:textId="6375A90D" w:rsidR="007D22E3" w:rsidRDefault="00F27B29"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Estimate of</w:t>
            </w:r>
            <w:r w:rsidR="007D22E3">
              <w:rPr>
                <w:rFonts w:ascii="Arial" w:eastAsia="Times New Roman" w:hAnsi="Arial" w:cs="Times New Roman"/>
                <w:b/>
                <w:sz w:val="16"/>
                <w:szCs w:val="16"/>
              </w:rPr>
              <w:t xml:space="preserve"> </w:t>
            </w:r>
            <w:r w:rsidR="007D22E3" w:rsidRPr="005E41B2">
              <w:rPr>
                <w:rFonts w:ascii="Arial" w:eastAsia="Times New Roman" w:hAnsi="Arial" w:cs="Times New Roman"/>
                <w:b/>
                <w:sz w:val="16"/>
                <w:szCs w:val="16"/>
              </w:rPr>
              <w:t>Average Burden Hour Cost</w:t>
            </w:r>
            <w:r w:rsidR="007D22E3" w:rsidRPr="005E41B2">
              <w:rPr>
                <w:rFonts w:ascii="Arial" w:eastAsia="Times New Roman" w:hAnsi="Arial" w:cs="Times New Roman"/>
                <w:b/>
                <w:sz w:val="16"/>
                <w:szCs w:val="16"/>
                <w:vertAlign w:val="superscript"/>
              </w:rPr>
              <w:footnoteReference w:id="8"/>
            </w:r>
          </w:p>
          <w:p w14:paraId="55610E24"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p>
        </w:tc>
        <w:tc>
          <w:tcPr>
            <w:tcW w:w="508" w:type="pct"/>
          </w:tcPr>
          <w:p w14:paraId="55610E25" w14:textId="77777777" w:rsidR="007D22E3" w:rsidRDefault="007D22E3" w:rsidP="00A910FB">
            <w:pPr>
              <w:jc w:val="center"/>
              <w:rPr>
                <w:rFonts w:ascii="Arial" w:hAnsi="Arial" w:cs="Arial"/>
                <w:b/>
                <w:sz w:val="16"/>
                <w:szCs w:val="16"/>
              </w:rPr>
            </w:pPr>
            <w:r>
              <w:rPr>
                <w:rFonts w:ascii="Arial" w:hAnsi="Arial" w:cs="Arial"/>
                <w:b/>
                <w:sz w:val="16"/>
                <w:szCs w:val="16"/>
              </w:rPr>
              <w:t>7.</w:t>
            </w:r>
          </w:p>
          <w:p w14:paraId="55610E26" w14:textId="77777777" w:rsidR="007D22E3" w:rsidRDefault="007D22E3" w:rsidP="00A910FB">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14:paraId="55610E27" w14:textId="77777777" w:rsidR="007D22E3" w:rsidRPr="005E41B2" w:rsidRDefault="007D22E3" w:rsidP="00A910FB">
            <w:pPr>
              <w:jc w:val="center"/>
              <w:rPr>
                <w:rFonts w:ascii="Arial" w:hAnsi="Arial" w:cs="Arial"/>
                <w:b/>
                <w:sz w:val="16"/>
                <w:szCs w:val="16"/>
              </w:rPr>
            </w:pPr>
            <w:r>
              <w:rPr>
                <w:rFonts w:ascii="Arial" w:hAnsi="Arial" w:cs="Arial"/>
                <w:b/>
                <w:sz w:val="16"/>
                <w:szCs w:val="16"/>
              </w:rPr>
              <w:t>(5 x 6)</w:t>
            </w:r>
          </w:p>
        </w:tc>
        <w:tc>
          <w:tcPr>
            <w:tcW w:w="547" w:type="pct"/>
          </w:tcPr>
          <w:p w14:paraId="55610E28"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8.</w:t>
            </w:r>
          </w:p>
          <w:p w14:paraId="55610E29"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Total Annual</w:t>
            </w:r>
          </w:p>
          <w:p w14:paraId="55610E2A"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Responses</w:t>
            </w:r>
          </w:p>
          <w:p w14:paraId="55610E2B"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(2 x 3)</w:t>
            </w:r>
          </w:p>
        </w:tc>
        <w:tc>
          <w:tcPr>
            <w:tcW w:w="392" w:type="pct"/>
          </w:tcPr>
          <w:p w14:paraId="55610E2C" w14:textId="77777777" w:rsidR="007D22E3" w:rsidRPr="00C91CB5"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9</w:t>
            </w:r>
            <w:r w:rsidRPr="00C91CB5">
              <w:rPr>
                <w:rFonts w:ascii="Arial" w:eastAsia="Times New Roman" w:hAnsi="Arial" w:cs="Times New Roman"/>
                <w:b/>
                <w:sz w:val="16"/>
                <w:szCs w:val="16"/>
              </w:rPr>
              <w:t>.</w:t>
            </w:r>
          </w:p>
          <w:p w14:paraId="55610E2D" w14:textId="45BE08CB" w:rsidR="007D22E3" w:rsidRDefault="002C291D"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Total Annual</w:t>
            </w:r>
            <w:r w:rsidR="007D22E3" w:rsidRPr="00C91CB5">
              <w:rPr>
                <w:rFonts w:ascii="Arial" w:eastAsia="Times New Roman" w:hAnsi="Arial" w:cs="Times New Roman"/>
                <w:b/>
                <w:sz w:val="16"/>
                <w:szCs w:val="16"/>
              </w:rPr>
              <w:t xml:space="preserve"> Number of Burden Hours</w:t>
            </w:r>
          </w:p>
          <w:p w14:paraId="55610E2E"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46" w:type="pct"/>
          </w:tcPr>
          <w:p w14:paraId="55610E2F"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10.</w:t>
            </w:r>
          </w:p>
          <w:p w14:paraId="55610E30"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Total Annual </w:t>
            </w:r>
            <w:r>
              <w:rPr>
                <w:rFonts w:ascii="Arial" w:eastAsia="Times New Roman" w:hAnsi="Arial" w:cs="Times New Roman"/>
                <w:b/>
                <w:sz w:val="16"/>
                <w:szCs w:val="16"/>
              </w:rPr>
              <w:t>Burden Hour Cost of A</w:t>
            </w:r>
            <w:r w:rsidRPr="005E41B2">
              <w:rPr>
                <w:rFonts w:ascii="Arial" w:eastAsia="Times New Roman" w:hAnsi="Arial" w:cs="Times New Roman"/>
                <w:b/>
                <w:sz w:val="16"/>
                <w:szCs w:val="16"/>
              </w:rPr>
              <w:t xml:space="preserve">ll </w:t>
            </w:r>
            <w:r>
              <w:rPr>
                <w:rFonts w:ascii="Arial" w:eastAsia="Times New Roman" w:hAnsi="Arial" w:cs="Times New Roman"/>
                <w:b/>
                <w:sz w:val="16"/>
                <w:szCs w:val="16"/>
              </w:rPr>
              <w:t>R</w:t>
            </w:r>
            <w:r w:rsidRPr="005E41B2">
              <w:rPr>
                <w:rFonts w:ascii="Arial" w:eastAsia="Times New Roman" w:hAnsi="Arial" w:cs="Times New Roman"/>
                <w:b/>
                <w:sz w:val="16"/>
                <w:szCs w:val="16"/>
              </w:rPr>
              <w:t>esponses</w:t>
            </w:r>
          </w:p>
          <w:p w14:paraId="55610E31" w14:textId="77777777" w:rsidR="007D22E3" w:rsidRPr="005E41B2" w:rsidDel="009C6DB4"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567EE5" w:rsidRPr="004D0658" w14:paraId="55610E3D" w14:textId="77777777" w:rsidTr="00F01379">
        <w:trPr>
          <w:trHeight w:val="977"/>
        </w:trPr>
        <w:tc>
          <w:tcPr>
            <w:tcW w:w="547" w:type="pct"/>
          </w:tcPr>
          <w:p w14:paraId="55610E33" w14:textId="51101629" w:rsidR="007D22E3" w:rsidRPr="004D0658" w:rsidRDefault="000F12D9" w:rsidP="00A910FB">
            <w:pPr>
              <w:tabs>
                <w:tab w:val="left" w:pos="-720"/>
                <w:tab w:val="left" w:pos="0"/>
              </w:tabs>
              <w:suppressAutoHyphens/>
              <w:jc w:val="center"/>
              <w:rPr>
                <w:rFonts w:ascii="Arial" w:eastAsia="Times New Roman" w:hAnsi="Arial" w:cs="Times New Roman"/>
                <w:sz w:val="16"/>
                <w:szCs w:val="16"/>
              </w:rPr>
            </w:pPr>
            <w:r w:rsidRPr="004D0658">
              <w:rPr>
                <w:rFonts w:ascii="Arial" w:eastAsia="Times New Roman" w:hAnsi="Arial" w:cs="Times New Roman"/>
                <w:sz w:val="16"/>
                <w:szCs w:val="16"/>
              </w:rPr>
              <w:t>45.2</w:t>
            </w:r>
            <w:r w:rsidR="00F27B29">
              <w:rPr>
                <w:rFonts w:ascii="Arial" w:eastAsia="Times New Roman" w:hAnsi="Arial" w:cs="Times New Roman"/>
                <w:sz w:val="16"/>
                <w:szCs w:val="16"/>
              </w:rPr>
              <w:t>(f) and (g)</w:t>
            </w:r>
          </w:p>
        </w:tc>
        <w:tc>
          <w:tcPr>
            <w:tcW w:w="548" w:type="pct"/>
          </w:tcPr>
          <w:p w14:paraId="55610E34" w14:textId="2145EEF5" w:rsidR="007D22E3" w:rsidRPr="004D0658" w:rsidRDefault="004D0658" w:rsidP="00A910FB">
            <w:pPr>
              <w:tabs>
                <w:tab w:val="left" w:pos="-720"/>
                <w:tab w:val="left" w:pos="0"/>
              </w:tabs>
              <w:suppressAutoHyphens/>
              <w:jc w:val="center"/>
              <w:rPr>
                <w:rFonts w:ascii="Arial" w:eastAsia="Times New Roman" w:hAnsi="Arial" w:cs="Times New Roman"/>
                <w:sz w:val="16"/>
                <w:szCs w:val="16"/>
              </w:rPr>
            </w:pPr>
            <w:r w:rsidRPr="004D0658">
              <w:rPr>
                <w:rFonts w:ascii="Arial" w:eastAsia="Times New Roman" w:hAnsi="Arial" w:cs="Times New Roman"/>
                <w:sz w:val="16"/>
                <w:szCs w:val="16"/>
              </w:rPr>
              <w:t>3</w:t>
            </w:r>
            <w:r w:rsidR="00877032">
              <w:rPr>
                <w:rFonts w:ascii="Arial" w:eastAsia="Times New Roman" w:hAnsi="Arial" w:cs="Times New Roman"/>
                <w:sz w:val="16"/>
                <w:szCs w:val="16"/>
              </w:rPr>
              <w:t xml:space="preserve"> SDR</w:t>
            </w:r>
          </w:p>
        </w:tc>
        <w:tc>
          <w:tcPr>
            <w:tcW w:w="548" w:type="pct"/>
          </w:tcPr>
          <w:p w14:paraId="55610E35" w14:textId="7D96D2AB" w:rsidR="007D22E3" w:rsidRPr="004D0658" w:rsidRDefault="00F27B29"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(154,301,679)</w:t>
            </w:r>
          </w:p>
        </w:tc>
        <w:tc>
          <w:tcPr>
            <w:tcW w:w="470" w:type="pct"/>
          </w:tcPr>
          <w:p w14:paraId="55610E36" w14:textId="5DBCDD68" w:rsidR="007D22E3" w:rsidRPr="004D0658" w:rsidRDefault="00B437CC"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.0000003</w:t>
            </w:r>
          </w:p>
        </w:tc>
        <w:tc>
          <w:tcPr>
            <w:tcW w:w="503" w:type="pct"/>
          </w:tcPr>
          <w:p w14:paraId="55610E37" w14:textId="233299A0" w:rsidR="007D22E3" w:rsidRPr="004D0658" w:rsidRDefault="004D0658" w:rsidP="00A910FB">
            <w:pPr>
              <w:tabs>
                <w:tab w:val="left" w:pos="-720"/>
                <w:tab w:val="left" w:pos="0"/>
              </w:tabs>
              <w:suppressAutoHyphens/>
              <w:jc w:val="center"/>
              <w:rPr>
                <w:rFonts w:ascii="Arial" w:eastAsia="Times New Roman" w:hAnsi="Arial" w:cs="Times New Roman"/>
                <w:sz w:val="16"/>
                <w:szCs w:val="16"/>
              </w:rPr>
            </w:pPr>
            <w:r w:rsidRPr="004D0658">
              <w:rPr>
                <w:rFonts w:ascii="Arial" w:eastAsia="Times New Roman" w:hAnsi="Arial" w:cs="Times New Roman"/>
                <w:sz w:val="16"/>
                <w:szCs w:val="16"/>
              </w:rPr>
              <w:t>(50)</w:t>
            </w:r>
          </w:p>
        </w:tc>
        <w:tc>
          <w:tcPr>
            <w:tcW w:w="391" w:type="pct"/>
          </w:tcPr>
          <w:p w14:paraId="55610E38" w14:textId="5C111C0E" w:rsidR="007D22E3" w:rsidRPr="004D0658" w:rsidRDefault="00F27B29"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$72.23</w:t>
            </w:r>
          </w:p>
        </w:tc>
        <w:tc>
          <w:tcPr>
            <w:tcW w:w="508" w:type="pct"/>
          </w:tcPr>
          <w:p w14:paraId="55610E39" w14:textId="0B56B6D7" w:rsidR="007D22E3" w:rsidRPr="004D0658" w:rsidRDefault="00F27B29" w:rsidP="00A910FB">
            <w:pPr>
              <w:rPr>
                <w:rFonts w:ascii="Arial" w:hAnsi="Arial" w:cs="Arial"/>
                <w:sz w:val="16"/>
                <w:szCs w:val="16"/>
              </w:rPr>
            </w:pPr>
            <w:r>
              <w:rPr>
                <w:rFonts w:ascii="Arial" w:hAnsi="Arial" w:cs="Arial"/>
                <w:sz w:val="16"/>
                <w:szCs w:val="16"/>
              </w:rPr>
              <w:t>($3,611.50)</w:t>
            </w:r>
          </w:p>
        </w:tc>
        <w:tc>
          <w:tcPr>
            <w:tcW w:w="547" w:type="pct"/>
          </w:tcPr>
          <w:p w14:paraId="55610E3A" w14:textId="6FC44BE0" w:rsidR="007D22E3" w:rsidRPr="004D0658" w:rsidRDefault="00F27B29"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(462,905,036)</w:t>
            </w:r>
          </w:p>
        </w:tc>
        <w:tc>
          <w:tcPr>
            <w:tcW w:w="392" w:type="pct"/>
          </w:tcPr>
          <w:p w14:paraId="55610E3B" w14:textId="78B63EE7" w:rsidR="007D22E3" w:rsidRPr="004D0658" w:rsidRDefault="004D0658" w:rsidP="00A910FB">
            <w:pPr>
              <w:tabs>
                <w:tab w:val="left" w:pos="-720"/>
                <w:tab w:val="left" w:pos="0"/>
              </w:tabs>
              <w:suppressAutoHyphens/>
              <w:jc w:val="center"/>
              <w:rPr>
                <w:rFonts w:ascii="Arial" w:eastAsia="Times New Roman" w:hAnsi="Arial" w:cs="Times New Roman"/>
                <w:sz w:val="16"/>
                <w:szCs w:val="16"/>
              </w:rPr>
            </w:pPr>
            <w:r w:rsidRPr="004D0658">
              <w:rPr>
                <w:rFonts w:ascii="Arial" w:eastAsia="Times New Roman" w:hAnsi="Arial" w:cs="Times New Roman"/>
                <w:sz w:val="16"/>
                <w:szCs w:val="16"/>
              </w:rPr>
              <w:t>(150)</w:t>
            </w:r>
          </w:p>
        </w:tc>
        <w:tc>
          <w:tcPr>
            <w:tcW w:w="546" w:type="pct"/>
          </w:tcPr>
          <w:p w14:paraId="55610E3C" w14:textId="66CC4283" w:rsidR="007D22E3" w:rsidRPr="004D0658" w:rsidRDefault="00F27B29"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($10,834.50)</w:t>
            </w:r>
          </w:p>
        </w:tc>
      </w:tr>
    </w:tbl>
    <w:p w14:paraId="55610E49" w14:textId="77777777" w:rsidR="008F6D4A" w:rsidRPr="008F6D4A" w:rsidRDefault="008F6D4A" w:rsidP="008F6D4A">
      <w:pPr>
        <w:jc w:val="center"/>
        <w:rPr>
          <w:rFonts w:eastAsia="Times New Roman" w:cs="Times New Roman"/>
          <w:szCs w:val="24"/>
        </w:rPr>
      </w:pPr>
    </w:p>
    <w:p w14:paraId="55610E80" w14:textId="77777777" w:rsidR="008F6D4A" w:rsidRPr="008F6D4A" w:rsidRDefault="008F6D4A" w:rsidP="008F6D4A">
      <w:pPr>
        <w:jc w:val="center"/>
        <w:rPr>
          <w:rFonts w:eastAsia="Times New Roman" w:cs="Times New Roman"/>
          <w:szCs w:val="24"/>
        </w:rPr>
      </w:pPr>
    </w:p>
    <w:p w14:paraId="55610E81" w14:textId="77777777" w:rsidR="00585718" w:rsidRDefault="00585718" w:rsidP="008F6D4A">
      <w:pPr>
        <w:tabs>
          <w:tab w:val="left" w:pos="-720"/>
          <w:tab w:val="left" w:pos="0"/>
        </w:tabs>
        <w:suppressAutoHyphens/>
        <w:ind w:left="720" w:hanging="720"/>
      </w:pPr>
    </w:p>
    <w:sectPr w:rsidR="00585718"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10E89" w14:textId="77777777" w:rsidR="009C6DB4" w:rsidRDefault="009C6DB4" w:rsidP="009C6DB4">
      <w:r>
        <w:separator/>
      </w:r>
    </w:p>
  </w:endnote>
  <w:endnote w:type="continuationSeparator" w:id="0">
    <w:p w14:paraId="55610E8A" w14:textId="77777777" w:rsidR="009C6DB4" w:rsidRDefault="009C6DB4"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10E87" w14:textId="77777777" w:rsidR="009C6DB4" w:rsidRDefault="009C6DB4" w:rsidP="009C6DB4">
      <w:r>
        <w:separator/>
      </w:r>
    </w:p>
  </w:footnote>
  <w:footnote w:type="continuationSeparator" w:id="0">
    <w:p w14:paraId="55610E88" w14:textId="77777777" w:rsidR="009C6DB4" w:rsidRDefault="009C6DB4" w:rsidP="009C6DB4">
      <w:r>
        <w:continuationSeparator/>
      </w:r>
    </w:p>
  </w:footnote>
  <w:footnote w:id="1">
    <w:p w14:paraId="314CC650" w14:textId="77777777" w:rsidR="00730FF7" w:rsidRPr="00414DBF" w:rsidRDefault="00730FF7" w:rsidP="00730FF7">
      <w:pPr>
        <w:pStyle w:val="PlainText"/>
        <w:spacing w:before="120" w:after="120"/>
        <w:rPr>
          <w:rFonts w:ascii="Times New Roman" w:hAnsi="Times New Roman"/>
          <w:sz w:val="20"/>
          <w:szCs w:val="20"/>
        </w:rPr>
      </w:pPr>
      <w:r w:rsidRPr="00414DBF">
        <w:rPr>
          <w:rStyle w:val="FootnoteReference"/>
          <w:rFonts w:ascii="Times New Roman" w:hAnsi="Times New Roman"/>
          <w:sz w:val="20"/>
          <w:szCs w:val="20"/>
        </w:rPr>
        <w:footnoteRef/>
      </w:r>
      <w:r w:rsidRPr="00414DBF">
        <w:rPr>
          <w:rFonts w:ascii="Times New Roman" w:hAnsi="Times New Roman"/>
          <w:sz w:val="20"/>
          <w:szCs w:val="20"/>
        </w:rPr>
        <w:t xml:space="preserve"> </w:t>
      </w:r>
      <w:r w:rsidRPr="00414DBF">
        <w:rPr>
          <w:rFonts w:ascii="Times New Roman" w:hAnsi="Times New Roman"/>
          <w:i/>
          <w:sz w:val="20"/>
          <w:szCs w:val="20"/>
        </w:rPr>
        <w:t>See</w:t>
      </w:r>
      <w:r w:rsidRPr="00414DBF">
        <w:rPr>
          <w:rFonts w:ascii="Times New Roman" w:hAnsi="Times New Roman"/>
          <w:sz w:val="20"/>
          <w:szCs w:val="20"/>
        </w:rPr>
        <w:t xml:space="preserve"> Dodd-Frank Wall Street Reform and Consumer Protection Act, Pub. L. No. 111-203, 124 Stat. 1376 (2010).</w:t>
      </w:r>
    </w:p>
  </w:footnote>
  <w:footnote w:id="2">
    <w:p w14:paraId="6960AC3F" w14:textId="77777777" w:rsidR="00730FF7" w:rsidRPr="00414DBF" w:rsidRDefault="00730FF7" w:rsidP="00730FF7">
      <w:pPr>
        <w:pStyle w:val="FootnoteText"/>
        <w:spacing w:before="120" w:after="120"/>
        <w:rPr>
          <w:i/>
        </w:rPr>
      </w:pPr>
      <w:r w:rsidRPr="00414DBF">
        <w:rPr>
          <w:rStyle w:val="FootnoteReference"/>
        </w:rPr>
        <w:footnoteRef/>
      </w:r>
      <w:r w:rsidRPr="00414DBF">
        <w:t xml:space="preserve"> 7 U.S.C. 1 </w:t>
      </w:r>
      <w:r w:rsidRPr="00881B9B">
        <w:rPr>
          <w:i/>
        </w:rPr>
        <w:t>et seq.</w:t>
      </w:r>
    </w:p>
  </w:footnote>
  <w:footnote w:id="3">
    <w:p w14:paraId="078A9BC4" w14:textId="6743E2E4" w:rsidR="005F41E1" w:rsidRPr="005F41E1" w:rsidRDefault="005F41E1">
      <w:pPr>
        <w:pStyle w:val="FootnoteText"/>
      </w:pPr>
      <w:r>
        <w:rPr>
          <w:rStyle w:val="FootnoteReference"/>
        </w:rPr>
        <w:footnoteRef/>
      </w:r>
      <w:r>
        <w:t xml:space="preserve"> </w:t>
      </w:r>
      <w:r w:rsidRPr="005F41E1">
        <w:rPr>
          <w:i/>
        </w:rPr>
        <w:t>See</w:t>
      </w:r>
      <w:r>
        <w:t xml:space="preserve"> </w:t>
      </w:r>
      <w:r w:rsidRPr="005F41E1">
        <w:t>17</w:t>
      </w:r>
      <w:r>
        <w:t xml:space="preserve"> CFR 45; </w:t>
      </w:r>
      <w:r>
        <w:rPr>
          <w:i/>
        </w:rPr>
        <w:t xml:space="preserve">see also </w:t>
      </w:r>
      <w:r>
        <w:t>77 FR 2136 (January 13, 2012).</w:t>
      </w:r>
    </w:p>
  </w:footnote>
  <w:footnote w:id="4">
    <w:p w14:paraId="49C703DA" w14:textId="77777777" w:rsidR="00AC5827" w:rsidRPr="009A6B18" w:rsidRDefault="00AC5827" w:rsidP="00AC5827">
      <w:pPr>
        <w:pStyle w:val="FootnoteText"/>
      </w:pPr>
      <w:r w:rsidRPr="00414DBF">
        <w:rPr>
          <w:rStyle w:val="FootnoteReference"/>
        </w:rPr>
        <w:footnoteRef/>
      </w:r>
      <w:r w:rsidRPr="00414DBF">
        <w:t xml:space="preserve"> </w:t>
      </w:r>
      <w:r w:rsidRPr="00414DBF">
        <w:rPr>
          <w:i/>
        </w:rPr>
        <w:t>See</w:t>
      </w:r>
      <w:r w:rsidRPr="00414DBF">
        <w:t xml:space="preserve"> CFTC Letter 17-33, Division of Market Oversight Announces Review of Swap Reporting Rules in Parts 43, 45, and 49 of Commission Regulations (July 10, 2017), </w:t>
      </w:r>
      <w:r w:rsidRPr="00414DBF">
        <w:rPr>
          <w:i/>
        </w:rPr>
        <w:t>available at</w:t>
      </w:r>
      <w:r w:rsidRPr="00414DBF">
        <w:t xml:space="preserve"> http://www.cftc.gov/idc/groups/public/@lrlettergeneral/documents/letter/17-33.pdf; Roadmap to Achieve High Quality Swap Data, </w:t>
      </w:r>
      <w:r w:rsidRPr="00414DBF">
        <w:rPr>
          <w:i/>
        </w:rPr>
        <w:t>available at</w:t>
      </w:r>
      <w:r w:rsidRPr="00414DBF">
        <w:t xml:space="preserve"> http://www.cftc.gov/idc/groups/public/@newsroom/documents/file/dmo_swapdataplan071017.pdf.</w:t>
      </w:r>
      <w:r w:rsidRPr="00C47600">
        <w:t xml:space="preserve"> </w:t>
      </w:r>
    </w:p>
  </w:footnote>
  <w:footnote w:id="5">
    <w:p w14:paraId="3477B1FB" w14:textId="18213040" w:rsidR="0063799D" w:rsidRDefault="0063799D">
      <w:pPr>
        <w:pStyle w:val="FootnoteText"/>
      </w:pPr>
      <w:r>
        <w:rPr>
          <w:rStyle w:val="FootnoteReference"/>
        </w:rPr>
        <w:footnoteRef/>
      </w:r>
      <w:r>
        <w:t xml:space="preserve"> The Commission notes that there is no corresponding increase in the burden hours related to this proposed change to Information Collection 3038-0096 in the proposed changes to Information Collection 3038-0086 (the Commission’s information collecti</w:t>
      </w:r>
      <w:r w:rsidR="002E5A4F">
        <w:t>on related to P</w:t>
      </w:r>
      <w:r>
        <w:t>art 49) because § 49.12 already incorporates the requirements of § 45.2(f) and (g). As a result, the burden hours associated with § 45.2(f) and (g) are already included within the recordkeeping burdens of Information Collection 3038-0086.</w:t>
      </w:r>
      <w:r w:rsidR="00583C42">
        <w:t xml:space="preserve"> The Commission does not anticipate any change in the recordkeeping burden hours requirements for SDRs due to proposed §§ 45.2(f) and (g) and 49.12.</w:t>
      </w:r>
    </w:p>
  </w:footnote>
  <w:footnote w:id="6">
    <w:p w14:paraId="46EBA932" w14:textId="77777777" w:rsidR="00D97E72" w:rsidRPr="00882021" w:rsidRDefault="00D97E72" w:rsidP="00D97E72">
      <w:pPr>
        <w:pStyle w:val="FootnoteText"/>
        <w:rPr>
          <w:rFonts w:cs="Times New Roman"/>
        </w:rPr>
      </w:pPr>
      <w:r w:rsidRPr="00882021">
        <w:rPr>
          <w:rStyle w:val="FootnoteReference"/>
          <w:rFonts w:cs="Times New Roman"/>
        </w:rPr>
        <w:footnoteRef/>
      </w:r>
      <w:r w:rsidRPr="00882021">
        <w:rPr>
          <w:rFonts w:cs="Times New Roman"/>
        </w:rPr>
        <w:t xml:space="preserve"> The BLS Occupational Employment and Wages Report is available at https://www.bls.gov/oes/current/naics4_523000.htm.</w:t>
      </w:r>
    </w:p>
  </w:footnote>
  <w:footnote w:id="7">
    <w:p w14:paraId="55610E91" w14:textId="7DD91E40" w:rsidR="007D22E3" w:rsidRPr="00FE503D" w:rsidRDefault="007D22E3" w:rsidP="007D22E3">
      <w:pPr>
        <w:pStyle w:val="FootnoteText"/>
        <w:rPr>
          <w:sz w:val="16"/>
          <w:szCs w:val="16"/>
        </w:rPr>
      </w:pPr>
      <w:r>
        <w:rPr>
          <w:rStyle w:val="FootnoteReference"/>
        </w:rPr>
        <w:footnoteRef/>
      </w:r>
      <w:r w:rsidR="000F12D9">
        <w:t xml:space="preserve"> </w:t>
      </w:r>
      <w:r w:rsidR="000F12D9" w:rsidRPr="000F12D9">
        <w:t>As described above in the answer to question 13, the Commission calculated the average wage rate to $72.23.</w:t>
      </w:r>
    </w:p>
  </w:footnote>
  <w:footnote w:id="8">
    <w:p w14:paraId="55610E92" w14:textId="10596A62" w:rsidR="007D22E3" w:rsidRPr="000F12D9" w:rsidRDefault="007D22E3" w:rsidP="007D22E3">
      <w:pPr>
        <w:pStyle w:val="FootnoteText"/>
      </w:pPr>
      <w:r w:rsidRPr="000F12D9">
        <w:rPr>
          <w:rStyle w:val="FootnoteReference"/>
        </w:rPr>
        <w:footnoteRef/>
      </w:r>
      <w:r w:rsidR="000F12D9" w:rsidRPr="000F12D9">
        <w:t xml:space="preserve"> As described above in the answer to question 13, the Commission calculated the average wage rate to $72.23.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19FA"/>
    <w:multiLevelType w:val="hybridMultilevel"/>
    <w:tmpl w:val="8D94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E6B27"/>
    <w:multiLevelType w:val="hybridMultilevel"/>
    <w:tmpl w:val="EB326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23D6DFF"/>
    <w:multiLevelType w:val="hybridMultilevel"/>
    <w:tmpl w:val="2342DF3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2157D"/>
    <w:rsid w:val="00034BD0"/>
    <w:rsid w:val="00041C91"/>
    <w:rsid w:val="0004355F"/>
    <w:rsid w:val="00045DA5"/>
    <w:rsid w:val="000576BF"/>
    <w:rsid w:val="00072761"/>
    <w:rsid w:val="000803D6"/>
    <w:rsid w:val="00080AAB"/>
    <w:rsid w:val="000835FF"/>
    <w:rsid w:val="00083F72"/>
    <w:rsid w:val="000C3307"/>
    <w:rsid w:val="000E0987"/>
    <w:rsid w:val="000F12D9"/>
    <w:rsid w:val="00116FC7"/>
    <w:rsid w:val="0012080B"/>
    <w:rsid w:val="001263D4"/>
    <w:rsid w:val="001340BA"/>
    <w:rsid w:val="001577B2"/>
    <w:rsid w:val="00176391"/>
    <w:rsid w:val="00180982"/>
    <w:rsid w:val="001864E0"/>
    <w:rsid w:val="00192A3B"/>
    <w:rsid w:val="001946BF"/>
    <w:rsid w:val="001D493A"/>
    <w:rsid w:val="001D7B90"/>
    <w:rsid w:val="00200207"/>
    <w:rsid w:val="00233D65"/>
    <w:rsid w:val="00243435"/>
    <w:rsid w:val="00250179"/>
    <w:rsid w:val="002600FA"/>
    <w:rsid w:val="00260C07"/>
    <w:rsid w:val="0027708A"/>
    <w:rsid w:val="00284172"/>
    <w:rsid w:val="002879E8"/>
    <w:rsid w:val="002A1EE4"/>
    <w:rsid w:val="002C291D"/>
    <w:rsid w:val="002C7E70"/>
    <w:rsid w:val="002D0489"/>
    <w:rsid w:val="002E05BD"/>
    <w:rsid w:val="002E5A4F"/>
    <w:rsid w:val="002F1E80"/>
    <w:rsid w:val="003034A1"/>
    <w:rsid w:val="0030413D"/>
    <w:rsid w:val="00307E70"/>
    <w:rsid w:val="003256A6"/>
    <w:rsid w:val="00330DF8"/>
    <w:rsid w:val="00335AB1"/>
    <w:rsid w:val="00352140"/>
    <w:rsid w:val="00356DB6"/>
    <w:rsid w:val="003607A6"/>
    <w:rsid w:val="003677B4"/>
    <w:rsid w:val="00370522"/>
    <w:rsid w:val="0037312F"/>
    <w:rsid w:val="0037421B"/>
    <w:rsid w:val="003755F4"/>
    <w:rsid w:val="003813FB"/>
    <w:rsid w:val="0039653B"/>
    <w:rsid w:val="003E7084"/>
    <w:rsid w:val="00407723"/>
    <w:rsid w:val="00422FB0"/>
    <w:rsid w:val="00443D7B"/>
    <w:rsid w:val="0044799F"/>
    <w:rsid w:val="00450348"/>
    <w:rsid w:val="004618A5"/>
    <w:rsid w:val="00476AB6"/>
    <w:rsid w:val="00485352"/>
    <w:rsid w:val="004917AF"/>
    <w:rsid w:val="00492597"/>
    <w:rsid w:val="004A5230"/>
    <w:rsid w:val="004A5F11"/>
    <w:rsid w:val="004C2276"/>
    <w:rsid w:val="004D0658"/>
    <w:rsid w:val="004D4BEA"/>
    <w:rsid w:val="004F0500"/>
    <w:rsid w:val="004F4C42"/>
    <w:rsid w:val="00505251"/>
    <w:rsid w:val="00525395"/>
    <w:rsid w:val="005411BE"/>
    <w:rsid w:val="00541DEE"/>
    <w:rsid w:val="005503C6"/>
    <w:rsid w:val="00554929"/>
    <w:rsid w:val="00557EF2"/>
    <w:rsid w:val="00567EE5"/>
    <w:rsid w:val="00577F1F"/>
    <w:rsid w:val="00583C42"/>
    <w:rsid w:val="00585718"/>
    <w:rsid w:val="005D34A0"/>
    <w:rsid w:val="005E41B2"/>
    <w:rsid w:val="005E4E5C"/>
    <w:rsid w:val="005F316D"/>
    <w:rsid w:val="005F41E1"/>
    <w:rsid w:val="00604945"/>
    <w:rsid w:val="00607D38"/>
    <w:rsid w:val="00615248"/>
    <w:rsid w:val="006243BC"/>
    <w:rsid w:val="0063622E"/>
    <w:rsid w:val="00637711"/>
    <w:rsid w:val="0063799D"/>
    <w:rsid w:val="00640784"/>
    <w:rsid w:val="00642B6A"/>
    <w:rsid w:val="00653547"/>
    <w:rsid w:val="00667CD6"/>
    <w:rsid w:val="00682896"/>
    <w:rsid w:val="00697065"/>
    <w:rsid w:val="006B2A40"/>
    <w:rsid w:val="007029A9"/>
    <w:rsid w:val="00715F21"/>
    <w:rsid w:val="007220F2"/>
    <w:rsid w:val="00730FF7"/>
    <w:rsid w:val="007320D2"/>
    <w:rsid w:val="00736C38"/>
    <w:rsid w:val="0074122B"/>
    <w:rsid w:val="00747BF5"/>
    <w:rsid w:val="00751B4D"/>
    <w:rsid w:val="00755826"/>
    <w:rsid w:val="0076443A"/>
    <w:rsid w:val="007724B6"/>
    <w:rsid w:val="00781968"/>
    <w:rsid w:val="0078471A"/>
    <w:rsid w:val="007B1735"/>
    <w:rsid w:val="007B7CE3"/>
    <w:rsid w:val="007C5B3F"/>
    <w:rsid w:val="007D22E3"/>
    <w:rsid w:val="007E10D4"/>
    <w:rsid w:val="007F27F5"/>
    <w:rsid w:val="007F3179"/>
    <w:rsid w:val="00836741"/>
    <w:rsid w:val="008435FA"/>
    <w:rsid w:val="00843603"/>
    <w:rsid w:val="00854BF4"/>
    <w:rsid w:val="00860155"/>
    <w:rsid w:val="00877032"/>
    <w:rsid w:val="00882745"/>
    <w:rsid w:val="008B2C3B"/>
    <w:rsid w:val="008F2F98"/>
    <w:rsid w:val="008F6D4A"/>
    <w:rsid w:val="00902356"/>
    <w:rsid w:val="009138D7"/>
    <w:rsid w:val="009309EC"/>
    <w:rsid w:val="00942E2B"/>
    <w:rsid w:val="00963975"/>
    <w:rsid w:val="0099690D"/>
    <w:rsid w:val="009B1E93"/>
    <w:rsid w:val="009B2F52"/>
    <w:rsid w:val="009C6DB4"/>
    <w:rsid w:val="009D00FB"/>
    <w:rsid w:val="00A257E3"/>
    <w:rsid w:val="00A34FBC"/>
    <w:rsid w:val="00A54471"/>
    <w:rsid w:val="00A6456C"/>
    <w:rsid w:val="00A70480"/>
    <w:rsid w:val="00A708B1"/>
    <w:rsid w:val="00A83FCB"/>
    <w:rsid w:val="00AB00BD"/>
    <w:rsid w:val="00AC2529"/>
    <w:rsid w:val="00AC5827"/>
    <w:rsid w:val="00AC59BE"/>
    <w:rsid w:val="00AD0B9F"/>
    <w:rsid w:val="00AE008D"/>
    <w:rsid w:val="00B00E4F"/>
    <w:rsid w:val="00B1090B"/>
    <w:rsid w:val="00B328FB"/>
    <w:rsid w:val="00B33652"/>
    <w:rsid w:val="00B437CC"/>
    <w:rsid w:val="00B6776C"/>
    <w:rsid w:val="00B74CE1"/>
    <w:rsid w:val="00B86819"/>
    <w:rsid w:val="00B90465"/>
    <w:rsid w:val="00B91704"/>
    <w:rsid w:val="00BA0A82"/>
    <w:rsid w:val="00BB0BDA"/>
    <w:rsid w:val="00BC2176"/>
    <w:rsid w:val="00BE3923"/>
    <w:rsid w:val="00BE6AC8"/>
    <w:rsid w:val="00BF5C1A"/>
    <w:rsid w:val="00C032F4"/>
    <w:rsid w:val="00C03FBF"/>
    <w:rsid w:val="00C07AF7"/>
    <w:rsid w:val="00C173E1"/>
    <w:rsid w:val="00C2000F"/>
    <w:rsid w:val="00C23A3C"/>
    <w:rsid w:val="00C91CB5"/>
    <w:rsid w:val="00C9497A"/>
    <w:rsid w:val="00CF1C34"/>
    <w:rsid w:val="00D12FEB"/>
    <w:rsid w:val="00D25BD2"/>
    <w:rsid w:val="00D27AE8"/>
    <w:rsid w:val="00D37F72"/>
    <w:rsid w:val="00D56A90"/>
    <w:rsid w:val="00D945B5"/>
    <w:rsid w:val="00D97E72"/>
    <w:rsid w:val="00DB00E1"/>
    <w:rsid w:val="00DB1AD1"/>
    <w:rsid w:val="00DB7297"/>
    <w:rsid w:val="00DC5A48"/>
    <w:rsid w:val="00DC77C0"/>
    <w:rsid w:val="00DD36CC"/>
    <w:rsid w:val="00DD51EE"/>
    <w:rsid w:val="00E15E4F"/>
    <w:rsid w:val="00E446C6"/>
    <w:rsid w:val="00E73A61"/>
    <w:rsid w:val="00E87F36"/>
    <w:rsid w:val="00E87F90"/>
    <w:rsid w:val="00EB0FA7"/>
    <w:rsid w:val="00EC238C"/>
    <w:rsid w:val="00EE575D"/>
    <w:rsid w:val="00F01379"/>
    <w:rsid w:val="00F02CC0"/>
    <w:rsid w:val="00F21958"/>
    <w:rsid w:val="00F27B29"/>
    <w:rsid w:val="00F378A6"/>
    <w:rsid w:val="00F4707F"/>
    <w:rsid w:val="00F568E5"/>
    <w:rsid w:val="00F64BF3"/>
    <w:rsid w:val="00F80736"/>
    <w:rsid w:val="00F825B7"/>
    <w:rsid w:val="00FA7B73"/>
    <w:rsid w:val="00FB0145"/>
    <w:rsid w:val="00FB5FCD"/>
    <w:rsid w:val="00FC54D4"/>
    <w:rsid w:val="00FD6D7D"/>
    <w:rsid w:val="00FE1133"/>
    <w:rsid w:val="00FE503D"/>
    <w:rsid w:val="00FE6FE8"/>
    <w:rsid w:val="00FF2A3A"/>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61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uiPriority w:val="99"/>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ListParagraph">
    <w:name w:val="List Paragraph"/>
    <w:basedOn w:val="Normal"/>
    <w:uiPriority w:val="34"/>
    <w:qFormat/>
    <w:rsid w:val="00615248"/>
    <w:pPr>
      <w:ind w:left="720"/>
      <w:contextualSpacing/>
    </w:pPr>
  </w:style>
  <w:style w:type="paragraph" w:styleId="PlainText">
    <w:name w:val="Plain Text"/>
    <w:basedOn w:val="Normal"/>
    <w:link w:val="PlainTextChar"/>
    <w:uiPriority w:val="99"/>
    <w:semiHidden/>
    <w:unhideWhenUsed/>
    <w:rsid w:val="00730FF7"/>
    <w:rPr>
      <w:rFonts w:ascii="Consolas" w:hAnsi="Consolas"/>
      <w:sz w:val="21"/>
      <w:szCs w:val="21"/>
    </w:rPr>
  </w:style>
  <w:style w:type="character" w:customStyle="1" w:styleId="PlainTextChar">
    <w:name w:val="Plain Text Char"/>
    <w:basedOn w:val="DefaultParagraphFont"/>
    <w:link w:val="PlainText"/>
    <w:uiPriority w:val="99"/>
    <w:semiHidden/>
    <w:rsid w:val="00730FF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uiPriority w:val="99"/>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ListParagraph">
    <w:name w:val="List Paragraph"/>
    <w:basedOn w:val="Normal"/>
    <w:uiPriority w:val="34"/>
    <w:qFormat/>
    <w:rsid w:val="00615248"/>
    <w:pPr>
      <w:ind w:left="720"/>
      <w:contextualSpacing/>
    </w:pPr>
  </w:style>
  <w:style w:type="paragraph" w:styleId="PlainText">
    <w:name w:val="Plain Text"/>
    <w:basedOn w:val="Normal"/>
    <w:link w:val="PlainTextChar"/>
    <w:uiPriority w:val="99"/>
    <w:semiHidden/>
    <w:unhideWhenUsed/>
    <w:rsid w:val="00730FF7"/>
    <w:rPr>
      <w:rFonts w:ascii="Consolas" w:hAnsi="Consolas"/>
      <w:sz w:val="21"/>
      <w:szCs w:val="21"/>
    </w:rPr>
  </w:style>
  <w:style w:type="character" w:customStyle="1" w:styleId="PlainTextChar">
    <w:name w:val="Plain Text Char"/>
    <w:basedOn w:val="DefaultParagraphFont"/>
    <w:link w:val="PlainText"/>
    <w:uiPriority w:val="99"/>
    <w:semiHidden/>
    <w:rsid w:val="00730FF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C4C9D28765341810F01AEF36B1ED6" ma:contentTypeVersion="0" ma:contentTypeDescription="Create a new document." ma:contentTypeScope="" ma:versionID="23ed24135212c225ced1c5f027e1316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2.xml><?xml version="1.0" encoding="utf-8"?>
<ds:datastoreItem xmlns:ds="http://schemas.openxmlformats.org/officeDocument/2006/customXml" ds:itemID="{8CFFCA07-27DB-4150-9061-43AC7CFC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367CBB-B949-4A71-ACFE-8DD0396879C0}">
  <ds:schemaRef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CCBE534-D714-4F01-8613-AD9B9A7C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3972</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SYSTEM</cp:lastModifiedBy>
  <cp:revision>2</cp:revision>
  <cp:lastPrinted>2013-09-19T13:07:00Z</cp:lastPrinted>
  <dcterms:created xsi:type="dcterms:W3CDTF">2019-05-13T21:46:00Z</dcterms:created>
  <dcterms:modified xsi:type="dcterms:W3CDTF">2019-05-13T21:46:00Z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0x010100941C4C9D28765341810F01AEF36B1ED6</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