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FABB1" w14:textId="2A446675" w:rsidR="0012500F" w:rsidRDefault="00E9481C" w:rsidP="00452B6A">
      <w:pPr>
        <w:tabs>
          <w:tab w:val="left" w:pos="5040"/>
        </w:tabs>
        <w:jc w:val="right"/>
      </w:pPr>
      <w:bookmarkStart w:id="0" w:name="_GoBack"/>
      <w:bookmarkEnd w:id="0"/>
      <w:r>
        <w:tab/>
      </w:r>
      <w:r>
        <w:tab/>
      </w:r>
      <w:r>
        <w:tab/>
      </w:r>
      <w:r>
        <w:tab/>
        <w:t xml:space="preserve">   </w:t>
      </w:r>
      <w:r w:rsidR="000D08A0">
        <w:t xml:space="preserve"> </w:t>
      </w:r>
      <w:r w:rsidR="00A522BB">
        <w:t xml:space="preserve">March </w:t>
      </w:r>
      <w:r w:rsidR="00D57418">
        <w:t>2</w:t>
      </w:r>
      <w:r w:rsidR="00850F7B">
        <w:t>1</w:t>
      </w:r>
      <w:r w:rsidR="00777642">
        <w:t>,</w:t>
      </w:r>
      <w:r w:rsidR="00A522BB">
        <w:t xml:space="preserve"> 2019</w:t>
      </w:r>
    </w:p>
    <w:p w14:paraId="750FABB2" w14:textId="77777777" w:rsidR="0012500F" w:rsidRDefault="0012500F" w:rsidP="0012500F">
      <w:pPr>
        <w:tabs>
          <w:tab w:val="left" w:pos="1440"/>
          <w:tab w:val="left" w:pos="5040"/>
        </w:tabs>
      </w:pPr>
    </w:p>
    <w:p w14:paraId="750FABB3" w14:textId="77777777" w:rsidR="001E5E0B" w:rsidRDefault="0012500F" w:rsidP="0012500F">
      <w:pPr>
        <w:tabs>
          <w:tab w:val="left" w:pos="1440"/>
          <w:tab w:val="left" w:pos="5040"/>
        </w:tabs>
      </w:pPr>
      <w:r>
        <w:rPr>
          <w:b/>
        </w:rPr>
        <w:t>TO:</w:t>
      </w:r>
      <w:r>
        <w:rPr>
          <w:b/>
        </w:rPr>
        <w:tab/>
      </w:r>
      <w:r w:rsidR="001E5E0B">
        <w:t>Rashida Gofney</w:t>
      </w:r>
      <w:r>
        <w:t xml:space="preserve">, </w:t>
      </w:r>
      <w:r w:rsidR="001E5E0B" w:rsidRPr="001E5E0B">
        <w:t>Management Analyst</w:t>
      </w:r>
    </w:p>
    <w:p w14:paraId="750FABB4" w14:textId="77777777" w:rsidR="0012500F" w:rsidRPr="001E5E0B" w:rsidRDefault="0012500F" w:rsidP="0012500F">
      <w:pPr>
        <w:tabs>
          <w:tab w:val="left" w:pos="1440"/>
          <w:tab w:val="left" w:pos="5040"/>
        </w:tabs>
      </w:pPr>
      <w:r>
        <w:tab/>
      </w:r>
      <w:r w:rsidRPr="001E5E0B">
        <w:t>Legal Division</w:t>
      </w:r>
    </w:p>
    <w:p w14:paraId="750FABB5" w14:textId="77777777" w:rsidR="00F45FAB" w:rsidRDefault="00F45FAB" w:rsidP="0012500F">
      <w:pPr>
        <w:tabs>
          <w:tab w:val="left" w:pos="1440"/>
          <w:tab w:val="left" w:pos="5040"/>
        </w:tabs>
      </w:pPr>
    </w:p>
    <w:p w14:paraId="750FABB6" w14:textId="77777777" w:rsidR="00F45FAB" w:rsidRDefault="00F45FAB" w:rsidP="0012500F">
      <w:pPr>
        <w:tabs>
          <w:tab w:val="left" w:pos="1440"/>
          <w:tab w:val="left" w:pos="5040"/>
        </w:tabs>
      </w:pPr>
      <w:r>
        <w:tab/>
      </w:r>
      <w:r w:rsidR="009B407D">
        <w:t xml:space="preserve">Suzy Gardner, </w:t>
      </w:r>
      <w:r w:rsidR="009B407D" w:rsidRPr="009B407D">
        <w:t>Senior Examination Specialist</w:t>
      </w:r>
    </w:p>
    <w:p w14:paraId="750FABB7" w14:textId="77777777" w:rsidR="00F45FAB" w:rsidRDefault="00F45FAB" w:rsidP="0012500F">
      <w:pPr>
        <w:tabs>
          <w:tab w:val="left" w:pos="1440"/>
          <w:tab w:val="left" w:pos="5040"/>
        </w:tabs>
      </w:pPr>
      <w:r>
        <w:tab/>
        <w:t xml:space="preserve">Division of </w:t>
      </w:r>
      <w:r w:rsidR="00777642">
        <w:t>Risk Management Supervision</w:t>
      </w:r>
    </w:p>
    <w:p w14:paraId="750FABB8" w14:textId="77777777" w:rsidR="0012500F" w:rsidRDefault="0012500F" w:rsidP="0012500F">
      <w:pPr>
        <w:tabs>
          <w:tab w:val="left" w:pos="1440"/>
          <w:tab w:val="left" w:pos="5040"/>
        </w:tabs>
      </w:pPr>
    </w:p>
    <w:p w14:paraId="750FABB9" w14:textId="77777777" w:rsidR="0012500F" w:rsidRDefault="0012500F" w:rsidP="0012500F">
      <w:pPr>
        <w:tabs>
          <w:tab w:val="left" w:pos="1440"/>
          <w:tab w:val="left" w:pos="5040"/>
        </w:tabs>
      </w:pPr>
      <w:r>
        <w:rPr>
          <w:b/>
        </w:rPr>
        <w:t>THROUGH:</w:t>
      </w:r>
      <w:r>
        <w:rPr>
          <w:b/>
        </w:rPr>
        <w:tab/>
      </w:r>
      <w:r>
        <w:t>Ryan Singer, Section Chief</w:t>
      </w:r>
    </w:p>
    <w:p w14:paraId="750FABBA" w14:textId="77777777" w:rsidR="0012500F" w:rsidRDefault="0012500F" w:rsidP="0012500F">
      <w:pPr>
        <w:tabs>
          <w:tab w:val="left" w:pos="1440"/>
          <w:tab w:val="left" w:pos="5040"/>
        </w:tabs>
      </w:pPr>
      <w:r>
        <w:tab/>
        <w:t>Regulatory Analysis Section, Division of Insurance and Research</w:t>
      </w:r>
    </w:p>
    <w:p w14:paraId="750FABBB" w14:textId="77777777" w:rsidR="0012500F" w:rsidRDefault="0012500F" w:rsidP="0012500F">
      <w:pPr>
        <w:tabs>
          <w:tab w:val="left" w:pos="1440"/>
          <w:tab w:val="left" w:pos="5040"/>
        </w:tabs>
      </w:pPr>
    </w:p>
    <w:p w14:paraId="750FABBC" w14:textId="77777777" w:rsidR="0012500F" w:rsidRDefault="0012500F" w:rsidP="0012500F">
      <w:pPr>
        <w:tabs>
          <w:tab w:val="left" w:pos="1440"/>
          <w:tab w:val="left" w:pos="5040"/>
        </w:tabs>
      </w:pPr>
      <w:r>
        <w:rPr>
          <w:b/>
        </w:rPr>
        <w:t>FROM:</w:t>
      </w:r>
      <w:r>
        <w:rPr>
          <w:b/>
        </w:rPr>
        <w:tab/>
      </w:r>
      <w:r>
        <w:t xml:space="preserve">Conrad LaJoie, Economic </w:t>
      </w:r>
      <w:r w:rsidR="00A522BB">
        <w:t>Analyst</w:t>
      </w:r>
    </w:p>
    <w:p w14:paraId="750FABBD" w14:textId="77777777" w:rsidR="0012500F" w:rsidRDefault="0012500F" w:rsidP="0012500F">
      <w:pPr>
        <w:tabs>
          <w:tab w:val="left" w:pos="1440"/>
          <w:tab w:val="left" w:pos="5040"/>
        </w:tabs>
      </w:pPr>
      <w:r>
        <w:tab/>
        <w:t>Regulatory Analysis Section, Division of Insurance and Research</w:t>
      </w:r>
    </w:p>
    <w:p w14:paraId="750FABBE" w14:textId="77777777" w:rsidR="0012500F" w:rsidRDefault="0012500F" w:rsidP="0012500F">
      <w:pPr>
        <w:tabs>
          <w:tab w:val="left" w:pos="1440"/>
          <w:tab w:val="left" w:pos="5040"/>
        </w:tabs>
      </w:pPr>
    </w:p>
    <w:p w14:paraId="750FABBF" w14:textId="77777777" w:rsidR="0012500F" w:rsidRDefault="0012500F" w:rsidP="00523BED">
      <w:pPr>
        <w:tabs>
          <w:tab w:val="left" w:pos="1440"/>
          <w:tab w:val="left" w:pos="5040"/>
        </w:tabs>
        <w:ind w:left="1440" w:hanging="1440"/>
      </w:pPr>
      <w:r>
        <w:rPr>
          <w:b/>
        </w:rPr>
        <w:t>SUBJECT:</w:t>
      </w:r>
      <w:r>
        <w:rPr>
          <w:b/>
        </w:rPr>
        <w:tab/>
      </w:r>
      <w:r>
        <w:rPr>
          <w:u w:val="single"/>
        </w:rPr>
        <w:t>Information Collection Resubm</w:t>
      </w:r>
      <w:r w:rsidR="004D1CAA">
        <w:rPr>
          <w:u w:val="single"/>
        </w:rPr>
        <w:t>ission OMB Control No. 3064-0</w:t>
      </w:r>
      <w:r w:rsidR="00A522BB">
        <w:rPr>
          <w:u w:val="single"/>
        </w:rPr>
        <w:t>190</w:t>
      </w:r>
      <w:r>
        <w:rPr>
          <w:u w:val="single"/>
        </w:rPr>
        <w:t xml:space="preserve"> </w:t>
      </w:r>
      <w:r w:rsidR="00A522BB" w:rsidRPr="00A522BB">
        <w:rPr>
          <w:u w:val="single"/>
        </w:rPr>
        <w:t>Interagency Appraisal Complaint Form</w:t>
      </w:r>
    </w:p>
    <w:p w14:paraId="750FABC0" w14:textId="77777777" w:rsidR="0012500F" w:rsidRDefault="0012500F" w:rsidP="0012500F">
      <w:pPr>
        <w:tabs>
          <w:tab w:val="left" w:pos="1440"/>
          <w:tab w:val="left" w:pos="5040"/>
        </w:tabs>
      </w:pPr>
    </w:p>
    <w:p w14:paraId="750FABC1" w14:textId="77777777" w:rsidR="0012500F" w:rsidRDefault="0012500F" w:rsidP="0012500F">
      <w:pPr>
        <w:tabs>
          <w:tab w:val="left" w:pos="1440"/>
          <w:tab w:val="left" w:pos="5040"/>
        </w:tabs>
        <w:rPr>
          <w:szCs w:val="24"/>
        </w:rPr>
      </w:pPr>
      <w:r w:rsidRPr="00EA7ADF">
        <w:rPr>
          <w:szCs w:val="24"/>
        </w:rPr>
        <w:t>I have reviewed the burden estimates for the information collection resubmission</w:t>
      </w:r>
      <w:r w:rsidR="00FB19E9" w:rsidRPr="00EA7ADF">
        <w:rPr>
          <w:szCs w:val="24"/>
        </w:rPr>
        <w:t xml:space="preserve"> (ICR)</w:t>
      </w:r>
      <w:r w:rsidRPr="00EA7ADF">
        <w:rPr>
          <w:szCs w:val="24"/>
        </w:rPr>
        <w:t xml:space="preserve"> </w:t>
      </w:r>
      <w:r w:rsidR="00487CE7" w:rsidRPr="00EA7ADF">
        <w:rPr>
          <w:szCs w:val="24"/>
        </w:rPr>
        <w:t>entitled</w:t>
      </w:r>
      <w:r w:rsidRPr="00EA7ADF">
        <w:rPr>
          <w:szCs w:val="24"/>
        </w:rPr>
        <w:t xml:space="preserve"> </w:t>
      </w:r>
      <w:r w:rsidR="00A522BB" w:rsidRPr="00A522BB">
        <w:rPr>
          <w:szCs w:val="24"/>
        </w:rPr>
        <w:t>Interagency Appraisal Complaint Form</w:t>
      </w:r>
      <w:r w:rsidR="00777642" w:rsidRPr="00777642">
        <w:rPr>
          <w:szCs w:val="24"/>
        </w:rPr>
        <w:t xml:space="preserve"> </w:t>
      </w:r>
      <w:r w:rsidR="004D1CAA" w:rsidRPr="00EA7ADF">
        <w:rPr>
          <w:szCs w:val="24"/>
        </w:rPr>
        <w:t>(OMB No. 3064-0</w:t>
      </w:r>
      <w:r w:rsidR="00A522BB">
        <w:rPr>
          <w:szCs w:val="24"/>
        </w:rPr>
        <w:t>190</w:t>
      </w:r>
      <w:r w:rsidRPr="00EA7ADF">
        <w:rPr>
          <w:szCs w:val="24"/>
        </w:rPr>
        <w:t>).</w:t>
      </w:r>
      <w:r w:rsidR="008929B9" w:rsidRPr="00EA7ADF">
        <w:rPr>
          <w:szCs w:val="24"/>
        </w:rPr>
        <w:t xml:space="preserve"> </w:t>
      </w:r>
      <w:r w:rsidR="006A0ACF" w:rsidRPr="006A0ACF">
        <w:rPr>
          <w:szCs w:val="24"/>
        </w:rPr>
        <w:t xml:space="preserve">The Appraisal Complaint Form is an interagency form jointly developed by the FDIC, the Office of the Comptroller of the Currency (OCC), the National Credit Union Association (NCUA), and the Federal Reserve Board (FRB).  The form was developed for those who wish to file a formal, written complaint that an entity subject to the jurisdiction of one or more agencies has failed to comply with the appraisal independence standards or the Uniform Standards of Professional Appraisal Practice (USPAP).  </w:t>
      </w:r>
      <w:r w:rsidR="008929B9" w:rsidRPr="00EA7ADF">
        <w:rPr>
          <w:szCs w:val="24"/>
        </w:rPr>
        <w:t xml:space="preserve">Below are the </w:t>
      </w:r>
      <w:r w:rsidR="00636B11">
        <w:rPr>
          <w:szCs w:val="24"/>
        </w:rPr>
        <w:t xml:space="preserve">proposed </w:t>
      </w:r>
      <w:r w:rsidR="008929B9" w:rsidRPr="00EA7ADF">
        <w:rPr>
          <w:szCs w:val="24"/>
        </w:rPr>
        <w:t>updates</w:t>
      </w:r>
      <w:r w:rsidR="00506377" w:rsidRPr="00EA7ADF">
        <w:rPr>
          <w:szCs w:val="24"/>
        </w:rPr>
        <w:t xml:space="preserve"> to </w:t>
      </w:r>
      <w:r w:rsidR="00A522BB">
        <w:rPr>
          <w:szCs w:val="24"/>
        </w:rPr>
        <w:t xml:space="preserve">the </w:t>
      </w:r>
      <w:r w:rsidR="001A2E65">
        <w:rPr>
          <w:szCs w:val="24"/>
        </w:rPr>
        <w:t>2016</w:t>
      </w:r>
      <w:r w:rsidR="00506377" w:rsidRPr="00EA7ADF">
        <w:rPr>
          <w:szCs w:val="24"/>
        </w:rPr>
        <w:t xml:space="preserve"> ICR </w:t>
      </w:r>
      <w:r w:rsidR="00E9481C">
        <w:rPr>
          <w:szCs w:val="24"/>
        </w:rPr>
        <w:t>for</w:t>
      </w:r>
      <w:r w:rsidR="00506377" w:rsidRPr="00EA7ADF">
        <w:rPr>
          <w:szCs w:val="24"/>
        </w:rPr>
        <w:t xml:space="preserve"> the total hour and cost burdens.</w:t>
      </w:r>
      <w:r w:rsidR="008929B9" w:rsidRPr="00EA7ADF">
        <w:rPr>
          <w:szCs w:val="24"/>
        </w:rPr>
        <w:t xml:space="preserve"> </w:t>
      </w:r>
      <w:r w:rsidR="00506377" w:rsidRPr="00EA7ADF">
        <w:rPr>
          <w:szCs w:val="24"/>
        </w:rPr>
        <w:t xml:space="preserve"> </w:t>
      </w:r>
    </w:p>
    <w:p w14:paraId="750FABC2" w14:textId="77777777" w:rsidR="00F45FAB" w:rsidRDefault="00F45FAB" w:rsidP="0012500F">
      <w:pPr>
        <w:tabs>
          <w:tab w:val="left" w:pos="1440"/>
          <w:tab w:val="left" w:pos="5040"/>
        </w:tabs>
        <w:rPr>
          <w:b/>
          <w:szCs w:val="24"/>
        </w:rPr>
      </w:pPr>
    </w:p>
    <w:p w14:paraId="750FABC3" w14:textId="77777777" w:rsidR="00D225D2" w:rsidRDefault="007E7B41" w:rsidP="0012500F">
      <w:pPr>
        <w:tabs>
          <w:tab w:val="left" w:pos="1440"/>
          <w:tab w:val="left" w:pos="5040"/>
        </w:tabs>
        <w:rPr>
          <w:b/>
          <w:szCs w:val="24"/>
        </w:rPr>
      </w:pPr>
      <w:r>
        <w:rPr>
          <w:b/>
          <w:szCs w:val="24"/>
        </w:rPr>
        <w:t xml:space="preserve">Estimated </w:t>
      </w:r>
      <w:r w:rsidR="00D225D2" w:rsidRPr="00D225D2">
        <w:rPr>
          <w:b/>
          <w:szCs w:val="24"/>
        </w:rPr>
        <w:t>Total Burden</w:t>
      </w:r>
      <w:r>
        <w:rPr>
          <w:b/>
          <w:szCs w:val="24"/>
        </w:rPr>
        <w:t xml:space="preserve"> Hours</w:t>
      </w:r>
      <w:r w:rsidR="00D225D2">
        <w:rPr>
          <w:b/>
          <w:szCs w:val="24"/>
        </w:rPr>
        <w:t>:</w:t>
      </w:r>
    </w:p>
    <w:p w14:paraId="4561A5E1" w14:textId="3BD2900D" w:rsidR="00AB488D" w:rsidRDefault="006A0ACF" w:rsidP="006A0ACF">
      <w:pPr>
        <w:tabs>
          <w:tab w:val="left" w:pos="1440"/>
          <w:tab w:val="left" w:pos="5040"/>
        </w:tabs>
        <w:rPr>
          <w:szCs w:val="24"/>
        </w:rPr>
      </w:pPr>
      <w:r>
        <w:rPr>
          <w:szCs w:val="24"/>
        </w:rPr>
        <w:t>Respondents to this ICR include app</w:t>
      </w:r>
      <w:r w:rsidRPr="006A0ACF">
        <w:rPr>
          <w:szCs w:val="24"/>
        </w:rPr>
        <w:t xml:space="preserve">raisers, individuals, </w:t>
      </w:r>
      <w:r w:rsidR="00E1546B">
        <w:rPr>
          <w:szCs w:val="24"/>
        </w:rPr>
        <w:t xml:space="preserve">financial institutions, </w:t>
      </w:r>
      <w:r w:rsidRPr="006A0ACF">
        <w:rPr>
          <w:szCs w:val="24"/>
        </w:rPr>
        <w:t xml:space="preserve">or other entities concerning </w:t>
      </w:r>
      <w:r w:rsidR="00E1546B" w:rsidRPr="00E1546B">
        <w:rPr>
          <w:szCs w:val="24"/>
        </w:rPr>
        <w:t>non-compliance with appraisal standards</w:t>
      </w:r>
      <w:r w:rsidRPr="006A0ACF">
        <w:rPr>
          <w:szCs w:val="24"/>
        </w:rPr>
        <w:t>.</w:t>
      </w:r>
      <w:r>
        <w:rPr>
          <w:szCs w:val="24"/>
        </w:rPr>
        <w:t xml:space="preserve"> </w:t>
      </w:r>
      <w:r w:rsidR="00A736FD">
        <w:rPr>
          <w:szCs w:val="24"/>
        </w:rPr>
        <w:t xml:space="preserve">Each respondent who wishes to register a complaint must fill out the form and submit it to the Appraisal Subcommittee (ASC). </w:t>
      </w:r>
    </w:p>
    <w:p w14:paraId="0FB8FD52" w14:textId="77777777" w:rsidR="00AB488D" w:rsidRDefault="00AB488D" w:rsidP="006A0ACF">
      <w:pPr>
        <w:tabs>
          <w:tab w:val="left" w:pos="1440"/>
          <w:tab w:val="left" w:pos="5040"/>
        </w:tabs>
        <w:rPr>
          <w:szCs w:val="24"/>
        </w:rPr>
      </w:pPr>
    </w:p>
    <w:p w14:paraId="7A60F3A8" w14:textId="1CD45E55" w:rsidR="00D76E46" w:rsidRDefault="00F9398A" w:rsidP="006A0ACF">
      <w:pPr>
        <w:tabs>
          <w:tab w:val="left" w:pos="1440"/>
          <w:tab w:val="left" w:pos="5040"/>
        </w:tabs>
        <w:rPr>
          <w:szCs w:val="24"/>
        </w:rPr>
      </w:pPr>
      <w:r>
        <w:rPr>
          <w:szCs w:val="24"/>
        </w:rPr>
        <w:t>For this analysis,</w:t>
      </w:r>
      <w:r w:rsidR="00981E95">
        <w:rPr>
          <w:szCs w:val="24"/>
        </w:rPr>
        <w:t xml:space="preserve"> I estimate</w:t>
      </w:r>
      <w:r>
        <w:rPr>
          <w:szCs w:val="24"/>
        </w:rPr>
        <w:t xml:space="preserve"> the number of small entities</w:t>
      </w:r>
      <w:r w:rsidR="00A736FD">
        <w:rPr>
          <w:rStyle w:val="FootnoteReference"/>
          <w:szCs w:val="24"/>
        </w:rPr>
        <w:footnoteReference w:id="1"/>
      </w:r>
      <w:r>
        <w:rPr>
          <w:szCs w:val="24"/>
        </w:rPr>
        <w:t xml:space="preserve"> affected will be zero. </w:t>
      </w:r>
      <w:r w:rsidR="003732CD">
        <w:rPr>
          <w:szCs w:val="24"/>
        </w:rPr>
        <w:t xml:space="preserve">Since any entity or person can submit an Interagency Appraisal Complaint Form (“complaint form”), </w:t>
      </w:r>
      <w:r w:rsidR="00A736FD">
        <w:rPr>
          <w:szCs w:val="24"/>
        </w:rPr>
        <w:t>a respondent could be a small entity. However, I currently do not have access to information that would enable me to estimate how many small entities have previously filed a complaint form. Further, it is difficult to estimate whether a small entity would file a complaint form as it depends on the potential volume of non-compliance with appraisal standards a small entity might encounter, and a small entity’s propensity to file a complaint, among other things.</w:t>
      </w:r>
      <w:r w:rsidR="003732CD">
        <w:rPr>
          <w:szCs w:val="24"/>
        </w:rPr>
        <w:t xml:space="preserve"> </w:t>
      </w:r>
    </w:p>
    <w:p w14:paraId="1AC8CC42" w14:textId="77777777" w:rsidR="00D76E46" w:rsidRDefault="00D76E46" w:rsidP="006A0ACF">
      <w:pPr>
        <w:tabs>
          <w:tab w:val="left" w:pos="1440"/>
          <w:tab w:val="left" w:pos="5040"/>
        </w:tabs>
        <w:rPr>
          <w:szCs w:val="24"/>
        </w:rPr>
      </w:pPr>
    </w:p>
    <w:p w14:paraId="5A2DD2F9" w14:textId="52693DB5" w:rsidR="00D76E46" w:rsidRDefault="00D76E46" w:rsidP="006A0ACF">
      <w:pPr>
        <w:tabs>
          <w:tab w:val="left" w:pos="1440"/>
          <w:tab w:val="left" w:pos="5040"/>
        </w:tabs>
        <w:rPr>
          <w:szCs w:val="24"/>
        </w:rPr>
      </w:pPr>
      <w:r>
        <w:rPr>
          <w:szCs w:val="24"/>
        </w:rPr>
        <w:t>For this memorandum, I use</w:t>
      </w:r>
      <w:r w:rsidR="006E528F">
        <w:rPr>
          <w:szCs w:val="24"/>
        </w:rPr>
        <w:t>d</w:t>
      </w:r>
      <w:r>
        <w:rPr>
          <w:szCs w:val="24"/>
        </w:rPr>
        <w:t xml:space="preserve"> burden </w:t>
      </w:r>
      <w:r w:rsidR="006E528F">
        <w:rPr>
          <w:szCs w:val="24"/>
        </w:rPr>
        <w:t xml:space="preserve">time and frequency </w:t>
      </w:r>
      <w:r>
        <w:rPr>
          <w:szCs w:val="24"/>
        </w:rPr>
        <w:t xml:space="preserve">estimates provided by </w:t>
      </w:r>
      <w:r w:rsidR="006A0ACF">
        <w:rPr>
          <w:szCs w:val="24"/>
        </w:rPr>
        <w:t>subject matter experts (SMEs) in the Division of Risk Management Supervision (RMS)</w:t>
      </w:r>
      <w:r w:rsidR="00340279">
        <w:rPr>
          <w:szCs w:val="24"/>
        </w:rPr>
        <w:t>.</w:t>
      </w:r>
      <w:r w:rsidR="005C371A">
        <w:rPr>
          <w:szCs w:val="24"/>
        </w:rPr>
        <w:t xml:space="preserve"> </w:t>
      </w:r>
      <w:r>
        <w:rPr>
          <w:szCs w:val="24"/>
        </w:rPr>
        <w:t>The frequency of response is on occasion, which remains unchanged from the 2016 ICR.</w:t>
      </w:r>
      <w:r>
        <w:rPr>
          <w:rStyle w:val="FootnoteReference"/>
          <w:szCs w:val="24"/>
        </w:rPr>
        <w:footnoteReference w:id="2"/>
      </w:r>
      <w:r>
        <w:rPr>
          <w:szCs w:val="24"/>
        </w:rPr>
        <w:t xml:space="preserve">  The time per response </w:t>
      </w:r>
      <w:r>
        <w:rPr>
          <w:szCs w:val="24"/>
        </w:rPr>
        <w:lastRenderedPageBreak/>
        <w:t xml:space="preserve">has increased from 15 minutes in the 2016 ICR to 30 minutes to match the OCC’s and FRB’s updated time estimates. </w:t>
      </w:r>
      <w:r w:rsidR="00340279">
        <w:rPr>
          <w:szCs w:val="24"/>
        </w:rPr>
        <w:t>I trust</w:t>
      </w:r>
      <w:r w:rsidR="006E528F">
        <w:rPr>
          <w:szCs w:val="24"/>
        </w:rPr>
        <w:t>ed</w:t>
      </w:r>
      <w:r w:rsidR="00340279">
        <w:rPr>
          <w:szCs w:val="24"/>
        </w:rPr>
        <w:t xml:space="preserve"> and rel</w:t>
      </w:r>
      <w:r w:rsidR="006E528F">
        <w:rPr>
          <w:szCs w:val="24"/>
        </w:rPr>
        <w:t>ied</w:t>
      </w:r>
      <w:r w:rsidR="00340279">
        <w:rPr>
          <w:szCs w:val="24"/>
        </w:rPr>
        <w:t xml:space="preserve"> on the </w:t>
      </w:r>
      <w:r>
        <w:rPr>
          <w:szCs w:val="24"/>
        </w:rPr>
        <w:t xml:space="preserve">expertise </w:t>
      </w:r>
      <w:r w:rsidR="00340279">
        <w:rPr>
          <w:szCs w:val="24"/>
        </w:rPr>
        <w:t xml:space="preserve">of </w:t>
      </w:r>
      <w:r>
        <w:rPr>
          <w:szCs w:val="24"/>
        </w:rPr>
        <w:t xml:space="preserve">the </w:t>
      </w:r>
      <w:r w:rsidR="00340279">
        <w:rPr>
          <w:szCs w:val="24"/>
        </w:rPr>
        <w:t xml:space="preserve">SMEs for this </w:t>
      </w:r>
      <w:r w:rsidR="008E0D5A">
        <w:rPr>
          <w:szCs w:val="24"/>
        </w:rPr>
        <w:t>information</w:t>
      </w:r>
      <w:r w:rsidR="00340279">
        <w:rPr>
          <w:szCs w:val="24"/>
        </w:rPr>
        <w:t>.</w:t>
      </w:r>
      <w:r>
        <w:rPr>
          <w:szCs w:val="24"/>
        </w:rPr>
        <w:t xml:space="preserve"> </w:t>
      </w:r>
    </w:p>
    <w:p w14:paraId="750FABC5" w14:textId="77777777" w:rsidR="006A0ACF" w:rsidRDefault="006A0ACF" w:rsidP="006A0ACF">
      <w:pPr>
        <w:tabs>
          <w:tab w:val="left" w:pos="1440"/>
          <w:tab w:val="left" w:pos="5040"/>
        </w:tabs>
        <w:rPr>
          <w:szCs w:val="24"/>
        </w:rPr>
      </w:pPr>
    </w:p>
    <w:p w14:paraId="750FABC6" w14:textId="24BA2ACA" w:rsidR="00F86F4F" w:rsidRDefault="00340279" w:rsidP="00F86F4F">
      <w:pPr>
        <w:tabs>
          <w:tab w:val="left" w:pos="1440"/>
          <w:tab w:val="left" w:pos="5040"/>
        </w:tabs>
        <w:rPr>
          <w:szCs w:val="24"/>
        </w:rPr>
      </w:pPr>
      <w:r>
        <w:rPr>
          <w:szCs w:val="24"/>
        </w:rPr>
        <w:t xml:space="preserve">In </w:t>
      </w:r>
      <w:r w:rsidR="00D76E46">
        <w:rPr>
          <w:szCs w:val="24"/>
        </w:rPr>
        <w:t xml:space="preserve">a </w:t>
      </w:r>
      <w:r w:rsidR="006E481F">
        <w:rPr>
          <w:szCs w:val="24"/>
        </w:rPr>
        <w:t xml:space="preserve">five </w:t>
      </w:r>
      <w:r>
        <w:rPr>
          <w:szCs w:val="24"/>
        </w:rPr>
        <w:t>year</w:t>
      </w:r>
      <w:r w:rsidR="00D76E46">
        <w:rPr>
          <w:szCs w:val="24"/>
        </w:rPr>
        <w:t xml:space="preserve"> span</w:t>
      </w:r>
      <w:r w:rsidR="006E481F">
        <w:rPr>
          <w:rStyle w:val="FootnoteReference"/>
          <w:szCs w:val="24"/>
        </w:rPr>
        <w:footnoteReference w:id="3"/>
      </w:r>
      <w:r>
        <w:rPr>
          <w:szCs w:val="24"/>
        </w:rPr>
        <w:t xml:space="preserve">, </w:t>
      </w:r>
      <w:r w:rsidR="00D57418">
        <w:rPr>
          <w:szCs w:val="24"/>
        </w:rPr>
        <w:t xml:space="preserve">the ASC </w:t>
      </w:r>
      <w:r>
        <w:rPr>
          <w:szCs w:val="24"/>
        </w:rPr>
        <w:t xml:space="preserve">received </w:t>
      </w:r>
      <w:r w:rsidR="005C371A">
        <w:rPr>
          <w:szCs w:val="24"/>
        </w:rPr>
        <w:t xml:space="preserve">133 </w:t>
      </w:r>
      <w:r>
        <w:rPr>
          <w:szCs w:val="24"/>
        </w:rPr>
        <w:t xml:space="preserve">formal written complaints </w:t>
      </w:r>
      <w:r w:rsidR="005C371A">
        <w:rPr>
          <w:szCs w:val="24"/>
        </w:rPr>
        <w:t>with an increasing amount received each year</w:t>
      </w:r>
      <w:r>
        <w:rPr>
          <w:szCs w:val="24"/>
        </w:rPr>
        <w:t>.</w:t>
      </w:r>
      <w:r>
        <w:rPr>
          <w:rStyle w:val="FootnoteReference"/>
          <w:szCs w:val="24"/>
        </w:rPr>
        <w:footnoteReference w:id="4"/>
      </w:r>
      <w:r>
        <w:rPr>
          <w:szCs w:val="24"/>
        </w:rPr>
        <w:t xml:space="preserve">  </w:t>
      </w:r>
      <w:r w:rsidR="002C2D4F">
        <w:rPr>
          <w:szCs w:val="24"/>
        </w:rPr>
        <w:t xml:space="preserve">The SMEs in RMS </w:t>
      </w:r>
      <w:r w:rsidR="008E0D5A">
        <w:rPr>
          <w:szCs w:val="24"/>
        </w:rPr>
        <w:t>estimate</w:t>
      </w:r>
      <w:r w:rsidR="002C2D4F">
        <w:rPr>
          <w:szCs w:val="24"/>
        </w:rPr>
        <w:t>d</w:t>
      </w:r>
      <w:r w:rsidR="008E0D5A">
        <w:rPr>
          <w:szCs w:val="24"/>
        </w:rPr>
        <w:t xml:space="preserve"> the annual number of respondents to be 40 per year. </w:t>
      </w:r>
      <w:r w:rsidR="00CA298B">
        <w:rPr>
          <w:szCs w:val="24"/>
        </w:rPr>
        <w:t>This estimate is based on the</w:t>
      </w:r>
      <w:r w:rsidR="00850F7B">
        <w:rPr>
          <w:szCs w:val="24"/>
        </w:rPr>
        <w:t>ir</w:t>
      </w:r>
      <w:r w:rsidR="00CA298B">
        <w:rPr>
          <w:szCs w:val="24"/>
        </w:rPr>
        <w:t xml:space="preserve"> analysis of historical complaint filings.</w:t>
      </w:r>
      <w:r w:rsidR="008E0D5A">
        <w:rPr>
          <w:szCs w:val="24"/>
        </w:rPr>
        <w:t xml:space="preserve"> </w:t>
      </w:r>
      <w:r>
        <w:rPr>
          <w:szCs w:val="24"/>
        </w:rPr>
        <w:t xml:space="preserve">This estimate differs from the 2016 ICR’s </w:t>
      </w:r>
      <w:r w:rsidR="006E528F">
        <w:rPr>
          <w:szCs w:val="24"/>
        </w:rPr>
        <w:t xml:space="preserve">initial </w:t>
      </w:r>
      <w:r>
        <w:rPr>
          <w:szCs w:val="24"/>
        </w:rPr>
        <w:t>estimate of 200 respondents</w:t>
      </w:r>
      <w:r w:rsidR="006E528F">
        <w:rPr>
          <w:szCs w:val="24"/>
        </w:rPr>
        <w:t>.</w:t>
      </w:r>
      <w:r>
        <w:rPr>
          <w:szCs w:val="24"/>
        </w:rPr>
        <w:t xml:space="preserve"> </w:t>
      </w:r>
      <w:r w:rsidR="006E528F">
        <w:rPr>
          <w:szCs w:val="24"/>
        </w:rPr>
        <w:t xml:space="preserve">The updated number of respondents is based on data received since the initial estimate. </w:t>
      </w:r>
    </w:p>
    <w:p w14:paraId="750FABC7" w14:textId="77777777" w:rsidR="00F86F4F" w:rsidRDefault="00F86F4F" w:rsidP="0012500F">
      <w:pPr>
        <w:tabs>
          <w:tab w:val="left" w:pos="1440"/>
          <w:tab w:val="left" w:pos="5040"/>
        </w:tabs>
        <w:rPr>
          <w:b/>
          <w:szCs w:val="24"/>
        </w:rPr>
      </w:pPr>
    </w:p>
    <w:p w14:paraId="750FABC8" w14:textId="77777777" w:rsidR="00D57418" w:rsidRDefault="00785154" w:rsidP="00F86F4F">
      <w:pPr>
        <w:tabs>
          <w:tab w:val="left" w:pos="1440"/>
          <w:tab w:val="left" w:pos="5040"/>
        </w:tabs>
        <w:rPr>
          <w:szCs w:val="24"/>
        </w:rPr>
      </w:pPr>
      <w:r>
        <w:rPr>
          <w:szCs w:val="24"/>
        </w:rPr>
        <w:t>T</w:t>
      </w:r>
      <w:r w:rsidR="00D225D2">
        <w:rPr>
          <w:szCs w:val="24"/>
        </w:rPr>
        <w:t xml:space="preserve">he total </w:t>
      </w:r>
      <w:r w:rsidR="000D08A0">
        <w:rPr>
          <w:szCs w:val="24"/>
        </w:rPr>
        <w:t xml:space="preserve">estimated </w:t>
      </w:r>
      <w:r w:rsidR="007E7B41">
        <w:rPr>
          <w:szCs w:val="24"/>
        </w:rPr>
        <w:t xml:space="preserve">burden </w:t>
      </w:r>
      <w:r w:rsidR="00D225D2">
        <w:rPr>
          <w:szCs w:val="24"/>
        </w:rPr>
        <w:t>hour</w:t>
      </w:r>
      <w:r w:rsidR="007E7B41">
        <w:rPr>
          <w:szCs w:val="24"/>
        </w:rPr>
        <w:t>s</w:t>
      </w:r>
      <w:r w:rsidR="00D225D2">
        <w:rPr>
          <w:szCs w:val="24"/>
        </w:rPr>
        <w:t xml:space="preserve"> </w:t>
      </w:r>
      <w:r w:rsidR="00F86F4F">
        <w:rPr>
          <w:szCs w:val="24"/>
        </w:rPr>
        <w:t>are</w:t>
      </w:r>
      <w:r w:rsidR="00D225D2">
        <w:rPr>
          <w:szCs w:val="24"/>
        </w:rPr>
        <w:t xml:space="preserve"> </w:t>
      </w:r>
      <w:r w:rsidR="00340279">
        <w:rPr>
          <w:szCs w:val="24"/>
        </w:rPr>
        <w:t>equal to the number of respondents multiplied by the time per response</w:t>
      </w:r>
      <w:r w:rsidR="00D57418">
        <w:rPr>
          <w:szCs w:val="24"/>
        </w:rPr>
        <w:t>:</w:t>
      </w:r>
      <w:r w:rsidR="00340279">
        <w:rPr>
          <w:szCs w:val="24"/>
        </w:rPr>
        <w:t xml:space="preserve"> </w:t>
      </w:r>
    </w:p>
    <w:p w14:paraId="750FABC9" w14:textId="77777777" w:rsidR="008E42B2" w:rsidRPr="00EA7ADF" w:rsidRDefault="00D57418" w:rsidP="00F86F4F">
      <w:pPr>
        <w:tabs>
          <w:tab w:val="left" w:pos="1440"/>
          <w:tab w:val="left" w:pos="5040"/>
        </w:tabs>
        <w:rPr>
          <w:szCs w:val="24"/>
        </w:rPr>
      </w:pPr>
      <w:r>
        <w:rPr>
          <w:szCs w:val="24"/>
        </w:rPr>
        <w:tab/>
      </w:r>
      <w:r w:rsidR="00F86F4F">
        <w:rPr>
          <w:szCs w:val="24"/>
        </w:rPr>
        <w:t>40 respondents x 30 minutes = 20 hours.</w:t>
      </w:r>
      <w:r w:rsidR="00D225D2">
        <w:rPr>
          <w:szCs w:val="24"/>
        </w:rPr>
        <w:t xml:space="preserve"> </w:t>
      </w:r>
    </w:p>
    <w:p w14:paraId="750FABCA" w14:textId="77777777" w:rsidR="00785154" w:rsidRPr="00785154" w:rsidRDefault="00785154" w:rsidP="0012500F">
      <w:pPr>
        <w:tabs>
          <w:tab w:val="left" w:pos="1440"/>
          <w:tab w:val="left" w:pos="5040"/>
        </w:tabs>
        <w:rPr>
          <w:szCs w:val="24"/>
        </w:rPr>
      </w:pPr>
    </w:p>
    <w:p w14:paraId="750FABCB" w14:textId="77777777" w:rsidR="0008307D" w:rsidRPr="00EA7ADF" w:rsidRDefault="005302AA" w:rsidP="0012500F">
      <w:pPr>
        <w:tabs>
          <w:tab w:val="left" w:pos="1440"/>
          <w:tab w:val="left" w:pos="5040"/>
        </w:tabs>
        <w:rPr>
          <w:b/>
          <w:szCs w:val="24"/>
        </w:rPr>
      </w:pPr>
      <w:r w:rsidRPr="00EA7ADF">
        <w:rPr>
          <w:b/>
          <w:szCs w:val="24"/>
        </w:rPr>
        <w:t>Wage Estimate:</w:t>
      </w:r>
    </w:p>
    <w:p w14:paraId="750FABCC" w14:textId="05D05A69" w:rsidR="007E7B41" w:rsidRDefault="007E7B41" w:rsidP="007E7B41">
      <w:pPr>
        <w:tabs>
          <w:tab w:val="left" w:pos="1440"/>
          <w:tab w:val="left" w:pos="5040"/>
        </w:tabs>
        <w:rPr>
          <w:color w:val="000000"/>
        </w:rPr>
      </w:pPr>
      <w:r w:rsidRPr="00340326">
        <w:rPr>
          <w:color w:val="000000"/>
        </w:rPr>
        <w:t>I estimated the total burden cost for the IC</w:t>
      </w:r>
      <w:r w:rsidR="007F4748">
        <w:rPr>
          <w:color w:val="000000"/>
        </w:rPr>
        <w:t>R (OMB 3064-0</w:t>
      </w:r>
      <w:r w:rsidR="00F86F4F">
        <w:rPr>
          <w:color w:val="000000"/>
        </w:rPr>
        <w:t>190</w:t>
      </w:r>
      <w:r w:rsidR="007F4748">
        <w:rPr>
          <w:color w:val="000000"/>
        </w:rPr>
        <w:t>)</w:t>
      </w:r>
      <w:r w:rsidR="00F02676" w:rsidRPr="00F02676">
        <w:rPr>
          <w:rStyle w:val="FootnoteReference"/>
          <w:color w:val="000000"/>
        </w:rPr>
        <w:t xml:space="preserve"> </w:t>
      </w:r>
      <w:r w:rsidR="00F02676">
        <w:rPr>
          <w:rStyle w:val="FootnoteReference"/>
          <w:color w:val="000000"/>
        </w:rPr>
        <w:footnoteReference w:id="5"/>
      </w:r>
      <w:r w:rsidR="007F4748">
        <w:rPr>
          <w:color w:val="000000"/>
        </w:rPr>
        <w:t xml:space="preserve"> using the </w:t>
      </w:r>
      <w:r w:rsidR="001A2E65">
        <w:rPr>
          <w:color w:val="000000"/>
        </w:rPr>
        <w:t>September</w:t>
      </w:r>
      <w:r w:rsidR="007F4748">
        <w:rPr>
          <w:color w:val="000000"/>
        </w:rPr>
        <w:t xml:space="preserve"> 2018</w:t>
      </w:r>
      <w:r w:rsidRPr="00340326">
        <w:rPr>
          <w:color w:val="000000"/>
        </w:rPr>
        <w:t xml:space="preserve"> 75</w:t>
      </w:r>
      <w:r w:rsidRPr="00340326">
        <w:rPr>
          <w:color w:val="000000"/>
          <w:vertAlign w:val="superscript"/>
        </w:rPr>
        <w:t>th</w:t>
      </w:r>
      <w:r w:rsidRPr="00340326">
        <w:rPr>
          <w:color w:val="000000"/>
        </w:rPr>
        <w:t xml:space="preserve"> percentile hourly wage</w:t>
      </w:r>
      <w:r w:rsidR="007F4748">
        <w:rPr>
          <w:color w:val="000000"/>
        </w:rPr>
        <w:t>s</w:t>
      </w:r>
      <w:r w:rsidRPr="00340326">
        <w:rPr>
          <w:color w:val="000000"/>
        </w:rPr>
        <w:t xml:space="preserve"> </w:t>
      </w:r>
      <w:r w:rsidR="00447D38">
        <w:rPr>
          <w:color w:val="000000"/>
        </w:rPr>
        <w:t xml:space="preserve">published </w:t>
      </w:r>
      <w:r w:rsidRPr="00340326">
        <w:rPr>
          <w:color w:val="000000"/>
        </w:rPr>
        <w:t xml:space="preserve">by the Bureau of Labor Statistics (BLS) National Industry-Specific Occupational Employment and Wage Estimates for </w:t>
      </w:r>
      <w:r w:rsidR="00F02676">
        <w:rPr>
          <w:color w:val="000000"/>
        </w:rPr>
        <w:t xml:space="preserve">six </w:t>
      </w:r>
      <w:r w:rsidRPr="00340326">
        <w:rPr>
          <w:color w:val="000000"/>
        </w:rPr>
        <w:t>occupations in the depository credit intermediation sector</w:t>
      </w:r>
      <w:r w:rsidR="00F02676">
        <w:rPr>
          <w:color w:val="000000"/>
        </w:rPr>
        <w:t xml:space="preserve"> that are relevant to Information Collection burdens</w:t>
      </w:r>
      <w:r w:rsidR="00447D38">
        <w:rPr>
          <w:color w:val="000000"/>
        </w:rPr>
        <w:t xml:space="preserve">, as determined </w:t>
      </w:r>
      <w:r w:rsidR="00F02676">
        <w:rPr>
          <w:color w:val="000000"/>
        </w:rPr>
        <w:t xml:space="preserve">jointly </w:t>
      </w:r>
      <w:r w:rsidR="00447D38">
        <w:rPr>
          <w:color w:val="000000"/>
        </w:rPr>
        <w:t xml:space="preserve">by </w:t>
      </w:r>
      <w:r w:rsidR="00F02676">
        <w:rPr>
          <w:color w:val="000000"/>
        </w:rPr>
        <w:t xml:space="preserve">the Regulatory Analysis Section and </w:t>
      </w:r>
      <w:r w:rsidR="00447D38">
        <w:rPr>
          <w:color w:val="000000"/>
        </w:rPr>
        <w:t>the SMEs</w:t>
      </w:r>
      <w:r w:rsidRPr="00340326">
        <w:rPr>
          <w:color w:val="000000"/>
        </w:rPr>
        <w:t xml:space="preserve">. I then weighted the wages </w:t>
      </w:r>
      <w:r w:rsidR="007F4748">
        <w:rPr>
          <w:color w:val="000000"/>
        </w:rPr>
        <w:t xml:space="preserve">for these six </w:t>
      </w:r>
      <w:r w:rsidRPr="00340326">
        <w:rPr>
          <w:color w:val="000000"/>
        </w:rPr>
        <w:t>occupations</w:t>
      </w:r>
      <w:r w:rsidR="00447D38">
        <w:rPr>
          <w:color w:val="000000"/>
        </w:rPr>
        <w:t>,</w:t>
      </w:r>
      <w:r w:rsidRPr="00340326">
        <w:rPr>
          <w:color w:val="000000"/>
        </w:rPr>
        <w:t xml:space="preserve"> </w:t>
      </w:r>
      <w:r w:rsidR="00447D38">
        <w:rPr>
          <w:color w:val="000000"/>
        </w:rPr>
        <w:t xml:space="preserve">according to </w:t>
      </w:r>
      <w:r w:rsidRPr="00340326">
        <w:rPr>
          <w:color w:val="000000"/>
        </w:rPr>
        <w:t>the SMEs’ estimated allocation of labor.</w:t>
      </w:r>
      <w:r w:rsidR="00447D38">
        <w:rPr>
          <w:color w:val="000000"/>
        </w:rPr>
        <w:t xml:space="preserve"> These allocations are listed in </w:t>
      </w:r>
      <w:r w:rsidR="00D57418">
        <w:rPr>
          <w:color w:val="000000"/>
        </w:rPr>
        <w:t>the table</w:t>
      </w:r>
      <w:r w:rsidR="00447D38">
        <w:rPr>
          <w:color w:val="000000"/>
        </w:rPr>
        <w:t xml:space="preserve"> below.</w:t>
      </w:r>
    </w:p>
    <w:p w14:paraId="750FABCD" w14:textId="77777777" w:rsidR="007F4748" w:rsidRDefault="007F4748" w:rsidP="007E7B41">
      <w:pPr>
        <w:tabs>
          <w:tab w:val="left" w:pos="1440"/>
          <w:tab w:val="left" w:pos="5040"/>
        </w:tabs>
        <w:rPr>
          <w:color w:val="000000"/>
        </w:rPr>
      </w:pPr>
    </w:p>
    <w:p w14:paraId="750FABCE" w14:textId="77777777" w:rsidR="007F4748" w:rsidRPr="00B46B88" w:rsidRDefault="007F4748" w:rsidP="007F4748">
      <w:pPr>
        <w:rPr>
          <w:szCs w:val="24"/>
        </w:rPr>
      </w:pPr>
      <w:r w:rsidRPr="00B46B88">
        <w:rPr>
          <w:szCs w:val="24"/>
        </w:rPr>
        <w:t xml:space="preserve">The hourly wage rates </w:t>
      </w:r>
      <w:r w:rsidR="00447D38">
        <w:rPr>
          <w:szCs w:val="24"/>
        </w:rPr>
        <w:t xml:space="preserve">published by BLS </w:t>
      </w:r>
      <w:r w:rsidRPr="00B46B88">
        <w:rPr>
          <w:szCs w:val="24"/>
        </w:rPr>
        <w:t xml:space="preserve">do not include non-monetary compensation. According to the </w:t>
      </w:r>
      <w:r w:rsidR="001A2E65">
        <w:rPr>
          <w:szCs w:val="24"/>
        </w:rPr>
        <w:t>September</w:t>
      </w:r>
      <w:r w:rsidRPr="00B46B88">
        <w:rPr>
          <w:szCs w:val="24"/>
        </w:rPr>
        <w:t xml:space="preserve"> 2018 Employer Cost of Employee Compensation data</w:t>
      </w:r>
      <w:r>
        <w:rPr>
          <w:szCs w:val="24"/>
        </w:rPr>
        <w:t>,</w:t>
      </w:r>
      <w:r w:rsidRPr="00B46B88">
        <w:rPr>
          <w:szCs w:val="24"/>
        </w:rPr>
        <w:t xml:space="preserve"> compensation rates for health and other benefits are 35.</w:t>
      </w:r>
      <w:r>
        <w:rPr>
          <w:szCs w:val="24"/>
        </w:rPr>
        <w:t>7</w:t>
      </w:r>
      <w:r w:rsidRPr="00B46B88">
        <w:rPr>
          <w:szCs w:val="24"/>
        </w:rPr>
        <w:t xml:space="preserve"> percent of total compensation. </w:t>
      </w:r>
      <w:r w:rsidR="00447D38">
        <w:rPr>
          <w:szCs w:val="24"/>
        </w:rPr>
        <w:t xml:space="preserve">To estimate the total hourly compensation rate, </w:t>
      </w:r>
      <w:r w:rsidRPr="00B46B88">
        <w:rPr>
          <w:szCs w:val="24"/>
        </w:rPr>
        <w:t xml:space="preserve">I adjusted the hourly wage rates reported by BLS </w:t>
      </w:r>
      <w:r w:rsidR="00447D38">
        <w:rPr>
          <w:szCs w:val="24"/>
        </w:rPr>
        <w:t>using</w:t>
      </w:r>
      <w:r w:rsidR="00447D38" w:rsidRPr="00B46B88">
        <w:rPr>
          <w:szCs w:val="24"/>
        </w:rPr>
        <w:t xml:space="preserve"> </w:t>
      </w:r>
      <w:r w:rsidRPr="00B46B88">
        <w:rPr>
          <w:szCs w:val="24"/>
        </w:rPr>
        <w:t xml:space="preserve">changes in the Consumer Price Index for Urban Consumers (CPI-U) from May 2017 to </w:t>
      </w:r>
      <w:r w:rsidR="001A2E65">
        <w:rPr>
          <w:szCs w:val="24"/>
        </w:rPr>
        <w:t>September</w:t>
      </w:r>
      <w:r w:rsidRPr="00B46B88">
        <w:rPr>
          <w:szCs w:val="24"/>
        </w:rPr>
        <w:t xml:space="preserve"> 2018 (</w:t>
      </w:r>
      <w:r w:rsidR="001A2E65">
        <w:rPr>
          <w:szCs w:val="24"/>
        </w:rPr>
        <w:t>3.31</w:t>
      </w:r>
      <w:r w:rsidRPr="00B46B88">
        <w:rPr>
          <w:szCs w:val="24"/>
        </w:rPr>
        <w:t xml:space="preserve">%) to account for inflation and ensure that the wage information is contemporaneous with the non-monetary compensation statistic. Then, I grossed up the inflation adjusted wages </w:t>
      </w:r>
      <w:r w:rsidR="00447D38">
        <w:rPr>
          <w:szCs w:val="24"/>
        </w:rPr>
        <w:t xml:space="preserve">by </w:t>
      </w:r>
      <w:r w:rsidR="00D57418">
        <w:rPr>
          <w:szCs w:val="24"/>
        </w:rPr>
        <w:t>55.5</w:t>
      </w:r>
      <w:r w:rsidR="00447D38">
        <w:rPr>
          <w:szCs w:val="24"/>
        </w:rPr>
        <w:t xml:space="preserve"> percent </w:t>
      </w:r>
      <w:r w:rsidRPr="00B46B88">
        <w:rPr>
          <w:szCs w:val="24"/>
        </w:rPr>
        <w:t xml:space="preserve">to include non-monetary compensation. After calculating these adjustments, the estimated total hourly compensation </w:t>
      </w:r>
      <w:r>
        <w:rPr>
          <w:szCs w:val="24"/>
        </w:rPr>
        <w:t xml:space="preserve">rates </w:t>
      </w:r>
      <w:r w:rsidRPr="00B46B88">
        <w:rPr>
          <w:szCs w:val="24"/>
        </w:rPr>
        <w:t>are as follows:</w:t>
      </w:r>
    </w:p>
    <w:p w14:paraId="750FABCF" w14:textId="77777777" w:rsidR="007F4748" w:rsidRPr="00340326" w:rsidRDefault="007F4748" w:rsidP="007E7B41">
      <w:pPr>
        <w:tabs>
          <w:tab w:val="left" w:pos="1440"/>
          <w:tab w:val="left" w:pos="5040"/>
        </w:tabs>
        <w:rPr>
          <w:color w:val="000000"/>
        </w:rPr>
      </w:pPr>
    </w:p>
    <w:tbl>
      <w:tblPr>
        <w:tblW w:w="9147" w:type="dxa"/>
        <w:tblInd w:w="93" w:type="dxa"/>
        <w:tblLook w:val="04A0" w:firstRow="1" w:lastRow="0" w:firstColumn="1" w:lastColumn="0" w:noHBand="0" w:noVBand="1"/>
      </w:tblPr>
      <w:tblGrid>
        <w:gridCol w:w="3850"/>
        <w:gridCol w:w="1916"/>
        <w:gridCol w:w="1146"/>
        <w:gridCol w:w="2235"/>
      </w:tblGrid>
      <w:tr w:rsidR="0003632C" w:rsidRPr="0003632C" w14:paraId="750FABD4" w14:textId="77777777" w:rsidTr="0003632C">
        <w:trPr>
          <w:trHeight w:val="556"/>
        </w:trPr>
        <w:tc>
          <w:tcPr>
            <w:tcW w:w="3850"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750FABD0" w14:textId="77777777" w:rsidR="0003632C" w:rsidRPr="0003632C" w:rsidRDefault="0003632C" w:rsidP="0003632C">
            <w:pPr>
              <w:jc w:val="center"/>
              <w:rPr>
                <w:color w:val="000000"/>
                <w:sz w:val="22"/>
                <w:szCs w:val="22"/>
              </w:rPr>
            </w:pPr>
            <w:r w:rsidRPr="0003632C">
              <w:rPr>
                <w:color w:val="000000"/>
                <w:sz w:val="22"/>
                <w:szCs w:val="22"/>
              </w:rPr>
              <w:t>Estimated Category of Personnel Responsible for Complying with the PRA Burden</w:t>
            </w:r>
          </w:p>
        </w:tc>
        <w:tc>
          <w:tcPr>
            <w:tcW w:w="1916" w:type="dxa"/>
            <w:tcBorders>
              <w:top w:val="single" w:sz="8" w:space="0" w:color="auto"/>
              <w:left w:val="nil"/>
              <w:bottom w:val="single" w:sz="8" w:space="0" w:color="auto"/>
              <w:right w:val="single" w:sz="4" w:space="0" w:color="auto"/>
            </w:tcBorders>
            <w:shd w:val="clear" w:color="000000" w:fill="BFBFBF"/>
            <w:vAlign w:val="center"/>
            <w:hideMark/>
          </w:tcPr>
          <w:p w14:paraId="750FABD1" w14:textId="77777777" w:rsidR="0003632C" w:rsidRPr="0003632C" w:rsidRDefault="0003632C" w:rsidP="0003632C">
            <w:pPr>
              <w:jc w:val="center"/>
              <w:rPr>
                <w:color w:val="000000"/>
                <w:sz w:val="22"/>
                <w:szCs w:val="22"/>
              </w:rPr>
            </w:pPr>
            <w:r w:rsidRPr="0003632C">
              <w:rPr>
                <w:color w:val="000000"/>
                <w:sz w:val="22"/>
                <w:szCs w:val="22"/>
              </w:rPr>
              <w:t>Total Estimated Hourly Compensation</w:t>
            </w:r>
          </w:p>
        </w:tc>
        <w:tc>
          <w:tcPr>
            <w:tcW w:w="1146" w:type="dxa"/>
            <w:tcBorders>
              <w:top w:val="single" w:sz="8" w:space="0" w:color="auto"/>
              <w:left w:val="nil"/>
              <w:bottom w:val="single" w:sz="8" w:space="0" w:color="auto"/>
              <w:right w:val="single" w:sz="4" w:space="0" w:color="auto"/>
            </w:tcBorders>
            <w:shd w:val="clear" w:color="000000" w:fill="BFBFBF"/>
            <w:vAlign w:val="center"/>
            <w:hideMark/>
          </w:tcPr>
          <w:p w14:paraId="750FABD2" w14:textId="77777777" w:rsidR="0003632C" w:rsidRPr="0003632C" w:rsidRDefault="0003632C" w:rsidP="0003632C">
            <w:pPr>
              <w:jc w:val="center"/>
              <w:rPr>
                <w:color w:val="000000"/>
                <w:sz w:val="22"/>
                <w:szCs w:val="22"/>
              </w:rPr>
            </w:pPr>
            <w:r w:rsidRPr="0003632C">
              <w:rPr>
                <w:color w:val="000000"/>
                <w:sz w:val="22"/>
                <w:szCs w:val="22"/>
              </w:rPr>
              <w:t>Estimated Weights</w:t>
            </w:r>
          </w:p>
        </w:tc>
        <w:tc>
          <w:tcPr>
            <w:tcW w:w="2235" w:type="dxa"/>
            <w:tcBorders>
              <w:top w:val="single" w:sz="8" w:space="0" w:color="auto"/>
              <w:left w:val="nil"/>
              <w:bottom w:val="single" w:sz="8" w:space="0" w:color="auto"/>
              <w:right w:val="single" w:sz="8" w:space="0" w:color="auto"/>
            </w:tcBorders>
            <w:shd w:val="clear" w:color="000000" w:fill="BFBFBF"/>
            <w:vAlign w:val="center"/>
            <w:hideMark/>
          </w:tcPr>
          <w:p w14:paraId="750FABD3" w14:textId="77777777" w:rsidR="0003632C" w:rsidRPr="0003632C" w:rsidRDefault="0003632C" w:rsidP="0003632C">
            <w:pPr>
              <w:jc w:val="center"/>
              <w:rPr>
                <w:color w:val="000000"/>
                <w:sz w:val="22"/>
                <w:szCs w:val="22"/>
              </w:rPr>
            </w:pPr>
            <w:r w:rsidRPr="0003632C">
              <w:rPr>
                <w:color w:val="000000"/>
                <w:sz w:val="22"/>
                <w:szCs w:val="22"/>
              </w:rPr>
              <w:t>Estimated Total Weighted Labor Cost Component</w:t>
            </w:r>
          </w:p>
        </w:tc>
      </w:tr>
      <w:tr w:rsidR="0003632C" w:rsidRPr="0003632C" w14:paraId="750FABD9" w14:textId="77777777" w:rsidTr="0003632C">
        <w:trPr>
          <w:trHeight w:val="556"/>
        </w:trPr>
        <w:tc>
          <w:tcPr>
            <w:tcW w:w="3850" w:type="dxa"/>
            <w:tcBorders>
              <w:top w:val="nil"/>
              <w:left w:val="single" w:sz="8" w:space="0" w:color="auto"/>
              <w:bottom w:val="single" w:sz="4" w:space="0" w:color="auto"/>
              <w:right w:val="single" w:sz="4" w:space="0" w:color="auto"/>
            </w:tcBorders>
            <w:shd w:val="clear" w:color="auto" w:fill="auto"/>
            <w:vAlign w:val="center"/>
            <w:hideMark/>
          </w:tcPr>
          <w:p w14:paraId="750FABD5" w14:textId="77777777" w:rsidR="0003632C" w:rsidRPr="0003632C" w:rsidRDefault="0003632C" w:rsidP="0003632C">
            <w:pPr>
              <w:rPr>
                <w:color w:val="000000"/>
                <w:sz w:val="22"/>
                <w:szCs w:val="22"/>
              </w:rPr>
            </w:pPr>
            <w:r w:rsidRPr="0003632C">
              <w:rPr>
                <w:color w:val="000000"/>
                <w:sz w:val="22"/>
                <w:szCs w:val="22"/>
              </w:rPr>
              <w:t>Executives and Managers*</w:t>
            </w:r>
          </w:p>
        </w:tc>
        <w:tc>
          <w:tcPr>
            <w:tcW w:w="1916" w:type="dxa"/>
            <w:tcBorders>
              <w:top w:val="nil"/>
              <w:left w:val="nil"/>
              <w:bottom w:val="single" w:sz="4" w:space="0" w:color="auto"/>
              <w:right w:val="single" w:sz="4" w:space="0" w:color="auto"/>
            </w:tcBorders>
            <w:shd w:val="clear" w:color="auto" w:fill="auto"/>
            <w:vAlign w:val="center"/>
            <w:hideMark/>
          </w:tcPr>
          <w:p w14:paraId="750FABD6" w14:textId="77777777" w:rsidR="0003632C" w:rsidRPr="0003632C" w:rsidRDefault="0003632C" w:rsidP="0003632C">
            <w:pPr>
              <w:jc w:val="right"/>
              <w:rPr>
                <w:color w:val="000000"/>
                <w:sz w:val="22"/>
                <w:szCs w:val="22"/>
              </w:rPr>
            </w:pPr>
            <w:r w:rsidRPr="0003632C">
              <w:rPr>
                <w:color w:val="000000"/>
                <w:sz w:val="22"/>
                <w:szCs w:val="22"/>
              </w:rPr>
              <w:t>$125.78</w:t>
            </w:r>
          </w:p>
        </w:tc>
        <w:tc>
          <w:tcPr>
            <w:tcW w:w="1146" w:type="dxa"/>
            <w:tcBorders>
              <w:top w:val="nil"/>
              <w:left w:val="nil"/>
              <w:bottom w:val="single" w:sz="4" w:space="0" w:color="auto"/>
              <w:right w:val="single" w:sz="4" w:space="0" w:color="auto"/>
            </w:tcBorders>
            <w:shd w:val="clear" w:color="auto" w:fill="auto"/>
            <w:vAlign w:val="center"/>
            <w:hideMark/>
          </w:tcPr>
          <w:p w14:paraId="750FABD7" w14:textId="77777777" w:rsidR="0003632C" w:rsidRPr="0003632C" w:rsidRDefault="0003632C" w:rsidP="0003632C">
            <w:pPr>
              <w:jc w:val="right"/>
              <w:rPr>
                <w:color w:val="000000"/>
                <w:sz w:val="22"/>
                <w:szCs w:val="22"/>
              </w:rPr>
            </w:pPr>
            <w:r w:rsidRPr="0003632C">
              <w:rPr>
                <w:color w:val="000000"/>
                <w:sz w:val="22"/>
                <w:szCs w:val="22"/>
              </w:rPr>
              <w:t>20%</w:t>
            </w:r>
          </w:p>
        </w:tc>
        <w:tc>
          <w:tcPr>
            <w:tcW w:w="2235" w:type="dxa"/>
            <w:tcBorders>
              <w:top w:val="nil"/>
              <w:left w:val="nil"/>
              <w:bottom w:val="single" w:sz="4" w:space="0" w:color="auto"/>
              <w:right w:val="single" w:sz="8" w:space="0" w:color="auto"/>
            </w:tcBorders>
            <w:shd w:val="clear" w:color="auto" w:fill="auto"/>
            <w:vAlign w:val="center"/>
            <w:hideMark/>
          </w:tcPr>
          <w:p w14:paraId="750FABD8" w14:textId="77777777" w:rsidR="0003632C" w:rsidRPr="0003632C" w:rsidRDefault="0003632C" w:rsidP="0003632C">
            <w:pPr>
              <w:jc w:val="right"/>
              <w:rPr>
                <w:color w:val="000000"/>
                <w:sz w:val="22"/>
                <w:szCs w:val="22"/>
              </w:rPr>
            </w:pPr>
            <w:r w:rsidRPr="0003632C">
              <w:rPr>
                <w:color w:val="000000"/>
                <w:sz w:val="22"/>
                <w:szCs w:val="22"/>
              </w:rPr>
              <w:t>$25.16</w:t>
            </w:r>
          </w:p>
        </w:tc>
      </w:tr>
      <w:tr w:rsidR="0003632C" w:rsidRPr="0003632C" w14:paraId="750FABDE" w14:textId="77777777" w:rsidTr="0003632C">
        <w:trPr>
          <w:trHeight w:val="556"/>
        </w:trPr>
        <w:tc>
          <w:tcPr>
            <w:tcW w:w="3850" w:type="dxa"/>
            <w:tcBorders>
              <w:top w:val="nil"/>
              <w:left w:val="single" w:sz="8" w:space="0" w:color="auto"/>
              <w:bottom w:val="single" w:sz="4" w:space="0" w:color="auto"/>
              <w:right w:val="single" w:sz="4" w:space="0" w:color="auto"/>
            </w:tcBorders>
            <w:shd w:val="clear" w:color="auto" w:fill="auto"/>
            <w:vAlign w:val="center"/>
            <w:hideMark/>
          </w:tcPr>
          <w:p w14:paraId="750FABDA" w14:textId="77777777" w:rsidR="0003632C" w:rsidRPr="0003632C" w:rsidRDefault="0003632C" w:rsidP="0003632C">
            <w:pPr>
              <w:rPr>
                <w:color w:val="000000"/>
                <w:sz w:val="22"/>
                <w:szCs w:val="22"/>
              </w:rPr>
            </w:pPr>
            <w:r w:rsidRPr="0003632C">
              <w:rPr>
                <w:color w:val="000000"/>
                <w:sz w:val="22"/>
                <w:szCs w:val="22"/>
              </w:rPr>
              <w:t>Lawyers**</w:t>
            </w:r>
          </w:p>
        </w:tc>
        <w:tc>
          <w:tcPr>
            <w:tcW w:w="1916" w:type="dxa"/>
            <w:tcBorders>
              <w:top w:val="nil"/>
              <w:left w:val="nil"/>
              <w:bottom w:val="single" w:sz="4" w:space="0" w:color="auto"/>
              <w:right w:val="single" w:sz="4" w:space="0" w:color="auto"/>
            </w:tcBorders>
            <w:shd w:val="clear" w:color="auto" w:fill="auto"/>
            <w:vAlign w:val="center"/>
            <w:hideMark/>
          </w:tcPr>
          <w:p w14:paraId="750FABDB" w14:textId="77777777" w:rsidR="0003632C" w:rsidRPr="0003632C" w:rsidRDefault="0003632C" w:rsidP="0003632C">
            <w:pPr>
              <w:jc w:val="right"/>
              <w:rPr>
                <w:color w:val="000000"/>
                <w:sz w:val="22"/>
                <w:szCs w:val="22"/>
              </w:rPr>
            </w:pPr>
            <w:r w:rsidRPr="0003632C">
              <w:rPr>
                <w:color w:val="000000"/>
                <w:sz w:val="22"/>
                <w:szCs w:val="22"/>
              </w:rPr>
              <w:t>$160.50</w:t>
            </w:r>
          </w:p>
        </w:tc>
        <w:tc>
          <w:tcPr>
            <w:tcW w:w="1146" w:type="dxa"/>
            <w:tcBorders>
              <w:top w:val="nil"/>
              <w:left w:val="nil"/>
              <w:bottom w:val="single" w:sz="4" w:space="0" w:color="auto"/>
              <w:right w:val="single" w:sz="4" w:space="0" w:color="auto"/>
            </w:tcBorders>
            <w:shd w:val="clear" w:color="auto" w:fill="auto"/>
            <w:vAlign w:val="center"/>
            <w:hideMark/>
          </w:tcPr>
          <w:p w14:paraId="750FABDC" w14:textId="77777777" w:rsidR="0003632C" w:rsidRPr="0003632C" w:rsidRDefault="0003632C" w:rsidP="0003632C">
            <w:pPr>
              <w:jc w:val="right"/>
              <w:rPr>
                <w:color w:val="000000"/>
                <w:sz w:val="22"/>
                <w:szCs w:val="22"/>
              </w:rPr>
            </w:pPr>
            <w:r w:rsidRPr="0003632C">
              <w:rPr>
                <w:color w:val="000000"/>
                <w:sz w:val="22"/>
                <w:szCs w:val="22"/>
              </w:rPr>
              <w:t>0%</w:t>
            </w:r>
          </w:p>
        </w:tc>
        <w:tc>
          <w:tcPr>
            <w:tcW w:w="2235" w:type="dxa"/>
            <w:tcBorders>
              <w:top w:val="nil"/>
              <w:left w:val="nil"/>
              <w:bottom w:val="single" w:sz="4" w:space="0" w:color="auto"/>
              <w:right w:val="single" w:sz="8" w:space="0" w:color="auto"/>
            </w:tcBorders>
            <w:shd w:val="clear" w:color="auto" w:fill="auto"/>
            <w:vAlign w:val="center"/>
            <w:hideMark/>
          </w:tcPr>
          <w:p w14:paraId="750FABDD" w14:textId="77777777" w:rsidR="0003632C" w:rsidRPr="0003632C" w:rsidRDefault="0003632C" w:rsidP="0003632C">
            <w:pPr>
              <w:jc w:val="right"/>
              <w:rPr>
                <w:color w:val="000000"/>
                <w:sz w:val="22"/>
                <w:szCs w:val="22"/>
              </w:rPr>
            </w:pPr>
            <w:r w:rsidRPr="0003632C">
              <w:rPr>
                <w:color w:val="000000"/>
                <w:sz w:val="22"/>
                <w:szCs w:val="22"/>
              </w:rPr>
              <w:t>$0.00</w:t>
            </w:r>
          </w:p>
        </w:tc>
      </w:tr>
      <w:tr w:rsidR="0003632C" w:rsidRPr="0003632C" w14:paraId="750FABE3" w14:textId="77777777" w:rsidTr="0003632C">
        <w:trPr>
          <w:trHeight w:val="556"/>
        </w:trPr>
        <w:tc>
          <w:tcPr>
            <w:tcW w:w="3850" w:type="dxa"/>
            <w:tcBorders>
              <w:top w:val="nil"/>
              <w:left w:val="single" w:sz="8" w:space="0" w:color="auto"/>
              <w:bottom w:val="single" w:sz="4" w:space="0" w:color="auto"/>
              <w:right w:val="single" w:sz="4" w:space="0" w:color="auto"/>
            </w:tcBorders>
            <w:shd w:val="clear" w:color="auto" w:fill="auto"/>
            <w:vAlign w:val="center"/>
            <w:hideMark/>
          </w:tcPr>
          <w:p w14:paraId="750FABDF" w14:textId="77777777" w:rsidR="0003632C" w:rsidRPr="0003632C" w:rsidRDefault="0003632C" w:rsidP="0003632C">
            <w:pPr>
              <w:rPr>
                <w:color w:val="000000"/>
                <w:sz w:val="22"/>
                <w:szCs w:val="22"/>
              </w:rPr>
            </w:pPr>
            <w:r w:rsidRPr="0003632C">
              <w:rPr>
                <w:color w:val="000000"/>
                <w:sz w:val="22"/>
                <w:szCs w:val="22"/>
              </w:rPr>
              <w:t>Compliance Officer***</w:t>
            </w:r>
          </w:p>
        </w:tc>
        <w:tc>
          <w:tcPr>
            <w:tcW w:w="1916" w:type="dxa"/>
            <w:tcBorders>
              <w:top w:val="nil"/>
              <w:left w:val="nil"/>
              <w:bottom w:val="single" w:sz="4" w:space="0" w:color="auto"/>
              <w:right w:val="single" w:sz="4" w:space="0" w:color="auto"/>
            </w:tcBorders>
            <w:shd w:val="clear" w:color="auto" w:fill="auto"/>
            <w:vAlign w:val="center"/>
            <w:hideMark/>
          </w:tcPr>
          <w:p w14:paraId="750FABE0" w14:textId="77777777" w:rsidR="0003632C" w:rsidRPr="0003632C" w:rsidRDefault="0003632C" w:rsidP="0003632C">
            <w:pPr>
              <w:jc w:val="right"/>
              <w:rPr>
                <w:color w:val="000000"/>
                <w:sz w:val="22"/>
                <w:szCs w:val="22"/>
              </w:rPr>
            </w:pPr>
            <w:r w:rsidRPr="0003632C">
              <w:rPr>
                <w:color w:val="000000"/>
                <w:sz w:val="22"/>
                <w:szCs w:val="22"/>
              </w:rPr>
              <w:t>$65.15</w:t>
            </w:r>
          </w:p>
        </w:tc>
        <w:tc>
          <w:tcPr>
            <w:tcW w:w="1146" w:type="dxa"/>
            <w:tcBorders>
              <w:top w:val="nil"/>
              <w:left w:val="nil"/>
              <w:bottom w:val="single" w:sz="4" w:space="0" w:color="auto"/>
              <w:right w:val="single" w:sz="4" w:space="0" w:color="auto"/>
            </w:tcBorders>
            <w:shd w:val="clear" w:color="auto" w:fill="auto"/>
            <w:vAlign w:val="center"/>
            <w:hideMark/>
          </w:tcPr>
          <w:p w14:paraId="750FABE1" w14:textId="77777777" w:rsidR="0003632C" w:rsidRPr="0003632C" w:rsidRDefault="0003632C" w:rsidP="0003632C">
            <w:pPr>
              <w:jc w:val="right"/>
              <w:rPr>
                <w:color w:val="000000"/>
                <w:sz w:val="22"/>
                <w:szCs w:val="22"/>
              </w:rPr>
            </w:pPr>
            <w:r w:rsidRPr="0003632C">
              <w:rPr>
                <w:color w:val="000000"/>
                <w:sz w:val="22"/>
                <w:szCs w:val="22"/>
              </w:rPr>
              <w:t>40%</w:t>
            </w:r>
          </w:p>
        </w:tc>
        <w:tc>
          <w:tcPr>
            <w:tcW w:w="2235" w:type="dxa"/>
            <w:tcBorders>
              <w:top w:val="nil"/>
              <w:left w:val="nil"/>
              <w:bottom w:val="single" w:sz="4" w:space="0" w:color="auto"/>
              <w:right w:val="single" w:sz="8" w:space="0" w:color="auto"/>
            </w:tcBorders>
            <w:shd w:val="clear" w:color="auto" w:fill="auto"/>
            <w:vAlign w:val="center"/>
            <w:hideMark/>
          </w:tcPr>
          <w:p w14:paraId="750FABE2" w14:textId="77777777" w:rsidR="0003632C" w:rsidRPr="0003632C" w:rsidRDefault="0003632C" w:rsidP="0003632C">
            <w:pPr>
              <w:jc w:val="right"/>
              <w:rPr>
                <w:color w:val="000000"/>
                <w:sz w:val="22"/>
                <w:szCs w:val="22"/>
              </w:rPr>
            </w:pPr>
            <w:r w:rsidRPr="0003632C">
              <w:rPr>
                <w:color w:val="000000"/>
                <w:sz w:val="22"/>
                <w:szCs w:val="22"/>
              </w:rPr>
              <w:t>$26.06</w:t>
            </w:r>
          </w:p>
        </w:tc>
      </w:tr>
      <w:tr w:rsidR="0003632C" w:rsidRPr="0003632C" w14:paraId="750FABE8" w14:textId="77777777" w:rsidTr="0003632C">
        <w:trPr>
          <w:trHeight w:val="556"/>
        </w:trPr>
        <w:tc>
          <w:tcPr>
            <w:tcW w:w="3850" w:type="dxa"/>
            <w:tcBorders>
              <w:top w:val="nil"/>
              <w:left w:val="single" w:sz="8" w:space="0" w:color="auto"/>
              <w:bottom w:val="single" w:sz="4" w:space="0" w:color="auto"/>
              <w:right w:val="single" w:sz="4" w:space="0" w:color="auto"/>
            </w:tcBorders>
            <w:shd w:val="clear" w:color="auto" w:fill="auto"/>
            <w:vAlign w:val="center"/>
            <w:hideMark/>
          </w:tcPr>
          <w:p w14:paraId="750FABE4" w14:textId="77777777" w:rsidR="0003632C" w:rsidRPr="0003632C" w:rsidRDefault="0003632C" w:rsidP="0003632C">
            <w:pPr>
              <w:rPr>
                <w:color w:val="000000"/>
                <w:sz w:val="22"/>
                <w:szCs w:val="22"/>
              </w:rPr>
            </w:pPr>
            <w:r w:rsidRPr="0003632C">
              <w:rPr>
                <w:color w:val="000000"/>
                <w:sz w:val="22"/>
                <w:szCs w:val="22"/>
              </w:rPr>
              <w:lastRenderedPageBreak/>
              <w:t>IT Specialists†</w:t>
            </w:r>
          </w:p>
        </w:tc>
        <w:tc>
          <w:tcPr>
            <w:tcW w:w="1916" w:type="dxa"/>
            <w:tcBorders>
              <w:top w:val="nil"/>
              <w:left w:val="nil"/>
              <w:bottom w:val="single" w:sz="4" w:space="0" w:color="auto"/>
              <w:right w:val="single" w:sz="4" w:space="0" w:color="auto"/>
            </w:tcBorders>
            <w:shd w:val="clear" w:color="auto" w:fill="auto"/>
            <w:vAlign w:val="center"/>
            <w:hideMark/>
          </w:tcPr>
          <w:p w14:paraId="750FABE5" w14:textId="77777777" w:rsidR="0003632C" w:rsidRPr="0003632C" w:rsidRDefault="0003632C" w:rsidP="0003632C">
            <w:pPr>
              <w:jc w:val="right"/>
              <w:rPr>
                <w:color w:val="000000"/>
                <w:sz w:val="22"/>
                <w:szCs w:val="22"/>
              </w:rPr>
            </w:pPr>
            <w:r w:rsidRPr="0003632C">
              <w:rPr>
                <w:color w:val="000000"/>
                <w:sz w:val="22"/>
                <w:szCs w:val="22"/>
              </w:rPr>
              <w:t>$91.70</w:t>
            </w:r>
          </w:p>
        </w:tc>
        <w:tc>
          <w:tcPr>
            <w:tcW w:w="1146" w:type="dxa"/>
            <w:tcBorders>
              <w:top w:val="nil"/>
              <w:left w:val="nil"/>
              <w:bottom w:val="single" w:sz="4" w:space="0" w:color="auto"/>
              <w:right w:val="single" w:sz="4" w:space="0" w:color="auto"/>
            </w:tcBorders>
            <w:shd w:val="clear" w:color="auto" w:fill="auto"/>
            <w:vAlign w:val="center"/>
            <w:hideMark/>
          </w:tcPr>
          <w:p w14:paraId="750FABE6" w14:textId="77777777" w:rsidR="0003632C" w:rsidRPr="0003632C" w:rsidRDefault="0003632C" w:rsidP="0003632C">
            <w:pPr>
              <w:jc w:val="right"/>
              <w:rPr>
                <w:color w:val="000000"/>
                <w:sz w:val="22"/>
                <w:szCs w:val="22"/>
              </w:rPr>
            </w:pPr>
            <w:r w:rsidRPr="0003632C">
              <w:rPr>
                <w:color w:val="000000"/>
                <w:sz w:val="22"/>
                <w:szCs w:val="22"/>
              </w:rPr>
              <w:t>0%</w:t>
            </w:r>
          </w:p>
        </w:tc>
        <w:tc>
          <w:tcPr>
            <w:tcW w:w="2235" w:type="dxa"/>
            <w:tcBorders>
              <w:top w:val="nil"/>
              <w:left w:val="nil"/>
              <w:bottom w:val="single" w:sz="4" w:space="0" w:color="auto"/>
              <w:right w:val="single" w:sz="8" w:space="0" w:color="auto"/>
            </w:tcBorders>
            <w:shd w:val="clear" w:color="auto" w:fill="auto"/>
            <w:vAlign w:val="center"/>
            <w:hideMark/>
          </w:tcPr>
          <w:p w14:paraId="750FABE7" w14:textId="77777777" w:rsidR="0003632C" w:rsidRPr="0003632C" w:rsidRDefault="0003632C" w:rsidP="0003632C">
            <w:pPr>
              <w:jc w:val="right"/>
              <w:rPr>
                <w:color w:val="000000"/>
                <w:sz w:val="22"/>
                <w:szCs w:val="22"/>
              </w:rPr>
            </w:pPr>
            <w:r w:rsidRPr="0003632C">
              <w:rPr>
                <w:color w:val="000000"/>
                <w:sz w:val="22"/>
                <w:szCs w:val="22"/>
              </w:rPr>
              <w:t>$0.00</w:t>
            </w:r>
          </w:p>
        </w:tc>
      </w:tr>
      <w:tr w:rsidR="0003632C" w:rsidRPr="0003632C" w14:paraId="750FABED" w14:textId="77777777" w:rsidTr="0003632C">
        <w:trPr>
          <w:trHeight w:val="556"/>
        </w:trPr>
        <w:tc>
          <w:tcPr>
            <w:tcW w:w="3850" w:type="dxa"/>
            <w:tcBorders>
              <w:top w:val="nil"/>
              <w:left w:val="single" w:sz="8" w:space="0" w:color="auto"/>
              <w:bottom w:val="single" w:sz="4" w:space="0" w:color="auto"/>
              <w:right w:val="single" w:sz="4" w:space="0" w:color="auto"/>
            </w:tcBorders>
            <w:shd w:val="clear" w:color="auto" w:fill="auto"/>
            <w:vAlign w:val="center"/>
            <w:hideMark/>
          </w:tcPr>
          <w:p w14:paraId="750FABE9" w14:textId="77777777" w:rsidR="0003632C" w:rsidRPr="0003632C" w:rsidRDefault="0003632C" w:rsidP="0003632C">
            <w:pPr>
              <w:rPr>
                <w:color w:val="000000"/>
                <w:sz w:val="22"/>
                <w:szCs w:val="22"/>
              </w:rPr>
            </w:pPr>
            <w:r w:rsidRPr="0003632C">
              <w:rPr>
                <w:color w:val="000000"/>
                <w:sz w:val="22"/>
                <w:szCs w:val="22"/>
              </w:rPr>
              <w:t>Financial Analysts††</w:t>
            </w:r>
          </w:p>
        </w:tc>
        <w:tc>
          <w:tcPr>
            <w:tcW w:w="1916" w:type="dxa"/>
            <w:tcBorders>
              <w:top w:val="nil"/>
              <w:left w:val="nil"/>
              <w:bottom w:val="single" w:sz="4" w:space="0" w:color="auto"/>
              <w:right w:val="single" w:sz="4" w:space="0" w:color="auto"/>
            </w:tcBorders>
            <w:shd w:val="clear" w:color="auto" w:fill="auto"/>
            <w:vAlign w:val="center"/>
            <w:hideMark/>
          </w:tcPr>
          <w:p w14:paraId="750FABEA" w14:textId="77777777" w:rsidR="0003632C" w:rsidRPr="0003632C" w:rsidRDefault="0003632C" w:rsidP="0003632C">
            <w:pPr>
              <w:jc w:val="right"/>
              <w:rPr>
                <w:color w:val="000000"/>
                <w:sz w:val="22"/>
                <w:szCs w:val="22"/>
              </w:rPr>
            </w:pPr>
            <w:r w:rsidRPr="0003632C">
              <w:rPr>
                <w:color w:val="000000"/>
                <w:sz w:val="22"/>
                <w:szCs w:val="22"/>
              </w:rPr>
              <w:t>$85.59</w:t>
            </w:r>
          </w:p>
        </w:tc>
        <w:tc>
          <w:tcPr>
            <w:tcW w:w="1146" w:type="dxa"/>
            <w:tcBorders>
              <w:top w:val="nil"/>
              <w:left w:val="nil"/>
              <w:bottom w:val="single" w:sz="4" w:space="0" w:color="auto"/>
              <w:right w:val="single" w:sz="4" w:space="0" w:color="auto"/>
            </w:tcBorders>
            <w:shd w:val="clear" w:color="auto" w:fill="auto"/>
            <w:vAlign w:val="center"/>
            <w:hideMark/>
          </w:tcPr>
          <w:p w14:paraId="750FABEB" w14:textId="77777777" w:rsidR="0003632C" w:rsidRPr="0003632C" w:rsidRDefault="0003632C" w:rsidP="0003632C">
            <w:pPr>
              <w:jc w:val="right"/>
              <w:rPr>
                <w:color w:val="000000"/>
                <w:sz w:val="22"/>
                <w:szCs w:val="22"/>
              </w:rPr>
            </w:pPr>
            <w:r w:rsidRPr="0003632C">
              <w:rPr>
                <w:color w:val="000000"/>
                <w:sz w:val="22"/>
                <w:szCs w:val="22"/>
              </w:rPr>
              <w:t>0%</w:t>
            </w:r>
          </w:p>
        </w:tc>
        <w:tc>
          <w:tcPr>
            <w:tcW w:w="2235" w:type="dxa"/>
            <w:tcBorders>
              <w:top w:val="nil"/>
              <w:left w:val="nil"/>
              <w:bottom w:val="single" w:sz="4" w:space="0" w:color="auto"/>
              <w:right w:val="single" w:sz="8" w:space="0" w:color="auto"/>
            </w:tcBorders>
            <w:shd w:val="clear" w:color="auto" w:fill="auto"/>
            <w:vAlign w:val="center"/>
            <w:hideMark/>
          </w:tcPr>
          <w:p w14:paraId="750FABEC" w14:textId="77777777" w:rsidR="0003632C" w:rsidRPr="0003632C" w:rsidRDefault="0003632C" w:rsidP="0003632C">
            <w:pPr>
              <w:jc w:val="right"/>
              <w:rPr>
                <w:color w:val="000000"/>
                <w:sz w:val="22"/>
                <w:szCs w:val="22"/>
              </w:rPr>
            </w:pPr>
            <w:r w:rsidRPr="0003632C">
              <w:rPr>
                <w:color w:val="000000"/>
                <w:sz w:val="22"/>
                <w:szCs w:val="22"/>
              </w:rPr>
              <w:t>$0.00</w:t>
            </w:r>
          </w:p>
        </w:tc>
      </w:tr>
      <w:tr w:rsidR="0003632C" w:rsidRPr="0003632C" w14:paraId="750FABF2" w14:textId="77777777" w:rsidTr="0003632C">
        <w:trPr>
          <w:trHeight w:val="556"/>
        </w:trPr>
        <w:tc>
          <w:tcPr>
            <w:tcW w:w="3850" w:type="dxa"/>
            <w:tcBorders>
              <w:top w:val="nil"/>
              <w:left w:val="single" w:sz="8" w:space="0" w:color="auto"/>
              <w:bottom w:val="nil"/>
              <w:right w:val="single" w:sz="4" w:space="0" w:color="auto"/>
            </w:tcBorders>
            <w:shd w:val="clear" w:color="auto" w:fill="auto"/>
            <w:vAlign w:val="center"/>
            <w:hideMark/>
          </w:tcPr>
          <w:p w14:paraId="750FABEE" w14:textId="77777777" w:rsidR="0003632C" w:rsidRPr="0003632C" w:rsidRDefault="0003632C" w:rsidP="0003632C">
            <w:pPr>
              <w:rPr>
                <w:color w:val="000000"/>
                <w:sz w:val="22"/>
                <w:szCs w:val="22"/>
              </w:rPr>
            </w:pPr>
            <w:r w:rsidRPr="0003632C">
              <w:rPr>
                <w:color w:val="000000"/>
                <w:sz w:val="22"/>
                <w:szCs w:val="22"/>
              </w:rPr>
              <w:t>Clerical‡</w:t>
            </w:r>
          </w:p>
        </w:tc>
        <w:tc>
          <w:tcPr>
            <w:tcW w:w="1916" w:type="dxa"/>
            <w:tcBorders>
              <w:top w:val="nil"/>
              <w:left w:val="nil"/>
              <w:bottom w:val="nil"/>
              <w:right w:val="single" w:sz="4" w:space="0" w:color="auto"/>
            </w:tcBorders>
            <w:shd w:val="clear" w:color="auto" w:fill="auto"/>
            <w:vAlign w:val="center"/>
            <w:hideMark/>
          </w:tcPr>
          <w:p w14:paraId="750FABEF" w14:textId="77777777" w:rsidR="0003632C" w:rsidRPr="0003632C" w:rsidRDefault="0003632C" w:rsidP="0003632C">
            <w:pPr>
              <w:jc w:val="right"/>
              <w:rPr>
                <w:color w:val="000000"/>
                <w:sz w:val="22"/>
                <w:szCs w:val="22"/>
              </w:rPr>
            </w:pPr>
            <w:r w:rsidRPr="0003632C">
              <w:rPr>
                <w:color w:val="000000"/>
                <w:sz w:val="22"/>
                <w:szCs w:val="22"/>
              </w:rPr>
              <w:t>$32.79</w:t>
            </w:r>
          </w:p>
        </w:tc>
        <w:tc>
          <w:tcPr>
            <w:tcW w:w="1146" w:type="dxa"/>
            <w:tcBorders>
              <w:top w:val="nil"/>
              <w:left w:val="nil"/>
              <w:bottom w:val="nil"/>
              <w:right w:val="single" w:sz="4" w:space="0" w:color="auto"/>
            </w:tcBorders>
            <w:shd w:val="clear" w:color="auto" w:fill="auto"/>
            <w:vAlign w:val="center"/>
            <w:hideMark/>
          </w:tcPr>
          <w:p w14:paraId="750FABF0" w14:textId="77777777" w:rsidR="0003632C" w:rsidRPr="0003632C" w:rsidRDefault="0003632C" w:rsidP="0003632C">
            <w:pPr>
              <w:jc w:val="right"/>
              <w:rPr>
                <w:color w:val="000000"/>
                <w:sz w:val="22"/>
                <w:szCs w:val="22"/>
              </w:rPr>
            </w:pPr>
            <w:r w:rsidRPr="0003632C">
              <w:rPr>
                <w:color w:val="000000"/>
                <w:sz w:val="22"/>
                <w:szCs w:val="22"/>
              </w:rPr>
              <w:t>40%</w:t>
            </w:r>
          </w:p>
        </w:tc>
        <w:tc>
          <w:tcPr>
            <w:tcW w:w="2235" w:type="dxa"/>
            <w:tcBorders>
              <w:top w:val="nil"/>
              <w:left w:val="nil"/>
              <w:bottom w:val="nil"/>
              <w:right w:val="single" w:sz="8" w:space="0" w:color="auto"/>
            </w:tcBorders>
            <w:shd w:val="clear" w:color="auto" w:fill="auto"/>
            <w:vAlign w:val="center"/>
            <w:hideMark/>
          </w:tcPr>
          <w:p w14:paraId="750FABF1" w14:textId="77777777" w:rsidR="0003632C" w:rsidRPr="0003632C" w:rsidRDefault="0003632C" w:rsidP="0003632C">
            <w:pPr>
              <w:jc w:val="right"/>
              <w:rPr>
                <w:color w:val="000000"/>
                <w:sz w:val="22"/>
                <w:szCs w:val="22"/>
              </w:rPr>
            </w:pPr>
            <w:r w:rsidRPr="0003632C">
              <w:rPr>
                <w:color w:val="000000"/>
                <w:sz w:val="22"/>
                <w:szCs w:val="22"/>
              </w:rPr>
              <w:t>$13.12</w:t>
            </w:r>
          </w:p>
        </w:tc>
      </w:tr>
      <w:tr w:rsidR="0003632C" w:rsidRPr="0003632C" w14:paraId="750FABF7" w14:textId="77777777" w:rsidTr="0003632C">
        <w:trPr>
          <w:trHeight w:val="637"/>
        </w:trPr>
        <w:tc>
          <w:tcPr>
            <w:tcW w:w="385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50FABF3" w14:textId="77777777" w:rsidR="0003632C" w:rsidRPr="0003632C" w:rsidRDefault="0003632C" w:rsidP="0003632C">
            <w:pPr>
              <w:rPr>
                <w:color w:val="000000"/>
                <w:sz w:val="22"/>
                <w:szCs w:val="22"/>
              </w:rPr>
            </w:pPr>
            <w:r w:rsidRPr="0003632C">
              <w:rPr>
                <w:color w:val="000000"/>
                <w:sz w:val="22"/>
                <w:szCs w:val="22"/>
              </w:rPr>
              <w:t>Total Estimated Weighted Average Hourly Compensation Rate</w:t>
            </w:r>
          </w:p>
        </w:tc>
        <w:tc>
          <w:tcPr>
            <w:tcW w:w="1916" w:type="dxa"/>
            <w:tcBorders>
              <w:top w:val="single" w:sz="8" w:space="0" w:color="auto"/>
              <w:left w:val="nil"/>
              <w:bottom w:val="single" w:sz="8" w:space="0" w:color="auto"/>
              <w:right w:val="single" w:sz="4" w:space="0" w:color="auto"/>
            </w:tcBorders>
            <w:shd w:val="clear" w:color="auto" w:fill="auto"/>
            <w:vAlign w:val="center"/>
            <w:hideMark/>
          </w:tcPr>
          <w:p w14:paraId="750FABF4" w14:textId="77777777" w:rsidR="0003632C" w:rsidRPr="0003632C" w:rsidRDefault="0003632C" w:rsidP="0003632C">
            <w:pPr>
              <w:rPr>
                <w:color w:val="000000"/>
                <w:sz w:val="22"/>
                <w:szCs w:val="22"/>
              </w:rPr>
            </w:pPr>
            <w:r w:rsidRPr="0003632C">
              <w:rPr>
                <w:color w:val="000000"/>
                <w:sz w:val="22"/>
                <w:szCs w:val="22"/>
              </w:rPr>
              <w:t> </w:t>
            </w:r>
          </w:p>
        </w:tc>
        <w:tc>
          <w:tcPr>
            <w:tcW w:w="1146" w:type="dxa"/>
            <w:tcBorders>
              <w:top w:val="single" w:sz="8" w:space="0" w:color="auto"/>
              <w:left w:val="nil"/>
              <w:bottom w:val="single" w:sz="8" w:space="0" w:color="auto"/>
              <w:right w:val="single" w:sz="4" w:space="0" w:color="auto"/>
            </w:tcBorders>
            <w:shd w:val="clear" w:color="auto" w:fill="auto"/>
            <w:vAlign w:val="center"/>
            <w:hideMark/>
          </w:tcPr>
          <w:p w14:paraId="750FABF5" w14:textId="77777777" w:rsidR="0003632C" w:rsidRPr="0003632C" w:rsidRDefault="0003632C" w:rsidP="0003632C">
            <w:pPr>
              <w:jc w:val="right"/>
              <w:rPr>
                <w:color w:val="000000"/>
                <w:sz w:val="22"/>
                <w:szCs w:val="22"/>
              </w:rPr>
            </w:pPr>
            <w:r w:rsidRPr="0003632C">
              <w:rPr>
                <w:color w:val="000000"/>
                <w:sz w:val="22"/>
                <w:szCs w:val="22"/>
              </w:rPr>
              <w:t>100%</w:t>
            </w:r>
          </w:p>
        </w:tc>
        <w:tc>
          <w:tcPr>
            <w:tcW w:w="2235" w:type="dxa"/>
            <w:tcBorders>
              <w:top w:val="single" w:sz="8" w:space="0" w:color="auto"/>
              <w:left w:val="nil"/>
              <w:bottom w:val="single" w:sz="8" w:space="0" w:color="auto"/>
              <w:right w:val="single" w:sz="8" w:space="0" w:color="auto"/>
            </w:tcBorders>
            <w:shd w:val="clear" w:color="auto" w:fill="auto"/>
            <w:vAlign w:val="center"/>
            <w:hideMark/>
          </w:tcPr>
          <w:p w14:paraId="750FABF6" w14:textId="77777777" w:rsidR="0003632C" w:rsidRPr="0003632C" w:rsidRDefault="0003632C" w:rsidP="0003632C">
            <w:pPr>
              <w:jc w:val="right"/>
              <w:rPr>
                <w:color w:val="000000"/>
                <w:sz w:val="22"/>
                <w:szCs w:val="22"/>
              </w:rPr>
            </w:pPr>
            <w:r w:rsidRPr="0003632C">
              <w:rPr>
                <w:color w:val="000000"/>
                <w:sz w:val="22"/>
                <w:szCs w:val="22"/>
              </w:rPr>
              <w:t>$64.33</w:t>
            </w:r>
          </w:p>
        </w:tc>
      </w:tr>
      <w:tr w:rsidR="0003632C" w:rsidRPr="0003632C" w14:paraId="750FABF9" w14:textId="77777777" w:rsidTr="0003632C">
        <w:trPr>
          <w:trHeight w:val="926"/>
        </w:trPr>
        <w:tc>
          <w:tcPr>
            <w:tcW w:w="9147" w:type="dxa"/>
            <w:gridSpan w:val="4"/>
            <w:tcBorders>
              <w:top w:val="nil"/>
              <w:left w:val="nil"/>
              <w:bottom w:val="nil"/>
              <w:right w:val="nil"/>
            </w:tcBorders>
            <w:shd w:val="clear" w:color="auto" w:fill="auto"/>
            <w:hideMark/>
          </w:tcPr>
          <w:p w14:paraId="750FABF8" w14:textId="77777777" w:rsidR="0003632C" w:rsidRPr="0003632C" w:rsidRDefault="0003632C" w:rsidP="0003632C">
            <w:pPr>
              <w:rPr>
                <w:color w:val="000000"/>
                <w:sz w:val="22"/>
                <w:szCs w:val="22"/>
              </w:rPr>
            </w:pPr>
            <w:r w:rsidRPr="0003632C">
              <w:rPr>
                <w:color w:val="000000"/>
                <w:sz w:val="22"/>
                <w:szCs w:val="22"/>
              </w:rPr>
              <w:t>Source: Bureau of Labor Statistics: "National Industry-Specific Occupational Employment and Wage Estimates: Depository Credit Intermediation Sector" (May 2017), Employer Cost of Employee Compensation (September 2018), Consumer Price Index (September 2018).</w:t>
            </w:r>
          </w:p>
        </w:tc>
      </w:tr>
      <w:tr w:rsidR="0003632C" w:rsidRPr="0003632C" w14:paraId="750FABFB" w14:textId="77777777" w:rsidTr="0003632C">
        <w:trPr>
          <w:trHeight w:val="1990"/>
        </w:trPr>
        <w:tc>
          <w:tcPr>
            <w:tcW w:w="9147" w:type="dxa"/>
            <w:gridSpan w:val="4"/>
            <w:tcBorders>
              <w:top w:val="nil"/>
              <w:left w:val="nil"/>
              <w:bottom w:val="nil"/>
              <w:right w:val="nil"/>
            </w:tcBorders>
            <w:shd w:val="clear" w:color="auto" w:fill="auto"/>
            <w:hideMark/>
          </w:tcPr>
          <w:p w14:paraId="750FABFA" w14:textId="77777777" w:rsidR="0003632C" w:rsidRPr="0003632C" w:rsidRDefault="0003632C" w:rsidP="0003632C">
            <w:pPr>
              <w:rPr>
                <w:color w:val="000000"/>
                <w:sz w:val="22"/>
                <w:szCs w:val="22"/>
              </w:rPr>
            </w:pPr>
            <w:r w:rsidRPr="0003632C">
              <w:rPr>
                <w:color w:val="000000"/>
                <w:sz w:val="22"/>
                <w:szCs w:val="22"/>
              </w:rPr>
              <w:t>Note: The wage information reported by the BLS in the Specific Occupational Employment and Wage Estimates does not include health benefits and other non-monetary benefits. According to the September 2018 Employer Cost of Employee Compensation data compensation rates for health and other benefits are 35.7 percent of total compensation. Additionally, the wage has been adjusted for inflation according BLS data on the Consumer Price Index for Urban Consumers (CPI-U) so that it is contemporaneous with the non-wage compensation statistic. The inflation rate was 3.31 percent between May 2017 and September 2018.</w:t>
            </w:r>
          </w:p>
        </w:tc>
      </w:tr>
      <w:tr w:rsidR="0003632C" w:rsidRPr="0003632C" w14:paraId="750FABFD" w14:textId="77777777" w:rsidTr="0003632C">
        <w:trPr>
          <w:trHeight w:val="277"/>
        </w:trPr>
        <w:tc>
          <w:tcPr>
            <w:tcW w:w="9147" w:type="dxa"/>
            <w:gridSpan w:val="4"/>
            <w:tcBorders>
              <w:top w:val="nil"/>
              <w:left w:val="nil"/>
              <w:bottom w:val="nil"/>
              <w:right w:val="nil"/>
            </w:tcBorders>
            <w:shd w:val="clear" w:color="auto" w:fill="auto"/>
            <w:noWrap/>
            <w:vAlign w:val="bottom"/>
            <w:hideMark/>
          </w:tcPr>
          <w:p w14:paraId="750FABFC" w14:textId="77777777" w:rsidR="0003632C" w:rsidRPr="0003632C" w:rsidRDefault="0003632C" w:rsidP="0003632C">
            <w:pPr>
              <w:rPr>
                <w:color w:val="000000"/>
                <w:sz w:val="22"/>
                <w:szCs w:val="22"/>
              </w:rPr>
            </w:pPr>
            <w:r w:rsidRPr="0003632C">
              <w:rPr>
                <w:color w:val="000000"/>
                <w:sz w:val="22"/>
                <w:szCs w:val="22"/>
              </w:rPr>
              <w:t>*     Occupation (SOC Code): Management Occupations (110000)</w:t>
            </w:r>
          </w:p>
        </w:tc>
      </w:tr>
      <w:tr w:rsidR="0003632C" w:rsidRPr="0003632C" w14:paraId="750FABFF" w14:textId="77777777" w:rsidTr="0003632C">
        <w:trPr>
          <w:trHeight w:val="277"/>
        </w:trPr>
        <w:tc>
          <w:tcPr>
            <w:tcW w:w="9147" w:type="dxa"/>
            <w:gridSpan w:val="4"/>
            <w:tcBorders>
              <w:top w:val="nil"/>
              <w:left w:val="nil"/>
              <w:bottom w:val="nil"/>
              <w:right w:val="nil"/>
            </w:tcBorders>
            <w:shd w:val="clear" w:color="auto" w:fill="auto"/>
            <w:noWrap/>
            <w:vAlign w:val="bottom"/>
            <w:hideMark/>
          </w:tcPr>
          <w:p w14:paraId="750FABFE" w14:textId="77777777" w:rsidR="0003632C" w:rsidRPr="0003632C" w:rsidRDefault="0003632C" w:rsidP="0003632C">
            <w:pPr>
              <w:rPr>
                <w:color w:val="000000"/>
                <w:sz w:val="22"/>
                <w:szCs w:val="22"/>
              </w:rPr>
            </w:pPr>
            <w:r w:rsidRPr="0003632C">
              <w:rPr>
                <w:color w:val="000000"/>
                <w:sz w:val="22"/>
                <w:szCs w:val="22"/>
              </w:rPr>
              <w:t>**   Occupation (SOC Code): Lawyers, Judges, and Related Workers(231000)</w:t>
            </w:r>
          </w:p>
        </w:tc>
      </w:tr>
      <w:tr w:rsidR="0003632C" w:rsidRPr="0003632C" w14:paraId="750FAC01" w14:textId="77777777" w:rsidTr="0003632C">
        <w:trPr>
          <w:trHeight w:val="277"/>
        </w:trPr>
        <w:tc>
          <w:tcPr>
            <w:tcW w:w="9147" w:type="dxa"/>
            <w:gridSpan w:val="4"/>
            <w:tcBorders>
              <w:top w:val="nil"/>
              <w:left w:val="nil"/>
              <w:bottom w:val="nil"/>
              <w:right w:val="nil"/>
            </w:tcBorders>
            <w:shd w:val="clear" w:color="auto" w:fill="auto"/>
            <w:noWrap/>
            <w:vAlign w:val="bottom"/>
            <w:hideMark/>
          </w:tcPr>
          <w:p w14:paraId="750FAC00" w14:textId="77777777" w:rsidR="0003632C" w:rsidRPr="0003632C" w:rsidRDefault="0003632C" w:rsidP="0003632C">
            <w:pPr>
              <w:rPr>
                <w:color w:val="000000"/>
                <w:sz w:val="22"/>
                <w:szCs w:val="22"/>
              </w:rPr>
            </w:pPr>
            <w:r w:rsidRPr="0003632C">
              <w:rPr>
                <w:color w:val="000000"/>
                <w:sz w:val="22"/>
                <w:szCs w:val="22"/>
              </w:rPr>
              <w:t>*** Occupation (SOC Code): Compliance Officers(131041)</w:t>
            </w:r>
          </w:p>
        </w:tc>
      </w:tr>
      <w:tr w:rsidR="0003632C" w:rsidRPr="0003632C" w14:paraId="750FAC03" w14:textId="77777777" w:rsidTr="0003632C">
        <w:trPr>
          <w:trHeight w:val="277"/>
        </w:trPr>
        <w:tc>
          <w:tcPr>
            <w:tcW w:w="9147" w:type="dxa"/>
            <w:gridSpan w:val="4"/>
            <w:tcBorders>
              <w:top w:val="nil"/>
              <w:left w:val="nil"/>
              <w:bottom w:val="nil"/>
              <w:right w:val="nil"/>
            </w:tcBorders>
            <w:shd w:val="clear" w:color="auto" w:fill="auto"/>
            <w:noWrap/>
            <w:vAlign w:val="bottom"/>
            <w:hideMark/>
          </w:tcPr>
          <w:p w14:paraId="750FAC02" w14:textId="77777777" w:rsidR="0003632C" w:rsidRPr="0003632C" w:rsidRDefault="0003632C" w:rsidP="0003632C">
            <w:pPr>
              <w:rPr>
                <w:color w:val="000000"/>
                <w:sz w:val="22"/>
                <w:szCs w:val="22"/>
              </w:rPr>
            </w:pPr>
            <w:r w:rsidRPr="0003632C">
              <w:rPr>
                <w:color w:val="000000"/>
                <w:sz w:val="22"/>
                <w:szCs w:val="22"/>
              </w:rPr>
              <w:t>†     Occupation (SOC Code): Computer and Math</w:t>
            </w:r>
            <w:r>
              <w:rPr>
                <w:color w:val="000000"/>
                <w:sz w:val="22"/>
                <w:szCs w:val="22"/>
              </w:rPr>
              <w:t>e</w:t>
            </w:r>
            <w:r w:rsidRPr="0003632C">
              <w:rPr>
                <w:color w:val="000000"/>
                <w:sz w:val="22"/>
                <w:szCs w:val="22"/>
              </w:rPr>
              <w:t>matical Occupations (150000)</w:t>
            </w:r>
          </w:p>
        </w:tc>
      </w:tr>
      <w:tr w:rsidR="0003632C" w:rsidRPr="0003632C" w14:paraId="750FAC05" w14:textId="77777777" w:rsidTr="0003632C">
        <w:trPr>
          <w:trHeight w:val="277"/>
        </w:trPr>
        <w:tc>
          <w:tcPr>
            <w:tcW w:w="9147" w:type="dxa"/>
            <w:gridSpan w:val="4"/>
            <w:tcBorders>
              <w:top w:val="nil"/>
              <w:left w:val="nil"/>
              <w:bottom w:val="nil"/>
              <w:right w:val="nil"/>
            </w:tcBorders>
            <w:shd w:val="clear" w:color="auto" w:fill="auto"/>
            <w:noWrap/>
            <w:vAlign w:val="bottom"/>
            <w:hideMark/>
          </w:tcPr>
          <w:p w14:paraId="750FAC04" w14:textId="77777777" w:rsidR="0003632C" w:rsidRPr="0003632C" w:rsidRDefault="0003632C" w:rsidP="0003632C">
            <w:pPr>
              <w:rPr>
                <w:color w:val="000000"/>
                <w:sz w:val="22"/>
                <w:szCs w:val="22"/>
              </w:rPr>
            </w:pPr>
            <w:r w:rsidRPr="0003632C">
              <w:rPr>
                <w:color w:val="000000"/>
                <w:sz w:val="22"/>
                <w:szCs w:val="22"/>
              </w:rPr>
              <w:t>††   Occupation (SOC Code): Financial Analyst (132051)</w:t>
            </w:r>
          </w:p>
        </w:tc>
      </w:tr>
      <w:tr w:rsidR="0003632C" w:rsidRPr="0003632C" w14:paraId="750FAC07" w14:textId="77777777" w:rsidTr="0003632C">
        <w:trPr>
          <w:trHeight w:val="277"/>
        </w:trPr>
        <w:tc>
          <w:tcPr>
            <w:tcW w:w="9147" w:type="dxa"/>
            <w:gridSpan w:val="4"/>
            <w:tcBorders>
              <w:top w:val="nil"/>
              <w:left w:val="nil"/>
              <w:bottom w:val="nil"/>
              <w:right w:val="nil"/>
            </w:tcBorders>
            <w:shd w:val="clear" w:color="auto" w:fill="auto"/>
            <w:noWrap/>
            <w:vAlign w:val="bottom"/>
            <w:hideMark/>
          </w:tcPr>
          <w:p w14:paraId="750FAC06" w14:textId="77777777" w:rsidR="0003632C" w:rsidRPr="0003632C" w:rsidRDefault="0003632C" w:rsidP="0003632C">
            <w:pPr>
              <w:rPr>
                <w:color w:val="000000"/>
                <w:sz w:val="22"/>
                <w:szCs w:val="22"/>
              </w:rPr>
            </w:pPr>
            <w:r w:rsidRPr="0003632C">
              <w:rPr>
                <w:color w:val="000000"/>
                <w:sz w:val="22"/>
                <w:szCs w:val="22"/>
              </w:rPr>
              <w:t>‡    Occupation (SOC Code): Office and Administrative Support Occupations(430000)</w:t>
            </w:r>
          </w:p>
        </w:tc>
      </w:tr>
    </w:tbl>
    <w:p w14:paraId="750FAC08" w14:textId="77777777" w:rsidR="00910992" w:rsidRPr="00EA7ADF" w:rsidRDefault="00910992" w:rsidP="00F5044A">
      <w:pPr>
        <w:tabs>
          <w:tab w:val="left" w:pos="4027"/>
        </w:tabs>
        <w:rPr>
          <w:szCs w:val="24"/>
        </w:rPr>
      </w:pPr>
    </w:p>
    <w:p w14:paraId="750FAC09" w14:textId="77777777" w:rsidR="00506377" w:rsidRPr="00EA7ADF" w:rsidRDefault="00506377" w:rsidP="00F5044A">
      <w:pPr>
        <w:tabs>
          <w:tab w:val="left" w:pos="4027"/>
        </w:tabs>
        <w:rPr>
          <w:b/>
          <w:szCs w:val="24"/>
        </w:rPr>
      </w:pPr>
      <w:r w:rsidRPr="00EA7ADF">
        <w:rPr>
          <w:b/>
          <w:szCs w:val="24"/>
        </w:rPr>
        <w:t xml:space="preserve">Total </w:t>
      </w:r>
      <w:r w:rsidR="008B362B">
        <w:rPr>
          <w:b/>
          <w:szCs w:val="24"/>
        </w:rPr>
        <w:t xml:space="preserve">Estimated </w:t>
      </w:r>
      <w:r w:rsidRPr="00EA7ADF">
        <w:rPr>
          <w:b/>
          <w:szCs w:val="24"/>
        </w:rPr>
        <w:t>Cost Burden:</w:t>
      </w:r>
    </w:p>
    <w:p w14:paraId="750FAC0A" w14:textId="77777777" w:rsidR="00D57418" w:rsidRDefault="00910992" w:rsidP="00D57418">
      <w:pPr>
        <w:tabs>
          <w:tab w:val="left" w:pos="4027"/>
        </w:tabs>
      </w:pPr>
      <w:r>
        <w:t xml:space="preserve">Using the </w:t>
      </w:r>
      <w:r w:rsidR="000D08A0">
        <w:t xml:space="preserve">estimated </w:t>
      </w:r>
      <w:r w:rsidR="004850D7">
        <w:t>total</w:t>
      </w:r>
      <w:r>
        <w:t xml:space="preserve"> burden </w:t>
      </w:r>
      <w:r w:rsidR="00447D38">
        <w:t xml:space="preserve">hours </w:t>
      </w:r>
      <w:r w:rsidR="004850D7">
        <w:t>and the estimated</w:t>
      </w:r>
      <w:r w:rsidR="00447D38">
        <w:t xml:space="preserve"> hourly compensation rates</w:t>
      </w:r>
      <w:r>
        <w:t>, t</w:t>
      </w:r>
      <w:r w:rsidR="00646742">
        <w:t>he total</w:t>
      </w:r>
      <w:r w:rsidR="000D08A0">
        <w:t xml:space="preserve"> estimated</w:t>
      </w:r>
      <w:r w:rsidR="004850D7">
        <w:t xml:space="preserve"> cost</w:t>
      </w:r>
      <w:r w:rsidR="00646742">
        <w:t xml:space="preserve"> burden for the entire ICR </w:t>
      </w:r>
      <w:r w:rsidRPr="00EA7ADF">
        <w:rPr>
          <w:szCs w:val="24"/>
        </w:rPr>
        <w:t>(OMB No. 3064-0</w:t>
      </w:r>
      <w:r w:rsidR="001A2E65">
        <w:rPr>
          <w:szCs w:val="24"/>
        </w:rPr>
        <w:t>190</w:t>
      </w:r>
      <w:r w:rsidRPr="00EA7ADF">
        <w:rPr>
          <w:szCs w:val="24"/>
        </w:rPr>
        <w:t xml:space="preserve">) </w:t>
      </w:r>
      <w:r w:rsidR="00646742">
        <w:t>is</w:t>
      </w:r>
      <w:r w:rsidR="00D57418">
        <w:t xml:space="preserve">: </w:t>
      </w:r>
    </w:p>
    <w:p w14:paraId="750FAC0B" w14:textId="77777777" w:rsidR="00D57418" w:rsidRDefault="00D57418" w:rsidP="00D57418">
      <w:pPr>
        <w:tabs>
          <w:tab w:val="left" w:pos="4027"/>
        </w:tabs>
        <w:rPr>
          <w:szCs w:val="24"/>
        </w:rPr>
      </w:pPr>
      <w:r>
        <w:rPr>
          <w:szCs w:val="24"/>
        </w:rPr>
        <w:t xml:space="preserve">            </w:t>
      </w:r>
      <w:r w:rsidR="001A2E65">
        <w:rPr>
          <w:szCs w:val="24"/>
        </w:rPr>
        <w:t>20</w:t>
      </w:r>
      <w:r w:rsidR="004850D7">
        <w:rPr>
          <w:szCs w:val="24"/>
        </w:rPr>
        <w:t xml:space="preserve"> hours </w:t>
      </w:r>
      <w:r w:rsidR="00884925">
        <w:rPr>
          <w:szCs w:val="24"/>
        </w:rPr>
        <w:t xml:space="preserve">x </w:t>
      </w:r>
      <w:r w:rsidR="004850D7">
        <w:rPr>
          <w:szCs w:val="24"/>
        </w:rPr>
        <w:t>$</w:t>
      </w:r>
      <w:r w:rsidR="001A2E65">
        <w:rPr>
          <w:szCs w:val="24"/>
        </w:rPr>
        <w:t>64.33</w:t>
      </w:r>
      <w:r w:rsidR="004850D7">
        <w:rPr>
          <w:szCs w:val="24"/>
        </w:rPr>
        <w:t>/hr</w:t>
      </w:r>
      <w:r w:rsidR="00164FDB">
        <w:rPr>
          <w:szCs w:val="24"/>
        </w:rPr>
        <w:t xml:space="preserve"> </w:t>
      </w:r>
      <w:r w:rsidR="00646742">
        <w:rPr>
          <w:szCs w:val="24"/>
        </w:rPr>
        <w:t>= $</w:t>
      </w:r>
      <w:r w:rsidR="001A2E65">
        <w:rPr>
          <w:szCs w:val="24"/>
        </w:rPr>
        <w:t>1,286.60</w:t>
      </w:r>
      <w:r w:rsidR="00646742">
        <w:rPr>
          <w:szCs w:val="24"/>
        </w:rPr>
        <w:t xml:space="preserve"> per year</w:t>
      </w:r>
      <w:r w:rsidR="00646742" w:rsidRPr="00EA7ADF">
        <w:rPr>
          <w:szCs w:val="24"/>
        </w:rPr>
        <w:t>.</w:t>
      </w:r>
      <w:r w:rsidR="00C934C8">
        <w:rPr>
          <w:szCs w:val="24"/>
        </w:rPr>
        <w:t xml:space="preserve"> </w:t>
      </w:r>
    </w:p>
    <w:p w14:paraId="750FAC0C" w14:textId="77777777" w:rsidR="00D57418" w:rsidRDefault="00D57418" w:rsidP="00D57418">
      <w:pPr>
        <w:tabs>
          <w:tab w:val="left" w:pos="4027"/>
        </w:tabs>
        <w:rPr>
          <w:szCs w:val="24"/>
        </w:rPr>
      </w:pPr>
    </w:p>
    <w:p w14:paraId="750FAC0D" w14:textId="3AC51D94" w:rsidR="00646742" w:rsidRPr="000F3E7E" w:rsidRDefault="00C934C8" w:rsidP="00D57418">
      <w:pPr>
        <w:tabs>
          <w:tab w:val="left" w:pos="4027"/>
        </w:tabs>
      </w:pPr>
      <w:r>
        <w:rPr>
          <w:szCs w:val="24"/>
        </w:rPr>
        <w:t>Assuming estimated hourly compensation costs for the 2016 ICR would not have differed significantly from the</w:t>
      </w:r>
      <w:r w:rsidR="00D338A4">
        <w:rPr>
          <w:szCs w:val="24"/>
        </w:rPr>
        <w:t xml:space="preserve"> hourly compensation</w:t>
      </w:r>
      <w:r>
        <w:rPr>
          <w:szCs w:val="24"/>
        </w:rPr>
        <w:t xml:space="preserve"> estimates </w:t>
      </w:r>
      <w:r w:rsidR="00D338A4">
        <w:rPr>
          <w:szCs w:val="24"/>
        </w:rPr>
        <w:t xml:space="preserve">used </w:t>
      </w:r>
      <w:r>
        <w:rPr>
          <w:szCs w:val="24"/>
        </w:rPr>
        <w:t xml:space="preserve">in this </w:t>
      </w:r>
      <w:r w:rsidR="006E528F">
        <w:rPr>
          <w:szCs w:val="24"/>
        </w:rPr>
        <w:t>memorandum</w:t>
      </w:r>
      <w:r>
        <w:rPr>
          <w:szCs w:val="24"/>
        </w:rPr>
        <w:t xml:space="preserve">, the cost burden has decreased by </w:t>
      </w:r>
      <w:r w:rsidR="00D57418">
        <w:rPr>
          <w:szCs w:val="24"/>
        </w:rPr>
        <w:t>$</w:t>
      </w:r>
      <w:r w:rsidR="007D1CC7">
        <w:rPr>
          <w:szCs w:val="24"/>
        </w:rPr>
        <w:t>1,929.90</w:t>
      </w:r>
      <w:r w:rsidR="00D57418">
        <w:rPr>
          <w:szCs w:val="24"/>
        </w:rPr>
        <w:t xml:space="preserve"> </w:t>
      </w:r>
      <w:r>
        <w:rPr>
          <w:szCs w:val="24"/>
        </w:rPr>
        <w:t>since the 2016 ICR. The decrease is due entirely to the reduction in the estimated annual frequency of response.</w:t>
      </w:r>
    </w:p>
    <w:sectPr w:rsidR="00646742" w:rsidRPr="000F3E7E">
      <w:footerReference w:type="default" r:id="rId12"/>
      <w:headerReference w:type="first" r:id="rId13"/>
      <w:footerReference w:type="first" r:id="rId14"/>
      <w:pgSz w:w="12240" w:h="15840" w:code="1"/>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FAC10" w14:textId="77777777" w:rsidR="00293BC4" w:rsidRDefault="00293BC4">
      <w:r>
        <w:separator/>
      </w:r>
    </w:p>
  </w:endnote>
  <w:endnote w:type="continuationSeparator" w:id="0">
    <w:p w14:paraId="750FAC11" w14:textId="77777777" w:rsidR="00293BC4" w:rsidRDefault="0029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029883"/>
      <w:docPartObj>
        <w:docPartGallery w:val="Page Numbers (Bottom of Page)"/>
        <w:docPartUnique/>
      </w:docPartObj>
    </w:sdtPr>
    <w:sdtEndPr>
      <w:rPr>
        <w:noProof/>
      </w:rPr>
    </w:sdtEndPr>
    <w:sdtContent>
      <w:p w14:paraId="750FAC12" w14:textId="77777777" w:rsidR="00A92317" w:rsidRDefault="00A92317">
        <w:pPr>
          <w:pStyle w:val="Footer"/>
          <w:jc w:val="center"/>
        </w:pPr>
        <w:r>
          <w:fldChar w:fldCharType="begin"/>
        </w:r>
        <w:r>
          <w:instrText xml:space="preserve"> PAGE   \* MERGEFORMAT </w:instrText>
        </w:r>
        <w:r>
          <w:fldChar w:fldCharType="separate"/>
        </w:r>
        <w:r w:rsidR="009472F0">
          <w:rPr>
            <w:noProof/>
          </w:rPr>
          <w:t>2</w:t>
        </w:r>
        <w:r>
          <w:rPr>
            <w:noProof/>
          </w:rPr>
          <w:fldChar w:fldCharType="end"/>
        </w:r>
      </w:p>
    </w:sdtContent>
  </w:sdt>
  <w:p w14:paraId="750FAC13" w14:textId="77777777" w:rsidR="00A92317" w:rsidRDefault="00A92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507218"/>
      <w:docPartObj>
        <w:docPartGallery w:val="Page Numbers (Bottom of Page)"/>
        <w:docPartUnique/>
      </w:docPartObj>
    </w:sdtPr>
    <w:sdtEndPr>
      <w:rPr>
        <w:noProof/>
      </w:rPr>
    </w:sdtEndPr>
    <w:sdtContent>
      <w:p w14:paraId="750FAC19" w14:textId="77777777" w:rsidR="00A92317" w:rsidRDefault="00A92317">
        <w:pPr>
          <w:pStyle w:val="Footer"/>
          <w:jc w:val="center"/>
        </w:pPr>
        <w:r>
          <w:fldChar w:fldCharType="begin"/>
        </w:r>
        <w:r>
          <w:instrText xml:space="preserve"> PAGE   \* MERGEFORMAT </w:instrText>
        </w:r>
        <w:r>
          <w:fldChar w:fldCharType="separate"/>
        </w:r>
        <w:r w:rsidR="009472F0">
          <w:rPr>
            <w:noProof/>
          </w:rPr>
          <w:t>1</w:t>
        </w:r>
        <w:r>
          <w:rPr>
            <w:noProof/>
          </w:rPr>
          <w:fldChar w:fldCharType="end"/>
        </w:r>
      </w:p>
    </w:sdtContent>
  </w:sdt>
  <w:p w14:paraId="750FAC1A" w14:textId="77777777" w:rsidR="00A92317" w:rsidRDefault="00A92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FAC0E" w14:textId="77777777" w:rsidR="00293BC4" w:rsidRDefault="00293BC4">
      <w:r>
        <w:separator/>
      </w:r>
    </w:p>
  </w:footnote>
  <w:footnote w:type="continuationSeparator" w:id="0">
    <w:p w14:paraId="750FAC0F" w14:textId="77777777" w:rsidR="00293BC4" w:rsidRDefault="00293BC4">
      <w:r>
        <w:continuationSeparator/>
      </w:r>
    </w:p>
  </w:footnote>
  <w:footnote w:id="1">
    <w:p w14:paraId="11676BA6" w14:textId="5A7EF7AD" w:rsidR="00A736FD" w:rsidRDefault="00A736FD" w:rsidP="00CA298B">
      <w:pPr>
        <w:pStyle w:val="FootnoteText"/>
      </w:pPr>
      <w:r>
        <w:rPr>
          <w:rStyle w:val="FootnoteReference"/>
        </w:rPr>
        <w:footnoteRef/>
      </w:r>
      <w:r>
        <w:t xml:space="preserve"> </w:t>
      </w:r>
      <w:r w:rsidR="00CA298B">
        <w:t>U.S. Small Business Administration, “Small Business Compliance Guide: Size and Affiliation”. June 2018.</w:t>
      </w:r>
    </w:p>
  </w:footnote>
  <w:footnote w:id="2">
    <w:p w14:paraId="538B1A84" w14:textId="77777777" w:rsidR="00D76E46" w:rsidRDefault="00D76E46" w:rsidP="00D76E46">
      <w:pPr>
        <w:pStyle w:val="FootnoteText"/>
      </w:pPr>
      <w:r>
        <w:rPr>
          <w:rStyle w:val="FootnoteReference"/>
        </w:rPr>
        <w:footnoteRef/>
      </w:r>
      <w:r>
        <w:t xml:space="preserve"> See </w:t>
      </w:r>
      <w:hyperlink r:id="rId1" w:history="1">
        <w:r w:rsidRPr="00980FBB">
          <w:rPr>
            <w:rStyle w:val="Hyperlink"/>
          </w:rPr>
          <w:t>https://www.reginfo.gov/public/do/PRAViewICR?ref_nbr=201707-3064-004</w:t>
        </w:r>
      </w:hyperlink>
    </w:p>
  </w:footnote>
  <w:footnote w:id="3">
    <w:p w14:paraId="750FAC27" w14:textId="77777777" w:rsidR="006E481F" w:rsidRDefault="006E481F">
      <w:pPr>
        <w:pStyle w:val="FootnoteText"/>
      </w:pPr>
      <w:r>
        <w:rPr>
          <w:rStyle w:val="FootnoteReference"/>
        </w:rPr>
        <w:footnoteRef/>
      </w:r>
      <w:r>
        <w:t xml:space="preserve"> </w:t>
      </w:r>
      <w:r w:rsidR="005C371A">
        <w:t xml:space="preserve">The relevant dates are </w:t>
      </w:r>
      <w:r>
        <w:t>2013 through 2017.</w:t>
      </w:r>
    </w:p>
  </w:footnote>
  <w:footnote w:id="4">
    <w:p w14:paraId="750FAC28" w14:textId="77777777" w:rsidR="00340279" w:rsidRDefault="00340279">
      <w:pPr>
        <w:pStyle w:val="FootnoteText"/>
      </w:pPr>
      <w:r>
        <w:rPr>
          <w:rStyle w:val="FootnoteReference"/>
        </w:rPr>
        <w:footnoteRef/>
      </w:r>
      <w:r>
        <w:t xml:space="preserve"> According to SMEs in RMS.</w:t>
      </w:r>
    </w:p>
  </w:footnote>
  <w:footnote w:id="5">
    <w:p w14:paraId="7AAB7897" w14:textId="77777777" w:rsidR="00F02676" w:rsidRDefault="00F02676" w:rsidP="00F02676">
      <w:pPr>
        <w:pStyle w:val="FootnoteText"/>
      </w:pPr>
      <w:r>
        <w:rPr>
          <w:rStyle w:val="FootnoteReference"/>
        </w:rPr>
        <w:footnoteRef/>
      </w:r>
      <w:r>
        <w:t xml:space="preserve"> An hourly wage estimate was not included in the 2016 ICR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FAC14" w14:textId="77777777" w:rsidR="008656F5" w:rsidRDefault="002600F0">
    <w:pPr>
      <w:spacing w:line="203" w:lineRule="auto"/>
      <w:ind w:left="-346"/>
    </w:pPr>
    <w:bookmarkStart w:id="1" w:name="A1"/>
    <w:bookmarkEnd w:id="1"/>
    <w:r>
      <w:rPr>
        <w:noProof/>
      </w:rPr>
      <w:drawing>
        <wp:anchor distT="0" distB="0" distL="114300" distR="114300" simplePos="0" relativeHeight="251658752" behindDoc="1" locked="1" layoutInCell="0" allowOverlap="1" wp14:anchorId="750FAC1B" wp14:editId="750FAC1C">
          <wp:simplePos x="0" y="0"/>
          <wp:positionH relativeFrom="page">
            <wp:posOffset>887095</wp:posOffset>
          </wp:positionH>
          <wp:positionV relativeFrom="page">
            <wp:posOffset>274320</wp:posOffset>
          </wp:positionV>
          <wp:extent cx="914400" cy="374650"/>
          <wp:effectExtent l="0" t="0" r="0" b="6350"/>
          <wp:wrapNone/>
          <wp:docPr id="5" name="Picture 3" descr="fdic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dic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FAC15" w14:textId="77777777" w:rsidR="008656F5" w:rsidRDefault="002600F0">
    <w:pPr>
      <w:spacing w:line="203" w:lineRule="auto"/>
      <w:ind w:left="-346"/>
    </w:pPr>
    <w:r>
      <w:rPr>
        <w:noProof/>
      </w:rPr>
      <mc:AlternateContent>
        <mc:Choice Requires="wps">
          <w:drawing>
            <wp:anchor distT="0" distB="0" distL="114300" distR="114300" simplePos="0" relativeHeight="251657728" behindDoc="0" locked="1" layoutInCell="0" allowOverlap="1" wp14:anchorId="750FAC1D" wp14:editId="750FAC1E">
              <wp:simplePos x="0" y="0"/>
              <wp:positionH relativeFrom="page">
                <wp:posOffset>895985</wp:posOffset>
              </wp:positionH>
              <wp:positionV relativeFrom="page">
                <wp:posOffset>1005840</wp:posOffset>
              </wp:positionV>
              <wp:extent cx="58978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QlEgIAACg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" o:allowincell="f">
              <w10:wrap anchorx="page" anchory="page"/>
              <w10:anchorlock/>
            </v:line>
          </w:pict>
        </mc:Fallback>
      </mc:AlternateContent>
    </w:r>
  </w:p>
  <w:p w14:paraId="750FAC16" w14:textId="77777777" w:rsidR="008656F5" w:rsidRDefault="008656F5">
    <w:pPr>
      <w:pStyle w:val="Header"/>
      <w:rPr>
        <w:rFonts w:ascii="Arial" w:hAnsi="Arial"/>
        <w:b/>
      </w:rPr>
    </w:pPr>
  </w:p>
  <w:p w14:paraId="750FAC17" w14:textId="77777777" w:rsidR="008656F5" w:rsidRDefault="002600F0">
    <w:pPr>
      <w:pStyle w:val="Header"/>
      <w:rPr>
        <w:rFonts w:ascii="Arial" w:hAnsi="Arial"/>
        <w:b/>
      </w:rPr>
    </w:pPr>
    <w:r>
      <w:rPr>
        <w:rFonts w:ascii="Arial" w:hAnsi="Arial"/>
        <w:b/>
        <w:noProof/>
      </w:rPr>
      <mc:AlternateContent>
        <mc:Choice Requires="wps">
          <w:drawing>
            <wp:anchor distT="0" distB="0" distL="114300" distR="114300" simplePos="0" relativeHeight="251660800" behindDoc="0" locked="1" layoutInCell="1" allowOverlap="1" wp14:anchorId="750FAC1F" wp14:editId="750FAC20">
              <wp:simplePos x="0" y="0"/>
              <wp:positionH relativeFrom="page">
                <wp:posOffset>4297680</wp:posOffset>
              </wp:positionH>
              <wp:positionV relativeFrom="page">
                <wp:posOffset>840740</wp:posOffset>
              </wp:positionV>
              <wp:extent cx="2560320" cy="1371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FAC2B" w14:textId="77777777" w:rsidR="0012500F" w:rsidRPr="0012500F" w:rsidRDefault="0012500F" w:rsidP="0012500F">
                          <w:pPr>
                            <w:jc w:val="right"/>
                            <w:rPr>
                              <w:rFonts w:ascii="Arial Narrow" w:hAnsi="Arial Narrow"/>
                              <w:sz w:val="18"/>
                            </w:rPr>
                          </w:pPr>
                          <w:r>
                            <w:rPr>
                              <w:rFonts w:ascii="Arial Narrow" w:hAnsi="Arial Narrow"/>
                              <w:sz w:val="18"/>
                            </w:rPr>
                            <w:t>Division of Insurance and Research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8.4pt;margin-top:66.2pt;width:201.6pt;height:10.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" stroked="f">
              <v:textbox inset=",0,,0">
                <w:txbxContent>
                  <w:p w14:paraId="750FAC2B" w14:textId="77777777" w:rsidR="0012500F" w:rsidRPr="0012500F" w:rsidRDefault="0012500F" w:rsidP="0012500F">
                    <w:pPr>
                      <w:jc w:val="right"/>
                      <w:rPr>
                        <w:rFonts w:ascii="Arial Narrow" w:hAnsi="Arial Narrow"/>
                        <w:sz w:val="18"/>
                      </w:rPr>
                    </w:pPr>
                    <w:r>
                      <w:rPr>
                        <w:rFonts w:ascii="Arial Narrow" w:hAnsi="Arial Narrow"/>
                        <w:sz w:val="18"/>
                      </w:rPr>
                      <w:t>Division of Insurance and Research</w:t>
                    </w:r>
                  </w:p>
                </w:txbxContent>
              </v:textbox>
              <w10:wrap anchorx="page" anchory="page"/>
              <w10:anchorlock/>
            </v:shape>
          </w:pict>
        </mc:Fallback>
      </mc:AlternateContent>
    </w:r>
    <w:r>
      <w:rPr>
        <w:rFonts w:ascii="Arial" w:hAnsi="Arial"/>
        <w:b/>
        <w:noProof/>
      </w:rPr>
      <mc:AlternateContent>
        <mc:Choice Requires="wps">
          <w:drawing>
            <wp:anchor distT="0" distB="0" distL="114300" distR="114300" simplePos="0" relativeHeight="251659776" behindDoc="0" locked="1" layoutInCell="1" allowOverlap="1" wp14:anchorId="750FAC21" wp14:editId="750FAC22">
              <wp:simplePos x="0" y="0"/>
              <wp:positionH relativeFrom="page">
                <wp:posOffset>822960</wp:posOffset>
              </wp:positionH>
              <wp:positionV relativeFrom="page">
                <wp:posOffset>822325</wp:posOffset>
              </wp:positionV>
              <wp:extent cx="3566160" cy="13716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FAC2C" w14:textId="77777777" w:rsidR="0012500F" w:rsidRPr="0012500F" w:rsidRDefault="0012500F">
                          <w:pPr>
                            <w:rPr>
                              <w:rFonts w:ascii="Arial Narrow" w:hAnsi="Arial Narrow"/>
                              <w:sz w:val="18"/>
                            </w:rPr>
                          </w:pPr>
                          <w:r>
                            <w:rPr>
                              <w:rFonts w:ascii="Arial Narrow" w:hAnsi="Arial Narrow"/>
                              <w:sz w:val="18"/>
                            </w:rPr>
                            <w:t>550 17th Street NW, Washington, D.C. 20429-9990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4.8pt;margin-top:64.75pt;width:280.8pt;height:10.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" stroked="f">
              <v:textbox inset=",0,,0">
                <w:txbxContent>
                  <w:p w14:paraId="750FAC2C" w14:textId="77777777" w:rsidR="0012500F" w:rsidRPr="0012500F" w:rsidRDefault="0012500F">
                    <w:pPr>
                      <w:rPr>
                        <w:rFonts w:ascii="Arial Narrow" w:hAnsi="Arial Narrow"/>
                        <w:sz w:val="18"/>
                      </w:rPr>
                    </w:pPr>
                    <w:r>
                      <w:rPr>
                        <w:rFonts w:ascii="Arial Narrow" w:hAnsi="Arial Narrow"/>
                        <w:sz w:val="18"/>
                      </w:rPr>
                      <w:t>550 17th Street NW, Washington, D.C. 20429-9990</w:t>
                    </w:r>
                  </w:p>
                </w:txbxContent>
              </v:textbox>
              <w10:wrap anchorx="page" anchory="page"/>
              <w10:anchorlock/>
            </v:shape>
          </w:pict>
        </mc:Fallback>
      </mc:AlternateContent>
    </w:r>
  </w:p>
  <w:p w14:paraId="750FAC18" w14:textId="77777777" w:rsidR="008656F5" w:rsidRDefault="002600F0">
    <w:pPr>
      <w:pStyle w:val="Header"/>
      <w:rPr>
        <w:rFonts w:ascii="Arial" w:hAnsi="Arial"/>
        <w:b/>
      </w:rPr>
    </w:pPr>
    <w:r>
      <w:rPr>
        <w:rFonts w:ascii="Arial" w:hAnsi="Arial"/>
        <w:b/>
        <w:noProof/>
      </w:rPr>
      <mc:AlternateContent>
        <mc:Choice Requires="wps">
          <w:drawing>
            <wp:anchor distT="0" distB="0" distL="114300" distR="114300" simplePos="0" relativeHeight="251656704" behindDoc="0" locked="1" layoutInCell="0" allowOverlap="1" wp14:anchorId="750FAC23" wp14:editId="750FAC24">
              <wp:simplePos x="0" y="0"/>
              <wp:positionH relativeFrom="page">
                <wp:posOffset>822960</wp:posOffset>
              </wp:positionH>
              <wp:positionV relativeFrom="page">
                <wp:posOffset>676910</wp:posOffset>
              </wp:positionV>
              <wp:extent cx="3173095" cy="14605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14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0FAC2D" w14:textId="77777777" w:rsidR="008656F5" w:rsidRDefault="008656F5">
                          <w:pPr>
                            <w:rPr>
                              <w:rFonts w:ascii="Arial" w:hAnsi="Arial"/>
                              <w:b/>
                              <w:sz w:val="20"/>
                            </w:rPr>
                          </w:pPr>
                          <w:r>
                            <w:rPr>
                              <w:rFonts w:ascii="Arial" w:hAnsi="Arial"/>
                              <w:b/>
                              <w:sz w:val="20"/>
                            </w:rPr>
                            <w:t>Federal Deposit Insurance Corporation</w:t>
                          </w:r>
                        </w:p>
                      </w:txbxContent>
                    </wps:txbx>
                    <wps:bodyPr rot="0" vert="horz" wrap="square" lIns="63500" tIns="0" rIns="63500" bIns="0" anchor="t" anchorCtr="0">
                      <a:sp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64.8pt;margin-top:53.3pt;width:249.85pt;height: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" o:allowincell="f" filled="f" stroked="f">
              <v:textbox style="mso-fit-shape-to-text:t" inset="5pt,0,5pt,0">
                <w:txbxContent>
                  <w:p w14:paraId="750FAC2D" w14:textId="77777777" w:rsidR="008656F5" w:rsidRDefault="008656F5">
                    <w:pPr>
                      <w:rPr>
                        <w:rFonts w:ascii="Arial" w:hAnsi="Arial"/>
                        <w:b/>
                        <w:sz w:val="20"/>
                      </w:rPr>
                    </w:pPr>
                    <w:r>
                      <w:rPr>
                        <w:rFonts w:ascii="Arial" w:hAnsi="Arial"/>
                        <w:b/>
                        <w:sz w:val="20"/>
                      </w:rPr>
                      <w:t>Federal Deposit Insurance Corporation</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08CB56"/>
    <w:lvl w:ilvl="0">
      <w:start w:val="1"/>
      <w:numFmt w:val="decimal"/>
      <w:lvlText w:val="%1."/>
      <w:lvlJc w:val="left"/>
      <w:pPr>
        <w:tabs>
          <w:tab w:val="num" w:pos="1800"/>
        </w:tabs>
        <w:ind w:left="1800" w:hanging="360"/>
      </w:pPr>
    </w:lvl>
  </w:abstractNum>
  <w:abstractNum w:abstractNumId="1">
    <w:nsid w:val="FFFFFF7D"/>
    <w:multiLevelType w:val="singleLevel"/>
    <w:tmpl w:val="D960C0BE"/>
    <w:lvl w:ilvl="0">
      <w:start w:val="1"/>
      <w:numFmt w:val="decimal"/>
      <w:lvlText w:val="%1."/>
      <w:lvlJc w:val="left"/>
      <w:pPr>
        <w:tabs>
          <w:tab w:val="num" w:pos="1440"/>
        </w:tabs>
        <w:ind w:left="1440" w:hanging="360"/>
      </w:pPr>
    </w:lvl>
  </w:abstractNum>
  <w:abstractNum w:abstractNumId="2">
    <w:nsid w:val="FFFFFF7E"/>
    <w:multiLevelType w:val="singleLevel"/>
    <w:tmpl w:val="7A3A818E"/>
    <w:lvl w:ilvl="0">
      <w:start w:val="1"/>
      <w:numFmt w:val="decimal"/>
      <w:lvlText w:val="%1."/>
      <w:lvlJc w:val="left"/>
      <w:pPr>
        <w:tabs>
          <w:tab w:val="num" w:pos="1080"/>
        </w:tabs>
        <w:ind w:left="1080" w:hanging="360"/>
      </w:pPr>
    </w:lvl>
  </w:abstractNum>
  <w:abstractNum w:abstractNumId="3">
    <w:nsid w:val="FFFFFF7F"/>
    <w:multiLevelType w:val="singleLevel"/>
    <w:tmpl w:val="12C8EE3C"/>
    <w:lvl w:ilvl="0">
      <w:start w:val="1"/>
      <w:numFmt w:val="decimal"/>
      <w:lvlText w:val="%1."/>
      <w:lvlJc w:val="left"/>
      <w:pPr>
        <w:tabs>
          <w:tab w:val="num" w:pos="720"/>
        </w:tabs>
        <w:ind w:left="720" w:hanging="360"/>
      </w:pPr>
    </w:lvl>
  </w:abstractNum>
  <w:abstractNum w:abstractNumId="4">
    <w:nsid w:val="FFFFFF80"/>
    <w:multiLevelType w:val="singleLevel"/>
    <w:tmpl w:val="A1F491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F814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0C29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23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C61818"/>
    <w:lvl w:ilvl="0">
      <w:start w:val="1"/>
      <w:numFmt w:val="decimal"/>
      <w:lvlText w:val="%1."/>
      <w:lvlJc w:val="left"/>
      <w:pPr>
        <w:tabs>
          <w:tab w:val="num" w:pos="360"/>
        </w:tabs>
        <w:ind w:left="360" w:hanging="360"/>
      </w:pPr>
    </w:lvl>
  </w:abstractNum>
  <w:abstractNum w:abstractNumId="9">
    <w:nsid w:val="FFFFFF89"/>
    <w:multiLevelType w:val="singleLevel"/>
    <w:tmpl w:val="9E849C76"/>
    <w:lvl w:ilvl="0">
      <w:start w:val="1"/>
      <w:numFmt w:val="bullet"/>
      <w:lvlText w:val=""/>
      <w:lvlJc w:val="left"/>
      <w:pPr>
        <w:tabs>
          <w:tab w:val="num" w:pos="360"/>
        </w:tabs>
        <w:ind w:left="360" w:hanging="360"/>
      </w:pPr>
      <w:rPr>
        <w:rFonts w:ascii="Symbol" w:hAnsi="Symbol" w:hint="default"/>
      </w:rPr>
    </w:lvl>
  </w:abstractNum>
  <w:abstractNum w:abstractNumId="10">
    <w:nsid w:val="30AD1B42"/>
    <w:multiLevelType w:val="hybridMultilevel"/>
    <w:tmpl w:val="C798BF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8A693A"/>
    <w:multiLevelType w:val="hybridMultilevel"/>
    <w:tmpl w:val="2CF06B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0F"/>
    <w:rsid w:val="0003632C"/>
    <w:rsid w:val="00063E28"/>
    <w:rsid w:val="00064E02"/>
    <w:rsid w:val="0008307D"/>
    <w:rsid w:val="00090F7B"/>
    <w:rsid w:val="000963D7"/>
    <w:rsid w:val="000B6B87"/>
    <w:rsid w:val="000B76B2"/>
    <w:rsid w:val="000C460B"/>
    <w:rsid w:val="000D08A0"/>
    <w:rsid w:val="000E49EE"/>
    <w:rsid w:val="000F3E7E"/>
    <w:rsid w:val="00103402"/>
    <w:rsid w:val="0012500F"/>
    <w:rsid w:val="00125E7F"/>
    <w:rsid w:val="00127394"/>
    <w:rsid w:val="00137930"/>
    <w:rsid w:val="001447E5"/>
    <w:rsid w:val="00151502"/>
    <w:rsid w:val="00164FDB"/>
    <w:rsid w:val="001948E3"/>
    <w:rsid w:val="001A02A4"/>
    <w:rsid w:val="001A2E65"/>
    <w:rsid w:val="001B3695"/>
    <w:rsid w:val="001C70D2"/>
    <w:rsid w:val="001D2548"/>
    <w:rsid w:val="001E0B36"/>
    <w:rsid w:val="001E5E0B"/>
    <w:rsid w:val="001F5D93"/>
    <w:rsid w:val="0022188E"/>
    <w:rsid w:val="00243B1E"/>
    <w:rsid w:val="00255C4F"/>
    <w:rsid w:val="002600F0"/>
    <w:rsid w:val="002768B5"/>
    <w:rsid w:val="00293BC4"/>
    <w:rsid w:val="002C2D4F"/>
    <w:rsid w:val="002F361E"/>
    <w:rsid w:val="003256CE"/>
    <w:rsid w:val="00340279"/>
    <w:rsid w:val="003649C8"/>
    <w:rsid w:val="003732CD"/>
    <w:rsid w:val="00395B88"/>
    <w:rsid w:val="003C2A72"/>
    <w:rsid w:val="003E4A52"/>
    <w:rsid w:val="003F59DA"/>
    <w:rsid w:val="00447D38"/>
    <w:rsid w:val="00452B6A"/>
    <w:rsid w:val="00473BC4"/>
    <w:rsid w:val="0047649C"/>
    <w:rsid w:val="004850D7"/>
    <w:rsid w:val="00487CE7"/>
    <w:rsid w:val="004A1BA3"/>
    <w:rsid w:val="004C73FE"/>
    <w:rsid w:val="004D1CAA"/>
    <w:rsid w:val="004F099C"/>
    <w:rsid w:val="004F3020"/>
    <w:rsid w:val="004F7CCE"/>
    <w:rsid w:val="00500E8F"/>
    <w:rsid w:val="00502596"/>
    <w:rsid w:val="00506377"/>
    <w:rsid w:val="00520BB6"/>
    <w:rsid w:val="00520D0F"/>
    <w:rsid w:val="00523BED"/>
    <w:rsid w:val="005302AA"/>
    <w:rsid w:val="00570894"/>
    <w:rsid w:val="005845F8"/>
    <w:rsid w:val="005A0DF2"/>
    <w:rsid w:val="005B2D47"/>
    <w:rsid w:val="005C371A"/>
    <w:rsid w:val="005F0340"/>
    <w:rsid w:val="005F16BD"/>
    <w:rsid w:val="00605A9B"/>
    <w:rsid w:val="006115D7"/>
    <w:rsid w:val="00621822"/>
    <w:rsid w:val="00622B21"/>
    <w:rsid w:val="006265BD"/>
    <w:rsid w:val="006315B0"/>
    <w:rsid w:val="00633031"/>
    <w:rsid w:val="00636B11"/>
    <w:rsid w:val="00646742"/>
    <w:rsid w:val="00666EB1"/>
    <w:rsid w:val="00676F58"/>
    <w:rsid w:val="006872C1"/>
    <w:rsid w:val="006A0ACF"/>
    <w:rsid w:val="006A710B"/>
    <w:rsid w:val="006B2A59"/>
    <w:rsid w:val="006D38DF"/>
    <w:rsid w:val="006E17F7"/>
    <w:rsid w:val="006E481F"/>
    <w:rsid w:val="006E528F"/>
    <w:rsid w:val="006E6869"/>
    <w:rsid w:val="00714084"/>
    <w:rsid w:val="00736CA8"/>
    <w:rsid w:val="0074398E"/>
    <w:rsid w:val="007719B2"/>
    <w:rsid w:val="00777642"/>
    <w:rsid w:val="00785154"/>
    <w:rsid w:val="007B08F4"/>
    <w:rsid w:val="007D1CC7"/>
    <w:rsid w:val="007D785F"/>
    <w:rsid w:val="007E6631"/>
    <w:rsid w:val="007E7B41"/>
    <w:rsid w:val="007F4748"/>
    <w:rsid w:val="00800AA5"/>
    <w:rsid w:val="00850F7B"/>
    <w:rsid w:val="00862EEC"/>
    <w:rsid w:val="008656F5"/>
    <w:rsid w:val="00882496"/>
    <w:rsid w:val="00884925"/>
    <w:rsid w:val="008929B9"/>
    <w:rsid w:val="008B362B"/>
    <w:rsid w:val="008C1370"/>
    <w:rsid w:val="008C3C3B"/>
    <w:rsid w:val="008D04F1"/>
    <w:rsid w:val="008E0D5A"/>
    <w:rsid w:val="008E42B2"/>
    <w:rsid w:val="008F6E1C"/>
    <w:rsid w:val="00910992"/>
    <w:rsid w:val="009456FD"/>
    <w:rsid w:val="009472F0"/>
    <w:rsid w:val="0096030F"/>
    <w:rsid w:val="009661E1"/>
    <w:rsid w:val="00981E95"/>
    <w:rsid w:val="009B407D"/>
    <w:rsid w:val="009C4B14"/>
    <w:rsid w:val="009C685A"/>
    <w:rsid w:val="00A039EF"/>
    <w:rsid w:val="00A26B72"/>
    <w:rsid w:val="00A522BB"/>
    <w:rsid w:val="00A60A55"/>
    <w:rsid w:val="00A64C26"/>
    <w:rsid w:val="00A736FD"/>
    <w:rsid w:val="00A92317"/>
    <w:rsid w:val="00AB488D"/>
    <w:rsid w:val="00AC2C17"/>
    <w:rsid w:val="00B20D5B"/>
    <w:rsid w:val="00B240E7"/>
    <w:rsid w:val="00B2453C"/>
    <w:rsid w:val="00B26C9F"/>
    <w:rsid w:val="00B53A30"/>
    <w:rsid w:val="00B664F8"/>
    <w:rsid w:val="00B87B47"/>
    <w:rsid w:val="00BB6F5F"/>
    <w:rsid w:val="00BE4724"/>
    <w:rsid w:val="00BE475C"/>
    <w:rsid w:val="00C003A9"/>
    <w:rsid w:val="00C0046B"/>
    <w:rsid w:val="00C1499C"/>
    <w:rsid w:val="00C20570"/>
    <w:rsid w:val="00C31E34"/>
    <w:rsid w:val="00C33308"/>
    <w:rsid w:val="00C6670F"/>
    <w:rsid w:val="00C82F03"/>
    <w:rsid w:val="00C934C8"/>
    <w:rsid w:val="00CA298B"/>
    <w:rsid w:val="00CE5EEB"/>
    <w:rsid w:val="00CF3A24"/>
    <w:rsid w:val="00D225D2"/>
    <w:rsid w:val="00D338A4"/>
    <w:rsid w:val="00D57418"/>
    <w:rsid w:val="00D736E0"/>
    <w:rsid w:val="00D73B47"/>
    <w:rsid w:val="00D74AF9"/>
    <w:rsid w:val="00D76E46"/>
    <w:rsid w:val="00D83F8C"/>
    <w:rsid w:val="00D90626"/>
    <w:rsid w:val="00D91015"/>
    <w:rsid w:val="00DA414B"/>
    <w:rsid w:val="00DC6F6C"/>
    <w:rsid w:val="00E1546B"/>
    <w:rsid w:val="00E4744F"/>
    <w:rsid w:val="00E71429"/>
    <w:rsid w:val="00E73FF6"/>
    <w:rsid w:val="00E76C5B"/>
    <w:rsid w:val="00E9481C"/>
    <w:rsid w:val="00E97704"/>
    <w:rsid w:val="00EA7ADF"/>
    <w:rsid w:val="00EC6F96"/>
    <w:rsid w:val="00ED3AD5"/>
    <w:rsid w:val="00ED7A4F"/>
    <w:rsid w:val="00EE0417"/>
    <w:rsid w:val="00F022E9"/>
    <w:rsid w:val="00F02676"/>
    <w:rsid w:val="00F11C06"/>
    <w:rsid w:val="00F1387F"/>
    <w:rsid w:val="00F33514"/>
    <w:rsid w:val="00F45FAB"/>
    <w:rsid w:val="00F5044A"/>
    <w:rsid w:val="00F5046A"/>
    <w:rsid w:val="00F64C61"/>
    <w:rsid w:val="00F82FDC"/>
    <w:rsid w:val="00F85DB1"/>
    <w:rsid w:val="00F86F4F"/>
    <w:rsid w:val="00F90FE4"/>
    <w:rsid w:val="00F9398A"/>
    <w:rsid w:val="00FB19E9"/>
    <w:rsid w:val="00FB37D4"/>
    <w:rsid w:val="00FC155A"/>
    <w:rsid w:val="00FF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50F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BalloonText">
    <w:name w:val="Balloon Text"/>
    <w:basedOn w:val="Normal"/>
    <w:link w:val="BalloonTextChar"/>
    <w:uiPriority w:val="99"/>
    <w:semiHidden/>
    <w:unhideWhenUsed/>
    <w:rsid w:val="00125E7F"/>
    <w:rPr>
      <w:rFonts w:ascii="Tahoma" w:hAnsi="Tahoma" w:cs="Tahoma"/>
      <w:sz w:val="16"/>
      <w:szCs w:val="16"/>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customStyle="1" w:styleId="BalloonTextChar">
    <w:name w:val="Balloon Text Char"/>
    <w:basedOn w:val="DefaultParagraphFont"/>
    <w:link w:val="BalloonText"/>
    <w:uiPriority w:val="99"/>
    <w:semiHidden/>
    <w:rsid w:val="00125E7F"/>
    <w:rPr>
      <w:rFonts w:ascii="Tahoma" w:hAnsi="Tahoma" w:cs="Tahoma"/>
      <w:sz w:val="16"/>
      <w:szCs w:val="16"/>
    </w:rPr>
  </w:style>
  <w:style w:type="character" w:customStyle="1" w:styleId="FooterChar">
    <w:name w:val="Footer Char"/>
    <w:basedOn w:val="DefaultParagraphFont"/>
    <w:link w:val="Footer"/>
    <w:uiPriority w:val="99"/>
    <w:rsid w:val="00A92317"/>
    <w:rPr>
      <w:sz w:val="24"/>
    </w:rPr>
  </w:style>
  <w:style w:type="character" w:styleId="CommentReference">
    <w:name w:val="annotation reference"/>
    <w:basedOn w:val="DefaultParagraphFont"/>
    <w:uiPriority w:val="99"/>
    <w:semiHidden/>
    <w:unhideWhenUsed/>
    <w:rsid w:val="00487CE7"/>
    <w:rPr>
      <w:sz w:val="16"/>
      <w:szCs w:val="16"/>
    </w:rPr>
  </w:style>
  <w:style w:type="paragraph" w:styleId="CommentText">
    <w:name w:val="annotation text"/>
    <w:basedOn w:val="Normal"/>
    <w:link w:val="CommentTextChar"/>
    <w:uiPriority w:val="99"/>
    <w:semiHidden/>
    <w:unhideWhenUsed/>
    <w:rsid w:val="00487CE7"/>
    <w:rPr>
      <w:sz w:val="20"/>
    </w:rPr>
  </w:style>
  <w:style w:type="character" w:customStyle="1" w:styleId="CommentTextChar">
    <w:name w:val="Comment Text Char"/>
    <w:basedOn w:val="DefaultParagraphFont"/>
    <w:link w:val="CommentText"/>
    <w:uiPriority w:val="99"/>
    <w:semiHidden/>
    <w:rsid w:val="00487CE7"/>
  </w:style>
  <w:style w:type="paragraph" w:styleId="CommentSubject">
    <w:name w:val="annotation subject"/>
    <w:basedOn w:val="CommentText"/>
    <w:next w:val="CommentText"/>
    <w:link w:val="CommentSubjectChar"/>
    <w:uiPriority w:val="99"/>
    <w:semiHidden/>
    <w:unhideWhenUsed/>
    <w:rsid w:val="00487CE7"/>
    <w:rPr>
      <w:b/>
      <w:bCs/>
    </w:rPr>
  </w:style>
  <w:style w:type="character" w:customStyle="1" w:styleId="CommentSubjectChar">
    <w:name w:val="Comment Subject Char"/>
    <w:basedOn w:val="CommentTextChar"/>
    <w:link w:val="CommentSubject"/>
    <w:uiPriority w:val="99"/>
    <w:semiHidden/>
    <w:rsid w:val="00487CE7"/>
    <w:rPr>
      <w:b/>
      <w:bCs/>
    </w:rPr>
  </w:style>
  <w:style w:type="paragraph" w:styleId="FootnoteText">
    <w:name w:val="footnote text"/>
    <w:basedOn w:val="Normal"/>
    <w:link w:val="FootnoteTextChar"/>
    <w:uiPriority w:val="99"/>
    <w:unhideWhenUsed/>
    <w:rsid w:val="00B87B47"/>
    <w:rPr>
      <w:sz w:val="20"/>
    </w:rPr>
  </w:style>
  <w:style w:type="character" w:customStyle="1" w:styleId="FootnoteTextChar">
    <w:name w:val="Footnote Text Char"/>
    <w:basedOn w:val="DefaultParagraphFont"/>
    <w:link w:val="FootnoteText"/>
    <w:uiPriority w:val="99"/>
    <w:rsid w:val="00B87B47"/>
  </w:style>
  <w:style w:type="character" w:styleId="FootnoteReference">
    <w:name w:val="footnote reference"/>
    <w:basedOn w:val="DefaultParagraphFont"/>
    <w:uiPriority w:val="99"/>
    <w:semiHidden/>
    <w:unhideWhenUsed/>
    <w:rsid w:val="00B87B47"/>
    <w:rPr>
      <w:vertAlign w:val="superscript"/>
    </w:rPr>
  </w:style>
  <w:style w:type="paragraph" w:styleId="ListParagraph">
    <w:name w:val="List Paragraph"/>
    <w:basedOn w:val="Normal"/>
    <w:uiPriority w:val="34"/>
    <w:qFormat/>
    <w:rsid w:val="004F099C"/>
    <w:pPr>
      <w:ind w:left="720"/>
      <w:contextualSpacing/>
    </w:pPr>
  </w:style>
  <w:style w:type="character" w:styleId="Hyperlink">
    <w:name w:val="Hyperlink"/>
    <w:basedOn w:val="DefaultParagraphFont"/>
    <w:uiPriority w:val="99"/>
    <w:unhideWhenUsed/>
    <w:rsid w:val="005845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BalloonText">
    <w:name w:val="Balloon Text"/>
    <w:basedOn w:val="Normal"/>
    <w:link w:val="BalloonTextChar"/>
    <w:uiPriority w:val="99"/>
    <w:semiHidden/>
    <w:unhideWhenUsed/>
    <w:rsid w:val="00125E7F"/>
    <w:rPr>
      <w:rFonts w:ascii="Tahoma" w:hAnsi="Tahoma" w:cs="Tahoma"/>
      <w:sz w:val="16"/>
      <w:szCs w:val="16"/>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customStyle="1" w:styleId="BalloonTextChar">
    <w:name w:val="Balloon Text Char"/>
    <w:basedOn w:val="DefaultParagraphFont"/>
    <w:link w:val="BalloonText"/>
    <w:uiPriority w:val="99"/>
    <w:semiHidden/>
    <w:rsid w:val="00125E7F"/>
    <w:rPr>
      <w:rFonts w:ascii="Tahoma" w:hAnsi="Tahoma" w:cs="Tahoma"/>
      <w:sz w:val="16"/>
      <w:szCs w:val="16"/>
    </w:rPr>
  </w:style>
  <w:style w:type="character" w:customStyle="1" w:styleId="FooterChar">
    <w:name w:val="Footer Char"/>
    <w:basedOn w:val="DefaultParagraphFont"/>
    <w:link w:val="Footer"/>
    <w:uiPriority w:val="99"/>
    <w:rsid w:val="00A92317"/>
    <w:rPr>
      <w:sz w:val="24"/>
    </w:rPr>
  </w:style>
  <w:style w:type="character" w:styleId="CommentReference">
    <w:name w:val="annotation reference"/>
    <w:basedOn w:val="DefaultParagraphFont"/>
    <w:uiPriority w:val="99"/>
    <w:semiHidden/>
    <w:unhideWhenUsed/>
    <w:rsid w:val="00487CE7"/>
    <w:rPr>
      <w:sz w:val="16"/>
      <w:szCs w:val="16"/>
    </w:rPr>
  </w:style>
  <w:style w:type="paragraph" w:styleId="CommentText">
    <w:name w:val="annotation text"/>
    <w:basedOn w:val="Normal"/>
    <w:link w:val="CommentTextChar"/>
    <w:uiPriority w:val="99"/>
    <w:semiHidden/>
    <w:unhideWhenUsed/>
    <w:rsid w:val="00487CE7"/>
    <w:rPr>
      <w:sz w:val="20"/>
    </w:rPr>
  </w:style>
  <w:style w:type="character" w:customStyle="1" w:styleId="CommentTextChar">
    <w:name w:val="Comment Text Char"/>
    <w:basedOn w:val="DefaultParagraphFont"/>
    <w:link w:val="CommentText"/>
    <w:uiPriority w:val="99"/>
    <w:semiHidden/>
    <w:rsid w:val="00487CE7"/>
  </w:style>
  <w:style w:type="paragraph" w:styleId="CommentSubject">
    <w:name w:val="annotation subject"/>
    <w:basedOn w:val="CommentText"/>
    <w:next w:val="CommentText"/>
    <w:link w:val="CommentSubjectChar"/>
    <w:uiPriority w:val="99"/>
    <w:semiHidden/>
    <w:unhideWhenUsed/>
    <w:rsid w:val="00487CE7"/>
    <w:rPr>
      <w:b/>
      <w:bCs/>
    </w:rPr>
  </w:style>
  <w:style w:type="character" w:customStyle="1" w:styleId="CommentSubjectChar">
    <w:name w:val="Comment Subject Char"/>
    <w:basedOn w:val="CommentTextChar"/>
    <w:link w:val="CommentSubject"/>
    <w:uiPriority w:val="99"/>
    <w:semiHidden/>
    <w:rsid w:val="00487CE7"/>
    <w:rPr>
      <w:b/>
      <w:bCs/>
    </w:rPr>
  </w:style>
  <w:style w:type="paragraph" w:styleId="FootnoteText">
    <w:name w:val="footnote text"/>
    <w:basedOn w:val="Normal"/>
    <w:link w:val="FootnoteTextChar"/>
    <w:uiPriority w:val="99"/>
    <w:unhideWhenUsed/>
    <w:rsid w:val="00B87B47"/>
    <w:rPr>
      <w:sz w:val="20"/>
    </w:rPr>
  </w:style>
  <w:style w:type="character" w:customStyle="1" w:styleId="FootnoteTextChar">
    <w:name w:val="Footnote Text Char"/>
    <w:basedOn w:val="DefaultParagraphFont"/>
    <w:link w:val="FootnoteText"/>
    <w:uiPriority w:val="99"/>
    <w:rsid w:val="00B87B47"/>
  </w:style>
  <w:style w:type="character" w:styleId="FootnoteReference">
    <w:name w:val="footnote reference"/>
    <w:basedOn w:val="DefaultParagraphFont"/>
    <w:uiPriority w:val="99"/>
    <w:semiHidden/>
    <w:unhideWhenUsed/>
    <w:rsid w:val="00B87B47"/>
    <w:rPr>
      <w:vertAlign w:val="superscript"/>
    </w:rPr>
  </w:style>
  <w:style w:type="paragraph" w:styleId="ListParagraph">
    <w:name w:val="List Paragraph"/>
    <w:basedOn w:val="Normal"/>
    <w:uiPriority w:val="34"/>
    <w:qFormat/>
    <w:rsid w:val="004F099C"/>
    <w:pPr>
      <w:ind w:left="720"/>
      <w:contextualSpacing/>
    </w:pPr>
  </w:style>
  <w:style w:type="character" w:styleId="Hyperlink">
    <w:name w:val="Hyperlink"/>
    <w:basedOn w:val="DefaultParagraphFont"/>
    <w:uiPriority w:val="99"/>
    <w:unhideWhenUsed/>
    <w:rsid w:val="00584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6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eginfo.gov/public/do/PRAViewICR?ref_nbr=201707-3064-0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joie\appdata\roaming\microsoft\templates\FDIC%20Macros\LETTER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B97CAD3D49634BECB254722C354D7C37004DFCFECF53B47C4FA238FF4BFD2602CA" ma:contentTypeVersion="" ma:contentTypeDescription="Create a new document." ma:contentTypeScope="" ma:versionID="dae68afa1736a0ee0d36e9d6c922b68e">
  <xsd:schema xmlns:xsd="http://www.w3.org/2001/XMLSchema" xmlns:xs="http://www.w3.org/2001/XMLSchema" xmlns:p="http://schemas.microsoft.com/office/2006/metadata/properties" xmlns:ns2="99A4FD76-BEE9-4CB3-940C-998000C78A2D" xmlns:ns3="7f2c7d0a-dd53-4495-bf1d-eba4934ec7f9" targetNamespace="http://schemas.microsoft.com/office/2006/metadata/properties" ma:root="true" ma:fieldsID="3133ba5a494f6c08bae03897a5548285" ns2:_="" ns3:_="">
    <xsd:import namespace="99A4FD76-BEE9-4CB3-940C-998000C78A2D"/>
    <xsd:import namespace="7f2c7d0a-dd53-4495-bf1d-eba4934ec7f9"/>
    <xsd:element name="properties">
      <xsd:complexType>
        <xsd:sequence>
          <xsd:element name="documentManagement">
            <xsd:complexType>
              <xsd:all>
                <xsd:element ref="ns2:Sensitivity"/>
                <xsd:element ref="ns3:FDIC_CUI" minOccurs="0"/>
                <xsd:element ref="ns3:FDIC_Privac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4FD76-BEE9-4CB3-940C-998000C78A2D" elementFormDefault="qualified">
    <xsd:import namespace="http://schemas.microsoft.com/office/2006/documentManagement/types"/>
    <xsd:import namespace="http://schemas.microsoft.com/office/infopath/2007/PartnerControls"/>
    <xsd:element name="Sensitivity" ma:index="8" ma:displayName="Sensitivity" ma:default="Sensitive Data" ma:description="Sensitive Data = Any data that, if lost, stolen or misused, could adversely impact FDIC, insured institutions or individuals.&#10;http://fdic01/division/doa/adminservices/records/directives/1000/1360-9.doc&#10;&#10;Sensitive PII = SSN alone and/or an individual’s full name plus 1 or more additional items of personal data.&#10;http://fdic01/division/dit/ITGovernance/PrivacyProgram/PersonallyIdentifiableInformation/index.html&#10;Non-Sensitive Data = Data that can be shared or viewed with no restrictions internal or external to FDIC.&#10;http://www.fdic.gov/regulations/laws/rules/2000-3800.html" ma:format="Dropdown" ma:internalName="Sensitivity">
      <xsd:simpleType>
        <xsd:restriction base="dms:Choice">
          <xsd:enumeration value="Sensitive Data"/>
          <xsd:enumeration value="Non-Sensitive Data"/>
        </xsd:restriction>
      </xsd:simpleType>
    </xsd:element>
  </xsd:schema>
  <xsd:schema xmlns:xsd="http://www.w3.org/2001/XMLSchema" xmlns:xs="http://www.w3.org/2001/XMLSchema" xmlns:dms="http://schemas.microsoft.com/office/2006/documentManagement/types" xmlns:pc="http://schemas.microsoft.com/office/infopath/2007/PartnerControls" targetNamespace="7f2c7d0a-dd53-4495-bf1d-eba4934ec7f9" elementFormDefault="qualified">
    <xsd:import namespace="http://schemas.microsoft.com/office/2006/documentManagement/types"/>
    <xsd:import namespace="http://schemas.microsoft.com/office/infopath/2007/PartnerControls"/>
    <xsd:element name="FDIC_CUI" ma:index="9" nillable="true" ma:displayName="CUI" ma:description="Controlled Unclassified Information (CUI) column (for future use)" ma:format="Dropdown" ma:internalName="FDIC_CUI">
      <xsd:simpleType>
        <xsd:restriction base="dms:Choice">
          <xsd:enumeration value="For Future Use"/>
        </xsd:restriction>
      </xsd:simpleType>
    </xsd:element>
    <xsd:element name="FDIC_Privacy" ma:index="10" ma:displayName="Privacy" ma:description="PII = SSN alone and/or an individual’s full name plus 1 or more additional items of personal data.&#10;http://fdic01/division/dit/ITGovernance/PrivacyProgram/PersonallyIdentifiableInformation/index.html" ma:format="Dropdown" ma:internalName="FDIC_Privacy">
      <xsd:simpleType>
        <xsd:restriction base="dms:Choice">
          <xsd:enumeration value="PII"/>
          <xsd:enumeration value="Non-PII"/>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DIC_CUI xmlns="7f2c7d0a-dd53-4495-bf1d-eba4934ec7f9" xsi:nil="true"/>
    <FDIC_Privacy xmlns="7f2c7d0a-dd53-4495-bf1d-eba4934ec7f9">Non-PII</FDIC_Privacy>
    <Sensitivity xmlns="99A4FD76-BEE9-4CB3-940C-998000C78A2D">Sensitive Data</Sensitivit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AC82D-385B-4BDF-BFEB-3B1EB7456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4FD76-BEE9-4CB3-940C-998000C78A2D"/>
    <ds:schemaRef ds:uri="7f2c7d0a-dd53-4495-bf1d-eba4934ec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301A1-9A04-4101-89CC-F6B42EE18040}">
  <ds:schemaRefs>
    <ds:schemaRef ds:uri="http://schemas.microsoft.com/sharepoint/v3/contenttype/forms"/>
  </ds:schemaRefs>
</ds:datastoreItem>
</file>

<file path=customXml/itemProps3.xml><?xml version="1.0" encoding="utf-8"?>
<ds:datastoreItem xmlns:ds="http://schemas.openxmlformats.org/officeDocument/2006/customXml" ds:itemID="{9140D9CA-4E0A-46EA-9DC8-2083B5B67BD9}">
  <ds:schemaRef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99A4FD76-BEE9-4CB3-940C-998000C78A2D"/>
    <ds:schemaRef ds:uri="http://schemas.microsoft.com/office/infopath/2007/PartnerControls"/>
    <ds:schemaRef ds:uri="http://schemas.microsoft.com/office/2006/metadata/properties"/>
    <ds:schemaRef ds:uri="7f2c7d0a-dd53-4495-bf1d-eba4934ec7f9"/>
    <ds:schemaRef ds:uri="http://purl.org/dc/terms/"/>
  </ds:schemaRefs>
</ds:datastoreItem>
</file>

<file path=customXml/itemProps4.xml><?xml version="1.0" encoding="utf-8"?>
<ds:datastoreItem xmlns:ds="http://schemas.openxmlformats.org/officeDocument/2006/customXml" ds:itemID="{F35B0C09-B712-4FC3-B49F-84D0A7C9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LETTERLogo</Template>
  <TotalTime>0</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FDIC Macros Ver. 5.5</vt:lpstr>
    </vt:vector>
  </TitlesOfParts>
  <Manager>Andrew Roberts</Manager>
  <Company>FDIC</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FDIC Macros Ver. 5.5</dc:title>
  <dc:creator>La Joie, Conrad A.</dc:creator>
  <cp:lastModifiedBy>SYSTEM</cp:lastModifiedBy>
  <cp:revision>2</cp:revision>
  <cp:lastPrinted>2018-12-14T17:54:00Z</cp:lastPrinted>
  <dcterms:created xsi:type="dcterms:W3CDTF">2019-05-28T12:34:00Z</dcterms:created>
  <dcterms:modified xsi:type="dcterms:W3CDTF">2019-05-28T12:34:00Z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0x0101B97CAD3D49634BECB254722C354D7C37004DFCFECF53B47C4FA238FF4BFD2602CA</vt:lpwstr>
  </property>
</Properties>
</file>