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2790F" w14:textId="77777777" w:rsidR="00BD73B5" w:rsidRPr="00E47E0B" w:rsidRDefault="00BD73B5" w:rsidP="00BD73B5">
      <w:pPr>
        <w:rPr>
          <w:rFonts w:asciiTheme="minorHAnsi" w:hAnsiTheme="minorHAnsi"/>
          <w:sz w:val="22"/>
          <w:szCs w:val="22"/>
        </w:rPr>
      </w:pPr>
      <w:bookmarkStart w:id="0" w:name="_GoBack"/>
      <w:bookmarkEnd w:id="0"/>
    </w:p>
    <w:p w14:paraId="456B1BB4" w14:textId="34A5195E" w:rsidR="00BD73B5" w:rsidRPr="00E47E0B" w:rsidRDefault="00175931" w:rsidP="00BD73B5">
      <w:pPr>
        <w:jc w:val="center"/>
        <w:outlineLvl w:val="0"/>
        <w:rPr>
          <w:rFonts w:asciiTheme="minorHAnsi" w:hAnsiTheme="minorHAnsi"/>
          <w:b/>
          <w:sz w:val="22"/>
          <w:szCs w:val="22"/>
        </w:rPr>
      </w:pPr>
      <w:r>
        <w:rPr>
          <w:rFonts w:asciiTheme="minorHAnsi" w:hAnsiTheme="minorHAnsi"/>
          <w:b/>
          <w:sz w:val="22"/>
          <w:szCs w:val="22"/>
        </w:rPr>
        <w:t>Appendix 2</w:t>
      </w:r>
      <w:r w:rsidR="00BD73B5" w:rsidRPr="00E47E0B">
        <w:rPr>
          <w:rFonts w:asciiTheme="minorHAnsi" w:hAnsiTheme="minorHAnsi"/>
          <w:b/>
          <w:sz w:val="22"/>
          <w:szCs w:val="22"/>
        </w:rPr>
        <w:t>: EFNEP Burden Data</w:t>
      </w:r>
    </w:p>
    <w:p w14:paraId="391292DF" w14:textId="77777777" w:rsidR="00BD73B5" w:rsidRPr="00E47E0B" w:rsidRDefault="00BD73B5" w:rsidP="00BD73B5">
      <w:pPr>
        <w:rPr>
          <w:rFonts w:asciiTheme="minorHAnsi" w:hAnsiTheme="minorHAnsi"/>
          <w:sz w:val="22"/>
          <w:szCs w:val="22"/>
        </w:rPr>
      </w:pPr>
    </w:p>
    <w:p w14:paraId="18993D9F" w14:textId="77777777" w:rsidR="00BD73B5" w:rsidRPr="00E47E0B" w:rsidRDefault="00BD73B5" w:rsidP="00BD73B5">
      <w:pPr>
        <w:rPr>
          <w:rFonts w:asciiTheme="minorHAnsi" w:hAnsiTheme="minorHAnsi"/>
          <w:sz w:val="22"/>
          <w:szCs w:val="22"/>
        </w:rPr>
      </w:pPr>
      <w:r w:rsidRPr="00E47E0B">
        <w:rPr>
          <w:rFonts w:asciiTheme="minorHAnsi" w:hAnsiTheme="minorHAnsi"/>
          <w:sz w:val="22"/>
          <w:szCs w:val="22"/>
        </w:rPr>
        <w:t>The burden for respondents was estimated through feedback from a survey sent to nine EFNEP Coordinators</w:t>
      </w:r>
      <w:r w:rsidR="005174A7" w:rsidRPr="00E47E0B">
        <w:rPr>
          <w:rFonts w:asciiTheme="minorHAnsi" w:hAnsiTheme="minorHAnsi"/>
          <w:sz w:val="22"/>
          <w:szCs w:val="22"/>
        </w:rPr>
        <w:t xml:space="preserve"> and their data managers</w:t>
      </w:r>
      <w:r w:rsidRPr="00E47E0B">
        <w:rPr>
          <w:rFonts w:asciiTheme="minorHAnsi" w:hAnsiTheme="minorHAnsi"/>
          <w:sz w:val="22"/>
          <w:szCs w:val="22"/>
        </w:rPr>
        <w:t xml:space="preserve">.  </w:t>
      </w:r>
      <w:r w:rsidR="005174A7" w:rsidRPr="00E47E0B">
        <w:rPr>
          <w:rFonts w:asciiTheme="minorHAnsi" w:hAnsiTheme="minorHAnsi"/>
          <w:sz w:val="22"/>
          <w:szCs w:val="22"/>
        </w:rPr>
        <w:t xml:space="preserve">Seven </w:t>
      </w:r>
      <w:r w:rsidRPr="00E47E0B">
        <w:rPr>
          <w:rFonts w:asciiTheme="minorHAnsi" w:hAnsiTheme="minorHAnsi"/>
          <w:sz w:val="22"/>
          <w:szCs w:val="22"/>
        </w:rPr>
        <w:t xml:space="preserve">surveys were returned. </w:t>
      </w:r>
    </w:p>
    <w:p w14:paraId="49DDB09D" w14:textId="77777777" w:rsidR="00BD73B5" w:rsidRPr="00E47E0B" w:rsidRDefault="00BD73B5" w:rsidP="00BD73B5">
      <w:pPr>
        <w:rPr>
          <w:rFonts w:asciiTheme="minorHAnsi" w:hAnsiTheme="minorHAnsi"/>
          <w:sz w:val="22"/>
          <w:szCs w:val="22"/>
        </w:rPr>
      </w:pPr>
    </w:p>
    <w:tbl>
      <w:tblPr>
        <w:tblW w:w="8694" w:type="dxa"/>
        <w:tblInd w:w="81" w:type="dxa"/>
        <w:tblLayout w:type="fixed"/>
        <w:tblCellMar>
          <w:left w:w="81" w:type="dxa"/>
          <w:right w:w="81" w:type="dxa"/>
        </w:tblCellMar>
        <w:tblLook w:val="04A0" w:firstRow="1" w:lastRow="0" w:firstColumn="1" w:lastColumn="0" w:noHBand="0" w:noVBand="1"/>
      </w:tblPr>
      <w:tblGrid>
        <w:gridCol w:w="2124"/>
        <w:gridCol w:w="2160"/>
        <w:gridCol w:w="2250"/>
        <w:gridCol w:w="2160"/>
      </w:tblGrid>
      <w:tr w:rsidR="00BD73B5" w:rsidRPr="00E47E0B" w14:paraId="3D7A3803" w14:textId="77777777" w:rsidTr="00DE64A6">
        <w:trPr>
          <w:cantSplit/>
          <w:tblHeader/>
        </w:trPr>
        <w:tc>
          <w:tcPr>
            <w:tcW w:w="2124" w:type="dxa"/>
            <w:tcBorders>
              <w:top w:val="double" w:sz="12" w:space="0" w:color="000000"/>
              <w:left w:val="double" w:sz="12" w:space="0" w:color="000000"/>
              <w:bottom w:val="double" w:sz="12" w:space="0" w:color="000000"/>
              <w:right w:val="nil"/>
            </w:tcBorders>
            <w:hideMark/>
          </w:tcPr>
          <w:p w14:paraId="58CD452F" w14:textId="77777777" w:rsidR="00BD73B5" w:rsidRPr="00E47E0B" w:rsidRDefault="00BD73B5">
            <w:pPr>
              <w:numPr>
                <w:ilvl w:val="12"/>
                <w:numId w:val="0"/>
              </w:numPr>
              <w:spacing w:before="98" w:after="46"/>
              <w:jc w:val="center"/>
              <w:rPr>
                <w:rFonts w:asciiTheme="minorHAnsi" w:hAnsiTheme="minorHAnsi"/>
                <w:sz w:val="22"/>
                <w:szCs w:val="22"/>
              </w:rPr>
            </w:pPr>
            <w:r w:rsidRPr="00E47E0B">
              <w:rPr>
                <w:rFonts w:asciiTheme="minorHAnsi" w:hAnsiTheme="minorHAnsi"/>
                <w:b/>
                <w:bCs/>
                <w:sz w:val="22"/>
                <w:szCs w:val="22"/>
              </w:rPr>
              <w:t>Collection Activity</w:t>
            </w:r>
          </w:p>
        </w:tc>
        <w:tc>
          <w:tcPr>
            <w:tcW w:w="2160" w:type="dxa"/>
            <w:tcBorders>
              <w:top w:val="double" w:sz="12" w:space="0" w:color="000000"/>
              <w:left w:val="single" w:sz="6" w:space="0" w:color="000000"/>
              <w:bottom w:val="double" w:sz="12" w:space="0" w:color="000000"/>
              <w:right w:val="nil"/>
            </w:tcBorders>
            <w:hideMark/>
          </w:tcPr>
          <w:p w14:paraId="55E40738" w14:textId="77777777" w:rsidR="00BD73B5" w:rsidRPr="00E47E0B" w:rsidRDefault="00BD73B5">
            <w:pPr>
              <w:numPr>
                <w:ilvl w:val="12"/>
                <w:numId w:val="0"/>
              </w:numPr>
              <w:spacing w:before="98" w:after="46"/>
              <w:jc w:val="center"/>
              <w:rPr>
                <w:rFonts w:asciiTheme="minorHAnsi" w:hAnsiTheme="minorHAnsi"/>
                <w:sz w:val="22"/>
                <w:szCs w:val="22"/>
              </w:rPr>
            </w:pPr>
            <w:r w:rsidRPr="00E47E0B">
              <w:rPr>
                <w:rFonts w:asciiTheme="minorHAnsi" w:hAnsiTheme="minorHAnsi"/>
                <w:b/>
                <w:bCs/>
                <w:sz w:val="22"/>
                <w:szCs w:val="22"/>
              </w:rPr>
              <w:t>Number of Respondents</w:t>
            </w:r>
          </w:p>
        </w:tc>
        <w:tc>
          <w:tcPr>
            <w:tcW w:w="2250" w:type="dxa"/>
            <w:tcBorders>
              <w:top w:val="double" w:sz="12" w:space="0" w:color="000000"/>
              <w:left w:val="single" w:sz="6" w:space="0" w:color="000000"/>
              <w:bottom w:val="double" w:sz="12" w:space="0" w:color="000000"/>
              <w:right w:val="nil"/>
            </w:tcBorders>
            <w:hideMark/>
          </w:tcPr>
          <w:p w14:paraId="27F5E5CF" w14:textId="77777777" w:rsidR="00BD73B5" w:rsidRPr="00E47E0B" w:rsidRDefault="00BD73B5">
            <w:pPr>
              <w:numPr>
                <w:ilvl w:val="12"/>
                <w:numId w:val="0"/>
              </w:numPr>
              <w:spacing w:before="98" w:after="46"/>
              <w:jc w:val="center"/>
              <w:rPr>
                <w:rFonts w:asciiTheme="minorHAnsi" w:hAnsiTheme="minorHAnsi"/>
                <w:sz w:val="22"/>
                <w:szCs w:val="22"/>
              </w:rPr>
            </w:pPr>
            <w:r w:rsidRPr="00E47E0B">
              <w:rPr>
                <w:rFonts w:asciiTheme="minorHAnsi" w:hAnsiTheme="minorHAnsi"/>
                <w:b/>
                <w:bCs/>
                <w:sz w:val="22"/>
                <w:szCs w:val="22"/>
              </w:rPr>
              <w:t>Estimated Hours per response</w:t>
            </w:r>
          </w:p>
        </w:tc>
        <w:tc>
          <w:tcPr>
            <w:tcW w:w="2160" w:type="dxa"/>
            <w:tcBorders>
              <w:top w:val="double" w:sz="12" w:space="0" w:color="000000"/>
              <w:left w:val="single" w:sz="6" w:space="0" w:color="000000"/>
              <w:bottom w:val="double" w:sz="12" w:space="0" w:color="000000"/>
              <w:right w:val="double" w:sz="12" w:space="0" w:color="000000"/>
            </w:tcBorders>
            <w:hideMark/>
          </w:tcPr>
          <w:p w14:paraId="1F7DF059" w14:textId="77777777" w:rsidR="00BD73B5" w:rsidRPr="00E47E0B" w:rsidRDefault="00BD73B5">
            <w:pPr>
              <w:numPr>
                <w:ilvl w:val="12"/>
                <w:numId w:val="0"/>
              </w:numPr>
              <w:spacing w:before="98" w:after="46"/>
              <w:jc w:val="center"/>
              <w:rPr>
                <w:rFonts w:asciiTheme="minorHAnsi" w:hAnsiTheme="minorHAnsi"/>
                <w:sz w:val="22"/>
                <w:szCs w:val="22"/>
              </w:rPr>
            </w:pPr>
            <w:r w:rsidRPr="00E47E0B">
              <w:rPr>
                <w:rFonts w:asciiTheme="minorHAnsi" w:hAnsiTheme="minorHAnsi"/>
                <w:b/>
                <w:bCs/>
                <w:sz w:val="22"/>
                <w:szCs w:val="22"/>
              </w:rPr>
              <w:t>Total Annual Burden Hours</w:t>
            </w:r>
          </w:p>
        </w:tc>
      </w:tr>
      <w:tr w:rsidR="00BD73B5" w:rsidRPr="00E47E0B" w14:paraId="1A1337E4" w14:textId="77777777" w:rsidTr="00DE64A6">
        <w:trPr>
          <w:cantSplit/>
        </w:trPr>
        <w:tc>
          <w:tcPr>
            <w:tcW w:w="2124" w:type="dxa"/>
            <w:tcBorders>
              <w:top w:val="double" w:sz="12" w:space="0" w:color="000000"/>
              <w:left w:val="double" w:sz="12" w:space="0" w:color="000000"/>
              <w:bottom w:val="double" w:sz="12" w:space="0" w:color="000000"/>
              <w:right w:val="nil"/>
            </w:tcBorders>
            <w:vAlign w:val="center"/>
            <w:hideMark/>
          </w:tcPr>
          <w:p w14:paraId="14C38EFA" w14:textId="77777777" w:rsidR="00BD73B5" w:rsidRPr="00E47E0B" w:rsidRDefault="00BD73B5">
            <w:pPr>
              <w:numPr>
                <w:ilvl w:val="12"/>
                <w:numId w:val="0"/>
              </w:numPr>
              <w:spacing w:before="98" w:after="46"/>
              <w:jc w:val="center"/>
              <w:rPr>
                <w:rFonts w:asciiTheme="minorHAnsi" w:hAnsiTheme="minorHAnsi"/>
                <w:sz w:val="22"/>
                <w:szCs w:val="22"/>
              </w:rPr>
            </w:pPr>
            <w:r w:rsidRPr="00E47E0B">
              <w:rPr>
                <w:rFonts w:asciiTheme="minorHAnsi" w:hAnsiTheme="minorHAnsi"/>
                <w:sz w:val="22"/>
                <w:szCs w:val="22"/>
              </w:rPr>
              <w:t>EFNEP</w:t>
            </w:r>
          </w:p>
        </w:tc>
        <w:tc>
          <w:tcPr>
            <w:tcW w:w="2160" w:type="dxa"/>
            <w:tcBorders>
              <w:top w:val="double" w:sz="12" w:space="0" w:color="000000"/>
              <w:left w:val="single" w:sz="6" w:space="0" w:color="000000"/>
              <w:bottom w:val="double" w:sz="12" w:space="0" w:color="000000"/>
              <w:right w:val="nil"/>
            </w:tcBorders>
            <w:vAlign w:val="center"/>
            <w:hideMark/>
          </w:tcPr>
          <w:p w14:paraId="2D50D607" w14:textId="77777777" w:rsidR="00BD73B5" w:rsidRPr="00E47E0B" w:rsidRDefault="00BD73B5">
            <w:pPr>
              <w:numPr>
                <w:ilvl w:val="12"/>
                <w:numId w:val="0"/>
              </w:numPr>
              <w:spacing w:after="46"/>
              <w:jc w:val="center"/>
              <w:rPr>
                <w:rFonts w:asciiTheme="minorHAnsi" w:hAnsiTheme="minorHAnsi"/>
                <w:sz w:val="22"/>
                <w:szCs w:val="22"/>
              </w:rPr>
            </w:pPr>
            <w:r w:rsidRPr="00E47E0B">
              <w:rPr>
                <w:rFonts w:asciiTheme="minorHAnsi" w:hAnsiTheme="minorHAnsi"/>
                <w:sz w:val="22"/>
                <w:szCs w:val="22"/>
              </w:rPr>
              <w:t>75</w:t>
            </w:r>
          </w:p>
        </w:tc>
        <w:tc>
          <w:tcPr>
            <w:tcW w:w="2250" w:type="dxa"/>
            <w:tcBorders>
              <w:top w:val="double" w:sz="12" w:space="0" w:color="000000"/>
              <w:left w:val="single" w:sz="6" w:space="0" w:color="000000"/>
              <w:bottom w:val="double" w:sz="12" w:space="0" w:color="000000"/>
              <w:right w:val="nil"/>
            </w:tcBorders>
            <w:vAlign w:val="center"/>
            <w:hideMark/>
          </w:tcPr>
          <w:p w14:paraId="112F8FC8" w14:textId="77777777" w:rsidR="00BD73B5" w:rsidRPr="00E47E0B" w:rsidRDefault="0006450F">
            <w:pPr>
              <w:numPr>
                <w:ilvl w:val="12"/>
                <w:numId w:val="0"/>
              </w:numPr>
              <w:spacing w:after="46"/>
              <w:jc w:val="center"/>
              <w:rPr>
                <w:rFonts w:asciiTheme="minorHAnsi" w:hAnsiTheme="minorHAnsi"/>
                <w:sz w:val="22"/>
                <w:szCs w:val="22"/>
              </w:rPr>
            </w:pPr>
            <w:r w:rsidRPr="00E47E0B">
              <w:rPr>
                <w:rFonts w:asciiTheme="minorHAnsi" w:hAnsiTheme="minorHAnsi"/>
                <w:sz w:val="22"/>
                <w:szCs w:val="22"/>
              </w:rPr>
              <w:t>1,158</w:t>
            </w:r>
          </w:p>
        </w:tc>
        <w:tc>
          <w:tcPr>
            <w:tcW w:w="2160" w:type="dxa"/>
            <w:tcBorders>
              <w:top w:val="double" w:sz="12" w:space="0" w:color="000000"/>
              <w:left w:val="single" w:sz="6" w:space="0" w:color="000000"/>
              <w:bottom w:val="double" w:sz="12" w:space="0" w:color="000000"/>
              <w:right w:val="double" w:sz="12" w:space="0" w:color="000000"/>
            </w:tcBorders>
            <w:vAlign w:val="center"/>
            <w:hideMark/>
          </w:tcPr>
          <w:p w14:paraId="68AB98D6" w14:textId="0ED973D3" w:rsidR="00BD73B5" w:rsidRPr="00E47E0B" w:rsidRDefault="00B70426">
            <w:pPr>
              <w:numPr>
                <w:ilvl w:val="12"/>
                <w:numId w:val="0"/>
              </w:numPr>
              <w:spacing w:after="46"/>
              <w:jc w:val="center"/>
              <w:rPr>
                <w:rFonts w:asciiTheme="minorHAnsi" w:hAnsiTheme="minorHAnsi"/>
                <w:sz w:val="22"/>
                <w:szCs w:val="22"/>
              </w:rPr>
            </w:pPr>
            <w:r>
              <w:rPr>
                <w:rFonts w:asciiTheme="minorHAnsi" w:hAnsiTheme="minorHAnsi"/>
                <w:sz w:val="22"/>
                <w:szCs w:val="22"/>
              </w:rPr>
              <w:t>15,540</w:t>
            </w:r>
          </w:p>
        </w:tc>
      </w:tr>
    </w:tbl>
    <w:p w14:paraId="6E53D9C0" w14:textId="77777777" w:rsidR="00BD73B5" w:rsidRDefault="00BD73B5" w:rsidP="00BD73B5">
      <w:pPr>
        <w:rPr>
          <w:rFonts w:asciiTheme="minorHAnsi" w:hAnsiTheme="minorHAnsi"/>
          <w:sz w:val="22"/>
          <w:szCs w:val="22"/>
        </w:rPr>
      </w:pPr>
    </w:p>
    <w:p w14:paraId="21D5963C" w14:textId="77777777" w:rsidR="00692602" w:rsidRDefault="00110329" w:rsidP="00BD73B5">
      <w:pPr>
        <w:rPr>
          <w:rFonts w:asciiTheme="minorHAnsi" w:hAnsiTheme="minorHAnsi"/>
          <w:sz w:val="22"/>
          <w:szCs w:val="22"/>
        </w:rPr>
      </w:pPr>
      <w:r>
        <w:rPr>
          <w:rFonts w:asciiTheme="minorHAnsi" w:hAnsiTheme="minorHAnsi"/>
          <w:sz w:val="22"/>
          <w:szCs w:val="22"/>
        </w:rPr>
        <w:t xml:space="preserve">To calculate this figure, each university responded to a survey with data on the total number of minutes it took regional users to enter one adult graduate (included checklists and recalls), one adult non-graduate (demographics only), one youth group, and all staff.  The responses from each university were averaged together and then multiplied out by the total number of adults graduates, adult non-gradates, youth groups in the FY2014 </w:t>
      </w:r>
      <w:r w:rsidR="00E3059B">
        <w:rPr>
          <w:rFonts w:asciiTheme="minorHAnsi" w:hAnsiTheme="minorHAnsi"/>
          <w:sz w:val="22"/>
          <w:szCs w:val="22"/>
        </w:rPr>
        <w:t>Federal</w:t>
      </w:r>
      <w:r>
        <w:rPr>
          <w:rFonts w:asciiTheme="minorHAnsi" w:hAnsiTheme="minorHAnsi"/>
          <w:sz w:val="22"/>
          <w:szCs w:val="22"/>
        </w:rPr>
        <w:t xml:space="preserve"> Dataset.  Since staff were collected as a whole (all staff as opposed to one staff member), that figure was multiplied by the total number of reporting institutions.  </w:t>
      </w:r>
    </w:p>
    <w:p w14:paraId="19F13C76" w14:textId="77777777" w:rsidR="00110329" w:rsidRDefault="00110329" w:rsidP="00BD73B5">
      <w:pPr>
        <w:rPr>
          <w:rFonts w:asciiTheme="minorHAnsi" w:hAnsiTheme="minorHAnsi"/>
          <w:sz w:val="22"/>
          <w:szCs w:val="22"/>
        </w:rPr>
      </w:pPr>
    </w:p>
    <w:tbl>
      <w:tblPr>
        <w:tblStyle w:val="TableGrid"/>
        <w:tblW w:w="0" w:type="auto"/>
        <w:tblLook w:val="04A0" w:firstRow="1" w:lastRow="0" w:firstColumn="1" w:lastColumn="0" w:noHBand="0" w:noVBand="1"/>
      </w:tblPr>
      <w:tblGrid>
        <w:gridCol w:w="1705"/>
        <w:gridCol w:w="1440"/>
        <w:gridCol w:w="1800"/>
        <w:gridCol w:w="1530"/>
        <w:gridCol w:w="1710"/>
      </w:tblGrid>
      <w:tr w:rsidR="00110329" w14:paraId="206BA145" w14:textId="77777777" w:rsidTr="00110329">
        <w:tc>
          <w:tcPr>
            <w:tcW w:w="1705" w:type="dxa"/>
          </w:tcPr>
          <w:p w14:paraId="56A94B57" w14:textId="77777777" w:rsidR="00110329" w:rsidRDefault="00110329" w:rsidP="00C57C9C">
            <w:pPr>
              <w:rPr>
                <w:rFonts w:asciiTheme="minorHAnsi" w:hAnsiTheme="minorHAnsi"/>
                <w:sz w:val="22"/>
                <w:szCs w:val="22"/>
              </w:rPr>
            </w:pPr>
          </w:p>
        </w:tc>
        <w:tc>
          <w:tcPr>
            <w:tcW w:w="1440" w:type="dxa"/>
          </w:tcPr>
          <w:p w14:paraId="37BC2598"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Adult Grad</w:t>
            </w:r>
          </w:p>
        </w:tc>
        <w:tc>
          <w:tcPr>
            <w:tcW w:w="1800" w:type="dxa"/>
          </w:tcPr>
          <w:p w14:paraId="47FAFBA7"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Adult Non-Grad</w:t>
            </w:r>
          </w:p>
        </w:tc>
        <w:tc>
          <w:tcPr>
            <w:tcW w:w="1530" w:type="dxa"/>
          </w:tcPr>
          <w:p w14:paraId="029521CB"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Youth Group</w:t>
            </w:r>
          </w:p>
        </w:tc>
        <w:tc>
          <w:tcPr>
            <w:tcW w:w="1710" w:type="dxa"/>
          </w:tcPr>
          <w:p w14:paraId="2E3E2058"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Staff</w:t>
            </w:r>
          </w:p>
        </w:tc>
      </w:tr>
      <w:tr w:rsidR="00110329" w14:paraId="6E84E205" w14:textId="77777777" w:rsidTr="00110329">
        <w:tc>
          <w:tcPr>
            <w:tcW w:w="1705" w:type="dxa"/>
          </w:tcPr>
          <w:p w14:paraId="5C16A19E" w14:textId="77777777" w:rsidR="00110329" w:rsidRDefault="00110329" w:rsidP="00C57C9C">
            <w:pPr>
              <w:rPr>
                <w:rFonts w:asciiTheme="minorHAnsi" w:hAnsiTheme="minorHAnsi"/>
                <w:sz w:val="22"/>
                <w:szCs w:val="22"/>
              </w:rPr>
            </w:pPr>
            <w:r>
              <w:rPr>
                <w:rFonts w:asciiTheme="minorHAnsi" w:hAnsiTheme="minorHAnsi"/>
                <w:sz w:val="22"/>
                <w:szCs w:val="22"/>
              </w:rPr>
              <w:t>Average of Reported Values</w:t>
            </w:r>
          </w:p>
        </w:tc>
        <w:tc>
          <w:tcPr>
            <w:tcW w:w="1440" w:type="dxa"/>
          </w:tcPr>
          <w:p w14:paraId="6B430429" w14:textId="77777777" w:rsidR="00110329" w:rsidRDefault="00110329" w:rsidP="00C57C9C">
            <w:pPr>
              <w:rPr>
                <w:rFonts w:asciiTheme="minorHAnsi" w:hAnsiTheme="minorHAnsi"/>
                <w:sz w:val="22"/>
                <w:szCs w:val="22"/>
              </w:rPr>
            </w:pPr>
            <w:r>
              <w:rPr>
                <w:rFonts w:asciiTheme="minorHAnsi" w:hAnsiTheme="minorHAnsi"/>
                <w:sz w:val="22"/>
                <w:szCs w:val="22"/>
              </w:rPr>
              <w:t>43.8</w:t>
            </w:r>
          </w:p>
        </w:tc>
        <w:tc>
          <w:tcPr>
            <w:tcW w:w="1800" w:type="dxa"/>
          </w:tcPr>
          <w:p w14:paraId="050389F7" w14:textId="77777777" w:rsidR="00110329" w:rsidRDefault="00110329" w:rsidP="00C57C9C">
            <w:pPr>
              <w:rPr>
                <w:rFonts w:asciiTheme="minorHAnsi" w:hAnsiTheme="minorHAnsi"/>
                <w:sz w:val="22"/>
                <w:szCs w:val="22"/>
              </w:rPr>
            </w:pPr>
            <w:r>
              <w:rPr>
                <w:rFonts w:asciiTheme="minorHAnsi" w:hAnsiTheme="minorHAnsi"/>
                <w:sz w:val="22"/>
                <w:szCs w:val="22"/>
              </w:rPr>
              <w:t>22.6</w:t>
            </w:r>
          </w:p>
        </w:tc>
        <w:tc>
          <w:tcPr>
            <w:tcW w:w="1530" w:type="dxa"/>
          </w:tcPr>
          <w:p w14:paraId="73D07FF3" w14:textId="77777777" w:rsidR="00110329" w:rsidRDefault="00110329" w:rsidP="00C57C9C">
            <w:pPr>
              <w:rPr>
                <w:rFonts w:asciiTheme="minorHAnsi" w:hAnsiTheme="minorHAnsi"/>
                <w:sz w:val="22"/>
                <w:szCs w:val="22"/>
              </w:rPr>
            </w:pPr>
            <w:r>
              <w:rPr>
                <w:rFonts w:asciiTheme="minorHAnsi" w:hAnsiTheme="minorHAnsi"/>
                <w:sz w:val="22"/>
                <w:szCs w:val="22"/>
              </w:rPr>
              <w:t>42.2</w:t>
            </w:r>
          </w:p>
        </w:tc>
        <w:tc>
          <w:tcPr>
            <w:tcW w:w="1710" w:type="dxa"/>
          </w:tcPr>
          <w:p w14:paraId="20C98876" w14:textId="77777777" w:rsidR="00110329" w:rsidRDefault="00110329" w:rsidP="00C57C9C">
            <w:pPr>
              <w:rPr>
                <w:rFonts w:asciiTheme="minorHAnsi" w:hAnsiTheme="minorHAnsi"/>
                <w:sz w:val="22"/>
                <w:szCs w:val="22"/>
              </w:rPr>
            </w:pPr>
            <w:r>
              <w:rPr>
                <w:rFonts w:asciiTheme="minorHAnsi" w:hAnsiTheme="minorHAnsi"/>
                <w:sz w:val="22"/>
                <w:szCs w:val="22"/>
              </w:rPr>
              <w:t>24.6</w:t>
            </w:r>
          </w:p>
        </w:tc>
      </w:tr>
      <w:tr w:rsidR="00110329" w14:paraId="075BE47C" w14:textId="77777777" w:rsidTr="00110329">
        <w:tc>
          <w:tcPr>
            <w:tcW w:w="1705" w:type="dxa"/>
          </w:tcPr>
          <w:p w14:paraId="7ADFBAC5" w14:textId="77777777" w:rsidR="00110329" w:rsidRDefault="00110329" w:rsidP="00C57C9C">
            <w:pPr>
              <w:rPr>
                <w:rFonts w:asciiTheme="minorHAnsi" w:hAnsiTheme="minorHAnsi"/>
                <w:sz w:val="22"/>
                <w:szCs w:val="22"/>
              </w:rPr>
            </w:pPr>
            <w:r>
              <w:rPr>
                <w:rFonts w:asciiTheme="minorHAnsi" w:hAnsiTheme="minorHAnsi"/>
                <w:sz w:val="22"/>
                <w:szCs w:val="22"/>
              </w:rPr>
              <w:t>Multiplier</w:t>
            </w:r>
          </w:p>
        </w:tc>
        <w:tc>
          <w:tcPr>
            <w:tcW w:w="1440" w:type="dxa"/>
          </w:tcPr>
          <w:p w14:paraId="740D1990" w14:textId="77777777" w:rsidR="00110329" w:rsidRDefault="00110329" w:rsidP="00C57C9C">
            <w:pPr>
              <w:rPr>
                <w:rFonts w:asciiTheme="minorHAnsi" w:hAnsiTheme="minorHAnsi"/>
                <w:sz w:val="22"/>
                <w:szCs w:val="22"/>
              </w:rPr>
            </w:pPr>
            <w:r>
              <w:rPr>
                <w:rFonts w:asciiTheme="minorHAnsi" w:hAnsiTheme="minorHAnsi"/>
                <w:sz w:val="22"/>
                <w:szCs w:val="22"/>
              </w:rPr>
              <w:t>80,312 Adult Grads (FY14)</w:t>
            </w:r>
          </w:p>
        </w:tc>
        <w:tc>
          <w:tcPr>
            <w:tcW w:w="1800" w:type="dxa"/>
          </w:tcPr>
          <w:p w14:paraId="359AAF36" w14:textId="77777777" w:rsidR="00110329" w:rsidRDefault="00110329" w:rsidP="00C57C9C">
            <w:pPr>
              <w:rPr>
                <w:rFonts w:asciiTheme="minorHAnsi" w:hAnsiTheme="minorHAnsi"/>
                <w:sz w:val="22"/>
                <w:szCs w:val="22"/>
              </w:rPr>
            </w:pPr>
            <w:r>
              <w:rPr>
                <w:rFonts w:asciiTheme="minorHAnsi" w:hAnsiTheme="minorHAnsi"/>
                <w:sz w:val="22"/>
                <w:szCs w:val="22"/>
              </w:rPr>
              <w:t>41,538 Adult Non-Grads (FY14)</w:t>
            </w:r>
          </w:p>
        </w:tc>
        <w:tc>
          <w:tcPr>
            <w:tcW w:w="1530" w:type="dxa"/>
          </w:tcPr>
          <w:p w14:paraId="0A4074E0" w14:textId="77777777" w:rsidR="00110329" w:rsidRDefault="00110329" w:rsidP="00C57C9C">
            <w:pPr>
              <w:rPr>
                <w:rFonts w:asciiTheme="minorHAnsi" w:hAnsiTheme="minorHAnsi"/>
                <w:sz w:val="22"/>
                <w:szCs w:val="22"/>
              </w:rPr>
            </w:pPr>
            <w:r>
              <w:rPr>
                <w:rFonts w:asciiTheme="minorHAnsi" w:hAnsiTheme="minorHAnsi"/>
                <w:sz w:val="22"/>
                <w:szCs w:val="22"/>
              </w:rPr>
              <w:t>15,882 Youth Groups (FY14)</w:t>
            </w:r>
          </w:p>
        </w:tc>
        <w:tc>
          <w:tcPr>
            <w:tcW w:w="1710" w:type="dxa"/>
          </w:tcPr>
          <w:p w14:paraId="65D06913" w14:textId="77777777" w:rsidR="00110329" w:rsidRDefault="00110329" w:rsidP="00C57C9C">
            <w:pPr>
              <w:rPr>
                <w:rFonts w:asciiTheme="minorHAnsi" w:hAnsiTheme="minorHAnsi"/>
                <w:sz w:val="22"/>
                <w:szCs w:val="22"/>
              </w:rPr>
            </w:pPr>
            <w:r>
              <w:rPr>
                <w:rFonts w:asciiTheme="minorHAnsi" w:hAnsiTheme="minorHAnsi"/>
                <w:sz w:val="22"/>
                <w:szCs w:val="22"/>
              </w:rPr>
              <w:t>75 universities</w:t>
            </w:r>
          </w:p>
        </w:tc>
      </w:tr>
      <w:tr w:rsidR="00110329" w14:paraId="3FDF6443" w14:textId="77777777" w:rsidTr="00110329">
        <w:tc>
          <w:tcPr>
            <w:tcW w:w="1705" w:type="dxa"/>
          </w:tcPr>
          <w:p w14:paraId="6B590FB5" w14:textId="77777777" w:rsidR="00110329" w:rsidRDefault="00110329" w:rsidP="00C57C9C">
            <w:pPr>
              <w:rPr>
                <w:rFonts w:asciiTheme="minorHAnsi" w:hAnsiTheme="minorHAnsi"/>
                <w:sz w:val="22"/>
                <w:szCs w:val="22"/>
              </w:rPr>
            </w:pPr>
            <w:r>
              <w:rPr>
                <w:rFonts w:asciiTheme="minorHAnsi" w:hAnsiTheme="minorHAnsi"/>
                <w:sz w:val="22"/>
                <w:szCs w:val="22"/>
              </w:rPr>
              <w:t>Burden</w:t>
            </w:r>
          </w:p>
        </w:tc>
        <w:tc>
          <w:tcPr>
            <w:tcW w:w="1440" w:type="dxa"/>
          </w:tcPr>
          <w:p w14:paraId="52BC8877" w14:textId="77777777" w:rsidR="00110329" w:rsidRDefault="00110329" w:rsidP="00C57C9C">
            <w:pPr>
              <w:rPr>
                <w:rFonts w:asciiTheme="minorHAnsi" w:hAnsiTheme="minorHAnsi"/>
                <w:sz w:val="22"/>
                <w:szCs w:val="22"/>
              </w:rPr>
            </w:pPr>
            <w:r>
              <w:rPr>
                <w:rFonts w:asciiTheme="minorHAnsi" w:hAnsiTheme="minorHAnsi"/>
                <w:sz w:val="22"/>
                <w:szCs w:val="22"/>
              </w:rPr>
              <w:t>3,517,665.6</w:t>
            </w:r>
          </w:p>
        </w:tc>
        <w:tc>
          <w:tcPr>
            <w:tcW w:w="1800" w:type="dxa"/>
          </w:tcPr>
          <w:p w14:paraId="25CC24DC" w14:textId="77777777" w:rsidR="00110329" w:rsidRDefault="00110329" w:rsidP="00C57C9C">
            <w:pPr>
              <w:rPr>
                <w:rFonts w:asciiTheme="minorHAnsi" w:hAnsiTheme="minorHAnsi"/>
                <w:sz w:val="22"/>
                <w:szCs w:val="22"/>
              </w:rPr>
            </w:pPr>
            <w:r>
              <w:rPr>
                <w:rFonts w:asciiTheme="minorHAnsi" w:hAnsiTheme="minorHAnsi"/>
                <w:sz w:val="22"/>
                <w:szCs w:val="22"/>
              </w:rPr>
              <w:t>938,758.8</w:t>
            </w:r>
          </w:p>
        </w:tc>
        <w:tc>
          <w:tcPr>
            <w:tcW w:w="1530" w:type="dxa"/>
          </w:tcPr>
          <w:p w14:paraId="23AEC76B" w14:textId="77777777" w:rsidR="00110329" w:rsidRDefault="00110329" w:rsidP="00C57C9C">
            <w:pPr>
              <w:rPr>
                <w:rFonts w:asciiTheme="minorHAnsi" w:hAnsiTheme="minorHAnsi"/>
                <w:sz w:val="22"/>
                <w:szCs w:val="22"/>
              </w:rPr>
            </w:pPr>
            <w:r>
              <w:rPr>
                <w:rFonts w:asciiTheme="minorHAnsi" w:hAnsiTheme="minorHAnsi"/>
                <w:sz w:val="22"/>
                <w:szCs w:val="22"/>
              </w:rPr>
              <w:t>670,220.4</w:t>
            </w:r>
          </w:p>
        </w:tc>
        <w:tc>
          <w:tcPr>
            <w:tcW w:w="1710" w:type="dxa"/>
          </w:tcPr>
          <w:p w14:paraId="03250FE5" w14:textId="77777777" w:rsidR="00110329" w:rsidRDefault="00110329" w:rsidP="00C57C9C">
            <w:pPr>
              <w:rPr>
                <w:rFonts w:asciiTheme="minorHAnsi" w:hAnsiTheme="minorHAnsi"/>
                <w:sz w:val="22"/>
                <w:szCs w:val="22"/>
              </w:rPr>
            </w:pPr>
            <w:r>
              <w:rPr>
                <w:rFonts w:asciiTheme="minorHAnsi" w:hAnsiTheme="minorHAnsi"/>
                <w:sz w:val="22"/>
                <w:szCs w:val="22"/>
              </w:rPr>
              <w:t>1845</w:t>
            </w:r>
          </w:p>
        </w:tc>
      </w:tr>
    </w:tbl>
    <w:p w14:paraId="78162E4A" w14:textId="77777777" w:rsidR="00110329" w:rsidRDefault="00110329" w:rsidP="00BD73B5">
      <w:pPr>
        <w:rPr>
          <w:rFonts w:asciiTheme="minorHAnsi" w:hAnsiTheme="minorHAnsi"/>
          <w:sz w:val="22"/>
          <w:szCs w:val="22"/>
        </w:rPr>
      </w:pPr>
    </w:p>
    <w:p w14:paraId="05FAB676" w14:textId="77777777" w:rsidR="00110329" w:rsidRPr="00110329" w:rsidRDefault="00110329" w:rsidP="00BD73B5">
      <w:pPr>
        <w:rPr>
          <w:rFonts w:asciiTheme="minorHAnsi" w:hAnsiTheme="minorHAnsi"/>
          <w:b/>
          <w:sz w:val="22"/>
          <w:szCs w:val="22"/>
        </w:rPr>
      </w:pPr>
      <w:r w:rsidRPr="00110329">
        <w:rPr>
          <w:rFonts w:asciiTheme="minorHAnsi" w:hAnsiTheme="minorHAnsi"/>
          <w:b/>
          <w:sz w:val="22"/>
          <w:szCs w:val="22"/>
        </w:rPr>
        <w:t>TOTAL REGIONAL BURDEN = 5,128,489.8 minutes / 60 minutes = 85,474.8 hours</w:t>
      </w:r>
    </w:p>
    <w:p w14:paraId="7E367DCB" w14:textId="77777777" w:rsidR="00110329" w:rsidRDefault="00110329" w:rsidP="00BD73B5">
      <w:pPr>
        <w:rPr>
          <w:rFonts w:asciiTheme="minorHAnsi" w:hAnsiTheme="minorHAnsi"/>
          <w:sz w:val="22"/>
          <w:szCs w:val="22"/>
        </w:rPr>
      </w:pPr>
    </w:p>
    <w:p w14:paraId="0B84C60B" w14:textId="77777777" w:rsidR="00110329" w:rsidRDefault="00110329" w:rsidP="00BD73B5">
      <w:pPr>
        <w:rPr>
          <w:rFonts w:asciiTheme="minorHAnsi" w:hAnsiTheme="minorHAnsi"/>
          <w:sz w:val="22"/>
          <w:szCs w:val="22"/>
        </w:rPr>
      </w:pPr>
      <w:r>
        <w:rPr>
          <w:rFonts w:asciiTheme="minorHAnsi" w:hAnsiTheme="minorHAnsi"/>
          <w:sz w:val="22"/>
          <w:szCs w:val="22"/>
        </w:rPr>
        <w:t xml:space="preserve">The survey also collected the total number of </w:t>
      </w:r>
      <w:r w:rsidR="00DE64A6">
        <w:rPr>
          <w:rFonts w:asciiTheme="minorHAnsi" w:hAnsiTheme="minorHAnsi"/>
          <w:sz w:val="22"/>
          <w:szCs w:val="22"/>
        </w:rPr>
        <w:t>minutes</w:t>
      </w:r>
      <w:r>
        <w:rPr>
          <w:rFonts w:asciiTheme="minorHAnsi" w:hAnsiTheme="minorHAnsi"/>
          <w:sz w:val="22"/>
          <w:szCs w:val="22"/>
        </w:rPr>
        <w:t xml:space="preserve"> it took institution level users to review the data, submit the data, prepare the program plan, submit the program plan, prepare the budget, and submit the budget.  These values were averaged and multiplied out by the total number of reporting institutions given that there is one submission per institution.</w:t>
      </w:r>
    </w:p>
    <w:p w14:paraId="7FAE39AE" w14:textId="77777777" w:rsidR="00110329" w:rsidRDefault="00110329" w:rsidP="00BD73B5">
      <w:pPr>
        <w:rPr>
          <w:rFonts w:asciiTheme="minorHAnsi" w:hAnsiTheme="minorHAnsi"/>
          <w:sz w:val="22"/>
          <w:szCs w:val="22"/>
        </w:rPr>
      </w:pPr>
    </w:p>
    <w:tbl>
      <w:tblPr>
        <w:tblStyle w:val="TableGrid"/>
        <w:tblW w:w="0" w:type="auto"/>
        <w:tblLook w:val="04A0" w:firstRow="1" w:lastRow="0" w:firstColumn="1" w:lastColumn="0" w:noHBand="0" w:noVBand="1"/>
      </w:tblPr>
      <w:tblGrid>
        <w:gridCol w:w="1235"/>
        <w:gridCol w:w="1240"/>
        <w:gridCol w:w="1323"/>
        <w:gridCol w:w="1240"/>
        <w:gridCol w:w="1323"/>
        <w:gridCol w:w="1240"/>
        <w:gridCol w:w="1255"/>
      </w:tblGrid>
      <w:tr w:rsidR="00110329" w14:paraId="3A692508" w14:textId="77777777" w:rsidTr="00110329">
        <w:tc>
          <w:tcPr>
            <w:tcW w:w="1313" w:type="dxa"/>
          </w:tcPr>
          <w:p w14:paraId="59E7D66C" w14:textId="77777777" w:rsidR="00110329" w:rsidRDefault="00110329" w:rsidP="00C57C9C">
            <w:pPr>
              <w:rPr>
                <w:rFonts w:asciiTheme="minorHAnsi" w:hAnsiTheme="minorHAnsi"/>
                <w:sz w:val="22"/>
                <w:szCs w:val="22"/>
              </w:rPr>
            </w:pPr>
          </w:p>
        </w:tc>
        <w:tc>
          <w:tcPr>
            <w:tcW w:w="1228" w:type="dxa"/>
          </w:tcPr>
          <w:p w14:paraId="2E19E426"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Data Review</w:t>
            </w:r>
          </w:p>
        </w:tc>
        <w:tc>
          <w:tcPr>
            <w:tcW w:w="1362" w:type="dxa"/>
          </w:tcPr>
          <w:p w14:paraId="32524366"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Data Submission</w:t>
            </w:r>
          </w:p>
        </w:tc>
        <w:tc>
          <w:tcPr>
            <w:tcW w:w="1144" w:type="dxa"/>
          </w:tcPr>
          <w:p w14:paraId="18F05F5F"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Plan Prep</w:t>
            </w:r>
          </w:p>
        </w:tc>
        <w:tc>
          <w:tcPr>
            <w:tcW w:w="1362" w:type="dxa"/>
          </w:tcPr>
          <w:p w14:paraId="588785A5"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Plan Submission</w:t>
            </w:r>
          </w:p>
        </w:tc>
        <w:tc>
          <w:tcPr>
            <w:tcW w:w="1226" w:type="dxa"/>
          </w:tcPr>
          <w:p w14:paraId="621EE561"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Budget Prep</w:t>
            </w:r>
          </w:p>
        </w:tc>
        <w:tc>
          <w:tcPr>
            <w:tcW w:w="995" w:type="dxa"/>
          </w:tcPr>
          <w:p w14:paraId="56529D4B" w14:textId="77777777" w:rsidR="00110329" w:rsidRPr="00110329" w:rsidRDefault="00110329" w:rsidP="00C57C9C">
            <w:pPr>
              <w:rPr>
                <w:rFonts w:asciiTheme="minorHAnsi" w:hAnsiTheme="minorHAnsi"/>
                <w:b/>
                <w:sz w:val="22"/>
                <w:szCs w:val="22"/>
              </w:rPr>
            </w:pPr>
            <w:r w:rsidRPr="00110329">
              <w:rPr>
                <w:rFonts w:asciiTheme="minorHAnsi" w:hAnsiTheme="minorHAnsi"/>
                <w:b/>
                <w:sz w:val="22"/>
                <w:szCs w:val="22"/>
              </w:rPr>
              <w:t>Budget Submission</w:t>
            </w:r>
          </w:p>
        </w:tc>
      </w:tr>
      <w:tr w:rsidR="00110329" w14:paraId="34190E1F" w14:textId="77777777" w:rsidTr="00110329">
        <w:tc>
          <w:tcPr>
            <w:tcW w:w="1313" w:type="dxa"/>
          </w:tcPr>
          <w:p w14:paraId="6EBE7520" w14:textId="77777777" w:rsidR="00110329" w:rsidRDefault="00110329" w:rsidP="00110329">
            <w:pPr>
              <w:rPr>
                <w:rFonts w:asciiTheme="minorHAnsi" w:hAnsiTheme="minorHAnsi"/>
                <w:sz w:val="22"/>
                <w:szCs w:val="22"/>
              </w:rPr>
            </w:pPr>
            <w:r>
              <w:rPr>
                <w:rFonts w:asciiTheme="minorHAnsi" w:hAnsiTheme="minorHAnsi"/>
                <w:sz w:val="22"/>
                <w:szCs w:val="22"/>
              </w:rPr>
              <w:t>Average of Reported Values</w:t>
            </w:r>
          </w:p>
        </w:tc>
        <w:tc>
          <w:tcPr>
            <w:tcW w:w="1228" w:type="dxa"/>
          </w:tcPr>
          <w:p w14:paraId="1BA048EF" w14:textId="77777777" w:rsidR="00110329" w:rsidRDefault="00110329" w:rsidP="00110329">
            <w:pPr>
              <w:rPr>
                <w:rFonts w:asciiTheme="minorHAnsi" w:hAnsiTheme="minorHAnsi"/>
                <w:sz w:val="22"/>
                <w:szCs w:val="22"/>
              </w:rPr>
            </w:pPr>
            <w:r>
              <w:rPr>
                <w:rFonts w:asciiTheme="minorHAnsi" w:hAnsiTheme="minorHAnsi"/>
                <w:sz w:val="22"/>
                <w:szCs w:val="22"/>
              </w:rPr>
              <w:t>330</w:t>
            </w:r>
          </w:p>
        </w:tc>
        <w:tc>
          <w:tcPr>
            <w:tcW w:w="1362" w:type="dxa"/>
          </w:tcPr>
          <w:p w14:paraId="6F1AB97C" w14:textId="77777777" w:rsidR="00110329" w:rsidRDefault="00110329" w:rsidP="00110329">
            <w:pPr>
              <w:rPr>
                <w:rFonts w:asciiTheme="minorHAnsi" w:hAnsiTheme="minorHAnsi"/>
                <w:sz w:val="22"/>
                <w:szCs w:val="22"/>
              </w:rPr>
            </w:pPr>
            <w:r>
              <w:rPr>
                <w:rFonts w:asciiTheme="minorHAnsi" w:hAnsiTheme="minorHAnsi"/>
                <w:sz w:val="22"/>
                <w:szCs w:val="22"/>
              </w:rPr>
              <w:t>7.1</w:t>
            </w:r>
          </w:p>
        </w:tc>
        <w:tc>
          <w:tcPr>
            <w:tcW w:w="1144" w:type="dxa"/>
          </w:tcPr>
          <w:p w14:paraId="6F4AC0E1" w14:textId="77777777" w:rsidR="00110329" w:rsidRDefault="00110329" w:rsidP="00110329">
            <w:pPr>
              <w:rPr>
                <w:rFonts w:asciiTheme="minorHAnsi" w:hAnsiTheme="minorHAnsi"/>
                <w:sz w:val="22"/>
                <w:szCs w:val="22"/>
              </w:rPr>
            </w:pPr>
            <w:r>
              <w:rPr>
                <w:rFonts w:asciiTheme="minorHAnsi" w:hAnsiTheme="minorHAnsi"/>
                <w:sz w:val="22"/>
                <w:szCs w:val="22"/>
              </w:rPr>
              <w:t>344.2</w:t>
            </w:r>
          </w:p>
        </w:tc>
        <w:tc>
          <w:tcPr>
            <w:tcW w:w="1362" w:type="dxa"/>
          </w:tcPr>
          <w:p w14:paraId="21D67B3D" w14:textId="77777777" w:rsidR="00110329" w:rsidRDefault="00110329" w:rsidP="00110329">
            <w:pPr>
              <w:rPr>
                <w:rFonts w:asciiTheme="minorHAnsi" w:hAnsiTheme="minorHAnsi"/>
                <w:sz w:val="22"/>
                <w:szCs w:val="22"/>
              </w:rPr>
            </w:pPr>
            <w:r>
              <w:rPr>
                <w:rFonts w:asciiTheme="minorHAnsi" w:hAnsiTheme="minorHAnsi"/>
                <w:sz w:val="22"/>
                <w:szCs w:val="22"/>
              </w:rPr>
              <w:t>30.6</w:t>
            </w:r>
          </w:p>
        </w:tc>
        <w:tc>
          <w:tcPr>
            <w:tcW w:w="1226" w:type="dxa"/>
          </w:tcPr>
          <w:p w14:paraId="3C42A49C" w14:textId="77777777" w:rsidR="00110329" w:rsidRDefault="00110329" w:rsidP="00110329">
            <w:pPr>
              <w:rPr>
                <w:rFonts w:asciiTheme="minorHAnsi" w:hAnsiTheme="minorHAnsi"/>
                <w:sz w:val="22"/>
                <w:szCs w:val="22"/>
              </w:rPr>
            </w:pPr>
            <w:r>
              <w:rPr>
                <w:rFonts w:asciiTheme="minorHAnsi" w:hAnsiTheme="minorHAnsi"/>
                <w:sz w:val="22"/>
                <w:szCs w:val="22"/>
              </w:rPr>
              <w:t>299.3</w:t>
            </w:r>
          </w:p>
        </w:tc>
        <w:tc>
          <w:tcPr>
            <w:tcW w:w="995" w:type="dxa"/>
          </w:tcPr>
          <w:p w14:paraId="63B1B928" w14:textId="77777777" w:rsidR="00110329" w:rsidRDefault="00110329" w:rsidP="00110329">
            <w:pPr>
              <w:rPr>
                <w:rFonts w:asciiTheme="minorHAnsi" w:hAnsiTheme="minorHAnsi"/>
                <w:sz w:val="22"/>
                <w:szCs w:val="22"/>
              </w:rPr>
            </w:pPr>
            <w:r>
              <w:rPr>
                <w:rFonts w:asciiTheme="minorHAnsi" w:hAnsiTheme="minorHAnsi"/>
                <w:sz w:val="22"/>
                <w:szCs w:val="22"/>
              </w:rPr>
              <w:t>69.7</w:t>
            </w:r>
          </w:p>
        </w:tc>
      </w:tr>
      <w:tr w:rsidR="00110329" w14:paraId="6FBC4F25" w14:textId="77777777" w:rsidTr="00110329">
        <w:tc>
          <w:tcPr>
            <w:tcW w:w="1313" w:type="dxa"/>
          </w:tcPr>
          <w:p w14:paraId="403F85E4" w14:textId="77777777" w:rsidR="00110329" w:rsidRDefault="00110329" w:rsidP="00110329">
            <w:pPr>
              <w:rPr>
                <w:rFonts w:asciiTheme="minorHAnsi" w:hAnsiTheme="minorHAnsi"/>
                <w:sz w:val="22"/>
                <w:szCs w:val="22"/>
              </w:rPr>
            </w:pPr>
            <w:r>
              <w:rPr>
                <w:rFonts w:asciiTheme="minorHAnsi" w:hAnsiTheme="minorHAnsi"/>
                <w:sz w:val="22"/>
                <w:szCs w:val="22"/>
              </w:rPr>
              <w:t>Multiplier</w:t>
            </w:r>
          </w:p>
        </w:tc>
        <w:tc>
          <w:tcPr>
            <w:tcW w:w="1228" w:type="dxa"/>
          </w:tcPr>
          <w:p w14:paraId="6000525E" w14:textId="77777777" w:rsidR="00110329" w:rsidRDefault="00110329" w:rsidP="00110329">
            <w:pPr>
              <w:rPr>
                <w:rFonts w:asciiTheme="minorHAnsi" w:hAnsiTheme="minorHAnsi"/>
                <w:sz w:val="22"/>
                <w:szCs w:val="22"/>
              </w:rPr>
            </w:pPr>
            <w:r>
              <w:rPr>
                <w:rFonts w:asciiTheme="minorHAnsi" w:hAnsiTheme="minorHAnsi"/>
                <w:sz w:val="22"/>
                <w:szCs w:val="22"/>
              </w:rPr>
              <w:t>75 universities</w:t>
            </w:r>
          </w:p>
        </w:tc>
        <w:tc>
          <w:tcPr>
            <w:tcW w:w="1362" w:type="dxa"/>
          </w:tcPr>
          <w:p w14:paraId="0764D87D" w14:textId="77777777" w:rsidR="00110329" w:rsidRDefault="00110329" w:rsidP="00110329">
            <w:pPr>
              <w:rPr>
                <w:rFonts w:asciiTheme="minorHAnsi" w:hAnsiTheme="minorHAnsi"/>
                <w:sz w:val="22"/>
                <w:szCs w:val="22"/>
              </w:rPr>
            </w:pPr>
            <w:r>
              <w:rPr>
                <w:rFonts w:asciiTheme="minorHAnsi" w:hAnsiTheme="minorHAnsi"/>
                <w:sz w:val="22"/>
                <w:szCs w:val="22"/>
              </w:rPr>
              <w:t>75 universities</w:t>
            </w:r>
          </w:p>
        </w:tc>
        <w:tc>
          <w:tcPr>
            <w:tcW w:w="1144" w:type="dxa"/>
          </w:tcPr>
          <w:p w14:paraId="42D1DBF2" w14:textId="77777777" w:rsidR="00110329" w:rsidRDefault="00110329" w:rsidP="00110329">
            <w:pPr>
              <w:rPr>
                <w:rFonts w:asciiTheme="minorHAnsi" w:hAnsiTheme="minorHAnsi"/>
                <w:sz w:val="22"/>
                <w:szCs w:val="22"/>
              </w:rPr>
            </w:pPr>
            <w:r>
              <w:rPr>
                <w:rFonts w:asciiTheme="minorHAnsi" w:hAnsiTheme="minorHAnsi"/>
                <w:sz w:val="22"/>
                <w:szCs w:val="22"/>
              </w:rPr>
              <w:t>75 universities</w:t>
            </w:r>
          </w:p>
        </w:tc>
        <w:tc>
          <w:tcPr>
            <w:tcW w:w="1362" w:type="dxa"/>
          </w:tcPr>
          <w:p w14:paraId="07EFB706" w14:textId="77777777" w:rsidR="00110329" w:rsidRDefault="00110329" w:rsidP="00110329">
            <w:pPr>
              <w:rPr>
                <w:rFonts w:asciiTheme="minorHAnsi" w:hAnsiTheme="minorHAnsi"/>
                <w:sz w:val="22"/>
                <w:szCs w:val="22"/>
              </w:rPr>
            </w:pPr>
            <w:r>
              <w:rPr>
                <w:rFonts w:asciiTheme="minorHAnsi" w:hAnsiTheme="minorHAnsi"/>
                <w:sz w:val="22"/>
                <w:szCs w:val="22"/>
              </w:rPr>
              <w:t>75 universities</w:t>
            </w:r>
          </w:p>
        </w:tc>
        <w:tc>
          <w:tcPr>
            <w:tcW w:w="1226" w:type="dxa"/>
          </w:tcPr>
          <w:p w14:paraId="124D0812" w14:textId="77777777" w:rsidR="00110329" w:rsidRDefault="00110329" w:rsidP="00110329">
            <w:pPr>
              <w:rPr>
                <w:rFonts w:asciiTheme="minorHAnsi" w:hAnsiTheme="minorHAnsi"/>
                <w:sz w:val="22"/>
                <w:szCs w:val="22"/>
              </w:rPr>
            </w:pPr>
            <w:r>
              <w:rPr>
                <w:rFonts w:asciiTheme="minorHAnsi" w:hAnsiTheme="minorHAnsi"/>
                <w:sz w:val="22"/>
                <w:szCs w:val="22"/>
              </w:rPr>
              <w:t>75 universities</w:t>
            </w:r>
          </w:p>
        </w:tc>
        <w:tc>
          <w:tcPr>
            <w:tcW w:w="995" w:type="dxa"/>
          </w:tcPr>
          <w:p w14:paraId="303B586E" w14:textId="77777777" w:rsidR="00110329" w:rsidRDefault="00110329" w:rsidP="00110329">
            <w:pPr>
              <w:rPr>
                <w:rFonts w:asciiTheme="minorHAnsi" w:hAnsiTheme="minorHAnsi"/>
                <w:sz w:val="22"/>
                <w:szCs w:val="22"/>
              </w:rPr>
            </w:pPr>
            <w:r>
              <w:rPr>
                <w:rFonts w:asciiTheme="minorHAnsi" w:hAnsiTheme="minorHAnsi"/>
                <w:sz w:val="22"/>
                <w:szCs w:val="22"/>
              </w:rPr>
              <w:t>75 universities</w:t>
            </w:r>
          </w:p>
        </w:tc>
      </w:tr>
      <w:tr w:rsidR="00110329" w14:paraId="2AE9D2B6" w14:textId="77777777" w:rsidTr="00110329">
        <w:tc>
          <w:tcPr>
            <w:tcW w:w="1313" w:type="dxa"/>
          </w:tcPr>
          <w:p w14:paraId="263540D2" w14:textId="77777777" w:rsidR="00110329" w:rsidRDefault="00110329" w:rsidP="00110329">
            <w:pPr>
              <w:rPr>
                <w:rFonts w:asciiTheme="minorHAnsi" w:hAnsiTheme="minorHAnsi"/>
                <w:sz w:val="22"/>
                <w:szCs w:val="22"/>
              </w:rPr>
            </w:pPr>
            <w:r>
              <w:rPr>
                <w:rFonts w:asciiTheme="minorHAnsi" w:hAnsiTheme="minorHAnsi"/>
                <w:sz w:val="22"/>
                <w:szCs w:val="22"/>
              </w:rPr>
              <w:t>Burden</w:t>
            </w:r>
          </w:p>
        </w:tc>
        <w:tc>
          <w:tcPr>
            <w:tcW w:w="1228" w:type="dxa"/>
          </w:tcPr>
          <w:p w14:paraId="64046DDC" w14:textId="77777777" w:rsidR="00110329" w:rsidRDefault="00110329" w:rsidP="00110329">
            <w:pPr>
              <w:rPr>
                <w:rFonts w:asciiTheme="minorHAnsi" w:hAnsiTheme="minorHAnsi"/>
                <w:sz w:val="22"/>
                <w:szCs w:val="22"/>
              </w:rPr>
            </w:pPr>
            <w:r>
              <w:rPr>
                <w:rFonts w:asciiTheme="minorHAnsi" w:hAnsiTheme="minorHAnsi"/>
                <w:sz w:val="22"/>
                <w:szCs w:val="22"/>
              </w:rPr>
              <w:t>24,750</w:t>
            </w:r>
          </w:p>
        </w:tc>
        <w:tc>
          <w:tcPr>
            <w:tcW w:w="1362" w:type="dxa"/>
          </w:tcPr>
          <w:p w14:paraId="18F78C42" w14:textId="77777777" w:rsidR="00110329" w:rsidRDefault="00110329" w:rsidP="00110329">
            <w:pPr>
              <w:rPr>
                <w:rFonts w:asciiTheme="minorHAnsi" w:hAnsiTheme="minorHAnsi"/>
                <w:sz w:val="22"/>
                <w:szCs w:val="22"/>
              </w:rPr>
            </w:pPr>
            <w:r>
              <w:rPr>
                <w:rFonts w:asciiTheme="minorHAnsi" w:hAnsiTheme="minorHAnsi"/>
                <w:sz w:val="22"/>
                <w:szCs w:val="22"/>
              </w:rPr>
              <w:t>532.5</w:t>
            </w:r>
          </w:p>
        </w:tc>
        <w:tc>
          <w:tcPr>
            <w:tcW w:w="1144" w:type="dxa"/>
          </w:tcPr>
          <w:p w14:paraId="6BCC72B3" w14:textId="77777777" w:rsidR="00110329" w:rsidRDefault="00110329" w:rsidP="00110329">
            <w:pPr>
              <w:rPr>
                <w:rFonts w:asciiTheme="minorHAnsi" w:hAnsiTheme="minorHAnsi"/>
                <w:sz w:val="22"/>
                <w:szCs w:val="22"/>
              </w:rPr>
            </w:pPr>
            <w:r>
              <w:rPr>
                <w:rFonts w:asciiTheme="minorHAnsi" w:hAnsiTheme="minorHAnsi"/>
                <w:sz w:val="22"/>
                <w:szCs w:val="22"/>
              </w:rPr>
              <w:t>25,815</w:t>
            </w:r>
          </w:p>
        </w:tc>
        <w:tc>
          <w:tcPr>
            <w:tcW w:w="1362" w:type="dxa"/>
          </w:tcPr>
          <w:p w14:paraId="1D593C1C" w14:textId="77777777" w:rsidR="00110329" w:rsidRDefault="00110329" w:rsidP="00110329">
            <w:pPr>
              <w:rPr>
                <w:rFonts w:asciiTheme="minorHAnsi" w:hAnsiTheme="minorHAnsi"/>
                <w:sz w:val="22"/>
                <w:szCs w:val="22"/>
              </w:rPr>
            </w:pPr>
            <w:r>
              <w:rPr>
                <w:rFonts w:asciiTheme="minorHAnsi" w:hAnsiTheme="minorHAnsi"/>
                <w:sz w:val="22"/>
                <w:szCs w:val="22"/>
              </w:rPr>
              <w:t>2292.9</w:t>
            </w:r>
          </w:p>
        </w:tc>
        <w:tc>
          <w:tcPr>
            <w:tcW w:w="1226" w:type="dxa"/>
          </w:tcPr>
          <w:p w14:paraId="0363B40D" w14:textId="77777777" w:rsidR="00110329" w:rsidRDefault="00110329" w:rsidP="00110329">
            <w:pPr>
              <w:rPr>
                <w:rFonts w:asciiTheme="minorHAnsi" w:hAnsiTheme="minorHAnsi"/>
                <w:sz w:val="22"/>
                <w:szCs w:val="22"/>
              </w:rPr>
            </w:pPr>
            <w:r>
              <w:rPr>
                <w:rFonts w:asciiTheme="minorHAnsi" w:hAnsiTheme="minorHAnsi"/>
                <w:sz w:val="22"/>
                <w:szCs w:val="22"/>
              </w:rPr>
              <w:t>22446.4</w:t>
            </w:r>
          </w:p>
        </w:tc>
        <w:tc>
          <w:tcPr>
            <w:tcW w:w="995" w:type="dxa"/>
          </w:tcPr>
          <w:p w14:paraId="22FEFAD7" w14:textId="77777777" w:rsidR="00110329" w:rsidRDefault="00110329" w:rsidP="00110329">
            <w:pPr>
              <w:rPr>
                <w:rFonts w:asciiTheme="minorHAnsi" w:hAnsiTheme="minorHAnsi"/>
                <w:sz w:val="22"/>
                <w:szCs w:val="22"/>
              </w:rPr>
            </w:pPr>
            <w:r>
              <w:rPr>
                <w:rFonts w:asciiTheme="minorHAnsi" w:hAnsiTheme="minorHAnsi"/>
                <w:sz w:val="22"/>
                <w:szCs w:val="22"/>
              </w:rPr>
              <w:t>5228.6</w:t>
            </w:r>
          </w:p>
        </w:tc>
      </w:tr>
    </w:tbl>
    <w:p w14:paraId="67456A54" w14:textId="77777777" w:rsidR="00110329" w:rsidRDefault="00110329" w:rsidP="00BD73B5">
      <w:pPr>
        <w:rPr>
          <w:rFonts w:asciiTheme="minorHAnsi" w:hAnsiTheme="minorHAnsi"/>
          <w:sz w:val="22"/>
          <w:szCs w:val="22"/>
        </w:rPr>
      </w:pPr>
    </w:p>
    <w:p w14:paraId="6D0D0D07" w14:textId="77777777" w:rsidR="00110329" w:rsidRPr="00110329" w:rsidRDefault="00110329" w:rsidP="00110329">
      <w:pPr>
        <w:rPr>
          <w:rFonts w:asciiTheme="minorHAnsi" w:hAnsiTheme="minorHAnsi"/>
          <w:b/>
          <w:sz w:val="22"/>
          <w:szCs w:val="22"/>
        </w:rPr>
      </w:pPr>
      <w:r w:rsidRPr="00110329">
        <w:rPr>
          <w:rFonts w:asciiTheme="minorHAnsi" w:hAnsiTheme="minorHAnsi"/>
          <w:b/>
          <w:sz w:val="22"/>
          <w:szCs w:val="22"/>
        </w:rPr>
        <w:t xml:space="preserve">TOTAL </w:t>
      </w:r>
      <w:r>
        <w:rPr>
          <w:rFonts w:asciiTheme="minorHAnsi" w:hAnsiTheme="minorHAnsi"/>
          <w:b/>
          <w:sz w:val="22"/>
          <w:szCs w:val="22"/>
        </w:rPr>
        <w:t>INSTITUTION</w:t>
      </w:r>
      <w:r w:rsidRPr="00110329">
        <w:rPr>
          <w:rFonts w:asciiTheme="minorHAnsi" w:hAnsiTheme="minorHAnsi"/>
          <w:b/>
          <w:sz w:val="22"/>
          <w:szCs w:val="22"/>
        </w:rPr>
        <w:t xml:space="preserve"> BURDEN = </w:t>
      </w:r>
      <w:r w:rsidR="00DE64A6">
        <w:rPr>
          <w:rFonts w:asciiTheme="minorHAnsi" w:hAnsiTheme="minorHAnsi"/>
          <w:b/>
          <w:sz w:val="22"/>
          <w:szCs w:val="22"/>
        </w:rPr>
        <w:t>81,065.4</w:t>
      </w:r>
      <w:r>
        <w:rPr>
          <w:rFonts w:asciiTheme="minorHAnsi" w:hAnsiTheme="minorHAnsi"/>
          <w:b/>
          <w:sz w:val="22"/>
          <w:szCs w:val="22"/>
        </w:rPr>
        <w:t xml:space="preserve"> </w:t>
      </w:r>
      <w:r w:rsidRPr="00110329">
        <w:rPr>
          <w:rFonts w:asciiTheme="minorHAnsi" w:hAnsiTheme="minorHAnsi"/>
          <w:b/>
          <w:sz w:val="22"/>
          <w:szCs w:val="22"/>
        </w:rPr>
        <w:t xml:space="preserve">minutes / 60 minutes = </w:t>
      </w:r>
      <w:r w:rsidR="00DE64A6">
        <w:rPr>
          <w:rFonts w:asciiTheme="minorHAnsi" w:hAnsiTheme="minorHAnsi"/>
          <w:b/>
          <w:sz w:val="22"/>
          <w:szCs w:val="22"/>
        </w:rPr>
        <w:t>1,351.09</w:t>
      </w:r>
      <w:r w:rsidRPr="00110329">
        <w:rPr>
          <w:rFonts w:asciiTheme="minorHAnsi" w:hAnsiTheme="minorHAnsi"/>
          <w:b/>
          <w:sz w:val="22"/>
          <w:szCs w:val="22"/>
        </w:rPr>
        <w:t xml:space="preserve"> hours</w:t>
      </w:r>
    </w:p>
    <w:p w14:paraId="28B9B0B1" w14:textId="77777777" w:rsidR="00110329" w:rsidRDefault="00110329" w:rsidP="00BD73B5">
      <w:pPr>
        <w:rPr>
          <w:rFonts w:asciiTheme="minorHAnsi" w:hAnsiTheme="minorHAnsi"/>
          <w:sz w:val="22"/>
          <w:szCs w:val="22"/>
        </w:rPr>
      </w:pPr>
    </w:p>
    <w:p w14:paraId="76BC468C" w14:textId="77777777" w:rsidR="00110329" w:rsidRDefault="00110329" w:rsidP="00BD73B5">
      <w:pPr>
        <w:rPr>
          <w:rFonts w:asciiTheme="minorHAnsi" w:hAnsiTheme="minorHAnsi"/>
          <w:sz w:val="22"/>
          <w:szCs w:val="22"/>
        </w:rPr>
      </w:pPr>
    </w:p>
    <w:p w14:paraId="2FEB574E" w14:textId="77777777" w:rsidR="00110329" w:rsidRPr="00E47E0B" w:rsidRDefault="00110329" w:rsidP="00BD73B5">
      <w:pPr>
        <w:rPr>
          <w:rFonts w:asciiTheme="minorHAnsi" w:hAnsiTheme="minorHAnsi"/>
          <w:sz w:val="22"/>
          <w:szCs w:val="22"/>
        </w:rPr>
      </w:pPr>
      <w:r>
        <w:rPr>
          <w:rFonts w:asciiTheme="minorHAnsi" w:hAnsiTheme="minorHAnsi"/>
          <w:sz w:val="22"/>
          <w:szCs w:val="22"/>
        </w:rPr>
        <w:lastRenderedPageBreak/>
        <w:t>Regional and Institution level figures were added together to determine the total annual burden and divided by the total number of respondents (75) to estimate the number of hours per response.</w:t>
      </w:r>
    </w:p>
    <w:p w14:paraId="72811B48" w14:textId="77777777" w:rsidR="00DE64A6" w:rsidRDefault="00DE64A6" w:rsidP="00BD73B5">
      <w:pPr>
        <w:rPr>
          <w:rFonts w:asciiTheme="minorHAnsi" w:hAnsiTheme="minorHAnsi"/>
          <w:sz w:val="22"/>
          <w:szCs w:val="22"/>
        </w:rPr>
      </w:pPr>
    </w:p>
    <w:p w14:paraId="5E009217" w14:textId="7B2CBBA7" w:rsidR="00BD73B5" w:rsidRPr="00E47E0B" w:rsidRDefault="00DE64A6" w:rsidP="00BD73B5">
      <w:pPr>
        <w:rPr>
          <w:rFonts w:asciiTheme="minorHAnsi" w:hAnsiTheme="minorHAnsi"/>
          <w:sz w:val="22"/>
          <w:szCs w:val="22"/>
        </w:rPr>
      </w:pPr>
      <w:r>
        <w:rPr>
          <w:rFonts w:asciiTheme="minorHAnsi" w:hAnsiTheme="minorHAnsi"/>
          <w:sz w:val="22"/>
          <w:szCs w:val="22"/>
        </w:rPr>
        <w:t>This d</w:t>
      </w:r>
      <w:r w:rsidRPr="00DE64A6">
        <w:rPr>
          <w:rFonts w:asciiTheme="minorHAnsi" w:hAnsiTheme="minorHAnsi"/>
          <w:sz w:val="22"/>
          <w:szCs w:val="22"/>
        </w:rPr>
        <w:t>ata reveals that the new Web-Based Nutrition Education Evaluation and Reporting System (WebNEERS) reduced overall time burden for grantees by 7% (~6400 hours) from that of the previous system</w:t>
      </w:r>
      <w:r>
        <w:rPr>
          <w:rFonts w:asciiTheme="minorHAnsi" w:hAnsiTheme="minorHAnsi"/>
          <w:sz w:val="22"/>
          <w:szCs w:val="22"/>
        </w:rPr>
        <w:t>.  This is particularly impressive because</w:t>
      </w:r>
      <w:r w:rsidRPr="00DE64A6">
        <w:rPr>
          <w:rFonts w:asciiTheme="minorHAnsi" w:hAnsiTheme="minorHAnsi"/>
          <w:sz w:val="22"/>
          <w:szCs w:val="22"/>
        </w:rPr>
        <w:t xml:space="preserve"> WebNEERS includes two entirely new sections: the EFNEP Program Plan and the EFNEP Budget/Justification.  So, even with the inclusion of these reporting requirements (previously submitted as attachments through Grants.gov and via email) universit</w:t>
      </w:r>
      <w:r w:rsidR="00175931">
        <w:rPr>
          <w:rFonts w:asciiTheme="minorHAnsi" w:hAnsiTheme="minorHAnsi"/>
          <w:sz w:val="22"/>
          <w:szCs w:val="22"/>
        </w:rPr>
        <w:t xml:space="preserve">ies are saving time and money. </w:t>
      </w:r>
    </w:p>
    <w:sectPr w:rsidR="00BD73B5" w:rsidRPr="00E47E0B" w:rsidSect="000F420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7E699" w14:textId="77777777" w:rsidR="00566901" w:rsidRDefault="00566901">
      <w:r>
        <w:separator/>
      </w:r>
    </w:p>
  </w:endnote>
  <w:endnote w:type="continuationSeparator" w:id="0">
    <w:p w14:paraId="3033E82C" w14:textId="77777777" w:rsidR="00566901" w:rsidRDefault="0056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7F52A" w14:textId="119B9CAD" w:rsidR="0037619C" w:rsidRDefault="0037619C">
    <w:pPr>
      <w:framePr w:wrap="notBeside" w:hAnchor="text" w:xAlign="center"/>
      <w:rPr>
        <w:sz w:val="24"/>
        <w:szCs w:val="24"/>
      </w:rPr>
    </w:pPr>
    <w:r>
      <w:rPr>
        <w:sz w:val="24"/>
        <w:szCs w:val="24"/>
      </w:rPr>
      <w:t>Page -</w:t>
    </w:r>
    <w:r>
      <w:rPr>
        <w:sz w:val="24"/>
        <w:szCs w:val="24"/>
      </w:rPr>
      <w:fldChar w:fldCharType="begin"/>
    </w:r>
    <w:r>
      <w:rPr>
        <w:sz w:val="24"/>
        <w:szCs w:val="24"/>
      </w:rPr>
      <w:instrText xml:space="preserve"> PAGE  </w:instrText>
    </w:r>
    <w:r>
      <w:rPr>
        <w:sz w:val="24"/>
        <w:szCs w:val="24"/>
      </w:rPr>
      <w:fldChar w:fldCharType="separate"/>
    </w:r>
    <w:r w:rsidR="00F7345C">
      <w:rPr>
        <w:noProof/>
        <w:sz w:val="24"/>
        <w:szCs w:val="24"/>
      </w:rPr>
      <w:t>1</w:t>
    </w:r>
    <w:r>
      <w:rPr>
        <w:sz w:val="24"/>
        <w:szCs w:val="24"/>
      </w:rPr>
      <w:fldChar w:fldCharType="end"/>
    </w:r>
    <w:r>
      <w:rPr>
        <w:sz w:val="24"/>
        <w:szCs w:val="24"/>
      </w:rPr>
      <w:t>-</w:t>
    </w:r>
  </w:p>
  <w:p w14:paraId="649555C0" w14:textId="77777777" w:rsidR="0037619C" w:rsidRDefault="0037619C">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455EB" w14:textId="77777777" w:rsidR="00566901" w:rsidRDefault="00566901">
      <w:r>
        <w:separator/>
      </w:r>
    </w:p>
  </w:footnote>
  <w:footnote w:type="continuationSeparator" w:id="0">
    <w:p w14:paraId="1FBF91F1" w14:textId="77777777" w:rsidR="00566901" w:rsidRDefault="00566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72E7CA"/>
    <w:lvl w:ilvl="0">
      <w:numFmt w:val="bullet"/>
      <w:lvlText w:val="*"/>
      <w:lvlJc w:val="left"/>
    </w:lvl>
  </w:abstractNum>
  <w:abstractNum w:abstractNumId="1">
    <w:nsid w:val="011C3A52"/>
    <w:multiLevelType w:val="hybridMultilevel"/>
    <w:tmpl w:val="4DE4AFFC"/>
    <w:lvl w:ilvl="0" w:tplc="E9CE4450">
      <w:start w:val="4"/>
      <w:numFmt w:val="lowerLetter"/>
      <w:lvlText w:val="(%1)"/>
      <w:lvlJc w:val="left"/>
      <w:pPr>
        <w:ind w:left="140" w:hanging="280"/>
      </w:pPr>
      <w:rPr>
        <w:rFonts w:ascii="Times New Roman" w:eastAsia="Times New Roman" w:hAnsi="Times New Roman" w:hint="default"/>
        <w:w w:val="109"/>
        <w:sz w:val="18"/>
        <w:szCs w:val="18"/>
      </w:rPr>
    </w:lvl>
    <w:lvl w:ilvl="1" w:tplc="327C3F22">
      <w:start w:val="1"/>
      <w:numFmt w:val="bullet"/>
      <w:lvlText w:val=""/>
      <w:lvlJc w:val="left"/>
      <w:pPr>
        <w:ind w:left="502" w:hanging="183"/>
      </w:pPr>
      <w:rPr>
        <w:rFonts w:ascii="Symbol" w:eastAsia="Symbol" w:hAnsi="Symbol" w:hint="default"/>
        <w:sz w:val="18"/>
        <w:szCs w:val="18"/>
      </w:rPr>
    </w:lvl>
    <w:lvl w:ilvl="2" w:tplc="619AD226">
      <w:start w:val="1"/>
      <w:numFmt w:val="bullet"/>
      <w:lvlText w:val="•"/>
      <w:lvlJc w:val="left"/>
      <w:pPr>
        <w:ind w:left="442" w:hanging="183"/>
      </w:pPr>
      <w:rPr>
        <w:rFonts w:hint="default"/>
      </w:rPr>
    </w:lvl>
    <w:lvl w:ilvl="3" w:tplc="9A90ED8C">
      <w:start w:val="1"/>
      <w:numFmt w:val="bullet"/>
      <w:lvlText w:val="•"/>
      <w:lvlJc w:val="left"/>
      <w:pPr>
        <w:ind w:left="381" w:hanging="183"/>
      </w:pPr>
      <w:rPr>
        <w:rFonts w:hint="default"/>
      </w:rPr>
    </w:lvl>
    <w:lvl w:ilvl="4" w:tplc="C2BAEE88">
      <w:start w:val="1"/>
      <w:numFmt w:val="bullet"/>
      <w:lvlText w:val="•"/>
      <w:lvlJc w:val="left"/>
      <w:pPr>
        <w:ind w:left="320" w:hanging="183"/>
      </w:pPr>
      <w:rPr>
        <w:rFonts w:hint="default"/>
      </w:rPr>
    </w:lvl>
    <w:lvl w:ilvl="5" w:tplc="70BEB326">
      <w:start w:val="1"/>
      <w:numFmt w:val="bullet"/>
      <w:lvlText w:val="•"/>
      <w:lvlJc w:val="left"/>
      <w:pPr>
        <w:ind w:left="260" w:hanging="183"/>
      </w:pPr>
      <w:rPr>
        <w:rFonts w:hint="default"/>
      </w:rPr>
    </w:lvl>
    <w:lvl w:ilvl="6" w:tplc="62605466">
      <w:start w:val="1"/>
      <w:numFmt w:val="bullet"/>
      <w:lvlText w:val="•"/>
      <w:lvlJc w:val="left"/>
      <w:pPr>
        <w:ind w:left="199" w:hanging="183"/>
      </w:pPr>
      <w:rPr>
        <w:rFonts w:hint="default"/>
      </w:rPr>
    </w:lvl>
    <w:lvl w:ilvl="7" w:tplc="3EA0ED3C">
      <w:start w:val="1"/>
      <w:numFmt w:val="bullet"/>
      <w:lvlText w:val="•"/>
      <w:lvlJc w:val="left"/>
      <w:pPr>
        <w:ind w:left="138" w:hanging="183"/>
      </w:pPr>
      <w:rPr>
        <w:rFonts w:hint="default"/>
      </w:rPr>
    </w:lvl>
    <w:lvl w:ilvl="8" w:tplc="979E1A7A">
      <w:start w:val="1"/>
      <w:numFmt w:val="bullet"/>
      <w:lvlText w:val="•"/>
      <w:lvlJc w:val="left"/>
      <w:pPr>
        <w:ind w:left="77" w:hanging="183"/>
      </w:pPr>
      <w:rPr>
        <w:rFonts w:hint="default"/>
      </w:rPr>
    </w:lvl>
  </w:abstractNum>
  <w:abstractNum w:abstractNumId="2">
    <w:nsid w:val="02790486"/>
    <w:multiLevelType w:val="hybridMultilevel"/>
    <w:tmpl w:val="DFDC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661B6"/>
    <w:multiLevelType w:val="hybridMultilevel"/>
    <w:tmpl w:val="9ED6E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FD091B"/>
    <w:multiLevelType w:val="hybridMultilevel"/>
    <w:tmpl w:val="8AAEE06A"/>
    <w:lvl w:ilvl="0" w:tplc="027820D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21E0B"/>
    <w:multiLevelType w:val="hybridMultilevel"/>
    <w:tmpl w:val="9E4C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C3C81"/>
    <w:multiLevelType w:val="hybridMultilevel"/>
    <w:tmpl w:val="BC28F59A"/>
    <w:lvl w:ilvl="0" w:tplc="AEE4D19A">
      <w:start w:val="1"/>
      <w:numFmt w:val="lowerLetter"/>
      <w:lvlText w:val="(%1)"/>
      <w:lvlJc w:val="left"/>
      <w:pPr>
        <w:ind w:left="140" w:hanging="260"/>
      </w:pPr>
      <w:rPr>
        <w:rFonts w:ascii="Times New Roman" w:eastAsia="Times New Roman" w:hAnsi="Times New Roman" w:hint="default"/>
        <w:w w:val="105"/>
        <w:sz w:val="18"/>
        <w:szCs w:val="18"/>
      </w:rPr>
    </w:lvl>
    <w:lvl w:ilvl="1" w:tplc="B95697C4">
      <w:start w:val="1"/>
      <w:numFmt w:val="bullet"/>
      <w:lvlText w:val="•"/>
      <w:lvlJc w:val="left"/>
      <w:pPr>
        <w:ind w:left="475" w:hanging="260"/>
      </w:pPr>
      <w:rPr>
        <w:rFonts w:hint="default"/>
      </w:rPr>
    </w:lvl>
    <w:lvl w:ilvl="2" w:tplc="A31CDDDE">
      <w:start w:val="1"/>
      <w:numFmt w:val="bullet"/>
      <w:lvlText w:val="•"/>
      <w:lvlJc w:val="left"/>
      <w:pPr>
        <w:ind w:left="811" w:hanging="260"/>
      </w:pPr>
      <w:rPr>
        <w:rFonts w:hint="default"/>
      </w:rPr>
    </w:lvl>
    <w:lvl w:ilvl="3" w:tplc="0B447F16">
      <w:start w:val="1"/>
      <w:numFmt w:val="bullet"/>
      <w:lvlText w:val="•"/>
      <w:lvlJc w:val="left"/>
      <w:pPr>
        <w:ind w:left="1146" w:hanging="260"/>
      </w:pPr>
      <w:rPr>
        <w:rFonts w:hint="default"/>
      </w:rPr>
    </w:lvl>
    <w:lvl w:ilvl="4" w:tplc="EACADB64">
      <w:start w:val="1"/>
      <w:numFmt w:val="bullet"/>
      <w:lvlText w:val="•"/>
      <w:lvlJc w:val="left"/>
      <w:pPr>
        <w:ind w:left="1482" w:hanging="260"/>
      </w:pPr>
      <w:rPr>
        <w:rFonts w:hint="default"/>
      </w:rPr>
    </w:lvl>
    <w:lvl w:ilvl="5" w:tplc="0FC43930">
      <w:start w:val="1"/>
      <w:numFmt w:val="bullet"/>
      <w:lvlText w:val="•"/>
      <w:lvlJc w:val="left"/>
      <w:pPr>
        <w:ind w:left="1818" w:hanging="260"/>
      </w:pPr>
      <w:rPr>
        <w:rFonts w:hint="default"/>
      </w:rPr>
    </w:lvl>
    <w:lvl w:ilvl="6" w:tplc="52E231A4">
      <w:start w:val="1"/>
      <w:numFmt w:val="bullet"/>
      <w:lvlText w:val="•"/>
      <w:lvlJc w:val="left"/>
      <w:pPr>
        <w:ind w:left="2153" w:hanging="260"/>
      </w:pPr>
      <w:rPr>
        <w:rFonts w:hint="default"/>
      </w:rPr>
    </w:lvl>
    <w:lvl w:ilvl="7" w:tplc="C3BED078">
      <w:start w:val="1"/>
      <w:numFmt w:val="bullet"/>
      <w:lvlText w:val="•"/>
      <w:lvlJc w:val="left"/>
      <w:pPr>
        <w:ind w:left="2489" w:hanging="260"/>
      </w:pPr>
      <w:rPr>
        <w:rFonts w:hint="default"/>
      </w:rPr>
    </w:lvl>
    <w:lvl w:ilvl="8" w:tplc="10481EC8">
      <w:start w:val="1"/>
      <w:numFmt w:val="bullet"/>
      <w:lvlText w:val="•"/>
      <w:lvlJc w:val="left"/>
      <w:pPr>
        <w:ind w:left="2825" w:hanging="260"/>
      </w:pPr>
      <w:rPr>
        <w:rFonts w:hint="default"/>
      </w:rPr>
    </w:lvl>
  </w:abstractNum>
  <w:abstractNum w:abstractNumId="7">
    <w:nsid w:val="1B0C4523"/>
    <w:multiLevelType w:val="hybridMultilevel"/>
    <w:tmpl w:val="35AC731C"/>
    <w:lvl w:ilvl="0" w:tplc="8A36AB08">
      <w:start w:val="1"/>
      <w:numFmt w:val="lowerLetter"/>
      <w:lvlText w:val="(%1)"/>
      <w:lvlJc w:val="left"/>
      <w:pPr>
        <w:ind w:left="143" w:hanging="260"/>
      </w:pPr>
      <w:rPr>
        <w:rFonts w:ascii="Times New Roman" w:eastAsia="Times New Roman" w:hAnsi="Times New Roman" w:hint="default"/>
        <w:w w:val="105"/>
        <w:sz w:val="18"/>
        <w:szCs w:val="18"/>
      </w:rPr>
    </w:lvl>
    <w:lvl w:ilvl="1" w:tplc="ED1E342C">
      <w:start w:val="1"/>
      <w:numFmt w:val="bullet"/>
      <w:lvlText w:val="•"/>
      <w:lvlJc w:val="left"/>
      <w:pPr>
        <w:ind w:left="493" w:hanging="260"/>
      </w:pPr>
      <w:rPr>
        <w:rFonts w:hint="default"/>
      </w:rPr>
    </w:lvl>
    <w:lvl w:ilvl="2" w:tplc="F3E89322">
      <w:start w:val="1"/>
      <w:numFmt w:val="bullet"/>
      <w:lvlText w:val="•"/>
      <w:lvlJc w:val="left"/>
      <w:pPr>
        <w:ind w:left="843" w:hanging="260"/>
      </w:pPr>
      <w:rPr>
        <w:rFonts w:hint="default"/>
      </w:rPr>
    </w:lvl>
    <w:lvl w:ilvl="3" w:tplc="165E5CEA">
      <w:start w:val="1"/>
      <w:numFmt w:val="bullet"/>
      <w:lvlText w:val="•"/>
      <w:lvlJc w:val="left"/>
      <w:pPr>
        <w:ind w:left="1193" w:hanging="260"/>
      </w:pPr>
      <w:rPr>
        <w:rFonts w:hint="default"/>
      </w:rPr>
    </w:lvl>
    <w:lvl w:ilvl="4" w:tplc="EA6CBB02">
      <w:start w:val="1"/>
      <w:numFmt w:val="bullet"/>
      <w:lvlText w:val="•"/>
      <w:lvlJc w:val="left"/>
      <w:pPr>
        <w:ind w:left="1543" w:hanging="260"/>
      </w:pPr>
      <w:rPr>
        <w:rFonts w:hint="default"/>
      </w:rPr>
    </w:lvl>
    <w:lvl w:ilvl="5" w:tplc="B9743DC2">
      <w:start w:val="1"/>
      <w:numFmt w:val="bullet"/>
      <w:lvlText w:val="•"/>
      <w:lvlJc w:val="left"/>
      <w:pPr>
        <w:ind w:left="1893" w:hanging="260"/>
      </w:pPr>
      <w:rPr>
        <w:rFonts w:hint="default"/>
      </w:rPr>
    </w:lvl>
    <w:lvl w:ilvl="6" w:tplc="CA4EB83A">
      <w:start w:val="1"/>
      <w:numFmt w:val="bullet"/>
      <w:lvlText w:val="•"/>
      <w:lvlJc w:val="left"/>
      <w:pPr>
        <w:ind w:left="2243" w:hanging="260"/>
      </w:pPr>
      <w:rPr>
        <w:rFonts w:hint="default"/>
      </w:rPr>
    </w:lvl>
    <w:lvl w:ilvl="7" w:tplc="43102CC0">
      <w:start w:val="1"/>
      <w:numFmt w:val="bullet"/>
      <w:lvlText w:val="•"/>
      <w:lvlJc w:val="left"/>
      <w:pPr>
        <w:ind w:left="2593" w:hanging="260"/>
      </w:pPr>
      <w:rPr>
        <w:rFonts w:hint="default"/>
      </w:rPr>
    </w:lvl>
    <w:lvl w:ilvl="8" w:tplc="22BA8150">
      <w:start w:val="1"/>
      <w:numFmt w:val="bullet"/>
      <w:lvlText w:val="•"/>
      <w:lvlJc w:val="left"/>
      <w:pPr>
        <w:ind w:left="2943" w:hanging="260"/>
      </w:pPr>
      <w:rPr>
        <w:rFonts w:hint="default"/>
      </w:rPr>
    </w:lvl>
  </w:abstractNum>
  <w:abstractNum w:abstractNumId="8">
    <w:nsid w:val="1B177BE9"/>
    <w:multiLevelType w:val="hybridMultilevel"/>
    <w:tmpl w:val="2EDE4B4A"/>
    <w:lvl w:ilvl="0" w:tplc="C1403D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66AA1"/>
    <w:multiLevelType w:val="hybridMultilevel"/>
    <w:tmpl w:val="0782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479CA"/>
    <w:multiLevelType w:val="hybridMultilevel"/>
    <w:tmpl w:val="9EF6D81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407B00"/>
    <w:multiLevelType w:val="hybridMultilevel"/>
    <w:tmpl w:val="EC8EA490"/>
    <w:lvl w:ilvl="0" w:tplc="BD889576">
      <w:start w:val="1"/>
      <w:numFmt w:val="decimal"/>
      <w:lvlText w:val="%1."/>
      <w:lvlJc w:val="left"/>
      <w:pPr>
        <w:ind w:left="160" w:hanging="200"/>
      </w:pPr>
      <w:rPr>
        <w:rFonts w:ascii="Times New Roman" w:eastAsia="Times New Roman" w:hAnsi="Times New Roman" w:hint="default"/>
        <w:w w:val="111"/>
        <w:sz w:val="18"/>
        <w:szCs w:val="18"/>
      </w:rPr>
    </w:lvl>
    <w:lvl w:ilvl="1" w:tplc="75E094FC">
      <w:start w:val="1"/>
      <w:numFmt w:val="bullet"/>
      <w:lvlText w:val="•"/>
      <w:lvlJc w:val="left"/>
      <w:pPr>
        <w:ind w:left="494" w:hanging="200"/>
      </w:pPr>
      <w:rPr>
        <w:rFonts w:hint="default"/>
      </w:rPr>
    </w:lvl>
    <w:lvl w:ilvl="2" w:tplc="1C600CB0">
      <w:start w:val="1"/>
      <w:numFmt w:val="bullet"/>
      <w:lvlText w:val="•"/>
      <w:lvlJc w:val="left"/>
      <w:pPr>
        <w:ind w:left="829" w:hanging="200"/>
      </w:pPr>
      <w:rPr>
        <w:rFonts w:hint="default"/>
      </w:rPr>
    </w:lvl>
    <w:lvl w:ilvl="3" w:tplc="1CBA70F8">
      <w:start w:val="1"/>
      <w:numFmt w:val="bullet"/>
      <w:lvlText w:val="•"/>
      <w:lvlJc w:val="left"/>
      <w:pPr>
        <w:ind w:left="1163" w:hanging="200"/>
      </w:pPr>
      <w:rPr>
        <w:rFonts w:hint="default"/>
      </w:rPr>
    </w:lvl>
    <w:lvl w:ilvl="4" w:tplc="46B290E8">
      <w:start w:val="1"/>
      <w:numFmt w:val="bullet"/>
      <w:lvlText w:val="•"/>
      <w:lvlJc w:val="left"/>
      <w:pPr>
        <w:ind w:left="1498" w:hanging="200"/>
      </w:pPr>
      <w:rPr>
        <w:rFonts w:hint="default"/>
      </w:rPr>
    </w:lvl>
    <w:lvl w:ilvl="5" w:tplc="B3FC5BFE">
      <w:start w:val="1"/>
      <w:numFmt w:val="bullet"/>
      <w:lvlText w:val="•"/>
      <w:lvlJc w:val="left"/>
      <w:pPr>
        <w:ind w:left="1832" w:hanging="200"/>
      </w:pPr>
      <w:rPr>
        <w:rFonts w:hint="default"/>
      </w:rPr>
    </w:lvl>
    <w:lvl w:ilvl="6" w:tplc="912832A0">
      <w:start w:val="1"/>
      <w:numFmt w:val="bullet"/>
      <w:lvlText w:val="•"/>
      <w:lvlJc w:val="left"/>
      <w:pPr>
        <w:ind w:left="2167" w:hanging="200"/>
      </w:pPr>
      <w:rPr>
        <w:rFonts w:hint="default"/>
      </w:rPr>
    </w:lvl>
    <w:lvl w:ilvl="7" w:tplc="91D29C1E">
      <w:start w:val="1"/>
      <w:numFmt w:val="bullet"/>
      <w:lvlText w:val="•"/>
      <w:lvlJc w:val="left"/>
      <w:pPr>
        <w:ind w:left="2501" w:hanging="200"/>
      </w:pPr>
      <w:rPr>
        <w:rFonts w:hint="default"/>
      </w:rPr>
    </w:lvl>
    <w:lvl w:ilvl="8" w:tplc="ABBA6944">
      <w:start w:val="1"/>
      <w:numFmt w:val="bullet"/>
      <w:lvlText w:val="•"/>
      <w:lvlJc w:val="left"/>
      <w:pPr>
        <w:ind w:left="2836" w:hanging="200"/>
      </w:pPr>
      <w:rPr>
        <w:rFonts w:hint="default"/>
      </w:rPr>
    </w:lvl>
  </w:abstractNum>
  <w:abstractNum w:abstractNumId="12">
    <w:nsid w:val="3AFC0AF3"/>
    <w:multiLevelType w:val="hybridMultilevel"/>
    <w:tmpl w:val="7306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97A26"/>
    <w:multiLevelType w:val="hybridMultilevel"/>
    <w:tmpl w:val="1A86D9EA"/>
    <w:lvl w:ilvl="0" w:tplc="518A7D8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23D4C"/>
    <w:multiLevelType w:val="hybridMultilevel"/>
    <w:tmpl w:val="74185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A601E5"/>
    <w:multiLevelType w:val="hybridMultilevel"/>
    <w:tmpl w:val="76C039B2"/>
    <w:lvl w:ilvl="0" w:tplc="E1CE5C20">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4B196E"/>
    <w:multiLevelType w:val="hybridMultilevel"/>
    <w:tmpl w:val="ADE8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4311D8"/>
    <w:multiLevelType w:val="hybridMultilevel"/>
    <w:tmpl w:val="9EBE5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75723F"/>
    <w:multiLevelType w:val="hybridMultilevel"/>
    <w:tmpl w:val="3BE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B2231E"/>
    <w:multiLevelType w:val="hybridMultilevel"/>
    <w:tmpl w:val="E5AED3A4"/>
    <w:lvl w:ilvl="0" w:tplc="B344A446">
      <w:start w:val="1"/>
      <w:numFmt w:val="upperRoman"/>
      <w:lvlText w:val="%1."/>
      <w:lvlJc w:val="left"/>
      <w:pPr>
        <w:ind w:left="309" w:hanging="170"/>
      </w:pPr>
      <w:rPr>
        <w:rFonts w:ascii="Book Antiqua" w:eastAsia="Book Antiqua" w:hAnsi="Book Antiqua" w:hint="default"/>
        <w:b/>
        <w:bCs/>
        <w:w w:val="104"/>
        <w:sz w:val="18"/>
        <w:szCs w:val="18"/>
      </w:rPr>
    </w:lvl>
    <w:lvl w:ilvl="1" w:tplc="A5D8D082">
      <w:start w:val="1"/>
      <w:numFmt w:val="upperLetter"/>
      <w:lvlText w:val="%2."/>
      <w:lvlJc w:val="left"/>
      <w:pPr>
        <w:ind w:left="140" w:hanging="240"/>
      </w:pPr>
      <w:rPr>
        <w:rFonts w:ascii="Times New Roman" w:eastAsia="Times New Roman" w:hAnsi="Times New Roman" w:hint="default"/>
        <w:w w:val="108"/>
        <w:sz w:val="18"/>
        <w:szCs w:val="18"/>
      </w:rPr>
    </w:lvl>
    <w:lvl w:ilvl="2" w:tplc="8B18A0C6">
      <w:start w:val="1"/>
      <w:numFmt w:val="bullet"/>
      <w:lvlText w:val="•"/>
      <w:lvlJc w:val="left"/>
      <w:pPr>
        <w:ind w:left="679" w:hanging="240"/>
      </w:pPr>
      <w:rPr>
        <w:rFonts w:hint="default"/>
      </w:rPr>
    </w:lvl>
    <w:lvl w:ilvl="3" w:tplc="46FE0654">
      <w:start w:val="1"/>
      <w:numFmt w:val="bullet"/>
      <w:lvlText w:val="•"/>
      <w:lvlJc w:val="left"/>
      <w:pPr>
        <w:ind w:left="1049" w:hanging="240"/>
      </w:pPr>
      <w:rPr>
        <w:rFonts w:hint="default"/>
      </w:rPr>
    </w:lvl>
    <w:lvl w:ilvl="4" w:tplc="06C8AB42">
      <w:start w:val="1"/>
      <w:numFmt w:val="bullet"/>
      <w:lvlText w:val="•"/>
      <w:lvlJc w:val="left"/>
      <w:pPr>
        <w:ind w:left="1419" w:hanging="240"/>
      </w:pPr>
      <w:rPr>
        <w:rFonts w:hint="default"/>
      </w:rPr>
    </w:lvl>
    <w:lvl w:ilvl="5" w:tplc="83A861A0">
      <w:start w:val="1"/>
      <w:numFmt w:val="bullet"/>
      <w:lvlText w:val="•"/>
      <w:lvlJc w:val="left"/>
      <w:pPr>
        <w:ind w:left="1789" w:hanging="240"/>
      </w:pPr>
      <w:rPr>
        <w:rFonts w:hint="default"/>
      </w:rPr>
    </w:lvl>
    <w:lvl w:ilvl="6" w:tplc="8FAAF590">
      <w:start w:val="1"/>
      <w:numFmt w:val="bullet"/>
      <w:lvlText w:val="•"/>
      <w:lvlJc w:val="left"/>
      <w:pPr>
        <w:ind w:left="2159" w:hanging="240"/>
      </w:pPr>
      <w:rPr>
        <w:rFonts w:hint="default"/>
      </w:rPr>
    </w:lvl>
    <w:lvl w:ilvl="7" w:tplc="4D10BFDC">
      <w:start w:val="1"/>
      <w:numFmt w:val="bullet"/>
      <w:lvlText w:val="•"/>
      <w:lvlJc w:val="left"/>
      <w:pPr>
        <w:ind w:left="2529" w:hanging="240"/>
      </w:pPr>
      <w:rPr>
        <w:rFonts w:hint="default"/>
      </w:rPr>
    </w:lvl>
    <w:lvl w:ilvl="8" w:tplc="0E067F5A">
      <w:start w:val="1"/>
      <w:numFmt w:val="bullet"/>
      <w:lvlText w:val="•"/>
      <w:lvlJc w:val="left"/>
      <w:pPr>
        <w:ind w:left="2899" w:hanging="240"/>
      </w:pPr>
      <w:rPr>
        <w:rFont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0"/>
  </w:num>
  <w:num w:numId="3">
    <w:abstractNumId w:val="4"/>
  </w:num>
  <w:num w:numId="4">
    <w:abstractNumId w:val="14"/>
  </w:num>
  <w:num w:numId="5">
    <w:abstractNumId w:val="4"/>
  </w:num>
  <w:num w:numId="6">
    <w:abstractNumId w:val="16"/>
  </w:num>
  <w:num w:numId="7">
    <w:abstractNumId w:val="12"/>
  </w:num>
  <w:num w:numId="8">
    <w:abstractNumId w:val="18"/>
  </w:num>
  <w:num w:numId="9">
    <w:abstractNumId w:val="15"/>
  </w:num>
  <w:num w:numId="10">
    <w:abstractNumId w:val="13"/>
  </w:num>
  <w:num w:numId="11">
    <w:abstractNumId w:val="9"/>
  </w:num>
  <w:num w:numId="12">
    <w:abstractNumId w:val="2"/>
  </w:num>
  <w:num w:numId="13">
    <w:abstractNumId w:val="17"/>
  </w:num>
  <w:num w:numId="14">
    <w:abstractNumId w:val="5"/>
  </w:num>
  <w:num w:numId="15">
    <w:abstractNumId w:val="8"/>
  </w:num>
  <w:num w:numId="16">
    <w:abstractNumId w:val="3"/>
  </w:num>
  <w:num w:numId="17">
    <w:abstractNumId w:val="19"/>
  </w:num>
  <w:num w:numId="18">
    <w:abstractNumId w:val="1"/>
  </w:num>
  <w:num w:numId="19">
    <w:abstractNumId w:val="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B"/>
    <w:rsid w:val="00001512"/>
    <w:rsid w:val="00001ABE"/>
    <w:rsid w:val="0000477B"/>
    <w:rsid w:val="000060D6"/>
    <w:rsid w:val="00007F5B"/>
    <w:rsid w:val="00012018"/>
    <w:rsid w:val="0001291E"/>
    <w:rsid w:val="00012E9C"/>
    <w:rsid w:val="00013C6A"/>
    <w:rsid w:val="00023FEE"/>
    <w:rsid w:val="000251DA"/>
    <w:rsid w:val="00027B6D"/>
    <w:rsid w:val="00030815"/>
    <w:rsid w:val="000337EE"/>
    <w:rsid w:val="00035F43"/>
    <w:rsid w:val="000370A4"/>
    <w:rsid w:val="0004058D"/>
    <w:rsid w:val="00043267"/>
    <w:rsid w:val="00046BB2"/>
    <w:rsid w:val="00046FAB"/>
    <w:rsid w:val="0006083F"/>
    <w:rsid w:val="0006450F"/>
    <w:rsid w:val="0006706B"/>
    <w:rsid w:val="00072FD5"/>
    <w:rsid w:val="00075AB7"/>
    <w:rsid w:val="00077485"/>
    <w:rsid w:val="0008506C"/>
    <w:rsid w:val="00093615"/>
    <w:rsid w:val="00094723"/>
    <w:rsid w:val="00097FB0"/>
    <w:rsid w:val="000A0DDC"/>
    <w:rsid w:val="000A35B7"/>
    <w:rsid w:val="000A3A6F"/>
    <w:rsid w:val="000A5CDA"/>
    <w:rsid w:val="000A5F6F"/>
    <w:rsid w:val="000A7219"/>
    <w:rsid w:val="000A74B3"/>
    <w:rsid w:val="000B0179"/>
    <w:rsid w:val="000B0A01"/>
    <w:rsid w:val="000B0FB5"/>
    <w:rsid w:val="000C04DF"/>
    <w:rsid w:val="000C08DD"/>
    <w:rsid w:val="000D098B"/>
    <w:rsid w:val="000D1EDB"/>
    <w:rsid w:val="000D3B79"/>
    <w:rsid w:val="000E0C32"/>
    <w:rsid w:val="000E0C73"/>
    <w:rsid w:val="000E176C"/>
    <w:rsid w:val="000E4742"/>
    <w:rsid w:val="000E6D17"/>
    <w:rsid w:val="000E7806"/>
    <w:rsid w:val="000F0C9F"/>
    <w:rsid w:val="000F3ACA"/>
    <w:rsid w:val="000F4202"/>
    <w:rsid w:val="000F6A76"/>
    <w:rsid w:val="000F705A"/>
    <w:rsid w:val="00100995"/>
    <w:rsid w:val="00110329"/>
    <w:rsid w:val="001122D6"/>
    <w:rsid w:val="00112E39"/>
    <w:rsid w:val="00116DFF"/>
    <w:rsid w:val="00120377"/>
    <w:rsid w:val="0013062B"/>
    <w:rsid w:val="00130E5A"/>
    <w:rsid w:val="0013554B"/>
    <w:rsid w:val="00142392"/>
    <w:rsid w:val="001431FF"/>
    <w:rsid w:val="00144BB1"/>
    <w:rsid w:val="0014523E"/>
    <w:rsid w:val="0014626D"/>
    <w:rsid w:val="00152216"/>
    <w:rsid w:val="001538F4"/>
    <w:rsid w:val="0015521F"/>
    <w:rsid w:val="00157DD7"/>
    <w:rsid w:val="00163AD7"/>
    <w:rsid w:val="00164709"/>
    <w:rsid w:val="001662E5"/>
    <w:rsid w:val="00173BB8"/>
    <w:rsid w:val="00175931"/>
    <w:rsid w:val="001769BD"/>
    <w:rsid w:val="00176CE8"/>
    <w:rsid w:val="001830EC"/>
    <w:rsid w:val="0018431A"/>
    <w:rsid w:val="00186DBF"/>
    <w:rsid w:val="00186F82"/>
    <w:rsid w:val="00193C21"/>
    <w:rsid w:val="00196775"/>
    <w:rsid w:val="001A06BA"/>
    <w:rsid w:val="001A231E"/>
    <w:rsid w:val="001A3282"/>
    <w:rsid w:val="001A45A8"/>
    <w:rsid w:val="001A5E0E"/>
    <w:rsid w:val="001B0CE4"/>
    <w:rsid w:val="001B1AEB"/>
    <w:rsid w:val="001B1D15"/>
    <w:rsid w:val="001B56DF"/>
    <w:rsid w:val="001C6D87"/>
    <w:rsid w:val="001D3F6E"/>
    <w:rsid w:val="001E265D"/>
    <w:rsid w:val="001E5689"/>
    <w:rsid w:val="001E5DFC"/>
    <w:rsid w:val="001E688F"/>
    <w:rsid w:val="001F53BE"/>
    <w:rsid w:val="001F691E"/>
    <w:rsid w:val="0020033F"/>
    <w:rsid w:val="00202B2A"/>
    <w:rsid w:val="00203CA0"/>
    <w:rsid w:val="00205084"/>
    <w:rsid w:val="0020666C"/>
    <w:rsid w:val="002067DA"/>
    <w:rsid w:val="00211CA8"/>
    <w:rsid w:val="00212EF4"/>
    <w:rsid w:val="002145BA"/>
    <w:rsid w:val="00216F1D"/>
    <w:rsid w:val="002230AA"/>
    <w:rsid w:val="002265C8"/>
    <w:rsid w:val="002265CE"/>
    <w:rsid w:val="00233A73"/>
    <w:rsid w:val="002343D0"/>
    <w:rsid w:val="00235D9F"/>
    <w:rsid w:val="00236365"/>
    <w:rsid w:val="00247A2D"/>
    <w:rsid w:val="00250B61"/>
    <w:rsid w:val="00250E28"/>
    <w:rsid w:val="002522C8"/>
    <w:rsid w:val="0025308C"/>
    <w:rsid w:val="002557D6"/>
    <w:rsid w:val="00256AD2"/>
    <w:rsid w:val="00256DBB"/>
    <w:rsid w:val="00260DFA"/>
    <w:rsid w:val="00261340"/>
    <w:rsid w:val="00261DCC"/>
    <w:rsid w:val="0026278B"/>
    <w:rsid w:val="00262C27"/>
    <w:rsid w:val="00263327"/>
    <w:rsid w:val="00265F9D"/>
    <w:rsid w:val="002762BE"/>
    <w:rsid w:val="00281C1A"/>
    <w:rsid w:val="002839E4"/>
    <w:rsid w:val="002856FE"/>
    <w:rsid w:val="00294878"/>
    <w:rsid w:val="0029773A"/>
    <w:rsid w:val="002A436F"/>
    <w:rsid w:val="002A5A4F"/>
    <w:rsid w:val="002B534C"/>
    <w:rsid w:val="002B650B"/>
    <w:rsid w:val="002B7CAB"/>
    <w:rsid w:val="002C037E"/>
    <w:rsid w:val="002C0A75"/>
    <w:rsid w:val="002C763D"/>
    <w:rsid w:val="002D2C26"/>
    <w:rsid w:val="002D2F28"/>
    <w:rsid w:val="002D6B89"/>
    <w:rsid w:val="002E1A90"/>
    <w:rsid w:val="002E2A0B"/>
    <w:rsid w:val="002E4D49"/>
    <w:rsid w:val="002E58BC"/>
    <w:rsid w:val="002F4A24"/>
    <w:rsid w:val="00300579"/>
    <w:rsid w:val="00301BD1"/>
    <w:rsid w:val="00304DC8"/>
    <w:rsid w:val="003067D0"/>
    <w:rsid w:val="00307231"/>
    <w:rsid w:val="00311FD7"/>
    <w:rsid w:val="00312B4B"/>
    <w:rsid w:val="0032406C"/>
    <w:rsid w:val="00324931"/>
    <w:rsid w:val="00325724"/>
    <w:rsid w:val="003269BF"/>
    <w:rsid w:val="00331C60"/>
    <w:rsid w:val="0034034B"/>
    <w:rsid w:val="00341356"/>
    <w:rsid w:val="00341E3A"/>
    <w:rsid w:val="00342AE6"/>
    <w:rsid w:val="0034677B"/>
    <w:rsid w:val="00346841"/>
    <w:rsid w:val="00350C07"/>
    <w:rsid w:val="003528FE"/>
    <w:rsid w:val="00352A30"/>
    <w:rsid w:val="00353BAA"/>
    <w:rsid w:val="00355ED4"/>
    <w:rsid w:val="00356492"/>
    <w:rsid w:val="0035775D"/>
    <w:rsid w:val="003676C3"/>
    <w:rsid w:val="0037619C"/>
    <w:rsid w:val="00377977"/>
    <w:rsid w:val="003804D4"/>
    <w:rsid w:val="003825D3"/>
    <w:rsid w:val="003844FA"/>
    <w:rsid w:val="0038456C"/>
    <w:rsid w:val="00386EA3"/>
    <w:rsid w:val="0038752E"/>
    <w:rsid w:val="00390DB9"/>
    <w:rsid w:val="00396673"/>
    <w:rsid w:val="003A0A46"/>
    <w:rsid w:val="003B1B62"/>
    <w:rsid w:val="003B57F8"/>
    <w:rsid w:val="003C024B"/>
    <w:rsid w:val="003C244B"/>
    <w:rsid w:val="003C4377"/>
    <w:rsid w:val="003D1498"/>
    <w:rsid w:val="003D5609"/>
    <w:rsid w:val="003E0772"/>
    <w:rsid w:val="003E2FF4"/>
    <w:rsid w:val="003E5585"/>
    <w:rsid w:val="003F0796"/>
    <w:rsid w:val="003F264C"/>
    <w:rsid w:val="003F44A4"/>
    <w:rsid w:val="003F6461"/>
    <w:rsid w:val="004014B0"/>
    <w:rsid w:val="0040480F"/>
    <w:rsid w:val="0041096D"/>
    <w:rsid w:val="00411AEC"/>
    <w:rsid w:val="00417D0C"/>
    <w:rsid w:val="00421B1B"/>
    <w:rsid w:val="004252C0"/>
    <w:rsid w:val="004328AF"/>
    <w:rsid w:val="00434A17"/>
    <w:rsid w:val="00434A26"/>
    <w:rsid w:val="00444B0B"/>
    <w:rsid w:val="0045329A"/>
    <w:rsid w:val="00460FDF"/>
    <w:rsid w:val="00465528"/>
    <w:rsid w:val="00466D82"/>
    <w:rsid w:val="0046769E"/>
    <w:rsid w:val="00474FB1"/>
    <w:rsid w:val="004776AC"/>
    <w:rsid w:val="004903BC"/>
    <w:rsid w:val="00490A61"/>
    <w:rsid w:val="0049216A"/>
    <w:rsid w:val="00492AFE"/>
    <w:rsid w:val="00493605"/>
    <w:rsid w:val="004940F9"/>
    <w:rsid w:val="004958A9"/>
    <w:rsid w:val="00497432"/>
    <w:rsid w:val="004B0F51"/>
    <w:rsid w:val="004B13B2"/>
    <w:rsid w:val="004B4945"/>
    <w:rsid w:val="004B5969"/>
    <w:rsid w:val="004C248E"/>
    <w:rsid w:val="004C4396"/>
    <w:rsid w:val="004C47D4"/>
    <w:rsid w:val="004C5A6A"/>
    <w:rsid w:val="004C7A0E"/>
    <w:rsid w:val="004D3590"/>
    <w:rsid w:val="004D5701"/>
    <w:rsid w:val="004D5C49"/>
    <w:rsid w:val="004D62B7"/>
    <w:rsid w:val="004E02C3"/>
    <w:rsid w:val="004E29C5"/>
    <w:rsid w:val="004F2364"/>
    <w:rsid w:val="004F3271"/>
    <w:rsid w:val="004F6444"/>
    <w:rsid w:val="00510AC7"/>
    <w:rsid w:val="005137C8"/>
    <w:rsid w:val="00515D98"/>
    <w:rsid w:val="005174A7"/>
    <w:rsid w:val="0052091A"/>
    <w:rsid w:val="005224F9"/>
    <w:rsid w:val="00522922"/>
    <w:rsid w:val="00533479"/>
    <w:rsid w:val="00534020"/>
    <w:rsid w:val="0054062C"/>
    <w:rsid w:val="00542066"/>
    <w:rsid w:val="00542A06"/>
    <w:rsid w:val="005436F5"/>
    <w:rsid w:val="00546557"/>
    <w:rsid w:val="005515F7"/>
    <w:rsid w:val="00552130"/>
    <w:rsid w:val="0055347A"/>
    <w:rsid w:val="00555118"/>
    <w:rsid w:val="00560991"/>
    <w:rsid w:val="005621C1"/>
    <w:rsid w:val="00563D5F"/>
    <w:rsid w:val="00564F0F"/>
    <w:rsid w:val="00565D6E"/>
    <w:rsid w:val="00566901"/>
    <w:rsid w:val="005673FC"/>
    <w:rsid w:val="00570CB1"/>
    <w:rsid w:val="005720D6"/>
    <w:rsid w:val="00572BBB"/>
    <w:rsid w:val="00574235"/>
    <w:rsid w:val="00582756"/>
    <w:rsid w:val="005907DF"/>
    <w:rsid w:val="00591CB8"/>
    <w:rsid w:val="00592786"/>
    <w:rsid w:val="0059512D"/>
    <w:rsid w:val="005957FD"/>
    <w:rsid w:val="00597410"/>
    <w:rsid w:val="005975ED"/>
    <w:rsid w:val="005A00C6"/>
    <w:rsid w:val="005A3DBE"/>
    <w:rsid w:val="005B2A97"/>
    <w:rsid w:val="005B6D1A"/>
    <w:rsid w:val="005C3DF4"/>
    <w:rsid w:val="005C3E17"/>
    <w:rsid w:val="005C558F"/>
    <w:rsid w:val="005C71CA"/>
    <w:rsid w:val="005D14BE"/>
    <w:rsid w:val="005D23BF"/>
    <w:rsid w:val="005D2443"/>
    <w:rsid w:val="005E6139"/>
    <w:rsid w:val="00600D0D"/>
    <w:rsid w:val="006049DA"/>
    <w:rsid w:val="00604A62"/>
    <w:rsid w:val="00605559"/>
    <w:rsid w:val="00612051"/>
    <w:rsid w:val="00612064"/>
    <w:rsid w:val="0061441B"/>
    <w:rsid w:val="006145D6"/>
    <w:rsid w:val="00615748"/>
    <w:rsid w:val="00622424"/>
    <w:rsid w:val="00625295"/>
    <w:rsid w:val="006255BE"/>
    <w:rsid w:val="00630675"/>
    <w:rsid w:val="0063383F"/>
    <w:rsid w:val="00634E22"/>
    <w:rsid w:val="006378BC"/>
    <w:rsid w:val="00640AE9"/>
    <w:rsid w:val="00663D0A"/>
    <w:rsid w:val="00665A79"/>
    <w:rsid w:val="00665FC2"/>
    <w:rsid w:val="00666D6D"/>
    <w:rsid w:val="006673AB"/>
    <w:rsid w:val="0067149C"/>
    <w:rsid w:val="006714EF"/>
    <w:rsid w:val="00674C6B"/>
    <w:rsid w:val="00683601"/>
    <w:rsid w:val="006839C3"/>
    <w:rsid w:val="00685392"/>
    <w:rsid w:val="00686588"/>
    <w:rsid w:val="00692602"/>
    <w:rsid w:val="006A2045"/>
    <w:rsid w:val="006A3F6F"/>
    <w:rsid w:val="006A6044"/>
    <w:rsid w:val="006B2D3E"/>
    <w:rsid w:val="006B528B"/>
    <w:rsid w:val="006B6568"/>
    <w:rsid w:val="006B6B4B"/>
    <w:rsid w:val="006C3426"/>
    <w:rsid w:val="006C4D8B"/>
    <w:rsid w:val="006C6CA2"/>
    <w:rsid w:val="006D0D66"/>
    <w:rsid w:val="006E3903"/>
    <w:rsid w:val="006E39A6"/>
    <w:rsid w:val="006E43A6"/>
    <w:rsid w:val="006E6CCF"/>
    <w:rsid w:val="006F3BD7"/>
    <w:rsid w:val="006F3CD3"/>
    <w:rsid w:val="006F56CD"/>
    <w:rsid w:val="00702188"/>
    <w:rsid w:val="00705E43"/>
    <w:rsid w:val="00707E81"/>
    <w:rsid w:val="00716C05"/>
    <w:rsid w:val="00717718"/>
    <w:rsid w:val="00723F23"/>
    <w:rsid w:val="00726E6C"/>
    <w:rsid w:val="00731C4C"/>
    <w:rsid w:val="00735055"/>
    <w:rsid w:val="00735260"/>
    <w:rsid w:val="00737188"/>
    <w:rsid w:val="00740CB7"/>
    <w:rsid w:val="00742AC8"/>
    <w:rsid w:val="00746A5B"/>
    <w:rsid w:val="0075194A"/>
    <w:rsid w:val="00766D05"/>
    <w:rsid w:val="00767577"/>
    <w:rsid w:val="00775EE9"/>
    <w:rsid w:val="00784A09"/>
    <w:rsid w:val="0078568B"/>
    <w:rsid w:val="00787C1A"/>
    <w:rsid w:val="007923C4"/>
    <w:rsid w:val="007A34E9"/>
    <w:rsid w:val="007B13D7"/>
    <w:rsid w:val="007B3399"/>
    <w:rsid w:val="007B4633"/>
    <w:rsid w:val="007C1AD9"/>
    <w:rsid w:val="007C1EE7"/>
    <w:rsid w:val="007C322C"/>
    <w:rsid w:val="007C6B72"/>
    <w:rsid w:val="007D3D2D"/>
    <w:rsid w:val="007D5844"/>
    <w:rsid w:val="007D7B1F"/>
    <w:rsid w:val="007E3CF3"/>
    <w:rsid w:val="007E533B"/>
    <w:rsid w:val="007E5B64"/>
    <w:rsid w:val="007E7230"/>
    <w:rsid w:val="007E74AF"/>
    <w:rsid w:val="007F0D80"/>
    <w:rsid w:val="007F34FD"/>
    <w:rsid w:val="007F3831"/>
    <w:rsid w:val="007F48B8"/>
    <w:rsid w:val="00824D66"/>
    <w:rsid w:val="00830225"/>
    <w:rsid w:val="00830DBD"/>
    <w:rsid w:val="00833147"/>
    <w:rsid w:val="008335E0"/>
    <w:rsid w:val="00835ED9"/>
    <w:rsid w:val="008367EC"/>
    <w:rsid w:val="0084066F"/>
    <w:rsid w:val="008435A4"/>
    <w:rsid w:val="008454BF"/>
    <w:rsid w:val="008503D5"/>
    <w:rsid w:val="00852EE3"/>
    <w:rsid w:val="008538D9"/>
    <w:rsid w:val="00855F8D"/>
    <w:rsid w:val="00861E14"/>
    <w:rsid w:val="00864AC8"/>
    <w:rsid w:val="008662CD"/>
    <w:rsid w:val="008708D4"/>
    <w:rsid w:val="00872A2A"/>
    <w:rsid w:val="00877A9C"/>
    <w:rsid w:val="00890805"/>
    <w:rsid w:val="00897BF8"/>
    <w:rsid w:val="008A1BCF"/>
    <w:rsid w:val="008A25C8"/>
    <w:rsid w:val="008A4C62"/>
    <w:rsid w:val="008A51F8"/>
    <w:rsid w:val="008A5F40"/>
    <w:rsid w:val="008B20EE"/>
    <w:rsid w:val="008B4A69"/>
    <w:rsid w:val="008B5518"/>
    <w:rsid w:val="008B6A92"/>
    <w:rsid w:val="008B6FB0"/>
    <w:rsid w:val="008B70DC"/>
    <w:rsid w:val="008B7A3D"/>
    <w:rsid w:val="008B7C29"/>
    <w:rsid w:val="008C4573"/>
    <w:rsid w:val="008D0094"/>
    <w:rsid w:val="008D167D"/>
    <w:rsid w:val="008D25AA"/>
    <w:rsid w:val="008D2DAC"/>
    <w:rsid w:val="008E3528"/>
    <w:rsid w:val="008E5030"/>
    <w:rsid w:val="008F4508"/>
    <w:rsid w:val="008F60FE"/>
    <w:rsid w:val="00901925"/>
    <w:rsid w:val="0090362B"/>
    <w:rsid w:val="00904FDE"/>
    <w:rsid w:val="009057C8"/>
    <w:rsid w:val="00907345"/>
    <w:rsid w:val="00913214"/>
    <w:rsid w:val="00914630"/>
    <w:rsid w:val="00915A61"/>
    <w:rsid w:val="00916424"/>
    <w:rsid w:val="009226F8"/>
    <w:rsid w:val="00930511"/>
    <w:rsid w:val="00941566"/>
    <w:rsid w:val="009421E9"/>
    <w:rsid w:val="00951FD1"/>
    <w:rsid w:val="00953FE0"/>
    <w:rsid w:val="009562BB"/>
    <w:rsid w:val="009575F3"/>
    <w:rsid w:val="00960AE8"/>
    <w:rsid w:val="009614C9"/>
    <w:rsid w:val="00967941"/>
    <w:rsid w:val="00970328"/>
    <w:rsid w:val="00972806"/>
    <w:rsid w:val="009763E0"/>
    <w:rsid w:val="00976452"/>
    <w:rsid w:val="00980159"/>
    <w:rsid w:val="00980BDD"/>
    <w:rsid w:val="00993E69"/>
    <w:rsid w:val="00997789"/>
    <w:rsid w:val="009A516A"/>
    <w:rsid w:val="009A562F"/>
    <w:rsid w:val="009A651B"/>
    <w:rsid w:val="009B0EDF"/>
    <w:rsid w:val="009B128E"/>
    <w:rsid w:val="009B20F8"/>
    <w:rsid w:val="009B334E"/>
    <w:rsid w:val="009B3C0D"/>
    <w:rsid w:val="009B412E"/>
    <w:rsid w:val="009C02B0"/>
    <w:rsid w:val="009C0C8B"/>
    <w:rsid w:val="009C2FD0"/>
    <w:rsid w:val="009C5169"/>
    <w:rsid w:val="009D0F08"/>
    <w:rsid w:val="009D2286"/>
    <w:rsid w:val="009D3C66"/>
    <w:rsid w:val="009D646E"/>
    <w:rsid w:val="009E259B"/>
    <w:rsid w:val="009E25C5"/>
    <w:rsid w:val="009E5276"/>
    <w:rsid w:val="009E7C0C"/>
    <w:rsid w:val="009F5F04"/>
    <w:rsid w:val="00A038EB"/>
    <w:rsid w:val="00A0407E"/>
    <w:rsid w:val="00A04A81"/>
    <w:rsid w:val="00A16514"/>
    <w:rsid w:val="00A2640B"/>
    <w:rsid w:val="00A362DB"/>
    <w:rsid w:val="00A4307C"/>
    <w:rsid w:val="00A44C32"/>
    <w:rsid w:val="00A467AB"/>
    <w:rsid w:val="00A479C0"/>
    <w:rsid w:val="00A50766"/>
    <w:rsid w:val="00A52C22"/>
    <w:rsid w:val="00A540DB"/>
    <w:rsid w:val="00A557B7"/>
    <w:rsid w:val="00A60484"/>
    <w:rsid w:val="00A611FA"/>
    <w:rsid w:val="00A64FB9"/>
    <w:rsid w:val="00A6755E"/>
    <w:rsid w:val="00A7122D"/>
    <w:rsid w:val="00A71EFD"/>
    <w:rsid w:val="00A80C54"/>
    <w:rsid w:val="00A81B13"/>
    <w:rsid w:val="00A82C3A"/>
    <w:rsid w:val="00A87B74"/>
    <w:rsid w:val="00A95502"/>
    <w:rsid w:val="00A95D0A"/>
    <w:rsid w:val="00A9667C"/>
    <w:rsid w:val="00A9699C"/>
    <w:rsid w:val="00AA458D"/>
    <w:rsid w:val="00AA4784"/>
    <w:rsid w:val="00AB4209"/>
    <w:rsid w:val="00AB477F"/>
    <w:rsid w:val="00AB51DD"/>
    <w:rsid w:val="00AB6114"/>
    <w:rsid w:val="00AB6C38"/>
    <w:rsid w:val="00AC2F92"/>
    <w:rsid w:val="00AC3882"/>
    <w:rsid w:val="00AC407C"/>
    <w:rsid w:val="00AC5172"/>
    <w:rsid w:val="00AC7207"/>
    <w:rsid w:val="00AD255A"/>
    <w:rsid w:val="00AF3D68"/>
    <w:rsid w:val="00AF775D"/>
    <w:rsid w:val="00AF7840"/>
    <w:rsid w:val="00B00DA3"/>
    <w:rsid w:val="00B0286D"/>
    <w:rsid w:val="00B066DF"/>
    <w:rsid w:val="00B1071A"/>
    <w:rsid w:val="00B13D81"/>
    <w:rsid w:val="00B1521C"/>
    <w:rsid w:val="00B22024"/>
    <w:rsid w:val="00B237C4"/>
    <w:rsid w:val="00B25AC2"/>
    <w:rsid w:val="00B26E1A"/>
    <w:rsid w:val="00B2795A"/>
    <w:rsid w:val="00B27A4E"/>
    <w:rsid w:val="00B33F48"/>
    <w:rsid w:val="00B34660"/>
    <w:rsid w:val="00B37D25"/>
    <w:rsid w:val="00B401A0"/>
    <w:rsid w:val="00B406FE"/>
    <w:rsid w:val="00B40A98"/>
    <w:rsid w:val="00B41E24"/>
    <w:rsid w:val="00B46F20"/>
    <w:rsid w:val="00B4743F"/>
    <w:rsid w:val="00B475CD"/>
    <w:rsid w:val="00B55BAB"/>
    <w:rsid w:val="00B615BB"/>
    <w:rsid w:val="00B70426"/>
    <w:rsid w:val="00B7068E"/>
    <w:rsid w:val="00B71EB1"/>
    <w:rsid w:val="00B7331E"/>
    <w:rsid w:val="00B90681"/>
    <w:rsid w:val="00B969E1"/>
    <w:rsid w:val="00B97182"/>
    <w:rsid w:val="00BA10B0"/>
    <w:rsid w:val="00BA2DF1"/>
    <w:rsid w:val="00BA470B"/>
    <w:rsid w:val="00BA4BBB"/>
    <w:rsid w:val="00BA532B"/>
    <w:rsid w:val="00BA6EB0"/>
    <w:rsid w:val="00BA7CBA"/>
    <w:rsid w:val="00BB156C"/>
    <w:rsid w:val="00BB5F92"/>
    <w:rsid w:val="00BB6A54"/>
    <w:rsid w:val="00BB7B0C"/>
    <w:rsid w:val="00BC0B23"/>
    <w:rsid w:val="00BC4D75"/>
    <w:rsid w:val="00BC673B"/>
    <w:rsid w:val="00BC7063"/>
    <w:rsid w:val="00BD0D79"/>
    <w:rsid w:val="00BD1D51"/>
    <w:rsid w:val="00BD3113"/>
    <w:rsid w:val="00BD52FC"/>
    <w:rsid w:val="00BD6C99"/>
    <w:rsid w:val="00BD73B5"/>
    <w:rsid w:val="00BE18F5"/>
    <w:rsid w:val="00BE250B"/>
    <w:rsid w:val="00BE34DC"/>
    <w:rsid w:val="00BF24F8"/>
    <w:rsid w:val="00BF4B50"/>
    <w:rsid w:val="00BF53E6"/>
    <w:rsid w:val="00C008E6"/>
    <w:rsid w:val="00C13516"/>
    <w:rsid w:val="00C16010"/>
    <w:rsid w:val="00C1613C"/>
    <w:rsid w:val="00C17809"/>
    <w:rsid w:val="00C25E6B"/>
    <w:rsid w:val="00C30C24"/>
    <w:rsid w:val="00C3609B"/>
    <w:rsid w:val="00C4374A"/>
    <w:rsid w:val="00C505D8"/>
    <w:rsid w:val="00C57C9C"/>
    <w:rsid w:val="00C62607"/>
    <w:rsid w:val="00C628C5"/>
    <w:rsid w:val="00C67587"/>
    <w:rsid w:val="00C70ACC"/>
    <w:rsid w:val="00C748A5"/>
    <w:rsid w:val="00C852D6"/>
    <w:rsid w:val="00C858FE"/>
    <w:rsid w:val="00C87036"/>
    <w:rsid w:val="00C93C0D"/>
    <w:rsid w:val="00C96917"/>
    <w:rsid w:val="00CA08B5"/>
    <w:rsid w:val="00CA5A15"/>
    <w:rsid w:val="00CB16F6"/>
    <w:rsid w:val="00CC7657"/>
    <w:rsid w:val="00CD10FE"/>
    <w:rsid w:val="00CD14F3"/>
    <w:rsid w:val="00CD1B2E"/>
    <w:rsid w:val="00CD411D"/>
    <w:rsid w:val="00CD71C5"/>
    <w:rsid w:val="00CF2483"/>
    <w:rsid w:val="00CF4F65"/>
    <w:rsid w:val="00D00462"/>
    <w:rsid w:val="00D00964"/>
    <w:rsid w:val="00D01AB0"/>
    <w:rsid w:val="00D03D66"/>
    <w:rsid w:val="00D0479D"/>
    <w:rsid w:val="00D05778"/>
    <w:rsid w:val="00D13416"/>
    <w:rsid w:val="00D17AE8"/>
    <w:rsid w:val="00D202C8"/>
    <w:rsid w:val="00D20FB4"/>
    <w:rsid w:val="00D2137A"/>
    <w:rsid w:val="00D24597"/>
    <w:rsid w:val="00D24B2B"/>
    <w:rsid w:val="00D27E01"/>
    <w:rsid w:val="00D31102"/>
    <w:rsid w:val="00D32601"/>
    <w:rsid w:val="00D405B1"/>
    <w:rsid w:val="00D53F9F"/>
    <w:rsid w:val="00D55807"/>
    <w:rsid w:val="00D73017"/>
    <w:rsid w:val="00D76132"/>
    <w:rsid w:val="00D776CF"/>
    <w:rsid w:val="00D8438F"/>
    <w:rsid w:val="00D91924"/>
    <w:rsid w:val="00D91B46"/>
    <w:rsid w:val="00D92F32"/>
    <w:rsid w:val="00D97812"/>
    <w:rsid w:val="00D979CA"/>
    <w:rsid w:val="00DA2C9D"/>
    <w:rsid w:val="00DA45E4"/>
    <w:rsid w:val="00DA562A"/>
    <w:rsid w:val="00DA6D04"/>
    <w:rsid w:val="00DB3078"/>
    <w:rsid w:val="00DB56E4"/>
    <w:rsid w:val="00DC22EF"/>
    <w:rsid w:val="00DC4F99"/>
    <w:rsid w:val="00DC6DCD"/>
    <w:rsid w:val="00DD2CF6"/>
    <w:rsid w:val="00DE64A6"/>
    <w:rsid w:val="00DF2D34"/>
    <w:rsid w:val="00DF4A1A"/>
    <w:rsid w:val="00E02C34"/>
    <w:rsid w:val="00E04D44"/>
    <w:rsid w:val="00E06A5B"/>
    <w:rsid w:val="00E0740F"/>
    <w:rsid w:val="00E13F89"/>
    <w:rsid w:val="00E1436A"/>
    <w:rsid w:val="00E1550F"/>
    <w:rsid w:val="00E16362"/>
    <w:rsid w:val="00E236D9"/>
    <w:rsid w:val="00E3059B"/>
    <w:rsid w:val="00E3532D"/>
    <w:rsid w:val="00E37D16"/>
    <w:rsid w:val="00E41AC2"/>
    <w:rsid w:val="00E46890"/>
    <w:rsid w:val="00E47E0B"/>
    <w:rsid w:val="00E506DB"/>
    <w:rsid w:val="00E507B3"/>
    <w:rsid w:val="00E51404"/>
    <w:rsid w:val="00E5197B"/>
    <w:rsid w:val="00E54E6B"/>
    <w:rsid w:val="00E5794C"/>
    <w:rsid w:val="00E61C12"/>
    <w:rsid w:val="00E63B75"/>
    <w:rsid w:val="00E63E1F"/>
    <w:rsid w:val="00E65749"/>
    <w:rsid w:val="00E66B79"/>
    <w:rsid w:val="00E703DB"/>
    <w:rsid w:val="00E75E75"/>
    <w:rsid w:val="00E77426"/>
    <w:rsid w:val="00E826FB"/>
    <w:rsid w:val="00E83195"/>
    <w:rsid w:val="00E8390E"/>
    <w:rsid w:val="00E8425A"/>
    <w:rsid w:val="00E9259D"/>
    <w:rsid w:val="00E93488"/>
    <w:rsid w:val="00E97B0A"/>
    <w:rsid w:val="00EA2B57"/>
    <w:rsid w:val="00EA606E"/>
    <w:rsid w:val="00EA72AA"/>
    <w:rsid w:val="00EB0F5C"/>
    <w:rsid w:val="00EB2774"/>
    <w:rsid w:val="00EB2897"/>
    <w:rsid w:val="00EB543C"/>
    <w:rsid w:val="00EB692C"/>
    <w:rsid w:val="00EC4403"/>
    <w:rsid w:val="00EC6584"/>
    <w:rsid w:val="00ED559F"/>
    <w:rsid w:val="00ED5718"/>
    <w:rsid w:val="00ED7DBE"/>
    <w:rsid w:val="00EE258F"/>
    <w:rsid w:val="00EE4C04"/>
    <w:rsid w:val="00EE63E9"/>
    <w:rsid w:val="00EE66AE"/>
    <w:rsid w:val="00EF05DE"/>
    <w:rsid w:val="00EF2A94"/>
    <w:rsid w:val="00EF34E7"/>
    <w:rsid w:val="00F024E6"/>
    <w:rsid w:val="00F07D07"/>
    <w:rsid w:val="00F14F99"/>
    <w:rsid w:val="00F159D9"/>
    <w:rsid w:val="00F2380A"/>
    <w:rsid w:val="00F32E14"/>
    <w:rsid w:val="00F41E74"/>
    <w:rsid w:val="00F43A86"/>
    <w:rsid w:val="00F445F6"/>
    <w:rsid w:val="00F475CD"/>
    <w:rsid w:val="00F51CFC"/>
    <w:rsid w:val="00F54835"/>
    <w:rsid w:val="00F54B5D"/>
    <w:rsid w:val="00F57A4D"/>
    <w:rsid w:val="00F602F5"/>
    <w:rsid w:val="00F60F23"/>
    <w:rsid w:val="00F71C40"/>
    <w:rsid w:val="00F71DC4"/>
    <w:rsid w:val="00F72FCE"/>
    <w:rsid w:val="00F7345C"/>
    <w:rsid w:val="00F766FD"/>
    <w:rsid w:val="00F8388C"/>
    <w:rsid w:val="00F8673D"/>
    <w:rsid w:val="00F90649"/>
    <w:rsid w:val="00F93F16"/>
    <w:rsid w:val="00F94B4C"/>
    <w:rsid w:val="00F95442"/>
    <w:rsid w:val="00F972FD"/>
    <w:rsid w:val="00FA5E17"/>
    <w:rsid w:val="00FA670D"/>
    <w:rsid w:val="00FB5E27"/>
    <w:rsid w:val="00FC15B4"/>
    <w:rsid w:val="00FC7212"/>
    <w:rsid w:val="00FD3DBD"/>
    <w:rsid w:val="00FD664A"/>
    <w:rsid w:val="00FE0CC7"/>
    <w:rsid w:val="00FE38B3"/>
    <w:rsid w:val="00FE4277"/>
    <w:rsid w:val="00FF5055"/>
    <w:rsid w:val="00FF51AF"/>
    <w:rsid w:val="00FF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8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DB"/>
    <w:pPr>
      <w:autoSpaceDE w:val="0"/>
      <w:autoSpaceDN w:val="0"/>
      <w:adjustRightInd w:val="0"/>
    </w:pPr>
  </w:style>
  <w:style w:type="paragraph" w:styleId="Heading1">
    <w:name w:val="heading 1"/>
    <w:basedOn w:val="Normal"/>
    <w:link w:val="Heading1Char"/>
    <w:uiPriority w:val="1"/>
    <w:qFormat/>
    <w:rsid w:val="00515D98"/>
    <w:pPr>
      <w:widowControl w:val="0"/>
      <w:autoSpaceDE/>
      <w:autoSpaceDN/>
      <w:adjustRightInd/>
      <w:ind w:left="140"/>
      <w:outlineLvl w:val="0"/>
    </w:pPr>
    <w:rPr>
      <w:rFonts w:ascii="Arial" w:eastAsia="Arial" w:hAnsi="Arial" w:cstheme="min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703DB"/>
    <w:pPr>
      <w:autoSpaceDE w:val="0"/>
      <w:autoSpaceDN w:val="0"/>
      <w:adjustRightInd w:val="0"/>
      <w:ind w:left="720"/>
    </w:pPr>
    <w:rPr>
      <w:sz w:val="24"/>
      <w:szCs w:val="24"/>
    </w:rPr>
  </w:style>
  <w:style w:type="character" w:customStyle="1" w:styleId="SYSHYPERTEXT">
    <w:name w:val="SYS_HYPERTEXT"/>
    <w:rsid w:val="00E703DB"/>
    <w:rPr>
      <w:color w:val="0000FF"/>
      <w:u w:val="single"/>
    </w:rPr>
  </w:style>
  <w:style w:type="paragraph" w:styleId="BalloonText">
    <w:name w:val="Balloon Text"/>
    <w:basedOn w:val="Normal"/>
    <w:semiHidden/>
    <w:rsid w:val="0052091A"/>
    <w:rPr>
      <w:rFonts w:ascii="Tahoma" w:hAnsi="Tahoma" w:cs="Tahoma"/>
      <w:sz w:val="16"/>
      <w:szCs w:val="16"/>
    </w:rPr>
  </w:style>
  <w:style w:type="character" w:styleId="Hyperlink">
    <w:name w:val="Hyperlink"/>
    <w:rsid w:val="00EB2774"/>
    <w:rPr>
      <w:color w:val="0000FF"/>
      <w:u w:val="single"/>
    </w:rPr>
  </w:style>
  <w:style w:type="character" w:styleId="CommentReference">
    <w:name w:val="annotation reference"/>
    <w:semiHidden/>
    <w:rsid w:val="00582756"/>
    <w:rPr>
      <w:sz w:val="16"/>
      <w:szCs w:val="16"/>
    </w:rPr>
  </w:style>
  <w:style w:type="paragraph" w:styleId="CommentText">
    <w:name w:val="annotation text"/>
    <w:basedOn w:val="Normal"/>
    <w:link w:val="CommentTextChar"/>
    <w:semiHidden/>
    <w:rsid w:val="00582756"/>
  </w:style>
  <w:style w:type="paragraph" w:styleId="CommentSubject">
    <w:name w:val="annotation subject"/>
    <w:basedOn w:val="CommentText"/>
    <w:next w:val="CommentText"/>
    <w:semiHidden/>
    <w:rsid w:val="00582756"/>
    <w:rPr>
      <w:b/>
      <w:bCs/>
    </w:rPr>
  </w:style>
  <w:style w:type="character" w:styleId="FollowedHyperlink">
    <w:name w:val="FollowedHyperlink"/>
    <w:rsid w:val="00F41E74"/>
    <w:rPr>
      <w:color w:val="800080"/>
      <w:u w:val="single"/>
    </w:rPr>
  </w:style>
  <w:style w:type="paragraph" w:customStyle="1" w:styleId="SmallerMainHeading">
    <w:name w:val="Smaller_Main_Heading"/>
    <w:basedOn w:val="Normal"/>
    <w:rsid w:val="00591CB8"/>
    <w:pPr>
      <w:autoSpaceDE/>
      <w:autoSpaceDN/>
      <w:adjustRightInd/>
    </w:pPr>
    <w:rPr>
      <w:rFonts w:ascii="Arial" w:hAnsi="Arial"/>
      <w:b/>
      <w:sz w:val="22"/>
      <w:szCs w:val="22"/>
    </w:rPr>
  </w:style>
  <w:style w:type="paragraph" w:styleId="Header">
    <w:name w:val="header"/>
    <w:basedOn w:val="Normal"/>
    <w:rsid w:val="008D25AA"/>
    <w:pPr>
      <w:tabs>
        <w:tab w:val="center" w:pos="4320"/>
        <w:tab w:val="right" w:pos="8640"/>
      </w:tabs>
    </w:pPr>
  </w:style>
  <w:style w:type="paragraph" w:styleId="DocumentMap">
    <w:name w:val="Document Map"/>
    <w:basedOn w:val="Normal"/>
    <w:semiHidden/>
    <w:rsid w:val="00BD6C99"/>
    <w:pPr>
      <w:shd w:val="clear" w:color="auto" w:fill="000080"/>
    </w:pPr>
    <w:rPr>
      <w:rFonts w:ascii="Tahoma" w:hAnsi="Tahoma" w:cs="Tahoma"/>
    </w:rPr>
  </w:style>
  <w:style w:type="paragraph" w:customStyle="1" w:styleId="Default">
    <w:name w:val="Default"/>
    <w:rsid w:val="00493605"/>
    <w:pPr>
      <w:autoSpaceDE w:val="0"/>
      <w:autoSpaceDN w:val="0"/>
      <w:adjustRightInd w:val="0"/>
    </w:pPr>
    <w:rPr>
      <w:color w:val="000000"/>
      <w:sz w:val="24"/>
      <w:szCs w:val="24"/>
    </w:rPr>
  </w:style>
  <w:style w:type="character" w:customStyle="1" w:styleId="apple-converted-space">
    <w:name w:val="apple-converted-space"/>
    <w:basedOn w:val="DefaultParagraphFont"/>
    <w:rsid w:val="00027B6D"/>
  </w:style>
  <w:style w:type="character" w:customStyle="1" w:styleId="CommentTextChar">
    <w:name w:val="Comment Text Char"/>
    <w:basedOn w:val="DefaultParagraphFont"/>
    <w:link w:val="CommentText"/>
    <w:semiHidden/>
    <w:rsid w:val="00BD73B5"/>
  </w:style>
  <w:style w:type="paragraph" w:styleId="ListParagraph">
    <w:name w:val="List Paragraph"/>
    <w:basedOn w:val="Normal"/>
    <w:uiPriority w:val="1"/>
    <w:qFormat/>
    <w:rsid w:val="004958A9"/>
    <w:pPr>
      <w:ind w:left="720"/>
      <w:contextualSpacing/>
    </w:pPr>
  </w:style>
  <w:style w:type="table" w:styleId="TableGrid">
    <w:name w:val="Table Grid"/>
    <w:basedOn w:val="TableNormal"/>
    <w:rsid w:val="00BB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137A"/>
  </w:style>
  <w:style w:type="character" w:customStyle="1" w:styleId="Heading1Char">
    <w:name w:val="Heading 1 Char"/>
    <w:basedOn w:val="DefaultParagraphFont"/>
    <w:link w:val="Heading1"/>
    <w:uiPriority w:val="1"/>
    <w:rsid w:val="00515D98"/>
    <w:rPr>
      <w:rFonts w:ascii="Arial" w:eastAsia="Arial" w:hAnsi="Arial" w:cstheme="minorBidi"/>
      <w:b/>
      <w:bCs/>
      <w:sz w:val="18"/>
      <w:szCs w:val="18"/>
    </w:rPr>
  </w:style>
  <w:style w:type="numbering" w:customStyle="1" w:styleId="NoList1">
    <w:name w:val="No List1"/>
    <w:next w:val="NoList"/>
    <w:uiPriority w:val="99"/>
    <w:semiHidden/>
    <w:unhideWhenUsed/>
    <w:rsid w:val="00515D98"/>
  </w:style>
  <w:style w:type="paragraph" w:styleId="BodyText">
    <w:name w:val="Body Text"/>
    <w:basedOn w:val="Normal"/>
    <w:link w:val="BodyTextChar"/>
    <w:uiPriority w:val="1"/>
    <w:qFormat/>
    <w:rsid w:val="00515D98"/>
    <w:pPr>
      <w:widowControl w:val="0"/>
      <w:autoSpaceDE/>
      <w:autoSpaceDN/>
      <w:adjustRightInd/>
      <w:ind w:left="140"/>
    </w:pPr>
    <w:rPr>
      <w:rFonts w:cstheme="minorBidi"/>
      <w:sz w:val="18"/>
      <w:szCs w:val="18"/>
    </w:rPr>
  </w:style>
  <w:style w:type="character" w:customStyle="1" w:styleId="BodyTextChar">
    <w:name w:val="Body Text Char"/>
    <w:basedOn w:val="DefaultParagraphFont"/>
    <w:link w:val="BodyText"/>
    <w:uiPriority w:val="1"/>
    <w:rsid w:val="00515D98"/>
    <w:rPr>
      <w:rFonts w:cstheme="minorBidi"/>
      <w:sz w:val="18"/>
      <w:szCs w:val="18"/>
    </w:rPr>
  </w:style>
  <w:style w:type="paragraph" w:customStyle="1" w:styleId="TableParagraph">
    <w:name w:val="Table Paragraph"/>
    <w:basedOn w:val="Normal"/>
    <w:uiPriority w:val="1"/>
    <w:qFormat/>
    <w:rsid w:val="00515D98"/>
    <w:pPr>
      <w:widowControl w:val="0"/>
      <w:autoSpaceDE/>
      <w:autoSpaceDN/>
      <w:adjustRightInd/>
    </w:pPr>
    <w:rPr>
      <w:rFonts w:asciiTheme="minorHAnsi" w:eastAsiaTheme="minorHAnsi" w:hAnsiTheme="minorHAnsi" w:cstheme="minorBidi"/>
      <w:sz w:val="22"/>
      <w:szCs w:val="22"/>
    </w:rPr>
  </w:style>
  <w:style w:type="paragraph" w:styleId="Footer">
    <w:name w:val="footer"/>
    <w:basedOn w:val="Normal"/>
    <w:link w:val="FooterChar"/>
    <w:unhideWhenUsed/>
    <w:rsid w:val="0037619C"/>
    <w:pPr>
      <w:tabs>
        <w:tab w:val="center" w:pos="4680"/>
        <w:tab w:val="right" w:pos="9360"/>
      </w:tabs>
    </w:pPr>
  </w:style>
  <w:style w:type="character" w:customStyle="1" w:styleId="FooterChar">
    <w:name w:val="Footer Char"/>
    <w:basedOn w:val="DefaultParagraphFont"/>
    <w:link w:val="Footer"/>
    <w:rsid w:val="00376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DB"/>
    <w:pPr>
      <w:autoSpaceDE w:val="0"/>
      <w:autoSpaceDN w:val="0"/>
      <w:adjustRightInd w:val="0"/>
    </w:pPr>
  </w:style>
  <w:style w:type="paragraph" w:styleId="Heading1">
    <w:name w:val="heading 1"/>
    <w:basedOn w:val="Normal"/>
    <w:link w:val="Heading1Char"/>
    <w:uiPriority w:val="1"/>
    <w:qFormat/>
    <w:rsid w:val="00515D98"/>
    <w:pPr>
      <w:widowControl w:val="0"/>
      <w:autoSpaceDE/>
      <w:autoSpaceDN/>
      <w:adjustRightInd/>
      <w:ind w:left="140"/>
      <w:outlineLvl w:val="0"/>
    </w:pPr>
    <w:rPr>
      <w:rFonts w:ascii="Arial" w:eastAsia="Arial" w:hAnsi="Arial" w:cstheme="min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703DB"/>
    <w:pPr>
      <w:autoSpaceDE w:val="0"/>
      <w:autoSpaceDN w:val="0"/>
      <w:adjustRightInd w:val="0"/>
      <w:ind w:left="720"/>
    </w:pPr>
    <w:rPr>
      <w:sz w:val="24"/>
      <w:szCs w:val="24"/>
    </w:rPr>
  </w:style>
  <w:style w:type="character" w:customStyle="1" w:styleId="SYSHYPERTEXT">
    <w:name w:val="SYS_HYPERTEXT"/>
    <w:rsid w:val="00E703DB"/>
    <w:rPr>
      <w:color w:val="0000FF"/>
      <w:u w:val="single"/>
    </w:rPr>
  </w:style>
  <w:style w:type="paragraph" w:styleId="BalloonText">
    <w:name w:val="Balloon Text"/>
    <w:basedOn w:val="Normal"/>
    <w:semiHidden/>
    <w:rsid w:val="0052091A"/>
    <w:rPr>
      <w:rFonts w:ascii="Tahoma" w:hAnsi="Tahoma" w:cs="Tahoma"/>
      <w:sz w:val="16"/>
      <w:szCs w:val="16"/>
    </w:rPr>
  </w:style>
  <w:style w:type="character" w:styleId="Hyperlink">
    <w:name w:val="Hyperlink"/>
    <w:rsid w:val="00EB2774"/>
    <w:rPr>
      <w:color w:val="0000FF"/>
      <w:u w:val="single"/>
    </w:rPr>
  </w:style>
  <w:style w:type="character" w:styleId="CommentReference">
    <w:name w:val="annotation reference"/>
    <w:semiHidden/>
    <w:rsid w:val="00582756"/>
    <w:rPr>
      <w:sz w:val="16"/>
      <w:szCs w:val="16"/>
    </w:rPr>
  </w:style>
  <w:style w:type="paragraph" w:styleId="CommentText">
    <w:name w:val="annotation text"/>
    <w:basedOn w:val="Normal"/>
    <w:link w:val="CommentTextChar"/>
    <w:semiHidden/>
    <w:rsid w:val="00582756"/>
  </w:style>
  <w:style w:type="paragraph" w:styleId="CommentSubject">
    <w:name w:val="annotation subject"/>
    <w:basedOn w:val="CommentText"/>
    <w:next w:val="CommentText"/>
    <w:semiHidden/>
    <w:rsid w:val="00582756"/>
    <w:rPr>
      <w:b/>
      <w:bCs/>
    </w:rPr>
  </w:style>
  <w:style w:type="character" w:styleId="FollowedHyperlink">
    <w:name w:val="FollowedHyperlink"/>
    <w:rsid w:val="00F41E74"/>
    <w:rPr>
      <w:color w:val="800080"/>
      <w:u w:val="single"/>
    </w:rPr>
  </w:style>
  <w:style w:type="paragraph" w:customStyle="1" w:styleId="SmallerMainHeading">
    <w:name w:val="Smaller_Main_Heading"/>
    <w:basedOn w:val="Normal"/>
    <w:rsid w:val="00591CB8"/>
    <w:pPr>
      <w:autoSpaceDE/>
      <w:autoSpaceDN/>
      <w:adjustRightInd/>
    </w:pPr>
    <w:rPr>
      <w:rFonts w:ascii="Arial" w:hAnsi="Arial"/>
      <w:b/>
      <w:sz w:val="22"/>
      <w:szCs w:val="22"/>
    </w:rPr>
  </w:style>
  <w:style w:type="paragraph" w:styleId="Header">
    <w:name w:val="header"/>
    <w:basedOn w:val="Normal"/>
    <w:rsid w:val="008D25AA"/>
    <w:pPr>
      <w:tabs>
        <w:tab w:val="center" w:pos="4320"/>
        <w:tab w:val="right" w:pos="8640"/>
      </w:tabs>
    </w:pPr>
  </w:style>
  <w:style w:type="paragraph" w:styleId="DocumentMap">
    <w:name w:val="Document Map"/>
    <w:basedOn w:val="Normal"/>
    <w:semiHidden/>
    <w:rsid w:val="00BD6C99"/>
    <w:pPr>
      <w:shd w:val="clear" w:color="auto" w:fill="000080"/>
    </w:pPr>
    <w:rPr>
      <w:rFonts w:ascii="Tahoma" w:hAnsi="Tahoma" w:cs="Tahoma"/>
    </w:rPr>
  </w:style>
  <w:style w:type="paragraph" w:customStyle="1" w:styleId="Default">
    <w:name w:val="Default"/>
    <w:rsid w:val="00493605"/>
    <w:pPr>
      <w:autoSpaceDE w:val="0"/>
      <w:autoSpaceDN w:val="0"/>
      <w:adjustRightInd w:val="0"/>
    </w:pPr>
    <w:rPr>
      <w:color w:val="000000"/>
      <w:sz w:val="24"/>
      <w:szCs w:val="24"/>
    </w:rPr>
  </w:style>
  <w:style w:type="character" w:customStyle="1" w:styleId="apple-converted-space">
    <w:name w:val="apple-converted-space"/>
    <w:basedOn w:val="DefaultParagraphFont"/>
    <w:rsid w:val="00027B6D"/>
  </w:style>
  <w:style w:type="character" w:customStyle="1" w:styleId="CommentTextChar">
    <w:name w:val="Comment Text Char"/>
    <w:basedOn w:val="DefaultParagraphFont"/>
    <w:link w:val="CommentText"/>
    <w:semiHidden/>
    <w:rsid w:val="00BD73B5"/>
  </w:style>
  <w:style w:type="paragraph" w:styleId="ListParagraph">
    <w:name w:val="List Paragraph"/>
    <w:basedOn w:val="Normal"/>
    <w:uiPriority w:val="1"/>
    <w:qFormat/>
    <w:rsid w:val="004958A9"/>
    <w:pPr>
      <w:ind w:left="720"/>
      <w:contextualSpacing/>
    </w:pPr>
  </w:style>
  <w:style w:type="table" w:styleId="TableGrid">
    <w:name w:val="Table Grid"/>
    <w:basedOn w:val="TableNormal"/>
    <w:rsid w:val="00BB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137A"/>
  </w:style>
  <w:style w:type="character" w:customStyle="1" w:styleId="Heading1Char">
    <w:name w:val="Heading 1 Char"/>
    <w:basedOn w:val="DefaultParagraphFont"/>
    <w:link w:val="Heading1"/>
    <w:uiPriority w:val="1"/>
    <w:rsid w:val="00515D98"/>
    <w:rPr>
      <w:rFonts w:ascii="Arial" w:eastAsia="Arial" w:hAnsi="Arial" w:cstheme="minorBidi"/>
      <w:b/>
      <w:bCs/>
      <w:sz w:val="18"/>
      <w:szCs w:val="18"/>
    </w:rPr>
  </w:style>
  <w:style w:type="numbering" w:customStyle="1" w:styleId="NoList1">
    <w:name w:val="No List1"/>
    <w:next w:val="NoList"/>
    <w:uiPriority w:val="99"/>
    <w:semiHidden/>
    <w:unhideWhenUsed/>
    <w:rsid w:val="00515D98"/>
  </w:style>
  <w:style w:type="paragraph" w:styleId="BodyText">
    <w:name w:val="Body Text"/>
    <w:basedOn w:val="Normal"/>
    <w:link w:val="BodyTextChar"/>
    <w:uiPriority w:val="1"/>
    <w:qFormat/>
    <w:rsid w:val="00515D98"/>
    <w:pPr>
      <w:widowControl w:val="0"/>
      <w:autoSpaceDE/>
      <w:autoSpaceDN/>
      <w:adjustRightInd/>
      <w:ind w:left="140"/>
    </w:pPr>
    <w:rPr>
      <w:rFonts w:cstheme="minorBidi"/>
      <w:sz w:val="18"/>
      <w:szCs w:val="18"/>
    </w:rPr>
  </w:style>
  <w:style w:type="character" w:customStyle="1" w:styleId="BodyTextChar">
    <w:name w:val="Body Text Char"/>
    <w:basedOn w:val="DefaultParagraphFont"/>
    <w:link w:val="BodyText"/>
    <w:uiPriority w:val="1"/>
    <w:rsid w:val="00515D98"/>
    <w:rPr>
      <w:rFonts w:cstheme="minorBidi"/>
      <w:sz w:val="18"/>
      <w:szCs w:val="18"/>
    </w:rPr>
  </w:style>
  <w:style w:type="paragraph" w:customStyle="1" w:styleId="TableParagraph">
    <w:name w:val="Table Paragraph"/>
    <w:basedOn w:val="Normal"/>
    <w:uiPriority w:val="1"/>
    <w:qFormat/>
    <w:rsid w:val="00515D98"/>
    <w:pPr>
      <w:widowControl w:val="0"/>
      <w:autoSpaceDE/>
      <w:autoSpaceDN/>
      <w:adjustRightInd/>
    </w:pPr>
    <w:rPr>
      <w:rFonts w:asciiTheme="minorHAnsi" w:eastAsiaTheme="minorHAnsi" w:hAnsiTheme="minorHAnsi" w:cstheme="minorBidi"/>
      <w:sz w:val="22"/>
      <w:szCs w:val="22"/>
    </w:rPr>
  </w:style>
  <w:style w:type="paragraph" w:styleId="Footer">
    <w:name w:val="footer"/>
    <w:basedOn w:val="Normal"/>
    <w:link w:val="FooterChar"/>
    <w:unhideWhenUsed/>
    <w:rsid w:val="0037619C"/>
    <w:pPr>
      <w:tabs>
        <w:tab w:val="center" w:pos="4680"/>
        <w:tab w:val="right" w:pos="9360"/>
      </w:tabs>
    </w:pPr>
  </w:style>
  <w:style w:type="character" w:customStyle="1" w:styleId="FooterChar">
    <w:name w:val="Footer Char"/>
    <w:basedOn w:val="DefaultParagraphFont"/>
    <w:link w:val="Footer"/>
    <w:rsid w:val="0037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7593">
      <w:bodyDiv w:val="1"/>
      <w:marLeft w:val="0"/>
      <w:marRight w:val="0"/>
      <w:marTop w:val="0"/>
      <w:marBottom w:val="0"/>
      <w:divBdr>
        <w:top w:val="none" w:sz="0" w:space="0" w:color="auto"/>
        <w:left w:val="none" w:sz="0" w:space="0" w:color="auto"/>
        <w:bottom w:val="none" w:sz="0" w:space="0" w:color="auto"/>
        <w:right w:val="none" w:sz="0" w:space="0" w:color="auto"/>
      </w:divBdr>
    </w:div>
    <w:div w:id="119038383">
      <w:bodyDiv w:val="1"/>
      <w:marLeft w:val="0"/>
      <w:marRight w:val="0"/>
      <w:marTop w:val="0"/>
      <w:marBottom w:val="0"/>
      <w:divBdr>
        <w:top w:val="none" w:sz="0" w:space="0" w:color="auto"/>
        <w:left w:val="none" w:sz="0" w:space="0" w:color="auto"/>
        <w:bottom w:val="none" w:sz="0" w:space="0" w:color="auto"/>
        <w:right w:val="none" w:sz="0" w:space="0" w:color="auto"/>
      </w:divBdr>
    </w:div>
    <w:div w:id="366609793">
      <w:bodyDiv w:val="1"/>
      <w:marLeft w:val="0"/>
      <w:marRight w:val="0"/>
      <w:marTop w:val="0"/>
      <w:marBottom w:val="0"/>
      <w:divBdr>
        <w:top w:val="none" w:sz="0" w:space="0" w:color="auto"/>
        <w:left w:val="none" w:sz="0" w:space="0" w:color="auto"/>
        <w:bottom w:val="none" w:sz="0" w:space="0" w:color="auto"/>
        <w:right w:val="none" w:sz="0" w:space="0" w:color="auto"/>
      </w:divBdr>
    </w:div>
    <w:div w:id="375668286">
      <w:bodyDiv w:val="1"/>
      <w:marLeft w:val="0"/>
      <w:marRight w:val="0"/>
      <w:marTop w:val="0"/>
      <w:marBottom w:val="0"/>
      <w:divBdr>
        <w:top w:val="none" w:sz="0" w:space="0" w:color="auto"/>
        <w:left w:val="none" w:sz="0" w:space="0" w:color="auto"/>
        <w:bottom w:val="none" w:sz="0" w:space="0" w:color="auto"/>
        <w:right w:val="none" w:sz="0" w:space="0" w:color="auto"/>
      </w:divBdr>
    </w:div>
    <w:div w:id="459960178">
      <w:bodyDiv w:val="1"/>
      <w:marLeft w:val="0"/>
      <w:marRight w:val="0"/>
      <w:marTop w:val="0"/>
      <w:marBottom w:val="0"/>
      <w:divBdr>
        <w:top w:val="none" w:sz="0" w:space="0" w:color="auto"/>
        <w:left w:val="none" w:sz="0" w:space="0" w:color="auto"/>
        <w:bottom w:val="none" w:sz="0" w:space="0" w:color="auto"/>
        <w:right w:val="none" w:sz="0" w:space="0" w:color="auto"/>
      </w:divBdr>
    </w:div>
    <w:div w:id="597061616">
      <w:bodyDiv w:val="1"/>
      <w:marLeft w:val="0"/>
      <w:marRight w:val="0"/>
      <w:marTop w:val="0"/>
      <w:marBottom w:val="0"/>
      <w:divBdr>
        <w:top w:val="none" w:sz="0" w:space="0" w:color="auto"/>
        <w:left w:val="none" w:sz="0" w:space="0" w:color="auto"/>
        <w:bottom w:val="none" w:sz="0" w:space="0" w:color="auto"/>
        <w:right w:val="none" w:sz="0" w:space="0" w:color="auto"/>
      </w:divBdr>
    </w:div>
    <w:div w:id="614484216">
      <w:bodyDiv w:val="1"/>
      <w:marLeft w:val="0"/>
      <w:marRight w:val="0"/>
      <w:marTop w:val="0"/>
      <w:marBottom w:val="0"/>
      <w:divBdr>
        <w:top w:val="none" w:sz="0" w:space="0" w:color="auto"/>
        <w:left w:val="none" w:sz="0" w:space="0" w:color="auto"/>
        <w:bottom w:val="none" w:sz="0" w:space="0" w:color="auto"/>
        <w:right w:val="none" w:sz="0" w:space="0" w:color="auto"/>
      </w:divBdr>
    </w:div>
    <w:div w:id="682827152">
      <w:bodyDiv w:val="1"/>
      <w:marLeft w:val="0"/>
      <w:marRight w:val="0"/>
      <w:marTop w:val="0"/>
      <w:marBottom w:val="0"/>
      <w:divBdr>
        <w:top w:val="none" w:sz="0" w:space="0" w:color="auto"/>
        <w:left w:val="none" w:sz="0" w:space="0" w:color="auto"/>
        <w:bottom w:val="none" w:sz="0" w:space="0" w:color="auto"/>
        <w:right w:val="none" w:sz="0" w:space="0" w:color="auto"/>
      </w:divBdr>
    </w:div>
    <w:div w:id="1430278653">
      <w:bodyDiv w:val="1"/>
      <w:marLeft w:val="0"/>
      <w:marRight w:val="0"/>
      <w:marTop w:val="0"/>
      <w:marBottom w:val="0"/>
      <w:divBdr>
        <w:top w:val="none" w:sz="0" w:space="0" w:color="auto"/>
        <w:left w:val="none" w:sz="0" w:space="0" w:color="auto"/>
        <w:bottom w:val="none" w:sz="0" w:space="0" w:color="auto"/>
        <w:right w:val="none" w:sz="0" w:space="0" w:color="auto"/>
      </w:divBdr>
    </w:div>
    <w:div w:id="1506048532">
      <w:bodyDiv w:val="1"/>
      <w:marLeft w:val="0"/>
      <w:marRight w:val="0"/>
      <w:marTop w:val="0"/>
      <w:marBottom w:val="0"/>
      <w:divBdr>
        <w:top w:val="none" w:sz="0" w:space="0" w:color="auto"/>
        <w:left w:val="none" w:sz="0" w:space="0" w:color="auto"/>
        <w:bottom w:val="none" w:sz="0" w:space="0" w:color="auto"/>
        <w:right w:val="none" w:sz="0" w:space="0" w:color="auto"/>
      </w:divBdr>
    </w:div>
    <w:div w:id="1522088793">
      <w:bodyDiv w:val="1"/>
      <w:marLeft w:val="0"/>
      <w:marRight w:val="0"/>
      <w:marTop w:val="0"/>
      <w:marBottom w:val="0"/>
      <w:divBdr>
        <w:top w:val="none" w:sz="0" w:space="0" w:color="auto"/>
        <w:left w:val="none" w:sz="0" w:space="0" w:color="auto"/>
        <w:bottom w:val="none" w:sz="0" w:space="0" w:color="auto"/>
        <w:right w:val="none" w:sz="0" w:space="0" w:color="auto"/>
      </w:divBdr>
    </w:div>
    <w:div w:id="1760172813">
      <w:bodyDiv w:val="1"/>
      <w:marLeft w:val="0"/>
      <w:marRight w:val="0"/>
      <w:marTop w:val="0"/>
      <w:marBottom w:val="0"/>
      <w:divBdr>
        <w:top w:val="none" w:sz="0" w:space="0" w:color="auto"/>
        <w:left w:val="none" w:sz="0" w:space="0" w:color="auto"/>
        <w:bottom w:val="none" w:sz="0" w:space="0" w:color="auto"/>
        <w:right w:val="none" w:sz="0" w:space="0" w:color="auto"/>
      </w:divBdr>
    </w:div>
    <w:div w:id="1781950402">
      <w:bodyDiv w:val="1"/>
      <w:marLeft w:val="0"/>
      <w:marRight w:val="0"/>
      <w:marTop w:val="0"/>
      <w:marBottom w:val="0"/>
      <w:divBdr>
        <w:top w:val="none" w:sz="0" w:space="0" w:color="auto"/>
        <w:left w:val="none" w:sz="0" w:space="0" w:color="auto"/>
        <w:bottom w:val="none" w:sz="0" w:space="0" w:color="auto"/>
        <w:right w:val="none" w:sz="0" w:space="0" w:color="auto"/>
      </w:divBdr>
    </w:div>
    <w:div w:id="1813328821">
      <w:bodyDiv w:val="1"/>
      <w:marLeft w:val="0"/>
      <w:marRight w:val="0"/>
      <w:marTop w:val="0"/>
      <w:marBottom w:val="0"/>
      <w:divBdr>
        <w:top w:val="none" w:sz="0" w:space="0" w:color="auto"/>
        <w:left w:val="none" w:sz="0" w:space="0" w:color="auto"/>
        <w:bottom w:val="none" w:sz="0" w:space="0" w:color="auto"/>
        <w:right w:val="none" w:sz="0" w:space="0" w:color="auto"/>
      </w:divBdr>
    </w:div>
    <w:div w:id="1835755595">
      <w:bodyDiv w:val="1"/>
      <w:marLeft w:val="0"/>
      <w:marRight w:val="0"/>
      <w:marTop w:val="0"/>
      <w:marBottom w:val="0"/>
      <w:divBdr>
        <w:top w:val="none" w:sz="0" w:space="0" w:color="auto"/>
        <w:left w:val="none" w:sz="0" w:space="0" w:color="auto"/>
        <w:bottom w:val="none" w:sz="0" w:space="0" w:color="auto"/>
        <w:right w:val="none" w:sz="0" w:space="0" w:color="auto"/>
      </w:divBdr>
    </w:div>
    <w:div w:id="20730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7684-9E32-48AB-B26F-A7C72DE0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Justification for Evaluation/Reporting System (E/RS4)</vt:lpstr>
    </vt:vector>
  </TitlesOfParts>
  <Company>USDA</Company>
  <LinksUpToDate>false</LinksUpToDate>
  <CharactersWithSpaces>2705</CharactersWithSpaces>
  <SharedDoc>false</SharedDoc>
  <HLinks>
    <vt:vector size="60" baseType="variant">
      <vt:variant>
        <vt:i4>3735676</vt:i4>
      </vt:variant>
      <vt:variant>
        <vt:i4>29</vt:i4>
      </vt:variant>
      <vt:variant>
        <vt:i4>0</vt:i4>
      </vt:variant>
      <vt:variant>
        <vt:i4>5</vt:i4>
      </vt:variant>
      <vt:variant>
        <vt:lpwstr>http://www.csrees.usda.gov/nea/food/efnep/impacts.html</vt:lpwstr>
      </vt:variant>
      <vt:variant>
        <vt:lpwstr/>
      </vt:variant>
      <vt:variant>
        <vt:i4>2621532</vt:i4>
      </vt:variant>
      <vt:variant>
        <vt:i4>26</vt:i4>
      </vt:variant>
      <vt:variant>
        <vt:i4>0</vt:i4>
      </vt:variant>
      <vt:variant>
        <vt:i4>5</vt:i4>
      </vt:variant>
      <vt:variant>
        <vt:lpwstr>mailto:misner@ag.arizona.edu</vt:lpwstr>
      </vt:variant>
      <vt:variant>
        <vt:lpwstr/>
      </vt:variant>
      <vt:variant>
        <vt:i4>5570680</vt:i4>
      </vt:variant>
      <vt:variant>
        <vt:i4>23</vt:i4>
      </vt:variant>
      <vt:variant>
        <vt:i4>0</vt:i4>
      </vt:variant>
      <vt:variant>
        <vt:i4>5</vt:i4>
      </vt:variant>
      <vt:variant>
        <vt:lpwstr>mailto:rubycox@vt.edu</vt:lpwstr>
      </vt:variant>
      <vt:variant>
        <vt:lpwstr/>
      </vt:variant>
      <vt:variant>
        <vt:i4>7995466</vt:i4>
      </vt:variant>
      <vt:variant>
        <vt:i4>20</vt:i4>
      </vt:variant>
      <vt:variant>
        <vt:i4>0</vt:i4>
      </vt:variant>
      <vt:variant>
        <vt:i4>5</vt:i4>
      </vt:variant>
      <vt:variant>
        <vt:lpwstr>mailto:emayes@wsu.edu</vt:lpwstr>
      </vt:variant>
      <vt:variant>
        <vt:lpwstr/>
      </vt:variant>
      <vt:variant>
        <vt:i4>7733296</vt:i4>
      </vt:variant>
      <vt:variant>
        <vt:i4>17</vt:i4>
      </vt:variant>
      <vt:variant>
        <vt:i4>0</vt:i4>
      </vt:variant>
      <vt:variant>
        <vt:i4>5</vt:i4>
      </vt:variant>
      <vt:variant>
        <vt:lpwstr>http://www.nifa.usda.gov/neers5</vt:lpwstr>
      </vt:variant>
      <vt:variant>
        <vt:lpwstr/>
      </vt:variant>
      <vt:variant>
        <vt:i4>3735676</vt:i4>
      </vt:variant>
      <vt:variant>
        <vt:i4>14</vt:i4>
      </vt:variant>
      <vt:variant>
        <vt:i4>0</vt:i4>
      </vt:variant>
      <vt:variant>
        <vt:i4>5</vt:i4>
      </vt:variant>
      <vt:variant>
        <vt:lpwstr>http://www.csrees.usda.gov/nea/food/efnep/impacts.html</vt:lpwstr>
      </vt:variant>
      <vt:variant>
        <vt:lpwstr/>
      </vt:variant>
      <vt:variant>
        <vt:i4>4522005</vt:i4>
      </vt:variant>
      <vt:variant>
        <vt:i4>11</vt:i4>
      </vt:variant>
      <vt:variant>
        <vt:i4>0</vt:i4>
      </vt:variant>
      <vt:variant>
        <vt:i4>5</vt:i4>
      </vt:variant>
      <vt:variant>
        <vt:lpwstr>http://www.reeusda.gov/f4hn/efnep/efnep.htm.</vt:lpwstr>
      </vt:variant>
      <vt:variant>
        <vt:lpwstr/>
      </vt:variant>
      <vt:variant>
        <vt:i4>655453</vt:i4>
      </vt:variant>
      <vt:variant>
        <vt:i4>8</vt:i4>
      </vt:variant>
      <vt:variant>
        <vt:i4>0</vt:i4>
      </vt:variant>
      <vt:variant>
        <vt:i4>5</vt:i4>
      </vt:variant>
      <vt:variant>
        <vt:lpwstr>http://www.csrees.usda.gov/neers5</vt:lpwstr>
      </vt:variant>
      <vt:variant>
        <vt:lpwstr/>
      </vt:variant>
      <vt:variant>
        <vt:i4>3735676</vt:i4>
      </vt:variant>
      <vt:variant>
        <vt:i4>5</vt:i4>
      </vt:variant>
      <vt:variant>
        <vt:i4>0</vt:i4>
      </vt:variant>
      <vt:variant>
        <vt:i4>5</vt:i4>
      </vt:variant>
      <vt:variant>
        <vt:lpwstr>http://www.csrees.usda.gov/nea/food/efnep/impacts.html</vt:lpwstr>
      </vt:variant>
      <vt:variant>
        <vt:lpwstr/>
      </vt:variant>
      <vt:variant>
        <vt:i4>4522001</vt:i4>
      </vt:variant>
      <vt:variant>
        <vt:i4>2</vt:i4>
      </vt:variant>
      <vt:variant>
        <vt:i4>0</vt:i4>
      </vt:variant>
      <vt:variant>
        <vt:i4>5</vt:i4>
      </vt:variant>
      <vt:variant>
        <vt:lpwstr>http://www.nifa.usda.gov/nea/food/efnep/impacts.html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Evaluation/Reporting System (E/RS4)</dc:title>
  <dc:creator>Jason Hitchcock</dc:creator>
  <cp:keywords>2012;efnep;final;nifa</cp:keywords>
  <cp:lastModifiedBy>SYSTEM</cp:lastModifiedBy>
  <cp:revision>2</cp:revision>
  <cp:lastPrinted>2016-01-19T18:38:00Z</cp:lastPrinted>
  <dcterms:created xsi:type="dcterms:W3CDTF">2019-06-28T14:43:00Z</dcterms:created>
  <dcterms:modified xsi:type="dcterms:W3CDTF">2019-06-28T14:43:00Z</dcterms:modified>
</cp:coreProperties>
</file>