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0B5" w:rsidRDefault="00B32B88" w14:paraId="70611DA3" w14:textId="77777777">
      <w:pPr>
        <w:keepLines/>
        <w:jc w:val="center"/>
        <w:rPr>
          <w:b/>
        </w:rPr>
      </w:pPr>
      <w:bookmarkStart w:name="_gjdgxs" w:colFirst="0" w:colLast="0" w:id="0"/>
      <w:bookmarkStart w:name="_GoBack" w:id="1"/>
      <w:bookmarkEnd w:id="0"/>
      <w:bookmarkEnd w:id="1"/>
      <w:r>
        <w:rPr>
          <w:b/>
        </w:rPr>
        <w:t>SUPPORTING STATEMENT PART B</w:t>
      </w:r>
    </w:p>
    <w:p w:rsidR="00CD50B5" w:rsidRDefault="00B32B88" w14:paraId="58BAE987" w14:textId="77777777">
      <w:pPr>
        <w:jc w:val="center"/>
        <w:rPr>
          <w:b/>
        </w:rPr>
      </w:pPr>
      <w:r>
        <w:rPr>
          <w:b/>
        </w:rPr>
        <w:t>ALASKA REGION CRAB ECONOMIC DATA REPORTS (EDR)</w:t>
      </w:r>
    </w:p>
    <w:p w:rsidR="00CD50B5" w:rsidRDefault="00B32B88" w14:paraId="159DCEDD" w14:textId="77777777">
      <w:pPr>
        <w:jc w:val="center"/>
        <w:rPr>
          <w:b/>
        </w:rPr>
      </w:pPr>
      <w:r>
        <w:rPr>
          <w:b/>
        </w:rPr>
        <w:t>OMB CONTROL NO. 0648-0518</w:t>
      </w:r>
    </w:p>
    <w:p w:rsidR="00CD50B5" w:rsidRDefault="00CD50B5" w14:paraId="6215C08F" w14:textId="77777777">
      <w:pPr>
        <w:rPr>
          <w:b/>
        </w:rPr>
      </w:pPr>
    </w:p>
    <w:p w:rsidR="00CD50B5" w:rsidRDefault="00CD50B5" w14:paraId="77892AB4" w14:textId="77777777">
      <w:pPr>
        <w:rPr>
          <w:b/>
        </w:rPr>
      </w:pPr>
    </w:p>
    <w:p w:rsidR="00CD50B5" w:rsidRDefault="00B32B88" w14:paraId="643825C9" w14:textId="77777777">
      <w:pPr>
        <w:rPr>
          <w:b/>
        </w:rPr>
      </w:pPr>
      <w:r>
        <w:rPr>
          <w:b/>
        </w:rPr>
        <w:t>B.  COLLECTIONS OF INFORMATION EMPLOYING STATISTICAL METHODS</w:t>
      </w:r>
    </w:p>
    <w:p w:rsidR="00CD50B5" w:rsidRDefault="00CD50B5" w14:paraId="590E8D86" w14:textId="77777777"/>
    <w:p w:rsidR="00CD50B5" w:rsidRDefault="00B32B88" w14:paraId="1E583109" w14:textId="77777777">
      <w:r>
        <w:t>The Council developed the following purpose and need statement defining its rationale for considering this action:</w:t>
      </w:r>
    </w:p>
    <w:p w:rsidR="00CD50B5" w:rsidRDefault="00CD50B5" w14:paraId="385DFA91" w14:textId="77777777"/>
    <w:p w:rsidR="00CD50B5" w:rsidRDefault="00B32B88" w14:paraId="08624D6B" w14:textId="77777777">
      <w:pPr>
        <w:ind w:left="720" w:right="720"/>
        <w:rPr>
          <w:i/>
        </w:rPr>
      </w:pPr>
      <w:r>
        <w:rPr>
          <w:i/>
        </w:rPr>
        <w:t>As a part of its Bering Sea and Aleutian Island crab rationalization (CR) program, the Council developed a comprehensive economic data collection (EDR) program to provide information to analysts to assess the effects of the CR program and identify problems that may require future amendments to the EDR program.</w:t>
      </w:r>
    </w:p>
    <w:p w:rsidR="00CD50B5" w:rsidRDefault="00CD50B5" w14:paraId="3E40B2F3" w14:textId="77777777">
      <w:pPr>
        <w:ind w:left="720" w:right="720"/>
        <w:rPr>
          <w:i/>
        </w:rPr>
      </w:pPr>
    </w:p>
    <w:p w:rsidR="00CD50B5" w:rsidRDefault="00B32B88" w14:paraId="531DED24" w14:textId="77777777">
      <w:pPr>
        <w:ind w:left="720" w:right="720"/>
        <w:rPr>
          <w:i/>
        </w:rPr>
      </w:pPr>
      <w:r>
        <w:rPr>
          <w:i/>
        </w:rPr>
        <w:t>The Council expressly wants to limit the EDR to the collection of data that have been demonstrated, through the development of the EDR metadata, and other reviews of the data, to be sufficiently accurate. Data collection should be structured and specific elements identified, to minimize costs while maintaining accuracy and providing the greatest information value to the management decision making process.</w:t>
      </w:r>
    </w:p>
    <w:p w:rsidR="00CD50B5" w:rsidRDefault="00CD50B5" w14:paraId="3E1F6841" w14:textId="77777777">
      <w:pPr>
        <w:ind w:left="720" w:right="720"/>
        <w:rPr>
          <w:i/>
        </w:rPr>
      </w:pPr>
    </w:p>
    <w:p w:rsidR="00CD50B5" w:rsidRDefault="00B32B88" w14:paraId="55EF47D9" w14:textId="77777777">
      <w:pPr>
        <w:ind w:left="720" w:right="720"/>
        <w:rPr>
          <w:i/>
        </w:rPr>
      </w:pPr>
      <w:r>
        <w:rPr>
          <w:i/>
        </w:rPr>
        <w:t>As analysts develop, refine, and verify methods for accurately collecting additional informative data elements, the Council will consider expansion of the data collection program to include those elements.  This process can also inform the future Council action regarding other existing and future EDR programs.</w:t>
      </w:r>
    </w:p>
    <w:p w:rsidR="00CD50B5" w:rsidRDefault="00CD50B5" w14:paraId="57A43F8D" w14:textId="77777777">
      <w:pPr>
        <w:ind w:left="720" w:right="720"/>
        <w:rPr>
          <w:i/>
        </w:rPr>
      </w:pPr>
    </w:p>
    <w:p w:rsidR="00CD50B5" w:rsidRDefault="00CD50B5" w14:paraId="5326D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D50B5" w:rsidRDefault="00B32B88" w14:paraId="14220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D50B5" w:rsidRDefault="00CD50B5" w14:paraId="78BFE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D50B5" w:rsidRDefault="00B32B88" w14:paraId="75142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data collection process is in the form of a census; therefore, all vessel and plant owners are required to fill out the EDRs or certification section, as applicable. The response rate is expected to be 100 percent, as it was in 2018. </w:t>
      </w:r>
    </w:p>
    <w:p w:rsidR="00CD50B5" w:rsidRDefault="00CD50B5" w14:paraId="227D2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36C0E717" w14:textId="77777777">
      <w:pPr>
        <w:keepNext/>
        <w:jc w:val="center"/>
        <w:rPr>
          <w:b/>
          <w:sz w:val="22"/>
          <w:szCs w:val="22"/>
        </w:rPr>
      </w:pPr>
      <w:r>
        <w:rPr>
          <w:b/>
          <w:sz w:val="22"/>
          <w:szCs w:val="22"/>
        </w:rPr>
        <w:t>Information Collection</w:t>
      </w:r>
    </w:p>
    <w:tbl>
      <w:tblPr>
        <w:tblStyle w:val="a"/>
        <w:tblW w:w="90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00"/>
        <w:gridCol w:w="2880"/>
        <w:gridCol w:w="2610"/>
      </w:tblGrid>
      <w:tr w:rsidR="00CD50B5" w14:paraId="5A3F4673" w14:textId="77777777">
        <w:trPr>
          <w:trHeight w:val="685"/>
        </w:trPr>
        <w:tc>
          <w:tcPr>
            <w:tcW w:w="3600" w:type="dxa"/>
            <w:tcBorders>
              <w:top w:val="single" w:color="000000" w:sz="4" w:space="0"/>
            </w:tcBorders>
            <w:shd w:val="clear" w:color="auto" w:fill="DEEAF6"/>
            <w:vAlign w:val="center"/>
          </w:tcPr>
          <w:p w:rsidR="00CD50B5" w:rsidRDefault="00B32B88" w14:paraId="216E33D3" w14:textId="77777777">
            <w:pPr>
              <w:keepNext/>
              <w:jc w:val="center"/>
              <w:rPr>
                <w:b/>
                <w:sz w:val="22"/>
                <w:szCs w:val="22"/>
              </w:rPr>
            </w:pPr>
            <w:r>
              <w:rPr>
                <w:b/>
                <w:sz w:val="22"/>
                <w:szCs w:val="22"/>
              </w:rPr>
              <w:t>Information Collection</w:t>
            </w:r>
          </w:p>
        </w:tc>
        <w:tc>
          <w:tcPr>
            <w:tcW w:w="2880" w:type="dxa"/>
            <w:tcBorders>
              <w:top w:val="single" w:color="000000" w:sz="4" w:space="0"/>
              <w:bottom w:val="single" w:color="000000" w:sz="4" w:space="0"/>
            </w:tcBorders>
            <w:shd w:val="clear" w:color="auto" w:fill="DEEAF6"/>
            <w:vAlign w:val="center"/>
          </w:tcPr>
          <w:p w:rsidR="00CD50B5" w:rsidRDefault="00B32B88" w14:paraId="1BC6F0A8" w14:textId="77777777">
            <w:pPr>
              <w:keepNext/>
              <w:jc w:val="center"/>
              <w:rPr>
                <w:b/>
                <w:sz w:val="22"/>
                <w:szCs w:val="22"/>
              </w:rPr>
            </w:pPr>
            <w:r>
              <w:rPr>
                <w:b/>
                <w:sz w:val="22"/>
                <w:szCs w:val="22"/>
              </w:rPr>
              <w:t>Number of respondents</w:t>
            </w:r>
          </w:p>
        </w:tc>
        <w:tc>
          <w:tcPr>
            <w:tcW w:w="2610" w:type="dxa"/>
            <w:tcBorders>
              <w:top w:val="single" w:color="000000" w:sz="4" w:space="0"/>
              <w:bottom w:val="single" w:color="000000" w:sz="4" w:space="0"/>
            </w:tcBorders>
            <w:shd w:val="clear" w:color="auto" w:fill="DEEAF6"/>
            <w:vAlign w:val="center"/>
          </w:tcPr>
          <w:p w:rsidR="00CD50B5" w:rsidRDefault="00B32B88" w14:paraId="3A0B300D" w14:textId="77777777">
            <w:pPr>
              <w:keepNext/>
              <w:jc w:val="center"/>
              <w:rPr>
                <w:b/>
                <w:sz w:val="22"/>
                <w:szCs w:val="22"/>
              </w:rPr>
            </w:pPr>
            <w:r>
              <w:rPr>
                <w:b/>
                <w:sz w:val="22"/>
                <w:szCs w:val="22"/>
              </w:rPr>
              <w:t>Total annual responses</w:t>
            </w:r>
          </w:p>
        </w:tc>
      </w:tr>
      <w:tr w:rsidR="00CD50B5" w14:paraId="0441BCF9" w14:textId="77777777">
        <w:trPr>
          <w:trHeight w:val="288"/>
        </w:trPr>
        <w:tc>
          <w:tcPr>
            <w:tcW w:w="3600" w:type="dxa"/>
            <w:vMerge w:val="restart"/>
            <w:tcBorders>
              <w:right w:val="single" w:color="000000" w:sz="4" w:space="0"/>
            </w:tcBorders>
            <w:shd w:val="clear" w:color="auto" w:fill="auto"/>
            <w:vAlign w:val="center"/>
          </w:tcPr>
          <w:p w:rsidR="00CD50B5" w:rsidRDefault="00B32B88" w14:paraId="487EA0EA" w14:textId="77777777">
            <w:pPr>
              <w:keepNext/>
              <w:rPr>
                <w:sz w:val="22"/>
                <w:szCs w:val="22"/>
              </w:rPr>
            </w:pPr>
            <w:r>
              <w:rPr>
                <w:sz w:val="22"/>
                <w:szCs w:val="22"/>
              </w:rPr>
              <w:t xml:space="preserve">Annual Catcher Vessel Crab EDR </w:t>
            </w:r>
          </w:p>
        </w:tc>
        <w:tc>
          <w:tcPr>
            <w:tcW w:w="2880" w:type="dxa"/>
            <w:tcBorders>
              <w:top w:val="single" w:color="000000" w:sz="4" w:space="0"/>
              <w:left w:val="single" w:color="000000" w:sz="4" w:space="0"/>
              <w:bottom w:val="dotted" w:color="000000" w:sz="4" w:space="0"/>
              <w:right w:val="single" w:color="000000" w:sz="4" w:space="0"/>
            </w:tcBorders>
            <w:shd w:val="clear" w:color="auto" w:fill="auto"/>
            <w:vAlign w:val="center"/>
          </w:tcPr>
          <w:p w:rsidR="00CD50B5" w:rsidRDefault="00B32B88" w14:paraId="3CF00381" w14:textId="77777777">
            <w:pPr>
              <w:keepNext/>
              <w:jc w:val="center"/>
              <w:rPr>
                <w:sz w:val="22"/>
                <w:szCs w:val="22"/>
              </w:rPr>
            </w:pPr>
            <w:r>
              <w:rPr>
                <w:sz w:val="22"/>
                <w:szCs w:val="22"/>
              </w:rPr>
              <w:t>70 – full EDR</w:t>
            </w:r>
          </w:p>
        </w:tc>
        <w:tc>
          <w:tcPr>
            <w:tcW w:w="2610" w:type="dxa"/>
            <w:tcBorders>
              <w:top w:val="single" w:color="000000" w:sz="4" w:space="0"/>
              <w:left w:val="single" w:color="000000" w:sz="4" w:space="0"/>
              <w:bottom w:val="dotted" w:color="000000" w:sz="4" w:space="0"/>
              <w:right w:val="single" w:color="000000" w:sz="4" w:space="0"/>
            </w:tcBorders>
            <w:vAlign w:val="center"/>
          </w:tcPr>
          <w:p w:rsidR="00CD50B5" w:rsidRDefault="00B32B88" w14:paraId="5EC3452D" w14:textId="77777777">
            <w:pPr>
              <w:keepNext/>
              <w:jc w:val="center"/>
              <w:rPr>
                <w:sz w:val="22"/>
                <w:szCs w:val="22"/>
              </w:rPr>
            </w:pPr>
            <w:r>
              <w:rPr>
                <w:sz w:val="22"/>
                <w:szCs w:val="22"/>
              </w:rPr>
              <w:t>70</w:t>
            </w:r>
          </w:p>
        </w:tc>
      </w:tr>
      <w:tr w:rsidR="00CD50B5" w14:paraId="18DFD84E" w14:textId="77777777">
        <w:trPr>
          <w:trHeight w:val="288"/>
        </w:trPr>
        <w:tc>
          <w:tcPr>
            <w:tcW w:w="3600" w:type="dxa"/>
            <w:vMerge/>
            <w:tcBorders>
              <w:right w:val="single" w:color="000000" w:sz="4" w:space="0"/>
            </w:tcBorders>
            <w:shd w:val="clear" w:color="auto" w:fill="auto"/>
            <w:vAlign w:val="center"/>
          </w:tcPr>
          <w:p w:rsidR="00CD50B5" w:rsidRDefault="00CD50B5" w14:paraId="68FB45F7" w14:textId="77777777">
            <w:pPr>
              <w:widowControl w:val="0"/>
              <w:pBdr>
                <w:top w:val="nil"/>
                <w:left w:val="nil"/>
                <w:bottom w:val="nil"/>
                <w:right w:val="nil"/>
                <w:between w:val="nil"/>
              </w:pBdr>
              <w:spacing w:line="276" w:lineRule="auto"/>
              <w:rPr>
                <w:sz w:val="22"/>
                <w:szCs w:val="22"/>
              </w:rPr>
            </w:pPr>
          </w:p>
        </w:tc>
        <w:tc>
          <w:tcPr>
            <w:tcW w:w="2880" w:type="dxa"/>
            <w:tcBorders>
              <w:top w:val="dotted" w:color="000000" w:sz="4" w:space="0"/>
            </w:tcBorders>
            <w:shd w:val="clear" w:color="auto" w:fill="auto"/>
            <w:vAlign w:val="center"/>
          </w:tcPr>
          <w:p w:rsidR="00CD50B5" w:rsidRDefault="00B32B88" w14:paraId="0AB806B3" w14:textId="77777777">
            <w:pPr>
              <w:jc w:val="center"/>
              <w:rPr>
                <w:sz w:val="22"/>
                <w:szCs w:val="22"/>
              </w:rPr>
            </w:pPr>
            <w:r>
              <w:rPr>
                <w:sz w:val="22"/>
                <w:szCs w:val="22"/>
              </w:rPr>
              <w:t>1 – cert. only</w:t>
            </w:r>
            <w:r>
              <w:rPr>
                <w:sz w:val="22"/>
                <w:szCs w:val="22"/>
                <w:vertAlign w:val="superscript"/>
              </w:rPr>
              <w:t>1</w:t>
            </w:r>
          </w:p>
        </w:tc>
        <w:tc>
          <w:tcPr>
            <w:tcW w:w="2610" w:type="dxa"/>
            <w:tcBorders>
              <w:top w:val="dotted" w:color="000000" w:sz="4" w:space="0"/>
            </w:tcBorders>
            <w:vAlign w:val="center"/>
          </w:tcPr>
          <w:p w:rsidR="00CD50B5" w:rsidRDefault="00B32B88" w14:paraId="50E5BF11" w14:textId="77777777">
            <w:pPr>
              <w:jc w:val="center"/>
              <w:rPr>
                <w:sz w:val="22"/>
                <w:szCs w:val="22"/>
              </w:rPr>
            </w:pPr>
            <w:r>
              <w:rPr>
                <w:sz w:val="22"/>
                <w:szCs w:val="22"/>
              </w:rPr>
              <w:t>1</w:t>
            </w:r>
          </w:p>
        </w:tc>
      </w:tr>
      <w:tr w:rsidR="00CD50B5" w14:paraId="4393A63E" w14:textId="77777777">
        <w:trPr>
          <w:trHeight w:val="288"/>
        </w:trPr>
        <w:tc>
          <w:tcPr>
            <w:tcW w:w="3600" w:type="dxa"/>
            <w:vMerge w:val="restart"/>
            <w:shd w:val="clear" w:color="auto" w:fill="auto"/>
            <w:vAlign w:val="center"/>
          </w:tcPr>
          <w:p w:rsidR="00CD50B5" w:rsidRDefault="00B32B88" w14:paraId="5E79D5BE" w14:textId="77777777">
            <w:pPr>
              <w:keepNext/>
              <w:rPr>
                <w:sz w:val="22"/>
                <w:szCs w:val="22"/>
              </w:rPr>
            </w:pPr>
            <w:r>
              <w:rPr>
                <w:sz w:val="22"/>
                <w:szCs w:val="22"/>
              </w:rPr>
              <w:lastRenderedPageBreak/>
              <w:t>Annual Catcher/Processor Crab EDR</w:t>
            </w:r>
          </w:p>
        </w:tc>
        <w:tc>
          <w:tcPr>
            <w:tcW w:w="2880" w:type="dxa"/>
            <w:tcBorders>
              <w:bottom w:val="dotted" w:color="000000" w:sz="4" w:space="0"/>
            </w:tcBorders>
            <w:shd w:val="clear" w:color="auto" w:fill="auto"/>
            <w:vAlign w:val="center"/>
          </w:tcPr>
          <w:p w:rsidR="00CD50B5" w:rsidRDefault="00B32B88" w14:paraId="0309B6B7" w14:textId="77777777">
            <w:pPr>
              <w:keepNext/>
              <w:jc w:val="center"/>
              <w:rPr>
                <w:sz w:val="22"/>
                <w:szCs w:val="22"/>
              </w:rPr>
            </w:pPr>
            <w:r>
              <w:rPr>
                <w:sz w:val="22"/>
                <w:szCs w:val="22"/>
              </w:rPr>
              <w:t>2 – full EDR</w:t>
            </w:r>
          </w:p>
        </w:tc>
        <w:tc>
          <w:tcPr>
            <w:tcW w:w="2610" w:type="dxa"/>
            <w:tcBorders>
              <w:bottom w:val="dotted" w:color="000000" w:sz="4" w:space="0"/>
            </w:tcBorders>
            <w:vAlign w:val="center"/>
          </w:tcPr>
          <w:p w:rsidR="00CD50B5" w:rsidRDefault="00B32B88" w14:paraId="26B3320B" w14:textId="77777777">
            <w:pPr>
              <w:keepNext/>
              <w:jc w:val="center"/>
              <w:rPr>
                <w:sz w:val="22"/>
                <w:szCs w:val="22"/>
              </w:rPr>
            </w:pPr>
            <w:r>
              <w:rPr>
                <w:sz w:val="22"/>
                <w:szCs w:val="22"/>
              </w:rPr>
              <w:t>2</w:t>
            </w:r>
          </w:p>
        </w:tc>
      </w:tr>
      <w:tr w:rsidR="00CD50B5" w14:paraId="2152DCF3" w14:textId="77777777">
        <w:trPr>
          <w:trHeight w:val="288"/>
        </w:trPr>
        <w:tc>
          <w:tcPr>
            <w:tcW w:w="3600" w:type="dxa"/>
            <w:vMerge/>
            <w:shd w:val="clear" w:color="auto" w:fill="auto"/>
            <w:vAlign w:val="center"/>
          </w:tcPr>
          <w:p w:rsidR="00CD50B5" w:rsidRDefault="00CD50B5" w14:paraId="125D65A1" w14:textId="77777777">
            <w:pPr>
              <w:widowControl w:val="0"/>
              <w:pBdr>
                <w:top w:val="nil"/>
                <w:left w:val="nil"/>
                <w:bottom w:val="nil"/>
                <w:right w:val="nil"/>
                <w:between w:val="nil"/>
              </w:pBdr>
              <w:spacing w:line="276" w:lineRule="auto"/>
              <w:rPr>
                <w:sz w:val="22"/>
                <w:szCs w:val="22"/>
              </w:rPr>
            </w:pPr>
          </w:p>
        </w:tc>
        <w:tc>
          <w:tcPr>
            <w:tcW w:w="2880" w:type="dxa"/>
            <w:tcBorders>
              <w:top w:val="dotted" w:color="000000" w:sz="4" w:space="0"/>
            </w:tcBorders>
            <w:shd w:val="clear" w:color="auto" w:fill="auto"/>
            <w:vAlign w:val="center"/>
          </w:tcPr>
          <w:p w:rsidR="00CD50B5" w:rsidRDefault="00B32B88" w14:paraId="24108172" w14:textId="77777777">
            <w:pPr>
              <w:jc w:val="center"/>
              <w:rPr>
                <w:sz w:val="22"/>
                <w:szCs w:val="22"/>
              </w:rPr>
            </w:pPr>
            <w:r>
              <w:rPr>
                <w:sz w:val="22"/>
                <w:szCs w:val="22"/>
              </w:rPr>
              <w:t>0 – cert. only</w:t>
            </w:r>
            <w:r>
              <w:rPr>
                <w:sz w:val="22"/>
                <w:szCs w:val="22"/>
                <w:vertAlign w:val="superscript"/>
              </w:rPr>
              <w:t>1</w:t>
            </w:r>
          </w:p>
        </w:tc>
        <w:tc>
          <w:tcPr>
            <w:tcW w:w="2610" w:type="dxa"/>
            <w:tcBorders>
              <w:top w:val="dotted" w:color="000000" w:sz="4" w:space="0"/>
            </w:tcBorders>
            <w:vAlign w:val="center"/>
          </w:tcPr>
          <w:p w:rsidR="00CD50B5" w:rsidRDefault="00B32B88" w14:paraId="2842AF7B" w14:textId="77777777">
            <w:pPr>
              <w:jc w:val="center"/>
              <w:rPr>
                <w:sz w:val="22"/>
                <w:szCs w:val="22"/>
              </w:rPr>
            </w:pPr>
            <w:r>
              <w:rPr>
                <w:sz w:val="22"/>
                <w:szCs w:val="22"/>
              </w:rPr>
              <w:t>0</w:t>
            </w:r>
          </w:p>
        </w:tc>
      </w:tr>
      <w:tr w:rsidR="00CD50B5" w14:paraId="6CFC841C" w14:textId="77777777">
        <w:trPr>
          <w:trHeight w:val="288"/>
        </w:trPr>
        <w:tc>
          <w:tcPr>
            <w:tcW w:w="3600" w:type="dxa"/>
            <w:vMerge w:val="restart"/>
            <w:shd w:val="clear" w:color="auto" w:fill="auto"/>
            <w:vAlign w:val="center"/>
          </w:tcPr>
          <w:p w:rsidR="00CD50B5" w:rsidRDefault="00B32B88" w14:paraId="02F312E6" w14:textId="77777777">
            <w:pPr>
              <w:keepNext/>
              <w:rPr>
                <w:sz w:val="22"/>
                <w:szCs w:val="22"/>
              </w:rPr>
            </w:pPr>
            <w:r>
              <w:rPr>
                <w:sz w:val="22"/>
                <w:szCs w:val="22"/>
              </w:rPr>
              <w:t>Annual Processor Crab EDR</w:t>
            </w:r>
          </w:p>
        </w:tc>
        <w:tc>
          <w:tcPr>
            <w:tcW w:w="2880" w:type="dxa"/>
            <w:tcBorders>
              <w:bottom w:val="dotted" w:color="000000" w:sz="4" w:space="0"/>
            </w:tcBorders>
            <w:shd w:val="clear" w:color="auto" w:fill="auto"/>
            <w:vAlign w:val="center"/>
          </w:tcPr>
          <w:p w:rsidR="00CD50B5" w:rsidRDefault="00B32B88" w14:paraId="4228B302" w14:textId="77777777">
            <w:pPr>
              <w:keepNext/>
              <w:jc w:val="center"/>
              <w:rPr>
                <w:sz w:val="22"/>
                <w:szCs w:val="22"/>
              </w:rPr>
            </w:pPr>
            <w:r>
              <w:rPr>
                <w:sz w:val="22"/>
                <w:szCs w:val="22"/>
              </w:rPr>
              <w:t>18 – full EDR</w:t>
            </w:r>
          </w:p>
        </w:tc>
        <w:tc>
          <w:tcPr>
            <w:tcW w:w="2610" w:type="dxa"/>
            <w:tcBorders>
              <w:bottom w:val="dotted" w:color="000000" w:sz="4" w:space="0"/>
            </w:tcBorders>
            <w:vAlign w:val="center"/>
          </w:tcPr>
          <w:p w:rsidR="00CD50B5" w:rsidRDefault="00B32B88" w14:paraId="2E682913" w14:textId="77777777">
            <w:pPr>
              <w:keepNext/>
              <w:jc w:val="center"/>
              <w:rPr>
                <w:sz w:val="22"/>
                <w:szCs w:val="22"/>
              </w:rPr>
            </w:pPr>
            <w:r>
              <w:rPr>
                <w:sz w:val="22"/>
                <w:szCs w:val="22"/>
              </w:rPr>
              <w:t>18</w:t>
            </w:r>
          </w:p>
        </w:tc>
      </w:tr>
      <w:tr w:rsidR="00CD50B5" w14:paraId="19BD384A" w14:textId="77777777">
        <w:trPr>
          <w:trHeight w:val="288"/>
        </w:trPr>
        <w:tc>
          <w:tcPr>
            <w:tcW w:w="3600" w:type="dxa"/>
            <w:vMerge/>
            <w:shd w:val="clear" w:color="auto" w:fill="auto"/>
            <w:vAlign w:val="center"/>
          </w:tcPr>
          <w:p w:rsidR="00CD50B5" w:rsidRDefault="00CD50B5" w14:paraId="2E650794" w14:textId="77777777">
            <w:pPr>
              <w:widowControl w:val="0"/>
              <w:pBdr>
                <w:top w:val="nil"/>
                <w:left w:val="nil"/>
                <w:bottom w:val="nil"/>
                <w:right w:val="nil"/>
                <w:between w:val="nil"/>
              </w:pBdr>
              <w:spacing w:line="276" w:lineRule="auto"/>
              <w:rPr>
                <w:sz w:val="22"/>
                <w:szCs w:val="22"/>
              </w:rPr>
            </w:pPr>
          </w:p>
        </w:tc>
        <w:tc>
          <w:tcPr>
            <w:tcW w:w="2880" w:type="dxa"/>
            <w:tcBorders>
              <w:top w:val="dotted" w:color="000000" w:sz="4" w:space="0"/>
              <w:left w:val="single" w:color="000000" w:sz="4" w:space="0"/>
              <w:bottom w:val="single" w:color="000000" w:sz="4" w:space="0"/>
              <w:right w:val="single" w:color="000000" w:sz="4" w:space="0"/>
            </w:tcBorders>
            <w:shd w:val="clear" w:color="auto" w:fill="auto"/>
            <w:vAlign w:val="center"/>
          </w:tcPr>
          <w:p w:rsidR="00CD50B5" w:rsidRDefault="00B32B88" w14:paraId="74E097B2" w14:textId="77777777">
            <w:pPr>
              <w:jc w:val="center"/>
              <w:rPr>
                <w:sz w:val="22"/>
                <w:szCs w:val="22"/>
              </w:rPr>
            </w:pPr>
            <w:r>
              <w:rPr>
                <w:sz w:val="22"/>
                <w:szCs w:val="22"/>
              </w:rPr>
              <w:t>4 – cert. only</w:t>
            </w:r>
            <w:r>
              <w:rPr>
                <w:sz w:val="22"/>
                <w:szCs w:val="22"/>
                <w:vertAlign w:val="superscript"/>
              </w:rPr>
              <w:t>1</w:t>
            </w:r>
          </w:p>
        </w:tc>
        <w:tc>
          <w:tcPr>
            <w:tcW w:w="2610" w:type="dxa"/>
            <w:tcBorders>
              <w:top w:val="dotted" w:color="000000" w:sz="4" w:space="0"/>
              <w:left w:val="single" w:color="000000" w:sz="4" w:space="0"/>
              <w:bottom w:val="single" w:color="000000" w:sz="4" w:space="0"/>
              <w:right w:val="single" w:color="000000" w:sz="4" w:space="0"/>
            </w:tcBorders>
            <w:vAlign w:val="center"/>
          </w:tcPr>
          <w:p w:rsidR="00CD50B5" w:rsidRDefault="00B32B88" w14:paraId="67288D2F" w14:textId="77777777">
            <w:pPr>
              <w:jc w:val="center"/>
              <w:rPr>
                <w:sz w:val="22"/>
                <w:szCs w:val="22"/>
              </w:rPr>
            </w:pPr>
            <w:r>
              <w:rPr>
                <w:sz w:val="22"/>
                <w:szCs w:val="22"/>
              </w:rPr>
              <w:t>4</w:t>
            </w:r>
          </w:p>
        </w:tc>
      </w:tr>
      <w:tr w:rsidR="00CD50B5" w14:paraId="7A2B029F" w14:textId="77777777">
        <w:trPr>
          <w:trHeight w:val="288"/>
        </w:trPr>
        <w:tc>
          <w:tcPr>
            <w:tcW w:w="3600" w:type="dxa"/>
            <w:vMerge w:val="restart"/>
            <w:shd w:val="clear" w:color="auto" w:fill="auto"/>
            <w:vAlign w:val="center"/>
          </w:tcPr>
          <w:p w:rsidR="00CD50B5" w:rsidRDefault="00B32B88" w14:paraId="0B253E29" w14:textId="77777777">
            <w:pPr>
              <w:keepNext/>
              <w:rPr>
                <w:sz w:val="22"/>
                <w:szCs w:val="22"/>
              </w:rPr>
            </w:pPr>
            <w:r>
              <w:rPr>
                <w:sz w:val="22"/>
                <w:szCs w:val="22"/>
              </w:rPr>
              <w:t>Verification of Data</w:t>
            </w:r>
          </w:p>
        </w:tc>
        <w:tc>
          <w:tcPr>
            <w:tcW w:w="2880" w:type="dxa"/>
            <w:tcBorders>
              <w:top w:val="single" w:color="000000" w:sz="4" w:space="0"/>
              <w:bottom w:val="dotted" w:color="000000" w:sz="4" w:space="0"/>
            </w:tcBorders>
            <w:shd w:val="clear" w:color="auto" w:fill="auto"/>
            <w:vAlign w:val="center"/>
          </w:tcPr>
          <w:p w:rsidR="00CD50B5" w:rsidRDefault="00B32B88" w14:paraId="2ECE651D" w14:textId="77777777">
            <w:pPr>
              <w:keepNext/>
              <w:jc w:val="center"/>
              <w:rPr>
                <w:sz w:val="22"/>
                <w:szCs w:val="22"/>
              </w:rPr>
            </w:pPr>
            <w:r>
              <w:rPr>
                <w:sz w:val="22"/>
                <w:szCs w:val="22"/>
              </w:rPr>
              <w:t>16 catcher vessels</w:t>
            </w:r>
          </w:p>
        </w:tc>
        <w:tc>
          <w:tcPr>
            <w:tcW w:w="2610" w:type="dxa"/>
            <w:tcBorders>
              <w:top w:val="single" w:color="000000" w:sz="4" w:space="0"/>
              <w:bottom w:val="dotted" w:color="000000" w:sz="4" w:space="0"/>
            </w:tcBorders>
            <w:vAlign w:val="center"/>
          </w:tcPr>
          <w:p w:rsidR="00CD50B5" w:rsidRDefault="00B32B88" w14:paraId="3F09E88B" w14:textId="77777777">
            <w:pPr>
              <w:keepNext/>
              <w:jc w:val="center"/>
              <w:rPr>
                <w:sz w:val="22"/>
                <w:szCs w:val="22"/>
              </w:rPr>
            </w:pPr>
            <w:r>
              <w:rPr>
                <w:sz w:val="22"/>
                <w:szCs w:val="22"/>
              </w:rPr>
              <w:t>16</w:t>
            </w:r>
          </w:p>
        </w:tc>
      </w:tr>
      <w:tr w:rsidR="00CD50B5" w14:paraId="47DAD135" w14:textId="77777777">
        <w:trPr>
          <w:trHeight w:val="288"/>
        </w:trPr>
        <w:tc>
          <w:tcPr>
            <w:tcW w:w="3600" w:type="dxa"/>
            <w:vMerge/>
            <w:shd w:val="clear" w:color="auto" w:fill="auto"/>
            <w:vAlign w:val="center"/>
          </w:tcPr>
          <w:p w:rsidR="00CD50B5" w:rsidRDefault="00CD50B5" w14:paraId="5F107DB4" w14:textId="77777777">
            <w:pPr>
              <w:widowControl w:val="0"/>
              <w:pBdr>
                <w:top w:val="nil"/>
                <w:left w:val="nil"/>
                <w:bottom w:val="nil"/>
                <w:right w:val="nil"/>
                <w:between w:val="nil"/>
              </w:pBdr>
              <w:spacing w:line="276" w:lineRule="auto"/>
              <w:rPr>
                <w:sz w:val="22"/>
                <w:szCs w:val="22"/>
              </w:rPr>
            </w:pPr>
          </w:p>
        </w:tc>
        <w:tc>
          <w:tcPr>
            <w:tcW w:w="2880" w:type="dxa"/>
            <w:tcBorders>
              <w:top w:val="dotted" w:color="000000" w:sz="4" w:space="0"/>
              <w:bottom w:val="dotted" w:color="000000" w:sz="4" w:space="0"/>
            </w:tcBorders>
            <w:shd w:val="clear" w:color="auto" w:fill="auto"/>
            <w:vAlign w:val="center"/>
          </w:tcPr>
          <w:p w:rsidR="00CD50B5" w:rsidRDefault="00B32B88" w14:paraId="16B34A9E" w14:textId="77777777">
            <w:pPr>
              <w:jc w:val="center"/>
              <w:rPr>
                <w:sz w:val="22"/>
                <w:szCs w:val="22"/>
              </w:rPr>
            </w:pPr>
            <w:r>
              <w:rPr>
                <w:sz w:val="22"/>
                <w:szCs w:val="22"/>
              </w:rPr>
              <w:t>0 catcher/processors</w:t>
            </w:r>
          </w:p>
        </w:tc>
        <w:tc>
          <w:tcPr>
            <w:tcW w:w="2610" w:type="dxa"/>
            <w:tcBorders>
              <w:top w:val="dotted" w:color="000000" w:sz="4" w:space="0"/>
              <w:bottom w:val="dotted" w:color="000000" w:sz="4" w:space="0"/>
            </w:tcBorders>
            <w:vAlign w:val="center"/>
          </w:tcPr>
          <w:p w:rsidR="00CD50B5" w:rsidRDefault="00B32B88" w14:paraId="77425C46" w14:textId="77777777">
            <w:pPr>
              <w:jc w:val="center"/>
              <w:rPr>
                <w:sz w:val="22"/>
                <w:szCs w:val="22"/>
              </w:rPr>
            </w:pPr>
            <w:r>
              <w:rPr>
                <w:sz w:val="22"/>
                <w:szCs w:val="22"/>
              </w:rPr>
              <w:t>0</w:t>
            </w:r>
          </w:p>
        </w:tc>
      </w:tr>
      <w:tr w:rsidR="00CD50B5" w14:paraId="25C747F1" w14:textId="77777777">
        <w:trPr>
          <w:trHeight w:val="288"/>
        </w:trPr>
        <w:tc>
          <w:tcPr>
            <w:tcW w:w="3600" w:type="dxa"/>
            <w:vMerge/>
            <w:shd w:val="clear" w:color="auto" w:fill="auto"/>
            <w:vAlign w:val="center"/>
          </w:tcPr>
          <w:p w:rsidR="00CD50B5" w:rsidRDefault="00CD50B5" w14:paraId="3098A7C3" w14:textId="77777777">
            <w:pPr>
              <w:widowControl w:val="0"/>
              <w:pBdr>
                <w:top w:val="nil"/>
                <w:left w:val="nil"/>
                <w:bottom w:val="nil"/>
                <w:right w:val="nil"/>
                <w:between w:val="nil"/>
              </w:pBdr>
              <w:spacing w:line="276" w:lineRule="auto"/>
              <w:rPr>
                <w:sz w:val="22"/>
                <w:szCs w:val="22"/>
              </w:rPr>
            </w:pPr>
          </w:p>
        </w:tc>
        <w:tc>
          <w:tcPr>
            <w:tcW w:w="2880" w:type="dxa"/>
            <w:tcBorders>
              <w:top w:val="dotted" w:color="000000" w:sz="4" w:space="0"/>
            </w:tcBorders>
            <w:shd w:val="clear" w:color="auto" w:fill="auto"/>
            <w:vAlign w:val="center"/>
          </w:tcPr>
          <w:p w:rsidR="00CD50B5" w:rsidRDefault="00B32B88" w14:paraId="6B689E95" w14:textId="77777777">
            <w:pPr>
              <w:jc w:val="center"/>
              <w:rPr>
                <w:sz w:val="22"/>
                <w:szCs w:val="22"/>
              </w:rPr>
            </w:pPr>
            <w:r>
              <w:rPr>
                <w:sz w:val="22"/>
                <w:szCs w:val="22"/>
              </w:rPr>
              <w:t>4 processors</w:t>
            </w:r>
          </w:p>
        </w:tc>
        <w:tc>
          <w:tcPr>
            <w:tcW w:w="2610" w:type="dxa"/>
            <w:tcBorders>
              <w:top w:val="dotted" w:color="000000" w:sz="4" w:space="0"/>
            </w:tcBorders>
            <w:vAlign w:val="center"/>
          </w:tcPr>
          <w:p w:rsidR="00CD50B5" w:rsidRDefault="00B32B88" w14:paraId="2798A38E" w14:textId="77777777">
            <w:pPr>
              <w:jc w:val="center"/>
              <w:rPr>
                <w:sz w:val="22"/>
                <w:szCs w:val="22"/>
              </w:rPr>
            </w:pPr>
            <w:r>
              <w:rPr>
                <w:sz w:val="22"/>
                <w:szCs w:val="22"/>
              </w:rPr>
              <w:t>4</w:t>
            </w:r>
          </w:p>
        </w:tc>
      </w:tr>
      <w:tr w:rsidR="00CD50B5" w14:paraId="768E4581" w14:textId="77777777">
        <w:trPr>
          <w:trHeight w:val="432"/>
        </w:trPr>
        <w:tc>
          <w:tcPr>
            <w:tcW w:w="3600" w:type="dxa"/>
            <w:tcBorders>
              <w:bottom w:val="single" w:color="000000" w:sz="4" w:space="0"/>
            </w:tcBorders>
            <w:shd w:val="clear" w:color="auto" w:fill="DEEAF6"/>
            <w:vAlign w:val="center"/>
          </w:tcPr>
          <w:p w:rsidR="00CD50B5" w:rsidRDefault="00B32B88" w14:paraId="691FBBB8" w14:textId="77777777">
            <w:pPr>
              <w:keepNext/>
              <w:jc w:val="right"/>
              <w:rPr>
                <w:b/>
                <w:sz w:val="22"/>
                <w:szCs w:val="22"/>
              </w:rPr>
            </w:pPr>
            <w:r>
              <w:rPr>
                <w:b/>
                <w:sz w:val="22"/>
                <w:szCs w:val="22"/>
              </w:rPr>
              <w:t xml:space="preserve">Total for collection </w:t>
            </w:r>
          </w:p>
        </w:tc>
        <w:tc>
          <w:tcPr>
            <w:tcW w:w="2880" w:type="dxa"/>
            <w:tcBorders>
              <w:bottom w:val="single" w:color="000000" w:sz="4" w:space="0"/>
            </w:tcBorders>
            <w:shd w:val="clear" w:color="auto" w:fill="DEEAF6"/>
            <w:vAlign w:val="center"/>
          </w:tcPr>
          <w:p w:rsidR="00CD50B5" w:rsidRDefault="00B32B88" w14:paraId="01717384" w14:textId="77777777">
            <w:pPr>
              <w:keepNext/>
              <w:jc w:val="center"/>
              <w:rPr>
                <w:b/>
                <w:sz w:val="22"/>
                <w:szCs w:val="22"/>
              </w:rPr>
            </w:pPr>
            <w:r>
              <w:rPr>
                <w:b/>
                <w:sz w:val="22"/>
                <w:szCs w:val="22"/>
              </w:rPr>
              <w:t>95</w:t>
            </w:r>
            <w:r>
              <w:rPr>
                <w:b/>
                <w:sz w:val="22"/>
                <w:szCs w:val="22"/>
                <w:vertAlign w:val="superscript"/>
              </w:rPr>
              <w:t>2</w:t>
            </w:r>
          </w:p>
        </w:tc>
        <w:tc>
          <w:tcPr>
            <w:tcW w:w="2610" w:type="dxa"/>
            <w:tcBorders>
              <w:bottom w:val="single" w:color="000000" w:sz="4" w:space="0"/>
            </w:tcBorders>
            <w:shd w:val="clear" w:color="auto" w:fill="DEEAF6"/>
            <w:vAlign w:val="center"/>
          </w:tcPr>
          <w:p w:rsidR="00CD50B5" w:rsidRDefault="00B32B88" w14:paraId="7869311E" w14:textId="77777777">
            <w:pPr>
              <w:keepNext/>
              <w:jc w:val="center"/>
              <w:rPr>
                <w:b/>
                <w:sz w:val="22"/>
                <w:szCs w:val="22"/>
              </w:rPr>
            </w:pPr>
            <w:r>
              <w:rPr>
                <w:b/>
                <w:sz w:val="22"/>
                <w:szCs w:val="22"/>
              </w:rPr>
              <w:t>115</w:t>
            </w:r>
          </w:p>
        </w:tc>
      </w:tr>
    </w:tbl>
    <w:p w:rsidR="00CD50B5" w:rsidRDefault="00B32B88" w14:paraId="4B0D6A1D" w14:textId="77777777">
      <w:pPr>
        <w:keepNext/>
        <w:spacing w:before="120"/>
        <w:rPr>
          <w:sz w:val="20"/>
          <w:szCs w:val="20"/>
        </w:rPr>
      </w:pPr>
      <w:r>
        <w:rPr>
          <w:sz w:val="20"/>
          <w:szCs w:val="20"/>
          <w:vertAlign w:val="superscript"/>
        </w:rPr>
        <w:t xml:space="preserve">1 </w:t>
      </w:r>
      <w:r>
        <w:rPr>
          <w:sz w:val="20"/>
          <w:szCs w:val="20"/>
        </w:rPr>
        <w:t>Respondents submit only the certification page indicating that they are not required to complete the full EDR.</w:t>
      </w:r>
    </w:p>
    <w:p w:rsidR="00CD50B5" w:rsidRDefault="00B32B88" w14:paraId="5CACA4F0" w14:textId="77777777">
      <w:pPr>
        <w:keepNext/>
        <w:spacing w:before="120"/>
        <w:rPr>
          <w:sz w:val="20"/>
          <w:szCs w:val="20"/>
        </w:rPr>
      </w:pPr>
      <w:r>
        <w:rPr>
          <w:sz w:val="20"/>
          <w:szCs w:val="20"/>
          <w:vertAlign w:val="superscript"/>
        </w:rPr>
        <w:t xml:space="preserve">2 </w:t>
      </w:r>
      <w:r>
        <w:rPr>
          <w:sz w:val="20"/>
          <w:szCs w:val="20"/>
        </w:rPr>
        <w:t>The total respondents for the collection consists of unique entities only. Some respondents submit an EDR and a verification of data; therefore, the number of unique entities is used to show the estimated annual number of individual participants who are expected to submit information during the 3-year renewal period for this ICR (i.e., the 16 catcher vessels and 4 processors are not counted towards the total number of respondents to avoid double counting).</w:t>
      </w:r>
    </w:p>
    <w:p w:rsidR="00CD50B5" w:rsidRDefault="00CD50B5" w14:paraId="6640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bookmarkStart w:name="_30j0zll" w:colFirst="0" w:colLast="0" w:id="2"/>
      <w:bookmarkEnd w:id="2"/>
    </w:p>
    <w:p w:rsidR="00CD50B5" w:rsidRDefault="00B32B88" w14:paraId="518FD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D50B5" w:rsidRDefault="00CD50B5" w14:paraId="162F3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2C78E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Participation in the EDR program is mandatory under Federal fisheries regulations 50 CFR part 680.6 for all active vessel and processing sector participants in the CR Program fisheries.  EDRs are collected from all vessels and plant owners participating in CR crab fisheries during each year. Owners of these vessels and plants are identified through permits and landings data from previous years and the current year. We are not sampling from these populations, but rather conducting a census to gather the required economic data. </w:t>
      </w:r>
    </w:p>
    <w:p w:rsidR="00CD50B5" w:rsidRDefault="00CD50B5" w14:paraId="34AB9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366C0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r>
        <w:t>With the response (produced from completed and verified data forms), NMFS Alaska Fisheries Science Center (AFSC) analysts will construct statistical models for estimating key variable values for each strata. These data will also be used to develop cost functions from this data and to estimate changes in variable costs of operations, average gross earnings, and changes to net revenues arising from changes in the costs of elements collected.  Data may be developed to estimate changes in purchases and economic impacts before and after CR Program implementation.  Several methods are available to estimate these outputs.  The analysts will select the best methods based on an assessment of the data in this collection and from other sources.</w:t>
      </w:r>
    </w:p>
    <w:p w:rsidR="00CD50B5" w:rsidRDefault="00CD50B5" w14:paraId="69277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29784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D50B5" w:rsidRDefault="00CD50B5" w14:paraId="06CCD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7C5EC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Each owner or leaseholder of a vessel or processing plant, or a holder of a registered crab receiver permit that harvested, processed, custom processed, or obtained custom processing for </w:t>
      </w:r>
      <w:r>
        <w:lastRenderedPageBreak/>
        <w:t>CR crab is required to submit an annual EDR. Therefore, the response to the mandatory data collection requirements should be very high. Those individuals who do not submit their EDR by the submission date will receive a follow-up phone call from PSMFC. If a solution cannot be reached at that point, their information will be referred to the NMFS Office of Law Enforcement. In addition, NMFS may withhold issuance of a permit or quota transfer request if respondents do not submit the EDRs. Therefore, we anticipate a 100 percent response rate.</w:t>
      </w:r>
    </w:p>
    <w:p w:rsidR="00CD50B5" w:rsidRDefault="00CD50B5" w14:paraId="5B031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206AC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4.  Describe any tests of procedures or methods to be undertaken. Tests are encouraged as effective means to refine collections, but if ten or more test respondents are involved OMB must give prior approval.</w:t>
      </w:r>
    </w:p>
    <w:p w:rsidR="00CD50B5" w:rsidRDefault="00CD50B5" w14:paraId="3C0CDB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D50B5" w:rsidRDefault="00B32B88" w14:paraId="54495D86" w14:textId="77777777">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Since the CR crab EDR Program has been in place, informal testing has taken place by meeting with EDR submitters to discuss ways in which the forms used to request information could be improved. The accountants that perform the data quality audits, as well as PSMFC (who administers the data collection) also document ways in which the EDRs could be clarified and we have used this information to clarify instructions and variable definitions. </w:t>
      </w:r>
    </w:p>
    <w:p w:rsidR="00CD50B5" w:rsidRDefault="00CD50B5" w14:paraId="1D95C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D50B5" w:rsidRDefault="00B32B88" w14:paraId="152C8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CD50B5" w:rsidRDefault="00CD50B5" w14:paraId="68AED8C1" w14:textId="77777777"/>
    <w:p w:rsidR="00CD50B5" w:rsidRDefault="00B32B88" w14:paraId="16BE642B" w14:textId="77777777">
      <w:r>
        <w:t>Brian Garber-Yonts, Ph.D.  [statistical design and analysis of data]</w:t>
      </w:r>
    </w:p>
    <w:p w:rsidR="00CD50B5" w:rsidRDefault="00B32B88" w14:paraId="2115895C" w14:textId="77777777">
      <w:r>
        <w:t>Research Economist</w:t>
      </w:r>
    </w:p>
    <w:p w:rsidR="00CD50B5" w:rsidRDefault="00B32B88" w14:paraId="524349B0" w14:textId="77777777">
      <w:r>
        <w:t>NOAA Fisheries, Alaska Fisheries Science Center</w:t>
      </w:r>
    </w:p>
    <w:p w:rsidR="00CD50B5" w:rsidRDefault="00B32B88" w14:paraId="7A6ED8C6" w14:textId="77777777">
      <w:r>
        <w:t>PH: (206) 526-6301</w:t>
      </w:r>
    </w:p>
    <w:p w:rsidR="00CD50B5" w:rsidRDefault="00B32B88" w14:paraId="097F1D18" w14:textId="77777777">
      <w:r>
        <w:t>fax: (206) 526-6723</w:t>
      </w:r>
    </w:p>
    <w:p w:rsidR="00CD50B5" w:rsidRDefault="00B32B88" w14:paraId="6C8BCA41" w14:textId="77777777">
      <w:r>
        <w:t xml:space="preserve">Internet Address:  </w:t>
      </w:r>
      <w:hyperlink r:id="rId6">
        <w:r>
          <w:rPr>
            <w:color w:val="0000FF"/>
            <w:u w:val="single"/>
          </w:rPr>
          <w:t>Brian.Garber-Yonts@noaa.gov</w:t>
        </w:r>
      </w:hyperlink>
    </w:p>
    <w:p w:rsidR="00CD50B5" w:rsidRDefault="00CD50B5" w14:paraId="49DB03B8" w14:textId="77777777"/>
    <w:p w:rsidR="00CD50B5" w:rsidRDefault="00B32B88" w14:paraId="722A7718"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Geana Tyler   [collection of data, verification of accuracy of data]</w:t>
      </w:r>
    </w:p>
    <w:p w:rsidR="00CD50B5" w:rsidRDefault="00B32B88" w14:paraId="6227B7F9"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Pacific States Marine Fisheries Commission</w:t>
      </w:r>
    </w:p>
    <w:p w:rsidR="00CD50B5" w:rsidRDefault="00B32B88" w14:paraId="28C9A6CC"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PH: (503) 595-3100</w:t>
      </w:r>
    </w:p>
    <w:p w:rsidR="00CD50B5" w:rsidRDefault="00B32B88" w14:paraId="5B10A3B2"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FAX: (503) 595-3232 </w:t>
      </w:r>
    </w:p>
    <w:p w:rsidR="00CD50B5" w:rsidRDefault="00111DF1" w14:paraId="2864B75C" w14:textId="77777777">
      <w:pPr>
        <w:rPr>
          <w:b/>
        </w:rPr>
      </w:pPr>
      <w:hyperlink r:id="rId7">
        <w:r w:rsidR="00B32B88">
          <w:rPr>
            <w:color w:val="0000FF"/>
            <w:u w:val="single"/>
          </w:rPr>
          <w:t>gtyler@psmfc.org</w:t>
        </w:r>
      </w:hyperlink>
      <w:r w:rsidR="00B32B88">
        <w:t xml:space="preserve"> </w:t>
      </w:r>
    </w:p>
    <w:p w:rsidR="00CD50B5" w:rsidRDefault="00CD50B5" w14:paraId="3ADB1A24" w14:textId="77777777"/>
    <w:sectPr w:rsidR="00CD50B5">
      <w:footerReference w:type="default" r:id="rId8"/>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9285F" w14:textId="77777777" w:rsidR="00DF7A18" w:rsidRDefault="00DF7A18">
      <w:r>
        <w:separator/>
      </w:r>
    </w:p>
  </w:endnote>
  <w:endnote w:type="continuationSeparator" w:id="0">
    <w:p w14:paraId="753CF185" w14:textId="77777777" w:rsidR="00DF7A18" w:rsidRDefault="00DF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89C3" w14:textId="622269C1" w:rsidR="00CD50B5" w:rsidRDefault="00B32B8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11DF1">
      <w:rPr>
        <w:noProof/>
        <w:color w:val="000000"/>
      </w:rPr>
      <w:t>1</w:t>
    </w:r>
    <w:r>
      <w:rPr>
        <w:color w:val="000000"/>
      </w:rPr>
      <w:fldChar w:fldCharType="end"/>
    </w:r>
  </w:p>
  <w:p w14:paraId="1EB403AA" w14:textId="77777777" w:rsidR="00CD50B5" w:rsidRDefault="00CD50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9ED3F" w14:textId="77777777" w:rsidR="00DF7A18" w:rsidRDefault="00DF7A18">
      <w:r>
        <w:separator/>
      </w:r>
    </w:p>
  </w:footnote>
  <w:footnote w:type="continuationSeparator" w:id="0">
    <w:p w14:paraId="200161C7" w14:textId="77777777" w:rsidR="00DF7A18" w:rsidRDefault="00DF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B5"/>
    <w:rsid w:val="00111DF1"/>
    <w:rsid w:val="00226A0D"/>
    <w:rsid w:val="00302AD3"/>
    <w:rsid w:val="0039036A"/>
    <w:rsid w:val="00410B83"/>
    <w:rsid w:val="004A10DE"/>
    <w:rsid w:val="00607FB8"/>
    <w:rsid w:val="00814124"/>
    <w:rsid w:val="00B32B88"/>
    <w:rsid w:val="00CD50B5"/>
    <w:rsid w:val="00DD12CD"/>
    <w:rsid w:val="00D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0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tyler@psmf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an.Garber-Yonts@noa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2020-05-09T19:26:00Z</dcterms:created>
  <dcterms:modified xsi:type="dcterms:W3CDTF">2020-05-09T19:26:00Z</dcterms:modified>
</cp:coreProperties>
</file>