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ED1C0" w14:textId="77777777" w:rsidR="00F919E3" w:rsidRDefault="00F919E3" w:rsidP="00F919E3">
      <w:pPr>
        <w:jc w:val="center"/>
        <w:rPr>
          <w:sz w:val="24"/>
        </w:rPr>
      </w:pPr>
      <w:bookmarkStart w:id="0" w:name="_GoBack"/>
      <w:bookmarkEnd w:id="0"/>
    </w:p>
    <w:p w14:paraId="02017777" w14:textId="77777777" w:rsidR="00F919E3" w:rsidRDefault="00F919E3" w:rsidP="00F919E3">
      <w:pPr>
        <w:jc w:val="center"/>
        <w:rPr>
          <w:sz w:val="24"/>
        </w:rPr>
      </w:pPr>
    </w:p>
    <w:p w14:paraId="0D50B300" w14:textId="77777777" w:rsidR="00F919E3" w:rsidRDefault="00F919E3" w:rsidP="00F919E3">
      <w:pPr>
        <w:jc w:val="center"/>
        <w:rPr>
          <w:sz w:val="24"/>
        </w:rPr>
      </w:pPr>
    </w:p>
    <w:p w14:paraId="6BEFC544" w14:textId="77777777" w:rsidR="00F919E3" w:rsidRDefault="00F919E3" w:rsidP="00F919E3">
      <w:pPr>
        <w:jc w:val="center"/>
        <w:rPr>
          <w:sz w:val="24"/>
        </w:rPr>
      </w:pPr>
    </w:p>
    <w:p w14:paraId="7F934B71" w14:textId="39C6C211" w:rsidR="00D0323B" w:rsidRPr="005511A5" w:rsidRDefault="00D0323B" w:rsidP="00D0323B">
      <w:pPr>
        <w:keepNext/>
        <w:keepLines/>
        <w:jc w:val="center"/>
        <w:outlineLvl w:val="6"/>
        <w:rPr>
          <w:i/>
          <w:iCs/>
          <w:color w:val="404040"/>
          <w:sz w:val="24"/>
        </w:rPr>
      </w:pPr>
      <w:r w:rsidRPr="005511A5">
        <w:rPr>
          <w:b/>
          <w:i/>
          <w:iCs/>
          <w:color w:val="404040"/>
          <w:sz w:val="24"/>
        </w:rPr>
        <w:t xml:space="preserve">SUPPORTING STATEMENT:  PART </w:t>
      </w:r>
      <w:r>
        <w:rPr>
          <w:b/>
          <w:i/>
          <w:iCs/>
          <w:color w:val="404040"/>
          <w:sz w:val="24"/>
        </w:rPr>
        <w:t>B</w:t>
      </w:r>
    </w:p>
    <w:p w14:paraId="50C226E9" w14:textId="77777777" w:rsidR="00D0323B" w:rsidRPr="005511A5" w:rsidRDefault="00D0323B" w:rsidP="00D0323B">
      <w:pPr>
        <w:pStyle w:val="BalloonText"/>
        <w:jc w:val="center"/>
        <w:rPr>
          <w:rFonts w:ascii="Times New Roman" w:hAnsi="Times New Roman" w:cs="Times New Roman"/>
          <w:sz w:val="24"/>
          <w:szCs w:val="24"/>
        </w:rPr>
      </w:pPr>
    </w:p>
    <w:p w14:paraId="435B9209" w14:textId="77777777" w:rsidR="00D0323B" w:rsidRPr="005511A5" w:rsidRDefault="00D0323B" w:rsidP="00D0323B">
      <w:pPr>
        <w:jc w:val="center"/>
        <w:rPr>
          <w:b/>
          <w:bCs/>
          <w:sz w:val="24"/>
        </w:rPr>
      </w:pPr>
    </w:p>
    <w:p w14:paraId="2AFE317F" w14:textId="77777777" w:rsidR="00D0323B" w:rsidRPr="005511A5" w:rsidRDefault="00D0323B" w:rsidP="00D0323B">
      <w:pPr>
        <w:jc w:val="center"/>
        <w:rPr>
          <w:sz w:val="24"/>
        </w:rPr>
      </w:pPr>
    </w:p>
    <w:p w14:paraId="74BDA0E3" w14:textId="77777777" w:rsidR="00D0323B" w:rsidRPr="005511A5" w:rsidRDefault="00D0323B" w:rsidP="00D0323B">
      <w:pPr>
        <w:jc w:val="center"/>
        <w:rPr>
          <w:b/>
          <w:sz w:val="24"/>
        </w:rPr>
      </w:pPr>
      <w:r w:rsidRPr="00114541">
        <w:rPr>
          <w:b/>
          <w:sz w:val="24"/>
        </w:rPr>
        <w:t>May 22, 2019</w:t>
      </w:r>
    </w:p>
    <w:p w14:paraId="29D216CF" w14:textId="77777777" w:rsidR="00D0323B" w:rsidRPr="005511A5" w:rsidRDefault="00D0323B" w:rsidP="00D0323B">
      <w:pPr>
        <w:jc w:val="center"/>
        <w:rPr>
          <w:sz w:val="24"/>
        </w:rPr>
      </w:pPr>
    </w:p>
    <w:p w14:paraId="7BC1BDDD" w14:textId="77777777" w:rsidR="00D0323B" w:rsidRPr="005511A5" w:rsidRDefault="00D0323B" w:rsidP="00D0323B">
      <w:pPr>
        <w:rPr>
          <w:sz w:val="24"/>
        </w:rPr>
      </w:pPr>
    </w:p>
    <w:p w14:paraId="529DD01A" w14:textId="77777777" w:rsidR="00D0323B" w:rsidRPr="005511A5" w:rsidRDefault="00D0323B" w:rsidP="00D0323B">
      <w:pPr>
        <w:jc w:val="center"/>
        <w:rPr>
          <w:sz w:val="24"/>
        </w:rPr>
      </w:pPr>
    </w:p>
    <w:p w14:paraId="0B45695D" w14:textId="77777777" w:rsidR="00D0323B" w:rsidRPr="005511A5" w:rsidRDefault="00D0323B" w:rsidP="00D0323B">
      <w:pPr>
        <w:jc w:val="center"/>
        <w:rPr>
          <w:sz w:val="24"/>
        </w:rPr>
      </w:pPr>
    </w:p>
    <w:p w14:paraId="00E7C831" w14:textId="77777777" w:rsidR="00D0323B" w:rsidRPr="005511A5" w:rsidRDefault="00D0323B" w:rsidP="00D0323B">
      <w:pPr>
        <w:jc w:val="center"/>
        <w:rPr>
          <w:b/>
          <w:bCs/>
          <w:sz w:val="24"/>
        </w:rPr>
      </w:pPr>
      <w:r>
        <w:rPr>
          <w:sz w:val="24"/>
        </w:rPr>
        <w:t>Drug Overdose Surveillance and Epidemiology (DOSE)</w:t>
      </w:r>
    </w:p>
    <w:p w14:paraId="56F7A424" w14:textId="77777777" w:rsidR="00D0323B" w:rsidRPr="005511A5" w:rsidRDefault="00D0323B" w:rsidP="00D0323B">
      <w:pPr>
        <w:jc w:val="center"/>
        <w:rPr>
          <w:sz w:val="24"/>
        </w:rPr>
      </w:pPr>
    </w:p>
    <w:p w14:paraId="7560D696" w14:textId="77777777" w:rsidR="00D0323B" w:rsidRPr="005511A5" w:rsidRDefault="00D0323B" w:rsidP="00D0323B">
      <w:pPr>
        <w:jc w:val="center"/>
        <w:rPr>
          <w:bCs/>
          <w:sz w:val="24"/>
        </w:rPr>
      </w:pPr>
    </w:p>
    <w:p w14:paraId="1F15382C" w14:textId="77777777" w:rsidR="00D0323B" w:rsidRPr="005511A5" w:rsidRDefault="00D0323B" w:rsidP="00D0323B">
      <w:pPr>
        <w:jc w:val="center"/>
        <w:rPr>
          <w:bCs/>
          <w:sz w:val="24"/>
        </w:rPr>
      </w:pPr>
    </w:p>
    <w:p w14:paraId="0C18B73F" w14:textId="77777777" w:rsidR="00D0323B" w:rsidRPr="005511A5" w:rsidRDefault="00D0323B" w:rsidP="00D0323B">
      <w:pPr>
        <w:jc w:val="center"/>
        <w:rPr>
          <w:bCs/>
          <w:sz w:val="24"/>
        </w:rPr>
      </w:pPr>
      <w:r w:rsidRPr="00114541">
        <w:rPr>
          <w:bCs/>
          <w:sz w:val="24"/>
        </w:rPr>
        <w:t>OMB# TBD</w:t>
      </w:r>
    </w:p>
    <w:p w14:paraId="2B3A9566" w14:textId="77777777" w:rsidR="00D0323B" w:rsidRPr="005511A5" w:rsidRDefault="00D0323B" w:rsidP="00D0323B">
      <w:pPr>
        <w:jc w:val="center"/>
        <w:rPr>
          <w:bCs/>
          <w:sz w:val="24"/>
        </w:rPr>
      </w:pPr>
    </w:p>
    <w:p w14:paraId="018235A9" w14:textId="77777777" w:rsidR="00D0323B" w:rsidRPr="005511A5" w:rsidRDefault="00D0323B" w:rsidP="00D0323B">
      <w:pPr>
        <w:jc w:val="center"/>
        <w:rPr>
          <w:bCs/>
          <w:sz w:val="24"/>
        </w:rPr>
      </w:pPr>
    </w:p>
    <w:p w14:paraId="7B51526F" w14:textId="77777777" w:rsidR="00D0323B" w:rsidRPr="005511A5" w:rsidRDefault="00D0323B" w:rsidP="00D0323B">
      <w:pPr>
        <w:jc w:val="center"/>
        <w:rPr>
          <w:bCs/>
          <w:sz w:val="24"/>
        </w:rPr>
      </w:pPr>
    </w:p>
    <w:p w14:paraId="79D45572" w14:textId="77777777" w:rsidR="00D0323B" w:rsidRPr="005511A5" w:rsidRDefault="00D0323B" w:rsidP="00D0323B">
      <w:pPr>
        <w:jc w:val="center"/>
        <w:rPr>
          <w:bCs/>
          <w:sz w:val="24"/>
        </w:rPr>
      </w:pPr>
    </w:p>
    <w:p w14:paraId="61DEFC29" w14:textId="77777777" w:rsidR="00D0323B" w:rsidRPr="005511A5" w:rsidRDefault="00D0323B" w:rsidP="00D0323B">
      <w:pPr>
        <w:jc w:val="center"/>
        <w:rPr>
          <w:bCs/>
          <w:sz w:val="24"/>
        </w:rPr>
      </w:pPr>
    </w:p>
    <w:p w14:paraId="427C9393" w14:textId="77777777" w:rsidR="00D0323B" w:rsidRPr="005511A5" w:rsidRDefault="00D0323B" w:rsidP="00D0323B">
      <w:pPr>
        <w:jc w:val="center"/>
        <w:rPr>
          <w:bCs/>
          <w:sz w:val="24"/>
        </w:rPr>
      </w:pPr>
    </w:p>
    <w:p w14:paraId="403650B5" w14:textId="77777777" w:rsidR="00D0323B" w:rsidRPr="005511A5" w:rsidRDefault="00D0323B" w:rsidP="00D0323B">
      <w:pPr>
        <w:jc w:val="center"/>
        <w:rPr>
          <w:bCs/>
          <w:sz w:val="24"/>
        </w:rPr>
      </w:pPr>
    </w:p>
    <w:p w14:paraId="7EC31594" w14:textId="77777777" w:rsidR="00D0323B" w:rsidRPr="005511A5" w:rsidRDefault="00D0323B" w:rsidP="00D0323B">
      <w:pPr>
        <w:jc w:val="center"/>
        <w:rPr>
          <w:bCs/>
          <w:sz w:val="24"/>
        </w:rPr>
      </w:pPr>
    </w:p>
    <w:p w14:paraId="1D1FC933" w14:textId="77777777" w:rsidR="00D0323B" w:rsidRPr="005511A5" w:rsidRDefault="00D0323B" w:rsidP="00D0323B">
      <w:pPr>
        <w:jc w:val="center"/>
        <w:rPr>
          <w:bCs/>
          <w:sz w:val="24"/>
        </w:rPr>
      </w:pPr>
    </w:p>
    <w:p w14:paraId="67767BDF" w14:textId="77777777" w:rsidR="00D0323B" w:rsidRPr="005511A5" w:rsidRDefault="00D0323B" w:rsidP="00D0323B">
      <w:pPr>
        <w:jc w:val="center"/>
        <w:rPr>
          <w:bCs/>
          <w:sz w:val="24"/>
        </w:rPr>
      </w:pPr>
    </w:p>
    <w:p w14:paraId="477B0BC1" w14:textId="77777777" w:rsidR="00D0323B" w:rsidRPr="005511A5" w:rsidRDefault="00D0323B" w:rsidP="00D0323B">
      <w:pPr>
        <w:jc w:val="center"/>
        <w:rPr>
          <w:sz w:val="24"/>
        </w:rPr>
      </w:pPr>
    </w:p>
    <w:p w14:paraId="567EBA9C" w14:textId="77777777" w:rsidR="00D0323B" w:rsidRPr="005511A5" w:rsidRDefault="00D0323B" w:rsidP="00D0323B">
      <w:pPr>
        <w:jc w:val="center"/>
        <w:rPr>
          <w:sz w:val="24"/>
        </w:rPr>
      </w:pPr>
    </w:p>
    <w:p w14:paraId="56C9E829" w14:textId="77777777" w:rsidR="00D0323B" w:rsidRPr="005511A5" w:rsidRDefault="00D0323B" w:rsidP="00D0323B">
      <w:pPr>
        <w:jc w:val="center"/>
        <w:rPr>
          <w:sz w:val="24"/>
        </w:rPr>
      </w:pPr>
      <w:r w:rsidRPr="005511A5">
        <w:rPr>
          <w:sz w:val="24"/>
        </w:rPr>
        <w:t>Point of Contact:</w:t>
      </w:r>
    </w:p>
    <w:p w14:paraId="1ADC3F8B" w14:textId="77777777" w:rsidR="00D0323B" w:rsidRPr="005511A5" w:rsidRDefault="00D0323B" w:rsidP="00D0323B">
      <w:pPr>
        <w:jc w:val="center"/>
        <w:rPr>
          <w:b/>
          <w:bCs/>
          <w:sz w:val="24"/>
        </w:rPr>
      </w:pPr>
      <w:r>
        <w:rPr>
          <w:sz w:val="24"/>
        </w:rPr>
        <w:t>Alana Vivolo-Kantor</w:t>
      </w:r>
    </w:p>
    <w:p w14:paraId="0E7E7863" w14:textId="77777777" w:rsidR="00D0323B" w:rsidRPr="005511A5" w:rsidRDefault="00D0323B" w:rsidP="00D0323B">
      <w:pPr>
        <w:jc w:val="center"/>
        <w:rPr>
          <w:sz w:val="24"/>
        </w:rPr>
      </w:pPr>
    </w:p>
    <w:p w14:paraId="24DD2CFB" w14:textId="77777777" w:rsidR="00D0323B" w:rsidRPr="005511A5" w:rsidRDefault="00D0323B" w:rsidP="00D0323B">
      <w:pPr>
        <w:jc w:val="center"/>
        <w:rPr>
          <w:sz w:val="24"/>
        </w:rPr>
      </w:pPr>
      <w:r w:rsidRPr="005511A5">
        <w:rPr>
          <w:sz w:val="24"/>
        </w:rPr>
        <w:t>Contact Information:</w:t>
      </w:r>
    </w:p>
    <w:p w14:paraId="541369CE" w14:textId="77777777" w:rsidR="00D0323B" w:rsidRPr="00424379" w:rsidRDefault="00D0323B" w:rsidP="00D0323B">
      <w:pPr>
        <w:pStyle w:val="E-mailSignature"/>
        <w:jc w:val="center"/>
        <w:rPr>
          <w:noProof/>
        </w:rPr>
      </w:pPr>
      <w:bookmarkStart w:id="1" w:name="_MailAutoSig"/>
      <w:r w:rsidRPr="005511A5">
        <w:rPr>
          <w:noProof/>
        </w:rPr>
        <w:t xml:space="preserve">Centers for Disease </w:t>
      </w:r>
      <w:r w:rsidRPr="00424379">
        <w:rPr>
          <w:noProof/>
        </w:rPr>
        <w:t>Control and Prevention</w:t>
      </w:r>
    </w:p>
    <w:p w14:paraId="07CEEEC3" w14:textId="77777777" w:rsidR="00D0323B" w:rsidRPr="00424379" w:rsidRDefault="00D0323B" w:rsidP="00D0323B">
      <w:pPr>
        <w:pStyle w:val="E-mailSignature"/>
        <w:jc w:val="center"/>
        <w:rPr>
          <w:noProof/>
        </w:rPr>
      </w:pPr>
      <w:r w:rsidRPr="00424379">
        <w:rPr>
          <w:noProof/>
        </w:rPr>
        <w:t>National Center for Injury Prevention and Control</w:t>
      </w:r>
    </w:p>
    <w:p w14:paraId="28AA6A09" w14:textId="77777777" w:rsidR="00D0323B" w:rsidRPr="005511A5" w:rsidRDefault="00D0323B" w:rsidP="00D0323B">
      <w:pPr>
        <w:pStyle w:val="E-mailSignature"/>
        <w:jc w:val="center"/>
        <w:rPr>
          <w:noProof/>
        </w:rPr>
      </w:pPr>
      <w:r w:rsidRPr="00424379">
        <w:rPr>
          <w:noProof/>
        </w:rPr>
        <w:t>4770 Buford Highway NE  MS F-62</w:t>
      </w:r>
    </w:p>
    <w:p w14:paraId="2CB2A1C7" w14:textId="77777777" w:rsidR="00D0323B" w:rsidRPr="005511A5" w:rsidRDefault="00D0323B" w:rsidP="00D0323B">
      <w:pPr>
        <w:pStyle w:val="E-mailSignature"/>
        <w:jc w:val="center"/>
        <w:rPr>
          <w:noProof/>
        </w:rPr>
      </w:pPr>
      <w:r w:rsidRPr="005511A5">
        <w:rPr>
          <w:noProof/>
        </w:rPr>
        <w:t>Atlanta, GA 30341-3724</w:t>
      </w:r>
    </w:p>
    <w:p w14:paraId="5BF52635" w14:textId="77777777" w:rsidR="00D0323B" w:rsidRDefault="00D0323B" w:rsidP="00D0323B">
      <w:pPr>
        <w:jc w:val="center"/>
        <w:rPr>
          <w:noProof/>
          <w:sz w:val="24"/>
        </w:rPr>
      </w:pPr>
    </w:p>
    <w:p w14:paraId="66C7B411" w14:textId="77777777" w:rsidR="00D0323B" w:rsidRPr="005511A5" w:rsidRDefault="00D0323B" w:rsidP="00D0323B">
      <w:pPr>
        <w:jc w:val="center"/>
        <w:rPr>
          <w:sz w:val="24"/>
        </w:rPr>
      </w:pPr>
      <w:r w:rsidRPr="005511A5">
        <w:rPr>
          <w:noProof/>
          <w:sz w:val="24"/>
        </w:rPr>
        <w:t>phone: (770) 488-</w:t>
      </w:r>
      <w:r>
        <w:rPr>
          <w:noProof/>
          <w:sz w:val="24"/>
        </w:rPr>
        <w:t>1244</w:t>
      </w:r>
    </w:p>
    <w:p w14:paraId="1653D0D6" w14:textId="77777777" w:rsidR="00D0323B" w:rsidRPr="005511A5" w:rsidRDefault="00D0323B" w:rsidP="00D0323B">
      <w:pPr>
        <w:pStyle w:val="E-mailSignature"/>
        <w:jc w:val="center"/>
        <w:rPr>
          <w:noProof/>
        </w:rPr>
      </w:pPr>
      <w:r w:rsidRPr="005511A5">
        <w:rPr>
          <w:noProof/>
        </w:rPr>
        <w:t>email:</w:t>
      </w:r>
      <w:r w:rsidRPr="005511A5">
        <w:t xml:space="preserve"> </w:t>
      </w:r>
      <w:r w:rsidRPr="005511A5">
        <w:rPr>
          <w:noProof/>
        </w:rPr>
        <w:t>g</w:t>
      </w:r>
      <w:r>
        <w:rPr>
          <w:noProof/>
        </w:rPr>
        <w:t>oz4</w:t>
      </w:r>
      <w:r w:rsidRPr="005511A5">
        <w:rPr>
          <w:noProof/>
        </w:rPr>
        <w:t>@cdc.gov</w:t>
      </w:r>
    </w:p>
    <w:bookmarkEnd w:id="1"/>
    <w:p w14:paraId="610A6637" w14:textId="77777777" w:rsidR="00464C8E" w:rsidRDefault="00464C8E" w:rsidP="0087540E">
      <w:pPr>
        <w:rPr>
          <w:b/>
          <w:bCs/>
          <w:sz w:val="28"/>
        </w:rPr>
      </w:pPr>
    </w:p>
    <w:p w14:paraId="03C19568" w14:textId="77777777" w:rsidR="00464C8E" w:rsidRDefault="00464C8E" w:rsidP="0087540E">
      <w:pPr>
        <w:rPr>
          <w:b/>
          <w:bCs/>
          <w:sz w:val="28"/>
        </w:rPr>
      </w:pPr>
    </w:p>
    <w:p w14:paraId="2F6900B4" w14:textId="77777777" w:rsidR="00464C8E" w:rsidRDefault="00464C8E" w:rsidP="0087540E">
      <w:pPr>
        <w:rPr>
          <w:b/>
          <w:bCs/>
          <w:sz w:val="28"/>
        </w:rPr>
      </w:pPr>
    </w:p>
    <w:p w14:paraId="1D7BF0B3" w14:textId="77777777" w:rsidR="00464C8E" w:rsidRDefault="00464C8E" w:rsidP="0087540E">
      <w:pPr>
        <w:rPr>
          <w:b/>
          <w:bCs/>
          <w:sz w:val="28"/>
        </w:rPr>
      </w:pPr>
    </w:p>
    <w:p w14:paraId="0D3580A9" w14:textId="77777777" w:rsidR="00464C8E" w:rsidRDefault="00464C8E" w:rsidP="0087540E">
      <w:pPr>
        <w:rPr>
          <w:b/>
          <w:bCs/>
          <w:sz w:val="28"/>
        </w:rPr>
      </w:pPr>
    </w:p>
    <w:p w14:paraId="7A0AFA33" w14:textId="77777777" w:rsidR="00464C8E" w:rsidRDefault="00464C8E" w:rsidP="0087540E">
      <w:pPr>
        <w:rPr>
          <w:b/>
          <w:bCs/>
          <w:sz w:val="28"/>
        </w:rPr>
      </w:pPr>
    </w:p>
    <w:p w14:paraId="747E7DB2" w14:textId="77777777" w:rsidR="00464C8E" w:rsidRDefault="00464C8E" w:rsidP="0087540E">
      <w:pPr>
        <w:rPr>
          <w:b/>
          <w:bCs/>
          <w:sz w:val="28"/>
        </w:rPr>
      </w:pPr>
    </w:p>
    <w:p w14:paraId="77BEA292" w14:textId="77777777" w:rsidR="00464C8E" w:rsidRDefault="00464C8E" w:rsidP="0087540E">
      <w:pPr>
        <w:rPr>
          <w:b/>
          <w:bCs/>
          <w:sz w:val="28"/>
        </w:rPr>
      </w:pPr>
    </w:p>
    <w:p w14:paraId="0FFBDDE5" w14:textId="269AB2CE" w:rsidR="00464C8E" w:rsidRDefault="00464C8E" w:rsidP="00464C8E">
      <w:pPr>
        <w:ind w:firstLine="720"/>
        <w:jc w:val="center"/>
        <w:rPr>
          <w:sz w:val="24"/>
        </w:rPr>
      </w:pPr>
      <w:r w:rsidRPr="00325AFD">
        <w:rPr>
          <w:sz w:val="24"/>
        </w:rPr>
        <w:lastRenderedPageBreak/>
        <w:t>CONTENTS</w:t>
      </w:r>
    </w:p>
    <w:p w14:paraId="17CA6321" w14:textId="4A4997BE" w:rsidR="00464C8E" w:rsidRDefault="00464C8E" w:rsidP="00464C8E">
      <w:pPr>
        <w:ind w:firstLine="720"/>
        <w:jc w:val="center"/>
        <w:rPr>
          <w:sz w:val="24"/>
        </w:rPr>
      </w:pPr>
    </w:p>
    <w:p w14:paraId="044F3B0E" w14:textId="77777777" w:rsidR="00464C8E" w:rsidRPr="00325AFD" w:rsidRDefault="00464C8E" w:rsidP="00464C8E">
      <w:pPr>
        <w:ind w:firstLine="720"/>
        <w:jc w:val="center"/>
        <w:rPr>
          <w:sz w:val="24"/>
        </w:rPr>
      </w:pPr>
    </w:p>
    <w:p w14:paraId="4C7C650B" w14:textId="14FC1ABE" w:rsidR="00464C8E" w:rsidRPr="00325AFD" w:rsidRDefault="00464C8E" w:rsidP="00464C8E">
      <w:pPr>
        <w:pStyle w:val="T0-ChapPgHd"/>
        <w:jc w:val="left"/>
        <w:rPr>
          <w:u w:val="none"/>
        </w:rPr>
      </w:pPr>
      <w:r w:rsidRPr="00325AFD">
        <w:rPr>
          <w:u w:val="none"/>
        </w:rPr>
        <w:t>Section</w:t>
      </w:r>
      <w:r>
        <w:rPr>
          <w:u w:val="none"/>
        </w:rPr>
        <w:t xml:space="preserve">                                                                                                                     </w:t>
      </w:r>
      <w:r w:rsidRPr="00325AFD">
        <w:rPr>
          <w:u w:val="none"/>
        </w:rPr>
        <w:t>Page</w:t>
      </w:r>
    </w:p>
    <w:p w14:paraId="5B3D4271" w14:textId="77777777" w:rsidR="00464C8E" w:rsidRPr="00325AFD" w:rsidRDefault="00464C8E" w:rsidP="00464C8E">
      <w:pPr>
        <w:pStyle w:val="TOC1"/>
        <w:ind w:left="0"/>
        <w:rPr>
          <w:caps w:val="0"/>
        </w:rPr>
      </w:pPr>
    </w:p>
    <w:p w14:paraId="582AD505" w14:textId="77777777" w:rsidR="00464C8E" w:rsidRPr="00325AFD" w:rsidRDefault="00464C8E" w:rsidP="00464C8E">
      <w:pPr>
        <w:pStyle w:val="TOC1"/>
        <w:rPr>
          <w:caps w:val="0"/>
        </w:rPr>
      </w:pPr>
      <w:r w:rsidRPr="00325AFD">
        <w:rPr>
          <w:caps w:val="0"/>
        </w:rPr>
        <w:tab/>
      </w:r>
    </w:p>
    <w:p w14:paraId="7E3B1733" w14:textId="77777777" w:rsidR="00464C8E" w:rsidRPr="00325AFD" w:rsidRDefault="00464C8E" w:rsidP="00464C8E">
      <w:pPr>
        <w:rPr>
          <w:sz w:val="24"/>
        </w:rPr>
      </w:pPr>
      <w:r w:rsidRPr="00325AFD">
        <w:rPr>
          <w:sz w:val="24"/>
        </w:rPr>
        <w:t xml:space="preserve">B. COLLECTIONS OF INFORMATION EMPLOYING STATISTICAL METHODS </w:t>
      </w:r>
    </w:p>
    <w:p w14:paraId="3BF5FF6E" w14:textId="77777777" w:rsidR="00464C8E" w:rsidRPr="00325AFD" w:rsidRDefault="00464C8E" w:rsidP="00464C8E">
      <w:pPr>
        <w:rPr>
          <w:sz w:val="24"/>
        </w:rPr>
      </w:pPr>
    </w:p>
    <w:p w14:paraId="6754FB32" w14:textId="6E993231" w:rsidR="00464C8E" w:rsidRPr="00C4585A" w:rsidRDefault="00464C8E" w:rsidP="00464C8E">
      <w:pPr>
        <w:pStyle w:val="TOC2"/>
        <w:ind w:left="0" w:firstLine="0"/>
      </w:pPr>
      <w:r w:rsidRPr="008A0757">
        <w:t xml:space="preserve">            B.1.     Respondent Universe and Sampling Methods</w:t>
      </w:r>
      <w:r w:rsidRPr="00325AFD">
        <w:t xml:space="preserve"> </w:t>
      </w:r>
      <w:r w:rsidRPr="00C4585A">
        <w:tab/>
      </w:r>
      <w:r>
        <w:t>3</w:t>
      </w:r>
    </w:p>
    <w:p w14:paraId="42359E02" w14:textId="1BEBBD64" w:rsidR="00464C8E" w:rsidRPr="003F43D3" w:rsidRDefault="00464C8E" w:rsidP="00464C8E">
      <w:pPr>
        <w:pStyle w:val="TOC2"/>
        <w:ind w:left="0" w:firstLine="0"/>
      </w:pPr>
      <w:r w:rsidRPr="008A0757">
        <w:t xml:space="preserve">            B.2.     Procedures for the Collection of Information</w:t>
      </w:r>
      <w:r w:rsidRPr="00325AFD">
        <w:t xml:space="preserve"> </w:t>
      </w:r>
      <w:r w:rsidRPr="00C4585A">
        <w:tab/>
      </w:r>
      <w:r>
        <w:t>3</w:t>
      </w:r>
    </w:p>
    <w:p w14:paraId="1DFB7B56" w14:textId="47B4B3D4" w:rsidR="00464C8E" w:rsidRPr="00325AFD" w:rsidRDefault="00464C8E" w:rsidP="00464C8E">
      <w:pPr>
        <w:outlineLvl w:val="1"/>
        <w:rPr>
          <w:sz w:val="24"/>
        </w:rPr>
      </w:pPr>
      <w:r w:rsidRPr="00325AFD">
        <w:rPr>
          <w:sz w:val="24"/>
        </w:rPr>
        <w:tab/>
        <w:t xml:space="preserve">B.3. </w:t>
      </w:r>
      <w:r w:rsidRPr="00325AFD">
        <w:rPr>
          <w:sz w:val="24"/>
        </w:rPr>
        <w:tab/>
        <w:t>Methods to Maximize Response Rates and Deal with Nonresponse</w:t>
      </w:r>
      <w:r w:rsidRPr="00325AFD">
        <w:rPr>
          <w:sz w:val="24"/>
        </w:rPr>
        <w:tab/>
      </w:r>
      <w:r>
        <w:rPr>
          <w:sz w:val="24"/>
        </w:rPr>
        <w:t>...7</w:t>
      </w:r>
    </w:p>
    <w:p w14:paraId="53B74617" w14:textId="31A35A73" w:rsidR="00464C8E" w:rsidRPr="00325AFD" w:rsidRDefault="00464C8E" w:rsidP="00464C8E">
      <w:pPr>
        <w:outlineLvl w:val="1"/>
        <w:rPr>
          <w:sz w:val="24"/>
        </w:rPr>
      </w:pPr>
      <w:r w:rsidRPr="00325AFD">
        <w:rPr>
          <w:sz w:val="24"/>
        </w:rPr>
        <w:tab/>
        <w:t xml:space="preserve">B.4. </w:t>
      </w:r>
      <w:r w:rsidRPr="00325AFD">
        <w:rPr>
          <w:sz w:val="24"/>
        </w:rPr>
        <w:tab/>
        <w:t>Tests of Procedures or Methods to be Undertaken…</w:t>
      </w:r>
      <w:r>
        <w:rPr>
          <w:sz w:val="24"/>
        </w:rPr>
        <w:t>…………………8</w:t>
      </w:r>
    </w:p>
    <w:p w14:paraId="3908D4DF" w14:textId="77777777" w:rsidR="00464C8E" w:rsidRPr="00325AFD" w:rsidRDefault="00464C8E" w:rsidP="00464C8E">
      <w:pPr>
        <w:ind w:left="465" w:hanging="465"/>
        <w:outlineLvl w:val="1"/>
        <w:rPr>
          <w:sz w:val="24"/>
        </w:rPr>
      </w:pPr>
      <w:r w:rsidRPr="00325AFD">
        <w:rPr>
          <w:sz w:val="24"/>
        </w:rPr>
        <w:tab/>
      </w:r>
      <w:r w:rsidRPr="00325AFD">
        <w:rPr>
          <w:sz w:val="24"/>
        </w:rPr>
        <w:tab/>
        <w:t xml:space="preserve">B.5. </w:t>
      </w:r>
      <w:r w:rsidRPr="00325AFD">
        <w:rPr>
          <w:sz w:val="24"/>
        </w:rPr>
        <w:tab/>
        <w:t xml:space="preserve">Individuals Consulted on Statistical Aspects and Individuals </w:t>
      </w:r>
    </w:p>
    <w:p w14:paraId="22DB33CC" w14:textId="097B25DC" w:rsidR="00464C8E" w:rsidRPr="00325AFD" w:rsidRDefault="00464C8E" w:rsidP="00464C8E">
      <w:pPr>
        <w:ind w:left="465" w:hanging="465"/>
        <w:outlineLvl w:val="1"/>
        <w:rPr>
          <w:sz w:val="24"/>
        </w:rPr>
      </w:pPr>
      <w:r w:rsidRPr="00325AFD">
        <w:rPr>
          <w:sz w:val="24"/>
        </w:rPr>
        <w:tab/>
      </w:r>
      <w:r w:rsidRPr="00325AFD">
        <w:rPr>
          <w:sz w:val="24"/>
        </w:rPr>
        <w:tab/>
      </w:r>
      <w:r w:rsidRPr="00325AFD">
        <w:rPr>
          <w:sz w:val="24"/>
        </w:rPr>
        <w:tab/>
        <w:t>Collecting and/or Analyzing Data…………………………………</w:t>
      </w:r>
      <w:r>
        <w:rPr>
          <w:sz w:val="24"/>
        </w:rPr>
        <w:t>….9</w:t>
      </w:r>
    </w:p>
    <w:p w14:paraId="4E5EE935" w14:textId="77777777" w:rsidR="00464C8E" w:rsidRPr="005E4D30" w:rsidRDefault="00464C8E" w:rsidP="00464C8E">
      <w:pPr>
        <w:outlineLvl w:val="1"/>
        <w:rPr>
          <w:bCs/>
        </w:rPr>
      </w:pPr>
      <w:r w:rsidRPr="005E4D30">
        <w:rPr>
          <w:bCs/>
        </w:rPr>
        <w:t xml:space="preserve"> </w:t>
      </w:r>
      <w:r>
        <w:rPr>
          <w:bCs/>
        </w:rPr>
        <w:tab/>
      </w:r>
    </w:p>
    <w:p w14:paraId="409AD772" w14:textId="2A2576C3" w:rsidR="00464C8E" w:rsidRDefault="00464C8E" w:rsidP="0087540E">
      <w:pPr>
        <w:rPr>
          <w:b/>
          <w:bCs/>
          <w:sz w:val="28"/>
        </w:rPr>
      </w:pPr>
    </w:p>
    <w:p w14:paraId="7A49EEE1" w14:textId="015E17FE" w:rsidR="00464C8E" w:rsidRDefault="00464C8E" w:rsidP="0087540E">
      <w:pPr>
        <w:rPr>
          <w:b/>
          <w:bCs/>
          <w:sz w:val="28"/>
        </w:rPr>
      </w:pPr>
    </w:p>
    <w:p w14:paraId="11CB0E45" w14:textId="35EF19E0" w:rsidR="00464C8E" w:rsidRDefault="00464C8E" w:rsidP="0087540E">
      <w:pPr>
        <w:rPr>
          <w:b/>
          <w:bCs/>
          <w:sz w:val="28"/>
        </w:rPr>
      </w:pPr>
    </w:p>
    <w:p w14:paraId="30C07D2E" w14:textId="638F24ED" w:rsidR="00464C8E" w:rsidRDefault="00464C8E" w:rsidP="0087540E">
      <w:pPr>
        <w:rPr>
          <w:b/>
          <w:bCs/>
          <w:sz w:val="28"/>
        </w:rPr>
      </w:pPr>
    </w:p>
    <w:p w14:paraId="0588826D" w14:textId="61003968" w:rsidR="00464C8E" w:rsidRDefault="00464C8E" w:rsidP="0087540E">
      <w:pPr>
        <w:rPr>
          <w:b/>
          <w:bCs/>
          <w:sz w:val="28"/>
        </w:rPr>
      </w:pPr>
    </w:p>
    <w:p w14:paraId="60A73241" w14:textId="093FE1E6" w:rsidR="00464C8E" w:rsidRDefault="00464C8E" w:rsidP="0087540E">
      <w:pPr>
        <w:rPr>
          <w:b/>
          <w:bCs/>
          <w:sz w:val="28"/>
        </w:rPr>
      </w:pPr>
    </w:p>
    <w:p w14:paraId="72C9F8D0" w14:textId="495B2F9C" w:rsidR="00464C8E" w:rsidRDefault="00464C8E" w:rsidP="0087540E">
      <w:pPr>
        <w:rPr>
          <w:b/>
          <w:bCs/>
          <w:sz w:val="28"/>
        </w:rPr>
      </w:pPr>
    </w:p>
    <w:p w14:paraId="4A3E4AD0" w14:textId="52C8F0EB" w:rsidR="00464C8E" w:rsidRDefault="00464C8E" w:rsidP="0087540E">
      <w:pPr>
        <w:rPr>
          <w:b/>
          <w:bCs/>
          <w:sz w:val="28"/>
        </w:rPr>
      </w:pPr>
    </w:p>
    <w:p w14:paraId="01CF3BAB" w14:textId="0630CFDD" w:rsidR="00464C8E" w:rsidRDefault="00464C8E" w:rsidP="0087540E">
      <w:pPr>
        <w:rPr>
          <w:b/>
          <w:bCs/>
          <w:sz w:val="28"/>
        </w:rPr>
      </w:pPr>
    </w:p>
    <w:p w14:paraId="19A3025E" w14:textId="1D9E99A5" w:rsidR="00464C8E" w:rsidRDefault="00464C8E" w:rsidP="0087540E">
      <w:pPr>
        <w:rPr>
          <w:b/>
          <w:bCs/>
          <w:sz w:val="28"/>
        </w:rPr>
      </w:pPr>
    </w:p>
    <w:p w14:paraId="687920CC" w14:textId="09EC301B" w:rsidR="00464C8E" w:rsidRDefault="00464C8E" w:rsidP="0087540E">
      <w:pPr>
        <w:rPr>
          <w:b/>
          <w:bCs/>
          <w:sz w:val="28"/>
        </w:rPr>
      </w:pPr>
    </w:p>
    <w:p w14:paraId="44FE2C83" w14:textId="65FE79F9" w:rsidR="00464C8E" w:rsidRDefault="00464C8E" w:rsidP="0087540E">
      <w:pPr>
        <w:rPr>
          <w:b/>
          <w:bCs/>
          <w:sz w:val="28"/>
        </w:rPr>
      </w:pPr>
    </w:p>
    <w:p w14:paraId="6E9A443C" w14:textId="2F389886" w:rsidR="00464C8E" w:rsidRDefault="00464C8E" w:rsidP="0087540E">
      <w:pPr>
        <w:rPr>
          <w:b/>
          <w:bCs/>
          <w:sz w:val="28"/>
        </w:rPr>
      </w:pPr>
    </w:p>
    <w:p w14:paraId="294027B8" w14:textId="1D408BEC" w:rsidR="00464C8E" w:rsidRDefault="00464C8E" w:rsidP="0087540E">
      <w:pPr>
        <w:rPr>
          <w:b/>
          <w:bCs/>
          <w:sz w:val="28"/>
        </w:rPr>
      </w:pPr>
    </w:p>
    <w:p w14:paraId="50449A8D" w14:textId="72E9E770" w:rsidR="00464C8E" w:rsidRDefault="00464C8E" w:rsidP="0087540E">
      <w:pPr>
        <w:rPr>
          <w:b/>
          <w:bCs/>
          <w:sz w:val="28"/>
        </w:rPr>
      </w:pPr>
    </w:p>
    <w:p w14:paraId="1260BA30" w14:textId="23D378B7" w:rsidR="00464C8E" w:rsidRDefault="00464C8E" w:rsidP="0087540E">
      <w:pPr>
        <w:rPr>
          <w:b/>
          <w:bCs/>
          <w:sz w:val="28"/>
        </w:rPr>
      </w:pPr>
    </w:p>
    <w:p w14:paraId="02CABD94" w14:textId="36D799FA" w:rsidR="00464C8E" w:rsidRDefault="00464C8E" w:rsidP="0087540E">
      <w:pPr>
        <w:rPr>
          <w:b/>
          <w:bCs/>
          <w:sz w:val="28"/>
        </w:rPr>
      </w:pPr>
    </w:p>
    <w:p w14:paraId="083AE30B" w14:textId="5624D198" w:rsidR="00464C8E" w:rsidRDefault="00464C8E" w:rsidP="0087540E">
      <w:pPr>
        <w:rPr>
          <w:b/>
          <w:bCs/>
          <w:sz w:val="28"/>
        </w:rPr>
      </w:pPr>
    </w:p>
    <w:p w14:paraId="5D89A1B0" w14:textId="040CC53E" w:rsidR="00464C8E" w:rsidRDefault="00464C8E" w:rsidP="0087540E">
      <w:pPr>
        <w:rPr>
          <w:b/>
          <w:bCs/>
          <w:sz w:val="28"/>
        </w:rPr>
      </w:pPr>
    </w:p>
    <w:p w14:paraId="78F78900" w14:textId="4B4FCF04" w:rsidR="00464C8E" w:rsidRDefault="00464C8E" w:rsidP="0087540E">
      <w:pPr>
        <w:rPr>
          <w:b/>
          <w:bCs/>
          <w:sz w:val="28"/>
        </w:rPr>
      </w:pPr>
    </w:p>
    <w:p w14:paraId="4FC5BCC5" w14:textId="6FE7B61E" w:rsidR="00464C8E" w:rsidRDefault="00464C8E" w:rsidP="0087540E">
      <w:pPr>
        <w:rPr>
          <w:b/>
          <w:bCs/>
          <w:sz w:val="28"/>
        </w:rPr>
      </w:pPr>
    </w:p>
    <w:p w14:paraId="274293F6" w14:textId="40330FF8" w:rsidR="00464C8E" w:rsidRDefault="00464C8E" w:rsidP="0087540E">
      <w:pPr>
        <w:rPr>
          <w:b/>
          <w:bCs/>
          <w:sz w:val="28"/>
        </w:rPr>
      </w:pPr>
    </w:p>
    <w:p w14:paraId="01F88180" w14:textId="358CCE43" w:rsidR="00464C8E" w:rsidRDefault="00464C8E" w:rsidP="0087540E">
      <w:pPr>
        <w:rPr>
          <w:b/>
          <w:bCs/>
          <w:sz w:val="28"/>
        </w:rPr>
      </w:pPr>
    </w:p>
    <w:p w14:paraId="75D1B41C" w14:textId="08F789DD" w:rsidR="00464C8E" w:rsidRDefault="00464C8E" w:rsidP="0087540E">
      <w:pPr>
        <w:rPr>
          <w:b/>
          <w:bCs/>
          <w:sz w:val="28"/>
        </w:rPr>
      </w:pPr>
    </w:p>
    <w:p w14:paraId="1B70A826" w14:textId="4BEF6A82" w:rsidR="00464C8E" w:rsidRDefault="00464C8E" w:rsidP="0087540E">
      <w:pPr>
        <w:rPr>
          <w:b/>
          <w:bCs/>
          <w:sz w:val="28"/>
        </w:rPr>
      </w:pPr>
    </w:p>
    <w:p w14:paraId="3AD5D99D" w14:textId="390A3474" w:rsidR="00464C8E" w:rsidRDefault="00464C8E" w:rsidP="0087540E">
      <w:pPr>
        <w:rPr>
          <w:b/>
          <w:bCs/>
          <w:sz w:val="28"/>
        </w:rPr>
      </w:pPr>
    </w:p>
    <w:p w14:paraId="578B0681" w14:textId="0B855DD4" w:rsidR="00464C8E" w:rsidRDefault="00464C8E" w:rsidP="0087540E">
      <w:pPr>
        <w:rPr>
          <w:b/>
          <w:bCs/>
          <w:sz w:val="28"/>
        </w:rPr>
      </w:pPr>
    </w:p>
    <w:p w14:paraId="166D5520" w14:textId="7B676E8F" w:rsidR="00464C8E" w:rsidRDefault="00464C8E" w:rsidP="0087540E">
      <w:pPr>
        <w:rPr>
          <w:b/>
          <w:bCs/>
          <w:sz w:val="28"/>
        </w:rPr>
      </w:pPr>
    </w:p>
    <w:p w14:paraId="4A095E28" w14:textId="646E0842" w:rsidR="00464C8E" w:rsidRDefault="00464C8E" w:rsidP="0087540E">
      <w:pPr>
        <w:rPr>
          <w:b/>
          <w:bCs/>
          <w:sz w:val="28"/>
        </w:rPr>
      </w:pPr>
    </w:p>
    <w:p w14:paraId="6C3FC31C" w14:textId="652D0207" w:rsidR="00464C8E" w:rsidRDefault="00464C8E" w:rsidP="0087540E">
      <w:pPr>
        <w:rPr>
          <w:b/>
          <w:bCs/>
          <w:sz w:val="28"/>
        </w:rPr>
      </w:pPr>
    </w:p>
    <w:p w14:paraId="1CFB68AF" w14:textId="6D19507B" w:rsidR="0087540E" w:rsidRDefault="0087540E" w:rsidP="0087540E">
      <w:pPr>
        <w:rPr>
          <w:sz w:val="28"/>
        </w:rPr>
      </w:pPr>
      <w:r>
        <w:rPr>
          <w:b/>
          <w:bCs/>
          <w:sz w:val="28"/>
        </w:rPr>
        <w:lastRenderedPageBreak/>
        <w:t>B.</w:t>
      </w:r>
      <w:r>
        <w:rPr>
          <w:sz w:val="28"/>
        </w:rPr>
        <w:tab/>
      </w:r>
      <w:r>
        <w:rPr>
          <w:b/>
          <w:bCs/>
          <w:sz w:val="28"/>
        </w:rPr>
        <w:t>Collection of Information Employing Statistical Methods</w:t>
      </w:r>
    </w:p>
    <w:p w14:paraId="73EBBABE" w14:textId="77777777" w:rsidR="0087540E" w:rsidRDefault="0087540E" w:rsidP="0087540E">
      <w:pPr>
        <w:rPr>
          <w:sz w:val="24"/>
        </w:rPr>
      </w:pPr>
    </w:p>
    <w:p w14:paraId="3567FB91" w14:textId="77777777" w:rsidR="0087540E" w:rsidRDefault="0087540E" w:rsidP="0087540E">
      <w:pPr>
        <w:tabs>
          <w:tab w:val="left" w:pos="-1440"/>
        </w:tabs>
        <w:ind w:left="720" w:hanging="720"/>
        <w:rPr>
          <w:sz w:val="24"/>
        </w:rPr>
      </w:pPr>
      <w:r>
        <w:rPr>
          <w:b/>
          <w:bCs/>
          <w:sz w:val="24"/>
        </w:rPr>
        <w:t>1.</w:t>
      </w:r>
      <w:r>
        <w:rPr>
          <w:b/>
          <w:bCs/>
          <w:sz w:val="24"/>
        </w:rPr>
        <w:tab/>
        <w:t>Respondent Universe and Sampling Methods</w:t>
      </w:r>
    </w:p>
    <w:p w14:paraId="712ABCEB" w14:textId="77777777" w:rsidR="0087540E" w:rsidRDefault="0087540E" w:rsidP="0087540E">
      <w:pPr>
        <w:rPr>
          <w:sz w:val="24"/>
        </w:rPr>
      </w:pPr>
    </w:p>
    <w:p w14:paraId="4C10FA36" w14:textId="55801FE3" w:rsidR="00747836" w:rsidRPr="005569D8" w:rsidRDefault="00342FE6" w:rsidP="0087540E">
      <w:pPr>
        <w:rPr>
          <w:sz w:val="24"/>
        </w:rPr>
      </w:pPr>
      <w:r w:rsidRPr="005569D8">
        <w:rPr>
          <w:sz w:val="24"/>
        </w:rPr>
        <w:t xml:space="preserve">The goal of DOSE is </w:t>
      </w:r>
      <w:r w:rsidR="003923DF" w:rsidRPr="005569D8">
        <w:rPr>
          <w:sz w:val="24"/>
        </w:rPr>
        <w:t xml:space="preserve">to </w:t>
      </w:r>
      <w:r w:rsidRPr="005569D8">
        <w:rPr>
          <w:sz w:val="24"/>
        </w:rPr>
        <w:t xml:space="preserve">conduct </w:t>
      </w:r>
      <w:r w:rsidR="00851A34" w:rsidRPr="005569D8">
        <w:rPr>
          <w:sz w:val="24"/>
        </w:rPr>
        <w:t>ongoing surveillance of all</w:t>
      </w:r>
      <w:r w:rsidRPr="005569D8">
        <w:rPr>
          <w:sz w:val="24"/>
        </w:rPr>
        <w:t xml:space="preserve"> </w:t>
      </w:r>
      <w:r w:rsidR="002823CD" w:rsidRPr="005569D8">
        <w:rPr>
          <w:sz w:val="24"/>
        </w:rPr>
        <w:t xml:space="preserve">emergency department </w:t>
      </w:r>
      <w:r w:rsidR="00C03E9D" w:rsidRPr="005569D8">
        <w:rPr>
          <w:sz w:val="24"/>
        </w:rPr>
        <w:t xml:space="preserve">(ED) </w:t>
      </w:r>
      <w:r w:rsidR="002823CD" w:rsidRPr="005569D8">
        <w:rPr>
          <w:sz w:val="24"/>
        </w:rPr>
        <w:t>visits</w:t>
      </w:r>
      <w:r w:rsidRPr="005569D8">
        <w:rPr>
          <w:sz w:val="24"/>
        </w:rPr>
        <w:t xml:space="preserve"> suspected to involve drug, opioid, heroin and stimulant overdoses occurring in non-federal hospitals in 52 public health jurisdictions (i.e., all 50 states in the US, Puerto Rico, and the District of Columbia)</w:t>
      </w:r>
      <w:r w:rsidR="003923DF" w:rsidRPr="005569D8">
        <w:rPr>
          <w:sz w:val="24"/>
        </w:rPr>
        <w:t>.</w:t>
      </w:r>
      <w:r w:rsidR="0087540E" w:rsidRPr="005569D8">
        <w:rPr>
          <w:sz w:val="24"/>
        </w:rPr>
        <w:t xml:space="preserve"> </w:t>
      </w:r>
      <w:r w:rsidR="003923DF" w:rsidRPr="005569D8">
        <w:rPr>
          <w:sz w:val="24"/>
        </w:rPr>
        <w:t>T</w:t>
      </w:r>
      <w:r w:rsidR="00C0145C" w:rsidRPr="005569D8">
        <w:rPr>
          <w:sz w:val="24"/>
        </w:rPr>
        <w:t>herefore</w:t>
      </w:r>
      <w:r w:rsidR="00BC45BD" w:rsidRPr="005569D8">
        <w:rPr>
          <w:sz w:val="24"/>
        </w:rPr>
        <w:t>,</w:t>
      </w:r>
      <w:r w:rsidR="0087540E" w:rsidRPr="005569D8">
        <w:rPr>
          <w:sz w:val="24"/>
        </w:rPr>
        <w:t xml:space="preserve"> no sampling methods w</w:t>
      </w:r>
      <w:r w:rsidR="00B459EB" w:rsidRPr="005569D8">
        <w:rPr>
          <w:sz w:val="24"/>
        </w:rPr>
        <w:t xml:space="preserve">ill be employed.  </w:t>
      </w:r>
      <w:r w:rsidR="003923DF" w:rsidRPr="005569D8">
        <w:rPr>
          <w:sz w:val="24"/>
        </w:rPr>
        <w:t>W</w:t>
      </w:r>
      <w:r w:rsidR="00C875B3" w:rsidRPr="005569D8">
        <w:rPr>
          <w:sz w:val="24"/>
        </w:rPr>
        <w:t>ithin three years</w:t>
      </w:r>
      <w:r w:rsidR="003923DF" w:rsidRPr="005569D8">
        <w:rPr>
          <w:sz w:val="24"/>
        </w:rPr>
        <w:t xml:space="preserve"> of implementation, DOSE</w:t>
      </w:r>
      <w:r w:rsidR="00C875B3" w:rsidRPr="005569D8">
        <w:rPr>
          <w:sz w:val="24"/>
        </w:rPr>
        <w:t xml:space="preserve"> has the goal of</w:t>
      </w:r>
      <w:r w:rsidR="00851A34" w:rsidRPr="005569D8">
        <w:rPr>
          <w:sz w:val="24"/>
        </w:rPr>
        <w:t xml:space="preserve"> monitoring </w:t>
      </w:r>
      <w:r w:rsidR="00C614D5">
        <w:rPr>
          <w:sz w:val="24"/>
        </w:rPr>
        <w:t xml:space="preserve">at </w:t>
      </w:r>
      <w:r w:rsidR="00C614D5" w:rsidRPr="005569D8">
        <w:rPr>
          <w:sz w:val="24"/>
        </w:rPr>
        <w:t xml:space="preserve">least 75% </w:t>
      </w:r>
      <w:r w:rsidR="00163B20">
        <w:rPr>
          <w:sz w:val="24"/>
        </w:rPr>
        <w:t xml:space="preserve">of </w:t>
      </w:r>
      <w:r w:rsidR="00EB3828" w:rsidRPr="005569D8">
        <w:rPr>
          <w:sz w:val="24"/>
        </w:rPr>
        <w:t xml:space="preserve">the over 140 million </w:t>
      </w:r>
      <w:r w:rsidR="00851A34" w:rsidRPr="005569D8">
        <w:rPr>
          <w:sz w:val="24"/>
        </w:rPr>
        <w:t>ED visits</w:t>
      </w:r>
      <w:r w:rsidR="002C2BCE" w:rsidRPr="005569D8">
        <w:rPr>
          <w:rStyle w:val="EndnoteReference"/>
          <w:sz w:val="24"/>
        </w:rPr>
        <w:endnoteReference w:id="1"/>
      </w:r>
      <w:r w:rsidR="00851A34" w:rsidRPr="005569D8">
        <w:rPr>
          <w:sz w:val="24"/>
        </w:rPr>
        <w:t xml:space="preserve"> </w:t>
      </w:r>
      <w:r w:rsidR="002C2BCE" w:rsidRPr="005569D8">
        <w:rPr>
          <w:sz w:val="24"/>
        </w:rPr>
        <w:t xml:space="preserve">occurring </w:t>
      </w:r>
      <w:r w:rsidR="00851A34" w:rsidRPr="005569D8">
        <w:rPr>
          <w:sz w:val="24"/>
        </w:rPr>
        <w:t xml:space="preserve">in </w:t>
      </w:r>
      <w:r w:rsidR="00C875B3" w:rsidRPr="005569D8">
        <w:rPr>
          <w:sz w:val="24"/>
        </w:rPr>
        <w:t xml:space="preserve">the 52 </w:t>
      </w:r>
      <w:r w:rsidR="00851A34" w:rsidRPr="005569D8">
        <w:rPr>
          <w:sz w:val="24"/>
        </w:rPr>
        <w:t>particip</w:t>
      </w:r>
      <w:r w:rsidR="00EB3828" w:rsidRPr="005569D8">
        <w:rPr>
          <w:sz w:val="24"/>
        </w:rPr>
        <w:t xml:space="preserve">ating </w:t>
      </w:r>
      <w:r w:rsidR="001736E3">
        <w:rPr>
          <w:sz w:val="24"/>
        </w:rPr>
        <w:t>health departments</w:t>
      </w:r>
      <w:r w:rsidR="004F09A2" w:rsidRPr="005569D8">
        <w:rPr>
          <w:sz w:val="24"/>
        </w:rPr>
        <w:t xml:space="preserve"> </w:t>
      </w:r>
      <w:r w:rsidR="003F6A10" w:rsidRPr="005569D8">
        <w:rPr>
          <w:sz w:val="24"/>
        </w:rPr>
        <w:t>for evidence of ED visits involving suspected drug, opioid, heroin, or stimulant overdoses</w:t>
      </w:r>
      <w:r w:rsidR="00C875B3" w:rsidRPr="005569D8">
        <w:rPr>
          <w:sz w:val="24"/>
        </w:rPr>
        <w:t xml:space="preserve">. </w:t>
      </w:r>
    </w:p>
    <w:p w14:paraId="5605AC0B" w14:textId="657E86C0" w:rsidR="00747836" w:rsidRPr="005569D8" w:rsidRDefault="00C614D5" w:rsidP="0087540E">
      <w:pPr>
        <w:rPr>
          <w:sz w:val="24"/>
        </w:rPr>
        <w:sectPr w:rsidR="00747836" w:rsidRPr="005569D8" w:rsidSect="00747836">
          <w:endnotePr>
            <w:numFmt w:val="decimal"/>
          </w:endnotePr>
          <w:type w:val="continuous"/>
          <w:pgSz w:w="12240" w:h="15840"/>
          <w:pgMar w:top="1080" w:right="1800" w:bottom="720" w:left="1800" w:header="720" w:footer="720" w:gutter="0"/>
          <w:cols w:space="720"/>
        </w:sectPr>
      </w:pPr>
      <w:r>
        <w:rPr>
          <w:sz w:val="24"/>
        </w:rPr>
        <w:t>The goal is</w:t>
      </w:r>
      <w:r w:rsidR="00163B20">
        <w:rPr>
          <w:sz w:val="24"/>
        </w:rPr>
        <w:t xml:space="preserve"> </w:t>
      </w:r>
      <w:r w:rsidR="00134A5A">
        <w:rPr>
          <w:sz w:val="24"/>
        </w:rPr>
        <w:t xml:space="preserve">75% </w:t>
      </w:r>
      <w:r w:rsidR="00163B20">
        <w:rPr>
          <w:sz w:val="24"/>
        </w:rPr>
        <w:t xml:space="preserve">instead of a 100% </w:t>
      </w:r>
      <w:r w:rsidR="00134A5A">
        <w:rPr>
          <w:sz w:val="24"/>
        </w:rPr>
        <w:t>because ongoing work with 32 state health departments and the District of Columbia</w:t>
      </w:r>
      <w:r w:rsidR="00982FF1">
        <w:rPr>
          <w:sz w:val="24"/>
        </w:rPr>
        <w:t xml:space="preserve"> found that some local rapid ED data collection do not have full participation of </w:t>
      </w:r>
      <w:r w:rsidR="00163B20">
        <w:rPr>
          <w:sz w:val="24"/>
        </w:rPr>
        <w:t xml:space="preserve">all </w:t>
      </w:r>
      <w:r w:rsidR="00982FF1">
        <w:rPr>
          <w:sz w:val="24"/>
        </w:rPr>
        <w:t xml:space="preserve">EDs in their jurisdiction. </w:t>
      </w:r>
      <w:r w:rsidR="005B54AA">
        <w:rPr>
          <w:sz w:val="24"/>
        </w:rPr>
        <w:t>About two out of three health departments currently sharing non-</w:t>
      </w:r>
      <w:r w:rsidR="005B54AA" w:rsidRPr="00A31A5E">
        <w:rPr>
          <w:sz w:val="24"/>
        </w:rPr>
        <w:t>standardizing ED data with CDC through</w:t>
      </w:r>
      <w:r w:rsidR="00A31A5E" w:rsidRPr="00A31A5E">
        <w:rPr>
          <w:sz w:val="24"/>
        </w:rPr>
        <w:t xml:space="preserve"> </w:t>
      </w:r>
      <w:r w:rsidR="00A31A5E" w:rsidRPr="00304A95">
        <w:rPr>
          <w:sz w:val="24"/>
        </w:rPr>
        <w:t>Enhanced State Opioid Overdose Surveillance</w:t>
      </w:r>
      <w:r w:rsidR="00A31A5E">
        <w:rPr>
          <w:sz w:val="24"/>
        </w:rPr>
        <w:t xml:space="preserve"> </w:t>
      </w:r>
      <w:r w:rsidR="00840241">
        <w:rPr>
          <w:sz w:val="24"/>
        </w:rPr>
        <w:t xml:space="preserve">(ESOOS) </w:t>
      </w:r>
      <w:r w:rsidR="00A31A5E">
        <w:rPr>
          <w:sz w:val="24"/>
        </w:rPr>
        <w:t>funding announcement</w:t>
      </w:r>
      <w:r w:rsidR="00982FF1" w:rsidRPr="00A31A5E">
        <w:rPr>
          <w:sz w:val="24"/>
        </w:rPr>
        <w:t>, however,</w:t>
      </w:r>
      <w:r w:rsidR="00163B20">
        <w:rPr>
          <w:sz w:val="24"/>
        </w:rPr>
        <w:t xml:space="preserve"> monitor</w:t>
      </w:r>
      <w:r w:rsidR="00840241">
        <w:rPr>
          <w:sz w:val="24"/>
        </w:rPr>
        <w:t xml:space="preserve"> over 90% of ED visits in their jurisdiction</w:t>
      </w:r>
      <w:r w:rsidR="00982FF1">
        <w:rPr>
          <w:sz w:val="24"/>
        </w:rPr>
        <w:t>.</w:t>
      </w:r>
    </w:p>
    <w:p w14:paraId="4E081D49" w14:textId="77777777" w:rsidR="0087540E" w:rsidRPr="005569D8" w:rsidRDefault="0087540E" w:rsidP="0087540E">
      <w:pPr>
        <w:rPr>
          <w:sz w:val="24"/>
        </w:rPr>
      </w:pPr>
    </w:p>
    <w:p w14:paraId="28585B14" w14:textId="77777777" w:rsidR="0087540E" w:rsidRPr="005569D8" w:rsidRDefault="0087540E" w:rsidP="0087540E">
      <w:pPr>
        <w:tabs>
          <w:tab w:val="left" w:pos="-1440"/>
        </w:tabs>
        <w:ind w:left="720" w:hanging="720"/>
        <w:rPr>
          <w:sz w:val="24"/>
        </w:rPr>
      </w:pPr>
      <w:r w:rsidRPr="005569D8">
        <w:rPr>
          <w:b/>
          <w:bCs/>
          <w:sz w:val="24"/>
        </w:rPr>
        <w:t>2.</w:t>
      </w:r>
      <w:r w:rsidRPr="005569D8">
        <w:rPr>
          <w:b/>
          <w:bCs/>
          <w:sz w:val="24"/>
        </w:rPr>
        <w:tab/>
        <w:t>Procedures for the Collection of Information</w:t>
      </w:r>
    </w:p>
    <w:p w14:paraId="4D9383C8" w14:textId="77777777" w:rsidR="00B85CEC" w:rsidRPr="005569D8" w:rsidRDefault="00B85CEC" w:rsidP="00E40349">
      <w:pPr>
        <w:rPr>
          <w:sz w:val="24"/>
          <w:lang w:val="en"/>
        </w:rPr>
      </w:pPr>
    </w:p>
    <w:p w14:paraId="1FAA58EC" w14:textId="4D6FA496" w:rsidR="0021575A" w:rsidRPr="002E4AE2" w:rsidRDefault="00B85CEC" w:rsidP="00E40349">
      <w:pPr>
        <w:rPr>
          <w:sz w:val="24"/>
          <w:lang w:val="en"/>
        </w:rPr>
      </w:pPr>
      <w:r w:rsidRPr="002E4AE2">
        <w:rPr>
          <w:sz w:val="24"/>
          <w:lang w:val="en"/>
        </w:rPr>
        <w:t xml:space="preserve">The 52 participating health departments in DOSE will share </w:t>
      </w:r>
      <w:r w:rsidR="00975A43">
        <w:rPr>
          <w:sz w:val="24"/>
          <w:lang w:val="en"/>
        </w:rPr>
        <w:t xml:space="preserve">up to </w:t>
      </w:r>
      <w:r w:rsidRPr="002E4AE2">
        <w:rPr>
          <w:sz w:val="24"/>
          <w:lang w:val="en"/>
        </w:rPr>
        <w:t xml:space="preserve">two types of data with CDC </w:t>
      </w:r>
      <w:r w:rsidR="0021575A" w:rsidRPr="002E4AE2">
        <w:rPr>
          <w:sz w:val="24"/>
          <w:lang w:val="en"/>
        </w:rPr>
        <w:t>on an ongoing basis:</w:t>
      </w:r>
    </w:p>
    <w:p w14:paraId="466577AD" w14:textId="2C897112" w:rsidR="00F1116F" w:rsidRPr="002E4AE2" w:rsidRDefault="00C93E5D" w:rsidP="00E40349">
      <w:pPr>
        <w:pStyle w:val="ListParagraph"/>
        <w:numPr>
          <w:ilvl w:val="0"/>
          <w:numId w:val="12"/>
        </w:numPr>
        <w:rPr>
          <w:rFonts w:ascii="Times New Roman" w:hAnsi="Times New Roman"/>
          <w:lang w:val="en"/>
        </w:rPr>
      </w:pPr>
      <w:r w:rsidRPr="002E4AE2">
        <w:rPr>
          <w:rFonts w:ascii="Times New Roman" w:hAnsi="Times New Roman"/>
          <w:lang w:val="en"/>
        </w:rPr>
        <w:t>Preliminary data on the count</w:t>
      </w:r>
      <w:r w:rsidR="00C45554" w:rsidRPr="002E4AE2">
        <w:rPr>
          <w:rFonts w:ascii="Times New Roman" w:hAnsi="Times New Roman"/>
          <w:lang w:val="en"/>
        </w:rPr>
        <w:t>s</w:t>
      </w:r>
      <w:r w:rsidRPr="002E4AE2">
        <w:rPr>
          <w:rFonts w:ascii="Times New Roman" w:hAnsi="Times New Roman"/>
          <w:lang w:val="en"/>
        </w:rPr>
        <w:t xml:space="preserve"> of ED visits </w:t>
      </w:r>
      <w:r w:rsidR="004F09A2" w:rsidRPr="002E4AE2">
        <w:rPr>
          <w:rFonts w:ascii="Times New Roman" w:hAnsi="Times New Roman"/>
          <w:lang w:val="en"/>
        </w:rPr>
        <w:t>involving suspected drug, opioid, heroin, and stimulant overdoses</w:t>
      </w:r>
      <w:r w:rsidR="00C45554" w:rsidRPr="002E4AE2">
        <w:rPr>
          <w:rFonts w:ascii="Times New Roman" w:hAnsi="Times New Roman"/>
          <w:lang w:val="en"/>
        </w:rPr>
        <w:t xml:space="preserve"> by county as well as age group and sex. Data will be shared</w:t>
      </w:r>
      <w:r w:rsidR="00064C9E" w:rsidRPr="002E4AE2">
        <w:rPr>
          <w:rFonts w:ascii="Times New Roman" w:hAnsi="Times New Roman"/>
          <w:lang w:val="en"/>
        </w:rPr>
        <w:t xml:space="preserve"> with CDC on a</w:t>
      </w:r>
      <w:r w:rsidR="001D3561" w:rsidRPr="002E4AE2">
        <w:rPr>
          <w:rFonts w:ascii="Times New Roman" w:hAnsi="Times New Roman"/>
          <w:lang w:val="en"/>
        </w:rPr>
        <w:t xml:space="preserve"> monthly basis</w:t>
      </w:r>
      <w:r w:rsidR="00064C9E" w:rsidRPr="002E4AE2">
        <w:rPr>
          <w:rFonts w:ascii="Times New Roman" w:hAnsi="Times New Roman"/>
          <w:lang w:val="en"/>
        </w:rPr>
        <w:t xml:space="preserve"> using a standardized Excel form, the </w:t>
      </w:r>
      <w:r w:rsidR="00064C9E" w:rsidRPr="002E4AE2">
        <w:rPr>
          <w:rFonts w:ascii="Times New Roman" w:hAnsi="Times New Roman"/>
          <w:i/>
          <w:lang w:val="en"/>
        </w:rPr>
        <w:t>Rapid ED overdose data</w:t>
      </w:r>
      <w:r w:rsidR="00975A43">
        <w:rPr>
          <w:rFonts w:ascii="Times New Roman" w:hAnsi="Times New Roman"/>
          <w:i/>
          <w:lang w:val="en"/>
        </w:rPr>
        <w:t xml:space="preserve"> form</w:t>
      </w:r>
      <w:r w:rsidR="00CE6D73">
        <w:rPr>
          <w:rFonts w:ascii="Times New Roman" w:hAnsi="Times New Roman"/>
          <w:i/>
          <w:lang w:val="en"/>
        </w:rPr>
        <w:t xml:space="preserve"> </w:t>
      </w:r>
      <w:r w:rsidR="00CE6D73" w:rsidRPr="00487F5B">
        <w:rPr>
          <w:rFonts w:ascii="Times New Roman" w:hAnsi="Times New Roman"/>
          <w:lang w:val="en"/>
        </w:rPr>
        <w:t>(Attachment D</w:t>
      </w:r>
      <w:r w:rsidR="00CE6D73">
        <w:rPr>
          <w:rFonts w:ascii="Times New Roman" w:hAnsi="Times New Roman"/>
          <w:i/>
          <w:lang w:val="en"/>
        </w:rPr>
        <w:t>)</w:t>
      </w:r>
      <w:r w:rsidR="00064C9E" w:rsidRPr="002E4AE2">
        <w:rPr>
          <w:rFonts w:ascii="Times New Roman" w:hAnsi="Times New Roman"/>
          <w:lang w:val="en"/>
        </w:rPr>
        <w:t>, and standard CDC case definitions of drug, opioid, heroin and stimulant overdoses.</w:t>
      </w:r>
      <w:r w:rsidR="001D3561" w:rsidRPr="002E4AE2">
        <w:rPr>
          <w:rFonts w:ascii="Times New Roman" w:hAnsi="Times New Roman"/>
          <w:lang w:val="en"/>
        </w:rPr>
        <w:t xml:space="preserve"> Also, mea</w:t>
      </w:r>
      <w:r w:rsidR="004F09A2" w:rsidRPr="002E4AE2">
        <w:rPr>
          <w:rFonts w:ascii="Times New Roman" w:hAnsi="Times New Roman"/>
          <w:lang w:val="en"/>
        </w:rPr>
        <w:t xml:space="preserve">sures of data quality </w:t>
      </w:r>
      <w:r w:rsidR="001D3561" w:rsidRPr="002E4AE2">
        <w:rPr>
          <w:rFonts w:ascii="Times New Roman" w:hAnsi="Times New Roman"/>
          <w:lang w:val="en"/>
        </w:rPr>
        <w:t xml:space="preserve">and metadata </w:t>
      </w:r>
      <w:r w:rsidR="004F09A2" w:rsidRPr="002E4AE2">
        <w:rPr>
          <w:rFonts w:ascii="Times New Roman" w:hAnsi="Times New Roman"/>
          <w:lang w:val="en"/>
        </w:rPr>
        <w:t>will be collected and are described in the SSA.</w:t>
      </w:r>
    </w:p>
    <w:p w14:paraId="2D9FDFE1" w14:textId="56B46219" w:rsidR="00E85B0D" w:rsidRPr="002E4AE2" w:rsidRDefault="00F1116F" w:rsidP="00E40349">
      <w:pPr>
        <w:pStyle w:val="ListParagraph"/>
        <w:numPr>
          <w:ilvl w:val="0"/>
          <w:numId w:val="12"/>
        </w:numPr>
        <w:rPr>
          <w:rFonts w:ascii="Times New Roman" w:hAnsi="Times New Roman"/>
          <w:lang w:val="en"/>
        </w:rPr>
      </w:pPr>
      <w:r w:rsidRPr="002E4AE2">
        <w:rPr>
          <w:rFonts w:ascii="Times New Roman" w:hAnsi="Times New Roman"/>
          <w:lang w:val="en"/>
        </w:rPr>
        <w:t xml:space="preserve">Counts of ED visits involving suspected drug, opioid, heroin, and stimulant overdoses </w:t>
      </w:r>
      <w:r w:rsidR="00184984" w:rsidRPr="002E4AE2">
        <w:rPr>
          <w:rFonts w:ascii="Times New Roman" w:hAnsi="Times New Roman"/>
          <w:lang w:val="en"/>
        </w:rPr>
        <w:t xml:space="preserve">extracted from hospital discharge data files. Data will be </w:t>
      </w:r>
      <w:r w:rsidR="00064C9E" w:rsidRPr="002E4AE2">
        <w:rPr>
          <w:rFonts w:ascii="Times New Roman" w:hAnsi="Times New Roman"/>
          <w:lang w:val="en"/>
        </w:rPr>
        <w:t xml:space="preserve">shared with </w:t>
      </w:r>
      <w:r w:rsidR="00FC5E06">
        <w:rPr>
          <w:rFonts w:ascii="Times New Roman" w:hAnsi="Times New Roman"/>
          <w:lang w:val="en"/>
        </w:rPr>
        <w:t xml:space="preserve">CDC </w:t>
      </w:r>
      <w:r w:rsidR="00184984" w:rsidRPr="002E4AE2">
        <w:rPr>
          <w:rFonts w:ascii="Times New Roman" w:hAnsi="Times New Roman"/>
          <w:lang w:val="en"/>
        </w:rPr>
        <w:t xml:space="preserve">yearly or quarterly </w:t>
      </w:r>
      <w:r w:rsidR="005725F0" w:rsidRPr="002E4AE2">
        <w:rPr>
          <w:rFonts w:ascii="Times New Roman" w:hAnsi="Times New Roman"/>
          <w:lang w:val="en"/>
        </w:rPr>
        <w:t xml:space="preserve">using a standardized Excel form, the </w:t>
      </w:r>
      <w:r w:rsidR="005725F0" w:rsidRPr="002E4AE2">
        <w:rPr>
          <w:rFonts w:ascii="Times New Roman" w:hAnsi="Times New Roman"/>
          <w:i/>
        </w:rPr>
        <w:t>ED discharge overdose data form</w:t>
      </w:r>
      <w:r w:rsidR="00CE6D73">
        <w:rPr>
          <w:rFonts w:ascii="Times New Roman" w:hAnsi="Times New Roman"/>
          <w:i/>
        </w:rPr>
        <w:t xml:space="preserve"> </w:t>
      </w:r>
      <w:r w:rsidR="00CE6D73" w:rsidRPr="00487F5B">
        <w:rPr>
          <w:rFonts w:ascii="Times New Roman" w:hAnsi="Times New Roman"/>
        </w:rPr>
        <w:t>(Attachment E</w:t>
      </w:r>
      <w:r w:rsidR="00CE6D73">
        <w:rPr>
          <w:rFonts w:ascii="Times New Roman" w:hAnsi="Times New Roman"/>
          <w:i/>
        </w:rPr>
        <w:t>)</w:t>
      </w:r>
      <w:r w:rsidR="005725F0" w:rsidRPr="002E4AE2">
        <w:rPr>
          <w:rFonts w:ascii="Times New Roman" w:hAnsi="Times New Roman"/>
          <w:lang w:val="en"/>
        </w:rPr>
        <w:t>, and standard CDC case definitions of drug, opioid, heroin and stimulant overdoses. Data will be</w:t>
      </w:r>
      <w:r w:rsidR="001D3561" w:rsidRPr="002E4AE2">
        <w:rPr>
          <w:rFonts w:ascii="Times New Roman" w:hAnsi="Times New Roman"/>
          <w:lang w:val="en"/>
        </w:rPr>
        <w:t xml:space="preserve"> aggregated </w:t>
      </w:r>
      <w:r w:rsidRPr="002E4AE2">
        <w:rPr>
          <w:rFonts w:ascii="Times New Roman" w:hAnsi="Times New Roman"/>
          <w:lang w:val="en"/>
        </w:rPr>
        <w:t>by county as well as age group and sex</w:t>
      </w:r>
      <w:r w:rsidR="00267736" w:rsidRPr="002E4AE2">
        <w:rPr>
          <w:rFonts w:ascii="Times New Roman" w:hAnsi="Times New Roman"/>
          <w:lang w:val="en"/>
        </w:rPr>
        <w:t>. Also, measures of data quality and metadata will be collected and are described in the SSA.</w:t>
      </w:r>
    </w:p>
    <w:p w14:paraId="604A6125" w14:textId="77777777" w:rsidR="00567580" w:rsidRPr="002E4AE2" w:rsidRDefault="00567580" w:rsidP="00567580">
      <w:pPr>
        <w:rPr>
          <w:sz w:val="24"/>
          <w:lang w:val="en"/>
        </w:rPr>
      </w:pPr>
    </w:p>
    <w:p w14:paraId="141306A9" w14:textId="22CC7D74" w:rsidR="005725F0" w:rsidRPr="00FC5E06" w:rsidRDefault="00567580" w:rsidP="00E40349">
      <w:pPr>
        <w:rPr>
          <w:sz w:val="24"/>
          <w:lang w:val="en"/>
        </w:rPr>
      </w:pPr>
      <w:r w:rsidRPr="00FC5E06">
        <w:rPr>
          <w:sz w:val="24"/>
          <w:lang w:val="en"/>
        </w:rPr>
        <w:t xml:space="preserve">The </w:t>
      </w:r>
      <w:r w:rsidR="005725F0" w:rsidRPr="00FC5E06">
        <w:rPr>
          <w:sz w:val="24"/>
          <w:lang w:val="en"/>
        </w:rPr>
        <w:t xml:space="preserve">specific procedures CDC will use to collect </w:t>
      </w:r>
      <w:r w:rsidR="00FC5E06" w:rsidRPr="00FC5E06">
        <w:rPr>
          <w:sz w:val="24"/>
          <w:lang w:val="en"/>
        </w:rPr>
        <w:t xml:space="preserve">the </w:t>
      </w:r>
      <w:r w:rsidR="00FC5E06" w:rsidRPr="00FC5E06">
        <w:rPr>
          <w:i/>
          <w:sz w:val="24"/>
          <w:lang w:val="en"/>
        </w:rPr>
        <w:t xml:space="preserve">Rapid </w:t>
      </w:r>
      <w:r w:rsidR="00FC5E06">
        <w:rPr>
          <w:i/>
          <w:sz w:val="24"/>
          <w:lang w:val="en"/>
        </w:rPr>
        <w:t xml:space="preserve">ED overdose data form </w:t>
      </w:r>
      <w:r w:rsidR="00FC5E06" w:rsidRPr="00FC5E06">
        <w:rPr>
          <w:sz w:val="24"/>
          <w:lang w:val="en"/>
        </w:rPr>
        <w:t>and</w:t>
      </w:r>
      <w:r w:rsidR="00CE6D73">
        <w:rPr>
          <w:sz w:val="24"/>
          <w:lang w:val="en"/>
        </w:rPr>
        <w:t xml:space="preserve"> </w:t>
      </w:r>
      <w:r w:rsidR="005725F0" w:rsidRPr="00FC5E06">
        <w:rPr>
          <w:sz w:val="24"/>
          <w:lang w:val="en"/>
        </w:rPr>
        <w:t>the</w:t>
      </w:r>
      <w:r w:rsidR="00FC5E06" w:rsidRPr="00FC5E06">
        <w:rPr>
          <w:sz w:val="24"/>
          <w:lang w:val="en"/>
        </w:rPr>
        <w:t xml:space="preserve"> </w:t>
      </w:r>
      <w:r w:rsidR="00FC5E06" w:rsidRPr="00FC5E06">
        <w:rPr>
          <w:i/>
          <w:sz w:val="24"/>
        </w:rPr>
        <w:t>ED discharge overdose data form</w:t>
      </w:r>
      <w:r w:rsidR="00FC5E06" w:rsidRPr="00FC5E06">
        <w:rPr>
          <w:sz w:val="24"/>
          <w:lang w:val="en"/>
        </w:rPr>
        <w:t xml:space="preserve"> </w:t>
      </w:r>
      <w:r w:rsidR="005725F0" w:rsidRPr="00FC5E06">
        <w:rPr>
          <w:sz w:val="24"/>
          <w:lang w:val="en"/>
        </w:rPr>
        <w:t xml:space="preserve">from the </w:t>
      </w:r>
      <w:r w:rsidRPr="00FC5E06">
        <w:rPr>
          <w:sz w:val="24"/>
          <w:lang w:val="en"/>
        </w:rPr>
        <w:t>52 participating health de</w:t>
      </w:r>
      <w:r w:rsidR="005725F0" w:rsidRPr="00FC5E06">
        <w:rPr>
          <w:sz w:val="24"/>
          <w:lang w:val="en"/>
        </w:rPr>
        <w:t>partment is described below.</w:t>
      </w:r>
    </w:p>
    <w:p w14:paraId="65C45ABC" w14:textId="77777777" w:rsidR="005725F0" w:rsidRPr="002E4AE2" w:rsidRDefault="005725F0" w:rsidP="00E40349">
      <w:pPr>
        <w:rPr>
          <w:sz w:val="24"/>
          <w:lang w:val="en"/>
        </w:rPr>
      </w:pPr>
    </w:p>
    <w:p w14:paraId="3685672A" w14:textId="1D27A630" w:rsidR="005725F0" w:rsidRPr="002E4AE2" w:rsidRDefault="00681A02" w:rsidP="00E40349">
      <w:pPr>
        <w:rPr>
          <w:sz w:val="24"/>
          <w:lang w:val="en"/>
        </w:rPr>
      </w:pPr>
      <w:r w:rsidRPr="002E4AE2">
        <w:rPr>
          <w:i/>
          <w:sz w:val="24"/>
        </w:rPr>
        <w:t>Procedures for collecting the Rapid ED overdose data form</w:t>
      </w:r>
      <w:r w:rsidR="00CE6D73">
        <w:rPr>
          <w:i/>
          <w:sz w:val="24"/>
        </w:rPr>
        <w:t xml:space="preserve"> (Attachment D)</w:t>
      </w:r>
      <w:r w:rsidRPr="002E4AE2">
        <w:rPr>
          <w:i/>
          <w:sz w:val="24"/>
        </w:rPr>
        <w:t xml:space="preserve"> on a monthly basis </w:t>
      </w:r>
    </w:p>
    <w:p w14:paraId="3AB65039" w14:textId="77777777" w:rsidR="00681A02" w:rsidRPr="002E4AE2" w:rsidRDefault="00681A02" w:rsidP="00E40349">
      <w:pPr>
        <w:rPr>
          <w:sz w:val="24"/>
          <w:lang w:val="en"/>
        </w:rPr>
      </w:pPr>
    </w:p>
    <w:p w14:paraId="0EA157D7" w14:textId="46B0C6ED" w:rsidR="00681A02" w:rsidRPr="00D94F24" w:rsidRDefault="00681A02" w:rsidP="00E40349">
      <w:pPr>
        <w:rPr>
          <w:sz w:val="24"/>
          <w:lang w:val="en"/>
        </w:rPr>
      </w:pPr>
      <w:r w:rsidRPr="00D94F24">
        <w:rPr>
          <w:sz w:val="24"/>
          <w:lang w:val="en"/>
        </w:rPr>
        <w:t xml:space="preserve">The following procedures will be used to collect the </w:t>
      </w:r>
      <w:r w:rsidRPr="00D94F24">
        <w:rPr>
          <w:i/>
          <w:sz w:val="24"/>
          <w:lang w:val="en"/>
        </w:rPr>
        <w:t>Rapid ED overdose data form</w:t>
      </w:r>
      <w:r w:rsidR="0045698F" w:rsidRPr="00D94F24">
        <w:rPr>
          <w:sz w:val="24"/>
          <w:lang w:val="en"/>
        </w:rPr>
        <w:t>.</w:t>
      </w:r>
    </w:p>
    <w:p w14:paraId="748523DD" w14:textId="44D5A7DD" w:rsidR="0045698F" w:rsidRPr="00D94F24" w:rsidRDefault="0045698F" w:rsidP="00E40349">
      <w:pPr>
        <w:rPr>
          <w:sz w:val="24"/>
          <w:lang w:val="en"/>
        </w:rPr>
      </w:pPr>
    </w:p>
    <w:p w14:paraId="53959DA7" w14:textId="0A3D94C8" w:rsidR="0045698F" w:rsidRPr="00D94F24" w:rsidRDefault="00D94F24" w:rsidP="00D94F24">
      <w:pPr>
        <w:rPr>
          <w:sz w:val="24"/>
          <w:lang w:val="en"/>
        </w:rPr>
      </w:pPr>
      <w:r w:rsidRPr="009B0CF7">
        <w:rPr>
          <w:b/>
          <w:sz w:val="24"/>
          <w:lang w:val="en"/>
        </w:rPr>
        <w:t>Step 1:</w:t>
      </w:r>
      <w:r w:rsidRPr="00D94F24">
        <w:rPr>
          <w:sz w:val="24"/>
          <w:lang w:val="en"/>
        </w:rPr>
        <w:t xml:space="preserve"> </w:t>
      </w:r>
      <w:r w:rsidR="0045698F" w:rsidRPr="00D94F24">
        <w:rPr>
          <w:sz w:val="24"/>
          <w:lang w:val="en"/>
        </w:rPr>
        <w:t xml:space="preserve">Participating health departments must choose what existing data source they will use to complete the </w:t>
      </w:r>
      <w:r w:rsidR="0045698F" w:rsidRPr="00D94F24">
        <w:rPr>
          <w:i/>
          <w:sz w:val="24"/>
        </w:rPr>
        <w:t xml:space="preserve">Rapid ED overdose data form. </w:t>
      </w:r>
      <w:r w:rsidR="0045698F" w:rsidRPr="00D94F24">
        <w:rPr>
          <w:sz w:val="24"/>
        </w:rPr>
        <w:t>The three options are:</w:t>
      </w:r>
    </w:p>
    <w:p w14:paraId="54067DA1" w14:textId="1699F144" w:rsidR="00E3128E" w:rsidRPr="00D94F24" w:rsidRDefault="00AB25D6" w:rsidP="00D94F24">
      <w:pPr>
        <w:pStyle w:val="ListParagraph"/>
        <w:numPr>
          <w:ilvl w:val="0"/>
          <w:numId w:val="13"/>
        </w:numPr>
        <w:rPr>
          <w:rFonts w:ascii="Times New Roman" w:hAnsi="Times New Roman"/>
          <w:lang w:val="en"/>
        </w:rPr>
      </w:pPr>
      <w:r w:rsidRPr="00D94F24">
        <w:rPr>
          <w:rFonts w:ascii="Times New Roman" w:hAnsi="Times New Roman"/>
          <w:i/>
          <w:lang w:val="en"/>
        </w:rPr>
        <w:t>National Syndromic Surveillance Program (NSSP) BioSense Platform (OMB #0920-0824):</w:t>
      </w:r>
      <w:r w:rsidRPr="00D94F24">
        <w:rPr>
          <w:rFonts w:ascii="Times New Roman" w:hAnsi="Times New Roman"/>
          <w:lang w:val="en"/>
        </w:rPr>
        <w:t xml:space="preserve"> State and local health departments share preliminary case-level ED data in near-real time with CDC. Th</w:t>
      </w:r>
      <w:r w:rsidR="005C1174">
        <w:rPr>
          <w:rFonts w:ascii="Times New Roman" w:hAnsi="Times New Roman"/>
          <w:lang w:val="en"/>
        </w:rPr>
        <w:t>ese</w:t>
      </w:r>
      <w:r w:rsidRPr="00D94F24">
        <w:rPr>
          <w:rFonts w:ascii="Times New Roman" w:hAnsi="Times New Roman"/>
          <w:lang w:val="en"/>
        </w:rPr>
        <w:t xml:space="preserve"> data include the chief complaint of the patient seeking care at the ED (e.g., “heroin</w:t>
      </w:r>
      <w:r w:rsidR="0017575E">
        <w:rPr>
          <w:rFonts w:ascii="Times New Roman" w:hAnsi="Times New Roman"/>
          <w:lang w:val="en"/>
        </w:rPr>
        <w:t xml:space="preserve"> overdose”, “opioid poisoning”, </w:t>
      </w:r>
      <w:r w:rsidR="00304A95">
        <w:rPr>
          <w:rFonts w:ascii="Times New Roman" w:hAnsi="Times New Roman"/>
          <w:lang w:val="en"/>
        </w:rPr>
        <w:t xml:space="preserve">and </w:t>
      </w:r>
      <w:r w:rsidRPr="00D94F24">
        <w:rPr>
          <w:rFonts w:ascii="Times New Roman" w:hAnsi="Times New Roman"/>
          <w:lang w:val="en"/>
        </w:rPr>
        <w:t xml:space="preserve">“cocaine OD”) and/or </w:t>
      </w:r>
      <w:r w:rsidR="008D6436">
        <w:rPr>
          <w:rFonts w:ascii="Times New Roman" w:hAnsi="Times New Roman"/>
          <w:lang w:val="en"/>
        </w:rPr>
        <w:t xml:space="preserve">diagnosis codes, primarily the </w:t>
      </w:r>
      <w:r w:rsidRPr="00D94F24">
        <w:rPr>
          <w:rFonts w:ascii="Times New Roman" w:hAnsi="Times New Roman"/>
          <w:lang w:val="en"/>
        </w:rPr>
        <w:t>International Classification of Diseases, Tenth Revision, Cli</w:t>
      </w:r>
      <w:r w:rsidR="00AF3709">
        <w:rPr>
          <w:rFonts w:ascii="Times New Roman" w:hAnsi="Times New Roman"/>
          <w:lang w:val="en"/>
        </w:rPr>
        <w:t xml:space="preserve">nical Modification (ICD-10-CM) </w:t>
      </w:r>
      <w:r w:rsidRPr="00D94F24">
        <w:rPr>
          <w:rFonts w:ascii="Times New Roman" w:hAnsi="Times New Roman"/>
          <w:lang w:val="en"/>
        </w:rPr>
        <w:t>diagnosis codes</w:t>
      </w:r>
      <w:r w:rsidR="00E3128E" w:rsidRPr="00D94F24">
        <w:rPr>
          <w:rFonts w:ascii="Times New Roman" w:hAnsi="Times New Roman"/>
          <w:lang w:val="en"/>
        </w:rPr>
        <w:t>. Chief complaints tend to be submitted within 24 hours of the ED visit while ICD-10-CM codes may take a few weeks.</w:t>
      </w:r>
    </w:p>
    <w:p w14:paraId="73CD8C67" w14:textId="74261AEF" w:rsidR="00D94F24" w:rsidRPr="00D94F24" w:rsidRDefault="00D94F24" w:rsidP="00D94F24">
      <w:pPr>
        <w:pStyle w:val="ListParagraph"/>
        <w:numPr>
          <w:ilvl w:val="0"/>
          <w:numId w:val="13"/>
        </w:numPr>
        <w:rPr>
          <w:rFonts w:ascii="Times New Roman" w:hAnsi="Times New Roman"/>
          <w:lang w:val="en"/>
        </w:rPr>
      </w:pPr>
      <w:r w:rsidRPr="00D94F24">
        <w:rPr>
          <w:rFonts w:ascii="Times New Roman" w:hAnsi="Times New Roman"/>
          <w:i/>
          <w:lang w:val="en"/>
        </w:rPr>
        <w:t>State or Territorial ED Syndromic Surveillance:</w:t>
      </w:r>
      <w:r w:rsidRPr="00D94F24">
        <w:rPr>
          <w:rFonts w:ascii="Times New Roman" w:hAnsi="Times New Roman"/>
          <w:lang w:val="en"/>
        </w:rPr>
        <w:t xml:space="preserve"> Participating health departments may operate their own local ED syndromic system that is not associated with NSSP BioSense. These local ED syndromic systems often collect data very similar to NSSP BioSense such as patient chief complaint and ICD-10-CM diagnostic codes</w:t>
      </w:r>
      <w:r w:rsidR="00AF3709">
        <w:rPr>
          <w:rFonts w:ascii="Times New Roman" w:hAnsi="Times New Roman"/>
          <w:lang w:val="en"/>
        </w:rPr>
        <w:t xml:space="preserve"> and also work </w:t>
      </w:r>
      <w:r w:rsidR="009B0CF7">
        <w:rPr>
          <w:rFonts w:ascii="Times New Roman" w:hAnsi="Times New Roman"/>
          <w:lang w:val="en"/>
        </w:rPr>
        <w:t>to collect data in near real-time</w:t>
      </w:r>
      <w:r w:rsidRPr="00D94F24">
        <w:rPr>
          <w:rFonts w:ascii="Times New Roman" w:hAnsi="Times New Roman"/>
          <w:lang w:val="en"/>
        </w:rPr>
        <w:t xml:space="preserve">. </w:t>
      </w:r>
    </w:p>
    <w:p w14:paraId="388C535F" w14:textId="6D248561" w:rsidR="009B0CF7" w:rsidRPr="009B0CF7" w:rsidRDefault="009B0CF7" w:rsidP="009B0CF7">
      <w:pPr>
        <w:pStyle w:val="ListParagraph"/>
        <w:numPr>
          <w:ilvl w:val="0"/>
          <w:numId w:val="13"/>
        </w:numPr>
        <w:rPr>
          <w:rFonts w:ascii="Times New Roman" w:hAnsi="Times New Roman"/>
          <w:lang w:val="en"/>
        </w:rPr>
      </w:pPr>
      <w:r w:rsidRPr="009B0CF7">
        <w:rPr>
          <w:rFonts w:ascii="Times New Roman" w:hAnsi="Times New Roman"/>
          <w:i/>
          <w:lang w:val="en"/>
        </w:rPr>
        <w:t>Hospital ED Discharge Data:</w:t>
      </w:r>
      <w:r w:rsidRPr="009B0CF7">
        <w:rPr>
          <w:rFonts w:ascii="Times New Roman" w:hAnsi="Times New Roman"/>
          <w:lang w:val="en"/>
        </w:rPr>
        <w:t xml:space="preserve"> Some health departments have no or limited </w:t>
      </w:r>
      <w:r w:rsidR="00AA045F">
        <w:rPr>
          <w:rFonts w:ascii="Times New Roman" w:hAnsi="Times New Roman"/>
          <w:lang w:val="en"/>
        </w:rPr>
        <w:t xml:space="preserve">ED </w:t>
      </w:r>
      <w:r w:rsidRPr="009B0CF7">
        <w:rPr>
          <w:rFonts w:ascii="Times New Roman" w:hAnsi="Times New Roman"/>
          <w:lang w:val="en"/>
        </w:rPr>
        <w:t xml:space="preserve">syndromic surveillance. These states, however, may leverage hospital discharge data on ED visits that is routinely collected by most states. Hospital discharge data are collected for billing purposes, uses standardized ICD-10-CM coding, and most states use Uniform Billing Version 04 (UB-04) administrative claims data to collect ICD-10-CM diagnosis and procedure codes.  </w:t>
      </w:r>
    </w:p>
    <w:p w14:paraId="09E4E870" w14:textId="2D1DD13A" w:rsidR="0045698F" w:rsidRDefault="009B0CF7" w:rsidP="009B0CF7">
      <w:pPr>
        <w:rPr>
          <w:sz w:val="24"/>
        </w:rPr>
      </w:pPr>
      <w:r w:rsidRPr="00F2568E">
        <w:rPr>
          <w:b/>
          <w:sz w:val="24"/>
          <w:lang w:val="en"/>
        </w:rPr>
        <w:t xml:space="preserve">Step 2: </w:t>
      </w:r>
      <w:r w:rsidR="003A55D8">
        <w:rPr>
          <w:sz w:val="24"/>
          <w:lang w:val="en"/>
        </w:rPr>
        <w:t xml:space="preserve">Using CDC case definitions for drug, opioid, heroin, and stimulant overdoses, participating health departments collaborate with CDC to complete the </w:t>
      </w:r>
      <w:r w:rsidR="003A55D8" w:rsidRPr="00D94F24">
        <w:rPr>
          <w:i/>
          <w:sz w:val="24"/>
        </w:rPr>
        <w:t>Rapid ED overdose data form</w:t>
      </w:r>
      <w:r w:rsidR="003A55D8">
        <w:rPr>
          <w:i/>
          <w:sz w:val="24"/>
        </w:rPr>
        <w:t xml:space="preserve"> </w:t>
      </w:r>
      <w:r w:rsidR="003A55D8">
        <w:rPr>
          <w:sz w:val="24"/>
        </w:rPr>
        <w:t xml:space="preserve">on ED visits that occurred one to two months before the reporting date (e.g., ED visits occurring </w:t>
      </w:r>
      <w:r w:rsidR="00F85B27">
        <w:rPr>
          <w:sz w:val="24"/>
        </w:rPr>
        <w:t xml:space="preserve">in January, 2020 would be reported at the beginning of March, 2020 and ED visits occurring in February, 2020 would be reported at the beginning of April, 2020). The procedure for sharing the data </w:t>
      </w:r>
      <w:r w:rsidR="00AA045F">
        <w:rPr>
          <w:sz w:val="24"/>
        </w:rPr>
        <w:t xml:space="preserve">with CDC </w:t>
      </w:r>
      <w:r w:rsidR="00F85B27">
        <w:rPr>
          <w:sz w:val="24"/>
        </w:rPr>
        <w:t>varies slightly depending on the ED data source used by the health department.</w:t>
      </w:r>
    </w:p>
    <w:p w14:paraId="06573BD1" w14:textId="67F5614E" w:rsidR="00DF7B77" w:rsidRDefault="00F85B27" w:rsidP="002A0806">
      <w:pPr>
        <w:pStyle w:val="ListParagraph"/>
        <w:numPr>
          <w:ilvl w:val="0"/>
          <w:numId w:val="14"/>
        </w:numPr>
        <w:rPr>
          <w:rFonts w:ascii="Times New Roman" w:hAnsi="Times New Roman"/>
          <w:lang w:val="en"/>
        </w:rPr>
      </w:pPr>
      <w:r w:rsidRPr="00D94F24">
        <w:rPr>
          <w:rFonts w:ascii="Times New Roman" w:hAnsi="Times New Roman"/>
          <w:i/>
          <w:lang w:val="en"/>
        </w:rPr>
        <w:t>National Syndromic Surveillance Program (NSSP) B</w:t>
      </w:r>
      <w:r>
        <w:rPr>
          <w:rFonts w:ascii="Times New Roman" w:hAnsi="Times New Roman"/>
          <w:i/>
          <w:lang w:val="en"/>
        </w:rPr>
        <w:t>ioSense Platform</w:t>
      </w:r>
      <w:r w:rsidRPr="00D94F24">
        <w:rPr>
          <w:rFonts w:ascii="Times New Roman" w:hAnsi="Times New Roman"/>
          <w:i/>
          <w:lang w:val="en"/>
        </w:rPr>
        <w:t>:</w:t>
      </w:r>
      <w:r w:rsidR="002A0806">
        <w:rPr>
          <w:rFonts w:ascii="Times New Roman" w:hAnsi="Times New Roman"/>
          <w:i/>
          <w:lang w:val="en"/>
        </w:rPr>
        <w:t xml:space="preserve"> </w:t>
      </w:r>
      <w:r w:rsidR="002A0806">
        <w:rPr>
          <w:rFonts w:ascii="Times New Roman" w:hAnsi="Times New Roman"/>
          <w:lang w:val="en"/>
        </w:rPr>
        <w:t xml:space="preserve">Using </w:t>
      </w:r>
      <w:r w:rsidR="006F5C5D">
        <w:rPr>
          <w:rFonts w:ascii="Times New Roman" w:hAnsi="Times New Roman"/>
          <w:lang w:val="en"/>
        </w:rPr>
        <w:t>access to case-level ED data</w:t>
      </w:r>
      <w:r w:rsidR="002A0806">
        <w:rPr>
          <w:rFonts w:ascii="Times New Roman" w:hAnsi="Times New Roman"/>
          <w:lang w:val="en"/>
        </w:rPr>
        <w:t xml:space="preserve"> provided to CDC </w:t>
      </w:r>
      <w:r w:rsidR="00CC6943">
        <w:rPr>
          <w:rFonts w:ascii="Times New Roman" w:hAnsi="Times New Roman"/>
          <w:lang w:val="en"/>
        </w:rPr>
        <w:t xml:space="preserve">through the </w:t>
      </w:r>
      <w:r w:rsidR="002A0806">
        <w:rPr>
          <w:rFonts w:ascii="Times New Roman" w:hAnsi="Times New Roman"/>
          <w:lang w:val="en"/>
        </w:rPr>
        <w:t>NSSP BioSense platform</w:t>
      </w:r>
      <w:r w:rsidR="002A0806" w:rsidRPr="002A0806">
        <w:rPr>
          <w:rFonts w:ascii="Times New Roman" w:hAnsi="Times New Roman"/>
          <w:lang w:val="en"/>
        </w:rPr>
        <w:t>, CDC will complete th</w:t>
      </w:r>
      <w:r w:rsidR="00227F2F">
        <w:rPr>
          <w:rFonts w:ascii="Times New Roman" w:hAnsi="Times New Roman"/>
          <w:lang w:val="en"/>
        </w:rPr>
        <w:t>e</w:t>
      </w:r>
      <w:r w:rsidR="002A0806" w:rsidRPr="002A0806">
        <w:rPr>
          <w:rFonts w:ascii="Times New Roman" w:hAnsi="Times New Roman"/>
          <w:lang w:val="en"/>
        </w:rPr>
        <w:t xml:space="preserve"> vast majority of the </w:t>
      </w:r>
      <w:r w:rsidR="002A0806" w:rsidRPr="002A0806">
        <w:rPr>
          <w:rFonts w:ascii="Times New Roman" w:hAnsi="Times New Roman"/>
          <w:i/>
          <w:lang w:val="en"/>
        </w:rPr>
        <w:t>Rapid ED overdose data form</w:t>
      </w:r>
      <w:r w:rsidR="002A0806">
        <w:rPr>
          <w:rFonts w:ascii="Times New Roman" w:hAnsi="Times New Roman"/>
          <w:lang w:val="en"/>
        </w:rPr>
        <w:t xml:space="preserve"> each month i</w:t>
      </w:r>
      <w:r w:rsidR="002A0806" w:rsidRPr="002A0806">
        <w:rPr>
          <w:rFonts w:ascii="Times New Roman" w:hAnsi="Times New Roman"/>
          <w:lang w:val="en"/>
        </w:rPr>
        <w:t xml:space="preserve">ncluding calculating the total number of suspected drug, opioid, heroin and stimulant overdoses that occurred each month by county and by age and sex. CDC, however, will need to consult with the </w:t>
      </w:r>
      <w:r w:rsidR="006F5C5D">
        <w:rPr>
          <w:rFonts w:ascii="Times New Roman" w:hAnsi="Times New Roman"/>
          <w:lang w:val="en"/>
        </w:rPr>
        <w:t xml:space="preserve">participating health department </w:t>
      </w:r>
      <w:r w:rsidR="002A0806">
        <w:rPr>
          <w:rFonts w:ascii="Times New Roman" w:hAnsi="Times New Roman"/>
          <w:lang w:val="en"/>
        </w:rPr>
        <w:t>when completing metadata</w:t>
      </w:r>
      <w:r w:rsidR="00E86613">
        <w:rPr>
          <w:rFonts w:ascii="Times New Roman" w:hAnsi="Times New Roman"/>
          <w:lang w:val="en"/>
        </w:rPr>
        <w:t xml:space="preserve"> and will also share the </w:t>
      </w:r>
      <w:r w:rsidR="00E86613" w:rsidRPr="002A0806">
        <w:rPr>
          <w:rFonts w:ascii="Times New Roman" w:hAnsi="Times New Roman"/>
          <w:i/>
          <w:lang w:val="en"/>
        </w:rPr>
        <w:t>Rapid ED overdose data form</w:t>
      </w:r>
      <w:r w:rsidR="00E86613">
        <w:rPr>
          <w:rFonts w:ascii="Times New Roman" w:hAnsi="Times New Roman"/>
          <w:i/>
          <w:lang w:val="en"/>
        </w:rPr>
        <w:t xml:space="preserve"> </w:t>
      </w:r>
      <w:r w:rsidR="00E86613" w:rsidRPr="00E86613">
        <w:rPr>
          <w:rFonts w:ascii="Times New Roman" w:hAnsi="Times New Roman"/>
          <w:lang w:val="en"/>
        </w:rPr>
        <w:t>with the participat</w:t>
      </w:r>
      <w:r w:rsidR="00CC6943">
        <w:rPr>
          <w:rFonts w:ascii="Times New Roman" w:hAnsi="Times New Roman"/>
          <w:lang w:val="en"/>
        </w:rPr>
        <w:t xml:space="preserve">ing health department to validate the </w:t>
      </w:r>
      <w:r w:rsidR="006F5C5D">
        <w:rPr>
          <w:rFonts w:ascii="Times New Roman" w:hAnsi="Times New Roman"/>
          <w:lang w:val="en"/>
        </w:rPr>
        <w:t xml:space="preserve">CDC </w:t>
      </w:r>
      <w:r w:rsidR="00CC6943">
        <w:rPr>
          <w:rFonts w:ascii="Times New Roman" w:hAnsi="Times New Roman"/>
          <w:lang w:val="en"/>
        </w:rPr>
        <w:t>analysis</w:t>
      </w:r>
      <w:r w:rsidR="00E86613" w:rsidRPr="00E86613">
        <w:rPr>
          <w:rFonts w:ascii="Times New Roman" w:hAnsi="Times New Roman"/>
          <w:lang w:val="en"/>
        </w:rPr>
        <w:t>.</w:t>
      </w:r>
    </w:p>
    <w:p w14:paraId="0D13FDD9" w14:textId="151F4EF0" w:rsidR="00F85B27" w:rsidRPr="007900A5" w:rsidRDefault="00DF7B77" w:rsidP="002A0806">
      <w:pPr>
        <w:pStyle w:val="ListParagraph"/>
        <w:numPr>
          <w:ilvl w:val="0"/>
          <w:numId w:val="14"/>
        </w:numPr>
        <w:rPr>
          <w:rFonts w:ascii="Times New Roman" w:hAnsi="Times New Roman"/>
          <w:lang w:val="en"/>
        </w:rPr>
      </w:pPr>
      <w:r w:rsidRPr="007900A5">
        <w:rPr>
          <w:rFonts w:ascii="Times New Roman" w:hAnsi="Times New Roman"/>
          <w:i/>
          <w:lang w:val="en"/>
        </w:rPr>
        <w:t xml:space="preserve">State or Territorial ED Syndromic Surveillance and Hospital ED Discharge Data: </w:t>
      </w:r>
      <w:r w:rsidR="00E86613" w:rsidRPr="007900A5">
        <w:rPr>
          <w:rFonts w:ascii="Times New Roman" w:hAnsi="Times New Roman"/>
          <w:lang w:val="en"/>
        </w:rPr>
        <w:t>Participating he</w:t>
      </w:r>
      <w:r w:rsidR="00CC6943">
        <w:rPr>
          <w:rFonts w:ascii="Times New Roman" w:hAnsi="Times New Roman"/>
          <w:lang w:val="en"/>
        </w:rPr>
        <w:t>alth department</w:t>
      </w:r>
      <w:r w:rsidR="00227F2F">
        <w:rPr>
          <w:rFonts w:ascii="Times New Roman" w:hAnsi="Times New Roman"/>
          <w:lang w:val="en"/>
        </w:rPr>
        <w:t>s</w:t>
      </w:r>
      <w:r w:rsidR="00CC6943">
        <w:rPr>
          <w:rFonts w:ascii="Times New Roman" w:hAnsi="Times New Roman"/>
          <w:lang w:val="en"/>
        </w:rPr>
        <w:t xml:space="preserve"> will be responsible</w:t>
      </w:r>
      <w:r w:rsidR="00E86613" w:rsidRPr="007900A5">
        <w:rPr>
          <w:rFonts w:ascii="Times New Roman" w:hAnsi="Times New Roman"/>
          <w:lang w:val="en"/>
        </w:rPr>
        <w:t xml:space="preserve"> for completing the </w:t>
      </w:r>
      <w:r w:rsidR="00E86613" w:rsidRPr="007900A5">
        <w:rPr>
          <w:rFonts w:ascii="Times New Roman" w:hAnsi="Times New Roman"/>
          <w:i/>
          <w:lang w:val="en"/>
        </w:rPr>
        <w:t>Rapid ED overdose data form</w:t>
      </w:r>
      <w:r w:rsidR="00E86613" w:rsidRPr="007900A5">
        <w:rPr>
          <w:rFonts w:ascii="Times New Roman" w:hAnsi="Times New Roman"/>
          <w:lang w:val="en"/>
        </w:rPr>
        <w:t xml:space="preserve"> each month using CDC case definitions for suspected drug, opioid, heroin, and stimulant overdoses. CDC will work to </w:t>
      </w:r>
      <w:r w:rsidR="00227F2F">
        <w:rPr>
          <w:rFonts w:ascii="Times New Roman" w:hAnsi="Times New Roman"/>
          <w:lang w:val="en"/>
        </w:rPr>
        <w:t xml:space="preserve">reduce burden on health departments and </w:t>
      </w:r>
      <w:r w:rsidR="00E86613" w:rsidRPr="007900A5">
        <w:rPr>
          <w:rFonts w:ascii="Times New Roman" w:hAnsi="Times New Roman"/>
          <w:lang w:val="en"/>
        </w:rPr>
        <w:t>maintain consistent application of its case definitions by suppl</w:t>
      </w:r>
      <w:r w:rsidR="0058035C">
        <w:rPr>
          <w:rFonts w:ascii="Times New Roman" w:hAnsi="Times New Roman"/>
          <w:lang w:val="en"/>
        </w:rPr>
        <w:t>y</w:t>
      </w:r>
      <w:r w:rsidR="00E86613" w:rsidRPr="007900A5">
        <w:rPr>
          <w:rFonts w:ascii="Times New Roman" w:hAnsi="Times New Roman"/>
          <w:lang w:val="en"/>
        </w:rPr>
        <w:t xml:space="preserve">ing participating health departments SAS, R, and ESSENCE programs that </w:t>
      </w:r>
      <w:r w:rsidR="00065D65">
        <w:rPr>
          <w:rFonts w:ascii="Times New Roman" w:hAnsi="Times New Roman"/>
          <w:lang w:val="en"/>
        </w:rPr>
        <w:t xml:space="preserve">states and territories can use to </w:t>
      </w:r>
      <w:r w:rsidR="00E86613" w:rsidRPr="007900A5">
        <w:rPr>
          <w:rFonts w:ascii="Times New Roman" w:hAnsi="Times New Roman"/>
          <w:lang w:val="en"/>
        </w:rPr>
        <w:t xml:space="preserve">automatically apply the CDC definition to their data </w:t>
      </w:r>
      <w:r w:rsidR="00CC6943">
        <w:rPr>
          <w:rFonts w:ascii="Times New Roman" w:hAnsi="Times New Roman"/>
          <w:lang w:val="en"/>
        </w:rPr>
        <w:t>and produce required counts in</w:t>
      </w:r>
      <w:r w:rsidR="00E86613" w:rsidRPr="007900A5">
        <w:rPr>
          <w:rFonts w:ascii="Times New Roman" w:hAnsi="Times New Roman"/>
          <w:lang w:val="en"/>
        </w:rPr>
        <w:t xml:space="preserve"> </w:t>
      </w:r>
      <w:r w:rsidR="00227F2F">
        <w:rPr>
          <w:rFonts w:ascii="Times New Roman" w:hAnsi="Times New Roman"/>
          <w:lang w:val="en"/>
        </w:rPr>
        <w:t xml:space="preserve">a </w:t>
      </w:r>
      <w:r w:rsidR="00E86613" w:rsidRPr="007900A5">
        <w:rPr>
          <w:rFonts w:ascii="Times New Roman" w:hAnsi="Times New Roman"/>
          <w:lang w:val="en"/>
        </w:rPr>
        <w:t xml:space="preserve">format compatible with the </w:t>
      </w:r>
      <w:r w:rsidR="00E86613" w:rsidRPr="007900A5">
        <w:rPr>
          <w:rFonts w:ascii="Times New Roman" w:hAnsi="Times New Roman"/>
          <w:i/>
          <w:lang w:val="en"/>
        </w:rPr>
        <w:t>Rapid ED overdose data form.</w:t>
      </w:r>
      <w:r w:rsidR="002A0806" w:rsidRPr="007900A5">
        <w:rPr>
          <w:rFonts w:ascii="Times New Roman" w:hAnsi="Times New Roman"/>
          <w:i/>
          <w:lang w:val="en"/>
        </w:rPr>
        <w:t xml:space="preserve"> </w:t>
      </w:r>
      <w:r w:rsidR="00F85B27" w:rsidRPr="007900A5">
        <w:rPr>
          <w:rFonts w:ascii="Times New Roman" w:hAnsi="Times New Roman"/>
          <w:lang w:val="en"/>
        </w:rPr>
        <w:t xml:space="preserve"> </w:t>
      </w:r>
    </w:p>
    <w:p w14:paraId="4E70B01F" w14:textId="5FEB3614" w:rsidR="007900A5" w:rsidRPr="007900A5" w:rsidRDefault="007900A5" w:rsidP="006061E2">
      <w:pPr>
        <w:rPr>
          <w:sz w:val="24"/>
        </w:rPr>
      </w:pPr>
      <w:r w:rsidRPr="007900A5">
        <w:rPr>
          <w:b/>
          <w:sz w:val="24"/>
          <w:lang w:val="en"/>
        </w:rPr>
        <w:t xml:space="preserve">Step 3: </w:t>
      </w:r>
      <w:r w:rsidRPr="007900A5">
        <w:rPr>
          <w:sz w:val="24"/>
          <w:lang w:val="en"/>
        </w:rPr>
        <w:t>Participating</w:t>
      </w:r>
      <w:r w:rsidRPr="007900A5">
        <w:rPr>
          <w:sz w:val="24"/>
        </w:rPr>
        <w:t xml:space="preserve"> health departments</w:t>
      </w:r>
      <w:r>
        <w:rPr>
          <w:sz w:val="24"/>
        </w:rPr>
        <w:t xml:space="preserve"> that are not sharing data with CDC through the </w:t>
      </w:r>
      <w:r w:rsidRPr="004E3AF4">
        <w:rPr>
          <w:sz w:val="24"/>
        </w:rPr>
        <w:t>NSSP BioSense platform will submit the</w:t>
      </w:r>
      <w:r w:rsidRPr="004E3AF4">
        <w:rPr>
          <w:sz w:val="24"/>
          <w:lang w:val="en"/>
        </w:rPr>
        <w:t xml:space="preserve"> </w:t>
      </w:r>
      <w:r w:rsidRPr="004E3AF4">
        <w:rPr>
          <w:i/>
          <w:sz w:val="24"/>
          <w:lang w:val="en"/>
        </w:rPr>
        <w:t>Rapid ED overdose data form</w:t>
      </w:r>
      <w:r w:rsidRPr="004E3AF4">
        <w:rPr>
          <w:sz w:val="24"/>
          <w:lang w:val="en"/>
        </w:rPr>
        <w:t xml:space="preserve"> to CDC</w:t>
      </w:r>
      <w:r w:rsidR="00B927CF" w:rsidRPr="00487F5B">
        <w:rPr>
          <w:sz w:val="24"/>
        </w:rPr>
        <w:t xml:space="preserve"> </w:t>
      </w:r>
      <w:r w:rsidR="004E3AF4" w:rsidRPr="00487F5B">
        <w:rPr>
          <w:sz w:val="24"/>
        </w:rPr>
        <w:t>using the N</w:t>
      </w:r>
      <w:r w:rsidR="00B927CF" w:rsidRPr="004E3AF4">
        <w:rPr>
          <w:sz w:val="24"/>
          <w:lang w:val="en"/>
        </w:rPr>
        <w:t>ational Center for Injury Prevention and Control (NCIPC) interface hosted on the CDC Secure Access Management Service (SAMS) Partner’s Portal, referred to as the NCIPC Partner’s Portal</w:t>
      </w:r>
      <w:r w:rsidRPr="004E3AF4">
        <w:rPr>
          <w:sz w:val="24"/>
        </w:rPr>
        <w:t xml:space="preserve">. </w:t>
      </w:r>
      <w:r w:rsidR="004E3AF4" w:rsidRPr="004E3AF4">
        <w:rPr>
          <w:sz w:val="24"/>
        </w:rPr>
        <w:t>The NCIPC Partner’s Portal will conduct automatic data quality checks on submitted files</w:t>
      </w:r>
      <w:r w:rsidR="004E3AF4">
        <w:rPr>
          <w:sz w:val="24"/>
        </w:rPr>
        <w:t xml:space="preserve"> to verify that required data is submitted</w:t>
      </w:r>
      <w:r w:rsidR="00A9497A">
        <w:rPr>
          <w:sz w:val="24"/>
        </w:rPr>
        <w:t xml:space="preserve"> without major data quality issues</w:t>
      </w:r>
      <w:r w:rsidR="004E3AF4">
        <w:rPr>
          <w:sz w:val="24"/>
        </w:rPr>
        <w:t>.</w:t>
      </w:r>
      <w:r w:rsidR="00A9497A">
        <w:rPr>
          <w:sz w:val="24"/>
        </w:rPr>
        <w:t xml:space="preserve"> This process will improve data quality and reduce the need for multiple data submissions by state and local health departments.</w:t>
      </w:r>
      <w:r w:rsidR="004E3AF4">
        <w:rPr>
          <w:sz w:val="24"/>
        </w:rPr>
        <w:t xml:space="preserve">  </w:t>
      </w:r>
      <w:r w:rsidRPr="007900A5">
        <w:rPr>
          <w:sz w:val="24"/>
        </w:rPr>
        <w:t>The CDC SAMS partner portal</w:t>
      </w:r>
      <w:r w:rsidR="00A9497A">
        <w:rPr>
          <w:sz w:val="24"/>
        </w:rPr>
        <w:t xml:space="preserve"> which hosts the NCIPC Partner’s Portal</w:t>
      </w:r>
      <w:r w:rsidRPr="007900A5">
        <w:rPr>
          <w:sz w:val="24"/>
        </w:rPr>
        <w:t xml:space="preserve"> is a web site designed to provide secure centralized access to external users such as public health departments to data and computer applications operated by CDC. It can also be used to securely exchange data between CDC and </w:t>
      </w:r>
      <w:r w:rsidR="00227F2F">
        <w:rPr>
          <w:sz w:val="24"/>
        </w:rPr>
        <w:t xml:space="preserve">the </w:t>
      </w:r>
      <w:r w:rsidRPr="007900A5">
        <w:rPr>
          <w:sz w:val="24"/>
        </w:rPr>
        <w:t>52 participating health departments.</w:t>
      </w:r>
      <w:r w:rsidRPr="007900A5">
        <w:rPr>
          <w:rStyle w:val="EndnoteReference"/>
          <w:sz w:val="24"/>
        </w:rPr>
        <w:endnoteReference w:id="2"/>
      </w:r>
      <w:r w:rsidRPr="007900A5">
        <w:rPr>
          <w:sz w:val="24"/>
        </w:rPr>
        <w:t xml:space="preserve">  </w:t>
      </w:r>
    </w:p>
    <w:p w14:paraId="5F9F11A9" w14:textId="43A242C3" w:rsidR="00DD30BD" w:rsidRPr="00DD30BD" w:rsidRDefault="007900A5" w:rsidP="006061E2">
      <w:pPr>
        <w:rPr>
          <w:sz w:val="24"/>
          <w:lang w:val="en"/>
        </w:rPr>
      </w:pPr>
      <w:r>
        <w:rPr>
          <w:b/>
          <w:sz w:val="24"/>
          <w:lang w:val="en"/>
        </w:rPr>
        <w:t>Step 4</w:t>
      </w:r>
      <w:r w:rsidR="006061E2" w:rsidRPr="006061E2">
        <w:rPr>
          <w:b/>
          <w:sz w:val="24"/>
          <w:lang w:val="en"/>
        </w:rPr>
        <w:t>:</w:t>
      </w:r>
      <w:r w:rsidR="006061E2">
        <w:rPr>
          <w:b/>
          <w:sz w:val="24"/>
          <w:lang w:val="en"/>
        </w:rPr>
        <w:t xml:space="preserve"> </w:t>
      </w:r>
      <w:r w:rsidR="006061E2">
        <w:rPr>
          <w:sz w:val="24"/>
          <w:lang w:val="en"/>
        </w:rPr>
        <w:t>U</w:t>
      </w:r>
      <w:r w:rsidR="0016472C">
        <w:rPr>
          <w:sz w:val="24"/>
          <w:lang w:val="en"/>
        </w:rPr>
        <w:t>p to one month will be taken for CDC to collaborate</w:t>
      </w:r>
      <w:r w:rsidR="006061E2">
        <w:rPr>
          <w:sz w:val="24"/>
          <w:lang w:val="en"/>
        </w:rPr>
        <w:t xml:space="preserve"> with participating health departments to validate their submitted data</w:t>
      </w:r>
      <w:r w:rsidR="0016472C">
        <w:rPr>
          <w:sz w:val="24"/>
          <w:lang w:val="en"/>
        </w:rPr>
        <w:t xml:space="preserve"> for dissemination</w:t>
      </w:r>
      <w:r w:rsidR="006061E2">
        <w:rPr>
          <w:sz w:val="24"/>
          <w:lang w:val="en"/>
        </w:rPr>
        <w:t xml:space="preserve">. Data with no significant issues </w:t>
      </w:r>
      <w:r w:rsidR="00D675E0">
        <w:rPr>
          <w:sz w:val="24"/>
          <w:lang w:val="en"/>
        </w:rPr>
        <w:t>are</w:t>
      </w:r>
      <w:r w:rsidR="006061E2">
        <w:rPr>
          <w:sz w:val="24"/>
          <w:lang w:val="en"/>
        </w:rPr>
        <w:t xml:space="preserve"> expected to be valida</w:t>
      </w:r>
      <w:r w:rsidR="00DD30BD">
        <w:rPr>
          <w:sz w:val="24"/>
          <w:lang w:val="en"/>
        </w:rPr>
        <w:t>ted much quicker</w:t>
      </w:r>
      <w:r w:rsidR="0016472C">
        <w:rPr>
          <w:sz w:val="24"/>
          <w:lang w:val="en"/>
        </w:rPr>
        <w:t xml:space="preserve"> than a month</w:t>
      </w:r>
      <w:r w:rsidR="001F7241">
        <w:rPr>
          <w:sz w:val="24"/>
          <w:lang w:val="en"/>
        </w:rPr>
        <w:t>. In contrast, data with significant issues may have to be resubmitted and/or excluded from analyses on a case-by-case basis</w:t>
      </w:r>
      <w:r w:rsidR="00DD30BD">
        <w:rPr>
          <w:sz w:val="24"/>
          <w:lang w:val="en"/>
        </w:rPr>
        <w:t>. Key parts of the validation process include</w:t>
      </w:r>
      <w:r w:rsidR="00DD30BD" w:rsidRPr="00DD30BD">
        <w:rPr>
          <w:sz w:val="24"/>
          <w:lang w:val="en"/>
        </w:rPr>
        <w:t>:</w:t>
      </w:r>
    </w:p>
    <w:p w14:paraId="237458BA" w14:textId="488028D1" w:rsidR="00DD30BD" w:rsidRPr="00DD30BD" w:rsidRDefault="00DD30BD" w:rsidP="00DD30BD">
      <w:pPr>
        <w:pStyle w:val="ListParagraph"/>
        <w:numPr>
          <w:ilvl w:val="0"/>
          <w:numId w:val="15"/>
        </w:numPr>
        <w:rPr>
          <w:rFonts w:ascii="Times New Roman" w:hAnsi="Times New Roman"/>
          <w:lang w:val="en"/>
        </w:rPr>
      </w:pPr>
      <w:r w:rsidRPr="00DD30BD">
        <w:rPr>
          <w:rFonts w:ascii="Times New Roman" w:hAnsi="Times New Roman"/>
          <w:lang w:val="en"/>
        </w:rPr>
        <w:t>Ensuring all required data was submitted in the correct format using the CDC case definitions</w:t>
      </w:r>
      <w:r w:rsidR="001F7241">
        <w:rPr>
          <w:rFonts w:ascii="Times New Roman" w:hAnsi="Times New Roman"/>
          <w:lang w:val="en"/>
        </w:rPr>
        <w:t xml:space="preserve"> on the required reporting date</w:t>
      </w:r>
      <w:r w:rsidRPr="00DD30BD">
        <w:rPr>
          <w:rFonts w:ascii="Times New Roman" w:hAnsi="Times New Roman"/>
          <w:lang w:val="en"/>
        </w:rPr>
        <w:t>.</w:t>
      </w:r>
    </w:p>
    <w:p w14:paraId="183E9719" w14:textId="5954C0C6" w:rsidR="006061E2" w:rsidRPr="00DD30BD" w:rsidRDefault="00DD30BD" w:rsidP="00DD30BD">
      <w:pPr>
        <w:pStyle w:val="ListParagraph"/>
        <w:numPr>
          <w:ilvl w:val="0"/>
          <w:numId w:val="15"/>
        </w:numPr>
        <w:rPr>
          <w:rFonts w:ascii="Times New Roman" w:hAnsi="Times New Roman"/>
          <w:b/>
          <w:lang w:val="en"/>
        </w:rPr>
      </w:pPr>
      <w:r w:rsidRPr="00DD30BD">
        <w:rPr>
          <w:rFonts w:ascii="Times New Roman" w:hAnsi="Times New Roman"/>
          <w:lang w:val="en"/>
        </w:rPr>
        <w:t>Ensuring the data submission is internally consistent (i.e., total ED visits broken down by sex and age match those broken down by county)</w:t>
      </w:r>
      <w:r>
        <w:rPr>
          <w:rFonts w:ascii="Times New Roman" w:hAnsi="Times New Roman"/>
          <w:lang w:val="en"/>
        </w:rPr>
        <w:t>.</w:t>
      </w:r>
    </w:p>
    <w:p w14:paraId="6A7F8A42" w14:textId="3793900C" w:rsidR="00DD30BD" w:rsidRPr="006C5BB7" w:rsidRDefault="00DD30BD" w:rsidP="00DD30BD">
      <w:pPr>
        <w:pStyle w:val="ListParagraph"/>
        <w:numPr>
          <w:ilvl w:val="0"/>
          <w:numId w:val="15"/>
        </w:numPr>
        <w:rPr>
          <w:rFonts w:ascii="Times New Roman" w:hAnsi="Times New Roman"/>
          <w:b/>
          <w:lang w:val="en"/>
        </w:rPr>
      </w:pPr>
      <w:r>
        <w:rPr>
          <w:rFonts w:ascii="Times New Roman" w:hAnsi="Times New Roman"/>
          <w:lang w:val="en"/>
        </w:rPr>
        <w:t>Identify and discuss with submitting health departments large changes in total ED visits or data quality</w:t>
      </w:r>
      <w:r w:rsidR="001F7241">
        <w:rPr>
          <w:rFonts w:ascii="Times New Roman" w:hAnsi="Times New Roman"/>
          <w:lang w:val="en"/>
        </w:rPr>
        <w:t xml:space="preserve"> (e.g., large drop in </w:t>
      </w:r>
      <w:r w:rsidR="00F12E75">
        <w:rPr>
          <w:rFonts w:ascii="Times New Roman" w:hAnsi="Times New Roman"/>
          <w:lang w:val="en"/>
        </w:rPr>
        <w:t xml:space="preserve">the number of </w:t>
      </w:r>
      <w:r w:rsidR="001F7241">
        <w:rPr>
          <w:rFonts w:ascii="Times New Roman" w:hAnsi="Times New Roman"/>
          <w:lang w:val="en"/>
        </w:rPr>
        <w:t>ED visits</w:t>
      </w:r>
      <w:r w:rsidR="00F12E75">
        <w:rPr>
          <w:rFonts w:ascii="Times New Roman" w:hAnsi="Times New Roman"/>
          <w:lang w:val="en"/>
        </w:rPr>
        <w:t xml:space="preserve"> or a large drop in the number of ED visits with a valid I</w:t>
      </w:r>
      <w:r w:rsidR="001F7241">
        <w:rPr>
          <w:rFonts w:ascii="Times New Roman" w:hAnsi="Times New Roman"/>
          <w:lang w:val="en"/>
        </w:rPr>
        <w:t>CD-10-CM code)</w:t>
      </w:r>
      <w:r>
        <w:rPr>
          <w:rFonts w:ascii="Times New Roman" w:hAnsi="Times New Roman"/>
          <w:lang w:val="en"/>
        </w:rPr>
        <w:t xml:space="preserve"> identified in the</w:t>
      </w:r>
      <w:r w:rsidR="001F7241">
        <w:rPr>
          <w:rFonts w:ascii="Times New Roman" w:hAnsi="Times New Roman"/>
          <w:lang w:val="en"/>
        </w:rPr>
        <w:t xml:space="preserve"> metadata or review of aggregate data</w:t>
      </w:r>
      <w:r>
        <w:rPr>
          <w:rFonts w:ascii="Times New Roman" w:hAnsi="Times New Roman"/>
          <w:lang w:val="en"/>
        </w:rPr>
        <w:t xml:space="preserve"> reported to CDC.</w:t>
      </w:r>
    </w:p>
    <w:p w14:paraId="273E703B" w14:textId="27A393E9" w:rsidR="006C5BB7" w:rsidRPr="006C5BB7" w:rsidRDefault="007900A5" w:rsidP="006C5BB7">
      <w:pPr>
        <w:rPr>
          <w:b/>
          <w:sz w:val="24"/>
          <w:lang w:val="en"/>
        </w:rPr>
      </w:pPr>
      <w:r>
        <w:rPr>
          <w:b/>
          <w:sz w:val="24"/>
          <w:lang w:val="en"/>
        </w:rPr>
        <w:t>Step 5</w:t>
      </w:r>
      <w:r w:rsidR="006C5BB7" w:rsidRPr="006C5BB7">
        <w:rPr>
          <w:b/>
          <w:sz w:val="24"/>
          <w:lang w:val="en"/>
        </w:rPr>
        <w:t xml:space="preserve">: </w:t>
      </w:r>
      <w:r w:rsidR="006C5BB7">
        <w:rPr>
          <w:sz w:val="24"/>
          <w:lang w:val="en"/>
        </w:rPr>
        <w:t>CDC will convene a workgroup of participating health departments at least once every two months to identify ways to improve the data sharing process, data quality, case definitions and analytic approach of DOSE.</w:t>
      </w:r>
    </w:p>
    <w:p w14:paraId="4EDA0816" w14:textId="77777777" w:rsidR="00F85B27" w:rsidRDefault="00F85B27" w:rsidP="009B0CF7">
      <w:pPr>
        <w:rPr>
          <w:sz w:val="24"/>
        </w:rPr>
      </w:pPr>
    </w:p>
    <w:p w14:paraId="6B75C2C8" w14:textId="603A2C01" w:rsidR="002C1B51" w:rsidRPr="006C5BB7" w:rsidRDefault="002C1B51" w:rsidP="002C1B51">
      <w:pPr>
        <w:rPr>
          <w:sz w:val="24"/>
          <w:lang w:val="en"/>
        </w:rPr>
      </w:pPr>
      <w:r w:rsidRPr="006C5BB7">
        <w:rPr>
          <w:i/>
          <w:sz w:val="24"/>
        </w:rPr>
        <w:t xml:space="preserve">Procedures for collecting the </w:t>
      </w:r>
      <w:r w:rsidR="006C5BB7" w:rsidRPr="006C5BB7">
        <w:rPr>
          <w:i/>
          <w:sz w:val="24"/>
        </w:rPr>
        <w:t xml:space="preserve">ED discharge overdose data form </w:t>
      </w:r>
      <w:r w:rsidR="007A4403">
        <w:rPr>
          <w:i/>
          <w:sz w:val="24"/>
        </w:rPr>
        <w:t xml:space="preserve">(Attachment E) </w:t>
      </w:r>
      <w:r w:rsidRPr="006C5BB7">
        <w:rPr>
          <w:i/>
          <w:sz w:val="24"/>
        </w:rPr>
        <w:t xml:space="preserve">on a </w:t>
      </w:r>
      <w:r w:rsidR="00FB057B">
        <w:rPr>
          <w:i/>
          <w:sz w:val="24"/>
        </w:rPr>
        <w:t>quarterly or yearly basis</w:t>
      </w:r>
    </w:p>
    <w:p w14:paraId="25E540FC" w14:textId="77777777" w:rsidR="00F85B27" w:rsidRPr="00F2568E" w:rsidRDefault="00F85B27" w:rsidP="009B0CF7">
      <w:pPr>
        <w:rPr>
          <w:sz w:val="24"/>
          <w:lang w:val="en"/>
        </w:rPr>
      </w:pPr>
    </w:p>
    <w:p w14:paraId="10D8294C" w14:textId="4C1514F0" w:rsidR="00681A02" w:rsidRPr="00217FE5" w:rsidRDefault="006C5BB7" w:rsidP="00E40349">
      <w:pPr>
        <w:rPr>
          <w:sz w:val="24"/>
          <w:lang w:val="en"/>
        </w:rPr>
      </w:pPr>
      <w:r w:rsidRPr="00217FE5">
        <w:rPr>
          <w:sz w:val="24"/>
          <w:lang w:val="en"/>
        </w:rPr>
        <w:t xml:space="preserve">The procedures </w:t>
      </w:r>
      <w:r w:rsidR="00FB057B">
        <w:rPr>
          <w:sz w:val="24"/>
          <w:lang w:val="en"/>
        </w:rPr>
        <w:t xml:space="preserve">for completing </w:t>
      </w:r>
      <w:r w:rsidR="00FB057B" w:rsidRPr="00304A95">
        <w:rPr>
          <w:i/>
          <w:sz w:val="24"/>
          <w:lang w:val="en"/>
        </w:rPr>
        <w:t>the ED discharge overdose data form</w:t>
      </w:r>
      <w:r w:rsidR="00FB057B">
        <w:rPr>
          <w:sz w:val="24"/>
          <w:lang w:val="en"/>
        </w:rPr>
        <w:t xml:space="preserve"> </w:t>
      </w:r>
      <w:r w:rsidRPr="00217FE5">
        <w:rPr>
          <w:sz w:val="24"/>
          <w:lang w:val="en"/>
        </w:rPr>
        <w:t xml:space="preserve">are the same as discussed above for </w:t>
      </w:r>
      <w:r w:rsidR="002C7C69" w:rsidRPr="00217FE5">
        <w:rPr>
          <w:sz w:val="24"/>
          <w:lang w:val="en"/>
        </w:rPr>
        <w:t xml:space="preserve">the </w:t>
      </w:r>
      <w:r w:rsidR="002C7C69" w:rsidRPr="00217FE5">
        <w:rPr>
          <w:i/>
          <w:sz w:val="24"/>
          <w:lang w:val="en"/>
        </w:rPr>
        <w:t xml:space="preserve">Rapid ED overdose data form </w:t>
      </w:r>
      <w:r w:rsidR="004D62FC">
        <w:rPr>
          <w:sz w:val="24"/>
          <w:lang w:val="en"/>
        </w:rPr>
        <w:t xml:space="preserve">except for the following </w:t>
      </w:r>
      <w:r w:rsidR="00444022" w:rsidRPr="00217FE5">
        <w:rPr>
          <w:sz w:val="24"/>
          <w:lang w:val="en"/>
        </w:rPr>
        <w:t>exceptions.</w:t>
      </w:r>
    </w:p>
    <w:p w14:paraId="48AAA220" w14:textId="4B365080" w:rsidR="00444022" w:rsidRPr="00217FE5" w:rsidRDefault="00444022" w:rsidP="00E40349">
      <w:pPr>
        <w:rPr>
          <w:sz w:val="24"/>
          <w:lang w:val="en"/>
        </w:rPr>
      </w:pPr>
    </w:p>
    <w:p w14:paraId="7DBB1AF5" w14:textId="2707C074" w:rsidR="00444022" w:rsidRPr="00217FE5" w:rsidRDefault="006F3E3E" w:rsidP="00444022">
      <w:pPr>
        <w:pStyle w:val="ListParagraph"/>
        <w:numPr>
          <w:ilvl w:val="0"/>
          <w:numId w:val="17"/>
        </w:numPr>
        <w:rPr>
          <w:rFonts w:ascii="Times New Roman" w:hAnsi="Times New Roman"/>
          <w:lang w:val="en"/>
        </w:rPr>
      </w:pPr>
      <w:r>
        <w:rPr>
          <w:rFonts w:ascii="Times New Roman" w:hAnsi="Times New Roman"/>
          <w:lang w:val="en"/>
        </w:rPr>
        <w:t>All 52 p</w:t>
      </w:r>
      <w:r w:rsidR="00444022" w:rsidRPr="00217FE5">
        <w:rPr>
          <w:rFonts w:ascii="Times New Roman" w:hAnsi="Times New Roman"/>
          <w:lang w:val="en"/>
        </w:rPr>
        <w:t xml:space="preserve">articipating health departments must </w:t>
      </w:r>
      <w:r>
        <w:rPr>
          <w:rFonts w:ascii="Times New Roman" w:hAnsi="Times New Roman"/>
          <w:lang w:val="en"/>
        </w:rPr>
        <w:t xml:space="preserve">complete the </w:t>
      </w:r>
      <w:r w:rsidRPr="00304A95">
        <w:rPr>
          <w:rFonts w:ascii="Times New Roman" w:hAnsi="Times New Roman"/>
          <w:i/>
          <w:lang w:val="en"/>
        </w:rPr>
        <w:t xml:space="preserve">ED discharge overdose data form </w:t>
      </w:r>
      <w:r w:rsidR="00F26BA4">
        <w:rPr>
          <w:rFonts w:ascii="Times New Roman" w:hAnsi="Times New Roman"/>
          <w:lang w:val="en"/>
        </w:rPr>
        <w:t xml:space="preserve">using CDC case definitions </w:t>
      </w:r>
      <w:r w:rsidR="00D91B77">
        <w:rPr>
          <w:rFonts w:ascii="Times New Roman" w:hAnsi="Times New Roman"/>
          <w:lang w:val="en"/>
        </w:rPr>
        <w:t xml:space="preserve">and </w:t>
      </w:r>
      <w:r w:rsidR="00F26BA4" w:rsidRPr="00217FE5">
        <w:rPr>
          <w:rFonts w:ascii="Times New Roman" w:hAnsi="Times New Roman"/>
          <w:lang w:val="en"/>
        </w:rPr>
        <w:t>using hospital discharge data (i.e., ICD-10-CM diagnosis codes)</w:t>
      </w:r>
      <w:r w:rsidR="00F26BA4">
        <w:rPr>
          <w:rFonts w:ascii="Times New Roman" w:hAnsi="Times New Roman"/>
          <w:lang w:val="en"/>
        </w:rPr>
        <w:t xml:space="preserve">. The </w:t>
      </w:r>
      <w:r w:rsidR="00F26BA4" w:rsidRPr="00304A95">
        <w:rPr>
          <w:rFonts w:ascii="Times New Roman" w:hAnsi="Times New Roman"/>
          <w:i/>
          <w:lang w:val="en"/>
        </w:rPr>
        <w:t>ED discharge overdose data form</w:t>
      </w:r>
      <w:r w:rsidR="00F26BA4">
        <w:rPr>
          <w:rFonts w:ascii="Times New Roman" w:hAnsi="Times New Roman"/>
          <w:lang w:val="en"/>
        </w:rPr>
        <w:t xml:space="preserve"> collects counts of </w:t>
      </w:r>
      <w:r w:rsidR="00444022" w:rsidRPr="00217FE5">
        <w:rPr>
          <w:rFonts w:ascii="Times New Roman" w:hAnsi="Times New Roman"/>
          <w:lang w:val="en"/>
        </w:rPr>
        <w:t xml:space="preserve">suspected drug, opioid, heroin and stimulant overdoses on both </w:t>
      </w:r>
      <w:r w:rsidR="00D91B77">
        <w:rPr>
          <w:rFonts w:ascii="Times New Roman" w:hAnsi="Times New Roman"/>
          <w:lang w:val="en"/>
        </w:rPr>
        <w:t xml:space="preserve">ED </w:t>
      </w:r>
      <w:r w:rsidR="00444022" w:rsidRPr="00217FE5">
        <w:rPr>
          <w:rFonts w:ascii="Times New Roman" w:hAnsi="Times New Roman"/>
          <w:lang w:val="en"/>
        </w:rPr>
        <w:t xml:space="preserve">visits not resulting in hospitalizations and </w:t>
      </w:r>
      <w:r w:rsidR="00D91B77">
        <w:rPr>
          <w:rFonts w:ascii="Times New Roman" w:hAnsi="Times New Roman"/>
          <w:lang w:val="en"/>
        </w:rPr>
        <w:t>ED</w:t>
      </w:r>
      <w:r w:rsidR="00444022" w:rsidRPr="00217FE5">
        <w:rPr>
          <w:rFonts w:ascii="Times New Roman" w:hAnsi="Times New Roman"/>
          <w:lang w:val="en"/>
        </w:rPr>
        <w:t xml:space="preserve"> visits resulting in hospitalizations.</w:t>
      </w:r>
    </w:p>
    <w:p w14:paraId="52EBF3E3" w14:textId="7F9B5350" w:rsidR="00444022" w:rsidRPr="00217FE5" w:rsidRDefault="00217FE5" w:rsidP="00444022">
      <w:pPr>
        <w:pStyle w:val="ListParagraph"/>
        <w:numPr>
          <w:ilvl w:val="0"/>
          <w:numId w:val="17"/>
        </w:numPr>
        <w:rPr>
          <w:rFonts w:ascii="Times New Roman" w:hAnsi="Times New Roman"/>
          <w:lang w:val="en"/>
        </w:rPr>
      </w:pPr>
      <w:r w:rsidRPr="00217FE5">
        <w:rPr>
          <w:rFonts w:ascii="Times New Roman" w:hAnsi="Times New Roman"/>
          <w:lang w:val="en"/>
        </w:rPr>
        <w:t xml:space="preserve">The goal is to have the data reported to CDC quarterly. At least 26 of the 52 participating health departments are expected to only share the data yearly due to </w:t>
      </w:r>
      <w:r w:rsidR="0016472C">
        <w:rPr>
          <w:rFonts w:ascii="Times New Roman" w:hAnsi="Times New Roman"/>
          <w:lang w:val="en"/>
        </w:rPr>
        <w:t xml:space="preserve">participating health </w:t>
      </w:r>
      <w:r w:rsidR="008A2BC1">
        <w:rPr>
          <w:rFonts w:ascii="Times New Roman" w:hAnsi="Times New Roman"/>
          <w:lang w:val="en"/>
        </w:rPr>
        <w:t>department’s</w:t>
      </w:r>
      <w:r w:rsidR="0016472C">
        <w:rPr>
          <w:rFonts w:ascii="Times New Roman" w:hAnsi="Times New Roman"/>
          <w:lang w:val="en"/>
        </w:rPr>
        <w:t xml:space="preserve"> delay</w:t>
      </w:r>
      <w:r w:rsidRPr="00217FE5">
        <w:rPr>
          <w:rFonts w:ascii="Times New Roman" w:hAnsi="Times New Roman"/>
          <w:lang w:val="en"/>
        </w:rPr>
        <w:t xml:space="preserve"> in obtaining local hospital discharge data. </w:t>
      </w:r>
    </w:p>
    <w:p w14:paraId="0458FBF6" w14:textId="3D335FD0" w:rsidR="0087540E" w:rsidRDefault="0087540E" w:rsidP="0087540E">
      <w:pPr>
        <w:rPr>
          <w:sz w:val="24"/>
        </w:rPr>
      </w:pPr>
    </w:p>
    <w:p w14:paraId="76EF82EE" w14:textId="3C0BC716" w:rsidR="00A03BCD" w:rsidRDefault="00A03BCD" w:rsidP="0087540E">
      <w:pPr>
        <w:rPr>
          <w:i/>
          <w:sz w:val="24"/>
        </w:rPr>
      </w:pPr>
      <w:r>
        <w:rPr>
          <w:i/>
          <w:sz w:val="24"/>
        </w:rPr>
        <w:t>Proposed analyses used on data</w:t>
      </w:r>
    </w:p>
    <w:p w14:paraId="09880742" w14:textId="428B2C58" w:rsidR="00A03BCD" w:rsidRDefault="00A03BCD" w:rsidP="0087540E">
      <w:pPr>
        <w:rPr>
          <w:sz w:val="24"/>
        </w:rPr>
      </w:pPr>
    </w:p>
    <w:p w14:paraId="225CD786" w14:textId="77777777" w:rsidR="00A03BCD" w:rsidRPr="0044240A" w:rsidRDefault="00A03BCD" w:rsidP="00A03BCD">
      <w:pPr>
        <w:rPr>
          <w:sz w:val="24"/>
        </w:rPr>
      </w:pPr>
      <w:r w:rsidRPr="0044240A">
        <w:rPr>
          <w:sz w:val="24"/>
        </w:rPr>
        <w:t>The following types of statistical methods will be used to analyze the data:</w:t>
      </w:r>
    </w:p>
    <w:p w14:paraId="5EC4E2B4" w14:textId="36C07A24" w:rsidR="00A03BCD" w:rsidRPr="0044240A" w:rsidRDefault="00A03BCD" w:rsidP="00A03BCD">
      <w:pPr>
        <w:pStyle w:val="ListParagraph"/>
        <w:numPr>
          <w:ilvl w:val="0"/>
          <w:numId w:val="9"/>
        </w:numPr>
        <w:rPr>
          <w:rFonts w:ascii="Times New Roman" w:hAnsi="Times New Roman"/>
        </w:rPr>
      </w:pPr>
      <w:r w:rsidRPr="0044240A">
        <w:rPr>
          <w:rFonts w:ascii="Times New Roman" w:hAnsi="Times New Roman"/>
        </w:rPr>
        <w:t xml:space="preserve">Descriptive analyses such as </w:t>
      </w:r>
      <w:r>
        <w:rPr>
          <w:rFonts w:ascii="Times New Roman" w:hAnsi="Times New Roman"/>
        </w:rPr>
        <w:t>analyzing the percent change</w:t>
      </w:r>
      <w:r w:rsidRPr="0044240A">
        <w:rPr>
          <w:rFonts w:ascii="Times New Roman" w:hAnsi="Times New Roman"/>
        </w:rPr>
        <w:t xml:space="preserve"> in the rate of ED visits</w:t>
      </w:r>
      <w:r>
        <w:rPr>
          <w:rFonts w:ascii="Times New Roman" w:hAnsi="Times New Roman"/>
        </w:rPr>
        <w:t xml:space="preserve"> (number of overdose ED visits divided by total ED visits per time period multiplied by 10,000)</w:t>
      </w:r>
      <w:r w:rsidRPr="0044240A">
        <w:rPr>
          <w:rFonts w:ascii="Times New Roman" w:hAnsi="Times New Roman"/>
        </w:rPr>
        <w:t xml:space="preserve"> involving drug, opioid, heroin an</w:t>
      </w:r>
      <w:r w:rsidR="00D91B77">
        <w:rPr>
          <w:rFonts w:ascii="Times New Roman" w:hAnsi="Times New Roman"/>
        </w:rPr>
        <w:t xml:space="preserve">d stimulant overdoses by US region, </w:t>
      </w:r>
      <w:r w:rsidRPr="0044240A">
        <w:rPr>
          <w:rFonts w:ascii="Times New Roman" w:hAnsi="Times New Roman"/>
        </w:rPr>
        <w:t>state</w:t>
      </w:r>
      <w:r>
        <w:rPr>
          <w:rFonts w:ascii="Times New Roman" w:hAnsi="Times New Roman"/>
        </w:rPr>
        <w:t>/territory, county, sex, and age group</w:t>
      </w:r>
      <w:r w:rsidRPr="0044240A">
        <w:rPr>
          <w:rFonts w:ascii="Times New Roman" w:hAnsi="Times New Roman"/>
        </w:rPr>
        <w:t xml:space="preserve">. </w:t>
      </w:r>
    </w:p>
    <w:p w14:paraId="423A07FB" w14:textId="77777777" w:rsidR="00A03BCD" w:rsidRPr="0044240A" w:rsidRDefault="00A03BCD" w:rsidP="00A03BCD">
      <w:pPr>
        <w:pStyle w:val="ListParagraph"/>
        <w:numPr>
          <w:ilvl w:val="0"/>
          <w:numId w:val="9"/>
        </w:numPr>
        <w:rPr>
          <w:rFonts w:ascii="Times New Roman" w:hAnsi="Times New Roman"/>
        </w:rPr>
      </w:pPr>
      <w:r w:rsidRPr="0044240A">
        <w:rPr>
          <w:rFonts w:ascii="Times New Roman" w:hAnsi="Times New Roman"/>
        </w:rPr>
        <w:t>Longitudinal statistical analyses such as Joinpoint regression</w:t>
      </w:r>
      <w:r>
        <w:rPr>
          <w:rFonts w:ascii="Times New Roman" w:hAnsi="Times New Roman"/>
        </w:rPr>
        <w:t xml:space="preserve"> or hierarchical linear modeling</w:t>
      </w:r>
      <w:r w:rsidRPr="0044240A">
        <w:rPr>
          <w:rFonts w:ascii="Times New Roman" w:hAnsi="Times New Roman"/>
        </w:rPr>
        <w:t xml:space="preserve">. </w:t>
      </w:r>
    </w:p>
    <w:p w14:paraId="4750F3F0" w14:textId="77777777" w:rsidR="00A03BCD" w:rsidRPr="0044240A" w:rsidRDefault="00A03BCD" w:rsidP="00A03BCD">
      <w:pPr>
        <w:pStyle w:val="ListParagraph"/>
        <w:numPr>
          <w:ilvl w:val="0"/>
          <w:numId w:val="9"/>
        </w:numPr>
        <w:rPr>
          <w:rFonts w:ascii="Times New Roman" w:hAnsi="Times New Roman"/>
        </w:rPr>
      </w:pPr>
      <w:r w:rsidRPr="0044240A">
        <w:rPr>
          <w:rFonts w:ascii="Times New Roman" w:hAnsi="Times New Roman"/>
        </w:rPr>
        <w:t>Latent class analyses</w:t>
      </w:r>
      <w:r>
        <w:rPr>
          <w:rFonts w:ascii="Times New Roman" w:hAnsi="Times New Roman"/>
        </w:rPr>
        <w:t xml:space="preserve"> to look at patterns in polysubstance use by sex, age group, and geographic location.</w:t>
      </w:r>
    </w:p>
    <w:p w14:paraId="07AB0A2B" w14:textId="5FE9ED2F" w:rsidR="00A03BCD" w:rsidRPr="0044240A" w:rsidRDefault="00A03BCD" w:rsidP="00A03BCD">
      <w:pPr>
        <w:pStyle w:val="ListParagraph"/>
        <w:numPr>
          <w:ilvl w:val="0"/>
          <w:numId w:val="9"/>
        </w:numPr>
        <w:rPr>
          <w:rFonts w:ascii="Times New Roman" w:hAnsi="Times New Roman"/>
        </w:rPr>
      </w:pPr>
      <w:r>
        <w:rPr>
          <w:rFonts w:ascii="Times New Roman" w:hAnsi="Times New Roman"/>
        </w:rPr>
        <w:t>Identifying and tracking possible outbreaks within states by working with health departments to analyze trend changes in drug, opioid, heroin, or stimulant overdoses at the county level or districts level (e.g., districts are combinations of counties within state</w:t>
      </w:r>
      <w:r w:rsidR="00DE6E23">
        <w:rPr>
          <w:rFonts w:ascii="Times New Roman" w:hAnsi="Times New Roman"/>
        </w:rPr>
        <w:t xml:space="preserve"> designed by states). </w:t>
      </w:r>
      <w:r>
        <w:rPr>
          <w:rFonts w:ascii="Times New Roman" w:hAnsi="Times New Roman"/>
        </w:rPr>
        <w:t xml:space="preserve"> </w:t>
      </w:r>
    </w:p>
    <w:p w14:paraId="352850C2" w14:textId="77777777" w:rsidR="0087540E" w:rsidRDefault="0087540E" w:rsidP="0087540E">
      <w:pPr>
        <w:keepNext/>
        <w:keepLines/>
        <w:rPr>
          <w:b/>
          <w:bCs/>
          <w:sz w:val="24"/>
        </w:rPr>
      </w:pPr>
      <w:r>
        <w:rPr>
          <w:b/>
          <w:bCs/>
          <w:sz w:val="24"/>
        </w:rPr>
        <w:t>Estimation Procedures</w:t>
      </w:r>
    </w:p>
    <w:p w14:paraId="66AEEC81" w14:textId="77777777" w:rsidR="0087540E" w:rsidRDefault="0087540E" w:rsidP="0087540E">
      <w:pPr>
        <w:keepNext/>
        <w:keepLines/>
        <w:rPr>
          <w:b/>
          <w:bCs/>
          <w:sz w:val="24"/>
        </w:rPr>
      </w:pPr>
    </w:p>
    <w:p w14:paraId="16E0C533" w14:textId="77777777" w:rsidR="00411EC6" w:rsidRDefault="00C9004A" w:rsidP="00C9004A">
      <w:pPr>
        <w:pStyle w:val="BodyText2"/>
      </w:pPr>
      <w:r>
        <w:t>The data collection will not use</w:t>
      </w:r>
      <w:r w:rsidRPr="00AA0294">
        <w:t xml:space="preserve"> statistical weighting</w:t>
      </w:r>
      <w:r>
        <w:t xml:space="preserve"> because</w:t>
      </w:r>
      <w:r w:rsidR="00411EC6">
        <w:t>:</w:t>
      </w:r>
    </w:p>
    <w:p w14:paraId="31042F11" w14:textId="3D6F6809" w:rsidR="00411EC6" w:rsidRDefault="0069738B" w:rsidP="00411EC6">
      <w:pPr>
        <w:pStyle w:val="BodyText2"/>
        <w:numPr>
          <w:ilvl w:val="0"/>
          <w:numId w:val="16"/>
        </w:numPr>
      </w:pPr>
      <w:r>
        <w:t xml:space="preserve">The census </w:t>
      </w:r>
      <w:r w:rsidR="00BE1048">
        <w:t xml:space="preserve">will include </w:t>
      </w:r>
      <w:r w:rsidR="00411EC6">
        <w:t xml:space="preserve">a </w:t>
      </w:r>
      <w:r w:rsidR="0055450C">
        <w:t xml:space="preserve">minimum </w:t>
      </w:r>
      <w:r w:rsidR="00BE1048">
        <w:t xml:space="preserve">of </w:t>
      </w:r>
      <w:r w:rsidR="0055450C">
        <w:t>75%</w:t>
      </w:r>
      <w:r w:rsidR="00794F4D">
        <w:t xml:space="preserve"> of </w:t>
      </w:r>
      <w:r w:rsidR="00BE1048">
        <w:t xml:space="preserve">all </w:t>
      </w:r>
      <w:r w:rsidR="00794F4D">
        <w:t>ED visits</w:t>
      </w:r>
      <w:r w:rsidR="00BE1048">
        <w:t xml:space="preserve"> (i.e., a significant portion of </w:t>
      </w:r>
      <w:r w:rsidR="005B54AA">
        <w:t>all ED visits</w:t>
      </w:r>
      <w:r w:rsidR="00BE1048">
        <w:t>)</w:t>
      </w:r>
      <w:r w:rsidR="007F2A7B">
        <w:t>. Currently, about two out of three</w:t>
      </w:r>
      <w:r w:rsidR="00312AD7">
        <w:t xml:space="preserve"> health departments sharing ED data with</w:t>
      </w:r>
      <w:r w:rsidR="007F2A7B">
        <w:t xml:space="preserve"> CDC </w:t>
      </w:r>
      <w:r w:rsidR="00312AD7">
        <w:t>through the E</w:t>
      </w:r>
      <w:r w:rsidR="005B54AA">
        <w:t>SOOS</w:t>
      </w:r>
      <w:r w:rsidR="00312AD7">
        <w:t xml:space="preserve"> funding opportunity </w:t>
      </w:r>
      <w:r w:rsidR="007F2A7B">
        <w:t>share</w:t>
      </w:r>
      <w:r w:rsidR="00BE1048">
        <w:t xml:space="preserve"> </w:t>
      </w:r>
      <w:r w:rsidR="0055450C">
        <w:t>over 9</w:t>
      </w:r>
      <w:r w:rsidR="00C203FB">
        <w:t>0%</w:t>
      </w:r>
      <w:r w:rsidR="00BE1048">
        <w:t xml:space="preserve"> of ED visits </w:t>
      </w:r>
      <w:r w:rsidR="007F2A7B">
        <w:t>occurring in their jurisdiction</w:t>
      </w:r>
      <w:r w:rsidR="00C203FB">
        <w:t xml:space="preserve">. </w:t>
      </w:r>
    </w:p>
    <w:p w14:paraId="130E70BE" w14:textId="26E03256" w:rsidR="00652D0D" w:rsidRDefault="00652D0D" w:rsidP="00411EC6">
      <w:pPr>
        <w:pStyle w:val="BodyText2"/>
        <w:numPr>
          <w:ilvl w:val="0"/>
          <w:numId w:val="16"/>
        </w:numPr>
      </w:pPr>
      <w:r>
        <w:t>The primary goal of syndromic surveillance is to provide situational awareness and inform response. In order to achieve these goals, regional and state surveillance needs to be able to track and</w:t>
      </w:r>
      <w:r w:rsidR="00C51DCF">
        <w:t xml:space="preserve"> validate</w:t>
      </w:r>
      <w:r>
        <w:t xml:space="preserve"> large changes in drug overdoses by examining </w:t>
      </w:r>
      <w:r w:rsidR="00C51DCF">
        <w:t>the specific local</w:t>
      </w:r>
      <w:r w:rsidR="00BC633A">
        <w:t xml:space="preserve"> area</w:t>
      </w:r>
      <w:r w:rsidR="00C51DCF">
        <w:t xml:space="preserve"> or hospital data driving the large change</w:t>
      </w:r>
      <w:r>
        <w:t>.</w:t>
      </w:r>
    </w:p>
    <w:p w14:paraId="5F63DE16" w14:textId="4EE0F79A" w:rsidR="00B13F2E" w:rsidRDefault="00043ACD" w:rsidP="00411EC6">
      <w:pPr>
        <w:pStyle w:val="BodyText2"/>
        <w:numPr>
          <w:ilvl w:val="0"/>
          <w:numId w:val="16"/>
        </w:numPr>
      </w:pPr>
      <w:r>
        <w:t xml:space="preserve">The primary goal of DOSE is to detect rapid changes over time in participating hospitals </w:t>
      </w:r>
      <w:r w:rsidR="009A2390">
        <w:t>instead of estimating the incidence of drug overdose</w:t>
      </w:r>
      <w:r w:rsidR="006E6B9D">
        <w:t xml:space="preserve"> through estimation procedures</w:t>
      </w:r>
      <w:r>
        <w:t>. Consequently, the key concern is monitoring for substantial change</w:t>
      </w:r>
      <w:r w:rsidR="00BC633A">
        <w:t xml:space="preserve">s in ED participation </w:t>
      </w:r>
      <w:r>
        <w:t>or data quality over time</w:t>
      </w:r>
      <w:r w:rsidR="009A2390">
        <w:t xml:space="preserve"> tha</w:t>
      </w:r>
      <w:r w:rsidR="00E43F4A">
        <w:t>t would bias detection of outbreaks or changes</w:t>
      </w:r>
      <w:r w:rsidR="009A2390">
        <w:t xml:space="preserve"> in suspected drug, opioid, heroin</w:t>
      </w:r>
      <w:r w:rsidR="006E6B9D">
        <w:t xml:space="preserve">, or stimulant overdoses (See </w:t>
      </w:r>
      <w:r w:rsidR="006E6B9D" w:rsidRPr="00304A95">
        <w:rPr>
          <w:b/>
        </w:rPr>
        <w:t>Unusual Problems</w:t>
      </w:r>
      <w:r w:rsidR="006E6B9D">
        <w:t xml:space="preserve"> </w:t>
      </w:r>
      <w:r w:rsidR="00B71C25">
        <w:t xml:space="preserve">for a description for how DOSE works to </w:t>
      </w:r>
      <w:r w:rsidR="00851802">
        <w:t>track and respond to this potential bias</w:t>
      </w:r>
      <w:r w:rsidR="00EF5264">
        <w:t>)</w:t>
      </w:r>
      <w:r w:rsidR="00851802">
        <w:t>.</w:t>
      </w:r>
    </w:p>
    <w:p w14:paraId="5AE545F4" w14:textId="75A3F6AB" w:rsidR="00081FC4" w:rsidRDefault="00BE1048" w:rsidP="00B13F2E">
      <w:pPr>
        <w:pStyle w:val="BodyText2"/>
        <w:numPr>
          <w:ilvl w:val="0"/>
          <w:numId w:val="16"/>
        </w:numPr>
      </w:pPr>
      <w:r>
        <w:t>P</w:t>
      </w:r>
      <w:r w:rsidR="0055450C">
        <w:t>articipating hospitals are not randomly selected</w:t>
      </w:r>
      <w:r w:rsidR="00C203FB">
        <w:t xml:space="preserve"> and limited information is available on non-participating hospitals.</w:t>
      </w:r>
      <w:r>
        <w:t xml:space="preserve"> This coupled with the small percent of non-participating hospitals would ma</w:t>
      </w:r>
      <w:r w:rsidR="00652D0D">
        <w:t>ke accurate adjustments</w:t>
      </w:r>
      <w:r w:rsidR="00C51DCF">
        <w:t xml:space="preserve"> for non-response</w:t>
      </w:r>
      <w:r w:rsidR="00652D0D">
        <w:t xml:space="preserve"> difficult</w:t>
      </w:r>
      <w:r w:rsidR="00C51DCF">
        <w:t xml:space="preserve"> and </w:t>
      </w:r>
      <w:r w:rsidR="0069738B">
        <w:t xml:space="preserve">expensive.  </w:t>
      </w:r>
    </w:p>
    <w:p w14:paraId="16E62E8B" w14:textId="77777777" w:rsidR="0087540E" w:rsidRDefault="0087540E" w:rsidP="0087540E">
      <w:pPr>
        <w:rPr>
          <w:sz w:val="24"/>
        </w:rPr>
      </w:pPr>
    </w:p>
    <w:p w14:paraId="17945667" w14:textId="77777777" w:rsidR="0087540E" w:rsidRDefault="0087540E" w:rsidP="0087540E">
      <w:pPr>
        <w:rPr>
          <w:sz w:val="24"/>
        </w:rPr>
      </w:pPr>
      <w:r>
        <w:rPr>
          <w:b/>
          <w:bCs/>
          <w:sz w:val="24"/>
        </w:rPr>
        <w:t>Degree of Accuracy</w:t>
      </w:r>
      <w:r>
        <w:rPr>
          <w:sz w:val="24"/>
        </w:rPr>
        <w:tab/>
      </w:r>
    </w:p>
    <w:p w14:paraId="30C360F8" w14:textId="77777777" w:rsidR="0087540E" w:rsidRDefault="0087540E" w:rsidP="0087540E">
      <w:pPr>
        <w:rPr>
          <w:sz w:val="24"/>
        </w:rPr>
      </w:pPr>
    </w:p>
    <w:p w14:paraId="526BE2BC" w14:textId="77777777" w:rsidR="0087540E" w:rsidRDefault="0087540E" w:rsidP="0087540E">
      <w:pPr>
        <w:rPr>
          <w:sz w:val="24"/>
        </w:rPr>
      </w:pPr>
      <w:r>
        <w:rPr>
          <w:sz w:val="24"/>
        </w:rPr>
        <w:t>This issue does not apply to this methodology.</w:t>
      </w:r>
    </w:p>
    <w:p w14:paraId="0FE61B92" w14:textId="77777777" w:rsidR="0087540E" w:rsidRDefault="0087540E" w:rsidP="0087540E">
      <w:pPr>
        <w:rPr>
          <w:b/>
          <w:bCs/>
          <w:sz w:val="24"/>
        </w:rPr>
      </w:pPr>
    </w:p>
    <w:p w14:paraId="09BC5847" w14:textId="77777777" w:rsidR="0087540E" w:rsidRDefault="0087540E" w:rsidP="0087540E">
      <w:pPr>
        <w:rPr>
          <w:sz w:val="24"/>
        </w:rPr>
      </w:pPr>
      <w:r>
        <w:rPr>
          <w:b/>
          <w:bCs/>
          <w:sz w:val="24"/>
        </w:rPr>
        <w:t>Unusual Problems</w:t>
      </w:r>
    </w:p>
    <w:p w14:paraId="467117EA" w14:textId="3AE19D80" w:rsidR="0087540E" w:rsidRPr="002B2D51" w:rsidRDefault="0087540E" w:rsidP="0087540E">
      <w:pPr>
        <w:rPr>
          <w:sz w:val="24"/>
        </w:rPr>
      </w:pPr>
    </w:p>
    <w:p w14:paraId="662E6AA9" w14:textId="2E3AEFB7" w:rsidR="002B2D51" w:rsidRPr="00B55964" w:rsidRDefault="002B2D51" w:rsidP="002B2D51">
      <w:pPr>
        <w:tabs>
          <w:tab w:val="left" w:pos="0"/>
        </w:tabs>
        <w:outlineLvl w:val="0"/>
        <w:rPr>
          <w:sz w:val="24"/>
          <w:lang w:val="en"/>
        </w:rPr>
      </w:pPr>
      <w:r w:rsidRPr="00B55964">
        <w:rPr>
          <w:sz w:val="24"/>
          <w:lang w:val="en"/>
        </w:rPr>
        <w:t xml:space="preserve">ED syndromic systems are designed to collect rapid preliminary data on changes in illness and injuries such as drug overdose. These systems, however, </w:t>
      </w:r>
      <w:r w:rsidR="00843AC1">
        <w:rPr>
          <w:sz w:val="24"/>
          <w:lang w:val="en"/>
        </w:rPr>
        <w:t>may</w:t>
      </w:r>
      <w:r w:rsidRPr="00B55964">
        <w:rPr>
          <w:sz w:val="24"/>
          <w:lang w:val="en"/>
        </w:rPr>
        <w:t xml:space="preserve"> not provide an accurate estimate of the full burden of illnesses and injuries because they are based on preliminary data. DOSE addresses this</w:t>
      </w:r>
      <w:r w:rsidR="0016472C">
        <w:rPr>
          <w:sz w:val="24"/>
          <w:lang w:val="en"/>
        </w:rPr>
        <w:t xml:space="preserve"> limitation</w:t>
      </w:r>
      <w:r w:rsidR="008D03A9" w:rsidRPr="00B55964">
        <w:rPr>
          <w:sz w:val="24"/>
          <w:lang w:val="en"/>
        </w:rPr>
        <w:t xml:space="preserve"> in </w:t>
      </w:r>
      <w:r w:rsidR="0016472C">
        <w:rPr>
          <w:sz w:val="24"/>
          <w:lang w:val="en"/>
        </w:rPr>
        <w:t xml:space="preserve">the </w:t>
      </w:r>
      <w:r w:rsidR="008D03A9" w:rsidRPr="00B55964">
        <w:rPr>
          <w:sz w:val="24"/>
          <w:lang w:val="en"/>
        </w:rPr>
        <w:t xml:space="preserve">following </w:t>
      </w:r>
      <w:r w:rsidRPr="00B55964">
        <w:rPr>
          <w:sz w:val="24"/>
          <w:lang w:val="en"/>
        </w:rPr>
        <w:t>ways:</w:t>
      </w:r>
    </w:p>
    <w:p w14:paraId="0D22DA78" w14:textId="4A2D4881" w:rsidR="000D5FB4" w:rsidRPr="00795025" w:rsidRDefault="00241D70" w:rsidP="002D511B">
      <w:pPr>
        <w:pStyle w:val="ListParagraph"/>
        <w:numPr>
          <w:ilvl w:val="0"/>
          <w:numId w:val="8"/>
        </w:numPr>
        <w:tabs>
          <w:tab w:val="left" w:pos="0"/>
        </w:tabs>
        <w:outlineLvl w:val="0"/>
        <w:rPr>
          <w:rFonts w:ascii="Times New Roman" w:hAnsi="Times New Roman"/>
          <w:lang w:val="en"/>
        </w:rPr>
      </w:pPr>
      <w:r>
        <w:rPr>
          <w:rFonts w:ascii="Times New Roman" w:hAnsi="Times New Roman"/>
          <w:lang w:val="en"/>
        </w:rPr>
        <w:t>CDC analyses will primarily focus on detecting outbreaks</w:t>
      </w:r>
      <w:r w:rsidRPr="004162A2">
        <w:rPr>
          <w:rFonts w:ascii="Times New Roman" w:hAnsi="Times New Roman"/>
          <w:lang w:val="en"/>
        </w:rPr>
        <w:t xml:space="preserve"> and rapid changes in drug, opioid, heroin, and stimula</w:t>
      </w:r>
      <w:r>
        <w:rPr>
          <w:rFonts w:ascii="Times New Roman" w:hAnsi="Times New Roman"/>
          <w:lang w:val="en"/>
        </w:rPr>
        <w:t>nt overdoses</w:t>
      </w:r>
      <w:r w:rsidRPr="004162A2">
        <w:rPr>
          <w:rFonts w:ascii="Times New Roman" w:hAnsi="Times New Roman"/>
          <w:lang w:val="en"/>
        </w:rPr>
        <w:t xml:space="preserve"> to inform response. Consequently, </w:t>
      </w:r>
      <w:r>
        <w:rPr>
          <w:rFonts w:ascii="Times New Roman" w:hAnsi="Times New Roman"/>
          <w:lang w:val="en"/>
        </w:rPr>
        <w:t>public health departments</w:t>
      </w:r>
      <w:r w:rsidRPr="004162A2">
        <w:rPr>
          <w:rFonts w:ascii="Times New Roman" w:hAnsi="Times New Roman"/>
          <w:lang w:val="en"/>
        </w:rPr>
        <w:t xml:space="preserve"> can share data from different ED data s</w:t>
      </w:r>
      <w:r>
        <w:rPr>
          <w:rFonts w:ascii="Times New Roman" w:hAnsi="Times New Roman"/>
          <w:lang w:val="en"/>
        </w:rPr>
        <w:t>ources because the key data</w:t>
      </w:r>
      <w:r w:rsidRPr="004162A2">
        <w:rPr>
          <w:rFonts w:ascii="Times New Roman" w:hAnsi="Times New Roman"/>
          <w:lang w:val="en"/>
        </w:rPr>
        <w:t xml:space="preserve"> requirement is the ability to detect change over time</w:t>
      </w:r>
      <w:r w:rsidR="00052325">
        <w:rPr>
          <w:rFonts w:ascii="Times New Roman" w:hAnsi="Times New Roman"/>
          <w:lang w:val="en"/>
        </w:rPr>
        <w:t xml:space="preserve"> within each jurisdiction</w:t>
      </w:r>
      <w:r w:rsidRPr="004162A2">
        <w:rPr>
          <w:rFonts w:ascii="Times New Roman" w:hAnsi="Times New Roman"/>
          <w:lang w:val="en"/>
        </w:rPr>
        <w:t xml:space="preserve"> (e.g., data consistently collected within the</w:t>
      </w:r>
      <w:r w:rsidR="00052325">
        <w:rPr>
          <w:rFonts w:ascii="Times New Roman" w:hAnsi="Times New Roman"/>
          <w:lang w:val="en"/>
        </w:rPr>
        <w:t xml:space="preserve"> same</w:t>
      </w:r>
      <w:r w:rsidRPr="004162A2">
        <w:rPr>
          <w:rFonts w:ascii="Times New Roman" w:hAnsi="Times New Roman"/>
          <w:lang w:val="en"/>
        </w:rPr>
        <w:t xml:space="preserve"> jurisdiction </w:t>
      </w:r>
      <w:r w:rsidR="00795025">
        <w:rPr>
          <w:rFonts w:ascii="Times New Roman" w:hAnsi="Times New Roman"/>
          <w:lang w:val="en"/>
        </w:rPr>
        <w:t xml:space="preserve">overtime) and not comparing </w:t>
      </w:r>
      <w:r w:rsidR="00266BCA">
        <w:rPr>
          <w:rFonts w:ascii="Times New Roman" w:hAnsi="Times New Roman"/>
          <w:lang w:val="en"/>
        </w:rPr>
        <w:t>absolute counts and rates of overdose</w:t>
      </w:r>
      <w:r w:rsidR="00795025">
        <w:rPr>
          <w:rFonts w:ascii="Times New Roman" w:hAnsi="Times New Roman"/>
          <w:lang w:val="en"/>
        </w:rPr>
        <w:t xml:space="preserve"> </w:t>
      </w:r>
      <w:r w:rsidRPr="004162A2">
        <w:rPr>
          <w:rFonts w:ascii="Times New Roman" w:hAnsi="Times New Roman"/>
          <w:lang w:val="en"/>
        </w:rPr>
        <w:t xml:space="preserve">across participating health departments </w:t>
      </w:r>
      <w:r w:rsidR="00343C59" w:rsidRPr="004162A2">
        <w:rPr>
          <w:rFonts w:ascii="Times New Roman" w:hAnsi="Times New Roman"/>
          <w:lang w:val="en"/>
        </w:rPr>
        <w:t xml:space="preserve">(e.g., </w:t>
      </w:r>
      <w:r w:rsidR="00343C59">
        <w:rPr>
          <w:rFonts w:ascii="Times New Roman" w:hAnsi="Times New Roman"/>
          <w:lang w:val="en"/>
        </w:rPr>
        <w:t>one</w:t>
      </w:r>
      <w:r w:rsidR="00AA5185">
        <w:rPr>
          <w:rFonts w:ascii="Times New Roman" w:hAnsi="Times New Roman"/>
          <w:lang w:val="en"/>
        </w:rPr>
        <w:t xml:space="preserve"> jurisdiction may report a slightly higher opioid overdose rate than another jurisdiction because it captures 95% of ICD-10-CM c</w:t>
      </w:r>
      <w:r w:rsidR="00266BCA">
        <w:rPr>
          <w:rFonts w:ascii="Times New Roman" w:hAnsi="Times New Roman"/>
          <w:lang w:val="en"/>
        </w:rPr>
        <w:t>odes on ED visits within a month</w:t>
      </w:r>
      <w:r w:rsidR="00AA5185">
        <w:rPr>
          <w:rFonts w:ascii="Times New Roman" w:hAnsi="Times New Roman"/>
          <w:lang w:val="en"/>
        </w:rPr>
        <w:t xml:space="preserve"> of the</w:t>
      </w:r>
      <w:r w:rsidR="00266BCA">
        <w:rPr>
          <w:rFonts w:ascii="Times New Roman" w:hAnsi="Times New Roman"/>
          <w:lang w:val="en"/>
        </w:rPr>
        <w:t xml:space="preserve"> date of the</w:t>
      </w:r>
      <w:r w:rsidR="00AA5185">
        <w:rPr>
          <w:rFonts w:ascii="Times New Roman" w:hAnsi="Times New Roman"/>
          <w:lang w:val="en"/>
        </w:rPr>
        <w:t xml:space="preserve"> ED visit compared to the other jurisdiction which captures only 60%</w:t>
      </w:r>
      <w:r w:rsidR="00343C59" w:rsidRPr="00795025">
        <w:rPr>
          <w:rFonts w:ascii="Times New Roman" w:hAnsi="Times New Roman"/>
          <w:lang w:val="en"/>
        </w:rPr>
        <w:t>).</w:t>
      </w:r>
    </w:p>
    <w:p w14:paraId="6F10ECB1" w14:textId="46436517" w:rsidR="00AA5185" w:rsidRPr="00795025" w:rsidRDefault="00AA5185" w:rsidP="00AA5185">
      <w:pPr>
        <w:pStyle w:val="ListParagraph"/>
        <w:numPr>
          <w:ilvl w:val="1"/>
          <w:numId w:val="8"/>
        </w:numPr>
        <w:tabs>
          <w:tab w:val="left" w:pos="0"/>
        </w:tabs>
        <w:outlineLvl w:val="0"/>
        <w:rPr>
          <w:rFonts w:ascii="Times New Roman" w:hAnsi="Times New Roman"/>
          <w:lang w:val="en"/>
        </w:rPr>
      </w:pPr>
      <w:r w:rsidRPr="00795025">
        <w:rPr>
          <w:rFonts w:ascii="Times New Roman" w:hAnsi="Times New Roman"/>
          <w:lang w:val="en"/>
        </w:rPr>
        <w:t xml:space="preserve">CDC will not compare numbers or rates of suspected drug, opioid, heroin and stimulant overdoses calculated using data from </w:t>
      </w:r>
      <w:r w:rsidRPr="00795025">
        <w:rPr>
          <w:rFonts w:ascii="Times New Roman" w:hAnsi="Times New Roman"/>
          <w:i/>
          <w:lang w:val="en"/>
        </w:rPr>
        <w:t>Rapid ED overdose data form</w:t>
      </w:r>
      <w:r w:rsidRPr="00795025">
        <w:rPr>
          <w:rFonts w:ascii="Times New Roman" w:hAnsi="Times New Roman"/>
          <w:lang w:val="en"/>
        </w:rPr>
        <w:t xml:space="preserve"> across jurisdictions </w:t>
      </w:r>
      <w:r w:rsidR="00D56395">
        <w:rPr>
          <w:rFonts w:ascii="Times New Roman" w:hAnsi="Times New Roman"/>
          <w:lang w:val="en"/>
        </w:rPr>
        <w:t xml:space="preserve">(e.g., say one state has a higher overdose rate than another state) </w:t>
      </w:r>
      <w:r w:rsidRPr="00795025">
        <w:rPr>
          <w:rFonts w:ascii="Times New Roman" w:hAnsi="Times New Roman"/>
          <w:lang w:val="en"/>
        </w:rPr>
        <w:t>because the data sources and data quality vary across jurisdictions</w:t>
      </w:r>
      <w:r w:rsidR="00497440">
        <w:rPr>
          <w:rFonts w:ascii="Times New Roman" w:hAnsi="Times New Roman"/>
          <w:lang w:val="en"/>
        </w:rPr>
        <w:t xml:space="preserve"> (</w:t>
      </w:r>
      <w:r w:rsidR="00497440" w:rsidRPr="004162A2">
        <w:rPr>
          <w:rFonts w:ascii="Times New Roman" w:hAnsi="Times New Roman"/>
          <w:lang w:val="en"/>
        </w:rPr>
        <w:t xml:space="preserve">e.g., </w:t>
      </w:r>
      <w:r w:rsidR="00497440">
        <w:rPr>
          <w:rFonts w:ascii="Times New Roman" w:hAnsi="Times New Roman"/>
          <w:lang w:val="en"/>
        </w:rPr>
        <w:t xml:space="preserve">one jurisdiction may report a </w:t>
      </w:r>
      <w:r w:rsidR="00865BB0">
        <w:rPr>
          <w:rFonts w:ascii="Times New Roman" w:hAnsi="Times New Roman"/>
          <w:lang w:val="en"/>
        </w:rPr>
        <w:t>higher heroin</w:t>
      </w:r>
      <w:r w:rsidR="00497440">
        <w:rPr>
          <w:rFonts w:ascii="Times New Roman" w:hAnsi="Times New Roman"/>
          <w:lang w:val="en"/>
        </w:rPr>
        <w:t xml:space="preserve"> overdose rate than another jurisdiction because it EDs commonly describe patient’s chief complaint with two to three sentences compared to another jurisdiction where chief complaints are commonly described with two or three words).</w:t>
      </w:r>
    </w:p>
    <w:p w14:paraId="4D1FF3ED" w14:textId="776154BC" w:rsidR="00052325" w:rsidRPr="00795025" w:rsidRDefault="00052325" w:rsidP="00052325">
      <w:pPr>
        <w:pStyle w:val="ListParagraph"/>
        <w:numPr>
          <w:ilvl w:val="1"/>
          <w:numId w:val="8"/>
        </w:numPr>
        <w:rPr>
          <w:rFonts w:ascii="Times New Roman" w:hAnsi="Times New Roman"/>
          <w:lang w:val="en"/>
        </w:rPr>
      </w:pPr>
      <w:r w:rsidRPr="00052325">
        <w:rPr>
          <w:rFonts w:ascii="Times New Roman" w:hAnsi="Times New Roman"/>
          <w:lang w:val="en"/>
        </w:rPr>
        <w:t xml:space="preserve">CDC </w:t>
      </w:r>
      <w:r w:rsidRPr="00795025">
        <w:rPr>
          <w:rFonts w:ascii="Times New Roman" w:hAnsi="Times New Roman"/>
          <w:lang w:val="en"/>
        </w:rPr>
        <w:t>will not analyze rates (e.g., ED visits suspected to involve opioid overdoses divided by total number of ED visits in a state) with fewer than 20 cases in the numerator (e.g., number of ED visits suspected to involve opioid overdoses) because of possible statistical instability of rate estimates. For instance, CDC will not report the percent change in suspected opioid overdose rates from January to February 2020 if only 19 ED visits were suspected to involve an opioid overdose in January 2020.</w:t>
      </w:r>
    </w:p>
    <w:p w14:paraId="61DEDC83" w14:textId="1592EF34" w:rsidR="002D511B" w:rsidRPr="002D511B" w:rsidRDefault="007900A5" w:rsidP="002D511B">
      <w:pPr>
        <w:pStyle w:val="ListParagraph"/>
        <w:numPr>
          <w:ilvl w:val="0"/>
          <w:numId w:val="8"/>
        </w:numPr>
        <w:tabs>
          <w:tab w:val="left" w:pos="0"/>
        </w:tabs>
        <w:outlineLvl w:val="0"/>
        <w:rPr>
          <w:rFonts w:ascii="Times New Roman" w:hAnsi="Times New Roman"/>
          <w:lang w:val="en"/>
        </w:rPr>
      </w:pPr>
      <w:r w:rsidRPr="00795025">
        <w:rPr>
          <w:rFonts w:ascii="Times New Roman" w:hAnsi="Times New Roman"/>
          <w:lang w:val="en"/>
        </w:rPr>
        <w:t xml:space="preserve">CDC will </w:t>
      </w:r>
      <w:r w:rsidR="00052325" w:rsidRPr="00795025">
        <w:rPr>
          <w:rFonts w:ascii="Times New Roman" w:hAnsi="Times New Roman"/>
          <w:lang w:val="en"/>
        </w:rPr>
        <w:t>monitor the preliminary ED data submitted</w:t>
      </w:r>
      <w:r w:rsidR="00795025" w:rsidRPr="00795025">
        <w:rPr>
          <w:rFonts w:ascii="Times New Roman" w:hAnsi="Times New Roman"/>
          <w:lang w:val="en"/>
        </w:rPr>
        <w:t xml:space="preserve"> on </w:t>
      </w:r>
      <w:r w:rsidR="00A6620F">
        <w:rPr>
          <w:rFonts w:ascii="Times New Roman" w:hAnsi="Times New Roman"/>
          <w:lang w:val="en"/>
        </w:rPr>
        <w:t xml:space="preserve">the </w:t>
      </w:r>
      <w:r w:rsidR="00795025" w:rsidRPr="00795025">
        <w:rPr>
          <w:rFonts w:ascii="Times New Roman" w:hAnsi="Times New Roman"/>
          <w:i/>
          <w:lang w:val="en"/>
        </w:rPr>
        <w:t>Rapid ED overdose data form</w:t>
      </w:r>
      <w:r w:rsidR="00052325" w:rsidRPr="00795025">
        <w:rPr>
          <w:rFonts w:ascii="Times New Roman" w:hAnsi="Times New Roman"/>
          <w:lang w:val="en"/>
        </w:rPr>
        <w:t xml:space="preserve"> by each jurisdiction for</w:t>
      </w:r>
      <w:r w:rsidRPr="00795025">
        <w:rPr>
          <w:rFonts w:ascii="Times New Roman" w:hAnsi="Times New Roman"/>
          <w:lang w:val="en"/>
        </w:rPr>
        <w:t xml:space="preserve"> large </w:t>
      </w:r>
      <w:r w:rsidR="003B2DDF">
        <w:rPr>
          <w:rFonts w:ascii="Times New Roman" w:hAnsi="Times New Roman"/>
          <w:lang w:val="en"/>
        </w:rPr>
        <w:t xml:space="preserve">monthly </w:t>
      </w:r>
      <w:r w:rsidRPr="00795025">
        <w:rPr>
          <w:rFonts w:ascii="Times New Roman" w:hAnsi="Times New Roman"/>
          <w:lang w:val="en"/>
        </w:rPr>
        <w:t>changes in hospital participation or data quality (e.g., percent of ED vis</w:t>
      </w:r>
      <w:r w:rsidR="00B55964" w:rsidRPr="00795025">
        <w:rPr>
          <w:rFonts w:ascii="Times New Roman" w:hAnsi="Times New Roman"/>
          <w:lang w:val="en"/>
        </w:rPr>
        <w:t>its missing chief complaint and/</w:t>
      </w:r>
      <w:r w:rsidRPr="00795025">
        <w:rPr>
          <w:rFonts w:ascii="Times New Roman" w:hAnsi="Times New Roman"/>
          <w:lang w:val="en"/>
        </w:rPr>
        <w:t>or ICD-10-CM diagnosis information</w:t>
      </w:r>
      <w:r w:rsidR="00052325" w:rsidRPr="00795025">
        <w:rPr>
          <w:rFonts w:ascii="Times New Roman" w:hAnsi="Times New Roman"/>
          <w:lang w:val="en"/>
        </w:rPr>
        <w:t>)</w:t>
      </w:r>
      <w:r w:rsidR="00B55964" w:rsidRPr="00795025">
        <w:rPr>
          <w:rFonts w:ascii="Times New Roman" w:hAnsi="Times New Roman"/>
          <w:lang w:val="en"/>
        </w:rPr>
        <w:t>. This is critical to identify and respond to</w:t>
      </w:r>
      <w:r w:rsidRPr="00795025">
        <w:rPr>
          <w:rFonts w:ascii="Times New Roman" w:hAnsi="Times New Roman"/>
          <w:lang w:val="en"/>
        </w:rPr>
        <w:t xml:space="preserve"> </w:t>
      </w:r>
      <w:r w:rsidR="00B55964" w:rsidRPr="00795025">
        <w:rPr>
          <w:rFonts w:ascii="Times New Roman" w:hAnsi="Times New Roman"/>
          <w:lang w:val="en"/>
        </w:rPr>
        <w:t xml:space="preserve">major changes in </w:t>
      </w:r>
      <w:r w:rsidR="002D511B" w:rsidRPr="00795025">
        <w:rPr>
          <w:rFonts w:ascii="Times New Roman" w:hAnsi="Times New Roman"/>
          <w:lang w:val="en"/>
        </w:rPr>
        <w:t xml:space="preserve">ED syndromic </w:t>
      </w:r>
      <w:r w:rsidR="00B55964" w:rsidRPr="00795025">
        <w:rPr>
          <w:rFonts w:ascii="Times New Roman" w:hAnsi="Times New Roman"/>
          <w:lang w:val="en"/>
        </w:rPr>
        <w:t>system</w:t>
      </w:r>
      <w:r w:rsidR="004035D6">
        <w:rPr>
          <w:rFonts w:ascii="Times New Roman" w:hAnsi="Times New Roman"/>
          <w:lang w:val="en"/>
        </w:rPr>
        <w:t>s</w:t>
      </w:r>
      <w:r w:rsidR="00B55964" w:rsidRPr="00795025">
        <w:rPr>
          <w:rFonts w:ascii="Times New Roman" w:hAnsi="Times New Roman"/>
          <w:lang w:val="en"/>
        </w:rPr>
        <w:t xml:space="preserve"> such as</w:t>
      </w:r>
      <w:r w:rsidR="004D6263">
        <w:rPr>
          <w:rFonts w:ascii="Times New Roman" w:hAnsi="Times New Roman"/>
          <w:lang w:val="en"/>
        </w:rPr>
        <w:t xml:space="preserve"> transmission</w:t>
      </w:r>
      <w:r w:rsidR="00B55964" w:rsidRPr="00795025">
        <w:rPr>
          <w:rFonts w:ascii="Times New Roman" w:hAnsi="Times New Roman"/>
          <w:lang w:val="en"/>
        </w:rPr>
        <w:t xml:space="preserve"> delays</w:t>
      </w:r>
      <w:r w:rsidR="004D6263">
        <w:rPr>
          <w:rFonts w:ascii="Times New Roman" w:hAnsi="Times New Roman"/>
          <w:lang w:val="en"/>
        </w:rPr>
        <w:t xml:space="preserve"> associated with the implementation of </w:t>
      </w:r>
      <w:r w:rsidR="002D511B" w:rsidRPr="00B55964">
        <w:rPr>
          <w:rFonts w:ascii="Times New Roman" w:hAnsi="Times New Roman"/>
          <w:lang w:val="en"/>
        </w:rPr>
        <w:t>new</w:t>
      </w:r>
      <w:r w:rsidR="004D6263">
        <w:rPr>
          <w:rFonts w:ascii="Times New Roman" w:hAnsi="Times New Roman"/>
          <w:lang w:val="en"/>
        </w:rPr>
        <w:t xml:space="preserve"> EHR system by a </w:t>
      </w:r>
      <w:r w:rsidR="002D511B" w:rsidRPr="002D511B">
        <w:rPr>
          <w:rFonts w:ascii="Times New Roman" w:hAnsi="Times New Roman"/>
          <w:lang w:val="en"/>
        </w:rPr>
        <w:t>major heal</w:t>
      </w:r>
      <w:r w:rsidR="00B55964">
        <w:rPr>
          <w:rFonts w:ascii="Times New Roman" w:hAnsi="Times New Roman"/>
          <w:lang w:val="en"/>
        </w:rPr>
        <w:t>th care pro</w:t>
      </w:r>
      <w:r w:rsidR="00A45E7B">
        <w:rPr>
          <w:rFonts w:ascii="Times New Roman" w:hAnsi="Times New Roman"/>
          <w:lang w:val="en"/>
        </w:rPr>
        <w:t>vider or a</w:t>
      </w:r>
      <w:r w:rsidR="00813477">
        <w:rPr>
          <w:rFonts w:ascii="Times New Roman" w:hAnsi="Times New Roman"/>
          <w:lang w:val="en"/>
        </w:rPr>
        <w:t xml:space="preserve"> large health care provider j</w:t>
      </w:r>
      <w:r w:rsidR="002D511B" w:rsidRPr="002D511B">
        <w:rPr>
          <w:rFonts w:ascii="Times New Roman" w:hAnsi="Times New Roman"/>
          <w:lang w:val="en"/>
        </w:rPr>
        <w:t>oining or exiting the local ED surveillanc</w:t>
      </w:r>
      <w:r w:rsidR="00813477">
        <w:rPr>
          <w:rFonts w:ascii="Times New Roman" w:hAnsi="Times New Roman"/>
          <w:lang w:val="en"/>
        </w:rPr>
        <w:t>e</w:t>
      </w:r>
      <w:r w:rsidR="002D511B" w:rsidRPr="002D511B">
        <w:rPr>
          <w:rFonts w:ascii="Times New Roman" w:hAnsi="Times New Roman"/>
          <w:lang w:val="en"/>
        </w:rPr>
        <w:t xml:space="preserve">. </w:t>
      </w:r>
      <w:r w:rsidR="00813477">
        <w:rPr>
          <w:rFonts w:ascii="Times New Roman" w:hAnsi="Times New Roman"/>
          <w:lang w:val="en"/>
        </w:rPr>
        <w:t>Responses to the these types of problems will be customized and could include delaying submission of data until a problem is resolve</w:t>
      </w:r>
      <w:r w:rsidR="00A45E7B">
        <w:rPr>
          <w:rFonts w:ascii="Times New Roman" w:hAnsi="Times New Roman"/>
          <w:lang w:val="en"/>
        </w:rPr>
        <w:t>d</w:t>
      </w:r>
      <w:r w:rsidR="00A6620F">
        <w:rPr>
          <w:rFonts w:ascii="Times New Roman" w:hAnsi="Times New Roman"/>
          <w:lang w:val="en"/>
        </w:rPr>
        <w:t xml:space="preserve"> or</w:t>
      </w:r>
      <w:r w:rsidR="00E41DF1">
        <w:rPr>
          <w:rFonts w:ascii="Times New Roman" w:hAnsi="Times New Roman"/>
          <w:lang w:val="en"/>
        </w:rPr>
        <w:t xml:space="preserve"> </w:t>
      </w:r>
      <w:r w:rsidR="006E692B">
        <w:rPr>
          <w:rFonts w:ascii="Times New Roman" w:hAnsi="Times New Roman"/>
          <w:lang w:val="en"/>
        </w:rPr>
        <w:t>suppressing data from</w:t>
      </w:r>
      <w:r w:rsidR="00C32335">
        <w:rPr>
          <w:rFonts w:ascii="Times New Roman" w:hAnsi="Times New Roman"/>
          <w:lang w:val="en"/>
        </w:rPr>
        <w:t xml:space="preserve"> count</w:t>
      </w:r>
      <w:r w:rsidR="006E692B">
        <w:rPr>
          <w:rFonts w:ascii="Times New Roman" w:hAnsi="Times New Roman"/>
          <w:lang w:val="en"/>
        </w:rPr>
        <w:t>ies or state(s)</w:t>
      </w:r>
      <w:r w:rsidR="00C32335">
        <w:rPr>
          <w:rFonts w:ascii="Times New Roman" w:hAnsi="Times New Roman"/>
          <w:lang w:val="en"/>
        </w:rPr>
        <w:t xml:space="preserve"> </w:t>
      </w:r>
      <w:r w:rsidR="004D6263">
        <w:rPr>
          <w:rFonts w:ascii="Times New Roman" w:hAnsi="Times New Roman"/>
          <w:lang w:val="en"/>
        </w:rPr>
        <w:t xml:space="preserve">if the data has </w:t>
      </w:r>
      <w:r w:rsidR="00813477">
        <w:rPr>
          <w:rFonts w:ascii="Times New Roman" w:hAnsi="Times New Roman"/>
          <w:lang w:val="en"/>
        </w:rPr>
        <w:t>major</w:t>
      </w:r>
      <w:r w:rsidR="004D6263">
        <w:rPr>
          <w:rFonts w:ascii="Times New Roman" w:hAnsi="Times New Roman"/>
          <w:lang w:val="en"/>
        </w:rPr>
        <w:t xml:space="preserve"> and/or multiple</w:t>
      </w:r>
      <w:r w:rsidR="00813477">
        <w:rPr>
          <w:rFonts w:ascii="Times New Roman" w:hAnsi="Times New Roman"/>
          <w:lang w:val="en"/>
        </w:rPr>
        <w:t xml:space="preserve"> data quality problems</w:t>
      </w:r>
      <w:r w:rsidR="00DE41F0">
        <w:rPr>
          <w:rFonts w:ascii="Times New Roman" w:hAnsi="Times New Roman"/>
          <w:lang w:val="en"/>
        </w:rPr>
        <w:t>. Ot</w:t>
      </w:r>
      <w:r w:rsidR="00CE4BFD">
        <w:rPr>
          <w:rFonts w:ascii="Times New Roman" w:hAnsi="Times New Roman"/>
          <w:lang w:val="en"/>
        </w:rPr>
        <w:t>her steps may be investigated</w:t>
      </w:r>
      <w:r w:rsidR="00813477">
        <w:rPr>
          <w:rFonts w:ascii="Times New Roman" w:hAnsi="Times New Roman"/>
          <w:lang w:val="en"/>
        </w:rPr>
        <w:t xml:space="preserve"> if major variation in the percent of ED visits missing data</w:t>
      </w:r>
      <w:r w:rsidR="004D6263">
        <w:rPr>
          <w:rFonts w:ascii="Times New Roman" w:hAnsi="Times New Roman"/>
          <w:lang w:val="en"/>
        </w:rPr>
        <w:t xml:space="preserve"> on chief complaint and</w:t>
      </w:r>
      <w:r w:rsidR="008D6436">
        <w:rPr>
          <w:rFonts w:ascii="Times New Roman" w:hAnsi="Times New Roman"/>
          <w:lang w:val="en"/>
        </w:rPr>
        <w:t xml:space="preserve"> diagnosis codes (e.g.,</w:t>
      </w:r>
      <w:r w:rsidR="004D6263">
        <w:rPr>
          <w:rFonts w:ascii="Times New Roman" w:hAnsi="Times New Roman"/>
          <w:lang w:val="en"/>
        </w:rPr>
        <w:t xml:space="preserve"> ICD-10-CM diagnosis codes</w:t>
      </w:r>
      <w:r w:rsidR="008D6436">
        <w:rPr>
          <w:rFonts w:ascii="Times New Roman" w:hAnsi="Times New Roman"/>
          <w:lang w:val="en"/>
        </w:rPr>
        <w:t>)</w:t>
      </w:r>
      <w:r w:rsidR="00813477">
        <w:rPr>
          <w:rFonts w:ascii="Times New Roman" w:hAnsi="Times New Roman"/>
          <w:lang w:val="en"/>
        </w:rPr>
        <w:t xml:space="preserve"> is found to consistently occur over time</w:t>
      </w:r>
      <w:r w:rsidR="00DE41F0">
        <w:rPr>
          <w:rFonts w:ascii="Times New Roman" w:hAnsi="Times New Roman"/>
          <w:lang w:val="en"/>
        </w:rPr>
        <w:t xml:space="preserve"> in a significant number of </w:t>
      </w:r>
      <w:r w:rsidR="00846D0D">
        <w:rPr>
          <w:rFonts w:ascii="Times New Roman" w:hAnsi="Times New Roman"/>
          <w:lang w:val="en"/>
        </w:rPr>
        <w:t>counties or states</w:t>
      </w:r>
      <w:r w:rsidR="00813477">
        <w:rPr>
          <w:rFonts w:ascii="Times New Roman" w:hAnsi="Times New Roman"/>
          <w:lang w:val="en"/>
        </w:rPr>
        <w:t>.</w:t>
      </w:r>
    </w:p>
    <w:p w14:paraId="1DB74ED6" w14:textId="07711853" w:rsidR="002B2D51" w:rsidRPr="002D511B" w:rsidRDefault="009C3732" w:rsidP="002D511B">
      <w:pPr>
        <w:pStyle w:val="ListParagraph"/>
        <w:numPr>
          <w:ilvl w:val="0"/>
          <w:numId w:val="8"/>
        </w:numPr>
        <w:tabs>
          <w:tab w:val="left" w:pos="0"/>
        </w:tabs>
        <w:outlineLvl w:val="0"/>
        <w:rPr>
          <w:rFonts w:ascii="Times New Roman" w:hAnsi="Times New Roman"/>
          <w:lang w:val="en"/>
        </w:rPr>
      </w:pPr>
      <w:r>
        <w:rPr>
          <w:rFonts w:ascii="Times New Roman" w:hAnsi="Times New Roman"/>
          <w:lang w:val="en"/>
        </w:rPr>
        <w:t xml:space="preserve">Using the </w:t>
      </w:r>
      <w:r w:rsidRPr="00AB2296">
        <w:rPr>
          <w:rFonts w:ascii="Times New Roman" w:hAnsi="Times New Roman"/>
          <w:i/>
          <w:lang w:val="en"/>
        </w:rPr>
        <w:t xml:space="preserve">ED discharge overdose data form </w:t>
      </w:r>
      <w:r>
        <w:rPr>
          <w:rFonts w:ascii="Times New Roman" w:hAnsi="Times New Roman"/>
          <w:lang w:val="en"/>
        </w:rPr>
        <w:t xml:space="preserve">and standard CDC case definitions, </w:t>
      </w:r>
      <w:r w:rsidR="005C2F10">
        <w:rPr>
          <w:rFonts w:ascii="Times New Roman" w:hAnsi="Times New Roman"/>
          <w:lang w:val="en"/>
        </w:rPr>
        <w:t xml:space="preserve">DOSE requires that the </w:t>
      </w:r>
      <w:r w:rsidR="002D511B" w:rsidRPr="002D511B">
        <w:rPr>
          <w:rFonts w:ascii="Times New Roman" w:hAnsi="Times New Roman"/>
          <w:lang w:val="en"/>
        </w:rPr>
        <w:t>52 par</w:t>
      </w:r>
      <w:r w:rsidR="005C2F10">
        <w:rPr>
          <w:rFonts w:ascii="Times New Roman" w:hAnsi="Times New Roman"/>
          <w:lang w:val="en"/>
        </w:rPr>
        <w:t xml:space="preserve">ticipating health departments submit </w:t>
      </w:r>
      <w:r w:rsidR="004D6263">
        <w:rPr>
          <w:rFonts w:ascii="Times New Roman" w:hAnsi="Times New Roman"/>
          <w:lang w:val="en"/>
        </w:rPr>
        <w:t xml:space="preserve">hospital discharge </w:t>
      </w:r>
      <w:r w:rsidR="005C2F10">
        <w:rPr>
          <w:rFonts w:ascii="Times New Roman" w:hAnsi="Times New Roman"/>
          <w:lang w:val="en"/>
        </w:rPr>
        <w:t>data</w:t>
      </w:r>
      <w:r w:rsidR="004D6263">
        <w:rPr>
          <w:rFonts w:ascii="Times New Roman" w:hAnsi="Times New Roman"/>
          <w:lang w:val="en"/>
        </w:rPr>
        <w:t xml:space="preserve"> (i.e., ICD-10-CM codes)</w:t>
      </w:r>
      <w:r w:rsidR="005C2F10">
        <w:rPr>
          <w:rFonts w:ascii="Times New Roman" w:hAnsi="Times New Roman"/>
          <w:lang w:val="en"/>
        </w:rPr>
        <w:t xml:space="preserve"> on ED visits </w:t>
      </w:r>
      <w:r w:rsidR="00675354">
        <w:rPr>
          <w:rFonts w:ascii="Times New Roman" w:hAnsi="Times New Roman"/>
          <w:lang w:val="en"/>
        </w:rPr>
        <w:t xml:space="preserve">and hospitalizations </w:t>
      </w:r>
      <w:r w:rsidR="005C2F10">
        <w:rPr>
          <w:rFonts w:ascii="Times New Roman" w:hAnsi="Times New Roman"/>
          <w:lang w:val="en"/>
        </w:rPr>
        <w:t>suspected to involve drug, opioid, heroin and stimulant overdoses</w:t>
      </w:r>
      <w:r w:rsidR="004D6263">
        <w:rPr>
          <w:rFonts w:ascii="Times New Roman" w:hAnsi="Times New Roman"/>
          <w:lang w:val="en"/>
        </w:rPr>
        <w:t xml:space="preserve"> on a quarterly </w:t>
      </w:r>
      <w:r w:rsidR="00A6620F">
        <w:rPr>
          <w:rFonts w:ascii="Times New Roman" w:hAnsi="Times New Roman"/>
          <w:lang w:val="en"/>
        </w:rPr>
        <w:t>or</w:t>
      </w:r>
      <w:r w:rsidR="004D6263">
        <w:rPr>
          <w:rFonts w:ascii="Times New Roman" w:hAnsi="Times New Roman"/>
          <w:lang w:val="en"/>
        </w:rPr>
        <w:t xml:space="preserve"> yearly basis. Hospital discharge data is</w:t>
      </w:r>
      <w:r w:rsidR="005C2F10">
        <w:rPr>
          <w:rFonts w:ascii="Times New Roman" w:hAnsi="Times New Roman"/>
          <w:lang w:val="en"/>
        </w:rPr>
        <w:t xml:space="preserve"> the current standard fo</w:t>
      </w:r>
      <w:r w:rsidR="00DA557D">
        <w:rPr>
          <w:rFonts w:ascii="Times New Roman" w:hAnsi="Times New Roman"/>
          <w:lang w:val="en"/>
        </w:rPr>
        <w:t>r estimating the burden of drug overdoses treated in EDs</w:t>
      </w:r>
      <w:r w:rsidR="005C2F10">
        <w:rPr>
          <w:rFonts w:ascii="Times New Roman" w:hAnsi="Times New Roman"/>
          <w:lang w:val="en"/>
        </w:rPr>
        <w:t xml:space="preserve">. </w:t>
      </w:r>
      <w:r w:rsidR="00A45E7B">
        <w:rPr>
          <w:rFonts w:ascii="Times New Roman" w:hAnsi="Times New Roman"/>
          <w:lang w:val="en"/>
        </w:rPr>
        <w:t xml:space="preserve">In addition to allowing DOSE to estimate the burden of drug overdose related </w:t>
      </w:r>
      <w:r w:rsidR="00A6620F">
        <w:rPr>
          <w:rFonts w:ascii="Times New Roman" w:hAnsi="Times New Roman"/>
          <w:lang w:val="en"/>
        </w:rPr>
        <w:t xml:space="preserve">to </w:t>
      </w:r>
      <w:r w:rsidR="00A45E7B">
        <w:rPr>
          <w:rFonts w:ascii="Times New Roman" w:hAnsi="Times New Roman"/>
          <w:lang w:val="en"/>
        </w:rPr>
        <w:t xml:space="preserve">ED visits, the hospital discharge </w:t>
      </w:r>
      <w:r w:rsidR="002B2D51" w:rsidRPr="002D511B">
        <w:rPr>
          <w:rFonts w:ascii="Times New Roman" w:hAnsi="Times New Roman"/>
        </w:rPr>
        <w:t>counts of drug, opioid, heroi</w:t>
      </w:r>
      <w:r w:rsidR="00A45E7B">
        <w:rPr>
          <w:rFonts w:ascii="Times New Roman" w:hAnsi="Times New Roman"/>
        </w:rPr>
        <w:t xml:space="preserve">n, and stimulant overdoses </w:t>
      </w:r>
      <w:r w:rsidR="000237FB">
        <w:rPr>
          <w:rFonts w:ascii="Times New Roman" w:hAnsi="Times New Roman"/>
        </w:rPr>
        <w:t xml:space="preserve">reported on the </w:t>
      </w:r>
      <w:r w:rsidR="000237FB" w:rsidRPr="00AB2296">
        <w:rPr>
          <w:rFonts w:ascii="Times New Roman" w:hAnsi="Times New Roman"/>
          <w:i/>
          <w:lang w:val="en"/>
        </w:rPr>
        <w:t xml:space="preserve">ED discharge overdose data form </w:t>
      </w:r>
      <w:r w:rsidR="00A45E7B">
        <w:rPr>
          <w:rFonts w:ascii="Times New Roman" w:hAnsi="Times New Roman"/>
        </w:rPr>
        <w:t xml:space="preserve">will be compared against the counts captured in </w:t>
      </w:r>
      <w:r w:rsidR="004035D6" w:rsidRPr="00795025">
        <w:rPr>
          <w:rFonts w:ascii="Times New Roman" w:hAnsi="Times New Roman"/>
          <w:i/>
          <w:lang w:val="en"/>
        </w:rPr>
        <w:t>Rapid ED overdose data form</w:t>
      </w:r>
      <w:r w:rsidR="004035D6" w:rsidRPr="00795025">
        <w:rPr>
          <w:rFonts w:ascii="Times New Roman" w:hAnsi="Times New Roman"/>
          <w:lang w:val="en"/>
        </w:rPr>
        <w:t xml:space="preserve"> </w:t>
      </w:r>
      <w:r w:rsidR="006217C2">
        <w:rPr>
          <w:rFonts w:ascii="Times New Roman" w:hAnsi="Times New Roman"/>
        </w:rPr>
        <w:t>to improve and assess the validity of the rapid ED data collection.</w:t>
      </w:r>
      <w:r w:rsidR="002B2D51" w:rsidRPr="002D511B">
        <w:rPr>
          <w:rFonts w:ascii="Times New Roman" w:hAnsi="Times New Roman"/>
        </w:rPr>
        <w:t xml:space="preserve"> </w:t>
      </w:r>
    </w:p>
    <w:p w14:paraId="775E4205" w14:textId="77777777" w:rsidR="002B2D51" w:rsidRDefault="002B2D51" w:rsidP="0087540E">
      <w:pPr>
        <w:rPr>
          <w:sz w:val="24"/>
        </w:rPr>
      </w:pPr>
    </w:p>
    <w:p w14:paraId="187E6525" w14:textId="18BECBE5" w:rsidR="00346BEA" w:rsidRPr="00304A95" w:rsidRDefault="0087540E">
      <w:pPr>
        <w:tabs>
          <w:tab w:val="left" w:pos="-1440"/>
        </w:tabs>
        <w:ind w:left="720" w:hanging="720"/>
        <w:rPr>
          <w:b/>
          <w:bCs/>
          <w:sz w:val="24"/>
        </w:rPr>
      </w:pPr>
      <w:r>
        <w:rPr>
          <w:b/>
          <w:bCs/>
          <w:sz w:val="24"/>
        </w:rPr>
        <w:t>3.</w:t>
      </w:r>
      <w:r>
        <w:rPr>
          <w:b/>
          <w:bCs/>
          <w:sz w:val="24"/>
        </w:rPr>
        <w:tab/>
        <w:t>Methods to Maximize Response Rates and Deal with Non</w:t>
      </w:r>
      <w:r w:rsidR="00346BEA">
        <w:rPr>
          <w:b/>
          <w:bCs/>
          <w:sz w:val="24"/>
        </w:rPr>
        <w:t>-response</w:t>
      </w:r>
    </w:p>
    <w:p w14:paraId="0F6D781E" w14:textId="77777777" w:rsidR="0087540E" w:rsidRDefault="0087540E" w:rsidP="00304A95">
      <w:pPr>
        <w:tabs>
          <w:tab w:val="left" w:pos="-1440"/>
        </w:tabs>
        <w:ind w:left="720" w:hanging="720"/>
        <w:rPr>
          <w:sz w:val="24"/>
        </w:rPr>
      </w:pPr>
    </w:p>
    <w:p w14:paraId="57968399" w14:textId="77777777" w:rsidR="00FA5FED" w:rsidRDefault="00FA5FED" w:rsidP="00675354">
      <w:pPr>
        <w:rPr>
          <w:sz w:val="24"/>
        </w:rPr>
      </w:pPr>
      <w:r>
        <w:rPr>
          <w:sz w:val="24"/>
        </w:rPr>
        <w:t xml:space="preserve">Two primary issues pose challenges to conducting rapid overdose surveillance of all ED visits in the US.  </w:t>
      </w:r>
    </w:p>
    <w:p w14:paraId="35A5B7A0" w14:textId="77777777" w:rsidR="00FF1F9D" w:rsidRDefault="00FF1F9D" w:rsidP="00304A95">
      <w:pPr>
        <w:pStyle w:val="ListParagraph"/>
        <w:numPr>
          <w:ilvl w:val="0"/>
          <w:numId w:val="20"/>
        </w:numPr>
      </w:pPr>
      <w:r>
        <w:rPr>
          <w:rFonts w:ascii="Times New Roman" w:hAnsi="Times New Roman"/>
        </w:rPr>
        <w:t xml:space="preserve">The 52 participating health departments rely on at least three different systems for conducting rapid ED surveillance of overdoses (i.e., NSSP BioSense, local ED syndromic, and hospital discharge). Consequently, none of these three systems provide national coverage. </w:t>
      </w:r>
    </w:p>
    <w:p w14:paraId="6446A177" w14:textId="3CDC7B05" w:rsidR="0015149E" w:rsidRPr="005C1174" w:rsidRDefault="0092105C" w:rsidP="00304A95">
      <w:pPr>
        <w:pStyle w:val="ListParagraph"/>
        <w:numPr>
          <w:ilvl w:val="0"/>
          <w:numId w:val="20"/>
        </w:numPr>
      </w:pPr>
      <w:r>
        <w:rPr>
          <w:rFonts w:ascii="Times New Roman" w:hAnsi="Times New Roman"/>
        </w:rPr>
        <w:t>Not all EDs participate in their local rapid ED surveillance.</w:t>
      </w:r>
      <w:r w:rsidR="00FA5FED" w:rsidRPr="00304A95">
        <w:rPr>
          <w:rFonts w:ascii="Times New Roman" w:hAnsi="Times New Roman"/>
        </w:rPr>
        <w:t xml:space="preserve"> </w:t>
      </w:r>
      <w:r w:rsidR="00D070F9" w:rsidRPr="00304A95">
        <w:rPr>
          <w:rFonts w:ascii="Times New Roman" w:hAnsi="Times New Roman"/>
        </w:rPr>
        <w:t xml:space="preserve">Current work sharing non-standardized ED data with 32 state health departments and DC through ESOOS found that about one-third </w:t>
      </w:r>
      <w:r w:rsidR="00A6620F">
        <w:rPr>
          <w:rFonts w:ascii="Times New Roman" w:hAnsi="Times New Roman"/>
        </w:rPr>
        <w:t xml:space="preserve">of health departments </w:t>
      </w:r>
      <w:r w:rsidR="00D070F9" w:rsidRPr="00304A95">
        <w:rPr>
          <w:rFonts w:ascii="Times New Roman" w:hAnsi="Times New Roman"/>
        </w:rPr>
        <w:t xml:space="preserve">currently receive data on fewer than 90% of </w:t>
      </w:r>
      <w:r w:rsidR="00A6620F" w:rsidRPr="00304A95">
        <w:rPr>
          <w:rFonts w:ascii="Times New Roman" w:hAnsi="Times New Roman"/>
        </w:rPr>
        <w:t>ED visits in their jurisdiction</w:t>
      </w:r>
      <w:r w:rsidR="00D070F9" w:rsidRPr="00304A95">
        <w:rPr>
          <w:rFonts w:ascii="Times New Roman" w:hAnsi="Times New Roman"/>
        </w:rPr>
        <w:t xml:space="preserve">. </w:t>
      </w:r>
      <w:r w:rsidR="00EE569C" w:rsidRPr="00304A95">
        <w:rPr>
          <w:rFonts w:ascii="Times New Roman" w:hAnsi="Times New Roman"/>
        </w:rPr>
        <w:t>These gaps can occur for a variety of reasons including a major health system not choosing to cooperate with a local ED data collection</w:t>
      </w:r>
      <w:r w:rsidR="003D7A30" w:rsidRPr="00304A95">
        <w:rPr>
          <w:rFonts w:ascii="Times New Roman" w:hAnsi="Times New Roman"/>
        </w:rPr>
        <w:t xml:space="preserve">, </w:t>
      </w:r>
      <w:r>
        <w:rPr>
          <w:rFonts w:ascii="Times New Roman" w:hAnsi="Times New Roman"/>
        </w:rPr>
        <w:t>the local ED data collection focusing on a subset of counties</w:t>
      </w:r>
      <w:r w:rsidR="003D7A30">
        <w:rPr>
          <w:rFonts w:ascii="Times New Roman" w:hAnsi="Times New Roman"/>
        </w:rPr>
        <w:t xml:space="preserve"> or ED data collection driven at the county or city instead of state-level</w:t>
      </w:r>
      <w:r w:rsidR="00EE569C" w:rsidRPr="00304A95">
        <w:rPr>
          <w:rFonts w:ascii="Times New Roman" w:hAnsi="Times New Roman"/>
        </w:rPr>
        <w:t xml:space="preserve">. </w:t>
      </w:r>
    </w:p>
    <w:p w14:paraId="6B5281CB" w14:textId="32B716F4" w:rsidR="00675354" w:rsidRPr="00FF1F9D" w:rsidRDefault="004035D6" w:rsidP="00675354">
      <w:pPr>
        <w:rPr>
          <w:sz w:val="24"/>
        </w:rPr>
      </w:pPr>
      <w:r w:rsidRPr="00FF1F9D">
        <w:rPr>
          <w:sz w:val="24"/>
        </w:rPr>
        <w:t>CDC has engaged in t</w:t>
      </w:r>
      <w:r w:rsidR="00F300CD">
        <w:rPr>
          <w:sz w:val="24"/>
        </w:rPr>
        <w:t>hree</w:t>
      </w:r>
      <w:r w:rsidRPr="00FF1F9D">
        <w:rPr>
          <w:sz w:val="24"/>
        </w:rPr>
        <w:t xml:space="preserve"> </w:t>
      </w:r>
      <w:r w:rsidR="00675354" w:rsidRPr="00FF1F9D">
        <w:rPr>
          <w:sz w:val="24"/>
        </w:rPr>
        <w:t>strategies to improve the coverage of the DOSE system</w:t>
      </w:r>
      <w:r w:rsidR="0092105C">
        <w:rPr>
          <w:sz w:val="24"/>
        </w:rPr>
        <w:t xml:space="preserve"> and address these two issues</w:t>
      </w:r>
      <w:r w:rsidR="004C6EC6" w:rsidRPr="00FF1F9D">
        <w:rPr>
          <w:sz w:val="24"/>
        </w:rPr>
        <w:t xml:space="preserve">. DOSE coverage is defined as </w:t>
      </w:r>
      <w:r w:rsidR="00675354" w:rsidRPr="00FF1F9D">
        <w:rPr>
          <w:sz w:val="24"/>
        </w:rPr>
        <w:t xml:space="preserve">the percent of </w:t>
      </w:r>
      <w:r w:rsidR="004C6EC6" w:rsidRPr="00FF1F9D">
        <w:rPr>
          <w:sz w:val="24"/>
        </w:rPr>
        <w:t xml:space="preserve">non-federal </w:t>
      </w:r>
      <w:r w:rsidR="00675354" w:rsidRPr="00FF1F9D">
        <w:rPr>
          <w:sz w:val="24"/>
        </w:rPr>
        <w:t xml:space="preserve">ED visits </w:t>
      </w:r>
      <w:r w:rsidR="004C6EC6" w:rsidRPr="00FF1F9D">
        <w:rPr>
          <w:sz w:val="24"/>
        </w:rPr>
        <w:t xml:space="preserve">reported to CDC in the </w:t>
      </w:r>
      <w:r w:rsidR="004C6EC6" w:rsidRPr="00FF1F9D">
        <w:rPr>
          <w:i/>
          <w:sz w:val="24"/>
          <w:lang w:val="en"/>
        </w:rPr>
        <w:t>Rapid ED overdose data form</w:t>
      </w:r>
      <w:r w:rsidR="00675354" w:rsidRPr="00FF1F9D">
        <w:rPr>
          <w:sz w:val="24"/>
        </w:rPr>
        <w:t>.</w:t>
      </w:r>
    </w:p>
    <w:p w14:paraId="6BF2E422" w14:textId="679C0EA0" w:rsidR="001E33DD" w:rsidRPr="007A1F2B" w:rsidRDefault="004C6EC6" w:rsidP="008C4A16">
      <w:pPr>
        <w:pStyle w:val="ListParagraph"/>
        <w:numPr>
          <w:ilvl w:val="0"/>
          <w:numId w:val="11"/>
        </w:numPr>
        <w:rPr>
          <w:rFonts w:ascii="Times New Roman" w:hAnsi="Times New Roman"/>
        </w:rPr>
      </w:pPr>
      <w:r>
        <w:rPr>
          <w:rFonts w:ascii="Times New Roman" w:hAnsi="Times New Roman"/>
        </w:rPr>
        <w:t>DOSE can</w:t>
      </w:r>
      <w:r w:rsidR="007A1F2B" w:rsidRPr="007A1F2B">
        <w:rPr>
          <w:rFonts w:ascii="Times New Roman" w:hAnsi="Times New Roman"/>
        </w:rPr>
        <w:t xml:space="preserve"> be rapidly implemented and scaled to all 50 states, Puerto Rico, and the Distr</w:t>
      </w:r>
      <w:r>
        <w:rPr>
          <w:rFonts w:ascii="Times New Roman" w:hAnsi="Times New Roman"/>
        </w:rPr>
        <w:t xml:space="preserve">ict of Columbia </w:t>
      </w:r>
      <w:r w:rsidR="007A1F2B" w:rsidRPr="007A1F2B">
        <w:rPr>
          <w:rFonts w:ascii="Times New Roman" w:hAnsi="Times New Roman"/>
        </w:rPr>
        <w:t xml:space="preserve">because it relies on </w:t>
      </w:r>
      <w:r>
        <w:rPr>
          <w:rFonts w:ascii="Times New Roman" w:hAnsi="Times New Roman"/>
        </w:rPr>
        <w:t xml:space="preserve">sharing </w:t>
      </w:r>
      <w:r w:rsidR="007A1F2B" w:rsidRPr="007A1F2B">
        <w:rPr>
          <w:rFonts w:ascii="Times New Roman" w:hAnsi="Times New Roman"/>
        </w:rPr>
        <w:t xml:space="preserve">data already being collected by state and local health department </w:t>
      </w:r>
      <w:r>
        <w:rPr>
          <w:rFonts w:ascii="Times New Roman" w:hAnsi="Times New Roman"/>
        </w:rPr>
        <w:t xml:space="preserve">across three types of data systems (i.e., NSSP BioSense, local </w:t>
      </w:r>
      <w:r w:rsidR="00FF1F9D">
        <w:rPr>
          <w:rFonts w:ascii="Times New Roman" w:hAnsi="Times New Roman"/>
        </w:rPr>
        <w:t xml:space="preserve">ED </w:t>
      </w:r>
      <w:r>
        <w:rPr>
          <w:rFonts w:ascii="Times New Roman" w:hAnsi="Times New Roman"/>
        </w:rPr>
        <w:t>syndromic, and hospital discharge) instead of</w:t>
      </w:r>
      <w:r w:rsidR="0044240A">
        <w:rPr>
          <w:rFonts w:ascii="Times New Roman" w:hAnsi="Times New Roman"/>
        </w:rPr>
        <w:t xml:space="preserve"> attempting to establish a new</w:t>
      </w:r>
      <w:r w:rsidR="003D7A30">
        <w:rPr>
          <w:rFonts w:ascii="Times New Roman" w:hAnsi="Times New Roman"/>
        </w:rPr>
        <w:t xml:space="preserve"> ED</w:t>
      </w:r>
      <w:r w:rsidR="0044240A">
        <w:rPr>
          <w:rFonts w:ascii="Times New Roman" w:hAnsi="Times New Roman"/>
        </w:rPr>
        <w:t xml:space="preserve"> data collection or relying on data from only one data source such as NSSP BioSense</w:t>
      </w:r>
      <w:r w:rsidR="007A1F2B" w:rsidRPr="007A1F2B">
        <w:rPr>
          <w:rFonts w:ascii="Times New Roman" w:hAnsi="Times New Roman"/>
        </w:rPr>
        <w:t>.</w:t>
      </w:r>
    </w:p>
    <w:p w14:paraId="2F01D138" w14:textId="1D99E3B6" w:rsidR="008C4A16" w:rsidRDefault="008C4A16" w:rsidP="008C4A16">
      <w:pPr>
        <w:pStyle w:val="ListParagraph"/>
        <w:numPr>
          <w:ilvl w:val="0"/>
          <w:numId w:val="11"/>
        </w:numPr>
        <w:rPr>
          <w:rFonts w:ascii="Times New Roman" w:hAnsi="Times New Roman"/>
        </w:rPr>
      </w:pPr>
      <w:r w:rsidRPr="007A1F2B">
        <w:rPr>
          <w:rFonts w:ascii="Times New Roman" w:hAnsi="Times New Roman"/>
        </w:rPr>
        <w:t>CDC funded efforts to expand and</w:t>
      </w:r>
      <w:r w:rsidRPr="00675354">
        <w:rPr>
          <w:rFonts w:ascii="Times New Roman" w:hAnsi="Times New Roman"/>
        </w:rPr>
        <w:t xml:space="preserve"> improve the NSSP BioSense platform </w:t>
      </w:r>
      <w:r w:rsidR="0044240A">
        <w:rPr>
          <w:rFonts w:ascii="Times New Roman" w:hAnsi="Times New Roman"/>
        </w:rPr>
        <w:t xml:space="preserve">which captures about </w:t>
      </w:r>
      <w:r w:rsidR="00FC13D6">
        <w:rPr>
          <w:rFonts w:ascii="Times New Roman" w:hAnsi="Times New Roman"/>
        </w:rPr>
        <w:t xml:space="preserve">60% of all ED visits </w:t>
      </w:r>
      <w:r w:rsidR="0044240A">
        <w:rPr>
          <w:rFonts w:ascii="Times New Roman" w:hAnsi="Times New Roman"/>
        </w:rPr>
        <w:t xml:space="preserve">in the US </w:t>
      </w:r>
      <w:r w:rsidRPr="00675354">
        <w:rPr>
          <w:rFonts w:ascii="Times New Roman" w:hAnsi="Times New Roman"/>
        </w:rPr>
        <w:t>as part of CDC’s emergency response to the opioid overdose epidemic. The FY 2018 Consolidated Appropriations Act and Accompanying Report includes an increase in funding appropriated to Centers for Disease Control and Prevention (CDC) to “advance the understanding</w:t>
      </w:r>
      <w:r w:rsidRPr="008C4A16">
        <w:rPr>
          <w:rFonts w:ascii="Times New Roman" w:hAnsi="Times New Roman"/>
        </w:rPr>
        <w:t xml:space="preserve"> of the opioid overdose epidemic and scale up prevention activities across all 50 States and Washington, D.C.” Responding to this goal, CDC activated CDC-RFA-TP18-1802 Cooperative Agreement for Emergency Response: Public Health Crisis Response funding to those affected by the opioid overdose epidemic.</w:t>
      </w:r>
      <w:r w:rsidRPr="008C4A16">
        <w:rPr>
          <w:rStyle w:val="EndnoteReference"/>
          <w:rFonts w:ascii="Times New Roman" w:hAnsi="Times New Roman"/>
        </w:rPr>
        <w:endnoteReference w:id="3"/>
      </w:r>
      <w:r w:rsidRPr="008C4A16">
        <w:rPr>
          <w:rFonts w:ascii="Times New Roman" w:hAnsi="Times New Roman"/>
        </w:rPr>
        <w:t xml:space="preserve"> Jurisdictions applying for this funding had the opportunity to </w:t>
      </w:r>
      <w:r w:rsidRPr="005C1174">
        <w:rPr>
          <w:rFonts w:ascii="Times New Roman" w:hAnsi="Times New Roman"/>
        </w:rPr>
        <w:t>use the one-year funding to expand hospital participation i</w:t>
      </w:r>
      <w:r w:rsidRPr="00EF5264">
        <w:rPr>
          <w:rFonts w:ascii="Times New Roman" w:hAnsi="Times New Roman"/>
        </w:rPr>
        <w:t>n NSSP BioSense and improve their capacity to use timely and comprehensive syndromic surveillance data on non-fatal opioid overdoses.</w:t>
      </w:r>
    </w:p>
    <w:p w14:paraId="33C17B75" w14:textId="76F4D3F2" w:rsidR="00F300CD" w:rsidRPr="006B23E7" w:rsidRDefault="006B23E7" w:rsidP="006B23E7">
      <w:pPr>
        <w:pStyle w:val="ListParagraph"/>
        <w:numPr>
          <w:ilvl w:val="0"/>
          <w:numId w:val="11"/>
        </w:numPr>
        <w:rPr>
          <w:rFonts w:ascii="Times New Roman" w:hAnsi="Times New Roman"/>
        </w:rPr>
      </w:pPr>
      <w:r w:rsidRPr="006B23E7">
        <w:rPr>
          <w:rFonts w:ascii="Times New Roman" w:hAnsi="Times New Roman"/>
        </w:rPr>
        <w:t>CDC’s Overdose Data to Action Notice of Funding Opport</w:t>
      </w:r>
      <w:r>
        <w:rPr>
          <w:rFonts w:ascii="Times New Roman" w:hAnsi="Times New Roman"/>
        </w:rPr>
        <w:t>unity (OD2A, CDC-RFA-CE19-1904) requires all 52 participating health departments to spend a portion of their funding to support the local ED data collection and/or analysis. Recipients may spend the funding to address their own unique data gaps (e.g., one state may hire staffing to support analysis while another may us funding to improve data quality or coverage)</w:t>
      </w:r>
      <w:r w:rsidR="00046A1F">
        <w:rPr>
          <w:rFonts w:ascii="Times New Roman" w:hAnsi="Times New Roman"/>
        </w:rPr>
        <w:t>. This funding</w:t>
      </w:r>
      <w:r>
        <w:rPr>
          <w:rFonts w:ascii="Times New Roman" w:hAnsi="Times New Roman"/>
        </w:rPr>
        <w:t xml:space="preserve"> overtim</w:t>
      </w:r>
      <w:r w:rsidR="00046A1F">
        <w:rPr>
          <w:rFonts w:ascii="Times New Roman" w:hAnsi="Times New Roman"/>
        </w:rPr>
        <w:t>e should improve the coverage and quality of data collected by</w:t>
      </w:r>
      <w:r>
        <w:rPr>
          <w:rFonts w:ascii="Times New Roman" w:hAnsi="Times New Roman"/>
        </w:rPr>
        <w:t xml:space="preserve"> DOSE.</w:t>
      </w:r>
    </w:p>
    <w:p w14:paraId="1E48E5D1" w14:textId="77777777" w:rsidR="00F924CC" w:rsidRPr="00304A95" w:rsidRDefault="00F924CC" w:rsidP="0087540E">
      <w:pPr>
        <w:rPr>
          <w:b/>
          <w:bCs/>
          <w:color w:val="000000"/>
          <w:sz w:val="24"/>
        </w:rPr>
      </w:pPr>
    </w:p>
    <w:p w14:paraId="22312AA9" w14:textId="77777777" w:rsidR="0087540E" w:rsidRPr="00304A95" w:rsidRDefault="0087540E" w:rsidP="0087540E">
      <w:pPr>
        <w:tabs>
          <w:tab w:val="left" w:pos="-1440"/>
        </w:tabs>
        <w:ind w:left="720" w:hanging="720"/>
        <w:rPr>
          <w:color w:val="000000"/>
          <w:sz w:val="24"/>
        </w:rPr>
      </w:pPr>
      <w:r w:rsidRPr="00304A95">
        <w:rPr>
          <w:b/>
          <w:bCs/>
          <w:color w:val="000000"/>
          <w:sz w:val="24"/>
        </w:rPr>
        <w:t>4.</w:t>
      </w:r>
      <w:r w:rsidRPr="00304A95">
        <w:rPr>
          <w:b/>
          <w:bCs/>
          <w:color w:val="000000"/>
          <w:sz w:val="24"/>
        </w:rPr>
        <w:tab/>
        <w:t>Tests of Procedures or Methods to be Undertaken</w:t>
      </w:r>
    </w:p>
    <w:p w14:paraId="4B700BA9" w14:textId="77777777" w:rsidR="001A162F" w:rsidRPr="00304A95" w:rsidRDefault="001A162F" w:rsidP="0087540E">
      <w:pPr>
        <w:rPr>
          <w:color w:val="000000"/>
          <w:sz w:val="24"/>
        </w:rPr>
      </w:pPr>
    </w:p>
    <w:p w14:paraId="028AFD6F" w14:textId="030CD267" w:rsidR="000262E4" w:rsidRPr="00304A95" w:rsidRDefault="001A162F" w:rsidP="005C1174">
      <w:pPr>
        <w:rPr>
          <w:sz w:val="24"/>
        </w:rPr>
      </w:pPr>
      <w:r w:rsidRPr="00304A95">
        <w:rPr>
          <w:sz w:val="24"/>
        </w:rPr>
        <w:t xml:space="preserve">Case definitions </w:t>
      </w:r>
      <w:r w:rsidR="00FC23A5" w:rsidRPr="00304A95">
        <w:rPr>
          <w:sz w:val="24"/>
        </w:rPr>
        <w:t xml:space="preserve">of </w:t>
      </w:r>
      <w:r w:rsidRPr="00304A95">
        <w:rPr>
          <w:sz w:val="24"/>
        </w:rPr>
        <w:t>ED visits involving suspected drug, opioid, heroin, and stimulant overdoses have been extensively tested in the following ways:</w:t>
      </w:r>
    </w:p>
    <w:p w14:paraId="1DF06062" w14:textId="29AE5477" w:rsidR="00FC23A5" w:rsidRPr="00304A95" w:rsidRDefault="00FC23A5" w:rsidP="00EF5264">
      <w:pPr>
        <w:rPr>
          <w:sz w:val="24"/>
        </w:rPr>
      </w:pPr>
    </w:p>
    <w:p w14:paraId="1FEB20F0" w14:textId="36B0A0AB" w:rsidR="00FC23A5" w:rsidRPr="00304A95" w:rsidRDefault="00FC23A5" w:rsidP="00304A95">
      <w:pPr>
        <w:pStyle w:val="ListParagraph"/>
        <w:numPr>
          <w:ilvl w:val="0"/>
          <w:numId w:val="24"/>
        </w:numPr>
        <w:rPr>
          <w:rFonts w:ascii="Times New Roman" w:hAnsi="Times New Roman"/>
        </w:rPr>
      </w:pPr>
      <w:r w:rsidRPr="00304A95">
        <w:rPr>
          <w:rFonts w:ascii="Times New Roman" w:hAnsi="Times New Roman"/>
        </w:rPr>
        <w:t>Thirty-two state health departments and the Di</w:t>
      </w:r>
      <w:r w:rsidR="00644015" w:rsidRPr="00304A95">
        <w:rPr>
          <w:rFonts w:ascii="Times New Roman" w:hAnsi="Times New Roman"/>
        </w:rPr>
        <w:t xml:space="preserve">strict of Columbia developed or </w:t>
      </w:r>
      <w:r w:rsidRPr="00304A95">
        <w:rPr>
          <w:rFonts w:ascii="Times New Roman" w:hAnsi="Times New Roman"/>
        </w:rPr>
        <w:t xml:space="preserve">are </w:t>
      </w:r>
      <w:r w:rsidR="00644015" w:rsidRPr="00304A95">
        <w:rPr>
          <w:rFonts w:ascii="Times New Roman" w:hAnsi="Times New Roman"/>
        </w:rPr>
        <w:t xml:space="preserve">in the process of </w:t>
      </w:r>
      <w:r w:rsidRPr="00304A95">
        <w:rPr>
          <w:rFonts w:ascii="Times New Roman" w:hAnsi="Times New Roman"/>
        </w:rPr>
        <w:t xml:space="preserve">developing their own state-based case definitions </w:t>
      </w:r>
      <w:r w:rsidR="00644015" w:rsidRPr="00304A95">
        <w:rPr>
          <w:rFonts w:ascii="Times New Roman" w:hAnsi="Times New Roman"/>
        </w:rPr>
        <w:t>of suspected drug, opioid, and heroin overdoses. The commonalities across these state-base</w:t>
      </w:r>
      <w:r w:rsidR="00DE72F8" w:rsidRPr="00304A95">
        <w:rPr>
          <w:rFonts w:ascii="Times New Roman" w:hAnsi="Times New Roman"/>
        </w:rPr>
        <w:t>d</w:t>
      </w:r>
      <w:r w:rsidR="00644015" w:rsidRPr="00304A95">
        <w:rPr>
          <w:rFonts w:ascii="Times New Roman" w:hAnsi="Times New Roman"/>
        </w:rPr>
        <w:t xml:space="preserve"> definitions have been critical in informing the development of national definitions</w:t>
      </w:r>
      <w:r w:rsidR="001D211F" w:rsidRPr="00304A95">
        <w:rPr>
          <w:rFonts w:ascii="Times New Roman" w:hAnsi="Times New Roman"/>
        </w:rPr>
        <w:t xml:space="preserve">. In addition, differences </w:t>
      </w:r>
      <w:r w:rsidR="00DE72F8" w:rsidRPr="00304A95">
        <w:rPr>
          <w:rFonts w:ascii="Times New Roman" w:hAnsi="Times New Roman"/>
        </w:rPr>
        <w:t>across state-based definitions coupled with intense consultations with CDC have resulted in refinements of the nati</w:t>
      </w:r>
      <w:r w:rsidR="0019001A" w:rsidRPr="00304A95">
        <w:rPr>
          <w:rFonts w:ascii="Times New Roman" w:hAnsi="Times New Roman"/>
        </w:rPr>
        <w:t xml:space="preserve">onal definitions that enhance the </w:t>
      </w:r>
      <w:r w:rsidR="00DE72F8" w:rsidRPr="00304A95">
        <w:rPr>
          <w:rFonts w:ascii="Times New Roman" w:hAnsi="Times New Roman"/>
        </w:rPr>
        <w:t xml:space="preserve">ability </w:t>
      </w:r>
      <w:r w:rsidR="00046A1F">
        <w:rPr>
          <w:rFonts w:ascii="Times New Roman" w:hAnsi="Times New Roman"/>
        </w:rPr>
        <w:t>these national</w:t>
      </w:r>
      <w:r w:rsidR="00DE72F8" w:rsidRPr="00304A95">
        <w:rPr>
          <w:rFonts w:ascii="Times New Roman" w:hAnsi="Times New Roman"/>
        </w:rPr>
        <w:t xml:space="preserve"> </w:t>
      </w:r>
      <w:r w:rsidR="0019001A">
        <w:rPr>
          <w:rFonts w:ascii="Times New Roman" w:hAnsi="Times New Roman"/>
        </w:rPr>
        <w:t>case definition</w:t>
      </w:r>
      <w:r w:rsidR="00046A1F">
        <w:rPr>
          <w:rFonts w:ascii="Times New Roman" w:hAnsi="Times New Roman"/>
        </w:rPr>
        <w:t>s to</w:t>
      </w:r>
      <w:r w:rsidR="0019001A">
        <w:rPr>
          <w:rFonts w:ascii="Times New Roman" w:hAnsi="Times New Roman"/>
        </w:rPr>
        <w:t xml:space="preserve"> </w:t>
      </w:r>
      <w:r w:rsidR="00DE72F8" w:rsidRPr="00304A95">
        <w:rPr>
          <w:rFonts w:ascii="Times New Roman" w:hAnsi="Times New Roman"/>
        </w:rPr>
        <w:t>detect suspected overdoses.</w:t>
      </w:r>
    </w:p>
    <w:p w14:paraId="126BF89C" w14:textId="50277B74" w:rsidR="00DE72F8" w:rsidRPr="00304A95" w:rsidRDefault="00DE72F8" w:rsidP="00304A95">
      <w:pPr>
        <w:pStyle w:val="ListParagraph"/>
        <w:numPr>
          <w:ilvl w:val="0"/>
          <w:numId w:val="24"/>
        </w:numPr>
        <w:rPr>
          <w:rFonts w:ascii="Times New Roman" w:hAnsi="Times New Roman"/>
        </w:rPr>
      </w:pPr>
      <w:r w:rsidRPr="00304A95">
        <w:rPr>
          <w:rFonts w:ascii="Times New Roman" w:hAnsi="Times New Roman"/>
        </w:rPr>
        <w:t>CDC has collaborated with staff of the NSSP ESSENCE team to analyze and review case-l</w:t>
      </w:r>
      <w:r w:rsidR="0019001A" w:rsidRPr="00304A95">
        <w:rPr>
          <w:rFonts w:ascii="Times New Roman" w:hAnsi="Times New Roman"/>
        </w:rPr>
        <w:t>evel ED visits identified by each of the case</w:t>
      </w:r>
      <w:r w:rsidRPr="00304A95">
        <w:rPr>
          <w:rFonts w:ascii="Times New Roman" w:hAnsi="Times New Roman"/>
        </w:rPr>
        <w:t xml:space="preserve"> definition</w:t>
      </w:r>
      <w:r w:rsidR="00045B71">
        <w:rPr>
          <w:rFonts w:ascii="Times New Roman" w:hAnsi="Times New Roman"/>
        </w:rPr>
        <w:t>s</w:t>
      </w:r>
      <w:r w:rsidRPr="00304A95">
        <w:rPr>
          <w:rFonts w:ascii="Times New Roman" w:hAnsi="Times New Roman"/>
        </w:rPr>
        <w:t>. Analytic techniques</w:t>
      </w:r>
      <w:r w:rsidR="00EE6042" w:rsidRPr="00304A95">
        <w:rPr>
          <w:rFonts w:ascii="Times New Roman" w:hAnsi="Times New Roman"/>
        </w:rPr>
        <w:t xml:space="preserve"> have included identifying words and ICD-10</w:t>
      </w:r>
      <w:r w:rsidR="008D6436">
        <w:rPr>
          <w:rFonts w:ascii="Times New Roman" w:hAnsi="Times New Roman"/>
        </w:rPr>
        <w:t>-CM</w:t>
      </w:r>
      <w:r w:rsidR="00EE6042" w:rsidRPr="00304A95">
        <w:rPr>
          <w:rFonts w:ascii="Times New Roman" w:hAnsi="Times New Roman"/>
        </w:rPr>
        <w:t xml:space="preserve"> codes that are commonly connected </w:t>
      </w:r>
      <w:r w:rsidR="00280F77">
        <w:rPr>
          <w:rFonts w:ascii="Times New Roman" w:hAnsi="Times New Roman"/>
        </w:rPr>
        <w:t>within ED visit</w:t>
      </w:r>
      <w:r w:rsidR="00EE6042" w:rsidRPr="00304A95">
        <w:rPr>
          <w:rFonts w:ascii="Times New Roman" w:hAnsi="Times New Roman"/>
        </w:rPr>
        <w:t xml:space="preserve"> (e.g., ED visits with a chief </w:t>
      </w:r>
      <w:r w:rsidR="00C65D06" w:rsidRPr="00304A95">
        <w:rPr>
          <w:rFonts w:ascii="Times New Roman" w:hAnsi="Times New Roman"/>
        </w:rPr>
        <w:t>complaint that includes the abbreviation</w:t>
      </w:r>
      <w:r w:rsidR="00EE6042" w:rsidRPr="00304A95">
        <w:rPr>
          <w:rFonts w:ascii="Times New Roman" w:hAnsi="Times New Roman"/>
        </w:rPr>
        <w:t xml:space="preserve"> “OD” often also include words such as “drug”).</w:t>
      </w:r>
      <w:r w:rsidRPr="00304A95">
        <w:rPr>
          <w:rFonts w:ascii="Times New Roman" w:hAnsi="Times New Roman"/>
        </w:rPr>
        <w:t xml:space="preserve"> </w:t>
      </w:r>
      <w:r w:rsidR="00FD4966" w:rsidRPr="00304A95">
        <w:rPr>
          <w:rFonts w:ascii="Times New Roman" w:hAnsi="Times New Roman"/>
        </w:rPr>
        <w:t xml:space="preserve">Manual review of the ED chief complaint and ICD-10-CM codes of ED visits identified by CDC staff have been critical in excluding inappropriate visits and expanding the overdose definitions </w:t>
      </w:r>
      <w:r w:rsidR="00C65D06">
        <w:rPr>
          <w:rFonts w:ascii="Times New Roman" w:hAnsi="Times New Roman"/>
        </w:rPr>
        <w:t xml:space="preserve">(e.g., capture common misspellings) </w:t>
      </w:r>
      <w:r w:rsidR="00FD4966" w:rsidRPr="00304A95">
        <w:rPr>
          <w:rFonts w:ascii="Times New Roman" w:hAnsi="Times New Roman"/>
        </w:rPr>
        <w:t>to detect previously undetected cases.</w:t>
      </w:r>
    </w:p>
    <w:p w14:paraId="75B0D02E" w14:textId="0AA64A7E" w:rsidR="00FD4966" w:rsidRPr="00304A95" w:rsidRDefault="002F0604" w:rsidP="00304A95">
      <w:pPr>
        <w:pStyle w:val="ListParagraph"/>
        <w:numPr>
          <w:ilvl w:val="0"/>
          <w:numId w:val="24"/>
        </w:numPr>
        <w:rPr>
          <w:rFonts w:ascii="Times New Roman" w:hAnsi="Times New Roman"/>
        </w:rPr>
      </w:pPr>
      <w:r w:rsidRPr="00304A95">
        <w:rPr>
          <w:rFonts w:ascii="Times New Roman" w:hAnsi="Times New Roman"/>
        </w:rPr>
        <w:t>The case definitions were informed by a review of other ICD-9-CM and ICD-10-CM drug overdose coding systems.</w:t>
      </w:r>
    </w:p>
    <w:p w14:paraId="2884838A" w14:textId="127E1708" w:rsidR="002F0604" w:rsidRPr="00304A95" w:rsidRDefault="002F0604" w:rsidP="005C1174">
      <w:pPr>
        <w:rPr>
          <w:sz w:val="24"/>
        </w:rPr>
      </w:pPr>
    </w:p>
    <w:p w14:paraId="0A46546B" w14:textId="789E0988" w:rsidR="002F0604" w:rsidRPr="00304A95" w:rsidRDefault="002F0604" w:rsidP="00EF5264">
      <w:pPr>
        <w:rPr>
          <w:sz w:val="24"/>
        </w:rPr>
      </w:pPr>
      <w:r w:rsidRPr="00304A95">
        <w:rPr>
          <w:sz w:val="24"/>
        </w:rPr>
        <w:t>The</w:t>
      </w:r>
      <w:r w:rsidRPr="005C1174">
        <w:rPr>
          <w:sz w:val="24"/>
        </w:rPr>
        <w:t xml:space="preserve"> design of the</w:t>
      </w:r>
      <w:r w:rsidRPr="00304A95">
        <w:rPr>
          <w:sz w:val="24"/>
        </w:rPr>
        <w:t xml:space="preserve"> </w:t>
      </w:r>
      <w:r w:rsidRPr="005C1174">
        <w:rPr>
          <w:i/>
          <w:sz w:val="24"/>
          <w:lang w:val="en"/>
        </w:rPr>
        <w:t xml:space="preserve">Rapid ED overdose data form </w:t>
      </w:r>
      <w:r w:rsidR="00E93597" w:rsidRPr="00EF5264">
        <w:rPr>
          <w:sz w:val="24"/>
          <w:lang w:val="en"/>
        </w:rPr>
        <w:t xml:space="preserve">and the </w:t>
      </w:r>
      <w:r w:rsidR="00E93597" w:rsidRPr="00304A95">
        <w:rPr>
          <w:i/>
          <w:sz w:val="24"/>
          <w:lang w:val="en"/>
        </w:rPr>
        <w:t>ED discharge overdose data form</w:t>
      </w:r>
      <w:r w:rsidR="00E93597">
        <w:rPr>
          <w:sz w:val="24"/>
          <w:lang w:val="en"/>
        </w:rPr>
        <w:t xml:space="preserve"> have been informed by feedback from the 32 state health departments and the District of Columbia participating in ESOOS. Specifically, the health departments highlighted the need for a standardized form and have </w:t>
      </w:r>
      <w:r w:rsidR="004B33A8">
        <w:rPr>
          <w:sz w:val="24"/>
          <w:lang w:val="en"/>
        </w:rPr>
        <w:t>piloted use of a similar forms</w:t>
      </w:r>
      <w:r w:rsidR="00C65D06">
        <w:rPr>
          <w:sz w:val="24"/>
          <w:lang w:val="en"/>
        </w:rPr>
        <w:t xml:space="preserve"> and </w:t>
      </w:r>
      <w:r w:rsidR="00303FC1">
        <w:rPr>
          <w:sz w:val="24"/>
          <w:lang w:val="en"/>
        </w:rPr>
        <w:t>SAS</w:t>
      </w:r>
      <w:r w:rsidR="00C65D06">
        <w:rPr>
          <w:sz w:val="24"/>
          <w:lang w:val="en"/>
        </w:rPr>
        <w:t xml:space="preserve"> programs to support completion of these forms</w:t>
      </w:r>
      <w:r w:rsidR="004B33A8">
        <w:rPr>
          <w:sz w:val="24"/>
          <w:lang w:val="en"/>
        </w:rPr>
        <w:t xml:space="preserve"> on an optional basis.</w:t>
      </w:r>
    </w:p>
    <w:p w14:paraId="1C3D406E" w14:textId="77777777" w:rsidR="00C02EB8" w:rsidRPr="00EF5264" w:rsidRDefault="00C02EB8" w:rsidP="00C02EB8">
      <w:pPr>
        <w:rPr>
          <w:color w:val="000000"/>
          <w:sz w:val="24"/>
        </w:rPr>
      </w:pPr>
    </w:p>
    <w:p w14:paraId="7B35AC31" w14:textId="77777777" w:rsidR="0087540E" w:rsidRPr="00304A95" w:rsidRDefault="0087540E" w:rsidP="0087540E">
      <w:pPr>
        <w:tabs>
          <w:tab w:val="left" w:pos="-1440"/>
        </w:tabs>
        <w:ind w:left="720" w:hanging="720"/>
        <w:rPr>
          <w:color w:val="000000"/>
          <w:sz w:val="24"/>
        </w:rPr>
      </w:pPr>
      <w:r w:rsidRPr="00304A95">
        <w:rPr>
          <w:b/>
          <w:bCs/>
          <w:color w:val="000000"/>
          <w:sz w:val="24"/>
        </w:rPr>
        <w:t>5.</w:t>
      </w:r>
      <w:r w:rsidRPr="00304A95">
        <w:rPr>
          <w:b/>
          <w:bCs/>
          <w:color w:val="000000"/>
          <w:sz w:val="24"/>
        </w:rPr>
        <w:tab/>
        <w:t>Individuals Consulted on Statistical Aspects and Individuals Collecting and/or Analyzing Data</w:t>
      </w:r>
    </w:p>
    <w:p w14:paraId="352C5CA3" w14:textId="77777777" w:rsidR="00823440" w:rsidRPr="00304A95" w:rsidRDefault="00823440" w:rsidP="0087540E">
      <w:pPr>
        <w:rPr>
          <w:sz w:val="24"/>
        </w:rPr>
      </w:pPr>
    </w:p>
    <w:p w14:paraId="2231E54A" w14:textId="5D9235E5" w:rsidR="00823440" w:rsidRPr="00304A95" w:rsidRDefault="00823440" w:rsidP="0087540E">
      <w:pPr>
        <w:rPr>
          <w:sz w:val="24"/>
        </w:rPr>
      </w:pPr>
      <w:r w:rsidRPr="00304A95">
        <w:rPr>
          <w:sz w:val="24"/>
        </w:rPr>
        <w:t>The following consulting efforts were made:</w:t>
      </w:r>
    </w:p>
    <w:p w14:paraId="5B3721E4" w14:textId="6E41A8D6" w:rsidR="00823440" w:rsidRPr="00304A95" w:rsidRDefault="00823440" w:rsidP="00823440">
      <w:pPr>
        <w:pStyle w:val="ListParagraph"/>
        <w:numPr>
          <w:ilvl w:val="0"/>
          <w:numId w:val="19"/>
        </w:numPr>
        <w:rPr>
          <w:rFonts w:ascii="Times New Roman" w:hAnsi="Times New Roman"/>
          <w:color w:val="000000"/>
        </w:rPr>
      </w:pPr>
      <w:r w:rsidRPr="00304A95">
        <w:rPr>
          <w:rFonts w:ascii="Times New Roman" w:hAnsi="Times New Roman"/>
        </w:rPr>
        <w:t xml:space="preserve">DOSE </w:t>
      </w:r>
      <w:r w:rsidRPr="005C1174">
        <w:rPr>
          <w:rFonts w:ascii="Times New Roman" w:hAnsi="Times New Roman"/>
        </w:rPr>
        <w:t>staff has intensely collaborated with the Division of Health Informatics (DHIS), the CDC division th</w:t>
      </w:r>
      <w:r w:rsidR="008A4DE6" w:rsidRPr="00EF5264">
        <w:rPr>
          <w:rFonts w:ascii="Times New Roman" w:hAnsi="Times New Roman"/>
        </w:rPr>
        <w:t>at operate</w:t>
      </w:r>
      <w:r w:rsidR="008A4DE6" w:rsidRPr="0008475A">
        <w:rPr>
          <w:rFonts w:ascii="Times New Roman" w:hAnsi="Times New Roman"/>
        </w:rPr>
        <w:t>s NSSP BioSense. This</w:t>
      </w:r>
      <w:r w:rsidRPr="0008475A">
        <w:rPr>
          <w:rFonts w:ascii="Times New Roman" w:hAnsi="Times New Roman"/>
        </w:rPr>
        <w:t xml:space="preserve"> collaboration includes detailing staff from NSSP BioSense on a part-time basis. A key benefit from this collaboration is the expertise of CDC staff with extensive experience analyzing syndromic ED data, including a candid assessment o</w:t>
      </w:r>
      <w:r w:rsidRPr="00304A95">
        <w:rPr>
          <w:rFonts w:ascii="Times New Roman" w:hAnsi="Times New Roman"/>
        </w:rPr>
        <w:t>f its strengths and weakness.</w:t>
      </w:r>
    </w:p>
    <w:p w14:paraId="2993D898" w14:textId="36EC960F" w:rsidR="00B255D9" w:rsidRDefault="009F12AA" w:rsidP="00823440">
      <w:pPr>
        <w:pStyle w:val="ListParagraph"/>
        <w:numPr>
          <w:ilvl w:val="0"/>
          <w:numId w:val="19"/>
        </w:numPr>
        <w:rPr>
          <w:rFonts w:ascii="Times New Roman" w:hAnsi="Times New Roman"/>
          <w:color w:val="000000"/>
        </w:rPr>
      </w:pPr>
      <w:r w:rsidRPr="00304A95">
        <w:rPr>
          <w:rFonts w:ascii="Times New Roman" w:hAnsi="Times New Roman"/>
          <w:color w:val="000000"/>
        </w:rPr>
        <w:t>As part of ESOOS</w:t>
      </w:r>
      <w:r>
        <w:rPr>
          <w:rFonts w:ascii="Times New Roman" w:hAnsi="Times New Roman"/>
          <w:color w:val="000000"/>
        </w:rPr>
        <w:t>, CDC has convened a workgroup where CDC discusses data quality and analytic approaches with 32 state health departments and the District of Columbia on approximately a monthly basis.</w:t>
      </w:r>
    </w:p>
    <w:p w14:paraId="2D4591D2" w14:textId="4C39EB79" w:rsidR="007C59B8" w:rsidRDefault="007C59B8" w:rsidP="00823440">
      <w:pPr>
        <w:pStyle w:val="ListParagraph"/>
        <w:numPr>
          <w:ilvl w:val="0"/>
          <w:numId w:val="19"/>
        </w:numPr>
        <w:rPr>
          <w:rFonts w:ascii="Times New Roman" w:hAnsi="Times New Roman"/>
          <w:color w:val="000000"/>
        </w:rPr>
      </w:pPr>
      <w:r>
        <w:rPr>
          <w:rFonts w:ascii="Times New Roman" w:hAnsi="Times New Roman"/>
          <w:color w:val="000000"/>
        </w:rPr>
        <w:t>ESOOS-funded health departments have engaged with CDC staff to assist in the development of all drug, opioid, heroin, and stimulant case definitions for syndromic and hospital discharge data. In addition, these funded health departments have collaborated to refine the case definitions and test developed SAS code.</w:t>
      </w:r>
    </w:p>
    <w:p w14:paraId="4C2C9181" w14:textId="650B5D57" w:rsidR="007C59B8" w:rsidRDefault="007C59B8" w:rsidP="00823440">
      <w:pPr>
        <w:pStyle w:val="ListParagraph"/>
        <w:numPr>
          <w:ilvl w:val="0"/>
          <w:numId w:val="19"/>
        </w:numPr>
        <w:rPr>
          <w:rFonts w:ascii="Times New Roman" w:hAnsi="Times New Roman"/>
          <w:color w:val="000000"/>
        </w:rPr>
      </w:pPr>
      <w:r>
        <w:rPr>
          <w:rFonts w:ascii="Times New Roman" w:hAnsi="Times New Roman"/>
          <w:color w:val="000000"/>
        </w:rPr>
        <w:t>CDC has also worked closely with the Council for State and Territorial Epidemiologists (CSTE) to ensure health department epidemiologists are well-equipped with the skills to analyze ED data collected within their state by conducting regional trainings.</w:t>
      </w:r>
    </w:p>
    <w:p w14:paraId="1CF15145" w14:textId="0008D163" w:rsidR="007C59B8" w:rsidRDefault="007C59B8" w:rsidP="00823440">
      <w:pPr>
        <w:pStyle w:val="ListParagraph"/>
        <w:numPr>
          <w:ilvl w:val="0"/>
          <w:numId w:val="19"/>
        </w:numPr>
        <w:rPr>
          <w:rFonts w:ascii="Times New Roman" w:hAnsi="Times New Roman"/>
          <w:color w:val="000000"/>
        </w:rPr>
      </w:pPr>
      <w:r>
        <w:rPr>
          <w:rFonts w:ascii="Times New Roman" w:hAnsi="Times New Roman"/>
          <w:color w:val="000000"/>
        </w:rPr>
        <w:t>CDC also partners with the Association of State and Territorial Health Officials (ASTHO) to conduct learning communities where funded health departments assist one another in peer-to-peer learning on ED data systems.</w:t>
      </w:r>
    </w:p>
    <w:p w14:paraId="5501CEA9" w14:textId="5BC215ED" w:rsidR="009F12AA" w:rsidRDefault="009F12AA" w:rsidP="009F12AA">
      <w:pPr>
        <w:rPr>
          <w:color w:val="000000"/>
          <w:sz w:val="24"/>
        </w:rPr>
      </w:pPr>
    </w:p>
    <w:p w14:paraId="3FD001C9" w14:textId="28B88697" w:rsidR="009F12AA" w:rsidRPr="009F12AA" w:rsidRDefault="002E12E2" w:rsidP="009F12AA">
      <w:pPr>
        <w:rPr>
          <w:color w:val="000000"/>
          <w:sz w:val="24"/>
        </w:rPr>
      </w:pPr>
      <w:r>
        <w:rPr>
          <w:color w:val="000000"/>
          <w:sz w:val="24"/>
        </w:rPr>
        <w:t>One CDC senior epidemiologist will supervise s</w:t>
      </w:r>
      <w:r w:rsidR="008A4DE6">
        <w:rPr>
          <w:color w:val="000000"/>
          <w:sz w:val="24"/>
        </w:rPr>
        <w:t>ix CDC epidemiologists</w:t>
      </w:r>
      <w:r w:rsidR="009F12AA">
        <w:rPr>
          <w:color w:val="000000"/>
          <w:sz w:val="24"/>
        </w:rPr>
        <w:t xml:space="preserve"> </w:t>
      </w:r>
      <w:r w:rsidR="001133ED">
        <w:rPr>
          <w:color w:val="000000"/>
          <w:sz w:val="24"/>
        </w:rPr>
        <w:t xml:space="preserve">backed by three data managers </w:t>
      </w:r>
      <w:r>
        <w:rPr>
          <w:color w:val="000000"/>
          <w:sz w:val="24"/>
        </w:rPr>
        <w:t>to</w:t>
      </w:r>
      <w:r w:rsidR="001133ED">
        <w:rPr>
          <w:color w:val="000000"/>
          <w:sz w:val="24"/>
        </w:rPr>
        <w:t xml:space="preserve"> lead the analysis of th</w:t>
      </w:r>
      <w:r>
        <w:rPr>
          <w:color w:val="000000"/>
          <w:sz w:val="24"/>
        </w:rPr>
        <w:t>e DOSE</w:t>
      </w:r>
      <w:r w:rsidR="001133ED">
        <w:rPr>
          <w:color w:val="000000"/>
          <w:sz w:val="24"/>
        </w:rPr>
        <w:t xml:space="preserve"> data. This includes intensive work evaluating case definitions and the quality of the preliminary ED data</w:t>
      </w:r>
      <w:r w:rsidR="00DA6C7C">
        <w:rPr>
          <w:color w:val="000000"/>
          <w:sz w:val="24"/>
        </w:rPr>
        <w:t xml:space="preserve"> both internally and with state health department staff</w:t>
      </w:r>
      <w:r w:rsidR="001133ED">
        <w:rPr>
          <w:color w:val="000000"/>
          <w:sz w:val="24"/>
        </w:rPr>
        <w:t>. This group can consult with ano</w:t>
      </w:r>
      <w:r w:rsidR="008A4DE6">
        <w:rPr>
          <w:color w:val="000000"/>
          <w:sz w:val="24"/>
        </w:rPr>
        <w:t>ther senior scientist and/or</w:t>
      </w:r>
      <w:r w:rsidR="001133ED">
        <w:rPr>
          <w:color w:val="000000"/>
          <w:sz w:val="24"/>
        </w:rPr>
        <w:t xml:space="preserve"> request statistical support on an as needed basis.</w:t>
      </w:r>
    </w:p>
    <w:p w14:paraId="27E907FA" w14:textId="77777777" w:rsidR="00B255D9" w:rsidRPr="00615A43" w:rsidRDefault="00B255D9" w:rsidP="0087540E">
      <w:pPr>
        <w:widowControl/>
        <w:rPr>
          <w:color w:val="000000"/>
          <w:sz w:val="24"/>
        </w:rPr>
      </w:pPr>
    </w:p>
    <w:p w14:paraId="31E3C39C" w14:textId="77777777" w:rsidR="00B255D9" w:rsidRPr="00615A43" w:rsidRDefault="00B255D9" w:rsidP="0087540E">
      <w:pPr>
        <w:widowControl/>
        <w:rPr>
          <w:color w:val="000000"/>
          <w:szCs w:val="20"/>
        </w:rPr>
      </w:pPr>
    </w:p>
    <w:sectPr w:rsidR="00B255D9" w:rsidRPr="00615A43" w:rsidSect="00747836">
      <w:endnotePr>
        <w:numFmt w:val="decimal"/>
      </w:endnotePr>
      <w:type w:val="continuous"/>
      <w:pgSz w:w="12240" w:h="15840"/>
      <w:pgMar w:top="108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01D9" w14:textId="77777777" w:rsidR="002E12E2" w:rsidRDefault="002E12E2">
      <w:r>
        <w:separator/>
      </w:r>
    </w:p>
  </w:endnote>
  <w:endnote w:type="continuationSeparator" w:id="0">
    <w:p w14:paraId="58B6E9BA" w14:textId="77777777" w:rsidR="002E12E2" w:rsidRDefault="002E12E2">
      <w:r>
        <w:continuationSeparator/>
      </w:r>
    </w:p>
  </w:endnote>
  <w:endnote w:id="1">
    <w:p w14:paraId="6D5F3EBE" w14:textId="048A3E0B" w:rsidR="002E12E2" w:rsidRPr="00F671E1" w:rsidRDefault="002E12E2" w:rsidP="00F671E1">
      <w:pPr>
        <w:pStyle w:val="EndnoteText"/>
      </w:pPr>
      <w:r>
        <w:rPr>
          <w:rStyle w:val="EndnoteReference"/>
        </w:rPr>
        <w:endnoteRef/>
      </w:r>
      <w:r>
        <w:t xml:space="preserve"> American Health Association</w:t>
      </w:r>
      <w:r w:rsidRPr="00DF02E0">
        <w:t xml:space="preserve">. (2018). </w:t>
      </w:r>
      <w:r>
        <w:t>Trend</w:t>
      </w:r>
      <w:r w:rsidRPr="00DF02E0">
        <w:t>Watch chartbook 2018: Trends affecting hospitals and health systems. Washington, D.C.</w:t>
      </w:r>
      <w:r>
        <w:t xml:space="preserve"> </w:t>
      </w:r>
      <w:hyperlink r:id="rId1" w:history="1">
        <w:r w:rsidRPr="009F35A7">
          <w:rPr>
            <w:rStyle w:val="Hyperlink"/>
          </w:rPr>
          <w:t>https://www.aha.org/system/files/2018-07/2018-chartbook-table-3-3.pdf</w:t>
        </w:r>
      </w:hyperlink>
      <w:r>
        <w:t xml:space="preserve"> . (Note: This estimate of ED visits only includes community hospitals which excludes </w:t>
      </w:r>
      <w:r w:rsidRPr="00F671E1">
        <w:t>Federal hospitals, long term care hospitals, psychiatric hospitals, institutions for the intellectually disabled, and alcoholism and other chemical dependency hospitals</w:t>
      </w:r>
      <w:r>
        <w:t>).</w:t>
      </w:r>
    </w:p>
  </w:endnote>
  <w:endnote w:id="2">
    <w:p w14:paraId="7F6D2944" w14:textId="6D558353" w:rsidR="002E12E2" w:rsidRDefault="002E12E2" w:rsidP="007900A5">
      <w:pPr>
        <w:pStyle w:val="EndnoteText"/>
      </w:pPr>
      <w:r>
        <w:rPr>
          <w:rStyle w:val="EndnoteReference"/>
        </w:rPr>
        <w:endnoteRef/>
      </w:r>
      <w:r>
        <w:t xml:space="preserve"> For additional information </w:t>
      </w:r>
      <w:r w:rsidRPr="00331689">
        <w:t>https://auth.cdc.gov/sams/SAMSUserGuide.pdf</w:t>
      </w:r>
      <w:r>
        <w:t xml:space="preserve"> </w:t>
      </w:r>
    </w:p>
  </w:endnote>
  <w:endnote w:id="3">
    <w:p w14:paraId="4671CA7D" w14:textId="16B57E4C" w:rsidR="002E12E2" w:rsidRDefault="002E12E2" w:rsidP="008C4A16">
      <w:pPr>
        <w:pStyle w:val="EndnoteText"/>
      </w:pPr>
      <w:r>
        <w:rPr>
          <w:rStyle w:val="EndnoteReference"/>
        </w:rPr>
        <w:endnoteRef/>
      </w:r>
      <w:r>
        <w:t xml:space="preserve"> For additional information </w:t>
      </w:r>
      <w:r w:rsidRPr="00AD7307">
        <w:t>https://www.cdc.gov/ph</w:t>
      </w:r>
      <w:r>
        <w:t>pr/readiness/funding-crisis.htm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A96EF" w14:textId="77777777" w:rsidR="002E12E2" w:rsidRDefault="002E12E2">
      <w:r>
        <w:separator/>
      </w:r>
    </w:p>
  </w:footnote>
  <w:footnote w:type="continuationSeparator" w:id="0">
    <w:p w14:paraId="3155F6AA" w14:textId="77777777" w:rsidR="002E12E2" w:rsidRDefault="002E1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720"/>
        </w:tabs>
        <w:ind w:left="720" w:hanging="720"/>
      </w:pPr>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C57585"/>
    <w:multiLevelType w:val="hybridMultilevel"/>
    <w:tmpl w:val="59102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2C45"/>
    <w:multiLevelType w:val="hybridMultilevel"/>
    <w:tmpl w:val="0E0C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C070E"/>
    <w:multiLevelType w:val="hybridMultilevel"/>
    <w:tmpl w:val="9A82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A5E8F"/>
    <w:multiLevelType w:val="hybridMultilevel"/>
    <w:tmpl w:val="79FE8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C3C35"/>
    <w:multiLevelType w:val="hybridMultilevel"/>
    <w:tmpl w:val="EB5A62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4011"/>
    <w:multiLevelType w:val="hybridMultilevel"/>
    <w:tmpl w:val="0EBA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97EE6"/>
    <w:multiLevelType w:val="hybridMultilevel"/>
    <w:tmpl w:val="EB5A62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E6AA4"/>
    <w:multiLevelType w:val="hybridMultilevel"/>
    <w:tmpl w:val="A446898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DBE38A5"/>
    <w:multiLevelType w:val="hybridMultilevel"/>
    <w:tmpl w:val="8FBA4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A4884"/>
    <w:multiLevelType w:val="hybridMultilevel"/>
    <w:tmpl w:val="6784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C6287"/>
    <w:multiLevelType w:val="hybridMultilevel"/>
    <w:tmpl w:val="57A24DBA"/>
    <w:lvl w:ilvl="0" w:tplc="AAC01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F95B90"/>
    <w:multiLevelType w:val="hybridMultilevel"/>
    <w:tmpl w:val="FAB213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6A77C7A"/>
    <w:multiLevelType w:val="hybridMultilevel"/>
    <w:tmpl w:val="5A9C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B0C0D"/>
    <w:multiLevelType w:val="hybridMultilevel"/>
    <w:tmpl w:val="D408F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D6F04"/>
    <w:multiLevelType w:val="hybridMultilevel"/>
    <w:tmpl w:val="9594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4063A"/>
    <w:multiLevelType w:val="hybridMultilevel"/>
    <w:tmpl w:val="14F4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F134F7"/>
    <w:multiLevelType w:val="hybridMultilevel"/>
    <w:tmpl w:val="5FAA74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9D4239"/>
    <w:multiLevelType w:val="hybridMultilevel"/>
    <w:tmpl w:val="054A371C"/>
    <w:lvl w:ilvl="0" w:tplc="87100C90">
      <w:start w:val="1"/>
      <w:numFmt w:val="decimal"/>
      <w:lvlText w:val="%1."/>
      <w:lvlJc w:val="left"/>
      <w:pPr>
        <w:ind w:left="360" w:hanging="360"/>
      </w:pPr>
      <w:rPr>
        <w:b w:val="0"/>
        <w:i w:val="0"/>
      </w:rPr>
    </w:lvl>
    <w:lvl w:ilvl="1" w:tplc="16C60C12">
      <w:start w:val="1"/>
      <w:numFmt w:val="lowerLetter"/>
      <w:lvlText w:val="%2."/>
      <w:lvlJc w:val="left"/>
      <w:pPr>
        <w:ind w:left="1080" w:hanging="360"/>
      </w:pPr>
      <w:rPr>
        <w:b w:val="0"/>
      </w:rPr>
    </w:lvl>
    <w:lvl w:ilvl="2" w:tplc="A0C09096">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FA7E5B"/>
    <w:multiLevelType w:val="hybridMultilevel"/>
    <w:tmpl w:val="FC4ECD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7454E7"/>
    <w:multiLevelType w:val="hybridMultilevel"/>
    <w:tmpl w:val="E472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F15F8"/>
    <w:multiLevelType w:val="hybridMultilevel"/>
    <w:tmpl w:val="8AFA2D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093DE5"/>
    <w:multiLevelType w:val="hybridMultilevel"/>
    <w:tmpl w:val="62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331889"/>
    <w:multiLevelType w:val="hybridMultilevel"/>
    <w:tmpl w:val="EC32D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9"/>
  </w:num>
  <w:num w:numId="3">
    <w:abstractNumId w:val="17"/>
  </w:num>
  <w:num w:numId="4">
    <w:abstractNumId w:val="23"/>
  </w:num>
  <w:num w:numId="5">
    <w:abstractNumId w:val="1"/>
  </w:num>
  <w:num w:numId="6">
    <w:abstractNumId w:val="18"/>
  </w:num>
  <w:num w:numId="7">
    <w:abstractNumId w:val="3"/>
  </w:num>
  <w:num w:numId="8">
    <w:abstractNumId w:val="9"/>
  </w:num>
  <w:num w:numId="9">
    <w:abstractNumId w:val="13"/>
  </w:num>
  <w:num w:numId="10">
    <w:abstractNumId w:val="8"/>
  </w:num>
  <w:num w:numId="11">
    <w:abstractNumId w:val="10"/>
  </w:num>
  <w:num w:numId="12">
    <w:abstractNumId w:val="16"/>
  </w:num>
  <w:num w:numId="13">
    <w:abstractNumId w:val="5"/>
  </w:num>
  <w:num w:numId="14">
    <w:abstractNumId w:val="7"/>
  </w:num>
  <w:num w:numId="15">
    <w:abstractNumId w:val="20"/>
  </w:num>
  <w:num w:numId="16">
    <w:abstractNumId w:val="12"/>
  </w:num>
  <w:num w:numId="17">
    <w:abstractNumId w:val="2"/>
  </w:num>
  <w:num w:numId="18">
    <w:abstractNumId w:val="22"/>
  </w:num>
  <w:num w:numId="19">
    <w:abstractNumId w:val="15"/>
  </w:num>
  <w:num w:numId="20">
    <w:abstractNumId w:val="21"/>
  </w:num>
  <w:num w:numId="21">
    <w:abstractNumId w:val="4"/>
  </w:num>
  <w:num w:numId="22">
    <w:abstractNumId w:val="14"/>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0E"/>
    <w:rsid w:val="00003764"/>
    <w:rsid w:val="00022670"/>
    <w:rsid w:val="000237FB"/>
    <w:rsid w:val="000262E4"/>
    <w:rsid w:val="000346B4"/>
    <w:rsid w:val="00043ACD"/>
    <w:rsid w:val="00045B71"/>
    <w:rsid w:val="00046A1F"/>
    <w:rsid w:val="00052325"/>
    <w:rsid w:val="000611E8"/>
    <w:rsid w:val="00064C9E"/>
    <w:rsid w:val="0006568F"/>
    <w:rsid w:val="00065D65"/>
    <w:rsid w:val="0006692B"/>
    <w:rsid w:val="00081935"/>
    <w:rsid w:val="00081FC4"/>
    <w:rsid w:val="0008475A"/>
    <w:rsid w:val="00086B2A"/>
    <w:rsid w:val="000879F8"/>
    <w:rsid w:val="00092BF3"/>
    <w:rsid w:val="0009791D"/>
    <w:rsid w:val="000A256F"/>
    <w:rsid w:val="000A308B"/>
    <w:rsid w:val="000A7D7F"/>
    <w:rsid w:val="000B076A"/>
    <w:rsid w:val="000B5557"/>
    <w:rsid w:val="000D015F"/>
    <w:rsid w:val="000D5FB4"/>
    <w:rsid w:val="000D7F4E"/>
    <w:rsid w:val="001133ED"/>
    <w:rsid w:val="00115B3D"/>
    <w:rsid w:val="00115C20"/>
    <w:rsid w:val="00134A5A"/>
    <w:rsid w:val="001361A3"/>
    <w:rsid w:val="00141AF9"/>
    <w:rsid w:val="0015149E"/>
    <w:rsid w:val="00152215"/>
    <w:rsid w:val="00163B20"/>
    <w:rsid w:val="0016472C"/>
    <w:rsid w:val="001736E3"/>
    <w:rsid w:val="0017575E"/>
    <w:rsid w:val="00184984"/>
    <w:rsid w:val="0019001A"/>
    <w:rsid w:val="001A162F"/>
    <w:rsid w:val="001B45C7"/>
    <w:rsid w:val="001D211F"/>
    <w:rsid w:val="001D3561"/>
    <w:rsid w:val="001D4A2F"/>
    <w:rsid w:val="001D4CF5"/>
    <w:rsid w:val="001E13DD"/>
    <w:rsid w:val="001E33DD"/>
    <w:rsid w:val="001F5605"/>
    <w:rsid w:val="001F7241"/>
    <w:rsid w:val="0021575A"/>
    <w:rsid w:val="0021689C"/>
    <w:rsid w:val="00217FE5"/>
    <w:rsid w:val="00227F2F"/>
    <w:rsid w:val="00230F26"/>
    <w:rsid w:val="00241B7D"/>
    <w:rsid w:val="00241D70"/>
    <w:rsid w:val="00256FBC"/>
    <w:rsid w:val="00260E73"/>
    <w:rsid w:val="00266BCA"/>
    <w:rsid w:val="00267736"/>
    <w:rsid w:val="00280F77"/>
    <w:rsid w:val="002823CD"/>
    <w:rsid w:val="0028660D"/>
    <w:rsid w:val="002A0806"/>
    <w:rsid w:val="002B2D51"/>
    <w:rsid w:val="002C1B51"/>
    <w:rsid w:val="002C2BCE"/>
    <w:rsid w:val="002C7C69"/>
    <w:rsid w:val="002D511B"/>
    <w:rsid w:val="002E12E2"/>
    <w:rsid w:val="002E4AE2"/>
    <w:rsid w:val="002E7AD5"/>
    <w:rsid w:val="002F0604"/>
    <w:rsid w:val="00303FC1"/>
    <w:rsid w:val="00304A95"/>
    <w:rsid w:val="003117F2"/>
    <w:rsid w:val="00312AD7"/>
    <w:rsid w:val="00325AFD"/>
    <w:rsid w:val="003427B3"/>
    <w:rsid w:val="00342FE6"/>
    <w:rsid w:val="0034324C"/>
    <w:rsid w:val="00343C59"/>
    <w:rsid w:val="00346BEA"/>
    <w:rsid w:val="00350165"/>
    <w:rsid w:val="00363963"/>
    <w:rsid w:val="003923DF"/>
    <w:rsid w:val="0039639E"/>
    <w:rsid w:val="003A2AB4"/>
    <w:rsid w:val="003A55D8"/>
    <w:rsid w:val="003A75A7"/>
    <w:rsid w:val="003B1598"/>
    <w:rsid w:val="003B2DDF"/>
    <w:rsid w:val="003D7A30"/>
    <w:rsid w:val="003E4845"/>
    <w:rsid w:val="003F6A10"/>
    <w:rsid w:val="004035D6"/>
    <w:rsid w:val="00410B38"/>
    <w:rsid w:val="00411EC6"/>
    <w:rsid w:val="004346A9"/>
    <w:rsid w:val="00437B77"/>
    <w:rsid w:val="0044240A"/>
    <w:rsid w:val="004428B7"/>
    <w:rsid w:val="00444022"/>
    <w:rsid w:val="004512C2"/>
    <w:rsid w:val="004519A7"/>
    <w:rsid w:val="0045698F"/>
    <w:rsid w:val="00464C8E"/>
    <w:rsid w:val="00472906"/>
    <w:rsid w:val="00487F5B"/>
    <w:rsid w:val="004906F2"/>
    <w:rsid w:val="00497440"/>
    <w:rsid w:val="004A7665"/>
    <w:rsid w:val="004B33A8"/>
    <w:rsid w:val="004B36F9"/>
    <w:rsid w:val="004C6EC6"/>
    <w:rsid w:val="004D1D84"/>
    <w:rsid w:val="004D6263"/>
    <w:rsid w:val="004D62FC"/>
    <w:rsid w:val="004E3AF4"/>
    <w:rsid w:val="004F09A2"/>
    <w:rsid w:val="00514E88"/>
    <w:rsid w:val="0052297B"/>
    <w:rsid w:val="00526ECD"/>
    <w:rsid w:val="00541C6B"/>
    <w:rsid w:val="005456F3"/>
    <w:rsid w:val="00553138"/>
    <w:rsid w:val="00553C81"/>
    <w:rsid w:val="0055450C"/>
    <w:rsid w:val="005569D8"/>
    <w:rsid w:val="00567580"/>
    <w:rsid w:val="005725F0"/>
    <w:rsid w:val="00574B84"/>
    <w:rsid w:val="0058035C"/>
    <w:rsid w:val="005A1EB4"/>
    <w:rsid w:val="005A656D"/>
    <w:rsid w:val="005A76A2"/>
    <w:rsid w:val="005B54AA"/>
    <w:rsid w:val="005C1174"/>
    <w:rsid w:val="005C2F10"/>
    <w:rsid w:val="005C3FCB"/>
    <w:rsid w:val="005D1D4D"/>
    <w:rsid w:val="005F0611"/>
    <w:rsid w:val="006061E2"/>
    <w:rsid w:val="0061543E"/>
    <w:rsid w:val="00615A43"/>
    <w:rsid w:val="00616628"/>
    <w:rsid w:val="00616BF3"/>
    <w:rsid w:val="006217C2"/>
    <w:rsid w:val="0063680F"/>
    <w:rsid w:val="00644015"/>
    <w:rsid w:val="00644A3A"/>
    <w:rsid w:val="006452BE"/>
    <w:rsid w:val="0064724C"/>
    <w:rsid w:val="00652D0D"/>
    <w:rsid w:val="00666DAB"/>
    <w:rsid w:val="00674786"/>
    <w:rsid w:val="00675354"/>
    <w:rsid w:val="0067543E"/>
    <w:rsid w:val="00676D26"/>
    <w:rsid w:val="0068131D"/>
    <w:rsid w:val="00681A02"/>
    <w:rsid w:val="00690A2A"/>
    <w:rsid w:val="006943C8"/>
    <w:rsid w:val="0069738B"/>
    <w:rsid w:val="006A0CF4"/>
    <w:rsid w:val="006A0E08"/>
    <w:rsid w:val="006B23E7"/>
    <w:rsid w:val="006C5BB7"/>
    <w:rsid w:val="006E692B"/>
    <w:rsid w:val="006E6B9D"/>
    <w:rsid w:val="006F3E3E"/>
    <w:rsid w:val="006F5C5D"/>
    <w:rsid w:val="007051BC"/>
    <w:rsid w:val="00732D9C"/>
    <w:rsid w:val="0074076D"/>
    <w:rsid w:val="00747836"/>
    <w:rsid w:val="00774659"/>
    <w:rsid w:val="00785C8B"/>
    <w:rsid w:val="007900A5"/>
    <w:rsid w:val="00794F4D"/>
    <w:rsid w:val="00795025"/>
    <w:rsid w:val="007A1F2B"/>
    <w:rsid w:val="007A4403"/>
    <w:rsid w:val="007A79C4"/>
    <w:rsid w:val="007C48A1"/>
    <w:rsid w:val="007C59B8"/>
    <w:rsid w:val="007F2A7B"/>
    <w:rsid w:val="008017E0"/>
    <w:rsid w:val="008073DF"/>
    <w:rsid w:val="00811C26"/>
    <w:rsid w:val="00813477"/>
    <w:rsid w:val="00823440"/>
    <w:rsid w:val="00836DC9"/>
    <w:rsid w:val="00840241"/>
    <w:rsid w:val="00843AC1"/>
    <w:rsid w:val="00845A6C"/>
    <w:rsid w:val="00846D0D"/>
    <w:rsid w:val="00851802"/>
    <w:rsid w:val="00851A34"/>
    <w:rsid w:val="00865BB0"/>
    <w:rsid w:val="0087540E"/>
    <w:rsid w:val="008A0757"/>
    <w:rsid w:val="008A2BC1"/>
    <w:rsid w:val="008A4DE6"/>
    <w:rsid w:val="008C06AC"/>
    <w:rsid w:val="008C4A16"/>
    <w:rsid w:val="008D03A9"/>
    <w:rsid w:val="008D6436"/>
    <w:rsid w:val="008E50A9"/>
    <w:rsid w:val="00912111"/>
    <w:rsid w:val="00914C5F"/>
    <w:rsid w:val="0092105C"/>
    <w:rsid w:val="00926529"/>
    <w:rsid w:val="009448F4"/>
    <w:rsid w:val="0095149E"/>
    <w:rsid w:val="00975A43"/>
    <w:rsid w:val="00982FF1"/>
    <w:rsid w:val="009A2390"/>
    <w:rsid w:val="009B0CF7"/>
    <w:rsid w:val="009C1BCC"/>
    <w:rsid w:val="009C3732"/>
    <w:rsid w:val="009D1E74"/>
    <w:rsid w:val="009D5FA7"/>
    <w:rsid w:val="009D735B"/>
    <w:rsid w:val="009F12AA"/>
    <w:rsid w:val="009F7190"/>
    <w:rsid w:val="00A03BCD"/>
    <w:rsid w:val="00A31A5E"/>
    <w:rsid w:val="00A45E7B"/>
    <w:rsid w:val="00A555CF"/>
    <w:rsid w:val="00A6620F"/>
    <w:rsid w:val="00A87850"/>
    <w:rsid w:val="00A9497A"/>
    <w:rsid w:val="00A9796D"/>
    <w:rsid w:val="00AA045F"/>
    <w:rsid w:val="00AA5185"/>
    <w:rsid w:val="00AB25D6"/>
    <w:rsid w:val="00AB684D"/>
    <w:rsid w:val="00AD359C"/>
    <w:rsid w:val="00AF3709"/>
    <w:rsid w:val="00AF4861"/>
    <w:rsid w:val="00AF6853"/>
    <w:rsid w:val="00AF788B"/>
    <w:rsid w:val="00B13F2E"/>
    <w:rsid w:val="00B24A6C"/>
    <w:rsid w:val="00B255D9"/>
    <w:rsid w:val="00B459EB"/>
    <w:rsid w:val="00B55964"/>
    <w:rsid w:val="00B71C25"/>
    <w:rsid w:val="00B85CEC"/>
    <w:rsid w:val="00B927CF"/>
    <w:rsid w:val="00BA2C73"/>
    <w:rsid w:val="00BA395E"/>
    <w:rsid w:val="00BB0E37"/>
    <w:rsid w:val="00BB11AB"/>
    <w:rsid w:val="00BB2716"/>
    <w:rsid w:val="00BB5C19"/>
    <w:rsid w:val="00BB63BF"/>
    <w:rsid w:val="00BC45BD"/>
    <w:rsid w:val="00BC4F55"/>
    <w:rsid w:val="00BC633A"/>
    <w:rsid w:val="00BD0168"/>
    <w:rsid w:val="00BE1048"/>
    <w:rsid w:val="00BE2E57"/>
    <w:rsid w:val="00BE728E"/>
    <w:rsid w:val="00BF753E"/>
    <w:rsid w:val="00C0145C"/>
    <w:rsid w:val="00C018C3"/>
    <w:rsid w:val="00C02EB8"/>
    <w:rsid w:val="00C03E9D"/>
    <w:rsid w:val="00C13D2E"/>
    <w:rsid w:val="00C13D9A"/>
    <w:rsid w:val="00C203FB"/>
    <w:rsid w:val="00C32335"/>
    <w:rsid w:val="00C45554"/>
    <w:rsid w:val="00C50382"/>
    <w:rsid w:val="00C51DCF"/>
    <w:rsid w:val="00C614D5"/>
    <w:rsid w:val="00C65D06"/>
    <w:rsid w:val="00C8198C"/>
    <w:rsid w:val="00C875B3"/>
    <w:rsid w:val="00C9004A"/>
    <w:rsid w:val="00C93E5D"/>
    <w:rsid w:val="00CC3782"/>
    <w:rsid w:val="00CC6943"/>
    <w:rsid w:val="00CE4BFD"/>
    <w:rsid w:val="00CE6D73"/>
    <w:rsid w:val="00CE789B"/>
    <w:rsid w:val="00CF595E"/>
    <w:rsid w:val="00D0323B"/>
    <w:rsid w:val="00D03F1F"/>
    <w:rsid w:val="00D070F9"/>
    <w:rsid w:val="00D1706E"/>
    <w:rsid w:val="00D24F54"/>
    <w:rsid w:val="00D26299"/>
    <w:rsid w:val="00D40FA3"/>
    <w:rsid w:val="00D56395"/>
    <w:rsid w:val="00D63B98"/>
    <w:rsid w:val="00D675E0"/>
    <w:rsid w:val="00D91B77"/>
    <w:rsid w:val="00D91DDB"/>
    <w:rsid w:val="00D934DC"/>
    <w:rsid w:val="00D94F24"/>
    <w:rsid w:val="00DA0E4D"/>
    <w:rsid w:val="00DA3F0A"/>
    <w:rsid w:val="00DA4299"/>
    <w:rsid w:val="00DA557D"/>
    <w:rsid w:val="00DA614A"/>
    <w:rsid w:val="00DA6C7C"/>
    <w:rsid w:val="00DC4874"/>
    <w:rsid w:val="00DD30BD"/>
    <w:rsid w:val="00DE41F0"/>
    <w:rsid w:val="00DE6E23"/>
    <w:rsid w:val="00DE72F8"/>
    <w:rsid w:val="00DF02E0"/>
    <w:rsid w:val="00DF7B77"/>
    <w:rsid w:val="00E0105F"/>
    <w:rsid w:val="00E21C22"/>
    <w:rsid w:val="00E2716C"/>
    <w:rsid w:val="00E3128E"/>
    <w:rsid w:val="00E31FF9"/>
    <w:rsid w:val="00E40349"/>
    <w:rsid w:val="00E41DF1"/>
    <w:rsid w:val="00E43F4A"/>
    <w:rsid w:val="00E85B0D"/>
    <w:rsid w:val="00E86613"/>
    <w:rsid w:val="00E86734"/>
    <w:rsid w:val="00E93597"/>
    <w:rsid w:val="00E97DE9"/>
    <w:rsid w:val="00EB1470"/>
    <w:rsid w:val="00EB3828"/>
    <w:rsid w:val="00ED777C"/>
    <w:rsid w:val="00EE569C"/>
    <w:rsid w:val="00EE6042"/>
    <w:rsid w:val="00EF4CEA"/>
    <w:rsid w:val="00EF5264"/>
    <w:rsid w:val="00F1116F"/>
    <w:rsid w:val="00F12E75"/>
    <w:rsid w:val="00F2568E"/>
    <w:rsid w:val="00F26BA4"/>
    <w:rsid w:val="00F300CD"/>
    <w:rsid w:val="00F403C3"/>
    <w:rsid w:val="00F45EC7"/>
    <w:rsid w:val="00F468C4"/>
    <w:rsid w:val="00F671E1"/>
    <w:rsid w:val="00F85B27"/>
    <w:rsid w:val="00F919E3"/>
    <w:rsid w:val="00F924CC"/>
    <w:rsid w:val="00FA5FED"/>
    <w:rsid w:val="00FB057B"/>
    <w:rsid w:val="00FC13D6"/>
    <w:rsid w:val="00FC23A5"/>
    <w:rsid w:val="00FC4DB1"/>
    <w:rsid w:val="00FC5398"/>
    <w:rsid w:val="00FC5E06"/>
    <w:rsid w:val="00FD4966"/>
    <w:rsid w:val="00FE5240"/>
    <w:rsid w:val="00FF1F9D"/>
    <w:rsid w:val="00FF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8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40E"/>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540E"/>
  </w:style>
  <w:style w:type="paragraph" w:customStyle="1" w:styleId="Level1">
    <w:name w:val="Level 1"/>
    <w:basedOn w:val="Normal"/>
    <w:rsid w:val="0087540E"/>
    <w:pPr>
      <w:numPr>
        <w:numId w:val="1"/>
      </w:numPr>
      <w:ind w:left="720" w:hanging="720"/>
      <w:outlineLvl w:val="0"/>
    </w:pPr>
  </w:style>
  <w:style w:type="character" w:customStyle="1" w:styleId="Hypertext">
    <w:name w:val="Hypertext"/>
    <w:rsid w:val="0087540E"/>
    <w:rPr>
      <w:color w:val="0000FF"/>
      <w:u w:val="single"/>
    </w:rPr>
  </w:style>
  <w:style w:type="paragraph" w:styleId="EndnoteText">
    <w:name w:val="endnote text"/>
    <w:basedOn w:val="Normal"/>
    <w:semiHidden/>
    <w:rsid w:val="0087540E"/>
    <w:rPr>
      <w:szCs w:val="20"/>
    </w:rPr>
  </w:style>
  <w:style w:type="character" w:styleId="EndnoteReference">
    <w:name w:val="endnote reference"/>
    <w:semiHidden/>
    <w:rsid w:val="0087540E"/>
    <w:rPr>
      <w:vertAlign w:val="superscript"/>
    </w:rPr>
  </w:style>
  <w:style w:type="paragraph" w:styleId="Title">
    <w:name w:val="Title"/>
    <w:basedOn w:val="Normal"/>
    <w:qFormat/>
    <w:rsid w:val="0087540E"/>
    <w:pPr>
      <w:widowControl/>
      <w:autoSpaceDE/>
      <w:autoSpaceDN/>
      <w:adjustRightInd/>
      <w:jc w:val="center"/>
    </w:pPr>
    <w:rPr>
      <w:b/>
      <w:bCs/>
      <w:sz w:val="32"/>
    </w:rPr>
  </w:style>
  <w:style w:type="character" w:styleId="CommentReference">
    <w:name w:val="annotation reference"/>
    <w:uiPriority w:val="99"/>
    <w:rsid w:val="0068131D"/>
    <w:rPr>
      <w:sz w:val="16"/>
      <w:szCs w:val="16"/>
    </w:rPr>
  </w:style>
  <w:style w:type="paragraph" w:styleId="CommentText">
    <w:name w:val="annotation text"/>
    <w:basedOn w:val="Normal"/>
    <w:link w:val="CommentTextChar"/>
    <w:uiPriority w:val="99"/>
    <w:rsid w:val="0068131D"/>
    <w:rPr>
      <w:szCs w:val="20"/>
    </w:rPr>
  </w:style>
  <w:style w:type="character" w:customStyle="1" w:styleId="CommentTextChar">
    <w:name w:val="Comment Text Char"/>
    <w:basedOn w:val="DefaultParagraphFont"/>
    <w:link w:val="CommentText"/>
    <w:uiPriority w:val="99"/>
    <w:rsid w:val="0068131D"/>
  </w:style>
  <w:style w:type="paragraph" w:styleId="CommentSubject">
    <w:name w:val="annotation subject"/>
    <w:basedOn w:val="CommentText"/>
    <w:next w:val="CommentText"/>
    <w:link w:val="CommentSubjectChar"/>
    <w:rsid w:val="0068131D"/>
    <w:rPr>
      <w:b/>
      <w:bCs/>
    </w:rPr>
  </w:style>
  <w:style w:type="character" w:customStyle="1" w:styleId="CommentSubjectChar">
    <w:name w:val="Comment Subject Char"/>
    <w:link w:val="CommentSubject"/>
    <w:rsid w:val="0068131D"/>
    <w:rPr>
      <w:b/>
      <w:bCs/>
    </w:rPr>
  </w:style>
  <w:style w:type="paragraph" w:styleId="BalloonText">
    <w:name w:val="Balloon Text"/>
    <w:basedOn w:val="Normal"/>
    <w:link w:val="BalloonTextChar"/>
    <w:rsid w:val="0068131D"/>
    <w:rPr>
      <w:rFonts w:ascii="Tahoma" w:hAnsi="Tahoma" w:cs="Tahoma"/>
      <w:sz w:val="16"/>
      <w:szCs w:val="16"/>
    </w:rPr>
  </w:style>
  <w:style w:type="character" w:customStyle="1" w:styleId="BalloonTextChar">
    <w:name w:val="Balloon Text Char"/>
    <w:link w:val="BalloonText"/>
    <w:rsid w:val="0068131D"/>
    <w:rPr>
      <w:rFonts w:ascii="Tahoma" w:hAnsi="Tahoma" w:cs="Tahoma"/>
      <w:sz w:val="16"/>
      <w:szCs w:val="16"/>
    </w:rPr>
  </w:style>
  <w:style w:type="character" w:styleId="Hyperlink">
    <w:name w:val="Hyperlink"/>
    <w:rsid w:val="00F919E3"/>
    <w:rPr>
      <w:color w:val="0000FF"/>
      <w:u w:val="single"/>
    </w:rPr>
  </w:style>
  <w:style w:type="paragraph" w:styleId="ListParagraph">
    <w:name w:val="List Paragraph"/>
    <w:basedOn w:val="Normal"/>
    <w:uiPriority w:val="34"/>
    <w:qFormat/>
    <w:rsid w:val="00BC4F55"/>
    <w:pPr>
      <w:widowControl/>
      <w:autoSpaceDE/>
      <w:autoSpaceDN/>
      <w:adjustRightInd/>
      <w:ind w:left="720"/>
      <w:contextualSpacing/>
    </w:pPr>
    <w:rPr>
      <w:rFonts w:ascii="Calibri" w:eastAsia="Calibri" w:hAnsi="Calibri"/>
      <w:sz w:val="24"/>
    </w:rPr>
  </w:style>
  <w:style w:type="paragraph" w:styleId="BodyText2">
    <w:name w:val="Body Text 2"/>
    <w:basedOn w:val="Normal"/>
    <w:link w:val="BodyText2Char"/>
    <w:rsid w:val="00C9004A"/>
    <w:rPr>
      <w:sz w:val="24"/>
    </w:rPr>
  </w:style>
  <w:style w:type="character" w:customStyle="1" w:styleId="BodyText2Char">
    <w:name w:val="Body Text 2 Char"/>
    <w:basedOn w:val="DefaultParagraphFont"/>
    <w:link w:val="BodyText2"/>
    <w:rsid w:val="00C9004A"/>
    <w:rPr>
      <w:sz w:val="24"/>
      <w:szCs w:val="24"/>
    </w:rPr>
  </w:style>
  <w:style w:type="character" w:styleId="FollowedHyperlink">
    <w:name w:val="FollowedHyperlink"/>
    <w:basedOn w:val="DefaultParagraphFont"/>
    <w:rsid w:val="00DF02E0"/>
    <w:rPr>
      <w:color w:val="954F72" w:themeColor="followedHyperlink"/>
      <w:u w:val="single"/>
    </w:rPr>
  </w:style>
  <w:style w:type="paragraph" w:styleId="E-mailSignature">
    <w:name w:val="E-mail Signature"/>
    <w:basedOn w:val="Normal"/>
    <w:link w:val="E-mailSignatureChar"/>
    <w:rsid w:val="00D0323B"/>
    <w:pPr>
      <w:widowControl/>
      <w:autoSpaceDE/>
      <w:autoSpaceDN/>
      <w:adjustRightInd/>
    </w:pPr>
    <w:rPr>
      <w:sz w:val="24"/>
    </w:rPr>
  </w:style>
  <w:style w:type="character" w:customStyle="1" w:styleId="E-mailSignatureChar">
    <w:name w:val="E-mail Signature Char"/>
    <w:basedOn w:val="DefaultParagraphFont"/>
    <w:link w:val="E-mailSignature"/>
    <w:rsid w:val="00D0323B"/>
    <w:rPr>
      <w:sz w:val="24"/>
      <w:szCs w:val="24"/>
    </w:rPr>
  </w:style>
  <w:style w:type="paragraph" w:customStyle="1" w:styleId="T0-ChapPgHd">
    <w:name w:val="T0-Chap/Pg Hd"/>
    <w:rsid w:val="00464C8E"/>
    <w:pPr>
      <w:tabs>
        <w:tab w:val="left" w:pos="8640"/>
      </w:tabs>
      <w:spacing w:line="240" w:lineRule="atLeast"/>
      <w:jc w:val="both"/>
    </w:pPr>
    <w:rPr>
      <w:sz w:val="24"/>
      <w:szCs w:val="24"/>
      <w:u w:val="words"/>
    </w:rPr>
  </w:style>
  <w:style w:type="paragraph" w:styleId="TOC1">
    <w:name w:val="toc 1"/>
    <w:basedOn w:val="Normal"/>
    <w:autoRedefine/>
    <w:rsid w:val="00464C8E"/>
    <w:pPr>
      <w:widowControl/>
      <w:tabs>
        <w:tab w:val="left" w:pos="1440"/>
        <w:tab w:val="right" w:leader="dot" w:pos="8208"/>
        <w:tab w:val="left" w:pos="8640"/>
      </w:tabs>
      <w:autoSpaceDE/>
      <w:autoSpaceDN/>
      <w:adjustRightInd/>
      <w:spacing w:line="240" w:lineRule="atLeast"/>
      <w:ind w:left="288"/>
    </w:pPr>
    <w:rPr>
      <w:caps/>
      <w:sz w:val="24"/>
    </w:rPr>
  </w:style>
  <w:style w:type="paragraph" w:styleId="TOC2">
    <w:name w:val="toc 2"/>
    <w:basedOn w:val="Normal"/>
    <w:autoRedefine/>
    <w:uiPriority w:val="39"/>
    <w:rsid w:val="00464C8E"/>
    <w:pPr>
      <w:widowControl/>
      <w:tabs>
        <w:tab w:val="left" w:pos="2160"/>
        <w:tab w:val="right" w:leader="dot" w:pos="8208"/>
        <w:tab w:val="left" w:pos="8640"/>
      </w:tabs>
      <w:autoSpaceDE/>
      <w:autoSpaceDN/>
      <w:adjustRightInd/>
      <w:spacing w:line="240" w:lineRule="atLeast"/>
      <w:ind w:left="2160" w:hanging="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40E"/>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540E"/>
  </w:style>
  <w:style w:type="paragraph" w:customStyle="1" w:styleId="Level1">
    <w:name w:val="Level 1"/>
    <w:basedOn w:val="Normal"/>
    <w:rsid w:val="0087540E"/>
    <w:pPr>
      <w:numPr>
        <w:numId w:val="1"/>
      </w:numPr>
      <w:ind w:left="720" w:hanging="720"/>
      <w:outlineLvl w:val="0"/>
    </w:pPr>
  </w:style>
  <w:style w:type="character" w:customStyle="1" w:styleId="Hypertext">
    <w:name w:val="Hypertext"/>
    <w:rsid w:val="0087540E"/>
    <w:rPr>
      <w:color w:val="0000FF"/>
      <w:u w:val="single"/>
    </w:rPr>
  </w:style>
  <w:style w:type="paragraph" w:styleId="EndnoteText">
    <w:name w:val="endnote text"/>
    <w:basedOn w:val="Normal"/>
    <w:semiHidden/>
    <w:rsid w:val="0087540E"/>
    <w:rPr>
      <w:szCs w:val="20"/>
    </w:rPr>
  </w:style>
  <w:style w:type="character" w:styleId="EndnoteReference">
    <w:name w:val="endnote reference"/>
    <w:semiHidden/>
    <w:rsid w:val="0087540E"/>
    <w:rPr>
      <w:vertAlign w:val="superscript"/>
    </w:rPr>
  </w:style>
  <w:style w:type="paragraph" w:styleId="Title">
    <w:name w:val="Title"/>
    <w:basedOn w:val="Normal"/>
    <w:qFormat/>
    <w:rsid w:val="0087540E"/>
    <w:pPr>
      <w:widowControl/>
      <w:autoSpaceDE/>
      <w:autoSpaceDN/>
      <w:adjustRightInd/>
      <w:jc w:val="center"/>
    </w:pPr>
    <w:rPr>
      <w:b/>
      <w:bCs/>
      <w:sz w:val="32"/>
    </w:rPr>
  </w:style>
  <w:style w:type="character" w:styleId="CommentReference">
    <w:name w:val="annotation reference"/>
    <w:uiPriority w:val="99"/>
    <w:rsid w:val="0068131D"/>
    <w:rPr>
      <w:sz w:val="16"/>
      <w:szCs w:val="16"/>
    </w:rPr>
  </w:style>
  <w:style w:type="paragraph" w:styleId="CommentText">
    <w:name w:val="annotation text"/>
    <w:basedOn w:val="Normal"/>
    <w:link w:val="CommentTextChar"/>
    <w:uiPriority w:val="99"/>
    <w:rsid w:val="0068131D"/>
    <w:rPr>
      <w:szCs w:val="20"/>
    </w:rPr>
  </w:style>
  <w:style w:type="character" w:customStyle="1" w:styleId="CommentTextChar">
    <w:name w:val="Comment Text Char"/>
    <w:basedOn w:val="DefaultParagraphFont"/>
    <w:link w:val="CommentText"/>
    <w:uiPriority w:val="99"/>
    <w:rsid w:val="0068131D"/>
  </w:style>
  <w:style w:type="paragraph" w:styleId="CommentSubject">
    <w:name w:val="annotation subject"/>
    <w:basedOn w:val="CommentText"/>
    <w:next w:val="CommentText"/>
    <w:link w:val="CommentSubjectChar"/>
    <w:rsid w:val="0068131D"/>
    <w:rPr>
      <w:b/>
      <w:bCs/>
    </w:rPr>
  </w:style>
  <w:style w:type="character" w:customStyle="1" w:styleId="CommentSubjectChar">
    <w:name w:val="Comment Subject Char"/>
    <w:link w:val="CommentSubject"/>
    <w:rsid w:val="0068131D"/>
    <w:rPr>
      <w:b/>
      <w:bCs/>
    </w:rPr>
  </w:style>
  <w:style w:type="paragraph" w:styleId="BalloonText">
    <w:name w:val="Balloon Text"/>
    <w:basedOn w:val="Normal"/>
    <w:link w:val="BalloonTextChar"/>
    <w:rsid w:val="0068131D"/>
    <w:rPr>
      <w:rFonts w:ascii="Tahoma" w:hAnsi="Tahoma" w:cs="Tahoma"/>
      <w:sz w:val="16"/>
      <w:szCs w:val="16"/>
    </w:rPr>
  </w:style>
  <w:style w:type="character" w:customStyle="1" w:styleId="BalloonTextChar">
    <w:name w:val="Balloon Text Char"/>
    <w:link w:val="BalloonText"/>
    <w:rsid w:val="0068131D"/>
    <w:rPr>
      <w:rFonts w:ascii="Tahoma" w:hAnsi="Tahoma" w:cs="Tahoma"/>
      <w:sz w:val="16"/>
      <w:szCs w:val="16"/>
    </w:rPr>
  </w:style>
  <w:style w:type="character" w:styleId="Hyperlink">
    <w:name w:val="Hyperlink"/>
    <w:rsid w:val="00F919E3"/>
    <w:rPr>
      <w:color w:val="0000FF"/>
      <w:u w:val="single"/>
    </w:rPr>
  </w:style>
  <w:style w:type="paragraph" w:styleId="ListParagraph">
    <w:name w:val="List Paragraph"/>
    <w:basedOn w:val="Normal"/>
    <w:uiPriority w:val="34"/>
    <w:qFormat/>
    <w:rsid w:val="00BC4F55"/>
    <w:pPr>
      <w:widowControl/>
      <w:autoSpaceDE/>
      <w:autoSpaceDN/>
      <w:adjustRightInd/>
      <w:ind w:left="720"/>
      <w:contextualSpacing/>
    </w:pPr>
    <w:rPr>
      <w:rFonts w:ascii="Calibri" w:eastAsia="Calibri" w:hAnsi="Calibri"/>
      <w:sz w:val="24"/>
    </w:rPr>
  </w:style>
  <w:style w:type="paragraph" w:styleId="BodyText2">
    <w:name w:val="Body Text 2"/>
    <w:basedOn w:val="Normal"/>
    <w:link w:val="BodyText2Char"/>
    <w:rsid w:val="00C9004A"/>
    <w:rPr>
      <w:sz w:val="24"/>
    </w:rPr>
  </w:style>
  <w:style w:type="character" w:customStyle="1" w:styleId="BodyText2Char">
    <w:name w:val="Body Text 2 Char"/>
    <w:basedOn w:val="DefaultParagraphFont"/>
    <w:link w:val="BodyText2"/>
    <w:rsid w:val="00C9004A"/>
    <w:rPr>
      <w:sz w:val="24"/>
      <w:szCs w:val="24"/>
    </w:rPr>
  </w:style>
  <w:style w:type="character" w:styleId="FollowedHyperlink">
    <w:name w:val="FollowedHyperlink"/>
    <w:basedOn w:val="DefaultParagraphFont"/>
    <w:rsid w:val="00DF02E0"/>
    <w:rPr>
      <w:color w:val="954F72" w:themeColor="followedHyperlink"/>
      <w:u w:val="single"/>
    </w:rPr>
  </w:style>
  <w:style w:type="paragraph" w:styleId="E-mailSignature">
    <w:name w:val="E-mail Signature"/>
    <w:basedOn w:val="Normal"/>
    <w:link w:val="E-mailSignatureChar"/>
    <w:rsid w:val="00D0323B"/>
    <w:pPr>
      <w:widowControl/>
      <w:autoSpaceDE/>
      <w:autoSpaceDN/>
      <w:adjustRightInd/>
    </w:pPr>
    <w:rPr>
      <w:sz w:val="24"/>
    </w:rPr>
  </w:style>
  <w:style w:type="character" w:customStyle="1" w:styleId="E-mailSignatureChar">
    <w:name w:val="E-mail Signature Char"/>
    <w:basedOn w:val="DefaultParagraphFont"/>
    <w:link w:val="E-mailSignature"/>
    <w:rsid w:val="00D0323B"/>
    <w:rPr>
      <w:sz w:val="24"/>
      <w:szCs w:val="24"/>
    </w:rPr>
  </w:style>
  <w:style w:type="paragraph" w:customStyle="1" w:styleId="T0-ChapPgHd">
    <w:name w:val="T0-Chap/Pg Hd"/>
    <w:rsid w:val="00464C8E"/>
    <w:pPr>
      <w:tabs>
        <w:tab w:val="left" w:pos="8640"/>
      </w:tabs>
      <w:spacing w:line="240" w:lineRule="atLeast"/>
      <w:jc w:val="both"/>
    </w:pPr>
    <w:rPr>
      <w:sz w:val="24"/>
      <w:szCs w:val="24"/>
      <w:u w:val="words"/>
    </w:rPr>
  </w:style>
  <w:style w:type="paragraph" w:styleId="TOC1">
    <w:name w:val="toc 1"/>
    <w:basedOn w:val="Normal"/>
    <w:autoRedefine/>
    <w:rsid w:val="00464C8E"/>
    <w:pPr>
      <w:widowControl/>
      <w:tabs>
        <w:tab w:val="left" w:pos="1440"/>
        <w:tab w:val="right" w:leader="dot" w:pos="8208"/>
        <w:tab w:val="left" w:pos="8640"/>
      </w:tabs>
      <w:autoSpaceDE/>
      <w:autoSpaceDN/>
      <w:adjustRightInd/>
      <w:spacing w:line="240" w:lineRule="atLeast"/>
      <w:ind w:left="288"/>
    </w:pPr>
    <w:rPr>
      <w:caps/>
      <w:sz w:val="24"/>
    </w:rPr>
  </w:style>
  <w:style w:type="paragraph" w:styleId="TOC2">
    <w:name w:val="toc 2"/>
    <w:basedOn w:val="Normal"/>
    <w:autoRedefine/>
    <w:uiPriority w:val="39"/>
    <w:rsid w:val="00464C8E"/>
    <w:pPr>
      <w:widowControl/>
      <w:tabs>
        <w:tab w:val="left" w:pos="2160"/>
        <w:tab w:val="right" w:leader="dot" w:pos="8208"/>
        <w:tab w:val="left" w:pos="8640"/>
      </w:tabs>
      <w:autoSpaceDE/>
      <w:autoSpaceDN/>
      <w:adjustRightInd/>
      <w:spacing w:line="240" w:lineRule="atLeast"/>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37799">
      <w:bodyDiv w:val="1"/>
      <w:marLeft w:val="0"/>
      <w:marRight w:val="0"/>
      <w:marTop w:val="0"/>
      <w:marBottom w:val="0"/>
      <w:divBdr>
        <w:top w:val="none" w:sz="0" w:space="0" w:color="auto"/>
        <w:left w:val="none" w:sz="0" w:space="0" w:color="auto"/>
        <w:bottom w:val="none" w:sz="0" w:space="0" w:color="auto"/>
        <w:right w:val="none" w:sz="0" w:space="0" w:color="auto"/>
      </w:divBdr>
    </w:div>
    <w:div w:id="13421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ha.org/system/files/2018-07/2018-chartbook-table-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VUADPPQRPPK6-1564171637-3077</_dlc_DocId>
    <_dlc_DocIdUrl xmlns="004a172f-e16f-4887-a47b-3990e8128e1e">
      <Url>https://esp.cdc.gov/sites/ncipc/DUIP/hstsb/_layouts/15/DocIdRedir.aspx?ID=VUADPPQRPPK6-1564171637-3077</Url>
      <Description>VUADPPQRPPK6-1564171637-3077</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CF7C-B9E4-47EB-A662-6136C8721471}">
  <ds:schemaRefs>
    <ds:schemaRef ds:uri="http://schemas.microsoft.com/sharepoint/events"/>
  </ds:schemaRefs>
</ds:datastoreItem>
</file>

<file path=customXml/itemProps2.xml><?xml version="1.0" encoding="utf-8"?>
<ds:datastoreItem xmlns:ds="http://schemas.openxmlformats.org/officeDocument/2006/customXml" ds:itemID="{F087ED22-4BAC-4D33-9AFE-7014D4D4E1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4a172f-e16f-4887-a47b-3990e8128e1e"/>
    <ds:schemaRef ds:uri="http://www.w3.org/XML/1998/namespace"/>
    <ds:schemaRef ds:uri="http://purl.org/dc/dcmitype/"/>
  </ds:schemaRefs>
</ds:datastoreItem>
</file>

<file path=customXml/itemProps3.xml><?xml version="1.0" encoding="utf-8"?>
<ds:datastoreItem xmlns:ds="http://schemas.openxmlformats.org/officeDocument/2006/customXml" ds:itemID="{450EDF9E-EF25-4CB3-8692-B90E82D729DA}">
  <ds:schemaRefs>
    <ds:schemaRef ds:uri="http://schemas.microsoft.com/office/2006/metadata/longProperties"/>
  </ds:schemaRefs>
</ds:datastoreItem>
</file>

<file path=customXml/itemProps4.xml><?xml version="1.0" encoding="utf-8"?>
<ds:datastoreItem xmlns:ds="http://schemas.openxmlformats.org/officeDocument/2006/customXml" ds:itemID="{59F32C9A-EB7E-4445-9359-4F0998B2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945810-199B-47CE-A416-3CF60CF4E6E4}">
  <ds:schemaRefs>
    <ds:schemaRef ds:uri="http://schemas.microsoft.com/sharepoint/v3/contenttype/forms"/>
  </ds:schemaRefs>
</ds:datastoreItem>
</file>

<file path=customXml/itemProps6.xml><?xml version="1.0" encoding="utf-8"?>
<ds:datastoreItem xmlns:ds="http://schemas.openxmlformats.org/officeDocument/2006/customXml" ds:itemID="{90E3196A-A2E3-4F31-A81D-568A82F3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3522</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vt:lpstr>
    </vt:vector>
  </TitlesOfParts>
  <Company>ITSO</Company>
  <LinksUpToDate>false</LinksUpToDate>
  <CharactersWithSpaces>23556</CharactersWithSpaces>
  <SharedDoc>false</SharedDoc>
  <HLinks>
    <vt:vector size="6" baseType="variant">
      <vt:variant>
        <vt:i4>1441905</vt:i4>
      </vt:variant>
      <vt:variant>
        <vt:i4>0</vt:i4>
      </vt:variant>
      <vt:variant>
        <vt:i4>0</vt:i4>
      </vt:variant>
      <vt:variant>
        <vt:i4>5</vt:i4>
      </vt:variant>
      <vt:variant>
        <vt:lpwstr>mailto:gkv7@cdc.gov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fmc7</dc:creator>
  <cp:keywords/>
  <cp:lastModifiedBy>SYSTEM</cp:lastModifiedBy>
  <cp:revision>2</cp:revision>
  <cp:lastPrinted>2012-09-12T07:21:00Z</cp:lastPrinted>
  <dcterms:created xsi:type="dcterms:W3CDTF">2019-06-13T17:53:00Z</dcterms:created>
  <dcterms:modified xsi:type="dcterms:W3CDTF">2019-06-13T17:53:00Z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VUADPPQRPPK6-1564171637-1833</vt:lpwstr>
  </property>
  <property fmtid="{D5CDD505-2E9C-101B-9397-08002B2CF9AE}" pid="3" name="_dlc_DocIdItemGuid">
    <vt:lpwstr>97d2cfb7-6f36-46bd-97b8-2344b3af273c</vt:lpwstr>
  </property>
  <property fmtid="{D5CDD505-2E9C-101B-9397-08002B2CF9AE}" pid="4" name="_dlc_DocIdUrl">
    <vt:lpwstr>https://esp.cdc.gov/sites/ncipc/DUIP/hstsb/_layouts/15/DocIdRedir.aspx?ID=VUADPPQRPPK6-1564171637-1833, VUADPPQRPPK6-1564171637-1833</vt:lpwstr>
  </property>
  <property fmtid="{D5CDD505-2E9C-101B-9397-08002B2CF9AE}" pid="5" name="ContentTypeId">
    <vt:lpwstr>0x010100EBD83616BFDCEF4E91B1E5120BDC4550</vt:lpwstr>
  </property>
</Properties>
</file>