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1DC3D" w14:textId="77777777" w:rsidR="00AE275D" w:rsidRPr="00942387" w:rsidRDefault="00AE275D" w:rsidP="00942387">
      <w:pPr>
        <w:spacing w:after="0" w:line="240" w:lineRule="auto"/>
        <w:jc w:val="center"/>
        <w:rPr>
          <w:rFonts w:ascii="Arial" w:hAnsi="Arial" w:cs="Arial"/>
          <w:b/>
        </w:rPr>
      </w:pPr>
      <w:bookmarkStart w:id="0" w:name="_GoBack"/>
      <w:bookmarkEnd w:id="0"/>
      <w:r w:rsidRPr="00942387">
        <w:rPr>
          <w:rFonts w:ascii="Arial" w:hAnsi="Arial" w:cs="Arial"/>
          <w:b/>
        </w:rPr>
        <w:t>The National Intimate Partner and Sexual Violence Survey (NISVS)</w:t>
      </w:r>
    </w:p>
    <w:p w14:paraId="7CC5BCBD" w14:textId="1CEF3355" w:rsidR="00532434" w:rsidRPr="00942387" w:rsidRDefault="00532434" w:rsidP="00532434">
      <w:pPr>
        <w:pStyle w:val="Heading1"/>
        <w:tabs>
          <w:tab w:val="right" w:pos="10080"/>
        </w:tabs>
        <w:jc w:val="center"/>
        <w:rPr>
          <w:rFonts w:ascii="Arial" w:hAnsi="Arial" w:cs="Arial"/>
          <w:sz w:val="22"/>
          <w:szCs w:val="22"/>
        </w:rPr>
      </w:pPr>
      <w:r>
        <w:rPr>
          <w:rFonts w:ascii="Arial" w:hAnsi="Arial" w:cs="Arial"/>
          <w:sz w:val="22"/>
          <w:szCs w:val="22"/>
        </w:rPr>
        <w:t xml:space="preserve"> (OMB no. </w:t>
      </w:r>
      <w:r w:rsidRPr="00942387">
        <w:rPr>
          <w:rFonts w:ascii="Arial" w:hAnsi="Arial" w:cs="Arial"/>
          <w:b/>
          <w:sz w:val="22"/>
          <w:szCs w:val="22"/>
        </w:rPr>
        <w:t>0920-0822</w:t>
      </w:r>
      <w:r w:rsidRPr="00942387">
        <w:rPr>
          <w:rFonts w:ascii="Arial" w:hAnsi="Arial" w:cs="Arial"/>
          <w:sz w:val="22"/>
          <w:szCs w:val="22"/>
        </w:rPr>
        <w:t xml:space="preserve"> exp. date </w:t>
      </w:r>
      <w:r>
        <w:rPr>
          <w:rFonts w:ascii="Arial" w:hAnsi="Arial" w:cs="Arial"/>
          <w:sz w:val="22"/>
          <w:szCs w:val="22"/>
        </w:rPr>
        <w:t>2/29/2020</w:t>
      </w:r>
      <w:r w:rsidRPr="00942387">
        <w:rPr>
          <w:rFonts w:ascii="Arial" w:hAnsi="Arial" w:cs="Arial"/>
          <w:sz w:val="22"/>
          <w:szCs w:val="22"/>
        </w:rPr>
        <w:t>)</w:t>
      </w:r>
    </w:p>
    <w:p w14:paraId="48E68E14" w14:textId="77777777" w:rsidR="00532434" w:rsidRPr="00942387" w:rsidRDefault="00532434" w:rsidP="00532434">
      <w:pPr>
        <w:spacing w:after="0" w:line="240" w:lineRule="auto"/>
        <w:rPr>
          <w:rFonts w:ascii="Arial" w:hAnsi="Arial" w:cs="Arial"/>
        </w:rPr>
      </w:pPr>
    </w:p>
    <w:p w14:paraId="4FE57300" w14:textId="77777777" w:rsidR="00532434" w:rsidRPr="00942387" w:rsidRDefault="00532434" w:rsidP="00532434">
      <w:pPr>
        <w:pStyle w:val="Heading1"/>
        <w:tabs>
          <w:tab w:val="right" w:pos="10080"/>
        </w:tabs>
        <w:jc w:val="center"/>
        <w:rPr>
          <w:rFonts w:ascii="Arial" w:hAnsi="Arial" w:cs="Arial"/>
          <w:b/>
          <w:bCs/>
          <w:sz w:val="22"/>
          <w:szCs w:val="22"/>
        </w:rPr>
      </w:pPr>
      <w:r w:rsidRPr="00942387">
        <w:rPr>
          <w:rFonts w:ascii="Arial" w:hAnsi="Arial" w:cs="Arial"/>
          <w:b/>
          <w:bCs/>
          <w:sz w:val="22"/>
          <w:szCs w:val="22"/>
        </w:rPr>
        <w:t>Proposed Changes: Justification and Overview</w:t>
      </w:r>
    </w:p>
    <w:p w14:paraId="3079A9C2" w14:textId="4AE3F17F" w:rsidR="00532434" w:rsidRPr="00942387" w:rsidRDefault="00532434" w:rsidP="00532434">
      <w:pPr>
        <w:spacing w:after="0" w:line="240" w:lineRule="auto"/>
        <w:jc w:val="center"/>
        <w:rPr>
          <w:rFonts w:ascii="Arial" w:hAnsi="Arial" w:cs="Arial"/>
        </w:rPr>
      </w:pPr>
      <w:r>
        <w:rPr>
          <w:rFonts w:ascii="Arial" w:hAnsi="Arial" w:cs="Arial"/>
        </w:rPr>
        <w:t>March 14, 2019</w:t>
      </w:r>
    </w:p>
    <w:p w14:paraId="46723A63" w14:textId="77777777" w:rsidR="00532434" w:rsidRPr="00942387" w:rsidRDefault="00532434" w:rsidP="00532434">
      <w:pPr>
        <w:spacing w:after="0" w:line="240" w:lineRule="auto"/>
        <w:rPr>
          <w:rFonts w:ascii="Arial" w:hAnsi="Arial" w:cs="Arial"/>
        </w:rPr>
      </w:pPr>
    </w:p>
    <w:p w14:paraId="6EDAAB71" w14:textId="77777777" w:rsidR="00532434" w:rsidRDefault="00532434" w:rsidP="00532434">
      <w:pPr>
        <w:pStyle w:val="Heading1"/>
        <w:tabs>
          <w:tab w:val="right" w:pos="10080"/>
        </w:tabs>
        <w:rPr>
          <w:rFonts w:ascii="Arial" w:hAnsi="Arial" w:cs="Arial"/>
          <w:b/>
          <w:sz w:val="22"/>
          <w:szCs w:val="22"/>
        </w:rPr>
      </w:pPr>
      <w:r w:rsidRPr="00942387">
        <w:rPr>
          <w:rFonts w:ascii="Arial" w:hAnsi="Arial" w:cs="Arial"/>
          <w:b/>
          <w:sz w:val="22"/>
          <w:szCs w:val="22"/>
        </w:rPr>
        <w:t>Justification</w:t>
      </w:r>
    </w:p>
    <w:p w14:paraId="5471685E" w14:textId="094499BB" w:rsidR="00532434" w:rsidRPr="00532434" w:rsidRDefault="00532434" w:rsidP="00532434">
      <w:pPr>
        <w:spacing w:after="0" w:line="240" w:lineRule="auto"/>
        <w:rPr>
          <w:rFonts w:ascii="Arial" w:hAnsi="Arial" w:cs="Arial"/>
        </w:rPr>
      </w:pPr>
      <w:r w:rsidRPr="00532434">
        <w:rPr>
          <w:rFonts w:ascii="Arial" w:hAnsi="Arial" w:cs="Arial"/>
        </w:rPr>
        <w:t xml:space="preserve">This document serves as a </w:t>
      </w:r>
      <w:r>
        <w:rPr>
          <w:rFonts w:ascii="Arial" w:hAnsi="Arial" w:cs="Arial"/>
        </w:rPr>
        <w:t>change</w:t>
      </w:r>
      <w:r w:rsidRPr="00532434">
        <w:rPr>
          <w:rFonts w:ascii="Arial" w:hAnsi="Arial" w:cs="Arial"/>
        </w:rPr>
        <w:t xml:space="preserve"> request for the currently approved National Intimate Partner and Sexual Violence Survey - </w:t>
      </w:r>
      <w:r w:rsidRPr="00F80BC5">
        <w:rPr>
          <w:rFonts w:ascii="Arial" w:hAnsi="Arial" w:cs="Arial"/>
        </w:rPr>
        <w:t>OMB# 0920-0822, expiration date 02/29/2020</w:t>
      </w:r>
      <w:r w:rsidRPr="00532434">
        <w:rPr>
          <w:rFonts w:ascii="Arial" w:hAnsi="Arial" w:cs="Arial"/>
        </w:rPr>
        <w:t xml:space="preserve"> for the first phase of developmental activity, which is inclusive of cognitive testing of the new and revised survey instruments. </w:t>
      </w:r>
    </w:p>
    <w:p w14:paraId="11344300" w14:textId="77777777" w:rsidR="00532434" w:rsidRDefault="00532434" w:rsidP="00532434">
      <w:pPr>
        <w:spacing w:after="0" w:line="240" w:lineRule="auto"/>
        <w:rPr>
          <w:rFonts w:ascii="Arial" w:hAnsi="Arial" w:cs="Arial"/>
        </w:rPr>
      </w:pPr>
    </w:p>
    <w:p w14:paraId="1E06E3C1" w14:textId="7936AC11" w:rsidR="00532434" w:rsidRPr="00942387" w:rsidRDefault="00532434" w:rsidP="00532434">
      <w:pPr>
        <w:spacing w:after="0" w:line="240" w:lineRule="auto"/>
        <w:rPr>
          <w:rFonts w:ascii="Arial" w:hAnsi="Arial" w:cs="Arial"/>
        </w:rPr>
      </w:pPr>
      <w:r>
        <w:rPr>
          <w:rFonts w:ascii="Arial" w:hAnsi="Arial" w:cs="Arial"/>
        </w:rPr>
        <w:t>In late 2017</w:t>
      </w:r>
      <w:r w:rsidRPr="00942387">
        <w:rPr>
          <w:rFonts w:ascii="Arial" w:hAnsi="Arial" w:cs="Arial"/>
        </w:rPr>
        <w:t>, CDC learned that the survey’s response rates had declined substantially during the 2016/17 data collection compared to the 2015 data collection period.  Thus, in response to the declining response rates, as well as concerns raised about the NISVS methodology by an OMB-required methodology workgroup, CDC funded a contract beginning in September 2018 to explore the feasibility and cost of implementing alternative methods for collecting NISVS data in a manner that would result in increased response rates and reductions in nonresponse bias.  This contract involves three phases, including:</w:t>
      </w:r>
    </w:p>
    <w:p w14:paraId="095C25CE" w14:textId="77777777" w:rsidR="00532434" w:rsidRPr="00942387" w:rsidRDefault="00532434" w:rsidP="00532434">
      <w:pPr>
        <w:spacing w:after="0" w:line="240" w:lineRule="auto"/>
        <w:rPr>
          <w:rFonts w:ascii="Arial" w:hAnsi="Arial" w:cs="Arial"/>
        </w:rPr>
      </w:pPr>
    </w:p>
    <w:p w14:paraId="2F22F647" w14:textId="27A29844" w:rsidR="00532434" w:rsidRPr="00942387" w:rsidRDefault="00532434" w:rsidP="00532434">
      <w:pPr>
        <w:pStyle w:val="ListParagraph"/>
        <w:numPr>
          <w:ilvl w:val="0"/>
          <w:numId w:val="6"/>
        </w:numPr>
        <w:spacing w:after="0" w:line="240" w:lineRule="auto"/>
        <w:rPr>
          <w:rFonts w:ascii="Arial" w:hAnsi="Arial" w:cs="Arial"/>
        </w:rPr>
      </w:pPr>
      <w:r w:rsidRPr="00F80BC5">
        <w:rPr>
          <w:rFonts w:ascii="Arial" w:hAnsi="Arial" w:cs="Arial"/>
          <w:b/>
        </w:rPr>
        <w:t>Cognitive testing</w:t>
      </w:r>
      <w:r w:rsidRPr="00942387">
        <w:rPr>
          <w:rFonts w:ascii="Arial" w:hAnsi="Arial" w:cs="Arial"/>
        </w:rPr>
        <w:t xml:space="preserve"> of a revised </w:t>
      </w:r>
      <w:r w:rsidR="0099409F">
        <w:rPr>
          <w:rFonts w:ascii="Arial" w:hAnsi="Arial" w:cs="Arial"/>
        </w:rPr>
        <w:t>computer-assisted telephone interview (</w:t>
      </w:r>
      <w:r w:rsidRPr="00942387">
        <w:rPr>
          <w:rFonts w:ascii="Arial" w:hAnsi="Arial" w:cs="Arial"/>
        </w:rPr>
        <w:t>CATI</w:t>
      </w:r>
      <w:r w:rsidR="0099409F">
        <w:rPr>
          <w:rFonts w:ascii="Arial" w:hAnsi="Arial" w:cs="Arial"/>
        </w:rPr>
        <w:t>)</w:t>
      </w:r>
      <w:r w:rsidRPr="00942387">
        <w:rPr>
          <w:rFonts w:ascii="Arial" w:hAnsi="Arial" w:cs="Arial"/>
        </w:rPr>
        <w:t xml:space="preserve"> instrument (shortened to reduce respondents’ burden but not altering the core </w:t>
      </w:r>
      <w:r w:rsidR="0099409F">
        <w:rPr>
          <w:rFonts w:ascii="Arial" w:hAnsi="Arial" w:cs="Arial"/>
        </w:rPr>
        <w:t>intimate partner violence [</w:t>
      </w:r>
      <w:r w:rsidRPr="00942387">
        <w:rPr>
          <w:rFonts w:ascii="Arial" w:hAnsi="Arial" w:cs="Arial"/>
        </w:rPr>
        <w:t>IPV</w:t>
      </w:r>
      <w:r w:rsidR="0099409F">
        <w:rPr>
          <w:rFonts w:ascii="Arial" w:hAnsi="Arial" w:cs="Arial"/>
        </w:rPr>
        <w:t>]</w:t>
      </w:r>
      <w:r w:rsidRPr="00942387">
        <w:rPr>
          <w:rFonts w:ascii="Arial" w:hAnsi="Arial" w:cs="Arial"/>
        </w:rPr>
        <w:t xml:space="preserve">, </w:t>
      </w:r>
      <w:r w:rsidR="0099409F">
        <w:rPr>
          <w:rFonts w:ascii="Arial" w:hAnsi="Arial" w:cs="Arial"/>
        </w:rPr>
        <w:t>sexual violence [</w:t>
      </w:r>
      <w:r w:rsidRPr="00942387">
        <w:rPr>
          <w:rFonts w:ascii="Arial" w:hAnsi="Arial" w:cs="Arial"/>
        </w:rPr>
        <w:t>SV</w:t>
      </w:r>
      <w:r w:rsidR="0099409F">
        <w:rPr>
          <w:rFonts w:ascii="Arial" w:hAnsi="Arial" w:cs="Arial"/>
        </w:rPr>
        <w:t>]</w:t>
      </w:r>
      <w:r w:rsidRPr="00942387">
        <w:rPr>
          <w:rFonts w:ascii="Arial" w:hAnsi="Arial" w:cs="Arial"/>
        </w:rPr>
        <w:t>, and stalking content of the survey), as well as cognitive testing of web and paper versions of the survey.</w:t>
      </w:r>
    </w:p>
    <w:p w14:paraId="6B4EBC3C" w14:textId="77777777" w:rsidR="00532434" w:rsidRPr="00942387" w:rsidRDefault="00532434" w:rsidP="00532434">
      <w:pPr>
        <w:pStyle w:val="ListParagraph"/>
        <w:numPr>
          <w:ilvl w:val="0"/>
          <w:numId w:val="6"/>
        </w:numPr>
        <w:spacing w:after="0" w:line="240" w:lineRule="auto"/>
        <w:rPr>
          <w:rFonts w:ascii="Arial" w:hAnsi="Arial" w:cs="Arial"/>
        </w:rPr>
      </w:pPr>
      <w:r w:rsidRPr="00F80BC5">
        <w:rPr>
          <w:rFonts w:ascii="Arial" w:hAnsi="Arial" w:cs="Arial"/>
          <w:b/>
        </w:rPr>
        <w:t>Experimentation and feasibility testing</w:t>
      </w:r>
      <w:r w:rsidRPr="00942387">
        <w:rPr>
          <w:rFonts w:ascii="Arial" w:hAnsi="Arial" w:cs="Arial"/>
        </w:rPr>
        <w:t xml:space="preserve"> to assess a number of alternative design features, including the sample frame (address based sample [ABS], random digit dial [RDD], web panel), mode of response (telephone, web, paper), and incentive structures that help garner participation and help reduce nonresponse. </w:t>
      </w:r>
    </w:p>
    <w:p w14:paraId="46983DB6" w14:textId="77777777" w:rsidR="00532434" w:rsidRPr="00942387" w:rsidRDefault="00532434" w:rsidP="00532434">
      <w:pPr>
        <w:pStyle w:val="ListParagraph"/>
        <w:numPr>
          <w:ilvl w:val="0"/>
          <w:numId w:val="6"/>
        </w:numPr>
        <w:spacing w:after="0" w:line="240" w:lineRule="auto"/>
        <w:rPr>
          <w:rFonts w:ascii="Arial" w:hAnsi="Arial" w:cs="Arial"/>
        </w:rPr>
      </w:pPr>
      <w:r w:rsidRPr="00F80BC5">
        <w:rPr>
          <w:rFonts w:ascii="Arial" w:hAnsi="Arial" w:cs="Arial"/>
          <w:b/>
        </w:rPr>
        <w:t>Pilot testing of a new design</w:t>
      </w:r>
      <w:r w:rsidRPr="00942387">
        <w:rPr>
          <w:rFonts w:ascii="Arial" w:hAnsi="Arial" w:cs="Arial"/>
        </w:rPr>
        <w:t>, procedures, and a final set of survey instruments for national survey administration based on results from feasibility tests.</w:t>
      </w:r>
    </w:p>
    <w:p w14:paraId="598448F4" w14:textId="77777777" w:rsidR="00532434" w:rsidRPr="00942387" w:rsidRDefault="00532434" w:rsidP="00532434">
      <w:pPr>
        <w:spacing w:after="0" w:line="240" w:lineRule="auto"/>
        <w:rPr>
          <w:rFonts w:ascii="Arial" w:hAnsi="Arial" w:cs="Arial"/>
          <w:b/>
        </w:rPr>
      </w:pPr>
    </w:p>
    <w:p w14:paraId="73713B9A" w14:textId="5E7B3D01" w:rsidR="00532434" w:rsidRDefault="004B2895" w:rsidP="00532434">
      <w:pPr>
        <w:pStyle w:val="Heading1"/>
        <w:tabs>
          <w:tab w:val="right" w:pos="10080"/>
        </w:tabs>
        <w:rPr>
          <w:rFonts w:ascii="Arial" w:hAnsi="Arial" w:cs="Arial"/>
          <w:b/>
          <w:sz w:val="22"/>
          <w:szCs w:val="22"/>
        </w:rPr>
      </w:pPr>
      <w:r>
        <w:rPr>
          <w:rFonts w:ascii="Arial" w:hAnsi="Arial" w:cs="Arial"/>
          <w:b/>
          <w:sz w:val="22"/>
          <w:szCs w:val="22"/>
        </w:rPr>
        <w:t>Questionnaire Changes</w:t>
      </w:r>
    </w:p>
    <w:p w14:paraId="30D58D62" w14:textId="77777777" w:rsidR="004B2895" w:rsidRDefault="004B2895" w:rsidP="00946A88">
      <w:pPr>
        <w:spacing w:after="0" w:line="240" w:lineRule="auto"/>
        <w:ind w:left="720"/>
        <w:rPr>
          <w:rFonts w:ascii="Arial" w:hAnsi="Arial" w:cs="Arial"/>
        </w:rPr>
      </w:pPr>
    </w:p>
    <w:p w14:paraId="61413CB5" w14:textId="5270B690" w:rsidR="004B2895" w:rsidRDefault="004B2895" w:rsidP="00946A88">
      <w:pPr>
        <w:spacing w:after="0" w:line="240" w:lineRule="auto"/>
        <w:ind w:left="720"/>
        <w:rPr>
          <w:rFonts w:ascii="Arial" w:hAnsi="Arial" w:cs="Arial"/>
        </w:rPr>
      </w:pPr>
      <w:r w:rsidRPr="00942387">
        <w:rPr>
          <w:rFonts w:ascii="Arial" w:hAnsi="Arial" w:cs="Arial"/>
        </w:rPr>
        <w:t xml:space="preserve">Changes have been made to the survey submitted for OMB approval in February 2018. The length of the survey has been reduced. See Attachments </w:t>
      </w:r>
      <w:r>
        <w:rPr>
          <w:rFonts w:ascii="Arial" w:hAnsi="Arial" w:cs="Arial"/>
        </w:rPr>
        <w:t>A</w:t>
      </w:r>
      <w:r w:rsidRPr="00942387">
        <w:rPr>
          <w:rFonts w:ascii="Arial" w:hAnsi="Arial" w:cs="Arial"/>
        </w:rPr>
        <w:t xml:space="preserve"> and </w:t>
      </w:r>
      <w:r>
        <w:rPr>
          <w:rFonts w:ascii="Arial" w:hAnsi="Arial" w:cs="Arial"/>
        </w:rPr>
        <w:t>B</w:t>
      </w:r>
      <w:r w:rsidRPr="00942387">
        <w:rPr>
          <w:rFonts w:ascii="Arial" w:hAnsi="Arial" w:cs="Arial"/>
        </w:rPr>
        <w:t xml:space="preserve"> for a detailed description of </w:t>
      </w:r>
      <w:r>
        <w:rPr>
          <w:rFonts w:ascii="Arial" w:hAnsi="Arial" w:cs="Arial"/>
        </w:rPr>
        <w:t>items that have been removed, added, and modified</w:t>
      </w:r>
      <w:r w:rsidRPr="00942387">
        <w:rPr>
          <w:rFonts w:ascii="Arial" w:hAnsi="Arial" w:cs="Arial"/>
        </w:rPr>
        <w:t>.</w:t>
      </w:r>
    </w:p>
    <w:p w14:paraId="4918A03B" w14:textId="7F149172" w:rsidR="00183178" w:rsidRDefault="00183178" w:rsidP="00946A88">
      <w:pPr>
        <w:spacing w:after="0" w:line="240" w:lineRule="auto"/>
        <w:ind w:left="720"/>
        <w:rPr>
          <w:rFonts w:ascii="Arial" w:hAnsi="Arial" w:cs="Arial"/>
        </w:rPr>
      </w:pPr>
    </w:p>
    <w:p w14:paraId="15BD5A4E" w14:textId="15FB4C7B" w:rsidR="004B048D" w:rsidRDefault="00183178" w:rsidP="00946A88">
      <w:pPr>
        <w:spacing w:after="0" w:line="240" w:lineRule="auto"/>
        <w:ind w:left="720"/>
        <w:rPr>
          <w:rFonts w:ascii="Arial" w:hAnsi="Arial" w:cs="Arial"/>
        </w:rPr>
      </w:pPr>
      <w:r>
        <w:rPr>
          <w:rFonts w:ascii="Arial" w:hAnsi="Arial" w:cs="Arial"/>
        </w:rPr>
        <w:t xml:space="preserve">To reduce the burden and </w:t>
      </w:r>
      <w:r w:rsidR="004B048D">
        <w:rPr>
          <w:rFonts w:ascii="Arial" w:hAnsi="Arial" w:cs="Arial"/>
        </w:rPr>
        <w:t>duration</w:t>
      </w:r>
      <w:r>
        <w:rPr>
          <w:rFonts w:ascii="Arial" w:hAnsi="Arial" w:cs="Arial"/>
        </w:rPr>
        <w:t xml:space="preserve"> of the survey, revisions to were made to the questionnaire length. First, the selection of violence questions to drop was guided by statistical analyses </w:t>
      </w:r>
      <w:r w:rsidR="00655FA8">
        <w:rPr>
          <w:rFonts w:ascii="Arial" w:hAnsi="Arial" w:cs="Arial"/>
        </w:rPr>
        <w:t xml:space="preserve">of the 2016-2017 data </w:t>
      </w:r>
      <w:r>
        <w:rPr>
          <w:rFonts w:ascii="Arial" w:hAnsi="Arial" w:cs="Arial"/>
        </w:rPr>
        <w:t xml:space="preserve">that showed the percentage of respondent endorsement (i.e., “yes” responses) </w:t>
      </w:r>
      <w:r w:rsidR="004B048D">
        <w:rPr>
          <w:rFonts w:ascii="Arial" w:hAnsi="Arial" w:cs="Arial"/>
        </w:rPr>
        <w:t>for</w:t>
      </w:r>
      <w:r>
        <w:rPr>
          <w:rFonts w:ascii="Arial" w:hAnsi="Arial" w:cs="Arial"/>
        </w:rPr>
        <w:t xml:space="preserve"> </w:t>
      </w:r>
      <w:r w:rsidR="00655FA8">
        <w:rPr>
          <w:rFonts w:ascii="Arial" w:hAnsi="Arial" w:cs="Arial"/>
        </w:rPr>
        <w:t xml:space="preserve">specific questions (i.e., violence </w:t>
      </w:r>
      <w:r>
        <w:rPr>
          <w:rFonts w:ascii="Arial" w:hAnsi="Arial" w:cs="Arial"/>
        </w:rPr>
        <w:t>experience</w:t>
      </w:r>
      <w:r w:rsidR="00655FA8">
        <w:rPr>
          <w:rFonts w:ascii="Arial" w:hAnsi="Arial" w:cs="Arial"/>
        </w:rPr>
        <w:t>)</w:t>
      </w:r>
      <w:r>
        <w:rPr>
          <w:rFonts w:ascii="Arial" w:hAnsi="Arial" w:cs="Arial"/>
        </w:rPr>
        <w:t xml:space="preserve"> and how removal of the </w:t>
      </w:r>
      <w:r w:rsidR="004B048D">
        <w:rPr>
          <w:rFonts w:ascii="Arial" w:hAnsi="Arial" w:cs="Arial"/>
        </w:rPr>
        <w:t xml:space="preserve">infrequently </w:t>
      </w:r>
      <w:r>
        <w:rPr>
          <w:rFonts w:ascii="Arial" w:hAnsi="Arial" w:cs="Arial"/>
        </w:rPr>
        <w:t>endorsed questions impact</w:t>
      </w:r>
      <w:r w:rsidR="00655FA8">
        <w:rPr>
          <w:rFonts w:ascii="Arial" w:hAnsi="Arial" w:cs="Arial"/>
        </w:rPr>
        <w:t>ed</w:t>
      </w:r>
      <w:r>
        <w:rPr>
          <w:rFonts w:ascii="Arial" w:hAnsi="Arial" w:cs="Arial"/>
        </w:rPr>
        <w:t xml:space="preserve"> the overall prevalence estimates. The purpose of this analysis was </w:t>
      </w:r>
      <w:r w:rsidR="004B048D">
        <w:rPr>
          <w:rFonts w:ascii="Arial" w:hAnsi="Arial" w:cs="Arial"/>
        </w:rPr>
        <w:t xml:space="preserve">to </w:t>
      </w:r>
      <w:r>
        <w:rPr>
          <w:rFonts w:ascii="Arial" w:hAnsi="Arial" w:cs="Arial"/>
        </w:rPr>
        <w:t xml:space="preserve">use a parsimonious approach to measuring the constructs within NISVS. For example, if a 4-question measure of </w:t>
      </w:r>
      <w:r w:rsidR="00655FA8">
        <w:rPr>
          <w:rFonts w:ascii="Arial" w:hAnsi="Arial" w:cs="Arial"/>
        </w:rPr>
        <w:t xml:space="preserve">a form of violence </w:t>
      </w:r>
      <w:r>
        <w:rPr>
          <w:rFonts w:ascii="Arial" w:hAnsi="Arial" w:cs="Arial"/>
        </w:rPr>
        <w:t>produce</w:t>
      </w:r>
      <w:r w:rsidR="004B048D">
        <w:rPr>
          <w:rFonts w:ascii="Arial" w:hAnsi="Arial" w:cs="Arial"/>
        </w:rPr>
        <w:t>d</w:t>
      </w:r>
      <w:r>
        <w:rPr>
          <w:rFonts w:ascii="Arial" w:hAnsi="Arial" w:cs="Arial"/>
        </w:rPr>
        <w:t xml:space="preserve"> </w:t>
      </w:r>
      <w:r w:rsidR="00655FA8">
        <w:rPr>
          <w:rFonts w:ascii="Arial" w:hAnsi="Arial" w:cs="Arial"/>
        </w:rPr>
        <w:t xml:space="preserve">a statistically similar </w:t>
      </w:r>
      <w:r>
        <w:rPr>
          <w:rFonts w:ascii="Arial" w:hAnsi="Arial" w:cs="Arial"/>
        </w:rPr>
        <w:t xml:space="preserve">prevalence estimate as a 6-question measure, then the 4-question measure </w:t>
      </w:r>
      <w:r w:rsidR="004B048D">
        <w:rPr>
          <w:rFonts w:ascii="Arial" w:hAnsi="Arial" w:cs="Arial"/>
        </w:rPr>
        <w:t>was deemed</w:t>
      </w:r>
      <w:r>
        <w:rPr>
          <w:rFonts w:ascii="Arial" w:hAnsi="Arial" w:cs="Arial"/>
        </w:rPr>
        <w:t xml:space="preserve"> more optimal. </w:t>
      </w:r>
      <w:r w:rsidR="00A43D5A">
        <w:rPr>
          <w:rFonts w:ascii="Arial" w:hAnsi="Arial" w:cs="Arial"/>
        </w:rPr>
        <w:t xml:space="preserve"> </w:t>
      </w:r>
    </w:p>
    <w:p w14:paraId="17306335" w14:textId="77777777" w:rsidR="004B048D" w:rsidRDefault="004B048D" w:rsidP="00946A88">
      <w:pPr>
        <w:spacing w:after="0" w:line="240" w:lineRule="auto"/>
        <w:ind w:left="720"/>
        <w:rPr>
          <w:rFonts w:ascii="Arial" w:hAnsi="Arial" w:cs="Arial"/>
        </w:rPr>
      </w:pPr>
    </w:p>
    <w:p w14:paraId="531CBCFF" w14:textId="7F69E0FC" w:rsidR="00183178" w:rsidRDefault="00A43D5A" w:rsidP="00946A88">
      <w:pPr>
        <w:spacing w:after="0" w:line="240" w:lineRule="auto"/>
        <w:ind w:left="720"/>
        <w:rPr>
          <w:rFonts w:ascii="Arial" w:hAnsi="Arial" w:cs="Arial"/>
        </w:rPr>
      </w:pPr>
      <w:r>
        <w:rPr>
          <w:rFonts w:ascii="Arial" w:hAnsi="Arial" w:cs="Arial"/>
        </w:rPr>
        <w:t xml:space="preserve">Second, the NISVS program continually seeks to improve its measures and to provide new data on emerging and important health conditions and their relation to violence victimization.  The health questions were reexamined with this purpose in mind. Health problems such as traumatic brain injury are known to be connected to intimate partner </w:t>
      </w:r>
      <w:r>
        <w:rPr>
          <w:rFonts w:ascii="Arial" w:hAnsi="Arial" w:cs="Arial"/>
        </w:rPr>
        <w:lastRenderedPageBreak/>
        <w:t>violence, but national level estimates</w:t>
      </w:r>
      <w:r w:rsidR="004D13C5">
        <w:rPr>
          <w:rFonts w:ascii="Arial" w:hAnsi="Arial" w:cs="Arial"/>
        </w:rPr>
        <w:t xml:space="preserve"> have not been available</w:t>
      </w:r>
      <w:r>
        <w:rPr>
          <w:rFonts w:ascii="Arial" w:hAnsi="Arial" w:cs="Arial"/>
        </w:rPr>
        <w:t>.</w:t>
      </w:r>
      <w:r w:rsidR="004D13C5">
        <w:rPr>
          <w:rFonts w:ascii="Arial" w:hAnsi="Arial" w:cs="Arial"/>
        </w:rPr>
        <w:t xml:space="preserve"> Further,</w:t>
      </w:r>
      <w:r>
        <w:rPr>
          <w:rFonts w:ascii="Arial" w:hAnsi="Arial" w:cs="Arial"/>
        </w:rPr>
        <w:t xml:space="preserve"> little to no literature shows the relationship between prescription drug misuse and violence victimization; </w:t>
      </w:r>
      <w:r w:rsidR="004B048D">
        <w:rPr>
          <w:rFonts w:ascii="Arial" w:hAnsi="Arial" w:cs="Arial"/>
        </w:rPr>
        <w:t xml:space="preserve">thus, </w:t>
      </w:r>
      <w:r>
        <w:rPr>
          <w:rFonts w:ascii="Arial" w:hAnsi="Arial" w:cs="Arial"/>
        </w:rPr>
        <w:t xml:space="preserve">our </w:t>
      </w:r>
      <w:r w:rsidR="004D13C5">
        <w:rPr>
          <w:rFonts w:ascii="Arial" w:hAnsi="Arial" w:cs="Arial"/>
        </w:rPr>
        <w:t>goal</w:t>
      </w:r>
      <w:r w:rsidR="004B048D">
        <w:rPr>
          <w:rFonts w:ascii="Arial" w:hAnsi="Arial" w:cs="Arial"/>
        </w:rPr>
        <w:t xml:space="preserve"> for adding these questions</w:t>
      </w:r>
      <w:r>
        <w:rPr>
          <w:rFonts w:ascii="Arial" w:hAnsi="Arial" w:cs="Arial"/>
        </w:rPr>
        <w:t xml:space="preserve"> is to add more context to the understanding of this health epidemic. </w:t>
      </w:r>
    </w:p>
    <w:p w14:paraId="69D62601" w14:textId="577CE295" w:rsidR="00A43D5A" w:rsidRDefault="00A43D5A" w:rsidP="00946A88">
      <w:pPr>
        <w:spacing w:after="0" w:line="240" w:lineRule="auto"/>
        <w:ind w:left="720"/>
        <w:rPr>
          <w:rFonts w:ascii="Arial" w:hAnsi="Arial" w:cs="Arial"/>
        </w:rPr>
      </w:pPr>
    </w:p>
    <w:p w14:paraId="6D0D4F62" w14:textId="12EA1049" w:rsidR="00A43D5A" w:rsidRDefault="004B048D" w:rsidP="00E44E9B">
      <w:pPr>
        <w:spacing w:after="0" w:line="240" w:lineRule="auto"/>
        <w:ind w:left="720"/>
        <w:rPr>
          <w:rFonts w:ascii="Arial" w:hAnsi="Arial" w:cs="Arial"/>
        </w:rPr>
      </w:pPr>
      <w:r>
        <w:rPr>
          <w:rFonts w:ascii="Arial" w:hAnsi="Arial" w:cs="Arial"/>
        </w:rPr>
        <w:t>It is anticipated that the</w:t>
      </w:r>
      <w:r w:rsidR="00A43D5A">
        <w:rPr>
          <w:rFonts w:ascii="Arial" w:hAnsi="Arial" w:cs="Arial"/>
        </w:rPr>
        <w:t xml:space="preserve"> survey revisions </w:t>
      </w:r>
      <w:r>
        <w:rPr>
          <w:rFonts w:ascii="Arial" w:hAnsi="Arial" w:cs="Arial"/>
        </w:rPr>
        <w:t xml:space="preserve">will </w:t>
      </w:r>
      <w:r w:rsidR="00A43D5A">
        <w:rPr>
          <w:rFonts w:ascii="Arial" w:hAnsi="Arial" w:cs="Arial"/>
        </w:rPr>
        <w:t xml:space="preserve">have little impact for data users. </w:t>
      </w:r>
      <w:r>
        <w:rPr>
          <w:rFonts w:ascii="Arial" w:hAnsi="Arial" w:cs="Arial"/>
        </w:rPr>
        <w:t>However, during the survey revision process, careful attention was</w:t>
      </w:r>
      <w:r w:rsidR="00E44E9B">
        <w:rPr>
          <w:rFonts w:ascii="Arial" w:hAnsi="Arial" w:cs="Arial"/>
        </w:rPr>
        <w:t xml:space="preserve"> given</w:t>
      </w:r>
      <w:r>
        <w:rPr>
          <w:rFonts w:ascii="Arial" w:hAnsi="Arial" w:cs="Arial"/>
        </w:rPr>
        <w:t xml:space="preserve"> to the items being removed from the survey to ensure that frequent data users (e.g., state Rape Prevention and Education grantees who have provided feedback on the survey previously) would still be able to obtain the data in which they have expressed specific interest in the past.  With the exception of one module that assessed </w:t>
      </w:r>
      <w:r w:rsidR="00E44E9B">
        <w:rPr>
          <w:rFonts w:ascii="Arial" w:hAnsi="Arial" w:cs="Arial"/>
        </w:rPr>
        <w:t xml:space="preserve">normative behaviors </w:t>
      </w:r>
      <w:r>
        <w:rPr>
          <w:rFonts w:ascii="Arial" w:hAnsi="Arial" w:cs="Arial"/>
        </w:rPr>
        <w:t>related to SV and IPV, all of the items that data users have specifically expressed interest in remain in the survey.  Regarding the norm</w:t>
      </w:r>
      <w:r w:rsidR="00E44E9B">
        <w:rPr>
          <w:rFonts w:ascii="Arial" w:hAnsi="Arial" w:cs="Arial"/>
        </w:rPr>
        <w:t>ative behavior</w:t>
      </w:r>
      <w:r w:rsidR="00F72156">
        <w:rPr>
          <w:rFonts w:ascii="Arial" w:hAnsi="Arial" w:cs="Arial"/>
        </w:rPr>
        <w:t>s</w:t>
      </w:r>
      <w:r w:rsidR="00E44E9B">
        <w:rPr>
          <w:rFonts w:ascii="Arial" w:hAnsi="Arial" w:cs="Arial"/>
        </w:rPr>
        <w:t xml:space="preserve"> section</w:t>
      </w:r>
      <w:r>
        <w:rPr>
          <w:rFonts w:ascii="Arial" w:hAnsi="Arial" w:cs="Arial"/>
        </w:rPr>
        <w:t xml:space="preserve">, previous analyses demonstrate very little variance in the responses to these questions at the national level.  Thus, for the sake of shortening the survey, these questions were removed.  However, the NISVS team is considering collecting data on these items every few years to ensure the field has updated data on this topic.  </w:t>
      </w:r>
    </w:p>
    <w:p w14:paraId="30EEE2EB" w14:textId="66B1A14A" w:rsidR="00183178" w:rsidRDefault="00183178" w:rsidP="00946A88">
      <w:pPr>
        <w:spacing w:after="0" w:line="240" w:lineRule="auto"/>
        <w:ind w:left="720"/>
        <w:rPr>
          <w:rFonts w:ascii="Arial" w:hAnsi="Arial" w:cs="Arial"/>
        </w:rPr>
      </w:pPr>
    </w:p>
    <w:p w14:paraId="47858F4A" w14:textId="77777777" w:rsidR="00183178" w:rsidRPr="00942387" w:rsidRDefault="00183178" w:rsidP="00946A88">
      <w:pPr>
        <w:spacing w:after="0" w:line="240" w:lineRule="auto"/>
        <w:ind w:left="720"/>
        <w:rPr>
          <w:rFonts w:ascii="Arial" w:hAnsi="Arial" w:cs="Arial"/>
        </w:rPr>
      </w:pPr>
    </w:p>
    <w:p w14:paraId="6529F0FB" w14:textId="77777777" w:rsidR="00C22CF3" w:rsidRPr="00942387" w:rsidRDefault="00C22CF3" w:rsidP="00942387">
      <w:pPr>
        <w:spacing w:after="0" w:line="240" w:lineRule="auto"/>
        <w:rPr>
          <w:rFonts w:ascii="Arial" w:hAnsi="Arial" w:cs="Arial"/>
        </w:rPr>
      </w:pPr>
    </w:p>
    <w:p w14:paraId="697189A1" w14:textId="00742231" w:rsidR="00C22CF3" w:rsidRPr="00942387" w:rsidRDefault="00FB31F8" w:rsidP="00942387">
      <w:pPr>
        <w:spacing w:after="0" w:line="240" w:lineRule="auto"/>
        <w:rPr>
          <w:rFonts w:ascii="Arial" w:hAnsi="Arial" w:cs="Arial"/>
          <w:b/>
        </w:rPr>
      </w:pPr>
      <w:r>
        <w:rPr>
          <w:rFonts w:ascii="Arial" w:hAnsi="Arial" w:cs="Arial"/>
          <w:b/>
        </w:rPr>
        <w:t xml:space="preserve">Proposed </w:t>
      </w:r>
      <w:r w:rsidR="0053239C">
        <w:rPr>
          <w:rFonts w:ascii="Arial" w:hAnsi="Arial" w:cs="Arial"/>
          <w:b/>
        </w:rPr>
        <w:t xml:space="preserve">Cognitive Testing </w:t>
      </w:r>
    </w:p>
    <w:p w14:paraId="05EF0B57" w14:textId="02505E63" w:rsidR="0041121D" w:rsidRDefault="0041121D" w:rsidP="00B6426E">
      <w:pPr>
        <w:numPr>
          <w:ilvl w:val="0"/>
          <w:numId w:val="5"/>
        </w:numPr>
        <w:spacing w:after="0" w:line="240" w:lineRule="auto"/>
        <w:rPr>
          <w:rFonts w:ascii="Arial" w:hAnsi="Arial" w:cs="Arial"/>
        </w:rPr>
      </w:pPr>
      <w:r>
        <w:rPr>
          <w:rFonts w:ascii="Arial" w:hAnsi="Arial" w:cs="Arial"/>
        </w:rPr>
        <w:t>Cognitive testing is proposed to ensure that the questions</w:t>
      </w:r>
      <w:r w:rsidR="00895DD7">
        <w:rPr>
          <w:rFonts w:ascii="Arial" w:hAnsi="Arial" w:cs="Arial"/>
        </w:rPr>
        <w:t xml:space="preserve"> included in the full NISVS survey</w:t>
      </w:r>
      <w:r>
        <w:rPr>
          <w:rFonts w:ascii="Arial" w:hAnsi="Arial" w:cs="Arial"/>
        </w:rPr>
        <w:t xml:space="preserve"> are understood across different modes (phone, web, paper). First, because the surveys </w:t>
      </w:r>
      <w:r w:rsidR="00895DD7">
        <w:rPr>
          <w:rFonts w:ascii="Arial" w:hAnsi="Arial" w:cs="Arial"/>
        </w:rPr>
        <w:t xml:space="preserve">inherently involve </w:t>
      </w:r>
      <w:r>
        <w:rPr>
          <w:rFonts w:ascii="Arial" w:hAnsi="Arial" w:cs="Arial"/>
        </w:rPr>
        <w:t xml:space="preserve">different </w:t>
      </w:r>
      <w:r w:rsidR="00895DD7">
        <w:rPr>
          <w:rFonts w:ascii="Arial" w:hAnsi="Arial" w:cs="Arial"/>
        </w:rPr>
        <w:t xml:space="preserve">administration </w:t>
      </w:r>
      <w:r>
        <w:rPr>
          <w:rFonts w:ascii="Arial" w:hAnsi="Arial" w:cs="Arial"/>
        </w:rPr>
        <w:t>experiences (</w:t>
      </w:r>
      <w:r w:rsidR="00895DD7">
        <w:rPr>
          <w:rFonts w:ascii="Arial" w:hAnsi="Arial" w:cs="Arial"/>
        </w:rPr>
        <w:t xml:space="preserve">i.e., </w:t>
      </w:r>
      <w:r>
        <w:rPr>
          <w:rFonts w:ascii="Arial" w:hAnsi="Arial" w:cs="Arial"/>
        </w:rPr>
        <w:t xml:space="preserve">interviewer-administered vs. self-administered), it is essential to understand whether the questions are understood by respondents in the ways they were intended and the response options are clear. </w:t>
      </w:r>
      <w:r w:rsidR="00B6426E">
        <w:rPr>
          <w:rFonts w:ascii="Arial" w:hAnsi="Arial" w:cs="Arial"/>
        </w:rPr>
        <w:t>Thus, i</w:t>
      </w:r>
      <w:r w:rsidR="00B6426E" w:rsidRPr="00B6426E">
        <w:rPr>
          <w:rFonts w:ascii="Arial" w:hAnsi="Arial" w:cs="Arial"/>
        </w:rPr>
        <w:t xml:space="preserve">nterviewers will use a mix of concurrent and retrospective probing to gather feedback on both item comprehension as well as the usability of the instruments. </w:t>
      </w:r>
      <w:r>
        <w:rPr>
          <w:rFonts w:ascii="Arial" w:hAnsi="Arial" w:cs="Arial"/>
        </w:rPr>
        <w:t xml:space="preserve">Second, revisions were made to the NISVS instrument. The instrument used in </w:t>
      </w:r>
      <w:r w:rsidR="00895DD7">
        <w:rPr>
          <w:rFonts w:ascii="Arial" w:hAnsi="Arial" w:cs="Arial"/>
        </w:rPr>
        <w:t xml:space="preserve">the </w:t>
      </w:r>
      <w:r>
        <w:rPr>
          <w:rFonts w:ascii="Arial" w:hAnsi="Arial" w:cs="Arial"/>
        </w:rPr>
        <w:t xml:space="preserve">2016-2018 </w:t>
      </w:r>
      <w:r w:rsidR="00895DD7">
        <w:rPr>
          <w:rFonts w:ascii="Arial" w:hAnsi="Arial" w:cs="Arial"/>
        </w:rPr>
        <w:t xml:space="preserve">survey administration periods </w:t>
      </w:r>
      <w:r>
        <w:rPr>
          <w:rFonts w:ascii="Arial" w:hAnsi="Arial" w:cs="Arial"/>
        </w:rPr>
        <w:t xml:space="preserve">was cognitively tested by the previous contractor. </w:t>
      </w:r>
      <w:r w:rsidR="00895DD7">
        <w:rPr>
          <w:rFonts w:ascii="Arial" w:hAnsi="Arial" w:cs="Arial"/>
        </w:rPr>
        <w:t xml:space="preserve">Thus, we propose </w:t>
      </w:r>
      <w:r>
        <w:rPr>
          <w:rFonts w:ascii="Arial" w:hAnsi="Arial" w:cs="Arial"/>
        </w:rPr>
        <w:t>cognitively test</w:t>
      </w:r>
      <w:r w:rsidR="00895DD7">
        <w:rPr>
          <w:rFonts w:ascii="Arial" w:hAnsi="Arial" w:cs="Arial"/>
        </w:rPr>
        <w:t>ing the newly revised survey by the current contractor</w:t>
      </w:r>
      <w:r>
        <w:rPr>
          <w:rFonts w:ascii="Arial" w:hAnsi="Arial" w:cs="Arial"/>
        </w:rPr>
        <w:t>. Questions that are unchanged will not be directly tested, but respondents will have the opportunity to provide feedback on all portions of the survey.</w:t>
      </w:r>
    </w:p>
    <w:p w14:paraId="52BE9C7A" w14:textId="7585E8D5" w:rsidR="00A26F9A" w:rsidRDefault="00A26F9A" w:rsidP="00E44E9B">
      <w:pPr>
        <w:spacing w:after="0" w:line="240" w:lineRule="auto"/>
        <w:ind w:left="720"/>
        <w:rPr>
          <w:rFonts w:ascii="Arial" w:hAnsi="Arial" w:cs="Arial"/>
        </w:rPr>
      </w:pPr>
    </w:p>
    <w:p w14:paraId="2D421E87" w14:textId="5600EBC5" w:rsidR="00A26F9A" w:rsidRDefault="00A26F9A" w:rsidP="00E44E9B">
      <w:pPr>
        <w:spacing w:after="0" w:line="240" w:lineRule="auto"/>
        <w:ind w:left="720"/>
        <w:rPr>
          <w:rFonts w:ascii="Arial" w:hAnsi="Arial" w:cs="Arial"/>
        </w:rPr>
      </w:pPr>
      <w:r>
        <w:rPr>
          <w:rFonts w:ascii="Arial" w:hAnsi="Arial" w:cs="Arial"/>
        </w:rPr>
        <w:t xml:space="preserve">The contractor’s </w:t>
      </w:r>
      <w:r w:rsidRPr="00A26F9A">
        <w:rPr>
          <w:rFonts w:ascii="Arial" w:hAnsi="Arial" w:cs="Arial"/>
        </w:rPr>
        <w:t>recommendations for revisions to any tested items will be grounded in the data.</w:t>
      </w:r>
      <w:r w:rsidRPr="00A26F9A">
        <w:t xml:space="preserve"> </w:t>
      </w:r>
      <w:r w:rsidRPr="00A26F9A">
        <w:rPr>
          <w:rFonts w:ascii="Arial" w:hAnsi="Arial" w:cs="Arial"/>
        </w:rPr>
        <w:t>Using notes from debriefings</w:t>
      </w:r>
      <w:r>
        <w:rPr>
          <w:rFonts w:ascii="Arial" w:hAnsi="Arial" w:cs="Arial"/>
        </w:rPr>
        <w:t xml:space="preserve"> following the cognitive tests</w:t>
      </w:r>
      <w:r w:rsidRPr="00A26F9A">
        <w:rPr>
          <w:rFonts w:ascii="Arial" w:hAnsi="Arial" w:cs="Arial"/>
        </w:rPr>
        <w:t xml:space="preserve">, interviewer summaries from each interview, and the usability logs, </w:t>
      </w:r>
      <w:r>
        <w:rPr>
          <w:rFonts w:ascii="Arial" w:hAnsi="Arial" w:cs="Arial"/>
        </w:rPr>
        <w:t>the contractor</w:t>
      </w:r>
      <w:r w:rsidRPr="00A26F9A">
        <w:rPr>
          <w:rFonts w:ascii="Arial" w:hAnsi="Arial" w:cs="Arial"/>
        </w:rPr>
        <w:t xml:space="preserve"> will produce a final report that reflects key findings from </w:t>
      </w:r>
      <w:r>
        <w:rPr>
          <w:rFonts w:ascii="Arial" w:hAnsi="Arial" w:cs="Arial"/>
        </w:rPr>
        <w:t>the</w:t>
      </w:r>
      <w:r w:rsidRPr="00A26F9A">
        <w:rPr>
          <w:rFonts w:ascii="Arial" w:hAnsi="Arial" w:cs="Arial"/>
        </w:rPr>
        <w:t xml:space="preserve"> interview</w:t>
      </w:r>
      <w:r>
        <w:rPr>
          <w:rFonts w:ascii="Arial" w:hAnsi="Arial" w:cs="Arial"/>
        </w:rPr>
        <w:t>s</w:t>
      </w:r>
      <w:r w:rsidRPr="00A26F9A">
        <w:rPr>
          <w:rFonts w:ascii="Arial" w:hAnsi="Arial" w:cs="Arial"/>
        </w:rPr>
        <w:t xml:space="preserve"> and provides final recommendations for each mode of the instrument.  The recommendations report will be organized to include the following sections: executive summary; goals and objectives of the research; recruitment methods and an overview of the participants; methods for conducting the cognitive interviews; key findings; recommendations of the final wording for the questions and reasons for the recommendations; and lessons learned and conclusions.</w:t>
      </w:r>
      <w:r>
        <w:rPr>
          <w:rFonts w:ascii="Arial" w:hAnsi="Arial" w:cs="Arial"/>
        </w:rPr>
        <w:t xml:space="preserve">  The new items that have been added, for the most part, have been administered in other surveys, and thus, we expect minimal changes will be needed for those items.  Success of the cognitive testing will be assessed by how people respond to the way in which questions are asked, how well they understood the survey instructions, and whether they understood the terms that were used throughout the survey. </w:t>
      </w:r>
    </w:p>
    <w:p w14:paraId="7C61D362" w14:textId="77777777" w:rsidR="00946A88" w:rsidRPr="00A26F9A" w:rsidRDefault="00946A88" w:rsidP="00E44E9B">
      <w:pPr>
        <w:spacing w:after="0" w:line="240" w:lineRule="auto"/>
        <w:ind w:left="720"/>
        <w:rPr>
          <w:rFonts w:ascii="Arial" w:hAnsi="Arial" w:cs="Arial"/>
        </w:rPr>
      </w:pPr>
    </w:p>
    <w:p w14:paraId="5951FCF1" w14:textId="4FF7493E" w:rsidR="00DF07A5" w:rsidRDefault="00DF07A5" w:rsidP="00942387">
      <w:pPr>
        <w:numPr>
          <w:ilvl w:val="0"/>
          <w:numId w:val="5"/>
        </w:numPr>
        <w:spacing w:after="0" w:line="240" w:lineRule="auto"/>
        <w:rPr>
          <w:rFonts w:ascii="Arial" w:hAnsi="Arial" w:cs="Arial"/>
        </w:rPr>
      </w:pPr>
      <w:r w:rsidRPr="00942387">
        <w:rPr>
          <w:rFonts w:ascii="Arial" w:hAnsi="Arial" w:cs="Arial"/>
        </w:rPr>
        <w:t>Three surveys have been developed for testing data collec</w:t>
      </w:r>
      <w:r w:rsidR="00AE275D" w:rsidRPr="00942387">
        <w:rPr>
          <w:rFonts w:ascii="Arial" w:hAnsi="Arial" w:cs="Arial"/>
        </w:rPr>
        <w:t xml:space="preserve">tion modes, including versions </w:t>
      </w:r>
      <w:r w:rsidRPr="00942387">
        <w:rPr>
          <w:rFonts w:ascii="Arial" w:hAnsi="Arial" w:cs="Arial"/>
        </w:rPr>
        <w:t xml:space="preserve">for 1) CATI, 2) </w:t>
      </w:r>
      <w:r w:rsidR="00F80BC5">
        <w:rPr>
          <w:rFonts w:ascii="Arial" w:hAnsi="Arial" w:cs="Arial"/>
        </w:rPr>
        <w:t>paper</w:t>
      </w:r>
      <w:r w:rsidRPr="00942387">
        <w:rPr>
          <w:rFonts w:ascii="Arial" w:hAnsi="Arial" w:cs="Arial"/>
        </w:rPr>
        <w:t xml:space="preserve">, and 3) </w:t>
      </w:r>
      <w:r w:rsidR="00F80BC5">
        <w:rPr>
          <w:rFonts w:ascii="Arial" w:hAnsi="Arial" w:cs="Arial"/>
        </w:rPr>
        <w:t>web-based</w:t>
      </w:r>
      <w:r w:rsidRPr="00942387">
        <w:rPr>
          <w:rFonts w:ascii="Arial" w:hAnsi="Arial" w:cs="Arial"/>
        </w:rPr>
        <w:t xml:space="preserve"> administrations</w:t>
      </w:r>
      <w:r w:rsidR="00F80BC5">
        <w:rPr>
          <w:rFonts w:ascii="Arial" w:hAnsi="Arial" w:cs="Arial"/>
        </w:rPr>
        <w:t xml:space="preserve"> (Attachments </w:t>
      </w:r>
      <w:r w:rsidR="007B680E">
        <w:rPr>
          <w:rFonts w:ascii="Arial" w:hAnsi="Arial" w:cs="Arial"/>
        </w:rPr>
        <w:t>C, D, and E</w:t>
      </w:r>
      <w:r w:rsidR="00F80BC5">
        <w:rPr>
          <w:rFonts w:ascii="Arial" w:hAnsi="Arial" w:cs="Arial"/>
        </w:rPr>
        <w:t>, respectively)</w:t>
      </w:r>
      <w:r w:rsidRPr="00942387">
        <w:rPr>
          <w:rFonts w:ascii="Arial" w:hAnsi="Arial" w:cs="Arial"/>
        </w:rPr>
        <w:t xml:space="preserve">. </w:t>
      </w:r>
    </w:p>
    <w:p w14:paraId="5CC1A610" w14:textId="77777777" w:rsidR="00946A88" w:rsidRPr="00942387" w:rsidRDefault="00946A88" w:rsidP="00946A88">
      <w:pPr>
        <w:spacing w:after="0" w:line="240" w:lineRule="auto"/>
        <w:ind w:left="720"/>
        <w:rPr>
          <w:rFonts w:ascii="Arial" w:hAnsi="Arial" w:cs="Arial"/>
        </w:rPr>
      </w:pPr>
    </w:p>
    <w:p w14:paraId="39619992" w14:textId="72B08009" w:rsidR="00DF07A5" w:rsidRDefault="00DF07A5" w:rsidP="00942387">
      <w:pPr>
        <w:numPr>
          <w:ilvl w:val="0"/>
          <w:numId w:val="5"/>
        </w:numPr>
        <w:spacing w:after="0" w:line="240" w:lineRule="auto"/>
        <w:rPr>
          <w:rFonts w:ascii="Arial" w:hAnsi="Arial" w:cs="Arial"/>
        </w:rPr>
      </w:pPr>
      <w:r w:rsidRPr="00942387">
        <w:rPr>
          <w:rFonts w:ascii="Arial" w:hAnsi="Arial" w:cs="Arial"/>
        </w:rPr>
        <w:t>A cognitive testing plan has been developed for testing the revised CATI questionnaire in addition to the web-based and paper versions of the survey.</w:t>
      </w:r>
    </w:p>
    <w:p w14:paraId="782CC730" w14:textId="01DD5D11" w:rsidR="00F80BC5" w:rsidRDefault="00F80BC5" w:rsidP="00F80BC5">
      <w:pPr>
        <w:numPr>
          <w:ilvl w:val="1"/>
          <w:numId w:val="5"/>
        </w:numPr>
        <w:spacing w:after="0" w:line="240" w:lineRule="auto"/>
        <w:rPr>
          <w:rFonts w:ascii="Arial" w:hAnsi="Arial" w:cs="Arial"/>
        </w:rPr>
      </w:pPr>
      <w:r>
        <w:rPr>
          <w:rFonts w:ascii="Arial" w:hAnsi="Arial" w:cs="Arial"/>
        </w:rPr>
        <w:t>The following attachments describe the cognitive testing plan in detail:</w:t>
      </w:r>
    </w:p>
    <w:p w14:paraId="244802E2" w14:textId="1479D177" w:rsidR="00F80BC5" w:rsidRDefault="00F80BC5" w:rsidP="00F80BC5">
      <w:pPr>
        <w:numPr>
          <w:ilvl w:val="2"/>
          <w:numId w:val="5"/>
        </w:numPr>
        <w:spacing w:after="0" w:line="240" w:lineRule="auto"/>
        <w:rPr>
          <w:rFonts w:ascii="Arial" w:hAnsi="Arial" w:cs="Arial"/>
        </w:rPr>
      </w:pPr>
      <w:r>
        <w:rPr>
          <w:rFonts w:ascii="Arial" w:hAnsi="Arial" w:cs="Arial"/>
        </w:rPr>
        <w:t xml:space="preserve">Attachment </w:t>
      </w:r>
      <w:r w:rsidR="007B680E">
        <w:rPr>
          <w:rFonts w:ascii="Arial" w:hAnsi="Arial" w:cs="Arial"/>
        </w:rPr>
        <w:t>F – Cognitive testing plan (includes overview, participant recruitment plans, interviewer training, data analysis, communications, and timeline)</w:t>
      </w:r>
    </w:p>
    <w:p w14:paraId="740E01C6" w14:textId="140B4B15" w:rsidR="007B680E" w:rsidRDefault="007B680E" w:rsidP="007B680E">
      <w:pPr>
        <w:numPr>
          <w:ilvl w:val="2"/>
          <w:numId w:val="5"/>
        </w:numPr>
        <w:spacing w:after="0" w:line="240" w:lineRule="auto"/>
        <w:rPr>
          <w:rFonts w:ascii="Arial" w:hAnsi="Arial" w:cs="Arial"/>
        </w:rPr>
      </w:pPr>
      <w:r>
        <w:rPr>
          <w:rFonts w:ascii="Arial" w:hAnsi="Arial" w:cs="Arial"/>
        </w:rPr>
        <w:t>Attachment G – Recruitment advertisement</w:t>
      </w:r>
    </w:p>
    <w:p w14:paraId="104C26DE" w14:textId="29C70F51" w:rsidR="007B680E" w:rsidRDefault="007B680E" w:rsidP="007B680E">
      <w:pPr>
        <w:numPr>
          <w:ilvl w:val="2"/>
          <w:numId w:val="5"/>
        </w:numPr>
        <w:spacing w:after="0" w:line="240" w:lineRule="auto"/>
        <w:rPr>
          <w:rFonts w:ascii="Arial" w:hAnsi="Arial" w:cs="Arial"/>
        </w:rPr>
      </w:pPr>
      <w:r>
        <w:rPr>
          <w:rFonts w:ascii="Arial" w:hAnsi="Arial" w:cs="Arial"/>
        </w:rPr>
        <w:t xml:space="preserve">Attachment H </w:t>
      </w:r>
      <w:r w:rsidR="0099409F">
        <w:rPr>
          <w:rFonts w:ascii="Arial" w:hAnsi="Arial" w:cs="Arial"/>
        </w:rPr>
        <w:t>–</w:t>
      </w:r>
      <w:r>
        <w:rPr>
          <w:rFonts w:ascii="Arial" w:hAnsi="Arial" w:cs="Arial"/>
        </w:rPr>
        <w:t xml:space="preserve"> </w:t>
      </w:r>
      <w:r w:rsidR="0099409F">
        <w:rPr>
          <w:rFonts w:ascii="Arial" w:hAnsi="Arial" w:cs="Arial"/>
        </w:rPr>
        <w:t>Recruiting screener (to ensure we obtain a diverse group of respondents with and without victimization experiences)</w:t>
      </w:r>
    </w:p>
    <w:p w14:paraId="54A366AC" w14:textId="788EC444" w:rsidR="0099409F" w:rsidRDefault="0099409F" w:rsidP="007B680E">
      <w:pPr>
        <w:numPr>
          <w:ilvl w:val="2"/>
          <w:numId w:val="5"/>
        </w:numPr>
        <w:spacing w:after="0" w:line="240" w:lineRule="auto"/>
        <w:rPr>
          <w:rFonts w:ascii="Arial" w:hAnsi="Arial" w:cs="Arial"/>
        </w:rPr>
      </w:pPr>
      <w:r>
        <w:rPr>
          <w:rFonts w:ascii="Arial" w:hAnsi="Arial" w:cs="Arial"/>
        </w:rPr>
        <w:t xml:space="preserve">Attachment I – Informed consent form </w:t>
      </w:r>
    </w:p>
    <w:p w14:paraId="646B043F" w14:textId="7C0B12DE" w:rsidR="0099409F" w:rsidRDefault="0099409F" w:rsidP="007B680E">
      <w:pPr>
        <w:numPr>
          <w:ilvl w:val="2"/>
          <w:numId w:val="5"/>
        </w:numPr>
        <w:spacing w:after="0" w:line="240" w:lineRule="auto"/>
        <w:rPr>
          <w:rFonts w:ascii="Arial" w:hAnsi="Arial" w:cs="Arial"/>
        </w:rPr>
      </w:pPr>
      <w:r>
        <w:rPr>
          <w:rFonts w:ascii="Arial" w:hAnsi="Arial" w:cs="Arial"/>
        </w:rPr>
        <w:t>Attachment J – CATI cognitive testing protocol</w:t>
      </w:r>
    </w:p>
    <w:p w14:paraId="4FDFCE67" w14:textId="4CA0FD9E" w:rsidR="0099409F" w:rsidRDefault="0099409F" w:rsidP="007B680E">
      <w:pPr>
        <w:numPr>
          <w:ilvl w:val="2"/>
          <w:numId w:val="5"/>
        </w:numPr>
        <w:spacing w:after="0" w:line="240" w:lineRule="auto"/>
        <w:rPr>
          <w:rFonts w:ascii="Arial" w:hAnsi="Arial" w:cs="Arial"/>
        </w:rPr>
      </w:pPr>
      <w:r>
        <w:rPr>
          <w:rFonts w:ascii="Arial" w:hAnsi="Arial" w:cs="Arial"/>
        </w:rPr>
        <w:t>Attachment K – Paper instrument cognitive testing protocol</w:t>
      </w:r>
    </w:p>
    <w:p w14:paraId="76FFA6A5" w14:textId="64DFB99D" w:rsidR="0099409F" w:rsidRPr="007B680E" w:rsidRDefault="0099409F" w:rsidP="007B680E">
      <w:pPr>
        <w:numPr>
          <w:ilvl w:val="2"/>
          <w:numId w:val="5"/>
        </w:numPr>
        <w:spacing w:after="0" w:line="240" w:lineRule="auto"/>
        <w:rPr>
          <w:rFonts w:ascii="Arial" w:hAnsi="Arial" w:cs="Arial"/>
        </w:rPr>
      </w:pPr>
      <w:r>
        <w:rPr>
          <w:rFonts w:ascii="Arial" w:hAnsi="Arial" w:cs="Arial"/>
        </w:rPr>
        <w:t>Attachment L – Web-based instrument cognitive testing protocol</w:t>
      </w:r>
    </w:p>
    <w:p w14:paraId="7F825C51" w14:textId="77777777" w:rsidR="00C22CF3" w:rsidRPr="00942387" w:rsidRDefault="00C22CF3" w:rsidP="00942387">
      <w:pPr>
        <w:tabs>
          <w:tab w:val="left" w:pos="461"/>
        </w:tabs>
        <w:spacing w:after="0" w:line="240" w:lineRule="auto"/>
        <w:rPr>
          <w:rFonts w:ascii="Arial" w:hAnsi="Arial" w:cs="Arial"/>
        </w:rPr>
      </w:pPr>
    </w:p>
    <w:p w14:paraId="5E6BFA06" w14:textId="0F0D418D" w:rsidR="00DF07A5" w:rsidRDefault="00F80BC5" w:rsidP="00942387">
      <w:pPr>
        <w:tabs>
          <w:tab w:val="left" w:pos="461"/>
        </w:tabs>
        <w:spacing w:after="0" w:line="240" w:lineRule="auto"/>
        <w:rPr>
          <w:rFonts w:ascii="Arial" w:hAnsi="Arial" w:cs="Arial"/>
        </w:rPr>
      </w:pPr>
      <w:r>
        <w:rPr>
          <w:rFonts w:ascii="Arial" w:hAnsi="Arial" w:cs="Arial"/>
        </w:rPr>
        <w:t>A s</w:t>
      </w:r>
      <w:r w:rsidR="00DF07A5" w:rsidRPr="00942387">
        <w:rPr>
          <w:rFonts w:ascii="Arial" w:hAnsi="Arial" w:cs="Arial"/>
        </w:rPr>
        <w:t xml:space="preserve">ubsequent OMB </w:t>
      </w:r>
      <w:r w:rsidR="000C2FE8">
        <w:rPr>
          <w:rFonts w:ascii="Arial" w:hAnsi="Arial" w:cs="Arial"/>
        </w:rPr>
        <w:t>change</w:t>
      </w:r>
      <w:r w:rsidR="00DF07A5" w:rsidRPr="00942387">
        <w:rPr>
          <w:rFonts w:ascii="Arial" w:hAnsi="Arial" w:cs="Arial"/>
        </w:rPr>
        <w:t xml:space="preserve"> request will be submitted once the second phase (i.e., experimentation</w:t>
      </w:r>
      <w:r w:rsidRPr="00F80BC5">
        <w:rPr>
          <w:rFonts w:ascii="Arial" w:hAnsi="Arial" w:cs="Arial"/>
        </w:rPr>
        <w:t xml:space="preserve"> </w:t>
      </w:r>
      <w:r>
        <w:rPr>
          <w:rFonts w:ascii="Arial" w:hAnsi="Arial" w:cs="Arial"/>
        </w:rPr>
        <w:t xml:space="preserve">and </w:t>
      </w:r>
      <w:r w:rsidRPr="00942387">
        <w:rPr>
          <w:rFonts w:ascii="Arial" w:hAnsi="Arial" w:cs="Arial"/>
        </w:rPr>
        <w:t>feasibility testing</w:t>
      </w:r>
      <w:r w:rsidR="00DF07A5" w:rsidRPr="00942387">
        <w:rPr>
          <w:rFonts w:ascii="Arial" w:hAnsi="Arial" w:cs="Arial"/>
        </w:rPr>
        <w:t>) plans are finalized and approved by IRB</w:t>
      </w:r>
      <w:r w:rsidR="000E2DD2">
        <w:rPr>
          <w:rFonts w:ascii="Arial" w:hAnsi="Arial" w:cs="Arial"/>
        </w:rPr>
        <w:t xml:space="preserve"> (around May 2019)</w:t>
      </w:r>
      <w:r w:rsidR="00DF07A5" w:rsidRPr="00942387">
        <w:rPr>
          <w:rFonts w:ascii="Arial" w:hAnsi="Arial" w:cs="Arial"/>
        </w:rPr>
        <w:t xml:space="preserve">.  This developmental work will inform the establishment of a novel data collection approach </w:t>
      </w:r>
      <w:r>
        <w:rPr>
          <w:rFonts w:ascii="Arial" w:hAnsi="Arial" w:cs="Arial"/>
        </w:rPr>
        <w:t>to be tested during the pilot testing phase</w:t>
      </w:r>
      <w:r w:rsidR="00DF07A5" w:rsidRPr="00942387">
        <w:rPr>
          <w:rFonts w:ascii="Arial" w:hAnsi="Arial" w:cs="Arial"/>
        </w:rPr>
        <w:t xml:space="preserve">. </w:t>
      </w:r>
    </w:p>
    <w:p w14:paraId="0FA5B723" w14:textId="636F83F8" w:rsidR="00F80BC5" w:rsidRDefault="00F80BC5" w:rsidP="00942387">
      <w:pPr>
        <w:tabs>
          <w:tab w:val="left" w:pos="461"/>
        </w:tabs>
        <w:spacing w:after="0" w:line="240" w:lineRule="auto"/>
        <w:rPr>
          <w:rFonts w:ascii="Arial" w:hAnsi="Arial" w:cs="Arial"/>
        </w:rPr>
      </w:pPr>
    </w:p>
    <w:p w14:paraId="48269B28" w14:textId="25371E62" w:rsidR="00F80BC5" w:rsidRPr="00942387" w:rsidRDefault="00F80BC5" w:rsidP="00942387">
      <w:pPr>
        <w:tabs>
          <w:tab w:val="left" w:pos="461"/>
        </w:tabs>
        <w:spacing w:after="0" w:line="240" w:lineRule="auto"/>
        <w:rPr>
          <w:rFonts w:ascii="Arial" w:hAnsi="Arial" w:cs="Arial"/>
        </w:rPr>
      </w:pPr>
      <w:r>
        <w:rPr>
          <w:rFonts w:ascii="Arial" w:hAnsi="Arial" w:cs="Arial"/>
        </w:rPr>
        <w:t xml:space="preserve">Finally, an OMB revision request will be submitted around November 2019 describing the data collection approach to be used during the pilot testing, tentatively scheduled to occur beginning in March 2020.  The </w:t>
      </w:r>
      <w:r w:rsidRPr="00942387">
        <w:rPr>
          <w:rFonts w:ascii="Arial" w:hAnsi="Arial" w:cs="Arial"/>
        </w:rPr>
        <w:t>design</w:t>
      </w:r>
      <w:r>
        <w:rPr>
          <w:rFonts w:ascii="Arial" w:hAnsi="Arial" w:cs="Arial"/>
        </w:rPr>
        <w:t xml:space="preserve"> to be implemented during this pilot testing phase will inform </w:t>
      </w:r>
      <w:r w:rsidRPr="00942387">
        <w:rPr>
          <w:rFonts w:ascii="Arial" w:hAnsi="Arial" w:cs="Arial"/>
        </w:rPr>
        <w:t>the NISVS full-scale national data collection that is expected to be implemented upon completion of the currently funded contrac</w:t>
      </w:r>
      <w:r>
        <w:rPr>
          <w:rFonts w:ascii="Arial" w:hAnsi="Arial" w:cs="Arial"/>
        </w:rPr>
        <w:t xml:space="preserve">t. </w:t>
      </w:r>
    </w:p>
    <w:p w14:paraId="4BE47D89" w14:textId="77777777" w:rsidR="00C22CF3" w:rsidRPr="00942387" w:rsidRDefault="00C22CF3" w:rsidP="00942387">
      <w:pPr>
        <w:tabs>
          <w:tab w:val="left" w:pos="461"/>
        </w:tabs>
        <w:spacing w:after="0" w:line="240" w:lineRule="auto"/>
        <w:rPr>
          <w:rFonts w:ascii="Arial" w:hAnsi="Arial" w:cs="Arial"/>
        </w:rPr>
      </w:pPr>
    </w:p>
    <w:p w14:paraId="4D15487B" w14:textId="77777777" w:rsidR="00C22CF3" w:rsidRPr="00942387" w:rsidRDefault="00C22CF3" w:rsidP="00942387">
      <w:pPr>
        <w:spacing w:after="0" w:line="240" w:lineRule="auto"/>
        <w:rPr>
          <w:rFonts w:ascii="Arial" w:hAnsi="Arial" w:cs="Arial"/>
        </w:rPr>
      </w:pPr>
    </w:p>
    <w:p w14:paraId="60354C93" w14:textId="77777777" w:rsidR="00C22CF3" w:rsidRPr="00532434" w:rsidRDefault="00C22CF3" w:rsidP="00942387">
      <w:pPr>
        <w:spacing w:after="0" w:line="240" w:lineRule="auto"/>
        <w:rPr>
          <w:rFonts w:ascii="Arial" w:hAnsi="Arial" w:cs="Arial"/>
          <w:b/>
          <w:bCs/>
          <w:u w:val="single"/>
        </w:rPr>
      </w:pPr>
      <w:r w:rsidRPr="00532434">
        <w:rPr>
          <w:rFonts w:ascii="Arial" w:hAnsi="Arial" w:cs="Arial"/>
          <w:b/>
          <w:bCs/>
          <w:u w:val="single"/>
        </w:rPr>
        <w:t>Currently approved burden and costs</w:t>
      </w:r>
    </w:p>
    <w:p w14:paraId="645C2B2E" w14:textId="77777777" w:rsidR="00C22CF3" w:rsidRPr="00942387" w:rsidRDefault="00C22CF3" w:rsidP="00942387">
      <w:pPr>
        <w:spacing w:after="0" w:line="240" w:lineRule="auto"/>
        <w:rPr>
          <w:rFonts w:ascii="Arial" w:hAnsi="Arial" w:cs="Arial"/>
          <w:b/>
          <w:bCs/>
        </w:rPr>
      </w:pPr>
    </w:p>
    <w:p w14:paraId="59C2D154" w14:textId="17A01FFB" w:rsidR="00C22CF3" w:rsidRPr="00942387" w:rsidRDefault="00C22CF3" w:rsidP="00942387">
      <w:pPr>
        <w:pStyle w:val="SL-FlLftSgl"/>
        <w:spacing w:line="240" w:lineRule="auto"/>
        <w:rPr>
          <w:rFonts w:ascii="Arial" w:hAnsi="Arial" w:cs="Arial"/>
          <w:sz w:val="22"/>
          <w:szCs w:val="22"/>
        </w:rPr>
      </w:pPr>
      <w:r w:rsidRPr="00942387">
        <w:rPr>
          <w:rFonts w:ascii="Arial" w:hAnsi="Arial" w:cs="Arial"/>
          <w:bCs/>
          <w:sz w:val="22"/>
          <w:szCs w:val="22"/>
        </w:rPr>
        <w:t>In February 2018, OMB approved the NISVS data collection plans for the 2018 NISVS data collection.  At the same time,</w:t>
      </w:r>
      <w:r w:rsidR="0095512B" w:rsidRPr="0095512B">
        <w:t xml:space="preserve"> </w:t>
      </w:r>
      <w:r w:rsidR="0095512B" w:rsidRPr="0095512B">
        <w:rPr>
          <w:rFonts w:ascii="Arial" w:hAnsi="Arial" w:cs="Arial"/>
          <w:bCs/>
          <w:sz w:val="22"/>
          <w:szCs w:val="22"/>
        </w:rPr>
        <w:t>2,516 burden hours</w:t>
      </w:r>
      <w:r w:rsidRPr="00942387">
        <w:rPr>
          <w:rFonts w:ascii="Arial" w:hAnsi="Arial" w:cs="Arial"/>
          <w:bCs/>
          <w:sz w:val="22"/>
          <w:szCs w:val="22"/>
        </w:rPr>
        <w:t xml:space="preserve"> for developmental testing associated with new data collection procedures was approved.  </w:t>
      </w:r>
    </w:p>
    <w:p w14:paraId="21E559C3" w14:textId="77777777" w:rsidR="00C22CF3" w:rsidRPr="00942387" w:rsidRDefault="00C22CF3" w:rsidP="00942387">
      <w:pPr>
        <w:pStyle w:val="SL-FlLftSgl"/>
        <w:spacing w:line="240" w:lineRule="auto"/>
        <w:rPr>
          <w:rFonts w:ascii="Arial" w:hAnsi="Arial" w:cs="Arial"/>
          <w:sz w:val="22"/>
          <w:szCs w:val="22"/>
        </w:rPr>
      </w:pPr>
    </w:p>
    <w:p w14:paraId="6FB6675A" w14:textId="77777777" w:rsidR="00942387" w:rsidRPr="00942387" w:rsidRDefault="00942387" w:rsidP="00532434">
      <w:pPr>
        <w:spacing w:after="0" w:line="240" w:lineRule="auto"/>
        <w:rPr>
          <w:rFonts w:ascii="Arial" w:hAnsi="Arial" w:cs="Arial"/>
        </w:rPr>
      </w:pPr>
      <w:r w:rsidRPr="00942387">
        <w:rPr>
          <w:rFonts w:ascii="Arial" w:hAnsi="Arial" w:cs="Arial"/>
        </w:rPr>
        <w:t>The contractor will conduct a total of 120 cognitive interviews in April-June 2019.  Interviews will be conducted in two rounds, each with 60 interviews, including 20 in each round to test the Web instrument (40 total), 20 in each round to test the paper instrument (40 total), and 20 in each round to test the CATI instrument (40 total).  Note that the number of CATI interviews may change slightly (i.e., the number of Web/Paper interviews may decrease accordingly) if CDC determines that saturation in comments has been reached before the 40 interviews are complete. We anticipate each interview will take approximately one hour, and will provide respondents with $40 to help defray the costs of participating, such as transportation or child care.</w:t>
      </w:r>
    </w:p>
    <w:p w14:paraId="43A7DBE9" w14:textId="77777777" w:rsidR="00942387" w:rsidRPr="00942387" w:rsidRDefault="00942387" w:rsidP="00532434">
      <w:pPr>
        <w:pStyle w:val="SL-FlLftSgl"/>
        <w:spacing w:line="240" w:lineRule="auto"/>
        <w:rPr>
          <w:rFonts w:ascii="Arial" w:hAnsi="Arial" w:cs="Arial"/>
        </w:rPr>
      </w:pPr>
    </w:p>
    <w:p w14:paraId="32355154" w14:textId="77777777" w:rsidR="000E2DD2" w:rsidRDefault="00942387" w:rsidP="000E2DD2">
      <w:pPr>
        <w:pStyle w:val="SL-FlLftSgl"/>
        <w:spacing w:line="240" w:lineRule="auto"/>
        <w:rPr>
          <w:rFonts w:ascii="Arial" w:hAnsi="Arial" w:cs="Arial"/>
          <w:sz w:val="22"/>
          <w:szCs w:val="22"/>
        </w:rPr>
      </w:pPr>
      <w:r w:rsidRPr="000E2DD2">
        <w:rPr>
          <w:rFonts w:ascii="Arial" w:hAnsi="Arial" w:cs="Arial"/>
          <w:sz w:val="22"/>
          <w:szCs w:val="22"/>
        </w:rPr>
        <w:t xml:space="preserve">The total burden for the cognitive testing phase of the study is estimated at 120 hours. This is derived from the total burden hours for respondents that complete a 60-minute cognitive test of the survey.  </w:t>
      </w:r>
    </w:p>
    <w:p w14:paraId="71DE28A6" w14:textId="77777777" w:rsidR="000E2DD2" w:rsidRDefault="000E2DD2" w:rsidP="000E2DD2">
      <w:pPr>
        <w:pStyle w:val="SL-FlLftSgl"/>
        <w:spacing w:line="240" w:lineRule="auto"/>
        <w:rPr>
          <w:rFonts w:ascii="Arial" w:hAnsi="Arial" w:cs="Arial"/>
          <w:sz w:val="22"/>
          <w:szCs w:val="22"/>
        </w:rPr>
      </w:pPr>
    </w:p>
    <w:p w14:paraId="01791FD4" w14:textId="77777777" w:rsidR="00942387" w:rsidRPr="000E2DD2" w:rsidRDefault="00942387" w:rsidP="000E2DD2">
      <w:pPr>
        <w:pStyle w:val="SL-FlLftSgl"/>
        <w:spacing w:line="240" w:lineRule="auto"/>
        <w:rPr>
          <w:rFonts w:ascii="Arial" w:hAnsi="Arial" w:cs="Arial"/>
          <w:sz w:val="22"/>
          <w:szCs w:val="22"/>
        </w:rPr>
      </w:pPr>
    </w:p>
    <w:p w14:paraId="19259EC7" w14:textId="77777777" w:rsidR="00942387" w:rsidRPr="00942387" w:rsidRDefault="00942387" w:rsidP="00942387">
      <w:pPr>
        <w:pStyle w:val="a"/>
        <w:tabs>
          <w:tab w:val="left" w:pos="-1440"/>
        </w:tabs>
        <w:ind w:left="0" w:firstLine="0"/>
        <w:rPr>
          <w:rFonts w:ascii="Arial" w:hAnsi="Arial" w:cs="Arial"/>
          <w:b/>
        </w:rPr>
      </w:pPr>
      <w:r w:rsidRPr="00942387">
        <w:rPr>
          <w:rFonts w:ascii="Arial" w:hAnsi="Arial" w:cs="Arial"/>
          <w:b/>
        </w:rPr>
        <w:t>Table 1.  Estimated Burden Hours for 2019-2020 Data Collection</w:t>
      </w:r>
    </w:p>
    <w:p w14:paraId="5348F416" w14:textId="77777777" w:rsidR="00942387" w:rsidRPr="00942387" w:rsidRDefault="00942387" w:rsidP="00942387">
      <w:pPr>
        <w:pStyle w:val="a"/>
        <w:tabs>
          <w:tab w:val="left" w:pos="-1440"/>
        </w:tabs>
        <w:ind w:left="0" w:firstLine="0"/>
        <w:rPr>
          <w:rFonts w:ascii="Arial" w:hAnsi="Arial" w:cs="Arial"/>
        </w:rPr>
      </w:pPr>
    </w:p>
    <w:tbl>
      <w:tblPr>
        <w:tblW w:w="927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23"/>
        <w:gridCol w:w="1491"/>
        <w:gridCol w:w="1566"/>
        <w:gridCol w:w="1993"/>
        <w:gridCol w:w="1697"/>
      </w:tblGrid>
      <w:tr w:rsidR="00946A88" w:rsidRPr="00942387" w14:paraId="07861DD1" w14:textId="5BC3F4D5" w:rsidTr="00946A88">
        <w:trPr>
          <w:trHeight w:val="610"/>
        </w:trPr>
        <w:tc>
          <w:tcPr>
            <w:tcW w:w="2523" w:type="dxa"/>
            <w:shd w:val="clear" w:color="auto" w:fill="auto"/>
            <w:hideMark/>
          </w:tcPr>
          <w:p w14:paraId="30C8C7E2" w14:textId="77777777" w:rsidR="00946A88" w:rsidRPr="00942387" w:rsidRDefault="00946A88" w:rsidP="0024495B">
            <w:pPr>
              <w:jc w:val="center"/>
              <w:rPr>
                <w:rFonts w:ascii="Arial" w:hAnsi="Arial" w:cs="Arial"/>
                <w:b/>
                <w:bCs/>
                <w:color w:val="000000"/>
              </w:rPr>
            </w:pPr>
            <w:r w:rsidRPr="00942387">
              <w:rPr>
                <w:rFonts w:ascii="Arial" w:hAnsi="Arial" w:cs="Arial"/>
                <w:b/>
                <w:bCs/>
                <w:color w:val="000000"/>
              </w:rPr>
              <w:t>Category of Respondent</w:t>
            </w:r>
          </w:p>
        </w:tc>
        <w:tc>
          <w:tcPr>
            <w:tcW w:w="1491" w:type="dxa"/>
            <w:shd w:val="clear" w:color="auto" w:fill="auto"/>
            <w:hideMark/>
          </w:tcPr>
          <w:p w14:paraId="21A9056A" w14:textId="77777777" w:rsidR="00946A88" w:rsidRPr="00942387" w:rsidRDefault="00946A88" w:rsidP="0024495B">
            <w:pPr>
              <w:jc w:val="center"/>
              <w:rPr>
                <w:rFonts w:ascii="Arial" w:hAnsi="Arial" w:cs="Arial"/>
                <w:b/>
                <w:bCs/>
                <w:color w:val="000000"/>
              </w:rPr>
            </w:pPr>
            <w:r w:rsidRPr="00942387">
              <w:rPr>
                <w:rFonts w:ascii="Arial" w:hAnsi="Arial" w:cs="Arial"/>
                <w:b/>
                <w:bCs/>
                <w:color w:val="000000"/>
              </w:rPr>
              <w:t>No. of Respondents</w:t>
            </w:r>
          </w:p>
        </w:tc>
        <w:tc>
          <w:tcPr>
            <w:tcW w:w="1566" w:type="dxa"/>
          </w:tcPr>
          <w:p w14:paraId="6C4184F4" w14:textId="77777777" w:rsidR="00946A88" w:rsidRPr="00942387" w:rsidRDefault="00946A88" w:rsidP="0024495B">
            <w:pPr>
              <w:jc w:val="center"/>
              <w:rPr>
                <w:rFonts w:ascii="Arial" w:hAnsi="Arial" w:cs="Arial"/>
                <w:b/>
                <w:bCs/>
                <w:color w:val="000000"/>
              </w:rPr>
            </w:pPr>
            <w:r w:rsidRPr="00942387">
              <w:rPr>
                <w:rFonts w:ascii="Arial" w:hAnsi="Arial" w:cs="Arial"/>
                <w:b/>
              </w:rPr>
              <w:t>Number of Responses per Respondent</w:t>
            </w:r>
          </w:p>
        </w:tc>
        <w:tc>
          <w:tcPr>
            <w:tcW w:w="1993" w:type="dxa"/>
            <w:shd w:val="clear" w:color="auto" w:fill="auto"/>
            <w:hideMark/>
          </w:tcPr>
          <w:p w14:paraId="28966F7D" w14:textId="77777777" w:rsidR="00946A88" w:rsidRPr="00942387" w:rsidRDefault="00946A88" w:rsidP="0024495B">
            <w:pPr>
              <w:jc w:val="center"/>
              <w:rPr>
                <w:rFonts w:ascii="Arial" w:hAnsi="Arial" w:cs="Arial"/>
                <w:b/>
              </w:rPr>
            </w:pPr>
            <w:r w:rsidRPr="00942387">
              <w:rPr>
                <w:rFonts w:ascii="Arial" w:hAnsi="Arial" w:cs="Arial"/>
                <w:b/>
              </w:rPr>
              <w:t>Average Burden per Response</w:t>
            </w:r>
          </w:p>
          <w:p w14:paraId="2E3FE926" w14:textId="77777777" w:rsidR="00946A88" w:rsidRPr="00942387" w:rsidRDefault="00946A88" w:rsidP="0024495B">
            <w:pPr>
              <w:jc w:val="center"/>
              <w:rPr>
                <w:rFonts w:ascii="Arial" w:hAnsi="Arial" w:cs="Arial"/>
                <w:b/>
                <w:bCs/>
                <w:color w:val="000000"/>
              </w:rPr>
            </w:pPr>
            <w:r w:rsidRPr="00942387">
              <w:rPr>
                <w:rFonts w:ascii="Arial" w:hAnsi="Arial" w:cs="Arial"/>
                <w:b/>
              </w:rPr>
              <w:t>(in hours)</w:t>
            </w:r>
          </w:p>
        </w:tc>
        <w:tc>
          <w:tcPr>
            <w:tcW w:w="1697" w:type="dxa"/>
            <w:shd w:val="clear" w:color="auto" w:fill="auto"/>
            <w:hideMark/>
          </w:tcPr>
          <w:p w14:paraId="64E02F5E" w14:textId="77777777" w:rsidR="00946A88" w:rsidRPr="00942387" w:rsidRDefault="00946A88" w:rsidP="0024495B">
            <w:pPr>
              <w:jc w:val="center"/>
              <w:rPr>
                <w:rFonts w:ascii="Arial" w:hAnsi="Arial" w:cs="Arial"/>
                <w:b/>
                <w:bCs/>
                <w:color w:val="000000"/>
              </w:rPr>
            </w:pPr>
            <w:r w:rsidRPr="00942387">
              <w:rPr>
                <w:rFonts w:ascii="Arial" w:hAnsi="Arial" w:cs="Arial"/>
                <w:b/>
              </w:rPr>
              <w:t>Total Burden (in hours)</w:t>
            </w:r>
          </w:p>
        </w:tc>
      </w:tr>
      <w:tr w:rsidR="00946A88" w:rsidRPr="00942387" w14:paraId="12CC9A40" w14:textId="67EAE918" w:rsidTr="00946A88">
        <w:trPr>
          <w:trHeight w:val="630"/>
        </w:trPr>
        <w:tc>
          <w:tcPr>
            <w:tcW w:w="2523" w:type="dxa"/>
            <w:shd w:val="clear" w:color="auto" w:fill="auto"/>
          </w:tcPr>
          <w:p w14:paraId="3F328749" w14:textId="77777777" w:rsidR="00946A88" w:rsidRPr="00942387" w:rsidRDefault="00946A88" w:rsidP="0024495B">
            <w:pPr>
              <w:rPr>
                <w:rFonts w:ascii="Arial" w:hAnsi="Arial" w:cs="Arial"/>
                <w:color w:val="000000"/>
              </w:rPr>
            </w:pPr>
            <w:r w:rsidRPr="00942387">
              <w:rPr>
                <w:rFonts w:ascii="Arial" w:hAnsi="Arial" w:cs="Arial"/>
                <w:color w:val="000000"/>
              </w:rPr>
              <w:t>Cognitive testing</w:t>
            </w:r>
          </w:p>
        </w:tc>
        <w:tc>
          <w:tcPr>
            <w:tcW w:w="1491" w:type="dxa"/>
            <w:shd w:val="clear" w:color="auto" w:fill="auto"/>
          </w:tcPr>
          <w:p w14:paraId="107CC361" w14:textId="77777777" w:rsidR="00946A88" w:rsidRPr="00942387" w:rsidRDefault="00946A88" w:rsidP="0024495B">
            <w:pPr>
              <w:jc w:val="center"/>
              <w:rPr>
                <w:rFonts w:ascii="Arial" w:hAnsi="Arial" w:cs="Arial"/>
                <w:color w:val="000000"/>
              </w:rPr>
            </w:pPr>
          </w:p>
        </w:tc>
        <w:tc>
          <w:tcPr>
            <w:tcW w:w="1566" w:type="dxa"/>
          </w:tcPr>
          <w:p w14:paraId="1D601B22" w14:textId="77777777" w:rsidR="00946A88" w:rsidRPr="00942387" w:rsidRDefault="00946A88" w:rsidP="0024495B">
            <w:pPr>
              <w:jc w:val="center"/>
              <w:rPr>
                <w:rFonts w:ascii="Arial" w:hAnsi="Arial" w:cs="Arial"/>
                <w:color w:val="000000"/>
              </w:rPr>
            </w:pPr>
          </w:p>
        </w:tc>
        <w:tc>
          <w:tcPr>
            <w:tcW w:w="1993" w:type="dxa"/>
            <w:shd w:val="clear" w:color="auto" w:fill="auto"/>
          </w:tcPr>
          <w:p w14:paraId="0AFDB85A" w14:textId="77777777" w:rsidR="00946A88" w:rsidRPr="00942387" w:rsidRDefault="00946A88" w:rsidP="0024495B">
            <w:pPr>
              <w:jc w:val="center"/>
              <w:rPr>
                <w:rFonts w:ascii="Arial" w:hAnsi="Arial" w:cs="Arial"/>
                <w:color w:val="000000"/>
              </w:rPr>
            </w:pPr>
          </w:p>
        </w:tc>
        <w:tc>
          <w:tcPr>
            <w:tcW w:w="1697" w:type="dxa"/>
            <w:shd w:val="clear" w:color="auto" w:fill="auto"/>
          </w:tcPr>
          <w:p w14:paraId="429615BC" w14:textId="77777777" w:rsidR="00946A88" w:rsidRPr="00942387" w:rsidDel="008677B7" w:rsidRDefault="00946A88" w:rsidP="0024495B">
            <w:pPr>
              <w:jc w:val="center"/>
              <w:rPr>
                <w:rFonts w:ascii="Arial" w:hAnsi="Arial" w:cs="Arial"/>
                <w:color w:val="000000"/>
              </w:rPr>
            </w:pPr>
          </w:p>
        </w:tc>
      </w:tr>
      <w:tr w:rsidR="00946A88" w:rsidRPr="00942387" w14:paraId="50D9B019" w14:textId="407FF7F6" w:rsidTr="00946A88">
        <w:trPr>
          <w:trHeight w:val="630"/>
        </w:trPr>
        <w:tc>
          <w:tcPr>
            <w:tcW w:w="2523" w:type="dxa"/>
            <w:shd w:val="clear" w:color="auto" w:fill="auto"/>
            <w:hideMark/>
          </w:tcPr>
          <w:p w14:paraId="4E4651A1" w14:textId="77777777" w:rsidR="00946A88" w:rsidRPr="00942387" w:rsidRDefault="00946A88" w:rsidP="0024495B">
            <w:pPr>
              <w:rPr>
                <w:rFonts w:ascii="Arial" w:hAnsi="Arial" w:cs="Arial"/>
                <w:color w:val="000000"/>
              </w:rPr>
            </w:pPr>
            <w:r w:rsidRPr="00942387">
              <w:rPr>
                <w:rFonts w:ascii="Arial" w:hAnsi="Arial" w:cs="Arial"/>
                <w:color w:val="000000"/>
              </w:rPr>
              <w:t xml:space="preserve">   Paper Questionnaire</w:t>
            </w:r>
          </w:p>
        </w:tc>
        <w:tc>
          <w:tcPr>
            <w:tcW w:w="1491" w:type="dxa"/>
            <w:shd w:val="clear" w:color="auto" w:fill="auto"/>
            <w:hideMark/>
          </w:tcPr>
          <w:p w14:paraId="7AB67928" w14:textId="77777777" w:rsidR="00946A88" w:rsidRPr="00942387" w:rsidRDefault="00946A88" w:rsidP="0024495B">
            <w:pPr>
              <w:jc w:val="center"/>
              <w:rPr>
                <w:rFonts w:ascii="Arial" w:hAnsi="Arial" w:cs="Arial"/>
                <w:color w:val="000000"/>
              </w:rPr>
            </w:pPr>
            <w:r w:rsidRPr="00942387">
              <w:rPr>
                <w:rFonts w:ascii="Arial" w:hAnsi="Arial" w:cs="Arial"/>
                <w:color w:val="000000"/>
              </w:rPr>
              <w:t>40</w:t>
            </w:r>
          </w:p>
        </w:tc>
        <w:tc>
          <w:tcPr>
            <w:tcW w:w="1566" w:type="dxa"/>
          </w:tcPr>
          <w:p w14:paraId="4552F468" w14:textId="77777777" w:rsidR="00946A88" w:rsidRPr="00942387" w:rsidRDefault="00946A88"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hideMark/>
          </w:tcPr>
          <w:p w14:paraId="1A7723CF" w14:textId="77777777" w:rsidR="00946A88" w:rsidRPr="00942387" w:rsidRDefault="00946A88" w:rsidP="0024495B">
            <w:pPr>
              <w:jc w:val="center"/>
              <w:rPr>
                <w:rFonts w:ascii="Arial" w:hAnsi="Arial" w:cs="Arial"/>
                <w:color w:val="000000"/>
              </w:rPr>
            </w:pPr>
            <w:r w:rsidRPr="00942387">
              <w:rPr>
                <w:rFonts w:ascii="Arial" w:hAnsi="Arial" w:cs="Arial"/>
                <w:color w:val="000000"/>
              </w:rPr>
              <w:t>60/60</w:t>
            </w:r>
          </w:p>
        </w:tc>
        <w:tc>
          <w:tcPr>
            <w:tcW w:w="1697" w:type="dxa"/>
            <w:shd w:val="clear" w:color="auto" w:fill="auto"/>
            <w:hideMark/>
          </w:tcPr>
          <w:p w14:paraId="67A5707F" w14:textId="77777777" w:rsidR="00946A88" w:rsidRPr="00942387" w:rsidRDefault="00946A88" w:rsidP="0024495B">
            <w:pPr>
              <w:jc w:val="center"/>
              <w:rPr>
                <w:rFonts w:ascii="Arial" w:hAnsi="Arial" w:cs="Arial"/>
                <w:color w:val="000000"/>
              </w:rPr>
            </w:pPr>
            <w:r w:rsidRPr="00942387">
              <w:rPr>
                <w:rFonts w:ascii="Arial" w:hAnsi="Arial" w:cs="Arial"/>
                <w:color w:val="000000"/>
              </w:rPr>
              <w:t>2,400 minutes (40 hours)</w:t>
            </w:r>
          </w:p>
        </w:tc>
      </w:tr>
      <w:tr w:rsidR="00946A88" w:rsidRPr="00942387" w14:paraId="2D2527C1" w14:textId="45475FBC" w:rsidTr="00946A88">
        <w:trPr>
          <w:trHeight w:val="630"/>
        </w:trPr>
        <w:tc>
          <w:tcPr>
            <w:tcW w:w="2523" w:type="dxa"/>
            <w:shd w:val="clear" w:color="auto" w:fill="auto"/>
            <w:hideMark/>
          </w:tcPr>
          <w:p w14:paraId="4A458181" w14:textId="77777777" w:rsidR="00946A88" w:rsidRPr="00942387" w:rsidRDefault="00946A88" w:rsidP="0024495B">
            <w:pPr>
              <w:rPr>
                <w:rFonts w:ascii="Arial" w:hAnsi="Arial" w:cs="Arial"/>
                <w:color w:val="000000"/>
              </w:rPr>
            </w:pPr>
            <w:r w:rsidRPr="00942387">
              <w:rPr>
                <w:rFonts w:ascii="Arial" w:hAnsi="Arial" w:cs="Arial"/>
                <w:color w:val="000000"/>
              </w:rPr>
              <w:t xml:space="preserve">   Web Questionnaire</w:t>
            </w:r>
          </w:p>
        </w:tc>
        <w:tc>
          <w:tcPr>
            <w:tcW w:w="1491" w:type="dxa"/>
            <w:shd w:val="clear" w:color="auto" w:fill="auto"/>
            <w:hideMark/>
          </w:tcPr>
          <w:p w14:paraId="67860435" w14:textId="77777777" w:rsidR="00946A88" w:rsidRPr="00942387" w:rsidRDefault="00946A88" w:rsidP="0024495B">
            <w:pPr>
              <w:jc w:val="center"/>
              <w:rPr>
                <w:rFonts w:ascii="Arial" w:hAnsi="Arial" w:cs="Arial"/>
                <w:color w:val="000000"/>
              </w:rPr>
            </w:pPr>
            <w:r w:rsidRPr="00942387">
              <w:rPr>
                <w:rFonts w:ascii="Arial" w:hAnsi="Arial" w:cs="Arial"/>
                <w:color w:val="000000"/>
              </w:rPr>
              <w:t>40</w:t>
            </w:r>
          </w:p>
        </w:tc>
        <w:tc>
          <w:tcPr>
            <w:tcW w:w="1566" w:type="dxa"/>
          </w:tcPr>
          <w:p w14:paraId="1B5C56FF" w14:textId="77777777" w:rsidR="00946A88" w:rsidRPr="00942387" w:rsidRDefault="00946A88"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hideMark/>
          </w:tcPr>
          <w:p w14:paraId="40824423" w14:textId="77777777" w:rsidR="00946A88" w:rsidRPr="00942387" w:rsidRDefault="00946A88" w:rsidP="0024495B">
            <w:pPr>
              <w:jc w:val="center"/>
              <w:rPr>
                <w:rFonts w:ascii="Arial" w:hAnsi="Arial" w:cs="Arial"/>
                <w:color w:val="000000"/>
              </w:rPr>
            </w:pPr>
            <w:r w:rsidRPr="00942387">
              <w:rPr>
                <w:rFonts w:ascii="Arial" w:hAnsi="Arial" w:cs="Arial"/>
                <w:color w:val="000000"/>
              </w:rPr>
              <w:t>60/60</w:t>
            </w:r>
          </w:p>
        </w:tc>
        <w:tc>
          <w:tcPr>
            <w:tcW w:w="1697" w:type="dxa"/>
            <w:shd w:val="clear" w:color="auto" w:fill="auto"/>
            <w:hideMark/>
          </w:tcPr>
          <w:p w14:paraId="607CC1D6" w14:textId="77777777" w:rsidR="00946A88" w:rsidRPr="00942387" w:rsidRDefault="00946A88" w:rsidP="0024495B">
            <w:pPr>
              <w:jc w:val="center"/>
              <w:rPr>
                <w:rFonts w:ascii="Arial" w:hAnsi="Arial" w:cs="Arial"/>
                <w:color w:val="000000"/>
              </w:rPr>
            </w:pPr>
            <w:r w:rsidRPr="00942387">
              <w:rPr>
                <w:rFonts w:ascii="Arial" w:hAnsi="Arial" w:cs="Arial"/>
                <w:color w:val="000000"/>
              </w:rPr>
              <w:t>2,400 minutes (40 hours)</w:t>
            </w:r>
          </w:p>
        </w:tc>
      </w:tr>
      <w:tr w:rsidR="00946A88" w:rsidRPr="00942387" w14:paraId="5E8B2F33" w14:textId="0737D352" w:rsidTr="00946A88">
        <w:trPr>
          <w:trHeight w:val="630"/>
        </w:trPr>
        <w:tc>
          <w:tcPr>
            <w:tcW w:w="2523" w:type="dxa"/>
            <w:shd w:val="clear" w:color="auto" w:fill="auto"/>
            <w:hideMark/>
          </w:tcPr>
          <w:p w14:paraId="0572D801" w14:textId="77777777" w:rsidR="00946A88" w:rsidRPr="00942387" w:rsidRDefault="00946A88" w:rsidP="0024495B">
            <w:pPr>
              <w:rPr>
                <w:rFonts w:ascii="Arial" w:hAnsi="Arial" w:cs="Arial"/>
                <w:color w:val="000000"/>
              </w:rPr>
            </w:pPr>
            <w:r w:rsidRPr="00942387">
              <w:rPr>
                <w:rFonts w:ascii="Arial" w:hAnsi="Arial" w:cs="Arial"/>
                <w:color w:val="000000"/>
              </w:rPr>
              <w:t xml:space="preserve">   Phone Questionnaire</w:t>
            </w:r>
          </w:p>
        </w:tc>
        <w:tc>
          <w:tcPr>
            <w:tcW w:w="1491" w:type="dxa"/>
            <w:shd w:val="clear" w:color="auto" w:fill="auto"/>
            <w:hideMark/>
          </w:tcPr>
          <w:p w14:paraId="21D55D61" w14:textId="77777777" w:rsidR="00946A88" w:rsidRPr="00942387" w:rsidRDefault="00946A88" w:rsidP="0024495B">
            <w:pPr>
              <w:jc w:val="center"/>
              <w:rPr>
                <w:rFonts w:ascii="Arial" w:hAnsi="Arial" w:cs="Arial"/>
                <w:color w:val="000000"/>
              </w:rPr>
            </w:pPr>
            <w:r w:rsidRPr="00942387">
              <w:rPr>
                <w:rFonts w:ascii="Arial" w:hAnsi="Arial" w:cs="Arial"/>
                <w:color w:val="000000"/>
              </w:rPr>
              <w:t>40</w:t>
            </w:r>
          </w:p>
        </w:tc>
        <w:tc>
          <w:tcPr>
            <w:tcW w:w="1566" w:type="dxa"/>
          </w:tcPr>
          <w:p w14:paraId="116C22DD" w14:textId="77777777" w:rsidR="00946A88" w:rsidRPr="00942387" w:rsidRDefault="00946A88"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hideMark/>
          </w:tcPr>
          <w:p w14:paraId="7C823CD7" w14:textId="77777777" w:rsidR="00946A88" w:rsidRPr="00942387" w:rsidRDefault="00946A88" w:rsidP="0024495B">
            <w:pPr>
              <w:jc w:val="center"/>
              <w:rPr>
                <w:rFonts w:ascii="Arial" w:hAnsi="Arial" w:cs="Arial"/>
                <w:color w:val="000000"/>
              </w:rPr>
            </w:pPr>
            <w:r w:rsidRPr="00942387">
              <w:rPr>
                <w:rFonts w:ascii="Arial" w:hAnsi="Arial" w:cs="Arial"/>
                <w:color w:val="000000"/>
              </w:rPr>
              <w:t>60/60</w:t>
            </w:r>
          </w:p>
        </w:tc>
        <w:tc>
          <w:tcPr>
            <w:tcW w:w="1697" w:type="dxa"/>
            <w:shd w:val="clear" w:color="auto" w:fill="auto"/>
            <w:hideMark/>
          </w:tcPr>
          <w:p w14:paraId="2B650C07" w14:textId="77777777" w:rsidR="00946A88" w:rsidRPr="00942387" w:rsidRDefault="00946A88" w:rsidP="0024495B">
            <w:pPr>
              <w:jc w:val="center"/>
              <w:rPr>
                <w:rFonts w:ascii="Arial" w:hAnsi="Arial" w:cs="Arial"/>
                <w:color w:val="000000"/>
              </w:rPr>
            </w:pPr>
            <w:r w:rsidRPr="00942387">
              <w:rPr>
                <w:rFonts w:ascii="Arial" w:hAnsi="Arial" w:cs="Arial"/>
                <w:color w:val="000000"/>
              </w:rPr>
              <w:t>2,400 minutes (40 hours)</w:t>
            </w:r>
          </w:p>
        </w:tc>
      </w:tr>
    </w:tbl>
    <w:p w14:paraId="332652E3" w14:textId="12045327" w:rsidR="000A4528" w:rsidRPr="00942387" w:rsidRDefault="000A4528" w:rsidP="00FB31F8">
      <w:pPr>
        <w:rPr>
          <w:rFonts w:ascii="Arial" w:hAnsi="Arial" w:cs="Arial"/>
        </w:rPr>
      </w:pPr>
    </w:p>
    <w:sectPr w:rsidR="000A4528" w:rsidRPr="00942387" w:rsidSect="0088241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4A25D" w14:textId="77777777" w:rsidR="007812D2" w:rsidRDefault="007812D2" w:rsidP="00A65403">
      <w:pPr>
        <w:spacing w:after="0" w:line="240" w:lineRule="auto"/>
      </w:pPr>
      <w:r>
        <w:separator/>
      </w:r>
    </w:p>
  </w:endnote>
  <w:endnote w:type="continuationSeparator" w:id="0">
    <w:p w14:paraId="3F041CAA" w14:textId="77777777" w:rsidR="007812D2" w:rsidRDefault="007812D2"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652E8" w14:textId="77777777" w:rsidR="000A4528" w:rsidRDefault="000A4528">
    <w:pPr>
      <w:pStyle w:val="Footer"/>
    </w:pPr>
    <w:r>
      <w:t>Created:  7 December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F34A9" w14:textId="77777777" w:rsidR="007812D2" w:rsidRDefault="007812D2" w:rsidP="00A65403">
      <w:pPr>
        <w:spacing w:after="0" w:line="240" w:lineRule="auto"/>
      </w:pPr>
      <w:r>
        <w:separator/>
      </w:r>
    </w:p>
  </w:footnote>
  <w:footnote w:type="continuationSeparator" w:id="0">
    <w:p w14:paraId="5A0B864C" w14:textId="77777777" w:rsidR="007812D2" w:rsidRDefault="007812D2" w:rsidP="00A65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3D69"/>
    <w:multiLevelType w:val="hybridMultilevel"/>
    <w:tmpl w:val="7C4AC77C"/>
    <w:lvl w:ilvl="0" w:tplc="4BD210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C6325FE"/>
    <w:multiLevelType w:val="hybridMultilevel"/>
    <w:tmpl w:val="C5782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1267F"/>
    <w:multiLevelType w:val="hybridMultilevel"/>
    <w:tmpl w:val="598849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nsid w:val="3B766D33"/>
    <w:multiLevelType w:val="hybridMultilevel"/>
    <w:tmpl w:val="FD16D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nsid w:val="69507ED4"/>
    <w:multiLevelType w:val="hybridMultilevel"/>
    <w:tmpl w:val="CD8AE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D0B5B55"/>
    <w:multiLevelType w:val="hybridMultilevel"/>
    <w:tmpl w:val="20A2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1"/>
    <w:rsid w:val="000037D8"/>
    <w:rsid w:val="00006906"/>
    <w:rsid w:val="00031E7F"/>
    <w:rsid w:val="00083415"/>
    <w:rsid w:val="000A4528"/>
    <w:rsid w:val="000C2FE8"/>
    <w:rsid w:val="000E1AB7"/>
    <w:rsid w:val="000E2DD2"/>
    <w:rsid w:val="000E68A3"/>
    <w:rsid w:val="001046E8"/>
    <w:rsid w:val="0012420B"/>
    <w:rsid w:val="00124F33"/>
    <w:rsid w:val="00182A15"/>
    <w:rsid w:val="00183178"/>
    <w:rsid w:val="001F4DCD"/>
    <w:rsid w:val="00232807"/>
    <w:rsid w:val="00294EDE"/>
    <w:rsid w:val="003139AF"/>
    <w:rsid w:val="0041121D"/>
    <w:rsid w:val="004B048D"/>
    <w:rsid w:val="004B2895"/>
    <w:rsid w:val="004B385C"/>
    <w:rsid w:val="004B6B7C"/>
    <w:rsid w:val="004D13C5"/>
    <w:rsid w:val="005251E4"/>
    <w:rsid w:val="0053239C"/>
    <w:rsid w:val="00532434"/>
    <w:rsid w:val="00560E34"/>
    <w:rsid w:val="005774AC"/>
    <w:rsid w:val="005E152A"/>
    <w:rsid w:val="00602C4D"/>
    <w:rsid w:val="006109EC"/>
    <w:rsid w:val="006371F5"/>
    <w:rsid w:val="00655FA8"/>
    <w:rsid w:val="0066047E"/>
    <w:rsid w:val="006645D4"/>
    <w:rsid w:val="006E26AB"/>
    <w:rsid w:val="00750A96"/>
    <w:rsid w:val="00765454"/>
    <w:rsid w:val="00771EB8"/>
    <w:rsid w:val="007812D2"/>
    <w:rsid w:val="007A39D2"/>
    <w:rsid w:val="007B680E"/>
    <w:rsid w:val="00882415"/>
    <w:rsid w:val="00895DD7"/>
    <w:rsid w:val="008A2613"/>
    <w:rsid w:val="00942387"/>
    <w:rsid w:val="00946A88"/>
    <w:rsid w:val="0095512B"/>
    <w:rsid w:val="0099409F"/>
    <w:rsid w:val="009F14E5"/>
    <w:rsid w:val="00A24630"/>
    <w:rsid w:val="00A26F9A"/>
    <w:rsid w:val="00A346F6"/>
    <w:rsid w:val="00A423A5"/>
    <w:rsid w:val="00A42722"/>
    <w:rsid w:val="00A43D5A"/>
    <w:rsid w:val="00A65403"/>
    <w:rsid w:val="00AB1E18"/>
    <w:rsid w:val="00AB73AA"/>
    <w:rsid w:val="00AD7CCC"/>
    <w:rsid w:val="00AE275D"/>
    <w:rsid w:val="00B06A8B"/>
    <w:rsid w:val="00B411CB"/>
    <w:rsid w:val="00B53675"/>
    <w:rsid w:val="00B6426E"/>
    <w:rsid w:val="00B957D1"/>
    <w:rsid w:val="00C22CF3"/>
    <w:rsid w:val="00C348AD"/>
    <w:rsid w:val="00C638C3"/>
    <w:rsid w:val="00C97C3F"/>
    <w:rsid w:val="00D5079E"/>
    <w:rsid w:val="00D5416B"/>
    <w:rsid w:val="00DA0E9C"/>
    <w:rsid w:val="00DD0D03"/>
    <w:rsid w:val="00DF07A5"/>
    <w:rsid w:val="00DF70BF"/>
    <w:rsid w:val="00E44E9B"/>
    <w:rsid w:val="00EC574B"/>
    <w:rsid w:val="00ED5DBC"/>
    <w:rsid w:val="00F72156"/>
    <w:rsid w:val="00F80BC5"/>
    <w:rsid w:val="00FB06DA"/>
    <w:rsid w:val="00FB31F8"/>
    <w:rsid w:val="00FB45BD"/>
    <w:rsid w:val="00FC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6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paragraph" w:customStyle="1" w:styleId="SL-FlLftSgl">
    <w:name w:val="SL-Fl Lft Sgl"/>
    <w:rsid w:val="00C22CF3"/>
    <w:pPr>
      <w:spacing w:line="240" w:lineRule="atLeast"/>
    </w:pPr>
    <w:rPr>
      <w:rFonts w:ascii="Times New Roman" w:eastAsia="Times New Roman" w:hAnsi="Times New Roman"/>
      <w:sz w:val="24"/>
      <w:szCs w:val="24"/>
    </w:rPr>
  </w:style>
  <w:style w:type="paragraph" w:customStyle="1" w:styleId="a">
    <w:name w:val="_"/>
    <w:basedOn w:val="Normal"/>
    <w:link w:val="Char"/>
    <w:rsid w:val="00942387"/>
    <w:pPr>
      <w:widowControl w:val="0"/>
      <w:autoSpaceDE w:val="0"/>
      <w:autoSpaceDN w:val="0"/>
      <w:adjustRightInd w:val="0"/>
      <w:spacing w:after="0" w:line="240" w:lineRule="auto"/>
      <w:ind w:left="720" w:hanging="720"/>
    </w:pPr>
    <w:rPr>
      <w:rFonts w:ascii="Times New Roman" w:eastAsia="Times New Roman" w:hAnsi="Times New Roman"/>
      <w:sz w:val="24"/>
      <w:szCs w:val="24"/>
    </w:rPr>
  </w:style>
  <w:style w:type="character" w:customStyle="1" w:styleId="Char">
    <w:name w:val="_ Char"/>
    <w:link w:val="a"/>
    <w:rsid w:val="00942387"/>
    <w:rPr>
      <w:rFonts w:ascii="Times New Roman" w:eastAsia="Times New Roman" w:hAnsi="Times New Roman"/>
      <w:sz w:val="24"/>
      <w:szCs w:val="24"/>
    </w:rPr>
  </w:style>
  <w:style w:type="paragraph" w:customStyle="1" w:styleId="Bulleted">
    <w:name w:val="Bulleted"/>
    <w:basedOn w:val="Normal"/>
    <w:autoRedefine/>
    <w:rsid w:val="00942387"/>
    <w:pPr>
      <w:spacing w:after="0" w:line="240" w:lineRule="auto"/>
    </w:pPr>
    <w:rPr>
      <w:rFonts w:ascii="Times New Roman" w:eastAsia="Times New Roman" w:hAnsi="Times New Roman"/>
      <w:b/>
      <w:sz w:val="24"/>
      <w:szCs w:val="24"/>
    </w:rPr>
  </w:style>
  <w:style w:type="table" w:styleId="TableGrid">
    <w:name w:val="Table Grid"/>
    <w:basedOn w:val="TableNormal"/>
    <w:locked/>
    <w:rsid w:val="009423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895"/>
    <w:rPr>
      <w:rFonts w:ascii="Segoe UI" w:hAnsi="Segoe UI" w:cs="Segoe UI"/>
      <w:sz w:val="18"/>
      <w:szCs w:val="18"/>
    </w:rPr>
  </w:style>
  <w:style w:type="character" w:styleId="CommentReference">
    <w:name w:val="annotation reference"/>
    <w:basedOn w:val="DefaultParagraphFont"/>
    <w:uiPriority w:val="99"/>
    <w:semiHidden/>
    <w:unhideWhenUsed/>
    <w:rsid w:val="004B2895"/>
    <w:rPr>
      <w:sz w:val="16"/>
      <w:szCs w:val="16"/>
    </w:rPr>
  </w:style>
  <w:style w:type="paragraph" w:styleId="CommentText">
    <w:name w:val="annotation text"/>
    <w:basedOn w:val="Normal"/>
    <w:link w:val="CommentTextChar"/>
    <w:uiPriority w:val="99"/>
    <w:semiHidden/>
    <w:unhideWhenUsed/>
    <w:rsid w:val="004B2895"/>
    <w:pPr>
      <w:spacing w:line="240" w:lineRule="auto"/>
    </w:pPr>
    <w:rPr>
      <w:sz w:val="20"/>
      <w:szCs w:val="20"/>
    </w:rPr>
  </w:style>
  <w:style w:type="character" w:customStyle="1" w:styleId="CommentTextChar">
    <w:name w:val="Comment Text Char"/>
    <w:basedOn w:val="DefaultParagraphFont"/>
    <w:link w:val="CommentText"/>
    <w:uiPriority w:val="99"/>
    <w:semiHidden/>
    <w:rsid w:val="004B2895"/>
    <w:rPr>
      <w:sz w:val="20"/>
      <w:szCs w:val="20"/>
    </w:rPr>
  </w:style>
  <w:style w:type="paragraph" w:styleId="CommentSubject">
    <w:name w:val="annotation subject"/>
    <w:basedOn w:val="CommentText"/>
    <w:next w:val="CommentText"/>
    <w:link w:val="CommentSubjectChar"/>
    <w:uiPriority w:val="99"/>
    <w:semiHidden/>
    <w:unhideWhenUsed/>
    <w:rsid w:val="004B2895"/>
    <w:rPr>
      <w:b/>
      <w:bCs/>
    </w:rPr>
  </w:style>
  <w:style w:type="character" w:customStyle="1" w:styleId="CommentSubjectChar">
    <w:name w:val="Comment Subject Char"/>
    <w:basedOn w:val="CommentTextChar"/>
    <w:link w:val="CommentSubject"/>
    <w:uiPriority w:val="99"/>
    <w:semiHidden/>
    <w:rsid w:val="004B2895"/>
    <w:rPr>
      <w:b/>
      <w:bCs/>
      <w:sz w:val="20"/>
      <w:szCs w:val="20"/>
    </w:rPr>
  </w:style>
  <w:style w:type="paragraph" w:styleId="Revision">
    <w:name w:val="Revision"/>
    <w:hidden/>
    <w:uiPriority w:val="99"/>
    <w:semiHidden/>
    <w:rsid w:val="00955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paragraph" w:customStyle="1" w:styleId="SL-FlLftSgl">
    <w:name w:val="SL-Fl Lft Sgl"/>
    <w:rsid w:val="00C22CF3"/>
    <w:pPr>
      <w:spacing w:line="240" w:lineRule="atLeast"/>
    </w:pPr>
    <w:rPr>
      <w:rFonts w:ascii="Times New Roman" w:eastAsia="Times New Roman" w:hAnsi="Times New Roman"/>
      <w:sz w:val="24"/>
      <w:szCs w:val="24"/>
    </w:rPr>
  </w:style>
  <w:style w:type="paragraph" w:customStyle="1" w:styleId="a">
    <w:name w:val="_"/>
    <w:basedOn w:val="Normal"/>
    <w:link w:val="Char"/>
    <w:rsid w:val="00942387"/>
    <w:pPr>
      <w:widowControl w:val="0"/>
      <w:autoSpaceDE w:val="0"/>
      <w:autoSpaceDN w:val="0"/>
      <w:adjustRightInd w:val="0"/>
      <w:spacing w:after="0" w:line="240" w:lineRule="auto"/>
      <w:ind w:left="720" w:hanging="720"/>
    </w:pPr>
    <w:rPr>
      <w:rFonts w:ascii="Times New Roman" w:eastAsia="Times New Roman" w:hAnsi="Times New Roman"/>
      <w:sz w:val="24"/>
      <w:szCs w:val="24"/>
    </w:rPr>
  </w:style>
  <w:style w:type="character" w:customStyle="1" w:styleId="Char">
    <w:name w:val="_ Char"/>
    <w:link w:val="a"/>
    <w:rsid w:val="00942387"/>
    <w:rPr>
      <w:rFonts w:ascii="Times New Roman" w:eastAsia="Times New Roman" w:hAnsi="Times New Roman"/>
      <w:sz w:val="24"/>
      <w:szCs w:val="24"/>
    </w:rPr>
  </w:style>
  <w:style w:type="paragraph" w:customStyle="1" w:styleId="Bulleted">
    <w:name w:val="Bulleted"/>
    <w:basedOn w:val="Normal"/>
    <w:autoRedefine/>
    <w:rsid w:val="00942387"/>
    <w:pPr>
      <w:spacing w:after="0" w:line="240" w:lineRule="auto"/>
    </w:pPr>
    <w:rPr>
      <w:rFonts w:ascii="Times New Roman" w:eastAsia="Times New Roman" w:hAnsi="Times New Roman"/>
      <w:b/>
      <w:sz w:val="24"/>
      <w:szCs w:val="24"/>
    </w:rPr>
  </w:style>
  <w:style w:type="table" w:styleId="TableGrid">
    <w:name w:val="Table Grid"/>
    <w:basedOn w:val="TableNormal"/>
    <w:locked/>
    <w:rsid w:val="009423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895"/>
    <w:rPr>
      <w:rFonts w:ascii="Segoe UI" w:hAnsi="Segoe UI" w:cs="Segoe UI"/>
      <w:sz w:val="18"/>
      <w:szCs w:val="18"/>
    </w:rPr>
  </w:style>
  <w:style w:type="character" w:styleId="CommentReference">
    <w:name w:val="annotation reference"/>
    <w:basedOn w:val="DefaultParagraphFont"/>
    <w:uiPriority w:val="99"/>
    <w:semiHidden/>
    <w:unhideWhenUsed/>
    <w:rsid w:val="004B2895"/>
    <w:rPr>
      <w:sz w:val="16"/>
      <w:szCs w:val="16"/>
    </w:rPr>
  </w:style>
  <w:style w:type="paragraph" w:styleId="CommentText">
    <w:name w:val="annotation text"/>
    <w:basedOn w:val="Normal"/>
    <w:link w:val="CommentTextChar"/>
    <w:uiPriority w:val="99"/>
    <w:semiHidden/>
    <w:unhideWhenUsed/>
    <w:rsid w:val="004B2895"/>
    <w:pPr>
      <w:spacing w:line="240" w:lineRule="auto"/>
    </w:pPr>
    <w:rPr>
      <w:sz w:val="20"/>
      <w:szCs w:val="20"/>
    </w:rPr>
  </w:style>
  <w:style w:type="character" w:customStyle="1" w:styleId="CommentTextChar">
    <w:name w:val="Comment Text Char"/>
    <w:basedOn w:val="DefaultParagraphFont"/>
    <w:link w:val="CommentText"/>
    <w:uiPriority w:val="99"/>
    <w:semiHidden/>
    <w:rsid w:val="004B2895"/>
    <w:rPr>
      <w:sz w:val="20"/>
      <w:szCs w:val="20"/>
    </w:rPr>
  </w:style>
  <w:style w:type="paragraph" w:styleId="CommentSubject">
    <w:name w:val="annotation subject"/>
    <w:basedOn w:val="CommentText"/>
    <w:next w:val="CommentText"/>
    <w:link w:val="CommentSubjectChar"/>
    <w:uiPriority w:val="99"/>
    <w:semiHidden/>
    <w:unhideWhenUsed/>
    <w:rsid w:val="004B2895"/>
    <w:rPr>
      <w:b/>
      <w:bCs/>
    </w:rPr>
  </w:style>
  <w:style w:type="character" w:customStyle="1" w:styleId="CommentSubjectChar">
    <w:name w:val="Comment Subject Char"/>
    <w:basedOn w:val="CommentTextChar"/>
    <w:link w:val="CommentSubject"/>
    <w:uiPriority w:val="99"/>
    <w:semiHidden/>
    <w:rsid w:val="004B2895"/>
    <w:rPr>
      <w:b/>
      <w:bCs/>
      <w:sz w:val="20"/>
      <w:szCs w:val="20"/>
    </w:rPr>
  </w:style>
  <w:style w:type="paragraph" w:styleId="Revision">
    <w:name w:val="Revision"/>
    <w:hidden/>
    <w:uiPriority w:val="99"/>
    <w:semiHidden/>
    <w:rsid w:val="00955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4970">
      <w:marLeft w:val="0"/>
      <w:marRight w:val="0"/>
      <w:marTop w:val="0"/>
      <w:marBottom w:val="0"/>
      <w:divBdr>
        <w:top w:val="none" w:sz="0" w:space="0" w:color="auto"/>
        <w:left w:val="none" w:sz="0" w:space="0" w:color="auto"/>
        <w:bottom w:val="none" w:sz="0" w:space="0" w:color="auto"/>
        <w:right w:val="none" w:sz="0" w:space="0" w:color="auto"/>
      </w:divBdr>
    </w:div>
    <w:div w:id="21159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VUADPPQRPPK6-389-158</_dlc_DocId>
    <_dlc_DocIdUrl xmlns="004a172f-e16f-4887-a47b-3990e8128e1e">
      <Url>https://esp.cdc.gov/sites/ncipc/ADS/OMB/_layouts/15/DocIdRedir.aspx?ID=VUADPPQRPPK6-389-158</Url>
      <Description>VUADPPQRPPK6-389-158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9B8D-105C-4A3B-A055-C99D14E4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9B49B-A2C6-4020-A096-2783479EFB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4a172f-e16f-4887-a47b-3990e8128e1e"/>
    <ds:schemaRef ds:uri="http://www.w3.org/XML/1998/namespace"/>
    <ds:schemaRef ds:uri="http://purl.org/dc/dcmitype/"/>
  </ds:schemaRefs>
</ds:datastoreItem>
</file>

<file path=customXml/itemProps3.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4.xml><?xml version="1.0" encoding="utf-8"?>
<ds:datastoreItem xmlns:ds="http://schemas.openxmlformats.org/officeDocument/2006/customXml" ds:itemID="{1A9333A7-FBE3-4E31-BE1E-D045C59A8E81}">
  <ds:schemaRefs>
    <ds:schemaRef ds:uri="http://schemas.microsoft.com/sharepoint/events"/>
  </ds:schemaRefs>
</ds:datastoreItem>
</file>

<file path=customXml/itemProps5.xml><?xml version="1.0" encoding="utf-8"?>
<ds:datastoreItem xmlns:ds="http://schemas.openxmlformats.org/officeDocument/2006/customXml" ds:itemID="{E38FACB4-3318-4A33-9D5B-01201F3A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10004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SYSTEM</cp:lastModifiedBy>
  <cp:revision>2</cp:revision>
  <cp:lastPrinted>2009-12-09T16:14:00Z</cp:lastPrinted>
  <dcterms:created xsi:type="dcterms:W3CDTF">2019-06-14T17:52:00Z</dcterms:created>
  <dcterms:modified xsi:type="dcterms:W3CDTF">2019-06-14T17:52:00Z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09b0203d-38aa-4ad3-852c-d02389f4bf93</vt:lpwstr>
  </property>
</Properties>
</file>