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16="http://schemas.microsoft.com/office/word/2018/wordml" xmlns:w16cex="http://schemas.microsoft.com/office/word/2018/wordml/cex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D2664B" w:rsidRDefault="00F06866" w14:paraId="33C7269D" w14:textId="77777777">
      <w:pPr>
        <w:pStyle w:val="Heading2"/>
      </w:pPr>
      <w:r>
        <w:t xml:space="preserve">Request for Approval under the </w:t>
      </w:r>
      <w:r w:rsidRPr="00F06866">
        <w:t>“Generic Clearance for the Collection of Routine Customer Feedback”</w:t>
      </w:r>
      <w: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5116A">
        <w:t>05/2021</w:t>
      </w:r>
      <w:r>
        <w:t>)</w:t>
      </w:r>
    </w:p>
    <w:p w:rsidRPr="009239AA" w:rsidR="00E50293" w:rsidP="00434E33" w:rsidRDefault="00211AA9" w14:paraId="7A211997" w14:textId="5A67F2B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0819A1FC" wp14:anchorId="6BEB98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="http://schemas.microsoft.com/office/word/2018/wordml" xmlns:w16cex="http://schemas.microsoft.com/office/word/2018/wordml/cex">
            <w:pict w14:anchorId="625C4308"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EB4B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8E231E">
        <w:t xml:space="preserve"> </w:t>
      </w:r>
      <w:r w:rsidR="008E231E">
        <w:rPr>
          <w:rStyle w:val="normaltextrun"/>
          <w:color w:val="000000"/>
          <w:shd w:val="clear" w:color="auto" w:fill="FFFFFF"/>
        </w:rPr>
        <w:t>NIA Website Survey for Website Satisfaction Rating</w:t>
      </w:r>
      <w:r w:rsidR="008E231E">
        <w:rPr>
          <w:rStyle w:val="eop"/>
          <w:color w:val="000000"/>
          <w:shd w:val="clear" w:color="auto" w:fill="FFFFFF"/>
        </w:rPr>
        <w:t> </w:t>
      </w:r>
    </w:p>
    <w:p w:rsidR="005E714A" w:rsidRDefault="005E714A" w14:paraId="62DFBDC6" w14:textId="77777777"/>
    <w:p w:rsidR="008E231E" w:rsidP="009B3696" w:rsidRDefault="00F15956" w14:paraId="3C8041F3" w14:textId="77777777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8E231E">
        <w:rPr>
          <w:rStyle w:val="normaltextrun"/>
        </w:rPr>
        <w:t xml:space="preserve">The National Institute on Aging (NIA) would like to </w:t>
      </w:r>
      <w:r w:rsidR="00BC0148">
        <w:rPr>
          <w:rStyle w:val="normaltextrun"/>
        </w:rPr>
        <w:t>add a</w:t>
      </w:r>
      <w:r w:rsidR="008E231E">
        <w:rPr>
          <w:rStyle w:val="normaltextrun"/>
        </w:rPr>
        <w:t xml:space="preserve"> </w:t>
      </w:r>
      <w:r w:rsidR="009B3696">
        <w:rPr>
          <w:rStyle w:val="normaltextrun"/>
        </w:rPr>
        <w:t xml:space="preserve">5-question </w:t>
      </w:r>
      <w:r w:rsidR="00BC0148">
        <w:rPr>
          <w:rStyle w:val="normaltextrun"/>
        </w:rPr>
        <w:t xml:space="preserve">customer </w:t>
      </w:r>
      <w:r w:rsidR="008E231E">
        <w:rPr>
          <w:rStyle w:val="normaltextrun"/>
        </w:rPr>
        <w:t xml:space="preserve">satisfaction </w:t>
      </w:r>
      <w:r w:rsidR="00BC0148">
        <w:rPr>
          <w:rStyle w:val="normaltextrun"/>
        </w:rPr>
        <w:t xml:space="preserve">survey </w:t>
      </w:r>
      <w:r w:rsidR="008E231E">
        <w:rPr>
          <w:rStyle w:val="normaltextrun"/>
        </w:rPr>
        <w:t>to nia.nih.gov</w:t>
      </w:r>
      <w:r w:rsidR="009B3696">
        <w:rPr>
          <w:rStyle w:val="normaltextrun"/>
        </w:rPr>
        <w:t xml:space="preserve"> to get a better understanding of its </w:t>
      </w:r>
      <w:proofErr w:type="gramStart"/>
      <w:r w:rsidR="009B3696">
        <w:rPr>
          <w:rStyle w:val="normaltextrun"/>
        </w:rPr>
        <w:t>users</w:t>
      </w:r>
      <w:proofErr w:type="gramEnd"/>
      <w:r w:rsidR="009B3696">
        <w:rPr>
          <w:rStyle w:val="normaltextrun"/>
        </w:rPr>
        <w:t xml:space="preserve"> </w:t>
      </w:r>
      <w:r w:rsidRPr="00BC0148" w:rsidR="00BC0148">
        <w:rPr>
          <w:rStyle w:val="normaltextrun"/>
        </w:rPr>
        <w:t xml:space="preserve">motivations and demographic information. </w:t>
      </w:r>
      <w:r w:rsidR="009B3696">
        <w:rPr>
          <w:rStyle w:val="normaltextrun"/>
        </w:rPr>
        <w:t>Filling out the survey will take less than a minute, providing little burden to the user while giving them the chance to provide NIA with their thoughts on the site</w:t>
      </w:r>
      <w:r w:rsidR="008E231E">
        <w:rPr>
          <w:rStyle w:val="normaltextrun"/>
        </w:rPr>
        <w:t xml:space="preserve">. The information </w:t>
      </w:r>
      <w:r w:rsidR="009B3696">
        <w:rPr>
          <w:rStyle w:val="normaltextrun"/>
        </w:rPr>
        <w:t xml:space="preserve">collected </w:t>
      </w:r>
      <w:r w:rsidR="008E231E">
        <w:rPr>
          <w:rStyle w:val="normaltextrun"/>
        </w:rPr>
        <w:t>from th</w:t>
      </w:r>
      <w:r w:rsidR="009B3696">
        <w:rPr>
          <w:rStyle w:val="normaltextrun"/>
        </w:rPr>
        <w:t>e</w:t>
      </w:r>
      <w:r w:rsidR="008E231E">
        <w:rPr>
          <w:rStyle w:val="normaltextrun"/>
        </w:rPr>
        <w:t xml:space="preserve"> survey will be used to improve the design and operation of the publicly accessed website.  </w:t>
      </w:r>
      <w:r w:rsidR="008E231E">
        <w:rPr>
          <w:rStyle w:val="eop"/>
        </w:rPr>
        <w:t> </w:t>
      </w:r>
    </w:p>
    <w:p w:rsidR="00064D39" w:rsidP="008E231E" w:rsidRDefault="008E231E" w14:paraId="1F6EEC2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3F45807E">
        <w:rPr>
          <w:rStyle w:val="eop"/>
        </w:rPr>
        <w:t> </w:t>
      </w:r>
      <w:r w:rsidRPr="3F45807E">
        <w:rPr>
          <w:rStyle w:val="normaltextrun"/>
        </w:rPr>
        <w:t>Along with this form, we have submitted</w:t>
      </w:r>
      <w:r w:rsidRPr="3F45807E" w:rsidR="00064D39">
        <w:rPr>
          <w:rStyle w:val="normaltextrun"/>
        </w:rPr>
        <w:t>:</w:t>
      </w:r>
    </w:p>
    <w:p w:rsidR="7C095349" w:rsidP="3F45807E" w:rsidRDefault="7C095349" w14:paraId="1AC69CF8" w14:textId="60FB542F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Style w:val="normaltextrun"/>
        </w:rPr>
      </w:pPr>
      <w:r w:rsidRPr="3F45807E">
        <w:rPr>
          <w:rStyle w:val="normaltextrun"/>
        </w:rPr>
        <w:t>An explanation of how the survey will function on nia.nih.gov and what text will be added to the privacy policy page.</w:t>
      </w:r>
    </w:p>
    <w:p w:rsidRPr="009743D7" w:rsidR="00064D39" w:rsidP="3F45807E" w:rsidRDefault="009743D7" w14:paraId="3DE7415B" w14:textId="623D3C6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</w:rPr>
      </w:pPr>
      <w:r w:rsidRPr="3F45807E">
        <w:rPr>
          <w:rStyle w:val="normaltextrun"/>
        </w:rPr>
        <w:t>Screenshots of how t</w:t>
      </w:r>
      <w:r w:rsidRPr="3F45807E" w:rsidR="008E231E">
        <w:rPr>
          <w:rStyle w:val="normaltextrun"/>
        </w:rPr>
        <w:t>he survey will look like on the site</w:t>
      </w:r>
      <w:r w:rsidRPr="3F45807E">
        <w:rPr>
          <w:rStyle w:val="normaltextrun"/>
        </w:rPr>
        <w:t xml:space="preserve">. Please note the persistent display of the OMB approval number and a link to the privacy policy appears under each </w:t>
      </w:r>
      <w:proofErr w:type="gramStart"/>
      <w:r w:rsidRPr="3F45807E">
        <w:rPr>
          <w:rStyle w:val="normaltextrun"/>
        </w:rPr>
        <w:t>question</w:t>
      </w:r>
      <w:r w:rsidRPr="3F45807E" w:rsidR="00792825">
        <w:rPr>
          <w:rStyle w:val="normaltextrun"/>
        </w:rPr>
        <w:t xml:space="preserve"> </w:t>
      </w:r>
      <w:r w:rsidRPr="3F45807E" w:rsidR="34117668">
        <w:rPr>
          <w:rStyle w:val="normaltextrun"/>
        </w:rPr>
        <w:t>.</w:t>
      </w:r>
      <w:proofErr w:type="gramEnd"/>
    </w:p>
    <w:p w:rsidRPr="00064D39" w:rsidR="009743D7" w:rsidP="3F45807E" w:rsidRDefault="2901634C" w14:paraId="6BC31EFE" w14:textId="5381D9D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</w:rPr>
      </w:pPr>
      <w:r w:rsidRPr="3F45807E">
        <w:rPr>
          <w:rStyle w:val="normaltextrun"/>
        </w:rPr>
        <w:t xml:space="preserve">A </w:t>
      </w:r>
      <w:r w:rsidRPr="3F45807E" w:rsidR="009743D7">
        <w:rPr>
          <w:rStyle w:val="normaltextrun"/>
        </w:rPr>
        <w:t>list of pages the survey will appear on</w:t>
      </w:r>
      <w:r w:rsidRPr="3F45807E" w:rsidR="0A538A04">
        <w:rPr>
          <w:rStyle w:val="normaltextrun"/>
        </w:rPr>
        <w:t>.</w:t>
      </w:r>
    </w:p>
    <w:p w:rsidR="001B0AAA" w:rsidRDefault="001B0AAA" w14:paraId="3788D56F" w14:textId="77777777"/>
    <w:p w:rsidR="00C8488C" w:rsidP="00434E33" w:rsidRDefault="00C8488C" w14:paraId="1770D12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P="009743D7" w:rsidRDefault="00434E33" w14:paraId="5E157A9F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9743D7">
        <w:rPr>
          <w:rStyle w:val="normaltextrun"/>
          <w:color w:val="000000"/>
          <w:shd w:val="clear" w:color="auto" w:fill="FFFFFF"/>
        </w:rPr>
        <w:t>Visitors to NIA website who choose to respond to the survey.</w:t>
      </w:r>
      <w:r w:rsidR="009743D7">
        <w:rPr>
          <w:rStyle w:val="eop"/>
          <w:color w:val="000000"/>
          <w:shd w:val="clear" w:color="auto" w:fill="FFFFFF"/>
        </w:rPr>
        <w:t> </w:t>
      </w:r>
    </w:p>
    <w:p w:rsidR="00E26329" w:rsidRDefault="00E26329" w14:paraId="790E0657" w14:textId="77777777">
      <w:pPr>
        <w:rPr>
          <w:b/>
        </w:rPr>
      </w:pPr>
    </w:p>
    <w:p w:rsidR="00E26329" w:rsidRDefault="00E26329" w14:paraId="2A163CFB" w14:textId="77777777">
      <w:pPr>
        <w:rPr>
          <w:b/>
        </w:rPr>
      </w:pPr>
    </w:p>
    <w:p w:rsidRPr="00F06866" w:rsidR="00F06866" w:rsidRDefault="00F06866" w14:paraId="322E28F3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2FE5BBDC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1B64A8A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8E231E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FA6342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262BAC3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proofErr w:type="gramEnd"/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74797631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72B81DF3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1C61DFB3" w14:textId="77777777">
      <w:pPr>
        <w:rPr>
          <w:sz w:val="16"/>
          <w:szCs w:val="16"/>
        </w:rPr>
      </w:pPr>
    </w:p>
    <w:p w:rsidRPr="009C13B9" w:rsidR="008101A5" w:rsidP="008101A5" w:rsidRDefault="008101A5" w14:paraId="71CFA992" w14:textId="77777777">
      <w:r>
        <w:t xml:space="preserve">I certify the following to be true: </w:t>
      </w:r>
    </w:p>
    <w:p w:rsidR="008101A5" w:rsidP="008101A5" w:rsidRDefault="008101A5" w14:paraId="46A9342F" w14:textId="77777777">
      <w:pPr>
        <w:pStyle w:val="ListParagraph"/>
        <w:numPr>
          <w:ilvl w:val="0"/>
          <w:numId w:val="17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6443C983" w14:textId="77777777">
      <w:pPr>
        <w:pStyle w:val="ListParagraph"/>
        <w:numPr>
          <w:ilvl w:val="0"/>
          <w:numId w:val="17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179689A6" w14:textId="77777777">
      <w:pPr>
        <w:pStyle w:val="ListParagraph"/>
        <w:numPr>
          <w:ilvl w:val="0"/>
          <w:numId w:val="17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052B5DBB" w14:textId="77777777">
      <w:pPr>
        <w:pStyle w:val="ListParagraph"/>
        <w:numPr>
          <w:ilvl w:val="0"/>
          <w:numId w:val="17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6BB779CA" w14:textId="77777777">
      <w:pPr>
        <w:pStyle w:val="ListParagraph"/>
        <w:numPr>
          <w:ilvl w:val="0"/>
          <w:numId w:val="17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78C836B0" w14:textId="77777777">
      <w:pPr>
        <w:pStyle w:val="ListParagraph"/>
        <w:numPr>
          <w:ilvl w:val="0"/>
          <w:numId w:val="17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33E6E4F7" w14:textId="77777777"/>
    <w:p w:rsidR="009C13B9" w:rsidP="009C13B9" w:rsidRDefault="009C13B9" w14:paraId="3BEAA847" w14:textId="77777777">
      <w:proofErr w:type="gramStart"/>
      <w:r>
        <w:t>Name:_</w:t>
      </w:r>
      <w:proofErr w:type="gramEnd"/>
      <w:r>
        <w:t>_______________________________________________</w:t>
      </w:r>
    </w:p>
    <w:p w:rsidR="009C13B9" w:rsidP="009C13B9" w:rsidRDefault="009C13B9" w14:paraId="34468FC0" w14:textId="77777777">
      <w:pPr>
        <w:pStyle w:val="ListParagraph"/>
        <w:ind w:left="360"/>
      </w:pPr>
    </w:p>
    <w:p w:rsidR="009C13B9" w:rsidP="009C13B9" w:rsidRDefault="009C13B9" w14:paraId="12057811" w14:textId="77777777">
      <w:r>
        <w:t>To assist review, please provide answers to the following question:</w:t>
      </w:r>
    </w:p>
    <w:p w:rsidR="009C13B9" w:rsidP="009C13B9" w:rsidRDefault="009C13B9" w14:paraId="76DBEA4E" w14:textId="77777777">
      <w:pPr>
        <w:pStyle w:val="ListParagraph"/>
        <w:ind w:left="360"/>
      </w:pPr>
    </w:p>
    <w:p w:rsidRPr="00C86E91" w:rsidR="009C13B9" w:rsidP="00C86E91" w:rsidRDefault="00C86E91" w14:paraId="6DB8B323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61BD28D8" w14:textId="77777777">
      <w:pPr>
        <w:pStyle w:val="ListParagraph"/>
        <w:numPr>
          <w:ilvl w:val="0"/>
          <w:numId w:val="21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9743D7">
        <w:t>X</w:t>
      </w:r>
      <w:r w:rsidR="009239AA">
        <w:t xml:space="preserve">]  No </w:t>
      </w:r>
    </w:p>
    <w:p w:rsidR="00C86E91" w:rsidP="00C86E91" w:rsidRDefault="009C13B9" w14:paraId="30D4CC4C" w14:textId="77777777">
      <w:pPr>
        <w:pStyle w:val="ListParagraph"/>
        <w:numPr>
          <w:ilvl w:val="0"/>
          <w:numId w:val="21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6EAE53AD" w14:textId="77777777">
      <w:pPr>
        <w:pStyle w:val="ListParagraph"/>
        <w:numPr>
          <w:ilvl w:val="0"/>
          <w:numId w:val="21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  ] No</w:t>
      </w:r>
    </w:p>
    <w:p w:rsidR="00633F74" w:rsidP="00633F74" w:rsidRDefault="00633F74" w14:paraId="30CD0C69" w14:textId="77777777">
      <w:pPr>
        <w:pStyle w:val="ListParagraph"/>
        <w:ind w:left="360"/>
      </w:pPr>
    </w:p>
    <w:p w:rsidRPr="00C86E91" w:rsidR="00C86E91" w:rsidP="00C86E91" w:rsidRDefault="00CB1078" w14:paraId="4561D5A9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554E931A" w14:textId="77777777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9743D7">
        <w:t>X</w:t>
      </w:r>
      <w:r>
        <w:t xml:space="preserve"> ] No  </w:t>
      </w:r>
    </w:p>
    <w:p w:rsidR="004D6E14" w:rsidRDefault="004D6E14" w14:paraId="426E3D10" w14:textId="77777777">
      <w:pPr>
        <w:rPr>
          <w:b/>
        </w:rPr>
      </w:pPr>
    </w:p>
    <w:p w:rsidR="00F24CFC" w:rsidRDefault="00F24CFC" w14:paraId="1A2968E1" w14:textId="77777777">
      <w:pPr>
        <w:rPr>
          <w:b/>
        </w:rPr>
      </w:pPr>
    </w:p>
    <w:p w:rsidRPr="00BC676D" w:rsidR="005E714A" w:rsidP="00C86E91" w:rsidRDefault="003668D6" w14:paraId="41A93FF4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150740AB" w14:textId="77777777">
      <w:pPr>
        <w:keepNext/>
        <w:keepLines/>
        <w:rPr>
          <w:b/>
        </w:rPr>
      </w:pPr>
    </w:p>
    <w:tbl>
      <w:tblPr>
        <w:tblW w:w="1072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  <w:gridCol w:w="1547"/>
      </w:tblGrid>
      <w:tr w:rsidR="003668D6" w:rsidTr="009A036B" w14:paraId="28679C71" w14:textId="77777777">
        <w:trPr>
          <w:trHeight w:val="274"/>
        </w:trPr>
        <w:tc>
          <w:tcPr>
            <w:tcW w:w="2790" w:type="dxa"/>
          </w:tcPr>
          <w:p w:rsidRPr="002D26E2" w:rsidR="003668D6" w:rsidP="00C8488C" w:rsidRDefault="003668D6" w14:paraId="5248AF78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2250" w:type="dxa"/>
          </w:tcPr>
          <w:p w:rsidRPr="002D26E2" w:rsidR="003668D6" w:rsidP="00843796" w:rsidRDefault="003668D6" w14:paraId="49807625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:rsidRPr="002D26E2" w:rsidR="003668D6" w:rsidP="00843796" w:rsidRDefault="003668D6" w14:paraId="60414454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:rsidRDefault="003668D6" w14:paraId="42E73105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3A5052E0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36882ED9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47" w:type="dxa"/>
          </w:tcPr>
          <w:p w:rsidR="003668D6" w:rsidP="00843796" w:rsidRDefault="003668D6" w14:paraId="2179FBA6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5FB7C759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9A036B" w14:paraId="37DB141F" w14:textId="77777777">
        <w:trPr>
          <w:trHeight w:val="260"/>
        </w:trPr>
        <w:tc>
          <w:tcPr>
            <w:tcW w:w="2790" w:type="dxa"/>
          </w:tcPr>
          <w:p w:rsidR="003668D6" w:rsidP="00843796" w:rsidRDefault="009743D7" w14:paraId="29E95F3D" w14:textId="77777777">
            <w:r>
              <w:rPr>
                <w:rStyle w:val="normaltextrun"/>
                <w:color w:val="000000"/>
                <w:shd w:val="clear" w:color="auto" w:fill="FFFFFF"/>
              </w:rPr>
              <w:t>Individuals or Households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2250" w:type="dxa"/>
          </w:tcPr>
          <w:p w:rsidR="003668D6" w:rsidP="00843796" w:rsidRDefault="009743D7" w14:paraId="78F765DF" w14:textId="77777777">
            <w:r>
              <w:t>20,000</w:t>
            </w:r>
          </w:p>
        </w:tc>
        <w:tc>
          <w:tcPr>
            <w:tcW w:w="2520" w:type="dxa"/>
          </w:tcPr>
          <w:p w:rsidR="003668D6" w:rsidP="00843796" w:rsidRDefault="009743D7" w14:paraId="460C1D7D" w14:textId="77777777">
            <w:r>
              <w:t>1</w:t>
            </w:r>
          </w:p>
        </w:tc>
        <w:tc>
          <w:tcPr>
            <w:tcW w:w="1620" w:type="dxa"/>
          </w:tcPr>
          <w:p w:rsidR="003668D6" w:rsidP="00843796" w:rsidRDefault="00F46038" w14:paraId="59D41974" w14:textId="08CBE8A9">
            <w:r>
              <w:t>2</w:t>
            </w:r>
            <w:r w:rsidR="009743D7">
              <w:t>/60</w:t>
            </w:r>
          </w:p>
        </w:tc>
        <w:tc>
          <w:tcPr>
            <w:tcW w:w="1547" w:type="dxa"/>
          </w:tcPr>
          <w:p w:rsidR="003668D6" w:rsidP="00843796" w:rsidRDefault="00F46038" w14:paraId="38E15733" w14:textId="3CA0FE35">
            <w:r>
              <w:t>66</w:t>
            </w:r>
            <w:r w:rsidR="00397447">
              <w:t>7</w:t>
            </w:r>
          </w:p>
        </w:tc>
      </w:tr>
      <w:tr w:rsidR="009743D7" w:rsidTr="009A036B" w14:paraId="12FE6E9F" w14:textId="77777777">
        <w:trPr>
          <w:trHeight w:val="289"/>
        </w:trPr>
        <w:tc>
          <w:tcPr>
            <w:tcW w:w="2790" w:type="dxa"/>
          </w:tcPr>
          <w:p w:rsidRPr="002D26E2" w:rsidR="009743D7" w:rsidP="009743D7" w:rsidRDefault="009743D7" w14:paraId="6A9FC5DF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2D26E2" w:rsidR="009743D7" w:rsidP="009743D7" w:rsidRDefault="009743D7" w14:paraId="0E76E956" w14:textId="2B3C3B8B">
            <w:pPr>
              <w:rPr>
                <w:b/>
              </w:rPr>
            </w:pPr>
          </w:p>
        </w:tc>
        <w:tc>
          <w:tcPr>
            <w:tcW w:w="2520" w:type="dxa"/>
          </w:tcPr>
          <w:p w:rsidR="009743D7" w:rsidP="009743D7" w:rsidRDefault="00397447" w14:paraId="02E23C3F" w14:textId="30FB1408">
            <w:r>
              <w:t>20,000</w:t>
            </w:r>
          </w:p>
        </w:tc>
        <w:tc>
          <w:tcPr>
            <w:tcW w:w="1620" w:type="dxa"/>
          </w:tcPr>
          <w:p w:rsidR="009743D7" w:rsidP="009743D7" w:rsidRDefault="009743D7" w14:paraId="3C2DF29C" w14:textId="6176E6C7"/>
        </w:tc>
        <w:tc>
          <w:tcPr>
            <w:tcW w:w="1547" w:type="dxa"/>
          </w:tcPr>
          <w:p w:rsidRPr="002D26E2" w:rsidR="009743D7" w:rsidP="009743D7" w:rsidRDefault="00F46038" w14:paraId="49C12D94" w14:textId="7D9CAF2F">
            <w:pPr>
              <w:rPr>
                <w:b/>
              </w:rPr>
            </w:pPr>
            <w:r>
              <w:t>66</w:t>
            </w:r>
            <w:r w:rsidR="00397447">
              <w:t>7</w:t>
            </w:r>
          </w:p>
        </w:tc>
      </w:tr>
    </w:tbl>
    <w:p w:rsidR="00F3170F" w:rsidP="00F3170F" w:rsidRDefault="00F3170F" w14:paraId="45E673CC" w14:textId="77777777"/>
    <w:p w:rsidRPr="009A036B" w:rsidR="009A036B" w:rsidP="009A036B" w:rsidRDefault="009A036B" w14:paraId="34F52F21" w14:textId="77777777">
      <w:pPr>
        <w:rPr>
          <w:b/>
        </w:rPr>
      </w:pPr>
    </w:p>
    <w:tbl>
      <w:tblPr>
        <w:tblW w:w="1005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1947"/>
        <w:gridCol w:w="2340"/>
        <w:gridCol w:w="2520"/>
      </w:tblGrid>
      <w:tr w:rsidRPr="009A036B" w:rsidR="00CA2010" w:rsidTr="00397447" w14:paraId="4D26E543" w14:textId="77777777">
        <w:trPr>
          <w:trHeight w:val="266"/>
        </w:trPr>
        <w:tc>
          <w:tcPr>
            <w:tcW w:w="3250" w:type="dxa"/>
          </w:tcPr>
          <w:p w:rsidRPr="009A036B" w:rsidR="00CA2010" w:rsidP="00CA2010" w:rsidRDefault="00CA2010" w14:paraId="3D1DCC8C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3B3CDC3E" w14:textId="77777777">
            <w:pPr>
              <w:rPr>
                <w:b/>
              </w:rPr>
            </w:pPr>
          </w:p>
        </w:tc>
        <w:tc>
          <w:tcPr>
            <w:tcW w:w="1947" w:type="dxa"/>
          </w:tcPr>
          <w:p w:rsidRPr="00CA2010" w:rsidR="00CA2010" w:rsidP="00CA2010" w:rsidRDefault="00CA2010" w14:paraId="28DA1802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51D7C444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340" w:type="dxa"/>
          </w:tcPr>
          <w:p w:rsidRPr="009A036B" w:rsidR="00CA2010" w:rsidP="009A036B" w:rsidRDefault="00F94D8C" w14:paraId="5D913FBD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2520" w:type="dxa"/>
          </w:tcPr>
          <w:p w:rsidRPr="009A036B" w:rsidR="00CA2010" w:rsidP="009A036B" w:rsidRDefault="00CA2010" w14:paraId="28472A1A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9743D7" w:rsidTr="00397447" w14:paraId="12A7C266" w14:textId="77777777">
        <w:trPr>
          <w:trHeight w:val="413"/>
        </w:trPr>
        <w:tc>
          <w:tcPr>
            <w:tcW w:w="3250" w:type="dxa"/>
          </w:tcPr>
          <w:p w:rsidRPr="009A036B" w:rsidR="009743D7" w:rsidP="009743D7" w:rsidRDefault="009743D7" w14:paraId="68360F8F" w14:textId="77777777">
            <w:r>
              <w:rPr>
                <w:rStyle w:val="normaltextrun"/>
              </w:rPr>
              <w:t>Individuals or Households</w:t>
            </w:r>
            <w:r>
              <w:rPr>
                <w:rStyle w:val="eop"/>
              </w:rPr>
              <w:t> </w:t>
            </w:r>
          </w:p>
        </w:tc>
        <w:tc>
          <w:tcPr>
            <w:tcW w:w="1947" w:type="dxa"/>
          </w:tcPr>
          <w:p w:rsidRPr="009A036B" w:rsidR="009743D7" w:rsidP="009743D7" w:rsidRDefault="009743D7" w14:paraId="7CFFC114" w14:textId="7DDCCBA8">
            <w:r>
              <w:rPr>
                <w:rStyle w:val="normaltextrun"/>
              </w:rPr>
              <w:t>      </w:t>
            </w:r>
            <w:r w:rsidR="00F46038">
              <w:rPr>
                <w:rStyle w:val="normaltextrun"/>
              </w:rPr>
              <w:t>66</w:t>
            </w:r>
            <w:r w:rsidR="00397447">
              <w:rPr>
                <w:rStyle w:val="normaltextrun"/>
              </w:rPr>
              <w:t>7</w:t>
            </w:r>
          </w:p>
        </w:tc>
        <w:tc>
          <w:tcPr>
            <w:tcW w:w="2340" w:type="dxa"/>
          </w:tcPr>
          <w:p w:rsidRPr="009A036B" w:rsidR="009743D7" w:rsidP="009743D7" w:rsidRDefault="009743D7" w14:paraId="7A9F1E30" w14:textId="77777777">
            <w:r>
              <w:rPr>
                <w:rStyle w:val="normaltextrun"/>
              </w:rPr>
              <w:t>$25.72</w:t>
            </w:r>
            <w:r>
              <w:rPr>
                <w:rStyle w:val="eop"/>
              </w:rPr>
              <w:t> </w:t>
            </w:r>
          </w:p>
        </w:tc>
        <w:tc>
          <w:tcPr>
            <w:tcW w:w="2520" w:type="dxa"/>
          </w:tcPr>
          <w:p w:rsidRPr="009A036B" w:rsidR="009743D7" w:rsidP="009743D7" w:rsidRDefault="009743D7" w14:paraId="45561671" w14:textId="497C0B04">
            <w:r>
              <w:rPr>
                <w:rStyle w:val="normaltextrun"/>
              </w:rPr>
              <w:t>$</w:t>
            </w:r>
            <w:r w:rsidR="00175C2A">
              <w:rPr>
                <w:rStyle w:val="normaltextrun"/>
              </w:rPr>
              <w:t>17,1</w:t>
            </w:r>
            <w:r w:rsidR="00397447">
              <w:rPr>
                <w:rStyle w:val="normaltextrun"/>
              </w:rPr>
              <w:t>55.</w:t>
            </w:r>
            <w:r w:rsidR="00175C2A">
              <w:rPr>
                <w:rStyle w:val="normaltextrun"/>
              </w:rPr>
              <w:t>2</w:t>
            </w:r>
            <w:r w:rsidR="00397447">
              <w:rPr>
                <w:rStyle w:val="normaltextrun"/>
              </w:rPr>
              <w:t>4</w:t>
            </w:r>
            <w:r>
              <w:rPr>
                <w:rStyle w:val="eop"/>
              </w:rPr>
              <w:t> </w:t>
            </w:r>
          </w:p>
        </w:tc>
      </w:tr>
      <w:tr w:rsidRPr="009A036B" w:rsidR="009743D7" w:rsidTr="00397447" w14:paraId="73BED7B2" w14:textId="77777777">
        <w:trPr>
          <w:trHeight w:val="281"/>
        </w:trPr>
        <w:tc>
          <w:tcPr>
            <w:tcW w:w="3250" w:type="dxa"/>
          </w:tcPr>
          <w:p w:rsidRPr="009A036B" w:rsidR="009743D7" w:rsidP="009743D7" w:rsidRDefault="009743D7" w14:paraId="48D97242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1947" w:type="dxa"/>
          </w:tcPr>
          <w:p w:rsidRPr="009A036B" w:rsidR="009743D7" w:rsidP="009743D7" w:rsidRDefault="009743D7" w14:paraId="59013873" w14:textId="7EF994D5">
            <w:pPr>
              <w:rPr>
                <w:b/>
              </w:rPr>
            </w:pPr>
            <w:r>
              <w:rPr>
                <w:rStyle w:val="normaltextrun"/>
              </w:rPr>
              <w:t>    </w:t>
            </w:r>
            <w:r w:rsidR="00F46038">
              <w:rPr>
                <w:rStyle w:val="normaltextrun"/>
              </w:rPr>
              <w:t xml:space="preserve"> </w:t>
            </w:r>
            <w:r>
              <w:rPr>
                <w:rStyle w:val="normaltextrun"/>
              </w:rPr>
              <w:t> </w:t>
            </w:r>
          </w:p>
        </w:tc>
        <w:tc>
          <w:tcPr>
            <w:tcW w:w="2340" w:type="dxa"/>
          </w:tcPr>
          <w:p w:rsidRPr="009A036B" w:rsidR="009743D7" w:rsidP="009743D7" w:rsidRDefault="009743D7" w14:paraId="1EDF71E4" w14:textId="7C789B79"/>
        </w:tc>
        <w:tc>
          <w:tcPr>
            <w:tcW w:w="2520" w:type="dxa"/>
          </w:tcPr>
          <w:p w:rsidRPr="009A036B" w:rsidR="009743D7" w:rsidP="009743D7" w:rsidRDefault="009743D7" w14:paraId="7D20F0B2" w14:textId="58E220E5">
            <w:r>
              <w:rPr>
                <w:rStyle w:val="normaltextrun"/>
              </w:rPr>
              <w:t>$</w:t>
            </w:r>
            <w:r w:rsidR="00175C2A">
              <w:rPr>
                <w:rStyle w:val="normaltextrun"/>
              </w:rPr>
              <w:t>17,</w:t>
            </w:r>
            <w:r w:rsidR="00397447">
              <w:rPr>
                <w:rStyle w:val="normaltextrun"/>
              </w:rPr>
              <w:t>155.24</w:t>
            </w:r>
            <w:r w:rsidR="00175C2A">
              <w:rPr>
                <w:rStyle w:val="eop"/>
              </w:rPr>
              <w:t> </w:t>
            </w:r>
          </w:p>
        </w:tc>
      </w:tr>
    </w:tbl>
    <w:p w:rsidRPr="004375E0" w:rsidR="00970796" w:rsidP="00970796" w:rsidRDefault="00CA2010" w14:paraId="05DF5147" w14:textId="7C558698">
      <w:pPr>
        <w:rPr>
          <w:sz w:val="20"/>
          <w:szCs w:val="20"/>
        </w:rPr>
      </w:pPr>
      <w:r>
        <w:t>*</w:t>
      </w:r>
      <w:r w:rsidRPr="00970796" w:rsidR="00970796">
        <w:rPr>
          <w:sz w:val="20"/>
          <w:szCs w:val="20"/>
        </w:rPr>
        <w:t xml:space="preserve"> </w:t>
      </w:r>
      <w:r w:rsidRPr="00E123D8" w:rsidR="00970796">
        <w:rPr>
          <w:sz w:val="20"/>
          <w:szCs w:val="20"/>
        </w:rPr>
        <w:t>BLS National Occupational Employment and Wage Estimates</w:t>
      </w:r>
      <w:r w:rsidR="00970796">
        <w:rPr>
          <w:sz w:val="20"/>
          <w:szCs w:val="20"/>
        </w:rPr>
        <w:t xml:space="preserve"> </w:t>
      </w:r>
      <w:r w:rsidRPr="00E123D8" w:rsidR="00970796">
        <w:rPr>
          <w:sz w:val="20"/>
          <w:szCs w:val="20"/>
        </w:rPr>
        <w:t>Occupational Employment and Wages, May 201</w:t>
      </w:r>
      <w:r w:rsidR="00970796">
        <w:rPr>
          <w:sz w:val="20"/>
          <w:szCs w:val="20"/>
        </w:rPr>
        <w:t>9</w:t>
      </w:r>
    </w:p>
    <w:p w:rsidR="00970796" w:rsidP="00970796" w:rsidRDefault="00970796" w14:paraId="633DC3E4" w14:textId="77777777">
      <w:hyperlink w:history="1" w:anchor="00-0000" r:id="rId10">
        <w:r w:rsidRPr="004375E0">
          <w:rPr>
            <w:rStyle w:val="Hyperlink"/>
            <w:sz w:val="20"/>
            <w:szCs w:val="20"/>
          </w:rPr>
          <w:t>http://www.bls.gov/oes/current/oes_nat.htm#00-0000</w:t>
        </w:r>
      </w:hyperlink>
    </w:p>
    <w:p w:rsidR="00441434" w:rsidP="00F3170F" w:rsidRDefault="00441434" w14:paraId="704BCFA5" w14:textId="77777777"/>
    <w:p w:rsidR="005E714A" w:rsidRDefault="001C39F7" w14:paraId="2769D6D1" w14:textId="5DF60EC1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EA66A8">
        <w:t xml:space="preserve"> $2,565.66</w:t>
      </w:r>
    </w:p>
    <w:p w:rsidRPr="009A036B" w:rsidR="009A036B" w:rsidP="009A036B" w:rsidRDefault="009A036B" w14:paraId="2262DCBB" w14:textId="3139B278">
      <w:r>
        <w:rPr>
          <w:b/>
        </w:rPr>
        <w:t xml:space="preserve">     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 w14:paraId="563DDEBB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573D2CA" w14:textId="77777777">
            <w:pPr>
              <w:rPr>
                <w:b/>
                <w:bCs/>
              </w:rPr>
            </w:pPr>
            <w:bookmarkStart w:name="_GoBack" w:id="0"/>
            <w:bookmarkEnd w:id="0"/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676A6925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7850A181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850D5BD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0248182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73894DDC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757CF7DD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47FEA06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E96991B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27C6D3D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A777B2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4BB5CC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2E33C8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296A32B" w14:textId="77777777"/>
        </w:tc>
      </w:tr>
      <w:tr w:rsidRPr="009A036B" w:rsidR="009A036B" w:rsidTr="009A036B" w14:paraId="4F73EBB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E5D9DD1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87C0616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902457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72EFCE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0A8351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00A1FD4" w14:textId="77777777"/>
        </w:tc>
      </w:tr>
      <w:tr w:rsidRPr="009A036B" w:rsidR="00E91C83" w:rsidTr="009A036B" w14:paraId="4260ED7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E91C83" w:rsidP="00E91C83" w:rsidRDefault="00EA66A8" w14:paraId="2D27CF3C" w14:textId="64861729">
            <w:r>
              <w:rPr>
                <w:rStyle w:val="normaltextrun"/>
              </w:rPr>
              <w:t>Writer/Editor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E91C83" w:rsidP="00E91C83" w:rsidRDefault="00EA66A8" w14:paraId="6B460A42" w14:textId="7FED9F74">
            <w:r>
              <w:rPr>
                <w:rStyle w:val="normaltextrun"/>
              </w:rPr>
              <w:t>5/1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E91C83" w:rsidP="00E91C83" w:rsidRDefault="00397447" w14:paraId="79048188" w14:textId="13A082B1">
            <w:r>
              <w:t>$39,291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E91C83" w:rsidP="00E91C83" w:rsidRDefault="00E91C83" w14:paraId="3CEA2C7A" w14:textId="77777777">
            <w:r>
              <w:rPr>
                <w:rStyle w:val="normaltextrun"/>
              </w:rPr>
              <w:t>.5%</w:t>
            </w:r>
            <w:r>
              <w:rPr>
                <w:rStyle w:val="eop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E91C83" w:rsidP="00E91C83" w:rsidRDefault="00E91C83" w14:paraId="7EB917B6" w14:textId="77777777">
            <w:r>
              <w:rPr>
                <w:rStyle w:val="eop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E91C83" w:rsidP="00E91C83" w:rsidRDefault="00E91C83" w14:paraId="1DCFA7B1" w14:textId="77777777">
            <w:r>
              <w:rPr>
                <w:rStyle w:val="normaltextrun"/>
              </w:rPr>
              <w:t>$761.76</w:t>
            </w:r>
            <w:r>
              <w:rPr>
                <w:rStyle w:val="eop"/>
              </w:rPr>
              <w:t> </w:t>
            </w:r>
          </w:p>
        </w:tc>
      </w:tr>
      <w:tr w:rsidRPr="009A036B" w:rsidR="009A036B" w:rsidTr="009A036B" w14:paraId="781C758C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EA66A8" w14:paraId="1B82E8F7" w14:textId="08EE3069">
            <w:r>
              <w:t xml:space="preserve">Supervisory Public Affairs Specialist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EA66A8" w14:paraId="08301371" w14:textId="71473542">
            <w:r>
              <w:t>14/2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397447" w14:paraId="37668302" w14:textId="789C8156">
            <w:r>
              <w:t>$125,360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EA66A8" w14:paraId="72BCBCF7" w14:textId="73B37FB6">
            <w:r>
              <w:t>.3%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DAA366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9A036B" w:rsidP="009A036B" w:rsidRDefault="009A036B" w14:paraId="0DC54383" w14:textId="77777777"/>
          <w:p w:rsidRPr="00EA66A8" w:rsidR="00EA66A8" w:rsidP="00EA66A8" w:rsidRDefault="00EA66A8" w14:paraId="15F521C0" w14:textId="172EDFE0">
            <w:pPr>
              <w:jc w:val="center"/>
            </w:pPr>
            <w:r>
              <w:t>$1,803.90</w:t>
            </w:r>
          </w:p>
        </w:tc>
      </w:tr>
      <w:tr w:rsidRPr="009A036B" w:rsidR="009A036B" w:rsidTr="009A036B" w14:paraId="0F3BCC4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6D681E7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E427979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73AE8D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A03E17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1EE60A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0FE1A17" w14:textId="77777777"/>
        </w:tc>
      </w:tr>
      <w:tr w:rsidRPr="009A036B" w:rsidR="009A036B" w:rsidTr="009A036B" w14:paraId="440B332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418BD87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42B8F94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62FE8B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6FEDCE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A6CE3B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E68582B" w14:textId="77777777"/>
        </w:tc>
      </w:tr>
      <w:tr w:rsidRPr="009A036B" w:rsidR="009A036B" w:rsidTr="009A036B" w14:paraId="24F5B63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CB533BB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E8E765B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A5F70C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A76557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8B9818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FAB2D4D" w14:textId="77777777"/>
        </w:tc>
      </w:tr>
      <w:tr w:rsidRPr="009A036B" w:rsidR="009A036B" w:rsidTr="009A036B" w14:paraId="1A95584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15C549F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E26F5CF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7B0D9D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6A1278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F754E0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23EB43C" w14:textId="77777777"/>
        </w:tc>
      </w:tr>
      <w:tr w:rsidRPr="009A036B" w:rsidR="009A036B" w:rsidTr="009A036B" w14:paraId="0A1A3EC6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E67BC7B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CB6B917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8E76B5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10CD299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3F81F0E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0CC565F" w14:textId="77777777">
            <w:pPr>
              <w:rPr>
                <w:b/>
              </w:rPr>
            </w:pPr>
          </w:p>
        </w:tc>
      </w:tr>
      <w:tr w:rsidRPr="009A036B" w:rsidR="009A036B" w:rsidTr="002E48F5" w14:paraId="737E54E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9A036B" w:rsidP="009A036B" w:rsidRDefault="004B1EB8" w14:paraId="2BE6F79D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56B61907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2EAF6F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B1117E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49CEDF4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E91C83" w14:paraId="2058388E" w14:textId="5066F36D">
            <w:r>
              <w:t xml:space="preserve"> $</w:t>
            </w:r>
            <w:r w:rsidR="00EA66A8">
              <w:t>2,565.66</w:t>
            </w:r>
          </w:p>
        </w:tc>
      </w:tr>
    </w:tbl>
    <w:p w:rsidRPr="009A036B" w:rsidR="009A036B" w:rsidP="009A036B" w:rsidRDefault="002D74B4" w14:paraId="508D3B40" w14:textId="40A61A0E"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t xml:space="preserve"> </w:t>
      </w:r>
      <w:hyperlink w:history="1" r:id="rId11">
        <w:r w:rsidRPr="00970796" w:rsidR="00970796">
          <w:rPr>
            <w:rStyle w:val="Hyperlink"/>
            <w:sz w:val="18"/>
            <w:szCs w:val="18"/>
          </w:rPr>
          <w:t>https://www.opm.gov/policy-data-oversight/pay-leave/salaries-wages/salary-tables/pdf/2020/DCB.pdf</w:t>
        </w:r>
      </w:hyperlink>
      <w:r w:rsidRPr="00970796" w:rsidR="00970796">
        <w:rPr>
          <w:sz w:val="18"/>
          <w:szCs w:val="18"/>
        </w:rPr>
        <w:t xml:space="preserve"> </w:t>
      </w:r>
    </w:p>
    <w:p w:rsidR="009A036B" w:rsidRDefault="009A036B" w14:paraId="5526EBC7" w14:textId="77777777">
      <w:pPr>
        <w:rPr>
          <w:b/>
        </w:rPr>
      </w:pPr>
    </w:p>
    <w:p w:rsidR="00ED6492" w:rsidRDefault="00ED6492" w14:paraId="51300FDA" w14:textId="77777777">
      <w:pPr>
        <w:rPr>
          <w:b/>
          <w:bCs/>
          <w:u w:val="single"/>
        </w:rPr>
      </w:pPr>
    </w:p>
    <w:p w:rsidR="0069403B" w:rsidP="00F06866" w:rsidRDefault="00ED6492" w14:paraId="3BDD00E0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287773AF" w14:textId="77777777">
      <w:pPr>
        <w:rPr>
          <w:b/>
        </w:rPr>
      </w:pPr>
    </w:p>
    <w:p w:rsidR="00F06866" w:rsidP="00F06866" w:rsidRDefault="00636621" w14:paraId="099DC00B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03DD13B5" w14:textId="77777777">
      <w:pPr>
        <w:pStyle w:val="ListParagraph"/>
        <w:numPr>
          <w:ilvl w:val="0"/>
          <w:numId w:val="18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E91C83">
        <w:t>X</w:t>
      </w:r>
      <w:r>
        <w:t>] Yes</w:t>
      </w:r>
      <w:r>
        <w:tab/>
      </w:r>
      <w:proofErr w:type="gramStart"/>
      <w:r>
        <w:t>[ ]</w:t>
      </w:r>
      <w:proofErr w:type="gramEnd"/>
      <w:r>
        <w:t xml:space="preserve"> No</w:t>
      </w:r>
    </w:p>
    <w:p w:rsidR="00636621" w:rsidP="00636621" w:rsidRDefault="00636621" w14:paraId="5349B296" w14:textId="77777777">
      <w:pPr>
        <w:pStyle w:val="ListParagraph"/>
      </w:pPr>
    </w:p>
    <w:p w:rsidR="00636621" w:rsidP="001B0AAA" w:rsidRDefault="00636621" w14:paraId="4D55084C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E91C83" w:rsidP="00E91C83" w:rsidRDefault="00E91C83" w14:paraId="522C235A" w14:textId="77777777">
      <w:pPr>
        <w:pStyle w:val="ListParagraph"/>
        <w:ind w:left="0"/>
      </w:pPr>
    </w:p>
    <w:p w:rsidR="00E91C83" w:rsidP="00E91C83" w:rsidRDefault="00E91C83" w14:paraId="02550213" w14:textId="77777777">
      <w:pPr>
        <w:pStyle w:val="ListParagraph"/>
        <w:ind w:left="0"/>
      </w:pPr>
      <w:r>
        <w:rPr>
          <w:rStyle w:val="normaltextrun"/>
          <w:color w:val="000000"/>
          <w:shd w:val="clear" w:color="auto" w:fill="FFFFFF"/>
        </w:rPr>
        <w:t>The universe of potential respondents will be visitors to NIA website, and the sample will consist of those who choose to respond to the survey.</w:t>
      </w:r>
      <w:r>
        <w:rPr>
          <w:rStyle w:val="eop"/>
          <w:color w:val="000000"/>
          <w:shd w:val="clear" w:color="auto" w:fill="FFFFFF"/>
        </w:rPr>
        <w:t> </w:t>
      </w:r>
    </w:p>
    <w:p w:rsidR="00A403BB" w:rsidP="00A403BB" w:rsidRDefault="00A403BB" w14:paraId="123D463B" w14:textId="77777777"/>
    <w:p w:rsidR="00A403BB" w:rsidP="00A403BB" w:rsidRDefault="00A403BB" w14:paraId="53BC092C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6FB8AF41" w14:textId="77777777">
      <w:pPr>
        <w:pStyle w:val="ListParagraph"/>
        <w:numPr>
          <w:ilvl w:val="0"/>
          <w:numId w:val="20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1B283B64" w14:textId="77777777">
      <w:pPr>
        <w:ind w:left="720"/>
      </w:pPr>
      <w:r>
        <w:t>[</w:t>
      </w:r>
      <w:r w:rsidR="00E91C83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717B18A8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1A6DE11D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0461E796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3AFE14FF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40785A9F" w14:textId="77777777">
      <w:pPr>
        <w:pStyle w:val="ListParagraph"/>
        <w:numPr>
          <w:ilvl w:val="0"/>
          <w:numId w:val="20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E91C83">
        <w:t>X</w:t>
      </w:r>
      <w:r>
        <w:t>] No</w:t>
      </w:r>
    </w:p>
    <w:p w:rsidR="00F24CFC" w:rsidP="00F24CFC" w:rsidRDefault="00F24CFC" w14:paraId="64395363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0640DDB3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:rsidRDefault="003932D1" w14:paraId="0185E29D" w14:textId="77777777">
      <w:pPr>
        <w:rPr>
          <w:b/>
        </w:rPr>
      </w:pPr>
    </w:p>
    <w:p w:rsidRPr="00F24CFC" w:rsidR="003932D1" w:rsidP="0024521E" w:rsidRDefault="003932D1" w14:paraId="08535890" w14:textId="77777777">
      <w:pPr>
        <w:rPr>
          <w:b/>
        </w:rPr>
      </w:pPr>
    </w:p>
    <w:p w:rsidR="00FA40C9" w:rsidP="0081199F" w:rsidRDefault="00FA40C9" w14:paraId="18974630" w14:textId="1C34769E"/>
    <w:sectPr w:rsidR="00FA40C9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31B86" w14:textId="77777777" w:rsidR="00B3023C" w:rsidRDefault="00B3023C">
      <w:r>
        <w:separator/>
      </w:r>
    </w:p>
  </w:endnote>
  <w:endnote w:type="continuationSeparator" w:id="0">
    <w:p w14:paraId="7556905B" w14:textId="77777777" w:rsidR="00B3023C" w:rsidRDefault="00B3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53B1F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1DD18" w14:textId="77777777" w:rsidR="00B3023C" w:rsidRDefault="00B3023C">
      <w:r>
        <w:separator/>
      </w:r>
    </w:p>
  </w:footnote>
  <w:footnote w:type="continuationSeparator" w:id="0">
    <w:p w14:paraId="7BAA9BB8" w14:textId="77777777" w:rsidR="00B3023C" w:rsidRDefault="00B30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B3098"/>
    <w:multiLevelType w:val="hybridMultilevel"/>
    <w:tmpl w:val="ED8E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90907"/>
    <w:multiLevelType w:val="hybridMultilevel"/>
    <w:tmpl w:val="F5266510"/>
    <w:lvl w:ilvl="0" w:tplc="A1E2D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C7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02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8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0A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FC1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A4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066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0A5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E5F6F"/>
    <w:multiLevelType w:val="hybridMultilevel"/>
    <w:tmpl w:val="FC7E25C2"/>
    <w:lvl w:ilvl="0" w:tplc="D85AA754">
      <w:start w:val="1"/>
      <w:numFmt w:val="decimal"/>
      <w:lvlText w:val="%1."/>
      <w:lvlJc w:val="left"/>
      <w:pPr>
        <w:ind w:left="720" w:hanging="360"/>
      </w:pPr>
    </w:lvl>
    <w:lvl w:ilvl="1" w:tplc="F392D7B4">
      <w:start w:val="1"/>
      <w:numFmt w:val="lowerLetter"/>
      <w:lvlText w:val="%2."/>
      <w:lvlJc w:val="left"/>
      <w:pPr>
        <w:ind w:left="1440" w:hanging="360"/>
      </w:pPr>
    </w:lvl>
    <w:lvl w:ilvl="2" w:tplc="A9584728">
      <w:start w:val="1"/>
      <w:numFmt w:val="lowerRoman"/>
      <w:lvlText w:val="%3."/>
      <w:lvlJc w:val="right"/>
      <w:pPr>
        <w:ind w:left="2160" w:hanging="180"/>
      </w:pPr>
    </w:lvl>
    <w:lvl w:ilvl="3" w:tplc="4D506FCE">
      <w:start w:val="1"/>
      <w:numFmt w:val="decimal"/>
      <w:lvlText w:val="%4."/>
      <w:lvlJc w:val="left"/>
      <w:pPr>
        <w:ind w:left="2880" w:hanging="360"/>
      </w:pPr>
    </w:lvl>
    <w:lvl w:ilvl="4" w:tplc="BFC0E2CA">
      <w:start w:val="1"/>
      <w:numFmt w:val="lowerLetter"/>
      <w:lvlText w:val="%5."/>
      <w:lvlJc w:val="left"/>
      <w:pPr>
        <w:ind w:left="3600" w:hanging="360"/>
      </w:pPr>
    </w:lvl>
    <w:lvl w:ilvl="5" w:tplc="2210101E">
      <w:start w:val="1"/>
      <w:numFmt w:val="lowerRoman"/>
      <w:lvlText w:val="%6."/>
      <w:lvlJc w:val="right"/>
      <w:pPr>
        <w:ind w:left="4320" w:hanging="180"/>
      </w:pPr>
    </w:lvl>
    <w:lvl w:ilvl="6" w:tplc="B232D99A">
      <w:start w:val="1"/>
      <w:numFmt w:val="decimal"/>
      <w:lvlText w:val="%7."/>
      <w:lvlJc w:val="left"/>
      <w:pPr>
        <w:ind w:left="5040" w:hanging="360"/>
      </w:pPr>
    </w:lvl>
    <w:lvl w:ilvl="7" w:tplc="98489FA2">
      <w:start w:val="1"/>
      <w:numFmt w:val="lowerLetter"/>
      <w:lvlText w:val="%8."/>
      <w:lvlJc w:val="left"/>
      <w:pPr>
        <w:ind w:left="5760" w:hanging="360"/>
      </w:pPr>
    </w:lvl>
    <w:lvl w:ilvl="8" w:tplc="7320F61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F74D9"/>
    <w:multiLevelType w:val="hybridMultilevel"/>
    <w:tmpl w:val="13922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6DD12F96"/>
    <w:multiLevelType w:val="hybridMultilevel"/>
    <w:tmpl w:val="7C02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C131A"/>
    <w:multiLevelType w:val="hybridMultilevel"/>
    <w:tmpl w:val="DF349068"/>
    <w:lvl w:ilvl="0" w:tplc="69A8E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08A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A2B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44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4A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04D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48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600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EC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7"/>
  </w:num>
  <w:num w:numId="4">
    <w:abstractNumId w:val="12"/>
  </w:num>
  <w:num w:numId="5">
    <w:abstractNumId w:val="22"/>
  </w:num>
  <w:num w:numId="6">
    <w:abstractNumId w:val="21"/>
  </w:num>
  <w:num w:numId="7">
    <w:abstractNumId w:val="23"/>
  </w:num>
  <w:num w:numId="8">
    <w:abstractNumId w:val="4"/>
  </w:num>
  <w:num w:numId="9">
    <w:abstractNumId w:val="2"/>
  </w:num>
  <w:num w:numId="10">
    <w:abstractNumId w:val="10"/>
  </w:num>
  <w:num w:numId="11">
    <w:abstractNumId w:val="17"/>
  </w:num>
  <w:num w:numId="12">
    <w:abstractNumId w:val="11"/>
  </w:num>
  <w:num w:numId="13">
    <w:abstractNumId w:val="3"/>
  </w:num>
  <w:num w:numId="14">
    <w:abstractNumId w:val="8"/>
  </w:num>
  <w:num w:numId="15">
    <w:abstractNumId w:val="9"/>
  </w:num>
  <w:num w:numId="16">
    <w:abstractNumId w:val="0"/>
  </w:num>
  <w:num w:numId="17">
    <w:abstractNumId w:val="19"/>
  </w:num>
  <w:num w:numId="18">
    <w:abstractNumId w:val="16"/>
  </w:num>
  <w:num w:numId="19">
    <w:abstractNumId w:val="14"/>
  </w:num>
  <w:num w:numId="20">
    <w:abstractNumId w:val="5"/>
  </w:num>
  <w:num w:numId="21">
    <w:abstractNumId w:val="6"/>
  </w:num>
  <w:num w:numId="22">
    <w:abstractNumId w:val="18"/>
  </w:num>
  <w:num w:numId="23">
    <w:abstractNumId w:val="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4452A"/>
    <w:rsid w:val="00047A64"/>
    <w:rsid w:val="00064D39"/>
    <w:rsid w:val="00067329"/>
    <w:rsid w:val="000722CE"/>
    <w:rsid w:val="000913EC"/>
    <w:rsid w:val="000A11B1"/>
    <w:rsid w:val="000A2F8F"/>
    <w:rsid w:val="000A482B"/>
    <w:rsid w:val="000B2838"/>
    <w:rsid w:val="000C6091"/>
    <w:rsid w:val="000D44CA"/>
    <w:rsid w:val="000E200B"/>
    <w:rsid w:val="000F68BE"/>
    <w:rsid w:val="00113A81"/>
    <w:rsid w:val="001514CF"/>
    <w:rsid w:val="00162F83"/>
    <w:rsid w:val="00175C2A"/>
    <w:rsid w:val="00177AEA"/>
    <w:rsid w:val="00180933"/>
    <w:rsid w:val="001855D1"/>
    <w:rsid w:val="00185934"/>
    <w:rsid w:val="001927A4"/>
    <w:rsid w:val="00194AC6"/>
    <w:rsid w:val="001A23B0"/>
    <w:rsid w:val="001A25CC"/>
    <w:rsid w:val="001B0AAA"/>
    <w:rsid w:val="001C39F7"/>
    <w:rsid w:val="00211AA9"/>
    <w:rsid w:val="00235183"/>
    <w:rsid w:val="00237B48"/>
    <w:rsid w:val="0024521E"/>
    <w:rsid w:val="002464FF"/>
    <w:rsid w:val="002505F1"/>
    <w:rsid w:val="00263C3D"/>
    <w:rsid w:val="002740CB"/>
    <w:rsid w:val="00274D0B"/>
    <w:rsid w:val="00284110"/>
    <w:rsid w:val="002B3C95"/>
    <w:rsid w:val="002D0B92"/>
    <w:rsid w:val="002D26E2"/>
    <w:rsid w:val="002D74B4"/>
    <w:rsid w:val="002E48F5"/>
    <w:rsid w:val="003668D6"/>
    <w:rsid w:val="003932D1"/>
    <w:rsid w:val="00397447"/>
    <w:rsid w:val="003A7074"/>
    <w:rsid w:val="003D3C58"/>
    <w:rsid w:val="003D5BBE"/>
    <w:rsid w:val="003E3C61"/>
    <w:rsid w:val="003F1C5B"/>
    <w:rsid w:val="00420E91"/>
    <w:rsid w:val="00431EB1"/>
    <w:rsid w:val="00434E33"/>
    <w:rsid w:val="00441434"/>
    <w:rsid w:val="0045264C"/>
    <w:rsid w:val="004876EC"/>
    <w:rsid w:val="004A44F3"/>
    <w:rsid w:val="004B1EB8"/>
    <w:rsid w:val="004D6E14"/>
    <w:rsid w:val="004E0261"/>
    <w:rsid w:val="004E12BF"/>
    <w:rsid w:val="005009B0"/>
    <w:rsid w:val="0053741C"/>
    <w:rsid w:val="005934E4"/>
    <w:rsid w:val="005A1006"/>
    <w:rsid w:val="005A772A"/>
    <w:rsid w:val="005E35A2"/>
    <w:rsid w:val="005E714A"/>
    <w:rsid w:val="006140A0"/>
    <w:rsid w:val="00633F74"/>
    <w:rsid w:val="00636329"/>
    <w:rsid w:val="00636621"/>
    <w:rsid w:val="00642B49"/>
    <w:rsid w:val="006832D9"/>
    <w:rsid w:val="00686301"/>
    <w:rsid w:val="0069403B"/>
    <w:rsid w:val="006B7B34"/>
    <w:rsid w:val="006D5F47"/>
    <w:rsid w:val="006F3DDE"/>
    <w:rsid w:val="00704678"/>
    <w:rsid w:val="00711469"/>
    <w:rsid w:val="007425E7"/>
    <w:rsid w:val="00766D95"/>
    <w:rsid w:val="0077703F"/>
    <w:rsid w:val="00792825"/>
    <w:rsid w:val="007D574D"/>
    <w:rsid w:val="00802607"/>
    <w:rsid w:val="008101A5"/>
    <w:rsid w:val="00811789"/>
    <w:rsid w:val="0081199F"/>
    <w:rsid w:val="00822664"/>
    <w:rsid w:val="00843796"/>
    <w:rsid w:val="0085116A"/>
    <w:rsid w:val="00887320"/>
    <w:rsid w:val="00895229"/>
    <w:rsid w:val="00895237"/>
    <w:rsid w:val="0089555C"/>
    <w:rsid w:val="008C1193"/>
    <w:rsid w:val="008E231E"/>
    <w:rsid w:val="008F0203"/>
    <w:rsid w:val="008F50D4"/>
    <w:rsid w:val="009239AA"/>
    <w:rsid w:val="009265E6"/>
    <w:rsid w:val="00935ADA"/>
    <w:rsid w:val="00946B6C"/>
    <w:rsid w:val="00955A71"/>
    <w:rsid w:val="0096108F"/>
    <w:rsid w:val="00970796"/>
    <w:rsid w:val="009743D7"/>
    <w:rsid w:val="009A036B"/>
    <w:rsid w:val="009B3696"/>
    <w:rsid w:val="009C13B9"/>
    <w:rsid w:val="009C47D3"/>
    <w:rsid w:val="009D01A2"/>
    <w:rsid w:val="009F5923"/>
    <w:rsid w:val="00A229F1"/>
    <w:rsid w:val="00A403BB"/>
    <w:rsid w:val="00A50F89"/>
    <w:rsid w:val="00A6399A"/>
    <w:rsid w:val="00A674DF"/>
    <w:rsid w:val="00A83AA6"/>
    <w:rsid w:val="00AC60E8"/>
    <w:rsid w:val="00AE14B1"/>
    <w:rsid w:val="00AE1809"/>
    <w:rsid w:val="00B3023C"/>
    <w:rsid w:val="00B80D76"/>
    <w:rsid w:val="00BA2105"/>
    <w:rsid w:val="00BA7E06"/>
    <w:rsid w:val="00BB2FEC"/>
    <w:rsid w:val="00BB43B5"/>
    <w:rsid w:val="00BB6219"/>
    <w:rsid w:val="00BC0148"/>
    <w:rsid w:val="00BC676D"/>
    <w:rsid w:val="00BD07E9"/>
    <w:rsid w:val="00BD290F"/>
    <w:rsid w:val="00BD4E0D"/>
    <w:rsid w:val="00C019DE"/>
    <w:rsid w:val="00C14CC4"/>
    <w:rsid w:val="00C33C52"/>
    <w:rsid w:val="00C40D8B"/>
    <w:rsid w:val="00C43D43"/>
    <w:rsid w:val="00C8407A"/>
    <w:rsid w:val="00C8488C"/>
    <w:rsid w:val="00C86E91"/>
    <w:rsid w:val="00CA19A3"/>
    <w:rsid w:val="00CA2010"/>
    <w:rsid w:val="00CA2650"/>
    <w:rsid w:val="00CB1078"/>
    <w:rsid w:val="00CC6FAF"/>
    <w:rsid w:val="00CD3F0A"/>
    <w:rsid w:val="00CD7D84"/>
    <w:rsid w:val="00D24698"/>
    <w:rsid w:val="00D2664B"/>
    <w:rsid w:val="00D6383F"/>
    <w:rsid w:val="00D662C8"/>
    <w:rsid w:val="00DB4A58"/>
    <w:rsid w:val="00DB59D0"/>
    <w:rsid w:val="00DC33D3"/>
    <w:rsid w:val="00DE7A7B"/>
    <w:rsid w:val="00E26329"/>
    <w:rsid w:val="00E3217D"/>
    <w:rsid w:val="00E40B50"/>
    <w:rsid w:val="00E50293"/>
    <w:rsid w:val="00E65FFC"/>
    <w:rsid w:val="00E670E2"/>
    <w:rsid w:val="00E80951"/>
    <w:rsid w:val="00E86CC6"/>
    <w:rsid w:val="00E91C83"/>
    <w:rsid w:val="00EA66A8"/>
    <w:rsid w:val="00EB56B3"/>
    <w:rsid w:val="00ED6492"/>
    <w:rsid w:val="00EF2095"/>
    <w:rsid w:val="00F06866"/>
    <w:rsid w:val="00F15956"/>
    <w:rsid w:val="00F24CFC"/>
    <w:rsid w:val="00F3170F"/>
    <w:rsid w:val="00F46038"/>
    <w:rsid w:val="00F94D8C"/>
    <w:rsid w:val="00F976B0"/>
    <w:rsid w:val="00FA40C9"/>
    <w:rsid w:val="00FA686A"/>
    <w:rsid w:val="00FA6DE7"/>
    <w:rsid w:val="00FC0A8E"/>
    <w:rsid w:val="00FD73E1"/>
    <w:rsid w:val="00FE2FA6"/>
    <w:rsid w:val="00FE3DF2"/>
    <w:rsid w:val="03C90DE9"/>
    <w:rsid w:val="0A538A04"/>
    <w:rsid w:val="0C57858C"/>
    <w:rsid w:val="0E0F7C4F"/>
    <w:rsid w:val="0FC8B2A5"/>
    <w:rsid w:val="10CB7821"/>
    <w:rsid w:val="11E9E025"/>
    <w:rsid w:val="16D68AB8"/>
    <w:rsid w:val="1B799347"/>
    <w:rsid w:val="1E8A5DA5"/>
    <w:rsid w:val="1EB7DC74"/>
    <w:rsid w:val="20CFEA26"/>
    <w:rsid w:val="24B0C043"/>
    <w:rsid w:val="2901634C"/>
    <w:rsid w:val="2F556729"/>
    <w:rsid w:val="34117668"/>
    <w:rsid w:val="341C935B"/>
    <w:rsid w:val="3BB1F646"/>
    <w:rsid w:val="3D614E6C"/>
    <w:rsid w:val="3D92DCF1"/>
    <w:rsid w:val="3DA7F187"/>
    <w:rsid w:val="3F45807E"/>
    <w:rsid w:val="40590ECD"/>
    <w:rsid w:val="41EE5E52"/>
    <w:rsid w:val="4270F654"/>
    <w:rsid w:val="45DF5640"/>
    <w:rsid w:val="4FC101B0"/>
    <w:rsid w:val="5141C0B9"/>
    <w:rsid w:val="56508ECE"/>
    <w:rsid w:val="601E3CE0"/>
    <w:rsid w:val="693B8791"/>
    <w:rsid w:val="6EEA49B4"/>
    <w:rsid w:val="701B384D"/>
    <w:rsid w:val="70A72779"/>
    <w:rsid w:val="737EED49"/>
    <w:rsid w:val="7AAA56CB"/>
    <w:rsid w:val="7B904AA6"/>
    <w:rsid w:val="7C09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22858E"/>
  <w15:chartTrackingRefBased/>
  <w15:docId w15:val="{DF526E6E-3DFD-4F42-BF13-69ED88B1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2664B"/>
    <w:pPr>
      <w:spacing w:after="160" w:line="259" w:lineRule="auto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customStyle="1" w:styleId="normaltextrun">
    <w:name w:val="normaltextrun"/>
    <w:rsid w:val="008E231E"/>
  </w:style>
  <w:style w:type="character" w:customStyle="1" w:styleId="eop">
    <w:name w:val="eop"/>
    <w:rsid w:val="008E231E"/>
  </w:style>
  <w:style w:type="paragraph" w:customStyle="1" w:styleId="paragraph">
    <w:name w:val="paragraph"/>
    <w:basedOn w:val="Normal"/>
    <w:rsid w:val="008E231E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064D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974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2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m.gov/policy-data-oversight/pay-leave/salaries-wages/salary-tables/pdf/2020/DCB.pdf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bls.gov/oes/current/oes_nat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6CE9DB6180947ABDA64A7EAED0319" ma:contentTypeVersion="13" ma:contentTypeDescription="Create a new document." ma:contentTypeScope="" ma:versionID="5b2270adfa5e76b2912a963c50ea3cd9">
  <xsd:schema xmlns:xsd="http://www.w3.org/2001/XMLSchema" xmlns:xs="http://www.w3.org/2001/XMLSchema" xmlns:p="http://schemas.microsoft.com/office/2006/metadata/properties" xmlns:ns2="12d3497f-503f-46a5-abcd-241d3be730bb" xmlns:ns3="78e786bb-2173-4975-9d67-2522e0b8d59e" targetNamespace="http://schemas.microsoft.com/office/2006/metadata/properties" ma:root="true" ma:fieldsID="51077e74d2ac5a29f8cdd763ccd8a0fb" ns2:_="" ns3:_="">
    <xsd:import namespace="12d3497f-503f-46a5-abcd-241d3be730bb"/>
    <xsd:import namespace="78e786bb-2173-4975-9d67-2522e0b8d5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Acces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3497f-503f-46a5-abcd-241d3be730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786bb-2173-4975-9d67-2522e0b8d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Access" ma:index="15" nillable="true" ma:displayName="Access" ma:format="Dropdown" ma:internalName="Access">
      <xsd:simpleType>
        <xsd:restriction base="dms:Choice">
          <xsd:enumeration value="Internal"/>
          <xsd:enumeration value="External - Client Access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01E7E-3299-4F3D-B17E-66A7724BE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3497f-503f-46a5-abcd-241d3be730bb"/>
    <ds:schemaRef ds:uri="78e786bb-2173-4975-9d67-2522e0b8d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F9AAA3-05AB-42E9-99EF-0883E4B67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F1D61-7C16-429F-AD43-02F19E0C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2010-10-04T19:59:00Z</cp:lastPrinted>
  <dcterms:created xsi:type="dcterms:W3CDTF">2020-08-06T19:22:00Z</dcterms:created>
  <dcterms:modified xsi:type="dcterms:W3CDTF">2020-08-06T19:22:00Z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