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181CA9AA"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05/2021</w:t>
      </w:r>
      <w:r>
        <w:rPr>
          <w:sz w:val="28"/>
        </w:rPr>
        <w:t>)</w:t>
      </w:r>
    </w:p>
    <w:p w:rsidRPr="009239AA" w:rsidR="00E50293" w:rsidP="00434E33" w:rsidRDefault="00284110" w14:paraId="1EA5A0B2" w14:textId="77777777">
      <w:pPr>
        <w:rPr>
          <w:b/>
        </w:rPr>
      </w:pPr>
      <w:r>
        <w:rPr>
          <w:b/>
          <w:noProof/>
        </w:rPr>
        <w:pict w14:anchorId="7D333ECA">
          <v:line id="_x0000_s1027" style="position:absolute;z-index:251657728" o:allowincell="f" strokeweight="1.5pt" from="0,0" to="468pt,0"/>
        </w:pict>
      </w:r>
      <w:r w:rsidRPr="00434E33" w:rsidR="005E714A">
        <w:rPr>
          <w:b/>
        </w:rPr>
        <w:t>TITLE OF INFORMATION COLLECTION:</w:t>
      </w:r>
      <w:r w:rsidR="005E714A">
        <w:t xml:space="preserve">  </w:t>
      </w:r>
      <w:bookmarkStart w:name="_GoBack" w:id="0"/>
      <w:r w:rsidR="000A1E06">
        <w:t>Survey of NIDA Email Subscribers on Experiences with National Drug and Alcohol Facts Week</w:t>
      </w:r>
      <w:r w:rsidRPr="000A1E06" w:rsidR="000A1E06">
        <w:rPr>
          <w:vertAlign w:val="superscript"/>
        </w:rPr>
        <w:t>®</w:t>
      </w:r>
      <w:r w:rsidR="000A1E06">
        <w:t xml:space="preserve"> Resources (NIDA) </w:t>
      </w:r>
      <w:bookmarkEnd w:id="0"/>
    </w:p>
    <w:p w:rsidR="005E714A" w:rsidRDefault="0095378C" w14:paraId="5312A082" w14:textId="77777777">
      <w:r>
        <w:t xml:space="preserve">  </w:t>
      </w:r>
    </w:p>
    <w:p w:rsidR="001B0AAA" w:rsidRDefault="00F15956" w14:paraId="0CA47EE2" w14:textId="77777777">
      <w:r>
        <w:rPr>
          <w:b/>
        </w:rPr>
        <w:t>PURPOSE</w:t>
      </w:r>
      <w:r w:rsidRPr="009239AA">
        <w:rPr>
          <w:b/>
        </w:rPr>
        <w:t>:</w:t>
      </w:r>
      <w:r w:rsidRPr="009239AA" w:rsidR="00C14CC4">
        <w:rPr>
          <w:b/>
        </w:rPr>
        <w:t xml:space="preserve">  </w:t>
      </w:r>
    </w:p>
    <w:p w:rsidR="00EA01E7" w:rsidRDefault="000A1E06" w14:paraId="1DA46DE9" w14:textId="77777777">
      <w:r>
        <w:t>The National Institute on Drug Abuse (</w:t>
      </w:r>
      <w:r w:rsidRPr="000A1E06">
        <w:t>NIDA</w:t>
      </w:r>
      <w:r>
        <w:t>)</w:t>
      </w:r>
      <w:r w:rsidRPr="000A1E06">
        <w:t xml:space="preserve"> </w:t>
      </w:r>
      <w:r>
        <w:t>is</w:t>
      </w:r>
      <w:r w:rsidRPr="000A1E06">
        <w:t xml:space="preserve"> soliciting feedback on resources for National Drug and Alcohol Facts Week®</w:t>
      </w:r>
      <w:r>
        <w:t xml:space="preserve"> (</w:t>
      </w:r>
      <w:r w:rsidRPr="000A1E06">
        <w:t>NDAFW</w:t>
      </w:r>
      <w:r>
        <w:t>)</w:t>
      </w:r>
      <w:r w:rsidRPr="000A1E06">
        <w:t xml:space="preserve">—an annual observance that allows students, educators, and communities to shatter the myths about substances and substance use. </w:t>
      </w:r>
      <w:r w:rsidRPr="00EA01E7" w:rsidR="00EA01E7">
        <w:t xml:space="preserve">NIDA reaches a cross-section of educators, health care and public health professionals, and community prevention coalition members through NDAFW. </w:t>
      </w:r>
    </w:p>
    <w:p w:rsidR="00EA01E7" w:rsidRDefault="00EA01E7" w14:paraId="481933E6" w14:textId="77777777"/>
    <w:p w:rsidR="000A1E06" w:rsidRDefault="000A1E06" w14:paraId="09E8D780" w14:textId="77777777">
      <w:pPr>
        <w:rPr>
          <w:highlight w:val="cyan"/>
        </w:rPr>
      </w:pPr>
      <w:r w:rsidRPr="000A1E06">
        <w:t xml:space="preserve">NIDA </w:t>
      </w:r>
      <w:r>
        <w:t xml:space="preserve">is looking </w:t>
      </w:r>
      <w:r w:rsidRPr="000A1E06">
        <w:t>to gather feedback from participants and nonparticipants about how to best support NDAFW event planners.</w:t>
      </w:r>
      <w:r w:rsidR="0099414C">
        <w:t xml:space="preserve"> NIDA and their contractor will develop two</w:t>
      </w:r>
      <w:r w:rsidR="00EA01E7">
        <w:t>, 10-minute</w:t>
      </w:r>
      <w:r w:rsidR="0099414C">
        <w:t xml:space="preserve"> surveys (one for NDAFW participants and one for individuals who did not participate in NDAFW but who regularly </w:t>
      </w:r>
      <w:r w:rsidR="00EA01E7">
        <w:t>view NIDA resources.)</w:t>
      </w:r>
    </w:p>
    <w:p w:rsidR="00C8389B" w:rsidRDefault="00C8389B" w14:paraId="449FEDEA" w14:textId="77777777"/>
    <w:p w:rsidRPr="0015139F" w:rsidR="00C8389B" w:rsidRDefault="00850B01" w14:paraId="46770E7D" w14:textId="77777777">
      <w:r>
        <w:t xml:space="preserve">Upon </w:t>
      </w:r>
      <w:r w:rsidR="00C8389B">
        <w:t xml:space="preserve">Office of Management and Budget approval, implementation of </w:t>
      </w:r>
      <w:r w:rsidR="0015139F">
        <w:t xml:space="preserve">this </w:t>
      </w:r>
      <w:r w:rsidRPr="0015139F" w:rsidR="0015139F">
        <w:t>survey</w:t>
      </w:r>
      <w:r w:rsidRPr="0015139F" w:rsidR="00C8389B">
        <w:t xml:space="preserve"> will occur over a</w:t>
      </w:r>
      <w:r w:rsidRPr="0015139F">
        <w:t xml:space="preserve"> maximum of</w:t>
      </w:r>
      <w:r w:rsidRPr="0015139F" w:rsidR="00C8389B">
        <w:t xml:space="preserve"> 4</w:t>
      </w:r>
      <w:r w:rsidRPr="0015139F" w:rsidR="00F877D4">
        <w:t xml:space="preserve"> </w:t>
      </w:r>
      <w:r w:rsidRPr="0015139F" w:rsidR="00C8389B">
        <w:t>week</w:t>
      </w:r>
      <w:r w:rsidRPr="0015139F">
        <w:t>s</w:t>
      </w:r>
      <w:r w:rsidRPr="0015139F" w:rsidR="00C8389B">
        <w:t>. More specifically:</w:t>
      </w:r>
    </w:p>
    <w:p w:rsidRPr="0015139F" w:rsidR="0015139F" w:rsidP="00C8389B" w:rsidRDefault="0015139F" w14:paraId="60739B23" w14:textId="77777777">
      <w:pPr>
        <w:numPr>
          <w:ilvl w:val="0"/>
          <w:numId w:val="19"/>
        </w:numPr>
      </w:pPr>
      <w:r w:rsidRPr="0015139F">
        <w:t>NIDA will disseminate both surveys through Qualtrics’ survey invitation system</w:t>
      </w:r>
    </w:p>
    <w:p w:rsidRPr="0015139F" w:rsidR="0015139F" w:rsidP="00C8389B" w:rsidRDefault="0015139F" w14:paraId="4E1383BA" w14:textId="77777777">
      <w:pPr>
        <w:numPr>
          <w:ilvl w:val="0"/>
          <w:numId w:val="19"/>
        </w:numPr>
      </w:pPr>
      <w:r w:rsidRPr="0015139F">
        <w:t>NIDA will send weekly reminders in the two following weeks after dissemination, to individuals who have not responded to the survey</w:t>
      </w:r>
    </w:p>
    <w:p w:rsidRPr="0015139F" w:rsidR="00C8389B" w:rsidP="00C8389B" w:rsidRDefault="0015139F" w14:paraId="5DB153A1" w14:textId="77777777">
      <w:pPr>
        <w:numPr>
          <w:ilvl w:val="0"/>
          <w:numId w:val="19"/>
        </w:numPr>
      </w:pPr>
      <w:r w:rsidRPr="0015139F">
        <w:t>NIDA will send a thank you email to respondents who answered the survey</w:t>
      </w:r>
    </w:p>
    <w:p w:rsidR="00850B01" w:rsidP="00850B01" w:rsidRDefault="00850B01" w14:paraId="76E23841" w14:textId="77777777"/>
    <w:p w:rsidRPr="000A1E06" w:rsidR="00C8488C" w:rsidP="000A1E06" w:rsidRDefault="00850B01" w14:paraId="5F94FD9D" w14:textId="77777777">
      <w:r>
        <w:t xml:space="preserve">Upon the conclusion of </w:t>
      </w:r>
      <w:r w:rsidR="00C72508">
        <w:t>survey data collection</w:t>
      </w:r>
      <w:r>
        <w:t xml:space="preserve">, </w:t>
      </w:r>
      <w:r w:rsidR="00C72508">
        <w:t>NIDA</w:t>
      </w:r>
      <w:r w:rsidR="00166511">
        <w:t xml:space="preserve">’s contractor will analyze and summarize </w:t>
      </w:r>
      <w:r w:rsidR="00C72508">
        <w:t>survey</w:t>
      </w:r>
      <w:r w:rsidR="00166511">
        <w:t xml:space="preserve"> findings; and provide actionable recommendations for </w:t>
      </w:r>
      <w:r w:rsidR="00C72508">
        <w:t>NDAFW 2021 strategic planning</w:t>
      </w:r>
      <w:r w:rsidR="00166511">
        <w:t xml:space="preserve">. </w:t>
      </w:r>
      <w:r w:rsidRPr="00EA01E7" w:rsidR="00EA01E7">
        <w:t>Survey findings will inform updates and enhancements to NDAFW resources; and ultimately ensure NIDA is serving the information needs of NIDA’s audience.</w:t>
      </w:r>
    </w:p>
    <w:p w:rsidR="00C8488C" w:rsidP="00434E33" w:rsidRDefault="00C8488C" w14:paraId="71D24E5E" w14:textId="77777777">
      <w:pPr>
        <w:pStyle w:val="Header"/>
        <w:tabs>
          <w:tab w:val="clear" w:pos="4320"/>
          <w:tab w:val="clear" w:pos="8640"/>
        </w:tabs>
        <w:rPr>
          <w:b/>
        </w:rPr>
      </w:pPr>
    </w:p>
    <w:p w:rsidRPr="00434E33" w:rsidR="00434E33" w:rsidP="00434E33" w:rsidRDefault="00434E33" w14:paraId="2C15604A" w14:textId="77777777">
      <w:pPr>
        <w:pStyle w:val="Header"/>
        <w:tabs>
          <w:tab w:val="clear" w:pos="4320"/>
          <w:tab w:val="clear" w:pos="8640"/>
        </w:tabs>
        <w:rPr>
          <w:i/>
          <w:snapToGrid/>
        </w:rPr>
      </w:pPr>
      <w:r w:rsidRPr="00434E33">
        <w:rPr>
          <w:b/>
        </w:rPr>
        <w:t>DESCRIPTION OF RESPONDENTS</w:t>
      </w:r>
      <w:r>
        <w:t xml:space="preserve">: </w:t>
      </w:r>
    </w:p>
    <w:p w:rsidR="000D2FC5" w:rsidRDefault="00166511" w14:paraId="4B1BBF57" w14:textId="77777777">
      <w:r w:rsidRPr="00382237">
        <w:t xml:space="preserve">Respondents </w:t>
      </w:r>
      <w:r w:rsidR="00382237">
        <w:t xml:space="preserve">to the participant survey </w:t>
      </w:r>
      <w:r w:rsidRPr="00382237">
        <w:t xml:space="preserve">will include up to </w:t>
      </w:r>
      <w:r w:rsidRPr="00382237" w:rsidR="00382237">
        <w:t>all registered participants for National Drug and Alcohol Facts Week</w:t>
      </w:r>
      <w:r w:rsidRPr="00382237" w:rsidR="00382237">
        <w:rPr>
          <w:vertAlign w:val="superscript"/>
        </w:rPr>
        <w:t>®</w:t>
      </w:r>
      <w:r w:rsidRPr="00382237" w:rsidR="00382237">
        <w:t xml:space="preserve"> </w:t>
      </w:r>
      <w:r w:rsidR="00AE4F16">
        <w:t xml:space="preserve">(NDAFW) </w:t>
      </w:r>
      <w:r w:rsidRPr="00382237" w:rsidR="00382237">
        <w:t>2020</w:t>
      </w:r>
      <w:r w:rsidR="00AE4F16">
        <w:t xml:space="preserve">. There are 586 potential registered respondents who are currently opted-in to receive NDAFW email blasts via MailChimp. </w:t>
      </w:r>
    </w:p>
    <w:p w:rsidR="000D2FC5" w:rsidRDefault="000D2FC5" w14:paraId="028838E3" w14:textId="77777777"/>
    <w:p w:rsidR="00382237" w:rsidRDefault="00AE4F16" w14:paraId="3EFB0C7F" w14:textId="77777777">
      <w:r>
        <w:t xml:space="preserve">Respondents to the non-participant survey are subscribers to </w:t>
      </w:r>
      <w:r w:rsidR="000D2FC5">
        <w:t xml:space="preserve">NDAFW emails who have received a 5-star rating within MailChimp’s contact system, but who did not register for NDAFW 2020. </w:t>
      </w:r>
      <w:r w:rsidRPr="000D2FC5" w:rsidR="000D2FC5">
        <w:t>Mail</w:t>
      </w:r>
      <w:r w:rsidR="000D2FC5">
        <w:t>C</w:t>
      </w:r>
      <w:r w:rsidRPr="000D2FC5" w:rsidR="000D2FC5">
        <w:t>himp provides a contact rating for each email marketing contact, on a scale of one to five.</w:t>
      </w:r>
      <w:r w:rsidR="000D2FC5">
        <w:t xml:space="preserve"> Five star-rated contacts are considered h</w:t>
      </w:r>
      <w:r w:rsidRPr="000D2FC5" w:rsidR="000D2FC5">
        <w:t>igh engagement. Th</w:t>
      </w:r>
      <w:r w:rsidR="000D2FC5">
        <w:t>ese email</w:t>
      </w:r>
      <w:r w:rsidRPr="000D2FC5" w:rsidR="000D2FC5">
        <w:t xml:space="preserve"> recipient</w:t>
      </w:r>
      <w:r w:rsidR="000D2FC5">
        <w:t>s</w:t>
      </w:r>
      <w:r w:rsidRPr="000D2FC5" w:rsidR="000D2FC5">
        <w:t xml:space="preserve"> open or click </w:t>
      </w:r>
      <w:r w:rsidR="000D2FC5">
        <w:t>emails</w:t>
      </w:r>
      <w:r w:rsidRPr="000D2FC5" w:rsidR="000D2FC5">
        <w:t xml:space="preserve"> very consistently.</w:t>
      </w:r>
      <w:r w:rsidR="000D2FC5">
        <w:t xml:space="preserve"> As this survey will inform future program planning, we hope to hear from individuals who engaged in NDAFW 2020 and those who frequently engage with NIDA’s emails but who did not convert to registering to participate in NDAFW 2020. </w:t>
      </w:r>
      <w:r w:rsidR="00113AD9">
        <w:t xml:space="preserve">There are </w:t>
      </w:r>
      <w:r w:rsidRPr="00113AD9" w:rsidR="00113AD9">
        <w:t>2,172</w:t>
      </w:r>
      <w:r w:rsidR="00113AD9">
        <w:t xml:space="preserve"> potential respondents who fit these criteria. </w:t>
      </w:r>
    </w:p>
    <w:p w:rsidR="00113AD9" w:rsidRDefault="00113AD9" w14:paraId="401B282D" w14:textId="77777777"/>
    <w:p w:rsidRPr="00382237" w:rsidR="00113AD9" w:rsidRDefault="00113AD9" w14:paraId="6CE10E20" w14:textId="77777777">
      <w:r>
        <w:t>We assumed a 30% response rate for this web survey, based on best practices from industry leaders</w:t>
      </w:r>
      <w:r>
        <w:rPr>
          <w:rStyle w:val="FootnoteReference"/>
        </w:rPr>
        <w:footnoteReference w:id="1"/>
      </w:r>
      <w:r>
        <w:t xml:space="preserve"> and recently published literature.</w:t>
      </w:r>
      <w:r>
        <w:rPr>
          <w:rStyle w:val="FootnoteReference"/>
        </w:rPr>
        <w:footnoteReference w:id="2"/>
      </w:r>
      <w:r>
        <w:t xml:space="preserve"> </w:t>
      </w:r>
    </w:p>
    <w:p w:rsidR="00E26329" w:rsidRDefault="00E26329" w14:paraId="10E7E248" w14:textId="77777777">
      <w:pPr>
        <w:rPr>
          <w:b/>
        </w:rPr>
      </w:pPr>
    </w:p>
    <w:p w:rsidR="00113AD9" w:rsidRDefault="00113AD9" w14:paraId="2AE092FD" w14:textId="77777777">
      <w:pPr>
        <w:rPr>
          <w:b/>
        </w:rPr>
      </w:pPr>
    </w:p>
    <w:p w:rsidR="00113AD9" w:rsidRDefault="00113AD9" w14:paraId="0473BB8C" w14:textId="77777777">
      <w:pPr>
        <w:rPr>
          <w:b/>
        </w:rPr>
      </w:pPr>
    </w:p>
    <w:p w:rsidRPr="00F06866" w:rsidR="00F06866" w:rsidRDefault="00F06866" w14:paraId="66EE8FD9" w14:textId="77777777">
      <w:pPr>
        <w:rPr>
          <w:b/>
        </w:rPr>
      </w:pPr>
      <w:r>
        <w:rPr>
          <w:b/>
        </w:rPr>
        <w:t>TYPE OF COLLECTION:</w:t>
      </w:r>
      <w:r w:rsidRPr="00F06866">
        <w:t xml:space="preserve"> (Check one)</w:t>
      </w:r>
    </w:p>
    <w:p w:rsidRPr="00434E33" w:rsidR="00441434" w:rsidP="0096108F" w:rsidRDefault="00441434" w14:paraId="69115531" w14:textId="77777777">
      <w:pPr>
        <w:pStyle w:val="BodyTextIndent"/>
        <w:tabs>
          <w:tab w:val="left" w:pos="360"/>
        </w:tabs>
        <w:ind w:left="0"/>
        <w:rPr>
          <w:bCs/>
          <w:sz w:val="16"/>
          <w:szCs w:val="16"/>
        </w:rPr>
      </w:pPr>
    </w:p>
    <w:p w:rsidRPr="00F06866" w:rsidR="00F06866" w:rsidP="0096108F" w:rsidRDefault="0096108F" w14:paraId="58FE1F14"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C72508">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27FB19C9"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6718ED7D" w14:textId="77777777">
      <w:pPr>
        <w:pStyle w:val="BodyTextIndent"/>
        <w:tabs>
          <w:tab w:val="left" w:pos="360"/>
        </w:tabs>
        <w:ind w:left="0"/>
        <w:rPr>
          <w:bCs/>
          <w:sz w:val="24"/>
        </w:rPr>
      </w:pPr>
      <w:proofErr w:type="gramStart"/>
      <w:r>
        <w:rPr>
          <w:bCs/>
          <w:sz w:val="24"/>
        </w:rPr>
        <w:t>[</w:t>
      </w:r>
      <w:r w:rsidR="00C72508">
        <w:rPr>
          <w:bCs/>
          <w:sz w:val="24"/>
        </w:rPr>
        <w:t xml:space="preserve"> </w:t>
      </w:r>
      <w:r w:rsidR="006D5F47">
        <w:rPr>
          <w:bCs/>
          <w:sz w:val="24"/>
        </w:rPr>
        <w:t>]</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25BBA76" w14:textId="77777777">
      <w:pPr>
        <w:pStyle w:val="Header"/>
        <w:tabs>
          <w:tab w:val="clear" w:pos="4320"/>
          <w:tab w:val="clear" w:pos="8640"/>
        </w:tabs>
      </w:pPr>
    </w:p>
    <w:p w:rsidR="00CA2650" w:rsidRDefault="00441434" w14:paraId="540D29D7" w14:textId="77777777">
      <w:pPr>
        <w:rPr>
          <w:b/>
        </w:rPr>
      </w:pPr>
      <w:r>
        <w:rPr>
          <w:b/>
        </w:rPr>
        <w:t>C</w:t>
      </w:r>
      <w:r w:rsidR="009C13B9">
        <w:rPr>
          <w:b/>
        </w:rPr>
        <w:t>ERTIFICATION:</w:t>
      </w:r>
    </w:p>
    <w:p w:rsidR="00441434" w:rsidRDefault="00441434" w14:paraId="180B094E" w14:textId="77777777">
      <w:pPr>
        <w:rPr>
          <w:sz w:val="16"/>
          <w:szCs w:val="16"/>
        </w:rPr>
      </w:pPr>
    </w:p>
    <w:p w:rsidRPr="009C13B9" w:rsidR="008101A5" w:rsidP="008101A5" w:rsidRDefault="008101A5" w14:paraId="7A70B3E6" w14:textId="77777777">
      <w:r>
        <w:t xml:space="preserve">I certify the following to be true: </w:t>
      </w:r>
    </w:p>
    <w:p w:rsidR="008101A5" w:rsidP="008101A5" w:rsidRDefault="008101A5" w14:paraId="50B27218" w14:textId="77777777">
      <w:pPr>
        <w:pStyle w:val="ListParagraph"/>
        <w:numPr>
          <w:ilvl w:val="0"/>
          <w:numId w:val="14"/>
        </w:numPr>
      </w:pPr>
      <w:r>
        <w:t>The collection is voluntary.</w:t>
      </w:r>
      <w:r w:rsidRPr="00C14CC4">
        <w:t xml:space="preserve"> </w:t>
      </w:r>
    </w:p>
    <w:p w:rsidR="008101A5" w:rsidP="008101A5" w:rsidRDefault="008101A5" w14:paraId="68CFE02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09D725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DC326E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2B84C20"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34D4A2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722B4E6" w14:textId="77777777"/>
    <w:p w:rsidRPr="004B24CC" w:rsidR="00CE2E9C" w:rsidP="009C13B9" w:rsidRDefault="009C13B9" w14:paraId="6982C99F" w14:textId="77777777">
      <w:pPr>
        <w:rPr>
          <w:lang w:val="es-PR"/>
        </w:rPr>
      </w:pPr>
      <w:proofErr w:type="spellStart"/>
      <w:r w:rsidRPr="003B1B7F">
        <w:rPr>
          <w:lang w:val="es-PR"/>
        </w:rPr>
        <w:t>Name</w:t>
      </w:r>
      <w:proofErr w:type="spellEnd"/>
      <w:r w:rsidRPr="003B1B7F">
        <w:rPr>
          <w:lang w:val="es-PR"/>
        </w:rPr>
        <w:t>:</w:t>
      </w:r>
      <w:r w:rsidRPr="003B1B7F" w:rsidR="00CE2E9C">
        <w:rPr>
          <w:lang w:val="es-PR"/>
        </w:rPr>
        <w:t xml:space="preserve"> </w:t>
      </w:r>
      <w:r w:rsidR="003B1B7F">
        <w:rPr>
          <w:lang w:val="es-PR"/>
        </w:rPr>
        <w:t>Lanette Palmquist</w:t>
      </w:r>
    </w:p>
    <w:p w:rsidRPr="004B24CC" w:rsidR="009C13B9" w:rsidP="004B24CC" w:rsidRDefault="009C13B9" w14:paraId="597DD272" w14:textId="77777777">
      <w:pPr>
        <w:rPr>
          <w:lang w:val="es-PR"/>
        </w:rPr>
      </w:pPr>
    </w:p>
    <w:p w:rsidR="009C13B9" w:rsidP="009C13B9" w:rsidRDefault="009C13B9" w14:paraId="4AFF38A7" w14:textId="77777777">
      <w:r>
        <w:t>To assist review, please provide answers to the following question:</w:t>
      </w:r>
    </w:p>
    <w:p w:rsidR="009C13B9" w:rsidP="009C13B9" w:rsidRDefault="009C13B9" w14:paraId="3C2D4552" w14:textId="77777777">
      <w:pPr>
        <w:pStyle w:val="ListParagraph"/>
        <w:ind w:left="360"/>
      </w:pPr>
    </w:p>
    <w:p w:rsidRPr="00C86E91" w:rsidR="009C13B9" w:rsidP="00C86E91" w:rsidRDefault="00C86E91" w14:paraId="2FC92EC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414A03F"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390C5E">
        <w:t>X</w:t>
      </w:r>
      <w:r w:rsidR="009239AA">
        <w:t xml:space="preserve">]  No </w:t>
      </w:r>
    </w:p>
    <w:p w:rsidR="00C86E91" w:rsidP="00C86E91" w:rsidRDefault="009C13B9" w14:paraId="365478D0"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61AB9AED"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14:paraId="0F636E5C" w14:textId="77777777">
      <w:pPr>
        <w:pStyle w:val="ListParagraph"/>
        <w:ind w:left="360"/>
      </w:pPr>
    </w:p>
    <w:p w:rsidRPr="00C86E91" w:rsidR="00C86E91" w:rsidP="00C86E91" w:rsidRDefault="00CB1078" w14:paraId="748D875A" w14:textId="77777777">
      <w:pPr>
        <w:pStyle w:val="ListParagraph"/>
        <w:ind w:left="0"/>
        <w:rPr>
          <w:b/>
        </w:rPr>
      </w:pPr>
      <w:r>
        <w:rPr>
          <w:b/>
        </w:rPr>
        <w:t>Gifts or Payments</w:t>
      </w:r>
      <w:r w:rsidR="00C86E91">
        <w:rPr>
          <w:b/>
        </w:rPr>
        <w:t>:</w:t>
      </w:r>
    </w:p>
    <w:p w:rsidR="00C86E91" w:rsidP="00C86E91" w:rsidRDefault="00C86E91" w14:paraId="748E6FEB" w14:textId="77777777">
      <w:r>
        <w:t xml:space="preserve">Is an incentive (e.g., money or reimbursement of expenses, token of appreciation) provided to participants?  </w:t>
      </w:r>
      <w:proofErr w:type="gramStart"/>
      <w:r>
        <w:t>[</w:t>
      </w:r>
      <w:r w:rsidR="00C72508">
        <w:t xml:space="preserve"> </w:t>
      </w:r>
      <w:r>
        <w:t>]</w:t>
      </w:r>
      <w:proofErr w:type="gramEnd"/>
      <w:r>
        <w:t xml:space="preserve"> Yes [</w:t>
      </w:r>
      <w:r w:rsidR="00C72508">
        <w:t>X</w:t>
      </w:r>
      <w:r>
        <w:t xml:space="preserve"> ] No  </w:t>
      </w:r>
    </w:p>
    <w:p w:rsidR="00390C5E" w:rsidP="00C86E91" w:rsidRDefault="00390C5E" w14:paraId="17687DB0" w14:textId="77777777"/>
    <w:p w:rsidRPr="00BC676D" w:rsidR="005E714A" w:rsidP="00C86E91" w:rsidRDefault="003668D6" w14:paraId="1EAA9165"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10989BF9" w14:textId="77777777">
      <w:pPr>
        <w:keepNext/>
        <w:keepLines/>
        <w:rPr>
          <w:b/>
        </w:rPr>
      </w:pPr>
    </w:p>
    <w:tbl>
      <w:tblPr>
        <w:tblW w:w="1017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2340"/>
        <w:gridCol w:w="1620"/>
        <w:gridCol w:w="1980"/>
        <w:gridCol w:w="1440"/>
        <w:gridCol w:w="1080"/>
      </w:tblGrid>
      <w:tr w:rsidR="00CC2750" w:rsidTr="0070038E" w14:paraId="3D9EFD82" w14:textId="77777777">
        <w:trPr>
          <w:trHeight w:val="274"/>
        </w:trPr>
        <w:tc>
          <w:tcPr>
            <w:tcW w:w="1710" w:type="dxa"/>
          </w:tcPr>
          <w:p w:rsidRPr="002D26E2" w:rsidR="00CC2750" w:rsidP="00C8488C" w:rsidRDefault="00CC2750" w14:paraId="49A44F7C" w14:textId="77777777">
            <w:pPr>
              <w:rPr>
                <w:b/>
              </w:rPr>
            </w:pPr>
            <w:r w:rsidRPr="002D26E2">
              <w:rPr>
                <w:b/>
              </w:rPr>
              <w:t xml:space="preserve">Category of Respondent </w:t>
            </w:r>
          </w:p>
        </w:tc>
        <w:tc>
          <w:tcPr>
            <w:tcW w:w="2340" w:type="dxa"/>
          </w:tcPr>
          <w:p w:rsidRPr="002D26E2" w:rsidR="00CC2750" w:rsidP="00843796" w:rsidRDefault="00CC2750" w14:paraId="3F8A3272" w14:textId="77777777">
            <w:pPr>
              <w:rPr>
                <w:b/>
              </w:rPr>
            </w:pPr>
            <w:r>
              <w:rPr>
                <w:b/>
              </w:rPr>
              <w:t>Form Name</w:t>
            </w:r>
          </w:p>
        </w:tc>
        <w:tc>
          <w:tcPr>
            <w:tcW w:w="1620" w:type="dxa"/>
          </w:tcPr>
          <w:p w:rsidRPr="002D26E2" w:rsidR="00CC2750" w:rsidP="00843796" w:rsidRDefault="00CC2750" w14:paraId="33BE168F" w14:textId="77777777">
            <w:pPr>
              <w:rPr>
                <w:b/>
              </w:rPr>
            </w:pPr>
            <w:r w:rsidRPr="002D26E2">
              <w:rPr>
                <w:b/>
              </w:rPr>
              <w:t>No. of Respondents</w:t>
            </w:r>
            <w:r>
              <w:rPr>
                <w:rStyle w:val="FootnoteReference"/>
                <w:b/>
              </w:rPr>
              <w:footnoteReference w:id="3"/>
            </w:r>
          </w:p>
        </w:tc>
        <w:tc>
          <w:tcPr>
            <w:tcW w:w="1980" w:type="dxa"/>
          </w:tcPr>
          <w:p w:rsidRPr="002D26E2" w:rsidR="00CC2750" w:rsidP="00843796" w:rsidRDefault="00CC2750" w14:paraId="1E7428F1" w14:textId="77777777">
            <w:pPr>
              <w:rPr>
                <w:b/>
              </w:rPr>
            </w:pPr>
            <w:r>
              <w:rPr>
                <w:b/>
              </w:rPr>
              <w:t xml:space="preserve">No. of Responses per Respondent </w:t>
            </w:r>
          </w:p>
        </w:tc>
        <w:tc>
          <w:tcPr>
            <w:tcW w:w="1440" w:type="dxa"/>
          </w:tcPr>
          <w:p w:rsidR="00CC2750" w:rsidP="00843796" w:rsidRDefault="00CC2750" w14:paraId="695379D8" w14:textId="77777777">
            <w:pPr>
              <w:rPr>
                <w:b/>
              </w:rPr>
            </w:pPr>
            <w:r>
              <w:rPr>
                <w:b/>
              </w:rPr>
              <w:t xml:space="preserve">Time per </w:t>
            </w:r>
          </w:p>
          <w:p w:rsidR="00CC2750" w:rsidP="00843796" w:rsidRDefault="00CC2750" w14:paraId="42763A92" w14:textId="77777777">
            <w:pPr>
              <w:rPr>
                <w:b/>
              </w:rPr>
            </w:pPr>
            <w:r>
              <w:rPr>
                <w:b/>
              </w:rPr>
              <w:t xml:space="preserve">Response </w:t>
            </w:r>
          </w:p>
          <w:p w:rsidRPr="002D26E2" w:rsidR="00CC2750" w:rsidP="00843796" w:rsidRDefault="00CC2750" w14:paraId="4CB1CA7B" w14:textId="77777777">
            <w:pPr>
              <w:rPr>
                <w:b/>
              </w:rPr>
            </w:pPr>
            <w:r>
              <w:rPr>
                <w:b/>
              </w:rPr>
              <w:t xml:space="preserve">(in hours) </w:t>
            </w:r>
          </w:p>
        </w:tc>
        <w:tc>
          <w:tcPr>
            <w:tcW w:w="1080" w:type="dxa"/>
          </w:tcPr>
          <w:p w:rsidR="00CC2750" w:rsidP="00843796" w:rsidRDefault="00CC2750" w14:paraId="5BB1A98C" w14:textId="77777777">
            <w:pPr>
              <w:rPr>
                <w:b/>
              </w:rPr>
            </w:pPr>
            <w:r>
              <w:rPr>
                <w:b/>
              </w:rPr>
              <w:t xml:space="preserve">Total </w:t>
            </w:r>
            <w:r w:rsidRPr="002D26E2">
              <w:rPr>
                <w:b/>
              </w:rPr>
              <w:t>Burden</w:t>
            </w:r>
          </w:p>
          <w:p w:rsidRPr="002D26E2" w:rsidR="00CC2750" w:rsidP="00843796" w:rsidRDefault="00CC2750" w14:paraId="49C24A08" w14:textId="77777777">
            <w:pPr>
              <w:rPr>
                <w:b/>
              </w:rPr>
            </w:pPr>
            <w:r>
              <w:rPr>
                <w:b/>
              </w:rPr>
              <w:t xml:space="preserve">Hours </w:t>
            </w:r>
          </w:p>
        </w:tc>
      </w:tr>
      <w:tr w:rsidR="00CC2750" w:rsidTr="0070038E" w14:paraId="2D36C5ED" w14:textId="77777777">
        <w:trPr>
          <w:trHeight w:val="260"/>
        </w:trPr>
        <w:tc>
          <w:tcPr>
            <w:tcW w:w="1710" w:type="dxa"/>
          </w:tcPr>
          <w:p w:rsidRPr="00AE4F16" w:rsidR="00CC2750" w:rsidP="00843796" w:rsidRDefault="00CC2750" w14:paraId="17702D96" w14:textId="77777777">
            <w:r w:rsidRPr="00AE4F16">
              <w:t>Individuals or Households</w:t>
            </w:r>
          </w:p>
        </w:tc>
        <w:tc>
          <w:tcPr>
            <w:tcW w:w="2340" w:type="dxa"/>
          </w:tcPr>
          <w:p w:rsidRPr="00113AD9" w:rsidR="00CC2750" w:rsidP="00843796" w:rsidRDefault="003F2893" w14:paraId="4591804D" w14:textId="77777777">
            <w:r>
              <w:t>NDAFW Participant Survey</w:t>
            </w:r>
          </w:p>
        </w:tc>
        <w:tc>
          <w:tcPr>
            <w:tcW w:w="1620" w:type="dxa"/>
          </w:tcPr>
          <w:p w:rsidRPr="00113AD9" w:rsidR="00CC2750" w:rsidP="00843796" w:rsidRDefault="00CC2750" w14:paraId="79F3D546" w14:textId="77777777">
            <w:r w:rsidRPr="00113AD9">
              <w:t>176</w:t>
            </w:r>
          </w:p>
        </w:tc>
        <w:tc>
          <w:tcPr>
            <w:tcW w:w="1980" w:type="dxa"/>
          </w:tcPr>
          <w:p w:rsidRPr="00113AD9" w:rsidR="00CC2750" w:rsidP="00843796" w:rsidRDefault="00CC2750" w14:paraId="1A49CD54" w14:textId="77777777">
            <w:r w:rsidRPr="00113AD9">
              <w:t>1</w:t>
            </w:r>
          </w:p>
        </w:tc>
        <w:tc>
          <w:tcPr>
            <w:tcW w:w="1440" w:type="dxa"/>
          </w:tcPr>
          <w:p w:rsidRPr="00113AD9" w:rsidR="00CC2750" w:rsidP="00843796" w:rsidRDefault="00CC2750" w14:paraId="1C56BC66" w14:textId="77777777">
            <w:r w:rsidRPr="00113AD9">
              <w:t>10/60</w:t>
            </w:r>
          </w:p>
        </w:tc>
        <w:tc>
          <w:tcPr>
            <w:tcW w:w="1080" w:type="dxa"/>
          </w:tcPr>
          <w:p w:rsidRPr="00113AD9" w:rsidR="00CC2750" w:rsidP="00843796" w:rsidRDefault="00CC2750" w14:paraId="46866753" w14:textId="77777777">
            <w:r w:rsidRPr="00997D9F">
              <w:t>29</w:t>
            </w:r>
          </w:p>
        </w:tc>
      </w:tr>
      <w:tr w:rsidR="00CC2750" w:rsidTr="0070038E" w14:paraId="50647AC1" w14:textId="77777777">
        <w:trPr>
          <w:trHeight w:val="260"/>
        </w:trPr>
        <w:tc>
          <w:tcPr>
            <w:tcW w:w="1710" w:type="dxa"/>
          </w:tcPr>
          <w:p w:rsidRPr="00AE4F16" w:rsidR="00CC2750" w:rsidP="00843796" w:rsidRDefault="00CC2750" w14:paraId="2953E8B8" w14:textId="77777777">
            <w:r w:rsidRPr="00AE4F16">
              <w:t>Individuals or Households</w:t>
            </w:r>
          </w:p>
        </w:tc>
        <w:tc>
          <w:tcPr>
            <w:tcW w:w="2340" w:type="dxa"/>
          </w:tcPr>
          <w:p w:rsidRPr="00113AD9" w:rsidR="00CC2750" w:rsidP="00843796" w:rsidRDefault="003F2893" w14:paraId="1313A999" w14:textId="77777777">
            <w:r>
              <w:t>NDAFW Non-Participant Survey</w:t>
            </w:r>
          </w:p>
        </w:tc>
        <w:tc>
          <w:tcPr>
            <w:tcW w:w="1620" w:type="dxa"/>
          </w:tcPr>
          <w:p w:rsidRPr="00113AD9" w:rsidR="00CC2750" w:rsidP="00843796" w:rsidRDefault="00CC2750" w14:paraId="745E0262" w14:textId="77777777">
            <w:r w:rsidRPr="00113AD9">
              <w:t>652</w:t>
            </w:r>
          </w:p>
        </w:tc>
        <w:tc>
          <w:tcPr>
            <w:tcW w:w="1980" w:type="dxa"/>
          </w:tcPr>
          <w:p w:rsidRPr="00113AD9" w:rsidR="00CC2750" w:rsidP="00843796" w:rsidRDefault="00CC2750" w14:paraId="558E6575" w14:textId="77777777">
            <w:r w:rsidRPr="00113AD9">
              <w:t>1</w:t>
            </w:r>
          </w:p>
        </w:tc>
        <w:tc>
          <w:tcPr>
            <w:tcW w:w="1440" w:type="dxa"/>
          </w:tcPr>
          <w:p w:rsidRPr="00113AD9" w:rsidR="00CC2750" w:rsidP="00843796" w:rsidRDefault="00CC2750" w14:paraId="52D71D15" w14:textId="77777777">
            <w:r w:rsidRPr="00113AD9">
              <w:t>10/60</w:t>
            </w:r>
          </w:p>
        </w:tc>
        <w:tc>
          <w:tcPr>
            <w:tcW w:w="1080" w:type="dxa"/>
          </w:tcPr>
          <w:p w:rsidRPr="00113AD9" w:rsidR="00CC2750" w:rsidP="00843796" w:rsidRDefault="00CC2750" w14:paraId="218397D5" w14:textId="77777777">
            <w:r w:rsidRPr="00113AD9">
              <w:t>10</w:t>
            </w:r>
            <w:r w:rsidR="008146BA">
              <w:t>9</w:t>
            </w:r>
          </w:p>
        </w:tc>
      </w:tr>
      <w:tr w:rsidR="00CC2750" w:rsidTr="0070038E" w14:paraId="7904DC72" w14:textId="77777777">
        <w:trPr>
          <w:trHeight w:val="289"/>
        </w:trPr>
        <w:tc>
          <w:tcPr>
            <w:tcW w:w="1710" w:type="dxa"/>
          </w:tcPr>
          <w:p w:rsidRPr="002D26E2" w:rsidR="00CC2750" w:rsidP="00843796" w:rsidRDefault="00CC2750" w14:paraId="39C616AE" w14:textId="77777777">
            <w:pPr>
              <w:rPr>
                <w:b/>
              </w:rPr>
            </w:pPr>
            <w:r w:rsidRPr="002D26E2">
              <w:rPr>
                <w:b/>
              </w:rPr>
              <w:t>Totals</w:t>
            </w:r>
          </w:p>
        </w:tc>
        <w:tc>
          <w:tcPr>
            <w:tcW w:w="2340" w:type="dxa"/>
          </w:tcPr>
          <w:p w:rsidRPr="0015139F" w:rsidR="00CC2750" w:rsidP="00843796" w:rsidRDefault="00CC2750" w14:paraId="7F60DF82" w14:textId="77777777">
            <w:pPr>
              <w:rPr>
                <w:b/>
              </w:rPr>
            </w:pPr>
          </w:p>
        </w:tc>
        <w:tc>
          <w:tcPr>
            <w:tcW w:w="1620" w:type="dxa"/>
          </w:tcPr>
          <w:p w:rsidRPr="0015139F" w:rsidR="00CC2750" w:rsidP="00843796" w:rsidRDefault="00CC2750" w14:paraId="426B7750" w14:textId="1C5723F0">
            <w:pPr>
              <w:rPr>
                <w:b/>
              </w:rPr>
            </w:pPr>
          </w:p>
        </w:tc>
        <w:tc>
          <w:tcPr>
            <w:tcW w:w="1980" w:type="dxa"/>
          </w:tcPr>
          <w:p w:rsidRPr="00D445D0" w:rsidR="00CC2750" w:rsidP="00843796" w:rsidRDefault="00D445D0" w14:paraId="2FCCFFEC" w14:textId="1D8F4502">
            <w:pPr>
              <w:rPr>
                <w:b/>
                <w:bCs/>
              </w:rPr>
            </w:pPr>
            <w:r w:rsidRPr="00D445D0">
              <w:rPr>
                <w:b/>
                <w:bCs/>
              </w:rPr>
              <w:t>828</w:t>
            </w:r>
          </w:p>
        </w:tc>
        <w:tc>
          <w:tcPr>
            <w:tcW w:w="1440" w:type="dxa"/>
          </w:tcPr>
          <w:p w:rsidRPr="0015139F" w:rsidR="00CC2750" w:rsidP="00843796" w:rsidRDefault="00CC2750" w14:paraId="6682BBA0" w14:textId="77777777"/>
        </w:tc>
        <w:tc>
          <w:tcPr>
            <w:tcW w:w="1080" w:type="dxa"/>
          </w:tcPr>
          <w:p w:rsidRPr="0015139F" w:rsidR="00CC2750" w:rsidP="00843796" w:rsidRDefault="00CC2750" w14:paraId="4064E07C" w14:textId="77777777">
            <w:pPr>
              <w:rPr>
                <w:b/>
              </w:rPr>
            </w:pPr>
            <w:r w:rsidRPr="0015139F">
              <w:rPr>
                <w:b/>
              </w:rPr>
              <w:t>138</w:t>
            </w:r>
          </w:p>
        </w:tc>
      </w:tr>
    </w:tbl>
    <w:p w:rsidR="00F3170F" w:rsidP="00F3170F" w:rsidRDefault="00F3170F" w14:paraId="4A89F4BA" w14:textId="77777777"/>
    <w:p w:rsidR="009A036B" w:rsidP="009A036B" w:rsidRDefault="001933A7" w14:paraId="297E7264" w14:textId="77777777">
      <w:pPr>
        <w:rPr>
          <w:b/>
        </w:rPr>
      </w:pPr>
      <w:r>
        <w:rPr>
          <w:b/>
        </w:rPr>
        <w:t>COST TO RESPONDENT</w:t>
      </w:r>
    </w:p>
    <w:p w:rsidRPr="009A036B" w:rsidR="001933A7" w:rsidP="009A036B" w:rsidRDefault="001933A7" w14:paraId="72F7329A"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43D6B5C2" w14:textId="77777777">
        <w:trPr>
          <w:trHeight w:val="274"/>
        </w:trPr>
        <w:tc>
          <w:tcPr>
            <w:tcW w:w="2790" w:type="dxa"/>
          </w:tcPr>
          <w:p w:rsidRPr="009A036B" w:rsidR="00CA2010" w:rsidP="00CA2010" w:rsidRDefault="00CA2010" w14:paraId="105D3AB4" w14:textId="77777777">
            <w:pPr>
              <w:rPr>
                <w:b/>
              </w:rPr>
            </w:pPr>
            <w:r w:rsidRPr="009A036B">
              <w:rPr>
                <w:b/>
              </w:rPr>
              <w:t xml:space="preserve"> </w:t>
            </w:r>
            <w:r w:rsidRPr="00CA2010">
              <w:rPr>
                <w:b/>
              </w:rPr>
              <w:t>Category of Respondent</w:t>
            </w:r>
          </w:p>
          <w:p w:rsidRPr="009A036B" w:rsidR="00CA2010" w:rsidP="00CA2010" w:rsidRDefault="00CA2010" w14:paraId="63A1CF80" w14:textId="77777777">
            <w:pPr>
              <w:rPr>
                <w:b/>
              </w:rPr>
            </w:pPr>
          </w:p>
        </w:tc>
        <w:tc>
          <w:tcPr>
            <w:tcW w:w="2250" w:type="dxa"/>
          </w:tcPr>
          <w:p w:rsidRPr="00CA2010" w:rsidR="00CA2010" w:rsidP="00CA2010" w:rsidRDefault="00CA2010" w14:paraId="51A23F9C" w14:textId="77777777">
            <w:pPr>
              <w:rPr>
                <w:b/>
              </w:rPr>
            </w:pPr>
            <w:r w:rsidRPr="00CA2010">
              <w:rPr>
                <w:b/>
              </w:rPr>
              <w:t>Total Burden</w:t>
            </w:r>
          </w:p>
          <w:p w:rsidRPr="009A036B" w:rsidR="00CA2010" w:rsidP="00CA2010" w:rsidRDefault="00CA2010" w14:paraId="586F22E8" w14:textId="77777777">
            <w:pPr>
              <w:rPr>
                <w:b/>
              </w:rPr>
            </w:pPr>
            <w:r w:rsidRPr="00CA2010">
              <w:rPr>
                <w:b/>
              </w:rPr>
              <w:t>Hours</w:t>
            </w:r>
          </w:p>
        </w:tc>
        <w:tc>
          <w:tcPr>
            <w:tcW w:w="2520" w:type="dxa"/>
          </w:tcPr>
          <w:p w:rsidRPr="009A036B" w:rsidR="00CA2010" w:rsidP="009A036B" w:rsidRDefault="00F94D8C" w14:paraId="3A9AF2F3" w14:textId="77777777">
            <w:pPr>
              <w:rPr>
                <w:b/>
              </w:rPr>
            </w:pPr>
            <w:r>
              <w:rPr>
                <w:b/>
              </w:rPr>
              <w:t xml:space="preserve">Hourly </w:t>
            </w:r>
            <w:r w:rsidR="00CA2010">
              <w:rPr>
                <w:b/>
              </w:rPr>
              <w:t>Wage Rate*</w:t>
            </w:r>
          </w:p>
        </w:tc>
        <w:tc>
          <w:tcPr>
            <w:tcW w:w="1620" w:type="dxa"/>
          </w:tcPr>
          <w:p w:rsidRPr="009A036B" w:rsidR="00CA2010" w:rsidP="009A036B" w:rsidRDefault="00CA2010" w14:paraId="656737DB" w14:textId="77777777">
            <w:pPr>
              <w:rPr>
                <w:b/>
              </w:rPr>
            </w:pPr>
            <w:r>
              <w:rPr>
                <w:b/>
              </w:rPr>
              <w:t>Total Burden Cost</w:t>
            </w:r>
            <w:r w:rsidRPr="009A036B">
              <w:rPr>
                <w:b/>
              </w:rPr>
              <w:t xml:space="preserve"> </w:t>
            </w:r>
          </w:p>
        </w:tc>
      </w:tr>
      <w:tr w:rsidRPr="009A036B" w:rsidR="00CA2010" w:rsidTr="00CA2010" w14:paraId="467E7D41" w14:textId="77777777">
        <w:trPr>
          <w:trHeight w:val="260"/>
        </w:trPr>
        <w:tc>
          <w:tcPr>
            <w:tcW w:w="2790" w:type="dxa"/>
          </w:tcPr>
          <w:p w:rsidRPr="0015139F" w:rsidR="00CA2010" w:rsidP="009A036B" w:rsidRDefault="00635581" w14:paraId="1F07AE38" w14:textId="77777777">
            <w:r w:rsidRPr="0015139F">
              <w:t>Individuals or Households</w:t>
            </w:r>
          </w:p>
        </w:tc>
        <w:tc>
          <w:tcPr>
            <w:tcW w:w="2250" w:type="dxa"/>
          </w:tcPr>
          <w:p w:rsidRPr="0015139F" w:rsidR="00CA2010" w:rsidP="009A036B" w:rsidRDefault="00D445D0" w14:paraId="04B34C8D" w14:textId="64E79866">
            <w:r>
              <w:t>138</w:t>
            </w:r>
          </w:p>
        </w:tc>
        <w:tc>
          <w:tcPr>
            <w:tcW w:w="2520" w:type="dxa"/>
          </w:tcPr>
          <w:p w:rsidRPr="0015139F" w:rsidR="00CA2010" w:rsidP="009A036B" w:rsidRDefault="007A3479" w14:paraId="6D8C6528" w14:textId="77777777">
            <w:r w:rsidRPr="0015139F">
              <w:t>$24.98</w:t>
            </w:r>
          </w:p>
        </w:tc>
        <w:tc>
          <w:tcPr>
            <w:tcW w:w="1620" w:type="dxa"/>
          </w:tcPr>
          <w:p w:rsidRPr="0015139F" w:rsidR="00CA2010" w:rsidP="009A036B" w:rsidRDefault="007A3479" w14:paraId="3E11A89E" w14:textId="7366FDBE">
            <w:r w:rsidRPr="0015139F">
              <w:t>$</w:t>
            </w:r>
            <w:r w:rsidR="00D445D0">
              <w:t>3,447.24</w:t>
            </w:r>
          </w:p>
        </w:tc>
      </w:tr>
      <w:tr w:rsidRPr="009A036B" w:rsidR="00FE18D8" w:rsidTr="00CA2010" w14:paraId="213FCDB7" w14:textId="77777777">
        <w:trPr>
          <w:trHeight w:val="289"/>
        </w:trPr>
        <w:tc>
          <w:tcPr>
            <w:tcW w:w="2790" w:type="dxa"/>
          </w:tcPr>
          <w:p w:rsidRPr="0015139F" w:rsidR="00FE18D8" w:rsidP="00FE18D8" w:rsidRDefault="00FE18D8" w14:paraId="0919C057" w14:textId="77777777">
            <w:pPr>
              <w:rPr>
                <w:b/>
              </w:rPr>
            </w:pPr>
            <w:r w:rsidRPr="0015139F">
              <w:rPr>
                <w:b/>
              </w:rPr>
              <w:t>Totals</w:t>
            </w:r>
          </w:p>
        </w:tc>
        <w:tc>
          <w:tcPr>
            <w:tcW w:w="2250" w:type="dxa"/>
          </w:tcPr>
          <w:p w:rsidRPr="0015139F" w:rsidR="00FE18D8" w:rsidP="00FE18D8" w:rsidRDefault="00FE18D8" w14:paraId="3BF47A62" w14:textId="51214B4C">
            <w:pPr>
              <w:rPr>
                <w:b/>
              </w:rPr>
            </w:pPr>
          </w:p>
        </w:tc>
        <w:tc>
          <w:tcPr>
            <w:tcW w:w="2520" w:type="dxa"/>
          </w:tcPr>
          <w:p w:rsidRPr="0015139F" w:rsidR="00FE18D8" w:rsidP="00FE18D8" w:rsidRDefault="00FE18D8" w14:paraId="2D07E4F5" w14:textId="77777777"/>
        </w:tc>
        <w:tc>
          <w:tcPr>
            <w:tcW w:w="1620" w:type="dxa"/>
          </w:tcPr>
          <w:p w:rsidRPr="0015139F" w:rsidR="00FE18D8" w:rsidP="00FE18D8" w:rsidRDefault="00FE18D8" w14:paraId="22E75F4D" w14:textId="77777777">
            <w:r w:rsidRPr="0015139F">
              <w:t>$</w:t>
            </w:r>
            <w:r w:rsidRPr="0015139F" w:rsidR="0015139F">
              <w:t>3,447.24</w:t>
            </w:r>
          </w:p>
        </w:tc>
      </w:tr>
    </w:tbl>
    <w:p w:rsidR="009A036B" w:rsidP="00F3170F" w:rsidRDefault="00635581" w14:paraId="27C3968F" w14:textId="77777777">
      <w:r>
        <w:t xml:space="preserve">March 2020 National Occupational Employment and Wage Estimates, United States. Bureau of Labor Statistics. United States Department of Labor. Retrieved at </w:t>
      </w:r>
      <w:hyperlink w:history="1" r:id="rId10">
        <w:r w:rsidRPr="00EE5ED4">
          <w:rPr>
            <w:rStyle w:val="Hyperlink"/>
          </w:rPr>
          <w:t>https://www.bls.gov/oes/current/oes_nat.htm#0</w:t>
        </w:r>
        <w:r w:rsidRPr="00EE5ED4">
          <w:rPr>
            <w:rStyle w:val="Hyperlink"/>
          </w:rPr>
          <w:t>0</w:t>
        </w:r>
        <w:r w:rsidRPr="00EE5ED4">
          <w:rPr>
            <w:rStyle w:val="Hyperlink"/>
          </w:rPr>
          <w:t>-0000</w:t>
        </w:r>
      </w:hyperlink>
      <w:r>
        <w:t xml:space="preserve">. </w:t>
      </w:r>
    </w:p>
    <w:p w:rsidR="00441434" w:rsidP="00F3170F" w:rsidRDefault="00441434" w14:paraId="1573C4D1" w14:textId="77777777"/>
    <w:p w:rsidR="001933A7" w:rsidRDefault="001933A7" w14:paraId="155249BD" w14:textId="77777777">
      <w:pPr>
        <w:rPr>
          <w:b/>
        </w:rPr>
      </w:pPr>
    </w:p>
    <w:p w:rsidRPr="00962AB3" w:rsidR="005E714A" w:rsidRDefault="001C39F7" w14:paraId="10E399E6" w14:textId="77777777">
      <w:r w:rsidRPr="00962AB3">
        <w:rPr>
          <w:b/>
        </w:rPr>
        <w:t xml:space="preserve">FEDERAL </w:t>
      </w:r>
      <w:r w:rsidRPr="00962AB3" w:rsidR="009F5923">
        <w:rPr>
          <w:b/>
        </w:rPr>
        <w:t>COST</w:t>
      </w:r>
      <w:r w:rsidRPr="00962AB3" w:rsidR="00F06866">
        <w:rPr>
          <w:b/>
        </w:rPr>
        <w:t>:</w:t>
      </w:r>
      <w:r w:rsidRPr="00962AB3" w:rsidR="00895229">
        <w:rPr>
          <w:b/>
        </w:rPr>
        <w:t xml:space="preserve"> </w:t>
      </w:r>
      <w:r w:rsidRPr="00962AB3" w:rsidR="00C86E91">
        <w:rPr>
          <w:b/>
        </w:rPr>
        <w:t xml:space="preserve"> </w:t>
      </w:r>
      <w:r w:rsidRPr="00962AB3" w:rsidR="00C86E91">
        <w:t xml:space="preserve">The estimated annual cost to the Federal government </w:t>
      </w:r>
      <w:r w:rsidRPr="00962AB3" w:rsidR="00BF6223">
        <w:t xml:space="preserve">is </w:t>
      </w:r>
      <w:r w:rsidRPr="001933A7" w:rsidR="004B24CC">
        <w:rPr>
          <w:u w:val="single"/>
        </w:rPr>
        <w:t>$</w:t>
      </w:r>
      <w:r w:rsidRPr="001933A7" w:rsidR="00962AB3">
        <w:rPr>
          <w:u w:val="single"/>
        </w:rPr>
        <w:t>5,037</w:t>
      </w:r>
    </w:p>
    <w:p w:rsidRPr="00962AB3" w:rsidR="009A036B" w:rsidP="009A036B" w:rsidRDefault="009A036B" w14:paraId="0693D5EA" w14:textId="77777777">
      <w:r w:rsidRPr="00962AB3">
        <w:rPr>
          <w:b/>
        </w:rPr>
        <w:t xml:space="preserve">                         </w:t>
      </w:r>
    </w:p>
    <w:p w:rsidRPr="00962AB3" w:rsidR="009A036B" w:rsidP="009A036B" w:rsidRDefault="009A036B" w14:paraId="70821ED0" w14:textId="77777777"/>
    <w:tbl>
      <w:tblPr>
        <w:tblW w:w="9522" w:type="dxa"/>
        <w:tblCellMar>
          <w:left w:w="0" w:type="dxa"/>
          <w:right w:w="0" w:type="dxa"/>
        </w:tblCellMar>
        <w:tblLook w:val="04A0" w:firstRow="1" w:lastRow="0" w:firstColumn="1" w:lastColumn="0" w:noHBand="0" w:noVBand="1"/>
      </w:tblPr>
      <w:tblGrid>
        <w:gridCol w:w="2733"/>
        <w:gridCol w:w="1431"/>
        <w:gridCol w:w="1296"/>
        <w:gridCol w:w="1363"/>
        <w:gridCol w:w="1356"/>
        <w:gridCol w:w="1343"/>
      </w:tblGrid>
      <w:tr w:rsidRPr="00962AB3" w:rsidR="009A036B" w:rsidTr="0054689E" w14:paraId="0E69D38F"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62AB3" w:rsidR="009A036B" w:rsidP="009A036B" w:rsidRDefault="009A036B" w14:paraId="4AE5033A" w14:textId="77777777">
            <w:pPr>
              <w:rPr>
                <w:b/>
                <w:bCs/>
              </w:rPr>
            </w:pPr>
            <w:r w:rsidRPr="00962AB3">
              <w:rPr>
                <w:i/>
              </w:rPr>
              <w:t xml:space="preserve"> </w:t>
            </w:r>
            <w:r w:rsidRPr="00962AB3">
              <w:rPr>
                <w:b/>
                <w:bCs/>
              </w:rPr>
              <w:t>Staff</w:t>
            </w:r>
          </w:p>
        </w:tc>
        <w:tc>
          <w:tcPr>
            <w:tcW w:w="1431" w:type="dxa"/>
            <w:tcBorders>
              <w:top w:val="single" w:color="auto" w:sz="8" w:space="0"/>
              <w:left w:val="nil"/>
              <w:bottom w:val="single" w:color="auto" w:sz="8" w:space="0"/>
              <w:right w:val="single" w:color="auto" w:sz="8" w:space="0"/>
            </w:tcBorders>
            <w:shd w:val="clear" w:color="auto" w:fill="auto"/>
            <w:vAlign w:val="bottom"/>
          </w:tcPr>
          <w:p w:rsidRPr="00962AB3" w:rsidR="009A036B" w:rsidP="009A036B" w:rsidRDefault="009A036B" w14:paraId="4EB9B70A" w14:textId="77777777">
            <w:pPr>
              <w:rPr>
                <w:b/>
                <w:bCs/>
              </w:rPr>
            </w:pPr>
          </w:p>
          <w:p w:rsidRPr="00962AB3" w:rsidR="009A036B" w:rsidP="009A036B" w:rsidRDefault="009A036B" w14:paraId="45AFD4D9" w14:textId="77777777">
            <w:pPr>
              <w:rPr>
                <w:b/>
                <w:bCs/>
              </w:rPr>
            </w:pPr>
            <w:r w:rsidRPr="00962AB3">
              <w:rPr>
                <w:b/>
                <w:bCs/>
              </w:rPr>
              <w:t>Grade/Step</w:t>
            </w:r>
          </w:p>
        </w:tc>
        <w:tc>
          <w:tcPr>
            <w:tcW w:w="12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62AB3" w:rsidR="009A036B" w:rsidP="009A036B" w:rsidRDefault="009A036B" w14:paraId="058556FC" w14:textId="77777777">
            <w:pPr>
              <w:rPr>
                <w:b/>
                <w:bCs/>
              </w:rPr>
            </w:pPr>
            <w:r w:rsidRPr="00962AB3">
              <w:rPr>
                <w:b/>
                <w:bCs/>
              </w:rPr>
              <w:t>Salary</w:t>
            </w:r>
            <w:r w:rsidRPr="00962AB3"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62AB3" w:rsidR="009A036B" w:rsidP="009A036B" w:rsidRDefault="009A036B" w14:paraId="6766C654" w14:textId="77777777">
            <w:pPr>
              <w:rPr>
                <w:b/>
                <w:bCs/>
              </w:rPr>
            </w:pPr>
            <w:r w:rsidRPr="00962AB3">
              <w:rPr>
                <w:b/>
                <w:bCs/>
              </w:rPr>
              <w:t>% of Effort</w:t>
            </w:r>
          </w:p>
        </w:tc>
        <w:tc>
          <w:tcPr>
            <w:tcW w:w="1356" w:type="dxa"/>
            <w:tcBorders>
              <w:top w:val="single" w:color="auto" w:sz="8" w:space="0"/>
              <w:left w:val="nil"/>
              <w:bottom w:val="single" w:color="auto" w:sz="8" w:space="0"/>
              <w:right w:val="single" w:color="auto" w:sz="8" w:space="0"/>
            </w:tcBorders>
            <w:shd w:val="clear" w:color="auto" w:fill="auto"/>
          </w:tcPr>
          <w:p w:rsidRPr="00962AB3" w:rsidR="009A036B" w:rsidP="009A036B" w:rsidRDefault="009A036B" w14:paraId="6CD37AFA" w14:textId="77777777">
            <w:pPr>
              <w:rPr>
                <w:b/>
                <w:bCs/>
              </w:rPr>
            </w:pPr>
            <w:r w:rsidRPr="00962AB3">
              <w:rPr>
                <w:b/>
                <w:bCs/>
              </w:rPr>
              <w:t>Fringe (if applicable)</w:t>
            </w:r>
          </w:p>
        </w:tc>
        <w:tc>
          <w:tcPr>
            <w:tcW w:w="1343" w:type="dxa"/>
            <w:tcBorders>
              <w:top w:val="single" w:color="auto" w:sz="8" w:space="0"/>
              <w:left w:val="nil"/>
              <w:bottom w:val="single" w:color="auto" w:sz="8" w:space="0"/>
              <w:right w:val="single" w:color="auto" w:sz="8" w:space="0"/>
            </w:tcBorders>
            <w:shd w:val="clear" w:color="auto" w:fill="auto"/>
          </w:tcPr>
          <w:p w:rsidRPr="00962AB3" w:rsidR="009A036B" w:rsidP="009A036B" w:rsidRDefault="009A036B" w14:paraId="0821A955" w14:textId="77777777">
            <w:pPr>
              <w:rPr>
                <w:b/>
                <w:bCs/>
              </w:rPr>
            </w:pPr>
            <w:r w:rsidRPr="00962AB3">
              <w:rPr>
                <w:b/>
                <w:bCs/>
              </w:rPr>
              <w:t>Total Cost to Gov’t</w:t>
            </w:r>
          </w:p>
        </w:tc>
      </w:tr>
      <w:tr w:rsidRPr="00962AB3" w:rsidR="009A036B" w:rsidTr="0054689E" w14:paraId="687D8CB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9A036B" w14:paraId="0CE5D8D6" w14:textId="77777777">
            <w:pPr>
              <w:rPr>
                <w:b/>
              </w:rPr>
            </w:pPr>
            <w:r w:rsidRPr="00962AB3">
              <w:rPr>
                <w:b/>
              </w:rPr>
              <w:t>Federal Oversight</w:t>
            </w:r>
          </w:p>
        </w:tc>
        <w:tc>
          <w:tcPr>
            <w:tcW w:w="1431" w:type="dxa"/>
            <w:tcBorders>
              <w:top w:val="nil"/>
              <w:left w:val="nil"/>
              <w:bottom w:val="single" w:color="auto" w:sz="8" w:space="0"/>
              <w:right w:val="single" w:color="auto" w:sz="8" w:space="0"/>
            </w:tcBorders>
          </w:tcPr>
          <w:p w:rsidRPr="00962AB3" w:rsidR="009A036B" w:rsidP="009A036B" w:rsidRDefault="009A036B" w14:paraId="68BC52F2" w14:textId="77777777"/>
        </w:tc>
        <w:tc>
          <w:tcPr>
            <w:tcW w:w="1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9A036B" w14:paraId="1BC6F98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9A036B" w14:paraId="3B5EEA23" w14:textId="77777777"/>
        </w:tc>
        <w:tc>
          <w:tcPr>
            <w:tcW w:w="1356" w:type="dxa"/>
            <w:tcBorders>
              <w:top w:val="nil"/>
              <w:left w:val="nil"/>
              <w:bottom w:val="single" w:color="auto" w:sz="8" w:space="0"/>
              <w:right w:val="single" w:color="auto" w:sz="8" w:space="0"/>
            </w:tcBorders>
            <w:shd w:val="clear" w:color="auto" w:fill="BFBFBF"/>
          </w:tcPr>
          <w:p w:rsidRPr="00962AB3" w:rsidR="009A036B" w:rsidP="009A036B" w:rsidRDefault="009A036B" w14:paraId="4349087F" w14:textId="77777777"/>
        </w:tc>
        <w:tc>
          <w:tcPr>
            <w:tcW w:w="1343" w:type="dxa"/>
            <w:tcBorders>
              <w:top w:val="nil"/>
              <w:left w:val="nil"/>
              <w:bottom w:val="single" w:color="auto" w:sz="8" w:space="0"/>
              <w:right w:val="single" w:color="auto" w:sz="8" w:space="0"/>
            </w:tcBorders>
          </w:tcPr>
          <w:p w:rsidRPr="00962AB3" w:rsidR="009A036B" w:rsidP="009A036B" w:rsidRDefault="009A036B" w14:paraId="63D7CA6C" w14:textId="77777777"/>
        </w:tc>
      </w:tr>
      <w:tr w:rsidRPr="00962AB3" w:rsidR="009A036B" w:rsidTr="0054689E" w14:paraId="5B431D7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337D26" w14:paraId="338C2F82" w14:textId="77777777">
            <w:r>
              <w:t xml:space="preserve">Technical information specialist </w:t>
            </w:r>
          </w:p>
        </w:tc>
        <w:tc>
          <w:tcPr>
            <w:tcW w:w="1431" w:type="dxa"/>
            <w:tcBorders>
              <w:top w:val="nil"/>
              <w:left w:val="nil"/>
              <w:bottom w:val="single" w:color="auto" w:sz="8" w:space="0"/>
              <w:right w:val="single" w:color="auto" w:sz="8" w:space="0"/>
            </w:tcBorders>
          </w:tcPr>
          <w:p w:rsidRPr="00962AB3" w:rsidR="009A036B" w:rsidP="009A036B" w:rsidRDefault="003F2893" w14:paraId="24075EB4" w14:textId="77777777">
            <w:r w:rsidRPr="00962AB3">
              <w:t>14/</w:t>
            </w:r>
            <w:r w:rsidR="00962AB3">
              <w:t>9</w:t>
            </w:r>
          </w:p>
        </w:tc>
        <w:tc>
          <w:tcPr>
            <w:tcW w:w="1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962AB3" w14:paraId="49C8D603" w14:textId="77777777">
            <w:r w:rsidRPr="00962AB3">
              <w:t>$153,665</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3F2893" w14:paraId="38C71AE4" w14:textId="77777777">
            <w:r w:rsidRPr="00962AB3">
              <w:t>1%</w:t>
            </w:r>
          </w:p>
        </w:tc>
        <w:tc>
          <w:tcPr>
            <w:tcW w:w="1356" w:type="dxa"/>
            <w:tcBorders>
              <w:top w:val="nil"/>
              <w:left w:val="nil"/>
              <w:bottom w:val="single" w:color="auto" w:sz="8" w:space="0"/>
              <w:right w:val="single" w:color="auto" w:sz="8" w:space="0"/>
            </w:tcBorders>
            <w:shd w:val="clear" w:color="auto" w:fill="BFBFBF"/>
          </w:tcPr>
          <w:p w:rsidRPr="00962AB3" w:rsidR="009A036B" w:rsidP="009A036B" w:rsidRDefault="009A036B" w14:paraId="495F6296" w14:textId="77777777"/>
        </w:tc>
        <w:tc>
          <w:tcPr>
            <w:tcW w:w="1343" w:type="dxa"/>
            <w:tcBorders>
              <w:top w:val="nil"/>
              <w:left w:val="nil"/>
              <w:bottom w:val="single" w:color="auto" w:sz="8" w:space="0"/>
              <w:right w:val="single" w:color="auto" w:sz="8" w:space="0"/>
            </w:tcBorders>
          </w:tcPr>
          <w:p w:rsidRPr="00962AB3" w:rsidR="009A036B" w:rsidP="009A036B" w:rsidRDefault="004B24CC" w14:paraId="6B55F273" w14:textId="77777777">
            <w:r w:rsidRPr="00962AB3">
              <w:t>$</w:t>
            </w:r>
            <w:r w:rsidRPr="00962AB3" w:rsidR="00962AB3">
              <w:t>1</w:t>
            </w:r>
            <w:r w:rsidR="00962AB3">
              <w:t>,537</w:t>
            </w:r>
          </w:p>
        </w:tc>
      </w:tr>
      <w:tr w:rsidRPr="00962AB3" w:rsidR="009A036B" w:rsidTr="0054689E" w14:paraId="4DC75ED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9A036B" w14:paraId="38CD2EAD" w14:textId="77777777">
            <w:pPr>
              <w:rPr>
                <w:b/>
              </w:rPr>
            </w:pPr>
            <w:r w:rsidRPr="00962AB3">
              <w:rPr>
                <w:b/>
              </w:rPr>
              <w:t>Contractor Cost</w:t>
            </w:r>
          </w:p>
        </w:tc>
        <w:tc>
          <w:tcPr>
            <w:tcW w:w="1431" w:type="dxa"/>
            <w:tcBorders>
              <w:top w:val="nil"/>
              <w:left w:val="nil"/>
              <w:bottom w:val="single" w:color="auto" w:sz="8" w:space="0"/>
              <w:right w:val="single" w:color="auto" w:sz="8" w:space="0"/>
            </w:tcBorders>
            <w:shd w:val="clear" w:color="auto" w:fill="BFBFBF"/>
          </w:tcPr>
          <w:p w:rsidRPr="00962AB3" w:rsidR="009A036B" w:rsidP="009A036B" w:rsidRDefault="009A036B" w14:paraId="32846649" w14:textId="77777777"/>
        </w:tc>
        <w:tc>
          <w:tcPr>
            <w:tcW w:w="12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9A036B" w14:paraId="1C54C44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9A036B" w14:paraId="7AFAB5C0" w14:textId="77777777"/>
        </w:tc>
        <w:tc>
          <w:tcPr>
            <w:tcW w:w="1356" w:type="dxa"/>
            <w:tcBorders>
              <w:top w:val="nil"/>
              <w:left w:val="nil"/>
              <w:bottom w:val="single" w:color="auto" w:sz="8" w:space="0"/>
              <w:right w:val="single" w:color="auto" w:sz="8" w:space="0"/>
            </w:tcBorders>
            <w:shd w:val="clear" w:color="auto" w:fill="BFBFBF"/>
          </w:tcPr>
          <w:p w:rsidRPr="00962AB3" w:rsidR="009A036B" w:rsidP="009A036B" w:rsidRDefault="009A036B" w14:paraId="7F1B7E68" w14:textId="77777777"/>
        </w:tc>
        <w:tc>
          <w:tcPr>
            <w:tcW w:w="1343" w:type="dxa"/>
            <w:tcBorders>
              <w:top w:val="nil"/>
              <w:left w:val="nil"/>
              <w:bottom w:val="single" w:color="auto" w:sz="8" w:space="0"/>
              <w:right w:val="single" w:color="auto" w:sz="8" w:space="0"/>
            </w:tcBorders>
          </w:tcPr>
          <w:p w:rsidRPr="00962AB3" w:rsidR="009A036B" w:rsidP="009A036B" w:rsidRDefault="009A036B" w14:paraId="5CCD5F21" w14:textId="77777777"/>
        </w:tc>
      </w:tr>
      <w:tr w:rsidRPr="00962AB3" w:rsidR="009A036B" w:rsidTr="0054689E" w14:paraId="605B559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3F2893" w14:paraId="748F1102" w14:textId="77777777">
            <w:r w:rsidRPr="00962AB3">
              <w:t>Labor, senior analyst</w:t>
            </w:r>
            <w:r w:rsidRPr="00962AB3" w:rsidR="007A3479">
              <w:t xml:space="preserve"> </w:t>
            </w:r>
          </w:p>
        </w:tc>
        <w:tc>
          <w:tcPr>
            <w:tcW w:w="1431" w:type="dxa"/>
            <w:tcBorders>
              <w:top w:val="nil"/>
              <w:left w:val="nil"/>
              <w:bottom w:val="single" w:color="auto" w:sz="8" w:space="0"/>
              <w:right w:val="single" w:color="auto" w:sz="8" w:space="0"/>
            </w:tcBorders>
            <w:shd w:val="clear" w:color="auto" w:fill="BFBFBF"/>
          </w:tcPr>
          <w:p w:rsidRPr="00962AB3" w:rsidR="009A036B" w:rsidP="009A036B" w:rsidRDefault="009A036B" w14:paraId="2F8C79EE"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9A036B" w:rsidP="009A036B" w:rsidRDefault="009A036B" w14:paraId="3B2E713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9A036B" w:rsidP="009A036B" w:rsidRDefault="009A036B" w14:paraId="7FB9DE9C" w14:textId="77777777"/>
        </w:tc>
        <w:tc>
          <w:tcPr>
            <w:tcW w:w="1356" w:type="dxa"/>
            <w:tcBorders>
              <w:top w:val="nil"/>
              <w:left w:val="nil"/>
              <w:bottom w:val="single" w:color="auto" w:sz="8" w:space="0"/>
              <w:right w:val="single" w:color="auto" w:sz="8" w:space="0"/>
            </w:tcBorders>
            <w:shd w:val="clear" w:color="auto" w:fill="BFBFBF"/>
          </w:tcPr>
          <w:p w:rsidRPr="00962AB3" w:rsidR="009A036B" w:rsidP="009A036B" w:rsidRDefault="009A036B" w14:paraId="189DF724" w14:textId="77777777"/>
        </w:tc>
        <w:tc>
          <w:tcPr>
            <w:tcW w:w="1343" w:type="dxa"/>
            <w:tcBorders>
              <w:top w:val="nil"/>
              <w:left w:val="nil"/>
              <w:bottom w:val="single" w:color="auto" w:sz="8" w:space="0"/>
              <w:right w:val="single" w:color="auto" w:sz="8" w:space="0"/>
            </w:tcBorders>
          </w:tcPr>
          <w:p w:rsidRPr="00962AB3" w:rsidR="009A036B" w:rsidP="009A036B" w:rsidRDefault="007A3479" w14:paraId="7F1EEC47" w14:textId="77777777">
            <w:r w:rsidRPr="00962AB3">
              <w:t>$</w:t>
            </w:r>
            <w:r w:rsidRPr="00962AB3" w:rsidR="003F2893">
              <w:t>3</w:t>
            </w:r>
            <w:r w:rsidRPr="00962AB3" w:rsidR="00962AB3">
              <w:t>,</w:t>
            </w:r>
            <w:r w:rsidRPr="00962AB3" w:rsidR="003F2893">
              <w:t>500</w:t>
            </w:r>
          </w:p>
        </w:tc>
      </w:tr>
      <w:tr w:rsidRPr="00962AB3" w:rsidR="0054689E" w:rsidTr="0054689E" w14:paraId="090BDA0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62AB3" w:rsidR="0054689E" w:rsidP="009A036B" w:rsidRDefault="0054689E" w14:paraId="2AEEFD49" w14:textId="77777777"/>
        </w:tc>
        <w:tc>
          <w:tcPr>
            <w:tcW w:w="1431" w:type="dxa"/>
            <w:tcBorders>
              <w:top w:val="nil"/>
              <w:left w:val="nil"/>
              <w:bottom w:val="single" w:color="auto" w:sz="8" w:space="0"/>
              <w:right w:val="single" w:color="auto" w:sz="8" w:space="0"/>
            </w:tcBorders>
            <w:shd w:val="clear" w:color="auto" w:fill="BFBFBF"/>
          </w:tcPr>
          <w:p w:rsidRPr="00962AB3" w:rsidR="0054689E" w:rsidP="009A036B" w:rsidRDefault="0054689E" w14:paraId="2D77B04A"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54689E" w:rsidP="009A036B" w:rsidRDefault="0054689E" w14:paraId="63B2C76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54689E" w:rsidP="009A036B" w:rsidRDefault="0054689E" w14:paraId="5C985697" w14:textId="77777777"/>
        </w:tc>
        <w:tc>
          <w:tcPr>
            <w:tcW w:w="1356" w:type="dxa"/>
            <w:tcBorders>
              <w:top w:val="nil"/>
              <w:left w:val="nil"/>
              <w:bottom w:val="single" w:color="auto" w:sz="8" w:space="0"/>
              <w:right w:val="single" w:color="auto" w:sz="8" w:space="0"/>
            </w:tcBorders>
            <w:shd w:val="clear" w:color="auto" w:fill="BFBFBF"/>
          </w:tcPr>
          <w:p w:rsidRPr="00962AB3" w:rsidR="0054689E" w:rsidP="009A036B" w:rsidRDefault="0054689E" w14:paraId="5B3EC415" w14:textId="77777777"/>
        </w:tc>
        <w:tc>
          <w:tcPr>
            <w:tcW w:w="1343" w:type="dxa"/>
            <w:tcBorders>
              <w:top w:val="nil"/>
              <w:left w:val="nil"/>
              <w:bottom w:val="single" w:color="auto" w:sz="8" w:space="0"/>
              <w:right w:val="single" w:color="auto" w:sz="8" w:space="0"/>
            </w:tcBorders>
          </w:tcPr>
          <w:p w:rsidRPr="00962AB3" w:rsidR="0054689E" w:rsidP="009A036B" w:rsidRDefault="0054689E" w14:paraId="11F542AE" w14:textId="77777777"/>
        </w:tc>
      </w:tr>
      <w:tr w:rsidRPr="00962AB3" w:rsidR="007A3479" w:rsidTr="0054689E" w14:paraId="5B0F9BD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62AB3" w:rsidR="007A3479" w:rsidP="009A036B" w:rsidRDefault="007A3479" w14:paraId="26B785E6" w14:textId="77777777"/>
        </w:tc>
        <w:tc>
          <w:tcPr>
            <w:tcW w:w="1431" w:type="dxa"/>
            <w:tcBorders>
              <w:top w:val="nil"/>
              <w:left w:val="nil"/>
              <w:bottom w:val="single" w:color="auto" w:sz="8" w:space="0"/>
              <w:right w:val="single" w:color="auto" w:sz="8" w:space="0"/>
            </w:tcBorders>
            <w:shd w:val="clear" w:color="auto" w:fill="BFBFBF"/>
          </w:tcPr>
          <w:p w:rsidRPr="00962AB3" w:rsidR="007A3479" w:rsidP="009A036B" w:rsidRDefault="007A3479" w14:paraId="6998961A"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7A3479" w:rsidP="009A036B" w:rsidRDefault="007A3479" w14:paraId="1DC3639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7A3479" w:rsidP="009A036B" w:rsidRDefault="007A3479" w14:paraId="6BCFC91A" w14:textId="77777777"/>
        </w:tc>
        <w:tc>
          <w:tcPr>
            <w:tcW w:w="1356" w:type="dxa"/>
            <w:tcBorders>
              <w:top w:val="nil"/>
              <w:left w:val="nil"/>
              <w:bottom w:val="single" w:color="auto" w:sz="8" w:space="0"/>
              <w:right w:val="single" w:color="auto" w:sz="8" w:space="0"/>
            </w:tcBorders>
            <w:shd w:val="clear" w:color="auto" w:fill="BFBFBF"/>
          </w:tcPr>
          <w:p w:rsidRPr="00962AB3" w:rsidR="007A3479" w:rsidP="009A036B" w:rsidRDefault="007A3479" w14:paraId="1D62EE52" w14:textId="77777777"/>
        </w:tc>
        <w:tc>
          <w:tcPr>
            <w:tcW w:w="1343" w:type="dxa"/>
            <w:tcBorders>
              <w:top w:val="nil"/>
              <w:left w:val="nil"/>
              <w:bottom w:val="single" w:color="auto" w:sz="8" w:space="0"/>
              <w:right w:val="single" w:color="auto" w:sz="8" w:space="0"/>
            </w:tcBorders>
          </w:tcPr>
          <w:p w:rsidRPr="00962AB3" w:rsidR="007A3479" w:rsidP="009A036B" w:rsidRDefault="007A3479" w14:paraId="775D8DA3" w14:textId="77777777"/>
        </w:tc>
      </w:tr>
      <w:tr w:rsidRPr="00962AB3" w:rsidR="007A3479" w:rsidTr="0054689E" w14:paraId="16370A5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62AB3" w:rsidR="007A3479" w:rsidP="009A036B" w:rsidRDefault="007A3479" w14:paraId="00DADAEF" w14:textId="77777777"/>
        </w:tc>
        <w:tc>
          <w:tcPr>
            <w:tcW w:w="1431" w:type="dxa"/>
            <w:tcBorders>
              <w:top w:val="nil"/>
              <w:left w:val="nil"/>
              <w:bottom w:val="single" w:color="auto" w:sz="8" w:space="0"/>
              <w:right w:val="single" w:color="auto" w:sz="8" w:space="0"/>
            </w:tcBorders>
            <w:shd w:val="clear" w:color="auto" w:fill="BFBFBF"/>
          </w:tcPr>
          <w:p w:rsidRPr="00962AB3" w:rsidR="007A3479" w:rsidP="009A036B" w:rsidRDefault="007A3479" w14:paraId="670DA30B"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7A3479" w:rsidP="009A036B" w:rsidRDefault="007A3479" w14:paraId="1134BAE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7A3479" w:rsidP="009A036B" w:rsidRDefault="007A3479" w14:paraId="2EF245E5" w14:textId="77777777"/>
        </w:tc>
        <w:tc>
          <w:tcPr>
            <w:tcW w:w="1356" w:type="dxa"/>
            <w:tcBorders>
              <w:top w:val="nil"/>
              <w:left w:val="nil"/>
              <w:bottom w:val="single" w:color="auto" w:sz="8" w:space="0"/>
              <w:right w:val="single" w:color="auto" w:sz="8" w:space="0"/>
            </w:tcBorders>
            <w:shd w:val="clear" w:color="auto" w:fill="BFBFBF"/>
          </w:tcPr>
          <w:p w:rsidRPr="00962AB3" w:rsidR="007A3479" w:rsidP="009A036B" w:rsidRDefault="007A3479" w14:paraId="1F703B35" w14:textId="77777777"/>
        </w:tc>
        <w:tc>
          <w:tcPr>
            <w:tcW w:w="1343" w:type="dxa"/>
            <w:tcBorders>
              <w:top w:val="nil"/>
              <w:left w:val="nil"/>
              <w:bottom w:val="single" w:color="auto" w:sz="8" w:space="0"/>
              <w:right w:val="single" w:color="auto" w:sz="8" w:space="0"/>
            </w:tcBorders>
          </w:tcPr>
          <w:p w:rsidRPr="00962AB3" w:rsidR="007A3479" w:rsidP="009A036B" w:rsidRDefault="007A3479" w14:paraId="2F9C3201" w14:textId="77777777"/>
        </w:tc>
      </w:tr>
      <w:tr w:rsidRPr="00962AB3" w:rsidR="009A036B" w:rsidTr="0054689E" w14:paraId="06C2EB8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9A036B" w14:paraId="58953586" w14:textId="77777777"/>
        </w:tc>
        <w:tc>
          <w:tcPr>
            <w:tcW w:w="1431" w:type="dxa"/>
            <w:tcBorders>
              <w:top w:val="nil"/>
              <w:left w:val="nil"/>
              <w:bottom w:val="single" w:color="auto" w:sz="8" w:space="0"/>
              <w:right w:val="single" w:color="auto" w:sz="8" w:space="0"/>
            </w:tcBorders>
            <w:shd w:val="clear" w:color="auto" w:fill="BFBFBF"/>
          </w:tcPr>
          <w:p w:rsidRPr="00962AB3" w:rsidR="009A036B" w:rsidP="009A036B" w:rsidRDefault="009A036B" w14:paraId="6F33482B"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9A036B" w:rsidP="009A036B" w:rsidRDefault="009A036B" w14:paraId="1D648871"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9A036B" w:rsidP="009A036B" w:rsidRDefault="009A036B" w14:paraId="34D32367" w14:textId="77777777"/>
        </w:tc>
        <w:tc>
          <w:tcPr>
            <w:tcW w:w="1356" w:type="dxa"/>
            <w:tcBorders>
              <w:top w:val="nil"/>
              <w:left w:val="nil"/>
              <w:bottom w:val="single" w:color="auto" w:sz="8" w:space="0"/>
              <w:right w:val="single" w:color="auto" w:sz="8" w:space="0"/>
            </w:tcBorders>
            <w:shd w:val="clear" w:color="auto" w:fill="BFBFBF"/>
          </w:tcPr>
          <w:p w:rsidRPr="00962AB3" w:rsidR="009A036B" w:rsidP="009A036B" w:rsidRDefault="009A036B" w14:paraId="230203C8" w14:textId="77777777"/>
        </w:tc>
        <w:tc>
          <w:tcPr>
            <w:tcW w:w="1343" w:type="dxa"/>
            <w:tcBorders>
              <w:top w:val="nil"/>
              <w:left w:val="nil"/>
              <w:bottom w:val="single" w:color="auto" w:sz="8" w:space="0"/>
              <w:right w:val="single" w:color="auto" w:sz="8" w:space="0"/>
            </w:tcBorders>
          </w:tcPr>
          <w:p w:rsidRPr="00962AB3" w:rsidR="009A036B" w:rsidP="009A036B" w:rsidRDefault="009A036B" w14:paraId="1F57CF93" w14:textId="77777777"/>
        </w:tc>
      </w:tr>
      <w:tr w:rsidRPr="00962AB3" w:rsidR="009A036B" w:rsidTr="0054689E" w14:paraId="5BBEB1C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62AB3" w:rsidR="009A036B" w:rsidP="009A036B" w:rsidRDefault="009A036B" w14:paraId="7ED3866A" w14:textId="77777777">
            <w:r w:rsidRPr="00962AB3">
              <w:t>Other Cost</w:t>
            </w:r>
          </w:p>
        </w:tc>
        <w:tc>
          <w:tcPr>
            <w:tcW w:w="1431" w:type="dxa"/>
            <w:tcBorders>
              <w:top w:val="nil"/>
              <w:left w:val="nil"/>
              <w:bottom w:val="single" w:color="auto" w:sz="8" w:space="0"/>
              <w:right w:val="single" w:color="auto" w:sz="8" w:space="0"/>
            </w:tcBorders>
            <w:shd w:val="clear" w:color="auto" w:fill="BFBFBF"/>
          </w:tcPr>
          <w:p w:rsidRPr="00962AB3" w:rsidR="009A036B" w:rsidP="009A036B" w:rsidRDefault="009A036B" w14:paraId="13D89CED"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9A036B" w:rsidP="009A036B" w:rsidRDefault="009A036B" w14:paraId="7808F2DB"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9A036B" w:rsidP="009A036B" w:rsidRDefault="009A036B" w14:paraId="0A59B5B2" w14:textId="77777777"/>
        </w:tc>
        <w:tc>
          <w:tcPr>
            <w:tcW w:w="1356" w:type="dxa"/>
            <w:tcBorders>
              <w:top w:val="nil"/>
              <w:left w:val="nil"/>
              <w:bottom w:val="single" w:color="auto" w:sz="8" w:space="0"/>
              <w:right w:val="single" w:color="auto" w:sz="8" w:space="0"/>
            </w:tcBorders>
            <w:shd w:val="clear" w:color="auto" w:fill="BFBFBF"/>
          </w:tcPr>
          <w:p w:rsidRPr="00962AB3" w:rsidR="009A036B" w:rsidP="009A036B" w:rsidRDefault="009A036B" w14:paraId="2E9C2423" w14:textId="77777777"/>
        </w:tc>
        <w:tc>
          <w:tcPr>
            <w:tcW w:w="1343" w:type="dxa"/>
            <w:tcBorders>
              <w:top w:val="nil"/>
              <w:left w:val="nil"/>
              <w:bottom w:val="single" w:color="auto" w:sz="8" w:space="0"/>
              <w:right w:val="single" w:color="auto" w:sz="8" w:space="0"/>
            </w:tcBorders>
          </w:tcPr>
          <w:p w:rsidRPr="00962AB3" w:rsidR="009A036B" w:rsidP="009A036B" w:rsidRDefault="003F2893" w14:paraId="37232E94" w14:textId="77777777">
            <w:r w:rsidRPr="00962AB3">
              <w:t>N/A</w:t>
            </w:r>
          </w:p>
        </w:tc>
      </w:tr>
      <w:tr w:rsidRPr="00962AB3" w:rsidR="009A036B" w:rsidTr="0054689E" w14:paraId="09EBD65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62AB3" w:rsidR="009A036B" w:rsidP="009A036B" w:rsidRDefault="009A036B" w14:paraId="3DB6896A" w14:textId="77777777">
            <w:pPr>
              <w:rPr>
                <w:bCs/>
              </w:rPr>
            </w:pPr>
          </w:p>
        </w:tc>
        <w:tc>
          <w:tcPr>
            <w:tcW w:w="1431" w:type="dxa"/>
            <w:tcBorders>
              <w:top w:val="nil"/>
              <w:left w:val="nil"/>
              <w:bottom w:val="single" w:color="auto" w:sz="8" w:space="0"/>
              <w:right w:val="single" w:color="auto" w:sz="8" w:space="0"/>
            </w:tcBorders>
            <w:shd w:val="clear" w:color="auto" w:fill="BFBFBF"/>
          </w:tcPr>
          <w:p w:rsidRPr="00962AB3" w:rsidR="009A036B" w:rsidP="009A036B" w:rsidRDefault="009A036B" w14:paraId="1EC27FDA" w14:textId="77777777"/>
        </w:tc>
        <w:tc>
          <w:tcPr>
            <w:tcW w:w="1296"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62AB3" w:rsidR="009A036B" w:rsidP="009A036B" w:rsidRDefault="009A036B" w14:paraId="26AF8798"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62AB3" w:rsidR="009A036B" w:rsidP="009A036B" w:rsidRDefault="009A036B" w14:paraId="36F18AF1" w14:textId="77777777">
            <w:pPr>
              <w:rPr>
                <w:b/>
              </w:rPr>
            </w:pPr>
          </w:p>
        </w:tc>
        <w:tc>
          <w:tcPr>
            <w:tcW w:w="1356" w:type="dxa"/>
            <w:tcBorders>
              <w:top w:val="nil"/>
              <w:left w:val="nil"/>
              <w:bottom w:val="single" w:color="auto" w:sz="8" w:space="0"/>
              <w:right w:val="single" w:color="auto" w:sz="8" w:space="0"/>
            </w:tcBorders>
            <w:shd w:val="clear" w:color="auto" w:fill="BFBFBF"/>
          </w:tcPr>
          <w:p w:rsidRPr="00962AB3" w:rsidR="009A036B" w:rsidP="009A036B" w:rsidRDefault="009A036B" w14:paraId="6B6C0648" w14:textId="77777777">
            <w:pPr>
              <w:rPr>
                <w:b/>
              </w:rPr>
            </w:pPr>
          </w:p>
        </w:tc>
        <w:tc>
          <w:tcPr>
            <w:tcW w:w="1343" w:type="dxa"/>
            <w:tcBorders>
              <w:top w:val="nil"/>
              <w:left w:val="nil"/>
              <w:bottom w:val="single" w:color="auto" w:sz="8" w:space="0"/>
              <w:right w:val="single" w:color="auto" w:sz="8" w:space="0"/>
            </w:tcBorders>
          </w:tcPr>
          <w:p w:rsidRPr="00962AB3" w:rsidR="009A036B" w:rsidP="009A036B" w:rsidRDefault="009A036B" w14:paraId="2A39E3FB" w14:textId="77777777">
            <w:pPr>
              <w:rPr>
                <w:b/>
              </w:rPr>
            </w:pPr>
          </w:p>
        </w:tc>
      </w:tr>
      <w:tr w:rsidRPr="00962AB3" w:rsidR="009A036B" w:rsidTr="0054689E" w14:paraId="4A651A3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62AB3" w:rsidR="009A036B" w:rsidP="009A036B" w:rsidRDefault="004B1EB8" w14:paraId="378AD6B8" w14:textId="77777777">
            <w:pPr>
              <w:rPr>
                <w:b/>
              </w:rPr>
            </w:pPr>
            <w:r w:rsidRPr="00962AB3">
              <w:rPr>
                <w:b/>
              </w:rPr>
              <w:t>Total</w:t>
            </w:r>
          </w:p>
        </w:tc>
        <w:tc>
          <w:tcPr>
            <w:tcW w:w="1431" w:type="dxa"/>
            <w:tcBorders>
              <w:top w:val="nil"/>
              <w:left w:val="nil"/>
              <w:bottom w:val="single" w:color="auto" w:sz="8" w:space="0"/>
              <w:right w:val="single" w:color="auto" w:sz="8" w:space="0"/>
            </w:tcBorders>
            <w:shd w:val="clear" w:color="auto" w:fill="A6A6A6"/>
          </w:tcPr>
          <w:p w:rsidRPr="00962AB3" w:rsidR="009A036B" w:rsidP="009A036B" w:rsidRDefault="009A036B" w14:paraId="645C2822" w14:textId="77777777"/>
        </w:tc>
        <w:tc>
          <w:tcPr>
            <w:tcW w:w="1296"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62AB3" w:rsidR="009A036B" w:rsidP="009A036B" w:rsidRDefault="009A036B" w14:paraId="3E7C91A5"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62AB3" w:rsidR="009A036B" w:rsidP="009A036B" w:rsidRDefault="009A036B" w14:paraId="4BEC32FE" w14:textId="77777777"/>
        </w:tc>
        <w:tc>
          <w:tcPr>
            <w:tcW w:w="1356" w:type="dxa"/>
            <w:tcBorders>
              <w:top w:val="nil"/>
              <w:left w:val="nil"/>
              <w:bottom w:val="single" w:color="auto" w:sz="8" w:space="0"/>
              <w:right w:val="single" w:color="auto" w:sz="8" w:space="0"/>
            </w:tcBorders>
            <w:shd w:val="clear" w:color="auto" w:fill="A6A6A6"/>
          </w:tcPr>
          <w:p w:rsidRPr="00962AB3" w:rsidR="009A036B" w:rsidP="009A036B" w:rsidRDefault="009A036B" w14:paraId="3F6D2220" w14:textId="77777777"/>
        </w:tc>
        <w:tc>
          <w:tcPr>
            <w:tcW w:w="1343" w:type="dxa"/>
            <w:tcBorders>
              <w:top w:val="nil"/>
              <w:left w:val="nil"/>
              <w:bottom w:val="single" w:color="auto" w:sz="8" w:space="0"/>
              <w:right w:val="single" w:color="auto" w:sz="8" w:space="0"/>
            </w:tcBorders>
            <w:shd w:val="clear" w:color="auto" w:fill="auto"/>
          </w:tcPr>
          <w:p w:rsidRPr="00962AB3" w:rsidR="009A036B" w:rsidP="009A036B" w:rsidRDefault="004B24CC" w14:paraId="58C2F606" w14:textId="77777777">
            <w:r w:rsidRPr="00962AB3">
              <w:t>$</w:t>
            </w:r>
            <w:r w:rsidR="00962AB3">
              <w:t>5,037</w:t>
            </w:r>
          </w:p>
        </w:tc>
      </w:tr>
    </w:tbl>
    <w:p w:rsidRPr="009A036B" w:rsidR="009A036B" w:rsidP="009A036B" w:rsidRDefault="002D74B4" w14:paraId="23AADE16" w14:textId="77777777">
      <w:bookmarkStart w:name="_Hlk31117769" w:id="1"/>
      <w:r w:rsidRPr="00962AB3">
        <w:t>*</w:t>
      </w:r>
      <w:r w:rsidRPr="00962AB3">
        <w:rPr>
          <w:sz w:val="18"/>
          <w:szCs w:val="18"/>
        </w:rPr>
        <w:t>the</w:t>
      </w:r>
      <w:r w:rsidRPr="00962AB3">
        <w:t xml:space="preserve"> </w:t>
      </w:r>
      <w:r w:rsidRPr="00962AB3">
        <w:rPr>
          <w:sz w:val="18"/>
          <w:szCs w:val="18"/>
        </w:rPr>
        <w:t>Salary in table above is cited from https://www.opm.gov/policy-data-oversight/pay-leave/s</w:t>
      </w:r>
      <w:r w:rsidRPr="00962AB3">
        <w:rPr>
          <w:sz w:val="18"/>
          <w:szCs w:val="18"/>
        </w:rPr>
        <w:t>a</w:t>
      </w:r>
      <w:r w:rsidRPr="00962AB3">
        <w:rPr>
          <w:sz w:val="18"/>
          <w:szCs w:val="18"/>
        </w:rPr>
        <w:t>laries-wages/salary-tables/pdf/20</w:t>
      </w:r>
      <w:r w:rsidRPr="00962AB3" w:rsidR="00410967">
        <w:rPr>
          <w:sz w:val="18"/>
          <w:szCs w:val="18"/>
        </w:rPr>
        <w:t>20</w:t>
      </w:r>
      <w:r w:rsidRPr="00962AB3">
        <w:rPr>
          <w:sz w:val="18"/>
          <w:szCs w:val="18"/>
        </w:rPr>
        <w:t>/DCB.pdf</w:t>
      </w:r>
      <w:r>
        <w:t xml:space="preserve">  </w:t>
      </w:r>
      <w:r>
        <w:rPr>
          <w:sz w:val="18"/>
          <w:szCs w:val="18"/>
        </w:rPr>
        <w:t xml:space="preserve">    </w:t>
      </w:r>
    </w:p>
    <w:bookmarkEnd w:id="1"/>
    <w:p w:rsidR="009A036B" w:rsidRDefault="009A036B" w14:paraId="6D16B760" w14:textId="77777777">
      <w:pPr>
        <w:rPr>
          <w:b/>
        </w:rPr>
      </w:pPr>
    </w:p>
    <w:p w:rsidR="00ED6492" w:rsidRDefault="00ED6492" w14:paraId="1B85BF5C" w14:textId="77777777">
      <w:pPr>
        <w:rPr>
          <w:b/>
          <w:bCs/>
          <w:u w:val="single"/>
        </w:rPr>
      </w:pPr>
    </w:p>
    <w:p w:rsidR="0069403B" w:rsidP="00F06866" w:rsidRDefault="00ED6492" w14:paraId="750AEC08" w14:textId="77777777">
      <w:pPr>
        <w:rPr>
          <w:b/>
        </w:rPr>
      </w:pPr>
      <w:r>
        <w:rPr>
          <w:b/>
          <w:bCs/>
          <w:u w:val="single"/>
        </w:rPr>
        <w:t xml:space="preserve">If you are conducting a focus group, survey, or plan to employ statistical methods, </w:t>
      </w:r>
      <w:r w:rsidR="00382237">
        <w:rPr>
          <w:b/>
          <w:bCs/>
          <w:u w:val="single"/>
        </w:rPr>
        <w:t>please provide</w:t>
      </w:r>
      <w:r w:rsidR="0069403B">
        <w:rPr>
          <w:b/>
          <w:bCs/>
          <w:u w:val="single"/>
        </w:rPr>
        <w:t xml:space="preserve"> answers to the following questions:</w:t>
      </w:r>
    </w:p>
    <w:p w:rsidR="0069403B" w:rsidP="00F06866" w:rsidRDefault="0069403B" w14:paraId="3F0DF747" w14:textId="77777777">
      <w:pPr>
        <w:rPr>
          <w:b/>
        </w:rPr>
      </w:pPr>
    </w:p>
    <w:p w:rsidR="00F06866" w:rsidP="00F06866" w:rsidRDefault="00636621" w14:paraId="15D428C0" w14:textId="77777777">
      <w:pPr>
        <w:rPr>
          <w:b/>
        </w:rPr>
      </w:pPr>
      <w:r>
        <w:rPr>
          <w:b/>
        </w:rPr>
        <w:t>The</w:t>
      </w:r>
      <w:r w:rsidR="0069403B">
        <w:rPr>
          <w:b/>
        </w:rPr>
        <w:t xml:space="preserve"> select</w:t>
      </w:r>
      <w:r>
        <w:rPr>
          <w:b/>
        </w:rPr>
        <w:t>ion of your targeted respondents</w:t>
      </w:r>
    </w:p>
    <w:p w:rsidR="0069403B" w:rsidP="0069403B" w:rsidRDefault="0069403B" w14:paraId="072C0BF2"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w:t>
      </w:r>
      <w:r w:rsidR="00C35604">
        <w:t xml:space="preserve"> </w:t>
      </w:r>
      <w:r>
        <w:t>]</w:t>
      </w:r>
      <w:proofErr w:type="gramEnd"/>
      <w:r>
        <w:t xml:space="preserve"> Yes</w:t>
      </w:r>
      <w:r>
        <w:tab/>
        <w:t>[</w:t>
      </w:r>
      <w:r w:rsidR="00C35604">
        <w:t>X</w:t>
      </w:r>
      <w:r>
        <w:t>] No</w:t>
      </w:r>
    </w:p>
    <w:p w:rsidR="00636621" w:rsidP="00636621" w:rsidRDefault="00636621" w14:paraId="3FD2ED40" w14:textId="77777777">
      <w:pPr>
        <w:pStyle w:val="ListParagraph"/>
      </w:pPr>
    </w:p>
    <w:p w:rsidR="00636621" w:rsidP="001B0AAA" w:rsidRDefault="00636621" w14:paraId="19E47BC8"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20449" w:rsidP="001B0AAA" w:rsidRDefault="00E20449" w14:paraId="6D6D5EBA" w14:textId="77777777"/>
    <w:p w:rsidR="00AE4F16" w:rsidP="001B0AAA" w:rsidRDefault="00AE4F16" w14:paraId="17D7F2D2" w14:textId="77777777">
      <w:r w:rsidRPr="00C35604">
        <w:lastRenderedPageBreak/>
        <w:t xml:space="preserve">For the participant survey, </w:t>
      </w:r>
      <w:r w:rsidRPr="00C35604" w:rsidR="00C35604">
        <w:t xml:space="preserve">potential </w:t>
      </w:r>
      <w:r w:rsidRPr="00C35604">
        <w:t xml:space="preserve">respondents will include all unique individuals registered to participate in </w:t>
      </w:r>
      <w:r w:rsidRPr="00C35604" w:rsidR="00EA01E7">
        <w:t>NDAFW</w:t>
      </w:r>
      <w:r w:rsidRPr="00C35604" w:rsidR="00F364DE">
        <w:t>. For the non-participant survey</w:t>
      </w:r>
      <w:r w:rsidRPr="00C35604" w:rsidR="00C35604">
        <w:t>, potential respondents will include all 5-starred contacts in the NDAFW MailChimp account who were not registered for NDAFW.</w:t>
      </w:r>
      <w:r w:rsidR="00C35604">
        <w:t xml:space="preserve"> </w:t>
      </w:r>
    </w:p>
    <w:p w:rsidR="0030662E" w:rsidP="00E20449" w:rsidRDefault="0030662E" w14:paraId="528B0F78" w14:textId="77777777"/>
    <w:p w:rsidR="00A403BB" w:rsidP="00A403BB" w:rsidRDefault="00A403BB" w14:paraId="3BDD5CBD" w14:textId="77777777">
      <w:pPr>
        <w:rPr>
          <w:b/>
        </w:rPr>
      </w:pPr>
      <w:r>
        <w:rPr>
          <w:b/>
        </w:rPr>
        <w:t>Administration of the Instrument</w:t>
      </w:r>
    </w:p>
    <w:p w:rsidR="00A403BB" w:rsidP="00A403BB" w:rsidRDefault="001B0AAA" w14:paraId="363B98F3" w14:textId="77777777">
      <w:pPr>
        <w:pStyle w:val="ListParagraph"/>
        <w:numPr>
          <w:ilvl w:val="0"/>
          <w:numId w:val="17"/>
        </w:numPr>
      </w:pPr>
      <w:r>
        <w:t>H</w:t>
      </w:r>
      <w:r w:rsidR="00A403BB">
        <w:t>ow will you collect the information? (Check all that apply)</w:t>
      </w:r>
    </w:p>
    <w:p w:rsidR="001B0AAA" w:rsidP="001B0AAA" w:rsidRDefault="00A403BB" w14:paraId="27677766" w14:textId="77777777">
      <w:pPr>
        <w:ind w:left="720"/>
      </w:pPr>
      <w:r w:rsidRPr="00E20449">
        <w:t>[</w:t>
      </w:r>
      <w:proofErr w:type="gramStart"/>
      <w:r w:rsidRPr="00E20449" w:rsidR="002A4E19">
        <w:t>X</w:t>
      </w:r>
      <w:r w:rsidRPr="00E20449">
        <w:t xml:space="preserve"> ]</w:t>
      </w:r>
      <w:proofErr w:type="gramEnd"/>
      <w:r w:rsidRPr="00E20449">
        <w:t xml:space="preserve"> Web-based</w:t>
      </w:r>
      <w:r w:rsidRPr="00E20449" w:rsidR="001B0AAA">
        <w:t xml:space="preserve"> or other forms of Social Media</w:t>
      </w:r>
      <w:r w:rsidRPr="00E20449" w:rsidR="002A4E19">
        <w:t xml:space="preserve">: </w:t>
      </w:r>
      <w:r w:rsidRPr="00E20449" w:rsidR="00E20449">
        <w:t>via Qualtrics</w:t>
      </w:r>
      <w:r w:rsidRPr="00E20449" w:rsidR="002A4E19">
        <w:t>.</w:t>
      </w:r>
      <w:r w:rsidR="002A4E19">
        <w:t xml:space="preserve"> </w:t>
      </w:r>
    </w:p>
    <w:p w:rsidR="001B0AAA" w:rsidP="001B0AAA" w:rsidRDefault="00A403BB" w14:paraId="475C44B8" w14:textId="77777777">
      <w:pPr>
        <w:ind w:left="720"/>
      </w:pPr>
      <w:proofErr w:type="gramStart"/>
      <w:r>
        <w:t>[ ]</w:t>
      </w:r>
      <w:proofErr w:type="gramEnd"/>
      <w:r>
        <w:t xml:space="preserve"> Telephone</w:t>
      </w:r>
      <w:r w:rsidR="002A4E19">
        <w:t xml:space="preserve">. </w:t>
      </w:r>
    </w:p>
    <w:p w:rsidR="001B0AAA" w:rsidP="001B0AAA" w:rsidRDefault="00A403BB" w14:paraId="39C51751"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591C5B69"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2FEBB4F2"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00896DAD" w14:textId="77777777">
      <w:pPr>
        <w:pStyle w:val="ListParagraph"/>
        <w:numPr>
          <w:ilvl w:val="0"/>
          <w:numId w:val="17"/>
        </w:numPr>
      </w:pPr>
      <w:r>
        <w:t xml:space="preserve">Will interviewers or facilitators be used?  </w:t>
      </w:r>
      <w:proofErr w:type="gramStart"/>
      <w:r>
        <w:t>[</w:t>
      </w:r>
      <w:r w:rsidR="00560A04">
        <w:t xml:space="preserve"> </w:t>
      </w:r>
      <w:r>
        <w:t>]</w:t>
      </w:r>
      <w:proofErr w:type="gramEnd"/>
      <w:r>
        <w:t xml:space="preserve"> Yes [</w:t>
      </w:r>
      <w:r w:rsidR="00560A04">
        <w:t>X</w:t>
      </w:r>
      <w:r>
        <w:t>] No</w:t>
      </w:r>
    </w:p>
    <w:p w:rsidR="00F24CFC" w:rsidP="00F24CFC" w:rsidRDefault="00F24CFC" w14:paraId="33413D72" w14:textId="77777777">
      <w:pPr>
        <w:pStyle w:val="ListParagraph"/>
        <w:ind w:left="360"/>
      </w:pPr>
      <w:r>
        <w:t xml:space="preserve"> </w:t>
      </w:r>
    </w:p>
    <w:p w:rsidR="0024521E" w:rsidP="0024521E" w:rsidRDefault="00F24CFC" w14:paraId="68DF0FB6" w14:textId="77777777">
      <w:pPr>
        <w:rPr>
          <w:b/>
        </w:rPr>
      </w:pPr>
      <w:r w:rsidRPr="00F24CFC">
        <w:rPr>
          <w:b/>
        </w:rPr>
        <w:t>Please make sure that all instruments, instructions, and scripts are submitted with the request.</w:t>
      </w:r>
    </w:p>
    <w:p w:rsidR="00F775C1" w:rsidP="0024521E" w:rsidRDefault="00F775C1" w14:paraId="506AA187" w14:textId="77777777">
      <w:pPr>
        <w:rPr>
          <w:b/>
        </w:rPr>
      </w:pPr>
    </w:p>
    <w:p w:rsidR="00F775C1" w:rsidP="0024521E" w:rsidRDefault="00F775C1" w14:paraId="25C3A97C" w14:textId="77777777">
      <w:pPr>
        <w:rPr>
          <w:b/>
        </w:rPr>
      </w:pPr>
    </w:p>
    <w:p w:rsidR="00F877D4" w:rsidP="0024521E" w:rsidRDefault="00F877D4" w14:paraId="5E49D409" w14:textId="77777777">
      <w:pPr>
        <w:rPr>
          <w:b/>
        </w:rPr>
      </w:pPr>
    </w:p>
    <w:p w:rsidR="00F877D4" w:rsidP="0024521E" w:rsidRDefault="00F877D4" w14:paraId="51583CE1" w14:textId="77777777">
      <w:pPr>
        <w:rPr>
          <w:b/>
        </w:rPr>
      </w:pPr>
    </w:p>
    <w:p w:rsidR="00F877D4" w:rsidP="0024521E" w:rsidRDefault="00F877D4" w14:paraId="412454E3" w14:textId="77777777">
      <w:pPr>
        <w:rPr>
          <w:b/>
        </w:rPr>
      </w:pPr>
    </w:p>
    <w:p w:rsidR="00F877D4" w:rsidP="0024521E" w:rsidRDefault="00F877D4" w14:paraId="29D95771" w14:textId="77777777">
      <w:pPr>
        <w:rPr>
          <w:b/>
        </w:rPr>
      </w:pPr>
    </w:p>
    <w:p w:rsidR="00F877D4" w:rsidP="0024521E" w:rsidRDefault="00F877D4" w14:paraId="11FC4EC3" w14:textId="77777777">
      <w:pPr>
        <w:rPr>
          <w:b/>
        </w:rPr>
      </w:pPr>
    </w:p>
    <w:p w:rsidR="00F877D4" w:rsidP="0024521E" w:rsidRDefault="00F877D4" w14:paraId="176657F9" w14:textId="77777777">
      <w:pPr>
        <w:rPr>
          <w:b/>
        </w:rPr>
      </w:pPr>
    </w:p>
    <w:p w:rsidR="00F877D4" w:rsidP="0024521E" w:rsidRDefault="00F877D4" w14:paraId="4C49A9B9" w14:textId="77777777">
      <w:pPr>
        <w:rPr>
          <w:b/>
        </w:rPr>
      </w:pPr>
    </w:p>
    <w:p w:rsidR="00F877D4" w:rsidP="0024521E" w:rsidRDefault="00F877D4" w14:paraId="4100F5E0" w14:textId="77777777">
      <w:pPr>
        <w:rPr>
          <w:b/>
        </w:rPr>
      </w:pPr>
    </w:p>
    <w:p w:rsidR="00F877D4" w:rsidP="0024521E" w:rsidRDefault="00F877D4" w14:paraId="5CE559C8" w14:textId="77777777">
      <w:pPr>
        <w:rPr>
          <w:b/>
        </w:rPr>
      </w:pPr>
    </w:p>
    <w:p w:rsidR="00F877D4" w:rsidP="0024521E" w:rsidRDefault="00F877D4" w14:paraId="65B22B77" w14:textId="77777777">
      <w:pPr>
        <w:rPr>
          <w:b/>
        </w:rPr>
      </w:pPr>
    </w:p>
    <w:p w:rsidR="003932D1" w:rsidP="00DE711C" w:rsidRDefault="003932D1" w14:paraId="7F3A5DF3" w14:textId="77777777">
      <w:pPr>
        <w:rPr>
          <w:b/>
        </w:rPr>
      </w:pPr>
    </w:p>
    <w:sectPr w:rsidR="003932D1"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A67B0" w14:textId="77777777" w:rsidR="00527487" w:rsidRDefault="00527487">
      <w:r>
        <w:separator/>
      </w:r>
    </w:p>
  </w:endnote>
  <w:endnote w:type="continuationSeparator" w:id="0">
    <w:p w14:paraId="61551E19" w14:textId="77777777" w:rsidR="00527487" w:rsidRDefault="0052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53C9"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CD3FA" w14:textId="77777777" w:rsidR="00527487" w:rsidRDefault="00527487">
      <w:r>
        <w:separator/>
      </w:r>
    </w:p>
  </w:footnote>
  <w:footnote w:type="continuationSeparator" w:id="0">
    <w:p w14:paraId="49595746" w14:textId="77777777" w:rsidR="00527487" w:rsidRDefault="00527487">
      <w:r>
        <w:continuationSeparator/>
      </w:r>
    </w:p>
  </w:footnote>
  <w:footnote w:id="1">
    <w:p w14:paraId="57179D4F" w14:textId="77777777" w:rsidR="00113AD9" w:rsidRDefault="00113AD9">
      <w:pPr>
        <w:pStyle w:val="FootnoteText"/>
      </w:pPr>
      <w:r>
        <w:rPr>
          <w:rStyle w:val="FootnoteReference"/>
        </w:rPr>
        <w:footnoteRef/>
      </w:r>
      <w:r>
        <w:t xml:space="preserve"> </w:t>
      </w:r>
      <w:proofErr w:type="spellStart"/>
      <w:r>
        <w:t>Jue</w:t>
      </w:r>
      <w:proofErr w:type="spellEnd"/>
      <w:r>
        <w:t xml:space="preserve">, A. (2019). </w:t>
      </w:r>
      <w:r w:rsidRPr="00113AD9">
        <w:t xml:space="preserve">What’s a </w:t>
      </w:r>
      <w:r>
        <w:t>t</w:t>
      </w:r>
      <w:r w:rsidRPr="00113AD9">
        <w:t xml:space="preserve">ypical </w:t>
      </w:r>
      <w:r>
        <w:t>s</w:t>
      </w:r>
      <w:r w:rsidRPr="00113AD9">
        <w:t xml:space="preserve">urvey </w:t>
      </w:r>
      <w:r>
        <w:t>r</w:t>
      </w:r>
      <w:r w:rsidRPr="00113AD9">
        <w:t xml:space="preserve">esponse </w:t>
      </w:r>
      <w:r>
        <w:t>r</w:t>
      </w:r>
      <w:r w:rsidRPr="00113AD9">
        <w:t>ate?</w:t>
      </w:r>
      <w:r>
        <w:t xml:space="preserve"> </w:t>
      </w:r>
      <w:proofErr w:type="spellStart"/>
      <w:r>
        <w:t>FocusVision</w:t>
      </w:r>
      <w:proofErr w:type="spellEnd"/>
      <w:r>
        <w:t xml:space="preserve">. Retrieved from </w:t>
      </w:r>
      <w:hyperlink r:id="rId1" w:history="1">
        <w:r>
          <w:rPr>
            <w:rStyle w:val="Hyperlink"/>
          </w:rPr>
          <w:t>https://www.focusvision.com/blog/whats-a-typical-survey-response-rate/</w:t>
        </w:r>
      </w:hyperlink>
      <w:r>
        <w:t xml:space="preserve">. </w:t>
      </w:r>
    </w:p>
  </w:footnote>
  <w:footnote w:id="2">
    <w:p w14:paraId="3FFAB92A" w14:textId="77777777" w:rsidR="00113AD9" w:rsidRDefault="00113AD9">
      <w:pPr>
        <w:pStyle w:val="FootnoteText"/>
      </w:pPr>
      <w:r>
        <w:rPr>
          <w:rStyle w:val="FootnoteReference"/>
        </w:rPr>
        <w:footnoteRef/>
      </w:r>
      <w:r>
        <w:t xml:space="preserve"> </w:t>
      </w:r>
      <w:r w:rsidRPr="00113AD9">
        <w:t xml:space="preserve">Lee, H., Kim, S., Couper, M., &amp; Woo, Y. (2019). Experimental </w:t>
      </w:r>
      <w:r>
        <w:t>c</w:t>
      </w:r>
      <w:r w:rsidRPr="00113AD9">
        <w:t xml:space="preserve">omparison of PC </w:t>
      </w:r>
      <w:r>
        <w:t>w</w:t>
      </w:r>
      <w:r w:rsidRPr="00113AD9">
        <w:t xml:space="preserve">eb, </w:t>
      </w:r>
      <w:r>
        <w:t>s</w:t>
      </w:r>
      <w:r w:rsidRPr="00113AD9">
        <w:t xml:space="preserve">martphone </w:t>
      </w:r>
      <w:r>
        <w:t>w</w:t>
      </w:r>
      <w:r w:rsidRPr="00113AD9">
        <w:t xml:space="preserve">eb, and </w:t>
      </w:r>
      <w:r>
        <w:t>t</w:t>
      </w:r>
      <w:r w:rsidRPr="00113AD9">
        <w:t xml:space="preserve">elephone </w:t>
      </w:r>
      <w:r>
        <w:t>s</w:t>
      </w:r>
      <w:r w:rsidRPr="00113AD9">
        <w:t xml:space="preserve">urveys in the </w:t>
      </w:r>
      <w:r>
        <w:t>n</w:t>
      </w:r>
      <w:r w:rsidRPr="00113AD9">
        <w:t xml:space="preserve">ew </w:t>
      </w:r>
      <w:r>
        <w:t>t</w:t>
      </w:r>
      <w:r w:rsidRPr="00113AD9">
        <w:t xml:space="preserve">echnology </w:t>
      </w:r>
      <w:r>
        <w:t>e</w:t>
      </w:r>
      <w:r w:rsidRPr="00113AD9">
        <w:t xml:space="preserve">ra. </w:t>
      </w:r>
      <w:r w:rsidRPr="00113AD9">
        <w:rPr>
          <w:i/>
          <w:iCs/>
        </w:rPr>
        <w:t>Social Science Computer Review, 37</w:t>
      </w:r>
      <w:r w:rsidRPr="00113AD9">
        <w:t>(2), 234-247.</w:t>
      </w:r>
    </w:p>
  </w:footnote>
  <w:footnote w:id="3">
    <w:p w14:paraId="109E5574" w14:textId="77777777" w:rsidR="00CC2750" w:rsidRDefault="00CC2750">
      <w:pPr>
        <w:pStyle w:val="FootnoteText"/>
      </w:pPr>
      <w:r>
        <w:rPr>
          <w:rStyle w:val="FootnoteReference"/>
        </w:rPr>
        <w:footnoteRef/>
      </w:r>
      <w:r>
        <w:t xml:space="preserve"> Assumes a 30% response rate.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C817A5"/>
    <w:multiLevelType w:val="hybridMultilevel"/>
    <w:tmpl w:val="2692F1B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23A57"/>
    <w:rsid w:val="000365F3"/>
    <w:rsid w:val="00047A64"/>
    <w:rsid w:val="00067329"/>
    <w:rsid w:val="000722CE"/>
    <w:rsid w:val="000774F5"/>
    <w:rsid w:val="00080131"/>
    <w:rsid w:val="000913EC"/>
    <w:rsid w:val="000A1E06"/>
    <w:rsid w:val="000B2838"/>
    <w:rsid w:val="000D2FC5"/>
    <w:rsid w:val="000D44CA"/>
    <w:rsid w:val="000E200B"/>
    <w:rsid w:val="000F68BE"/>
    <w:rsid w:val="00113A81"/>
    <w:rsid w:val="00113AD9"/>
    <w:rsid w:val="001411A6"/>
    <w:rsid w:val="0015139F"/>
    <w:rsid w:val="00154E61"/>
    <w:rsid w:val="00162F83"/>
    <w:rsid w:val="00166511"/>
    <w:rsid w:val="00177AEA"/>
    <w:rsid w:val="001855D1"/>
    <w:rsid w:val="001927A4"/>
    <w:rsid w:val="001933A7"/>
    <w:rsid w:val="00194AC6"/>
    <w:rsid w:val="001A23B0"/>
    <w:rsid w:val="001A25CC"/>
    <w:rsid w:val="001B0AAA"/>
    <w:rsid w:val="001C1B50"/>
    <w:rsid w:val="001C39F7"/>
    <w:rsid w:val="002029F1"/>
    <w:rsid w:val="00227933"/>
    <w:rsid w:val="00237B48"/>
    <w:rsid w:val="0024521E"/>
    <w:rsid w:val="00263C3D"/>
    <w:rsid w:val="00274D0B"/>
    <w:rsid w:val="00284110"/>
    <w:rsid w:val="00291149"/>
    <w:rsid w:val="002A20E8"/>
    <w:rsid w:val="002A4E19"/>
    <w:rsid w:val="002B3C95"/>
    <w:rsid w:val="002D0B92"/>
    <w:rsid w:val="002D26E2"/>
    <w:rsid w:val="002D74B4"/>
    <w:rsid w:val="002E48F5"/>
    <w:rsid w:val="0030662E"/>
    <w:rsid w:val="00313250"/>
    <w:rsid w:val="00323674"/>
    <w:rsid w:val="00337D26"/>
    <w:rsid w:val="00363D83"/>
    <w:rsid w:val="003668D6"/>
    <w:rsid w:val="00370FE9"/>
    <w:rsid w:val="00382237"/>
    <w:rsid w:val="00390C5E"/>
    <w:rsid w:val="003932D1"/>
    <w:rsid w:val="003A7074"/>
    <w:rsid w:val="003B1B7F"/>
    <w:rsid w:val="003D5BBE"/>
    <w:rsid w:val="003E3C61"/>
    <w:rsid w:val="003F1C5B"/>
    <w:rsid w:val="003F2893"/>
    <w:rsid w:val="00410967"/>
    <w:rsid w:val="00420E91"/>
    <w:rsid w:val="00423BC0"/>
    <w:rsid w:val="00431EB1"/>
    <w:rsid w:val="00434E33"/>
    <w:rsid w:val="00441434"/>
    <w:rsid w:val="0045264C"/>
    <w:rsid w:val="004876EC"/>
    <w:rsid w:val="004A44F3"/>
    <w:rsid w:val="004B1EB8"/>
    <w:rsid w:val="004B24CC"/>
    <w:rsid w:val="004B2BA8"/>
    <w:rsid w:val="004D6E14"/>
    <w:rsid w:val="005009B0"/>
    <w:rsid w:val="00500F65"/>
    <w:rsid w:val="00527487"/>
    <w:rsid w:val="0054689E"/>
    <w:rsid w:val="00560A04"/>
    <w:rsid w:val="00591A19"/>
    <w:rsid w:val="005A1006"/>
    <w:rsid w:val="005A772A"/>
    <w:rsid w:val="005E714A"/>
    <w:rsid w:val="006140A0"/>
    <w:rsid w:val="006277A5"/>
    <w:rsid w:val="00633F74"/>
    <w:rsid w:val="00635581"/>
    <w:rsid w:val="00636329"/>
    <w:rsid w:val="00636621"/>
    <w:rsid w:val="00642B49"/>
    <w:rsid w:val="006832D9"/>
    <w:rsid w:val="00686301"/>
    <w:rsid w:val="0069403B"/>
    <w:rsid w:val="006B7B34"/>
    <w:rsid w:val="006D5849"/>
    <w:rsid w:val="006D5F47"/>
    <w:rsid w:val="006F3DDE"/>
    <w:rsid w:val="0070038E"/>
    <w:rsid w:val="00704678"/>
    <w:rsid w:val="007425E7"/>
    <w:rsid w:val="00744C28"/>
    <w:rsid w:val="00766D95"/>
    <w:rsid w:val="0077703F"/>
    <w:rsid w:val="007A3479"/>
    <w:rsid w:val="007B5DB1"/>
    <w:rsid w:val="00802607"/>
    <w:rsid w:val="008101A5"/>
    <w:rsid w:val="00811789"/>
    <w:rsid w:val="008146BA"/>
    <w:rsid w:val="00822664"/>
    <w:rsid w:val="00843796"/>
    <w:rsid w:val="00850B01"/>
    <w:rsid w:val="0085116A"/>
    <w:rsid w:val="00887320"/>
    <w:rsid w:val="00895229"/>
    <w:rsid w:val="008D7D7E"/>
    <w:rsid w:val="008F0203"/>
    <w:rsid w:val="008F50D4"/>
    <w:rsid w:val="009239AA"/>
    <w:rsid w:val="009327D3"/>
    <w:rsid w:val="00935ADA"/>
    <w:rsid w:val="00946B6C"/>
    <w:rsid w:val="0095378C"/>
    <w:rsid w:val="00955A71"/>
    <w:rsid w:val="0096108F"/>
    <w:rsid w:val="00962AB3"/>
    <w:rsid w:val="00970BD6"/>
    <w:rsid w:val="0099414C"/>
    <w:rsid w:val="00997D9F"/>
    <w:rsid w:val="009A036B"/>
    <w:rsid w:val="009C13B9"/>
    <w:rsid w:val="009D01A2"/>
    <w:rsid w:val="009F5923"/>
    <w:rsid w:val="00A1750A"/>
    <w:rsid w:val="00A229F1"/>
    <w:rsid w:val="00A403BB"/>
    <w:rsid w:val="00A50F89"/>
    <w:rsid w:val="00A674DF"/>
    <w:rsid w:val="00A73D8D"/>
    <w:rsid w:val="00A74B4F"/>
    <w:rsid w:val="00A83AA6"/>
    <w:rsid w:val="00AC60E8"/>
    <w:rsid w:val="00AE14B1"/>
    <w:rsid w:val="00AE1809"/>
    <w:rsid w:val="00AE4F16"/>
    <w:rsid w:val="00AE62A9"/>
    <w:rsid w:val="00B377DB"/>
    <w:rsid w:val="00B80D76"/>
    <w:rsid w:val="00BA2105"/>
    <w:rsid w:val="00BA7E06"/>
    <w:rsid w:val="00BB43B5"/>
    <w:rsid w:val="00BB6219"/>
    <w:rsid w:val="00BC4C9A"/>
    <w:rsid w:val="00BC676D"/>
    <w:rsid w:val="00BD290F"/>
    <w:rsid w:val="00BF6223"/>
    <w:rsid w:val="00C14CC4"/>
    <w:rsid w:val="00C33C52"/>
    <w:rsid w:val="00C35604"/>
    <w:rsid w:val="00C40D8B"/>
    <w:rsid w:val="00C72508"/>
    <w:rsid w:val="00C8389B"/>
    <w:rsid w:val="00C8407A"/>
    <w:rsid w:val="00C8488C"/>
    <w:rsid w:val="00C86E91"/>
    <w:rsid w:val="00CA19A3"/>
    <w:rsid w:val="00CA2010"/>
    <w:rsid w:val="00CA2650"/>
    <w:rsid w:val="00CA6083"/>
    <w:rsid w:val="00CB1078"/>
    <w:rsid w:val="00CC2750"/>
    <w:rsid w:val="00CC6FAF"/>
    <w:rsid w:val="00CD3F0A"/>
    <w:rsid w:val="00CE113C"/>
    <w:rsid w:val="00CE2E9C"/>
    <w:rsid w:val="00D24698"/>
    <w:rsid w:val="00D34B5D"/>
    <w:rsid w:val="00D445D0"/>
    <w:rsid w:val="00D45D1C"/>
    <w:rsid w:val="00D504C2"/>
    <w:rsid w:val="00D6383F"/>
    <w:rsid w:val="00D662C8"/>
    <w:rsid w:val="00D84421"/>
    <w:rsid w:val="00D96E53"/>
    <w:rsid w:val="00DB4A58"/>
    <w:rsid w:val="00DB59D0"/>
    <w:rsid w:val="00DB694C"/>
    <w:rsid w:val="00DC2F2F"/>
    <w:rsid w:val="00DC33D3"/>
    <w:rsid w:val="00DC64D3"/>
    <w:rsid w:val="00DE711C"/>
    <w:rsid w:val="00E20449"/>
    <w:rsid w:val="00E26329"/>
    <w:rsid w:val="00E40B50"/>
    <w:rsid w:val="00E50293"/>
    <w:rsid w:val="00E65FFC"/>
    <w:rsid w:val="00E670E2"/>
    <w:rsid w:val="00E72406"/>
    <w:rsid w:val="00E80951"/>
    <w:rsid w:val="00E86CC6"/>
    <w:rsid w:val="00EA01E7"/>
    <w:rsid w:val="00EA66A2"/>
    <w:rsid w:val="00EB56B3"/>
    <w:rsid w:val="00EC3016"/>
    <w:rsid w:val="00ED6492"/>
    <w:rsid w:val="00EF2095"/>
    <w:rsid w:val="00EF535B"/>
    <w:rsid w:val="00F06866"/>
    <w:rsid w:val="00F122A4"/>
    <w:rsid w:val="00F15956"/>
    <w:rsid w:val="00F24CFC"/>
    <w:rsid w:val="00F3170F"/>
    <w:rsid w:val="00F359F0"/>
    <w:rsid w:val="00F364DE"/>
    <w:rsid w:val="00F775C1"/>
    <w:rsid w:val="00F866B9"/>
    <w:rsid w:val="00F877D4"/>
    <w:rsid w:val="00F94D8C"/>
    <w:rsid w:val="00F976B0"/>
    <w:rsid w:val="00FA6DE7"/>
    <w:rsid w:val="00FC0A8E"/>
    <w:rsid w:val="00FE01BA"/>
    <w:rsid w:val="00FE18D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C81985"/>
  <w15:chartTrackingRefBased/>
  <w15:docId w15:val="{E27FDCEB-3C46-4DD7-BFF2-F24F45BD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UnresolvedMention">
    <w:name w:val="Unresolved Mention"/>
    <w:uiPriority w:val="99"/>
    <w:semiHidden/>
    <w:unhideWhenUsed/>
    <w:rsid w:val="00635581"/>
    <w:rPr>
      <w:color w:val="605E5C"/>
      <w:shd w:val="clear" w:color="auto" w:fill="E1DFDD"/>
    </w:rPr>
  </w:style>
  <w:style w:type="paragraph" w:styleId="Revision">
    <w:name w:val="Revision"/>
    <w:hidden/>
    <w:uiPriority w:val="99"/>
    <w:semiHidden/>
    <w:rsid w:val="00CE2E9C"/>
    <w:rPr>
      <w:sz w:val="24"/>
      <w:szCs w:val="24"/>
    </w:rPr>
  </w:style>
  <w:style w:type="character" w:styleId="FollowedHyperlink">
    <w:name w:val="FollowedHyperlink"/>
    <w:rsid w:val="00FE01BA"/>
    <w:rPr>
      <w:color w:val="954F72"/>
      <w:u w:val="single"/>
    </w:rPr>
  </w:style>
  <w:style w:type="paragraph" w:styleId="FootnoteText">
    <w:name w:val="footnote text"/>
    <w:basedOn w:val="Normal"/>
    <w:link w:val="FootnoteTextChar"/>
    <w:rsid w:val="00113AD9"/>
    <w:rPr>
      <w:sz w:val="20"/>
      <w:szCs w:val="20"/>
    </w:rPr>
  </w:style>
  <w:style w:type="character" w:customStyle="1" w:styleId="FootnoteTextChar">
    <w:name w:val="Footnote Text Char"/>
    <w:basedOn w:val="DefaultParagraphFont"/>
    <w:link w:val="FootnoteText"/>
    <w:rsid w:val="00113AD9"/>
  </w:style>
  <w:style w:type="character" w:styleId="FootnoteReference">
    <w:name w:val="footnote reference"/>
    <w:rsid w:val="00113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oes/current/oes_nat.htm#00-0000"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ocusvision.com/blog/whats-a-typical-survey-response-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5A05-A3B2-48C7-AB51-CD662AF3B0ED}">
  <ds:schemaRefs>
    <ds:schemaRef ds:uri="http://schemas.microsoft.com/sharepoint/v3/contenttype/forms"/>
  </ds:schemaRefs>
</ds:datastoreItem>
</file>

<file path=customXml/itemProps2.xml><?xml version="1.0" encoding="utf-8"?>
<ds:datastoreItem xmlns:ds="http://schemas.openxmlformats.org/officeDocument/2006/customXml" ds:itemID="{A8E47F47-2858-41A4-85AD-CC8857BF4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CB692-D193-4600-AC08-F54D7302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6937</CharactersWithSpaces>
  <SharedDoc>false</SharedDoc>
  <HLinks>
    <vt:vector size="12" baseType="variant">
      <vt:variant>
        <vt:i4>7798815</vt:i4>
      </vt:variant>
      <vt:variant>
        <vt:i4>0</vt:i4>
      </vt:variant>
      <vt:variant>
        <vt:i4>0</vt:i4>
      </vt:variant>
      <vt:variant>
        <vt:i4>5</vt:i4>
      </vt:variant>
      <vt:variant>
        <vt:lpwstr>https://www.bls.gov/oes/current/oes_nat.htm</vt:lpwstr>
      </vt:variant>
      <vt:variant>
        <vt:lpwstr>00-0000</vt:lpwstr>
      </vt:variant>
      <vt:variant>
        <vt:i4>2883706</vt:i4>
      </vt:variant>
      <vt:variant>
        <vt:i4>0</vt:i4>
      </vt:variant>
      <vt:variant>
        <vt:i4>0</vt:i4>
      </vt:variant>
      <vt:variant>
        <vt:i4>5</vt:i4>
      </vt:variant>
      <vt:variant>
        <vt:lpwstr>https://www.focusvision.com/blog/whats-a-typical-survey-response-rate/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2020-10-06T21:29:00Z</dcterms:created>
  <dcterms:modified xsi:type="dcterms:W3CDTF">2020-10-06T21:29:00Z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