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7701B97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AA3B21" w14:paraId="18340203" w14:textId="26380E5E">
      <w:pPr>
        <w:rPr>
          <w:b/>
        </w:rPr>
      </w:pPr>
      <w:r>
        <w:rPr>
          <w:b/>
          <w:noProof/>
        </w:rPr>
        <mc:AlternateContent>
          <mc:Choice Requires="wps">
            <w:drawing>
              <wp:anchor distT="0" distB="0" distL="114300" distR="114300" simplePos="0" relativeHeight="251657728" behindDoc="0" locked="0" layoutInCell="0" allowOverlap="1" wp14:editId="3B722D13" wp14:anchorId="5716C6B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3D1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C8389B">
        <w:t xml:space="preserve">Focus Groups </w:t>
      </w:r>
      <w:r w:rsidR="00D96E53">
        <w:t>with</w:t>
      </w:r>
      <w:r w:rsidR="00850B01">
        <w:t xml:space="preserve"> the</w:t>
      </w:r>
      <w:r w:rsidR="00C8389B">
        <w:t xml:space="preserve"> General Public to Test Understanding and Resonance of Temporomandibular Disorders Brochure (NIDCR) </w:t>
      </w:r>
    </w:p>
    <w:p w:rsidR="005E714A" w:rsidRDefault="0095378C" w14:paraId="1E3DFE8A" w14:textId="77777777">
      <w:r>
        <w:t xml:space="preserve">  </w:t>
      </w:r>
    </w:p>
    <w:p w:rsidR="001B0AAA" w:rsidRDefault="00F15956" w14:paraId="4B5AB89E" w14:textId="77777777">
      <w:r>
        <w:rPr>
          <w:b/>
        </w:rPr>
        <w:t>PURPOSE</w:t>
      </w:r>
      <w:r w:rsidRPr="009239AA">
        <w:rPr>
          <w:b/>
        </w:rPr>
        <w:t>:</w:t>
      </w:r>
      <w:r w:rsidRPr="009239AA" w:rsidR="00C14CC4">
        <w:rPr>
          <w:b/>
        </w:rPr>
        <w:t xml:space="preserve">  </w:t>
      </w:r>
    </w:p>
    <w:p w:rsidR="001B0AAA" w:rsidRDefault="00C8389B" w14:paraId="72695FFC" w14:textId="77777777">
      <w:r>
        <w:t xml:space="preserve">The National Institute of Dental and Craniofacial Research (NIDCR) is seeking to test the understanding and resonance of their Temporomandibular Disorders (TMD) brochure among its target audience (representatives of the general public diagnosed with TMD). To do so, NIDCR and their contractor will conduct </w:t>
      </w:r>
      <w:r w:rsidR="00850B01">
        <w:t xml:space="preserve">six </w:t>
      </w:r>
      <w:r w:rsidR="00166511">
        <w:t>60-minute</w:t>
      </w:r>
      <w:r>
        <w:t xml:space="preserve"> virtual (online/by phone) 3- to 4-person focus groups with this audience. Focus group findings will inform updates and enhancements to the TMD brochure; and ultimately ensure the resource is clearly communicating its information to </w:t>
      </w:r>
      <w:r w:rsidR="00FE18D8">
        <w:t>the NIDCR’s</w:t>
      </w:r>
      <w:r>
        <w:t xml:space="preserve"> intended audience. </w:t>
      </w:r>
    </w:p>
    <w:p w:rsidR="00C8389B" w:rsidRDefault="00C8389B" w14:paraId="4F94378A" w14:textId="77777777"/>
    <w:p w:rsidR="00C8389B" w:rsidRDefault="00850B01" w14:paraId="04237FAE" w14:textId="77777777">
      <w:r>
        <w:t xml:space="preserve">Upon </w:t>
      </w:r>
      <w:r w:rsidR="00C8389B">
        <w:t>Office of Management and Budget approval, recruitment and implementation of these focus groups will occur over a</w:t>
      </w:r>
      <w:r>
        <w:t xml:space="preserve"> maximum of</w:t>
      </w:r>
      <w:r w:rsidR="00C8389B">
        <w:t xml:space="preserve"> 4</w:t>
      </w:r>
      <w:r w:rsidR="00F877D4">
        <w:t xml:space="preserve"> </w:t>
      </w:r>
      <w:r w:rsidR="00C8389B">
        <w:t>week</w:t>
      </w:r>
      <w:r>
        <w:t>s</w:t>
      </w:r>
      <w:r w:rsidR="00C8389B">
        <w:t>. More specifically:</w:t>
      </w:r>
    </w:p>
    <w:p w:rsidR="00166511" w:rsidP="00C8389B" w:rsidRDefault="00C8389B" w14:paraId="60E5E1D1" w14:textId="77777777">
      <w:pPr>
        <w:numPr>
          <w:ilvl w:val="0"/>
          <w:numId w:val="19"/>
        </w:numPr>
      </w:pPr>
      <w:r>
        <w:t xml:space="preserve">A professional recruitment </w:t>
      </w:r>
      <w:r w:rsidR="00F877D4">
        <w:t>vendor</w:t>
      </w:r>
      <w:r>
        <w:t xml:space="preserve"> will </w:t>
      </w:r>
      <w:r w:rsidR="00166511">
        <w:t xml:space="preserve">screen and </w:t>
      </w:r>
      <w:r>
        <w:t xml:space="preserve">recruit </w:t>
      </w:r>
      <w:r w:rsidR="00166511">
        <w:t xml:space="preserve">24 total participants within a two-week period. </w:t>
      </w:r>
    </w:p>
    <w:p w:rsidR="00C8389B" w:rsidP="00C8389B" w:rsidRDefault="00166511" w14:paraId="6E150430" w14:textId="77777777">
      <w:pPr>
        <w:numPr>
          <w:ilvl w:val="0"/>
          <w:numId w:val="19"/>
        </w:numPr>
      </w:pPr>
      <w:r>
        <w:t>NIDCR’s contractor will</w:t>
      </w:r>
      <w:r w:rsidR="00850B01">
        <w:t xml:space="preserve"> then</w:t>
      </w:r>
      <w:r>
        <w:t xml:space="preserve"> conduct focus groups over a 1</w:t>
      </w:r>
      <w:r w:rsidR="00850B01">
        <w:t>- to 2-</w:t>
      </w:r>
      <w:r>
        <w:t xml:space="preserve">week period. No more than 2 focus groups will occur per day. </w:t>
      </w:r>
      <w:r w:rsidR="00C8389B">
        <w:t xml:space="preserve"> </w:t>
      </w:r>
    </w:p>
    <w:p w:rsidR="00850B01" w:rsidP="00850B01" w:rsidRDefault="00850B01" w14:paraId="374E898B" w14:textId="77777777"/>
    <w:p w:rsidR="00166511" w:rsidP="00850B01" w:rsidRDefault="00850B01" w14:paraId="5AFF66BF" w14:textId="77777777">
      <w:r>
        <w:t xml:space="preserve">Upon the conclusion of focus groups, </w:t>
      </w:r>
      <w:r w:rsidR="00166511">
        <w:t xml:space="preserve">NIDCR’s contractor will analyze and summarize focus group findings; and provide actionable recommendations for updating the TMD brochure. </w:t>
      </w:r>
    </w:p>
    <w:p w:rsidR="00C8488C" w:rsidP="00434E33" w:rsidRDefault="00C8488C" w14:paraId="131591A5" w14:textId="77777777">
      <w:pPr>
        <w:pStyle w:val="Header"/>
        <w:tabs>
          <w:tab w:val="clear" w:pos="4320"/>
          <w:tab w:val="clear" w:pos="8640"/>
        </w:tabs>
        <w:rPr>
          <w:b/>
        </w:rPr>
      </w:pPr>
    </w:p>
    <w:p w:rsidR="00C8488C" w:rsidP="00434E33" w:rsidRDefault="00C8488C" w14:paraId="3D811BC4" w14:textId="77777777">
      <w:pPr>
        <w:pStyle w:val="Header"/>
        <w:tabs>
          <w:tab w:val="clear" w:pos="4320"/>
          <w:tab w:val="clear" w:pos="8640"/>
        </w:tabs>
        <w:rPr>
          <w:b/>
        </w:rPr>
      </w:pPr>
    </w:p>
    <w:p w:rsidRPr="00434E33" w:rsidR="00434E33" w:rsidP="00434E33" w:rsidRDefault="00434E33" w14:paraId="1D130A38" w14:textId="77777777">
      <w:pPr>
        <w:pStyle w:val="Header"/>
        <w:tabs>
          <w:tab w:val="clear" w:pos="4320"/>
          <w:tab w:val="clear" w:pos="8640"/>
        </w:tabs>
        <w:rPr>
          <w:i/>
          <w:snapToGrid/>
        </w:rPr>
      </w:pPr>
      <w:r w:rsidRPr="00434E33">
        <w:rPr>
          <w:b/>
        </w:rPr>
        <w:t>DESCRIPTION OF RESPONDENTS</w:t>
      </w:r>
      <w:r>
        <w:t xml:space="preserve">: </w:t>
      </w:r>
    </w:p>
    <w:p w:rsidR="00F15956" w:rsidRDefault="00166511" w14:paraId="7E7BBBEA" w14:textId="77777777">
      <w:r>
        <w:t xml:space="preserve">Respondents will include up to 24 men and women representatives from the general public who have been diagnosed by a healthcare provider with TMD within the last 5 years (2015 to present).  </w:t>
      </w:r>
    </w:p>
    <w:p w:rsidR="00166511" w:rsidRDefault="00166511" w14:paraId="6BE4FB56" w14:textId="77777777"/>
    <w:p w:rsidR="00166511" w:rsidRDefault="00166511" w14:paraId="4A8B11D8" w14:textId="77777777">
      <w:r>
        <w:t xml:space="preserve">More specifically, </w:t>
      </w:r>
      <w:r w:rsidR="00F877D4">
        <w:t>our professional recruitment vendor will</w:t>
      </w:r>
      <w:r>
        <w:t xml:space="preserve"> seek to recruit</w:t>
      </w:r>
      <w:r w:rsidR="00390C5E">
        <w:t xml:space="preserve"> the following</w:t>
      </w:r>
      <w:r>
        <w:t xml:space="preserve">: </w:t>
      </w:r>
    </w:p>
    <w:p w:rsidR="00390C5E" w:rsidP="00166511" w:rsidRDefault="00390C5E" w14:paraId="54387232" w14:textId="77777777">
      <w:pPr>
        <w:numPr>
          <w:ilvl w:val="0"/>
          <w:numId w:val="19"/>
        </w:numPr>
      </w:pPr>
      <w:r>
        <w:t>Up to 1</w:t>
      </w:r>
      <w:r w:rsidR="00CE113C">
        <w:t>6</w:t>
      </w:r>
      <w:r>
        <w:t xml:space="preserve"> total women* with a mix of education levels (</w:t>
      </w:r>
      <w:r w:rsidR="00F877D4">
        <w:t xml:space="preserve">8 women participants with </w:t>
      </w:r>
      <w:r>
        <w:t xml:space="preserve">no more than a high school degree; </w:t>
      </w:r>
      <w:r w:rsidR="00F877D4">
        <w:t xml:space="preserve">8 women participants with a </w:t>
      </w:r>
      <w:r>
        <w:t>4-year college degree o</w:t>
      </w:r>
      <w:r w:rsidR="00316D60">
        <w:t xml:space="preserve">r </w:t>
      </w:r>
      <w:r>
        <w:t xml:space="preserve">more.) </w:t>
      </w:r>
    </w:p>
    <w:p w:rsidR="00390C5E" w:rsidP="00390C5E" w:rsidRDefault="00390C5E" w14:paraId="1481C321" w14:textId="77777777">
      <w:pPr>
        <w:numPr>
          <w:ilvl w:val="0"/>
          <w:numId w:val="19"/>
        </w:numPr>
      </w:pPr>
      <w:r>
        <w:t xml:space="preserve">Up to </w:t>
      </w:r>
      <w:r w:rsidR="00CE113C">
        <w:t>8</w:t>
      </w:r>
      <w:r>
        <w:t xml:space="preserve"> men with a mix of education levels (</w:t>
      </w:r>
      <w:r w:rsidR="00F877D4">
        <w:t xml:space="preserve">4 men participants with </w:t>
      </w:r>
      <w:r>
        <w:t xml:space="preserve">no more than a high school degree; </w:t>
      </w:r>
      <w:r w:rsidR="00F877D4">
        <w:t xml:space="preserve">4 men participants with a </w:t>
      </w:r>
      <w:r>
        <w:t>4-year college degree o</w:t>
      </w:r>
      <w:r w:rsidR="00746170">
        <w:t>r</w:t>
      </w:r>
      <w:r>
        <w:t xml:space="preserve"> more.)</w:t>
      </w:r>
    </w:p>
    <w:p w:rsidR="00C8488C" w:rsidRDefault="00C8488C" w14:paraId="51279018" w14:textId="77777777"/>
    <w:p w:rsidR="00F15956" w:rsidRDefault="00390C5E" w14:paraId="75CFD104" w14:textId="77777777">
      <w:r>
        <w:t>*NOTE: According to disease prevalence data, more women than men have TMD</w:t>
      </w:r>
      <w:r w:rsidR="00F877D4">
        <w:t>, thus we will seek to recruit more women than men for these focus groups.</w:t>
      </w:r>
    </w:p>
    <w:p w:rsidR="00434E33" w:rsidRDefault="00434E33" w14:paraId="409280A9" w14:textId="77777777"/>
    <w:p w:rsidR="00E26329" w:rsidRDefault="00390C5E" w14:paraId="4F5EB720" w14:textId="77777777">
      <w:pPr>
        <w:rPr>
          <w:bCs/>
        </w:rPr>
      </w:pPr>
      <w:r>
        <w:rPr>
          <w:bCs/>
        </w:rPr>
        <w:t xml:space="preserve">Across groups we will aim to recruit a mix of geographic representation (e.g., states; regions; urban; suburban; rural); race/ethnicity; and age. </w:t>
      </w:r>
    </w:p>
    <w:p w:rsidR="00FE18D8" w:rsidRDefault="00FE18D8" w14:paraId="7FA41765" w14:textId="77777777">
      <w:pPr>
        <w:rPr>
          <w:bCs/>
        </w:rPr>
      </w:pPr>
    </w:p>
    <w:p w:rsidR="004B317D" w:rsidRDefault="00A74B4F" w14:paraId="5522768D" w14:textId="77777777">
      <w:pPr>
        <w:rPr>
          <w:bCs/>
        </w:rPr>
      </w:pPr>
      <w:r>
        <w:rPr>
          <w:bCs/>
        </w:rPr>
        <w:t>Participants</w:t>
      </w:r>
      <w:r w:rsidR="00FE18D8">
        <w:rPr>
          <w:bCs/>
        </w:rPr>
        <w:t xml:space="preserve"> will be asked to read the NIDCR TMD brochure before the discussion.</w:t>
      </w:r>
      <w:r w:rsidR="00F877D4">
        <w:rPr>
          <w:bCs/>
        </w:rPr>
        <w:t xml:space="preserve"> The </w:t>
      </w:r>
      <w:r w:rsidR="003809F6">
        <w:rPr>
          <w:bCs/>
        </w:rPr>
        <w:t xml:space="preserve">homework instructions and </w:t>
      </w:r>
      <w:r w:rsidR="00F877D4">
        <w:rPr>
          <w:bCs/>
        </w:rPr>
        <w:t>brochure</w:t>
      </w:r>
      <w:r w:rsidR="003809F6">
        <w:rPr>
          <w:bCs/>
        </w:rPr>
        <w:t>, together,</w:t>
      </w:r>
      <w:r w:rsidR="00F877D4">
        <w:rPr>
          <w:bCs/>
        </w:rPr>
        <w:t xml:space="preserve"> will be mailed to them by the professional recruitment vendor.</w:t>
      </w:r>
      <w:r w:rsidR="00FE18D8">
        <w:rPr>
          <w:bCs/>
        </w:rPr>
        <w:t xml:space="preserve"> This </w:t>
      </w:r>
      <w:r>
        <w:rPr>
          <w:bCs/>
        </w:rPr>
        <w:t>pre-focus group review will take</w:t>
      </w:r>
      <w:r w:rsidR="00FE18D8">
        <w:rPr>
          <w:bCs/>
        </w:rPr>
        <w:t xml:space="preserve"> approximately 30 minutes </w:t>
      </w:r>
    </w:p>
    <w:p w:rsidRPr="00390C5E" w:rsidR="00FE18D8" w:rsidRDefault="00A74B4F" w14:paraId="262AD89D" w14:textId="77777777">
      <w:pPr>
        <w:rPr>
          <w:bCs/>
        </w:rPr>
      </w:pPr>
      <w:r>
        <w:rPr>
          <w:bCs/>
        </w:rPr>
        <w:t xml:space="preserve">Participants </w:t>
      </w:r>
      <w:r w:rsidR="00FE18D8">
        <w:rPr>
          <w:bCs/>
        </w:rPr>
        <w:t xml:space="preserve">will then be asked to </w:t>
      </w:r>
      <w:r w:rsidR="00F877D4">
        <w:rPr>
          <w:bCs/>
        </w:rPr>
        <w:t>join</w:t>
      </w:r>
      <w:r w:rsidR="00FE18D8">
        <w:rPr>
          <w:bCs/>
        </w:rPr>
        <w:t xml:space="preserve"> the </w:t>
      </w:r>
      <w:r w:rsidR="00F877D4">
        <w:rPr>
          <w:bCs/>
        </w:rPr>
        <w:t xml:space="preserve">virtual 60-minute </w:t>
      </w:r>
      <w:r w:rsidR="00FE18D8">
        <w:rPr>
          <w:bCs/>
        </w:rPr>
        <w:t xml:space="preserve">discussion prepared to provide feedback </w:t>
      </w:r>
      <w:r w:rsidR="004B2BA8">
        <w:rPr>
          <w:bCs/>
        </w:rPr>
        <w:t xml:space="preserve">about </w:t>
      </w:r>
      <w:r w:rsidR="00FE18D8">
        <w:rPr>
          <w:bCs/>
        </w:rPr>
        <w:t>the brochure</w:t>
      </w:r>
      <w:r w:rsidR="004B317D">
        <w:rPr>
          <w:bCs/>
        </w:rPr>
        <w:t>.</w:t>
      </w:r>
      <w:r w:rsidR="00FE18D8">
        <w:rPr>
          <w:bCs/>
        </w:rPr>
        <w:t xml:space="preserve"> </w:t>
      </w:r>
    </w:p>
    <w:p w:rsidR="00E26329" w:rsidRDefault="00E26329" w14:paraId="54C4CD42" w14:textId="77777777">
      <w:pPr>
        <w:rPr>
          <w:b/>
        </w:rPr>
      </w:pPr>
    </w:p>
    <w:p w:rsidRPr="00F06866" w:rsidR="00F06866" w:rsidRDefault="00F06866" w14:paraId="1D034F18" w14:textId="77777777">
      <w:pPr>
        <w:rPr>
          <w:b/>
        </w:rPr>
      </w:pPr>
      <w:r>
        <w:rPr>
          <w:b/>
        </w:rPr>
        <w:t>TYPE OF COLLECTION:</w:t>
      </w:r>
      <w:r w:rsidRPr="00F06866">
        <w:t xml:space="preserve"> (Check one)</w:t>
      </w:r>
    </w:p>
    <w:p w:rsidRPr="00434E33" w:rsidR="00441434" w:rsidP="0096108F" w:rsidRDefault="00441434" w14:paraId="22FE17B3" w14:textId="77777777">
      <w:pPr>
        <w:pStyle w:val="BodyTextIndent"/>
        <w:tabs>
          <w:tab w:val="left" w:pos="360"/>
        </w:tabs>
        <w:ind w:left="0"/>
        <w:rPr>
          <w:bCs/>
          <w:sz w:val="16"/>
          <w:szCs w:val="16"/>
        </w:rPr>
      </w:pPr>
    </w:p>
    <w:p w:rsidRPr="00F06866" w:rsidR="00F06866" w:rsidP="0096108F" w:rsidRDefault="0096108F" w14:paraId="08DFE88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0E9176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932B9E1" w14:textId="77777777">
      <w:pPr>
        <w:pStyle w:val="BodyTextIndent"/>
        <w:tabs>
          <w:tab w:val="left" w:pos="360"/>
        </w:tabs>
        <w:ind w:left="0"/>
        <w:rPr>
          <w:bCs/>
          <w:sz w:val="24"/>
        </w:rPr>
      </w:pPr>
      <w:r>
        <w:rPr>
          <w:bCs/>
          <w:sz w:val="24"/>
        </w:rPr>
        <w:t>[</w:t>
      </w:r>
      <w:proofErr w:type="gramStart"/>
      <w:r w:rsidR="00390C5E">
        <w:rPr>
          <w:bCs/>
          <w:sz w:val="24"/>
        </w:rPr>
        <w:t>X</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A11DE2F" w14:textId="77777777">
      <w:pPr>
        <w:pStyle w:val="Header"/>
        <w:tabs>
          <w:tab w:val="clear" w:pos="4320"/>
          <w:tab w:val="clear" w:pos="8640"/>
        </w:tabs>
      </w:pPr>
    </w:p>
    <w:p w:rsidR="00CA2650" w:rsidRDefault="00441434" w14:paraId="6A8564B3" w14:textId="77777777">
      <w:pPr>
        <w:rPr>
          <w:b/>
        </w:rPr>
      </w:pPr>
      <w:r>
        <w:rPr>
          <w:b/>
        </w:rPr>
        <w:t>C</w:t>
      </w:r>
      <w:r w:rsidR="009C13B9">
        <w:rPr>
          <w:b/>
        </w:rPr>
        <w:t>ERTIFICATION:</w:t>
      </w:r>
    </w:p>
    <w:p w:rsidR="00441434" w:rsidRDefault="00441434" w14:paraId="1A7506A3" w14:textId="77777777">
      <w:pPr>
        <w:rPr>
          <w:sz w:val="16"/>
          <w:szCs w:val="16"/>
        </w:rPr>
      </w:pPr>
    </w:p>
    <w:p w:rsidRPr="009C13B9" w:rsidR="008101A5" w:rsidP="008101A5" w:rsidRDefault="008101A5" w14:paraId="168C6C5D" w14:textId="77777777">
      <w:r>
        <w:t xml:space="preserve">I certify the following to be true: </w:t>
      </w:r>
    </w:p>
    <w:p w:rsidR="008101A5" w:rsidP="008101A5" w:rsidRDefault="008101A5" w14:paraId="2425FAC3" w14:textId="77777777">
      <w:pPr>
        <w:pStyle w:val="ListParagraph"/>
        <w:numPr>
          <w:ilvl w:val="0"/>
          <w:numId w:val="14"/>
        </w:numPr>
      </w:pPr>
      <w:r>
        <w:t>The collection is voluntary.</w:t>
      </w:r>
      <w:r w:rsidRPr="00C14CC4">
        <w:t xml:space="preserve"> </w:t>
      </w:r>
    </w:p>
    <w:p w:rsidR="008101A5" w:rsidP="008101A5" w:rsidRDefault="008101A5" w14:paraId="6011CF8C"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6541D5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3F6EA5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28849D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184C4B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D7ABE79" w14:textId="77777777"/>
    <w:p w:rsidRPr="004B24CC" w:rsidR="00CE2E9C" w:rsidP="009C13B9" w:rsidRDefault="009C13B9" w14:paraId="78EA11AD" w14:textId="77777777">
      <w:pPr>
        <w:rPr>
          <w:lang w:val="es-PR"/>
        </w:rPr>
      </w:pPr>
      <w:proofErr w:type="spellStart"/>
      <w:r w:rsidRPr="004B24CC">
        <w:rPr>
          <w:lang w:val="es-PR"/>
        </w:rPr>
        <w:t>Name</w:t>
      </w:r>
      <w:proofErr w:type="spellEnd"/>
      <w:r w:rsidRPr="004B24CC">
        <w:rPr>
          <w:lang w:val="es-PR"/>
        </w:rPr>
        <w:t>:</w:t>
      </w:r>
      <w:r w:rsidRPr="004B24CC" w:rsidR="00CE2E9C">
        <w:rPr>
          <w:lang w:val="es-PR"/>
        </w:rPr>
        <w:t xml:space="preserve"> </w:t>
      </w:r>
      <w:r w:rsidRPr="004B24CC" w:rsidR="00CE2E9C">
        <w:rPr>
          <w:u w:val="single"/>
          <w:lang w:val="es-PR"/>
        </w:rPr>
        <w:t>Nicole García-Quijano, MD, MPH</w:t>
      </w:r>
      <w:r w:rsidRPr="004B24CC" w:rsidR="00CE2E9C">
        <w:rPr>
          <w:lang w:val="es-PR"/>
        </w:rPr>
        <w:t xml:space="preserve"> </w:t>
      </w:r>
    </w:p>
    <w:p w:rsidRPr="004B24CC" w:rsidR="009C13B9" w:rsidP="004B24CC" w:rsidRDefault="009C13B9" w14:paraId="46B5255D" w14:textId="77777777">
      <w:pPr>
        <w:rPr>
          <w:lang w:val="es-PR"/>
        </w:rPr>
      </w:pPr>
    </w:p>
    <w:p w:rsidR="009C13B9" w:rsidP="009C13B9" w:rsidRDefault="009C13B9" w14:paraId="2E674304" w14:textId="77777777">
      <w:r>
        <w:t>To assist review, please provide answers to the following question:</w:t>
      </w:r>
    </w:p>
    <w:p w:rsidR="009C13B9" w:rsidP="009C13B9" w:rsidRDefault="009C13B9" w14:paraId="4A82CF50" w14:textId="77777777">
      <w:pPr>
        <w:pStyle w:val="ListParagraph"/>
        <w:ind w:left="360"/>
      </w:pPr>
    </w:p>
    <w:p w:rsidRPr="00C86E91" w:rsidR="009C13B9" w:rsidP="00C86E91" w:rsidRDefault="00C86E91" w14:paraId="1758084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7417770"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390C5E">
        <w:t>X</w:t>
      </w:r>
      <w:r w:rsidR="009239AA">
        <w:t xml:space="preserve">]  No </w:t>
      </w:r>
    </w:p>
    <w:p w:rsidR="00C86E91" w:rsidP="00C86E91" w:rsidRDefault="009C13B9" w14:paraId="158FC4A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477800A7"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61BDD32B" w14:textId="77777777">
      <w:pPr>
        <w:pStyle w:val="ListParagraph"/>
        <w:ind w:left="360"/>
      </w:pPr>
    </w:p>
    <w:p w:rsidRPr="00C86E91" w:rsidR="00C86E91" w:rsidP="00C86E91" w:rsidRDefault="00CB1078" w14:paraId="4A5B03EB" w14:textId="77777777">
      <w:pPr>
        <w:pStyle w:val="ListParagraph"/>
        <w:ind w:left="0"/>
        <w:rPr>
          <w:b/>
        </w:rPr>
      </w:pPr>
      <w:r>
        <w:rPr>
          <w:b/>
        </w:rPr>
        <w:t>Gifts or Payments</w:t>
      </w:r>
      <w:r w:rsidR="00C86E91">
        <w:rPr>
          <w:b/>
        </w:rPr>
        <w:t>:</w:t>
      </w:r>
    </w:p>
    <w:p w:rsidR="00C86E91" w:rsidP="00C86E91" w:rsidRDefault="00C86E91" w14:paraId="20B22C69" w14:textId="77777777">
      <w:r>
        <w:t>Is an incentive (e.g., money or reimbursement of expenses, token of appreciation) provided to participants?  [</w:t>
      </w:r>
      <w:r w:rsidR="00390C5E">
        <w:t>X</w:t>
      </w:r>
      <w:r>
        <w:t xml:space="preserve">] Yes </w:t>
      </w:r>
      <w:proofErr w:type="gramStart"/>
      <w:r>
        <w:t>[  ]</w:t>
      </w:r>
      <w:proofErr w:type="gramEnd"/>
      <w:r>
        <w:t xml:space="preserve"> No  </w:t>
      </w:r>
    </w:p>
    <w:p w:rsidR="00390C5E" w:rsidP="00C86E91" w:rsidRDefault="00390C5E" w14:paraId="6E5E6A0B" w14:textId="77777777"/>
    <w:p w:rsidRPr="00503813" w:rsidR="00390C5E" w:rsidP="00390C5E" w:rsidRDefault="00390C5E" w14:paraId="37172726" w14:textId="77777777">
      <w:pPr>
        <w:ind w:left="720"/>
      </w:pPr>
      <w:r w:rsidRPr="004C0189">
        <w:t>We propose providing an incentive to all focus group participants of $</w:t>
      </w:r>
      <w:r w:rsidR="00FE18D8">
        <w:t>75</w:t>
      </w:r>
      <w:r w:rsidRPr="004C0189">
        <w:t>. The proposed incentive amount has been shown to be effective by Federal agencies for focus group activities, offsetting the challenges for these audiences to participate in a focus group. Expenses incurred by participants include</w:t>
      </w:r>
      <w:r>
        <w:t xml:space="preserve"> </w:t>
      </w:r>
      <w:r w:rsidRPr="004C0189">
        <w:t>childcare, among others</w:t>
      </w:r>
      <w:r w:rsidR="00FE18D8">
        <w:t>, for both participating in the pre-discussion homework (estimated to take 30 minutes) and the focus group (60 minutes)</w:t>
      </w:r>
      <w:r w:rsidRPr="004C0189">
        <w:t>. Incentives ensure timely recruitment and decrease no-show rates.</w:t>
      </w:r>
    </w:p>
    <w:p w:rsidR="00F24CFC" w:rsidRDefault="00F24CFC" w14:paraId="0E45C017" w14:textId="77777777">
      <w:pPr>
        <w:rPr>
          <w:b/>
        </w:rPr>
      </w:pPr>
    </w:p>
    <w:p w:rsidRPr="00BC676D" w:rsidR="005E714A" w:rsidP="00C86E91" w:rsidRDefault="003668D6" w14:paraId="24E6D95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72BE3A6"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14"/>
        <w:gridCol w:w="1582"/>
        <w:gridCol w:w="1582"/>
        <w:gridCol w:w="1655"/>
        <w:gridCol w:w="1294"/>
        <w:gridCol w:w="1223"/>
      </w:tblGrid>
      <w:tr w:rsidR="00E5399A" w:rsidTr="00250795" w14:paraId="6C2B6B13" w14:textId="77777777">
        <w:trPr>
          <w:trHeight w:val="274"/>
        </w:trPr>
        <w:tc>
          <w:tcPr>
            <w:tcW w:w="1077" w:type="pct"/>
          </w:tcPr>
          <w:p w:rsidRPr="002D26E2" w:rsidR="00E5399A" w:rsidP="00C8488C" w:rsidRDefault="00E5399A" w14:paraId="79C92E5E" w14:textId="77777777">
            <w:pPr>
              <w:rPr>
                <w:b/>
              </w:rPr>
            </w:pPr>
            <w:r w:rsidRPr="002D26E2">
              <w:rPr>
                <w:b/>
              </w:rPr>
              <w:t xml:space="preserve">Category of Respondent </w:t>
            </w:r>
          </w:p>
        </w:tc>
        <w:tc>
          <w:tcPr>
            <w:tcW w:w="846" w:type="pct"/>
          </w:tcPr>
          <w:p w:rsidRPr="002D26E2" w:rsidR="00E5399A" w:rsidP="00843796" w:rsidRDefault="00E5399A" w14:paraId="3604CEE6" w14:textId="77777777">
            <w:pPr>
              <w:rPr>
                <w:b/>
              </w:rPr>
            </w:pPr>
            <w:r>
              <w:rPr>
                <w:b/>
              </w:rPr>
              <w:t xml:space="preserve">Form Name </w:t>
            </w:r>
          </w:p>
        </w:tc>
        <w:tc>
          <w:tcPr>
            <w:tcW w:w="846" w:type="pct"/>
          </w:tcPr>
          <w:p w:rsidRPr="002D26E2" w:rsidR="00E5399A" w:rsidP="00843796" w:rsidRDefault="00E5399A" w14:paraId="7182260B" w14:textId="77777777">
            <w:pPr>
              <w:rPr>
                <w:b/>
              </w:rPr>
            </w:pPr>
            <w:r w:rsidRPr="002D26E2">
              <w:rPr>
                <w:b/>
              </w:rPr>
              <w:t>No. of Respondents</w:t>
            </w:r>
          </w:p>
        </w:tc>
        <w:tc>
          <w:tcPr>
            <w:tcW w:w="885" w:type="pct"/>
          </w:tcPr>
          <w:p w:rsidRPr="002D26E2" w:rsidR="00E5399A" w:rsidP="00843796" w:rsidRDefault="00E5399A" w14:paraId="28FA61B1" w14:textId="77777777">
            <w:pPr>
              <w:rPr>
                <w:b/>
              </w:rPr>
            </w:pPr>
            <w:r>
              <w:rPr>
                <w:b/>
              </w:rPr>
              <w:t xml:space="preserve">No. of Responses per Respondent </w:t>
            </w:r>
          </w:p>
        </w:tc>
        <w:tc>
          <w:tcPr>
            <w:tcW w:w="692" w:type="pct"/>
          </w:tcPr>
          <w:p w:rsidR="00E5399A" w:rsidP="00843796" w:rsidRDefault="00E5399A" w14:paraId="28829A25" w14:textId="77777777">
            <w:pPr>
              <w:rPr>
                <w:b/>
              </w:rPr>
            </w:pPr>
            <w:r>
              <w:rPr>
                <w:b/>
              </w:rPr>
              <w:t xml:space="preserve">Time per </w:t>
            </w:r>
          </w:p>
          <w:p w:rsidR="00E5399A" w:rsidP="00843796" w:rsidRDefault="00E5399A" w14:paraId="356044ED" w14:textId="77777777">
            <w:pPr>
              <w:rPr>
                <w:b/>
              </w:rPr>
            </w:pPr>
            <w:r>
              <w:rPr>
                <w:b/>
              </w:rPr>
              <w:t xml:space="preserve">Response </w:t>
            </w:r>
          </w:p>
          <w:p w:rsidRPr="002D26E2" w:rsidR="00E5399A" w:rsidP="00843796" w:rsidRDefault="00E5399A" w14:paraId="4940F683" w14:textId="77777777">
            <w:pPr>
              <w:rPr>
                <w:b/>
              </w:rPr>
            </w:pPr>
            <w:r>
              <w:rPr>
                <w:b/>
              </w:rPr>
              <w:t xml:space="preserve">(in hours) </w:t>
            </w:r>
          </w:p>
        </w:tc>
        <w:tc>
          <w:tcPr>
            <w:tcW w:w="654" w:type="pct"/>
          </w:tcPr>
          <w:p w:rsidR="00E5399A" w:rsidP="00843796" w:rsidRDefault="00E5399A" w14:paraId="5C3DE531" w14:textId="77777777">
            <w:pPr>
              <w:rPr>
                <w:b/>
              </w:rPr>
            </w:pPr>
            <w:r>
              <w:rPr>
                <w:b/>
              </w:rPr>
              <w:t xml:space="preserve">Total </w:t>
            </w:r>
            <w:r w:rsidRPr="002D26E2">
              <w:rPr>
                <w:b/>
              </w:rPr>
              <w:t>Burden</w:t>
            </w:r>
          </w:p>
          <w:p w:rsidRPr="002D26E2" w:rsidR="00E5399A" w:rsidP="00843796" w:rsidRDefault="00E5399A" w14:paraId="4D8E6E54" w14:textId="77777777">
            <w:pPr>
              <w:rPr>
                <w:b/>
              </w:rPr>
            </w:pPr>
            <w:r>
              <w:rPr>
                <w:b/>
              </w:rPr>
              <w:t xml:space="preserve">Hours </w:t>
            </w:r>
          </w:p>
        </w:tc>
      </w:tr>
      <w:tr w:rsidR="00E5399A" w:rsidTr="00250795" w14:paraId="1FDD38AD" w14:textId="77777777">
        <w:trPr>
          <w:trHeight w:val="260"/>
        </w:trPr>
        <w:tc>
          <w:tcPr>
            <w:tcW w:w="1077" w:type="pct"/>
          </w:tcPr>
          <w:p w:rsidR="00E5399A" w:rsidP="00843796" w:rsidRDefault="00E5399A" w14:paraId="58B79A95" w14:textId="77777777">
            <w:r>
              <w:t>Individuals or Households</w:t>
            </w:r>
          </w:p>
        </w:tc>
        <w:tc>
          <w:tcPr>
            <w:tcW w:w="846" w:type="pct"/>
          </w:tcPr>
          <w:p w:rsidR="00E5399A" w:rsidP="00843796" w:rsidRDefault="00E5399A" w14:paraId="16B22883" w14:textId="77777777">
            <w:r>
              <w:t xml:space="preserve">Screener </w:t>
            </w:r>
          </w:p>
        </w:tc>
        <w:tc>
          <w:tcPr>
            <w:tcW w:w="846" w:type="pct"/>
          </w:tcPr>
          <w:p w:rsidR="00E5399A" w:rsidP="00843796" w:rsidRDefault="00E5399A" w14:paraId="4BC8F006" w14:textId="77777777">
            <w:r>
              <w:t xml:space="preserve">48 </w:t>
            </w:r>
          </w:p>
        </w:tc>
        <w:tc>
          <w:tcPr>
            <w:tcW w:w="885" w:type="pct"/>
          </w:tcPr>
          <w:p w:rsidR="00E5399A" w:rsidP="00843796" w:rsidRDefault="00E5399A" w14:paraId="76ACE620" w14:textId="77777777">
            <w:r>
              <w:t>1</w:t>
            </w:r>
          </w:p>
        </w:tc>
        <w:tc>
          <w:tcPr>
            <w:tcW w:w="692" w:type="pct"/>
          </w:tcPr>
          <w:p w:rsidR="00E5399A" w:rsidP="00843796" w:rsidRDefault="00E5399A" w14:paraId="6205528F" w14:textId="77777777">
            <w:r>
              <w:t>10/60</w:t>
            </w:r>
          </w:p>
        </w:tc>
        <w:tc>
          <w:tcPr>
            <w:tcW w:w="654" w:type="pct"/>
          </w:tcPr>
          <w:p w:rsidR="00E5399A" w:rsidP="00843796" w:rsidRDefault="00E5399A" w14:paraId="013D1863" w14:textId="77777777">
            <w:r>
              <w:t>8</w:t>
            </w:r>
          </w:p>
        </w:tc>
      </w:tr>
      <w:tr w:rsidR="00E5399A" w:rsidTr="00250795" w14:paraId="6C95A8E9" w14:textId="77777777">
        <w:trPr>
          <w:trHeight w:val="260"/>
        </w:trPr>
        <w:tc>
          <w:tcPr>
            <w:tcW w:w="1077" w:type="pct"/>
          </w:tcPr>
          <w:p w:rsidR="00E5399A" w:rsidP="00843796" w:rsidRDefault="00E5399A" w14:paraId="04D40CDC" w14:textId="77777777">
            <w:r>
              <w:lastRenderedPageBreak/>
              <w:t xml:space="preserve">Individual or Households </w:t>
            </w:r>
          </w:p>
        </w:tc>
        <w:tc>
          <w:tcPr>
            <w:tcW w:w="846" w:type="pct"/>
          </w:tcPr>
          <w:p w:rsidR="00E5399A" w:rsidP="00843796" w:rsidRDefault="00E5399A" w14:paraId="55FE01E4" w14:textId="77777777">
            <w:r>
              <w:t>Informed Consent</w:t>
            </w:r>
          </w:p>
        </w:tc>
        <w:tc>
          <w:tcPr>
            <w:tcW w:w="846" w:type="pct"/>
          </w:tcPr>
          <w:p w:rsidR="00E5399A" w:rsidP="00843796" w:rsidRDefault="00E5399A" w14:paraId="0C9B5F3C" w14:textId="77777777">
            <w:r>
              <w:t xml:space="preserve">24 </w:t>
            </w:r>
          </w:p>
        </w:tc>
        <w:tc>
          <w:tcPr>
            <w:tcW w:w="885" w:type="pct"/>
          </w:tcPr>
          <w:p w:rsidR="00E5399A" w:rsidP="00843796" w:rsidRDefault="00E5399A" w14:paraId="3FA14309" w14:textId="77777777">
            <w:r>
              <w:t>1</w:t>
            </w:r>
          </w:p>
        </w:tc>
        <w:tc>
          <w:tcPr>
            <w:tcW w:w="692" w:type="pct"/>
          </w:tcPr>
          <w:p w:rsidR="00E5399A" w:rsidP="00843796" w:rsidRDefault="00E5399A" w14:paraId="289579A0" w14:textId="77777777">
            <w:r>
              <w:t>5/60</w:t>
            </w:r>
          </w:p>
        </w:tc>
        <w:tc>
          <w:tcPr>
            <w:tcW w:w="654" w:type="pct"/>
          </w:tcPr>
          <w:p w:rsidR="00E5399A" w:rsidP="00843796" w:rsidRDefault="00E5399A" w14:paraId="0967C24D" w14:textId="77777777">
            <w:r>
              <w:t>2</w:t>
            </w:r>
          </w:p>
        </w:tc>
      </w:tr>
      <w:tr w:rsidR="00E5399A" w:rsidTr="00250795" w14:paraId="3873ABC2" w14:textId="77777777">
        <w:trPr>
          <w:trHeight w:val="260"/>
        </w:trPr>
        <w:tc>
          <w:tcPr>
            <w:tcW w:w="1077" w:type="pct"/>
          </w:tcPr>
          <w:p w:rsidR="00E5399A" w:rsidP="00843796" w:rsidRDefault="00E5399A" w14:paraId="447DE18A" w14:textId="77777777">
            <w:r>
              <w:t>Individual or Households</w:t>
            </w:r>
          </w:p>
        </w:tc>
        <w:tc>
          <w:tcPr>
            <w:tcW w:w="846" w:type="pct"/>
          </w:tcPr>
          <w:p w:rsidR="00E5399A" w:rsidP="00843796" w:rsidRDefault="00E5399A" w14:paraId="2C423E61" w14:textId="77777777">
            <w:r>
              <w:t xml:space="preserve">Homework </w:t>
            </w:r>
            <w:r w:rsidR="003809F6">
              <w:t>Instructions</w:t>
            </w:r>
            <w:r>
              <w:t xml:space="preserve"> and TMD Brochure</w:t>
            </w:r>
          </w:p>
        </w:tc>
        <w:tc>
          <w:tcPr>
            <w:tcW w:w="846" w:type="pct"/>
          </w:tcPr>
          <w:p w:rsidR="00E5399A" w:rsidP="00843796" w:rsidRDefault="00E5399A" w14:paraId="045FE183" w14:textId="77777777">
            <w:r>
              <w:t xml:space="preserve">24 </w:t>
            </w:r>
          </w:p>
        </w:tc>
        <w:tc>
          <w:tcPr>
            <w:tcW w:w="885" w:type="pct"/>
          </w:tcPr>
          <w:p w:rsidR="00E5399A" w:rsidP="00843796" w:rsidRDefault="00F87EA8" w14:paraId="6D5B22FF" w14:textId="77777777">
            <w:r>
              <w:t>1</w:t>
            </w:r>
          </w:p>
        </w:tc>
        <w:tc>
          <w:tcPr>
            <w:tcW w:w="692" w:type="pct"/>
          </w:tcPr>
          <w:p w:rsidR="00E5399A" w:rsidP="00843796" w:rsidRDefault="00E5399A" w14:paraId="5C5A8A9E" w14:textId="77777777">
            <w:r>
              <w:t>30/60</w:t>
            </w:r>
          </w:p>
        </w:tc>
        <w:tc>
          <w:tcPr>
            <w:tcW w:w="654" w:type="pct"/>
          </w:tcPr>
          <w:p w:rsidR="00E5399A" w:rsidP="00843796" w:rsidRDefault="00AA3B21" w14:paraId="1884C484" w14:textId="154AD658">
            <w:r>
              <w:t>12</w:t>
            </w:r>
          </w:p>
        </w:tc>
      </w:tr>
      <w:tr w:rsidR="00E5399A" w:rsidTr="00250795" w14:paraId="1726042A" w14:textId="77777777">
        <w:trPr>
          <w:trHeight w:val="274"/>
        </w:trPr>
        <w:tc>
          <w:tcPr>
            <w:tcW w:w="1077" w:type="pct"/>
          </w:tcPr>
          <w:p w:rsidR="00E5399A" w:rsidP="00843796" w:rsidRDefault="00E5399A" w14:paraId="489106F8" w14:textId="77777777">
            <w:r>
              <w:t>Individuals or Households</w:t>
            </w:r>
          </w:p>
        </w:tc>
        <w:tc>
          <w:tcPr>
            <w:tcW w:w="846" w:type="pct"/>
          </w:tcPr>
          <w:p w:rsidR="00E5399A" w:rsidP="00843796" w:rsidRDefault="00E5399A" w14:paraId="7EC53B98" w14:textId="77777777">
            <w:r>
              <w:t xml:space="preserve">Moderator’s Guide </w:t>
            </w:r>
          </w:p>
        </w:tc>
        <w:tc>
          <w:tcPr>
            <w:tcW w:w="846" w:type="pct"/>
          </w:tcPr>
          <w:p w:rsidR="00E5399A" w:rsidP="00843796" w:rsidRDefault="00E5399A" w14:paraId="6F8C3ECF" w14:textId="77777777">
            <w:r>
              <w:t xml:space="preserve">24 </w:t>
            </w:r>
          </w:p>
        </w:tc>
        <w:tc>
          <w:tcPr>
            <w:tcW w:w="885" w:type="pct"/>
          </w:tcPr>
          <w:p w:rsidR="00E5399A" w:rsidP="00843796" w:rsidRDefault="00E5399A" w14:paraId="7252907E" w14:textId="77777777">
            <w:r>
              <w:t>1</w:t>
            </w:r>
          </w:p>
        </w:tc>
        <w:tc>
          <w:tcPr>
            <w:tcW w:w="692" w:type="pct"/>
          </w:tcPr>
          <w:p w:rsidR="00E5399A" w:rsidP="00843796" w:rsidRDefault="00E5399A" w14:paraId="647E375E" w14:textId="77777777">
            <w:r>
              <w:t>60/60</w:t>
            </w:r>
          </w:p>
        </w:tc>
        <w:tc>
          <w:tcPr>
            <w:tcW w:w="654" w:type="pct"/>
          </w:tcPr>
          <w:p w:rsidR="00E5399A" w:rsidP="00843796" w:rsidRDefault="00E5399A" w14:paraId="591F0C41" w14:textId="77777777">
            <w:r>
              <w:t>24</w:t>
            </w:r>
          </w:p>
        </w:tc>
      </w:tr>
      <w:tr w:rsidR="00E5399A" w:rsidTr="00250795" w14:paraId="2A21E3FA" w14:textId="77777777">
        <w:trPr>
          <w:trHeight w:val="289"/>
        </w:trPr>
        <w:tc>
          <w:tcPr>
            <w:tcW w:w="1077" w:type="pct"/>
          </w:tcPr>
          <w:p w:rsidRPr="002D26E2" w:rsidR="00E5399A" w:rsidP="00843796" w:rsidRDefault="00E5399A" w14:paraId="287A7DF9" w14:textId="77777777">
            <w:pPr>
              <w:rPr>
                <w:b/>
              </w:rPr>
            </w:pPr>
            <w:r w:rsidRPr="002D26E2">
              <w:rPr>
                <w:b/>
              </w:rPr>
              <w:t>Totals</w:t>
            </w:r>
          </w:p>
        </w:tc>
        <w:tc>
          <w:tcPr>
            <w:tcW w:w="846" w:type="pct"/>
          </w:tcPr>
          <w:p w:rsidR="00E5399A" w:rsidP="00843796" w:rsidRDefault="00E5399A" w14:paraId="7E3F9491" w14:textId="77777777">
            <w:pPr>
              <w:rPr>
                <w:b/>
              </w:rPr>
            </w:pPr>
          </w:p>
        </w:tc>
        <w:tc>
          <w:tcPr>
            <w:tcW w:w="846" w:type="pct"/>
          </w:tcPr>
          <w:p w:rsidRPr="002D26E2" w:rsidR="00E5399A" w:rsidP="00843796" w:rsidRDefault="00E5399A" w14:paraId="68337A15" w14:textId="77777777">
            <w:pPr>
              <w:rPr>
                <w:b/>
              </w:rPr>
            </w:pPr>
          </w:p>
        </w:tc>
        <w:tc>
          <w:tcPr>
            <w:tcW w:w="885" w:type="pct"/>
          </w:tcPr>
          <w:p w:rsidR="00E5399A" w:rsidP="00843796" w:rsidRDefault="00F87EA8" w14:paraId="19DF57C4" w14:textId="77777777">
            <w:r>
              <w:t>24</w:t>
            </w:r>
          </w:p>
        </w:tc>
        <w:tc>
          <w:tcPr>
            <w:tcW w:w="692" w:type="pct"/>
          </w:tcPr>
          <w:p w:rsidR="00E5399A" w:rsidP="00843796" w:rsidRDefault="00E5399A" w14:paraId="2836AF67" w14:textId="77777777"/>
        </w:tc>
        <w:tc>
          <w:tcPr>
            <w:tcW w:w="654" w:type="pct"/>
          </w:tcPr>
          <w:p w:rsidRPr="002D26E2" w:rsidR="00E5399A" w:rsidP="00843796" w:rsidRDefault="00AA3B21" w14:paraId="54F3DAE8" w14:textId="7B61F288">
            <w:pPr>
              <w:rPr>
                <w:b/>
              </w:rPr>
            </w:pPr>
            <w:r>
              <w:rPr>
                <w:b/>
              </w:rPr>
              <w:t>46</w:t>
            </w:r>
          </w:p>
        </w:tc>
      </w:tr>
    </w:tbl>
    <w:p w:rsidR="00F3170F" w:rsidP="00F3170F" w:rsidRDefault="00F3170F" w14:paraId="7133C4A9" w14:textId="77777777"/>
    <w:p w:rsidR="009A036B" w:rsidP="009A036B" w:rsidRDefault="009A036B" w14:paraId="6A0C753D" w14:textId="77777777">
      <w:pPr>
        <w:rPr>
          <w:b/>
        </w:rPr>
      </w:pPr>
    </w:p>
    <w:p w:rsidR="00B854E3" w:rsidP="009A036B" w:rsidRDefault="00B854E3" w14:paraId="7AFA8A16" w14:textId="77777777">
      <w:pPr>
        <w:rPr>
          <w:b/>
        </w:rPr>
      </w:pPr>
      <w:r>
        <w:rPr>
          <w:b/>
        </w:rPr>
        <w:t xml:space="preserve">COST FOR RESPONDENT </w:t>
      </w:r>
    </w:p>
    <w:p w:rsidRPr="009A036B" w:rsidR="00B854E3" w:rsidP="009A036B" w:rsidRDefault="00B854E3" w14:paraId="78906187"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C0140B9" w14:textId="77777777">
        <w:trPr>
          <w:trHeight w:val="274"/>
        </w:trPr>
        <w:tc>
          <w:tcPr>
            <w:tcW w:w="2790" w:type="dxa"/>
          </w:tcPr>
          <w:p w:rsidRPr="009A036B" w:rsidR="00CA2010" w:rsidP="00CA2010" w:rsidRDefault="00CA2010" w14:paraId="55FA7BD7" w14:textId="77777777">
            <w:pPr>
              <w:rPr>
                <w:b/>
              </w:rPr>
            </w:pPr>
            <w:r w:rsidRPr="009A036B">
              <w:rPr>
                <w:b/>
              </w:rPr>
              <w:t xml:space="preserve"> </w:t>
            </w:r>
            <w:r w:rsidRPr="00CA2010">
              <w:rPr>
                <w:b/>
              </w:rPr>
              <w:t>Category of Respondent</w:t>
            </w:r>
          </w:p>
          <w:p w:rsidRPr="009A036B" w:rsidR="00CA2010" w:rsidP="00CA2010" w:rsidRDefault="00CA2010" w14:paraId="056DD46E" w14:textId="77777777">
            <w:pPr>
              <w:rPr>
                <w:b/>
              </w:rPr>
            </w:pPr>
          </w:p>
        </w:tc>
        <w:tc>
          <w:tcPr>
            <w:tcW w:w="2250" w:type="dxa"/>
          </w:tcPr>
          <w:p w:rsidRPr="00CA2010" w:rsidR="00CA2010" w:rsidP="00CA2010" w:rsidRDefault="00CA2010" w14:paraId="617B33F6" w14:textId="77777777">
            <w:pPr>
              <w:rPr>
                <w:b/>
              </w:rPr>
            </w:pPr>
            <w:r w:rsidRPr="00CA2010">
              <w:rPr>
                <w:b/>
              </w:rPr>
              <w:t>Total Burden</w:t>
            </w:r>
          </w:p>
          <w:p w:rsidRPr="009A036B" w:rsidR="00CA2010" w:rsidP="00CA2010" w:rsidRDefault="00CA2010" w14:paraId="4E854074" w14:textId="77777777">
            <w:pPr>
              <w:rPr>
                <w:b/>
              </w:rPr>
            </w:pPr>
            <w:r w:rsidRPr="00CA2010">
              <w:rPr>
                <w:b/>
              </w:rPr>
              <w:t>Hours</w:t>
            </w:r>
          </w:p>
        </w:tc>
        <w:tc>
          <w:tcPr>
            <w:tcW w:w="2520" w:type="dxa"/>
          </w:tcPr>
          <w:p w:rsidRPr="009A036B" w:rsidR="00CA2010" w:rsidP="009A036B" w:rsidRDefault="00F94D8C" w14:paraId="6906850B" w14:textId="77777777">
            <w:pPr>
              <w:rPr>
                <w:b/>
              </w:rPr>
            </w:pPr>
            <w:r>
              <w:rPr>
                <w:b/>
              </w:rPr>
              <w:t xml:space="preserve">Hourly </w:t>
            </w:r>
            <w:r w:rsidR="00CA2010">
              <w:rPr>
                <w:b/>
              </w:rPr>
              <w:t>Wage Rate*</w:t>
            </w:r>
          </w:p>
        </w:tc>
        <w:tc>
          <w:tcPr>
            <w:tcW w:w="1620" w:type="dxa"/>
          </w:tcPr>
          <w:p w:rsidRPr="009A036B" w:rsidR="00CA2010" w:rsidP="009A036B" w:rsidRDefault="00CA2010" w14:paraId="3A2AEE35" w14:textId="77777777">
            <w:pPr>
              <w:rPr>
                <w:b/>
              </w:rPr>
            </w:pPr>
            <w:r>
              <w:rPr>
                <w:b/>
              </w:rPr>
              <w:t>Total Burden Cost</w:t>
            </w:r>
            <w:r w:rsidRPr="009A036B">
              <w:rPr>
                <w:b/>
              </w:rPr>
              <w:t xml:space="preserve"> </w:t>
            </w:r>
          </w:p>
        </w:tc>
      </w:tr>
      <w:tr w:rsidRPr="009A036B" w:rsidR="00FE18D8" w:rsidTr="00CA2010" w14:paraId="22A389B1" w14:textId="77777777">
        <w:trPr>
          <w:trHeight w:val="274"/>
        </w:trPr>
        <w:tc>
          <w:tcPr>
            <w:tcW w:w="2790" w:type="dxa"/>
          </w:tcPr>
          <w:p w:rsidR="00FE18D8" w:rsidP="00FE18D8" w:rsidRDefault="00FE18D8" w14:paraId="771CA809" w14:textId="77777777">
            <w:r>
              <w:t>Individuals or Households</w:t>
            </w:r>
          </w:p>
        </w:tc>
        <w:tc>
          <w:tcPr>
            <w:tcW w:w="2250" w:type="dxa"/>
          </w:tcPr>
          <w:p w:rsidRPr="009A036B" w:rsidR="00FE18D8" w:rsidP="00FE18D8" w:rsidRDefault="0074034E" w14:paraId="21674F44" w14:textId="17B0593C">
            <w:r>
              <w:t>46</w:t>
            </w:r>
            <w:r w:rsidR="00FE18D8">
              <w:t xml:space="preserve"> </w:t>
            </w:r>
          </w:p>
        </w:tc>
        <w:tc>
          <w:tcPr>
            <w:tcW w:w="2520" w:type="dxa"/>
          </w:tcPr>
          <w:p w:rsidRPr="009A036B" w:rsidR="00FE18D8" w:rsidP="00FE18D8" w:rsidRDefault="00FE18D8" w14:paraId="1358B00F" w14:textId="77777777">
            <w:r>
              <w:t>$24.98</w:t>
            </w:r>
          </w:p>
        </w:tc>
        <w:tc>
          <w:tcPr>
            <w:tcW w:w="1620" w:type="dxa"/>
          </w:tcPr>
          <w:p w:rsidRPr="009A036B" w:rsidR="00FE18D8" w:rsidP="00FE18D8" w:rsidRDefault="00FE18D8" w14:paraId="4C66E672" w14:textId="0B2C94FB">
            <w:r>
              <w:t>$</w:t>
            </w:r>
            <w:r w:rsidR="00B854E3">
              <w:t>1</w:t>
            </w:r>
            <w:r w:rsidR="00AA3B21">
              <w:t>,1</w:t>
            </w:r>
            <w:r w:rsidR="00335D20">
              <w:t>49.</w:t>
            </w:r>
            <w:r w:rsidR="00AA3B21">
              <w:t>08</w:t>
            </w:r>
          </w:p>
        </w:tc>
      </w:tr>
      <w:tr w:rsidRPr="009A036B" w:rsidR="00FE18D8" w:rsidTr="00CA2010" w14:paraId="0279526A" w14:textId="77777777">
        <w:trPr>
          <w:trHeight w:val="289"/>
        </w:trPr>
        <w:tc>
          <w:tcPr>
            <w:tcW w:w="2790" w:type="dxa"/>
          </w:tcPr>
          <w:p w:rsidRPr="009A036B" w:rsidR="00FE18D8" w:rsidP="00FE18D8" w:rsidRDefault="00FE18D8" w14:paraId="76E622D0" w14:textId="77777777">
            <w:pPr>
              <w:rPr>
                <w:b/>
              </w:rPr>
            </w:pPr>
            <w:r w:rsidRPr="009A036B">
              <w:rPr>
                <w:b/>
              </w:rPr>
              <w:t>Totals</w:t>
            </w:r>
          </w:p>
        </w:tc>
        <w:tc>
          <w:tcPr>
            <w:tcW w:w="2250" w:type="dxa"/>
          </w:tcPr>
          <w:p w:rsidRPr="009A036B" w:rsidR="00FE18D8" w:rsidP="00FE18D8" w:rsidRDefault="00FE18D8" w14:paraId="75D28BC2" w14:textId="77777777">
            <w:pPr>
              <w:rPr>
                <w:b/>
              </w:rPr>
            </w:pPr>
          </w:p>
        </w:tc>
        <w:tc>
          <w:tcPr>
            <w:tcW w:w="2520" w:type="dxa"/>
          </w:tcPr>
          <w:p w:rsidRPr="009A036B" w:rsidR="00FE18D8" w:rsidP="00FE18D8" w:rsidRDefault="00FE18D8" w14:paraId="2948779B" w14:textId="77777777"/>
        </w:tc>
        <w:tc>
          <w:tcPr>
            <w:tcW w:w="1620" w:type="dxa"/>
          </w:tcPr>
          <w:p w:rsidRPr="009A036B" w:rsidR="00FE18D8" w:rsidP="00FE18D8" w:rsidRDefault="00FE18D8" w14:paraId="5C213EF6" w14:textId="744741C4">
            <w:r>
              <w:t>$1,</w:t>
            </w:r>
            <w:r w:rsidR="00AA3B21">
              <w:t>1</w:t>
            </w:r>
            <w:r w:rsidR="00335D20">
              <w:t>49.0</w:t>
            </w:r>
            <w:bookmarkStart w:name="_GoBack" w:id="0"/>
            <w:bookmarkEnd w:id="0"/>
            <w:r w:rsidR="00AA3B21">
              <w:t>8</w:t>
            </w:r>
          </w:p>
        </w:tc>
      </w:tr>
    </w:tbl>
    <w:p w:rsidRPr="009A036B" w:rsidR="009A036B" w:rsidP="009A036B" w:rsidRDefault="00CA2010" w14:paraId="035B6755" w14:textId="77777777">
      <w:r>
        <w:t>*Cite source per bls.gov if applicable</w:t>
      </w:r>
    </w:p>
    <w:p w:rsidR="009A036B" w:rsidP="00F3170F" w:rsidRDefault="00635581" w14:paraId="6497CB8C" w14:textId="77777777">
      <w:r>
        <w:t xml:space="preserve">March 2020 National Occupational Employment and Wage Estimates, United States. Bureau of Labor Statistics. United States Department of Labor. Retrieved at </w:t>
      </w:r>
      <w:hyperlink w:history="1" w:anchor="00-0000" r:id="rId8">
        <w:r w:rsidRPr="00EE5ED4">
          <w:rPr>
            <w:rStyle w:val="Hyperlink"/>
          </w:rPr>
          <w:t>https://www.bls.gov/oes/current/oes_nat.htm#00-0000</w:t>
        </w:r>
      </w:hyperlink>
      <w:r>
        <w:t xml:space="preserve">. </w:t>
      </w:r>
    </w:p>
    <w:p w:rsidR="00441434" w:rsidP="00F3170F" w:rsidRDefault="00441434" w14:paraId="2E689603" w14:textId="77777777"/>
    <w:p w:rsidR="005E714A" w:rsidRDefault="001C39F7" w14:paraId="7D4FCBA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4B24CC" w:rsidR="00BF6223">
        <w:t>_</w:t>
      </w:r>
      <w:r w:rsidRPr="004B24CC" w:rsidR="00C86E91">
        <w:t>_____</w:t>
      </w:r>
      <w:r w:rsidRPr="004B24CC" w:rsidR="004B24CC">
        <w:t>$24,448</w:t>
      </w:r>
      <w:r w:rsidRPr="004B24CC" w:rsidR="00C86E91">
        <w:t>______</w:t>
      </w:r>
    </w:p>
    <w:p w:rsidRPr="009A036B" w:rsidR="009A036B" w:rsidP="009A036B" w:rsidRDefault="009A036B" w14:paraId="79459CD6" w14:textId="77777777">
      <w:r>
        <w:rPr>
          <w:b/>
        </w:rPr>
        <w:t xml:space="preserve">                         </w:t>
      </w:r>
    </w:p>
    <w:p w:rsidRPr="009A036B" w:rsidR="009A036B" w:rsidP="009A036B" w:rsidRDefault="009A036B" w14:paraId="7E9EBAA5" w14:textId="77777777"/>
    <w:tbl>
      <w:tblPr>
        <w:tblW w:w="9522" w:type="dxa"/>
        <w:tblCellMar>
          <w:left w:w="0" w:type="dxa"/>
          <w:right w:w="0" w:type="dxa"/>
        </w:tblCellMar>
        <w:tblLook w:val="04A0" w:firstRow="1" w:lastRow="0" w:firstColumn="1" w:lastColumn="0" w:noHBand="0" w:noVBand="1"/>
      </w:tblPr>
      <w:tblGrid>
        <w:gridCol w:w="2733"/>
        <w:gridCol w:w="1368"/>
        <w:gridCol w:w="1296"/>
        <w:gridCol w:w="1363"/>
        <w:gridCol w:w="1302"/>
        <w:gridCol w:w="1460"/>
      </w:tblGrid>
      <w:tr w:rsidRPr="009A036B" w:rsidR="009A036B" w:rsidTr="00F660E4" w14:paraId="7AB5065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A6B445A" w14:textId="77777777">
            <w:pPr>
              <w:rPr>
                <w:b/>
                <w:bCs/>
              </w:rPr>
            </w:pPr>
            <w:r w:rsidRPr="009A036B">
              <w:rPr>
                <w:i/>
              </w:rPr>
              <w:t xml:space="preserve"> </w:t>
            </w:r>
            <w:r w:rsidRPr="009A036B">
              <w:rPr>
                <w:b/>
                <w:bCs/>
              </w:rPr>
              <w:t>Staff</w:t>
            </w:r>
          </w:p>
        </w:tc>
        <w:tc>
          <w:tcPr>
            <w:tcW w:w="1368"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02A06A3" w14:textId="77777777">
            <w:pPr>
              <w:rPr>
                <w:b/>
                <w:bCs/>
              </w:rPr>
            </w:pPr>
          </w:p>
          <w:p w:rsidRPr="009A036B" w:rsidR="009A036B" w:rsidP="009A036B" w:rsidRDefault="009A036B" w14:paraId="174D822B" w14:textId="77777777">
            <w:pPr>
              <w:rPr>
                <w:b/>
                <w:bCs/>
              </w:rPr>
            </w:pPr>
            <w:r w:rsidRPr="009A036B">
              <w:rPr>
                <w:b/>
                <w:bCs/>
              </w:rPr>
              <w:t>Grade/Step</w:t>
            </w:r>
          </w:p>
        </w:tc>
        <w:tc>
          <w:tcPr>
            <w:tcW w:w="12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3877547"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EAAED79" w14:textId="77777777">
            <w:pPr>
              <w:rPr>
                <w:b/>
                <w:bCs/>
              </w:rPr>
            </w:pPr>
            <w:r w:rsidRPr="009A036B">
              <w:rPr>
                <w:b/>
                <w:bCs/>
              </w:rPr>
              <w:t>% of Effort</w:t>
            </w:r>
          </w:p>
        </w:tc>
        <w:tc>
          <w:tcPr>
            <w:tcW w:w="1302"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E651C24" w14:textId="77777777">
            <w:pPr>
              <w:rPr>
                <w:b/>
                <w:bCs/>
              </w:rPr>
            </w:pPr>
            <w:r w:rsidRPr="009A036B">
              <w:rPr>
                <w:b/>
                <w:bCs/>
              </w:rPr>
              <w:t>Fringe (if applicable)</w:t>
            </w:r>
          </w:p>
        </w:tc>
        <w:tc>
          <w:tcPr>
            <w:tcW w:w="1460"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7F55B1B" w14:textId="77777777">
            <w:pPr>
              <w:rPr>
                <w:b/>
                <w:bCs/>
              </w:rPr>
            </w:pPr>
            <w:r w:rsidRPr="009A036B">
              <w:rPr>
                <w:b/>
                <w:bCs/>
              </w:rPr>
              <w:t>Total Cost to Gov’t</w:t>
            </w:r>
          </w:p>
        </w:tc>
      </w:tr>
      <w:tr w:rsidRPr="009A036B" w:rsidR="009A036B" w:rsidTr="00F660E4" w14:paraId="6E8768B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C0B776" w14:textId="77777777">
            <w:pPr>
              <w:rPr>
                <w:b/>
              </w:rPr>
            </w:pPr>
            <w:r w:rsidRPr="009A036B">
              <w:rPr>
                <w:b/>
              </w:rPr>
              <w:t>Federal Oversight</w:t>
            </w:r>
          </w:p>
        </w:tc>
        <w:tc>
          <w:tcPr>
            <w:tcW w:w="1368" w:type="dxa"/>
            <w:tcBorders>
              <w:top w:val="nil"/>
              <w:left w:val="nil"/>
              <w:bottom w:val="single" w:color="auto" w:sz="8" w:space="0"/>
              <w:right w:val="single" w:color="auto" w:sz="8" w:space="0"/>
            </w:tcBorders>
          </w:tcPr>
          <w:p w:rsidRPr="009A036B" w:rsidR="009A036B" w:rsidP="009A036B" w:rsidRDefault="009A036B" w14:paraId="354ACF8F"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09627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123317" w14:textId="77777777"/>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0E3EA903" w14:textId="77777777"/>
        </w:tc>
        <w:tc>
          <w:tcPr>
            <w:tcW w:w="1460" w:type="dxa"/>
            <w:tcBorders>
              <w:top w:val="nil"/>
              <w:left w:val="nil"/>
              <w:bottom w:val="single" w:color="auto" w:sz="8" w:space="0"/>
              <w:right w:val="single" w:color="auto" w:sz="8" w:space="0"/>
            </w:tcBorders>
          </w:tcPr>
          <w:p w:rsidRPr="009A036B" w:rsidR="009A036B" w:rsidP="009A036B" w:rsidRDefault="009A036B" w14:paraId="14E69FA6" w14:textId="77777777"/>
        </w:tc>
      </w:tr>
      <w:tr w:rsidRPr="009A036B" w:rsidR="009A036B" w:rsidTr="00F660E4" w14:paraId="76E0772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E01BA" w14:paraId="5BC8096B" w14:textId="77777777">
            <w:r>
              <w:t xml:space="preserve">Bilingual Public Health Educator </w:t>
            </w:r>
          </w:p>
        </w:tc>
        <w:tc>
          <w:tcPr>
            <w:tcW w:w="1368" w:type="dxa"/>
            <w:tcBorders>
              <w:top w:val="nil"/>
              <w:left w:val="nil"/>
              <w:bottom w:val="single" w:color="auto" w:sz="8" w:space="0"/>
              <w:right w:val="single" w:color="auto" w:sz="8" w:space="0"/>
            </w:tcBorders>
          </w:tcPr>
          <w:p w:rsidRPr="009A036B" w:rsidR="009A036B" w:rsidP="009A036B" w:rsidRDefault="00FE01BA" w14:paraId="241E33DA" w14:textId="77777777">
            <w:r>
              <w:t>13/04</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E01BA" w14:paraId="35B7EDD7" w14:textId="77777777">
            <w:r>
              <w:t>112,930.00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D96E53" w14:paraId="6C2C1B0F" w14:textId="77777777">
            <w:r>
              <w:t>2</w:t>
            </w:r>
          </w:p>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7316F300" w14:textId="77777777"/>
        </w:tc>
        <w:tc>
          <w:tcPr>
            <w:tcW w:w="1460" w:type="dxa"/>
            <w:tcBorders>
              <w:top w:val="nil"/>
              <w:left w:val="nil"/>
              <w:bottom w:val="single" w:color="auto" w:sz="8" w:space="0"/>
              <w:right w:val="single" w:color="auto" w:sz="8" w:space="0"/>
            </w:tcBorders>
          </w:tcPr>
          <w:p w:rsidRPr="009A036B" w:rsidR="009A036B" w:rsidP="009A036B" w:rsidRDefault="004B24CC" w14:paraId="52753E36" w14:textId="77777777">
            <w:r>
              <w:t>$2,259</w:t>
            </w:r>
          </w:p>
        </w:tc>
      </w:tr>
      <w:tr w:rsidRPr="009A036B" w:rsidR="009A036B" w:rsidTr="00F660E4" w14:paraId="3B44E72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4815B2" w14:textId="77777777"/>
        </w:tc>
        <w:tc>
          <w:tcPr>
            <w:tcW w:w="1368" w:type="dxa"/>
            <w:tcBorders>
              <w:top w:val="nil"/>
              <w:left w:val="nil"/>
              <w:bottom w:val="single" w:color="auto" w:sz="8" w:space="0"/>
              <w:right w:val="single" w:color="auto" w:sz="8" w:space="0"/>
            </w:tcBorders>
          </w:tcPr>
          <w:p w:rsidRPr="009A036B" w:rsidR="009A036B" w:rsidP="009A036B" w:rsidRDefault="009A036B" w14:paraId="14751154"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A2677D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CF5E85" w14:textId="77777777"/>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0E6A0D1B" w14:textId="77777777"/>
        </w:tc>
        <w:tc>
          <w:tcPr>
            <w:tcW w:w="1460" w:type="dxa"/>
            <w:tcBorders>
              <w:top w:val="nil"/>
              <w:left w:val="nil"/>
              <w:bottom w:val="single" w:color="auto" w:sz="8" w:space="0"/>
              <w:right w:val="single" w:color="auto" w:sz="8" w:space="0"/>
            </w:tcBorders>
          </w:tcPr>
          <w:p w:rsidRPr="009A036B" w:rsidR="009A036B" w:rsidP="009A036B" w:rsidRDefault="009A036B" w14:paraId="158570CB" w14:textId="77777777"/>
        </w:tc>
      </w:tr>
      <w:tr w:rsidRPr="009A036B" w:rsidR="009A036B" w:rsidTr="00F660E4" w14:paraId="38903E8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D63861F" w14:textId="77777777"/>
        </w:tc>
        <w:tc>
          <w:tcPr>
            <w:tcW w:w="1368" w:type="dxa"/>
            <w:tcBorders>
              <w:top w:val="nil"/>
              <w:left w:val="nil"/>
              <w:bottom w:val="single" w:color="auto" w:sz="8" w:space="0"/>
              <w:right w:val="single" w:color="auto" w:sz="8" w:space="0"/>
            </w:tcBorders>
          </w:tcPr>
          <w:p w:rsidRPr="009A036B" w:rsidR="009A036B" w:rsidP="009A036B" w:rsidRDefault="009A036B" w14:paraId="4E1D48C0"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7CC0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EDC9F1" w14:textId="77777777"/>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4D6907EE" w14:textId="77777777"/>
        </w:tc>
        <w:tc>
          <w:tcPr>
            <w:tcW w:w="1460" w:type="dxa"/>
            <w:tcBorders>
              <w:top w:val="nil"/>
              <w:left w:val="nil"/>
              <w:bottom w:val="single" w:color="auto" w:sz="8" w:space="0"/>
              <w:right w:val="single" w:color="auto" w:sz="8" w:space="0"/>
            </w:tcBorders>
          </w:tcPr>
          <w:p w:rsidRPr="009A036B" w:rsidR="009A036B" w:rsidP="009A036B" w:rsidRDefault="009A036B" w14:paraId="51620615" w14:textId="77777777"/>
        </w:tc>
      </w:tr>
      <w:tr w:rsidRPr="009A036B" w:rsidR="009A036B" w:rsidTr="00F660E4" w14:paraId="49C1F2C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BC88C8" w14:textId="77777777">
            <w:pPr>
              <w:rPr>
                <w:b/>
              </w:rPr>
            </w:pPr>
            <w:r w:rsidRPr="009A036B">
              <w:rPr>
                <w:b/>
              </w:rPr>
              <w:t>Contractor Cost</w:t>
            </w:r>
          </w:p>
        </w:tc>
        <w:tc>
          <w:tcPr>
            <w:tcW w:w="1368" w:type="dxa"/>
            <w:tcBorders>
              <w:top w:val="nil"/>
              <w:left w:val="nil"/>
              <w:bottom w:val="single" w:color="auto" w:sz="8" w:space="0"/>
              <w:right w:val="single" w:color="auto" w:sz="8" w:space="0"/>
            </w:tcBorders>
            <w:shd w:val="clear" w:color="auto" w:fill="BFBFBF"/>
          </w:tcPr>
          <w:p w:rsidRPr="009A036B" w:rsidR="009A036B" w:rsidP="009A036B" w:rsidRDefault="009A036B" w14:paraId="2BD8272A"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A3479" w:rsidR="009A036B" w:rsidP="009A036B" w:rsidRDefault="009A036B" w14:paraId="1E634D2D" w14:textId="77777777">
            <w:pPr>
              <w:rPr>
                <w:highlight w:val="yellow"/>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A3479" w:rsidR="009A036B" w:rsidP="009A036B" w:rsidRDefault="009A036B" w14:paraId="629485CC" w14:textId="77777777">
            <w:pPr>
              <w:rPr>
                <w:highlight w:val="yellow"/>
              </w:rPr>
            </w:pPr>
          </w:p>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76DDC3C4" w14:textId="77777777"/>
        </w:tc>
        <w:tc>
          <w:tcPr>
            <w:tcW w:w="1460" w:type="dxa"/>
            <w:tcBorders>
              <w:top w:val="nil"/>
              <w:left w:val="nil"/>
              <w:bottom w:val="single" w:color="auto" w:sz="8" w:space="0"/>
              <w:right w:val="single" w:color="auto" w:sz="8" w:space="0"/>
            </w:tcBorders>
          </w:tcPr>
          <w:p w:rsidRPr="009A036B" w:rsidR="009A036B" w:rsidP="009A036B" w:rsidRDefault="000774F5" w14:paraId="34AC1C2E" w14:textId="77777777">
            <w:r>
              <w:t>$</w:t>
            </w:r>
            <w:r w:rsidR="00340238">
              <w:t>22,189</w:t>
            </w:r>
          </w:p>
        </w:tc>
      </w:tr>
      <w:tr w:rsidRPr="009A036B" w:rsidR="007A3479" w:rsidTr="00F660E4" w14:paraId="5A763B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3479" w:rsidP="009A036B" w:rsidRDefault="007A3479" w14:paraId="308C26AB" w14:textId="77777777"/>
        </w:tc>
        <w:tc>
          <w:tcPr>
            <w:tcW w:w="1368" w:type="dxa"/>
            <w:tcBorders>
              <w:top w:val="nil"/>
              <w:left w:val="nil"/>
              <w:bottom w:val="single" w:color="auto" w:sz="8" w:space="0"/>
              <w:right w:val="single" w:color="auto" w:sz="8" w:space="0"/>
            </w:tcBorders>
            <w:shd w:val="clear" w:color="auto" w:fill="BFBFBF"/>
          </w:tcPr>
          <w:p w:rsidRPr="009A036B" w:rsidR="007A3479" w:rsidP="009A036B" w:rsidRDefault="007A3479" w14:paraId="0BB44E8F"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3479" w:rsidP="009A036B" w:rsidRDefault="007A3479" w14:paraId="1F366EA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3479" w:rsidP="009A036B" w:rsidRDefault="007A3479" w14:paraId="06401168" w14:textId="77777777"/>
        </w:tc>
        <w:tc>
          <w:tcPr>
            <w:tcW w:w="1302" w:type="dxa"/>
            <w:tcBorders>
              <w:top w:val="nil"/>
              <w:left w:val="nil"/>
              <w:bottom w:val="single" w:color="auto" w:sz="8" w:space="0"/>
              <w:right w:val="single" w:color="auto" w:sz="8" w:space="0"/>
            </w:tcBorders>
            <w:shd w:val="clear" w:color="auto" w:fill="BFBFBF"/>
          </w:tcPr>
          <w:p w:rsidRPr="009A036B" w:rsidR="007A3479" w:rsidP="009A036B" w:rsidRDefault="007A3479" w14:paraId="62E8653F" w14:textId="77777777"/>
        </w:tc>
        <w:tc>
          <w:tcPr>
            <w:tcW w:w="1460" w:type="dxa"/>
            <w:tcBorders>
              <w:top w:val="nil"/>
              <w:left w:val="nil"/>
              <w:bottom w:val="single" w:color="auto" w:sz="8" w:space="0"/>
              <w:right w:val="single" w:color="auto" w:sz="8" w:space="0"/>
            </w:tcBorders>
          </w:tcPr>
          <w:p w:rsidRPr="009A036B" w:rsidR="007A3479" w:rsidP="009A036B" w:rsidRDefault="007A3479" w14:paraId="08811102" w14:textId="77777777"/>
        </w:tc>
      </w:tr>
      <w:tr w:rsidRPr="009A036B" w:rsidR="007A3479" w:rsidTr="00F660E4" w14:paraId="2C46F2F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A3479" w:rsidP="009A036B" w:rsidRDefault="007A3479" w14:paraId="04D5FCDD" w14:textId="77777777"/>
        </w:tc>
        <w:tc>
          <w:tcPr>
            <w:tcW w:w="1368" w:type="dxa"/>
            <w:tcBorders>
              <w:top w:val="nil"/>
              <w:left w:val="nil"/>
              <w:bottom w:val="single" w:color="auto" w:sz="8" w:space="0"/>
              <w:right w:val="single" w:color="auto" w:sz="8" w:space="0"/>
            </w:tcBorders>
            <w:shd w:val="clear" w:color="auto" w:fill="BFBFBF"/>
          </w:tcPr>
          <w:p w:rsidRPr="009A036B" w:rsidR="007A3479" w:rsidP="009A036B" w:rsidRDefault="007A3479" w14:paraId="20526FD2"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3479" w:rsidP="009A036B" w:rsidRDefault="007A3479" w14:paraId="1598945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A3479" w:rsidP="009A036B" w:rsidRDefault="007A3479" w14:paraId="197FD1A2" w14:textId="77777777"/>
        </w:tc>
        <w:tc>
          <w:tcPr>
            <w:tcW w:w="1302" w:type="dxa"/>
            <w:tcBorders>
              <w:top w:val="nil"/>
              <w:left w:val="nil"/>
              <w:bottom w:val="single" w:color="auto" w:sz="8" w:space="0"/>
              <w:right w:val="single" w:color="auto" w:sz="8" w:space="0"/>
            </w:tcBorders>
            <w:shd w:val="clear" w:color="auto" w:fill="BFBFBF"/>
          </w:tcPr>
          <w:p w:rsidRPr="009A036B" w:rsidR="007A3479" w:rsidP="009A036B" w:rsidRDefault="007A3479" w14:paraId="5799E946" w14:textId="77777777"/>
        </w:tc>
        <w:tc>
          <w:tcPr>
            <w:tcW w:w="1460" w:type="dxa"/>
            <w:tcBorders>
              <w:top w:val="nil"/>
              <w:left w:val="nil"/>
              <w:bottom w:val="single" w:color="auto" w:sz="8" w:space="0"/>
              <w:right w:val="single" w:color="auto" w:sz="8" w:space="0"/>
            </w:tcBorders>
          </w:tcPr>
          <w:p w:rsidRPr="009A036B" w:rsidR="007A3479" w:rsidP="009A036B" w:rsidRDefault="007A3479" w14:paraId="46970FD3" w14:textId="77777777"/>
        </w:tc>
      </w:tr>
      <w:tr w:rsidRPr="009A036B" w:rsidR="009A036B" w:rsidTr="00F660E4" w14:paraId="1D8CED0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E48583" w14:textId="77777777">
            <w:r w:rsidRPr="009A036B">
              <w:t>Travel</w:t>
            </w:r>
          </w:p>
        </w:tc>
        <w:tc>
          <w:tcPr>
            <w:tcW w:w="1368" w:type="dxa"/>
            <w:tcBorders>
              <w:top w:val="nil"/>
              <w:left w:val="nil"/>
              <w:bottom w:val="single" w:color="auto" w:sz="8" w:space="0"/>
              <w:right w:val="single" w:color="auto" w:sz="8" w:space="0"/>
            </w:tcBorders>
            <w:shd w:val="clear" w:color="auto" w:fill="BFBFBF"/>
          </w:tcPr>
          <w:p w:rsidRPr="009A036B" w:rsidR="009A036B" w:rsidP="009A036B" w:rsidRDefault="009A036B" w14:paraId="31E2D5DF"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633995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48E6376" w14:textId="77777777"/>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458AA34C" w14:textId="77777777"/>
        </w:tc>
        <w:tc>
          <w:tcPr>
            <w:tcW w:w="1460" w:type="dxa"/>
            <w:tcBorders>
              <w:top w:val="nil"/>
              <w:left w:val="nil"/>
              <w:bottom w:val="single" w:color="auto" w:sz="8" w:space="0"/>
              <w:right w:val="single" w:color="auto" w:sz="8" w:space="0"/>
            </w:tcBorders>
          </w:tcPr>
          <w:p w:rsidRPr="009A036B" w:rsidR="009A036B" w:rsidP="009A036B" w:rsidRDefault="009A036B" w14:paraId="72A776FE" w14:textId="77777777"/>
        </w:tc>
      </w:tr>
      <w:tr w:rsidRPr="009A036B" w:rsidR="009A036B" w:rsidTr="00F660E4" w14:paraId="78F06D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26EF273" w14:textId="77777777">
            <w:r w:rsidRPr="009A036B">
              <w:t>Other Cost</w:t>
            </w:r>
          </w:p>
        </w:tc>
        <w:tc>
          <w:tcPr>
            <w:tcW w:w="1368" w:type="dxa"/>
            <w:tcBorders>
              <w:top w:val="nil"/>
              <w:left w:val="nil"/>
              <w:bottom w:val="single" w:color="auto" w:sz="8" w:space="0"/>
              <w:right w:val="single" w:color="auto" w:sz="8" w:space="0"/>
            </w:tcBorders>
            <w:shd w:val="clear" w:color="auto" w:fill="BFBFBF"/>
          </w:tcPr>
          <w:p w:rsidRPr="009A036B" w:rsidR="009A036B" w:rsidP="009A036B" w:rsidRDefault="009A036B" w14:paraId="355800BE"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C21402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2A61A49" w14:textId="77777777"/>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694B5CBA" w14:textId="77777777"/>
        </w:tc>
        <w:tc>
          <w:tcPr>
            <w:tcW w:w="1460" w:type="dxa"/>
            <w:tcBorders>
              <w:top w:val="nil"/>
              <w:left w:val="nil"/>
              <w:bottom w:val="single" w:color="auto" w:sz="8" w:space="0"/>
              <w:right w:val="single" w:color="auto" w:sz="8" w:space="0"/>
            </w:tcBorders>
          </w:tcPr>
          <w:p w:rsidRPr="009A036B" w:rsidR="009A036B" w:rsidP="009A036B" w:rsidRDefault="009A036B" w14:paraId="0B312F4E" w14:textId="77777777"/>
        </w:tc>
      </w:tr>
      <w:tr w:rsidRPr="009A036B" w:rsidR="009A036B" w:rsidTr="00F660E4" w14:paraId="0051A3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AAF0AE2" w14:textId="77777777">
            <w:pPr>
              <w:rPr>
                <w:bCs/>
              </w:rPr>
            </w:pPr>
          </w:p>
        </w:tc>
        <w:tc>
          <w:tcPr>
            <w:tcW w:w="1368" w:type="dxa"/>
            <w:tcBorders>
              <w:top w:val="nil"/>
              <w:left w:val="nil"/>
              <w:bottom w:val="single" w:color="auto" w:sz="8" w:space="0"/>
              <w:right w:val="single" w:color="auto" w:sz="8" w:space="0"/>
            </w:tcBorders>
            <w:shd w:val="clear" w:color="auto" w:fill="BFBFBF"/>
          </w:tcPr>
          <w:p w:rsidRPr="009A036B" w:rsidR="009A036B" w:rsidP="009A036B" w:rsidRDefault="009A036B" w14:paraId="6841597D"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E13050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AB39CC1" w14:textId="77777777">
            <w:pPr>
              <w:rPr>
                <w:b/>
              </w:rPr>
            </w:pPr>
          </w:p>
        </w:tc>
        <w:tc>
          <w:tcPr>
            <w:tcW w:w="1302" w:type="dxa"/>
            <w:tcBorders>
              <w:top w:val="nil"/>
              <w:left w:val="nil"/>
              <w:bottom w:val="single" w:color="auto" w:sz="8" w:space="0"/>
              <w:right w:val="single" w:color="auto" w:sz="8" w:space="0"/>
            </w:tcBorders>
            <w:shd w:val="clear" w:color="auto" w:fill="BFBFBF"/>
          </w:tcPr>
          <w:p w:rsidRPr="009A036B" w:rsidR="009A036B" w:rsidP="009A036B" w:rsidRDefault="009A036B" w14:paraId="47916417" w14:textId="77777777">
            <w:pPr>
              <w:rPr>
                <w:b/>
              </w:rPr>
            </w:pPr>
          </w:p>
        </w:tc>
        <w:tc>
          <w:tcPr>
            <w:tcW w:w="1460" w:type="dxa"/>
            <w:tcBorders>
              <w:top w:val="nil"/>
              <w:left w:val="nil"/>
              <w:bottom w:val="single" w:color="auto" w:sz="8" w:space="0"/>
              <w:right w:val="single" w:color="auto" w:sz="8" w:space="0"/>
            </w:tcBorders>
          </w:tcPr>
          <w:p w:rsidRPr="009A036B" w:rsidR="009A036B" w:rsidP="009A036B" w:rsidRDefault="009A036B" w14:paraId="2FB9A73D" w14:textId="77777777">
            <w:pPr>
              <w:rPr>
                <w:b/>
              </w:rPr>
            </w:pPr>
          </w:p>
        </w:tc>
      </w:tr>
      <w:tr w:rsidRPr="009A036B" w:rsidR="009A036B" w:rsidTr="00F660E4" w14:paraId="3B129BB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7011FDA" w14:textId="77777777">
            <w:pPr>
              <w:rPr>
                <w:b/>
              </w:rPr>
            </w:pPr>
            <w:r w:rsidRPr="004B1EB8">
              <w:rPr>
                <w:b/>
              </w:rPr>
              <w:t>Total</w:t>
            </w:r>
          </w:p>
        </w:tc>
        <w:tc>
          <w:tcPr>
            <w:tcW w:w="1368" w:type="dxa"/>
            <w:tcBorders>
              <w:top w:val="nil"/>
              <w:left w:val="nil"/>
              <w:bottom w:val="single" w:color="auto" w:sz="8" w:space="0"/>
              <w:right w:val="single" w:color="auto" w:sz="8" w:space="0"/>
            </w:tcBorders>
            <w:shd w:val="clear" w:color="auto" w:fill="A6A6A6"/>
          </w:tcPr>
          <w:p w:rsidRPr="009A036B" w:rsidR="009A036B" w:rsidP="009A036B" w:rsidRDefault="009A036B" w14:paraId="612FDFA3" w14:textId="77777777"/>
        </w:tc>
        <w:tc>
          <w:tcPr>
            <w:tcW w:w="1296"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4A35898"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98A73AC" w14:textId="77777777"/>
        </w:tc>
        <w:tc>
          <w:tcPr>
            <w:tcW w:w="1302" w:type="dxa"/>
            <w:tcBorders>
              <w:top w:val="nil"/>
              <w:left w:val="nil"/>
              <w:bottom w:val="single" w:color="auto" w:sz="8" w:space="0"/>
              <w:right w:val="single" w:color="auto" w:sz="8" w:space="0"/>
            </w:tcBorders>
            <w:shd w:val="clear" w:color="auto" w:fill="A6A6A6"/>
          </w:tcPr>
          <w:p w:rsidRPr="009A036B" w:rsidR="009A036B" w:rsidP="009A036B" w:rsidRDefault="009A036B" w14:paraId="1F8446A8" w14:textId="77777777"/>
        </w:tc>
        <w:tc>
          <w:tcPr>
            <w:tcW w:w="1460" w:type="dxa"/>
            <w:tcBorders>
              <w:top w:val="nil"/>
              <w:left w:val="nil"/>
              <w:bottom w:val="single" w:color="auto" w:sz="8" w:space="0"/>
              <w:right w:val="single" w:color="auto" w:sz="8" w:space="0"/>
            </w:tcBorders>
            <w:shd w:val="clear" w:color="auto" w:fill="auto"/>
          </w:tcPr>
          <w:p w:rsidRPr="009A036B" w:rsidR="009A036B" w:rsidP="009A036B" w:rsidRDefault="004B24CC" w14:paraId="30976536" w14:textId="77777777">
            <w:r w:rsidRPr="004B24CC">
              <w:t>$24,448</w:t>
            </w:r>
          </w:p>
        </w:tc>
      </w:tr>
    </w:tbl>
    <w:p w:rsidRPr="009A036B" w:rsidR="009A036B" w:rsidP="009A036B" w:rsidRDefault="002D74B4" w14:paraId="53EC7FD0" w14:textId="77777777">
      <w:bookmarkStart w:name="_Hlk31117769" w:id="1"/>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1"/>
    <w:p w:rsidR="009A036B" w:rsidRDefault="009A036B" w14:paraId="32F04194" w14:textId="77777777">
      <w:pPr>
        <w:rPr>
          <w:b/>
        </w:rPr>
      </w:pPr>
    </w:p>
    <w:p w:rsidR="00ED6492" w:rsidRDefault="00ED6492" w14:paraId="46109DA3" w14:textId="77777777">
      <w:pPr>
        <w:rPr>
          <w:b/>
          <w:bCs/>
          <w:u w:val="single"/>
        </w:rPr>
      </w:pPr>
    </w:p>
    <w:p w:rsidR="0069403B" w:rsidP="00F06866" w:rsidRDefault="00ED6492" w14:paraId="067C4C03"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97CC1BD" w14:textId="77777777">
      <w:pPr>
        <w:rPr>
          <w:b/>
        </w:rPr>
      </w:pPr>
    </w:p>
    <w:p w:rsidR="00F06866" w:rsidP="00F06866" w:rsidRDefault="00636621" w14:paraId="722167C4" w14:textId="77777777">
      <w:pPr>
        <w:rPr>
          <w:b/>
        </w:rPr>
      </w:pPr>
      <w:r>
        <w:rPr>
          <w:b/>
        </w:rPr>
        <w:t>The</w:t>
      </w:r>
      <w:r w:rsidR="0069403B">
        <w:rPr>
          <w:b/>
        </w:rPr>
        <w:t xml:space="preserve"> select</w:t>
      </w:r>
      <w:r>
        <w:rPr>
          <w:b/>
        </w:rPr>
        <w:t>ion of your targeted respondents</w:t>
      </w:r>
    </w:p>
    <w:p w:rsidR="0069403B" w:rsidP="0069403B" w:rsidRDefault="0069403B" w14:paraId="0696D0E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30662E">
        <w:t>X</w:t>
      </w:r>
      <w:r>
        <w:t>] No</w:t>
      </w:r>
    </w:p>
    <w:p w:rsidR="00636621" w:rsidP="00636621" w:rsidRDefault="00636621" w14:paraId="62D9DE5A" w14:textId="77777777">
      <w:pPr>
        <w:pStyle w:val="ListParagraph"/>
      </w:pPr>
    </w:p>
    <w:p w:rsidR="00636621" w:rsidP="001B0AAA" w:rsidRDefault="00636621" w14:paraId="5B33FCC2"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474850D" w14:textId="77777777">
      <w:pPr>
        <w:pStyle w:val="ListParagraph"/>
      </w:pPr>
    </w:p>
    <w:p w:rsidR="0030662E" w:rsidP="00A403BB" w:rsidRDefault="0030662E" w14:paraId="3521371D" w14:textId="77777777">
      <w:r>
        <w:t xml:space="preserve">NIDCR will take a two-pronged approach to recruiting potential participants. All efforts include drawing potential participants from a </w:t>
      </w:r>
      <w:r w:rsidR="00A74B4F">
        <w:t xml:space="preserve">non-probability </w:t>
      </w:r>
      <w:r>
        <w:t xml:space="preserve">convenience sample. </w:t>
      </w:r>
    </w:p>
    <w:p w:rsidR="0030662E" w:rsidP="0030662E" w:rsidRDefault="0030662E" w14:paraId="564C22E2" w14:textId="77777777">
      <w:pPr>
        <w:numPr>
          <w:ilvl w:val="0"/>
          <w:numId w:val="19"/>
        </w:numPr>
      </w:pPr>
      <w:r>
        <w:t xml:space="preserve">NIDCR will use a professional recruitment vendor to identify, screen, and recruit potential participants for the six virtual focus groups using their existing opt-in databases. </w:t>
      </w:r>
    </w:p>
    <w:p w:rsidR="0030662E" w:rsidP="00EF535B" w:rsidRDefault="0030662E" w14:paraId="41E31FA7" w14:textId="77777777">
      <w:pPr>
        <w:numPr>
          <w:ilvl w:val="0"/>
          <w:numId w:val="19"/>
        </w:numPr>
      </w:pPr>
      <w:r>
        <w:t>NIDCR will supplement the professional recruitment vendor’s efforts by sharing the focus group opportunity with the TMJ Association and its patient members. Using the language provided in Attachment 4: Outreach Language</w:t>
      </w:r>
      <w:r w:rsidR="002A4E19">
        <w:t xml:space="preserve"> of</w:t>
      </w:r>
      <w:r>
        <w:t xml:space="preserve"> this package, the TMJ Association will </w:t>
      </w:r>
      <w:r w:rsidR="00F775C1">
        <w:t xml:space="preserve">directly share </w:t>
      </w:r>
      <w:r>
        <w:t>this opportunity to its patient members, as well as post it on their website. Any TMJ Association patient members who may wish to participat</w:t>
      </w:r>
      <w:r w:rsidR="00F775C1">
        <w:t>e</w:t>
      </w:r>
      <w:r>
        <w:t xml:space="preserve"> in a focus group will be provided to the professional recruitment vendor for screening and scheduling. </w:t>
      </w:r>
    </w:p>
    <w:p w:rsidR="0030662E" w:rsidP="0030662E" w:rsidRDefault="0030662E" w14:paraId="4142248E" w14:textId="77777777">
      <w:pPr>
        <w:ind w:left="720"/>
      </w:pPr>
    </w:p>
    <w:p w:rsidR="00A403BB" w:rsidP="00A403BB" w:rsidRDefault="00A403BB" w14:paraId="21814217" w14:textId="77777777">
      <w:pPr>
        <w:rPr>
          <w:b/>
        </w:rPr>
      </w:pPr>
      <w:r>
        <w:rPr>
          <w:b/>
        </w:rPr>
        <w:t>Administration of the Instrument</w:t>
      </w:r>
    </w:p>
    <w:p w:rsidR="00A403BB" w:rsidP="00A403BB" w:rsidRDefault="001B0AAA" w14:paraId="76D13269" w14:textId="77777777">
      <w:pPr>
        <w:pStyle w:val="ListParagraph"/>
        <w:numPr>
          <w:ilvl w:val="0"/>
          <w:numId w:val="17"/>
        </w:numPr>
      </w:pPr>
      <w:r>
        <w:t>H</w:t>
      </w:r>
      <w:r w:rsidR="00A403BB">
        <w:t>ow will you collect the information? (Check all that apply)</w:t>
      </w:r>
    </w:p>
    <w:p w:rsidR="001B0AAA" w:rsidP="001B0AAA" w:rsidRDefault="00A403BB" w14:paraId="5287DFFA" w14:textId="77777777">
      <w:pPr>
        <w:ind w:left="720"/>
      </w:pPr>
      <w:r>
        <w:t>[</w:t>
      </w:r>
      <w:proofErr w:type="gramStart"/>
      <w:r w:rsidR="002A4E19">
        <w:t>X</w:t>
      </w:r>
      <w:r>
        <w:t xml:space="preserve"> ]</w:t>
      </w:r>
      <w:proofErr w:type="gramEnd"/>
      <w:r>
        <w:t xml:space="preserve"> Web-based</w:t>
      </w:r>
      <w:r w:rsidR="001B0AAA">
        <w:t xml:space="preserve"> or other forms of Social Media</w:t>
      </w:r>
      <w:r w:rsidR="002A4E19">
        <w:t>: To conduct discussions via WebEx</w:t>
      </w:r>
      <w:r w:rsidR="00F775C1">
        <w:t>, a</w:t>
      </w:r>
      <w:r w:rsidR="002A4E19">
        <w:t xml:space="preserve"> web conferencing software. </w:t>
      </w:r>
    </w:p>
    <w:p w:rsidR="001B0AAA" w:rsidP="001B0AAA" w:rsidRDefault="00A403BB" w14:paraId="41A86126" w14:textId="77777777">
      <w:pPr>
        <w:ind w:left="720"/>
      </w:pPr>
      <w:r>
        <w:t xml:space="preserve">[ </w:t>
      </w:r>
      <w:proofErr w:type="gramStart"/>
      <w:r w:rsidR="002A4E19">
        <w:t>X</w:t>
      </w:r>
      <w:r w:rsidR="001B0AAA">
        <w:t xml:space="preserve"> </w:t>
      </w:r>
      <w:r>
        <w:t>]</w:t>
      </w:r>
      <w:proofErr w:type="gramEnd"/>
      <w:r>
        <w:t xml:space="preserve"> Telephone</w:t>
      </w:r>
      <w:r w:rsidR="002A4E19">
        <w:t xml:space="preserve">: To screen potential participants and conduct discussions (for those with no internet access). </w:t>
      </w:r>
    </w:p>
    <w:p w:rsidR="001B0AAA" w:rsidP="001B0AAA" w:rsidRDefault="00A403BB" w14:paraId="73A3B4C9"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A5B75E2"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1C64A79"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F23E8F6" w14:textId="77777777">
      <w:pPr>
        <w:pStyle w:val="ListParagraph"/>
        <w:numPr>
          <w:ilvl w:val="0"/>
          <w:numId w:val="17"/>
        </w:numPr>
      </w:pPr>
      <w:r>
        <w:t>Will interviewers or facilitators be used?  [</w:t>
      </w:r>
      <w:r w:rsidR="002A4E19">
        <w:t>X</w:t>
      </w:r>
      <w:r>
        <w:t xml:space="preserve">] Yes </w:t>
      </w:r>
      <w:proofErr w:type="gramStart"/>
      <w:r>
        <w:t>[  ]</w:t>
      </w:r>
      <w:proofErr w:type="gramEnd"/>
      <w:r>
        <w:t xml:space="preserve"> No</w:t>
      </w:r>
    </w:p>
    <w:p w:rsidR="00F24CFC" w:rsidP="00F24CFC" w:rsidRDefault="00F24CFC" w14:paraId="5FACF983" w14:textId="77777777">
      <w:pPr>
        <w:pStyle w:val="ListParagraph"/>
        <w:ind w:left="360"/>
      </w:pPr>
      <w:r>
        <w:t xml:space="preserve"> </w:t>
      </w:r>
    </w:p>
    <w:p w:rsidR="00F775C1" w:rsidP="0024521E" w:rsidRDefault="00F775C1" w14:paraId="09ECEFC2" w14:textId="77777777">
      <w:pPr>
        <w:rPr>
          <w:b/>
        </w:rPr>
      </w:pPr>
    </w:p>
    <w:p w:rsidR="00F775C1" w:rsidP="0024521E" w:rsidRDefault="00F775C1" w14:paraId="61B69ECC" w14:textId="77777777">
      <w:pPr>
        <w:rPr>
          <w:b/>
        </w:rPr>
      </w:pPr>
    </w:p>
    <w:p w:rsidR="00F775C1" w:rsidP="0024521E" w:rsidRDefault="00F775C1" w14:paraId="35F6D03A" w14:textId="77777777">
      <w:pPr>
        <w:rPr>
          <w:b/>
        </w:rPr>
      </w:pPr>
    </w:p>
    <w:p w:rsidR="00F775C1" w:rsidP="0024521E" w:rsidRDefault="00F775C1" w14:paraId="589F0BEC" w14:textId="77777777">
      <w:pPr>
        <w:rPr>
          <w:b/>
        </w:rPr>
      </w:pPr>
    </w:p>
    <w:p w:rsidR="00F775C1" w:rsidP="0024521E" w:rsidRDefault="00F775C1" w14:paraId="6899482E" w14:textId="77777777">
      <w:pPr>
        <w:rPr>
          <w:b/>
        </w:rPr>
      </w:pPr>
    </w:p>
    <w:p w:rsidR="00F775C1" w:rsidP="0024521E" w:rsidRDefault="00F775C1" w14:paraId="5B72F8AE" w14:textId="77777777">
      <w:pPr>
        <w:rPr>
          <w:b/>
        </w:rPr>
      </w:pPr>
    </w:p>
    <w:p w:rsidR="00F775C1" w:rsidP="0024521E" w:rsidRDefault="00F775C1" w14:paraId="64BB2199" w14:textId="77777777">
      <w:pPr>
        <w:rPr>
          <w:b/>
        </w:rPr>
      </w:pPr>
    </w:p>
    <w:p w:rsidR="00F775C1" w:rsidP="0024521E" w:rsidRDefault="00F775C1" w14:paraId="7A04C41E" w14:textId="77777777">
      <w:pPr>
        <w:rPr>
          <w:b/>
        </w:rPr>
      </w:pPr>
    </w:p>
    <w:p w:rsidR="00F775C1" w:rsidP="0024521E" w:rsidRDefault="00F775C1" w14:paraId="23E4B56D" w14:textId="77777777">
      <w:pPr>
        <w:rPr>
          <w:b/>
        </w:rPr>
      </w:pPr>
    </w:p>
    <w:p w:rsidR="00F775C1" w:rsidP="0024521E" w:rsidRDefault="00F775C1" w14:paraId="1810DA43" w14:textId="77777777">
      <w:pPr>
        <w:rPr>
          <w:b/>
        </w:rPr>
      </w:pPr>
    </w:p>
    <w:p w:rsidR="00F877D4" w:rsidP="0024521E" w:rsidRDefault="00F877D4" w14:paraId="5991F0A3" w14:textId="77777777">
      <w:pPr>
        <w:rPr>
          <w:b/>
        </w:rPr>
      </w:pPr>
    </w:p>
    <w:p w:rsidR="00F877D4" w:rsidP="0024521E" w:rsidRDefault="00F877D4" w14:paraId="4EC9952D" w14:textId="77777777">
      <w:pPr>
        <w:rPr>
          <w:b/>
        </w:rPr>
      </w:pPr>
    </w:p>
    <w:p w:rsidR="00F877D4" w:rsidP="0024521E" w:rsidRDefault="00F877D4" w14:paraId="266CB1C5" w14:textId="77777777">
      <w:pPr>
        <w:rPr>
          <w:b/>
        </w:rPr>
      </w:pPr>
    </w:p>
    <w:p w:rsidR="00F877D4" w:rsidP="0024521E" w:rsidRDefault="00F877D4" w14:paraId="32ECA4EA" w14:textId="77777777">
      <w:pPr>
        <w:rPr>
          <w:b/>
        </w:rPr>
      </w:pPr>
    </w:p>
    <w:p w:rsidR="00F877D4" w:rsidP="0024521E" w:rsidRDefault="00F877D4" w14:paraId="3B7F7063" w14:textId="77777777">
      <w:pPr>
        <w:rPr>
          <w:b/>
        </w:rPr>
      </w:pPr>
    </w:p>
    <w:p w:rsidR="00F877D4" w:rsidP="0024521E" w:rsidRDefault="00F877D4" w14:paraId="23075577" w14:textId="77777777">
      <w:pPr>
        <w:rPr>
          <w:b/>
        </w:rPr>
      </w:pPr>
    </w:p>
    <w:p w:rsidR="003932D1" w:rsidP="00DE711C" w:rsidRDefault="003932D1" w14:paraId="6B66855A" w14:textId="77777777">
      <w:pPr>
        <w:rPr>
          <w:b/>
        </w:rPr>
      </w:pPr>
    </w:p>
    <w:sectPr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2892" w14:textId="77777777" w:rsidR="00A100E2" w:rsidRDefault="00A100E2">
      <w:r>
        <w:separator/>
      </w:r>
    </w:p>
  </w:endnote>
  <w:endnote w:type="continuationSeparator" w:id="0">
    <w:p w14:paraId="7349401A" w14:textId="77777777" w:rsidR="00A100E2" w:rsidRDefault="00A1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79EC"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C5DF" w14:textId="77777777" w:rsidR="00A100E2" w:rsidRDefault="00A100E2">
      <w:r>
        <w:separator/>
      </w:r>
    </w:p>
  </w:footnote>
  <w:footnote w:type="continuationSeparator" w:id="0">
    <w:p w14:paraId="338230CF" w14:textId="77777777" w:rsidR="00A100E2" w:rsidRDefault="00A1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C817A5"/>
    <w:multiLevelType w:val="hybridMultilevel"/>
    <w:tmpl w:val="2692F1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5F3"/>
    <w:rsid w:val="00047A64"/>
    <w:rsid w:val="00067329"/>
    <w:rsid w:val="000722CE"/>
    <w:rsid w:val="000774F5"/>
    <w:rsid w:val="00080131"/>
    <w:rsid w:val="000913EC"/>
    <w:rsid w:val="000B2838"/>
    <w:rsid w:val="000D44CA"/>
    <w:rsid w:val="000E200B"/>
    <w:rsid w:val="000F68BE"/>
    <w:rsid w:val="00113A81"/>
    <w:rsid w:val="00154E61"/>
    <w:rsid w:val="00162F83"/>
    <w:rsid w:val="00166511"/>
    <w:rsid w:val="00177AEA"/>
    <w:rsid w:val="001855D1"/>
    <w:rsid w:val="001927A4"/>
    <w:rsid w:val="00194AC6"/>
    <w:rsid w:val="001A23B0"/>
    <w:rsid w:val="001A25CC"/>
    <w:rsid w:val="001B0AAA"/>
    <w:rsid w:val="001C1B50"/>
    <w:rsid w:val="001C39F7"/>
    <w:rsid w:val="00227933"/>
    <w:rsid w:val="00237B48"/>
    <w:rsid w:val="00242239"/>
    <w:rsid w:val="0024521E"/>
    <w:rsid w:val="00250795"/>
    <w:rsid w:val="00263C3D"/>
    <w:rsid w:val="00274D0B"/>
    <w:rsid w:val="00284110"/>
    <w:rsid w:val="002A4089"/>
    <w:rsid w:val="002A4E19"/>
    <w:rsid w:val="002B3C95"/>
    <w:rsid w:val="002D0B92"/>
    <w:rsid w:val="002D26E2"/>
    <w:rsid w:val="002D74B4"/>
    <w:rsid w:val="002E48F5"/>
    <w:rsid w:val="0030662E"/>
    <w:rsid w:val="00313250"/>
    <w:rsid w:val="00316D60"/>
    <w:rsid w:val="00323674"/>
    <w:rsid w:val="00335D20"/>
    <w:rsid w:val="00340238"/>
    <w:rsid w:val="00363D83"/>
    <w:rsid w:val="003668D6"/>
    <w:rsid w:val="003809F6"/>
    <w:rsid w:val="00390C5E"/>
    <w:rsid w:val="003932D1"/>
    <w:rsid w:val="003A7074"/>
    <w:rsid w:val="003D5BBE"/>
    <w:rsid w:val="003E3C61"/>
    <w:rsid w:val="003F1C5B"/>
    <w:rsid w:val="003F2DC5"/>
    <w:rsid w:val="00410967"/>
    <w:rsid w:val="00420E91"/>
    <w:rsid w:val="00431EB1"/>
    <w:rsid w:val="00434E33"/>
    <w:rsid w:val="00441434"/>
    <w:rsid w:val="0045264C"/>
    <w:rsid w:val="004876EC"/>
    <w:rsid w:val="004A44F3"/>
    <w:rsid w:val="004B14DD"/>
    <w:rsid w:val="004B1EB8"/>
    <w:rsid w:val="004B24CC"/>
    <w:rsid w:val="004B2BA8"/>
    <w:rsid w:val="004B317D"/>
    <w:rsid w:val="004D6E14"/>
    <w:rsid w:val="004F72A1"/>
    <w:rsid w:val="005009B0"/>
    <w:rsid w:val="00500F65"/>
    <w:rsid w:val="00540BDF"/>
    <w:rsid w:val="005A1006"/>
    <w:rsid w:val="005A772A"/>
    <w:rsid w:val="005E714A"/>
    <w:rsid w:val="006140A0"/>
    <w:rsid w:val="0062584F"/>
    <w:rsid w:val="00633F74"/>
    <w:rsid w:val="00635581"/>
    <w:rsid w:val="00636329"/>
    <w:rsid w:val="00636621"/>
    <w:rsid w:val="00642B49"/>
    <w:rsid w:val="006832D9"/>
    <w:rsid w:val="00686301"/>
    <w:rsid w:val="0069403B"/>
    <w:rsid w:val="006B7B34"/>
    <w:rsid w:val="006D5849"/>
    <w:rsid w:val="006D5F47"/>
    <w:rsid w:val="006F3DDE"/>
    <w:rsid w:val="00704678"/>
    <w:rsid w:val="0074034E"/>
    <w:rsid w:val="007425E7"/>
    <w:rsid w:val="00746170"/>
    <w:rsid w:val="00766D95"/>
    <w:rsid w:val="0077703F"/>
    <w:rsid w:val="007A3479"/>
    <w:rsid w:val="007C5A38"/>
    <w:rsid w:val="00802607"/>
    <w:rsid w:val="008101A5"/>
    <w:rsid w:val="00811789"/>
    <w:rsid w:val="00822664"/>
    <w:rsid w:val="00840DE0"/>
    <w:rsid w:val="00843796"/>
    <w:rsid w:val="00850B01"/>
    <w:rsid w:val="0085116A"/>
    <w:rsid w:val="00887320"/>
    <w:rsid w:val="00895229"/>
    <w:rsid w:val="008D7D7E"/>
    <w:rsid w:val="008F0203"/>
    <w:rsid w:val="008F50D4"/>
    <w:rsid w:val="009239AA"/>
    <w:rsid w:val="00935ADA"/>
    <w:rsid w:val="00946B6C"/>
    <w:rsid w:val="0095378C"/>
    <w:rsid w:val="00955A71"/>
    <w:rsid w:val="0096108F"/>
    <w:rsid w:val="009A036B"/>
    <w:rsid w:val="009C13B9"/>
    <w:rsid w:val="009D01A2"/>
    <w:rsid w:val="009F5923"/>
    <w:rsid w:val="00A100E2"/>
    <w:rsid w:val="00A229F1"/>
    <w:rsid w:val="00A403BB"/>
    <w:rsid w:val="00A50F89"/>
    <w:rsid w:val="00A668C6"/>
    <w:rsid w:val="00A674DF"/>
    <w:rsid w:val="00A74B4F"/>
    <w:rsid w:val="00A83AA6"/>
    <w:rsid w:val="00AA19DE"/>
    <w:rsid w:val="00AA3B21"/>
    <w:rsid w:val="00AC60E8"/>
    <w:rsid w:val="00AD3E0A"/>
    <w:rsid w:val="00AE14B1"/>
    <w:rsid w:val="00AE1809"/>
    <w:rsid w:val="00AE62A9"/>
    <w:rsid w:val="00B80D76"/>
    <w:rsid w:val="00B854E3"/>
    <w:rsid w:val="00BA2105"/>
    <w:rsid w:val="00BA7E06"/>
    <w:rsid w:val="00BB43B5"/>
    <w:rsid w:val="00BB6219"/>
    <w:rsid w:val="00BC676D"/>
    <w:rsid w:val="00BD290F"/>
    <w:rsid w:val="00BF6223"/>
    <w:rsid w:val="00C14CC4"/>
    <w:rsid w:val="00C33C52"/>
    <w:rsid w:val="00C40D8B"/>
    <w:rsid w:val="00C76A38"/>
    <w:rsid w:val="00C8389B"/>
    <w:rsid w:val="00C8407A"/>
    <w:rsid w:val="00C8488C"/>
    <w:rsid w:val="00C86E91"/>
    <w:rsid w:val="00CA19A3"/>
    <w:rsid w:val="00CA2010"/>
    <w:rsid w:val="00CA2650"/>
    <w:rsid w:val="00CA5D30"/>
    <w:rsid w:val="00CB1078"/>
    <w:rsid w:val="00CC6FAF"/>
    <w:rsid w:val="00CD3F0A"/>
    <w:rsid w:val="00CE113C"/>
    <w:rsid w:val="00CE2E9C"/>
    <w:rsid w:val="00D10FBF"/>
    <w:rsid w:val="00D24698"/>
    <w:rsid w:val="00D34B5D"/>
    <w:rsid w:val="00D504C2"/>
    <w:rsid w:val="00D6383F"/>
    <w:rsid w:val="00D662C8"/>
    <w:rsid w:val="00D96E53"/>
    <w:rsid w:val="00DB4A58"/>
    <w:rsid w:val="00DB59D0"/>
    <w:rsid w:val="00DB694C"/>
    <w:rsid w:val="00DC2F2F"/>
    <w:rsid w:val="00DC33D3"/>
    <w:rsid w:val="00DC64D3"/>
    <w:rsid w:val="00DE711C"/>
    <w:rsid w:val="00E26329"/>
    <w:rsid w:val="00E40B50"/>
    <w:rsid w:val="00E50293"/>
    <w:rsid w:val="00E5399A"/>
    <w:rsid w:val="00E65FFC"/>
    <w:rsid w:val="00E670E2"/>
    <w:rsid w:val="00E80951"/>
    <w:rsid w:val="00E86CC6"/>
    <w:rsid w:val="00EA66A2"/>
    <w:rsid w:val="00EB56B3"/>
    <w:rsid w:val="00EC3016"/>
    <w:rsid w:val="00ED6492"/>
    <w:rsid w:val="00EF2095"/>
    <w:rsid w:val="00EF535B"/>
    <w:rsid w:val="00F06866"/>
    <w:rsid w:val="00F122A4"/>
    <w:rsid w:val="00F15956"/>
    <w:rsid w:val="00F24CFC"/>
    <w:rsid w:val="00F3170F"/>
    <w:rsid w:val="00F359F0"/>
    <w:rsid w:val="00F44DAA"/>
    <w:rsid w:val="00F660E4"/>
    <w:rsid w:val="00F775C1"/>
    <w:rsid w:val="00F877D4"/>
    <w:rsid w:val="00F87EA8"/>
    <w:rsid w:val="00F94D8C"/>
    <w:rsid w:val="00F976B0"/>
    <w:rsid w:val="00FA6DE7"/>
    <w:rsid w:val="00FC0A8E"/>
    <w:rsid w:val="00FE01BA"/>
    <w:rsid w:val="00FE18D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C96E1"/>
  <w15:chartTrackingRefBased/>
  <w15:docId w15:val="{66368431-84A3-48C9-B20B-53099DD3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635581"/>
    <w:rPr>
      <w:color w:val="605E5C"/>
      <w:shd w:val="clear" w:color="auto" w:fill="E1DFDD"/>
    </w:rPr>
  </w:style>
  <w:style w:type="paragraph" w:styleId="Revision">
    <w:name w:val="Revision"/>
    <w:hidden/>
    <w:uiPriority w:val="99"/>
    <w:semiHidden/>
    <w:rsid w:val="00CE2E9C"/>
    <w:rPr>
      <w:sz w:val="24"/>
      <w:szCs w:val="24"/>
    </w:rPr>
  </w:style>
  <w:style w:type="character" w:styleId="FollowedHyperlink">
    <w:name w:val="FollowedHyperlink"/>
    <w:rsid w:val="00FE01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F873F-FD33-41BD-BCE2-CA4D2287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8256</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2020-05-20T20:08:00Z</dcterms:created>
  <dcterms:modified xsi:type="dcterms:W3CDTF">2020-05-20T20:08:00Z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