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FD94B" w14:textId="77777777" w:rsidR="005E089D" w:rsidRDefault="005E089D">
      <w:pPr>
        <w:jc w:val="center"/>
      </w:pPr>
      <w:bookmarkStart w:id="0" w:name="_GoBack"/>
      <w:bookmarkEnd w:id="0"/>
      <w:r>
        <w:rPr>
          <w:b/>
          <w:i/>
          <w:sz w:val="32"/>
        </w:rPr>
        <w:t>Supporting Statement for Paperwork Reduction Act Submissions</w:t>
      </w:r>
    </w:p>
    <w:p w14:paraId="2BEFE9FD" w14:textId="77777777" w:rsidR="005E089D" w:rsidRDefault="005E089D">
      <w:pPr>
        <w:jc w:val="center"/>
      </w:pPr>
    </w:p>
    <w:p w14:paraId="4F41733E" w14:textId="77777777" w:rsidR="005970A9" w:rsidRDefault="005E089D">
      <w:pPr>
        <w:pStyle w:val="Heading1"/>
      </w:pPr>
      <w:r>
        <w:t>Medicare</w:t>
      </w:r>
      <w:r w:rsidR="00A25EA3">
        <w:t xml:space="preserve"> </w:t>
      </w:r>
      <w:r w:rsidR="00AA39F2">
        <w:t xml:space="preserve">Enrollment Application – </w:t>
      </w:r>
      <w:r w:rsidR="00B15F12">
        <w:t>Reassignment of Medicare Benefits</w:t>
      </w:r>
      <w:r w:rsidR="00AA39F2">
        <w:t xml:space="preserve"> </w:t>
      </w:r>
    </w:p>
    <w:p w14:paraId="2DF05D49" w14:textId="30FBB342" w:rsidR="005E089D" w:rsidRDefault="005970A9">
      <w:pPr>
        <w:pStyle w:val="Heading1"/>
      </w:pPr>
      <w:r>
        <w:t>(</w:t>
      </w:r>
      <w:r w:rsidR="00AA39F2">
        <w:t>CMS</w:t>
      </w:r>
      <w:r w:rsidR="00F81C2B">
        <w:t>-</w:t>
      </w:r>
      <w:r w:rsidR="00A25EA3">
        <w:t>855</w:t>
      </w:r>
      <w:r w:rsidR="00B15F12">
        <w:t>R</w:t>
      </w:r>
      <w:r>
        <w:t>/OMB control number: 0938-1179)</w:t>
      </w:r>
    </w:p>
    <w:p w14:paraId="79379335" w14:textId="77777777" w:rsidR="005E089D" w:rsidRDefault="005E089D">
      <w:pPr>
        <w:jc w:val="both"/>
      </w:pPr>
    </w:p>
    <w:p w14:paraId="6417425A" w14:textId="77777777" w:rsidR="00052C33" w:rsidRDefault="00052C33">
      <w:pPr>
        <w:jc w:val="both"/>
      </w:pPr>
    </w:p>
    <w:p w14:paraId="6B595853" w14:textId="77777777" w:rsidR="005E089D" w:rsidRDefault="005E089D">
      <w:pPr>
        <w:pStyle w:val="Heading2"/>
        <w:jc w:val="both"/>
      </w:pPr>
      <w:r>
        <w:t>BACKGROUND</w:t>
      </w:r>
    </w:p>
    <w:p w14:paraId="5D9E5BFD" w14:textId="77777777" w:rsidR="000026A7" w:rsidRDefault="000026A7" w:rsidP="0080379B"/>
    <w:p w14:paraId="1F3BF239" w14:textId="020EBD4C" w:rsidR="000026A7" w:rsidRPr="008E4236" w:rsidRDefault="00B15F12" w:rsidP="0080379B">
      <w:pPr>
        <w:rPr>
          <w:szCs w:val="24"/>
        </w:rPr>
      </w:pPr>
      <w:r w:rsidRPr="008E4236">
        <w:rPr>
          <w:szCs w:val="24"/>
        </w:rPr>
        <w:t xml:space="preserve">The primary function of the </w:t>
      </w:r>
      <w:smartTag w:uri="urn:schemas-microsoft-com:office:smarttags" w:element="stockticker">
        <w:r w:rsidRPr="008E4236">
          <w:rPr>
            <w:szCs w:val="24"/>
          </w:rPr>
          <w:t>CMS</w:t>
        </w:r>
      </w:smartTag>
      <w:r w:rsidR="003024B6" w:rsidRPr="008E4236">
        <w:rPr>
          <w:szCs w:val="24"/>
        </w:rPr>
        <w:t>-</w:t>
      </w:r>
      <w:r w:rsidRPr="008E4236">
        <w:rPr>
          <w:szCs w:val="24"/>
        </w:rPr>
        <w:t>855R enrollment application is to allow p</w:t>
      </w:r>
      <w:r w:rsidR="003024B6" w:rsidRPr="008E4236">
        <w:rPr>
          <w:szCs w:val="24"/>
        </w:rPr>
        <w:t xml:space="preserve">roviders and suppliers </w:t>
      </w:r>
      <w:r w:rsidRPr="008E4236">
        <w:rPr>
          <w:szCs w:val="24"/>
        </w:rPr>
        <w:t xml:space="preserve">to reassign their Medicare benefits to a group </w:t>
      </w:r>
      <w:r w:rsidR="003024B6" w:rsidRPr="008E4236">
        <w:rPr>
          <w:szCs w:val="24"/>
        </w:rPr>
        <w:t xml:space="preserve">or individual </w:t>
      </w:r>
      <w:r w:rsidRPr="008E4236">
        <w:rPr>
          <w:szCs w:val="24"/>
        </w:rPr>
        <w:t>practice</w:t>
      </w:r>
      <w:r w:rsidR="003024B6" w:rsidRPr="008E4236">
        <w:rPr>
          <w:szCs w:val="24"/>
        </w:rPr>
        <w:t xml:space="preserve"> </w:t>
      </w:r>
      <w:r w:rsidRPr="008E4236">
        <w:rPr>
          <w:szCs w:val="24"/>
        </w:rPr>
        <w:t>and</w:t>
      </w:r>
      <w:r w:rsidR="00ED017E">
        <w:rPr>
          <w:szCs w:val="24"/>
        </w:rPr>
        <w:t xml:space="preserve"> collects </w:t>
      </w:r>
      <w:r w:rsidRPr="008E4236">
        <w:rPr>
          <w:szCs w:val="24"/>
        </w:rPr>
        <w:t xml:space="preserve">information necessary to establish correct claims payment.  </w:t>
      </w:r>
      <w:r w:rsidR="000026A7" w:rsidRPr="008E4236">
        <w:rPr>
          <w:szCs w:val="24"/>
        </w:rPr>
        <w:t xml:space="preserve">The goal of </w:t>
      </w:r>
      <w:r w:rsidR="00C83D25" w:rsidRPr="008E4236">
        <w:rPr>
          <w:szCs w:val="24"/>
        </w:rPr>
        <w:t xml:space="preserve">periodically </w:t>
      </w:r>
      <w:r w:rsidR="000026A7" w:rsidRPr="008E4236">
        <w:rPr>
          <w:szCs w:val="24"/>
        </w:rPr>
        <w:t xml:space="preserve">evaluating and revising </w:t>
      </w:r>
      <w:r w:rsidR="00A25EA3" w:rsidRPr="008E4236">
        <w:rPr>
          <w:szCs w:val="24"/>
        </w:rPr>
        <w:t xml:space="preserve">the </w:t>
      </w:r>
      <w:smartTag w:uri="urn:schemas-microsoft-com:office:smarttags" w:element="stockticker">
        <w:r w:rsidR="00A25EA3" w:rsidRPr="008E4236">
          <w:rPr>
            <w:szCs w:val="24"/>
          </w:rPr>
          <w:t>CMS</w:t>
        </w:r>
        <w:r w:rsidR="003024B6" w:rsidRPr="008E4236">
          <w:rPr>
            <w:szCs w:val="24"/>
          </w:rPr>
          <w:t>-</w:t>
        </w:r>
      </w:smartTag>
      <w:r w:rsidR="00A25EA3" w:rsidRPr="008E4236">
        <w:rPr>
          <w:szCs w:val="24"/>
        </w:rPr>
        <w:t>855</w:t>
      </w:r>
      <w:r w:rsidRPr="008E4236">
        <w:rPr>
          <w:szCs w:val="24"/>
        </w:rPr>
        <w:t>R</w:t>
      </w:r>
      <w:r w:rsidR="00A25EA3" w:rsidRPr="008E4236">
        <w:rPr>
          <w:szCs w:val="24"/>
        </w:rPr>
        <w:t xml:space="preserve"> </w:t>
      </w:r>
      <w:r w:rsidRPr="008E4236">
        <w:rPr>
          <w:szCs w:val="24"/>
        </w:rPr>
        <w:t>e</w:t>
      </w:r>
      <w:r w:rsidR="007D12A5" w:rsidRPr="008E4236">
        <w:rPr>
          <w:szCs w:val="24"/>
        </w:rPr>
        <w:t>nrollment application</w:t>
      </w:r>
      <w:r w:rsidR="000026A7" w:rsidRPr="008E4236">
        <w:rPr>
          <w:szCs w:val="24"/>
        </w:rPr>
        <w:t xml:space="preserve"> is to simplify and clarify the information collection without jeopardizing our need to</w:t>
      </w:r>
      <w:r w:rsidR="00AA39F2" w:rsidRPr="008E4236">
        <w:rPr>
          <w:szCs w:val="24"/>
        </w:rPr>
        <w:t xml:space="preserve"> collect specific </w:t>
      </w:r>
      <w:r w:rsidR="003024B6" w:rsidRPr="008E4236">
        <w:rPr>
          <w:szCs w:val="24"/>
        </w:rPr>
        <w:t xml:space="preserve">reassignment </w:t>
      </w:r>
      <w:r w:rsidR="00AA39F2" w:rsidRPr="008E4236">
        <w:rPr>
          <w:szCs w:val="24"/>
        </w:rPr>
        <w:t>information</w:t>
      </w:r>
      <w:r w:rsidR="003024B6" w:rsidRPr="008E4236">
        <w:rPr>
          <w:szCs w:val="24"/>
        </w:rPr>
        <w:t xml:space="preserve">.  </w:t>
      </w:r>
    </w:p>
    <w:p w14:paraId="59C82B1B" w14:textId="77777777" w:rsidR="00C83D25" w:rsidRPr="008E4236" w:rsidRDefault="00C83D25" w:rsidP="00C83D25">
      <w:pPr>
        <w:pStyle w:val="Heading3"/>
      </w:pPr>
    </w:p>
    <w:p w14:paraId="6F2A7FB3" w14:textId="77777777" w:rsidR="00C83D25" w:rsidRPr="008E4236" w:rsidRDefault="00C83D25" w:rsidP="00C83D25">
      <w:pPr>
        <w:pStyle w:val="Heading3"/>
      </w:pPr>
      <w:r w:rsidRPr="008E4236">
        <w:t>Goals of the Provider/Supplier Enrollment Application Revisions</w:t>
      </w:r>
    </w:p>
    <w:p w14:paraId="4C71EE83" w14:textId="77777777" w:rsidR="00C83D25" w:rsidRPr="008E4236" w:rsidRDefault="00C83D25" w:rsidP="00C83D25"/>
    <w:p w14:paraId="3FB1DDDE" w14:textId="7033ABA9" w:rsidR="006D65A3" w:rsidRPr="008E4236" w:rsidRDefault="00FF0A67" w:rsidP="006D65A3">
      <w:r w:rsidRPr="008E4236">
        <w:t xml:space="preserve">At this time CMS is also using this opportunity to make minor editorial and </w:t>
      </w:r>
      <w:r w:rsidR="00BC3965" w:rsidRPr="008E4236">
        <w:t>clerical corrections to the CMS-</w:t>
      </w:r>
      <w:r w:rsidRPr="008E4236">
        <w:t>855</w:t>
      </w:r>
      <w:r w:rsidR="00C80785" w:rsidRPr="008E4236">
        <w:t>R</w:t>
      </w:r>
      <w:r w:rsidRPr="008E4236">
        <w:t xml:space="preserve"> </w:t>
      </w:r>
      <w:r w:rsidR="00C83D25" w:rsidRPr="008E4236">
        <w:t>to simplify and clarify the current data collection and to r</w:t>
      </w:r>
      <w:r w:rsidR="00BC3965" w:rsidRPr="008E4236">
        <w:t xml:space="preserve">emove obsolete questions.  </w:t>
      </w:r>
      <w:r w:rsidR="00CA2D95" w:rsidRPr="008E4236">
        <w:t>C</w:t>
      </w:r>
      <w:r w:rsidR="00E46C19" w:rsidRPr="008E4236">
        <w:t>MS is adding a data collection t</w:t>
      </w:r>
      <w:r w:rsidR="00CA2D95" w:rsidRPr="008E4236">
        <w:t xml:space="preserve">o </w:t>
      </w:r>
      <w:r w:rsidR="00C80785" w:rsidRPr="008E4236">
        <w:rPr>
          <w:szCs w:val="24"/>
        </w:rPr>
        <w:t>identify</w:t>
      </w:r>
      <w:r w:rsidR="00E46C19" w:rsidRPr="008E4236">
        <w:rPr>
          <w:szCs w:val="24"/>
        </w:rPr>
        <w:t xml:space="preserve"> </w:t>
      </w:r>
      <w:r w:rsidR="00BC3965" w:rsidRPr="008E4236">
        <w:rPr>
          <w:szCs w:val="24"/>
        </w:rPr>
        <w:t>a secondary</w:t>
      </w:r>
      <w:r w:rsidR="00C80785" w:rsidRPr="008E4236">
        <w:rPr>
          <w:szCs w:val="24"/>
        </w:rPr>
        <w:t xml:space="preserve"> group location where the p</w:t>
      </w:r>
      <w:r w:rsidR="00BC3965" w:rsidRPr="008E4236">
        <w:rPr>
          <w:szCs w:val="24"/>
        </w:rPr>
        <w:t>rovider/supplier</w:t>
      </w:r>
      <w:r w:rsidR="00C80785" w:rsidRPr="008E4236">
        <w:rPr>
          <w:szCs w:val="24"/>
        </w:rPr>
        <w:t xml:space="preserve"> will render services.</w:t>
      </w:r>
      <w:r w:rsidR="00BC3965" w:rsidRPr="008E4236">
        <w:rPr>
          <w:szCs w:val="24"/>
        </w:rPr>
        <w:t xml:space="preserve">  Like the primary practice location, this secondary location data collection is optional.  If completed, the information will go to the Physician Compare website.</w:t>
      </w:r>
      <w:r w:rsidR="00136BE7" w:rsidRPr="008E4236">
        <w:rPr>
          <w:szCs w:val="24"/>
        </w:rPr>
        <w:t xml:space="preserve">  </w:t>
      </w:r>
      <w:r w:rsidR="006D65A3" w:rsidRPr="008E4236">
        <w:t>Through data analytics CMS will be able to monitor and track claims submitted by groups on behalf of the pr</w:t>
      </w:r>
      <w:r w:rsidR="00136BE7" w:rsidRPr="008E4236">
        <w:t>oviders/suppliers</w:t>
      </w:r>
      <w:r w:rsidR="006D65A3" w:rsidRPr="008E4236">
        <w:t xml:space="preserve"> who have reassigned their benefits to the group to ensure the billing patterns and volume of claims submitted on behalf of any given pr</w:t>
      </w:r>
      <w:r w:rsidR="00136BE7" w:rsidRPr="008E4236">
        <w:t>ovider/supplier</w:t>
      </w:r>
      <w:r w:rsidR="006D65A3" w:rsidRPr="008E4236">
        <w:t xml:space="preserve"> are valid</w:t>
      </w:r>
      <w:r w:rsidR="00136BE7" w:rsidRPr="008E4236">
        <w:t xml:space="preserve"> and poss</w:t>
      </w:r>
      <w:r w:rsidR="006D65A3" w:rsidRPr="008E4236">
        <w:t>ible.</w:t>
      </w:r>
      <w:r w:rsidR="00136BE7" w:rsidRPr="008E4236">
        <w:t xml:space="preserve">  For example, a provider who has reassigned its benefits to the group works for the group submitting claims that equal to approximately 40 hours a week.  The provider also has a private practice where claims are submitted equaling approximately 40 hours a week. In addition, the provider practices at a hospital where the claims submitted add up to approximately 40 hours a week.  CMS would be able to see the provider cannot possibly </w:t>
      </w:r>
      <w:r w:rsidR="00F81C2B" w:rsidRPr="008E4236">
        <w:t>submit claims</w:t>
      </w:r>
      <w:r w:rsidR="00136BE7" w:rsidRPr="008E4236">
        <w:t xml:space="preserve"> for 120 hours per week and </w:t>
      </w:r>
      <w:r w:rsidR="00F81C2B" w:rsidRPr="008E4236">
        <w:t xml:space="preserve">CMS </w:t>
      </w:r>
      <w:r w:rsidR="00136BE7" w:rsidRPr="008E4236">
        <w:t>would investigate the provider.</w:t>
      </w:r>
    </w:p>
    <w:p w14:paraId="25996AF0" w14:textId="77777777" w:rsidR="006D65A3" w:rsidRPr="008E4236" w:rsidRDefault="006D65A3" w:rsidP="006D65A3">
      <w:r w:rsidRPr="008E4236">
        <w:t xml:space="preserve"> </w:t>
      </w:r>
    </w:p>
    <w:p w14:paraId="09A83223" w14:textId="713EA6AC" w:rsidR="00C83D25" w:rsidRPr="008E4236" w:rsidRDefault="00CA2D95" w:rsidP="006D65A3">
      <w:r w:rsidRPr="008E4236">
        <w:t xml:space="preserve">With the exception of </w:t>
      </w:r>
      <w:r w:rsidR="00672B35" w:rsidRPr="008E4236">
        <w:t xml:space="preserve">adding a new submission reason (change of reassignment information) and the option to </w:t>
      </w:r>
      <w:r w:rsidR="00BB2D51">
        <w:t>identify</w:t>
      </w:r>
      <w:r w:rsidR="00672B35" w:rsidRPr="008E4236">
        <w:t xml:space="preserve"> a</w:t>
      </w:r>
      <w:r w:rsidR="00517316" w:rsidRPr="008E4236">
        <w:t xml:space="preserve"> secondary</w:t>
      </w:r>
      <w:r w:rsidR="00672B35" w:rsidRPr="008E4236">
        <w:t xml:space="preserve"> practice location </w:t>
      </w:r>
      <w:r w:rsidRPr="008E4236">
        <w:t>address,</w:t>
      </w:r>
      <w:r w:rsidR="00672B35" w:rsidRPr="008E4236">
        <w:t xml:space="preserve"> </w:t>
      </w:r>
      <w:r w:rsidRPr="008E4236">
        <w:t xml:space="preserve">there </w:t>
      </w:r>
      <w:r w:rsidR="00672B35" w:rsidRPr="008E4236">
        <w:t xml:space="preserve">are only minor revisions to </w:t>
      </w:r>
      <w:r w:rsidRPr="008E4236">
        <w:t>this revision package</w:t>
      </w:r>
      <w:r w:rsidR="00517316" w:rsidRPr="008E4236">
        <w:t xml:space="preserve">, such as re-wording the instructions for better provider/supplier </w:t>
      </w:r>
      <w:r w:rsidR="00F81C2B" w:rsidRPr="008E4236">
        <w:t xml:space="preserve">flow and </w:t>
      </w:r>
      <w:r w:rsidR="00517316" w:rsidRPr="008E4236">
        <w:t>understanding</w:t>
      </w:r>
      <w:r w:rsidRPr="008E4236">
        <w:t>.</w:t>
      </w:r>
    </w:p>
    <w:p w14:paraId="14981DFE" w14:textId="77777777" w:rsidR="00C83D25" w:rsidRPr="008E4236" w:rsidRDefault="00C83D25" w:rsidP="0080379B"/>
    <w:p w14:paraId="2AC3525F" w14:textId="77777777" w:rsidR="005E089D" w:rsidRPr="008E4236" w:rsidRDefault="005E089D" w:rsidP="0080379B">
      <w:pPr>
        <w:rPr>
          <w:b/>
          <w:u w:val="single"/>
        </w:rPr>
      </w:pPr>
      <w:r w:rsidRPr="008E4236">
        <w:rPr>
          <w:b/>
          <w:u w:val="single"/>
        </w:rPr>
        <w:t>JUSTIFICATION</w:t>
      </w:r>
    </w:p>
    <w:p w14:paraId="223BC9B9" w14:textId="77777777" w:rsidR="005E089D" w:rsidRPr="008E4236" w:rsidRDefault="005E089D" w:rsidP="0080379B"/>
    <w:p w14:paraId="6AB6956C" w14:textId="77777777" w:rsidR="005E089D" w:rsidRPr="008E4236" w:rsidRDefault="005E089D" w:rsidP="0080379B">
      <w:pPr>
        <w:pStyle w:val="1"/>
        <w:numPr>
          <w:ilvl w:val="0"/>
          <w:numId w:val="5"/>
        </w:numPr>
        <w:tabs>
          <w:tab w:val="left" w:pos="-1440"/>
        </w:tabs>
        <w:rPr>
          <w:i/>
        </w:rPr>
      </w:pPr>
      <w:r w:rsidRPr="008E4236">
        <w:rPr>
          <w:i/>
        </w:rPr>
        <w:t>Need and Legal Basis</w:t>
      </w:r>
    </w:p>
    <w:p w14:paraId="798F3A8E" w14:textId="77777777" w:rsidR="005E089D" w:rsidRPr="008E4236" w:rsidRDefault="005E089D" w:rsidP="0080379B"/>
    <w:p w14:paraId="06C65020" w14:textId="77777777" w:rsidR="00BD775F" w:rsidRPr="008E4236" w:rsidRDefault="00BD775F" w:rsidP="00BD775F">
      <w:r w:rsidRPr="008E4236">
        <w:t>Various sections of the Social Security Act (Act), the United States Code (U.S.C.)</w:t>
      </w:r>
      <w:r w:rsidR="0037414A" w:rsidRPr="008E4236">
        <w:t>, Code of Federal Regulations (CFR)</w:t>
      </w:r>
      <w:r w:rsidRPr="008E4236">
        <w:t xml:space="preserve"> and the Internal Revenue Code (Code) require providers and suppliers to furnish information concerning the identification of individuals or entities that furnish medical supplies and services to beneficiaries before payment can be made.</w:t>
      </w:r>
    </w:p>
    <w:p w14:paraId="00FC9CE4" w14:textId="77777777" w:rsidR="005E089D" w:rsidRPr="008E4236" w:rsidRDefault="005E089D" w:rsidP="0080379B"/>
    <w:p w14:paraId="761B9251" w14:textId="77777777" w:rsidR="0030405F" w:rsidRPr="008E4236" w:rsidRDefault="0030405F" w:rsidP="0030405F">
      <w:pPr>
        <w:numPr>
          <w:ilvl w:val="0"/>
          <w:numId w:val="14"/>
        </w:numPr>
        <w:rPr>
          <w:szCs w:val="24"/>
        </w:rPr>
      </w:pPr>
      <w:r w:rsidRPr="008E4236">
        <w:t>C</w:t>
      </w:r>
      <w:r w:rsidRPr="008E4236">
        <w:rPr>
          <w:szCs w:val="24"/>
        </w:rPr>
        <w:t xml:space="preserve">.F.R. section 424.500 state the requirements for enrollment, periodic resubmission and </w:t>
      </w:r>
      <w:r w:rsidRPr="008E4236">
        <w:rPr>
          <w:szCs w:val="24"/>
        </w:rPr>
        <w:lastRenderedPageBreak/>
        <w:t>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w:t>
      </w:r>
    </w:p>
    <w:p w14:paraId="1AC9362C" w14:textId="77777777" w:rsidR="005E089D" w:rsidRPr="008E4236" w:rsidRDefault="005E089D" w:rsidP="0080379B">
      <w:pPr>
        <w:numPr>
          <w:ilvl w:val="0"/>
          <w:numId w:val="14"/>
        </w:numPr>
      </w:pPr>
      <w:r w:rsidRPr="008E4236">
        <w:t>Sections 1833(e) of the Act require the submission of information necessary to determine the amounts due to a provider</w:t>
      </w:r>
      <w:r w:rsidR="0033707D" w:rsidRPr="008E4236">
        <w:t>, supplier</w:t>
      </w:r>
      <w:r w:rsidRPr="008E4236">
        <w:t xml:space="preserve"> or other person.</w:t>
      </w:r>
    </w:p>
    <w:p w14:paraId="34300808" w14:textId="77777777" w:rsidR="00E23636" w:rsidRPr="008E4236" w:rsidRDefault="00E23636" w:rsidP="00E23636">
      <w:pPr>
        <w:numPr>
          <w:ilvl w:val="0"/>
          <w:numId w:val="20"/>
        </w:numPr>
      </w:pPr>
      <w:r w:rsidRPr="008E4236">
        <w:t>Section 31001(I) of the Debt Collection Improvement Act of 1996 (DCIA) (Public Law 104-134) amended 31 U.S.C. 7701 by adding paragraph (c) to require that any person or entity doing business with the Federal Government provide their Tax Identification Number (TIN).</w:t>
      </w:r>
    </w:p>
    <w:p w14:paraId="31B0F0C6" w14:textId="77777777" w:rsidR="0030405F" w:rsidRPr="008E4236" w:rsidRDefault="0030405F" w:rsidP="0030405F">
      <w:pPr>
        <w:numPr>
          <w:ilvl w:val="0"/>
          <w:numId w:val="20"/>
        </w:numPr>
      </w:pPr>
      <w:r w:rsidRPr="008E4236">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14:paraId="6C11BBE9" w14:textId="77777777" w:rsidR="0030405F" w:rsidRPr="008E4236" w:rsidRDefault="0030405F" w:rsidP="0030405F">
      <w:pPr>
        <w:numPr>
          <w:ilvl w:val="0"/>
          <w:numId w:val="20"/>
        </w:numPr>
      </w:pPr>
      <w:r w:rsidRPr="008E4236">
        <w:t>Sections 1814(a), 1815(a), and 1833(e) of the Act require the submission of information necessary to determine the amounts due to a provider or other person.</w:t>
      </w:r>
    </w:p>
    <w:p w14:paraId="7F62CDA1" w14:textId="77777777" w:rsidR="0030405F" w:rsidRPr="008E4236" w:rsidRDefault="0030405F" w:rsidP="0030405F">
      <w:pPr>
        <w:numPr>
          <w:ilvl w:val="0"/>
          <w:numId w:val="20"/>
        </w:numPr>
      </w:pPr>
      <w:r w:rsidRPr="008E4236">
        <w:t>Section 1866(j)(1)(C) of the Act requires us to consult with providers and suppliers of services before making changes in provider enrollment forms.</w:t>
      </w:r>
    </w:p>
    <w:p w14:paraId="0C77A096" w14:textId="77777777" w:rsidR="00E23636" w:rsidRPr="008E4236" w:rsidRDefault="00E23636" w:rsidP="00E23636">
      <w:pPr>
        <w:numPr>
          <w:ilvl w:val="0"/>
          <w:numId w:val="20"/>
        </w:numPr>
      </w:pPr>
      <w:r w:rsidRPr="008E4236">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64586126" w14:textId="77777777" w:rsidR="00E23636" w:rsidRPr="008E4236" w:rsidRDefault="00E23636" w:rsidP="00E23636">
      <w:pPr>
        <w:numPr>
          <w:ilvl w:val="0"/>
          <w:numId w:val="20"/>
        </w:numPr>
      </w:pPr>
      <w:r w:rsidRPr="008E4236">
        <w:t xml:space="preserve">42 C.F.R. section 424.502, defines enrollment and enrollment related terms.  </w:t>
      </w:r>
    </w:p>
    <w:p w14:paraId="2D93D3A9" w14:textId="77777777" w:rsidR="00943BFD" w:rsidRPr="008E4236" w:rsidRDefault="00943BFD" w:rsidP="00943BFD">
      <w:pPr>
        <w:pStyle w:val="ListParagraph"/>
        <w:numPr>
          <w:ilvl w:val="0"/>
          <w:numId w:val="20"/>
        </w:numPr>
        <w:spacing w:line="276" w:lineRule="auto"/>
        <w:rPr>
          <w:rFonts w:ascii="Times New Roman" w:hAnsi="Times New Roman"/>
          <w:sz w:val="24"/>
          <w:szCs w:val="24"/>
        </w:rPr>
      </w:pPr>
      <w:r w:rsidRPr="008E4236">
        <w:rPr>
          <w:rFonts w:ascii="Times New Roman" w:hAnsi="Times New Roman"/>
          <w:sz w:val="24"/>
          <w:szCs w:val="24"/>
        </w:rPr>
        <w:t>Federal law 5 U.S.C. 522(b)(4) requires privileged or confidential commercial or financial information protection from public disclosure.</w:t>
      </w:r>
    </w:p>
    <w:p w14:paraId="1B2BC09B" w14:textId="77777777" w:rsidR="00943BFD" w:rsidRPr="008E4236" w:rsidRDefault="00943BFD" w:rsidP="00943BFD">
      <w:pPr>
        <w:pStyle w:val="ListParagraph"/>
        <w:numPr>
          <w:ilvl w:val="0"/>
          <w:numId w:val="20"/>
        </w:numPr>
        <w:spacing w:line="276" w:lineRule="auto"/>
        <w:rPr>
          <w:rFonts w:ascii="Times New Roman" w:hAnsi="Times New Roman"/>
          <w:sz w:val="24"/>
          <w:szCs w:val="24"/>
        </w:rPr>
      </w:pPr>
      <w:r w:rsidRPr="008E4236">
        <w:rPr>
          <w:rFonts w:ascii="Times New Roman" w:hAnsi="Times New Roman"/>
          <w:sz w:val="24"/>
          <w:szCs w:val="24"/>
        </w:rPr>
        <w:t>Executive Order 12600 requires the pre-disclosure of notification procedures for confidential commercial information.</w:t>
      </w:r>
      <w:r w:rsidRPr="008E4236">
        <w:rPr>
          <w:rStyle w:val="subject"/>
          <w:rFonts w:ascii="Times New Roman" w:hAnsi="Times New Roman"/>
          <w:sz w:val="24"/>
          <w:szCs w:val="24"/>
          <w:lang w:val="en"/>
        </w:rPr>
        <w:t xml:space="preserve">                            </w:t>
      </w:r>
    </w:p>
    <w:p w14:paraId="7888B559" w14:textId="77777777" w:rsidR="00E23636" w:rsidRPr="008E4236" w:rsidRDefault="00E23636" w:rsidP="001D5DF8">
      <w:pPr>
        <w:ind w:left="360"/>
      </w:pPr>
    </w:p>
    <w:p w14:paraId="2FA21CA1" w14:textId="77777777" w:rsidR="005E089D" w:rsidRPr="008E4236" w:rsidRDefault="005E089D" w:rsidP="0080379B">
      <w:r w:rsidRPr="008E4236">
        <w:t xml:space="preserve">The </w:t>
      </w:r>
      <w:r w:rsidR="0033707D" w:rsidRPr="008E4236">
        <w:t>revise</w:t>
      </w:r>
      <w:r w:rsidR="00BD775F" w:rsidRPr="008E4236">
        <w:t>d</w:t>
      </w:r>
      <w:r w:rsidR="001D5DF8" w:rsidRPr="008E4236">
        <w:t xml:space="preserve"> CMS-</w:t>
      </w:r>
      <w:r w:rsidR="0033707D" w:rsidRPr="008E4236">
        <w:t>855</w:t>
      </w:r>
      <w:r w:rsidR="00D41DA4" w:rsidRPr="008E4236">
        <w:t>R</w:t>
      </w:r>
      <w:r w:rsidR="0033707D" w:rsidRPr="008E4236">
        <w:t xml:space="preserve"> </w:t>
      </w:r>
      <w:r w:rsidR="001D5DF8" w:rsidRPr="008E4236">
        <w:t>a</w:t>
      </w:r>
      <w:r w:rsidRPr="008E4236">
        <w:t xml:space="preserve">pplication collects this information, including the information necessary to uniquely identify the </w:t>
      </w:r>
      <w:r w:rsidR="00BD775F" w:rsidRPr="008E4236">
        <w:t>pr</w:t>
      </w:r>
      <w:r w:rsidR="001D5DF8" w:rsidRPr="008E4236">
        <w:t>ovider/supplier</w:t>
      </w:r>
      <w:r w:rsidRPr="008E4236">
        <w:t xml:space="preserve">.  </w:t>
      </w:r>
    </w:p>
    <w:p w14:paraId="79312BB8" w14:textId="77777777" w:rsidR="00D41DA4" w:rsidRPr="008E4236" w:rsidRDefault="00D41DA4" w:rsidP="0080379B"/>
    <w:p w14:paraId="6E672CE0" w14:textId="77777777" w:rsidR="005E089D" w:rsidRPr="008E4236" w:rsidRDefault="005E089D" w:rsidP="0080379B">
      <w:pPr>
        <w:numPr>
          <w:ilvl w:val="0"/>
          <w:numId w:val="5"/>
        </w:numPr>
        <w:tabs>
          <w:tab w:val="left" w:pos="-1440"/>
        </w:tabs>
        <w:rPr>
          <w:i/>
        </w:rPr>
      </w:pPr>
      <w:r w:rsidRPr="008E4236">
        <w:rPr>
          <w:i/>
        </w:rPr>
        <w:t>Purpose and users of the information</w:t>
      </w:r>
    </w:p>
    <w:p w14:paraId="0731711C" w14:textId="77777777" w:rsidR="005E089D" w:rsidRPr="008E4236" w:rsidRDefault="005E089D" w:rsidP="0080379B">
      <w:pPr>
        <w:pStyle w:val="Header"/>
        <w:tabs>
          <w:tab w:val="clear" w:pos="4320"/>
          <w:tab w:val="clear" w:pos="8640"/>
        </w:tabs>
      </w:pPr>
    </w:p>
    <w:p w14:paraId="73AF60B7" w14:textId="0ADA5DB7" w:rsidR="0089464B" w:rsidRPr="008E4236" w:rsidRDefault="007F63E9" w:rsidP="0080379B">
      <w:r w:rsidRPr="008E4236">
        <w:t>Providers/suppliers</w:t>
      </w:r>
      <w:r w:rsidR="009127DB" w:rsidRPr="008E4236">
        <w:t xml:space="preserve"> </w:t>
      </w:r>
      <w:r w:rsidR="005E089D" w:rsidRPr="008E4236">
        <w:t xml:space="preserve">who wish to </w:t>
      </w:r>
      <w:r w:rsidR="00E46C19" w:rsidRPr="008E4236">
        <w:t>reassign their benefits</w:t>
      </w:r>
      <w:r w:rsidR="005E089D" w:rsidRPr="008E4236">
        <w:t xml:space="preserve"> in the Medicare program</w:t>
      </w:r>
      <w:r w:rsidR="009127DB" w:rsidRPr="008E4236">
        <w:t xml:space="preserve"> must complete th</w:t>
      </w:r>
      <w:r w:rsidR="00B07D7C" w:rsidRPr="008E4236">
        <w:t>e CMS</w:t>
      </w:r>
      <w:r w:rsidR="00136BE7" w:rsidRPr="008E4236">
        <w:t>-</w:t>
      </w:r>
      <w:r w:rsidR="00B07D7C" w:rsidRPr="008E4236">
        <w:t>855</w:t>
      </w:r>
      <w:r w:rsidR="00D41DA4" w:rsidRPr="008E4236">
        <w:t>R</w:t>
      </w:r>
      <w:r w:rsidR="00B07D7C" w:rsidRPr="008E4236">
        <w:t xml:space="preserve"> </w:t>
      </w:r>
      <w:r w:rsidR="003B280E" w:rsidRPr="008E4236">
        <w:t>reassignment</w:t>
      </w:r>
      <w:r w:rsidR="009127DB" w:rsidRPr="008E4236">
        <w:t xml:space="preserve"> application</w:t>
      </w:r>
      <w:r w:rsidR="005E089D" w:rsidRPr="008E4236">
        <w:t xml:space="preserve">.  It is submitted at the time the </w:t>
      </w:r>
      <w:r w:rsidR="00D41DA4" w:rsidRPr="008E4236">
        <w:t>p</w:t>
      </w:r>
      <w:r w:rsidRPr="008E4236">
        <w:t>rovider/supplier</w:t>
      </w:r>
      <w:r w:rsidR="005E089D" w:rsidRPr="008E4236">
        <w:t xml:space="preserve"> </w:t>
      </w:r>
      <w:r w:rsidRPr="008E4236">
        <w:t>first reassigns</w:t>
      </w:r>
      <w:r w:rsidR="00E46C19" w:rsidRPr="008E4236">
        <w:rPr>
          <w:szCs w:val="24"/>
        </w:rPr>
        <w:t xml:space="preserve"> of</w:t>
      </w:r>
      <w:r w:rsidR="00D41DA4" w:rsidRPr="008E4236">
        <w:rPr>
          <w:szCs w:val="24"/>
        </w:rPr>
        <w:t xml:space="preserve"> his/her Medicare benefits to a group practice, as well as any subsequent reassignments</w:t>
      </w:r>
      <w:r w:rsidRPr="008E4236">
        <w:rPr>
          <w:szCs w:val="24"/>
        </w:rPr>
        <w:t>, changes to current reassignment information</w:t>
      </w:r>
      <w:r w:rsidR="00D41DA4" w:rsidRPr="008E4236">
        <w:rPr>
          <w:szCs w:val="24"/>
        </w:rPr>
        <w:t xml:space="preserve"> </w:t>
      </w:r>
      <w:r w:rsidR="00E46C19" w:rsidRPr="008E4236">
        <w:rPr>
          <w:szCs w:val="24"/>
        </w:rPr>
        <w:t xml:space="preserve">or terminations of established reassignments </w:t>
      </w:r>
      <w:r w:rsidR="00D41DA4" w:rsidRPr="008E4236">
        <w:rPr>
          <w:szCs w:val="24"/>
        </w:rPr>
        <w:t>as requested by the p</w:t>
      </w:r>
      <w:r w:rsidRPr="008E4236">
        <w:rPr>
          <w:szCs w:val="24"/>
        </w:rPr>
        <w:t>rovider/supplier</w:t>
      </w:r>
      <w:r w:rsidR="003E5E3F" w:rsidRPr="008E4236">
        <w:rPr>
          <w:szCs w:val="24"/>
        </w:rPr>
        <w:t xml:space="preserve"> or group</w:t>
      </w:r>
      <w:r w:rsidRPr="008E4236">
        <w:rPr>
          <w:szCs w:val="24"/>
        </w:rPr>
        <w:t xml:space="preserve">.  </w:t>
      </w:r>
      <w:r w:rsidR="005E089D" w:rsidRPr="008E4236">
        <w:t xml:space="preserve">The application is used by </w:t>
      </w:r>
      <w:r w:rsidR="00B07D7C" w:rsidRPr="008E4236">
        <w:t xml:space="preserve">the </w:t>
      </w:r>
      <w:r w:rsidR="00BD775F" w:rsidRPr="008E4236">
        <w:t>Medicare Administrative Contractor (MAC)</w:t>
      </w:r>
      <w:r w:rsidR="00B07D7C" w:rsidRPr="008E4236">
        <w:t xml:space="preserve"> </w:t>
      </w:r>
      <w:r w:rsidR="005E089D" w:rsidRPr="008E4236">
        <w:t xml:space="preserve">to collect data to assure the applicant has the necessary information that allows the </w:t>
      </w:r>
      <w:r w:rsidR="00F5561A" w:rsidRPr="008E4236">
        <w:t>MAC</w:t>
      </w:r>
      <w:r w:rsidR="005E089D" w:rsidRPr="008E4236">
        <w:t xml:space="preserve"> to correctly </w:t>
      </w:r>
      <w:r w:rsidR="00E46C19" w:rsidRPr="008E4236">
        <w:t>establish</w:t>
      </w:r>
      <w:r w:rsidR="00880576" w:rsidRPr="008E4236">
        <w:t>, change,</w:t>
      </w:r>
      <w:r w:rsidR="00E46C19" w:rsidRPr="008E4236">
        <w:t xml:space="preserve"> or terminate the reassignment.</w:t>
      </w:r>
    </w:p>
    <w:p w14:paraId="2B6B3DB8" w14:textId="77777777" w:rsidR="00554EB0" w:rsidRPr="008E4236" w:rsidRDefault="00554EB0" w:rsidP="0080379B"/>
    <w:p w14:paraId="3415ECEC" w14:textId="07C63D25" w:rsidR="00554EB0" w:rsidRPr="008E4236" w:rsidRDefault="00554EB0" w:rsidP="00554EB0">
      <w:r w:rsidRPr="008E4236">
        <w:t>Groups typically complete the CMS-855R on behalf of the provider/supplier who is reassigning benefits, changing reassignment information, or terminating a reassignment.  For example, if a physician joins a group practice, the group will complete the CMS-855R to reassign the newly hired physician’s benefits (claims payment), to the group as part of the hiring process.  Conversely, if a provider/supplier leaves a group, the group will typically complete the CMS-855R to terminate that provider/supplier’s reassignment of benefits to the group.  In addition, if the provider/supplier choses to complete the practice location section of the CMS-855R, the provider/supplier will then be listed on the Physician Compare website for beneficiaries to find and/or research.</w:t>
      </w:r>
    </w:p>
    <w:p w14:paraId="3C45CCD6" w14:textId="77777777" w:rsidR="00554EB0" w:rsidRPr="008E4236" w:rsidRDefault="00554EB0" w:rsidP="00554EB0"/>
    <w:p w14:paraId="6DE14E31" w14:textId="37C89B72" w:rsidR="00517316" w:rsidRPr="008E4236" w:rsidRDefault="00554EB0" w:rsidP="0080379B">
      <w:r w:rsidRPr="008E4236">
        <w:t xml:space="preserve">The </w:t>
      </w:r>
      <w:r w:rsidR="00517316" w:rsidRPr="008E4236">
        <w:t>Provider Enrollment Chain and Ownership System (PECOS)</w:t>
      </w:r>
      <w:r w:rsidRPr="008E4236">
        <w:t xml:space="preserve"> keeps track of all reassignments.  If the provider or supplier or group becomes out of compliance, CMS can link the provider/supplier or group to all other affiliations.  For example, a non-physician practitioner is found to be billing fraudulently in his/her private practice.  CMS can go to PECOS and find what other locations (e.g., hospital) or groups the non-physician practitioner has reassigned his/her benefits.  CMS then notifies the other entities (e.g., groups) that the non-physician practitioner has been barred from seeing and submitting claims for Medicare beneficiaries.  So everywhere the non-</w:t>
      </w:r>
      <w:r w:rsidR="003E5E3F" w:rsidRPr="008E4236">
        <w:t>physician practitioner practices would submit a CMS-855R for termination of his/her reassignment(s).</w:t>
      </w:r>
    </w:p>
    <w:p w14:paraId="260047D9" w14:textId="77777777" w:rsidR="003E5E3F" w:rsidRPr="008E4236" w:rsidRDefault="003E5E3F" w:rsidP="0080379B"/>
    <w:p w14:paraId="45AC8625" w14:textId="20B94F6C" w:rsidR="00517316" w:rsidRPr="008E4236" w:rsidRDefault="003E5E3F" w:rsidP="0080379B">
      <w:r w:rsidRPr="008E4236">
        <w:t xml:space="preserve">This revision adds a new submission reason for completing and submitting the CMS-855R.  There is now a change of reassignment submission reason.  This is a new box to check but there have always been changes of information submitted to CMS regarding reassignments.  Typically, changes of information were submitted as a termination of one reassignment and then a CMS-855R was submitted as a new reassignment.  The change of information option allows the group to submit one CMS-855R for changes of information, lessening the burden on the provider/supplier, group, and MAC.  </w:t>
      </w:r>
    </w:p>
    <w:p w14:paraId="26AF5790" w14:textId="77777777" w:rsidR="008717FB" w:rsidRPr="008E4236" w:rsidRDefault="008717FB" w:rsidP="0080379B"/>
    <w:p w14:paraId="46DA1739" w14:textId="0A9B7674" w:rsidR="00317D23" w:rsidRPr="008E4236" w:rsidRDefault="00317D23" w:rsidP="00317D23">
      <w:r w:rsidRPr="008E4236">
        <w:t xml:space="preserve">The collection and verification of </w:t>
      </w:r>
      <w:r w:rsidR="0044150E" w:rsidRPr="008E4236">
        <w:t xml:space="preserve">reassignment </w:t>
      </w:r>
      <w:r w:rsidRPr="008E4236">
        <w:t>information defends and protects our beneficiaries from illegitimate providers</w:t>
      </w:r>
      <w:r w:rsidR="0044150E" w:rsidRPr="008E4236">
        <w:t>/suppliers</w:t>
      </w:r>
      <w:r w:rsidRPr="008E4236">
        <w:t xml:space="preserve">.  These procedures also protect the Medicare Trust Fund against fraud.  It gathers information that allow Medicare contractors to ensure that the </w:t>
      </w:r>
      <w:r w:rsidR="0044150E" w:rsidRPr="008E4236">
        <w:t>provider/</w:t>
      </w:r>
      <w:r w:rsidRPr="008E4236">
        <w:t xml:space="preserve">supplier is not sanctioned from the Medicare and/or Medicaid program(s), or debarred, or excluded from any other Federal agency or program.  The data </w:t>
      </w:r>
      <w:r w:rsidR="0044150E" w:rsidRPr="008E4236">
        <w:t xml:space="preserve">(e.g., Social Security Numbers, Employer Identification Numbers) </w:t>
      </w:r>
      <w:r w:rsidRPr="008E4236">
        <w:t>collected also ensures that the applicant has the necessary credentials to provide the health care services for which they intend to bill Medicare</w:t>
      </w:r>
      <w:r w:rsidR="0044150E" w:rsidRPr="008E4236">
        <w:t xml:space="preserve"> through the reassignment.  </w:t>
      </w:r>
      <w:r w:rsidRPr="008E4236">
        <w:t>This is sole instrument implemented for this purpose.</w:t>
      </w:r>
    </w:p>
    <w:p w14:paraId="37B9D2A7" w14:textId="77777777" w:rsidR="00317D23" w:rsidRPr="008E4236" w:rsidRDefault="00317D23" w:rsidP="00317D23">
      <w:pPr>
        <w:spacing w:before="17" w:line="260" w:lineRule="exact"/>
        <w:rPr>
          <w:szCs w:val="24"/>
        </w:rPr>
      </w:pPr>
    </w:p>
    <w:p w14:paraId="5AFF33F9" w14:textId="77777777" w:rsidR="009E5478" w:rsidRPr="008E4236" w:rsidRDefault="009E5478" w:rsidP="0080379B"/>
    <w:p w14:paraId="5ABBFC54" w14:textId="77777777" w:rsidR="005E089D" w:rsidRPr="008E4236" w:rsidRDefault="005E089D" w:rsidP="0080379B">
      <w:pPr>
        <w:numPr>
          <w:ilvl w:val="0"/>
          <w:numId w:val="5"/>
        </w:numPr>
        <w:tabs>
          <w:tab w:val="left" w:pos="-1440"/>
        </w:tabs>
        <w:rPr>
          <w:i/>
        </w:rPr>
      </w:pPr>
      <w:r w:rsidRPr="008E4236">
        <w:rPr>
          <w:i/>
        </w:rPr>
        <w:t>Improved Information Techniques</w:t>
      </w:r>
    </w:p>
    <w:p w14:paraId="78CC1082" w14:textId="77777777" w:rsidR="005E089D" w:rsidRPr="008E4236" w:rsidRDefault="005E089D" w:rsidP="0080379B">
      <w:pPr>
        <w:pStyle w:val="Header"/>
        <w:tabs>
          <w:tab w:val="clear" w:pos="4320"/>
          <w:tab w:val="clear" w:pos="8640"/>
        </w:tabs>
      </w:pPr>
    </w:p>
    <w:p w14:paraId="47A23DF1" w14:textId="33396D60" w:rsidR="007E365E" w:rsidRPr="008E4236" w:rsidRDefault="007E365E" w:rsidP="007E365E">
      <w:r w:rsidRPr="008E4236">
        <w:t xml:space="preserve">This collection lends itself to electronic collection methods and is currently available through the CMS website.  </w:t>
      </w:r>
      <w:r w:rsidRPr="008E4236">
        <w:rPr>
          <w:szCs w:val="24"/>
        </w:rPr>
        <w:t xml:space="preserve">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provider/supplier has access to its own records.  </w:t>
      </w:r>
      <w:r w:rsidRPr="008E4236">
        <w:t xml:space="preserve">PECOS is an electronic Medicare enrollment system through which providers and suppliers can: submit Medicare enrollment applications, view and print enrollment information, update enrollment information, and track the status of a submitted Medicare enrollment application.  </w:t>
      </w:r>
      <w:r w:rsidRPr="008E4236">
        <w:rPr>
          <w:szCs w:val="24"/>
        </w:rPr>
        <w:t xml:space="preserve">The data stored in PECOS mirrors the data collected on the </w:t>
      </w:r>
      <w:r w:rsidR="00880576" w:rsidRPr="008E4236">
        <w:rPr>
          <w:szCs w:val="24"/>
        </w:rPr>
        <w:t xml:space="preserve">paper </w:t>
      </w:r>
      <w:r w:rsidRPr="008E4236">
        <w:rPr>
          <w:szCs w:val="24"/>
        </w:rPr>
        <w:t xml:space="preserve">CMS-855R (Medicare Enrollment Application for Reassignment of Benefits) and is maintained indefinitely as both historical and current information.  CMS also supports an Internet-based provider/supplier CMS-855 enrollment platform which allows the provider/supplier to complete an online CMS-855R application and transmit it to the Medicare contractor database for processing.  Then the data is transferred from the Medicare contractor processing database into PECOS by the Medicare contractor.  </w:t>
      </w:r>
      <w:r w:rsidRPr="008E4236">
        <w:t>CMS also has the ability to allow suppliers to upload supporting documentation (required for enrollment) electronically.  CMS has also adopted an electronic signature standard; however, providers/suppliers will have the choice to e-sign via the CMS website or to submit a hard copy of the CMS-855R certification page with an original signature.  Periodically, CMS will require adjustment to the format of the CMS-855R form (either paper, electronic or both) for clarity or to improve form design.  These adjustments do not alter the OMB data collection approval.  Currently, approximately 36% of individual provider/suppliers use the electronic method of reassigning their benefits in the Medicare program via the PECOS system.</w:t>
      </w:r>
    </w:p>
    <w:p w14:paraId="0B79AF34" w14:textId="77777777" w:rsidR="009E5478" w:rsidRPr="008E4236" w:rsidRDefault="009E5478" w:rsidP="007E365E"/>
    <w:p w14:paraId="362F23FD" w14:textId="77777777" w:rsidR="005E089D" w:rsidRPr="008E4236" w:rsidRDefault="005E089D" w:rsidP="0080379B"/>
    <w:p w14:paraId="498467CB" w14:textId="77777777" w:rsidR="005E089D" w:rsidRPr="008E4236" w:rsidRDefault="005E089D" w:rsidP="0080379B">
      <w:pPr>
        <w:numPr>
          <w:ilvl w:val="0"/>
          <w:numId w:val="5"/>
        </w:numPr>
        <w:tabs>
          <w:tab w:val="left" w:pos="-1440"/>
        </w:tabs>
      </w:pPr>
      <w:r w:rsidRPr="008E4236">
        <w:rPr>
          <w:i/>
        </w:rPr>
        <w:t>Duplication and Similar Information</w:t>
      </w:r>
    </w:p>
    <w:p w14:paraId="778EAA23" w14:textId="77777777" w:rsidR="005E089D" w:rsidRPr="008E4236" w:rsidRDefault="005E089D" w:rsidP="0080379B"/>
    <w:p w14:paraId="37220749" w14:textId="77777777" w:rsidR="007E365E" w:rsidRPr="008E4236" w:rsidRDefault="007E365E" w:rsidP="007E365E">
      <w:r w:rsidRPr="008E4236">
        <w:t xml:space="preserve">There is no duplicative information collection instrument or process.  </w:t>
      </w:r>
    </w:p>
    <w:p w14:paraId="564305E7" w14:textId="77777777" w:rsidR="009E5478" w:rsidRPr="008E4236" w:rsidRDefault="009E5478" w:rsidP="007E365E"/>
    <w:p w14:paraId="2F7E5E0D" w14:textId="77777777" w:rsidR="00644F69" w:rsidRPr="008E4236" w:rsidRDefault="00644F69" w:rsidP="0080379B"/>
    <w:p w14:paraId="1DEAED18" w14:textId="77777777" w:rsidR="005E089D" w:rsidRPr="008E4236" w:rsidRDefault="005E089D" w:rsidP="0080379B">
      <w:pPr>
        <w:numPr>
          <w:ilvl w:val="0"/>
          <w:numId w:val="5"/>
        </w:numPr>
      </w:pPr>
      <w:r w:rsidRPr="008E4236">
        <w:rPr>
          <w:i/>
        </w:rPr>
        <w:t>Small Business</w:t>
      </w:r>
    </w:p>
    <w:p w14:paraId="5896796D" w14:textId="77777777" w:rsidR="005E089D" w:rsidRPr="008E4236" w:rsidRDefault="005E089D" w:rsidP="0080379B"/>
    <w:p w14:paraId="1FBD1DEC" w14:textId="77777777" w:rsidR="007E365E" w:rsidRPr="008E4236" w:rsidRDefault="005E089D" w:rsidP="007E365E">
      <w:r w:rsidRPr="008E4236">
        <w:t>Th</w:t>
      </w:r>
      <w:r w:rsidR="00BD775F" w:rsidRPr="008E4236">
        <w:t>is</w:t>
      </w:r>
      <w:r w:rsidRPr="008E4236">
        <w:t xml:space="preserve"> form will affect small businesses; </w:t>
      </w:r>
      <w:r w:rsidR="007E365E" w:rsidRPr="008E4236">
        <w:t>however, these businesses have always been required to provide CMS with substantially the same information in order to reassign benefits in the Medicare program and for CMS successfully process their Medicare claims.</w:t>
      </w:r>
    </w:p>
    <w:p w14:paraId="6446489B" w14:textId="77777777" w:rsidR="009E5478" w:rsidRPr="008E4236" w:rsidRDefault="009E5478" w:rsidP="007E365E"/>
    <w:p w14:paraId="3531999D" w14:textId="77777777" w:rsidR="0033707D" w:rsidRPr="008E4236" w:rsidRDefault="0033707D" w:rsidP="0080379B"/>
    <w:p w14:paraId="4ADEDC53" w14:textId="77777777" w:rsidR="005E089D" w:rsidRPr="008E4236" w:rsidRDefault="005E089D" w:rsidP="0080379B">
      <w:pPr>
        <w:numPr>
          <w:ilvl w:val="0"/>
          <w:numId w:val="5"/>
        </w:numPr>
        <w:tabs>
          <w:tab w:val="left" w:pos="-1440"/>
        </w:tabs>
      </w:pPr>
      <w:r w:rsidRPr="008E4236">
        <w:rPr>
          <w:i/>
        </w:rPr>
        <w:t>Less Frequent Collections</w:t>
      </w:r>
    </w:p>
    <w:p w14:paraId="62B73025" w14:textId="77777777" w:rsidR="00943BFD" w:rsidRPr="008E4236" w:rsidRDefault="00943BFD" w:rsidP="00943BFD"/>
    <w:p w14:paraId="28BEED09" w14:textId="77777777" w:rsidR="001D5DF8" w:rsidRPr="008E4236" w:rsidRDefault="001D5DF8" w:rsidP="00943BFD">
      <w:r w:rsidRPr="008E4236">
        <w:t xml:space="preserve">This information is collected on an as needed basis.  The information provided on the CMS-855R is necessary for individuals reassigning benefits to groups in the Medicare program.  </w:t>
      </w:r>
      <w:r w:rsidR="00943BFD" w:rsidRPr="008E4236">
        <w:t>After the initial reassignment and approval, the information collected is less frequent and initialized for a change reassignment information, and for individuals and groups to terminate reassignment</w:t>
      </w:r>
      <w:r w:rsidRPr="008E4236">
        <w:t>s</w:t>
      </w:r>
      <w:r w:rsidR="00943BFD" w:rsidRPr="008E4236">
        <w:t xml:space="preserve">. </w:t>
      </w:r>
    </w:p>
    <w:p w14:paraId="3F9833D5" w14:textId="77777777" w:rsidR="001D5DF8" w:rsidRPr="008E4236" w:rsidRDefault="001D5DF8" w:rsidP="00943BFD"/>
    <w:p w14:paraId="785EF648" w14:textId="775C4C67" w:rsidR="005E089D" w:rsidRPr="008E4236" w:rsidRDefault="00943BFD" w:rsidP="0080379B">
      <w:r w:rsidRPr="008E4236">
        <w:t xml:space="preserve">In addition, to ensure uniform data submissions, CMS requires that all changes to previously submitted enrollment data be reported via this </w:t>
      </w:r>
      <w:r w:rsidR="00880576" w:rsidRPr="008E4236">
        <w:t>CMS-855R</w:t>
      </w:r>
      <w:r w:rsidRPr="008E4236">
        <w:t xml:space="preserve"> application.</w:t>
      </w:r>
    </w:p>
    <w:p w14:paraId="2AEC136A" w14:textId="77777777" w:rsidR="009E5478" w:rsidRPr="008E4236" w:rsidRDefault="009E5478" w:rsidP="0080379B"/>
    <w:p w14:paraId="3DB1970F" w14:textId="77777777" w:rsidR="009E5478" w:rsidRPr="008E4236" w:rsidRDefault="009E5478" w:rsidP="0080379B"/>
    <w:p w14:paraId="6E1B1673" w14:textId="77777777" w:rsidR="005E089D" w:rsidRPr="008E4236" w:rsidRDefault="005E089D" w:rsidP="0080379B">
      <w:pPr>
        <w:numPr>
          <w:ilvl w:val="0"/>
          <w:numId w:val="5"/>
        </w:numPr>
      </w:pPr>
      <w:r w:rsidRPr="008E4236">
        <w:rPr>
          <w:i/>
        </w:rPr>
        <w:t>Special Circumstances</w:t>
      </w:r>
    </w:p>
    <w:p w14:paraId="20392201" w14:textId="77777777" w:rsidR="005E089D" w:rsidRPr="008E4236" w:rsidRDefault="005E089D" w:rsidP="0080379B"/>
    <w:p w14:paraId="4ADA4D50" w14:textId="77777777" w:rsidR="007E365E" w:rsidRPr="008E4236" w:rsidRDefault="007E365E" w:rsidP="007E365E">
      <w:r w:rsidRPr="008E4236">
        <w:t>There are no special circumstances associated with this collection.</w:t>
      </w:r>
    </w:p>
    <w:p w14:paraId="60FCF436" w14:textId="77777777" w:rsidR="009E5478" w:rsidRPr="008E4236" w:rsidRDefault="009E5478" w:rsidP="007E365E"/>
    <w:p w14:paraId="33D4E4CF" w14:textId="77777777" w:rsidR="005E089D" w:rsidRPr="008E4236" w:rsidRDefault="005E089D" w:rsidP="0080379B"/>
    <w:p w14:paraId="095A9E83" w14:textId="77777777" w:rsidR="00EE5059" w:rsidRPr="008E4236" w:rsidRDefault="005E089D" w:rsidP="00EE5059">
      <w:pPr>
        <w:numPr>
          <w:ilvl w:val="0"/>
          <w:numId w:val="5"/>
        </w:numPr>
        <w:tabs>
          <w:tab w:val="left" w:pos="-1440"/>
        </w:tabs>
      </w:pPr>
      <w:r w:rsidRPr="008E4236">
        <w:rPr>
          <w:i/>
        </w:rPr>
        <w:t>Federal Register Notice/Outside Consultation</w:t>
      </w:r>
    </w:p>
    <w:p w14:paraId="747FBBBD" w14:textId="77777777" w:rsidR="00EE5059" w:rsidRPr="008E4236" w:rsidRDefault="00EE5059" w:rsidP="0080379B">
      <w:r w:rsidRPr="008E4236">
        <w:t xml:space="preserve"> </w:t>
      </w:r>
    </w:p>
    <w:p w14:paraId="61C382BB" w14:textId="77777777" w:rsidR="005A7118" w:rsidRPr="00865A23" w:rsidRDefault="005A7118" w:rsidP="005A7118">
      <w:pPr>
        <w:widowControl/>
        <w:rPr>
          <w:rFonts w:eastAsiaTheme="minorHAnsi"/>
          <w:snapToGrid/>
          <w:szCs w:val="24"/>
        </w:rPr>
      </w:pPr>
      <w:r>
        <w:rPr>
          <w:rFonts w:eastAsiaTheme="minorHAnsi"/>
          <w:snapToGrid/>
          <w:szCs w:val="24"/>
        </w:rPr>
        <w:t>A 60-day notice published in the</w:t>
      </w:r>
      <w:r w:rsidR="007E365E" w:rsidRPr="008E4236">
        <w:rPr>
          <w:rFonts w:eastAsiaTheme="minorHAnsi"/>
          <w:snapToGrid/>
          <w:szCs w:val="24"/>
        </w:rPr>
        <w:t xml:space="preserve"> Federal Register on</w:t>
      </w:r>
      <w:r w:rsidR="00A17880">
        <w:rPr>
          <w:rFonts w:eastAsiaTheme="minorHAnsi"/>
          <w:snapToGrid/>
          <w:szCs w:val="24"/>
        </w:rPr>
        <w:t xml:space="preserve"> February 22, 2019 (84 FR 5690).</w:t>
      </w:r>
      <w:r>
        <w:rPr>
          <w:rFonts w:eastAsiaTheme="minorHAnsi"/>
          <w:snapToGrid/>
          <w:szCs w:val="24"/>
        </w:rPr>
        <w:t xml:space="preserve">  </w:t>
      </w:r>
      <w:r w:rsidRPr="00865A23">
        <w:rPr>
          <w:rFonts w:eastAsiaTheme="minorHAnsi"/>
          <w:snapToGrid/>
          <w:szCs w:val="24"/>
        </w:rPr>
        <w:t xml:space="preserve">A single comment was received and </w:t>
      </w:r>
      <w:r>
        <w:rPr>
          <w:rFonts w:eastAsiaTheme="minorHAnsi"/>
          <w:snapToGrid/>
          <w:szCs w:val="24"/>
        </w:rPr>
        <w:t xml:space="preserve">CMS submitted </w:t>
      </w:r>
      <w:r w:rsidRPr="00865A23">
        <w:rPr>
          <w:rFonts w:eastAsiaTheme="minorHAnsi"/>
          <w:snapToGrid/>
          <w:szCs w:val="24"/>
        </w:rPr>
        <w:t>a response</w:t>
      </w:r>
      <w:r>
        <w:rPr>
          <w:rFonts w:eastAsiaTheme="minorHAnsi"/>
          <w:snapToGrid/>
          <w:szCs w:val="24"/>
        </w:rPr>
        <w:t>.</w:t>
      </w:r>
    </w:p>
    <w:p w14:paraId="028C61D6" w14:textId="0B4571D4" w:rsidR="00A17880" w:rsidRDefault="00A17880" w:rsidP="007E365E">
      <w:pPr>
        <w:widowControl/>
        <w:rPr>
          <w:rFonts w:eastAsiaTheme="minorHAnsi"/>
          <w:snapToGrid/>
          <w:szCs w:val="24"/>
        </w:rPr>
      </w:pPr>
    </w:p>
    <w:p w14:paraId="6262B350" w14:textId="400F4979" w:rsidR="007E365E" w:rsidRPr="008E4236" w:rsidRDefault="005A7118" w:rsidP="007E365E">
      <w:pPr>
        <w:widowControl/>
        <w:rPr>
          <w:rFonts w:eastAsiaTheme="minorHAnsi"/>
          <w:snapToGrid/>
          <w:szCs w:val="24"/>
        </w:rPr>
      </w:pPr>
      <w:r>
        <w:rPr>
          <w:rFonts w:eastAsiaTheme="minorHAnsi"/>
          <w:snapToGrid/>
          <w:szCs w:val="24"/>
        </w:rPr>
        <w:t xml:space="preserve">A 30-day FR Notice will publish on.  </w:t>
      </w:r>
      <w:r w:rsidR="007E365E" w:rsidRPr="008E4236">
        <w:rPr>
          <w:rFonts w:eastAsiaTheme="minorHAnsi"/>
          <w:snapToGrid/>
          <w:szCs w:val="24"/>
        </w:rPr>
        <w:t>No outside consultation was sought.</w:t>
      </w:r>
    </w:p>
    <w:p w14:paraId="172BCF11" w14:textId="77777777" w:rsidR="00865A23" w:rsidRDefault="00865A23" w:rsidP="007E365E">
      <w:pPr>
        <w:widowControl/>
        <w:rPr>
          <w:rFonts w:eastAsiaTheme="minorHAnsi"/>
          <w:snapToGrid/>
          <w:szCs w:val="24"/>
        </w:rPr>
      </w:pPr>
    </w:p>
    <w:p w14:paraId="7F85DCA0" w14:textId="77777777" w:rsidR="005E089D" w:rsidRPr="008E4236" w:rsidRDefault="005E089D" w:rsidP="0080379B"/>
    <w:p w14:paraId="4D6DDACA" w14:textId="77777777" w:rsidR="005E089D" w:rsidRPr="008E4236" w:rsidRDefault="005E089D" w:rsidP="0080379B">
      <w:pPr>
        <w:numPr>
          <w:ilvl w:val="0"/>
          <w:numId w:val="5"/>
        </w:numPr>
        <w:tabs>
          <w:tab w:val="left" w:pos="-1440"/>
        </w:tabs>
      </w:pPr>
      <w:r w:rsidRPr="008E4236">
        <w:rPr>
          <w:i/>
        </w:rPr>
        <w:t>Payment/Gift to Respondents</w:t>
      </w:r>
    </w:p>
    <w:p w14:paraId="0A6F4A2F" w14:textId="77777777" w:rsidR="005E089D" w:rsidRPr="008E4236" w:rsidRDefault="005E089D" w:rsidP="0080379B"/>
    <w:p w14:paraId="773F9F87" w14:textId="77777777" w:rsidR="007D747E" w:rsidRDefault="007D747E" w:rsidP="007D747E">
      <w:pPr>
        <w:spacing w:line="271" w:lineRule="exact"/>
        <w:rPr>
          <w:snapToGrid/>
          <w:szCs w:val="24"/>
        </w:rPr>
      </w:pPr>
      <w:r>
        <w:t xml:space="preserve">The primary function of the CMS-855R enrollment application is to allow providers and suppliers to reassign their Medicare benefits to a group or individual practice.  The form collects information necessary to establish correct claims payment.  Once the CMS-855R is completed, submitted, and accepted, the person or organization (e.g., group practice) collects the provider/supplier’s claims payment for services rendered to Medicare beneficiaries.  </w:t>
      </w:r>
    </w:p>
    <w:p w14:paraId="5ED7FD0B" w14:textId="77777777" w:rsidR="007D747E" w:rsidRDefault="007D747E" w:rsidP="007D747E">
      <w:pPr>
        <w:spacing w:line="271" w:lineRule="exact"/>
        <w:rPr>
          <w:rFonts w:ascii="Calibri" w:hAnsi="Calibri"/>
          <w:sz w:val="22"/>
          <w:szCs w:val="22"/>
          <w:lang w:eastAsia="zh-TW"/>
        </w:rPr>
      </w:pPr>
    </w:p>
    <w:p w14:paraId="6A7D9589" w14:textId="1F138AB4" w:rsidR="007E365E" w:rsidRPr="008E4236" w:rsidRDefault="007D747E" w:rsidP="007D747E">
      <w:pPr>
        <w:widowControl/>
        <w:spacing w:line="271" w:lineRule="exact"/>
        <w:rPr>
          <w:rFonts w:eastAsiaTheme="minorHAnsi"/>
          <w:snapToGrid/>
          <w:szCs w:val="24"/>
        </w:rPr>
      </w:pPr>
      <w:r>
        <w:t>Providers and suppliers typically reassign their Medicare benefits to another practice, either individual or group, in which the practice where the benefits were reassigned provides payment to the provider/supplier in the form of a salary or hourly wage.</w:t>
      </w:r>
    </w:p>
    <w:p w14:paraId="03BA9317" w14:textId="77777777" w:rsidR="009E5478" w:rsidRPr="008E4236" w:rsidRDefault="009E5478" w:rsidP="007E365E">
      <w:pPr>
        <w:widowControl/>
        <w:spacing w:line="271" w:lineRule="exact"/>
        <w:rPr>
          <w:rFonts w:eastAsiaTheme="minorHAnsi"/>
          <w:snapToGrid/>
          <w:szCs w:val="24"/>
        </w:rPr>
      </w:pPr>
    </w:p>
    <w:p w14:paraId="69C3E6A7" w14:textId="77777777" w:rsidR="005E089D" w:rsidRPr="008E4236" w:rsidRDefault="005E089D" w:rsidP="0080379B">
      <w:pPr>
        <w:numPr>
          <w:ilvl w:val="0"/>
          <w:numId w:val="5"/>
        </w:numPr>
      </w:pPr>
      <w:r w:rsidRPr="008E4236">
        <w:rPr>
          <w:i/>
        </w:rPr>
        <w:t>Confidentiality</w:t>
      </w:r>
    </w:p>
    <w:p w14:paraId="1B7478B3" w14:textId="77777777" w:rsidR="005E089D" w:rsidRPr="008E4236" w:rsidRDefault="005E089D" w:rsidP="0080379B"/>
    <w:p w14:paraId="5E47314F" w14:textId="77777777" w:rsidR="0030405F" w:rsidRPr="008E4236" w:rsidRDefault="0030405F" w:rsidP="0030405F">
      <w:r w:rsidRPr="008E4236">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6C3B8C12" w14:textId="77777777" w:rsidR="0030405F" w:rsidRPr="008E4236" w:rsidRDefault="0030405F" w:rsidP="0030405F"/>
    <w:p w14:paraId="43798FB7" w14:textId="77777777" w:rsidR="0030405F" w:rsidRPr="008E4236" w:rsidRDefault="0030405F" w:rsidP="0030405F">
      <w:pPr>
        <w:spacing w:line="276" w:lineRule="auto"/>
        <w:rPr>
          <w:szCs w:val="24"/>
        </w:rPr>
      </w:pPr>
      <w:r w:rsidRPr="008E4236">
        <w:rPr>
          <w:szCs w:val="24"/>
        </w:rPr>
        <w:t xml:space="preserve">The SORN title is Provider Enrollment, Chain and Ownership System </w:t>
      </w:r>
      <w:r w:rsidRPr="008E4236">
        <w:rPr>
          <w:spacing w:val="-1"/>
          <w:szCs w:val="24"/>
        </w:rPr>
        <w:t xml:space="preserve">(PECOS), number </w:t>
      </w:r>
      <w:r w:rsidRPr="008E4236">
        <w:rPr>
          <w:szCs w:val="24"/>
        </w:rPr>
        <w:t>09-70-0532.</w:t>
      </w:r>
    </w:p>
    <w:p w14:paraId="298B3F04" w14:textId="77777777" w:rsidR="00052C33" w:rsidRPr="008E4236" w:rsidRDefault="00052C33" w:rsidP="0080379B"/>
    <w:p w14:paraId="5DFD46A1" w14:textId="77777777" w:rsidR="005E089D" w:rsidRPr="008E4236" w:rsidRDefault="005E089D" w:rsidP="0080379B">
      <w:pPr>
        <w:numPr>
          <w:ilvl w:val="0"/>
          <w:numId w:val="5"/>
        </w:numPr>
        <w:tabs>
          <w:tab w:val="left" w:pos="-1440"/>
        </w:tabs>
      </w:pPr>
      <w:r w:rsidRPr="008E4236">
        <w:rPr>
          <w:i/>
        </w:rPr>
        <w:t>Sensitive Questions</w:t>
      </w:r>
    </w:p>
    <w:p w14:paraId="588B87F2" w14:textId="77777777" w:rsidR="009127DB" w:rsidRPr="008E4236"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EB399C" w14:textId="77777777" w:rsidR="00AF701A" w:rsidRPr="008E4236" w:rsidRDefault="00AF701A" w:rsidP="00AF70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4236">
        <w:t>There are no sensitive questions associated with this collection.</w:t>
      </w:r>
    </w:p>
    <w:p w14:paraId="0A0E08B1" w14:textId="77777777" w:rsidR="005E089D" w:rsidRPr="008E4236" w:rsidRDefault="005E089D" w:rsidP="0080379B"/>
    <w:p w14:paraId="57701AE2" w14:textId="79BA5C5D" w:rsidR="005E089D" w:rsidRPr="008E4236" w:rsidRDefault="005E089D" w:rsidP="0080379B">
      <w:pPr>
        <w:numPr>
          <w:ilvl w:val="0"/>
          <w:numId w:val="5"/>
        </w:numPr>
      </w:pPr>
      <w:r w:rsidRPr="008E4236">
        <w:rPr>
          <w:i/>
        </w:rPr>
        <w:t>Burden Estimate (hours</w:t>
      </w:r>
      <w:r w:rsidR="002633AB" w:rsidRPr="008E4236">
        <w:rPr>
          <w:i/>
        </w:rPr>
        <w:t xml:space="preserve"> and costs</w:t>
      </w:r>
      <w:r w:rsidRPr="008E4236">
        <w:rPr>
          <w:i/>
        </w:rPr>
        <w:t>)</w:t>
      </w:r>
    </w:p>
    <w:p w14:paraId="7C638C27" w14:textId="77777777" w:rsidR="009C754C" w:rsidRPr="008E4236" w:rsidRDefault="009C754C" w:rsidP="00943BFD">
      <w:pPr>
        <w:rPr>
          <w:szCs w:val="24"/>
        </w:rPr>
      </w:pPr>
    </w:p>
    <w:p w14:paraId="1A7CF694" w14:textId="0A1F8EED" w:rsidR="0045122B" w:rsidRPr="008E4236" w:rsidRDefault="0045122B" w:rsidP="0045122B">
      <w:pPr>
        <w:pStyle w:val="ListParagraph"/>
        <w:numPr>
          <w:ilvl w:val="0"/>
          <w:numId w:val="44"/>
        </w:numPr>
        <w:rPr>
          <w:rFonts w:ascii="Times New Roman" w:hAnsi="Times New Roman"/>
          <w:sz w:val="24"/>
          <w:szCs w:val="24"/>
        </w:rPr>
      </w:pPr>
      <w:r w:rsidRPr="008E4236">
        <w:rPr>
          <w:rFonts w:ascii="Times New Roman" w:hAnsi="Times New Roman"/>
          <w:sz w:val="24"/>
          <w:szCs w:val="24"/>
        </w:rPr>
        <w:t>Burden Estimates (hours)</w:t>
      </w:r>
    </w:p>
    <w:p w14:paraId="77BAE16D" w14:textId="77777777" w:rsidR="0045122B" w:rsidRPr="008E4236" w:rsidRDefault="0045122B" w:rsidP="0045122B">
      <w:pPr>
        <w:rPr>
          <w:szCs w:val="24"/>
        </w:rPr>
      </w:pPr>
    </w:p>
    <w:p w14:paraId="02C42CDE" w14:textId="65044962" w:rsidR="00943BFD" w:rsidRPr="008E4236" w:rsidRDefault="00943BFD" w:rsidP="00943BFD">
      <w:pPr>
        <w:rPr>
          <w:szCs w:val="24"/>
        </w:rPr>
      </w:pPr>
      <w:r w:rsidRPr="008E4236">
        <w:rPr>
          <w:szCs w:val="24"/>
        </w:rPr>
        <w:t>For this proposed revision of the CMS-</w:t>
      </w:r>
      <w:r w:rsidR="0064150F" w:rsidRPr="008E4236">
        <w:rPr>
          <w:szCs w:val="24"/>
        </w:rPr>
        <w:t>855R</w:t>
      </w:r>
      <w:r w:rsidRPr="008E4236">
        <w:rPr>
          <w:szCs w:val="24"/>
        </w:rPr>
        <w:t>, CMS has recalculated the prior revision’s estimated burden hours.  CMS believes this recalculation is necessary for this data collection tool because the number of affected users, reasons to collect the data, and the collection methods have changed.  CMS believes these new burden hours accurately reflect</w:t>
      </w:r>
      <w:r w:rsidR="003B280E" w:rsidRPr="008E4236">
        <w:rPr>
          <w:szCs w:val="24"/>
        </w:rPr>
        <w:t xml:space="preserve"> the current burden</w:t>
      </w:r>
      <w:r w:rsidR="0089464B" w:rsidRPr="008E4236">
        <w:rPr>
          <w:szCs w:val="24"/>
        </w:rPr>
        <w:t xml:space="preserve"> </w:t>
      </w:r>
      <w:r w:rsidRPr="008E4236">
        <w:rPr>
          <w:szCs w:val="24"/>
        </w:rPr>
        <w:t>for the purposes of this application when completing this proposed revision of the CMS-</w:t>
      </w:r>
      <w:r w:rsidR="0064150F" w:rsidRPr="008E4236">
        <w:rPr>
          <w:szCs w:val="24"/>
        </w:rPr>
        <w:t>855R</w:t>
      </w:r>
      <w:r w:rsidRPr="008E4236">
        <w:rPr>
          <w:szCs w:val="24"/>
        </w:rPr>
        <w:t xml:space="preserve">.  CMS is basing the new burden amounts on data compiled from </w:t>
      </w:r>
      <w:r w:rsidR="0064150F" w:rsidRPr="008E4236">
        <w:rPr>
          <w:szCs w:val="24"/>
        </w:rPr>
        <w:t>PECOS</w:t>
      </w:r>
      <w:r w:rsidR="0045122B" w:rsidRPr="008E4236">
        <w:rPr>
          <w:szCs w:val="24"/>
        </w:rPr>
        <w:t xml:space="preserve"> and the Medicare Administrative Contractors (MACs)</w:t>
      </w:r>
      <w:r w:rsidRPr="008E4236">
        <w:rPr>
          <w:szCs w:val="24"/>
        </w:rPr>
        <w:t>.  The new estimates for completing the CMS-</w:t>
      </w:r>
      <w:r w:rsidR="0064150F" w:rsidRPr="008E4236">
        <w:rPr>
          <w:szCs w:val="24"/>
        </w:rPr>
        <w:t>855R</w:t>
      </w:r>
      <w:r w:rsidRPr="008E4236">
        <w:rPr>
          <w:szCs w:val="24"/>
        </w:rPr>
        <w:t xml:space="preserve"> (</w:t>
      </w:r>
      <w:r w:rsidR="008A62BB" w:rsidRPr="008E4236">
        <w:rPr>
          <w:szCs w:val="24"/>
        </w:rPr>
        <w:t xml:space="preserve">Reassignment of Medicare Benefits) </w:t>
      </w:r>
      <w:r w:rsidRPr="008E4236">
        <w:rPr>
          <w:szCs w:val="24"/>
        </w:rPr>
        <w:t xml:space="preserve">for initial </w:t>
      </w:r>
      <w:r w:rsidR="008A62BB" w:rsidRPr="008E4236">
        <w:rPr>
          <w:szCs w:val="24"/>
        </w:rPr>
        <w:t xml:space="preserve">reassignments, </w:t>
      </w:r>
      <w:r w:rsidRPr="008E4236">
        <w:rPr>
          <w:szCs w:val="24"/>
        </w:rPr>
        <w:t xml:space="preserve">reporting updates in </w:t>
      </w:r>
      <w:r w:rsidR="008A62BB" w:rsidRPr="008E4236">
        <w:rPr>
          <w:szCs w:val="24"/>
        </w:rPr>
        <w:t xml:space="preserve">reassignment information, and terminating reassignments </w:t>
      </w:r>
      <w:r w:rsidRPr="008E4236">
        <w:rPr>
          <w:szCs w:val="24"/>
        </w:rPr>
        <w:t xml:space="preserve">are taken directly from the actual applications </w:t>
      </w:r>
      <w:r w:rsidR="008A62BB" w:rsidRPr="008E4236">
        <w:rPr>
          <w:szCs w:val="24"/>
        </w:rPr>
        <w:t>processed for calendar year 2017</w:t>
      </w:r>
      <w:r w:rsidRPr="008E4236">
        <w:rPr>
          <w:szCs w:val="24"/>
        </w:rPr>
        <w:t xml:space="preserve">.  The new figures are exact and therefore more accurate than prior estimates.  </w:t>
      </w:r>
    </w:p>
    <w:p w14:paraId="3AF9EF2E" w14:textId="77777777" w:rsidR="00943BFD" w:rsidRPr="008E4236" w:rsidRDefault="00943BFD" w:rsidP="00943BFD">
      <w:pPr>
        <w:rPr>
          <w:szCs w:val="24"/>
        </w:rPr>
      </w:pPr>
      <w:r w:rsidRPr="008E4236">
        <w:rPr>
          <w:szCs w:val="24"/>
        </w:rPr>
        <w:t>The hour burden to the respondents is calculated based on the following assumptions:</w:t>
      </w:r>
    </w:p>
    <w:p w14:paraId="1BB3E0AC" w14:textId="3D090900" w:rsidR="009C754C" w:rsidRPr="008E4236" w:rsidRDefault="009C754C" w:rsidP="009C754C">
      <w:pPr>
        <w:numPr>
          <w:ilvl w:val="0"/>
          <w:numId w:val="22"/>
        </w:numPr>
        <w:tabs>
          <w:tab w:val="clear" w:pos="360"/>
          <w:tab w:val="num" w:pos="1080"/>
        </w:tabs>
        <w:ind w:left="1080"/>
        <w:rPr>
          <w:szCs w:val="24"/>
        </w:rPr>
      </w:pPr>
      <w:r w:rsidRPr="008E4236">
        <w:rPr>
          <w:szCs w:val="24"/>
        </w:rPr>
        <w:t xml:space="preserve">There were 23,460 applications for initial reassignments. </w:t>
      </w:r>
    </w:p>
    <w:p w14:paraId="7870C5B7" w14:textId="44056954" w:rsidR="0089464B" w:rsidRPr="008E4236" w:rsidRDefault="009C754C" w:rsidP="003B480C">
      <w:pPr>
        <w:numPr>
          <w:ilvl w:val="0"/>
          <w:numId w:val="22"/>
        </w:numPr>
        <w:tabs>
          <w:tab w:val="clear" w:pos="360"/>
          <w:tab w:val="num" w:pos="1080"/>
        </w:tabs>
        <w:ind w:left="1080"/>
        <w:rPr>
          <w:szCs w:val="24"/>
        </w:rPr>
      </w:pPr>
      <w:r w:rsidRPr="008E4236">
        <w:rPr>
          <w:szCs w:val="24"/>
        </w:rPr>
        <w:t>T</w:t>
      </w:r>
      <w:r w:rsidR="00943BFD" w:rsidRPr="008E4236">
        <w:rPr>
          <w:szCs w:val="24"/>
        </w:rPr>
        <w:t xml:space="preserve">here were </w:t>
      </w:r>
      <w:r w:rsidR="008A62BB" w:rsidRPr="008E4236">
        <w:rPr>
          <w:szCs w:val="24"/>
        </w:rPr>
        <w:t>284,270</w:t>
      </w:r>
      <w:r w:rsidR="00943BFD" w:rsidRPr="008E4236">
        <w:rPr>
          <w:szCs w:val="24"/>
        </w:rPr>
        <w:t xml:space="preserve"> applications for </w:t>
      </w:r>
      <w:r w:rsidR="008A62BB" w:rsidRPr="008E4236">
        <w:rPr>
          <w:szCs w:val="24"/>
        </w:rPr>
        <w:t>changing reassignment information</w:t>
      </w:r>
      <w:r w:rsidR="0089464B" w:rsidRPr="008E4236">
        <w:rPr>
          <w:szCs w:val="24"/>
        </w:rPr>
        <w:t>.</w:t>
      </w:r>
    </w:p>
    <w:p w14:paraId="594C150C" w14:textId="195DF179" w:rsidR="009C754C" w:rsidRPr="008E4236" w:rsidRDefault="009C754C" w:rsidP="003B480C">
      <w:pPr>
        <w:numPr>
          <w:ilvl w:val="0"/>
          <w:numId w:val="22"/>
        </w:numPr>
        <w:tabs>
          <w:tab w:val="clear" w:pos="360"/>
          <w:tab w:val="num" w:pos="1080"/>
        </w:tabs>
        <w:ind w:left="1080"/>
        <w:rPr>
          <w:szCs w:val="24"/>
        </w:rPr>
      </w:pPr>
      <w:r w:rsidRPr="008E4236">
        <w:rPr>
          <w:szCs w:val="24"/>
        </w:rPr>
        <w:t xml:space="preserve">There were 49,898 applications for terminating a reassignment.  </w:t>
      </w:r>
    </w:p>
    <w:p w14:paraId="51212AEC" w14:textId="68F5D9CD" w:rsidR="009C754C" w:rsidRPr="008E4236" w:rsidRDefault="0064150F" w:rsidP="001B71A1">
      <w:pPr>
        <w:numPr>
          <w:ilvl w:val="0"/>
          <w:numId w:val="22"/>
        </w:numPr>
        <w:tabs>
          <w:tab w:val="clear" w:pos="360"/>
          <w:tab w:val="num" w:pos="1080"/>
        </w:tabs>
        <w:ind w:left="1080"/>
        <w:rPr>
          <w:szCs w:val="24"/>
        </w:rPr>
      </w:pPr>
      <w:r w:rsidRPr="008E4236">
        <w:rPr>
          <w:szCs w:val="24"/>
        </w:rPr>
        <w:t xml:space="preserve">All submission reasons </w:t>
      </w:r>
      <w:r w:rsidR="00943BFD" w:rsidRPr="008E4236">
        <w:rPr>
          <w:szCs w:val="24"/>
        </w:rPr>
        <w:t xml:space="preserve">must complete the same actions as </w:t>
      </w:r>
      <w:r w:rsidR="009C754C" w:rsidRPr="008E4236">
        <w:rPr>
          <w:szCs w:val="24"/>
        </w:rPr>
        <w:t xml:space="preserve">initial reassignments </w:t>
      </w:r>
      <w:r w:rsidR="00943BFD" w:rsidRPr="008E4236">
        <w:rPr>
          <w:szCs w:val="24"/>
        </w:rPr>
        <w:t>on the CMS-</w:t>
      </w:r>
      <w:r w:rsidR="009C754C" w:rsidRPr="008E4236">
        <w:rPr>
          <w:szCs w:val="24"/>
        </w:rPr>
        <w:t>855R</w:t>
      </w:r>
      <w:r w:rsidR="00943BFD" w:rsidRPr="008E4236">
        <w:rPr>
          <w:szCs w:val="24"/>
        </w:rPr>
        <w:t xml:space="preserve"> application and therefore </w:t>
      </w:r>
      <w:r w:rsidR="009C754C" w:rsidRPr="008E4236">
        <w:rPr>
          <w:szCs w:val="24"/>
        </w:rPr>
        <w:t>all submission reasons are</w:t>
      </w:r>
      <w:r w:rsidR="00904C5C" w:rsidRPr="008E4236">
        <w:rPr>
          <w:szCs w:val="24"/>
        </w:rPr>
        <w:t xml:space="preserve"> being counted in</w:t>
      </w:r>
      <w:r w:rsidR="00943BFD" w:rsidRPr="008E4236">
        <w:rPr>
          <w:szCs w:val="24"/>
        </w:rPr>
        <w:t xml:space="preserve"> </w:t>
      </w:r>
      <w:r w:rsidR="009C754C" w:rsidRPr="008E4236">
        <w:rPr>
          <w:szCs w:val="24"/>
        </w:rPr>
        <w:t>the initial reassignment figure</w:t>
      </w:r>
      <w:r w:rsidR="00943BFD" w:rsidRPr="008E4236">
        <w:rPr>
          <w:szCs w:val="24"/>
        </w:rPr>
        <w:t xml:space="preserve"> for the purpose of this burden estimate.  </w:t>
      </w:r>
    </w:p>
    <w:p w14:paraId="7496F2E7" w14:textId="128466AC" w:rsidR="00943BFD" w:rsidRPr="008E4236" w:rsidRDefault="00943BFD" w:rsidP="001B71A1">
      <w:pPr>
        <w:numPr>
          <w:ilvl w:val="0"/>
          <w:numId w:val="22"/>
        </w:numPr>
        <w:tabs>
          <w:tab w:val="clear" w:pos="360"/>
          <w:tab w:val="num" w:pos="1080"/>
        </w:tabs>
        <w:ind w:left="1080"/>
        <w:rPr>
          <w:szCs w:val="24"/>
        </w:rPr>
      </w:pPr>
      <w:r w:rsidRPr="008E4236">
        <w:rPr>
          <w:szCs w:val="24"/>
        </w:rPr>
        <w:t>Completion of the CMS-</w:t>
      </w:r>
      <w:r w:rsidR="009C754C" w:rsidRPr="008E4236">
        <w:rPr>
          <w:szCs w:val="24"/>
        </w:rPr>
        <w:t>855R</w:t>
      </w:r>
      <w:r w:rsidRPr="008E4236">
        <w:rPr>
          <w:szCs w:val="24"/>
        </w:rPr>
        <w:t xml:space="preserve"> takes 0.</w:t>
      </w:r>
      <w:r w:rsidR="009C754C" w:rsidRPr="008E4236">
        <w:rPr>
          <w:szCs w:val="24"/>
        </w:rPr>
        <w:t>25</w:t>
      </w:r>
      <w:r w:rsidRPr="008E4236">
        <w:rPr>
          <w:szCs w:val="24"/>
        </w:rPr>
        <w:t xml:space="preserve"> hours (</w:t>
      </w:r>
      <w:r w:rsidR="009C754C" w:rsidRPr="008E4236">
        <w:rPr>
          <w:szCs w:val="24"/>
        </w:rPr>
        <w:t>15</w:t>
      </w:r>
      <w:r w:rsidRPr="008E4236">
        <w:rPr>
          <w:szCs w:val="24"/>
        </w:rPr>
        <w:t xml:space="preserve"> minutes) for initial applications</w:t>
      </w:r>
      <w:r w:rsidR="009C754C" w:rsidRPr="008E4236">
        <w:rPr>
          <w:szCs w:val="24"/>
        </w:rPr>
        <w:t>, updates of application information, and termination of reassignments.</w:t>
      </w:r>
    </w:p>
    <w:p w14:paraId="5DF17C0E" w14:textId="77777777" w:rsidR="00943BFD" w:rsidRPr="008E4236" w:rsidRDefault="00943BFD" w:rsidP="00943BFD">
      <w:pPr>
        <w:rPr>
          <w:szCs w:val="24"/>
        </w:rPr>
      </w:pPr>
    </w:p>
    <w:p w14:paraId="143113E8" w14:textId="77777777" w:rsidR="00943BFD" w:rsidRPr="008E4236" w:rsidRDefault="00943BFD" w:rsidP="00943BFD">
      <w:pPr>
        <w:rPr>
          <w:szCs w:val="24"/>
        </w:rPr>
      </w:pPr>
      <w:r w:rsidRPr="008E4236">
        <w:rPr>
          <w:szCs w:val="24"/>
        </w:rPr>
        <w:t>CMS is requesting approval of the revised number of burden hours as follows:</w:t>
      </w:r>
    </w:p>
    <w:p w14:paraId="39D5778F" w14:textId="75F4150D" w:rsidR="00943BFD" w:rsidRPr="008E4236" w:rsidRDefault="00943BFD" w:rsidP="00943BFD">
      <w:pPr>
        <w:rPr>
          <w:szCs w:val="24"/>
        </w:rPr>
      </w:pPr>
      <w:r w:rsidRPr="008E4236">
        <w:rPr>
          <w:szCs w:val="24"/>
          <w:u w:val="single"/>
        </w:rPr>
        <w:t>HOURS ASSOCIATED WITH COMPLETING THE CMS-</w:t>
      </w:r>
      <w:r w:rsidR="009C754C" w:rsidRPr="008E4236">
        <w:rPr>
          <w:szCs w:val="24"/>
          <w:u w:val="single"/>
        </w:rPr>
        <w:t>855R</w:t>
      </w:r>
      <w:r w:rsidRPr="008E4236">
        <w:rPr>
          <w:szCs w:val="24"/>
          <w:u w:val="single"/>
        </w:rPr>
        <w:t xml:space="preserve"> APPLICATION:</w:t>
      </w:r>
      <w:r w:rsidRPr="008E4236">
        <w:rPr>
          <w:szCs w:val="24"/>
        </w:rPr>
        <w:t xml:space="preserve"> </w:t>
      </w:r>
    </w:p>
    <w:p w14:paraId="4D587F57" w14:textId="461D1D88" w:rsidR="00943BFD" w:rsidRPr="008E4236" w:rsidRDefault="00943BFD" w:rsidP="00943BFD">
      <w:pPr>
        <w:rPr>
          <w:szCs w:val="24"/>
        </w:rPr>
      </w:pPr>
      <w:r w:rsidRPr="008E4236">
        <w:rPr>
          <w:szCs w:val="24"/>
        </w:rPr>
        <w:t>3</w:t>
      </w:r>
      <w:r w:rsidR="009C754C" w:rsidRPr="008E4236">
        <w:rPr>
          <w:szCs w:val="24"/>
        </w:rPr>
        <w:t>57,628</w:t>
      </w:r>
      <w:r w:rsidRPr="008E4236">
        <w:rPr>
          <w:szCs w:val="24"/>
        </w:rPr>
        <w:t xml:space="preserve"> respondents completing the initial application form to receive their initial </w:t>
      </w:r>
      <w:r w:rsidR="002F21FE" w:rsidRPr="008E4236">
        <w:rPr>
          <w:szCs w:val="24"/>
        </w:rPr>
        <w:t>reassignment via</w:t>
      </w:r>
      <w:r w:rsidRPr="008E4236">
        <w:rPr>
          <w:szCs w:val="24"/>
        </w:rPr>
        <w:t xml:space="preserve"> </w:t>
      </w:r>
      <w:r w:rsidR="002F21FE" w:rsidRPr="008E4236">
        <w:rPr>
          <w:szCs w:val="24"/>
        </w:rPr>
        <w:t xml:space="preserve">PECOS and </w:t>
      </w:r>
      <w:r w:rsidRPr="008E4236">
        <w:rPr>
          <w:szCs w:val="24"/>
        </w:rPr>
        <w:t>CMS-</w:t>
      </w:r>
      <w:r w:rsidR="002F21FE" w:rsidRPr="008E4236">
        <w:rPr>
          <w:szCs w:val="24"/>
        </w:rPr>
        <w:t>855R paper application.</w:t>
      </w:r>
    </w:p>
    <w:p w14:paraId="571A1701" w14:textId="77777777" w:rsidR="00943BFD" w:rsidRPr="008E4236" w:rsidRDefault="00943BFD" w:rsidP="00943BFD">
      <w:pPr>
        <w:pStyle w:val="Heading4"/>
        <w:rPr>
          <w:i/>
          <w:szCs w:val="24"/>
        </w:rPr>
      </w:pPr>
    </w:p>
    <w:p w14:paraId="1EF15882" w14:textId="2BEEE646" w:rsidR="00943BFD" w:rsidRPr="008E4236" w:rsidRDefault="00943BFD" w:rsidP="00943BFD">
      <w:pPr>
        <w:rPr>
          <w:szCs w:val="24"/>
        </w:rPr>
      </w:pPr>
      <w:r w:rsidRPr="008E4236">
        <w:rPr>
          <w:szCs w:val="24"/>
        </w:rPr>
        <w:t>TOTAL FOR INITIAL APPLICATIONS = 3</w:t>
      </w:r>
      <w:r w:rsidR="002F21FE" w:rsidRPr="008E4236">
        <w:rPr>
          <w:szCs w:val="24"/>
        </w:rPr>
        <w:t>57</w:t>
      </w:r>
      <w:r w:rsidRPr="008E4236">
        <w:rPr>
          <w:szCs w:val="24"/>
        </w:rPr>
        <w:t>,</w:t>
      </w:r>
      <w:r w:rsidR="002F21FE" w:rsidRPr="008E4236">
        <w:rPr>
          <w:szCs w:val="24"/>
        </w:rPr>
        <w:t>628</w:t>
      </w:r>
      <w:r w:rsidRPr="008E4236">
        <w:rPr>
          <w:szCs w:val="24"/>
        </w:rPr>
        <w:t xml:space="preserve"> respondents x 0.</w:t>
      </w:r>
      <w:r w:rsidR="002F21FE" w:rsidRPr="008E4236">
        <w:rPr>
          <w:szCs w:val="24"/>
        </w:rPr>
        <w:t>25</w:t>
      </w:r>
      <w:r w:rsidRPr="008E4236">
        <w:rPr>
          <w:szCs w:val="24"/>
        </w:rPr>
        <w:t xml:space="preserve"> hours </w:t>
      </w:r>
      <w:r w:rsidR="0089464B" w:rsidRPr="008E4236">
        <w:rPr>
          <w:szCs w:val="24"/>
        </w:rPr>
        <w:t>= 89,407</w:t>
      </w:r>
      <w:r w:rsidRPr="008E4236">
        <w:rPr>
          <w:szCs w:val="24"/>
        </w:rPr>
        <w:t xml:space="preserve"> hours for initial applications using the CMS-</w:t>
      </w:r>
      <w:r w:rsidR="0089464B" w:rsidRPr="008E4236">
        <w:rPr>
          <w:szCs w:val="24"/>
        </w:rPr>
        <w:t>855R.</w:t>
      </w:r>
    </w:p>
    <w:p w14:paraId="2BDD3038" w14:textId="77777777" w:rsidR="00943BFD" w:rsidRPr="008E4236" w:rsidRDefault="00943BFD" w:rsidP="00943BFD">
      <w:pPr>
        <w:rPr>
          <w:szCs w:val="24"/>
        </w:rPr>
      </w:pPr>
    </w:p>
    <w:p w14:paraId="4E982AEA" w14:textId="77777777" w:rsidR="00943BFD" w:rsidRPr="008E4236" w:rsidRDefault="00943BFD" w:rsidP="00943BFD">
      <w:pPr>
        <w:rPr>
          <w:szCs w:val="24"/>
        </w:rPr>
      </w:pPr>
    </w:p>
    <w:p w14:paraId="3EB3232E" w14:textId="15D76E63" w:rsidR="00943BFD" w:rsidRPr="008E4236" w:rsidRDefault="00943BFD" w:rsidP="0045122B">
      <w:pPr>
        <w:pStyle w:val="Heading2"/>
        <w:numPr>
          <w:ilvl w:val="0"/>
          <w:numId w:val="44"/>
        </w:numPr>
        <w:rPr>
          <w:b w:val="0"/>
          <w:szCs w:val="24"/>
          <w:u w:val="none"/>
        </w:rPr>
      </w:pPr>
      <w:r w:rsidRPr="008E4236">
        <w:rPr>
          <w:b w:val="0"/>
          <w:szCs w:val="24"/>
          <w:u w:val="none"/>
        </w:rPr>
        <w:t>Burden Estimate (costs)</w:t>
      </w:r>
    </w:p>
    <w:p w14:paraId="7959832F" w14:textId="77777777" w:rsidR="00943BFD" w:rsidRPr="008E4236" w:rsidRDefault="00943BFD" w:rsidP="00943BFD">
      <w:pPr>
        <w:rPr>
          <w:szCs w:val="24"/>
        </w:rPr>
      </w:pPr>
    </w:p>
    <w:p w14:paraId="7A0A9C5B" w14:textId="69332882" w:rsidR="00943BFD" w:rsidRPr="008E4236" w:rsidRDefault="00943BFD" w:rsidP="00943BFD">
      <w:pPr>
        <w:tabs>
          <w:tab w:val="left" w:pos="-1440"/>
        </w:tabs>
        <w:rPr>
          <w:szCs w:val="24"/>
        </w:rPr>
      </w:pPr>
      <w:r w:rsidRPr="008E4236">
        <w:rPr>
          <w:szCs w:val="24"/>
        </w:rPr>
        <w:t xml:space="preserve">CMS contacted the </w:t>
      </w:r>
      <w:r w:rsidR="0089464B" w:rsidRPr="008E4236">
        <w:rPr>
          <w:szCs w:val="24"/>
        </w:rPr>
        <w:t xml:space="preserve">MACs </w:t>
      </w:r>
      <w:r w:rsidRPr="008E4236">
        <w:rPr>
          <w:szCs w:val="24"/>
        </w:rPr>
        <w:t xml:space="preserve">to determine how the </w:t>
      </w:r>
      <w:r w:rsidR="0089464B" w:rsidRPr="008E4236">
        <w:rPr>
          <w:szCs w:val="24"/>
        </w:rPr>
        <w:t>CMS-855R</w:t>
      </w:r>
      <w:r w:rsidRPr="008E4236">
        <w:rPr>
          <w:szCs w:val="24"/>
        </w:rPr>
        <w:t xml:space="preserve"> was typically completed (by administrative staff and office workers, reviewed and signed by the health diagnosing and treating practitioners).  In addition, </w:t>
      </w:r>
      <w:r w:rsidR="0089464B" w:rsidRPr="008E4236">
        <w:rPr>
          <w:szCs w:val="24"/>
        </w:rPr>
        <w:t>the MACs</w:t>
      </w:r>
      <w:r w:rsidRPr="008E4236">
        <w:rPr>
          <w:szCs w:val="24"/>
        </w:rPr>
        <w:t xml:space="preserve"> indicated that the burden for initial </w:t>
      </w:r>
      <w:r w:rsidR="0089464B" w:rsidRPr="008E4236">
        <w:rPr>
          <w:szCs w:val="24"/>
        </w:rPr>
        <w:t xml:space="preserve">reassignments, </w:t>
      </w:r>
      <w:r w:rsidRPr="008E4236">
        <w:rPr>
          <w:szCs w:val="24"/>
        </w:rPr>
        <w:t xml:space="preserve">updates to </w:t>
      </w:r>
      <w:r w:rsidR="0089464B" w:rsidRPr="008E4236">
        <w:rPr>
          <w:szCs w:val="24"/>
        </w:rPr>
        <w:t>reassignment</w:t>
      </w:r>
      <w:r w:rsidRPr="008E4236">
        <w:rPr>
          <w:szCs w:val="24"/>
        </w:rPr>
        <w:t xml:space="preserve"> information</w:t>
      </w:r>
      <w:r w:rsidR="0089464B" w:rsidRPr="008E4236">
        <w:rPr>
          <w:szCs w:val="24"/>
        </w:rPr>
        <w:t>, and termination of reassignments</w:t>
      </w:r>
      <w:r w:rsidRPr="008E4236">
        <w:rPr>
          <w:szCs w:val="24"/>
        </w:rPr>
        <w:t xml:space="preserve"> were identical, as the same data fields on the instrument must be completed for </w:t>
      </w:r>
      <w:r w:rsidR="0045122B" w:rsidRPr="008E4236">
        <w:rPr>
          <w:szCs w:val="24"/>
        </w:rPr>
        <w:t>any form submission reason.</w:t>
      </w:r>
      <w:r w:rsidR="00904C5C" w:rsidRPr="008E4236">
        <w:rPr>
          <w:szCs w:val="24"/>
        </w:rPr>
        <w:t xml:space="preserve">  </w:t>
      </w:r>
      <w:r w:rsidRPr="008E4236">
        <w:rPr>
          <w:szCs w:val="24"/>
        </w:rPr>
        <w:t>CMS used the hourly wage calculations which were taken from the most recent wage data provided by the Bureau of Labor Statistics (BLS) for May 201</w:t>
      </w:r>
      <w:r w:rsidR="00E83882" w:rsidRPr="008E4236">
        <w:rPr>
          <w:szCs w:val="24"/>
        </w:rPr>
        <w:t>7</w:t>
      </w:r>
      <w:r w:rsidR="002633AB" w:rsidRPr="008E4236">
        <w:rPr>
          <w:szCs w:val="24"/>
        </w:rPr>
        <w:t>.</w:t>
      </w:r>
      <w:r w:rsidRPr="008E4236">
        <w:rPr>
          <w:szCs w:val="24"/>
        </w:rPr>
        <w:t xml:space="preserve"> (see </w:t>
      </w:r>
      <w:hyperlink r:id="rId9" w:anchor="43-0000" w:history="1">
        <w:r w:rsidR="00E83882" w:rsidRPr="008E4236">
          <w:rPr>
            <w:rStyle w:val="Hyperlink"/>
            <w:szCs w:val="24"/>
          </w:rPr>
          <w:t>http://www.bls.gov/oes/current/oes_nat.htm#43-0000</w:t>
        </w:r>
      </w:hyperlink>
      <w:r w:rsidRPr="008E4236">
        <w:rPr>
          <w:szCs w:val="24"/>
        </w:rPr>
        <w:t>)</w:t>
      </w:r>
      <w:r w:rsidR="002633AB" w:rsidRPr="008E4236">
        <w:rPr>
          <w:szCs w:val="24"/>
        </w:rPr>
        <w:t xml:space="preserve"> and </w:t>
      </w:r>
      <w:hyperlink r:id="rId10" w:anchor="29-1000" w:history="1">
        <w:r w:rsidR="002633AB" w:rsidRPr="008E4236">
          <w:rPr>
            <w:rStyle w:val="Hyperlink"/>
            <w:szCs w:val="24"/>
          </w:rPr>
          <w:t>http://www.bls.gov/oes/current/oes_nat.htm#29-1000</w:t>
        </w:r>
      </w:hyperlink>
      <w:r w:rsidRPr="008E4236">
        <w:rPr>
          <w:szCs w:val="24"/>
        </w:rPr>
        <w:t>, indicating the mean hourly wage for the general categories of "Office and Administrative Support Occupations" and "Health Diagnosing and Treating Practitioners.” All wage rates have been inflated by 100% to account for fringe benefits.</w:t>
      </w:r>
    </w:p>
    <w:p w14:paraId="041D39AF" w14:textId="77777777" w:rsidR="00943BFD" w:rsidRPr="008E4236" w:rsidRDefault="00943BFD" w:rsidP="00943BFD">
      <w:pPr>
        <w:rPr>
          <w:szCs w:val="24"/>
        </w:rPr>
      </w:pPr>
      <w:r w:rsidRPr="008E4236">
        <w:rPr>
          <w:szCs w:val="24"/>
        </w:rPr>
        <w:t>The cost burden to the respondents is calculated based on the following assumptions:</w:t>
      </w:r>
    </w:p>
    <w:p w14:paraId="703AB454" w14:textId="4985CA01" w:rsidR="00943BFD" w:rsidRPr="008E4236" w:rsidRDefault="00943BFD" w:rsidP="00943BFD">
      <w:pPr>
        <w:numPr>
          <w:ilvl w:val="0"/>
          <w:numId w:val="22"/>
        </w:numPr>
        <w:tabs>
          <w:tab w:val="clear" w:pos="360"/>
          <w:tab w:val="num" w:pos="1080"/>
        </w:tabs>
        <w:ind w:left="1080"/>
        <w:rPr>
          <w:szCs w:val="24"/>
        </w:rPr>
      </w:pPr>
      <w:r w:rsidRPr="008E4236">
        <w:rPr>
          <w:szCs w:val="24"/>
        </w:rPr>
        <w:t xml:space="preserve">There were </w:t>
      </w:r>
      <w:r w:rsidR="0045122B" w:rsidRPr="008E4236">
        <w:rPr>
          <w:szCs w:val="24"/>
        </w:rPr>
        <w:t xml:space="preserve">357,628 </w:t>
      </w:r>
      <w:r w:rsidRPr="008E4236">
        <w:rPr>
          <w:szCs w:val="24"/>
        </w:rPr>
        <w:t xml:space="preserve">applications for initial </w:t>
      </w:r>
      <w:r w:rsidR="0045122B" w:rsidRPr="008E4236">
        <w:rPr>
          <w:szCs w:val="24"/>
        </w:rPr>
        <w:t>reassignments</w:t>
      </w:r>
      <w:r w:rsidRPr="008E4236">
        <w:rPr>
          <w:szCs w:val="24"/>
        </w:rPr>
        <w:t xml:space="preserve"> in 201</w:t>
      </w:r>
      <w:r w:rsidR="0045122B" w:rsidRPr="008E4236">
        <w:rPr>
          <w:szCs w:val="24"/>
        </w:rPr>
        <w:t>7</w:t>
      </w:r>
      <w:r w:rsidRPr="008E4236">
        <w:rPr>
          <w:szCs w:val="24"/>
        </w:rPr>
        <w:t xml:space="preserve"> using the CMS-</w:t>
      </w:r>
      <w:r w:rsidR="0045122B" w:rsidRPr="008E4236">
        <w:rPr>
          <w:szCs w:val="24"/>
        </w:rPr>
        <w:t>855R</w:t>
      </w:r>
      <w:r w:rsidRPr="008E4236">
        <w:rPr>
          <w:szCs w:val="24"/>
        </w:rPr>
        <w:t xml:space="preserve">. </w:t>
      </w:r>
    </w:p>
    <w:p w14:paraId="6AA5E84D" w14:textId="488C738B" w:rsidR="00904C5C" w:rsidRPr="008E4236" w:rsidRDefault="00904C5C" w:rsidP="00904C5C">
      <w:pPr>
        <w:numPr>
          <w:ilvl w:val="0"/>
          <w:numId w:val="22"/>
        </w:numPr>
        <w:tabs>
          <w:tab w:val="clear" w:pos="360"/>
          <w:tab w:val="num" w:pos="1080"/>
        </w:tabs>
        <w:ind w:left="1080"/>
        <w:rPr>
          <w:szCs w:val="24"/>
        </w:rPr>
      </w:pPr>
      <w:r w:rsidRPr="008E4236">
        <w:rPr>
          <w:szCs w:val="24"/>
        </w:rPr>
        <w:t xml:space="preserve">All submission reasons must complete the same actions as initial reassignments on the CMS-855R application and therefore all submission reasons are being counted in the initial reassignment figure for the purpose of this burden estimate.  </w:t>
      </w:r>
    </w:p>
    <w:p w14:paraId="2765BF12" w14:textId="12C6DB54" w:rsidR="00943BFD" w:rsidRPr="008E4236" w:rsidRDefault="00943BFD" w:rsidP="00943BFD">
      <w:pPr>
        <w:numPr>
          <w:ilvl w:val="0"/>
          <w:numId w:val="22"/>
        </w:numPr>
        <w:tabs>
          <w:tab w:val="clear" w:pos="360"/>
          <w:tab w:val="num" w:pos="1080"/>
        </w:tabs>
        <w:ind w:left="1080"/>
        <w:rPr>
          <w:szCs w:val="24"/>
        </w:rPr>
      </w:pPr>
      <w:r w:rsidRPr="008E4236">
        <w:rPr>
          <w:szCs w:val="24"/>
        </w:rPr>
        <w:t>Completion of the CMS-</w:t>
      </w:r>
      <w:r w:rsidR="0045122B" w:rsidRPr="008E4236">
        <w:rPr>
          <w:szCs w:val="24"/>
        </w:rPr>
        <w:t>855R</w:t>
      </w:r>
      <w:r w:rsidRPr="008E4236">
        <w:rPr>
          <w:szCs w:val="24"/>
        </w:rPr>
        <w:t xml:space="preserve"> takes 0.</w:t>
      </w:r>
      <w:r w:rsidR="0045122B" w:rsidRPr="008E4236">
        <w:rPr>
          <w:szCs w:val="24"/>
        </w:rPr>
        <w:t>25</w:t>
      </w:r>
      <w:r w:rsidRPr="008E4236">
        <w:rPr>
          <w:szCs w:val="24"/>
        </w:rPr>
        <w:t xml:space="preserve"> hours (</w:t>
      </w:r>
      <w:r w:rsidR="0045122B" w:rsidRPr="008E4236">
        <w:rPr>
          <w:szCs w:val="24"/>
        </w:rPr>
        <w:t>15</w:t>
      </w:r>
      <w:r w:rsidRPr="008E4236">
        <w:rPr>
          <w:szCs w:val="24"/>
        </w:rPr>
        <w:t xml:space="preserve"> minutes) for initial applications.</w:t>
      </w:r>
    </w:p>
    <w:p w14:paraId="055FF022" w14:textId="77777777" w:rsidR="00943BFD" w:rsidRPr="008E4236" w:rsidRDefault="00943BFD" w:rsidP="00943BFD">
      <w:pPr>
        <w:numPr>
          <w:ilvl w:val="0"/>
          <w:numId w:val="22"/>
        </w:numPr>
        <w:tabs>
          <w:tab w:val="clear" w:pos="360"/>
          <w:tab w:val="num" w:pos="1080"/>
        </w:tabs>
        <w:ind w:left="1080"/>
        <w:rPr>
          <w:szCs w:val="24"/>
        </w:rPr>
      </w:pPr>
      <w:r w:rsidRPr="008E4236">
        <w:rPr>
          <w:szCs w:val="24"/>
        </w:rPr>
        <w:t>Cost to the respondents is calculated as follows based on the following assumptions:</w:t>
      </w:r>
    </w:p>
    <w:p w14:paraId="4C8BF81E" w14:textId="1927C4A5" w:rsidR="00943BFD" w:rsidRPr="008E4236" w:rsidRDefault="00943BFD" w:rsidP="00943BFD">
      <w:pPr>
        <w:numPr>
          <w:ilvl w:val="0"/>
          <w:numId w:val="43"/>
        </w:numPr>
        <w:rPr>
          <w:szCs w:val="24"/>
        </w:rPr>
      </w:pPr>
      <w:r w:rsidRPr="008E4236">
        <w:rPr>
          <w:szCs w:val="24"/>
        </w:rPr>
        <w:t>The CMS-</w:t>
      </w:r>
      <w:r w:rsidR="002633AB" w:rsidRPr="008E4236">
        <w:rPr>
          <w:szCs w:val="24"/>
        </w:rPr>
        <w:t>855R</w:t>
      </w:r>
      <w:r w:rsidRPr="008E4236">
        <w:rPr>
          <w:szCs w:val="24"/>
        </w:rPr>
        <w:t xml:space="preserve"> can be completed by administrative staff and reviewed and signed by professional staff, and</w:t>
      </w:r>
    </w:p>
    <w:p w14:paraId="30BA7C17" w14:textId="77777777" w:rsidR="00943BFD" w:rsidRPr="008E4236" w:rsidRDefault="00943BFD" w:rsidP="00943BFD">
      <w:pPr>
        <w:numPr>
          <w:ilvl w:val="0"/>
          <w:numId w:val="43"/>
        </w:numPr>
        <w:rPr>
          <w:szCs w:val="24"/>
        </w:rPr>
      </w:pPr>
      <w:r w:rsidRPr="008E4236">
        <w:rPr>
          <w:szCs w:val="24"/>
        </w:rPr>
        <w:t>The record keeping burden is included in the time determined for completion by administrative staff.</w:t>
      </w:r>
    </w:p>
    <w:p w14:paraId="7D3750C6" w14:textId="77777777" w:rsidR="00943BFD" w:rsidRPr="008E4236" w:rsidRDefault="00943BFD" w:rsidP="00943BFD">
      <w:pPr>
        <w:pStyle w:val="ListParagraph"/>
        <w:numPr>
          <w:ilvl w:val="0"/>
          <w:numId w:val="21"/>
        </w:numPr>
        <w:tabs>
          <w:tab w:val="clear" w:pos="360"/>
        </w:tabs>
        <w:ind w:left="1080"/>
        <w:rPr>
          <w:rFonts w:ascii="Times New Roman" w:hAnsi="Times New Roman"/>
          <w:sz w:val="24"/>
          <w:szCs w:val="24"/>
        </w:rPr>
      </w:pPr>
      <w:r w:rsidRPr="008E4236">
        <w:rPr>
          <w:rFonts w:ascii="Times New Roman" w:hAnsi="Times New Roman"/>
          <w:sz w:val="24"/>
          <w:szCs w:val="24"/>
        </w:rPr>
        <w:t>The cost per respondent per application was determined using as follows:</w:t>
      </w:r>
    </w:p>
    <w:p w14:paraId="4E22B4A3" w14:textId="7FBCBD91" w:rsidR="00943BFD" w:rsidRPr="008E4236" w:rsidRDefault="00943BFD" w:rsidP="00943BFD">
      <w:pPr>
        <w:numPr>
          <w:ilvl w:val="0"/>
          <w:numId w:val="42"/>
        </w:numPr>
        <w:rPr>
          <w:szCs w:val="24"/>
        </w:rPr>
      </w:pPr>
      <w:r w:rsidRPr="008E4236">
        <w:rPr>
          <w:szCs w:val="24"/>
        </w:rPr>
        <w:t>The most recent wage data provided by the Bureau of Labor Statistics (BLS) for May 201</w:t>
      </w:r>
      <w:r w:rsidR="002633AB" w:rsidRPr="008E4236">
        <w:rPr>
          <w:szCs w:val="24"/>
        </w:rPr>
        <w:t>7</w:t>
      </w:r>
      <w:r w:rsidRPr="008E4236">
        <w:rPr>
          <w:szCs w:val="24"/>
        </w:rPr>
        <w:t>, the mean hourly wage for the general category of "Office and Administrative Support Occupations" is $1</w:t>
      </w:r>
      <w:r w:rsidR="00E83882" w:rsidRPr="008E4236">
        <w:rPr>
          <w:szCs w:val="24"/>
        </w:rPr>
        <w:t>8.24</w:t>
      </w:r>
      <w:r w:rsidRPr="008E4236">
        <w:rPr>
          <w:szCs w:val="24"/>
        </w:rPr>
        <w:t xml:space="preserve"> per hour (see </w:t>
      </w:r>
      <w:hyperlink r:id="rId11" w:anchor="43-0000" w:history="1">
        <w:r w:rsidRPr="008E4236">
          <w:rPr>
            <w:rStyle w:val="Hyperlink"/>
            <w:szCs w:val="24"/>
          </w:rPr>
          <w:t>http://www.bls.gov/oes/current/oes_nat.htm#43-0000</w:t>
        </w:r>
      </w:hyperlink>
      <w:r w:rsidRPr="008E4236">
        <w:rPr>
          <w:szCs w:val="24"/>
        </w:rPr>
        <w:t>).  With fringe benefits and overhead, the total hourly rate is $3</w:t>
      </w:r>
      <w:r w:rsidR="002633AB" w:rsidRPr="008E4236">
        <w:rPr>
          <w:szCs w:val="24"/>
        </w:rPr>
        <w:t>6</w:t>
      </w:r>
      <w:r w:rsidRPr="008E4236">
        <w:rPr>
          <w:szCs w:val="24"/>
        </w:rPr>
        <w:t>.</w:t>
      </w:r>
      <w:r w:rsidR="002633AB" w:rsidRPr="008E4236">
        <w:rPr>
          <w:szCs w:val="24"/>
        </w:rPr>
        <w:t>48</w:t>
      </w:r>
      <w:r w:rsidRPr="008E4236">
        <w:rPr>
          <w:szCs w:val="24"/>
        </w:rPr>
        <w:t xml:space="preserve">.  </w:t>
      </w:r>
    </w:p>
    <w:p w14:paraId="2478C308" w14:textId="74D268A4" w:rsidR="00943BFD" w:rsidRPr="008E4236" w:rsidRDefault="00943BFD" w:rsidP="00943BFD">
      <w:pPr>
        <w:numPr>
          <w:ilvl w:val="0"/>
          <w:numId w:val="42"/>
        </w:numPr>
        <w:rPr>
          <w:szCs w:val="24"/>
        </w:rPr>
      </w:pPr>
      <w:r w:rsidRPr="008E4236">
        <w:rPr>
          <w:szCs w:val="24"/>
        </w:rPr>
        <w:t>The most recent wage data provided by the BLS for May 201</w:t>
      </w:r>
      <w:r w:rsidR="002633AB" w:rsidRPr="008E4236">
        <w:rPr>
          <w:szCs w:val="24"/>
        </w:rPr>
        <w:t>7</w:t>
      </w:r>
      <w:r w:rsidRPr="008E4236">
        <w:rPr>
          <w:szCs w:val="24"/>
        </w:rPr>
        <w:t xml:space="preserve"> (see </w:t>
      </w:r>
      <w:hyperlink r:id="rId12" w:anchor="29-1000" w:history="1">
        <w:r w:rsidR="002633AB" w:rsidRPr="008E4236">
          <w:rPr>
            <w:rStyle w:val="Hyperlink"/>
            <w:szCs w:val="24"/>
          </w:rPr>
          <w:t>http://www.bls.gov/oes/current/oes_nat.htm#29-1000</w:t>
        </w:r>
      </w:hyperlink>
      <w:r w:rsidRPr="008E4236">
        <w:rPr>
          <w:szCs w:val="24"/>
        </w:rPr>
        <w:t>), the mean hourly wage for the general category of "Health Diagnosing and Treating Practitioners" is $4</w:t>
      </w:r>
      <w:r w:rsidR="002633AB" w:rsidRPr="008E4236">
        <w:rPr>
          <w:szCs w:val="24"/>
        </w:rPr>
        <w:t>8</w:t>
      </w:r>
      <w:r w:rsidRPr="008E4236">
        <w:rPr>
          <w:szCs w:val="24"/>
        </w:rPr>
        <w:t>.</w:t>
      </w:r>
      <w:r w:rsidR="002633AB" w:rsidRPr="008E4236">
        <w:rPr>
          <w:szCs w:val="24"/>
        </w:rPr>
        <w:t>45</w:t>
      </w:r>
      <w:r w:rsidRPr="008E4236">
        <w:rPr>
          <w:szCs w:val="24"/>
        </w:rPr>
        <w:t>.  With fringe benefits and overhead, the total hourly rate is $9</w:t>
      </w:r>
      <w:r w:rsidR="002633AB" w:rsidRPr="008E4236">
        <w:rPr>
          <w:szCs w:val="24"/>
        </w:rPr>
        <w:t>6</w:t>
      </w:r>
      <w:r w:rsidRPr="008E4236">
        <w:rPr>
          <w:szCs w:val="24"/>
        </w:rPr>
        <w:t>.</w:t>
      </w:r>
      <w:r w:rsidR="002633AB" w:rsidRPr="008E4236">
        <w:rPr>
          <w:szCs w:val="24"/>
        </w:rPr>
        <w:t>9</w:t>
      </w:r>
      <w:r w:rsidRPr="008E4236">
        <w:rPr>
          <w:szCs w:val="24"/>
        </w:rPr>
        <w:t xml:space="preserve">0.  </w:t>
      </w:r>
    </w:p>
    <w:p w14:paraId="47DEE060" w14:textId="77777777" w:rsidR="00943BFD" w:rsidRPr="008E4236" w:rsidRDefault="00943BFD" w:rsidP="00943BFD">
      <w:pPr>
        <w:numPr>
          <w:ilvl w:val="0"/>
          <w:numId w:val="22"/>
        </w:numPr>
        <w:tabs>
          <w:tab w:val="clear" w:pos="360"/>
          <w:tab w:val="num" w:pos="1080"/>
        </w:tabs>
        <w:ind w:left="1080"/>
        <w:rPr>
          <w:szCs w:val="24"/>
        </w:rPr>
      </w:pPr>
      <w:r w:rsidRPr="008E4236">
        <w:rPr>
          <w:szCs w:val="24"/>
        </w:rPr>
        <w:t>Based on the information above, CMS has split the cost burden as follows:</w:t>
      </w:r>
    </w:p>
    <w:p w14:paraId="4C528DE1" w14:textId="0CF1FDBE" w:rsidR="00943BFD" w:rsidRPr="008E4236" w:rsidRDefault="00943BFD" w:rsidP="00943BFD">
      <w:pPr>
        <w:numPr>
          <w:ilvl w:val="0"/>
          <w:numId w:val="41"/>
        </w:numPr>
        <w:rPr>
          <w:szCs w:val="24"/>
        </w:rPr>
      </w:pPr>
      <w:r w:rsidRPr="008E4236">
        <w:rPr>
          <w:szCs w:val="24"/>
        </w:rPr>
        <w:t>Office and administrative support workers complete the application in approximately 1</w:t>
      </w:r>
      <w:r w:rsidR="002633AB" w:rsidRPr="008E4236">
        <w:rPr>
          <w:szCs w:val="24"/>
        </w:rPr>
        <w:t>0</w:t>
      </w:r>
      <w:r w:rsidRPr="008E4236">
        <w:rPr>
          <w:szCs w:val="24"/>
        </w:rPr>
        <w:t xml:space="preserve"> minutes, or 0.</w:t>
      </w:r>
      <w:r w:rsidR="002633AB" w:rsidRPr="008E4236">
        <w:rPr>
          <w:szCs w:val="24"/>
        </w:rPr>
        <w:t>17</w:t>
      </w:r>
      <w:r w:rsidRPr="008E4236">
        <w:rPr>
          <w:szCs w:val="24"/>
        </w:rPr>
        <w:t xml:space="preserve"> hours, and</w:t>
      </w:r>
    </w:p>
    <w:p w14:paraId="1619C3C3" w14:textId="41ED8ECE" w:rsidR="00943BFD" w:rsidRPr="008E4236" w:rsidRDefault="00943BFD" w:rsidP="00943BFD">
      <w:pPr>
        <w:numPr>
          <w:ilvl w:val="0"/>
          <w:numId w:val="41"/>
        </w:numPr>
        <w:rPr>
          <w:szCs w:val="24"/>
        </w:rPr>
      </w:pPr>
      <w:r w:rsidRPr="008E4236">
        <w:rPr>
          <w:szCs w:val="24"/>
        </w:rPr>
        <w:t xml:space="preserve">Health diagnosing and treating practitioners review and sign the application in approximately </w:t>
      </w:r>
      <w:r w:rsidR="002633AB" w:rsidRPr="008E4236">
        <w:rPr>
          <w:szCs w:val="24"/>
        </w:rPr>
        <w:t>5</w:t>
      </w:r>
      <w:r w:rsidRPr="008E4236">
        <w:rPr>
          <w:szCs w:val="24"/>
        </w:rPr>
        <w:t xml:space="preserve"> minutes, or 0.0</w:t>
      </w:r>
      <w:r w:rsidR="002633AB" w:rsidRPr="008E4236">
        <w:rPr>
          <w:szCs w:val="24"/>
        </w:rPr>
        <w:t>8</w:t>
      </w:r>
      <w:r w:rsidRPr="008E4236">
        <w:rPr>
          <w:szCs w:val="24"/>
        </w:rPr>
        <w:t xml:space="preserve"> hours.</w:t>
      </w:r>
    </w:p>
    <w:p w14:paraId="2FDEA057" w14:textId="77777777" w:rsidR="00785652" w:rsidRPr="008E4236" w:rsidRDefault="00785652" w:rsidP="00943BFD">
      <w:pPr>
        <w:rPr>
          <w:szCs w:val="24"/>
        </w:rPr>
      </w:pPr>
    </w:p>
    <w:p w14:paraId="10083B08" w14:textId="76CEFEAC" w:rsidR="00943BFD" w:rsidRPr="008E4236" w:rsidRDefault="00943BFD" w:rsidP="00943BFD">
      <w:pPr>
        <w:rPr>
          <w:szCs w:val="24"/>
        </w:rPr>
      </w:pPr>
      <w:r w:rsidRPr="008E4236">
        <w:rPr>
          <w:szCs w:val="24"/>
        </w:rPr>
        <w:t xml:space="preserve">CMS is requesting approval of the revised number of burden </w:t>
      </w:r>
      <w:r w:rsidR="00785652" w:rsidRPr="008E4236">
        <w:rPr>
          <w:szCs w:val="24"/>
        </w:rPr>
        <w:t>costs</w:t>
      </w:r>
      <w:r w:rsidRPr="008E4236">
        <w:rPr>
          <w:szCs w:val="24"/>
        </w:rPr>
        <w:t xml:space="preserve"> as follows:</w:t>
      </w:r>
    </w:p>
    <w:p w14:paraId="26CD4E31" w14:textId="71BE4798" w:rsidR="00943BFD" w:rsidRPr="008E4236" w:rsidRDefault="00943BFD" w:rsidP="00943BFD">
      <w:pPr>
        <w:rPr>
          <w:szCs w:val="24"/>
        </w:rPr>
      </w:pPr>
      <w:r w:rsidRPr="008E4236">
        <w:rPr>
          <w:szCs w:val="24"/>
          <w:u w:val="single"/>
        </w:rPr>
        <w:t>COSTS ASSOCIATED WITH COMPLETING THE CMS-</w:t>
      </w:r>
      <w:r w:rsidR="0045122B" w:rsidRPr="008E4236">
        <w:rPr>
          <w:szCs w:val="24"/>
          <w:u w:val="single"/>
        </w:rPr>
        <w:t>855R</w:t>
      </w:r>
      <w:r w:rsidRPr="008E4236">
        <w:rPr>
          <w:szCs w:val="24"/>
          <w:u w:val="single"/>
        </w:rPr>
        <w:t xml:space="preserve"> APPLICATION:</w:t>
      </w:r>
      <w:r w:rsidRPr="008E4236">
        <w:rPr>
          <w:szCs w:val="24"/>
        </w:rPr>
        <w:t xml:space="preserve"> </w:t>
      </w:r>
    </w:p>
    <w:p w14:paraId="2D3D6EB1" w14:textId="6F5D1C7D" w:rsidR="00943BFD" w:rsidRPr="008E4236" w:rsidRDefault="00943BFD" w:rsidP="00943BFD">
      <w:pPr>
        <w:rPr>
          <w:i/>
          <w:szCs w:val="24"/>
        </w:rPr>
      </w:pPr>
      <w:r w:rsidRPr="008E4236">
        <w:rPr>
          <w:szCs w:val="24"/>
        </w:rPr>
        <w:t>3</w:t>
      </w:r>
      <w:r w:rsidR="00785652" w:rsidRPr="008E4236">
        <w:rPr>
          <w:szCs w:val="24"/>
        </w:rPr>
        <w:t>57</w:t>
      </w:r>
      <w:r w:rsidRPr="008E4236">
        <w:rPr>
          <w:szCs w:val="24"/>
        </w:rPr>
        <w:t>,</w:t>
      </w:r>
      <w:r w:rsidR="00785652" w:rsidRPr="008E4236">
        <w:rPr>
          <w:szCs w:val="24"/>
        </w:rPr>
        <w:t>628</w:t>
      </w:r>
      <w:r w:rsidRPr="008E4236">
        <w:rPr>
          <w:szCs w:val="24"/>
        </w:rPr>
        <w:t xml:space="preserve"> respondents completing the initial application form</w:t>
      </w:r>
      <w:r w:rsidR="00785652" w:rsidRPr="008E4236">
        <w:rPr>
          <w:szCs w:val="24"/>
        </w:rPr>
        <w:t xml:space="preserve"> for reassignment of benefits via PECOS and the CMS-855R p</w:t>
      </w:r>
      <w:r w:rsidRPr="008E4236">
        <w:rPr>
          <w:szCs w:val="24"/>
        </w:rPr>
        <w:t>aper application</w:t>
      </w:r>
      <w:r w:rsidR="00785652" w:rsidRPr="008E4236">
        <w:rPr>
          <w:szCs w:val="24"/>
        </w:rPr>
        <w:t>.</w:t>
      </w:r>
    </w:p>
    <w:p w14:paraId="28CC3B51" w14:textId="77777777" w:rsidR="00943BFD" w:rsidRPr="008E4236" w:rsidRDefault="00943BFD" w:rsidP="00943BFD">
      <w:pPr>
        <w:rPr>
          <w:szCs w:val="24"/>
        </w:rPr>
      </w:pPr>
    </w:p>
    <w:p w14:paraId="3E0C630D" w14:textId="6A9C7938" w:rsidR="00943BFD" w:rsidRPr="008E4236" w:rsidRDefault="00943BFD" w:rsidP="00943BFD">
      <w:pPr>
        <w:rPr>
          <w:szCs w:val="24"/>
        </w:rPr>
      </w:pPr>
      <w:r w:rsidRPr="008E4236">
        <w:rPr>
          <w:szCs w:val="24"/>
        </w:rPr>
        <w:t>0.</w:t>
      </w:r>
      <w:r w:rsidR="00785652" w:rsidRPr="008E4236">
        <w:rPr>
          <w:szCs w:val="24"/>
        </w:rPr>
        <w:t>1</w:t>
      </w:r>
      <w:r w:rsidRPr="008E4236">
        <w:rPr>
          <w:szCs w:val="24"/>
        </w:rPr>
        <w:t>7 hours (1</w:t>
      </w:r>
      <w:r w:rsidR="00785652" w:rsidRPr="008E4236">
        <w:rPr>
          <w:szCs w:val="24"/>
        </w:rPr>
        <w:t>0</w:t>
      </w:r>
      <w:r w:rsidRPr="008E4236">
        <w:rPr>
          <w:szCs w:val="24"/>
        </w:rPr>
        <w:t xml:space="preserve"> minutes) x $3</w:t>
      </w:r>
      <w:r w:rsidR="00785652" w:rsidRPr="008E4236">
        <w:rPr>
          <w:szCs w:val="24"/>
        </w:rPr>
        <w:t>6</w:t>
      </w:r>
      <w:r w:rsidRPr="008E4236">
        <w:rPr>
          <w:szCs w:val="24"/>
        </w:rPr>
        <w:t>.</w:t>
      </w:r>
      <w:r w:rsidR="00785652" w:rsidRPr="008E4236">
        <w:rPr>
          <w:szCs w:val="24"/>
        </w:rPr>
        <w:t>48</w:t>
      </w:r>
      <w:r w:rsidRPr="008E4236">
        <w:rPr>
          <w:szCs w:val="24"/>
        </w:rPr>
        <w:t xml:space="preserve"> = $</w:t>
      </w:r>
      <w:r w:rsidR="00785652" w:rsidRPr="008E4236">
        <w:rPr>
          <w:szCs w:val="24"/>
        </w:rPr>
        <w:t>6</w:t>
      </w:r>
      <w:r w:rsidRPr="008E4236">
        <w:rPr>
          <w:szCs w:val="24"/>
        </w:rPr>
        <w:t>.</w:t>
      </w:r>
      <w:r w:rsidR="00785652" w:rsidRPr="008E4236">
        <w:rPr>
          <w:szCs w:val="24"/>
        </w:rPr>
        <w:t>20</w:t>
      </w:r>
      <w:r w:rsidRPr="008E4236">
        <w:rPr>
          <w:szCs w:val="24"/>
        </w:rPr>
        <w:t xml:space="preserve"> per application completed by office and administrative support workers</w:t>
      </w:r>
      <w:r w:rsidR="00785652" w:rsidRPr="008E4236">
        <w:rPr>
          <w:szCs w:val="24"/>
        </w:rPr>
        <w:t>.</w:t>
      </w:r>
    </w:p>
    <w:p w14:paraId="7C40AE47" w14:textId="43C34AF8" w:rsidR="00943BFD" w:rsidRPr="008E4236" w:rsidRDefault="00943BFD" w:rsidP="00943BFD">
      <w:pPr>
        <w:rPr>
          <w:szCs w:val="24"/>
        </w:rPr>
      </w:pPr>
      <w:r w:rsidRPr="008E4236">
        <w:rPr>
          <w:szCs w:val="24"/>
        </w:rPr>
        <w:t>0.0</w:t>
      </w:r>
      <w:r w:rsidR="00785652" w:rsidRPr="008E4236">
        <w:rPr>
          <w:szCs w:val="24"/>
        </w:rPr>
        <w:t>8</w:t>
      </w:r>
      <w:r w:rsidRPr="008E4236">
        <w:rPr>
          <w:szCs w:val="24"/>
        </w:rPr>
        <w:t xml:space="preserve"> hours (</w:t>
      </w:r>
      <w:r w:rsidR="00785652" w:rsidRPr="008E4236">
        <w:rPr>
          <w:szCs w:val="24"/>
        </w:rPr>
        <w:t>5</w:t>
      </w:r>
      <w:r w:rsidRPr="008E4236">
        <w:rPr>
          <w:szCs w:val="24"/>
        </w:rPr>
        <w:t xml:space="preserve"> minutes) x $9</w:t>
      </w:r>
      <w:r w:rsidR="00785652" w:rsidRPr="008E4236">
        <w:rPr>
          <w:szCs w:val="24"/>
        </w:rPr>
        <w:t>6.90</w:t>
      </w:r>
      <w:r w:rsidRPr="008E4236">
        <w:rPr>
          <w:szCs w:val="24"/>
        </w:rPr>
        <w:t xml:space="preserve"> = $</w:t>
      </w:r>
      <w:r w:rsidR="00785652" w:rsidRPr="008E4236">
        <w:rPr>
          <w:szCs w:val="24"/>
        </w:rPr>
        <w:t>7</w:t>
      </w:r>
      <w:r w:rsidRPr="008E4236">
        <w:rPr>
          <w:szCs w:val="24"/>
        </w:rPr>
        <w:t>.</w:t>
      </w:r>
      <w:r w:rsidR="00785652" w:rsidRPr="008E4236">
        <w:rPr>
          <w:szCs w:val="24"/>
        </w:rPr>
        <w:t>7</w:t>
      </w:r>
      <w:r w:rsidRPr="008E4236">
        <w:rPr>
          <w:szCs w:val="24"/>
        </w:rPr>
        <w:t>5 per application reviewed and signed by Health Diagnosing and Treating Practitioners</w:t>
      </w:r>
      <w:r w:rsidR="00785652" w:rsidRPr="008E4236">
        <w:rPr>
          <w:szCs w:val="24"/>
        </w:rPr>
        <w:t>.</w:t>
      </w:r>
      <w:r w:rsidRPr="008E4236">
        <w:rPr>
          <w:szCs w:val="24"/>
        </w:rPr>
        <w:t xml:space="preserve"> </w:t>
      </w:r>
    </w:p>
    <w:p w14:paraId="586AE1B6" w14:textId="6217A6F0" w:rsidR="00943BFD" w:rsidRPr="008E4236" w:rsidRDefault="00943BFD" w:rsidP="00943BFD">
      <w:pPr>
        <w:rPr>
          <w:szCs w:val="24"/>
        </w:rPr>
      </w:pPr>
      <w:r w:rsidRPr="008E4236">
        <w:rPr>
          <w:szCs w:val="24"/>
        </w:rPr>
        <w:t>Subtotal = $</w:t>
      </w:r>
      <w:r w:rsidR="00785652" w:rsidRPr="008E4236">
        <w:rPr>
          <w:szCs w:val="24"/>
        </w:rPr>
        <w:t>6.20</w:t>
      </w:r>
      <w:r w:rsidRPr="008E4236">
        <w:rPr>
          <w:szCs w:val="24"/>
        </w:rPr>
        <w:t xml:space="preserve"> + </w:t>
      </w:r>
      <w:r w:rsidR="00785652" w:rsidRPr="008E4236">
        <w:rPr>
          <w:szCs w:val="24"/>
        </w:rPr>
        <w:t>7.75</w:t>
      </w:r>
      <w:r w:rsidRPr="008E4236">
        <w:rPr>
          <w:szCs w:val="24"/>
        </w:rPr>
        <w:t xml:space="preserve"> = $1</w:t>
      </w:r>
      <w:r w:rsidR="00785652" w:rsidRPr="008E4236">
        <w:rPr>
          <w:szCs w:val="24"/>
        </w:rPr>
        <w:t>3</w:t>
      </w:r>
      <w:r w:rsidRPr="008E4236">
        <w:rPr>
          <w:szCs w:val="24"/>
        </w:rPr>
        <w:t>.</w:t>
      </w:r>
      <w:r w:rsidR="00785652" w:rsidRPr="008E4236">
        <w:rPr>
          <w:szCs w:val="24"/>
        </w:rPr>
        <w:t>95</w:t>
      </w:r>
      <w:r w:rsidRPr="008E4236">
        <w:rPr>
          <w:szCs w:val="24"/>
        </w:rPr>
        <w:t xml:space="preserve"> per application</w:t>
      </w:r>
    </w:p>
    <w:p w14:paraId="02B5F2EB" w14:textId="6F84C415" w:rsidR="00785652" w:rsidRPr="008E4236" w:rsidRDefault="00943BFD" w:rsidP="00943BFD">
      <w:pPr>
        <w:rPr>
          <w:szCs w:val="24"/>
        </w:rPr>
      </w:pPr>
      <w:r w:rsidRPr="008E4236">
        <w:rPr>
          <w:szCs w:val="24"/>
        </w:rPr>
        <w:t xml:space="preserve">Total – </w:t>
      </w:r>
      <w:r w:rsidR="00785652" w:rsidRPr="008E4236">
        <w:rPr>
          <w:szCs w:val="24"/>
        </w:rPr>
        <w:t xml:space="preserve">357,628 </w:t>
      </w:r>
      <w:r w:rsidRPr="008E4236">
        <w:rPr>
          <w:szCs w:val="24"/>
        </w:rPr>
        <w:t>respondents x $1</w:t>
      </w:r>
      <w:r w:rsidR="00785652" w:rsidRPr="008E4236">
        <w:rPr>
          <w:szCs w:val="24"/>
        </w:rPr>
        <w:t>3.95</w:t>
      </w:r>
      <w:r w:rsidRPr="008E4236">
        <w:rPr>
          <w:szCs w:val="24"/>
        </w:rPr>
        <w:t xml:space="preserve"> per application = $4,</w:t>
      </w:r>
      <w:r w:rsidR="00785652" w:rsidRPr="008E4236">
        <w:rPr>
          <w:szCs w:val="24"/>
        </w:rPr>
        <w:t>988</w:t>
      </w:r>
      <w:r w:rsidRPr="008E4236">
        <w:rPr>
          <w:szCs w:val="24"/>
        </w:rPr>
        <w:t>,</w:t>
      </w:r>
      <w:r w:rsidR="00785652" w:rsidRPr="008E4236">
        <w:rPr>
          <w:szCs w:val="24"/>
        </w:rPr>
        <w:t>910</w:t>
      </w:r>
      <w:r w:rsidRPr="008E4236">
        <w:rPr>
          <w:szCs w:val="24"/>
        </w:rPr>
        <w:t>.</w:t>
      </w:r>
      <w:r w:rsidR="00785652" w:rsidRPr="008E4236">
        <w:rPr>
          <w:szCs w:val="24"/>
        </w:rPr>
        <w:t>6</w:t>
      </w:r>
      <w:r w:rsidRPr="008E4236">
        <w:rPr>
          <w:szCs w:val="24"/>
        </w:rPr>
        <w:t>0 annually for completion of initial applications using the CMS-</w:t>
      </w:r>
      <w:r w:rsidR="00785652" w:rsidRPr="008E4236">
        <w:rPr>
          <w:szCs w:val="24"/>
        </w:rPr>
        <w:t>855R</w:t>
      </w:r>
      <w:r w:rsidRPr="008E4236">
        <w:rPr>
          <w:szCs w:val="24"/>
        </w:rPr>
        <w:t>.</w:t>
      </w:r>
    </w:p>
    <w:p w14:paraId="1324EE00" w14:textId="77777777" w:rsidR="00785652" w:rsidRPr="008E4236" w:rsidRDefault="00785652" w:rsidP="00943BFD">
      <w:pPr>
        <w:rPr>
          <w:szCs w:val="24"/>
        </w:rPr>
      </w:pPr>
    </w:p>
    <w:p w14:paraId="2B0257DF" w14:textId="18807569" w:rsidR="00943BFD" w:rsidRPr="008E4236" w:rsidRDefault="00943BFD" w:rsidP="00943BFD">
      <w:pPr>
        <w:rPr>
          <w:rFonts w:ascii="Calibri" w:eastAsia="Calibri" w:hAnsi="Calibri"/>
          <w:b/>
        </w:rPr>
      </w:pPr>
      <w:r w:rsidRPr="008E4236">
        <w:rPr>
          <w:rFonts w:ascii="Calibri" w:eastAsia="Calibri" w:hAnsi="Calibri"/>
          <w:b/>
        </w:rPr>
        <w:t xml:space="preserve">Table 1 – Summary of Burden Hours and Costs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89"/>
        <w:gridCol w:w="1303"/>
        <w:gridCol w:w="1221"/>
        <w:gridCol w:w="1461"/>
        <w:gridCol w:w="1369"/>
        <w:gridCol w:w="1617"/>
        <w:gridCol w:w="1312"/>
      </w:tblGrid>
      <w:tr w:rsidR="003B280E" w:rsidRPr="008E4236" w14:paraId="7EC32214" w14:textId="77777777" w:rsidTr="003B280E">
        <w:trPr>
          <w:jc w:val="center"/>
        </w:trPr>
        <w:tc>
          <w:tcPr>
            <w:tcW w:w="1353"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13F1D3B7"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Regulation Section(s)</w:t>
            </w:r>
          </w:p>
        </w:tc>
        <w:tc>
          <w:tcPr>
            <w:tcW w:w="889"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3F53D4D1"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OMB Control No.</w:t>
            </w:r>
          </w:p>
        </w:tc>
        <w:tc>
          <w:tcPr>
            <w:tcW w:w="1303"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0E183EC1"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bCs/>
                <w:i/>
                <w:color w:val="000000"/>
                <w:sz w:val="20"/>
              </w:rPr>
            </w:pPr>
            <w:r w:rsidRPr="008E4236">
              <w:rPr>
                <w:rFonts w:ascii="Calibri" w:eastAsia="Calibri" w:hAnsi="Calibri"/>
                <w:b/>
                <w:bCs/>
                <w:color w:val="000000"/>
                <w:sz w:val="20"/>
              </w:rPr>
              <w:t>Number</w:t>
            </w:r>
          </w:p>
          <w:p w14:paraId="532C2A02"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bCs/>
                <w:i/>
                <w:color w:val="000000"/>
                <w:sz w:val="20"/>
              </w:rPr>
            </w:pPr>
            <w:r w:rsidRPr="008E4236">
              <w:rPr>
                <w:rFonts w:ascii="Calibri" w:eastAsia="Calibri" w:hAnsi="Calibri"/>
                <w:b/>
                <w:bCs/>
                <w:color w:val="000000"/>
                <w:sz w:val="20"/>
              </w:rPr>
              <w:t xml:space="preserve">of </w:t>
            </w:r>
          </w:p>
          <w:p w14:paraId="60547BE5"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Respondents</w:t>
            </w:r>
          </w:p>
        </w:tc>
        <w:tc>
          <w:tcPr>
            <w:tcW w:w="1221"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2421F2FC"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bCs/>
                <w:i/>
                <w:color w:val="000000"/>
                <w:sz w:val="20"/>
              </w:rPr>
            </w:pPr>
            <w:r w:rsidRPr="008E4236">
              <w:rPr>
                <w:rFonts w:ascii="Calibri" w:eastAsia="Calibri" w:hAnsi="Calibri"/>
                <w:b/>
                <w:bCs/>
                <w:color w:val="000000"/>
                <w:sz w:val="20"/>
              </w:rPr>
              <w:t xml:space="preserve">Number </w:t>
            </w:r>
          </w:p>
          <w:p w14:paraId="45736B83"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bCs/>
                <w:i/>
                <w:color w:val="000000"/>
                <w:sz w:val="20"/>
              </w:rPr>
            </w:pPr>
            <w:r w:rsidRPr="008E4236">
              <w:rPr>
                <w:rFonts w:ascii="Calibri" w:eastAsia="Calibri" w:hAnsi="Calibri"/>
                <w:b/>
                <w:bCs/>
                <w:color w:val="000000"/>
                <w:sz w:val="20"/>
              </w:rPr>
              <w:t>of</w:t>
            </w:r>
          </w:p>
          <w:p w14:paraId="77F062BE"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Responses</w:t>
            </w:r>
          </w:p>
        </w:tc>
        <w:tc>
          <w:tcPr>
            <w:tcW w:w="1461"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5C091147"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bCs/>
                <w:i/>
                <w:color w:val="000000"/>
                <w:sz w:val="20"/>
              </w:rPr>
            </w:pPr>
            <w:r w:rsidRPr="008E4236">
              <w:rPr>
                <w:rFonts w:ascii="Calibri" w:eastAsia="Calibri" w:hAnsi="Calibri"/>
                <w:b/>
                <w:bCs/>
                <w:color w:val="000000"/>
                <w:sz w:val="20"/>
              </w:rPr>
              <w:t xml:space="preserve">Burden </w:t>
            </w:r>
          </w:p>
          <w:p w14:paraId="62E8AD2E"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per Response (hours)</w:t>
            </w:r>
          </w:p>
        </w:tc>
        <w:tc>
          <w:tcPr>
            <w:tcW w:w="1369"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13489621"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Total Annual Burden (hours)</w:t>
            </w:r>
          </w:p>
        </w:tc>
        <w:tc>
          <w:tcPr>
            <w:tcW w:w="1617"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62B4305A" w14:textId="77777777" w:rsidR="00943BFD" w:rsidRPr="008E4236" w:rsidRDefault="00943BFD" w:rsidP="00B3059E">
            <w:pPr>
              <w:jc w:val="center"/>
              <w:rPr>
                <w:rFonts w:ascii="Calibri" w:eastAsia="Calibri" w:hAnsi="Calibri"/>
                <w:b/>
                <w:bCs/>
                <w:i/>
                <w:color w:val="000000"/>
                <w:sz w:val="20"/>
              </w:rPr>
            </w:pPr>
            <w:r w:rsidRPr="008E4236">
              <w:rPr>
                <w:rFonts w:ascii="Calibri" w:eastAsia="Calibri" w:hAnsi="Calibri"/>
                <w:b/>
                <w:bCs/>
                <w:color w:val="000000"/>
                <w:sz w:val="20"/>
              </w:rPr>
              <w:t>Hourly Labor</w:t>
            </w:r>
          </w:p>
          <w:p w14:paraId="35AFC7A9" w14:textId="77777777" w:rsidR="00943BFD" w:rsidRPr="008E4236" w:rsidRDefault="00943BFD" w:rsidP="00B3059E">
            <w:pPr>
              <w:jc w:val="center"/>
              <w:rPr>
                <w:rFonts w:ascii="Calibri" w:eastAsia="Calibri" w:hAnsi="Calibri"/>
                <w:b/>
                <w:bCs/>
                <w:i/>
                <w:color w:val="000000"/>
                <w:sz w:val="20"/>
              </w:rPr>
            </w:pPr>
            <w:r w:rsidRPr="008E4236">
              <w:rPr>
                <w:rFonts w:ascii="Calibri" w:eastAsia="Calibri" w:hAnsi="Calibri"/>
                <w:b/>
                <w:bCs/>
                <w:color w:val="000000"/>
                <w:sz w:val="20"/>
              </w:rPr>
              <w:t>Cost of</w:t>
            </w:r>
          </w:p>
          <w:p w14:paraId="338B6581"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bCs/>
                <w:color w:val="000000"/>
                <w:sz w:val="20"/>
              </w:rPr>
              <w:t>Reporting ($) includes 100% fringe benefits</w:t>
            </w:r>
          </w:p>
        </w:tc>
        <w:tc>
          <w:tcPr>
            <w:tcW w:w="1312" w:type="dxa"/>
            <w:tcBorders>
              <w:top w:val="single" w:sz="4" w:space="0" w:color="auto"/>
              <w:left w:val="single" w:sz="4" w:space="0" w:color="auto"/>
              <w:bottom w:val="single" w:sz="4" w:space="0" w:color="auto"/>
              <w:right w:val="single" w:sz="4" w:space="0" w:color="auto"/>
            </w:tcBorders>
            <w:shd w:val="clear" w:color="auto" w:fill="BFBFBF"/>
            <w:vAlign w:val="bottom"/>
            <w:hideMark/>
          </w:tcPr>
          <w:p w14:paraId="05C1C7CE"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sz w:val="20"/>
              </w:rPr>
              <w:t>Total Cost</w:t>
            </w:r>
          </w:p>
          <w:p w14:paraId="761AD750"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i/>
                <w:sz w:val="20"/>
              </w:rPr>
            </w:pPr>
            <w:r w:rsidRPr="008E4236">
              <w:rPr>
                <w:rFonts w:ascii="Calibri" w:eastAsia="Calibri" w:hAnsi="Calibri"/>
                <w:b/>
                <w:sz w:val="20"/>
              </w:rPr>
              <w:t>($)</w:t>
            </w:r>
          </w:p>
        </w:tc>
      </w:tr>
      <w:tr w:rsidR="003B280E" w:rsidRPr="008E4236" w14:paraId="6608F2D7" w14:textId="77777777" w:rsidTr="003B280E">
        <w:trPr>
          <w:jc w:val="center"/>
        </w:trPr>
        <w:tc>
          <w:tcPr>
            <w:tcW w:w="1353" w:type="dxa"/>
            <w:tcBorders>
              <w:top w:val="single" w:sz="4" w:space="0" w:color="auto"/>
              <w:left w:val="single" w:sz="4" w:space="0" w:color="auto"/>
              <w:bottom w:val="single" w:sz="4" w:space="0" w:color="auto"/>
              <w:right w:val="single" w:sz="4" w:space="0" w:color="auto"/>
            </w:tcBorders>
            <w:hideMark/>
          </w:tcPr>
          <w:p w14:paraId="1EFF4996" w14:textId="76D6329A" w:rsidR="00943BFD" w:rsidRPr="008E4236" w:rsidRDefault="00785652" w:rsidP="00B3059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sz w:val="20"/>
              </w:rPr>
            </w:pPr>
            <w:r w:rsidRPr="008E4236">
              <w:rPr>
                <w:rFonts w:ascii="Calibri" w:eastAsia="Calibri" w:hAnsi="Calibri"/>
                <w:sz w:val="20"/>
              </w:rPr>
              <w:t>Reassignment</w:t>
            </w:r>
          </w:p>
          <w:p w14:paraId="42B6BDC2" w14:textId="06021A31" w:rsidR="00943BFD" w:rsidRPr="008E4236" w:rsidRDefault="00943BFD" w:rsidP="00B3059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sz w:val="20"/>
              </w:rPr>
            </w:pPr>
            <w:r w:rsidRPr="008E4236">
              <w:rPr>
                <w:rFonts w:ascii="Calibri" w:eastAsia="Calibri" w:hAnsi="Calibri"/>
                <w:sz w:val="20"/>
              </w:rPr>
              <w:t>Application Form</w:t>
            </w:r>
          </w:p>
          <w:p w14:paraId="779A9324" w14:textId="7223D5E7" w:rsidR="00943BFD" w:rsidRPr="008E4236" w:rsidRDefault="00943BFD" w:rsidP="007856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sz w:val="20"/>
              </w:rPr>
            </w:pPr>
            <w:r w:rsidRPr="008E4236">
              <w:rPr>
                <w:rFonts w:ascii="Calibri" w:eastAsia="Calibri" w:hAnsi="Calibri"/>
                <w:sz w:val="20"/>
              </w:rPr>
              <w:t>(CMS-</w:t>
            </w:r>
            <w:r w:rsidR="00785652" w:rsidRPr="008E4236">
              <w:rPr>
                <w:rFonts w:ascii="Calibri" w:eastAsia="Calibri" w:hAnsi="Calibri"/>
                <w:sz w:val="20"/>
              </w:rPr>
              <w:t>855R</w:t>
            </w:r>
            <w:r w:rsidRPr="008E4236">
              <w:rPr>
                <w:rFonts w:ascii="Calibri" w:eastAsia="Calibri" w:hAnsi="Calibri"/>
                <w:sz w:val="20"/>
              </w:rPr>
              <w:t>)</w:t>
            </w:r>
          </w:p>
        </w:tc>
        <w:tc>
          <w:tcPr>
            <w:tcW w:w="889" w:type="dxa"/>
            <w:tcBorders>
              <w:top w:val="single" w:sz="4" w:space="0" w:color="auto"/>
              <w:left w:val="single" w:sz="4" w:space="0" w:color="auto"/>
              <w:bottom w:val="single" w:sz="4" w:space="0" w:color="auto"/>
              <w:right w:val="single" w:sz="4" w:space="0" w:color="auto"/>
            </w:tcBorders>
            <w:hideMark/>
          </w:tcPr>
          <w:p w14:paraId="000BB9DA" w14:textId="7EFA000A" w:rsidR="00943BFD" w:rsidRPr="008E4236" w:rsidRDefault="00943BFD" w:rsidP="007856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sz w:val="20"/>
              </w:rPr>
            </w:pPr>
            <w:r w:rsidRPr="008E4236">
              <w:rPr>
                <w:rFonts w:ascii="Calibri" w:eastAsia="Calibri" w:hAnsi="Calibri"/>
                <w:sz w:val="20"/>
              </w:rPr>
              <w:t>0938-</w:t>
            </w:r>
            <w:r w:rsidR="00785652" w:rsidRPr="008E4236">
              <w:rPr>
                <w:rFonts w:ascii="Calibri" w:eastAsia="Calibri" w:hAnsi="Calibri"/>
                <w:sz w:val="20"/>
              </w:rPr>
              <w:t>1179</w:t>
            </w:r>
          </w:p>
        </w:tc>
        <w:tc>
          <w:tcPr>
            <w:tcW w:w="1303" w:type="dxa"/>
            <w:tcBorders>
              <w:top w:val="single" w:sz="4" w:space="0" w:color="auto"/>
              <w:left w:val="single" w:sz="4" w:space="0" w:color="auto"/>
              <w:bottom w:val="single" w:sz="4" w:space="0" w:color="auto"/>
              <w:right w:val="single" w:sz="4" w:space="0" w:color="auto"/>
            </w:tcBorders>
            <w:hideMark/>
          </w:tcPr>
          <w:p w14:paraId="5CE597B7" w14:textId="5ECE63DA" w:rsidR="00943BFD" w:rsidRPr="008E4236" w:rsidRDefault="00943BFD" w:rsidP="007856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sz w:val="20"/>
              </w:rPr>
            </w:pPr>
            <w:r w:rsidRPr="008E4236">
              <w:rPr>
                <w:rFonts w:ascii="Calibri" w:eastAsia="Calibri" w:hAnsi="Calibri"/>
                <w:sz w:val="20"/>
              </w:rPr>
              <w:t>3</w:t>
            </w:r>
            <w:r w:rsidR="00785652" w:rsidRPr="008E4236">
              <w:rPr>
                <w:rFonts w:ascii="Calibri" w:eastAsia="Calibri" w:hAnsi="Calibri"/>
                <w:sz w:val="20"/>
              </w:rPr>
              <w:t>57</w:t>
            </w:r>
            <w:r w:rsidRPr="008E4236">
              <w:rPr>
                <w:rFonts w:ascii="Calibri" w:eastAsia="Calibri" w:hAnsi="Calibri"/>
                <w:sz w:val="20"/>
              </w:rPr>
              <w:t>,</w:t>
            </w:r>
            <w:r w:rsidR="00785652" w:rsidRPr="008E4236">
              <w:rPr>
                <w:rFonts w:ascii="Calibri" w:eastAsia="Calibri" w:hAnsi="Calibri"/>
                <w:sz w:val="20"/>
              </w:rPr>
              <w:t>628</w:t>
            </w:r>
          </w:p>
        </w:tc>
        <w:tc>
          <w:tcPr>
            <w:tcW w:w="1221" w:type="dxa"/>
            <w:tcBorders>
              <w:top w:val="single" w:sz="4" w:space="0" w:color="auto"/>
              <w:left w:val="single" w:sz="4" w:space="0" w:color="auto"/>
              <w:bottom w:val="single" w:sz="4" w:space="0" w:color="auto"/>
              <w:right w:val="single" w:sz="4" w:space="0" w:color="auto"/>
            </w:tcBorders>
          </w:tcPr>
          <w:p w14:paraId="6EFA382C" w14:textId="1BAD0485" w:rsidR="00943BFD" w:rsidRPr="008E4236" w:rsidRDefault="00943BFD" w:rsidP="0078565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sz w:val="20"/>
              </w:rPr>
            </w:pPr>
            <w:r w:rsidRPr="008E4236">
              <w:rPr>
                <w:rFonts w:ascii="Calibri" w:eastAsia="Calibri" w:hAnsi="Calibri"/>
                <w:sz w:val="20"/>
              </w:rPr>
              <w:t>3</w:t>
            </w:r>
            <w:r w:rsidR="00785652" w:rsidRPr="008E4236">
              <w:rPr>
                <w:rFonts w:ascii="Calibri" w:eastAsia="Calibri" w:hAnsi="Calibri"/>
                <w:sz w:val="20"/>
              </w:rPr>
              <w:t>57</w:t>
            </w:r>
            <w:r w:rsidRPr="008E4236">
              <w:rPr>
                <w:rFonts w:ascii="Calibri" w:eastAsia="Calibri" w:hAnsi="Calibri"/>
                <w:sz w:val="20"/>
              </w:rPr>
              <w:t>,</w:t>
            </w:r>
            <w:r w:rsidR="00785652" w:rsidRPr="008E4236">
              <w:rPr>
                <w:rFonts w:ascii="Calibri" w:eastAsia="Calibri" w:hAnsi="Calibri"/>
                <w:sz w:val="20"/>
              </w:rPr>
              <w:t>628</w:t>
            </w:r>
            <w:r w:rsidRPr="008E4236">
              <w:rPr>
                <w:rFonts w:ascii="Calibri" w:eastAsia="Calibri" w:hAnsi="Calibri"/>
                <w:sz w:val="20"/>
              </w:rPr>
              <w:t xml:space="preserve">  per year</w:t>
            </w:r>
          </w:p>
        </w:tc>
        <w:tc>
          <w:tcPr>
            <w:tcW w:w="1461" w:type="dxa"/>
            <w:tcBorders>
              <w:top w:val="single" w:sz="4" w:space="0" w:color="auto"/>
              <w:left w:val="single" w:sz="4" w:space="0" w:color="auto"/>
              <w:bottom w:val="single" w:sz="4" w:space="0" w:color="auto"/>
              <w:right w:val="single" w:sz="4" w:space="0" w:color="auto"/>
            </w:tcBorders>
          </w:tcPr>
          <w:p w14:paraId="1049DEA8" w14:textId="41F6F010" w:rsidR="00943BFD" w:rsidRPr="008E4236" w:rsidRDefault="00943BFD" w:rsidP="00B3059E">
            <w:pPr>
              <w:rPr>
                <w:rFonts w:ascii="Calibri" w:eastAsia="Calibri" w:hAnsi="Calibri"/>
                <w:sz w:val="20"/>
              </w:rPr>
            </w:pPr>
            <w:r w:rsidRPr="008E4236">
              <w:rPr>
                <w:rFonts w:ascii="Calibri" w:eastAsia="Calibri" w:hAnsi="Calibri"/>
                <w:sz w:val="20"/>
              </w:rPr>
              <w:t>0.0</w:t>
            </w:r>
            <w:r w:rsidR="00785652" w:rsidRPr="008E4236">
              <w:rPr>
                <w:rFonts w:ascii="Calibri" w:eastAsia="Calibri" w:hAnsi="Calibri"/>
                <w:sz w:val="20"/>
              </w:rPr>
              <w:t>8</w:t>
            </w:r>
            <w:r w:rsidRPr="008E4236">
              <w:rPr>
                <w:rFonts w:ascii="Calibri" w:eastAsia="Calibri" w:hAnsi="Calibri"/>
                <w:sz w:val="20"/>
              </w:rPr>
              <w:t xml:space="preserve"> hours by Health Diagnosing and Treating Practitioners </w:t>
            </w:r>
          </w:p>
          <w:p w14:paraId="7CEF9171" w14:textId="77777777" w:rsidR="00943BFD" w:rsidRPr="008E4236" w:rsidRDefault="00943BFD" w:rsidP="00B3059E">
            <w:pPr>
              <w:rPr>
                <w:rFonts w:ascii="Calibri" w:eastAsia="Calibri" w:hAnsi="Calibri"/>
                <w:sz w:val="20"/>
              </w:rPr>
            </w:pPr>
          </w:p>
          <w:p w14:paraId="0DABA805" w14:textId="5D7B0712" w:rsidR="00943BFD" w:rsidRPr="008E4236" w:rsidRDefault="00943BFD" w:rsidP="00785652">
            <w:pPr>
              <w:rPr>
                <w:rFonts w:ascii="Calibri" w:eastAsia="Calibri" w:hAnsi="Calibri"/>
                <w:sz w:val="20"/>
              </w:rPr>
            </w:pPr>
            <w:r w:rsidRPr="008E4236">
              <w:rPr>
                <w:rFonts w:ascii="Calibri" w:eastAsia="Calibri" w:hAnsi="Calibri"/>
                <w:sz w:val="20"/>
              </w:rPr>
              <w:t>0.</w:t>
            </w:r>
            <w:r w:rsidR="00785652" w:rsidRPr="008E4236">
              <w:rPr>
                <w:rFonts w:ascii="Calibri" w:eastAsia="Calibri" w:hAnsi="Calibri"/>
                <w:sz w:val="20"/>
              </w:rPr>
              <w:t>1</w:t>
            </w:r>
            <w:r w:rsidRPr="008E4236">
              <w:rPr>
                <w:rFonts w:ascii="Calibri" w:eastAsia="Calibri" w:hAnsi="Calibri"/>
                <w:sz w:val="20"/>
              </w:rPr>
              <w:t>7 hours by  office and administrative support workers</w:t>
            </w:r>
          </w:p>
        </w:tc>
        <w:tc>
          <w:tcPr>
            <w:tcW w:w="1369" w:type="dxa"/>
            <w:tcBorders>
              <w:top w:val="single" w:sz="4" w:space="0" w:color="auto"/>
              <w:left w:val="single" w:sz="4" w:space="0" w:color="auto"/>
              <w:bottom w:val="single" w:sz="4" w:space="0" w:color="auto"/>
              <w:right w:val="single" w:sz="4" w:space="0" w:color="auto"/>
            </w:tcBorders>
          </w:tcPr>
          <w:p w14:paraId="0D5986FC" w14:textId="22D4C93D" w:rsidR="00943BFD" w:rsidRPr="008E4236" w:rsidRDefault="003B280E" w:rsidP="00B3059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sz w:val="20"/>
              </w:rPr>
            </w:pPr>
            <w:r w:rsidRPr="008E4236">
              <w:rPr>
                <w:rFonts w:asciiTheme="minorHAnsi" w:eastAsia="Calibri" w:hAnsiTheme="minorHAnsi"/>
                <w:sz w:val="20"/>
              </w:rPr>
              <w:t>89,407</w:t>
            </w:r>
            <w:r w:rsidR="00943BFD" w:rsidRPr="008E4236">
              <w:rPr>
                <w:rFonts w:eastAsia="Calibri"/>
                <w:szCs w:val="24"/>
              </w:rPr>
              <w:t xml:space="preserve"> </w:t>
            </w:r>
            <w:r w:rsidR="00943BFD" w:rsidRPr="008E4236">
              <w:rPr>
                <w:rFonts w:ascii="Calibri" w:eastAsia="Calibri" w:hAnsi="Calibri"/>
                <w:sz w:val="20"/>
              </w:rPr>
              <w:t>hours</w:t>
            </w:r>
          </w:p>
        </w:tc>
        <w:tc>
          <w:tcPr>
            <w:tcW w:w="1617" w:type="dxa"/>
            <w:tcBorders>
              <w:top w:val="single" w:sz="4" w:space="0" w:color="auto"/>
              <w:left w:val="single" w:sz="4" w:space="0" w:color="auto"/>
              <w:bottom w:val="single" w:sz="4" w:space="0" w:color="auto"/>
              <w:right w:val="single" w:sz="4" w:space="0" w:color="auto"/>
            </w:tcBorders>
          </w:tcPr>
          <w:p w14:paraId="3E9C29BE" w14:textId="77292D0D"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sz w:val="20"/>
              </w:rPr>
            </w:pPr>
            <w:r w:rsidRPr="008E4236">
              <w:rPr>
                <w:rFonts w:ascii="Calibri" w:eastAsia="Calibri" w:hAnsi="Calibri"/>
                <w:sz w:val="20"/>
              </w:rPr>
              <w:t>Health Diagnosing and Treating Practitioners at $9</w:t>
            </w:r>
            <w:r w:rsidR="003B280E" w:rsidRPr="008E4236">
              <w:rPr>
                <w:rFonts w:ascii="Calibri" w:eastAsia="Calibri" w:hAnsi="Calibri"/>
                <w:sz w:val="20"/>
              </w:rPr>
              <w:t>6</w:t>
            </w:r>
            <w:r w:rsidRPr="008E4236">
              <w:rPr>
                <w:rFonts w:ascii="Calibri" w:eastAsia="Calibri" w:hAnsi="Calibri"/>
                <w:sz w:val="20"/>
              </w:rPr>
              <w:t>.</w:t>
            </w:r>
            <w:r w:rsidR="003B280E" w:rsidRPr="008E4236">
              <w:rPr>
                <w:rFonts w:ascii="Calibri" w:eastAsia="Calibri" w:hAnsi="Calibri"/>
                <w:sz w:val="20"/>
              </w:rPr>
              <w:t>9</w:t>
            </w:r>
            <w:r w:rsidRPr="008E4236">
              <w:rPr>
                <w:rFonts w:ascii="Calibri" w:eastAsia="Calibri" w:hAnsi="Calibri"/>
                <w:sz w:val="20"/>
              </w:rPr>
              <w:t>0 per hour</w:t>
            </w:r>
          </w:p>
          <w:p w14:paraId="07FA40B5"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sz w:val="20"/>
              </w:rPr>
            </w:pPr>
          </w:p>
          <w:p w14:paraId="26911BB3" w14:textId="1E562006" w:rsidR="00943BFD" w:rsidRPr="008E4236" w:rsidRDefault="00943BFD" w:rsidP="003B28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sz w:val="20"/>
              </w:rPr>
            </w:pPr>
            <w:r w:rsidRPr="008E4236">
              <w:rPr>
                <w:rFonts w:ascii="Calibri" w:eastAsia="Calibri" w:hAnsi="Calibri"/>
                <w:sz w:val="20"/>
              </w:rPr>
              <w:t>office and administrative support workers at $3</w:t>
            </w:r>
            <w:r w:rsidR="003B280E" w:rsidRPr="008E4236">
              <w:rPr>
                <w:rFonts w:ascii="Calibri" w:eastAsia="Calibri" w:hAnsi="Calibri"/>
                <w:sz w:val="20"/>
              </w:rPr>
              <w:t>6</w:t>
            </w:r>
            <w:r w:rsidRPr="008E4236">
              <w:rPr>
                <w:rFonts w:ascii="Calibri" w:eastAsia="Calibri" w:hAnsi="Calibri"/>
                <w:sz w:val="20"/>
              </w:rPr>
              <w:t>.</w:t>
            </w:r>
            <w:r w:rsidR="003B280E" w:rsidRPr="008E4236">
              <w:rPr>
                <w:rFonts w:ascii="Calibri" w:eastAsia="Calibri" w:hAnsi="Calibri"/>
                <w:sz w:val="20"/>
              </w:rPr>
              <w:t>48</w:t>
            </w:r>
            <w:r w:rsidRPr="008E4236">
              <w:rPr>
                <w:rFonts w:ascii="Calibri" w:eastAsia="Calibri" w:hAnsi="Calibri"/>
                <w:sz w:val="20"/>
              </w:rPr>
              <w:t xml:space="preserve"> per hour</w:t>
            </w:r>
          </w:p>
        </w:tc>
        <w:tc>
          <w:tcPr>
            <w:tcW w:w="1312" w:type="dxa"/>
            <w:tcBorders>
              <w:top w:val="single" w:sz="4" w:space="0" w:color="auto"/>
              <w:left w:val="single" w:sz="4" w:space="0" w:color="auto"/>
              <w:bottom w:val="single" w:sz="4" w:space="0" w:color="auto"/>
              <w:right w:val="single" w:sz="4" w:space="0" w:color="auto"/>
            </w:tcBorders>
          </w:tcPr>
          <w:p w14:paraId="27E0617E" w14:textId="4DEAF094" w:rsidR="00943BFD" w:rsidRPr="008E4236" w:rsidRDefault="00943BFD" w:rsidP="003B28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sz w:val="20"/>
              </w:rPr>
            </w:pPr>
            <w:r w:rsidRPr="008E4236">
              <w:rPr>
                <w:rFonts w:ascii="Calibri" w:eastAsia="Calibri" w:hAnsi="Calibri"/>
                <w:sz w:val="20"/>
              </w:rPr>
              <w:t>$4,</w:t>
            </w:r>
            <w:r w:rsidR="003B280E" w:rsidRPr="008E4236">
              <w:rPr>
                <w:rFonts w:ascii="Calibri" w:eastAsia="Calibri" w:hAnsi="Calibri"/>
                <w:sz w:val="20"/>
              </w:rPr>
              <w:t>988</w:t>
            </w:r>
            <w:r w:rsidRPr="008E4236">
              <w:rPr>
                <w:rFonts w:ascii="Calibri" w:eastAsia="Calibri" w:hAnsi="Calibri"/>
                <w:sz w:val="20"/>
              </w:rPr>
              <w:t>,</w:t>
            </w:r>
            <w:r w:rsidR="003B280E" w:rsidRPr="008E4236">
              <w:rPr>
                <w:rFonts w:ascii="Calibri" w:eastAsia="Calibri" w:hAnsi="Calibri"/>
                <w:sz w:val="20"/>
              </w:rPr>
              <w:t>911</w:t>
            </w:r>
          </w:p>
        </w:tc>
      </w:tr>
      <w:tr w:rsidR="003B280E" w:rsidRPr="008E4236" w14:paraId="310DE72D" w14:textId="77777777" w:rsidTr="003B280E">
        <w:trPr>
          <w:jc w:val="center"/>
        </w:trPr>
        <w:tc>
          <w:tcPr>
            <w:tcW w:w="1353" w:type="dxa"/>
            <w:tcBorders>
              <w:top w:val="single" w:sz="4" w:space="0" w:color="auto"/>
              <w:left w:val="single" w:sz="4" w:space="0" w:color="auto"/>
              <w:bottom w:val="single" w:sz="4" w:space="0" w:color="auto"/>
              <w:right w:val="single" w:sz="4" w:space="0" w:color="auto"/>
            </w:tcBorders>
          </w:tcPr>
          <w:p w14:paraId="38EE13D7" w14:textId="77777777"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b/>
                <w:sz w:val="20"/>
              </w:rPr>
            </w:pPr>
            <w:r w:rsidRPr="008E4236">
              <w:rPr>
                <w:rFonts w:ascii="Calibri" w:eastAsia="Calibri" w:hAnsi="Calibri"/>
                <w:b/>
                <w:sz w:val="20"/>
              </w:rPr>
              <w:t xml:space="preserve">3-year total </w:t>
            </w:r>
          </w:p>
        </w:tc>
        <w:tc>
          <w:tcPr>
            <w:tcW w:w="889" w:type="dxa"/>
            <w:tcBorders>
              <w:top w:val="single" w:sz="4" w:space="0" w:color="auto"/>
              <w:left w:val="single" w:sz="4" w:space="0" w:color="auto"/>
              <w:bottom w:val="single" w:sz="4" w:space="0" w:color="auto"/>
              <w:right w:val="single" w:sz="4" w:space="0" w:color="auto"/>
            </w:tcBorders>
          </w:tcPr>
          <w:p w14:paraId="207BE4CB" w14:textId="6A072063" w:rsidR="00943BFD" w:rsidRPr="008E4236" w:rsidRDefault="00943BFD" w:rsidP="003B28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r w:rsidRPr="008E4236">
              <w:rPr>
                <w:rFonts w:ascii="Calibri" w:eastAsia="Calibri" w:hAnsi="Calibri"/>
                <w:b/>
                <w:sz w:val="20"/>
              </w:rPr>
              <w:t>0938-</w:t>
            </w:r>
            <w:r w:rsidR="003B280E" w:rsidRPr="008E4236">
              <w:rPr>
                <w:rFonts w:ascii="Calibri" w:eastAsia="Calibri" w:hAnsi="Calibri"/>
                <w:b/>
                <w:sz w:val="20"/>
              </w:rPr>
              <w:t>1179</w:t>
            </w:r>
          </w:p>
        </w:tc>
        <w:tc>
          <w:tcPr>
            <w:tcW w:w="1303" w:type="dxa"/>
            <w:tcBorders>
              <w:top w:val="single" w:sz="4" w:space="0" w:color="auto"/>
              <w:left w:val="single" w:sz="4" w:space="0" w:color="auto"/>
              <w:bottom w:val="single" w:sz="4" w:space="0" w:color="auto"/>
              <w:right w:val="single" w:sz="4" w:space="0" w:color="auto"/>
            </w:tcBorders>
          </w:tcPr>
          <w:p w14:paraId="4C04F060" w14:textId="0E6EC9BF" w:rsidR="00943BFD" w:rsidRPr="008E4236" w:rsidRDefault="003B280E"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r w:rsidRPr="008E4236">
              <w:rPr>
                <w:rFonts w:ascii="Calibri" w:eastAsia="Calibri" w:hAnsi="Calibri"/>
                <w:b/>
                <w:sz w:val="20"/>
              </w:rPr>
              <w:t>1,072</w:t>
            </w:r>
            <w:r w:rsidR="00943BFD" w:rsidRPr="008E4236">
              <w:rPr>
                <w:rFonts w:ascii="Calibri" w:eastAsia="Calibri" w:hAnsi="Calibri"/>
                <w:b/>
                <w:sz w:val="20"/>
              </w:rPr>
              <w:t>,</w:t>
            </w:r>
            <w:r w:rsidRPr="008E4236">
              <w:rPr>
                <w:rFonts w:ascii="Calibri" w:eastAsia="Calibri" w:hAnsi="Calibri"/>
                <w:b/>
                <w:sz w:val="20"/>
              </w:rPr>
              <w:t>884</w:t>
            </w:r>
            <w:r w:rsidR="00943BFD" w:rsidRPr="008E4236">
              <w:rPr>
                <w:rFonts w:ascii="Calibri" w:eastAsia="Calibri" w:hAnsi="Calibri"/>
                <w:b/>
                <w:sz w:val="20"/>
              </w:rPr>
              <w:t xml:space="preserve"> for initial enrollments</w:t>
            </w:r>
          </w:p>
          <w:p w14:paraId="7486684A" w14:textId="77777777"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p>
          <w:p w14:paraId="635BE1C8" w14:textId="4AEA2C14"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p>
        </w:tc>
        <w:tc>
          <w:tcPr>
            <w:tcW w:w="1221" w:type="dxa"/>
            <w:tcBorders>
              <w:top w:val="single" w:sz="4" w:space="0" w:color="auto"/>
              <w:left w:val="single" w:sz="4" w:space="0" w:color="auto"/>
              <w:bottom w:val="single" w:sz="4" w:space="0" w:color="auto"/>
              <w:right w:val="single" w:sz="4" w:space="0" w:color="auto"/>
            </w:tcBorders>
          </w:tcPr>
          <w:p w14:paraId="5A64C279" w14:textId="7657B532" w:rsidR="003B280E" w:rsidRPr="008E4236" w:rsidRDefault="003B280E" w:rsidP="003B28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r w:rsidRPr="008E4236">
              <w:rPr>
                <w:rFonts w:ascii="Calibri" w:eastAsia="Calibri" w:hAnsi="Calibri"/>
                <w:b/>
                <w:sz w:val="20"/>
              </w:rPr>
              <w:t>1,072,884 for initial enrollments</w:t>
            </w:r>
          </w:p>
          <w:p w14:paraId="0DFDB716" w14:textId="77777777"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p>
          <w:p w14:paraId="59657838" w14:textId="66857EB6"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p>
        </w:tc>
        <w:tc>
          <w:tcPr>
            <w:tcW w:w="1461" w:type="dxa"/>
            <w:tcBorders>
              <w:top w:val="single" w:sz="4" w:space="0" w:color="auto"/>
              <w:left w:val="single" w:sz="4" w:space="0" w:color="auto"/>
              <w:bottom w:val="single" w:sz="4" w:space="0" w:color="auto"/>
              <w:right w:val="single" w:sz="4" w:space="0" w:color="auto"/>
            </w:tcBorders>
          </w:tcPr>
          <w:p w14:paraId="24C1E326" w14:textId="59F2AB3B" w:rsidR="00943BFD" w:rsidRPr="008E4236" w:rsidRDefault="00943BFD" w:rsidP="003B28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r w:rsidRPr="008E4236">
              <w:rPr>
                <w:rFonts w:ascii="Calibri" w:eastAsia="Calibri" w:hAnsi="Calibri"/>
                <w:b/>
                <w:sz w:val="20"/>
              </w:rPr>
              <w:t>0.</w:t>
            </w:r>
            <w:r w:rsidR="003B280E" w:rsidRPr="008E4236">
              <w:rPr>
                <w:rFonts w:ascii="Calibri" w:eastAsia="Calibri" w:hAnsi="Calibri"/>
                <w:b/>
                <w:sz w:val="20"/>
              </w:rPr>
              <w:t>25</w:t>
            </w:r>
            <w:r w:rsidRPr="008E4236">
              <w:rPr>
                <w:rFonts w:ascii="Calibri" w:eastAsia="Calibri" w:hAnsi="Calibri"/>
                <w:b/>
                <w:sz w:val="20"/>
              </w:rPr>
              <w:t xml:space="preserve"> hours</w:t>
            </w:r>
          </w:p>
        </w:tc>
        <w:tc>
          <w:tcPr>
            <w:tcW w:w="1369" w:type="dxa"/>
            <w:tcBorders>
              <w:top w:val="single" w:sz="4" w:space="0" w:color="auto"/>
              <w:left w:val="single" w:sz="4" w:space="0" w:color="auto"/>
              <w:bottom w:val="single" w:sz="4" w:space="0" w:color="auto"/>
              <w:right w:val="single" w:sz="4" w:space="0" w:color="auto"/>
            </w:tcBorders>
          </w:tcPr>
          <w:p w14:paraId="3D33E460" w14:textId="1A95D965" w:rsidR="00943BFD" w:rsidRPr="008E4236" w:rsidRDefault="003B280E"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r w:rsidRPr="008E4236">
              <w:rPr>
                <w:rFonts w:ascii="Calibri" w:eastAsia="Calibri" w:hAnsi="Calibri"/>
                <w:b/>
                <w:sz w:val="20"/>
              </w:rPr>
              <w:t>268,221</w:t>
            </w:r>
            <w:r w:rsidR="00943BFD" w:rsidRPr="008E4236">
              <w:rPr>
                <w:rFonts w:ascii="Calibri" w:eastAsia="Calibri" w:hAnsi="Calibri"/>
                <w:b/>
                <w:sz w:val="20"/>
              </w:rPr>
              <w:t xml:space="preserve"> hours for initial enrollments</w:t>
            </w:r>
          </w:p>
          <w:p w14:paraId="749A5598" w14:textId="21A6B678" w:rsidR="00943BFD" w:rsidRPr="008E4236" w:rsidRDefault="00943BFD" w:rsidP="00B305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b/>
                <w:sz w:val="20"/>
              </w:rPr>
            </w:pPr>
          </w:p>
        </w:tc>
        <w:tc>
          <w:tcPr>
            <w:tcW w:w="1617" w:type="dxa"/>
            <w:tcBorders>
              <w:top w:val="single" w:sz="4" w:space="0" w:color="auto"/>
              <w:left w:val="single" w:sz="4" w:space="0" w:color="auto"/>
              <w:bottom w:val="single" w:sz="4" w:space="0" w:color="auto"/>
              <w:right w:val="single" w:sz="4" w:space="0" w:color="auto"/>
            </w:tcBorders>
          </w:tcPr>
          <w:p w14:paraId="5FD29EE7" w14:textId="53C87488"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r w:rsidRPr="008E4236">
              <w:rPr>
                <w:rFonts w:ascii="Calibri" w:eastAsia="Calibri" w:hAnsi="Calibri"/>
                <w:b/>
                <w:sz w:val="20"/>
              </w:rPr>
              <w:t>Health Diagnosing and Treating Practitioners at $9</w:t>
            </w:r>
            <w:r w:rsidR="003B280E" w:rsidRPr="008E4236">
              <w:rPr>
                <w:rFonts w:ascii="Calibri" w:eastAsia="Calibri" w:hAnsi="Calibri"/>
                <w:b/>
                <w:sz w:val="20"/>
              </w:rPr>
              <w:t>6.90</w:t>
            </w:r>
            <w:r w:rsidRPr="008E4236">
              <w:rPr>
                <w:rFonts w:ascii="Calibri" w:eastAsia="Calibri" w:hAnsi="Calibri"/>
                <w:b/>
                <w:sz w:val="20"/>
              </w:rPr>
              <w:t xml:space="preserve"> per hour</w:t>
            </w:r>
          </w:p>
          <w:p w14:paraId="2E26F955"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p>
          <w:p w14:paraId="2837FD8F" w14:textId="36BBD7ED" w:rsidR="00943BFD" w:rsidRPr="008E4236" w:rsidRDefault="003B280E" w:rsidP="003B28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r w:rsidRPr="008E4236">
              <w:rPr>
                <w:rFonts w:ascii="Calibri" w:eastAsia="Calibri" w:hAnsi="Calibri"/>
                <w:b/>
                <w:sz w:val="20"/>
              </w:rPr>
              <w:t>O</w:t>
            </w:r>
            <w:r w:rsidR="00943BFD" w:rsidRPr="008E4236">
              <w:rPr>
                <w:rFonts w:ascii="Calibri" w:eastAsia="Calibri" w:hAnsi="Calibri"/>
                <w:b/>
                <w:sz w:val="20"/>
              </w:rPr>
              <w:t xml:space="preserve">ffice and </w:t>
            </w:r>
            <w:r w:rsidRPr="008E4236">
              <w:rPr>
                <w:rFonts w:ascii="Calibri" w:eastAsia="Calibri" w:hAnsi="Calibri"/>
                <w:b/>
                <w:sz w:val="20"/>
              </w:rPr>
              <w:t>A</w:t>
            </w:r>
            <w:r w:rsidR="00943BFD" w:rsidRPr="008E4236">
              <w:rPr>
                <w:rFonts w:ascii="Calibri" w:eastAsia="Calibri" w:hAnsi="Calibri"/>
                <w:b/>
                <w:sz w:val="20"/>
              </w:rPr>
              <w:t xml:space="preserve">dministrative </w:t>
            </w:r>
            <w:r w:rsidRPr="008E4236">
              <w:rPr>
                <w:rFonts w:ascii="Calibri" w:eastAsia="Calibri" w:hAnsi="Calibri"/>
                <w:b/>
                <w:sz w:val="20"/>
              </w:rPr>
              <w:t>S</w:t>
            </w:r>
            <w:r w:rsidR="00943BFD" w:rsidRPr="008E4236">
              <w:rPr>
                <w:rFonts w:ascii="Calibri" w:eastAsia="Calibri" w:hAnsi="Calibri"/>
                <w:b/>
                <w:sz w:val="20"/>
              </w:rPr>
              <w:t xml:space="preserve">upport </w:t>
            </w:r>
            <w:r w:rsidRPr="008E4236">
              <w:rPr>
                <w:rFonts w:ascii="Calibri" w:eastAsia="Calibri" w:hAnsi="Calibri"/>
                <w:b/>
                <w:sz w:val="20"/>
              </w:rPr>
              <w:t>W</w:t>
            </w:r>
            <w:r w:rsidR="00943BFD" w:rsidRPr="008E4236">
              <w:rPr>
                <w:rFonts w:ascii="Calibri" w:eastAsia="Calibri" w:hAnsi="Calibri"/>
                <w:b/>
                <w:sz w:val="20"/>
              </w:rPr>
              <w:t>orkers at $3</w:t>
            </w:r>
            <w:r w:rsidRPr="008E4236">
              <w:rPr>
                <w:rFonts w:ascii="Calibri" w:eastAsia="Calibri" w:hAnsi="Calibri"/>
                <w:b/>
                <w:sz w:val="20"/>
              </w:rPr>
              <w:t>6</w:t>
            </w:r>
            <w:r w:rsidR="00943BFD" w:rsidRPr="008E4236">
              <w:rPr>
                <w:rFonts w:ascii="Calibri" w:eastAsia="Calibri" w:hAnsi="Calibri"/>
                <w:b/>
                <w:sz w:val="20"/>
              </w:rPr>
              <w:t>.4</w:t>
            </w:r>
            <w:r w:rsidRPr="008E4236">
              <w:rPr>
                <w:rFonts w:ascii="Calibri" w:eastAsia="Calibri" w:hAnsi="Calibri"/>
                <w:b/>
                <w:sz w:val="20"/>
              </w:rPr>
              <w:t>8</w:t>
            </w:r>
            <w:r w:rsidR="00943BFD" w:rsidRPr="008E4236">
              <w:rPr>
                <w:rFonts w:ascii="Calibri" w:eastAsia="Calibri" w:hAnsi="Calibri"/>
                <w:b/>
                <w:sz w:val="20"/>
              </w:rPr>
              <w:t xml:space="preserve"> per hour</w:t>
            </w:r>
          </w:p>
        </w:tc>
        <w:tc>
          <w:tcPr>
            <w:tcW w:w="1312" w:type="dxa"/>
            <w:tcBorders>
              <w:top w:val="single" w:sz="4" w:space="0" w:color="auto"/>
              <w:left w:val="single" w:sz="4" w:space="0" w:color="auto"/>
              <w:bottom w:val="single" w:sz="4" w:space="0" w:color="auto"/>
              <w:right w:val="single" w:sz="4" w:space="0" w:color="auto"/>
            </w:tcBorders>
          </w:tcPr>
          <w:p w14:paraId="07071BF6" w14:textId="42B65DC1"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r w:rsidRPr="008E4236">
              <w:rPr>
                <w:rFonts w:ascii="Calibri" w:eastAsia="Calibri" w:hAnsi="Calibri"/>
                <w:b/>
                <w:sz w:val="20"/>
              </w:rPr>
              <w:t>$14,</w:t>
            </w:r>
            <w:r w:rsidR="003B280E" w:rsidRPr="008E4236">
              <w:rPr>
                <w:rFonts w:ascii="Calibri" w:eastAsia="Calibri" w:hAnsi="Calibri"/>
                <w:b/>
                <w:sz w:val="20"/>
              </w:rPr>
              <w:t>966</w:t>
            </w:r>
            <w:r w:rsidRPr="008E4236">
              <w:rPr>
                <w:rFonts w:ascii="Calibri" w:eastAsia="Calibri" w:hAnsi="Calibri"/>
                <w:b/>
                <w:sz w:val="20"/>
              </w:rPr>
              <w:t>,</w:t>
            </w:r>
            <w:r w:rsidR="003B280E" w:rsidRPr="008E4236">
              <w:rPr>
                <w:rFonts w:ascii="Calibri" w:eastAsia="Calibri" w:hAnsi="Calibri"/>
                <w:b/>
                <w:sz w:val="20"/>
              </w:rPr>
              <w:t>733</w:t>
            </w:r>
            <w:r w:rsidRPr="008E4236">
              <w:rPr>
                <w:rFonts w:ascii="Calibri" w:eastAsia="Calibri" w:hAnsi="Calibri"/>
                <w:b/>
                <w:sz w:val="20"/>
              </w:rPr>
              <w:t xml:space="preserve"> for initial enrollments</w:t>
            </w:r>
          </w:p>
          <w:p w14:paraId="36C86B02" w14:textId="7777777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p>
          <w:p w14:paraId="41BDFFDF" w14:textId="5F5771F7" w:rsidR="00943BFD" w:rsidRPr="008E4236" w:rsidRDefault="00943BFD" w:rsidP="00B3059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Calibri" w:eastAsia="Calibri" w:hAnsi="Calibri"/>
                <w:b/>
                <w:sz w:val="20"/>
              </w:rPr>
            </w:pPr>
          </w:p>
        </w:tc>
      </w:tr>
    </w:tbl>
    <w:p w14:paraId="7D6A8907" w14:textId="77777777" w:rsidR="00943BFD" w:rsidRPr="008E4236" w:rsidRDefault="00943BFD" w:rsidP="00943BFD">
      <w:pPr>
        <w:rPr>
          <w:szCs w:val="24"/>
        </w:rPr>
      </w:pPr>
    </w:p>
    <w:p w14:paraId="7B17D005" w14:textId="77777777" w:rsidR="00943BFD" w:rsidRPr="008E4236" w:rsidRDefault="00943BFD" w:rsidP="00943BFD">
      <w:pPr>
        <w:ind w:left="120" w:right="-20"/>
        <w:rPr>
          <w:szCs w:val="24"/>
        </w:rPr>
      </w:pPr>
    </w:p>
    <w:p w14:paraId="1C1FB1E0" w14:textId="77777777" w:rsidR="00EE6F9A" w:rsidRPr="008E4236" w:rsidRDefault="00EE6F9A" w:rsidP="00EE6F9A">
      <w:pPr>
        <w:rPr>
          <w:sz w:val="16"/>
          <w:szCs w:val="16"/>
        </w:rPr>
      </w:pPr>
    </w:p>
    <w:p w14:paraId="06F7AC87" w14:textId="77777777" w:rsidR="005E089D" w:rsidRPr="008E4236" w:rsidRDefault="005E089D" w:rsidP="0080379B">
      <w:pPr>
        <w:numPr>
          <w:ilvl w:val="0"/>
          <w:numId w:val="5"/>
        </w:numPr>
        <w:tabs>
          <w:tab w:val="left" w:pos="-1440"/>
        </w:tabs>
      </w:pPr>
      <w:r w:rsidRPr="008E4236">
        <w:rPr>
          <w:i/>
        </w:rPr>
        <w:t>Cost to Respondents (Capital)</w:t>
      </w:r>
    </w:p>
    <w:p w14:paraId="66A27BD3" w14:textId="77777777" w:rsidR="005E089D" w:rsidRPr="008E4236" w:rsidRDefault="005E089D" w:rsidP="0080379B">
      <w:pPr>
        <w:pStyle w:val="Header"/>
        <w:tabs>
          <w:tab w:val="clear" w:pos="4320"/>
          <w:tab w:val="clear" w:pos="8640"/>
        </w:tabs>
        <w:rPr>
          <w:sz w:val="16"/>
          <w:szCs w:val="16"/>
        </w:rPr>
      </w:pPr>
    </w:p>
    <w:p w14:paraId="0275441E" w14:textId="77777777" w:rsidR="00AF701A" w:rsidRPr="008E4236" w:rsidRDefault="00AF701A" w:rsidP="00AF701A">
      <w:r w:rsidRPr="008E4236">
        <w:t>There are no capital costs associated with this collection.</w:t>
      </w:r>
    </w:p>
    <w:p w14:paraId="08E8DAE4" w14:textId="77777777" w:rsidR="00136BE7" w:rsidRPr="008E4236" w:rsidRDefault="00136BE7" w:rsidP="00AF701A"/>
    <w:p w14:paraId="67C2ED0A" w14:textId="77777777" w:rsidR="005E089D" w:rsidRPr="008E4236" w:rsidRDefault="005E089D" w:rsidP="0080379B">
      <w:pPr>
        <w:rPr>
          <w:sz w:val="16"/>
          <w:szCs w:val="16"/>
        </w:rPr>
      </w:pPr>
    </w:p>
    <w:p w14:paraId="3C0C970A" w14:textId="77777777" w:rsidR="005E089D" w:rsidRPr="008E4236" w:rsidRDefault="005E089D" w:rsidP="0080379B">
      <w:pPr>
        <w:pStyle w:val="Header"/>
        <w:numPr>
          <w:ilvl w:val="0"/>
          <w:numId w:val="5"/>
        </w:numPr>
        <w:tabs>
          <w:tab w:val="clear" w:pos="4320"/>
          <w:tab w:val="clear" w:pos="8640"/>
        </w:tabs>
        <w:rPr>
          <w:i/>
        </w:rPr>
      </w:pPr>
      <w:r w:rsidRPr="008E4236">
        <w:rPr>
          <w:i/>
        </w:rPr>
        <w:t>Cost to Federal Government</w:t>
      </w:r>
    </w:p>
    <w:p w14:paraId="4A0B3585" w14:textId="77777777" w:rsidR="005E089D" w:rsidRPr="008E4236" w:rsidRDefault="005E089D" w:rsidP="0080379B">
      <w:pPr>
        <w:rPr>
          <w:sz w:val="16"/>
          <w:szCs w:val="16"/>
          <w:u w:val="single"/>
        </w:rPr>
      </w:pPr>
    </w:p>
    <w:p w14:paraId="2B1115D2" w14:textId="77777777" w:rsidR="00AF701A" w:rsidRPr="008E4236" w:rsidRDefault="00AF701A" w:rsidP="00AF701A">
      <w:pPr>
        <w:rPr>
          <w:b/>
          <w:i/>
        </w:rPr>
      </w:pPr>
      <w:r w:rsidRPr="008E4236">
        <w:rPr>
          <w:szCs w:val="24"/>
        </w:rPr>
        <w:t xml:space="preserve">The CMS-855R application form revisions will not result in any additional cost to the federal government because the CMS-855R application revisions are designed for better flow and to reduce the burden on the provider/supplier and the contractor.  </w:t>
      </w:r>
      <w:r w:rsidRPr="008E4236">
        <w:t>Medicare contractors currently finalize approximately 1.3 million various provider/supplier enrollment applications a year, including the CMS-855R.  The CMS-855R form changes will not result in any additional cost to the federal government because Medicare contractors are already processing applications from providers/suppliers who are reassigning their benefits or terminating a reassignment of benefits.  Applications will continue to be processed in the normal course of Federal duties.</w:t>
      </w:r>
    </w:p>
    <w:p w14:paraId="497EDF59" w14:textId="77777777" w:rsidR="00AF701A" w:rsidRPr="008E4236" w:rsidRDefault="00AF701A" w:rsidP="0080379B"/>
    <w:p w14:paraId="234B2CCE" w14:textId="77777777" w:rsidR="002B6E22" w:rsidRPr="008E4236" w:rsidRDefault="002B6E22" w:rsidP="0080379B">
      <w:pPr>
        <w:rPr>
          <w:sz w:val="16"/>
          <w:szCs w:val="16"/>
        </w:rPr>
      </w:pPr>
    </w:p>
    <w:p w14:paraId="16029BA7" w14:textId="77777777" w:rsidR="005E089D" w:rsidRPr="008E4236" w:rsidRDefault="005E089D" w:rsidP="0080379B">
      <w:pPr>
        <w:numPr>
          <w:ilvl w:val="0"/>
          <w:numId w:val="5"/>
        </w:numPr>
        <w:tabs>
          <w:tab w:val="left" w:pos="-1440"/>
        </w:tabs>
      </w:pPr>
      <w:r w:rsidRPr="008E4236">
        <w:rPr>
          <w:i/>
        </w:rPr>
        <w:t>Changes in Burden/Program Changes</w:t>
      </w:r>
    </w:p>
    <w:p w14:paraId="301AA624" w14:textId="77777777" w:rsidR="00904C5C" w:rsidRPr="008E4236" w:rsidRDefault="00904C5C" w:rsidP="00904C5C">
      <w:pPr>
        <w:spacing w:line="252" w:lineRule="auto"/>
      </w:pPr>
    </w:p>
    <w:p w14:paraId="7A6EABAF" w14:textId="6B9C0E6E" w:rsidR="00CA0E61" w:rsidRPr="008E4236" w:rsidRDefault="00AF6192" w:rsidP="009E5478">
      <w:pPr>
        <w:ind w:right="-20"/>
        <w:rPr>
          <w:szCs w:val="24"/>
        </w:rPr>
      </w:pPr>
      <w:r>
        <w:rPr>
          <w:szCs w:val="24"/>
        </w:rPr>
        <w:t xml:space="preserve">The total burden is </w:t>
      </w:r>
      <w:r w:rsidR="00E75DA0">
        <w:rPr>
          <w:szCs w:val="24"/>
        </w:rPr>
        <w:t>89,408</w:t>
      </w:r>
      <w:r w:rsidR="00CA0E61" w:rsidRPr="008E4236">
        <w:rPr>
          <w:szCs w:val="24"/>
        </w:rPr>
        <w:t xml:space="preserve"> hour</w:t>
      </w:r>
      <w:r>
        <w:rPr>
          <w:szCs w:val="24"/>
        </w:rPr>
        <w:t xml:space="preserve">s.  </w:t>
      </w:r>
      <w:r w:rsidR="00E75DA0" w:rsidRPr="00E75DA0">
        <w:rPr>
          <w:szCs w:val="24"/>
        </w:rPr>
        <w:t xml:space="preserve">Due to better reporting methods and more accurate data collection via PECOS, CMS is seeking approval of new burden estimates based on current data collection information.  </w:t>
      </w:r>
      <w:r w:rsidR="00E75DA0">
        <w:rPr>
          <w:szCs w:val="24"/>
        </w:rPr>
        <w:t xml:space="preserve">As a result of the decrease in the number of respondents, </w:t>
      </w:r>
      <w:r>
        <w:rPr>
          <w:szCs w:val="24"/>
        </w:rPr>
        <w:t xml:space="preserve">the burden hours </w:t>
      </w:r>
      <w:r w:rsidR="00E75DA0">
        <w:rPr>
          <w:szCs w:val="24"/>
        </w:rPr>
        <w:t>de</w:t>
      </w:r>
      <w:r>
        <w:rPr>
          <w:szCs w:val="24"/>
        </w:rPr>
        <w:t xml:space="preserve">creased by </w:t>
      </w:r>
      <w:r w:rsidR="00E75DA0">
        <w:rPr>
          <w:szCs w:val="24"/>
        </w:rPr>
        <w:t>5,497 hours</w:t>
      </w:r>
      <w:r>
        <w:rPr>
          <w:szCs w:val="24"/>
        </w:rPr>
        <w:t xml:space="preserve"> (from 94,905 to </w:t>
      </w:r>
      <w:r w:rsidR="00E75DA0">
        <w:rPr>
          <w:szCs w:val="24"/>
        </w:rPr>
        <w:t>89,408</w:t>
      </w:r>
      <w:r>
        <w:rPr>
          <w:szCs w:val="24"/>
        </w:rPr>
        <w:t xml:space="preserve"> </w:t>
      </w:r>
      <w:r w:rsidR="00E75DA0">
        <w:rPr>
          <w:szCs w:val="24"/>
        </w:rPr>
        <w:t>hours).  Based numbers derived from PECOS, the</w:t>
      </w:r>
      <w:r>
        <w:rPr>
          <w:szCs w:val="24"/>
        </w:rPr>
        <w:t xml:space="preserve"> total </w:t>
      </w:r>
      <w:r w:rsidR="00E75DA0">
        <w:rPr>
          <w:szCs w:val="24"/>
        </w:rPr>
        <w:t xml:space="preserve">number of respondents decreased by </w:t>
      </w:r>
      <w:r>
        <w:rPr>
          <w:szCs w:val="24"/>
        </w:rPr>
        <w:t>21,991</w:t>
      </w:r>
      <w:r w:rsidR="00E75DA0">
        <w:rPr>
          <w:szCs w:val="24"/>
        </w:rPr>
        <w:t xml:space="preserve"> (from 379,619 to 367,628).  </w:t>
      </w:r>
      <w:r w:rsidR="00CA0E61" w:rsidRPr="008E4236">
        <w:rPr>
          <w:szCs w:val="24"/>
        </w:rPr>
        <w:t xml:space="preserve">  </w:t>
      </w:r>
    </w:p>
    <w:p w14:paraId="7B09C126" w14:textId="77777777" w:rsidR="00184AE5" w:rsidRPr="008E4236" w:rsidRDefault="00184AE5" w:rsidP="0080379B">
      <w:pPr>
        <w:tabs>
          <w:tab w:val="left" w:pos="-1440"/>
        </w:tabs>
        <w:rPr>
          <w:szCs w:val="24"/>
        </w:rPr>
      </w:pPr>
    </w:p>
    <w:p w14:paraId="2D854DA3" w14:textId="77777777" w:rsidR="005E089D" w:rsidRPr="008E4236" w:rsidRDefault="005E089D" w:rsidP="00AF701A">
      <w:pPr>
        <w:pStyle w:val="ListParagraph"/>
        <w:numPr>
          <w:ilvl w:val="0"/>
          <w:numId w:val="5"/>
        </w:numPr>
        <w:tabs>
          <w:tab w:val="left" w:pos="-1440"/>
        </w:tabs>
        <w:rPr>
          <w:rFonts w:ascii="Times New Roman" w:hAnsi="Times New Roman"/>
          <w:sz w:val="24"/>
          <w:szCs w:val="24"/>
        </w:rPr>
      </w:pPr>
      <w:r w:rsidRPr="008E4236">
        <w:rPr>
          <w:rFonts w:ascii="Times New Roman" w:hAnsi="Times New Roman"/>
          <w:i/>
          <w:sz w:val="24"/>
          <w:szCs w:val="24"/>
        </w:rPr>
        <w:t>Publication/Tabulation</w:t>
      </w:r>
    </w:p>
    <w:p w14:paraId="6E00442C" w14:textId="77777777" w:rsidR="005E089D" w:rsidRPr="008E4236" w:rsidRDefault="005E089D" w:rsidP="0080379B">
      <w:pPr>
        <w:rPr>
          <w:sz w:val="16"/>
          <w:szCs w:val="16"/>
        </w:rPr>
      </w:pPr>
    </w:p>
    <w:p w14:paraId="1B4443A6" w14:textId="77777777" w:rsidR="00AF701A" w:rsidRPr="008E4236" w:rsidRDefault="00AF701A" w:rsidP="00AF701A">
      <w:pPr>
        <w:widowControl/>
        <w:spacing w:line="271" w:lineRule="exact"/>
        <w:rPr>
          <w:rFonts w:eastAsiaTheme="minorHAnsi"/>
          <w:snapToGrid/>
          <w:szCs w:val="24"/>
        </w:rPr>
      </w:pPr>
      <w:r w:rsidRPr="008E4236">
        <w:rPr>
          <w:rFonts w:eastAsiaTheme="minorHAnsi"/>
          <w:snapToGrid/>
          <w:szCs w:val="24"/>
        </w:rPr>
        <w:t>There are no plans to publish the outcome of the data collection.</w:t>
      </w:r>
    </w:p>
    <w:p w14:paraId="379C0EDC" w14:textId="77777777" w:rsidR="00BC3965" w:rsidRPr="008E4236" w:rsidRDefault="00BC3965" w:rsidP="00AF701A">
      <w:pPr>
        <w:widowControl/>
        <w:spacing w:line="271" w:lineRule="exact"/>
        <w:rPr>
          <w:rFonts w:eastAsiaTheme="minorHAnsi"/>
          <w:snapToGrid/>
          <w:szCs w:val="24"/>
        </w:rPr>
      </w:pPr>
    </w:p>
    <w:p w14:paraId="24E3EDEE" w14:textId="77777777" w:rsidR="005E089D" w:rsidRPr="008E4236" w:rsidRDefault="005E089D" w:rsidP="0080379B">
      <w:pPr>
        <w:rPr>
          <w:sz w:val="16"/>
          <w:szCs w:val="16"/>
        </w:rPr>
      </w:pPr>
    </w:p>
    <w:p w14:paraId="572B86E5" w14:textId="77777777" w:rsidR="005E089D" w:rsidRPr="008E4236" w:rsidRDefault="005E089D" w:rsidP="0080379B">
      <w:pPr>
        <w:numPr>
          <w:ilvl w:val="0"/>
          <w:numId w:val="5"/>
        </w:numPr>
      </w:pPr>
      <w:r w:rsidRPr="008E4236">
        <w:rPr>
          <w:i/>
        </w:rPr>
        <w:t>Expiration Date</w:t>
      </w:r>
    </w:p>
    <w:p w14:paraId="3BE2EB50" w14:textId="77777777" w:rsidR="005E089D" w:rsidRPr="008E4236" w:rsidRDefault="005E089D" w:rsidP="0080379B">
      <w:pPr>
        <w:rPr>
          <w:sz w:val="16"/>
          <w:szCs w:val="16"/>
        </w:rPr>
      </w:pPr>
    </w:p>
    <w:p w14:paraId="0540C97B" w14:textId="46150502" w:rsidR="005E089D" w:rsidRPr="008E041E" w:rsidRDefault="00AF701A" w:rsidP="008E4236">
      <w:pPr>
        <w:widowControl/>
        <w:spacing w:line="271" w:lineRule="exact"/>
        <w:rPr>
          <w:sz w:val="16"/>
          <w:szCs w:val="16"/>
        </w:rPr>
      </w:pPr>
      <w:r w:rsidRPr="008E4236">
        <w:rPr>
          <w:rFonts w:eastAsiaTheme="minorHAnsi"/>
          <w:snapToGrid/>
          <w:szCs w:val="24"/>
        </w:rPr>
        <w:t>The expiration date will be displayed on the top, right-hand corner of page 1 of the CMS-855R application.</w:t>
      </w:r>
    </w:p>
    <w:sectPr w:rsidR="005E089D" w:rsidRPr="008E041E" w:rsidSect="00B942A3">
      <w:footerReference w:type="even" r:id="rId13"/>
      <w:footerReference w:type="default" r:id="rId14"/>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5C9C7" w14:textId="77777777" w:rsidR="008959AD" w:rsidRDefault="008959AD">
      <w:r>
        <w:separator/>
      </w:r>
    </w:p>
  </w:endnote>
  <w:endnote w:type="continuationSeparator" w:id="0">
    <w:p w14:paraId="0363A5CA" w14:textId="77777777" w:rsidR="008959AD" w:rsidRDefault="0089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6B01" w14:textId="77777777" w:rsidR="00A22A79" w:rsidRDefault="004D61D8">
    <w:pPr>
      <w:pStyle w:val="Footer"/>
      <w:framePr w:wrap="around" w:vAnchor="text" w:hAnchor="margin" w:xAlign="center" w:y="1"/>
      <w:rPr>
        <w:rStyle w:val="PageNumber"/>
      </w:rPr>
    </w:pPr>
    <w:r>
      <w:rPr>
        <w:rStyle w:val="PageNumber"/>
      </w:rPr>
      <w:fldChar w:fldCharType="begin"/>
    </w:r>
    <w:r w:rsidR="00A22A79">
      <w:rPr>
        <w:rStyle w:val="PageNumber"/>
      </w:rPr>
      <w:instrText xml:space="preserve">PAGE  </w:instrText>
    </w:r>
    <w:r>
      <w:rPr>
        <w:rStyle w:val="PageNumber"/>
      </w:rPr>
      <w:fldChar w:fldCharType="separate"/>
    </w:r>
    <w:r w:rsidR="00A22A79">
      <w:rPr>
        <w:rStyle w:val="PageNumber"/>
        <w:noProof/>
      </w:rPr>
      <w:t>7</w:t>
    </w:r>
    <w:r>
      <w:rPr>
        <w:rStyle w:val="PageNumber"/>
      </w:rPr>
      <w:fldChar w:fldCharType="end"/>
    </w:r>
  </w:p>
  <w:p w14:paraId="750ACEA4" w14:textId="77777777" w:rsidR="00A22A79" w:rsidRDefault="00A22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C6F1" w14:textId="171023D3" w:rsidR="00A22A79" w:rsidRDefault="00A22A79">
    <w:pPr>
      <w:pStyle w:val="Footer"/>
    </w:pPr>
    <w:r>
      <w:tab/>
    </w:r>
    <w:r>
      <w:tab/>
      <w:t xml:space="preserve">Page </w:t>
    </w:r>
    <w:r w:rsidR="004D61D8">
      <w:rPr>
        <w:rStyle w:val="PageNumber"/>
      </w:rPr>
      <w:fldChar w:fldCharType="begin"/>
    </w:r>
    <w:r>
      <w:rPr>
        <w:rStyle w:val="PageNumber"/>
      </w:rPr>
      <w:instrText xml:space="preserve"> PAGE </w:instrText>
    </w:r>
    <w:r w:rsidR="004D61D8">
      <w:rPr>
        <w:rStyle w:val="PageNumber"/>
      </w:rPr>
      <w:fldChar w:fldCharType="separate"/>
    </w:r>
    <w:r w:rsidR="008C3D08">
      <w:rPr>
        <w:rStyle w:val="PageNumber"/>
        <w:noProof/>
      </w:rPr>
      <w:t>1</w:t>
    </w:r>
    <w:r w:rsidR="004D61D8">
      <w:rPr>
        <w:rStyle w:val="PageNumber"/>
      </w:rPr>
      <w:fldChar w:fldCharType="end"/>
    </w:r>
    <w:r>
      <w:rPr>
        <w:rStyle w:val="PageNumber"/>
      </w:rPr>
      <w:t xml:space="preserve"> of </w:t>
    </w:r>
    <w:r w:rsidR="004D61D8">
      <w:rPr>
        <w:rStyle w:val="PageNumber"/>
      </w:rPr>
      <w:fldChar w:fldCharType="begin"/>
    </w:r>
    <w:r>
      <w:rPr>
        <w:rStyle w:val="PageNumber"/>
      </w:rPr>
      <w:instrText xml:space="preserve"> NUMPAGES </w:instrText>
    </w:r>
    <w:r w:rsidR="004D61D8">
      <w:rPr>
        <w:rStyle w:val="PageNumber"/>
      </w:rPr>
      <w:fldChar w:fldCharType="separate"/>
    </w:r>
    <w:r w:rsidR="008C3D08">
      <w:rPr>
        <w:rStyle w:val="PageNumber"/>
        <w:noProof/>
      </w:rPr>
      <w:t>3</w:t>
    </w:r>
    <w:r w:rsidR="004D61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F2398" w14:textId="77777777" w:rsidR="008959AD" w:rsidRDefault="008959AD">
      <w:r>
        <w:separator/>
      </w:r>
    </w:p>
  </w:footnote>
  <w:footnote w:type="continuationSeparator" w:id="0">
    <w:p w14:paraId="6883DD7F" w14:textId="77777777" w:rsidR="008959AD" w:rsidRDefault="00895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937A3A"/>
    <w:multiLevelType w:val="hybridMultilevel"/>
    <w:tmpl w:val="9DE4C352"/>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7">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1">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EB32EC"/>
    <w:multiLevelType w:val="hybridMultilevel"/>
    <w:tmpl w:val="690C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8">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8581867"/>
    <w:multiLevelType w:val="hybridMultilevel"/>
    <w:tmpl w:val="D5108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1"/>
        <w:lvlText w:val="%1."/>
        <w:lvlJc w:val="left"/>
      </w:lvl>
    </w:lvlOverride>
  </w:num>
  <w:num w:numId="2">
    <w:abstractNumId w:val="37"/>
  </w:num>
  <w:num w:numId="3">
    <w:abstractNumId w:val="15"/>
  </w:num>
  <w:num w:numId="4">
    <w:abstractNumId w:val="30"/>
  </w:num>
  <w:num w:numId="5">
    <w:abstractNumId w:val="29"/>
  </w:num>
  <w:num w:numId="6">
    <w:abstractNumId w:val="26"/>
  </w:num>
  <w:num w:numId="7">
    <w:abstractNumId w:val="17"/>
  </w:num>
  <w:num w:numId="8">
    <w:abstractNumId w:val="11"/>
  </w:num>
  <w:num w:numId="9">
    <w:abstractNumId w:val="5"/>
  </w:num>
  <w:num w:numId="10">
    <w:abstractNumId w:val="19"/>
  </w:num>
  <w:num w:numId="11">
    <w:abstractNumId w:val="9"/>
  </w:num>
  <w:num w:numId="12">
    <w:abstractNumId w:val="32"/>
  </w:num>
  <w:num w:numId="13">
    <w:abstractNumId w:val="40"/>
  </w:num>
  <w:num w:numId="14">
    <w:abstractNumId w:val="21"/>
  </w:num>
  <w:num w:numId="15">
    <w:abstractNumId w:val="33"/>
  </w:num>
  <w:num w:numId="16">
    <w:abstractNumId w:val="38"/>
  </w:num>
  <w:num w:numId="17">
    <w:abstractNumId w:val="27"/>
  </w:num>
  <w:num w:numId="18">
    <w:abstractNumId w:val="6"/>
  </w:num>
  <w:num w:numId="19">
    <w:abstractNumId w:val="23"/>
  </w:num>
  <w:num w:numId="20">
    <w:abstractNumId w:val="7"/>
  </w:num>
  <w:num w:numId="21">
    <w:abstractNumId w:val="13"/>
  </w:num>
  <w:num w:numId="22">
    <w:abstractNumId w:val="39"/>
  </w:num>
  <w:num w:numId="23">
    <w:abstractNumId w:val="3"/>
  </w:num>
  <w:num w:numId="24">
    <w:abstractNumId w:val="25"/>
  </w:num>
  <w:num w:numId="25">
    <w:abstractNumId w:val="41"/>
  </w:num>
  <w:num w:numId="26">
    <w:abstractNumId w:val="12"/>
  </w:num>
  <w:num w:numId="27">
    <w:abstractNumId w:val="4"/>
  </w:num>
  <w:num w:numId="28">
    <w:abstractNumId w:val="31"/>
  </w:num>
  <w:num w:numId="29">
    <w:abstractNumId w:val="10"/>
  </w:num>
  <w:num w:numId="30">
    <w:abstractNumId w:val="16"/>
  </w:num>
  <w:num w:numId="31">
    <w:abstractNumId w:val="8"/>
  </w:num>
  <w:num w:numId="32">
    <w:abstractNumId w:val="20"/>
  </w:num>
  <w:num w:numId="33">
    <w:abstractNumId w:val="24"/>
  </w:num>
  <w:num w:numId="34">
    <w:abstractNumId w:val="34"/>
  </w:num>
  <w:num w:numId="35">
    <w:abstractNumId w:val="14"/>
  </w:num>
  <w:num w:numId="36">
    <w:abstractNumId w:val="37"/>
    <w:lvlOverride w:ilvl="0">
      <w:startOverride w:val="4"/>
    </w:lvlOverride>
  </w:num>
  <w:num w:numId="37">
    <w:abstractNumId w:val="36"/>
  </w:num>
  <w:num w:numId="38">
    <w:abstractNumId w:val="28"/>
  </w:num>
  <w:num w:numId="39">
    <w:abstractNumId w:val="35"/>
  </w:num>
  <w:num w:numId="40">
    <w:abstractNumId w:val="37"/>
    <w:lvlOverride w:ilvl="0">
      <w:startOverride w:val="1"/>
    </w:lvlOverride>
  </w:num>
  <w:num w:numId="41">
    <w:abstractNumId w:val="2"/>
  </w:num>
  <w:num w:numId="42">
    <w:abstractNumId w:val="18"/>
  </w:num>
  <w:num w:numId="43">
    <w:abstractNumId w:val="2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89"/>
    <w:rsid w:val="000026A7"/>
    <w:rsid w:val="000135FF"/>
    <w:rsid w:val="000153B1"/>
    <w:rsid w:val="00025597"/>
    <w:rsid w:val="0003063D"/>
    <w:rsid w:val="00041C1A"/>
    <w:rsid w:val="00050F64"/>
    <w:rsid w:val="00051222"/>
    <w:rsid w:val="00051C19"/>
    <w:rsid w:val="00052C33"/>
    <w:rsid w:val="00070622"/>
    <w:rsid w:val="00072270"/>
    <w:rsid w:val="000B7A0D"/>
    <w:rsid w:val="000D1190"/>
    <w:rsid w:val="000D2089"/>
    <w:rsid w:val="000D278C"/>
    <w:rsid w:val="000D383B"/>
    <w:rsid w:val="000D7EA6"/>
    <w:rsid w:val="000E1214"/>
    <w:rsid w:val="000E5007"/>
    <w:rsid w:val="000E7A57"/>
    <w:rsid w:val="0013278C"/>
    <w:rsid w:val="00135EF9"/>
    <w:rsid w:val="00136BE7"/>
    <w:rsid w:val="001465E9"/>
    <w:rsid w:val="00157644"/>
    <w:rsid w:val="001622CB"/>
    <w:rsid w:val="00184AE5"/>
    <w:rsid w:val="00195F53"/>
    <w:rsid w:val="001C1FE0"/>
    <w:rsid w:val="001C5606"/>
    <w:rsid w:val="001D5DF8"/>
    <w:rsid w:val="0020480A"/>
    <w:rsid w:val="00220C81"/>
    <w:rsid w:val="00230610"/>
    <w:rsid w:val="002633AB"/>
    <w:rsid w:val="00283AD5"/>
    <w:rsid w:val="00292E63"/>
    <w:rsid w:val="002A7EF1"/>
    <w:rsid w:val="002B6E22"/>
    <w:rsid w:val="002D3B5C"/>
    <w:rsid w:val="002E44DA"/>
    <w:rsid w:val="002F21FE"/>
    <w:rsid w:val="002F75B7"/>
    <w:rsid w:val="003024B6"/>
    <w:rsid w:val="0030405F"/>
    <w:rsid w:val="00304E24"/>
    <w:rsid w:val="00312C37"/>
    <w:rsid w:val="00316079"/>
    <w:rsid w:val="00317D23"/>
    <w:rsid w:val="003271EF"/>
    <w:rsid w:val="0033519B"/>
    <w:rsid w:val="0033707D"/>
    <w:rsid w:val="00352423"/>
    <w:rsid w:val="00367E68"/>
    <w:rsid w:val="003713E0"/>
    <w:rsid w:val="0037414A"/>
    <w:rsid w:val="003B280E"/>
    <w:rsid w:val="003C6E54"/>
    <w:rsid w:val="003E049A"/>
    <w:rsid w:val="003E5E3F"/>
    <w:rsid w:val="003E75E1"/>
    <w:rsid w:val="003F5EA4"/>
    <w:rsid w:val="0040464B"/>
    <w:rsid w:val="004109C5"/>
    <w:rsid w:val="0041658C"/>
    <w:rsid w:val="0044150E"/>
    <w:rsid w:val="0045122B"/>
    <w:rsid w:val="00472BF3"/>
    <w:rsid w:val="00491808"/>
    <w:rsid w:val="004A2CE2"/>
    <w:rsid w:val="004B0625"/>
    <w:rsid w:val="004B6563"/>
    <w:rsid w:val="004B6C27"/>
    <w:rsid w:val="004D61D8"/>
    <w:rsid w:val="004F3D03"/>
    <w:rsid w:val="00517316"/>
    <w:rsid w:val="00522A24"/>
    <w:rsid w:val="005239BC"/>
    <w:rsid w:val="00525163"/>
    <w:rsid w:val="0052584D"/>
    <w:rsid w:val="00535A9C"/>
    <w:rsid w:val="00540F24"/>
    <w:rsid w:val="00543030"/>
    <w:rsid w:val="0054670F"/>
    <w:rsid w:val="00554EB0"/>
    <w:rsid w:val="005702F2"/>
    <w:rsid w:val="00571897"/>
    <w:rsid w:val="005734E4"/>
    <w:rsid w:val="00594D82"/>
    <w:rsid w:val="005970A9"/>
    <w:rsid w:val="005A1073"/>
    <w:rsid w:val="005A7118"/>
    <w:rsid w:val="005B0473"/>
    <w:rsid w:val="005C76B4"/>
    <w:rsid w:val="005D4AB5"/>
    <w:rsid w:val="005E089D"/>
    <w:rsid w:val="005E54EC"/>
    <w:rsid w:val="005E6F90"/>
    <w:rsid w:val="005F4331"/>
    <w:rsid w:val="00610BB2"/>
    <w:rsid w:val="00634C87"/>
    <w:rsid w:val="0064150F"/>
    <w:rsid w:val="0064331F"/>
    <w:rsid w:val="0064366C"/>
    <w:rsid w:val="00644F69"/>
    <w:rsid w:val="00654664"/>
    <w:rsid w:val="00672B35"/>
    <w:rsid w:val="00696C59"/>
    <w:rsid w:val="006D09AE"/>
    <w:rsid w:val="006D65A3"/>
    <w:rsid w:val="006E39CE"/>
    <w:rsid w:val="007036AC"/>
    <w:rsid w:val="00745EC7"/>
    <w:rsid w:val="00756C9E"/>
    <w:rsid w:val="00775AF8"/>
    <w:rsid w:val="00785652"/>
    <w:rsid w:val="007C64A4"/>
    <w:rsid w:val="007D12A5"/>
    <w:rsid w:val="007D747E"/>
    <w:rsid w:val="007E365E"/>
    <w:rsid w:val="007E63E5"/>
    <w:rsid w:val="007F0F1E"/>
    <w:rsid w:val="007F3087"/>
    <w:rsid w:val="007F5EED"/>
    <w:rsid w:val="007F63E9"/>
    <w:rsid w:val="0080379B"/>
    <w:rsid w:val="00814BB1"/>
    <w:rsid w:val="00826FA8"/>
    <w:rsid w:val="008304A3"/>
    <w:rsid w:val="00832498"/>
    <w:rsid w:val="00865A23"/>
    <w:rsid w:val="008717FB"/>
    <w:rsid w:val="00880576"/>
    <w:rsid w:val="00880D55"/>
    <w:rsid w:val="0089346E"/>
    <w:rsid w:val="0089464B"/>
    <w:rsid w:val="00894BB3"/>
    <w:rsid w:val="008959AD"/>
    <w:rsid w:val="008A1CB3"/>
    <w:rsid w:val="008A62BB"/>
    <w:rsid w:val="008B67CE"/>
    <w:rsid w:val="008B7416"/>
    <w:rsid w:val="008C3D08"/>
    <w:rsid w:val="008C5741"/>
    <w:rsid w:val="008C6A3A"/>
    <w:rsid w:val="008D743D"/>
    <w:rsid w:val="008E041E"/>
    <w:rsid w:val="008E2D79"/>
    <w:rsid w:val="008E3401"/>
    <w:rsid w:val="008E4236"/>
    <w:rsid w:val="008F6E7A"/>
    <w:rsid w:val="008F7919"/>
    <w:rsid w:val="00904C5C"/>
    <w:rsid w:val="009105DF"/>
    <w:rsid w:val="009127DB"/>
    <w:rsid w:val="00915AAA"/>
    <w:rsid w:val="00917995"/>
    <w:rsid w:val="009267CD"/>
    <w:rsid w:val="0094193C"/>
    <w:rsid w:val="009436D5"/>
    <w:rsid w:val="00943BFD"/>
    <w:rsid w:val="00944544"/>
    <w:rsid w:val="0094658E"/>
    <w:rsid w:val="00962847"/>
    <w:rsid w:val="009775EB"/>
    <w:rsid w:val="009818FF"/>
    <w:rsid w:val="009976E5"/>
    <w:rsid w:val="009C754C"/>
    <w:rsid w:val="009E5478"/>
    <w:rsid w:val="009F7989"/>
    <w:rsid w:val="00A02B4D"/>
    <w:rsid w:val="00A07745"/>
    <w:rsid w:val="00A11127"/>
    <w:rsid w:val="00A17880"/>
    <w:rsid w:val="00A22A79"/>
    <w:rsid w:val="00A25EA3"/>
    <w:rsid w:val="00A26F28"/>
    <w:rsid w:val="00A27201"/>
    <w:rsid w:val="00A435B8"/>
    <w:rsid w:val="00A5428F"/>
    <w:rsid w:val="00A5463A"/>
    <w:rsid w:val="00A6755F"/>
    <w:rsid w:val="00A76983"/>
    <w:rsid w:val="00A80BA1"/>
    <w:rsid w:val="00AA39F2"/>
    <w:rsid w:val="00AA77A3"/>
    <w:rsid w:val="00AD5278"/>
    <w:rsid w:val="00AE073D"/>
    <w:rsid w:val="00AF16B8"/>
    <w:rsid w:val="00AF5645"/>
    <w:rsid w:val="00AF6192"/>
    <w:rsid w:val="00AF666E"/>
    <w:rsid w:val="00AF701A"/>
    <w:rsid w:val="00B06552"/>
    <w:rsid w:val="00B07D7C"/>
    <w:rsid w:val="00B15B3B"/>
    <w:rsid w:val="00B15F12"/>
    <w:rsid w:val="00B21716"/>
    <w:rsid w:val="00B24CD2"/>
    <w:rsid w:val="00B24CF3"/>
    <w:rsid w:val="00B25368"/>
    <w:rsid w:val="00B73977"/>
    <w:rsid w:val="00B754F8"/>
    <w:rsid w:val="00B87DDA"/>
    <w:rsid w:val="00B942A3"/>
    <w:rsid w:val="00BA5BD0"/>
    <w:rsid w:val="00BB2D51"/>
    <w:rsid w:val="00BB5E5F"/>
    <w:rsid w:val="00BC2CF6"/>
    <w:rsid w:val="00BC3395"/>
    <w:rsid w:val="00BC3965"/>
    <w:rsid w:val="00BD775F"/>
    <w:rsid w:val="00BE0628"/>
    <w:rsid w:val="00BE0DF5"/>
    <w:rsid w:val="00BF1D02"/>
    <w:rsid w:val="00C10D6F"/>
    <w:rsid w:val="00C14AB6"/>
    <w:rsid w:val="00C241A1"/>
    <w:rsid w:val="00C46526"/>
    <w:rsid w:val="00C54577"/>
    <w:rsid w:val="00C57644"/>
    <w:rsid w:val="00C80785"/>
    <w:rsid w:val="00C83D25"/>
    <w:rsid w:val="00CA0E61"/>
    <w:rsid w:val="00CA2D95"/>
    <w:rsid w:val="00CB1437"/>
    <w:rsid w:val="00CC66C1"/>
    <w:rsid w:val="00CE6C9B"/>
    <w:rsid w:val="00D22FEF"/>
    <w:rsid w:val="00D41DA4"/>
    <w:rsid w:val="00D80DDE"/>
    <w:rsid w:val="00DA00ED"/>
    <w:rsid w:val="00DB1F35"/>
    <w:rsid w:val="00DC02E4"/>
    <w:rsid w:val="00DC0A9C"/>
    <w:rsid w:val="00DD0717"/>
    <w:rsid w:val="00DD2C02"/>
    <w:rsid w:val="00DE12EB"/>
    <w:rsid w:val="00DF51A5"/>
    <w:rsid w:val="00E01BF4"/>
    <w:rsid w:val="00E03E6F"/>
    <w:rsid w:val="00E06DDB"/>
    <w:rsid w:val="00E23636"/>
    <w:rsid w:val="00E311B4"/>
    <w:rsid w:val="00E36584"/>
    <w:rsid w:val="00E46C19"/>
    <w:rsid w:val="00E66CDF"/>
    <w:rsid w:val="00E75DA0"/>
    <w:rsid w:val="00E7672F"/>
    <w:rsid w:val="00E76B5F"/>
    <w:rsid w:val="00E83882"/>
    <w:rsid w:val="00E94C18"/>
    <w:rsid w:val="00ED017E"/>
    <w:rsid w:val="00ED73EC"/>
    <w:rsid w:val="00EE5059"/>
    <w:rsid w:val="00EE6F9A"/>
    <w:rsid w:val="00EF4336"/>
    <w:rsid w:val="00F218D8"/>
    <w:rsid w:val="00F23910"/>
    <w:rsid w:val="00F27CCE"/>
    <w:rsid w:val="00F5561A"/>
    <w:rsid w:val="00F64F03"/>
    <w:rsid w:val="00F66A84"/>
    <w:rsid w:val="00F67AAD"/>
    <w:rsid w:val="00F81C2B"/>
    <w:rsid w:val="00F87F2C"/>
    <w:rsid w:val="00FA0668"/>
    <w:rsid w:val="00FB232E"/>
    <w:rsid w:val="00FD0750"/>
    <w:rsid w:val="00FE0B49"/>
    <w:rsid w:val="00FE4925"/>
    <w:rsid w:val="00FE55D2"/>
    <w:rsid w:val="00FF0A67"/>
    <w:rsid w:val="00FF0D2F"/>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DC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 w:type="character" w:customStyle="1" w:styleId="subject">
    <w:name w:val="subject"/>
    <w:basedOn w:val="DefaultParagraphFont"/>
    <w:rsid w:val="00943BFD"/>
  </w:style>
  <w:style w:type="character" w:styleId="Hyperlink">
    <w:name w:val="Hyperlink"/>
    <w:basedOn w:val="DefaultParagraphFont"/>
    <w:uiPriority w:val="99"/>
    <w:unhideWhenUsed/>
    <w:rsid w:val="00943BFD"/>
    <w:rPr>
      <w:color w:val="0000FF" w:themeColor="hyperlink"/>
      <w:u w:val="single"/>
    </w:rPr>
  </w:style>
  <w:style w:type="character" w:styleId="CommentReference">
    <w:name w:val="annotation reference"/>
    <w:basedOn w:val="DefaultParagraphFont"/>
    <w:uiPriority w:val="99"/>
    <w:semiHidden/>
    <w:unhideWhenUsed/>
    <w:rsid w:val="00943BFD"/>
    <w:rPr>
      <w:sz w:val="16"/>
      <w:szCs w:val="16"/>
    </w:rPr>
  </w:style>
  <w:style w:type="paragraph" w:styleId="CommentText">
    <w:name w:val="annotation text"/>
    <w:basedOn w:val="Normal"/>
    <w:link w:val="CommentTextChar"/>
    <w:uiPriority w:val="99"/>
    <w:semiHidden/>
    <w:unhideWhenUsed/>
    <w:rsid w:val="00943BFD"/>
    <w:pPr>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943BFD"/>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 w:type="character" w:customStyle="1" w:styleId="subject">
    <w:name w:val="subject"/>
    <w:basedOn w:val="DefaultParagraphFont"/>
    <w:rsid w:val="00943BFD"/>
  </w:style>
  <w:style w:type="character" w:styleId="Hyperlink">
    <w:name w:val="Hyperlink"/>
    <w:basedOn w:val="DefaultParagraphFont"/>
    <w:uiPriority w:val="99"/>
    <w:unhideWhenUsed/>
    <w:rsid w:val="00943BFD"/>
    <w:rPr>
      <w:color w:val="0000FF" w:themeColor="hyperlink"/>
      <w:u w:val="single"/>
    </w:rPr>
  </w:style>
  <w:style w:type="character" w:styleId="CommentReference">
    <w:name w:val="annotation reference"/>
    <w:basedOn w:val="DefaultParagraphFont"/>
    <w:uiPriority w:val="99"/>
    <w:semiHidden/>
    <w:unhideWhenUsed/>
    <w:rsid w:val="00943BFD"/>
    <w:rPr>
      <w:sz w:val="16"/>
      <w:szCs w:val="16"/>
    </w:rPr>
  </w:style>
  <w:style w:type="paragraph" w:styleId="CommentText">
    <w:name w:val="annotation text"/>
    <w:basedOn w:val="Normal"/>
    <w:link w:val="CommentTextChar"/>
    <w:uiPriority w:val="99"/>
    <w:semiHidden/>
    <w:unhideWhenUsed/>
    <w:rsid w:val="00943BFD"/>
    <w:pPr>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943BF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2999">
      <w:bodyDiv w:val="1"/>
      <w:marLeft w:val="0"/>
      <w:marRight w:val="0"/>
      <w:marTop w:val="0"/>
      <w:marBottom w:val="0"/>
      <w:divBdr>
        <w:top w:val="none" w:sz="0" w:space="0" w:color="auto"/>
        <w:left w:val="none" w:sz="0" w:space="0" w:color="auto"/>
        <w:bottom w:val="none" w:sz="0" w:space="0" w:color="auto"/>
        <w:right w:val="none" w:sz="0" w:space="0" w:color="auto"/>
      </w:divBdr>
    </w:div>
    <w:div w:id="21397551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661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3B01-0471-4307-A0D9-08179626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dc:description/>
  <cp:lastModifiedBy>SYSTEM</cp:lastModifiedBy>
  <cp:revision>2</cp:revision>
  <cp:lastPrinted>2018-12-12T14:00:00Z</cp:lastPrinted>
  <dcterms:created xsi:type="dcterms:W3CDTF">2020-01-03T14:21:00Z</dcterms:created>
  <dcterms:modified xsi:type="dcterms:W3CDTF">2020-01-03T14:21:00Z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