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19" w:rsidRDefault="00875719" w:rsidP="00273774">
      <w:pPr>
        <w:pStyle w:val="Subtitle"/>
        <w:tabs>
          <w:tab w:val="left" w:pos="3195"/>
          <w:tab w:val="center" w:pos="4680"/>
        </w:tabs>
        <w:rPr>
          <w:rFonts w:ascii="Times New Roman" w:hAnsi="Times New Roman"/>
          <w:b/>
        </w:rPr>
      </w:pPr>
      <w:bookmarkStart w:id="0" w:name="_GoBack"/>
      <w:bookmarkEnd w:id="0"/>
      <w:r>
        <w:rPr>
          <w:rFonts w:ascii="Times New Roman" w:hAnsi="Times New Roman"/>
          <w:b/>
        </w:rPr>
        <w:t>Supporting Statement For</w:t>
      </w:r>
    </w:p>
    <w:p w:rsidR="00875719" w:rsidRDefault="00875719" w:rsidP="004A2673">
      <w:pPr>
        <w:tabs>
          <w:tab w:val="left" w:pos="0"/>
        </w:tabs>
        <w:jc w:val="center"/>
        <w:rPr>
          <w:b/>
          <w:sz w:val="24"/>
        </w:rPr>
      </w:pPr>
      <w:r>
        <w:rPr>
          <w:b/>
          <w:sz w:val="24"/>
        </w:rPr>
        <w:t>Private Printing and Modification</w:t>
      </w:r>
      <w:r w:rsidR="004A2673">
        <w:rPr>
          <w:b/>
          <w:sz w:val="24"/>
        </w:rPr>
        <w:t xml:space="preserve"> </w:t>
      </w:r>
      <w:r>
        <w:rPr>
          <w:b/>
          <w:sz w:val="24"/>
        </w:rPr>
        <w:t>of Prescribed Applications and Other Forms</w:t>
      </w:r>
    </w:p>
    <w:p w:rsidR="00875719" w:rsidRDefault="00875719" w:rsidP="00875719">
      <w:pPr>
        <w:tabs>
          <w:tab w:val="left" w:pos="0"/>
        </w:tabs>
        <w:jc w:val="center"/>
        <w:rPr>
          <w:b/>
          <w:sz w:val="24"/>
        </w:rPr>
      </w:pPr>
      <w:r>
        <w:rPr>
          <w:b/>
          <w:sz w:val="24"/>
        </w:rPr>
        <w:t>20 CFR 422.527</w:t>
      </w:r>
    </w:p>
    <w:p w:rsidR="00875719" w:rsidRDefault="00860107" w:rsidP="00AA0498">
      <w:pPr>
        <w:tabs>
          <w:tab w:val="left" w:pos="0"/>
        </w:tabs>
        <w:jc w:val="center"/>
        <w:rPr>
          <w:b/>
          <w:sz w:val="24"/>
        </w:rPr>
      </w:pPr>
      <w:r>
        <w:rPr>
          <w:b/>
          <w:sz w:val="24"/>
        </w:rPr>
        <w:t>OMB No. 0960-0663</w:t>
      </w:r>
    </w:p>
    <w:p w:rsidR="006D3F9E" w:rsidRPr="00AA0498" w:rsidRDefault="006D3F9E" w:rsidP="00B805D5">
      <w:pPr>
        <w:tabs>
          <w:tab w:val="left" w:pos="0"/>
        </w:tabs>
        <w:rPr>
          <w:b/>
          <w:sz w:val="24"/>
        </w:rPr>
      </w:pPr>
    </w:p>
    <w:p w:rsidR="00875719" w:rsidRDefault="00875719" w:rsidP="00DE79A8">
      <w:pPr>
        <w:numPr>
          <w:ilvl w:val="0"/>
          <w:numId w:val="4"/>
        </w:numPr>
        <w:ind w:hanging="540"/>
        <w:rPr>
          <w:b/>
          <w:sz w:val="24"/>
          <w:u w:val="single"/>
        </w:rPr>
      </w:pPr>
      <w:r>
        <w:rPr>
          <w:b/>
          <w:sz w:val="24"/>
          <w:u w:val="single"/>
        </w:rPr>
        <w:t>Justification</w:t>
      </w:r>
    </w:p>
    <w:p w:rsidR="00875719" w:rsidRDefault="00875719" w:rsidP="00875719">
      <w:pPr>
        <w:tabs>
          <w:tab w:val="left" w:pos="0"/>
        </w:tabs>
        <w:rPr>
          <w:sz w:val="24"/>
        </w:rPr>
      </w:pPr>
    </w:p>
    <w:p w:rsidR="00875719" w:rsidRPr="00F33CDC" w:rsidRDefault="00875719" w:rsidP="00DE79A8">
      <w:pPr>
        <w:numPr>
          <w:ilvl w:val="0"/>
          <w:numId w:val="2"/>
        </w:numPr>
        <w:tabs>
          <w:tab w:val="clear" w:pos="720"/>
          <w:tab w:val="num" w:pos="1440"/>
        </w:tabs>
        <w:ind w:left="1440" w:hanging="720"/>
        <w:rPr>
          <w:b/>
          <w:sz w:val="24"/>
          <w:szCs w:val="24"/>
        </w:rPr>
      </w:pPr>
      <w:r w:rsidRPr="00F33CDC">
        <w:rPr>
          <w:b/>
          <w:sz w:val="24"/>
          <w:szCs w:val="24"/>
        </w:rPr>
        <w:t>Introduction/Authoring Laws and Regulation</w:t>
      </w:r>
    </w:p>
    <w:p w:rsidR="0076720B" w:rsidRDefault="00875719" w:rsidP="00AA0498">
      <w:pPr>
        <w:tabs>
          <w:tab w:val="num" w:pos="1440"/>
        </w:tabs>
        <w:ind w:left="1440"/>
        <w:rPr>
          <w:sz w:val="24"/>
          <w:szCs w:val="24"/>
        </w:rPr>
      </w:pPr>
      <w:r w:rsidRPr="0022745E">
        <w:rPr>
          <w:sz w:val="24"/>
          <w:szCs w:val="24"/>
        </w:rPr>
        <w:t>Th</w:t>
      </w:r>
      <w:r>
        <w:rPr>
          <w:sz w:val="24"/>
          <w:szCs w:val="24"/>
        </w:rPr>
        <w:t xml:space="preserve">e current regulation at </w:t>
      </w:r>
      <w:r w:rsidRPr="00F8454F">
        <w:rPr>
          <w:i/>
          <w:sz w:val="24"/>
          <w:szCs w:val="24"/>
        </w:rPr>
        <w:t>20 CFR 422.527</w:t>
      </w:r>
      <w:r w:rsidRPr="0022745E">
        <w:rPr>
          <w:sz w:val="24"/>
          <w:szCs w:val="24"/>
        </w:rPr>
        <w:t xml:space="preserve"> </w:t>
      </w:r>
      <w:r>
        <w:rPr>
          <w:sz w:val="24"/>
          <w:szCs w:val="24"/>
        </w:rPr>
        <w:t xml:space="preserve">of the </w:t>
      </w:r>
      <w:r w:rsidRPr="00615278">
        <w:rPr>
          <w:i/>
          <w:sz w:val="24"/>
          <w:szCs w:val="24"/>
        </w:rPr>
        <w:t>Code of Federal Regulations</w:t>
      </w:r>
      <w:r>
        <w:rPr>
          <w:sz w:val="24"/>
          <w:szCs w:val="24"/>
        </w:rPr>
        <w:t xml:space="preserve"> </w:t>
      </w:r>
      <w:r w:rsidRPr="0022745E">
        <w:rPr>
          <w:sz w:val="24"/>
          <w:szCs w:val="24"/>
        </w:rPr>
        <w:t>requires a person, institution, or organization (</w:t>
      </w:r>
      <w:r>
        <w:rPr>
          <w:sz w:val="24"/>
          <w:szCs w:val="24"/>
        </w:rPr>
        <w:t xml:space="preserve">third party </w:t>
      </w:r>
      <w:r>
        <w:rPr>
          <w:sz w:val="24"/>
        </w:rPr>
        <w:t>requesting entities</w:t>
      </w:r>
      <w:r w:rsidRPr="0022745E">
        <w:rPr>
          <w:sz w:val="24"/>
          <w:szCs w:val="24"/>
        </w:rPr>
        <w:t xml:space="preserve">) to obtain approval from the Social Security Administration (SSA) prior to reproducing, duplicating, or privately printing any application or other form prescribed by the </w:t>
      </w:r>
      <w:r>
        <w:rPr>
          <w:sz w:val="24"/>
          <w:szCs w:val="24"/>
        </w:rPr>
        <w:t>agency.  We require s</w:t>
      </w:r>
      <w:r w:rsidRPr="0022745E">
        <w:rPr>
          <w:sz w:val="24"/>
          <w:szCs w:val="24"/>
        </w:rPr>
        <w:t xml:space="preserve">uch approval whether or not the </w:t>
      </w:r>
      <w:r>
        <w:rPr>
          <w:sz w:val="24"/>
        </w:rPr>
        <w:t>requesting entity</w:t>
      </w:r>
      <w:r w:rsidRPr="0022745E">
        <w:rPr>
          <w:sz w:val="24"/>
          <w:szCs w:val="24"/>
        </w:rPr>
        <w:t xml:space="preserve"> intended to charge a fee for SSA’s application(s) or other form(s).</w:t>
      </w:r>
      <w:r>
        <w:rPr>
          <w:sz w:val="24"/>
          <w:szCs w:val="24"/>
        </w:rPr>
        <w:t xml:space="preserve">  </w:t>
      </w:r>
      <w:r w:rsidRPr="0022745E">
        <w:rPr>
          <w:sz w:val="24"/>
          <w:szCs w:val="24"/>
        </w:rPr>
        <w:t xml:space="preserve">Section </w:t>
      </w:r>
      <w:r w:rsidRPr="00615278">
        <w:rPr>
          <w:i/>
          <w:sz w:val="24"/>
          <w:szCs w:val="24"/>
        </w:rPr>
        <w:t>1140(a)(2)(A)</w:t>
      </w:r>
      <w:r w:rsidRPr="0022745E">
        <w:rPr>
          <w:sz w:val="24"/>
          <w:szCs w:val="24"/>
        </w:rPr>
        <w:t xml:space="preserve"> of the </w:t>
      </w:r>
      <w:r w:rsidRPr="00615278">
        <w:rPr>
          <w:i/>
          <w:sz w:val="24"/>
          <w:szCs w:val="24"/>
        </w:rPr>
        <w:t>Social Security Act</w:t>
      </w:r>
      <w:r w:rsidRPr="0022745E">
        <w:rPr>
          <w:sz w:val="24"/>
          <w:szCs w:val="24"/>
        </w:rPr>
        <w:t xml:space="preserve"> </w:t>
      </w:r>
      <w:r w:rsidRPr="0076720B">
        <w:rPr>
          <w:i/>
          <w:sz w:val="24"/>
          <w:szCs w:val="24"/>
        </w:rPr>
        <w:t>(Act)</w:t>
      </w:r>
      <w:r w:rsidRPr="0022745E">
        <w:rPr>
          <w:sz w:val="24"/>
          <w:szCs w:val="24"/>
        </w:rPr>
        <w:t xml:space="preserve"> prohibits </w:t>
      </w:r>
      <w:r>
        <w:rPr>
          <w:sz w:val="24"/>
        </w:rPr>
        <w:t>requesting entities</w:t>
      </w:r>
      <w:r w:rsidRPr="0022745E">
        <w:rPr>
          <w:sz w:val="24"/>
          <w:szCs w:val="24"/>
        </w:rPr>
        <w:t xml:space="preserve"> from charging a fee to reproduce, reprint, or distribute any SSA application, form, or publication unless </w:t>
      </w:r>
      <w:r>
        <w:rPr>
          <w:sz w:val="24"/>
          <w:szCs w:val="24"/>
        </w:rPr>
        <w:t>they obtain</w:t>
      </w:r>
      <w:r w:rsidRPr="0022745E">
        <w:rPr>
          <w:sz w:val="24"/>
          <w:szCs w:val="24"/>
        </w:rPr>
        <w:t xml:space="preserve"> the authorization of the Commissioner of Social Security in accordance with such regulations as </w:t>
      </w:r>
      <w:r w:rsidR="004A2673">
        <w:rPr>
          <w:sz w:val="24"/>
          <w:szCs w:val="24"/>
        </w:rPr>
        <w:t>the Commissioner</w:t>
      </w:r>
      <w:r w:rsidR="00F40D30">
        <w:rPr>
          <w:sz w:val="24"/>
          <w:szCs w:val="24"/>
        </w:rPr>
        <w:t xml:space="preserve"> may prescribe </w:t>
      </w:r>
      <w:r w:rsidRPr="0076720B">
        <w:rPr>
          <w:i/>
          <w:sz w:val="24"/>
          <w:szCs w:val="24"/>
        </w:rPr>
        <w:t xml:space="preserve">(42 USC </w:t>
      </w:r>
      <w:r w:rsidRPr="0076720B">
        <w:rPr>
          <w:rFonts w:ascii="Times New (W1)"/>
          <w:i/>
          <w:sz w:val="24"/>
          <w:szCs w:val="24"/>
        </w:rPr>
        <w:t>1320b</w:t>
      </w:r>
      <w:r w:rsidRPr="0076720B">
        <w:rPr>
          <w:i/>
          <w:sz w:val="24"/>
          <w:szCs w:val="24"/>
        </w:rPr>
        <w:t>-10(a)(2)(A) of the United States Code)</w:t>
      </w:r>
      <w:r w:rsidRPr="0022745E">
        <w:rPr>
          <w:sz w:val="24"/>
          <w:szCs w:val="24"/>
        </w:rPr>
        <w:t>.  This rule implement</w:t>
      </w:r>
      <w:r>
        <w:rPr>
          <w:sz w:val="24"/>
          <w:szCs w:val="24"/>
        </w:rPr>
        <w:t>s</w:t>
      </w:r>
      <w:r w:rsidRPr="0022745E">
        <w:rPr>
          <w:sz w:val="24"/>
          <w:szCs w:val="24"/>
        </w:rPr>
        <w:t xml:space="preserve"> </w:t>
      </w:r>
      <w:r w:rsidR="007F3223">
        <w:rPr>
          <w:sz w:val="24"/>
          <w:szCs w:val="24"/>
        </w:rPr>
        <w:t>S</w:t>
      </w:r>
      <w:r w:rsidRPr="0022745E">
        <w:rPr>
          <w:sz w:val="24"/>
          <w:szCs w:val="24"/>
        </w:rPr>
        <w:t xml:space="preserve">ection </w:t>
      </w:r>
      <w:r w:rsidRPr="00CA11D2">
        <w:rPr>
          <w:i/>
          <w:sz w:val="24"/>
          <w:szCs w:val="24"/>
        </w:rPr>
        <w:t>1140(a)(2)(A)</w:t>
      </w:r>
      <w:r w:rsidRPr="0022745E">
        <w:rPr>
          <w:sz w:val="24"/>
          <w:szCs w:val="24"/>
        </w:rPr>
        <w:t xml:space="preserve"> of the </w:t>
      </w:r>
      <w:r w:rsidRPr="00CA11D2">
        <w:rPr>
          <w:i/>
          <w:sz w:val="24"/>
          <w:szCs w:val="24"/>
        </w:rPr>
        <w:t>Act</w:t>
      </w:r>
      <w:r w:rsidRPr="0022745E">
        <w:rPr>
          <w:sz w:val="24"/>
          <w:szCs w:val="24"/>
        </w:rPr>
        <w:t xml:space="preserve"> by adding SSA’s</w:t>
      </w:r>
      <w:r w:rsidR="00F2304D">
        <w:rPr>
          <w:sz w:val="24"/>
          <w:szCs w:val="24"/>
        </w:rPr>
        <w:t xml:space="preserve"> </w:t>
      </w:r>
      <w:r w:rsidRPr="0022745E">
        <w:rPr>
          <w:sz w:val="24"/>
          <w:szCs w:val="24"/>
        </w:rPr>
        <w:t xml:space="preserve">publications to the </w:t>
      </w:r>
    </w:p>
    <w:p w:rsidR="00875719" w:rsidRPr="0022745E" w:rsidRDefault="00875719" w:rsidP="00AA0498">
      <w:pPr>
        <w:tabs>
          <w:tab w:val="num" w:pos="1440"/>
        </w:tabs>
        <w:ind w:left="1440"/>
        <w:rPr>
          <w:sz w:val="24"/>
          <w:szCs w:val="24"/>
        </w:rPr>
      </w:pPr>
      <w:r w:rsidRPr="0022745E">
        <w:rPr>
          <w:sz w:val="24"/>
          <w:szCs w:val="24"/>
        </w:rPr>
        <w:t xml:space="preserve">pre-authorization requirement identified in </w:t>
      </w:r>
      <w:r>
        <w:rPr>
          <w:i/>
          <w:sz w:val="24"/>
          <w:szCs w:val="24"/>
        </w:rPr>
        <w:t xml:space="preserve">20 CFR </w:t>
      </w:r>
      <w:r w:rsidRPr="00CA11D2">
        <w:rPr>
          <w:i/>
          <w:sz w:val="24"/>
          <w:szCs w:val="24"/>
        </w:rPr>
        <w:t>422.527</w:t>
      </w:r>
      <w:r w:rsidR="0076720B">
        <w:rPr>
          <w:sz w:val="24"/>
          <w:szCs w:val="24"/>
        </w:rPr>
        <w:t xml:space="preserve">, </w:t>
      </w:r>
      <w:r w:rsidRPr="0022745E">
        <w:rPr>
          <w:sz w:val="24"/>
          <w:szCs w:val="24"/>
        </w:rPr>
        <w:t xml:space="preserve">and by establishing that </w:t>
      </w:r>
      <w:r>
        <w:rPr>
          <w:sz w:val="24"/>
        </w:rPr>
        <w:t>requesting entities</w:t>
      </w:r>
      <w:r>
        <w:rPr>
          <w:sz w:val="24"/>
          <w:szCs w:val="24"/>
        </w:rPr>
        <w:t xml:space="preserve"> only require </w:t>
      </w:r>
      <w:r w:rsidRPr="0022745E">
        <w:rPr>
          <w:sz w:val="24"/>
          <w:szCs w:val="24"/>
        </w:rPr>
        <w:t>SSA’s authorization when the</w:t>
      </w:r>
      <w:r>
        <w:rPr>
          <w:sz w:val="24"/>
          <w:szCs w:val="24"/>
        </w:rPr>
        <w:t>y intend</w:t>
      </w:r>
      <w:r w:rsidRPr="0022745E">
        <w:rPr>
          <w:sz w:val="24"/>
          <w:szCs w:val="24"/>
        </w:rPr>
        <w:t xml:space="preserve"> to charge a fee.  The rule also prescribe</w:t>
      </w:r>
      <w:r>
        <w:rPr>
          <w:sz w:val="24"/>
          <w:szCs w:val="24"/>
        </w:rPr>
        <w:t xml:space="preserve">s the procedures </w:t>
      </w:r>
      <w:r>
        <w:rPr>
          <w:sz w:val="24"/>
        </w:rPr>
        <w:t>requesting entities</w:t>
      </w:r>
      <w:r>
        <w:rPr>
          <w:sz w:val="24"/>
          <w:szCs w:val="24"/>
        </w:rPr>
        <w:t xml:space="preserve"> who intend</w:t>
      </w:r>
      <w:r w:rsidRPr="0022745E">
        <w:rPr>
          <w:sz w:val="24"/>
          <w:szCs w:val="24"/>
        </w:rPr>
        <w:t xml:space="preserve"> to charge a fee must follow to obtain SSA’s written authorization pr</w:t>
      </w:r>
      <w:r w:rsidR="00337CB6">
        <w:rPr>
          <w:sz w:val="24"/>
          <w:szCs w:val="24"/>
        </w:rPr>
        <w:t xml:space="preserve">ior to reproducing, reprinting, </w:t>
      </w:r>
      <w:r w:rsidRPr="0022745E">
        <w:rPr>
          <w:sz w:val="24"/>
          <w:szCs w:val="24"/>
        </w:rPr>
        <w:t>or distributing SSA’s applica</w:t>
      </w:r>
      <w:r>
        <w:rPr>
          <w:sz w:val="24"/>
          <w:szCs w:val="24"/>
        </w:rPr>
        <w:t>tions, forms, or publications.</w:t>
      </w:r>
    </w:p>
    <w:p w:rsidR="00875719" w:rsidRDefault="00875719" w:rsidP="00DE79A8">
      <w:pPr>
        <w:tabs>
          <w:tab w:val="num" w:pos="1440"/>
        </w:tabs>
        <w:ind w:left="1440"/>
        <w:rPr>
          <w:sz w:val="24"/>
        </w:rPr>
      </w:pPr>
      <w:r>
        <w:rPr>
          <w:sz w:val="24"/>
        </w:rPr>
        <w:t xml:space="preserve"> </w:t>
      </w:r>
    </w:p>
    <w:p w:rsidR="00875719" w:rsidRPr="005604E2" w:rsidRDefault="00875719" w:rsidP="00DE79A8">
      <w:pPr>
        <w:numPr>
          <w:ilvl w:val="0"/>
          <w:numId w:val="2"/>
        </w:numPr>
        <w:tabs>
          <w:tab w:val="clear" w:pos="720"/>
          <w:tab w:val="num" w:pos="1440"/>
        </w:tabs>
        <w:ind w:left="1440" w:hanging="720"/>
        <w:rPr>
          <w:b/>
          <w:sz w:val="24"/>
        </w:rPr>
      </w:pPr>
      <w:r w:rsidRPr="005604E2">
        <w:rPr>
          <w:b/>
          <w:sz w:val="24"/>
        </w:rPr>
        <w:t>Description of Collection</w:t>
      </w:r>
    </w:p>
    <w:p w:rsidR="003515BB" w:rsidRPr="003515BB" w:rsidRDefault="003515BB" w:rsidP="003515BB">
      <w:pPr>
        <w:ind w:left="1440"/>
        <w:rPr>
          <w:sz w:val="24"/>
          <w:szCs w:val="24"/>
        </w:rPr>
      </w:pPr>
      <w:r w:rsidRPr="003515BB">
        <w:rPr>
          <w:sz w:val="24"/>
          <w:szCs w:val="24"/>
        </w:rPr>
        <w:t>To obtain SSA's approval, entities must make their requests in writing using their company letterhead, providing the required information set forth in the regulation.  SSA uses the information to:  (1) ensure requests comply with the law and regulations, and (2) process requests from third-party entities who want to reproduce, duplicate, or privately print any SSA application or other SSA form.  SSA employees review the requests and provide approval via email or mail to the third-party entities.  The respondents are third-party entities who submit a request to SSA to reproduce, duplicate, or privately print an SSA-owned form.</w:t>
      </w:r>
    </w:p>
    <w:p w:rsidR="00875719" w:rsidRDefault="00875719" w:rsidP="00DE79A8">
      <w:pPr>
        <w:tabs>
          <w:tab w:val="left" w:pos="0"/>
          <w:tab w:val="left" w:pos="0"/>
          <w:tab w:val="left" w:pos="0"/>
          <w:tab w:val="left" w:pos="0"/>
          <w:tab w:val="num" w:pos="1440"/>
        </w:tabs>
        <w:ind w:left="1440"/>
        <w:rPr>
          <w:sz w:val="24"/>
        </w:rPr>
      </w:pPr>
    </w:p>
    <w:p w:rsidR="00875719" w:rsidRPr="0059477F" w:rsidRDefault="00875719" w:rsidP="00DE79A8">
      <w:pPr>
        <w:pStyle w:val="BodyTextIndent"/>
        <w:numPr>
          <w:ilvl w:val="0"/>
          <w:numId w:val="2"/>
        </w:numPr>
        <w:tabs>
          <w:tab w:val="clear" w:pos="720"/>
          <w:tab w:val="num" w:pos="1440"/>
        </w:tabs>
        <w:ind w:left="1440" w:hanging="720"/>
        <w:rPr>
          <w:rFonts w:ascii="Times New Roman" w:hAnsi="Times New Roman"/>
          <w:b/>
        </w:rPr>
      </w:pPr>
      <w:r w:rsidRPr="0059477F">
        <w:rPr>
          <w:rFonts w:ascii="Times New Roman" w:hAnsi="Times New Roman"/>
          <w:b/>
        </w:rPr>
        <w:t>Use of Information Technology to Collect the Information</w:t>
      </w:r>
    </w:p>
    <w:p w:rsidR="00F82CC6" w:rsidRPr="00F82CC6" w:rsidRDefault="00875719" w:rsidP="00F82CC6">
      <w:pPr>
        <w:ind w:left="1440"/>
        <w:rPr>
          <w:sz w:val="24"/>
          <w:szCs w:val="24"/>
        </w:rPr>
      </w:pPr>
      <w:r w:rsidRPr="00F82CC6">
        <w:rPr>
          <w:sz w:val="24"/>
          <w:szCs w:val="24"/>
        </w:rPr>
        <w:t>S</w:t>
      </w:r>
      <w:r w:rsidR="00706816" w:rsidRPr="00F82CC6">
        <w:rPr>
          <w:sz w:val="24"/>
          <w:szCs w:val="24"/>
        </w:rPr>
        <w:t xml:space="preserve">ince SSA no longer supplies an application for this request, we explain the written requirements for this regulation on our website, </w:t>
      </w:r>
      <w:hyperlink r:id="rId9" w:history="1">
        <w:r w:rsidR="00F82CC6" w:rsidRPr="00E369AE">
          <w:rPr>
            <w:rStyle w:val="Hyperlink"/>
            <w:sz w:val="24"/>
            <w:szCs w:val="24"/>
          </w:rPr>
          <w:t>www.ssa.gov/online/thirdpartyforms.html</w:t>
        </w:r>
      </w:hyperlink>
      <w:r w:rsidR="00706816" w:rsidRPr="00F82CC6">
        <w:rPr>
          <w:sz w:val="24"/>
          <w:szCs w:val="24"/>
        </w:rPr>
        <w:t>.  S</w:t>
      </w:r>
      <w:r w:rsidRPr="00F82CC6">
        <w:rPr>
          <w:sz w:val="24"/>
          <w:szCs w:val="24"/>
        </w:rPr>
        <w:t>SA accepts submissions via email, and many third party companies submit their request via email</w:t>
      </w:r>
      <w:r w:rsidR="0011649E" w:rsidRPr="00F82CC6">
        <w:rPr>
          <w:sz w:val="24"/>
          <w:szCs w:val="24"/>
        </w:rPr>
        <w:t xml:space="preserve"> to a control box,</w:t>
      </w:r>
      <w:r w:rsidRPr="00F82CC6">
        <w:rPr>
          <w:sz w:val="24"/>
          <w:szCs w:val="24"/>
        </w:rPr>
        <w:t xml:space="preserve"> rather than mail.</w:t>
      </w:r>
      <w:r w:rsidR="00F82CC6" w:rsidRPr="00F82CC6">
        <w:rPr>
          <w:sz w:val="24"/>
          <w:szCs w:val="24"/>
        </w:rPr>
        <w:t xml:space="preserve">  </w:t>
      </w:r>
      <w:r w:rsidR="00F82CC6">
        <w:rPr>
          <w:sz w:val="24"/>
          <w:szCs w:val="24"/>
        </w:rPr>
        <w:t xml:space="preserve"> </w:t>
      </w:r>
      <w:r w:rsidR="005E0A61">
        <w:rPr>
          <w:sz w:val="24"/>
          <w:szCs w:val="24"/>
        </w:rPr>
        <w:t>Based</w:t>
      </w:r>
      <w:r w:rsidR="00B805D5">
        <w:rPr>
          <w:sz w:val="24"/>
          <w:szCs w:val="24"/>
        </w:rPr>
        <w:t xml:space="preserve"> on our data, we estimate appro</w:t>
      </w:r>
      <w:r w:rsidR="005E0A61">
        <w:rPr>
          <w:sz w:val="24"/>
          <w:szCs w:val="24"/>
        </w:rPr>
        <w:t>ximately 100% of respondents under this OMB number use the electonic email version.</w:t>
      </w:r>
    </w:p>
    <w:p w:rsidR="006D3F9E" w:rsidRDefault="006D3F9E" w:rsidP="00B805D5">
      <w:pPr>
        <w:tabs>
          <w:tab w:val="num" w:pos="1440"/>
        </w:tabs>
        <w:rPr>
          <w:sz w:val="24"/>
          <w:szCs w:val="24"/>
        </w:rPr>
      </w:pPr>
    </w:p>
    <w:p w:rsidR="00B805D5" w:rsidRDefault="00B805D5" w:rsidP="00B805D5">
      <w:pPr>
        <w:tabs>
          <w:tab w:val="num" w:pos="1440"/>
        </w:tabs>
        <w:rPr>
          <w:sz w:val="24"/>
          <w:szCs w:val="24"/>
        </w:rPr>
      </w:pPr>
    </w:p>
    <w:p w:rsidR="00B805D5" w:rsidRDefault="00B805D5" w:rsidP="00B805D5">
      <w:pPr>
        <w:tabs>
          <w:tab w:val="num" w:pos="1440"/>
        </w:tabs>
        <w:rPr>
          <w:sz w:val="24"/>
          <w:szCs w:val="24"/>
        </w:rPr>
      </w:pPr>
    </w:p>
    <w:p w:rsidR="00875719" w:rsidRPr="0059477F" w:rsidRDefault="00875719" w:rsidP="00DE79A8">
      <w:pPr>
        <w:numPr>
          <w:ilvl w:val="0"/>
          <w:numId w:val="2"/>
        </w:numPr>
        <w:tabs>
          <w:tab w:val="clear" w:pos="720"/>
          <w:tab w:val="num" w:pos="1440"/>
        </w:tabs>
        <w:ind w:left="1440" w:hanging="720"/>
        <w:rPr>
          <w:b/>
          <w:sz w:val="24"/>
        </w:rPr>
      </w:pPr>
      <w:r w:rsidRPr="0059477F">
        <w:rPr>
          <w:b/>
          <w:sz w:val="24"/>
        </w:rPr>
        <w:lastRenderedPageBreak/>
        <w:t>Why We Cannot Use Duplicate Information</w:t>
      </w:r>
    </w:p>
    <w:p w:rsidR="00875719" w:rsidRDefault="00875719" w:rsidP="00DE79A8">
      <w:pPr>
        <w:tabs>
          <w:tab w:val="num" w:pos="1440"/>
        </w:tabs>
        <w:ind w:left="1440"/>
        <w:rPr>
          <w:sz w:val="24"/>
        </w:rPr>
      </w:pPr>
      <w:r>
        <w:rPr>
          <w:sz w:val="24"/>
        </w:rPr>
        <w:t xml:space="preserve">The nature of the information we </w:t>
      </w:r>
      <w:r w:rsidR="007F3223">
        <w:rPr>
          <w:sz w:val="24"/>
        </w:rPr>
        <w:t>c</w:t>
      </w:r>
      <w:r>
        <w:rPr>
          <w:sz w:val="24"/>
        </w:rPr>
        <w:t>ollect</w:t>
      </w:r>
      <w:r w:rsidR="007F3223">
        <w:rPr>
          <w:sz w:val="24"/>
        </w:rPr>
        <w:t xml:space="preserve"> </w:t>
      </w:r>
      <w:r>
        <w:rPr>
          <w:sz w:val="24"/>
        </w:rPr>
        <w:t>and the manner in which we colle</w:t>
      </w:r>
      <w:r w:rsidR="00183B7D">
        <w:rPr>
          <w:sz w:val="24"/>
        </w:rPr>
        <w:t>c</w:t>
      </w:r>
      <w:r>
        <w:rPr>
          <w:sz w:val="24"/>
        </w:rPr>
        <w:t>t it preclude duplication.  SSA does not use another collection instrument to obtain similar data.</w:t>
      </w:r>
    </w:p>
    <w:p w:rsidR="00875719" w:rsidRDefault="00875719" w:rsidP="00DE79A8">
      <w:pPr>
        <w:tabs>
          <w:tab w:val="num" w:pos="1440"/>
        </w:tabs>
        <w:ind w:left="1440"/>
        <w:rPr>
          <w:sz w:val="24"/>
        </w:rPr>
      </w:pPr>
    </w:p>
    <w:p w:rsidR="00875719" w:rsidRPr="0059477F" w:rsidRDefault="00875719" w:rsidP="00DE79A8">
      <w:pPr>
        <w:numPr>
          <w:ilvl w:val="0"/>
          <w:numId w:val="2"/>
        </w:numPr>
        <w:tabs>
          <w:tab w:val="clear" w:pos="720"/>
          <w:tab w:val="num" w:pos="1440"/>
        </w:tabs>
        <w:ind w:left="1440" w:hanging="720"/>
        <w:rPr>
          <w:b/>
          <w:sz w:val="24"/>
        </w:rPr>
      </w:pPr>
      <w:r w:rsidRPr="0059477F">
        <w:rPr>
          <w:b/>
          <w:sz w:val="24"/>
        </w:rPr>
        <w:t>Minimizing Bur</w:t>
      </w:r>
      <w:r>
        <w:rPr>
          <w:b/>
          <w:sz w:val="24"/>
        </w:rPr>
        <w:t>d</w:t>
      </w:r>
      <w:r w:rsidRPr="0059477F">
        <w:rPr>
          <w:b/>
          <w:sz w:val="24"/>
        </w:rPr>
        <w:t>en on Small Respondents</w:t>
      </w:r>
    </w:p>
    <w:p w:rsidR="00875719" w:rsidRDefault="00875719" w:rsidP="00DE79A8">
      <w:pPr>
        <w:tabs>
          <w:tab w:val="num" w:pos="1440"/>
        </w:tabs>
        <w:ind w:left="1440"/>
        <w:rPr>
          <w:sz w:val="24"/>
        </w:rPr>
      </w:pPr>
      <w:r>
        <w:rPr>
          <w:sz w:val="24"/>
        </w:rPr>
        <w:t>This collection does not significantly affect small businesses or other small entities.</w:t>
      </w:r>
      <w:r w:rsidR="0011649E">
        <w:rPr>
          <w:sz w:val="24"/>
        </w:rPr>
        <w:t xml:space="preserve"> </w:t>
      </w:r>
    </w:p>
    <w:p w:rsidR="00875719" w:rsidRPr="0022745E" w:rsidRDefault="00875719" w:rsidP="00DE79A8">
      <w:pPr>
        <w:tabs>
          <w:tab w:val="num" w:pos="1440"/>
        </w:tabs>
        <w:ind w:left="1440"/>
        <w:rPr>
          <w:sz w:val="24"/>
          <w:szCs w:val="24"/>
        </w:rPr>
      </w:pPr>
    </w:p>
    <w:p w:rsidR="00875719" w:rsidRPr="00E62A33" w:rsidRDefault="00875719" w:rsidP="00DE79A8">
      <w:pPr>
        <w:numPr>
          <w:ilvl w:val="0"/>
          <w:numId w:val="2"/>
        </w:numPr>
        <w:tabs>
          <w:tab w:val="clear" w:pos="720"/>
          <w:tab w:val="num" w:pos="1440"/>
        </w:tabs>
        <w:ind w:left="1440" w:hanging="720"/>
        <w:rPr>
          <w:b/>
          <w:sz w:val="24"/>
          <w:szCs w:val="24"/>
        </w:rPr>
      </w:pPr>
      <w:r w:rsidRPr="00E62A33">
        <w:rPr>
          <w:b/>
          <w:sz w:val="24"/>
          <w:szCs w:val="24"/>
        </w:rPr>
        <w:t>Consequence of Not Collecting Information or Collectiong it Less Frequently</w:t>
      </w:r>
    </w:p>
    <w:p w:rsidR="00875719" w:rsidRPr="0022745E" w:rsidRDefault="00875719" w:rsidP="00DE79A8">
      <w:pPr>
        <w:tabs>
          <w:tab w:val="num" w:pos="1440"/>
        </w:tabs>
        <w:ind w:left="1440"/>
        <w:rPr>
          <w:sz w:val="24"/>
          <w:szCs w:val="24"/>
        </w:rPr>
      </w:pPr>
      <w:r>
        <w:rPr>
          <w:sz w:val="24"/>
          <w:szCs w:val="24"/>
        </w:rPr>
        <w:t xml:space="preserve">Since obtaining SSA approval for </w:t>
      </w:r>
      <w:r w:rsidRPr="0022745E">
        <w:rPr>
          <w:sz w:val="24"/>
          <w:szCs w:val="24"/>
        </w:rPr>
        <w:t xml:space="preserve">reproducing, duplicating, or privately printing any application or other form prescribed by the </w:t>
      </w:r>
      <w:r>
        <w:rPr>
          <w:sz w:val="24"/>
          <w:szCs w:val="24"/>
        </w:rPr>
        <w:t>agency is mandated by law, we need to collect this information to allow respondents to reproduce SSA forms.  If we did not collect the information, the respondent would not legally be able to reproduce SSA forms or charge a fee.  Because we only collect the information on an as needed basis, we cannot collect it less frequently.</w:t>
      </w:r>
      <w:r w:rsidR="00337CB6">
        <w:rPr>
          <w:sz w:val="24"/>
          <w:szCs w:val="24"/>
        </w:rPr>
        <w:t xml:space="preserve">  </w:t>
      </w:r>
      <w:r>
        <w:rPr>
          <w:sz w:val="24"/>
          <w:szCs w:val="24"/>
        </w:rPr>
        <w:t>There are no technical or legal obstacles that prevent burden reduction.</w:t>
      </w:r>
    </w:p>
    <w:p w:rsidR="00875719" w:rsidRPr="0022745E" w:rsidRDefault="00875719" w:rsidP="00DE79A8">
      <w:pPr>
        <w:tabs>
          <w:tab w:val="num" w:pos="1440"/>
        </w:tabs>
        <w:ind w:left="1440"/>
        <w:rPr>
          <w:sz w:val="24"/>
          <w:szCs w:val="24"/>
        </w:rPr>
      </w:pPr>
    </w:p>
    <w:p w:rsidR="00875719" w:rsidRPr="00536641" w:rsidRDefault="00875719" w:rsidP="00DE79A8">
      <w:pPr>
        <w:numPr>
          <w:ilvl w:val="0"/>
          <w:numId w:val="2"/>
        </w:numPr>
        <w:tabs>
          <w:tab w:val="clear" w:pos="720"/>
          <w:tab w:val="num" w:pos="1440"/>
        </w:tabs>
        <w:ind w:left="1440" w:hanging="720"/>
        <w:rPr>
          <w:b/>
          <w:sz w:val="24"/>
          <w:szCs w:val="24"/>
        </w:rPr>
      </w:pPr>
      <w:r w:rsidRPr="00536641">
        <w:rPr>
          <w:b/>
          <w:sz w:val="24"/>
          <w:szCs w:val="24"/>
        </w:rPr>
        <w:t>Special Circumstances</w:t>
      </w:r>
    </w:p>
    <w:p w:rsidR="007F3223" w:rsidRDefault="00875719" w:rsidP="00DE79A8">
      <w:pPr>
        <w:tabs>
          <w:tab w:val="num" w:pos="1440"/>
        </w:tabs>
        <w:ind w:left="1440"/>
        <w:rPr>
          <w:sz w:val="24"/>
          <w:szCs w:val="24"/>
        </w:rPr>
      </w:pPr>
      <w:r>
        <w:rPr>
          <w:sz w:val="24"/>
          <w:szCs w:val="24"/>
        </w:rPr>
        <w:t xml:space="preserve">There are no special circumstances that would cause SSA to conduct this information collection in a manner inconsistent with </w:t>
      </w:r>
      <w:r w:rsidRPr="00706816">
        <w:rPr>
          <w:i/>
          <w:sz w:val="24"/>
          <w:szCs w:val="24"/>
        </w:rPr>
        <w:t>5 CFR 1320.5.</w:t>
      </w:r>
    </w:p>
    <w:p w:rsidR="00875719" w:rsidRDefault="00875719" w:rsidP="00DE79A8">
      <w:pPr>
        <w:tabs>
          <w:tab w:val="num" w:pos="1440"/>
        </w:tabs>
        <w:ind w:left="1440"/>
        <w:rPr>
          <w:sz w:val="24"/>
          <w:szCs w:val="24"/>
        </w:rPr>
      </w:pPr>
    </w:p>
    <w:p w:rsidR="00875719" w:rsidRDefault="00875719" w:rsidP="00DE79A8">
      <w:pPr>
        <w:numPr>
          <w:ilvl w:val="0"/>
          <w:numId w:val="2"/>
        </w:numPr>
        <w:tabs>
          <w:tab w:val="clear" w:pos="720"/>
          <w:tab w:val="num" w:pos="1440"/>
        </w:tabs>
        <w:ind w:left="1440" w:hanging="720"/>
        <w:rPr>
          <w:b/>
          <w:sz w:val="24"/>
        </w:rPr>
      </w:pPr>
      <w:r w:rsidRPr="00D2043C">
        <w:rPr>
          <w:b/>
          <w:sz w:val="24"/>
        </w:rPr>
        <w:t>Solicitation of Public Comment and Other Consultations with the Public</w:t>
      </w:r>
    </w:p>
    <w:p w:rsidR="00B77EB1" w:rsidRDefault="000E0BFD" w:rsidP="000E0BFD">
      <w:pPr>
        <w:pStyle w:val="ListParagraph"/>
        <w:ind w:left="1440"/>
        <w:rPr>
          <w:sz w:val="24"/>
          <w:szCs w:val="24"/>
        </w:rPr>
      </w:pPr>
      <w:r w:rsidRPr="000E0BFD">
        <w:rPr>
          <w:sz w:val="24"/>
          <w:szCs w:val="24"/>
        </w:rPr>
        <w:t>The 60-day advance Federal Register Notice published on</w:t>
      </w:r>
      <w:r w:rsidR="00B77EB1">
        <w:rPr>
          <w:sz w:val="24"/>
          <w:szCs w:val="24"/>
        </w:rPr>
        <w:t xml:space="preserve"> June 4, 2019</w:t>
      </w:r>
      <w:r w:rsidRPr="000E0BFD">
        <w:rPr>
          <w:sz w:val="24"/>
          <w:szCs w:val="24"/>
        </w:rPr>
        <w:t xml:space="preserve">, at </w:t>
      </w:r>
    </w:p>
    <w:p w:rsidR="00102972" w:rsidRDefault="00B77EB1" w:rsidP="000E0BFD">
      <w:pPr>
        <w:pStyle w:val="ListParagraph"/>
        <w:ind w:left="1440"/>
        <w:rPr>
          <w:sz w:val="24"/>
          <w:szCs w:val="24"/>
        </w:rPr>
      </w:pPr>
      <w:r>
        <w:rPr>
          <w:sz w:val="24"/>
          <w:szCs w:val="24"/>
        </w:rPr>
        <w:t>84</w:t>
      </w:r>
      <w:r w:rsidR="000E0BFD" w:rsidRPr="000E0BFD">
        <w:rPr>
          <w:sz w:val="24"/>
          <w:szCs w:val="24"/>
        </w:rPr>
        <w:t xml:space="preserve"> FR </w:t>
      </w:r>
      <w:r>
        <w:rPr>
          <w:sz w:val="24"/>
          <w:szCs w:val="24"/>
        </w:rPr>
        <w:t>25891</w:t>
      </w:r>
      <w:r w:rsidR="000E0BFD" w:rsidRPr="000E0BFD">
        <w:rPr>
          <w:sz w:val="24"/>
          <w:szCs w:val="24"/>
        </w:rPr>
        <w:t xml:space="preserve">, and we received no public comments.  The 30-day FRN published on </w:t>
      </w:r>
      <w:r w:rsidR="00A724B1">
        <w:rPr>
          <w:sz w:val="24"/>
          <w:szCs w:val="24"/>
        </w:rPr>
        <w:t>August 13, 2019</w:t>
      </w:r>
      <w:r w:rsidR="000E0BFD" w:rsidRPr="000E0BFD">
        <w:rPr>
          <w:sz w:val="24"/>
          <w:szCs w:val="24"/>
        </w:rPr>
        <w:t xml:space="preserve"> at</w:t>
      </w:r>
      <w:r w:rsidR="00A724B1">
        <w:rPr>
          <w:sz w:val="24"/>
          <w:szCs w:val="24"/>
        </w:rPr>
        <w:t xml:space="preserve"> 84 FR 40121</w:t>
      </w:r>
      <w:r w:rsidR="000E0BFD" w:rsidRPr="000E0BFD">
        <w:rPr>
          <w:sz w:val="24"/>
          <w:szCs w:val="24"/>
        </w:rPr>
        <w:t xml:space="preserve">.  If we receive any comments in response to this Notice, we will forward them to OMB. </w:t>
      </w:r>
      <w:r w:rsidR="00102972">
        <w:rPr>
          <w:sz w:val="24"/>
          <w:szCs w:val="24"/>
        </w:rPr>
        <w:t xml:space="preserve"> </w:t>
      </w:r>
    </w:p>
    <w:p w:rsidR="000E0BFD" w:rsidRPr="00102972" w:rsidRDefault="00756E75" w:rsidP="000E0BFD">
      <w:pPr>
        <w:pStyle w:val="ListParagraph"/>
        <w:ind w:left="1440"/>
        <w:rPr>
          <w:b/>
          <w:i/>
          <w:sz w:val="24"/>
          <w:szCs w:val="24"/>
        </w:rPr>
      </w:pPr>
      <w:r w:rsidRPr="00756E75">
        <w:rPr>
          <w:i/>
          <w:sz w:val="24"/>
          <w:szCs w:val="24"/>
        </w:rPr>
        <w:t>Correction</w:t>
      </w:r>
      <w:r>
        <w:rPr>
          <w:i/>
          <w:sz w:val="24"/>
          <w:szCs w:val="24"/>
        </w:rPr>
        <w:t xml:space="preserve">:  </w:t>
      </w:r>
      <w:r w:rsidR="00102972" w:rsidRPr="00102972">
        <w:rPr>
          <w:i/>
          <w:sz w:val="24"/>
          <w:szCs w:val="24"/>
        </w:rPr>
        <w:t xml:space="preserve">The first Federal Register Notice lists this ICR as a revision; however, </w:t>
      </w:r>
      <w:r w:rsidR="00E1505B">
        <w:rPr>
          <w:i/>
          <w:sz w:val="24"/>
          <w:szCs w:val="24"/>
        </w:rPr>
        <w:t>since</w:t>
      </w:r>
      <w:r w:rsidR="00102972" w:rsidRPr="00102972">
        <w:rPr>
          <w:i/>
          <w:sz w:val="24"/>
          <w:szCs w:val="24"/>
        </w:rPr>
        <w:t xml:space="preserve"> we are </w:t>
      </w:r>
      <w:r w:rsidR="00102972">
        <w:rPr>
          <w:i/>
          <w:sz w:val="24"/>
          <w:szCs w:val="24"/>
        </w:rPr>
        <w:t>not making any revisions to this ICR</w:t>
      </w:r>
      <w:r w:rsidR="00E1505B">
        <w:rPr>
          <w:i/>
          <w:sz w:val="24"/>
          <w:szCs w:val="24"/>
        </w:rPr>
        <w:t xml:space="preserve">, </w:t>
      </w:r>
      <w:r w:rsidR="00102972" w:rsidRPr="00102972">
        <w:rPr>
          <w:i/>
          <w:sz w:val="24"/>
          <w:szCs w:val="24"/>
        </w:rPr>
        <w:t>S</w:t>
      </w:r>
      <w:r w:rsidR="00102972">
        <w:rPr>
          <w:i/>
          <w:sz w:val="24"/>
          <w:szCs w:val="24"/>
        </w:rPr>
        <w:t>SA is now listing this ICR as an extension.</w:t>
      </w:r>
    </w:p>
    <w:p w:rsidR="00875719" w:rsidRPr="00102972" w:rsidRDefault="00875719" w:rsidP="00DE79A8">
      <w:pPr>
        <w:tabs>
          <w:tab w:val="num" w:pos="1440"/>
        </w:tabs>
        <w:ind w:left="1440"/>
        <w:rPr>
          <w:sz w:val="24"/>
          <w:szCs w:val="24"/>
        </w:rPr>
      </w:pPr>
    </w:p>
    <w:p w:rsidR="00875719" w:rsidRPr="00D2043C" w:rsidRDefault="00875719" w:rsidP="00DE79A8">
      <w:pPr>
        <w:numPr>
          <w:ilvl w:val="0"/>
          <w:numId w:val="2"/>
        </w:numPr>
        <w:tabs>
          <w:tab w:val="clear" w:pos="720"/>
          <w:tab w:val="num" w:pos="1440"/>
        </w:tabs>
        <w:ind w:left="1440" w:hanging="720"/>
        <w:rPr>
          <w:b/>
          <w:sz w:val="24"/>
        </w:rPr>
      </w:pPr>
      <w:r w:rsidRPr="00D2043C">
        <w:rPr>
          <w:b/>
          <w:sz w:val="24"/>
        </w:rPr>
        <w:t>Payment or Gifts to Respondents</w:t>
      </w:r>
    </w:p>
    <w:p w:rsidR="00875719" w:rsidRDefault="00875719" w:rsidP="00DE79A8">
      <w:pPr>
        <w:tabs>
          <w:tab w:val="num" w:pos="1440"/>
        </w:tabs>
        <w:ind w:left="1440"/>
        <w:rPr>
          <w:sz w:val="24"/>
          <w:szCs w:val="24"/>
        </w:rPr>
      </w:pPr>
      <w:r>
        <w:rPr>
          <w:sz w:val="24"/>
        </w:rPr>
        <w:t>SSA does not provide payments or gifts to the respondents.</w:t>
      </w:r>
      <w:r w:rsidR="00107C54">
        <w:rPr>
          <w:sz w:val="24"/>
          <w:szCs w:val="24"/>
        </w:rPr>
        <w:t xml:space="preserve"> </w:t>
      </w:r>
    </w:p>
    <w:p w:rsidR="00107C54" w:rsidRPr="00107C54" w:rsidRDefault="00107C54" w:rsidP="00107C54">
      <w:pPr>
        <w:ind w:left="720"/>
        <w:rPr>
          <w:b/>
          <w:sz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Assurances of Confidentiality</w:t>
      </w:r>
    </w:p>
    <w:p w:rsidR="00875719" w:rsidRPr="00DE79A8" w:rsidRDefault="00183B7D" w:rsidP="00DE79A8">
      <w:pPr>
        <w:tabs>
          <w:tab w:val="num" w:pos="1440"/>
        </w:tabs>
        <w:ind w:left="1440"/>
        <w:rPr>
          <w:sz w:val="24"/>
        </w:rPr>
      </w:pPr>
      <w:r w:rsidRPr="00DE79A8">
        <w:rPr>
          <w:sz w:val="24"/>
        </w:rPr>
        <w:t>SSA pr</w:t>
      </w:r>
      <w:r w:rsidR="00875719" w:rsidRPr="00DE79A8">
        <w:rPr>
          <w:sz w:val="24"/>
        </w:rPr>
        <w:t xml:space="preserve">otects and holds confidential the information it collects in accordance with </w:t>
      </w:r>
      <w:r w:rsidR="00875719" w:rsidRPr="00DE79A8">
        <w:rPr>
          <w:i/>
          <w:sz w:val="24"/>
        </w:rPr>
        <w:t>42 U.S.C. 1306, 20 CFR 401</w:t>
      </w:r>
      <w:r w:rsidR="00875719" w:rsidRPr="00DE79A8">
        <w:rPr>
          <w:sz w:val="24"/>
        </w:rPr>
        <w:t xml:space="preserve"> and </w:t>
      </w:r>
      <w:r w:rsidR="00875719" w:rsidRPr="00DE79A8">
        <w:rPr>
          <w:i/>
          <w:sz w:val="24"/>
        </w:rPr>
        <w:t>402, 5 U.S.C. 552</w:t>
      </w:r>
      <w:r w:rsidR="00875719" w:rsidRPr="00DE79A8">
        <w:rPr>
          <w:sz w:val="24"/>
        </w:rPr>
        <w:t xml:space="preserve"> (Freedom of Information Act), </w:t>
      </w:r>
      <w:r w:rsidR="00875719" w:rsidRPr="00DE79A8">
        <w:rPr>
          <w:i/>
          <w:sz w:val="24"/>
        </w:rPr>
        <w:t>5 U.S.C. 552a</w:t>
      </w:r>
      <w:r w:rsidR="00875719" w:rsidRPr="00DE79A8">
        <w:rPr>
          <w:sz w:val="24"/>
        </w:rPr>
        <w:t xml:space="preserve"> (Privacy Act of 1974), and OMB Circular No. A-130.</w:t>
      </w:r>
    </w:p>
    <w:p w:rsidR="00875719" w:rsidRPr="00DE79A8" w:rsidRDefault="00875719" w:rsidP="00DE79A8">
      <w:pPr>
        <w:tabs>
          <w:tab w:val="num" w:pos="1440"/>
        </w:tabs>
        <w:ind w:left="1440"/>
        <w:rPr>
          <w:sz w:val="24"/>
          <w:szCs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Justification for Sensitive Questions</w:t>
      </w:r>
    </w:p>
    <w:p w:rsidR="00875719" w:rsidRPr="00DE79A8" w:rsidRDefault="00875719" w:rsidP="00DE79A8">
      <w:pPr>
        <w:tabs>
          <w:tab w:val="num" w:pos="1440"/>
        </w:tabs>
        <w:ind w:left="1440"/>
        <w:rPr>
          <w:sz w:val="24"/>
          <w:szCs w:val="24"/>
        </w:rPr>
      </w:pPr>
      <w:r w:rsidRPr="00DE79A8">
        <w:rPr>
          <w:sz w:val="24"/>
        </w:rPr>
        <w:t>The information collection does not contain any questions of a sensitive nature.</w:t>
      </w:r>
    </w:p>
    <w:p w:rsidR="00875719" w:rsidRDefault="00875719" w:rsidP="00DE79A8">
      <w:pPr>
        <w:tabs>
          <w:tab w:val="num" w:pos="1440"/>
        </w:tabs>
        <w:ind w:left="1440"/>
        <w:rPr>
          <w:sz w:val="24"/>
          <w:szCs w:val="24"/>
        </w:rPr>
      </w:pPr>
    </w:p>
    <w:p w:rsidR="00423854" w:rsidRDefault="00423854" w:rsidP="00DE79A8">
      <w:pPr>
        <w:tabs>
          <w:tab w:val="num" w:pos="1440"/>
        </w:tabs>
        <w:ind w:left="1440"/>
        <w:rPr>
          <w:sz w:val="24"/>
          <w:szCs w:val="24"/>
        </w:rPr>
      </w:pPr>
    </w:p>
    <w:p w:rsidR="00423854" w:rsidRDefault="00423854" w:rsidP="00DE79A8">
      <w:pPr>
        <w:tabs>
          <w:tab w:val="num" w:pos="1440"/>
        </w:tabs>
        <w:ind w:left="1440"/>
        <w:rPr>
          <w:sz w:val="24"/>
          <w:szCs w:val="24"/>
        </w:rPr>
      </w:pPr>
    </w:p>
    <w:p w:rsidR="00423854" w:rsidRDefault="00423854" w:rsidP="00F40D30">
      <w:pPr>
        <w:tabs>
          <w:tab w:val="num" w:pos="1440"/>
        </w:tabs>
        <w:rPr>
          <w:sz w:val="24"/>
          <w:szCs w:val="24"/>
        </w:rPr>
      </w:pPr>
    </w:p>
    <w:p w:rsidR="00423854" w:rsidRDefault="00423854" w:rsidP="00DE79A8">
      <w:pPr>
        <w:tabs>
          <w:tab w:val="num" w:pos="1440"/>
        </w:tabs>
        <w:ind w:left="1440"/>
        <w:rPr>
          <w:sz w:val="24"/>
          <w:szCs w:val="24"/>
        </w:rPr>
      </w:pPr>
    </w:p>
    <w:p w:rsidR="00875719" w:rsidRDefault="00875719" w:rsidP="00DE79A8">
      <w:pPr>
        <w:numPr>
          <w:ilvl w:val="0"/>
          <w:numId w:val="2"/>
        </w:numPr>
        <w:tabs>
          <w:tab w:val="clear" w:pos="720"/>
          <w:tab w:val="num" w:pos="1440"/>
        </w:tabs>
        <w:ind w:left="1440" w:hanging="720"/>
        <w:rPr>
          <w:b/>
          <w:sz w:val="24"/>
        </w:rPr>
      </w:pPr>
      <w:r w:rsidRPr="00DE79A8">
        <w:rPr>
          <w:b/>
          <w:sz w:val="24"/>
        </w:rPr>
        <w:lastRenderedPageBreak/>
        <w:t>Estimates of Public Reporting Burden</w:t>
      </w:r>
    </w:p>
    <w:tbl>
      <w:tblPr>
        <w:tblpPr w:leftFromText="180" w:rightFromText="180" w:vertAnchor="text" w:horzAnchor="page" w:tblpX="2906" w:tblpY="176"/>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530"/>
        <w:gridCol w:w="1530"/>
        <w:gridCol w:w="1350"/>
        <w:gridCol w:w="1530"/>
      </w:tblGrid>
      <w:tr w:rsidR="00436A01" w:rsidRPr="00436A01" w:rsidTr="009D2230">
        <w:trPr>
          <w:trHeight w:val="854"/>
        </w:trPr>
        <w:tc>
          <w:tcPr>
            <w:tcW w:w="1885" w:type="dxa"/>
          </w:tcPr>
          <w:p w:rsidR="00436A01" w:rsidRPr="00436A01" w:rsidRDefault="00436A01" w:rsidP="00436A01">
            <w:pPr>
              <w:rPr>
                <w:b/>
                <w:sz w:val="24"/>
                <w:szCs w:val="24"/>
              </w:rPr>
            </w:pPr>
            <w:r w:rsidRPr="00436A01">
              <w:rPr>
                <w:b/>
                <w:sz w:val="24"/>
                <w:szCs w:val="24"/>
              </w:rPr>
              <w:t xml:space="preserve">Modality of Completion </w:t>
            </w:r>
          </w:p>
        </w:tc>
        <w:tc>
          <w:tcPr>
            <w:tcW w:w="1530" w:type="dxa"/>
          </w:tcPr>
          <w:p w:rsidR="00436A01" w:rsidRPr="00436A01" w:rsidRDefault="00436A01" w:rsidP="00436A01">
            <w:pPr>
              <w:rPr>
                <w:b/>
                <w:sz w:val="24"/>
                <w:szCs w:val="24"/>
              </w:rPr>
            </w:pPr>
            <w:r w:rsidRPr="00436A01">
              <w:rPr>
                <w:b/>
                <w:sz w:val="24"/>
                <w:szCs w:val="24"/>
              </w:rPr>
              <w:t>Number of Respondents</w:t>
            </w:r>
          </w:p>
        </w:tc>
        <w:tc>
          <w:tcPr>
            <w:tcW w:w="1530" w:type="dxa"/>
          </w:tcPr>
          <w:p w:rsidR="00436A01" w:rsidRPr="00436A01" w:rsidRDefault="00436A01" w:rsidP="00436A01">
            <w:pPr>
              <w:rPr>
                <w:b/>
                <w:sz w:val="24"/>
                <w:szCs w:val="24"/>
              </w:rPr>
            </w:pPr>
            <w:r w:rsidRPr="00436A01">
              <w:rPr>
                <w:b/>
                <w:sz w:val="24"/>
                <w:szCs w:val="24"/>
              </w:rPr>
              <w:t>Frequency of Response</w:t>
            </w:r>
          </w:p>
        </w:tc>
        <w:tc>
          <w:tcPr>
            <w:tcW w:w="1350" w:type="dxa"/>
          </w:tcPr>
          <w:p w:rsidR="00436A01" w:rsidRPr="00436A01" w:rsidRDefault="00436A01" w:rsidP="00436A01">
            <w:pPr>
              <w:rPr>
                <w:b/>
                <w:sz w:val="24"/>
                <w:szCs w:val="24"/>
              </w:rPr>
            </w:pPr>
            <w:r w:rsidRPr="00436A01">
              <w:rPr>
                <w:b/>
                <w:sz w:val="24"/>
                <w:szCs w:val="24"/>
              </w:rPr>
              <w:t>Average Burden Per Response</w:t>
            </w:r>
          </w:p>
          <w:p w:rsidR="00436A01" w:rsidRPr="00436A01" w:rsidRDefault="00436A01" w:rsidP="00436A01">
            <w:pPr>
              <w:rPr>
                <w:b/>
                <w:sz w:val="24"/>
                <w:szCs w:val="24"/>
              </w:rPr>
            </w:pPr>
            <w:r w:rsidRPr="00436A01">
              <w:rPr>
                <w:b/>
                <w:sz w:val="24"/>
                <w:szCs w:val="24"/>
              </w:rPr>
              <w:t>(minutes)</w:t>
            </w:r>
          </w:p>
        </w:tc>
        <w:tc>
          <w:tcPr>
            <w:tcW w:w="1530" w:type="dxa"/>
          </w:tcPr>
          <w:p w:rsidR="00436A01" w:rsidRPr="00436A01" w:rsidRDefault="00436A01" w:rsidP="00436A01">
            <w:pPr>
              <w:rPr>
                <w:b/>
                <w:sz w:val="24"/>
                <w:szCs w:val="24"/>
              </w:rPr>
            </w:pPr>
            <w:r w:rsidRPr="00436A01">
              <w:rPr>
                <w:b/>
                <w:sz w:val="24"/>
                <w:szCs w:val="24"/>
              </w:rPr>
              <w:t>Estimated Total Annual Burden (hours)</w:t>
            </w:r>
          </w:p>
        </w:tc>
      </w:tr>
      <w:tr w:rsidR="00436A01" w:rsidRPr="00436A01" w:rsidTr="009D2230">
        <w:trPr>
          <w:trHeight w:val="280"/>
        </w:trPr>
        <w:tc>
          <w:tcPr>
            <w:tcW w:w="1885" w:type="dxa"/>
          </w:tcPr>
          <w:p w:rsidR="00436A01" w:rsidRPr="00436A01" w:rsidRDefault="00436A01" w:rsidP="00436A01">
            <w:pPr>
              <w:rPr>
                <w:sz w:val="24"/>
                <w:szCs w:val="24"/>
              </w:rPr>
            </w:pPr>
            <w:r w:rsidRPr="00436A01">
              <w:rPr>
                <w:sz w:val="24"/>
                <w:szCs w:val="24"/>
              </w:rPr>
              <w:t>20 CFR 422.527</w:t>
            </w:r>
          </w:p>
        </w:tc>
        <w:tc>
          <w:tcPr>
            <w:tcW w:w="1530" w:type="dxa"/>
          </w:tcPr>
          <w:p w:rsidR="00436A01" w:rsidRPr="00436A01" w:rsidRDefault="00436A01" w:rsidP="00436A01">
            <w:pPr>
              <w:jc w:val="right"/>
              <w:rPr>
                <w:sz w:val="24"/>
                <w:szCs w:val="24"/>
              </w:rPr>
            </w:pPr>
            <w:r w:rsidRPr="00436A01">
              <w:rPr>
                <w:sz w:val="24"/>
                <w:szCs w:val="24"/>
              </w:rPr>
              <w:t>10</w:t>
            </w:r>
          </w:p>
        </w:tc>
        <w:tc>
          <w:tcPr>
            <w:tcW w:w="1530" w:type="dxa"/>
          </w:tcPr>
          <w:p w:rsidR="00436A01" w:rsidRPr="00436A01" w:rsidRDefault="00436A01" w:rsidP="00436A01">
            <w:pPr>
              <w:jc w:val="right"/>
              <w:rPr>
                <w:sz w:val="24"/>
                <w:szCs w:val="24"/>
              </w:rPr>
            </w:pPr>
            <w:r w:rsidRPr="00436A01">
              <w:rPr>
                <w:sz w:val="24"/>
                <w:szCs w:val="24"/>
              </w:rPr>
              <w:t>15</w:t>
            </w:r>
          </w:p>
        </w:tc>
        <w:tc>
          <w:tcPr>
            <w:tcW w:w="1350" w:type="dxa"/>
          </w:tcPr>
          <w:p w:rsidR="00436A01" w:rsidRPr="00436A01" w:rsidRDefault="00436A01" w:rsidP="00436A01">
            <w:pPr>
              <w:jc w:val="right"/>
              <w:rPr>
                <w:sz w:val="24"/>
                <w:szCs w:val="24"/>
              </w:rPr>
            </w:pPr>
            <w:r w:rsidRPr="00436A01">
              <w:rPr>
                <w:sz w:val="24"/>
                <w:szCs w:val="24"/>
              </w:rPr>
              <w:t>10</w:t>
            </w:r>
          </w:p>
        </w:tc>
        <w:tc>
          <w:tcPr>
            <w:tcW w:w="1530" w:type="dxa"/>
          </w:tcPr>
          <w:p w:rsidR="00436A01" w:rsidRPr="00436A01" w:rsidRDefault="00436A01" w:rsidP="00436A01">
            <w:pPr>
              <w:jc w:val="right"/>
              <w:rPr>
                <w:sz w:val="24"/>
                <w:szCs w:val="24"/>
              </w:rPr>
            </w:pPr>
            <w:r w:rsidRPr="00436A01">
              <w:rPr>
                <w:sz w:val="24"/>
                <w:szCs w:val="24"/>
              </w:rPr>
              <w:t>25</w:t>
            </w:r>
          </w:p>
        </w:tc>
      </w:tr>
    </w:tbl>
    <w:p w:rsidR="00436A01" w:rsidRPr="00436A01" w:rsidRDefault="00436A01" w:rsidP="00436A01">
      <w:pPr>
        <w:rPr>
          <w:b/>
          <w:sz w:val="24"/>
          <w:szCs w:val="24"/>
        </w:rPr>
      </w:pPr>
    </w:p>
    <w:p w:rsidR="00436A01" w:rsidRPr="00436A01" w:rsidRDefault="00436A01" w:rsidP="00436A01">
      <w:pPr>
        <w:rPr>
          <w:b/>
          <w:sz w:val="24"/>
          <w:szCs w:val="24"/>
        </w:rPr>
      </w:pPr>
    </w:p>
    <w:p w:rsidR="00436A01" w:rsidRPr="00436A01" w:rsidRDefault="00436A01" w:rsidP="00436A01">
      <w:pPr>
        <w:rPr>
          <w:b/>
          <w:sz w:val="24"/>
          <w:szCs w:val="24"/>
        </w:rPr>
      </w:pPr>
    </w:p>
    <w:p w:rsidR="00436A01" w:rsidRPr="00436A01" w:rsidRDefault="00436A01" w:rsidP="00436A01">
      <w:pPr>
        <w:rPr>
          <w:b/>
          <w:sz w:val="24"/>
          <w:szCs w:val="24"/>
        </w:rPr>
      </w:pPr>
    </w:p>
    <w:p w:rsidR="00436A01" w:rsidRPr="00436A01" w:rsidRDefault="00436A01" w:rsidP="00436A01">
      <w:pPr>
        <w:rPr>
          <w:b/>
          <w:sz w:val="24"/>
          <w:szCs w:val="24"/>
        </w:rPr>
      </w:pPr>
    </w:p>
    <w:p w:rsidR="00423854" w:rsidRDefault="00423854" w:rsidP="009D2230">
      <w:pPr>
        <w:pStyle w:val="ListParagraph"/>
        <w:ind w:left="1440"/>
        <w:rPr>
          <w:sz w:val="24"/>
          <w:szCs w:val="24"/>
        </w:rPr>
      </w:pPr>
    </w:p>
    <w:p w:rsidR="009D2230" w:rsidRPr="009D2230" w:rsidRDefault="009D2230" w:rsidP="009D2230">
      <w:pPr>
        <w:pStyle w:val="ListParagraph"/>
        <w:ind w:left="1440"/>
        <w:rPr>
          <w:sz w:val="24"/>
          <w:szCs w:val="24"/>
        </w:rPr>
      </w:pPr>
      <w:r w:rsidRPr="009D2230">
        <w:rPr>
          <w:sz w:val="24"/>
          <w:szCs w:val="24"/>
        </w:rPr>
        <w:t>T</w:t>
      </w:r>
      <w:r w:rsidR="00B805D5">
        <w:rPr>
          <w:sz w:val="24"/>
          <w:szCs w:val="24"/>
        </w:rPr>
        <w:t>T</w:t>
      </w:r>
      <w:r w:rsidRPr="009D2230">
        <w:rPr>
          <w:sz w:val="24"/>
          <w:szCs w:val="24"/>
        </w:rPr>
        <w:t xml:space="preserve">he total burden for this ICR is </w:t>
      </w:r>
      <w:r w:rsidRPr="009D2230">
        <w:rPr>
          <w:b/>
          <w:sz w:val="24"/>
          <w:szCs w:val="24"/>
        </w:rPr>
        <w:t>25</w:t>
      </w:r>
      <w:r w:rsidRPr="009D2230">
        <w:rPr>
          <w:sz w:val="24"/>
          <w:szCs w:val="24"/>
        </w:rPr>
        <w:t xml:space="preserve"> hours.  We based these figures on current management information data.  This figure represents burden hours, and we did not calculate a separate cost burden.</w:t>
      </w:r>
    </w:p>
    <w:p w:rsidR="009D2230" w:rsidRPr="009D2230" w:rsidRDefault="009D2230" w:rsidP="00DE79A8">
      <w:pPr>
        <w:tabs>
          <w:tab w:val="num" w:pos="1440"/>
        </w:tabs>
        <w:ind w:left="1440"/>
        <w:rPr>
          <w:sz w:val="24"/>
          <w:szCs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Annual Cost to the Respondents (Other)</w:t>
      </w:r>
    </w:p>
    <w:p w:rsidR="00875719" w:rsidRPr="00DE79A8" w:rsidRDefault="00875719" w:rsidP="00DE79A8">
      <w:pPr>
        <w:tabs>
          <w:tab w:val="num" w:pos="1440"/>
        </w:tabs>
        <w:ind w:left="1440"/>
        <w:rPr>
          <w:sz w:val="24"/>
          <w:szCs w:val="24"/>
        </w:rPr>
      </w:pPr>
      <w:r w:rsidRPr="00DE79A8">
        <w:rPr>
          <w:sz w:val="24"/>
        </w:rPr>
        <w:t>This collection does not impose a known cost burden to the respondents.</w:t>
      </w:r>
    </w:p>
    <w:p w:rsidR="00875719" w:rsidRPr="00DE79A8" w:rsidRDefault="00875719" w:rsidP="00DE79A8">
      <w:pPr>
        <w:tabs>
          <w:tab w:val="num" w:pos="1440"/>
        </w:tabs>
        <w:ind w:left="1440"/>
        <w:rPr>
          <w:sz w:val="24"/>
          <w:szCs w:val="24"/>
        </w:rPr>
      </w:pPr>
    </w:p>
    <w:p w:rsidR="00875719" w:rsidRPr="00DE79A8" w:rsidRDefault="00875719" w:rsidP="00DE79A8">
      <w:pPr>
        <w:numPr>
          <w:ilvl w:val="0"/>
          <w:numId w:val="2"/>
        </w:numPr>
        <w:tabs>
          <w:tab w:val="clear" w:pos="720"/>
          <w:tab w:val="num" w:pos="1440"/>
        </w:tabs>
        <w:ind w:left="1440" w:hanging="720"/>
        <w:rPr>
          <w:b/>
          <w:sz w:val="24"/>
          <w:szCs w:val="24"/>
        </w:rPr>
      </w:pPr>
      <w:r w:rsidRPr="00DE79A8">
        <w:rPr>
          <w:b/>
          <w:sz w:val="24"/>
          <w:szCs w:val="24"/>
        </w:rPr>
        <w:t>Annual Cost To Federal Government</w:t>
      </w:r>
    </w:p>
    <w:p w:rsidR="006D3F9E" w:rsidRDefault="00875719" w:rsidP="006D3F9E">
      <w:pPr>
        <w:tabs>
          <w:tab w:val="num" w:pos="1440"/>
        </w:tabs>
        <w:ind w:left="1440"/>
        <w:rPr>
          <w:b/>
          <w:sz w:val="24"/>
        </w:rPr>
      </w:pPr>
      <w:r w:rsidRPr="00DE79A8">
        <w:rPr>
          <w:sz w:val="24"/>
          <w:szCs w:val="24"/>
        </w:rPr>
        <w:t>The annual cost to the Federal Government is approximately</w:t>
      </w:r>
      <w:r w:rsidR="00BE79C0" w:rsidRPr="00DE79A8">
        <w:rPr>
          <w:sz w:val="24"/>
          <w:szCs w:val="24"/>
        </w:rPr>
        <w:t xml:space="preserve"> </w:t>
      </w:r>
      <w:r w:rsidRPr="00756E75">
        <w:rPr>
          <w:sz w:val="24"/>
          <w:szCs w:val="24"/>
        </w:rPr>
        <w:t>$</w:t>
      </w:r>
      <w:r w:rsidR="000C07EB" w:rsidRPr="00756E75">
        <w:rPr>
          <w:sz w:val="24"/>
          <w:szCs w:val="24"/>
        </w:rPr>
        <w:t>1</w:t>
      </w:r>
      <w:r w:rsidR="00B805D5">
        <w:rPr>
          <w:sz w:val="24"/>
          <w:szCs w:val="24"/>
        </w:rPr>
        <w:t>,</w:t>
      </w:r>
      <w:r w:rsidR="000C07EB" w:rsidRPr="00756E75">
        <w:rPr>
          <w:sz w:val="24"/>
          <w:szCs w:val="24"/>
        </w:rPr>
        <w:t>1</w:t>
      </w:r>
      <w:r w:rsidR="00874C5B" w:rsidRPr="00756E75">
        <w:rPr>
          <w:sz w:val="24"/>
          <w:szCs w:val="24"/>
        </w:rPr>
        <w:t>50</w:t>
      </w:r>
      <w:r w:rsidR="006D3F9E">
        <w:rPr>
          <w:b/>
          <w:sz w:val="24"/>
          <w:szCs w:val="24"/>
        </w:rPr>
        <w:t xml:space="preserve">.  </w:t>
      </w:r>
      <w:r w:rsidR="006D3F9E" w:rsidRPr="006D3F9E">
        <w:rPr>
          <w:color w:val="000000"/>
          <w:sz w:val="24"/>
          <w:szCs w:val="24"/>
        </w:rPr>
        <w:t xml:space="preserve">This estimate accounts for costs from the following areas:  (1) designing, printing, and distributing the form; </w:t>
      </w:r>
      <w:r w:rsidR="006D3F9E">
        <w:rPr>
          <w:color w:val="000000"/>
          <w:sz w:val="24"/>
          <w:szCs w:val="24"/>
        </w:rPr>
        <w:t xml:space="preserve">and </w:t>
      </w:r>
      <w:r w:rsidR="006D3F9E" w:rsidRPr="006D3F9E">
        <w:rPr>
          <w:color w:val="000000"/>
          <w:sz w:val="24"/>
          <w:szCs w:val="24"/>
        </w:rPr>
        <w:t>(2) SSA employee (e.g., field office, 800 number, DDS staff) information collection and processing time</w:t>
      </w:r>
      <w:r w:rsidR="006D3F9E">
        <w:rPr>
          <w:b/>
          <w:sz w:val="24"/>
        </w:rPr>
        <w:t>.</w:t>
      </w:r>
    </w:p>
    <w:p w:rsidR="00DA26A8" w:rsidRPr="006D3F9E" w:rsidRDefault="00DA26A8" w:rsidP="006D3F9E">
      <w:pPr>
        <w:tabs>
          <w:tab w:val="num" w:pos="1440"/>
        </w:tabs>
        <w:ind w:left="1440"/>
        <w:rPr>
          <w:b/>
          <w:sz w:val="24"/>
        </w:rPr>
      </w:pPr>
      <w:r w:rsidRPr="006D3F9E">
        <w:rPr>
          <w:b/>
          <w:sz w:val="24"/>
        </w:rPr>
        <w:tab/>
      </w:r>
    </w:p>
    <w:p w:rsidR="0059477F" w:rsidRPr="00DE79A8" w:rsidRDefault="00A31FB8" w:rsidP="00DE79A8">
      <w:pPr>
        <w:pStyle w:val="BodyTextIndent"/>
        <w:numPr>
          <w:ilvl w:val="0"/>
          <w:numId w:val="2"/>
        </w:numPr>
        <w:tabs>
          <w:tab w:val="clear" w:pos="720"/>
          <w:tab w:val="num" w:pos="1440"/>
        </w:tabs>
        <w:ind w:left="1440" w:hanging="720"/>
        <w:rPr>
          <w:rFonts w:ascii="Times New Roman" w:hAnsi="Times New Roman"/>
          <w:b/>
        </w:rPr>
      </w:pPr>
      <w:r w:rsidRPr="00DE79A8">
        <w:rPr>
          <w:rFonts w:ascii="Times New Roman" w:hAnsi="Times New Roman"/>
          <w:b/>
        </w:rPr>
        <w:t>Program Changes or Adjustments to the Information Collection Request</w:t>
      </w:r>
    </w:p>
    <w:p w:rsidR="00786500" w:rsidRPr="00786500" w:rsidRDefault="00786500" w:rsidP="00786500">
      <w:pPr>
        <w:pStyle w:val="ListParagraph"/>
        <w:ind w:firstLine="720"/>
        <w:rPr>
          <w:sz w:val="24"/>
          <w:szCs w:val="24"/>
        </w:rPr>
      </w:pPr>
      <w:r w:rsidRPr="00786500">
        <w:rPr>
          <w:sz w:val="24"/>
          <w:szCs w:val="24"/>
        </w:rPr>
        <w:t>There are no changes to the public reporting burden.</w:t>
      </w:r>
    </w:p>
    <w:p w:rsidR="00786500" w:rsidRPr="00786500" w:rsidRDefault="00786500" w:rsidP="00786500">
      <w:pPr>
        <w:pStyle w:val="ListParagraph"/>
        <w:rPr>
          <w:sz w:val="24"/>
          <w:szCs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Plans for Publication Information Collection Results</w:t>
      </w:r>
    </w:p>
    <w:p w:rsidR="00875719" w:rsidRPr="00DE79A8" w:rsidRDefault="00875719" w:rsidP="00DE79A8">
      <w:pPr>
        <w:tabs>
          <w:tab w:val="num" w:pos="1440"/>
        </w:tabs>
        <w:ind w:left="1440"/>
        <w:rPr>
          <w:sz w:val="24"/>
          <w:szCs w:val="24"/>
        </w:rPr>
      </w:pPr>
      <w:r w:rsidRPr="00DE79A8">
        <w:rPr>
          <w:sz w:val="24"/>
        </w:rPr>
        <w:t>SSA will not publish the results of the information collection.</w:t>
      </w:r>
    </w:p>
    <w:p w:rsidR="00875719" w:rsidRPr="00DE79A8" w:rsidRDefault="00875719" w:rsidP="00DE79A8">
      <w:pPr>
        <w:tabs>
          <w:tab w:val="num" w:pos="1440"/>
        </w:tabs>
        <w:ind w:left="1440"/>
        <w:rPr>
          <w:sz w:val="24"/>
          <w:szCs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Displaying the OMB Approval Expiration Date</w:t>
      </w:r>
    </w:p>
    <w:p w:rsidR="005B5C08" w:rsidRDefault="00875719" w:rsidP="00DE79A8">
      <w:pPr>
        <w:tabs>
          <w:tab w:val="num" w:pos="1440"/>
        </w:tabs>
        <w:ind w:left="1440"/>
        <w:rPr>
          <w:sz w:val="24"/>
          <w:szCs w:val="24"/>
        </w:rPr>
      </w:pPr>
      <w:r w:rsidRPr="00DE79A8">
        <w:rPr>
          <w:sz w:val="24"/>
        </w:rPr>
        <w:t>SSA is not requesting an exception to the requirements to display an expiration date.</w:t>
      </w:r>
    </w:p>
    <w:p w:rsidR="005B5C08" w:rsidRPr="00DE79A8" w:rsidRDefault="005B5C08" w:rsidP="00DE79A8">
      <w:pPr>
        <w:tabs>
          <w:tab w:val="num" w:pos="1440"/>
        </w:tabs>
        <w:ind w:left="1440"/>
        <w:rPr>
          <w:sz w:val="24"/>
          <w:szCs w:val="24"/>
        </w:rPr>
      </w:pPr>
    </w:p>
    <w:p w:rsidR="00875719" w:rsidRPr="00DE79A8" w:rsidRDefault="00875719" w:rsidP="00DE79A8">
      <w:pPr>
        <w:numPr>
          <w:ilvl w:val="0"/>
          <w:numId w:val="2"/>
        </w:numPr>
        <w:tabs>
          <w:tab w:val="clear" w:pos="720"/>
          <w:tab w:val="num" w:pos="1440"/>
        </w:tabs>
        <w:ind w:left="1440" w:hanging="720"/>
        <w:rPr>
          <w:b/>
          <w:sz w:val="24"/>
        </w:rPr>
      </w:pPr>
      <w:r w:rsidRPr="00DE79A8">
        <w:rPr>
          <w:b/>
          <w:sz w:val="24"/>
        </w:rPr>
        <w:t>Exceptions to Certification Statement</w:t>
      </w:r>
    </w:p>
    <w:p w:rsidR="00786500" w:rsidRDefault="00875719" w:rsidP="00DE79A8">
      <w:pPr>
        <w:tabs>
          <w:tab w:val="num" w:pos="1440"/>
        </w:tabs>
        <w:ind w:left="1440"/>
        <w:rPr>
          <w:sz w:val="24"/>
        </w:rPr>
      </w:pPr>
      <w:r w:rsidRPr="00DE79A8">
        <w:rPr>
          <w:sz w:val="24"/>
        </w:rPr>
        <w:t xml:space="preserve">SSA is not requesting an exception to the certification requirements at </w:t>
      </w:r>
    </w:p>
    <w:p w:rsidR="00875719" w:rsidRPr="00B07E72" w:rsidRDefault="00875719" w:rsidP="00DE79A8">
      <w:pPr>
        <w:tabs>
          <w:tab w:val="num" w:pos="1440"/>
        </w:tabs>
        <w:ind w:left="1440"/>
        <w:rPr>
          <w:sz w:val="24"/>
        </w:rPr>
      </w:pPr>
      <w:r w:rsidRPr="00DE79A8">
        <w:rPr>
          <w:i/>
          <w:sz w:val="24"/>
        </w:rPr>
        <w:t>5 CFR 1320.9</w:t>
      </w:r>
      <w:r w:rsidRPr="00DE79A8">
        <w:rPr>
          <w:sz w:val="24"/>
        </w:rPr>
        <w:t xml:space="preserve"> and related provisions at</w:t>
      </w:r>
      <w:r w:rsidRPr="00DE79A8">
        <w:rPr>
          <w:i/>
          <w:sz w:val="24"/>
        </w:rPr>
        <w:t xml:space="preserve"> 5 CFR 1320.8(b)(3)</w:t>
      </w:r>
      <w:r w:rsidRPr="00DE79A8">
        <w:rPr>
          <w:sz w:val="24"/>
        </w:rPr>
        <w:t>.</w:t>
      </w:r>
    </w:p>
    <w:p w:rsidR="00875719" w:rsidRDefault="00875719" w:rsidP="00875719">
      <w:pPr>
        <w:ind w:left="720" w:hanging="360"/>
        <w:rPr>
          <w:sz w:val="24"/>
          <w:szCs w:val="24"/>
        </w:rPr>
      </w:pPr>
    </w:p>
    <w:p w:rsidR="00875719" w:rsidRPr="0022745E" w:rsidRDefault="00875719" w:rsidP="00DE79A8">
      <w:pPr>
        <w:ind w:left="720" w:hanging="540"/>
        <w:rPr>
          <w:sz w:val="24"/>
          <w:szCs w:val="24"/>
        </w:rPr>
      </w:pPr>
      <w:r>
        <w:rPr>
          <w:b/>
          <w:sz w:val="24"/>
        </w:rPr>
        <w:t>B.</w:t>
      </w:r>
      <w:r>
        <w:rPr>
          <w:b/>
          <w:sz w:val="24"/>
        </w:rPr>
        <w:tab/>
      </w:r>
      <w:r>
        <w:rPr>
          <w:b/>
          <w:sz w:val="24"/>
          <w:u w:val="single"/>
        </w:rPr>
        <w:t>Collections of Information Employinq Statistical Methods</w:t>
      </w:r>
    </w:p>
    <w:p w:rsidR="00875719" w:rsidRDefault="00875719" w:rsidP="00875719">
      <w:pPr>
        <w:ind w:firstLine="720"/>
        <w:rPr>
          <w:sz w:val="24"/>
          <w:u w:val="single"/>
        </w:rPr>
      </w:pPr>
    </w:p>
    <w:p w:rsidR="00CF5672" w:rsidRDefault="00875719" w:rsidP="00AA0498">
      <w:pPr>
        <w:ind w:left="1440"/>
      </w:pPr>
      <w:r>
        <w:rPr>
          <w:sz w:val="24"/>
        </w:rPr>
        <w:t>SSA does not use statistical methods for this information collection</w:t>
      </w:r>
      <w:r w:rsidR="00273774">
        <w:rPr>
          <w:sz w:val="24"/>
        </w:rPr>
        <w:t>.</w:t>
      </w:r>
      <w:r w:rsidR="00AA0498">
        <w:t xml:space="preserve"> </w:t>
      </w:r>
    </w:p>
    <w:p w:rsidR="00CF5672" w:rsidRDefault="00CF5672" w:rsidP="00CF5672">
      <w:pPr>
        <w:rPr>
          <w:sz w:val="24"/>
        </w:rPr>
      </w:pPr>
    </w:p>
    <w:sectPr w:rsidR="00CF5672" w:rsidSect="00DE79A8">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E8" w:rsidRDefault="001144E8">
      <w:r>
        <w:separator/>
      </w:r>
    </w:p>
  </w:endnote>
  <w:endnote w:type="continuationSeparator" w:id="0">
    <w:p w:rsidR="001144E8" w:rsidRDefault="0011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W1)">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8" w:rsidRDefault="00A31F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FB8" w:rsidRDefault="00A31F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8" w:rsidRDefault="00A31FB8">
    <w:pPr>
      <w:pStyle w:val="Footer"/>
      <w:framePr w:wrap="around" w:vAnchor="text" w:hAnchor="margin" w:xAlign="right" w:y="1"/>
      <w:rPr>
        <w:rStyle w:val="PageNumber"/>
      </w:rPr>
    </w:pPr>
  </w:p>
  <w:p w:rsidR="00A31FB8" w:rsidRDefault="00A31FB8">
    <w:pPr>
      <w:pStyle w:val="Footer"/>
      <w:ind w:right="360"/>
      <w:rPr>
        <w:rStyle w:val="PageNumber"/>
      </w:rPr>
    </w:pPr>
    <w:r>
      <w:rPr>
        <w:snapToGrid w:val="0"/>
      </w:rPr>
      <w:tab/>
    </w:r>
    <w:r>
      <w:rPr>
        <w:rStyle w:val="PageNumber"/>
      </w:rPr>
      <w:fldChar w:fldCharType="begin"/>
    </w:r>
    <w:r>
      <w:rPr>
        <w:rStyle w:val="PageNumber"/>
      </w:rPr>
      <w:instrText xml:space="preserve"> PAGE </w:instrText>
    </w:r>
    <w:r>
      <w:rPr>
        <w:rStyle w:val="PageNumber"/>
      </w:rPr>
      <w:fldChar w:fldCharType="separate"/>
    </w:r>
    <w:r w:rsidR="00FD4B3A">
      <w:rPr>
        <w:rStyle w:val="PageNumber"/>
      </w:rPr>
      <w:t>1</w:t>
    </w:r>
    <w:r>
      <w:rPr>
        <w:rStyle w:val="PageNumber"/>
      </w:rPr>
      <w:fldChar w:fldCharType="end"/>
    </w:r>
    <w:r>
      <w:rPr>
        <w:rStyle w:val="PageNumber"/>
      </w:rPr>
      <w:tab/>
    </w:r>
  </w:p>
  <w:p w:rsidR="00A31FB8" w:rsidRDefault="00A3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E8" w:rsidRDefault="001144E8">
      <w:r>
        <w:separator/>
      </w:r>
    </w:p>
  </w:footnote>
  <w:footnote w:type="continuationSeparator" w:id="0">
    <w:p w:rsidR="001144E8" w:rsidRDefault="00114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8" w:rsidRDefault="00A31F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31FB8" w:rsidRDefault="00A31F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8" w:rsidRDefault="00A31FB8">
    <w:pPr>
      <w:pStyle w:val="Header"/>
      <w:framePr w:wrap="around" w:vAnchor="text" w:hAnchor="margin" w:xAlign="right" w:y="1"/>
      <w:rPr>
        <w:rStyle w:val="PageNumber"/>
      </w:rPr>
    </w:pPr>
  </w:p>
  <w:p w:rsidR="00A31FB8" w:rsidRDefault="00A31F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EE4"/>
    <w:multiLevelType w:val="hybridMultilevel"/>
    <w:tmpl w:val="4FA4BA72"/>
    <w:lvl w:ilvl="0" w:tplc="4900F22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B4E8A"/>
    <w:multiLevelType w:val="multilevel"/>
    <w:tmpl w:val="A5FE8C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495044"/>
    <w:multiLevelType w:val="singleLevel"/>
    <w:tmpl w:val="0409000F"/>
    <w:lvl w:ilvl="0">
      <w:start w:val="1"/>
      <w:numFmt w:val="decimal"/>
      <w:lvlText w:val="%1."/>
      <w:lvlJc w:val="left"/>
      <w:pPr>
        <w:tabs>
          <w:tab w:val="num" w:pos="360"/>
        </w:tabs>
        <w:ind w:left="360" w:hanging="360"/>
      </w:pPr>
    </w:lvl>
  </w:abstractNum>
  <w:abstractNum w:abstractNumId="3">
    <w:nsid w:val="3406780D"/>
    <w:multiLevelType w:val="multilevel"/>
    <w:tmpl w:val="196EFDB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5E3309C1"/>
    <w:multiLevelType w:val="hybridMultilevel"/>
    <w:tmpl w:val="1CDA550E"/>
    <w:lvl w:ilvl="0" w:tplc="88F6D9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72"/>
    <w:rsid w:val="00034675"/>
    <w:rsid w:val="0005148C"/>
    <w:rsid w:val="00065F76"/>
    <w:rsid w:val="000807C9"/>
    <w:rsid w:val="000A7533"/>
    <w:rsid w:val="000C07EB"/>
    <w:rsid w:val="000E0BFD"/>
    <w:rsid w:val="000F215B"/>
    <w:rsid w:val="00102972"/>
    <w:rsid w:val="00107C54"/>
    <w:rsid w:val="001144E8"/>
    <w:rsid w:val="0011649E"/>
    <w:rsid w:val="00134020"/>
    <w:rsid w:val="00183B7D"/>
    <w:rsid w:val="00215256"/>
    <w:rsid w:val="0022745E"/>
    <w:rsid w:val="002717C4"/>
    <w:rsid w:val="00271F6E"/>
    <w:rsid w:val="00273774"/>
    <w:rsid w:val="00294061"/>
    <w:rsid w:val="002A56EB"/>
    <w:rsid w:val="002F3E54"/>
    <w:rsid w:val="002F4D43"/>
    <w:rsid w:val="003062CA"/>
    <w:rsid w:val="0033048B"/>
    <w:rsid w:val="00337CB6"/>
    <w:rsid w:val="00344713"/>
    <w:rsid w:val="003515BB"/>
    <w:rsid w:val="00360B39"/>
    <w:rsid w:val="0036710D"/>
    <w:rsid w:val="003D4F87"/>
    <w:rsid w:val="00422551"/>
    <w:rsid w:val="00423854"/>
    <w:rsid w:val="00433ABE"/>
    <w:rsid w:val="00436A01"/>
    <w:rsid w:val="0044107F"/>
    <w:rsid w:val="00460BCB"/>
    <w:rsid w:val="0047739C"/>
    <w:rsid w:val="00492C2D"/>
    <w:rsid w:val="004A2673"/>
    <w:rsid w:val="004B6D27"/>
    <w:rsid w:val="004E69F8"/>
    <w:rsid w:val="00536641"/>
    <w:rsid w:val="005604E2"/>
    <w:rsid w:val="0058207A"/>
    <w:rsid w:val="0059477F"/>
    <w:rsid w:val="005B5C08"/>
    <w:rsid w:val="005E0A61"/>
    <w:rsid w:val="00600BFA"/>
    <w:rsid w:val="00622BBD"/>
    <w:rsid w:val="00655254"/>
    <w:rsid w:val="00670A26"/>
    <w:rsid w:val="00684E47"/>
    <w:rsid w:val="00692571"/>
    <w:rsid w:val="006A5710"/>
    <w:rsid w:val="006D3F9E"/>
    <w:rsid w:val="006E3804"/>
    <w:rsid w:val="006F4DFE"/>
    <w:rsid w:val="0070046E"/>
    <w:rsid w:val="00706816"/>
    <w:rsid w:val="007116FE"/>
    <w:rsid w:val="00720297"/>
    <w:rsid w:val="007240E6"/>
    <w:rsid w:val="007446A5"/>
    <w:rsid w:val="00756E75"/>
    <w:rsid w:val="0076720B"/>
    <w:rsid w:val="0077704C"/>
    <w:rsid w:val="00786500"/>
    <w:rsid w:val="007871A0"/>
    <w:rsid w:val="007B69A3"/>
    <w:rsid w:val="007F3223"/>
    <w:rsid w:val="007F7A42"/>
    <w:rsid w:val="00816AE1"/>
    <w:rsid w:val="00860107"/>
    <w:rsid w:val="00874C5B"/>
    <w:rsid w:val="00875719"/>
    <w:rsid w:val="008918AF"/>
    <w:rsid w:val="008A5E93"/>
    <w:rsid w:val="008E06F3"/>
    <w:rsid w:val="009720E9"/>
    <w:rsid w:val="009A7AAF"/>
    <w:rsid w:val="009C640A"/>
    <w:rsid w:val="009D2230"/>
    <w:rsid w:val="009D2B48"/>
    <w:rsid w:val="009F0266"/>
    <w:rsid w:val="00A07E59"/>
    <w:rsid w:val="00A15FFC"/>
    <w:rsid w:val="00A25A13"/>
    <w:rsid w:val="00A31FB8"/>
    <w:rsid w:val="00A724B1"/>
    <w:rsid w:val="00A7638C"/>
    <w:rsid w:val="00A90FB4"/>
    <w:rsid w:val="00AA0498"/>
    <w:rsid w:val="00AB5A19"/>
    <w:rsid w:val="00AD5A06"/>
    <w:rsid w:val="00AD71E5"/>
    <w:rsid w:val="00B230DD"/>
    <w:rsid w:val="00B462CE"/>
    <w:rsid w:val="00B46F1F"/>
    <w:rsid w:val="00B77EB1"/>
    <w:rsid w:val="00B805D5"/>
    <w:rsid w:val="00BA6768"/>
    <w:rsid w:val="00BE4995"/>
    <w:rsid w:val="00BE79C0"/>
    <w:rsid w:val="00BF1E73"/>
    <w:rsid w:val="00C170BA"/>
    <w:rsid w:val="00C810E5"/>
    <w:rsid w:val="00CD3C76"/>
    <w:rsid w:val="00CD5ADB"/>
    <w:rsid w:val="00CF5672"/>
    <w:rsid w:val="00D2043C"/>
    <w:rsid w:val="00D23537"/>
    <w:rsid w:val="00D32383"/>
    <w:rsid w:val="00DA0EA8"/>
    <w:rsid w:val="00DA26A8"/>
    <w:rsid w:val="00DC2C2C"/>
    <w:rsid w:val="00DE79A8"/>
    <w:rsid w:val="00E1505B"/>
    <w:rsid w:val="00E62A33"/>
    <w:rsid w:val="00E67E8E"/>
    <w:rsid w:val="00E9141C"/>
    <w:rsid w:val="00EB2EB0"/>
    <w:rsid w:val="00EE5F60"/>
    <w:rsid w:val="00EF7900"/>
    <w:rsid w:val="00F1249D"/>
    <w:rsid w:val="00F21F89"/>
    <w:rsid w:val="00F2304D"/>
    <w:rsid w:val="00F3087A"/>
    <w:rsid w:val="00F33CDC"/>
    <w:rsid w:val="00F40D30"/>
    <w:rsid w:val="00F82CC6"/>
    <w:rsid w:val="00F9392D"/>
    <w:rsid w:val="00FC117B"/>
    <w:rsid w:val="00FD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0"/>
      </w:tabs>
      <w:jc w:val="center"/>
    </w:pPr>
    <w:rPr>
      <w:rFonts w:ascii="Courier New" w:hAnsi="Courier New"/>
      <w:sz w:val="24"/>
    </w:rPr>
  </w:style>
  <w:style w:type="paragraph" w:styleId="Subtitle">
    <w:name w:val="Subtitle"/>
    <w:basedOn w:val="Normal"/>
    <w:qFormat/>
    <w:pPr>
      <w:tabs>
        <w:tab w:val="left" w:pos="0"/>
      </w:tabs>
      <w:jc w:val="center"/>
    </w:pPr>
    <w:rPr>
      <w:rFonts w:ascii="Courier New" w:hAnsi="Courier New"/>
      <w:sz w:val="24"/>
    </w:rPr>
  </w:style>
  <w:style w:type="paragraph" w:styleId="PlainText">
    <w:name w:val="Plain Text"/>
    <w:basedOn w:val="Normal"/>
    <w:rPr>
      <w:rFonts w:ascii="Courier New" w:hAnsi="Courier New"/>
      <w:noProof w:val="0"/>
    </w:rPr>
  </w:style>
  <w:style w:type="paragraph" w:styleId="BodyTextIndent">
    <w:name w:val="Body Text Indent"/>
    <w:basedOn w:val="Normal"/>
    <w:pPr>
      <w:ind w:left="1440" w:hanging="720"/>
    </w:pPr>
    <w:rPr>
      <w:rFonts w:ascii="Courier New" w:hAnsi="Courier New"/>
      <w:sz w:val="24"/>
    </w:rPr>
  </w:style>
  <w:style w:type="paragraph" w:styleId="BodyTextIndent2">
    <w:name w:val="Body Text Indent 2"/>
    <w:basedOn w:val="Normal"/>
    <w:pPr>
      <w:tabs>
        <w:tab w:val="left" w:pos="-720"/>
        <w:tab w:val="left" w:pos="0"/>
        <w:tab w:val="left" w:pos="720"/>
      </w:tabs>
      <w:suppressAutoHyphens/>
      <w:ind w:left="1440" w:hanging="1440"/>
    </w:pPr>
    <w:rPr>
      <w:rFonts w:ascii="Courier New" w:hAnsi="Courier New"/>
      <w:sz w:val="24"/>
    </w:rPr>
  </w:style>
  <w:style w:type="paragraph" w:styleId="BodyText">
    <w:name w:val="Body Text"/>
    <w:basedOn w:val="Normal"/>
    <w:rPr>
      <w:rFonts w:ascii="Courier New" w:hAnsi="Courier New"/>
      <w:sz w:val="24"/>
    </w:rPr>
  </w:style>
  <w:style w:type="paragraph" w:styleId="Footer">
    <w:name w:val="footer"/>
    <w:basedOn w:val="Normal"/>
    <w:pPr>
      <w:tabs>
        <w:tab w:val="center" w:pos="4320"/>
        <w:tab w:val="right" w:pos="8640"/>
      </w:tabs>
    </w:pPr>
  </w:style>
  <w:style w:type="paragraph" w:styleId="BodyText2">
    <w:name w:val="Body Text 2"/>
    <w:basedOn w:val="Normal"/>
    <w:rsid w:val="0022745E"/>
    <w:pPr>
      <w:spacing w:after="120" w:line="480" w:lineRule="auto"/>
    </w:pPr>
  </w:style>
  <w:style w:type="character" w:styleId="Hyperlink">
    <w:name w:val="Hyperlink"/>
    <w:rsid w:val="00706816"/>
    <w:rPr>
      <w:color w:val="0000FF"/>
      <w:u w:val="single"/>
    </w:rPr>
  </w:style>
  <w:style w:type="paragraph" w:styleId="ListParagraph">
    <w:name w:val="List Paragraph"/>
    <w:basedOn w:val="Normal"/>
    <w:qFormat/>
    <w:rsid w:val="000E0BFD"/>
    <w:pPr>
      <w:ind w:left="720"/>
      <w:contextualSpacing/>
    </w:pPr>
  </w:style>
  <w:style w:type="paragraph" w:styleId="BalloonText">
    <w:name w:val="Balloon Text"/>
    <w:basedOn w:val="Normal"/>
    <w:link w:val="BalloonTextChar"/>
    <w:rsid w:val="0005148C"/>
    <w:rPr>
      <w:rFonts w:ascii="Segoe UI" w:hAnsi="Segoe UI" w:cs="Segoe UI"/>
      <w:sz w:val="18"/>
      <w:szCs w:val="18"/>
    </w:rPr>
  </w:style>
  <w:style w:type="character" w:customStyle="1" w:styleId="BalloonTextChar">
    <w:name w:val="Balloon Text Char"/>
    <w:basedOn w:val="DefaultParagraphFont"/>
    <w:link w:val="BalloonText"/>
    <w:rsid w:val="0005148C"/>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0"/>
      </w:tabs>
      <w:jc w:val="center"/>
    </w:pPr>
    <w:rPr>
      <w:rFonts w:ascii="Courier New" w:hAnsi="Courier New"/>
      <w:sz w:val="24"/>
    </w:rPr>
  </w:style>
  <w:style w:type="paragraph" w:styleId="Subtitle">
    <w:name w:val="Subtitle"/>
    <w:basedOn w:val="Normal"/>
    <w:qFormat/>
    <w:pPr>
      <w:tabs>
        <w:tab w:val="left" w:pos="0"/>
      </w:tabs>
      <w:jc w:val="center"/>
    </w:pPr>
    <w:rPr>
      <w:rFonts w:ascii="Courier New" w:hAnsi="Courier New"/>
      <w:sz w:val="24"/>
    </w:rPr>
  </w:style>
  <w:style w:type="paragraph" w:styleId="PlainText">
    <w:name w:val="Plain Text"/>
    <w:basedOn w:val="Normal"/>
    <w:rPr>
      <w:rFonts w:ascii="Courier New" w:hAnsi="Courier New"/>
      <w:noProof w:val="0"/>
    </w:rPr>
  </w:style>
  <w:style w:type="paragraph" w:styleId="BodyTextIndent">
    <w:name w:val="Body Text Indent"/>
    <w:basedOn w:val="Normal"/>
    <w:pPr>
      <w:ind w:left="1440" w:hanging="720"/>
    </w:pPr>
    <w:rPr>
      <w:rFonts w:ascii="Courier New" w:hAnsi="Courier New"/>
      <w:sz w:val="24"/>
    </w:rPr>
  </w:style>
  <w:style w:type="paragraph" w:styleId="BodyTextIndent2">
    <w:name w:val="Body Text Indent 2"/>
    <w:basedOn w:val="Normal"/>
    <w:pPr>
      <w:tabs>
        <w:tab w:val="left" w:pos="-720"/>
        <w:tab w:val="left" w:pos="0"/>
        <w:tab w:val="left" w:pos="720"/>
      </w:tabs>
      <w:suppressAutoHyphens/>
      <w:ind w:left="1440" w:hanging="1440"/>
    </w:pPr>
    <w:rPr>
      <w:rFonts w:ascii="Courier New" w:hAnsi="Courier New"/>
      <w:sz w:val="24"/>
    </w:rPr>
  </w:style>
  <w:style w:type="paragraph" w:styleId="BodyText">
    <w:name w:val="Body Text"/>
    <w:basedOn w:val="Normal"/>
    <w:rPr>
      <w:rFonts w:ascii="Courier New" w:hAnsi="Courier New"/>
      <w:sz w:val="24"/>
    </w:rPr>
  </w:style>
  <w:style w:type="paragraph" w:styleId="Footer">
    <w:name w:val="footer"/>
    <w:basedOn w:val="Normal"/>
    <w:pPr>
      <w:tabs>
        <w:tab w:val="center" w:pos="4320"/>
        <w:tab w:val="right" w:pos="8640"/>
      </w:tabs>
    </w:pPr>
  </w:style>
  <w:style w:type="paragraph" w:styleId="BodyText2">
    <w:name w:val="Body Text 2"/>
    <w:basedOn w:val="Normal"/>
    <w:rsid w:val="0022745E"/>
    <w:pPr>
      <w:spacing w:after="120" w:line="480" w:lineRule="auto"/>
    </w:pPr>
  </w:style>
  <w:style w:type="character" w:styleId="Hyperlink">
    <w:name w:val="Hyperlink"/>
    <w:rsid w:val="00706816"/>
    <w:rPr>
      <w:color w:val="0000FF"/>
      <w:u w:val="single"/>
    </w:rPr>
  </w:style>
  <w:style w:type="paragraph" w:styleId="ListParagraph">
    <w:name w:val="List Paragraph"/>
    <w:basedOn w:val="Normal"/>
    <w:qFormat/>
    <w:rsid w:val="000E0BFD"/>
    <w:pPr>
      <w:ind w:left="720"/>
      <w:contextualSpacing/>
    </w:pPr>
  </w:style>
  <w:style w:type="paragraph" w:styleId="BalloonText">
    <w:name w:val="Balloon Text"/>
    <w:basedOn w:val="Normal"/>
    <w:link w:val="BalloonTextChar"/>
    <w:rsid w:val="0005148C"/>
    <w:rPr>
      <w:rFonts w:ascii="Segoe UI" w:hAnsi="Segoe UI" w:cs="Segoe UI"/>
      <w:sz w:val="18"/>
      <w:szCs w:val="18"/>
    </w:rPr>
  </w:style>
  <w:style w:type="character" w:customStyle="1" w:styleId="BalloonTextChar">
    <w:name w:val="Balloon Text Char"/>
    <w:basedOn w:val="DefaultParagraphFont"/>
    <w:link w:val="BalloonText"/>
    <w:rsid w:val="0005148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3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a.gov/online/thirdpartyform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6019-4D8E-400A-AE5B-19436413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Social Security Administration</Company>
  <LinksUpToDate>false</LinksUpToDate>
  <CharactersWithSpaces>6388</CharactersWithSpaces>
  <SharedDoc>false</SharedDoc>
  <HLinks>
    <vt:vector size="6" baseType="variant">
      <vt:variant>
        <vt:i4>4128801</vt:i4>
      </vt:variant>
      <vt:variant>
        <vt:i4>0</vt:i4>
      </vt:variant>
      <vt:variant>
        <vt:i4>0</vt:i4>
      </vt:variant>
      <vt:variant>
        <vt:i4>5</vt:i4>
      </vt:variant>
      <vt:variant>
        <vt:lpwstr>http://www.ssa.gov/online/thirdpartyforms.html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YCROSS</dc:creator>
  <cp:keywords/>
  <cp:lastModifiedBy>SYSTEM</cp:lastModifiedBy>
  <cp:revision>2</cp:revision>
  <cp:lastPrinted>2019-08-14T17:06:00Z</cp:lastPrinted>
  <dcterms:created xsi:type="dcterms:W3CDTF">2019-08-19T18:29:00Z</dcterms:created>
  <dcterms:modified xsi:type="dcterms:W3CDTF">2019-08-19T18:29:00Z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-1165060039</vt:i4>
  </property>
  <property fmtid="{D5CDD505-2E9C-101B-9397-08002B2CF9AE}" pid="4" name="_EmailSubject">
    <vt:lpwstr>OMB Expiration Notice:  0960-0663 Private Printing and Modification of Prescribed Application and Other Forms</vt:lpwstr>
  </property>
  <property fmtid="{D5CDD505-2E9C-101B-9397-08002B2CF9AE}" pid="5" name="_AuthorEmail">
    <vt:lpwstr>Brian.Fox@ssa.gov</vt:lpwstr>
  </property>
  <property fmtid="{D5CDD505-2E9C-101B-9397-08002B2CF9AE}" pid="6" name="_AuthorEmailDisplayName">
    <vt:lpwstr>Fox, Brian</vt:lpwstr>
  </property>
  <property fmtid="{D5CDD505-2E9C-101B-9397-08002B2CF9AE}" pid="7" name="_PreviousAdHocReviewCycleID">
    <vt:i4>-1961437113</vt:i4>
  </property>
  <property fmtid="{D5CDD505-2E9C-101B-9397-08002B2CF9AE}" pid="8" name="_ReviewingToolsShownOnce">
    <vt:lpwstr/>
  </property>
</Properties>
</file>