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7F82B" w14:textId="77777777" w:rsidR="0029478C" w:rsidRDefault="0029478C" w:rsidP="00BA6EFF">
      <w:pPr>
        <w:ind w:left="2880" w:firstLine="720"/>
        <w:rPr>
          <w:b/>
        </w:rPr>
      </w:pPr>
      <w:bookmarkStart w:id="0" w:name="_GoBack"/>
      <w:bookmarkEnd w:id="0"/>
      <w:r w:rsidRPr="00041787">
        <w:rPr>
          <w:b/>
        </w:rPr>
        <w:t>SUPPORTING STATEMENT</w:t>
      </w:r>
      <w:r w:rsidR="002241C1">
        <w:rPr>
          <w:b/>
        </w:rPr>
        <w:t xml:space="preserve"> </w:t>
      </w:r>
    </w:p>
    <w:p w14:paraId="3CF859B8" w14:textId="77777777" w:rsidR="00CF5465" w:rsidRDefault="00CF5465" w:rsidP="00CF5465">
      <w:pPr>
        <w:tabs>
          <w:tab w:val="center" w:pos="4680"/>
        </w:tabs>
        <w:jc w:val="center"/>
        <w:rPr>
          <w:b/>
        </w:rPr>
      </w:pPr>
      <w:r w:rsidRPr="00000539">
        <w:rPr>
          <w:b/>
        </w:rPr>
        <w:t xml:space="preserve"> REEMPLOYMENT </w:t>
      </w:r>
      <w:r w:rsidR="00C606A4">
        <w:rPr>
          <w:b/>
        </w:rPr>
        <w:t xml:space="preserve">SERVICES </w:t>
      </w:r>
      <w:r w:rsidRPr="00000539">
        <w:rPr>
          <w:b/>
        </w:rPr>
        <w:t>AND ELIGIBILITY ASSESSMENT (RE</w:t>
      </w:r>
      <w:r w:rsidR="00406FA2">
        <w:rPr>
          <w:b/>
        </w:rPr>
        <w:t>SE</w:t>
      </w:r>
      <w:r w:rsidRPr="00000539">
        <w:rPr>
          <w:b/>
        </w:rPr>
        <w:t xml:space="preserve">A) REPORTS </w:t>
      </w:r>
    </w:p>
    <w:p w14:paraId="1E96C85B" w14:textId="77777777" w:rsidR="00CF5465" w:rsidRDefault="00CF5465" w:rsidP="00CF5465">
      <w:pPr>
        <w:tabs>
          <w:tab w:val="center" w:pos="4680"/>
        </w:tabs>
        <w:jc w:val="center"/>
        <w:rPr>
          <w:b/>
        </w:rPr>
      </w:pPr>
      <w:r w:rsidRPr="00000539">
        <w:rPr>
          <w:b/>
        </w:rPr>
        <w:t xml:space="preserve">OMB Control Number 1205-0456 </w:t>
      </w:r>
    </w:p>
    <w:p w14:paraId="1990FCBD" w14:textId="77777777" w:rsidR="00EA78D2" w:rsidRDefault="00EA78D2" w:rsidP="00EA78D2">
      <w:pPr>
        <w:autoSpaceDE w:val="0"/>
        <w:autoSpaceDN w:val="0"/>
        <w:adjustRightInd w:val="0"/>
      </w:pPr>
    </w:p>
    <w:p w14:paraId="6A3CA28B" w14:textId="70216F81" w:rsidR="00695963" w:rsidRPr="00695963" w:rsidRDefault="00695963" w:rsidP="00695963">
      <w:pPr>
        <w:autoSpaceDE w:val="0"/>
        <w:autoSpaceDN w:val="0"/>
        <w:adjustRightInd w:val="0"/>
      </w:pPr>
      <w:r w:rsidRPr="00695963">
        <w:t>The Department of Labor</w:t>
      </w:r>
      <w:r w:rsidR="00317A98">
        <w:t xml:space="preserve"> (DOL)</w:t>
      </w:r>
      <w:r w:rsidRPr="00695963">
        <w:t xml:space="preserve">, Employment and Training Administration (ETA) is </w:t>
      </w:r>
      <w:r w:rsidR="003B563F">
        <w:t xml:space="preserve">submitting a revision of currently approved collection </w:t>
      </w:r>
      <w:r w:rsidRPr="00695963">
        <w:t>for</w:t>
      </w:r>
      <w:r w:rsidR="00836075">
        <w:t xml:space="preserve"> the</w:t>
      </w:r>
      <w:r w:rsidRPr="00695963">
        <w:t xml:space="preserve"> ETA </w:t>
      </w:r>
      <w:r w:rsidR="00D40D16">
        <w:t>9128</w:t>
      </w:r>
      <w:r w:rsidR="00836075">
        <w:t xml:space="preserve"> Reemployment Services and Eligibility Assessment Workload</w:t>
      </w:r>
      <w:r w:rsidR="00D40D16">
        <w:t xml:space="preserve"> and </w:t>
      </w:r>
      <w:r w:rsidR="00836075">
        <w:t xml:space="preserve">ETA </w:t>
      </w:r>
      <w:r w:rsidR="00D40D16">
        <w:t xml:space="preserve">9129 Reemployment Services and Eligibility Assessment </w:t>
      </w:r>
      <w:r w:rsidR="00836075">
        <w:t xml:space="preserve">Outcomes, which are required reports under the Reemployment Services and Eligibility Assessment </w:t>
      </w:r>
      <w:r w:rsidR="00D40D16">
        <w:t xml:space="preserve">(RESEA) program.  </w:t>
      </w:r>
      <w:r w:rsidR="002407B3">
        <w:t>C</w:t>
      </w:r>
      <w:r w:rsidRPr="00695963">
        <w:t>hanges</w:t>
      </w:r>
      <w:r w:rsidR="00F8593F">
        <w:t xml:space="preserve"> include </w:t>
      </w:r>
      <w:r w:rsidR="003343D2">
        <w:t>removal</w:t>
      </w:r>
      <w:r w:rsidR="00F8593F">
        <w:t xml:space="preserve"> of separate reporting </w:t>
      </w:r>
      <w:r w:rsidR="00836075">
        <w:t xml:space="preserve">for program participants receiving </w:t>
      </w:r>
      <w:r w:rsidR="00F8593F">
        <w:t>Unemployment Compensation for Ex-Servicemember</w:t>
      </w:r>
      <w:r w:rsidR="00836075">
        <w:t xml:space="preserve"> (UCX) that was previously </w:t>
      </w:r>
      <w:r w:rsidR="00F8593F">
        <w:t>conducted under the ETA 9128X and 9129X</w:t>
      </w:r>
      <w:r w:rsidR="00836075">
        <w:t xml:space="preserve"> reports </w:t>
      </w:r>
      <w:r w:rsidR="00F8593F">
        <w:t>and increase in</w:t>
      </w:r>
      <w:r w:rsidR="00836075">
        <w:t xml:space="preserve"> estimated</w:t>
      </w:r>
      <w:r w:rsidR="00F8593F">
        <w:t xml:space="preserve"> burden hours to reflect </w:t>
      </w:r>
      <w:r w:rsidR="00836075">
        <w:t xml:space="preserve">new </w:t>
      </w:r>
      <w:r w:rsidR="00F8593F">
        <w:t>RESEA program</w:t>
      </w:r>
      <w:r w:rsidR="00836075">
        <w:t xml:space="preserve"> requirements</w:t>
      </w:r>
      <w:r w:rsidR="00F8593F">
        <w:t xml:space="preserve"> </w:t>
      </w:r>
      <w:r w:rsidR="00836075">
        <w:t xml:space="preserve">enacted by recent legislation </w:t>
      </w:r>
      <w:r w:rsidR="00F8593F">
        <w:t>and</w:t>
      </w:r>
      <w:r w:rsidR="00836075">
        <w:t xml:space="preserve"> the</w:t>
      </w:r>
      <w:r w:rsidR="00F8593F">
        <w:t xml:space="preserve"> varying levels</w:t>
      </w:r>
      <w:r w:rsidR="00836075">
        <w:t xml:space="preserve"> of</w:t>
      </w:r>
      <w:r w:rsidR="00F8593F">
        <w:t xml:space="preserve"> </w:t>
      </w:r>
      <w:r w:rsidR="00836075">
        <w:t xml:space="preserve">integration across states’ reporting and case management </w:t>
      </w:r>
      <w:r w:rsidR="00F8593F">
        <w:t>system</w:t>
      </w:r>
      <w:r w:rsidR="00836075">
        <w:t>s</w:t>
      </w:r>
      <w:r w:rsidR="00F8593F">
        <w:t xml:space="preserve">.  </w:t>
      </w:r>
      <w:r w:rsidR="00883342">
        <w:t xml:space="preserve">   </w:t>
      </w:r>
    </w:p>
    <w:p w14:paraId="33349E11" w14:textId="77777777" w:rsidR="00695963" w:rsidRPr="00CE3C52" w:rsidRDefault="00695963" w:rsidP="00EA78D2">
      <w:pPr>
        <w:autoSpaceDE w:val="0"/>
        <w:autoSpaceDN w:val="0"/>
        <w:adjustRightInd w:val="0"/>
      </w:pPr>
    </w:p>
    <w:p w14:paraId="04A0B76A" w14:textId="77777777"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CE3C52">
        <w:rPr>
          <w:b/>
        </w:rPr>
        <w:t>Justification</w:t>
      </w:r>
    </w:p>
    <w:p w14:paraId="24A90AB1" w14:textId="77777777" w:rsidR="00EA78D2" w:rsidRPr="00CE3C52" w:rsidRDefault="00A64B66" w:rsidP="00A64B66">
      <w:pPr>
        <w:tabs>
          <w:tab w:val="left" w:pos="3045"/>
        </w:tabs>
        <w:autoSpaceDE w:val="0"/>
        <w:autoSpaceDN w:val="0"/>
        <w:adjustRightInd w:val="0"/>
      </w:pPr>
      <w:r>
        <w:tab/>
      </w:r>
    </w:p>
    <w:p w14:paraId="040BF016" w14:textId="77777777" w:rsidR="00EA78D2" w:rsidRPr="00B10FD7" w:rsidRDefault="009D2A30" w:rsidP="0052176B">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14:paraId="59062FEB" w14:textId="77777777" w:rsidR="00EA78D2" w:rsidRDefault="00EA78D2" w:rsidP="00EA78D2">
      <w:pPr>
        <w:autoSpaceDE w:val="0"/>
        <w:autoSpaceDN w:val="0"/>
        <w:adjustRightInd w:val="0"/>
      </w:pPr>
    </w:p>
    <w:p w14:paraId="5D691F7D" w14:textId="48555753" w:rsidR="000166A6" w:rsidRDefault="003B563F" w:rsidP="009E37D3">
      <w:pPr>
        <w:ind w:left="540"/>
      </w:pPr>
      <w:r>
        <w:rPr>
          <w:b/>
        </w:rPr>
        <w:t xml:space="preserve">Revision </w:t>
      </w:r>
      <w:r w:rsidR="000166A6">
        <w:rPr>
          <w:b/>
        </w:rPr>
        <w:t>for existing approved forms with revisions, ETA</w:t>
      </w:r>
      <w:r w:rsidR="000166A6" w:rsidRPr="00E926F0">
        <w:rPr>
          <w:b/>
        </w:rPr>
        <w:t xml:space="preserve"> 9128 and ETA 9129</w:t>
      </w:r>
      <w:r w:rsidR="000166A6">
        <w:t>:  This is a justification for the DOL</w:t>
      </w:r>
      <w:r w:rsidR="00317A98">
        <w:t>’s</w:t>
      </w:r>
      <w:r w:rsidR="000166A6">
        <w:t xml:space="preserve"> request to extend</w:t>
      </w:r>
      <w:r w:rsidR="00836075">
        <w:t xml:space="preserve"> with revisions</w:t>
      </w:r>
      <w:r w:rsidR="000166A6">
        <w:t xml:space="preserve"> the information collection by State Workforce Agencies (SWAs) about the R</w:t>
      </w:r>
      <w:r w:rsidR="00FE207C">
        <w:t>E</w:t>
      </w:r>
      <w:r w:rsidR="001C54B8">
        <w:t>S</w:t>
      </w:r>
      <w:r w:rsidR="000166A6">
        <w:t xml:space="preserve">EAs they schedule </w:t>
      </w:r>
      <w:r w:rsidR="00836075">
        <w:t>and conduct</w:t>
      </w:r>
      <w:r w:rsidR="000166A6">
        <w:t>.  The Secretary’s authority to implement this reporting requirement is found in the Social Security Act (SSA) section 303(a)(6), 42 U.S.C. 503 (a)(6), which requires that state law include provision for:</w:t>
      </w:r>
      <w:r>
        <w:t xml:space="preserve"> </w:t>
      </w:r>
    </w:p>
    <w:p w14:paraId="24E9E570" w14:textId="77777777" w:rsidR="000166A6" w:rsidRDefault="000166A6" w:rsidP="009E37D3">
      <w:pPr>
        <w:ind w:left="540"/>
      </w:pPr>
    </w:p>
    <w:p w14:paraId="3C13CA29" w14:textId="77777777" w:rsidR="000166A6" w:rsidRDefault="000166A6" w:rsidP="009E37D3">
      <w:pPr>
        <w:ind w:left="1440" w:right="720"/>
      </w:pPr>
      <w:r>
        <w:t>The making of such reports, in such form and containing such information, as the Secretary of Labor may from time</w:t>
      </w:r>
      <w:r w:rsidR="00FE207C">
        <w:t>-</w:t>
      </w:r>
      <w:r>
        <w:t>to</w:t>
      </w:r>
      <w:r w:rsidR="00FE207C">
        <w:t>-</w:t>
      </w:r>
      <w:r>
        <w:t>time require, and compliance with such provisions as the Secretary of Labor may from time</w:t>
      </w:r>
      <w:r w:rsidR="00FE207C">
        <w:t>-</w:t>
      </w:r>
      <w:r>
        <w:t xml:space="preserve"> to</w:t>
      </w:r>
      <w:r w:rsidR="00FE207C">
        <w:t>-</w:t>
      </w:r>
      <w:r>
        <w:t>time find necessary to assure the correctness and verification of such reports.</w:t>
      </w:r>
    </w:p>
    <w:p w14:paraId="5E3F63E1" w14:textId="77777777" w:rsidR="000166A6" w:rsidRDefault="000166A6" w:rsidP="009E37D3">
      <w:pPr>
        <w:ind w:left="1440" w:right="720"/>
      </w:pPr>
    </w:p>
    <w:p w14:paraId="40E7988A" w14:textId="3A5E922A" w:rsidR="000166A6" w:rsidRDefault="000166A6" w:rsidP="009E37D3">
      <w:pPr>
        <w:ind w:left="540"/>
      </w:pPr>
      <w:r>
        <w:t>The Secretary interprets section 303(a)(6), SSA, to authorize DOL to prescribe standard definitions, methods and procedures, and reporting requirements for the collection of information on benefit payment accuracy and the reemployment of</w:t>
      </w:r>
      <w:r w:rsidR="00156250">
        <w:t xml:space="preserve"> Unemployment Insurance (</w:t>
      </w:r>
      <w:r>
        <w:t>UI</w:t>
      </w:r>
      <w:r w:rsidR="00156250">
        <w:t>)</w:t>
      </w:r>
      <w:r>
        <w:t xml:space="preserve"> benefit recipients and to ensure accuracy and verification of these data.  </w:t>
      </w:r>
    </w:p>
    <w:p w14:paraId="0FD3ABE5" w14:textId="77777777" w:rsidR="000166A6" w:rsidRDefault="000166A6" w:rsidP="009E37D3">
      <w:pPr>
        <w:ind w:left="540"/>
      </w:pPr>
    </w:p>
    <w:p w14:paraId="467627CA" w14:textId="791DEA93" w:rsidR="000166A6" w:rsidRDefault="00090D3D" w:rsidP="009E37D3">
      <w:pPr>
        <w:ind w:left="540"/>
      </w:pPr>
      <w:r>
        <w:t xml:space="preserve">This information is needed to administer the RESEA program.  It reflects the workloads that are funded and the outcomes that result from </w:t>
      </w:r>
      <w:r w:rsidR="00836075">
        <w:t xml:space="preserve">participant </w:t>
      </w:r>
      <w:r>
        <w:t>selection</w:t>
      </w:r>
      <w:r w:rsidR="00836075">
        <w:t xml:space="preserve"> and participation</w:t>
      </w:r>
      <w:r>
        <w:t xml:space="preserve"> in the program.  </w:t>
      </w:r>
      <w:r w:rsidR="000166A6">
        <w:t xml:space="preserve">OMB </w:t>
      </w:r>
      <w:r w:rsidR="00FE207C">
        <w:t xml:space="preserve">previously </w:t>
      </w:r>
      <w:r w:rsidR="000166A6">
        <w:t xml:space="preserve">approved DOL’s request that this data collection be approved and extended for three years through </w:t>
      </w:r>
      <w:r w:rsidR="001727F4">
        <w:t>August 31, 2019</w:t>
      </w:r>
      <w:r w:rsidR="000166A6" w:rsidRPr="00A06B1E">
        <w:t>.</w:t>
      </w:r>
    </w:p>
    <w:p w14:paraId="0BBD01F7" w14:textId="77777777" w:rsidR="00156250" w:rsidRDefault="00156250" w:rsidP="009E37D3">
      <w:pPr>
        <w:ind w:left="540"/>
      </w:pPr>
    </w:p>
    <w:p w14:paraId="3DE141AE" w14:textId="77777777" w:rsidR="00EA78D2" w:rsidRPr="00CE3C52" w:rsidRDefault="00EA78D2" w:rsidP="00EA78D2">
      <w:pPr>
        <w:autoSpaceDE w:val="0"/>
        <w:autoSpaceDN w:val="0"/>
        <w:adjustRightInd w:val="0"/>
      </w:pPr>
    </w:p>
    <w:p w14:paraId="05A18D20" w14:textId="77777777" w:rsidR="00EA78D2" w:rsidRDefault="009D2A30" w:rsidP="006C133A">
      <w:pPr>
        <w:tabs>
          <w:tab w:val="right" w:pos="360"/>
        </w:tabs>
        <w:autoSpaceDE w:val="0"/>
        <w:autoSpaceDN w:val="0"/>
        <w:adjustRightInd w:val="0"/>
        <w:ind w:left="540" w:hanging="540"/>
        <w:rPr>
          <w:i/>
        </w:rPr>
      </w:pPr>
      <w:r w:rsidRPr="00B10FD7">
        <w:rPr>
          <w:i/>
        </w:rPr>
        <w:lastRenderedPageBreak/>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14:paraId="21AFC118" w14:textId="77777777" w:rsidR="000166A6" w:rsidRDefault="000166A6" w:rsidP="006C133A">
      <w:pPr>
        <w:tabs>
          <w:tab w:val="right" w:pos="360"/>
        </w:tabs>
        <w:autoSpaceDE w:val="0"/>
        <w:autoSpaceDN w:val="0"/>
        <w:adjustRightInd w:val="0"/>
        <w:ind w:left="540" w:hanging="540"/>
        <w:rPr>
          <w:i/>
        </w:rPr>
      </w:pPr>
    </w:p>
    <w:p w14:paraId="6E8F7F98" w14:textId="299312C0" w:rsidR="000166A6" w:rsidRDefault="000166A6" w:rsidP="009E37D3">
      <w:pPr>
        <w:ind w:left="540"/>
      </w:pPr>
      <w:r>
        <w:t>DOL</w:t>
      </w:r>
      <w:r w:rsidR="003B563F">
        <w:t xml:space="preserve"> uses</w:t>
      </w:r>
      <w:r>
        <w:t xml:space="preserve"> the information collected in ETA 9128 and ETA 9129 to: 1)</w:t>
      </w:r>
      <w:r w:rsidR="001C54B8">
        <w:t xml:space="preserve"> </w:t>
      </w:r>
      <w:r>
        <w:t>evaluate state performance in terms of service delivery; and 2)</w:t>
      </w:r>
      <w:r w:rsidR="001C54B8">
        <w:t xml:space="preserve"> </w:t>
      </w:r>
      <w:r>
        <w:t xml:space="preserve">report on the RESEAs, including </w:t>
      </w:r>
      <w:r w:rsidRPr="00740E2F">
        <w:t xml:space="preserve">the number of scheduled in-person reemployment </w:t>
      </w:r>
      <w:r>
        <w:t xml:space="preserve">services </w:t>
      </w:r>
      <w:r w:rsidRPr="00740E2F">
        <w:t xml:space="preserve">and eligibility assessments, the number of individuals who </w:t>
      </w:r>
      <w:r>
        <w:t xml:space="preserve">participated and the number who </w:t>
      </w:r>
      <w:r w:rsidRPr="00740E2F">
        <w:t xml:space="preserve">failed to appear for scheduled </w:t>
      </w:r>
      <w:r w:rsidR="009E30B9" w:rsidRPr="00740E2F">
        <w:t>assessments</w:t>
      </w:r>
      <w:r w:rsidRPr="00740E2F">
        <w:t>, actions taken as a result of individuals not appearing for an assessment (e.g., benefits terminated)</w:t>
      </w:r>
      <w:r>
        <w:t>,</w:t>
      </w:r>
      <w:r w:rsidRPr="00740E2F">
        <w:t xml:space="preserve"> results of assessments (e.g., referred to reemployment services, found in compliance with program requirements), </w:t>
      </w:r>
      <w:r w:rsidR="001C54B8">
        <w:t xml:space="preserve">and </w:t>
      </w:r>
      <w:r>
        <w:t>average weeks to reemployment and average weeks of benefit payments.</w:t>
      </w:r>
      <w:r w:rsidRPr="00740E2F">
        <w:t xml:space="preserve"> </w:t>
      </w:r>
    </w:p>
    <w:p w14:paraId="121EEE2C" w14:textId="77777777" w:rsidR="000166A6" w:rsidRDefault="000166A6" w:rsidP="009E37D3">
      <w:pPr>
        <w:ind w:left="540"/>
      </w:pPr>
    </w:p>
    <w:p w14:paraId="47A3BC84" w14:textId="18A69560" w:rsidR="00F63C36" w:rsidRPr="007C5339" w:rsidRDefault="00F63C36">
      <w:pPr>
        <w:ind w:left="540"/>
      </w:pPr>
      <w:r>
        <w:t xml:space="preserve">Historically, the RESEA program has served two target populations: </w:t>
      </w:r>
      <w:r w:rsidR="000166A6">
        <w:t>claimants who have been determined to be most likely to exhaust their benefits</w:t>
      </w:r>
      <w:r>
        <w:t xml:space="preserve"> and veteran receiving </w:t>
      </w:r>
      <w:r w:rsidR="00565BFD">
        <w:t>UCX</w:t>
      </w:r>
      <w:r>
        <w:t xml:space="preserve">.  </w:t>
      </w:r>
      <w:r w:rsidRPr="007C5339">
        <w:t>The Bipartisa</w:t>
      </w:r>
      <w:r w:rsidR="00302D6E" w:rsidRPr="007C5339">
        <w:t>n Budget Act of 2018 (Public Law</w:t>
      </w:r>
      <w:r w:rsidRPr="007C5339">
        <w:t xml:space="preserve"> 115-123) </w:t>
      </w:r>
      <w:r w:rsidR="00302D6E" w:rsidRPr="007C5339">
        <w:t>permanently authorized the RESEA program by</w:t>
      </w:r>
      <w:r w:rsidRPr="007C5339">
        <w:t xml:space="preserve"> enacting a new Section 306 of the Social Security Act.  This permanent authorizat</w:t>
      </w:r>
      <w:r w:rsidR="00302D6E" w:rsidRPr="007C5339">
        <w:t xml:space="preserve">ion does not require states to specifically target </w:t>
      </w:r>
      <w:r w:rsidRPr="007C5339">
        <w:t xml:space="preserve">UCX </w:t>
      </w:r>
      <w:r w:rsidR="00302D6E" w:rsidRPr="007C5339">
        <w:t xml:space="preserve">claimants for RESEA participation.  To ensure alignment with the recent RESEA authorization and to reduce </w:t>
      </w:r>
      <w:r w:rsidR="00565BFD" w:rsidRPr="007C5339">
        <w:t>reporting burden placed on SWAs</w:t>
      </w:r>
      <w:r w:rsidR="00302D6E" w:rsidRPr="007C5339">
        <w:t>, the D</w:t>
      </w:r>
      <w:r w:rsidR="00317A98">
        <w:t>OL</w:t>
      </w:r>
      <w:r w:rsidR="00302D6E" w:rsidRPr="007C5339">
        <w:t xml:space="preserve"> is proposing to discontinue the ETA 9128X and ETA 9129X reports</w:t>
      </w:r>
      <w:r w:rsidR="00565BFD" w:rsidRPr="007C5339">
        <w:t>,</w:t>
      </w:r>
      <w:r w:rsidR="00302D6E" w:rsidRPr="007C5339">
        <w:t xml:space="preserve"> which were previously established to collect information specific to the UCX population. </w:t>
      </w:r>
    </w:p>
    <w:p w14:paraId="6F83E612" w14:textId="77777777" w:rsidR="000166A6" w:rsidRPr="00B10FD7" w:rsidRDefault="000166A6" w:rsidP="007C5339">
      <w:pPr>
        <w:tabs>
          <w:tab w:val="right" w:pos="360"/>
        </w:tabs>
        <w:autoSpaceDE w:val="0"/>
        <w:autoSpaceDN w:val="0"/>
        <w:adjustRightInd w:val="0"/>
        <w:rPr>
          <w:i/>
        </w:rPr>
      </w:pPr>
    </w:p>
    <w:p w14:paraId="321E43BD" w14:textId="77777777" w:rsidR="00EA78D2" w:rsidRDefault="00F44D0F" w:rsidP="006C133A">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14:paraId="4E198599" w14:textId="77777777" w:rsidR="000166A6" w:rsidRPr="002221A7" w:rsidRDefault="000166A6" w:rsidP="006C133A">
      <w:pPr>
        <w:tabs>
          <w:tab w:val="right" w:pos="360"/>
        </w:tabs>
        <w:autoSpaceDE w:val="0"/>
        <w:autoSpaceDN w:val="0"/>
        <w:adjustRightInd w:val="0"/>
        <w:ind w:left="540" w:hanging="540"/>
        <w:rPr>
          <w:i/>
        </w:rPr>
      </w:pPr>
    </w:p>
    <w:p w14:paraId="4427138D" w14:textId="79F31585" w:rsidR="000166A6" w:rsidRDefault="000166A6" w:rsidP="009E37D3">
      <w:pPr>
        <w:tabs>
          <w:tab w:val="left" w:pos="-1440"/>
        </w:tabs>
        <w:ind w:left="540"/>
      </w:pPr>
      <w:r>
        <w:t xml:space="preserve">This data reporting requirement uses automated procedures for data collection, transmission, and analysis that utilize state and </w:t>
      </w:r>
      <w:r w:rsidR="00FE207C">
        <w:t>F</w:t>
      </w:r>
      <w:r>
        <w:t xml:space="preserve">ederal information processing technology.  </w:t>
      </w:r>
      <w:r w:rsidRPr="005B7E0A">
        <w:t>DOL provides computers to eac</w:t>
      </w:r>
      <w:r w:rsidRPr="005B7E0A">
        <w:rPr>
          <w:color w:val="000080"/>
        </w:rPr>
        <w:t>h</w:t>
      </w:r>
      <w:r w:rsidRPr="005B7E0A">
        <w:t xml:space="preserve"> state and jurisdict</w:t>
      </w:r>
      <w:r w:rsidRPr="005B7E0A">
        <w:rPr>
          <w:color w:val="000080"/>
        </w:rPr>
        <w:t>i</w:t>
      </w:r>
      <w:r w:rsidRPr="005B7E0A">
        <w:t xml:space="preserve">on along with </w:t>
      </w:r>
      <w:r>
        <w:t>r</w:t>
      </w:r>
      <w:r w:rsidRPr="005B7E0A">
        <w:t xml:space="preserve">eporting software and a proprietary network to use to transmit data to the computers at the </w:t>
      </w:r>
      <w:r w:rsidRPr="005B7E0A">
        <w:rPr>
          <w:color w:val="000000"/>
        </w:rPr>
        <w:t>DOL</w:t>
      </w:r>
      <w:r w:rsidRPr="005B7E0A">
        <w:rPr>
          <w:color w:val="000080"/>
        </w:rPr>
        <w:t xml:space="preserve"> </w:t>
      </w:r>
      <w:r w:rsidRPr="005B7E0A">
        <w:rPr>
          <w:color w:val="000000"/>
        </w:rPr>
        <w:t>N</w:t>
      </w:r>
      <w:r w:rsidRPr="005B7E0A">
        <w:t xml:space="preserve">ational </w:t>
      </w:r>
      <w:r w:rsidRPr="005B7E0A">
        <w:rPr>
          <w:color w:val="000000"/>
        </w:rPr>
        <w:t>O</w:t>
      </w:r>
      <w:r w:rsidRPr="005B7E0A">
        <w:t xml:space="preserve">ffice.  </w:t>
      </w:r>
    </w:p>
    <w:p w14:paraId="2A25E150" w14:textId="77777777" w:rsidR="00EA78D2" w:rsidRPr="00CE3C52" w:rsidRDefault="00EA78D2" w:rsidP="00EA78D2">
      <w:pPr>
        <w:autoSpaceDE w:val="0"/>
        <w:autoSpaceDN w:val="0"/>
        <w:adjustRightInd w:val="0"/>
      </w:pPr>
    </w:p>
    <w:p w14:paraId="0A4192C8" w14:textId="77777777" w:rsidR="00EA78D2"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14:paraId="10A8B888" w14:textId="77777777" w:rsidR="00581C6C" w:rsidRDefault="00581C6C" w:rsidP="006C133A">
      <w:pPr>
        <w:tabs>
          <w:tab w:val="right" w:pos="360"/>
          <w:tab w:val="left" w:pos="540"/>
        </w:tabs>
        <w:autoSpaceDE w:val="0"/>
        <w:autoSpaceDN w:val="0"/>
        <w:adjustRightInd w:val="0"/>
        <w:ind w:left="540" w:hanging="540"/>
        <w:rPr>
          <w:i/>
        </w:rPr>
      </w:pPr>
    </w:p>
    <w:p w14:paraId="33BC03E3" w14:textId="77777777" w:rsidR="00581C6C" w:rsidRDefault="009E37D3" w:rsidP="00581C6C">
      <w:pPr>
        <w:tabs>
          <w:tab w:val="left" w:pos="-1440"/>
        </w:tabs>
      </w:pPr>
      <w:r>
        <w:t xml:space="preserve">        </w:t>
      </w:r>
      <w:r w:rsidR="00581C6C">
        <w:t>There is no duplication.</w:t>
      </w:r>
    </w:p>
    <w:p w14:paraId="4EEDE412" w14:textId="77777777" w:rsidR="00EA78D2" w:rsidRPr="00CE3C52" w:rsidRDefault="00EA78D2" w:rsidP="00EA78D2">
      <w:pPr>
        <w:autoSpaceDE w:val="0"/>
        <w:autoSpaceDN w:val="0"/>
        <w:adjustRightInd w:val="0"/>
      </w:pPr>
    </w:p>
    <w:p w14:paraId="175360C1" w14:textId="77777777" w:rsidR="00EA78D2"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14:paraId="74B39A43" w14:textId="77777777" w:rsidR="00581C6C" w:rsidRDefault="00581C6C" w:rsidP="006C133A">
      <w:pPr>
        <w:tabs>
          <w:tab w:val="right" w:pos="360"/>
          <w:tab w:val="left" w:pos="540"/>
        </w:tabs>
        <w:autoSpaceDE w:val="0"/>
        <w:autoSpaceDN w:val="0"/>
        <w:adjustRightInd w:val="0"/>
        <w:ind w:left="540" w:hanging="540"/>
        <w:rPr>
          <w:i/>
        </w:rPr>
      </w:pPr>
    </w:p>
    <w:p w14:paraId="2931E77D" w14:textId="77777777" w:rsidR="00581C6C" w:rsidRDefault="00B0760B" w:rsidP="00581C6C">
      <w:r>
        <w:t xml:space="preserve">        </w:t>
      </w:r>
      <w:r w:rsidR="00581C6C">
        <w:t>This collection does not impact small businesses.</w:t>
      </w:r>
    </w:p>
    <w:p w14:paraId="7A8A76A8" w14:textId="77777777" w:rsidR="00EA78D2" w:rsidRPr="00CE3C52" w:rsidRDefault="00EA78D2" w:rsidP="00EA78D2">
      <w:pPr>
        <w:autoSpaceDE w:val="0"/>
        <w:autoSpaceDN w:val="0"/>
        <w:adjustRightInd w:val="0"/>
      </w:pPr>
    </w:p>
    <w:p w14:paraId="2CF6F97A" w14:textId="77777777" w:rsidR="00EA78D2" w:rsidRPr="002221A7" w:rsidRDefault="008A07F2" w:rsidP="006C133A">
      <w:pPr>
        <w:tabs>
          <w:tab w:val="right" w:pos="360"/>
          <w:tab w:val="left" w:pos="540"/>
        </w:tabs>
        <w:autoSpaceDE w:val="0"/>
        <w:autoSpaceDN w:val="0"/>
        <w:adjustRightInd w:val="0"/>
        <w:ind w:left="540" w:hanging="540"/>
        <w:rPr>
          <w:i/>
        </w:rPr>
      </w:pPr>
      <w:r w:rsidRPr="002221A7">
        <w:rPr>
          <w:i/>
        </w:rPr>
        <w:lastRenderedPageBreak/>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14:paraId="19CD8D45" w14:textId="77777777" w:rsidR="00EA78D2" w:rsidRDefault="00EA78D2" w:rsidP="00EA78D2">
      <w:pPr>
        <w:autoSpaceDE w:val="0"/>
        <w:autoSpaceDN w:val="0"/>
        <w:adjustRightInd w:val="0"/>
      </w:pPr>
    </w:p>
    <w:p w14:paraId="7DB162A2" w14:textId="77777777" w:rsidR="00D3235C" w:rsidRDefault="00D3235C" w:rsidP="00B0760B">
      <w:pPr>
        <w:ind w:left="540"/>
      </w:pPr>
      <w:r>
        <w:t xml:space="preserve">Collecting this information less frequently </w:t>
      </w:r>
      <w:r w:rsidR="008D40E8">
        <w:t xml:space="preserve">than quarterly </w:t>
      </w:r>
      <w:r>
        <w:t>would not allow for adequate monitoring or evaluation of the impact of the reemployment services and eligibility assessments.  SWAs already report workload counts and outcomes to ETA each quarter and collecting this data less frequently would not materially diminish the burden of this data collection initiative.</w:t>
      </w:r>
    </w:p>
    <w:p w14:paraId="1921E780" w14:textId="77777777" w:rsidR="00C606A4" w:rsidRPr="00CE3C52" w:rsidRDefault="00C606A4" w:rsidP="00EA78D2">
      <w:pPr>
        <w:autoSpaceDE w:val="0"/>
        <w:autoSpaceDN w:val="0"/>
        <w:adjustRightInd w:val="0"/>
      </w:pPr>
    </w:p>
    <w:p w14:paraId="44BADCB6" w14:textId="329CBB22" w:rsidR="00F6464E" w:rsidRDefault="001A7B43" w:rsidP="006C133A">
      <w:pPr>
        <w:tabs>
          <w:tab w:val="right" w:pos="360"/>
          <w:tab w:val="left" w:pos="540"/>
        </w:tabs>
        <w:autoSpaceDE w:val="0"/>
        <w:autoSpaceDN w:val="0"/>
        <w:adjustRightInd w:val="0"/>
        <w:ind w:left="540" w:hanging="540"/>
        <w:rPr>
          <w:i/>
        </w:rPr>
      </w:pPr>
      <w:r w:rsidRPr="002221A7">
        <w:rPr>
          <w:i/>
        </w:rPr>
        <w:tab/>
      </w:r>
      <w:r w:rsidR="00EA78D2" w:rsidRPr="002221A7">
        <w:rPr>
          <w:i/>
        </w:rPr>
        <w:t>7.</w:t>
      </w:r>
      <w:r w:rsidRPr="002221A7">
        <w:rPr>
          <w:i/>
        </w:rPr>
        <w:tab/>
      </w:r>
      <w:r w:rsidR="00EA78D2" w:rsidRPr="002221A7">
        <w:rPr>
          <w:i/>
        </w:rPr>
        <w:t>Explain any special circumstances that would cause an information collection to be conducted in a manner</w:t>
      </w:r>
      <w:r w:rsidR="006E58F6">
        <w:rPr>
          <w:i/>
        </w:rPr>
        <w:t xml:space="preserve"> </w:t>
      </w:r>
      <w:r w:rsidR="006E58F6" w:rsidRPr="006E58F6">
        <w:rPr>
          <w:i/>
        </w:rPr>
        <w:t>inconsistent with the requirements of 5 CFR § 1320.5</w:t>
      </w:r>
      <w:r w:rsidR="00F6464E">
        <w:rPr>
          <w:i/>
        </w:rPr>
        <w:t>.</w:t>
      </w:r>
    </w:p>
    <w:p w14:paraId="4FB20955" w14:textId="77777777" w:rsidR="00F6464E" w:rsidRDefault="00F6464E" w:rsidP="006C133A">
      <w:pPr>
        <w:tabs>
          <w:tab w:val="right" w:pos="360"/>
          <w:tab w:val="left" w:pos="540"/>
        </w:tabs>
        <w:autoSpaceDE w:val="0"/>
        <w:autoSpaceDN w:val="0"/>
        <w:adjustRightInd w:val="0"/>
        <w:ind w:left="540" w:hanging="540"/>
        <w:rPr>
          <w:i/>
        </w:rPr>
      </w:pPr>
    </w:p>
    <w:p w14:paraId="7C1CEC33" w14:textId="77777777" w:rsidR="00EA78D2" w:rsidRPr="002221A7" w:rsidRDefault="00F6464E" w:rsidP="00E157EF">
      <w:pPr>
        <w:autoSpaceDE w:val="0"/>
        <w:autoSpaceDN w:val="0"/>
        <w:adjustRightInd w:val="0"/>
        <w:ind w:left="540"/>
        <w:rPr>
          <w:i/>
        </w:rPr>
      </w:pPr>
      <w:r>
        <w:t>This ICR implicates no special circumstances.</w:t>
      </w:r>
      <w:r w:rsidR="00EA78D2" w:rsidRPr="002221A7">
        <w:rPr>
          <w:i/>
        </w:rPr>
        <w:t xml:space="preserve"> </w:t>
      </w:r>
    </w:p>
    <w:p w14:paraId="7C9E570F" w14:textId="77777777" w:rsidR="00EA78D2" w:rsidRDefault="00EA78D2" w:rsidP="00B0760B">
      <w:pPr>
        <w:autoSpaceDE w:val="0"/>
        <w:autoSpaceDN w:val="0"/>
        <w:adjustRightInd w:val="0"/>
        <w:ind w:left="540"/>
      </w:pPr>
    </w:p>
    <w:p w14:paraId="617EE870" w14:textId="77777777"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14:paraId="5CA7F29E" w14:textId="77777777" w:rsidR="00E5276F" w:rsidRDefault="00E5276F" w:rsidP="00973CD5">
      <w:pPr>
        <w:autoSpaceDE w:val="0"/>
        <w:autoSpaceDN w:val="0"/>
        <w:adjustRightInd w:val="0"/>
        <w:ind w:left="540"/>
        <w:rPr>
          <w:i/>
        </w:rPr>
      </w:pPr>
    </w:p>
    <w:p w14:paraId="321380C0" w14:textId="77777777"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14:paraId="313F0810" w14:textId="77777777" w:rsidR="00904938" w:rsidRDefault="00904938" w:rsidP="00973CD5">
      <w:pPr>
        <w:autoSpaceDE w:val="0"/>
        <w:autoSpaceDN w:val="0"/>
        <w:adjustRightInd w:val="0"/>
        <w:ind w:left="540"/>
        <w:rPr>
          <w:i/>
        </w:rPr>
      </w:pPr>
    </w:p>
    <w:p w14:paraId="5A251E22" w14:textId="77777777" w:rsidR="00EA78D2" w:rsidRPr="002221A7"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14:paraId="5D01F3C3" w14:textId="77777777" w:rsidR="00EA78D2" w:rsidRDefault="00EA78D2" w:rsidP="00B0760B">
      <w:pPr>
        <w:autoSpaceDE w:val="0"/>
        <w:autoSpaceDN w:val="0"/>
        <w:adjustRightInd w:val="0"/>
        <w:ind w:left="540"/>
      </w:pPr>
    </w:p>
    <w:p w14:paraId="2EF171E2" w14:textId="77777777" w:rsidR="00616F64" w:rsidRDefault="00D3235C" w:rsidP="00B0760B">
      <w:pPr>
        <w:ind w:left="540"/>
        <w:rPr>
          <w:rFonts w:cs="Courier New"/>
        </w:rPr>
      </w:pPr>
      <w:r w:rsidRPr="0076562B">
        <w:rPr>
          <w:rFonts w:cs="Courier New"/>
        </w:rPr>
        <w:t>In accordance with the Paperwork Reduction Act of 1995, the public was given an opportunity t</w:t>
      </w:r>
      <w:r>
        <w:rPr>
          <w:rFonts w:cs="Courier New"/>
        </w:rPr>
        <w:t>o review and comment through a notice in the</w:t>
      </w:r>
      <w:r w:rsidRPr="0076562B">
        <w:rPr>
          <w:rFonts w:cs="Courier New"/>
        </w:rPr>
        <w:t xml:space="preserve"> </w:t>
      </w:r>
      <w:r w:rsidRPr="00920641">
        <w:rPr>
          <w:rFonts w:cs="Courier New"/>
          <w:i/>
        </w:rPr>
        <w:t>Federal Register</w:t>
      </w:r>
      <w:r w:rsidRPr="0076562B">
        <w:rPr>
          <w:rFonts w:cs="Courier New"/>
        </w:rPr>
        <w:t xml:space="preserve"> </w:t>
      </w:r>
      <w:r>
        <w:rPr>
          <w:rFonts w:cs="Courier New"/>
        </w:rPr>
        <w:t>on</w:t>
      </w:r>
      <w:r w:rsidR="007611BD">
        <w:rPr>
          <w:rFonts w:cs="Courier New"/>
        </w:rPr>
        <w:t xml:space="preserve"> March 13, 2019 (84 FR 9140</w:t>
      </w:r>
      <w:r w:rsidR="007C5339">
        <w:rPr>
          <w:rFonts w:cs="Courier New"/>
        </w:rPr>
        <w:t>)</w:t>
      </w:r>
      <w:r>
        <w:rPr>
          <w:rFonts w:cs="Courier New"/>
        </w:rPr>
        <w:t xml:space="preserve">.  </w:t>
      </w:r>
      <w:r w:rsidR="00616F64">
        <w:rPr>
          <w:rFonts w:cs="Courier New"/>
        </w:rPr>
        <w:t xml:space="preserve"> </w:t>
      </w:r>
    </w:p>
    <w:p w14:paraId="7FAAB01B" w14:textId="77777777" w:rsidR="00616F64" w:rsidRDefault="00616F64" w:rsidP="00B0760B">
      <w:pPr>
        <w:ind w:left="540"/>
        <w:rPr>
          <w:rFonts w:cs="Courier New"/>
        </w:rPr>
      </w:pPr>
    </w:p>
    <w:p w14:paraId="0AA71D7F" w14:textId="77777777" w:rsidR="008740EF" w:rsidRDefault="008740EF" w:rsidP="00B0760B">
      <w:pPr>
        <w:ind w:left="540"/>
        <w:rPr>
          <w:rFonts w:cs="Courier New"/>
        </w:rPr>
      </w:pPr>
    </w:p>
    <w:p w14:paraId="482343F0" w14:textId="3B462D60" w:rsidR="00577F23" w:rsidRDefault="00DF50ED" w:rsidP="00B0760B">
      <w:pPr>
        <w:ind w:left="540"/>
      </w:pPr>
      <w:r>
        <w:rPr>
          <w:rFonts w:cs="Courier New"/>
        </w:rPr>
        <w:t xml:space="preserve">The </w:t>
      </w:r>
      <w:r w:rsidR="00317A98">
        <w:rPr>
          <w:rFonts w:cs="Courier New"/>
        </w:rPr>
        <w:t xml:space="preserve">DOL </w:t>
      </w:r>
      <w:r>
        <w:rPr>
          <w:rFonts w:cs="Courier New"/>
        </w:rPr>
        <w:t>received additional c</w:t>
      </w:r>
      <w:r w:rsidR="008740EF">
        <w:rPr>
          <w:rFonts w:cs="Courier New"/>
        </w:rPr>
        <w:t>omments</w:t>
      </w:r>
      <w:r w:rsidR="00BE7B06">
        <w:rPr>
          <w:rFonts w:cs="Courier New"/>
        </w:rPr>
        <w:t xml:space="preserve"> </w:t>
      </w:r>
      <w:r w:rsidR="008740EF">
        <w:rPr>
          <w:rFonts w:cs="Courier New"/>
        </w:rPr>
        <w:t>on May 13, 2019 and May 14, 20</w:t>
      </w:r>
      <w:r w:rsidR="00BE7B06">
        <w:rPr>
          <w:rFonts w:cs="Courier New"/>
        </w:rPr>
        <w:t>1</w:t>
      </w:r>
      <w:r w:rsidR="008740EF">
        <w:rPr>
          <w:rFonts w:cs="Courier New"/>
        </w:rPr>
        <w:t>9</w:t>
      </w:r>
      <w:r w:rsidR="00BE7B06">
        <w:rPr>
          <w:rFonts w:cs="Courier New"/>
        </w:rPr>
        <w:t xml:space="preserve">.  </w:t>
      </w:r>
      <w:r w:rsidR="00BE7B06">
        <w:t>The first</w:t>
      </w:r>
      <w:r>
        <w:t xml:space="preserve"> commenter submitted a </w:t>
      </w:r>
      <w:r w:rsidR="00303CD3">
        <w:t>proposed redesign</w:t>
      </w:r>
      <w:r w:rsidR="00C218E4">
        <w:t xml:space="preserve"> of the report </w:t>
      </w:r>
      <w:r>
        <w:t>templates</w:t>
      </w:r>
      <w:r w:rsidR="00C218E4">
        <w:t xml:space="preserve"> </w:t>
      </w:r>
      <w:r w:rsidR="00303CD3">
        <w:t xml:space="preserve">that would </w:t>
      </w:r>
      <w:r w:rsidR="00C218E4">
        <w:t xml:space="preserve">collect additional </w:t>
      </w:r>
      <w:r w:rsidR="00303CD3">
        <w:t xml:space="preserve">and more detailed </w:t>
      </w:r>
      <w:r w:rsidR="00C218E4">
        <w:t>data elements</w:t>
      </w:r>
      <w:r w:rsidR="00303CD3">
        <w:t xml:space="preserve"> than those currently in use.</w:t>
      </w:r>
      <w:r w:rsidR="00C218E4">
        <w:t xml:space="preserve"> </w:t>
      </w:r>
      <w:r w:rsidR="00303CD3">
        <w:t xml:space="preserve"> </w:t>
      </w:r>
      <w:r w:rsidR="00BE7B06" w:rsidRPr="007D55FB">
        <w:t xml:space="preserve">DOL is finalizing implementation of </w:t>
      </w:r>
      <w:r w:rsidR="00303CD3">
        <w:t xml:space="preserve">the recently authorized </w:t>
      </w:r>
      <w:r w:rsidR="00BE7B06" w:rsidRPr="007D55FB">
        <w:t>RESEA program</w:t>
      </w:r>
      <w:r w:rsidR="00303CD3">
        <w:t xml:space="preserve"> and assessing future reporting needs.  </w:t>
      </w:r>
      <w:r w:rsidR="00577F23">
        <w:t xml:space="preserve">Since the </w:t>
      </w:r>
      <w:r w:rsidR="00303CD3">
        <w:t xml:space="preserve">RESEA program is </w:t>
      </w:r>
      <w:r w:rsidR="00577F23">
        <w:t>currently in a state of transition and</w:t>
      </w:r>
      <w:r w:rsidR="00303CD3">
        <w:t xml:space="preserve"> many policy and programmatic </w:t>
      </w:r>
      <w:r w:rsidR="00577F23">
        <w:t xml:space="preserve">elements remain in development, the </w:t>
      </w:r>
      <w:r w:rsidR="00317A98">
        <w:t xml:space="preserve">DOL </w:t>
      </w:r>
      <w:r w:rsidR="00577F23">
        <w:t xml:space="preserve">is not positioned at this time to implement significant changes, such as those proposed by the commenter, to RESEA reporting. </w:t>
      </w:r>
      <w:r w:rsidR="00BE7B06" w:rsidRPr="007D55FB">
        <w:t xml:space="preserve">  </w:t>
      </w:r>
    </w:p>
    <w:p w14:paraId="0BF22DE0" w14:textId="77777777" w:rsidR="00577F23" w:rsidRDefault="00577F23" w:rsidP="00B0760B">
      <w:pPr>
        <w:ind w:left="540"/>
      </w:pPr>
    </w:p>
    <w:p w14:paraId="39BC5FB6" w14:textId="77777777" w:rsidR="00156250" w:rsidRDefault="00156250" w:rsidP="00B0760B">
      <w:pPr>
        <w:ind w:left="540"/>
      </w:pPr>
    </w:p>
    <w:p w14:paraId="64D69C20" w14:textId="79A49385" w:rsidR="008740EF" w:rsidRPr="008E0F10" w:rsidRDefault="00BE7B06" w:rsidP="00B0760B">
      <w:pPr>
        <w:ind w:left="540"/>
      </w:pPr>
      <w:r>
        <w:t>The s</w:t>
      </w:r>
      <w:r w:rsidRPr="007D55FB">
        <w:t>econd</w:t>
      </w:r>
      <w:r w:rsidR="00577F23">
        <w:t xml:space="preserve"> commenter raised</w:t>
      </w:r>
      <w:r>
        <w:t xml:space="preserve"> </w:t>
      </w:r>
      <w:r w:rsidR="00C0101C">
        <w:t>c</w:t>
      </w:r>
      <w:r>
        <w:t>oncern</w:t>
      </w:r>
      <w:r w:rsidR="00577F23">
        <w:t>s</w:t>
      </w:r>
      <w:r>
        <w:t xml:space="preserve"> </w:t>
      </w:r>
      <w:r w:rsidRPr="007D55FB">
        <w:t>th</w:t>
      </w:r>
      <w:r w:rsidR="00577F23">
        <w:t>at the D</w:t>
      </w:r>
      <w:r w:rsidR="00317A98">
        <w:t>OL</w:t>
      </w:r>
      <w:r w:rsidR="00577F23">
        <w:t xml:space="preserve"> </w:t>
      </w:r>
      <w:r w:rsidRPr="007D55FB">
        <w:t xml:space="preserve">underestimated burden hours </w:t>
      </w:r>
      <w:r>
        <w:t>(.5 hours)</w:t>
      </w:r>
      <w:r w:rsidR="003F2714">
        <w:t xml:space="preserve">. </w:t>
      </w:r>
      <w:r w:rsidR="003F2714" w:rsidRPr="007D55FB">
        <w:t xml:space="preserve"> </w:t>
      </w:r>
      <w:r w:rsidR="00E5065D">
        <w:t>The D</w:t>
      </w:r>
      <w:r w:rsidR="00317A98">
        <w:t>OL</w:t>
      </w:r>
      <w:r w:rsidR="00E5065D">
        <w:t xml:space="preserve"> </w:t>
      </w:r>
      <w:r w:rsidRPr="007D55FB">
        <w:t>agrees that the current burden</w:t>
      </w:r>
      <w:r>
        <w:t xml:space="preserve"> hours does not properly reflect</w:t>
      </w:r>
      <w:r w:rsidR="00577F23">
        <w:t xml:space="preserve"> requirements of </w:t>
      </w:r>
      <w:r>
        <w:t>the new RESEA program</w:t>
      </w:r>
      <w:r w:rsidR="00577F23">
        <w:t xml:space="preserve"> and variations across states in the level of program and system integration. </w:t>
      </w:r>
      <w:r>
        <w:t xml:space="preserve"> </w:t>
      </w:r>
      <w:r w:rsidR="00577F23">
        <w:t xml:space="preserve">In response </w:t>
      </w:r>
      <w:r>
        <w:t xml:space="preserve">DOL </w:t>
      </w:r>
      <w:r w:rsidR="00577F23">
        <w:t>has increased burden hours from .5 to 2.5</w:t>
      </w:r>
      <w:r w:rsidR="0085512A">
        <w:t xml:space="preserve"> </w:t>
      </w:r>
      <w:r w:rsidR="00577F23">
        <w:t>hours</w:t>
      </w:r>
      <w:r w:rsidR="0085512A">
        <w:t xml:space="preserve"> per report</w:t>
      </w:r>
      <w:r w:rsidR="001F5B45">
        <w:t>.</w:t>
      </w:r>
      <w:r>
        <w:t xml:space="preserve"> </w:t>
      </w:r>
      <w:r w:rsidR="0085512A">
        <w:t>Th</w:t>
      </w:r>
      <w:r w:rsidR="001F5B45">
        <w:t>e</w:t>
      </w:r>
      <w:r w:rsidR="0085512A">
        <w:t xml:space="preserve"> commente</w:t>
      </w:r>
      <w:r w:rsidR="00577F23">
        <w:t>r also raised concerns that data should not be routinely collected using the “comments section”</w:t>
      </w:r>
      <w:r w:rsidR="0085512A">
        <w:t xml:space="preserve"> of the reports. </w:t>
      </w:r>
      <w:r w:rsidR="003F2714">
        <w:t xml:space="preserve"> </w:t>
      </w:r>
      <w:r w:rsidR="0085512A">
        <w:t xml:space="preserve">Under the proposed collection, the comment section will only be used at a </w:t>
      </w:r>
      <w:r w:rsidR="00317A98">
        <w:t>S</w:t>
      </w:r>
      <w:r w:rsidR="0085512A">
        <w:t>tate’s discretion to explain and document any unusual circumstances or challenges that may have impacted the reported data.</w:t>
      </w:r>
    </w:p>
    <w:p w14:paraId="183068D8" w14:textId="77777777" w:rsidR="00EA78D2" w:rsidRPr="00CE3C52" w:rsidRDefault="00EA78D2" w:rsidP="00EA78D2">
      <w:pPr>
        <w:autoSpaceDE w:val="0"/>
        <w:autoSpaceDN w:val="0"/>
        <w:adjustRightInd w:val="0"/>
      </w:pPr>
    </w:p>
    <w:p w14:paraId="1432EB8E" w14:textId="77777777"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14:paraId="00836C33" w14:textId="77777777" w:rsidR="00EA78D2" w:rsidRDefault="00EA78D2" w:rsidP="00EA78D2">
      <w:pPr>
        <w:autoSpaceDE w:val="0"/>
        <w:autoSpaceDN w:val="0"/>
        <w:adjustRightInd w:val="0"/>
      </w:pPr>
    </w:p>
    <w:p w14:paraId="4CDA8A30" w14:textId="765C450B" w:rsidR="00D3235C" w:rsidRDefault="00B0760B" w:rsidP="00D3235C">
      <w:pPr>
        <w:tabs>
          <w:tab w:val="left" w:pos="-1440"/>
        </w:tabs>
      </w:pPr>
      <w:r>
        <w:t xml:space="preserve">         </w:t>
      </w:r>
      <w:r w:rsidR="00D3235C">
        <w:t>No payments</w:t>
      </w:r>
      <w:r w:rsidR="003B563F">
        <w:t xml:space="preserve"> and/or gifts</w:t>
      </w:r>
      <w:r w:rsidR="00D3235C">
        <w:t xml:space="preserve"> are made to respondents.  </w:t>
      </w:r>
    </w:p>
    <w:p w14:paraId="76F42CFA" w14:textId="77777777" w:rsidR="00F52F68" w:rsidRPr="00CE3C52" w:rsidRDefault="00F52F68" w:rsidP="00EA78D2">
      <w:pPr>
        <w:autoSpaceDE w:val="0"/>
        <w:autoSpaceDN w:val="0"/>
        <w:adjustRightInd w:val="0"/>
      </w:pPr>
    </w:p>
    <w:p w14:paraId="106E5A73" w14:textId="77777777"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14:paraId="7490A958" w14:textId="77777777" w:rsidR="00EA78D2" w:rsidRDefault="00EA78D2" w:rsidP="00EA78D2">
      <w:pPr>
        <w:autoSpaceDE w:val="0"/>
        <w:autoSpaceDN w:val="0"/>
        <w:adjustRightInd w:val="0"/>
      </w:pPr>
    </w:p>
    <w:p w14:paraId="6CBD7E51" w14:textId="5BB62696" w:rsidR="00D3235C" w:rsidRDefault="00D3235C" w:rsidP="00B0760B">
      <w:pPr>
        <w:tabs>
          <w:tab w:val="left" w:pos="-1440"/>
        </w:tabs>
        <w:ind w:left="540"/>
      </w:pPr>
      <w:r>
        <w:t xml:space="preserve">There are no issues of confidentiality as no personal data on individual claimants is provided to </w:t>
      </w:r>
      <w:r w:rsidR="00317A98">
        <w:t xml:space="preserve">the </w:t>
      </w:r>
      <w:r>
        <w:t xml:space="preserve">ETA as part of this collection.  ETA maintains strict controls over the data gathered through the UI reporting system.  ETA does not receive any data on individual claimants from </w:t>
      </w:r>
      <w:r w:rsidR="00317A98">
        <w:t>S</w:t>
      </w:r>
      <w:r>
        <w:t xml:space="preserve">tates as a requirement of this data collection.  Only aggregate data describing activity for all claimants are reported to DOL.  </w:t>
      </w:r>
    </w:p>
    <w:p w14:paraId="3CA3D240" w14:textId="77777777" w:rsidR="00D3235C" w:rsidRDefault="00D3235C" w:rsidP="00B0760B">
      <w:pPr>
        <w:ind w:left="540"/>
      </w:pPr>
    </w:p>
    <w:p w14:paraId="73C5BF95" w14:textId="77777777" w:rsidR="00EA78D2" w:rsidRPr="008F4D44" w:rsidRDefault="00973CD5" w:rsidP="00973CD5">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453AB46" w14:textId="77777777" w:rsidR="00EA78D2" w:rsidRDefault="00EA78D2" w:rsidP="00EA78D2">
      <w:pPr>
        <w:autoSpaceDE w:val="0"/>
        <w:autoSpaceDN w:val="0"/>
        <w:adjustRightInd w:val="0"/>
      </w:pPr>
    </w:p>
    <w:p w14:paraId="18DE3E86" w14:textId="336BB810" w:rsidR="00D3235C" w:rsidRDefault="00B0760B" w:rsidP="00D3235C">
      <w:pPr>
        <w:tabs>
          <w:tab w:val="left" w:pos="-1440"/>
        </w:tabs>
      </w:pPr>
      <w:r>
        <w:t xml:space="preserve">         </w:t>
      </w:r>
      <w:r w:rsidR="00D3235C">
        <w:t>No questions of a sensitive nature are included.</w:t>
      </w:r>
    </w:p>
    <w:p w14:paraId="4680FEA0" w14:textId="3D1935D9" w:rsidR="00156250" w:rsidRDefault="00156250">
      <w:pPr>
        <w:spacing w:after="200" w:line="276" w:lineRule="auto"/>
      </w:pPr>
      <w:r>
        <w:br w:type="page"/>
      </w:r>
    </w:p>
    <w:p w14:paraId="33A79B66" w14:textId="77777777" w:rsidR="009E30B9" w:rsidRPr="008F4D44" w:rsidRDefault="00996590" w:rsidP="00A70488">
      <w:pPr>
        <w:tabs>
          <w:tab w:val="right" w:pos="360"/>
        </w:tabs>
        <w:autoSpaceDE w:val="0"/>
        <w:autoSpaceDN w:val="0"/>
        <w:adjustRightInd w:val="0"/>
        <w:ind w:left="540" w:hanging="540"/>
        <w:rPr>
          <w:i/>
        </w:rPr>
      </w:pPr>
      <w:r w:rsidRPr="008F4D44">
        <w:rPr>
          <w:i/>
        </w:rPr>
        <w:tab/>
      </w:r>
      <w:r w:rsidR="00EA78D2" w:rsidRPr="008F4D44">
        <w:rPr>
          <w:i/>
        </w:rPr>
        <w:t>12.</w:t>
      </w:r>
      <w:r w:rsidRPr="008F4D44">
        <w:rPr>
          <w:i/>
        </w:rPr>
        <w:tab/>
      </w:r>
      <w:r w:rsidR="00EA78D2" w:rsidRPr="008F4D44">
        <w:rPr>
          <w:i/>
        </w:rPr>
        <w:t xml:space="preserve"> </w:t>
      </w:r>
      <w:r w:rsidR="009E30B9" w:rsidRPr="008F4D44">
        <w:rPr>
          <w:i/>
        </w:rPr>
        <w:t xml:space="preserve">Provide estimates of the hour burden of the collection of information. </w:t>
      </w:r>
      <w:r w:rsidR="009E30B9">
        <w:rPr>
          <w:i/>
        </w:rPr>
        <w:t xml:space="preserve"> </w:t>
      </w:r>
    </w:p>
    <w:p w14:paraId="40015C17" w14:textId="77777777" w:rsidR="00EA78D2" w:rsidRDefault="00EA78D2" w:rsidP="00EA78D2">
      <w:pPr>
        <w:autoSpaceDE w:val="0"/>
        <w:autoSpaceDN w:val="0"/>
        <w:adjustRightInd w:val="0"/>
      </w:pPr>
    </w:p>
    <w:p w14:paraId="0F36B580" w14:textId="77777777" w:rsidR="00C30A42" w:rsidRDefault="00C30A42" w:rsidP="00B0760B">
      <w:pPr>
        <w:ind w:left="540"/>
        <w:rPr>
          <w:i/>
        </w:rPr>
      </w:pPr>
      <w:r>
        <w:rPr>
          <w:i/>
        </w:rPr>
        <w:t xml:space="preserve">The following table can be used as a guide to calculate the total burden of an information collection. </w:t>
      </w:r>
    </w:p>
    <w:p w14:paraId="40DDAC7E" w14:textId="77777777" w:rsidR="00977517" w:rsidRDefault="00977517" w:rsidP="00B0760B">
      <w:pPr>
        <w:ind w:left="54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2"/>
        <w:gridCol w:w="1097"/>
        <w:gridCol w:w="851"/>
        <w:gridCol w:w="1086"/>
        <w:gridCol w:w="1917"/>
      </w:tblGrid>
      <w:tr w:rsidR="004C40F6" w14:paraId="30A577DD" w14:textId="77777777" w:rsidTr="007C5339">
        <w:tc>
          <w:tcPr>
            <w:tcW w:w="1255" w:type="dxa"/>
            <w:tcBorders>
              <w:top w:val="single" w:sz="4" w:space="0" w:color="auto"/>
              <w:left w:val="single" w:sz="4" w:space="0" w:color="auto"/>
              <w:bottom w:val="single" w:sz="4" w:space="0" w:color="auto"/>
              <w:right w:val="single" w:sz="4" w:space="0" w:color="auto"/>
            </w:tcBorders>
            <w:shd w:val="clear" w:color="auto" w:fill="8DB3E2"/>
            <w:hideMark/>
          </w:tcPr>
          <w:p w14:paraId="132F3212" w14:textId="77777777" w:rsidR="00977517" w:rsidRDefault="00977517" w:rsidP="007A273B">
            <w:pPr>
              <w:spacing w:line="276" w:lineRule="auto"/>
              <w:rPr>
                <w:b/>
                <w:sz w:val="22"/>
                <w:szCs w:val="22"/>
              </w:rPr>
            </w:pPr>
            <w:r>
              <w:rPr>
                <w:b/>
                <w:sz w:val="22"/>
                <w:szCs w:val="22"/>
              </w:rPr>
              <w:t>Activity</w:t>
            </w:r>
          </w:p>
        </w:tc>
        <w:tc>
          <w:tcPr>
            <w:tcW w:w="1318" w:type="dxa"/>
            <w:tcBorders>
              <w:top w:val="single" w:sz="4" w:space="0" w:color="auto"/>
              <w:left w:val="single" w:sz="4" w:space="0" w:color="auto"/>
              <w:bottom w:val="single" w:sz="4" w:space="0" w:color="auto"/>
              <w:right w:val="single" w:sz="4" w:space="0" w:color="auto"/>
            </w:tcBorders>
            <w:shd w:val="clear" w:color="auto" w:fill="8DB3E2"/>
            <w:hideMark/>
          </w:tcPr>
          <w:p w14:paraId="14A09D48" w14:textId="77777777" w:rsidR="00977517" w:rsidRDefault="00977517" w:rsidP="007A273B">
            <w:pPr>
              <w:spacing w:line="276" w:lineRule="auto"/>
              <w:rPr>
                <w:b/>
                <w:sz w:val="22"/>
                <w:szCs w:val="22"/>
              </w:rPr>
            </w:pPr>
            <w:r>
              <w:rPr>
                <w:b/>
                <w:sz w:val="22"/>
                <w:szCs w:val="22"/>
              </w:rPr>
              <w:t>Number of Respondents</w:t>
            </w:r>
          </w:p>
        </w:tc>
        <w:tc>
          <w:tcPr>
            <w:tcW w:w="1138" w:type="dxa"/>
            <w:tcBorders>
              <w:top w:val="single" w:sz="4" w:space="0" w:color="auto"/>
              <w:left w:val="single" w:sz="4" w:space="0" w:color="auto"/>
              <w:bottom w:val="single" w:sz="4" w:space="0" w:color="auto"/>
              <w:right w:val="single" w:sz="4" w:space="0" w:color="auto"/>
            </w:tcBorders>
            <w:shd w:val="clear" w:color="auto" w:fill="8DB3E2"/>
            <w:hideMark/>
          </w:tcPr>
          <w:p w14:paraId="70BE843B" w14:textId="77777777" w:rsidR="00977517" w:rsidRDefault="00977517" w:rsidP="007A273B">
            <w:pPr>
              <w:spacing w:line="276" w:lineRule="auto"/>
              <w:rPr>
                <w:b/>
                <w:sz w:val="22"/>
                <w:szCs w:val="22"/>
              </w:rPr>
            </w:pPr>
            <w:r>
              <w:rPr>
                <w:b/>
                <w:sz w:val="22"/>
                <w:szCs w:val="22"/>
              </w:rPr>
              <w:t>Frequency</w:t>
            </w:r>
          </w:p>
        </w:tc>
        <w:tc>
          <w:tcPr>
            <w:tcW w:w="1104" w:type="dxa"/>
            <w:tcBorders>
              <w:top w:val="single" w:sz="4" w:space="0" w:color="auto"/>
              <w:left w:val="single" w:sz="4" w:space="0" w:color="auto"/>
              <w:bottom w:val="single" w:sz="4" w:space="0" w:color="auto"/>
              <w:right w:val="single" w:sz="4" w:space="0" w:color="auto"/>
            </w:tcBorders>
            <w:shd w:val="clear" w:color="auto" w:fill="8DB3E2"/>
            <w:hideMark/>
          </w:tcPr>
          <w:p w14:paraId="57E3CAA9" w14:textId="77777777" w:rsidR="00977517" w:rsidRDefault="00977517" w:rsidP="007A273B">
            <w:pPr>
              <w:spacing w:line="276" w:lineRule="auto"/>
              <w:rPr>
                <w:b/>
                <w:sz w:val="22"/>
                <w:szCs w:val="22"/>
              </w:rPr>
            </w:pPr>
            <w:r>
              <w:rPr>
                <w:b/>
                <w:sz w:val="22"/>
                <w:szCs w:val="22"/>
              </w:rPr>
              <w:t>Total Annual Responses</w:t>
            </w:r>
          </w:p>
        </w:tc>
        <w:tc>
          <w:tcPr>
            <w:tcW w:w="1026" w:type="dxa"/>
            <w:tcBorders>
              <w:top w:val="single" w:sz="4" w:space="0" w:color="auto"/>
              <w:left w:val="single" w:sz="4" w:space="0" w:color="auto"/>
              <w:bottom w:val="single" w:sz="4" w:space="0" w:color="auto"/>
              <w:right w:val="single" w:sz="4" w:space="0" w:color="auto"/>
            </w:tcBorders>
            <w:shd w:val="clear" w:color="auto" w:fill="8DB3E2"/>
            <w:hideMark/>
          </w:tcPr>
          <w:p w14:paraId="4DF282E5" w14:textId="77777777" w:rsidR="00977517" w:rsidRDefault="00977517" w:rsidP="007A273B">
            <w:pPr>
              <w:spacing w:line="276" w:lineRule="auto"/>
              <w:rPr>
                <w:b/>
                <w:sz w:val="22"/>
                <w:szCs w:val="22"/>
              </w:rPr>
            </w:pPr>
            <w:r>
              <w:rPr>
                <w:b/>
                <w:sz w:val="22"/>
                <w:szCs w:val="22"/>
              </w:rPr>
              <w:t>Time Per Response</w:t>
            </w:r>
          </w:p>
          <w:p w14:paraId="58E29FB7" w14:textId="7A6FE893" w:rsidR="00B2042E" w:rsidRDefault="00B2042E" w:rsidP="007A273B">
            <w:pPr>
              <w:spacing w:line="276" w:lineRule="auto"/>
              <w:rPr>
                <w:b/>
                <w:sz w:val="22"/>
                <w:szCs w:val="22"/>
              </w:rPr>
            </w:pPr>
            <w:r>
              <w:rPr>
                <w:b/>
                <w:sz w:val="22"/>
                <w:szCs w:val="22"/>
              </w:rPr>
              <w:t>(Hours)</w:t>
            </w:r>
          </w:p>
        </w:tc>
        <w:tc>
          <w:tcPr>
            <w:tcW w:w="891" w:type="dxa"/>
            <w:tcBorders>
              <w:top w:val="single" w:sz="4" w:space="0" w:color="auto"/>
              <w:left w:val="single" w:sz="4" w:space="0" w:color="auto"/>
              <w:bottom w:val="single" w:sz="4" w:space="0" w:color="auto"/>
              <w:right w:val="single" w:sz="4" w:space="0" w:color="auto"/>
            </w:tcBorders>
            <w:shd w:val="clear" w:color="auto" w:fill="8DB3E2"/>
            <w:hideMark/>
          </w:tcPr>
          <w:p w14:paraId="09162605" w14:textId="77777777" w:rsidR="00977517" w:rsidRDefault="00977517" w:rsidP="007611BD">
            <w:pPr>
              <w:spacing w:line="276" w:lineRule="auto"/>
              <w:ind w:right="-304"/>
              <w:rPr>
                <w:b/>
                <w:sz w:val="22"/>
                <w:szCs w:val="22"/>
              </w:rPr>
            </w:pPr>
            <w:r>
              <w:rPr>
                <w:b/>
                <w:sz w:val="22"/>
                <w:szCs w:val="22"/>
              </w:rPr>
              <w:t>Total Annual Burden (Hours)</w:t>
            </w:r>
          </w:p>
        </w:tc>
        <w:tc>
          <w:tcPr>
            <w:tcW w:w="1126" w:type="dxa"/>
            <w:tcBorders>
              <w:top w:val="single" w:sz="4" w:space="0" w:color="auto"/>
              <w:left w:val="single" w:sz="4" w:space="0" w:color="auto"/>
              <w:bottom w:val="single" w:sz="4" w:space="0" w:color="auto"/>
              <w:right w:val="single" w:sz="4" w:space="0" w:color="auto"/>
            </w:tcBorders>
            <w:shd w:val="clear" w:color="auto" w:fill="8DB3E2"/>
            <w:hideMark/>
          </w:tcPr>
          <w:p w14:paraId="31BD4EEE" w14:textId="77777777" w:rsidR="00977517" w:rsidRDefault="00977517" w:rsidP="007A273B">
            <w:pPr>
              <w:spacing w:line="276" w:lineRule="auto"/>
              <w:rPr>
                <w:b/>
                <w:sz w:val="22"/>
                <w:szCs w:val="22"/>
              </w:rPr>
            </w:pPr>
            <w:r>
              <w:rPr>
                <w:b/>
                <w:sz w:val="22"/>
                <w:szCs w:val="22"/>
              </w:rPr>
              <w:t>Hourly Rate*</w:t>
            </w:r>
          </w:p>
        </w:tc>
        <w:tc>
          <w:tcPr>
            <w:tcW w:w="2036" w:type="dxa"/>
            <w:tcBorders>
              <w:top w:val="single" w:sz="4" w:space="0" w:color="auto"/>
              <w:left w:val="single" w:sz="4" w:space="0" w:color="auto"/>
              <w:bottom w:val="single" w:sz="4" w:space="0" w:color="auto"/>
              <w:right w:val="single" w:sz="4" w:space="0" w:color="auto"/>
            </w:tcBorders>
            <w:shd w:val="clear" w:color="auto" w:fill="8DB3E2"/>
            <w:hideMark/>
          </w:tcPr>
          <w:p w14:paraId="4689D461" w14:textId="77777777" w:rsidR="00977517" w:rsidRDefault="00977517" w:rsidP="007A273B">
            <w:pPr>
              <w:spacing w:line="276" w:lineRule="auto"/>
              <w:rPr>
                <w:b/>
                <w:sz w:val="22"/>
                <w:szCs w:val="22"/>
              </w:rPr>
            </w:pPr>
            <w:r>
              <w:rPr>
                <w:b/>
                <w:sz w:val="22"/>
                <w:szCs w:val="22"/>
              </w:rPr>
              <w:t>Monetized Value of Respondent Time</w:t>
            </w:r>
          </w:p>
        </w:tc>
      </w:tr>
      <w:tr w:rsidR="004C40F6" w:rsidRPr="002407B3" w14:paraId="3BE2D415" w14:textId="77777777" w:rsidTr="007C5339">
        <w:tc>
          <w:tcPr>
            <w:tcW w:w="1255" w:type="dxa"/>
            <w:tcBorders>
              <w:top w:val="single" w:sz="4" w:space="0" w:color="auto"/>
              <w:left w:val="single" w:sz="4" w:space="0" w:color="auto"/>
              <w:bottom w:val="single" w:sz="4" w:space="0" w:color="auto"/>
              <w:right w:val="single" w:sz="4" w:space="0" w:color="auto"/>
            </w:tcBorders>
            <w:vAlign w:val="bottom"/>
          </w:tcPr>
          <w:p w14:paraId="56F41EF8" w14:textId="77777777" w:rsidR="00977517" w:rsidRPr="002407B3" w:rsidRDefault="00977517" w:rsidP="007A273B">
            <w:pPr>
              <w:spacing w:line="276" w:lineRule="auto"/>
              <w:jc w:val="right"/>
              <w:rPr>
                <w:sz w:val="22"/>
                <w:szCs w:val="22"/>
              </w:rPr>
            </w:pPr>
            <w:r w:rsidRPr="002407B3">
              <w:rPr>
                <w:sz w:val="22"/>
                <w:szCs w:val="22"/>
              </w:rPr>
              <w:t>ETA 9128</w:t>
            </w:r>
          </w:p>
        </w:tc>
        <w:tc>
          <w:tcPr>
            <w:tcW w:w="1318" w:type="dxa"/>
            <w:tcBorders>
              <w:top w:val="single" w:sz="4" w:space="0" w:color="auto"/>
              <w:left w:val="single" w:sz="4" w:space="0" w:color="auto"/>
              <w:bottom w:val="single" w:sz="4" w:space="0" w:color="auto"/>
              <w:right w:val="single" w:sz="4" w:space="0" w:color="auto"/>
            </w:tcBorders>
            <w:vAlign w:val="bottom"/>
          </w:tcPr>
          <w:p w14:paraId="6E54E715" w14:textId="77777777" w:rsidR="00977517" w:rsidRPr="002407B3" w:rsidRDefault="00942F54" w:rsidP="00B43697">
            <w:pPr>
              <w:spacing w:line="276" w:lineRule="auto"/>
              <w:jc w:val="right"/>
              <w:rPr>
                <w:sz w:val="22"/>
                <w:szCs w:val="22"/>
              </w:rPr>
            </w:pPr>
            <w:r>
              <w:rPr>
                <w:sz w:val="22"/>
                <w:szCs w:val="22"/>
              </w:rPr>
              <w:t>53</w:t>
            </w:r>
          </w:p>
        </w:tc>
        <w:tc>
          <w:tcPr>
            <w:tcW w:w="1138" w:type="dxa"/>
            <w:tcBorders>
              <w:top w:val="single" w:sz="4" w:space="0" w:color="auto"/>
              <w:left w:val="single" w:sz="4" w:space="0" w:color="auto"/>
              <w:bottom w:val="single" w:sz="4" w:space="0" w:color="auto"/>
              <w:right w:val="single" w:sz="4" w:space="0" w:color="auto"/>
            </w:tcBorders>
            <w:vAlign w:val="bottom"/>
          </w:tcPr>
          <w:p w14:paraId="4A320C69" w14:textId="77777777" w:rsidR="00977517" w:rsidRPr="002407B3" w:rsidRDefault="00977517" w:rsidP="007A273B">
            <w:pPr>
              <w:spacing w:line="276" w:lineRule="auto"/>
              <w:jc w:val="right"/>
              <w:rPr>
                <w:sz w:val="22"/>
                <w:szCs w:val="22"/>
              </w:rPr>
            </w:pPr>
            <w:r w:rsidRPr="002407B3">
              <w:rPr>
                <w:sz w:val="22"/>
                <w:szCs w:val="22"/>
              </w:rPr>
              <w:t>4</w:t>
            </w:r>
          </w:p>
        </w:tc>
        <w:tc>
          <w:tcPr>
            <w:tcW w:w="1104" w:type="dxa"/>
            <w:tcBorders>
              <w:top w:val="single" w:sz="4" w:space="0" w:color="auto"/>
              <w:left w:val="single" w:sz="4" w:space="0" w:color="auto"/>
              <w:bottom w:val="single" w:sz="4" w:space="0" w:color="auto"/>
              <w:right w:val="single" w:sz="4" w:space="0" w:color="auto"/>
            </w:tcBorders>
            <w:vAlign w:val="bottom"/>
          </w:tcPr>
          <w:p w14:paraId="7D12F4AD" w14:textId="77777777" w:rsidR="00977517" w:rsidRPr="002407B3" w:rsidRDefault="00823583" w:rsidP="00B43697">
            <w:pPr>
              <w:spacing w:line="276" w:lineRule="auto"/>
              <w:jc w:val="right"/>
              <w:rPr>
                <w:sz w:val="22"/>
                <w:szCs w:val="22"/>
              </w:rPr>
            </w:pPr>
            <w:r w:rsidRPr="002407B3">
              <w:rPr>
                <w:sz w:val="22"/>
                <w:szCs w:val="22"/>
              </w:rPr>
              <w:t>2</w:t>
            </w:r>
            <w:r w:rsidR="00942F54">
              <w:rPr>
                <w:sz w:val="22"/>
                <w:szCs w:val="22"/>
              </w:rPr>
              <w:t>12</w:t>
            </w:r>
          </w:p>
        </w:tc>
        <w:tc>
          <w:tcPr>
            <w:tcW w:w="1026" w:type="dxa"/>
            <w:tcBorders>
              <w:top w:val="single" w:sz="4" w:space="0" w:color="auto"/>
              <w:left w:val="single" w:sz="4" w:space="0" w:color="auto"/>
              <w:bottom w:val="single" w:sz="4" w:space="0" w:color="auto"/>
              <w:right w:val="single" w:sz="4" w:space="0" w:color="auto"/>
            </w:tcBorders>
            <w:vAlign w:val="bottom"/>
          </w:tcPr>
          <w:p w14:paraId="5B419D90" w14:textId="77777777" w:rsidR="00977517" w:rsidRPr="002407B3" w:rsidRDefault="008544F1" w:rsidP="008544F1">
            <w:pPr>
              <w:spacing w:line="276" w:lineRule="auto"/>
              <w:jc w:val="right"/>
              <w:rPr>
                <w:sz w:val="22"/>
                <w:szCs w:val="22"/>
              </w:rPr>
            </w:pPr>
            <w:r>
              <w:rPr>
                <w:sz w:val="22"/>
                <w:szCs w:val="22"/>
              </w:rPr>
              <w:t>2</w:t>
            </w:r>
            <w:r w:rsidR="00977517" w:rsidRPr="002407B3">
              <w:rPr>
                <w:sz w:val="22"/>
                <w:szCs w:val="22"/>
              </w:rPr>
              <w:t>.5</w:t>
            </w:r>
          </w:p>
        </w:tc>
        <w:tc>
          <w:tcPr>
            <w:tcW w:w="891" w:type="dxa"/>
            <w:tcBorders>
              <w:top w:val="single" w:sz="4" w:space="0" w:color="auto"/>
              <w:left w:val="single" w:sz="4" w:space="0" w:color="auto"/>
              <w:bottom w:val="single" w:sz="4" w:space="0" w:color="auto"/>
              <w:right w:val="single" w:sz="4" w:space="0" w:color="auto"/>
            </w:tcBorders>
            <w:vAlign w:val="bottom"/>
          </w:tcPr>
          <w:p w14:paraId="7F467BF2" w14:textId="77777777" w:rsidR="00977517" w:rsidRPr="002407B3" w:rsidRDefault="008544F1" w:rsidP="00B43697">
            <w:pPr>
              <w:spacing w:line="276" w:lineRule="auto"/>
              <w:jc w:val="right"/>
              <w:rPr>
                <w:sz w:val="22"/>
                <w:szCs w:val="22"/>
              </w:rPr>
            </w:pPr>
            <w:r>
              <w:rPr>
                <w:sz w:val="22"/>
                <w:szCs w:val="22"/>
              </w:rPr>
              <w:t>5</w:t>
            </w:r>
            <w:r w:rsidR="00942F54">
              <w:rPr>
                <w:sz w:val="22"/>
                <w:szCs w:val="22"/>
              </w:rPr>
              <w:t>30</w:t>
            </w:r>
          </w:p>
        </w:tc>
        <w:tc>
          <w:tcPr>
            <w:tcW w:w="1126" w:type="dxa"/>
            <w:tcBorders>
              <w:top w:val="single" w:sz="4" w:space="0" w:color="auto"/>
              <w:left w:val="single" w:sz="4" w:space="0" w:color="auto"/>
              <w:bottom w:val="single" w:sz="4" w:space="0" w:color="auto"/>
              <w:right w:val="single" w:sz="4" w:space="0" w:color="auto"/>
            </w:tcBorders>
            <w:vAlign w:val="bottom"/>
          </w:tcPr>
          <w:p w14:paraId="4E0DDC90" w14:textId="77777777" w:rsidR="00977517" w:rsidRPr="002407B3" w:rsidRDefault="00977517" w:rsidP="007A273B">
            <w:pPr>
              <w:spacing w:line="276" w:lineRule="auto"/>
              <w:jc w:val="right"/>
              <w:rPr>
                <w:sz w:val="22"/>
                <w:szCs w:val="22"/>
              </w:rPr>
            </w:pPr>
            <w:r w:rsidRPr="002407B3">
              <w:rPr>
                <w:sz w:val="22"/>
                <w:szCs w:val="22"/>
              </w:rPr>
              <w:t>$4</w:t>
            </w:r>
            <w:r w:rsidR="007611BD">
              <w:rPr>
                <w:sz w:val="22"/>
                <w:szCs w:val="22"/>
              </w:rPr>
              <w:t>9.94</w:t>
            </w:r>
          </w:p>
        </w:tc>
        <w:tc>
          <w:tcPr>
            <w:tcW w:w="2036" w:type="dxa"/>
            <w:tcBorders>
              <w:top w:val="single" w:sz="4" w:space="0" w:color="auto"/>
              <w:left w:val="single" w:sz="4" w:space="0" w:color="auto"/>
              <w:bottom w:val="single" w:sz="4" w:space="0" w:color="auto"/>
              <w:right w:val="single" w:sz="4" w:space="0" w:color="auto"/>
            </w:tcBorders>
            <w:vAlign w:val="bottom"/>
          </w:tcPr>
          <w:p w14:paraId="04D35EA7" w14:textId="77777777" w:rsidR="00977517" w:rsidRPr="002407B3" w:rsidRDefault="00977517" w:rsidP="00B43697">
            <w:pPr>
              <w:spacing w:line="276" w:lineRule="auto"/>
              <w:jc w:val="right"/>
              <w:rPr>
                <w:sz w:val="22"/>
                <w:szCs w:val="22"/>
              </w:rPr>
            </w:pPr>
            <w:r w:rsidRPr="002407B3">
              <w:rPr>
                <w:sz w:val="22"/>
                <w:szCs w:val="22"/>
              </w:rPr>
              <w:t>$</w:t>
            </w:r>
            <w:r w:rsidR="008544F1">
              <w:rPr>
                <w:sz w:val="22"/>
                <w:szCs w:val="22"/>
              </w:rPr>
              <w:t>2</w:t>
            </w:r>
            <w:r w:rsidR="00942F54">
              <w:rPr>
                <w:sz w:val="22"/>
                <w:szCs w:val="22"/>
              </w:rPr>
              <w:t>6,468.20</w:t>
            </w:r>
          </w:p>
        </w:tc>
      </w:tr>
      <w:tr w:rsidR="004C40F6" w:rsidRPr="002407B3" w14:paraId="567D691B" w14:textId="77777777" w:rsidTr="007C5339">
        <w:tc>
          <w:tcPr>
            <w:tcW w:w="1255" w:type="dxa"/>
            <w:tcBorders>
              <w:top w:val="single" w:sz="4" w:space="0" w:color="auto"/>
              <w:left w:val="single" w:sz="4" w:space="0" w:color="auto"/>
              <w:bottom w:val="single" w:sz="4" w:space="0" w:color="auto"/>
              <w:right w:val="single" w:sz="4" w:space="0" w:color="auto"/>
            </w:tcBorders>
            <w:vAlign w:val="bottom"/>
          </w:tcPr>
          <w:p w14:paraId="07EEF1F0" w14:textId="77777777" w:rsidR="00977517" w:rsidRPr="002407B3" w:rsidRDefault="00977517" w:rsidP="007A273B">
            <w:pPr>
              <w:spacing w:line="276" w:lineRule="auto"/>
              <w:jc w:val="right"/>
              <w:rPr>
                <w:sz w:val="22"/>
                <w:szCs w:val="22"/>
              </w:rPr>
            </w:pPr>
            <w:r w:rsidRPr="002407B3">
              <w:rPr>
                <w:sz w:val="22"/>
                <w:szCs w:val="22"/>
              </w:rPr>
              <w:t>ETA 9129</w:t>
            </w:r>
          </w:p>
        </w:tc>
        <w:tc>
          <w:tcPr>
            <w:tcW w:w="1318" w:type="dxa"/>
            <w:tcBorders>
              <w:top w:val="single" w:sz="4" w:space="0" w:color="auto"/>
              <w:left w:val="single" w:sz="4" w:space="0" w:color="auto"/>
              <w:bottom w:val="single" w:sz="4" w:space="0" w:color="auto"/>
              <w:right w:val="single" w:sz="4" w:space="0" w:color="auto"/>
            </w:tcBorders>
            <w:vAlign w:val="bottom"/>
          </w:tcPr>
          <w:p w14:paraId="74C44286" w14:textId="77777777" w:rsidR="00977517" w:rsidRPr="002407B3" w:rsidRDefault="00823583" w:rsidP="00B43697">
            <w:pPr>
              <w:spacing w:line="276" w:lineRule="auto"/>
              <w:jc w:val="right"/>
              <w:rPr>
                <w:sz w:val="22"/>
                <w:szCs w:val="22"/>
              </w:rPr>
            </w:pPr>
            <w:r w:rsidRPr="002407B3">
              <w:rPr>
                <w:sz w:val="22"/>
                <w:szCs w:val="22"/>
              </w:rPr>
              <w:t>5</w:t>
            </w:r>
            <w:r w:rsidR="00942F54">
              <w:rPr>
                <w:sz w:val="22"/>
                <w:szCs w:val="22"/>
              </w:rPr>
              <w:t>3</w:t>
            </w:r>
          </w:p>
        </w:tc>
        <w:tc>
          <w:tcPr>
            <w:tcW w:w="1138" w:type="dxa"/>
            <w:tcBorders>
              <w:top w:val="single" w:sz="4" w:space="0" w:color="auto"/>
              <w:left w:val="single" w:sz="4" w:space="0" w:color="auto"/>
              <w:bottom w:val="single" w:sz="4" w:space="0" w:color="auto"/>
              <w:right w:val="single" w:sz="4" w:space="0" w:color="auto"/>
            </w:tcBorders>
            <w:vAlign w:val="bottom"/>
          </w:tcPr>
          <w:p w14:paraId="283913AE" w14:textId="77777777" w:rsidR="00977517" w:rsidRPr="002407B3" w:rsidRDefault="00977517" w:rsidP="007A273B">
            <w:pPr>
              <w:spacing w:line="276" w:lineRule="auto"/>
              <w:jc w:val="right"/>
              <w:rPr>
                <w:sz w:val="22"/>
                <w:szCs w:val="22"/>
              </w:rPr>
            </w:pPr>
            <w:r w:rsidRPr="002407B3">
              <w:rPr>
                <w:sz w:val="22"/>
                <w:szCs w:val="22"/>
              </w:rPr>
              <w:t>4</w:t>
            </w:r>
          </w:p>
        </w:tc>
        <w:tc>
          <w:tcPr>
            <w:tcW w:w="1104" w:type="dxa"/>
            <w:tcBorders>
              <w:top w:val="single" w:sz="4" w:space="0" w:color="auto"/>
              <w:left w:val="single" w:sz="4" w:space="0" w:color="auto"/>
              <w:bottom w:val="single" w:sz="4" w:space="0" w:color="auto"/>
              <w:right w:val="single" w:sz="4" w:space="0" w:color="auto"/>
            </w:tcBorders>
            <w:vAlign w:val="bottom"/>
          </w:tcPr>
          <w:p w14:paraId="30B4BD93" w14:textId="77777777" w:rsidR="00977517" w:rsidRPr="002407B3" w:rsidRDefault="00823583" w:rsidP="00B43697">
            <w:pPr>
              <w:spacing w:line="276" w:lineRule="auto"/>
              <w:jc w:val="right"/>
              <w:rPr>
                <w:sz w:val="22"/>
                <w:szCs w:val="22"/>
              </w:rPr>
            </w:pPr>
            <w:r w:rsidRPr="002407B3">
              <w:rPr>
                <w:sz w:val="22"/>
                <w:szCs w:val="22"/>
              </w:rPr>
              <w:t>2</w:t>
            </w:r>
            <w:r w:rsidR="00942F54">
              <w:rPr>
                <w:sz w:val="22"/>
                <w:szCs w:val="22"/>
              </w:rPr>
              <w:t>12</w:t>
            </w:r>
          </w:p>
        </w:tc>
        <w:tc>
          <w:tcPr>
            <w:tcW w:w="1026" w:type="dxa"/>
            <w:tcBorders>
              <w:top w:val="single" w:sz="4" w:space="0" w:color="auto"/>
              <w:left w:val="single" w:sz="4" w:space="0" w:color="auto"/>
              <w:bottom w:val="single" w:sz="4" w:space="0" w:color="auto"/>
              <w:right w:val="single" w:sz="4" w:space="0" w:color="auto"/>
            </w:tcBorders>
            <w:vAlign w:val="bottom"/>
          </w:tcPr>
          <w:p w14:paraId="20D96F32" w14:textId="77777777" w:rsidR="00977517" w:rsidRPr="002407B3" w:rsidRDefault="008544F1" w:rsidP="008544F1">
            <w:pPr>
              <w:spacing w:line="276" w:lineRule="auto"/>
              <w:jc w:val="right"/>
              <w:rPr>
                <w:sz w:val="22"/>
                <w:szCs w:val="22"/>
              </w:rPr>
            </w:pPr>
            <w:r>
              <w:rPr>
                <w:sz w:val="22"/>
                <w:szCs w:val="22"/>
              </w:rPr>
              <w:t>2</w:t>
            </w:r>
            <w:r w:rsidR="00977517" w:rsidRPr="002407B3">
              <w:rPr>
                <w:sz w:val="22"/>
                <w:szCs w:val="22"/>
              </w:rPr>
              <w:t>.5</w:t>
            </w:r>
          </w:p>
        </w:tc>
        <w:tc>
          <w:tcPr>
            <w:tcW w:w="891" w:type="dxa"/>
            <w:tcBorders>
              <w:top w:val="single" w:sz="4" w:space="0" w:color="auto"/>
              <w:left w:val="single" w:sz="4" w:space="0" w:color="auto"/>
              <w:bottom w:val="single" w:sz="4" w:space="0" w:color="auto"/>
              <w:right w:val="single" w:sz="4" w:space="0" w:color="auto"/>
            </w:tcBorders>
            <w:vAlign w:val="bottom"/>
          </w:tcPr>
          <w:p w14:paraId="508B8CE2" w14:textId="77777777" w:rsidR="00977517" w:rsidRPr="002407B3" w:rsidRDefault="008544F1" w:rsidP="00B43697">
            <w:pPr>
              <w:spacing w:line="276" w:lineRule="auto"/>
              <w:jc w:val="right"/>
              <w:rPr>
                <w:sz w:val="22"/>
                <w:szCs w:val="22"/>
              </w:rPr>
            </w:pPr>
            <w:r>
              <w:rPr>
                <w:sz w:val="22"/>
                <w:szCs w:val="22"/>
              </w:rPr>
              <w:t>5</w:t>
            </w:r>
            <w:r w:rsidR="00942F54">
              <w:rPr>
                <w:sz w:val="22"/>
                <w:szCs w:val="22"/>
              </w:rPr>
              <w:t>3</w:t>
            </w:r>
            <w:r>
              <w:rPr>
                <w:sz w:val="22"/>
                <w:szCs w:val="22"/>
              </w:rPr>
              <w:t>0</w:t>
            </w:r>
          </w:p>
        </w:tc>
        <w:tc>
          <w:tcPr>
            <w:tcW w:w="1126" w:type="dxa"/>
            <w:tcBorders>
              <w:top w:val="single" w:sz="4" w:space="0" w:color="auto"/>
              <w:left w:val="single" w:sz="4" w:space="0" w:color="auto"/>
              <w:bottom w:val="single" w:sz="4" w:space="0" w:color="auto"/>
              <w:right w:val="single" w:sz="4" w:space="0" w:color="auto"/>
            </w:tcBorders>
            <w:vAlign w:val="bottom"/>
          </w:tcPr>
          <w:p w14:paraId="14A88B07" w14:textId="77777777" w:rsidR="00977517" w:rsidRPr="002407B3" w:rsidRDefault="00977517" w:rsidP="00E157EF">
            <w:pPr>
              <w:spacing w:line="276" w:lineRule="auto"/>
              <w:jc w:val="right"/>
              <w:rPr>
                <w:sz w:val="22"/>
                <w:szCs w:val="22"/>
              </w:rPr>
            </w:pPr>
            <w:r w:rsidRPr="002407B3">
              <w:rPr>
                <w:sz w:val="22"/>
                <w:szCs w:val="22"/>
              </w:rPr>
              <w:t>$4</w:t>
            </w:r>
            <w:r w:rsidR="007611BD">
              <w:rPr>
                <w:sz w:val="22"/>
                <w:szCs w:val="22"/>
              </w:rPr>
              <w:t>9.94</w:t>
            </w:r>
          </w:p>
        </w:tc>
        <w:tc>
          <w:tcPr>
            <w:tcW w:w="2036" w:type="dxa"/>
            <w:tcBorders>
              <w:top w:val="single" w:sz="4" w:space="0" w:color="auto"/>
              <w:left w:val="single" w:sz="4" w:space="0" w:color="auto"/>
              <w:bottom w:val="single" w:sz="4" w:space="0" w:color="auto"/>
              <w:right w:val="single" w:sz="4" w:space="0" w:color="auto"/>
            </w:tcBorders>
            <w:vAlign w:val="bottom"/>
          </w:tcPr>
          <w:p w14:paraId="20EA459D" w14:textId="77777777" w:rsidR="00977517" w:rsidRPr="002407B3" w:rsidRDefault="00977517" w:rsidP="00B43697">
            <w:pPr>
              <w:spacing w:line="276" w:lineRule="auto"/>
              <w:jc w:val="right"/>
              <w:rPr>
                <w:sz w:val="22"/>
                <w:szCs w:val="22"/>
              </w:rPr>
            </w:pPr>
            <w:r w:rsidRPr="002407B3">
              <w:rPr>
                <w:sz w:val="22"/>
                <w:szCs w:val="22"/>
              </w:rPr>
              <w:t>$</w:t>
            </w:r>
            <w:r w:rsidR="008544F1">
              <w:rPr>
                <w:sz w:val="22"/>
                <w:szCs w:val="22"/>
              </w:rPr>
              <w:t>2</w:t>
            </w:r>
            <w:r w:rsidR="00942F54">
              <w:rPr>
                <w:sz w:val="22"/>
                <w:szCs w:val="22"/>
              </w:rPr>
              <w:t>6,468.20</w:t>
            </w:r>
          </w:p>
        </w:tc>
      </w:tr>
      <w:tr w:rsidR="004C40F6" w14:paraId="2E2A5B4D" w14:textId="77777777" w:rsidTr="007C5339">
        <w:tc>
          <w:tcPr>
            <w:tcW w:w="1255" w:type="dxa"/>
            <w:tcBorders>
              <w:top w:val="single" w:sz="4" w:space="0" w:color="auto"/>
              <w:left w:val="single" w:sz="4" w:space="0" w:color="auto"/>
              <w:bottom w:val="single" w:sz="4" w:space="0" w:color="auto"/>
              <w:right w:val="single" w:sz="4" w:space="0" w:color="auto"/>
            </w:tcBorders>
            <w:hideMark/>
          </w:tcPr>
          <w:p w14:paraId="24361F2E" w14:textId="77777777" w:rsidR="00977517" w:rsidRPr="002407B3" w:rsidRDefault="00977517" w:rsidP="007A273B">
            <w:pPr>
              <w:spacing w:line="276" w:lineRule="auto"/>
              <w:rPr>
                <w:b/>
                <w:i/>
                <w:sz w:val="22"/>
                <w:szCs w:val="22"/>
              </w:rPr>
            </w:pPr>
            <w:r w:rsidRPr="002407B3">
              <w:rPr>
                <w:b/>
                <w:i/>
                <w:sz w:val="22"/>
                <w:szCs w:val="22"/>
              </w:rPr>
              <w:t>Unduplicated Totals</w:t>
            </w:r>
          </w:p>
        </w:tc>
        <w:tc>
          <w:tcPr>
            <w:tcW w:w="1318" w:type="dxa"/>
            <w:tcBorders>
              <w:top w:val="single" w:sz="4" w:space="0" w:color="auto"/>
              <w:left w:val="single" w:sz="4" w:space="0" w:color="auto"/>
              <w:bottom w:val="single" w:sz="4" w:space="0" w:color="auto"/>
              <w:right w:val="single" w:sz="4" w:space="0" w:color="auto"/>
            </w:tcBorders>
            <w:vAlign w:val="bottom"/>
          </w:tcPr>
          <w:p w14:paraId="4B56F08A" w14:textId="77777777" w:rsidR="00977517" w:rsidRPr="002407B3" w:rsidRDefault="00823583" w:rsidP="00B43697">
            <w:pPr>
              <w:spacing w:line="276" w:lineRule="auto"/>
              <w:jc w:val="right"/>
              <w:rPr>
                <w:b/>
                <w:i/>
                <w:sz w:val="22"/>
                <w:szCs w:val="22"/>
              </w:rPr>
            </w:pPr>
            <w:r w:rsidRPr="002407B3">
              <w:rPr>
                <w:b/>
                <w:i/>
                <w:sz w:val="22"/>
                <w:szCs w:val="22"/>
              </w:rPr>
              <w:t>5</w:t>
            </w:r>
            <w:r w:rsidR="00942F54">
              <w:rPr>
                <w:b/>
                <w:i/>
                <w:sz w:val="22"/>
                <w:szCs w:val="22"/>
              </w:rPr>
              <w:t>3</w:t>
            </w:r>
          </w:p>
        </w:tc>
        <w:tc>
          <w:tcPr>
            <w:tcW w:w="1138" w:type="dxa"/>
            <w:tcBorders>
              <w:top w:val="single" w:sz="4" w:space="0" w:color="auto"/>
              <w:left w:val="single" w:sz="4" w:space="0" w:color="auto"/>
              <w:bottom w:val="single" w:sz="4" w:space="0" w:color="auto"/>
              <w:right w:val="single" w:sz="4" w:space="0" w:color="auto"/>
            </w:tcBorders>
            <w:vAlign w:val="bottom"/>
          </w:tcPr>
          <w:p w14:paraId="6156CD40" w14:textId="77777777" w:rsidR="00977517" w:rsidRPr="002407B3" w:rsidRDefault="00FE390A" w:rsidP="00FE390A">
            <w:pPr>
              <w:spacing w:line="276" w:lineRule="auto"/>
              <w:jc w:val="center"/>
              <w:rPr>
                <w:b/>
                <w:i/>
                <w:sz w:val="22"/>
                <w:szCs w:val="22"/>
              </w:rPr>
            </w:pPr>
            <w:r>
              <w:rPr>
                <w:b/>
                <w:i/>
                <w:sz w:val="22"/>
                <w:szCs w:val="22"/>
              </w:rPr>
              <w:t>--</w:t>
            </w:r>
          </w:p>
        </w:tc>
        <w:tc>
          <w:tcPr>
            <w:tcW w:w="1104" w:type="dxa"/>
            <w:tcBorders>
              <w:top w:val="single" w:sz="4" w:space="0" w:color="auto"/>
              <w:left w:val="single" w:sz="4" w:space="0" w:color="auto"/>
              <w:bottom w:val="single" w:sz="4" w:space="0" w:color="auto"/>
              <w:right w:val="single" w:sz="4" w:space="0" w:color="auto"/>
            </w:tcBorders>
            <w:vAlign w:val="bottom"/>
          </w:tcPr>
          <w:p w14:paraId="5A0CF866" w14:textId="77777777" w:rsidR="00977517" w:rsidRPr="002407B3" w:rsidRDefault="00823583" w:rsidP="00B43697">
            <w:pPr>
              <w:spacing w:line="276" w:lineRule="auto"/>
              <w:jc w:val="right"/>
              <w:rPr>
                <w:b/>
                <w:i/>
                <w:sz w:val="22"/>
                <w:szCs w:val="22"/>
              </w:rPr>
            </w:pPr>
            <w:r w:rsidRPr="002407B3">
              <w:rPr>
                <w:b/>
                <w:i/>
                <w:sz w:val="22"/>
                <w:szCs w:val="22"/>
              </w:rPr>
              <w:t>4</w:t>
            </w:r>
            <w:r w:rsidR="00942F54">
              <w:rPr>
                <w:b/>
                <w:i/>
                <w:sz w:val="22"/>
                <w:szCs w:val="22"/>
              </w:rPr>
              <w:t>24</w:t>
            </w:r>
          </w:p>
        </w:tc>
        <w:tc>
          <w:tcPr>
            <w:tcW w:w="1026" w:type="dxa"/>
            <w:tcBorders>
              <w:top w:val="single" w:sz="4" w:space="0" w:color="auto"/>
              <w:left w:val="single" w:sz="4" w:space="0" w:color="auto"/>
              <w:bottom w:val="single" w:sz="4" w:space="0" w:color="auto"/>
              <w:right w:val="single" w:sz="4" w:space="0" w:color="auto"/>
            </w:tcBorders>
            <w:vAlign w:val="bottom"/>
          </w:tcPr>
          <w:p w14:paraId="3EA24D54" w14:textId="77777777" w:rsidR="00977517" w:rsidRPr="002407B3" w:rsidRDefault="00FE390A" w:rsidP="00FE390A">
            <w:pPr>
              <w:spacing w:line="276" w:lineRule="auto"/>
              <w:jc w:val="center"/>
              <w:rPr>
                <w:b/>
                <w:i/>
                <w:sz w:val="22"/>
                <w:szCs w:val="22"/>
              </w:rPr>
            </w:pPr>
            <w:r>
              <w:rPr>
                <w:b/>
                <w:i/>
                <w:sz w:val="22"/>
                <w:szCs w:val="22"/>
              </w:rPr>
              <w:t>--</w:t>
            </w:r>
          </w:p>
        </w:tc>
        <w:tc>
          <w:tcPr>
            <w:tcW w:w="891" w:type="dxa"/>
            <w:tcBorders>
              <w:top w:val="single" w:sz="4" w:space="0" w:color="auto"/>
              <w:left w:val="single" w:sz="4" w:space="0" w:color="auto"/>
              <w:bottom w:val="single" w:sz="4" w:space="0" w:color="auto"/>
              <w:right w:val="single" w:sz="4" w:space="0" w:color="auto"/>
            </w:tcBorders>
            <w:vAlign w:val="bottom"/>
          </w:tcPr>
          <w:p w14:paraId="737D550C" w14:textId="77777777" w:rsidR="00977517" w:rsidRPr="002407B3" w:rsidRDefault="008544F1" w:rsidP="00B43697">
            <w:pPr>
              <w:spacing w:line="276" w:lineRule="auto"/>
              <w:jc w:val="right"/>
              <w:rPr>
                <w:b/>
                <w:i/>
                <w:sz w:val="22"/>
                <w:szCs w:val="22"/>
              </w:rPr>
            </w:pPr>
            <w:r>
              <w:rPr>
                <w:b/>
                <w:i/>
                <w:sz w:val="22"/>
                <w:szCs w:val="22"/>
              </w:rPr>
              <w:t>10</w:t>
            </w:r>
            <w:r w:rsidR="00942F54">
              <w:rPr>
                <w:b/>
                <w:i/>
                <w:sz w:val="22"/>
                <w:szCs w:val="22"/>
              </w:rPr>
              <w:t>6</w:t>
            </w:r>
            <w:r w:rsidR="00E136D2" w:rsidRPr="007C5339">
              <w:rPr>
                <w:b/>
                <w:i/>
                <w:sz w:val="22"/>
                <w:szCs w:val="22"/>
              </w:rPr>
              <w:t>0</w:t>
            </w:r>
          </w:p>
        </w:tc>
        <w:tc>
          <w:tcPr>
            <w:tcW w:w="1126" w:type="dxa"/>
            <w:tcBorders>
              <w:top w:val="single" w:sz="4" w:space="0" w:color="auto"/>
              <w:left w:val="single" w:sz="4" w:space="0" w:color="auto"/>
              <w:bottom w:val="single" w:sz="4" w:space="0" w:color="auto"/>
              <w:right w:val="single" w:sz="4" w:space="0" w:color="auto"/>
            </w:tcBorders>
            <w:vAlign w:val="bottom"/>
          </w:tcPr>
          <w:p w14:paraId="2A349CC8" w14:textId="77777777" w:rsidR="00977517" w:rsidRPr="002407B3" w:rsidRDefault="00977517" w:rsidP="007A273B">
            <w:pPr>
              <w:spacing w:line="276" w:lineRule="auto"/>
              <w:jc w:val="right"/>
              <w:rPr>
                <w:b/>
                <w:i/>
                <w:sz w:val="22"/>
                <w:szCs w:val="22"/>
              </w:rPr>
            </w:pPr>
          </w:p>
        </w:tc>
        <w:tc>
          <w:tcPr>
            <w:tcW w:w="2036" w:type="dxa"/>
            <w:tcBorders>
              <w:top w:val="single" w:sz="4" w:space="0" w:color="auto"/>
              <w:left w:val="single" w:sz="4" w:space="0" w:color="auto"/>
              <w:bottom w:val="single" w:sz="4" w:space="0" w:color="auto"/>
              <w:right w:val="single" w:sz="4" w:space="0" w:color="auto"/>
            </w:tcBorders>
            <w:vAlign w:val="bottom"/>
          </w:tcPr>
          <w:p w14:paraId="3F6F5C07" w14:textId="77777777" w:rsidR="00977517" w:rsidRDefault="00977517" w:rsidP="00B43697">
            <w:pPr>
              <w:spacing w:line="276" w:lineRule="auto"/>
              <w:jc w:val="right"/>
              <w:rPr>
                <w:b/>
                <w:i/>
                <w:sz w:val="22"/>
                <w:szCs w:val="22"/>
              </w:rPr>
            </w:pPr>
            <w:r w:rsidRPr="002407B3">
              <w:rPr>
                <w:b/>
                <w:i/>
                <w:sz w:val="22"/>
                <w:szCs w:val="22"/>
              </w:rPr>
              <w:t>$</w:t>
            </w:r>
            <w:r w:rsidR="00942F54">
              <w:rPr>
                <w:b/>
                <w:i/>
                <w:sz w:val="22"/>
                <w:szCs w:val="22"/>
              </w:rPr>
              <w:t>52,936.40</w:t>
            </w:r>
          </w:p>
        </w:tc>
      </w:tr>
    </w:tbl>
    <w:p w14:paraId="549CAFA4" w14:textId="77777777" w:rsidR="00E157EF" w:rsidRPr="00E157EF" w:rsidRDefault="00E157EF" w:rsidP="00E157EF">
      <w:pPr>
        <w:rPr>
          <w:i/>
        </w:rPr>
      </w:pPr>
      <w:r w:rsidRPr="00E157EF">
        <w:rPr>
          <w:i/>
        </w:rPr>
        <w:t>*Source: The hourly rate is computed by dividing the FY 2019 national average PS/PB annual salary for state staff as provided for through the distribution of state UI administrative grants (</w:t>
      </w:r>
      <w:hyperlink r:id="rId9" w:history="1">
        <w:r w:rsidRPr="00E157EF">
          <w:rPr>
            <w:rStyle w:val="Hyperlink"/>
            <w:i/>
          </w:rPr>
          <w:t>https://wdr.doleta.gov/directives/attach/UIPL/UIPL_10-18.pdf</w:t>
        </w:r>
      </w:hyperlink>
      <w:r w:rsidR="00A70488">
        <w:rPr>
          <w:i/>
          <w:u w:val="single"/>
        </w:rPr>
        <w:t>)</w:t>
      </w:r>
      <w:r w:rsidR="00A70488" w:rsidRPr="00A70488">
        <w:rPr>
          <w:i/>
        </w:rPr>
        <w:t xml:space="preserve"> </w:t>
      </w:r>
      <w:r w:rsidRPr="00E157EF">
        <w:rPr>
          <w:i/>
        </w:rPr>
        <w:t>by the average number of hours worked in a year (1,711).  For FY 2019, this calculat</w:t>
      </w:r>
      <w:r w:rsidR="007611BD">
        <w:rPr>
          <w:i/>
        </w:rPr>
        <w:t>ion is:  $85,453 / 1,711= $49.94</w:t>
      </w:r>
      <w:r w:rsidRPr="00E157EF">
        <w:rPr>
          <w:i/>
        </w:rPr>
        <w:t>.</w:t>
      </w:r>
    </w:p>
    <w:p w14:paraId="1A0B1BB2" w14:textId="77777777" w:rsidR="00D3235C" w:rsidRDefault="00D3235C" w:rsidP="00D3235C"/>
    <w:p w14:paraId="37322B78" w14:textId="77777777" w:rsidR="00D3235C" w:rsidRDefault="00D3235C" w:rsidP="00B0760B">
      <w:pPr>
        <w:ind w:left="540"/>
      </w:pPr>
      <w:r>
        <w:t xml:space="preserve">The original submittal was made when the program was implemented and it is envisioned that all 53 SWAs will participate.  </w:t>
      </w:r>
    </w:p>
    <w:p w14:paraId="1ABA7017" w14:textId="77777777" w:rsidR="00D3235C" w:rsidRDefault="00D3235C" w:rsidP="00B0760B">
      <w:pPr>
        <w:ind w:left="540"/>
      </w:pPr>
    </w:p>
    <w:p w14:paraId="7D6ADF7E" w14:textId="77777777" w:rsidR="00D3235C" w:rsidRDefault="00D3235C" w:rsidP="00B0760B">
      <w:pPr>
        <w:ind w:left="540"/>
      </w:pPr>
      <w:r>
        <w:t>The total burden comprises SWA activities related to assembling automated record system files, conducting automated cross matches of these files, and electronically reporting the results to DOL.  Estimates of the burden follow, based on the fact that ETA awarded RE</w:t>
      </w:r>
      <w:r w:rsidR="00B76A7F">
        <w:t>SE</w:t>
      </w:r>
      <w:r>
        <w:t>A grants to states during fiscal year 201</w:t>
      </w:r>
      <w:r w:rsidR="00E627FF">
        <w:t>7/2018</w:t>
      </w:r>
      <w:r>
        <w:t>, according to the availability of appropriated funds.</w:t>
      </w:r>
    </w:p>
    <w:p w14:paraId="080CED5F" w14:textId="77777777" w:rsidR="00D3235C" w:rsidRDefault="00D3235C" w:rsidP="00B0760B">
      <w:pPr>
        <w:ind w:left="540"/>
      </w:pPr>
    </w:p>
    <w:p w14:paraId="72FB0E14" w14:textId="0F83B9FF" w:rsidR="00E00344" w:rsidRPr="00E00344" w:rsidRDefault="00D3235C" w:rsidP="00E00344">
      <w:pPr>
        <w:ind w:left="540"/>
      </w:pPr>
      <w:r w:rsidRPr="002407B3">
        <w:t xml:space="preserve">ETA estimates that it will take the same amount of time for </w:t>
      </w:r>
      <w:r w:rsidR="00F90468">
        <w:t>S</w:t>
      </w:r>
      <w:r w:rsidRPr="002407B3">
        <w:t>tates to complete the ETA 9128</w:t>
      </w:r>
      <w:r w:rsidR="00CC613A">
        <w:t xml:space="preserve"> and</w:t>
      </w:r>
      <w:r w:rsidRPr="002407B3">
        <w:t xml:space="preserve"> the ETA 9219: </w:t>
      </w:r>
      <w:r w:rsidR="008544F1">
        <w:t>150</w:t>
      </w:r>
      <w:r w:rsidRPr="002407B3">
        <w:t xml:space="preserve"> minutes for each form or </w:t>
      </w:r>
      <w:r w:rsidR="008544F1">
        <w:t>2</w:t>
      </w:r>
      <w:r w:rsidRPr="002407B3">
        <w:t>.5 hours.</w:t>
      </w:r>
      <w:r w:rsidR="00E00344" w:rsidRPr="002407B3">
        <w:t xml:space="preserve">  These data are already being collected and reported to DOL.  </w:t>
      </w:r>
    </w:p>
    <w:p w14:paraId="24581ACA" w14:textId="77777777" w:rsidR="00E00344" w:rsidRDefault="00E00344" w:rsidP="00E00344">
      <w:pPr>
        <w:ind w:left="540"/>
      </w:pPr>
    </w:p>
    <w:p w14:paraId="6308853B" w14:textId="77777777" w:rsidR="00B0760B" w:rsidRPr="008F4D44" w:rsidRDefault="00B0760B" w:rsidP="00B0760B">
      <w:pPr>
        <w:tabs>
          <w:tab w:val="right" w:pos="360"/>
        </w:tabs>
        <w:autoSpaceDE w:val="0"/>
        <w:autoSpaceDN w:val="0"/>
        <w:adjustRightInd w:val="0"/>
        <w:ind w:left="540" w:hanging="540"/>
        <w:rPr>
          <w:i/>
        </w:rPr>
      </w:pPr>
      <w:r w:rsidRPr="008F4D44">
        <w:rPr>
          <w:i/>
        </w:rPr>
        <w:tab/>
        <w:t>13.</w:t>
      </w:r>
      <w:r w:rsidRPr="008F4D44">
        <w:rPr>
          <w:i/>
        </w:rPr>
        <w:tab/>
        <w:t>Provide an estimate for the total annual cost burden to respondents or record keepers resulting from the collection of information.  (Do not include the cost of any hour burden already reflected on the burden worksheet).</w:t>
      </w:r>
    </w:p>
    <w:p w14:paraId="58EC1E12" w14:textId="77777777" w:rsidR="00B0760B" w:rsidRDefault="00B0760B" w:rsidP="00B0760B">
      <w:pPr>
        <w:autoSpaceDE w:val="0"/>
        <w:autoSpaceDN w:val="0"/>
        <w:adjustRightInd w:val="0"/>
      </w:pPr>
    </w:p>
    <w:p w14:paraId="754A791E" w14:textId="77777777" w:rsidR="00B0760B" w:rsidRDefault="00B0760B" w:rsidP="00B0760B">
      <w:pPr>
        <w:autoSpaceDE w:val="0"/>
        <w:autoSpaceDN w:val="0"/>
        <w:adjustRightInd w:val="0"/>
      </w:pPr>
      <w:r>
        <w:t xml:space="preserve">         There are no annualized costs to respondents.</w:t>
      </w:r>
    </w:p>
    <w:p w14:paraId="45157945" w14:textId="77777777" w:rsidR="00B0760B" w:rsidRDefault="00B0760B" w:rsidP="00B0760B">
      <w:pPr>
        <w:autoSpaceDE w:val="0"/>
        <w:autoSpaceDN w:val="0"/>
        <w:adjustRightInd w:val="0"/>
      </w:pPr>
    </w:p>
    <w:p w14:paraId="63DA3231" w14:textId="77777777" w:rsidR="00B0760B" w:rsidRPr="008F4D44" w:rsidRDefault="00B0760B" w:rsidP="00B0760B">
      <w:pPr>
        <w:tabs>
          <w:tab w:val="right" w:pos="360"/>
        </w:tabs>
        <w:autoSpaceDE w:val="0"/>
        <w:autoSpaceDN w:val="0"/>
        <w:adjustRightInd w:val="0"/>
        <w:ind w:left="540" w:hanging="540"/>
        <w:rPr>
          <w:i/>
        </w:rPr>
      </w:pPr>
      <w:r w:rsidRPr="008F4D44">
        <w:rPr>
          <w:i/>
        </w:rPr>
        <w:t>14.</w:t>
      </w:r>
      <w:r w:rsidRPr="008F4D44">
        <w:rPr>
          <w:i/>
        </w:rPr>
        <w:tab/>
      </w:r>
      <w:r>
        <w:rPr>
          <w:i/>
        </w:rPr>
        <w:t xml:space="preserve">    </w:t>
      </w:r>
      <w:r w:rsidRPr="008F4D44">
        <w:rPr>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44C471BE" w14:textId="77777777" w:rsidR="005E7838" w:rsidRDefault="005E7838" w:rsidP="00A70488"/>
    <w:p w14:paraId="546A7C22" w14:textId="77777777" w:rsidR="00156250" w:rsidRDefault="00156250" w:rsidP="00B0760B">
      <w:pPr>
        <w:ind w:left="540"/>
      </w:pPr>
    </w:p>
    <w:p w14:paraId="3F4C6E19" w14:textId="332959E5" w:rsidR="00063A5D" w:rsidRDefault="00063A5D" w:rsidP="00B0760B">
      <w:pPr>
        <w:ind w:left="540"/>
      </w:pPr>
      <w:r>
        <w:t>Federal Burden for Data Collection: ETA 9128 and 9129.</w:t>
      </w:r>
    </w:p>
    <w:p w14:paraId="72289A62" w14:textId="77777777" w:rsidR="00063A5D" w:rsidRDefault="00063A5D" w:rsidP="00B0760B">
      <w:pPr>
        <w:ind w:left="540"/>
      </w:pPr>
    </w:p>
    <w:p w14:paraId="1AB7919F" w14:textId="77777777" w:rsidR="00063A5D" w:rsidRDefault="005A5C6C" w:rsidP="00B0760B">
      <w:pPr>
        <w:ind w:left="540"/>
      </w:pPr>
      <w:r>
        <w:t xml:space="preserve">ETA 9128 - </w:t>
      </w:r>
      <w:r w:rsidR="00063A5D">
        <w:t xml:space="preserve">Annual Burden Hours: 530 hours (average 2.5 hours per report) </w:t>
      </w:r>
    </w:p>
    <w:p w14:paraId="0F5A4985" w14:textId="77777777" w:rsidR="00063A5D" w:rsidRDefault="00063A5D" w:rsidP="00B0760B">
      <w:pPr>
        <w:ind w:left="540"/>
      </w:pPr>
    </w:p>
    <w:p w14:paraId="15C3351B" w14:textId="6D72EF67" w:rsidR="00063A5D" w:rsidRDefault="005A5C6C" w:rsidP="00B0760B">
      <w:pPr>
        <w:ind w:left="540"/>
      </w:pPr>
      <w:r>
        <w:t xml:space="preserve">ETA 9128 - </w:t>
      </w:r>
      <w:r w:rsidR="00063A5D">
        <w:t>Estimate Annual Salary Cost to Review Data:  $26,12</w:t>
      </w:r>
      <w:r w:rsidR="003B563F">
        <w:t>4</w:t>
      </w:r>
      <w:r w:rsidR="00ED4CA8">
        <w:t xml:space="preserve"> </w:t>
      </w:r>
    </w:p>
    <w:p w14:paraId="7CD912B7" w14:textId="77777777" w:rsidR="005A5C6C" w:rsidRDefault="005A5C6C" w:rsidP="00B0760B">
      <w:pPr>
        <w:ind w:left="540"/>
      </w:pPr>
    </w:p>
    <w:p w14:paraId="2EAFE261" w14:textId="77777777" w:rsidR="005A5C6C" w:rsidRDefault="005A5C6C" w:rsidP="005A5C6C">
      <w:pPr>
        <w:ind w:left="540"/>
      </w:pPr>
      <w:r>
        <w:t xml:space="preserve">ETA 9129 - Annual Burden Hours: 530 hours (average 2.5 hours per report) </w:t>
      </w:r>
    </w:p>
    <w:p w14:paraId="2C8C6C4B" w14:textId="77777777" w:rsidR="005A5C6C" w:rsidRDefault="005A5C6C" w:rsidP="005A5C6C">
      <w:pPr>
        <w:ind w:left="540"/>
      </w:pPr>
    </w:p>
    <w:p w14:paraId="222356E9" w14:textId="4B832B66" w:rsidR="005A5C6C" w:rsidRDefault="005A5C6C" w:rsidP="005A5C6C">
      <w:pPr>
        <w:ind w:left="540"/>
      </w:pPr>
      <w:r>
        <w:t xml:space="preserve">ETA 9129 </w:t>
      </w:r>
      <w:r w:rsidR="00317A98">
        <w:t xml:space="preserve">- </w:t>
      </w:r>
      <w:r>
        <w:t>Estimate Annual Salary Cost to Review Data: $26,12</w:t>
      </w:r>
      <w:r w:rsidR="00050438">
        <w:t>4</w:t>
      </w:r>
    </w:p>
    <w:p w14:paraId="40C9DE12" w14:textId="77777777" w:rsidR="005A5C6C" w:rsidRDefault="005A5C6C" w:rsidP="00156250"/>
    <w:p w14:paraId="1B591F93" w14:textId="77777777" w:rsidR="00063A5D" w:rsidRDefault="00063A5D" w:rsidP="00B0760B">
      <w:pPr>
        <w:ind w:left="540"/>
      </w:pPr>
    </w:p>
    <w:p w14:paraId="451D055F" w14:textId="77777777" w:rsidR="00063A5D" w:rsidRPr="00A70488" w:rsidRDefault="00063A5D" w:rsidP="00A70488">
      <w:pPr>
        <w:pStyle w:val="NoSpacing"/>
        <w:ind w:left="540"/>
        <w:rPr>
          <w:sz w:val="22"/>
          <w:szCs w:val="22"/>
        </w:rPr>
      </w:pPr>
      <w:r w:rsidRPr="00A70488">
        <w:t>Note: The estimated cost is bas</w:t>
      </w:r>
      <w:r w:rsidR="00A70488">
        <w:t>ed upon the annual salary for a</w:t>
      </w:r>
      <w:r w:rsidRPr="00A70488">
        <w:t xml:space="preserve"> Washington, DC based GS-12, step 8 at $49.29 per hour.  (See Office of Personnel Management Salary Table 2019-GS, </w:t>
      </w:r>
      <w:hyperlink r:id="rId10" w:history="1">
        <w:r w:rsidRPr="00A70488">
          <w:rPr>
            <w:rStyle w:val="Hyperlink"/>
            <w:bCs/>
            <w:color w:val="auto"/>
          </w:rPr>
          <w:t>https://www.opm.gov/policy-data-oversight/pay-leave/salaries-wages/salary-tables/pdf/2019/DCB_h.pdf</w:t>
        </w:r>
      </w:hyperlink>
      <w:r w:rsidRPr="00A70488">
        <w:t>).  $49.29 x 530 hours = $26,123.70.</w:t>
      </w:r>
    </w:p>
    <w:p w14:paraId="0563E57B" w14:textId="5A7F39B6" w:rsidR="00063A5D" w:rsidRPr="00A70488" w:rsidRDefault="00063A5D" w:rsidP="00A70488">
      <w:pPr>
        <w:pStyle w:val="NoSpacing"/>
        <w:ind w:left="540"/>
      </w:pPr>
      <w:r w:rsidRPr="00A70488">
        <w:t xml:space="preserve">The data is received and stored on </w:t>
      </w:r>
      <w:r w:rsidR="00317A98" w:rsidRPr="00A70488">
        <w:t>D</w:t>
      </w:r>
      <w:r w:rsidR="00317A98">
        <w:t>OL</w:t>
      </w:r>
      <w:r w:rsidR="00317A98" w:rsidRPr="00A70488">
        <w:t xml:space="preserve"> </w:t>
      </w:r>
      <w:r w:rsidRPr="00A70488">
        <w:t xml:space="preserve">owned computer equipment along with all other </w:t>
      </w:r>
      <w:r w:rsidR="00317A98">
        <w:t>UI</w:t>
      </w:r>
      <w:r w:rsidRPr="00A70488">
        <w:t xml:space="preserve"> Reports data.</w:t>
      </w:r>
    </w:p>
    <w:p w14:paraId="64675C99" w14:textId="77777777" w:rsidR="005A5C6C" w:rsidRDefault="005A5C6C" w:rsidP="00A70488">
      <w:pPr>
        <w:pStyle w:val="NoSpacing"/>
        <w:ind w:left="540"/>
      </w:pPr>
    </w:p>
    <w:p w14:paraId="6C584D45" w14:textId="5DD5E06C" w:rsidR="00665D6D" w:rsidRPr="005A5C6C" w:rsidRDefault="005A5C6C" w:rsidP="00A70488">
      <w:pPr>
        <w:pStyle w:val="NoSpacing"/>
        <w:ind w:left="540"/>
      </w:pPr>
      <w:r>
        <w:t>Although</w:t>
      </w:r>
      <w:r w:rsidR="00A70488">
        <w:t>,</w:t>
      </w:r>
      <w:r>
        <w:t xml:space="preserve"> no staff is required to process this report, during 2019 </w:t>
      </w:r>
      <w:r w:rsidR="00665D6D" w:rsidRPr="00665D6D">
        <w:t xml:space="preserve">ETA budgeted $965,920.33 to operate and maintain the </w:t>
      </w:r>
      <w:r w:rsidR="00317A98">
        <w:t>UI</w:t>
      </w:r>
      <w:r w:rsidR="00665D6D" w:rsidRPr="00665D6D">
        <w:t xml:space="preserve"> Required Reports system.  Including the subject I</w:t>
      </w:r>
      <w:r w:rsidR="00317A98">
        <w:t xml:space="preserve">nformation </w:t>
      </w:r>
      <w:r w:rsidR="00665D6D" w:rsidRPr="00665D6D">
        <w:t>C</w:t>
      </w:r>
      <w:r w:rsidR="00317A98">
        <w:t xml:space="preserve">ollection </w:t>
      </w:r>
      <w:r w:rsidR="00665D6D" w:rsidRPr="00665D6D">
        <w:t>R</w:t>
      </w:r>
      <w:r w:rsidR="00317A98">
        <w:t>equest</w:t>
      </w:r>
      <w:r w:rsidR="00665D6D" w:rsidRPr="00665D6D">
        <w:t>, this system supports 30 information collec</w:t>
      </w:r>
      <w:r w:rsidR="00A70488">
        <w:t xml:space="preserve">tions.  </w:t>
      </w:r>
      <w:r w:rsidR="00665D6D" w:rsidRPr="005A5C6C">
        <w:t>For administrative purposes, each information collection is assumed to contribute an equal share of the cost for supporting the entire system; therefore the cost allocated to this ICR is estimated to be $32,197.34 ($965,920.33 system cost/30 information collections.)</w:t>
      </w:r>
    </w:p>
    <w:p w14:paraId="12993B4B" w14:textId="77777777" w:rsidR="00D3235C" w:rsidRDefault="00D3235C" w:rsidP="00A70488"/>
    <w:p w14:paraId="1B845D07" w14:textId="77777777" w:rsidR="00B15FD2" w:rsidRPr="008F4D44" w:rsidRDefault="00B15FD2" w:rsidP="00B15FD2">
      <w:pPr>
        <w:tabs>
          <w:tab w:val="right" w:pos="360"/>
        </w:tabs>
        <w:autoSpaceDE w:val="0"/>
        <w:autoSpaceDN w:val="0"/>
        <w:adjustRightInd w:val="0"/>
        <w:ind w:left="540" w:hanging="540"/>
        <w:rPr>
          <w:i/>
        </w:rPr>
      </w:pPr>
      <w:r w:rsidRPr="008F4D44">
        <w:rPr>
          <w:i/>
        </w:rPr>
        <w:t>15.</w:t>
      </w:r>
      <w:r w:rsidRPr="008F4D44">
        <w:rPr>
          <w:i/>
        </w:rPr>
        <w:tab/>
      </w:r>
      <w:r w:rsidR="00B0760B">
        <w:rPr>
          <w:i/>
        </w:rPr>
        <w:t xml:space="preserve">    </w:t>
      </w:r>
      <w:r w:rsidRPr="008F4D44">
        <w:rPr>
          <w:i/>
        </w:rPr>
        <w:t>Explain the reasons for any program changes or adjustments reported on the burden worksheet.</w:t>
      </w:r>
    </w:p>
    <w:p w14:paraId="3FF19289" w14:textId="77777777" w:rsidR="007611BD" w:rsidRDefault="007611BD" w:rsidP="007C5339">
      <w:pPr>
        <w:autoSpaceDE w:val="0"/>
        <w:autoSpaceDN w:val="0"/>
        <w:adjustRightInd w:val="0"/>
        <w:ind w:left="540"/>
      </w:pPr>
    </w:p>
    <w:p w14:paraId="318F6611" w14:textId="5E85949F" w:rsidR="00B84D4C" w:rsidRPr="00A9273C" w:rsidRDefault="008C38D0" w:rsidP="00B84D4C">
      <w:pPr>
        <w:ind w:left="540"/>
      </w:pPr>
      <w:r w:rsidRPr="002407B3">
        <w:t xml:space="preserve">The changes in burden reflect the fact that each </w:t>
      </w:r>
      <w:r w:rsidR="00317A98">
        <w:t>S</w:t>
      </w:r>
      <w:r w:rsidRPr="002407B3">
        <w:t xml:space="preserve">tate makes an individual decision in each year regarding their participation in the RESEA program.  As a result, the number of reports we anticipate will change with the number of </w:t>
      </w:r>
      <w:r w:rsidR="00317A98">
        <w:t>S</w:t>
      </w:r>
      <w:r w:rsidRPr="002407B3">
        <w:t>tates participating.  The change from 49 to 5</w:t>
      </w:r>
      <w:r w:rsidR="00873240">
        <w:t>3</w:t>
      </w:r>
      <w:r w:rsidRPr="002407B3">
        <w:t xml:space="preserve"> </w:t>
      </w:r>
      <w:r w:rsidR="00317A98">
        <w:t>S</w:t>
      </w:r>
      <w:r w:rsidRPr="002407B3">
        <w:t xml:space="preserve">tates participating produces a small increase in overall expected burden.  </w:t>
      </w:r>
      <w:r w:rsidR="00B84D4C" w:rsidRPr="00A9273C">
        <w:t>To ensure alignment with the recent RESEA authorization</w:t>
      </w:r>
      <w:r w:rsidR="00D97DAF">
        <w:t>,</w:t>
      </w:r>
      <w:r w:rsidR="00B84D4C" w:rsidRPr="00A9273C">
        <w:t xml:space="preserve"> the </w:t>
      </w:r>
      <w:r w:rsidR="00317A98" w:rsidRPr="00A9273C">
        <w:t>D</w:t>
      </w:r>
      <w:r w:rsidR="00317A98">
        <w:t>OL</w:t>
      </w:r>
      <w:r w:rsidR="00317A98" w:rsidRPr="00A9273C">
        <w:t xml:space="preserve"> </w:t>
      </w:r>
      <w:r w:rsidR="00B84D4C" w:rsidRPr="00A9273C">
        <w:t xml:space="preserve">is proposing to discontinue the ETA 9128X and ETA 9129X reports, which were previously established to collect information specific to the UCX population. </w:t>
      </w:r>
      <w:r w:rsidR="00D97DAF">
        <w:t xml:space="preserve"> </w:t>
      </w:r>
      <w:r w:rsidR="005B2EE5">
        <w:t xml:space="preserve">The </w:t>
      </w:r>
      <w:r w:rsidR="00317A98">
        <w:t xml:space="preserve">DOL </w:t>
      </w:r>
      <w:r w:rsidR="005B2EE5">
        <w:t xml:space="preserve">is also </w:t>
      </w:r>
      <w:r w:rsidR="005B2EE5" w:rsidRPr="00B43697">
        <w:t xml:space="preserve">proposing </w:t>
      </w:r>
      <w:r w:rsidR="00D97DAF" w:rsidRPr="00B43697">
        <w:t xml:space="preserve">to collect data for two </w:t>
      </w:r>
      <w:r w:rsidR="00D97DAF" w:rsidRPr="005B2EE5">
        <w:t xml:space="preserve">RESEA groups which are “initial” and “subsequent” RESEAs. </w:t>
      </w:r>
      <w:r w:rsidR="00D97DAF">
        <w:t xml:space="preserve">     </w:t>
      </w:r>
    </w:p>
    <w:p w14:paraId="654B5AE9" w14:textId="77777777" w:rsidR="002D0159" w:rsidRDefault="002D0159" w:rsidP="00B15FD2">
      <w:pPr>
        <w:autoSpaceDE w:val="0"/>
        <w:autoSpaceDN w:val="0"/>
        <w:adjustRightInd w:val="0"/>
      </w:pPr>
    </w:p>
    <w:p w14:paraId="16EB9A74" w14:textId="77777777" w:rsidR="00B15FD2" w:rsidRPr="00030FA0" w:rsidRDefault="00B15FD2" w:rsidP="00B15FD2">
      <w:pPr>
        <w:tabs>
          <w:tab w:val="right" w:pos="360"/>
        </w:tabs>
        <w:autoSpaceDE w:val="0"/>
        <w:autoSpaceDN w:val="0"/>
        <w:adjustRightInd w:val="0"/>
        <w:ind w:left="540" w:hanging="540"/>
        <w:rPr>
          <w:i/>
        </w:rPr>
      </w:pPr>
      <w:r>
        <w:rPr>
          <w:i/>
        </w:rPr>
        <w:tab/>
      </w: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Provide the time schedule for the entire project, including beginning and ending dates of the collection of information, completion of report, publication dates, and other actions.</w:t>
      </w:r>
    </w:p>
    <w:p w14:paraId="679106A4" w14:textId="77777777" w:rsidR="00422A1F" w:rsidRDefault="00422A1F" w:rsidP="00422A1F">
      <w:pPr>
        <w:tabs>
          <w:tab w:val="left" w:pos="-1440"/>
        </w:tabs>
      </w:pPr>
    </w:p>
    <w:p w14:paraId="41B8ABC0" w14:textId="77777777" w:rsidR="00422A1F" w:rsidRDefault="00B0760B" w:rsidP="00422A1F">
      <w:pPr>
        <w:tabs>
          <w:tab w:val="left" w:pos="-1440"/>
        </w:tabs>
      </w:pPr>
      <w:r>
        <w:t xml:space="preserve">         </w:t>
      </w:r>
      <w:r w:rsidR="00422A1F">
        <w:t>Decisions on publication of data have not been made.</w:t>
      </w:r>
    </w:p>
    <w:p w14:paraId="64A1CD59" w14:textId="77777777" w:rsidR="00B15FD2" w:rsidRDefault="00B15FD2" w:rsidP="00B15FD2">
      <w:pPr>
        <w:autoSpaceDE w:val="0"/>
        <w:autoSpaceDN w:val="0"/>
        <w:adjustRightInd w:val="0"/>
      </w:pPr>
    </w:p>
    <w:p w14:paraId="2E4FBF0D" w14:textId="77777777" w:rsidR="00B15FD2" w:rsidRPr="00030FA0" w:rsidRDefault="00B15FD2" w:rsidP="00B15FD2">
      <w:pPr>
        <w:tabs>
          <w:tab w:val="right" w:pos="360"/>
        </w:tabs>
        <w:autoSpaceDE w:val="0"/>
        <w:autoSpaceDN w:val="0"/>
        <w:adjustRightInd w:val="0"/>
        <w:ind w:left="540" w:hanging="540"/>
        <w:rPr>
          <w:i/>
        </w:rPr>
      </w:pPr>
      <w:r w:rsidRPr="00030FA0">
        <w:rPr>
          <w:i/>
        </w:rPr>
        <w:tab/>
        <w:t>17.</w:t>
      </w:r>
      <w:r w:rsidRPr="00030FA0">
        <w:rPr>
          <w:i/>
        </w:rPr>
        <w:tab/>
        <w:t xml:space="preserve">If seeking approval </w:t>
      </w:r>
      <w:r>
        <w:rPr>
          <w:i/>
        </w:rPr>
        <w:t xml:space="preserve">not </w:t>
      </w:r>
      <w:r w:rsidRPr="00030FA0">
        <w:rPr>
          <w:i/>
        </w:rPr>
        <w:t xml:space="preserve">to display the expiration date for OMB approval of the information collection, explain the reasons that display would be inappropriate. </w:t>
      </w:r>
    </w:p>
    <w:p w14:paraId="446128E5" w14:textId="77777777" w:rsidR="00422A1F" w:rsidRDefault="00422A1F" w:rsidP="00422A1F"/>
    <w:p w14:paraId="5E6AA47E" w14:textId="77777777" w:rsidR="00422A1F" w:rsidRDefault="00B0760B" w:rsidP="00422A1F">
      <w:r>
        <w:t xml:space="preserve">        </w:t>
      </w:r>
      <w:r w:rsidR="00422A1F">
        <w:t>The expiration date for OMB approval will be displayed.</w:t>
      </w:r>
    </w:p>
    <w:p w14:paraId="3C3564AB" w14:textId="77777777" w:rsidR="00B15FD2" w:rsidRPr="00CE3C52" w:rsidRDefault="00B15FD2" w:rsidP="00B15FD2">
      <w:pPr>
        <w:autoSpaceDE w:val="0"/>
        <w:autoSpaceDN w:val="0"/>
        <w:adjustRightInd w:val="0"/>
      </w:pPr>
    </w:p>
    <w:p w14:paraId="6763C75D" w14:textId="77777777" w:rsidR="00422A1F" w:rsidRDefault="00B15FD2" w:rsidP="00B15FD2">
      <w:pPr>
        <w:tabs>
          <w:tab w:val="right" w:pos="360"/>
        </w:tabs>
        <w:ind w:left="540" w:hanging="540"/>
        <w:rPr>
          <w:i/>
        </w:rPr>
      </w:pPr>
      <w:r w:rsidRPr="00030FA0">
        <w:rPr>
          <w:i/>
        </w:rPr>
        <w:tab/>
        <w:t>18.</w:t>
      </w:r>
      <w:r w:rsidRPr="00030FA0">
        <w:rPr>
          <w:i/>
        </w:rPr>
        <w:tab/>
        <w:t>Explain each exception to the topics of the certification statement identified in “Certification for Paperwork Reduction Act Submissions,</w:t>
      </w:r>
    </w:p>
    <w:p w14:paraId="79E4336B" w14:textId="77777777" w:rsidR="00422A1F" w:rsidRDefault="00422A1F" w:rsidP="00B15FD2">
      <w:pPr>
        <w:tabs>
          <w:tab w:val="right" w:pos="360"/>
        </w:tabs>
        <w:ind w:left="540" w:hanging="540"/>
        <w:rPr>
          <w:i/>
        </w:rPr>
      </w:pPr>
    </w:p>
    <w:p w14:paraId="42957AA5" w14:textId="77777777" w:rsidR="00B15FD2" w:rsidRDefault="00B0760B" w:rsidP="00B15FD2">
      <w:pPr>
        <w:tabs>
          <w:tab w:val="right" w:pos="360"/>
        </w:tabs>
        <w:ind w:left="540" w:hanging="540"/>
        <w:rPr>
          <w:i/>
        </w:rPr>
      </w:pPr>
      <w:r>
        <w:t xml:space="preserve">          </w:t>
      </w:r>
      <w:r w:rsidR="00422A1F">
        <w:t>There are no exceptions to the certification statement.</w:t>
      </w:r>
    </w:p>
    <w:p w14:paraId="7B8EDFA2" w14:textId="77777777" w:rsidR="00B15FD2" w:rsidRDefault="00B15FD2" w:rsidP="00B15FD2">
      <w:pPr>
        <w:tabs>
          <w:tab w:val="left" w:pos="1650"/>
        </w:tabs>
        <w:ind w:left="540" w:hanging="540"/>
        <w:rPr>
          <w:i/>
        </w:rPr>
      </w:pPr>
      <w:r>
        <w:rPr>
          <w:i/>
        </w:rPr>
        <w:tab/>
      </w:r>
      <w:r>
        <w:rPr>
          <w:i/>
        </w:rPr>
        <w:tab/>
      </w:r>
    </w:p>
    <w:p w14:paraId="332645EF" w14:textId="77777777" w:rsidR="003F4C38" w:rsidRPr="00BC21B5" w:rsidRDefault="003F4C38" w:rsidP="00BC21B5">
      <w:pPr>
        <w:tabs>
          <w:tab w:val="left" w:pos="540"/>
        </w:tabs>
        <w:autoSpaceDE w:val="0"/>
        <w:autoSpaceDN w:val="0"/>
        <w:adjustRightInd w:val="0"/>
      </w:pPr>
      <w:r>
        <w:rPr>
          <w:b/>
        </w:rPr>
        <w:t>B</w:t>
      </w:r>
      <w:r w:rsidRPr="00CE3C52">
        <w:rPr>
          <w:b/>
        </w:rPr>
        <w:t xml:space="preserve">. </w:t>
      </w:r>
      <w:r>
        <w:rPr>
          <w:b/>
        </w:rPr>
        <w:tab/>
      </w:r>
      <w:r w:rsidR="00C45047">
        <w:rPr>
          <w:b/>
        </w:rPr>
        <w:t>Collections of Information Employing Statistical Methods</w:t>
      </w:r>
    </w:p>
    <w:p w14:paraId="5E55B3DF" w14:textId="77777777" w:rsidR="00B15FD2" w:rsidRDefault="00B15FD2" w:rsidP="00B15FD2"/>
    <w:p w14:paraId="18E247E2" w14:textId="1555E288" w:rsidR="004A1161" w:rsidRDefault="00B15FD2" w:rsidP="00BC21B5">
      <w:pPr>
        <w:ind w:left="540"/>
      </w:pPr>
      <w:r>
        <w:t>This information collection does not employ statistical method</w:t>
      </w:r>
      <w:r w:rsidR="00F92FCF">
        <w:t>s.</w:t>
      </w:r>
      <w:r w:rsidR="00050438" w:rsidDel="00050438">
        <w:t xml:space="preserve"> </w:t>
      </w:r>
    </w:p>
    <w:p w14:paraId="3BEC62B9" w14:textId="77777777" w:rsidR="00075F41" w:rsidRDefault="00075F41" w:rsidP="003F2714">
      <w:pPr>
        <w:ind w:left="540"/>
      </w:pPr>
    </w:p>
    <w:p w14:paraId="769420D4" w14:textId="77777777" w:rsidR="00075F41" w:rsidRDefault="00075F41" w:rsidP="00B15FD2"/>
    <w:sectPr w:rsidR="00075F41" w:rsidSect="006F2FBC">
      <w:headerReference w:type="default" r:id="rId11"/>
      <w:footerReference w:type="default" r:id="rId12"/>
      <w:pgSz w:w="12240" w:h="15840"/>
      <w:pgMar w:top="1440" w:right="99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C23B4" w14:textId="77777777" w:rsidR="00567DBD" w:rsidRDefault="00567DBD" w:rsidP="00910252">
      <w:r>
        <w:separator/>
      </w:r>
    </w:p>
  </w:endnote>
  <w:endnote w:type="continuationSeparator" w:id="0">
    <w:p w14:paraId="68ABFEF2" w14:textId="77777777" w:rsidR="00567DBD" w:rsidRDefault="00567DBD"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14:paraId="21C0684C" w14:textId="1E0BDE60" w:rsidR="00910252" w:rsidRDefault="00910252">
        <w:pPr>
          <w:pStyle w:val="Footer"/>
          <w:jc w:val="center"/>
        </w:pPr>
        <w:r>
          <w:fldChar w:fldCharType="begin"/>
        </w:r>
        <w:r>
          <w:instrText xml:space="preserve"> PAGE   \* MERGEFORMAT </w:instrText>
        </w:r>
        <w:r>
          <w:fldChar w:fldCharType="separate"/>
        </w:r>
        <w:r w:rsidR="00935C54">
          <w:rPr>
            <w:noProof/>
          </w:rPr>
          <w:t>1</w:t>
        </w:r>
        <w:r>
          <w:rPr>
            <w:noProof/>
          </w:rPr>
          <w:fldChar w:fldCharType="end"/>
        </w:r>
      </w:p>
    </w:sdtContent>
  </w:sdt>
  <w:p w14:paraId="6D6DEF7E" w14:textId="77777777" w:rsidR="00910252" w:rsidRDefault="0091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564F0" w14:textId="77777777" w:rsidR="00567DBD" w:rsidRDefault="00567DBD" w:rsidP="00910252">
      <w:r>
        <w:separator/>
      </w:r>
    </w:p>
  </w:footnote>
  <w:footnote w:type="continuationSeparator" w:id="0">
    <w:p w14:paraId="150E5235" w14:textId="77777777" w:rsidR="00567DBD" w:rsidRDefault="00567DBD"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136F6" w14:textId="77777777" w:rsidR="000E3745" w:rsidRDefault="000E3745">
    <w:pPr>
      <w:pStyle w:val="Header"/>
    </w:pPr>
    <w:r>
      <w:t>RE</w:t>
    </w:r>
    <w:r w:rsidR="00C606A4">
      <w:t>S</w:t>
    </w:r>
    <w:r w:rsidR="00977517">
      <w:t>E</w:t>
    </w:r>
    <w:r>
      <w:t>A</w:t>
    </w:r>
    <w:r w:rsidR="00C606A4">
      <w:t xml:space="preserve"> Reports</w:t>
    </w:r>
  </w:p>
  <w:p w14:paraId="7D566384" w14:textId="77777777" w:rsidR="000E3745" w:rsidRDefault="00BA6EFF">
    <w:pPr>
      <w:pStyle w:val="Header"/>
    </w:pPr>
    <w:r>
      <w:t>OMB Control #1205-0456</w:t>
    </w:r>
  </w:p>
  <w:p w14:paraId="7634AB39" w14:textId="524C44BF" w:rsidR="001F5B45" w:rsidRDefault="00156250">
    <w:pPr>
      <w:pStyle w:val="Header"/>
    </w:pPr>
    <w:r>
      <w:t>August</w:t>
    </w:r>
    <w:r w:rsidR="001F5B45">
      <w:t xml:space="preserve"> 2019</w:t>
    </w:r>
  </w:p>
  <w:p w14:paraId="5D9995AD" w14:textId="77777777" w:rsidR="000E3745" w:rsidRDefault="000E3745">
    <w:pPr>
      <w:pStyle w:val="Header"/>
    </w:pPr>
  </w:p>
  <w:p w14:paraId="6810044F" w14:textId="77777777" w:rsidR="00904938" w:rsidRDefault="00904938" w:rsidP="00D45FEA">
    <w:pPr>
      <w:pStyle w:val="Header"/>
      <w:tabs>
        <w:tab w:val="clear" w:pos="468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166A6"/>
    <w:rsid w:val="00020FDA"/>
    <w:rsid w:val="00030FA0"/>
    <w:rsid w:val="00043139"/>
    <w:rsid w:val="000471CF"/>
    <w:rsid w:val="00050438"/>
    <w:rsid w:val="00061CD3"/>
    <w:rsid w:val="00063A5D"/>
    <w:rsid w:val="00066E20"/>
    <w:rsid w:val="00072869"/>
    <w:rsid w:val="00075F41"/>
    <w:rsid w:val="00090D3D"/>
    <w:rsid w:val="00093546"/>
    <w:rsid w:val="00094891"/>
    <w:rsid w:val="0009666D"/>
    <w:rsid w:val="000D46F6"/>
    <w:rsid w:val="000E3745"/>
    <w:rsid w:val="0014722E"/>
    <w:rsid w:val="00156250"/>
    <w:rsid w:val="001601C0"/>
    <w:rsid w:val="001727F4"/>
    <w:rsid w:val="00183224"/>
    <w:rsid w:val="001A7B43"/>
    <w:rsid w:val="001B5B96"/>
    <w:rsid w:val="001C050B"/>
    <w:rsid w:val="001C4886"/>
    <w:rsid w:val="001C51AC"/>
    <w:rsid w:val="001C54B8"/>
    <w:rsid w:val="001C795C"/>
    <w:rsid w:val="001E64D3"/>
    <w:rsid w:val="001E721D"/>
    <w:rsid w:val="001E7356"/>
    <w:rsid w:val="001F5B45"/>
    <w:rsid w:val="00216406"/>
    <w:rsid w:val="002221A7"/>
    <w:rsid w:val="002241C1"/>
    <w:rsid w:val="002358FE"/>
    <w:rsid w:val="002407B3"/>
    <w:rsid w:val="0026054B"/>
    <w:rsid w:val="00281212"/>
    <w:rsid w:val="00290BF5"/>
    <w:rsid w:val="0029478C"/>
    <w:rsid w:val="00295C66"/>
    <w:rsid w:val="002A0B75"/>
    <w:rsid w:val="002D0159"/>
    <w:rsid w:val="002E4278"/>
    <w:rsid w:val="002E4A92"/>
    <w:rsid w:val="00300C19"/>
    <w:rsid w:val="00302D6E"/>
    <w:rsid w:val="00303CD3"/>
    <w:rsid w:val="00305638"/>
    <w:rsid w:val="00317A98"/>
    <w:rsid w:val="00321961"/>
    <w:rsid w:val="003343D2"/>
    <w:rsid w:val="0036510B"/>
    <w:rsid w:val="003669DA"/>
    <w:rsid w:val="003B563F"/>
    <w:rsid w:val="003E2542"/>
    <w:rsid w:val="003E3A0A"/>
    <w:rsid w:val="003F2714"/>
    <w:rsid w:val="003F41FF"/>
    <w:rsid w:val="003F4C38"/>
    <w:rsid w:val="00401098"/>
    <w:rsid w:val="004016A5"/>
    <w:rsid w:val="00406FA2"/>
    <w:rsid w:val="004204FF"/>
    <w:rsid w:val="00422291"/>
    <w:rsid w:val="00422A1F"/>
    <w:rsid w:val="0047765E"/>
    <w:rsid w:val="00494508"/>
    <w:rsid w:val="004A1161"/>
    <w:rsid w:val="004B577C"/>
    <w:rsid w:val="004B774D"/>
    <w:rsid w:val="004C40F6"/>
    <w:rsid w:val="004D4F4D"/>
    <w:rsid w:val="0052176B"/>
    <w:rsid w:val="005562B5"/>
    <w:rsid w:val="0056193B"/>
    <w:rsid w:val="00565BFD"/>
    <w:rsid w:val="00567DBD"/>
    <w:rsid w:val="005749F8"/>
    <w:rsid w:val="00577F23"/>
    <w:rsid w:val="00581C6C"/>
    <w:rsid w:val="0059094E"/>
    <w:rsid w:val="005A5C6C"/>
    <w:rsid w:val="005B2EE5"/>
    <w:rsid w:val="005E42E0"/>
    <w:rsid w:val="005E7838"/>
    <w:rsid w:val="00606082"/>
    <w:rsid w:val="00616F64"/>
    <w:rsid w:val="00621E60"/>
    <w:rsid w:val="0066182C"/>
    <w:rsid w:val="0066403A"/>
    <w:rsid w:val="00665427"/>
    <w:rsid w:val="00665D6D"/>
    <w:rsid w:val="00683648"/>
    <w:rsid w:val="00691D14"/>
    <w:rsid w:val="0069256F"/>
    <w:rsid w:val="00695963"/>
    <w:rsid w:val="006A2872"/>
    <w:rsid w:val="006A5484"/>
    <w:rsid w:val="006C133A"/>
    <w:rsid w:val="006D5C13"/>
    <w:rsid w:val="006E57FD"/>
    <w:rsid w:val="006E58F6"/>
    <w:rsid w:val="006F2FBC"/>
    <w:rsid w:val="006F7BD6"/>
    <w:rsid w:val="0072657B"/>
    <w:rsid w:val="0073362D"/>
    <w:rsid w:val="007611BD"/>
    <w:rsid w:val="007929A3"/>
    <w:rsid w:val="007A78C9"/>
    <w:rsid w:val="007B6A64"/>
    <w:rsid w:val="007C4A62"/>
    <w:rsid w:val="007C5339"/>
    <w:rsid w:val="007E706F"/>
    <w:rsid w:val="007F12A0"/>
    <w:rsid w:val="00807EA1"/>
    <w:rsid w:val="00813738"/>
    <w:rsid w:val="008162CE"/>
    <w:rsid w:val="00823583"/>
    <w:rsid w:val="00836075"/>
    <w:rsid w:val="00840E28"/>
    <w:rsid w:val="008544F1"/>
    <w:rsid w:val="0085512A"/>
    <w:rsid w:val="00873240"/>
    <w:rsid w:val="008740EF"/>
    <w:rsid w:val="00883342"/>
    <w:rsid w:val="008833DC"/>
    <w:rsid w:val="008A07F2"/>
    <w:rsid w:val="008C38D0"/>
    <w:rsid w:val="008C7474"/>
    <w:rsid w:val="008D40E8"/>
    <w:rsid w:val="008F4D44"/>
    <w:rsid w:val="00904938"/>
    <w:rsid w:val="00910252"/>
    <w:rsid w:val="0092258E"/>
    <w:rsid w:val="0093263B"/>
    <w:rsid w:val="00935C54"/>
    <w:rsid w:val="00942F54"/>
    <w:rsid w:val="00953421"/>
    <w:rsid w:val="009539B2"/>
    <w:rsid w:val="00970CCB"/>
    <w:rsid w:val="00973CD5"/>
    <w:rsid w:val="00977517"/>
    <w:rsid w:val="00996590"/>
    <w:rsid w:val="009B10CA"/>
    <w:rsid w:val="009B69AA"/>
    <w:rsid w:val="009C4B25"/>
    <w:rsid w:val="009D2A30"/>
    <w:rsid w:val="009E30B9"/>
    <w:rsid w:val="009E37D3"/>
    <w:rsid w:val="009F43F1"/>
    <w:rsid w:val="00A171C6"/>
    <w:rsid w:val="00A62A3D"/>
    <w:rsid w:val="00A64B66"/>
    <w:rsid w:val="00A70488"/>
    <w:rsid w:val="00A705A4"/>
    <w:rsid w:val="00AD54EF"/>
    <w:rsid w:val="00AE3625"/>
    <w:rsid w:val="00AF3F91"/>
    <w:rsid w:val="00B0760B"/>
    <w:rsid w:val="00B10FD7"/>
    <w:rsid w:val="00B12A60"/>
    <w:rsid w:val="00B155AD"/>
    <w:rsid w:val="00B15FD2"/>
    <w:rsid w:val="00B2042E"/>
    <w:rsid w:val="00B36185"/>
    <w:rsid w:val="00B43697"/>
    <w:rsid w:val="00B454AE"/>
    <w:rsid w:val="00B74CD8"/>
    <w:rsid w:val="00B76A7F"/>
    <w:rsid w:val="00B84D4C"/>
    <w:rsid w:val="00B86094"/>
    <w:rsid w:val="00B860D3"/>
    <w:rsid w:val="00B878D6"/>
    <w:rsid w:val="00BA193A"/>
    <w:rsid w:val="00BA6848"/>
    <w:rsid w:val="00BA6EFF"/>
    <w:rsid w:val="00BC21B5"/>
    <w:rsid w:val="00BE1E03"/>
    <w:rsid w:val="00BE382D"/>
    <w:rsid w:val="00BE38F5"/>
    <w:rsid w:val="00BE7B06"/>
    <w:rsid w:val="00C0101C"/>
    <w:rsid w:val="00C1781A"/>
    <w:rsid w:val="00C218E4"/>
    <w:rsid w:val="00C222B6"/>
    <w:rsid w:val="00C239F6"/>
    <w:rsid w:val="00C30A42"/>
    <w:rsid w:val="00C45047"/>
    <w:rsid w:val="00C52BA5"/>
    <w:rsid w:val="00C60138"/>
    <w:rsid w:val="00C606A4"/>
    <w:rsid w:val="00C83656"/>
    <w:rsid w:val="00C866D3"/>
    <w:rsid w:val="00CA5FDB"/>
    <w:rsid w:val="00CA67A4"/>
    <w:rsid w:val="00CB4FBA"/>
    <w:rsid w:val="00CC2474"/>
    <w:rsid w:val="00CC613A"/>
    <w:rsid w:val="00CF5465"/>
    <w:rsid w:val="00D315C5"/>
    <w:rsid w:val="00D3235C"/>
    <w:rsid w:val="00D3545C"/>
    <w:rsid w:val="00D40D16"/>
    <w:rsid w:val="00D45FEA"/>
    <w:rsid w:val="00D56C56"/>
    <w:rsid w:val="00D7468C"/>
    <w:rsid w:val="00D97911"/>
    <w:rsid w:val="00D97DAF"/>
    <w:rsid w:val="00DA2459"/>
    <w:rsid w:val="00DC5B18"/>
    <w:rsid w:val="00DF50ED"/>
    <w:rsid w:val="00E00344"/>
    <w:rsid w:val="00E136D2"/>
    <w:rsid w:val="00E157EF"/>
    <w:rsid w:val="00E16D47"/>
    <w:rsid w:val="00E344A3"/>
    <w:rsid w:val="00E43279"/>
    <w:rsid w:val="00E5065D"/>
    <w:rsid w:val="00E5276F"/>
    <w:rsid w:val="00E627FF"/>
    <w:rsid w:val="00E65FA6"/>
    <w:rsid w:val="00E80A93"/>
    <w:rsid w:val="00E9356B"/>
    <w:rsid w:val="00EA78D2"/>
    <w:rsid w:val="00EC5390"/>
    <w:rsid w:val="00ED4CA8"/>
    <w:rsid w:val="00F21539"/>
    <w:rsid w:val="00F25EFF"/>
    <w:rsid w:val="00F44D0F"/>
    <w:rsid w:val="00F52F68"/>
    <w:rsid w:val="00F63C36"/>
    <w:rsid w:val="00F6464E"/>
    <w:rsid w:val="00F64D2A"/>
    <w:rsid w:val="00F8593F"/>
    <w:rsid w:val="00F90468"/>
    <w:rsid w:val="00F9154F"/>
    <w:rsid w:val="00F92FCF"/>
    <w:rsid w:val="00FB33E8"/>
    <w:rsid w:val="00FC4D02"/>
    <w:rsid w:val="00FE207C"/>
    <w:rsid w:val="00FE3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67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customStyle="1" w:styleId="volume">
    <w:name w:val="volume"/>
    <w:basedOn w:val="DefaultParagraphFont"/>
    <w:rsid w:val="00D3235C"/>
  </w:style>
  <w:style w:type="character" w:customStyle="1" w:styleId="page">
    <w:name w:val="page"/>
    <w:basedOn w:val="DefaultParagraphFont"/>
    <w:rsid w:val="00D3235C"/>
  </w:style>
  <w:style w:type="paragraph" w:styleId="BalloonText">
    <w:name w:val="Balloon Text"/>
    <w:basedOn w:val="Normal"/>
    <w:link w:val="BalloonTextChar"/>
    <w:uiPriority w:val="99"/>
    <w:semiHidden/>
    <w:unhideWhenUsed/>
    <w:rsid w:val="00B15FD2"/>
    <w:rPr>
      <w:rFonts w:ascii="Tahoma" w:hAnsi="Tahoma" w:cs="Tahoma"/>
      <w:sz w:val="16"/>
      <w:szCs w:val="16"/>
    </w:rPr>
  </w:style>
  <w:style w:type="character" w:customStyle="1" w:styleId="BalloonTextChar">
    <w:name w:val="Balloon Text Char"/>
    <w:basedOn w:val="DefaultParagraphFont"/>
    <w:link w:val="BalloonText"/>
    <w:uiPriority w:val="99"/>
    <w:semiHidden/>
    <w:rsid w:val="00B15FD2"/>
    <w:rPr>
      <w:rFonts w:ascii="Tahoma" w:eastAsia="Times New Roman" w:hAnsi="Tahoma" w:cs="Tahoma"/>
      <w:sz w:val="16"/>
      <w:szCs w:val="16"/>
    </w:rPr>
  </w:style>
  <w:style w:type="character" w:styleId="Hyperlink">
    <w:name w:val="Hyperlink"/>
    <w:basedOn w:val="DefaultParagraphFont"/>
    <w:uiPriority w:val="99"/>
    <w:unhideWhenUsed/>
    <w:rsid w:val="0073362D"/>
    <w:rPr>
      <w:color w:val="0000FF" w:themeColor="hyperlink"/>
      <w:u w:val="single"/>
    </w:rPr>
  </w:style>
  <w:style w:type="character" w:styleId="CommentReference">
    <w:name w:val="annotation reference"/>
    <w:basedOn w:val="DefaultParagraphFont"/>
    <w:uiPriority w:val="99"/>
    <w:semiHidden/>
    <w:unhideWhenUsed/>
    <w:rsid w:val="00C606A4"/>
    <w:rPr>
      <w:sz w:val="16"/>
      <w:szCs w:val="16"/>
    </w:rPr>
  </w:style>
  <w:style w:type="paragraph" w:styleId="CommentText">
    <w:name w:val="annotation text"/>
    <w:basedOn w:val="Normal"/>
    <w:link w:val="CommentTextChar"/>
    <w:uiPriority w:val="99"/>
    <w:semiHidden/>
    <w:unhideWhenUsed/>
    <w:rsid w:val="00C606A4"/>
    <w:rPr>
      <w:sz w:val="20"/>
      <w:szCs w:val="20"/>
    </w:rPr>
  </w:style>
  <w:style w:type="character" w:customStyle="1" w:styleId="CommentTextChar">
    <w:name w:val="Comment Text Char"/>
    <w:basedOn w:val="DefaultParagraphFont"/>
    <w:link w:val="CommentText"/>
    <w:uiPriority w:val="99"/>
    <w:semiHidden/>
    <w:rsid w:val="00C606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6A4"/>
    <w:rPr>
      <w:b/>
      <w:bCs/>
    </w:rPr>
  </w:style>
  <w:style w:type="character" w:customStyle="1" w:styleId="CommentSubjectChar">
    <w:name w:val="Comment Subject Char"/>
    <w:basedOn w:val="CommentTextChar"/>
    <w:link w:val="CommentSubject"/>
    <w:uiPriority w:val="99"/>
    <w:semiHidden/>
    <w:rsid w:val="00C606A4"/>
    <w:rPr>
      <w:rFonts w:ascii="Times New Roman" w:eastAsia="Times New Roman" w:hAnsi="Times New Roman" w:cs="Times New Roman"/>
      <w:b/>
      <w:bCs/>
      <w:sz w:val="20"/>
      <w:szCs w:val="20"/>
    </w:rPr>
  </w:style>
  <w:style w:type="paragraph" w:styleId="Revision">
    <w:name w:val="Revision"/>
    <w:hidden/>
    <w:uiPriority w:val="99"/>
    <w:semiHidden/>
    <w:rsid w:val="006E58F6"/>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A7048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customStyle="1" w:styleId="volume">
    <w:name w:val="volume"/>
    <w:basedOn w:val="DefaultParagraphFont"/>
    <w:rsid w:val="00D3235C"/>
  </w:style>
  <w:style w:type="character" w:customStyle="1" w:styleId="page">
    <w:name w:val="page"/>
    <w:basedOn w:val="DefaultParagraphFont"/>
    <w:rsid w:val="00D3235C"/>
  </w:style>
  <w:style w:type="paragraph" w:styleId="BalloonText">
    <w:name w:val="Balloon Text"/>
    <w:basedOn w:val="Normal"/>
    <w:link w:val="BalloonTextChar"/>
    <w:uiPriority w:val="99"/>
    <w:semiHidden/>
    <w:unhideWhenUsed/>
    <w:rsid w:val="00B15FD2"/>
    <w:rPr>
      <w:rFonts w:ascii="Tahoma" w:hAnsi="Tahoma" w:cs="Tahoma"/>
      <w:sz w:val="16"/>
      <w:szCs w:val="16"/>
    </w:rPr>
  </w:style>
  <w:style w:type="character" w:customStyle="1" w:styleId="BalloonTextChar">
    <w:name w:val="Balloon Text Char"/>
    <w:basedOn w:val="DefaultParagraphFont"/>
    <w:link w:val="BalloonText"/>
    <w:uiPriority w:val="99"/>
    <w:semiHidden/>
    <w:rsid w:val="00B15FD2"/>
    <w:rPr>
      <w:rFonts w:ascii="Tahoma" w:eastAsia="Times New Roman" w:hAnsi="Tahoma" w:cs="Tahoma"/>
      <w:sz w:val="16"/>
      <w:szCs w:val="16"/>
    </w:rPr>
  </w:style>
  <w:style w:type="character" w:styleId="Hyperlink">
    <w:name w:val="Hyperlink"/>
    <w:basedOn w:val="DefaultParagraphFont"/>
    <w:uiPriority w:val="99"/>
    <w:unhideWhenUsed/>
    <w:rsid w:val="0073362D"/>
    <w:rPr>
      <w:color w:val="0000FF" w:themeColor="hyperlink"/>
      <w:u w:val="single"/>
    </w:rPr>
  </w:style>
  <w:style w:type="character" w:styleId="CommentReference">
    <w:name w:val="annotation reference"/>
    <w:basedOn w:val="DefaultParagraphFont"/>
    <w:uiPriority w:val="99"/>
    <w:semiHidden/>
    <w:unhideWhenUsed/>
    <w:rsid w:val="00C606A4"/>
    <w:rPr>
      <w:sz w:val="16"/>
      <w:szCs w:val="16"/>
    </w:rPr>
  </w:style>
  <w:style w:type="paragraph" w:styleId="CommentText">
    <w:name w:val="annotation text"/>
    <w:basedOn w:val="Normal"/>
    <w:link w:val="CommentTextChar"/>
    <w:uiPriority w:val="99"/>
    <w:semiHidden/>
    <w:unhideWhenUsed/>
    <w:rsid w:val="00C606A4"/>
    <w:rPr>
      <w:sz w:val="20"/>
      <w:szCs w:val="20"/>
    </w:rPr>
  </w:style>
  <w:style w:type="character" w:customStyle="1" w:styleId="CommentTextChar">
    <w:name w:val="Comment Text Char"/>
    <w:basedOn w:val="DefaultParagraphFont"/>
    <w:link w:val="CommentText"/>
    <w:uiPriority w:val="99"/>
    <w:semiHidden/>
    <w:rsid w:val="00C606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06A4"/>
    <w:rPr>
      <w:b/>
      <w:bCs/>
    </w:rPr>
  </w:style>
  <w:style w:type="character" w:customStyle="1" w:styleId="CommentSubjectChar">
    <w:name w:val="Comment Subject Char"/>
    <w:basedOn w:val="CommentTextChar"/>
    <w:link w:val="CommentSubject"/>
    <w:uiPriority w:val="99"/>
    <w:semiHidden/>
    <w:rsid w:val="00C606A4"/>
    <w:rPr>
      <w:rFonts w:ascii="Times New Roman" w:eastAsia="Times New Roman" w:hAnsi="Times New Roman" w:cs="Times New Roman"/>
      <w:b/>
      <w:bCs/>
      <w:sz w:val="20"/>
      <w:szCs w:val="20"/>
    </w:rPr>
  </w:style>
  <w:style w:type="paragraph" w:styleId="Revision">
    <w:name w:val="Revision"/>
    <w:hidden/>
    <w:uiPriority w:val="99"/>
    <w:semiHidden/>
    <w:rsid w:val="006E58F6"/>
    <w:pPr>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A7048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0379">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9/DCB_h.pdf" TargetMode="External"/><Relationship Id="rId4" Type="http://schemas.microsoft.com/office/2007/relationships/stylesWithEffects" Target="stylesWithEffects.xml"/><Relationship Id="rId9" Type="http://schemas.openxmlformats.org/officeDocument/2006/relationships/hyperlink" Target="https://wdr.doleta.gov/directives/attach/UIPL/UIPL_10-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4000A-0F13-4299-9D89-37D71139F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Smyth, Michel - OASAM OCIO</dc:creator>
  <cp:lastModifiedBy>SYSTEM</cp:lastModifiedBy>
  <cp:revision>2</cp:revision>
  <cp:lastPrinted>2019-03-25T11:30:00Z</cp:lastPrinted>
  <dcterms:created xsi:type="dcterms:W3CDTF">2019-08-19T20:54:00Z</dcterms:created>
  <dcterms:modified xsi:type="dcterms:W3CDTF">2019-08-19T20:54:00Z</dcterms:modified>
</cp:coreProperties>
</file>