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638" w:rsidRPr="00775C77" w:rsidRDefault="00506638" w:rsidP="00506638">
      <w:pPr>
        <w:pStyle w:val="Heading2"/>
        <w:tabs>
          <w:tab w:val="left" w:pos="4770"/>
        </w:tabs>
        <w:spacing w:before="0" w:after="240"/>
        <w:jc w:val="center"/>
        <w:rPr>
          <w:sz w:val="36"/>
        </w:rPr>
      </w:pPr>
      <w:r w:rsidRPr="00775C77">
        <w:rPr>
          <w:sz w:val="36"/>
        </w:rPr>
        <w:t xml:space="preserve">SUPPORTING STATEMENT </w:t>
      </w:r>
      <w:r w:rsidRPr="00775C77">
        <w:rPr>
          <w:sz w:val="36"/>
        </w:rPr>
        <w:br/>
        <w:t>FOR PAPERWORK REDUCTION ACT SUBMISSION</w:t>
      </w:r>
    </w:p>
    <w:p w:rsidR="00506638" w:rsidRDefault="00506638" w:rsidP="00506638">
      <w:pPr>
        <w:pStyle w:val="Heading2"/>
        <w:tabs>
          <w:tab w:val="left" w:pos="4770"/>
        </w:tabs>
        <w:spacing w:before="0" w:after="240"/>
        <w:jc w:val="center"/>
        <w:rPr>
          <w:sz w:val="28"/>
        </w:rPr>
      </w:pPr>
      <w:r w:rsidRPr="0094699B">
        <w:rPr>
          <w:sz w:val="28"/>
        </w:rPr>
        <w:t>REPATRIATION/EMERGENCY MEDICAL AND DIETARY ASSISTANCE LOAN APPLICATION</w:t>
      </w:r>
      <w:r w:rsidRPr="00775C77">
        <w:rPr>
          <w:sz w:val="28"/>
        </w:rPr>
        <w:t xml:space="preserve"> </w:t>
      </w:r>
    </w:p>
    <w:p w:rsidR="00506638" w:rsidRPr="00775C77" w:rsidRDefault="00506638" w:rsidP="00506638">
      <w:pPr>
        <w:pStyle w:val="Heading2"/>
        <w:tabs>
          <w:tab w:val="left" w:pos="4770"/>
        </w:tabs>
        <w:spacing w:before="0" w:after="240"/>
        <w:jc w:val="center"/>
        <w:rPr>
          <w:sz w:val="28"/>
        </w:rPr>
      </w:pPr>
      <w:r w:rsidRPr="00775C77">
        <w:rPr>
          <w:sz w:val="28"/>
        </w:rPr>
        <w:t>(OMB #1405-0150, Form DS-3072)</w:t>
      </w:r>
    </w:p>
    <w:p w:rsidR="00506638" w:rsidRPr="00775C77" w:rsidRDefault="00506638" w:rsidP="00506638">
      <w:pPr>
        <w:spacing w:after="240"/>
        <w:rPr>
          <w:b/>
        </w:rPr>
      </w:pPr>
      <w:r w:rsidRPr="00775C77">
        <w:rPr>
          <w:b/>
        </w:rPr>
        <w:t>A.</w:t>
      </w:r>
      <w:r w:rsidRPr="00775C77">
        <w:rPr>
          <w:b/>
        </w:rPr>
        <w:tab/>
        <w:t xml:space="preserve">JUSTIFICATION </w:t>
      </w:r>
    </w:p>
    <w:p w:rsidR="00506638" w:rsidRPr="00775C77" w:rsidRDefault="00506638" w:rsidP="00506638">
      <w:pPr>
        <w:spacing w:after="240"/>
      </w:pPr>
      <w:r w:rsidRPr="00775C77">
        <w:rPr>
          <w:b/>
          <w:bCs/>
        </w:rPr>
        <w:t>1.</w:t>
      </w:r>
      <w:r w:rsidRPr="00775C77">
        <w:t xml:space="preserve"> </w:t>
      </w:r>
      <w:r>
        <w:t xml:space="preserve"> </w:t>
      </w:r>
      <w:r w:rsidRPr="00775C77">
        <w:t xml:space="preserve">Emergency loans are issued to </w:t>
      </w:r>
      <w:r>
        <w:t xml:space="preserve">U.S. citizens </w:t>
      </w:r>
      <w:r w:rsidRPr="00775C77">
        <w:t xml:space="preserve">abroad and their family members in </w:t>
      </w:r>
      <w:r>
        <w:t>several scenarios, two of which are to be covered by this form</w:t>
      </w:r>
      <w:r w:rsidRPr="00775C77">
        <w:t>:</w:t>
      </w:r>
    </w:p>
    <w:p w:rsidR="00506638" w:rsidRPr="00775C77" w:rsidRDefault="00506638" w:rsidP="00506638">
      <w:pPr>
        <w:spacing w:after="240"/>
        <w:rPr>
          <w:rStyle w:val="ptext-3"/>
          <w:color w:val="000000"/>
        </w:rPr>
      </w:pPr>
      <w:r w:rsidRPr="00775C77">
        <w:t xml:space="preserve">-- Repatriation loans for destitute </w:t>
      </w:r>
      <w:r>
        <w:t>U.S. citizens</w:t>
      </w:r>
      <w:r w:rsidRPr="00775C77">
        <w:t xml:space="preserve"> and their </w:t>
      </w:r>
      <w:r>
        <w:t xml:space="preserve">eligible </w:t>
      </w:r>
      <w:r w:rsidRPr="00775C77">
        <w:t xml:space="preserve">family members </w:t>
      </w:r>
      <w:r w:rsidRPr="00775C77">
        <w:rPr>
          <w:rStyle w:val="ptext-3"/>
          <w:color w:val="000000"/>
        </w:rPr>
        <w:t>who are outside the United States to provide for the citizen</w:t>
      </w:r>
      <w:r>
        <w:rPr>
          <w:rStyle w:val="ptext-3"/>
          <w:color w:val="000000"/>
        </w:rPr>
        <w:t>’</w:t>
      </w:r>
      <w:r w:rsidRPr="00775C77">
        <w:rPr>
          <w:rStyle w:val="ptext-3"/>
          <w:color w:val="000000"/>
        </w:rPr>
        <w:t xml:space="preserve">s </w:t>
      </w:r>
      <w:r>
        <w:rPr>
          <w:rStyle w:val="ptext-3"/>
          <w:color w:val="000000"/>
        </w:rPr>
        <w:t xml:space="preserve">and/or family member’s </w:t>
      </w:r>
      <w:r w:rsidRPr="00775C77">
        <w:rPr>
          <w:rStyle w:val="ptext-3"/>
          <w:color w:val="000000"/>
        </w:rPr>
        <w:t>return to the United States;</w:t>
      </w:r>
    </w:p>
    <w:p w:rsidR="00506638" w:rsidRPr="00775C77" w:rsidRDefault="00506638" w:rsidP="00506638">
      <w:pPr>
        <w:spacing w:after="240"/>
        <w:rPr>
          <w:rStyle w:val="ptext-1"/>
          <w:color w:val="000000"/>
        </w:rPr>
      </w:pPr>
      <w:r w:rsidRPr="00775C77">
        <w:rPr>
          <w:rStyle w:val="ptext-1"/>
          <w:color w:val="000000"/>
        </w:rPr>
        <w:t xml:space="preserve">-- Emergency medical and dietary assistance loans for </w:t>
      </w:r>
      <w:r>
        <w:rPr>
          <w:rStyle w:val="ptext-1"/>
          <w:color w:val="000000"/>
        </w:rPr>
        <w:t>U.S.</w:t>
      </w:r>
      <w:r w:rsidRPr="00775C77">
        <w:rPr>
          <w:rStyle w:val="ptext-1"/>
          <w:color w:val="000000"/>
        </w:rPr>
        <w:t xml:space="preserve"> citizens incarcerated abroad or destitute </w:t>
      </w:r>
      <w:r>
        <w:rPr>
          <w:rStyle w:val="ptext-1"/>
          <w:color w:val="000000"/>
        </w:rPr>
        <w:t>U.S.</w:t>
      </w:r>
      <w:r w:rsidRPr="00775C77">
        <w:rPr>
          <w:rStyle w:val="ptext-1"/>
          <w:color w:val="000000"/>
        </w:rPr>
        <w:t xml:space="preserve"> citizens abroad and their </w:t>
      </w:r>
      <w:r>
        <w:rPr>
          <w:rStyle w:val="ptext-1"/>
          <w:color w:val="000000"/>
        </w:rPr>
        <w:t xml:space="preserve">eligible </w:t>
      </w:r>
      <w:r w:rsidRPr="00775C77">
        <w:rPr>
          <w:rStyle w:val="ptext-1"/>
          <w:color w:val="000000"/>
        </w:rPr>
        <w:t>family members who are unable to obtain such services otherwise;</w:t>
      </w:r>
    </w:p>
    <w:p w:rsidR="00506638" w:rsidRPr="00775C77" w:rsidRDefault="00506638" w:rsidP="00506638">
      <w:pPr>
        <w:rPr>
          <w:rStyle w:val="ptext-1"/>
          <w:color w:val="000000"/>
        </w:rPr>
      </w:pPr>
      <w:hyperlink r:id="rId5" w:history="1">
        <w:r w:rsidRPr="009D74B4">
          <w:rPr>
            <w:rStyle w:val="Hyperlink"/>
          </w:rPr>
          <w:t>22 U.S.C.</w:t>
        </w:r>
        <w:r w:rsidRPr="006A5A5F">
          <w:rPr>
            <w:rStyle w:val="Hyperlink"/>
          </w:rPr>
          <w:t xml:space="preserve"> </w:t>
        </w:r>
        <w:r w:rsidRPr="009D74B4">
          <w:rPr>
            <w:rStyle w:val="Hyperlink"/>
          </w:rPr>
          <w:t>§ 2670(j)</w:t>
        </w:r>
      </w:hyperlink>
      <w:r w:rsidRPr="00775C77">
        <w:t xml:space="preserve"> authorizes the Secretary of State to </w:t>
      </w:r>
      <w:r w:rsidRPr="00775C77">
        <w:rPr>
          <w:rStyle w:val="ptext-1"/>
          <w:color w:val="000000"/>
        </w:rPr>
        <w:t xml:space="preserve">provide emergency medical </w:t>
      </w:r>
      <w:r>
        <w:rPr>
          <w:rStyle w:val="ptext-1"/>
          <w:color w:val="000000"/>
        </w:rPr>
        <w:t xml:space="preserve">assistance </w:t>
      </w:r>
      <w:r w:rsidRPr="00775C77">
        <w:rPr>
          <w:rStyle w:val="ptext-1"/>
          <w:color w:val="000000"/>
        </w:rPr>
        <w:t xml:space="preserve">and dietary supplements, and other </w:t>
      </w:r>
      <w:r>
        <w:rPr>
          <w:rStyle w:val="ptext-1"/>
          <w:color w:val="000000"/>
        </w:rPr>
        <w:t>emergency assistance, to</w:t>
      </w:r>
      <w:r w:rsidRPr="00775C77">
        <w:rPr>
          <w:rStyle w:val="ptext-1"/>
          <w:color w:val="000000"/>
        </w:rPr>
        <w:t xml:space="preserve"> </w:t>
      </w:r>
      <w:r>
        <w:rPr>
          <w:rStyle w:val="ptext-1"/>
          <w:color w:val="000000"/>
        </w:rPr>
        <w:t>U.S.</w:t>
      </w:r>
      <w:r w:rsidRPr="00775C77">
        <w:rPr>
          <w:rStyle w:val="ptext-1"/>
          <w:color w:val="000000"/>
        </w:rPr>
        <w:t xml:space="preserve"> citizens incarcerated abroad or </w:t>
      </w:r>
      <w:r>
        <w:rPr>
          <w:rStyle w:val="ptext-1"/>
          <w:color w:val="000000"/>
        </w:rPr>
        <w:t xml:space="preserve">to </w:t>
      </w:r>
      <w:r w:rsidRPr="00775C77">
        <w:rPr>
          <w:rStyle w:val="ptext-1"/>
          <w:color w:val="000000"/>
        </w:rPr>
        <w:t xml:space="preserve">destitute </w:t>
      </w:r>
      <w:r>
        <w:rPr>
          <w:rStyle w:val="ptext-1"/>
          <w:color w:val="000000"/>
        </w:rPr>
        <w:t>U.S.</w:t>
      </w:r>
      <w:r w:rsidRPr="00775C77">
        <w:rPr>
          <w:rStyle w:val="ptext-1"/>
          <w:color w:val="000000"/>
        </w:rPr>
        <w:t xml:space="preserve"> citizens abroad who are unable to obtain such services otherwise, such assistance</w:t>
      </w:r>
      <w:r>
        <w:rPr>
          <w:rStyle w:val="ptext-1"/>
          <w:color w:val="000000"/>
        </w:rPr>
        <w:t xml:space="preserve"> is</w:t>
      </w:r>
      <w:r w:rsidRPr="00775C77">
        <w:rPr>
          <w:rStyle w:val="ptext-1"/>
          <w:color w:val="000000"/>
        </w:rPr>
        <w:t xml:space="preserve"> to be provided on a reimbursable basis to the extent feasible.</w:t>
      </w:r>
      <w:r>
        <w:rPr>
          <w:rStyle w:val="ptext-1"/>
          <w:color w:val="000000"/>
        </w:rPr>
        <w:t xml:space="preserve">  Such assistance is referred to as Emergency Medical and Dietary Assistance (EMDA).</w:t>
      </w:r>
    </w:p>
    <w:p w:rsidR="00506638" w:rsidRPr="00775C77" w:rsidRDefault="00506638" w:rsidP="00506638"/>
    <w:p w:rsidR="00506638" w:rsidRDefault="00506638" w:rsidP="00506638">
      <w:hyperlink r:id="rId6" w:history="1">
        <w:r w:rsidRPr="00775C77">
          <w:rPr>
            <w:rStyle w:val="Hyperlink"/>
          </w:rPr>
          <w:t>22 U</w:t>
        </w:r>
        <w:r>
          <w:rPr>
            <w:rStyle w:val="Hyperlink"/>
          </w:rPr>
          <w:t>.</w:t>
        </w:r>
        <w:r w:rsidRPr="00775C77">
          <w:rPr>
            <w:rStyle w:val="Hyperlink"/>
          </w:rPr>
          <w:t>S</w:t>
        </w:r>
        <w:r>
          <w:rPr>
            <w:rStyle w:val="Hyperlink"/>
          </w:rPr>
          <w:t>.</w:t>
        </w:r>
        <w:r w:rsidRPr="00775C77">
          <w:rPr>
            <w:rStyle w:val="Hyperlink"/>
          </w:rPr>
          <w:t>C</w:t>
        </w:r>
        <w:r>
          <w:rPr>
            <w:rStyle w:val="Hyperlink"/>
          </w:rPr>
          <w:t>.</w:t>
        </w:r>
        <w:r w:rsidRPr="00775C77">
          <w:rPr>
            <w:rStyle w:val="Hyperlink"/>
          </w:rPr>
          <w:t xml:space="preserve"> </w:t>
        </w:r>
        <w:r>
          <w:rPr>
            <w:rStyle w:val="Hyperlink"/>
          </w:rPr>
          <w:t xml:space="preserve">§ </w:t>
        </w:r>
        <w:r w:rsidRPr="00775C77">
          <w:rPr>
            <w:rStyle w:val="Hyperlink"/>
          </w:rPr>
          <w:t>2671</w:t>
        </w:r>
      </w:hyperlink>
      <w:r w:rsidRPr="00775C77">
        <w:t xml:space="preserve"> authorizes the Secretary of State to make expenditures for unforeseen emergencies</w:t>
      </w:r>
      <w:r>
        <w:t xml:space="preserve"> arising in the diplomatic and consular service.</w:t>
      </w:r>
      <w:bookmarkStart w:id="0" w:name="b_2_A"/>
      <w:bookmarkEnd w:id="0"/>
      <w:r>
        <w:t xml:space="preserve">  </w:t>
      </w:r>
      <w:hyperlink r:id="rId7" w:history="1">
        <w:r w:rsidRPr="00775C77">
          <w:rPr>
            <w:rStyle w:val="Hyperlink"/>
          </w:rPr>
          <w:t>22 U</w:t>
        </w:r>
        <w:r>
          <w:rPr>
            <w:rStyle w:val="Hyperlink"/>
          </w:rPr>
          <w:t>.</w:t>
        </w:r>
        <w:r w:rsidRPr="00775C77">
          <w:rPr>
            <w:rStyle w:val="Hyperlink"/>
          </w:rPr>
          <w:t>S</w:t>
        </w:r>
        <w:r>
          <w:rPr>
            <w:rStyle w:val="Hyperlink"/>
          </w:rPr>
          <w:t>.</w:t>
        </w:r>
        <w:r w:rsidRPr="00775C77">
          <w:rPr>
            <w:rStyle w:val="Hyperlink"/>
          </w:rPr>
          <w:t>C</w:t>
        </w:r>
        <w:r>
          <w:rPr>
            <w:rStyle w:val="Hyperlink"/>
          </w:rPr>
          <w:t>.</w:t>
        </w:r>
        <w:r w:rsidRPr="00775C77">
          <w:rPr>
            <w:rStyle w:val="Hyperlink"/>
          </w:rPr>
          <w:t xml:space="preserve"> </w:t>
        </w:r>
        <w:r>
          <w:rPr>
            <w:rStyle w:val="Hyperlink"/>
          </w:rPr>
          <w:t xml:space="preserve">§ </w:t>
        </w:r>
        <w:r w:rsidRPr="00775C77">
          <w:rPr>
            <w:rStyle w:val="Hyperlink"/>
          </w:rPr>
          <w:t>2671(b)(2)(B)</w:t>
        </w:r>
      </w:hyperlink>
      <w:r w:rsidRPr="00775C77">
        <w:rPr>
          <w:rStyle w:val="ptext-4"/>
          <w:color w:val="000000"/>
        </w:rPr>
        <w:t xml:space="preserve"> provides that such emergency expenditures include </w:t>
      </w:r>
      <w:bookmarkStart w:id="1" w:name="b_2_B"/>
      <w:bookmarkEnd w:id="1"/>
      <w:r w:rsidRPr="00775C77">
        <w:rPr>
          <w:rStyle w:val="ptext-3"/>
          <w:color w:val="000000"/>
        </w:rPr>
        <w:t xml:space="preserve">loans made to destitute </w:t>
      </w:r>
      <w:r>
        <w:rPr>
          <w:rStyle w:val="ptext-3"/>
          <w:color w:val="000000"/>
        </w:rPr>
        <w:t xml:space="preserve">U.S. </w:t>
      </w:r>
      <w:r w:rsidRPr="00775C77">
        <w:rPr>
          <w:rStyle w:val="ptext-3"/>
          <w:color w:val="000000"/>
        </w:rPr>
        <w:t xml:space="preserve">citizens who are outside </w:t>
      </w:r>
      <w:r>
        <w:rPr>
          <w:rStyle w:val="ptext-3"/>
          <w:color w:val="000000"/>
        </w:rPr>
        <w:t xml:space="preserve">of </w:t>
      </w:r>
      <w:r w:rsidRPr="00775C77">
        <w:rPr>
          <w:rStyle w:val="ptext-3"/>
          <w:color w:val="000000"/>
        </w:rPr>
        <w:t xml:space="preserve">the United States for </w:t>
      </w:r>
      <w:r>
        <w:rPr>
          <w:rStyle w:val="ptext-3"/>
          <w:color w:val="000000"/>
        </w:rPr>
        <w:t xml:space="preserve">the purpose of </w:t>
      </w:r>
      <w:r w:rsidRPr="00775C77">
        <w:rPr>
          <w:rStyle w:val="ptext-3"/>
          <w:color w:val="000000"/>
        </w:rPr>
        <w:t>the</w:t>
      </w:r>
      <w:r>
        <w:rPr>
          <w:rStyle w:val="ptext-3"/>
          <w:color w:val="000000"/>
        </w:rPr>
        <w:t>ir</w:t>
      </w:r>
      <w:r w:rsidRPr="00775C77">
        <w:rPr>
          <w:rStyle w:val="ptext-3"/>
          <w:color w:val="000000"/>
        </w:rPr>
        <w:t xml:space="preserve"> return to the United States.  This is known as the repatriation loan program.  </w:t>
      </w:r>
      <w:hyperlink r:id="rId8" w:history="1">
        <w:r w:rsidRPr="00775C77">
          <w:rPr>
            <w:rStyle w:val="Hyperlink"/>
          </w:rPr>
          <w:t>22 U</w:t>
        </w:r>
        <w:r>
          <w:rPr>
            <w:rStyle w:val="Hyperlink"/>
          </w:rPr>
          <w:t>.</w:t>
        </w:r>
        <w:r w:rsidRPr="00775C77">
          <w:rPr>
            <w:rStyle w:val="Hyperlink"/>
          </w:rPr>
          <w:t>S</w:t>
        </w:r>
        <w:r>
          <w:rPr>
            <w:rStyle w:val="Hyperlink"/>
          </w:rPr>
          <w:t>.</w:t>
        </w:r>
        <w:r w:rsidRPr="00775C77">
          <w:rPr>
            <w:rStyle w:val="Hyperlink"/>
          </w:rPr>
          <w:t>C</w:t>
        </w:r>
        <w:r>
          <w:rPr>
            <w:rStyle w:val="Hyperlink"/>
          </w:rPr>
          <w:t>.</w:t>
        </w:r>
        <w:r w:rsidRPr="00775C77">
          <w:rPr>
            <w:rStyle w:val="Hyperlink"/>
          </w:rPr>
          <w:t xml:space="preserve"> </w:t>
        </w:r>
        <w:r>
          <w:rPr>
            <w:rStyle w:val="Hyperlink"/>
          </w:rPr>
          <w:t xml:space="preserve">§ </w:t>
        </w:r>
        <w:r w:rsidRPr="00775C77">
          <w:rPr>
            <w:rStyle w:val="Hyperlink"/>
          </w:rPr>
          <w:t>2671(d)</w:t>
        </w:r>
      </w:hyperlink>
      <w:r w:rsidRPr="00775C77">
        <w:t xml:space="preserve"> sets forth what the Secretary of State shall require </w:t>
      </w:r>
      <w:r>
        <w:t xml:space="preserve">in an </w:t>
      </w:r>
      <w:r w:rsidRPr="00775C77">
        <w:t>application for a repatriation loan, collection procedures</w:t>
      </w:r>
      <w:r>
        <w:t>,</w:t>
      </w:r>
      <w:r w:rsidRPr="00775C77">
        <w:t xml:space="preserve"> and passport limitations.</w:t>
      </w:r>
    </w:p>
    <w:p w:rsidR="00506638" w:rsidRDefault="00506638" w:rsidP="00506638"/>
    <w:p w:rsidR="00506638" w:rsidRPr="00775C77" w:rsidRDefault="00506638" w:rsidP="00506638">
      <w:r>
        <w:t xml:space="preserve">Department of State regulations pertaining to, </w:t>
      </w:r>
      <w:r w:rsidRPr="008358C7">
        <w:rPr>
          <w:i/>
        </w:rPr>
        <w:t>inter alia</w:t>
      </w:r>
      <w:r>
        <w:t>, services to U.S. citizens in distress are published in 22 CFR Part 71.</w:t>
      </w:r>
    </w:p>
    <w:p w:rsidR="00506638" w:rsidRPr="00775C77" w:rsidRDefault="00506638" w:rsidP="00506638"/>
    <w:p w:rsidR="00506638" w:rsidRPr="00775C77" w:rsidRDefault="00506638" w:rsidP="00506638">
      <w:pPr>
        <w:autoSpaceDE w:val="0"/>
        <w:autoSpaceDN w:val="0"/>
        <w:adjustRightInd w:val="0"/>
        <w:rPr>
          <w:b/>
          <w:i/>
        </w:rPr>
      </w:pPr>
      <w:r w:rsidRPr="00775C77">
        <w:rPr>
          <w:b/>
        </w:rPr>
        <w:t>2.</w:t>
      </w:r>
      <w:r w:rsidRPr="00775C77">
        <w:rPr>
          <w:b/>
          <w:i/>
        </w:rPr>
        <w:t xml:space="preserve">  </w:t>
      </w:r>
      <w:r w:rsidRPr="00775C77">
        <w:rPr>
          <w:rStyle w:val="ptext-3"/>
          <w:color w:val="000000"/>
        </w:rPr>
        <w:t>The information collected in the DS-3072 is used to document the issuance of</w:t>
      </w:r>
      <w:r>
        <w:rPr>
          <w:rStyle w:val="ptext-3"/>
          <w:color w:val="000000"/>
        </w:rPr>
        <w:t xml:space="preserve"> </w:t>
      </w:r>
      <w:r w:rsidRPr="00775C77">
        <w:rPr>
          <w:rStyle w:val="ptext-3"/>
          <w:color w:val="000000"/>
        </w:rPr>
        <w:t xml:space="preserve">emergency </w:t>
      </w:r>
      <w:r>
        <w:rPr>
          <w:rStyle w:val="ptext-3"/>
          <w:color w:val="000000"/>
        </w:rPr>
        <w:t xml:space="preserve">repatriation and EMDA </w:t>
      </w:r>
      <w:r w:rsidRPr="00775C77">
        <w:rPr>
          <w:rStyle w:val="ptext-3"/>
          <w:color w:val="000000"/>
        </w:rPr>
        <w:t>loans</w:t>
      </w:r>
      <w:r>
        <w:rPr>
          <w:rStyle w:val="ptext-3"/>
          <w:color w:val="000000"/>
        </w:rPr>
        <w:t xml:space="preserve"> provided in the contexts described above</w:t>
      </w:r>
      <w:r w:rsidRPr="00775C77">
        <w:rPr>
          <w:rStyle w:val="ptext-3"/>
          <w:color w:val="000000"/>
        </w:rPr>
        <w:t xml:space="preserve">, to obtain a Privacy Act waiver to share information about the welfare of a citizen or lawful permanent resident with designated persons, and to facilitate debt collection.  </w:t>
      </w:r>
    </w:p>
    <w:p w:rsidR="00506638" w:rsidRPr="00775C77" w:rsidRDefault="00506638" w:rsidP="00506638">
      <w:pPr>
        <w:autoSpaceDE w:val="0"/>
        <w:autoSpaceDN w:val="0"/>
        <w:adjustRightInd w:val="0"/>
        <w:rPr>
          <w:b/>
          <w:i/>
        </w:rPr>
      </w:pPr>
    </w:p>
    <w:p w:rsidR="00506638" w:rsidRDefault="00506638" w:rsidP="00506638">
      <w:r w:rsidRPr="00B269FD">
        <w:rPr>
          <w:rFonts w:cs="Arial"/>
          <w:b/>
        </w:rPr>
        <w:lastRenderedPageBreak/>
        <w:t>3.</w:t>
      </w:r>
      <w:r w:rsidRPr="00B43290">
        <w:rPr>
          <w:rFonts w:cs="Arial"/>
        </w:rPr>
        <w:t xml:space="preserve">  </w:t>
      </w:r>
      <w:r>
        <w:t>The Department of State’s Bureau of Consular Affairs (CA) created an electronic version of the DS-3072, presently available on the Department of State’s website, allowing applicants to type their information into their loan request forms.  The form must still be printed and signed by the applicant, and presented to the consular officer who will witness the signature and adjudicate issuance of the loan on behalf of the Department of State.</w:t>
      </w:r>
      <w:r w:rsidRPr="00D36C10">
        <w:t> </w:t>
      </w:r>
      <w:r>
        <w:t xml:space="preserve"> </w:t>
      </w:r>
    </w:p>
    <w:p w:rsidR="00506638" w:rsidRDefault="00506638" w:rsidP="00506638"/>
    <w:p w:rsidR="00506638" w:rsidRDefault="00506638" w:rsidP="00506638">
      <w:r w:rsidRPr="00ED2F5C">
        <w:t>In connection with the electronic DS-</w:t>
      </w:r>
      <w:r>
        <w:t>3072</w:t>
      </w:r>
      <w:r w:rsidRPr="00ED2F5C">
        <w:t>, the Department is moving toward acceptance of electronic signatures in some circumstances.</w:t>
      </w:r>
      <w:r w:rsidRPr="00A5135E">
        <w:t xml:space="preserve">  </w:t>
      </w:r>
      <w:r w:rsidRPr="00ED2F5C">
        <w:t>However, the Department does not yet accept electronic signatures on the form</w:t>
      </w:r>
      <w:r>
        <w:t xml:space="preserve"> and is currently assessing the acceptability of e-signatures for different categories of applicants</w:t>
      </w:r>
      <w:r w:rsidRPr="00ED2F5C">
        <w:t>.</w:t>
      </w:r>
      <w:r w:rsidRPr="001F0037">
        <w:t xml:space="preserve">  </w:t>
      </w:r>
    </w:p>
    <w:p w:rsidR="00506638" w:rsidRDefault="00506638" w:rsidP="00506638"/>
    <w:p w:rsidR="00506638" w:rsidRPr="00D36C10" w:rsidRDefault="00506638" w:rsidP="00506638">
      <w:pPr>
        <w:pStyle w:val="ListParagraph"/>
        <w:ind w:left="0"/>
        <w:rPr>
          <w:rFonts w:ascii="Times New Roman" w:hAnsi="Times New Roman" w:cs="Times New Roman"/>
          <w:sz w:val="24"/>
          <w:szCs w:val="24"/>
        </w:rPr>
      </w:pPr>
      <w:r>
        <w:rPr>
          <w:rFonts w:ascii="Times New Roman" w:hAnsi="Times New Roman" w:cs="Times New Roman"/>
          <w:sz w:val="24"/>
          <w:szCs w:val="24"/>
        </w:rPr>
        <w:t>A</w:t>
      </w:r>
      <w:r w:rsidRPr="00D36C10">
        <w:rPr>
          <w:rFonts w:ascii="Times New Roman" w:hAnsi="Times New Roman" w:cs="Times New Roman"/>
          <w:sz w:val="24"/>
          <w:szCs w:val="24"/>
        </w:rPr>
        <w:t>utomated data collection</w:t>
      </w:r>
      <w:r>
        <w:rPr>
          <w:rFonts w:ascii="Times New Roman" w:hAnsi="Times New Roman" w:cs="Times New Roman"/>
          <w:sz w:val="24"/>
          <w:szCs w:val="24"/>
        </w:rPr>
        <w:t>, electronic signatures (if acceptable), and integrated systems capabilities</w:t>
      </w:r>
      <w:r w:rsidRPr="00D36C10">
        <w:rPr>
          <w:rFonts w:ascii="Times New Roman" w:hAnsi="Times New Roman" w:cs="Times New Roman"/>
          <w:sz w:val="24"/>
          <w:szCs w:val="24"/>
        </w:rPr>
        <w:t xml:space="preserve"> </w:t>
      </w:r>
      <w:r>
        <w:rPr>
          <w:rFonts w:ascii="Times New Roman" w:hAnsi="Times New Roman" w:cs="Times New Roman"/>
          <w:sz w:val="24"/>
          <w:szCs w:val="24"/>
        </w:rPr>
        <w:t xml:space="preserve">will </w:t>
      </w:r>
      <w:r w:rsidRPr="00D36C10">
        <w:rPr>
          <w:rFonts w:ascii="Times New Roman" w:hAnsi="Times New Roman" w:cs="Times New Roman"/>
          <w:sz w:val="24"/>
          <w:szCs w:val="24"/>
        </w:rPr>
        <w:t xml:space="preserve">allow faster and more accurate </w:t>
      </w:r>
      <w:r>
        <w:rPr>
          <w:rFonts w:ascii="Times New Roman" w:hAnsi="Times New Roman" w:cs="Times New Roman"/>
          <w:sz w:val="24"/>
          <w:szCs w:val="24"/>
        </w:rPr>
        <w:t>information</w:t>
      </w:r>
      <w:r w:rsidRPr="00D36C10">
        <w:rPr>
          <w:rFonts w:ascii="Times New Roman" w:hAnsi="Times New Roman" w:cs="Times New Roman"/>
          <w:sz w:val="24"/>
          <w:szCs w:val="24"/>
        </w:rPr>
        <w:t xml:space="preserve"> gathering, </w:t>
      </w:r>
      <w:r>
        <w:rPr>
          <w:rFonts w:ascii="Times New Roman" w:hAnsi="Times New Roman" w:cs="Times New Roman"/>
          <w:sz w:val="24"/>
          <w:szCs w:val="24"/>
        </w:rPr>
        <w:t>reduces the time necessary for consular officer</w:t>
      </w:r>
      <w:r w:rsidRPr="00D36C10">
        <w:rPr>
          <w:rFonts w:ascii="Times New Roman" w:hAnsi="Times New Roman" w:cs="Times New Roman"/>
          <w:sz w:val="24"/>
          <w:szCs w:val="24"/>
        </w:rPr>
        <w:t xml:space="preserve">s </w:t>
      </w:r>
      <w:r>
        <w:rPr>
          <w:rFonts w:ascii="Times New Roman" w:hAnsi="Times New Roman" w:cs="Times New Roman"/>
          <w:sz w:val="24"/>
          <w:szCs w:val="24"/>
        </w:rPr>
        <w:t>to adjudicate a loan,</w:t>
      </w:r>
      <w:r w:rsidRPr="00D36C10">
        <w:rPr>
          <w:rFonts w:ascii="Times New Roman" w:hAnsi="Times New Roman" w:cs="Times New Roman"/>
          <w:sz w:val="24"/>
          <w:szCs w:val="24"/>
        </w:rPr>
        <w:t xml:space="preserve"> improves the </w:t>
      </w:r>
      <w:r>
        <w:rPr>
          <w:rFonts w:ascii="Times New Roman" w:hAnsi="Times New Roman" w:cs="Times New Roman"/>
          <w:sz w:val="24"/>
          <w:szCs w:val="24"/>
        </w:rPr>
        <w:t xml:space="preserve">application process for private citizens, and increases the </w:t>
      </w:r>
      <w:r w:rsidRPr="00D36C10">
        <w:rPr>
          <w:rFonts w:ascii="Times New Roman" w:hAnsi="Times New Roman" w:cs="Times New Roman"/>
          <w:sz w:val="24"/>
          <w:szCs w:val="24"/>
        </w:rPr>
        <w:t xml:space="preserve">efficiency </w:t>
      </w:r>
      <w:r>
        <w:rPr>
          <w:rFonts w:ascii="Times New Roman" w:hAnsi="Times New Roman" w:cs="Times New Roman"/>
          <w:sz w:val="24"/>
          <w:szCs w:val="24"/>
        </w:rPr>
        <w:t>of debt collection</w:t>
      </w:r>
      <w:r w:rsidRPr="00D36C10">
        <w:rPr>
          <w:rFonts w:ascii="Times New Roman" w:hAnsi="Times New Roman" w:cs="Times New Roman"/>
          <w:sz w:val="24"/>
          <w:szCs w:val="24"/>
        </w:rPr>
        <w:t>.</w:t>
      </w:r>
      <w:r>
        <w:rPr>
          <w:rFonts w:ascii="Times New Roman" w:hAnsi="Times New Roman" w:cs="Times New Roman"/>
          <w:sz w:val="24"/>
          <w:szCs w:val="24"/>
        </w:rPr>
        <w:t xml:space="preserve"> </w:t>
      </w:r>
      <w:r w:rsidRPr="00D36C10">
        <w:rPr>
          <w:rFonts w:ascii="Times New Roman" w:hAnsi="Times New Roman" w:cs="Times New Roman"/>
          <w:sz w:val="24"/>
          <w:szCs w:val="24"/>
        </w:rPr>
        <w:t xml:space="preserve"> </w:t>
      </w:r>
      <w:r>
        <w:rPr>
          <w:rFonts w:ascii="Times New Roman" w:hAnsi="Times New Roman" w:cs="Times New Roman"/>
          <w:sz w:val="24"/>
          <w:szCs w:val="24"/>
        </w:rPr>
        <w:t>Internet</w:t>
      </w:r>
      <w:r w:rsidRPr="00D36C10">
        <w:rPr>
          <w:rFonts w:ascii="Times New Roman" w:hAnsi="Times New Roman" w:cs="Times New Roman"/>
          <w:sz w:val="24"/>
          <w:szCs w:val="24"/>
        </w:rPr>
        <w:t xml:space="preserve"> technology will enable loan applicants to have quicker access to the forms and will offer the flexibility to complete the loan application form conveniently from any place in the world</w:t>
      </w:r>
      <w:r>
        <w:rPr>
          <w:rFonts w:ascii="Times New Roman" w:hAnsi="Times New Roman" w:cs="Times New Roman"/>
          <w:sz w:val="24"/>
          <w:szCs w:val="24"/>
        </w:rPr>
        <w:t>,</w:t>
      </w:r>
      <w:r w:rsidRPr="00D36C10">
        <w:rPr>
          <w:rFonts w:ascii="Times New Roman" w:hAnsi="Times New Roman" w:cs="Times New Roman"/>
          <w:sz w:val="24"/>
          <w:szCs w:val="24"/>
        </w:rPr>
        <w:t xml:space="preserve"> a critical advantage in an emergency situation.</w:t>
      </w:r>
    </w:p>
    <w:p w:rsidR="00506638" w:rsidRDefault="00506638" w:rsidP="00506638">
      <w:pPr>
        <w:pStyle w:val="ListParagraph"/>
        <w:ind w:left="0"/>
        <w:rPr>
          <w:rFonts w:ascii="Times New Roman" w:hAnsi="Times New Roman" w:cs="Times New Roman"/>
          <w:sz w:val="24"/>
          <w:szCs w:val="24"/>
        </w:rPr>
      </w:pPr>
    </w:p>
    <w:p w:rsidR="00506638" w:rsidRPr="00761600" w:rsidRDefault="00506638" w:rsidP="00506638">
      <w:pPr>
        <w:pStyle w:val="ListParagraph"/>
        <w:ind w:left="0"/>
        <w:rPr>
          <w:rFonts w:ascii="Times New Roman" w:hAnsi="Times New Roman" w:cs="Times New Roman"/>
          <w:sz w:val="24"/>
          <w:szCs w:val="24"/>
        </w:rPr>
      </w:pPr>
      <w:r w:rsidRPr="00761600">
        <w:rPr>
          <w:rFonts w:ascii="Times New Roman" w:hAnsi="Times New Roman" w:cs="Times New Roman"/>
          <w:sz w:val="24"/>
          <w:szCs w:val="24"/>
        </w:rPr>
        <w:t>An online application w</w:t>
      </w:r>
      <w:r>
        <w:rPr>
          <w:rFonts w:ascii="Times New Roman" w:hAnsi="Times New Roman" w:cs="Times New Roman"/>
          <w:sz w:val="24"/>
          <w:szCs w:val="24"/>
        </w:rPr>
        <w:t>ill</w:t>
      </w:r>
      <w:r w:rsidRPr="00761600">
        <w:rPr>
          <w:rFonts w:ascii="Times New Roman" w:hAnsi="Times New Roman" w:cs="Times New Roman"/>
          <w:sz w:val="24"/>
          <w:szCs w:val="24"/>
        </w:rPr>
        <w:t xml:space="preserve"> not supplant the physical </w:t>
      </w:r>
      <w:r>
        <w:rPr>
          <w:rFonts w:ascii="Times New Roman" w:hAnsi="Times New Roman" w:cs="Times New Roman"/>
          <w:sz w:val="24"/>
          <w:szCs w:val="24"/>
        </w:rPr>
        <w:t>DS-3072</w:t>
      </w:r>
      <w:r w:rsidRPr="00761600">
        <w:rPr>
          <w:rFonts w:ascii="Times New Roman" w:hAnsi="Times New Roman" w:cs="Times New Roman"/>
          <w:sz w:val="24"/>
          <w:szCs w:val="24"/>
        </w:rPr>
        <w:t xml:space="preserve">.  In areas where internet access is </w:t>
      </w:r>
      <w:r>
        <w:rPr>
          <w:rFonts w:ascii="Times New Roman" w:hAnsi="Times New Roman" w:cs="Times New Roman"/>
          <w:sz w:val="24"/>
          <w:szCs w:val="24"/>
        </w:rPr>
        <w:t xml:space="preserve">unavailable or </w:t>
      </w:r>
      <w:r w:rsidRPr="00761600">
        <w:rPr>
          <w:rFonts w:ascii="Times New Roman" w:hAnsi="Times New Roman" w:cs="Times New Roman"/>
          <w:sz w:val="24"/>
          <w:szCs w:val="24"/>
        </w:rPr>
        <w:t xml:space="preserve">unreliable, </w:t>
      </w:r>
      <w:r>
        <w:rPr>
          <w:rFonts w:ascii="Times New Roman" w:hAnsi="Times New Roman" w:cs="Times New Roman"/>
          <w:sz w:val="24"/>
          <w:szCs w:val="24"/>
        </w:rPr>
        <w:t xml:space="preserve">if </w:t>
      </w:r>
      <w:r w:rsidRPr="00761600">
        <w:rPr>
          <w:rFonts w:ascii="Times New Roman" w:hAnsi="Times New Roman" w:cs="Times New Roman"/>
          <w:sz w:val="24"/>
          <w:szCs w:val="24"/>
        </w:rPr>
        <w:t>applicant</w:t>
      </w:r>
      <w:r>
        <w:rPr>
          <w:rFonts w:ascii="Times New Roman" w:hAnsi="Times New Roman" w:cs="Times New Roman"/>
          <w:sz w:val="24"/>
          <w:szCs w:val="24"/>
        </w:rPr>
        <w:t>s</w:t>
      </w:r>
      <w:r w:rsidRPr="00761600">
        <w:rPr>
          <w:rFonts w:ascii="Times New Roman" w:hAnsi="Times New Roman" w:cs="Times New Roman"/>
          <w:sz w:val="24"/>
          <w:szCs w:val="24"/>
        </w:rPr>
        <w:t xml:space="preserve"> </w:t>
      </w:r>
      <w:r>
        <w:rPr>
          <w:rFonts w:ascii="Times New Roman" w:hAnsi="Times New Roman" w:cs="Times New Roman"/>
          <w:sz w:val="24"/>
          <w:szCs w:val="24"/>
        </w:rPr>
        <w:t>do</w:t>
      </w:r>
      <w:r w:rsidRPr="00761600">
        <w:rPr>
          <w:rFonts w:ascii="Times New Roman" w:hAnsi="Times New Roman" w:cs="Times New Roman"/>
          <w:sz w:val="24"/>
          <w:szCs w:val="24"/>
        </w:rPr>
        <w:t xml:space="preserve"> not have the level</w:t>
      </w:r>
      <w:r>
        <w:rPr>
          <w:rFonts w:ascii="Times New Roman" w:hAnsi="Times New Roman" w:cs="Times New Roman"/>
          <w:sz w:val="24"/>
          <w:szCs w:val="24"/>
        </w:rPr>
        <w:t xml:space="preserve"> </w:t>
      </w:r>
      <w:r w:rsidRPr="00761600">
        <w:rPr>
          <w:rFonts w:ascii="Times New Roman" w:hAnsi="Times New Roman" w:cs="Times New Roman"/>
          <w:sz w:val="24"/>
          <w:szCs w:val="24"/>
        </w:rPr>
        <w:t xml:space="preserve">of technological literacy to successfully submit an application online, </w:t>
      </w:r>
      <w:r>
        <w:rPr>
          <w:rFonts w:ascii="Times New Roman" w:hAnsi="Times New Roman" w:cs="Times New Roman"/>
          <w:sz w:val="24"/>
          <w:szCs w:val="24"/>
        </w:rPr>
        <w:t>or when other circumstances exist that make the use of the electronic form impracticable (e.g., situations in which a crisis has impacted the local internet and/or telecommunications infrastructure), the Department of State</w:t>
      </w:r>
      <w:r w:rsidRPr="00761600">
        <w:rPr>
          <w:rFonts w:ascii="Times New Roman" w:hAnsi="Times New Roman" w:cs="Times New Roman"/>
          <w:sz w:val="24"/>
          <w:szCs w:val="24"/>
        </w:rPr>
        <w:t xml:space="preserve"> </w:t>
      </w:r>
      <w:r>
        <w:rPr>
          <w:rFonts w:ascii="Times New Roman" w:hAnsi="Times New Roman" w:cs="Times New Roman"/>
          <w:sz w:val="24"/>
          <w:szCs w:val="24"/>
        </w:rPr>
        <w:t>must</w:t>
      </w:r>
      <w:r w:rsidRPr="00761600">
        <w:rPr>
          <w:rFonts w:ascii="Times New Roman" w:hAnsi="Times New Roman" w:cs="Times New Roman"/>
          <w:sz w:val="24"/>
          <w:szCs w:val="24"/>
        </w:rPr>
        <w:t xml:space="preserve"> provide </w:t>
      </w:r>
      <w:r>
        <w:rPr>
          <w:rFonts w:ascii="Times New Roman" w:hAnsi="Times New Roman" w:cs="Times New Roman"/>
          <w:sz w:val="24"/>
          <w:szCs w:val="24"/>
        </w:rPr>
        <w:t xml:space="preserve">applicants </w:t>
      </w:r>
      <w:r w:rsidRPr="00761600">
        <w:rPr>
          <w:rFonts w:ascii="Times New Roman" w:hAnsi="Times New Roman" w:cs="Times New Roman"/>
          <w:sz w:val="24"/>
          <w:szCs w:val="24"/>
        </w:rPr>
        <w:t xml:space="preserve">with the </w:t>
      </w:r>
      <w:r>
        <w:rPr>
          <w:rFonts w:ascii="Times New Roman" w:hAnsi="Times New Roman" w:cs="Times New Roman"/>
          <w:sz w:val="24"/>
          <w:szCs w:val="24"/>
        </w:rPr>
        <w:t>option</w:t>
      </w:r>
      <w:r w:rsidRPr="00761600">
        <w:rPr>
          <w:rFonts w:ascii="Times New Roman" w:hAnsi="Times New Roman" w:cs="Times New Roman"/>
          <w:sz w:val="24"/>
          <w:szCs w:val="24"/>
        </w:rPr>
        <w:t xml:space="preserve"> to use a paper application. </w:t>
      </w:r>
    </w:p>
    <w:p w:rsidR="00506638" w:rsidRPr="00775C77" w:rsidRDefault="00506638" w:rsidP="00506638"/>
    <w:p w:rsidR="00506638" w:rsidRDefault="00506638" w:rsidP="00506638">
      <w:pPr>
        <w:autoSpaceDE w:val="0"/>
        <w:autoSpaceDN w:val="0"/>
        <w:adjustRightInd w:val="0"/>
      </w:pPr>
      <w:r>
        <w:t xml:space="preserve">Until a mechanism for electronic submission of the DS-3072 is launched, </w:t>
      </w:r>
      <w:r w:rsidRPr="00775C77">
        <w:t>applicant</w:t>
      </w:r>
      <w:r>
        <w:t>s</w:t>
      </w:r>
      <w:r w:rsidRPr="00775C77">
        <w:t xml:space="preserve"> will </w:t>
      </w:r>
      <w:r>
        <w:t xml:space="preserve">continue to provide a paper copy of their application and supporting documentation </w:t>
      </w:r>
      <w:r w:rsidRPr="00775C77">
        <w:t xml:space="preserve">to a </w:t>
      </w:r>
      <w:r>
        <w:t>consular officer for adjudication consistent with existing policies and procedure</w:t>
      </w:r>
      <w:r w:rsidRPr="00C22031">
        <w:t xml:space="preserve">s.  </w:t>
      </w:r>
      <w:r w:rsidRPr="00F00D71">
        <w:rPr>
          <w:rStyle w:val="CommentReference"/>
        </w:rPr>
        <w:t>C</w:t>
      </w:r>
      <w:r w:rsidRPr="00C22031">
        <w:t>o</w:t>
      </w:r>
      <w:r w:rsidRPr="00775C77">
        <w:t>nsular</w:t>
      </w:r>
      <w:r>
        <w:t xml:space="preserve"> professionals </w:t>
      </w:r>
      <w:r w:rsidRPr="00775C77">
        <w:t xml:space="preserve">will examine the documentation and </w:t>
      </w:r>
      <w:r>
        <w:t xml:space="preserve">coordinate with CA to ensure </w:t>
      </w:r>
      <w:r w:rsidRPr="00775C77">
        <w:t xml:space="preserve">information </w:t>
      </w:r>
      <w:r>
        <w:t xml:space="preserve">from the DS-3072 is entered </w:t>
      </w:r>
      <w:r w:rsidRPr="00775C77">
        <w:t xml:space="preserve">into </w:t>
      </w:r>
      <w:r>
        <w:t xml:space="preserve">the pertinent </w:t>
      </w:r>
      <w:r w:rsidRPr="00775C77">
        <w:t xml:space="preserve">Department of State electronic </w:t>
      </w:r>
      <w:r>
        <w:t>systems including the Consular Task Force system within the Consular Consolidated Database.</w:t>
      </w:r>
    </w:p>
    <w:p w:rsidR="00506638" w:rsidRPr="00775C77" w:rsidRDefault="00506638" w:rsidP="00506638">
      <w:pPr>
        <w:autoSpaceDE w:val="0"/>
        <w:autoSpaceDN w:val="0"/>
        <w:adjustRightInd w:val="0"/>
      </w:pPr>
    </w:p>
    <w:p w:rsidR="00506638" w:rsidRPr="00775C77" w:rsidRDefault="00506638" w:rsidP="00506638">
      <w:pPr>
        <w:autoSpaceDE w:val="0"/>
        <w:autoSpaceDN w:val="0"/>
        <w:adjustRightInd w:val="0"/>
        <w:rPr>
          <w:b/>
          <w:i/>
        </w:rPr>
      </w:pPr>
      <w:r w:rsidRPr="00A12962">
        <w:rPr>
          <w:b/>
        </w:rPr>
        <w:t>4</w:t>
      </w:r>
      <w:r w:rsidRPr="00775C77">
        <w:rPr>
          <w:i/>
        </w:rPr>
        <w:t>.</w:t>
      </w:r>
      <w:r w:rsidRPr="00775C77">
        <w:rPr>
          <w:b/>
          <w:i/>
        </w:rPr>
        <w:t xml:space="preserve">  </w:t>
      </w:r>
      <w:r w:rsidRPr="00775C77">
        <w:t>The information in the DS-3072 is not duplicative of information maintained elsewhere or otherwise available</w:t>
      </w:r>
      <w:r w:rsidRPr="000E4938">
        <w:rPr>
          <w:i/>
        </w:rPr>
        <w:t>.</w:t>
      </w:r>
    </w:p>
    <w:p w:rsidR="00506638" w:rsidRPr="00775C77" w:rsidRDefault="00506638" w:rsidP="00506638">
      <w:pPr>
        <w:autoSpaceDE w:val="0"/>
        <w:autoSpaceDN w:val="0"/>
        <w:adjustRightInd w:val="0"/>
        <w:rPr>
          <w:b/>
          <w:i/>
        </w:rPr>
      </w:pPr>
    </w:p>
    <w:p w:rsidR="00506638" w:rsidRPr="00775C77" w:rsidRDefault="00506638" w:rsidP="00506638">
      <w:pPr>
        <w:autoSpaceDE w:val="0"/>
        <w:autoSpaceDN w:val="0"/>
        <w:adjustRightInd w:val="0"/>
      </w:pPr>
      <w:r w:rsidRPr="00A12962">
        <w:rPr>
          <w:b/>
        </w:rPr>
        <w:t>5</w:t>
      </w:r>
      <w:r w:rsidRPr="00775C77">
        <w:t>.</w:t>
      </w:r>
      <w:r w:rsidRPr="00775C77">
        <w:rPr>
          <w:b/>
          <w:i/>
        </w:rPr>
        <w:t xml:space="preserve">  </w:t>
      </w:r>
      <w:r w:rsidRPr="00775C77">
        <w:t xml:space="preserve">The information collection does not involve small businesses or other small entities.  </w:t>
      </w:r>
    </w:p>
    <w:p w:rsidR="00506638" w:rsidRPr="00775C77" w:rsidRDefault="00506638" w:rsidP="00506638">
      <w:pPr>
        <w:autoSpaceDE w:val="0"/>
        <w:autoSpaceDN w:val="0"/>
        <w:adjustRightInd w:val="0"/>
        <w:rPr>
          <w:b/>
          <w:i/>
        </w:rPr>
      </w:pPr>
    </w:p>
    <w:p w:rsidR="00506638" w:rsidRDefault="00506638" w:rsidP="00506638">
      <w:pPr>
        <w:autoSpaceDE w:val="0"/>
        <w:autoSpaceDN w:val="0"/>
        <w:adjustRightInd w:val="0"/>
      </w:pPr>
      <w:r w:rsidRPr="00A12962">
        <w:rPr>
          <w:b/>
        </w:rPr>
        <w:t>6</w:t>
      </w:r>
      <w:r w:rsidRPr="00775C77">
        <w:rPr>
          <w:i/>
        </w:rPr>
        <w:t>.</w:t>
      </w:r>
      <w:r w:rsidRPr="00775C77">
        <w:rPr>
          <w:b/>
          <w:i/>
        </w:rPr>
        <w:t xml:space="preserve"> </w:t>
      </w:r>
      <w:r>
        <w:rPr>
          <w:b/>
          <w:i/>
        </w:rPr>
        <w:t xml:space="preserve"> </w:t>
      </w:r>
      <w:r w:rsidRPr="00775C77">
        <w:t>The DS-3072 is essential to provid</w:t>
      </w:r>
      <w:r>
        <w:t>ing</w:t>
      </w:r>
      <w:r w:rsidRPr="00775C77">
        <w:t xml:space="preserve"> a mechanism for </w:t>
      </w:r>
      <w:r>
        <w:t>issuance of repatriation and EMDA loans to eligible U.S. citizens</w:t>
      </w:r>
      <w:r w:rsidRPr="00775C77">
        <w:t xml:space="preserve"> </w:t>
      </w:r>
      <w:r>
        <w:t>and their eligible family members</w:t>
      </w:r>
      <w:r w:rsidRPr="00775C77">
        <w:t xml:space="preserve">.  </w:t>
      </w:r>
      <w:r>
        <w:t>Providing emergency assistance to U.S. citizens overseas is a service which the Department has clear statutory authority to provide</w:t>
      </w:r>
      <w:r w:rsidRPr="00775C77">
        <w:t>.  If th</w:t>
      </w:r>
      <w:r>
        <w:t>is information</w:t>
      </w:r>
      <w:r w:rsidRPr="00775C77">
        <w:t xml:space="preserve"> collection were not conducted, the consequences would </w:t>
      </w:r>
      <w:r>
        <w:t>include</w:t>
      </w:r>
      <w:r w:rsidRPr="00775C77">
        <w:t xml:space="preserve"> </w:t>
      </w:r>
      <w:r>
        <w:t xml:space="preserve">a </w:t>
      </w:r>
      <w:r w:rsidRPr="00775C77">
        <w:t xml:space="preserve">considerable hardship to </w:t>
      </w:r>
      <w:r>
        <w:t>destitute U.S. citizens</w:t>
      </w:r>
      <w:r w:rsidRPr="00775C77">
        <w:t xml:space="preserve"> stranded in foreign countries.  </w:t>
      </w:r>
    </w:p>
    <w:p w:rsidR="00506638" w:rsidRDefault="00506638" w:rsidP="00506638">
      <w:pPr>
        <w:autoSpaceDE w:val="0"/>
        <w:autoSpaceDN w:val="0"/>
        <w:adjustRightInd w:val="0"/>
      </w:pPr>
    </w:p>
    <w:p w:rsidR="00506638" w:rsidRPr="0056543F" w:rsidRDefault="00506638" w:rsidP="00506638">
      <w:pPr>
        <w:autoSpaceDE w:val="0"/>
        <w:autoSpaceDN w:val="0"/>
        <w:adjustRightInd w:val="0"/>
      </w:pPr>
      <w:r w:rsidRPr="00775C77">
        <w:rPr>
          <w:b/>
        </w:rPr>
        <w:t>7.</w:t>
      </w:r>
      <w:r w:rsidRPr="00775C77">
        <w:rPr>
          <w:b/>
          <w:i/>
        </w:rPr>
        <w:t xml:space="preserve">  </w:t>
      </w:r>
      <w:r>
        <w:t xml:space="preserve"> No special circumstances exist. </w:t>
      </w:r>
    </w:p>
    <w:p w:rsidR="00506638" w:rsidRPr="00775C77" w:rsidRDefault="00506638" w:rsidP="00506638">
      <w:pPr>
        <w:autoSpaceDE w:val="0"/>
        <w:autoSpaceDN w:val="0"/>
        <w:adjustRightInd w:val="0"/>
        <w:rPr>
          <w:b/>
          <w:i/>
        </w:rPr>
      </w:pPr>
    </w:p>
    <w:p w:rsidR="00506638" w:rsidRPr="009D6AE7" w:rsidRDefault="00506638" w:rsidP="00506638">
      <w:pPr>
        <w:rPr>
          <w:rStyle w:val="ptext-3"/>
        </w:rPr>
      </w:pPr>
      <w:r w:rsidRPr="009D6AE7">
        <w:rPr>
          <w:b/>
        </w:rPr>
        <w:t>8.</w:t>
      </w:r>
      <w:r>
        <w:rPr>
          <w:rStyle w:val="ptext-3"/>
          <w:color w:val="000000"/>
        </w:rPr>
        <w:t xml:space="preserve">  </w:t>
      </w:r>
      <w:r w:rsidRPr="00B43290">
        <w:rPr>
          <w:rStyle w:val="ptext-3"/>
          <w:color w:val="000000"/>
        </w:rPr>
        <w:t>The Department of State publish</w:t>
      </w:r>
      <w:r>
        <w:rPr>
          <w:rStyle w:val="ptext-3"/>
          <w:color w:val="000000"/>
        </w:rPr>
        <w:t>ed</w:t>
      </w:r>
      <w:r w:rsidRPr="00B43290">
        <w:rPr>
          <w:rStyle w:val="ptext-3"/>
          <w:color w:val="000000"/>
        </w:rPr>
        <w:t xml:space="preserve"> a 60</w:t>
      </w:r>
      <w:r>
        <w:rPr>
          <w:rStyle w:val="ptext-3"/>
          <w:color w:val="000000"/>
        </w:rPr>
        <w:t xml:space="preserve"> </w:t>
      </w:r>
      <w:r w:rsidRPr="00B43290">
        <w:rPr>
          <w:rStyle w:val="ptext-3"/>
          <w:color w:val="000000"/>
        </w:rPr>
        <w:t xml:space="preserve">day </w:t>
      </w:r>
      <w:r w:rsidRPr="00F940F9">
        <w:rPr>
          <w:rStyle w:val="ptext-3"/>
          <w:color w:val="000000"/>
        </w:rPr>
        <w:t>Federal Register</w:t>
      </w:r>
      <w:r w:rsidRPr="00B43290">
        <w:rPr>
          <w:rStyle w:val="ptext-3"/>
          <w:color w:val="000000"/>
        </w:rPr>
        <w:t xml:space="preserve"> notice for public comment</w:t>
      </w:r>
      <w:r>
        <w:rPr>
          <w:rStyle w:val="ptext-3"/>
          <w:color w:val="000000"/>
        </w:rPr>
        <w:t xml:space="preserve"> on January 27, 2017 (82 FR 8647)</w:t>
      </w:r>
      <w:r w:rsidRPr="00B43290">
        <w:rPr>
          <w:rStyle w:val="ptext-3"/>
          <w:color w:val="000000"/>
        </w:rPr>
        <w:t>.</w:t>
      </w:r>
      <w:r>
        <w:rPr>
          <w:rStyle w:val="ptext-3"/>
          <w:color w:val="000000"/>
        </w:rPr>
        <w:t xml:space="preserve">  No comments were received.</w:t>
      </w:r>
    </w:p>
    <w:p w:rsidR="00506638" w:rsidRDefault="00506638" w:rsidP="00506638">
      <w:pPr>
        <w:autoSpaceDE w:val="0"/>
        <w:autoSpaceDN w:val="0"/>
        <w:adjustRightInd w:val="0"/>
        <w:rPr>
          <w:b/>
        </w:rPr>
      </w:pPr>
    </w:p>
    <w:p w:rsidR="00506638" w:rsidRDefault="00506638" w:rsidP="00506638">
      <w:pPr>
        <w:autoSpaceDE w:val="0"/>
        <w:autoSpaceDN w:val="0"/>
        <w:adjustRightInd w:val="0"/>
        <w:rPr>
          <w:b/>
          <w:bCs/>
          <w:iCs/>
        </w:rPr>
      </w:pPr>
      <w:r w:rsidRPr="001D7741">
        <w:rPr>
          <w:b/>
        </w:rPr>
        <w:t>9.</w:t>
      </w:r>
      <w:r w:rsidRPr="00775C77">
        <w:t xml:space="preserve">  </w:t>
      </w:r>
      <w:r w:rsidRPr="001D7741">
        <w:t>No payment or gift is provided to respondents.</w:t>
      </w:r>
      <w:r w:rsidRPr="00775C77">
        <w:rPr>
          <w:b/>
          <w:bCs/>
          <w:iCs/>
        </w:rPr>
        <w:t xml:space="preserve"> </w:t>
      </w:r>
    </w:p>
    <w:p w:rsidR="00506638" w:rsidRDefault="00506638" w:rsidP="00506638">
      <w:pPr>
        <w:pStyle w:val="BodyText2"/>
        <w:spacing w:after="240"/>
        <w:rPr>
          <w:rFonts w:ascii="Times New Roman" w:hAnsi="Times New Roman" w:cs="Times New Roman"/>
          <w:i w:val="0"/>
          <w:sz w:val="24"/>
        </w:rPr>
      </w:pPr>
    </w:p>
    <w:p w:rsidR="00506638" w:rsidRPr="00775C77" w:rsidRDefault="00506638" w:rsidP="00506638">
      <w:pPr>
        <w:pStyle w:val="BodyText2"/>
        <w:spacing w:after="240"/>
        <w:rPr>
          <w:rFonts w:ascii="Times New Roman" w:hAnsi="Times New Roman" w:cs="Times New Roman"/>
          <w:sz w:val="24"/>
        </w:rPr>
      </w:pPr>
      <w:r w:rsidRPr="00775C77">
        <w:rPr>
          <w:rFonts w:ascii="Times New Roman" w:hAnsi="Times New Roman" w:cs="Times New Roman"/>
          <w:i w:val="0"/>
          <w:sz w:val="24"/>
        </w:rPr>
        <w:t>10</w:t>
      </w:r>
      <w:r w:rsidRPr="00775C77">
        <w:rPr>
          <w:rFonts w:ascii="Times New Roman" w:hAnsi="Times New Roman" w:cs="Times New Roman"/>
          <w:sz w:val="24"/>
        </w:rPr>
        <w:t xml:space="preserve">.  </w:t>
      </w:r>
      <w:r>
        <w:rPr>
          <w:rFonts w:ascii="Times New Roman" w:hAnsi="Times New Roman" w:cs="Times New Roman"/>
          <w:b w:val="0"/>
          <w:bCs/>
          <w:i w:val="0"/>
          <w:iCs/>
          <w:sz w:val="24"/>
        </w:rPr>
        <w:t>The DS-3072 informs applicants that the Department of State may release their information consistent with the provisions of the Privacy Act of 1974.  The form also provides applicants the opportunity to designate additional persons to whom the Department of State may provide information.</w:t>
      </w:r>
    </w:p>
    <w:p w:rsidR="00506638" w:rsidRDefault="00506638" w:rsidP="00506638">
      <w:pPr>
        <w:autoSpaceDE w:val="0"/>
        <w:autoSpaceDN w:val="0"/>
        <w:adjustRightInd w:val="0"/>
      </w:pPr>
      <w:r w:rsidRPr="00775C77">
        <w:rPr>
          <w:b/>
        </w:rPr>
        <w:t>11</w:t>
      </w:r>
      <w:r w:rsidRPr="00775C77">
        <w:rPr>
          <w:b/>
          <w:i/>
        </w:rPr>
        <w:t>.</w:t>
      </w:r>
      <w:r w:rsidRPr="00775C77">
        <w:rPr>
          <w:b/>
          <w:iCs/>
        </w:rPr>
        <w:t xml:space="preserve">  </w:t>
      </w:r>
      <w:r w:rsidRPr="00E37597">
        <w:rPr>
          <w:bCs/>
          <w:iCs/>
        </w:rPr>
        <w:t>The Secretary of State is required by law at</w:t>
      </w:r>
      <w:r>
        <w:rPr>
          <w:bCs/>
          <w:iCs/>
        </w:rPr>
        <w:t xml:space="preserve"> </w:t>
      </w:r>
      <w:r w:rsidRPr="00E37597">
        <w:rPr>
          <w:bCs/>
          <w:iCs/>
        </w:rPr>
        <w:t>2 U.S.C. § 2671(d</w:t>
      </w:r>
      <w:proofErr w:type="gramStart"/>
      <w:r w:rsidRPr="00E37597">
        <w:rPr>
          <w:bCs/>
          <w:iCs/>
        </w:rPr>
        <w:t>)(</w:t>
      </w:r>
      <w:proofErr w:type="gramEnd"/>
      <w:r w:rsidRPr="00E37597">
        <w:rPr>
          <w:bCs/>
          <w:iCs/>
        </w:rPr>
        <w:t xml:space="preserve">1) to request both a verifiable address and Social Security number at the time of loan application. </w:t>
      </w:r>
      <w:r>
        <w:rPr>
          <w:bCs/>
          <w:iCs/>
        </w:rPr>
        <w:t>A</w:t>
      </w:r>
      <w:r w:rsidRPr="00E37597">
        <w:rPr>
          <w:bCs/>
          <w:iCs/>
        </w:rPr>
        <w:t>pplicants may not be eligible for the requested assistance if they do not provide the required information.</w:t>
      </w:r>
    </w:p>
    <w:p w:rsidR="00506638" w:rsidRPr="00775C77" w:rsidRDefault="00506638" w:rsidP="00506638">
      <w:pPr>
        <w:autoSpaceDE w:val="0"/>
        <w:autoSpaceDN w:val="0"/>
        <w:adjustRightInd w:val="0"/>
      </w:pPr>
    </w:p>
    <w:p w:rsidR="00506638" w:rsidRDefault="00506638" w:rsidP="00506638">
      <w:pPr>
        <w:spacing w:after="240"/>
      </w:pPr>
      <w:r w:rsidRPr="00775C77">
        <w:rPr>
          <w:b/>
        </w:rPr>
        <w:t>12</w:t>
      </w:r>
      <w:r w:rsidRPr="00775C77">
        <w:rPr>
          <w:b/>
          <w:i/>
        </w:rPr>
        <w:t xml:space="preserve">.  </w:t>
      </w:r>
      <w:r w:rsidRPr="00775C77">
        <w:t xml:space="preserve">The estimated hour burden of </w:t>
      </w:r>
      <w:r>
        <w:t xml:space="preserve">486 </w:t>
      </w:r>
      <w:r w:rsidRPr="00775C77">
        <w:t xml:space="preserve">hours per year is based on estimates that the </w:t>
      </w:r>
      <w:r>
        <w:t xml:space="preserve">DS-3072 </w:t>
      </w:r>
      <w:r w:rsidRPr="00775C77">
        <w:t>form is completed by approximately</w:t>
      </w:r>
      <w:r>
        <w:t xml:space="preserve"> 1,459 loan applicants</w:t>
      </w:r>
      <w:r w:rsidRPr="00775C77">
        <w:t xml:space="preserve"> per year, and only one response is permitted per applicant.  Completion time for the form is estimated at </w:t>
      </w:r>
      <w:r>
        <w:t>2</w:t>
      </w:r>
      <w:r w:rsidRPr="00775C77">
        <w:t>0 minutes.</w:t>
      </w:r>
      <w:r>
        <w:t xml:space="preserve">  </w:t>
      </w:r>
      <w:r w:rsidRPr="00775C77">
        <w:t xml:space="preserve">The information </w:t>
      </w:r>
      <w:r>
        <w:t>involves</w:t>
      </w:r>
      <w:r w:rsidRPr="00775C77">
        <w:t xml:space="preserve"> personal biographic data and the financial cost of repatriation</w:t>
      </w:r>
      <w:r>
        <w:t xml:space="preserve"> to the United States and/or </w:t>
      </w:r>
      <w:r w:rsidRPr="00775C77">
        <w:t xml:space="preserve">emergency medical and dietary assistance in the foreign </w:t>
      </w:r>
      <w:r>
        <w:t>country and</w:t>
      </w:r>
      <w:r w:rsidRPr="00775C77">
        <w:t xml:space="preserve"> does not require any special research.  </w:t>
      </w:r>
    </w:p>
    <w:p w:rsidR="00506638" w:rsidRPr="00775C77" w:rsidRDefault="00506638" w:rsidP="00506638">
      <w:pPr>
        <w:spacing w:after="240"/>
      </w:pPr>
      <w:r>
        <w:t xml:space="preserve">The </w:t>
      </w:r>
      <w:r w:rsidRPr="000F30C3">
        <w:t xml:space="preserve">annualized cost to </w:t>
      </w:r>
      <w:r>
        <w:t>all respondents for the hour burden</w:t>
      </w:r>
      <w:r w:rsidRPr="000F30C3">
        <w:t xml:space="preserve"> for collections </w:t>
      </w:r>
      <w:r>
        <w:t xml:space="preserve">of information, </w:t>
      </w:r>
      <w:r w:rsidRPr="000F30C3">
        <w:t>based on appropriate wage rate categories</w:t>
      </w:r>
      <w:r>
        <w:t>,</w:t>
      </w:r>
      <w:r w:rsidRPr="000F30C3">
        <w:t xml:space="preserve"> </w:t>
      </w:r>
      <w:r>
        <w:t xml:space="preserve">is $16,232.  The </w:t>
      </w:r>
      <w:r w:rsidRPr="000F30C3">
        <w:t xml:space="preserve">annualized cost to respondents for the hour burdens for collections </w:t>
      </w:r>
      <w:r>
        <w:t xml:space="preserve">of information, </w:t>
      </w:r>
      <w:r w:rsidRPr="000F30C3">
        <w:t>based on appropriate wage rate categories</w:t>
      </w:r>
      <w:r>
        <w:t>,</w:t>
      </w:r>
      <w:r w:rsidRPr="000F30C3">
        <w:t xml:space="preserve"> </w:t>
      </w:r>
      <w:r>
        <w:t>was determined by figuring out the average hourly wage; $23.86 is the</w:t>
      </w:r>
      <w:r w:rsidRPr="00775B85">
        <w:t xml:space="preserve"> average mean hourly civilian earnin</w:t>
      </w:r>
      <w:r>
        <w:t>gs.  $23.86/hr. was multiplied by 1.4 to get a weighted hourly wage of $33.40/hr.  $33.40/hr. was then multiplied by 486 burden hours by the respondents.  The final calculation equals $16,232.</w:t>
      </w:r>
    </w:p>
    <w:p w:rsidR="00506638" w:rsidRPr="007960E3" w:rsidRDefault="00506638" w:rsidP="00506638">
      <w:r w:rsidRPr="00775C77">
        <w:rPr>
          <w:b/>
        </w:rPr>
        <w:t>13</w:t>
      </w:r>
      <w:r w:rsidRPr="001D7741">
        <w:rPr>
          <w:b/>
        </w:rPr>
        <w:t>.</w:t>
      </w:r>
      <w:r w:rsidRPr="00775C77">
        <w:t xml:space="preserve"> </w:t>
      </w:r>
      <w:r>
        <w:t xml:space="preserve"> There are three costs associated with this application that respondents may incur.  The first cost being the cost of a notary to notarize the form if executed by someone in the United States on behalf of the U.S. citizen/eligible foreign national facing an emergency abroad.  The approximate cost to each respondent to have the form notarized in the United States is $5.  Second, the cost to the applicant who has to express mail the application to Washington D.C. (only in cases where the applicant is in the United States and the beneficiary minor or incompetent adult is abroad); or the applicant applying abroad who must send the application by express mail to the U.S. embassy/consulate handling the case.  The third cost consists of the mileage travel costs for submitting the form to the U.S. diplomatic mission in person</w:t>
      </w:r>
      <w:r w:rsidRPr="007960E3">
        <w:t xml:space="preserve">.  </w:t>
      </w:r>
    </w:p>
    <w:p w:rsidR="00506638" w:rsidRDefault="00506638" w:rsidP="00506638"/>
    <w:p w:rsidR="00506638" w:rsidRDefault="00506638" w:rsidP="00506638">
      <w:r>
        <w:t>There are an estimated 136 loan applicants</w:t>
      </w:r>
      <w:r w:rsidRPr="00775C77">
        <w:t xml:space="preserve"> per year</w:t>
      </w:r>
      <w:r>
        <w:t xml:space="preserve"> who pay a notary to notarize the form if executed by someone in the United States on behalf of the U.S. citizen/eligible foreign </w:t>
      </w:r>
      <w:r>
        <w:lastRenderedPageBreak/>
        <w:t xml:space="preserve">national facing an emergency abroad.  By multiplying 136 applicants by the $5 notary fee, the notary cost for all respondents combined is $680.  </w:t>
      </w:r>
    </w:p>
    <w:p w:rsidR="00506638" w:rsidRDefault="00506638" w:rsidP="00506638"/>
    <w:p w:rsidR="00506638" w:rsidRDefault="00506638" w:rsidP="00506638">
      <w:r>
        <w:t xml:space="preserve">The domestic costs for express mail averages $18, and international express mail has an average cost of $120.  The average rates were based on data for FedEx express mail shipments.  Approximately 277 applicants send the form by express mail.  The average total cost per applicant for international and domestic express mail shipments is approximately $70. Multiply 277 applicants by $70 and the total overall cost for express mail is $19, 390. </w:t>
      </w:r>
    </w:p>
    <w:p w:rsidR="00506638" w:rsidRDefault="00506638" w:rsidP="00506638"/>
    <w:p w:rsidR="00506638" w:rsidRDefault="00506638" w:rsidP="00506638">
      <w:r>
        <w:t>Mileage costs for traveling by car to deliver the form to the U.S. diplomatic mission will vary based on how far the person has to travel.</w:t>
      </w:r>
      <w:r w:rsidRPr="00F54974">
        <w:t xml:space="preserve"> </w:t>
      </w:r>
      <w:r>
        <w:t xml:space="preserve"> If the travel is ten miles, the overall total cost based on 395 respondents that drive is $2,212.  If the travel is 25 miles, the overall total cost based on 394 respondents is $5,516.  If the travel is 50 miles, the overall total cost based on 394 respondents is $11,032.  The grand total mileage cost is $18,760 based on a total of 1,182 respondents that drove.</w:t>
      </w:r>
    </w:p>
    <w:p w:rsidR="00506638" w:rsidRDefault="00506638" w:rsidP="00506638"/>
    <w:p w:rsidR="00506638" w:rsidRDefault="00506638" w:rsidP="00506638"/>
    <w:tbl>
      <w:tblPr>
        <w:tblW w:w="7996" w:type="dxa"/>
        <w:tblInd w:w="93" w:type="dxa"/>
        <w:tblLook w:val="04A0" w:firstRow="1" w:lastRow="0" w:firstColumn="1" w:lastColumn="0" w:noHBand="0" w:noVBand="1"/>
      </w:tblPr>
      <w:tblGrid>
        <w:gridCol w:w="960"/>
        <w:gridCol w:w="2020"/>
        <w:gridCol w:w="1736"/>
        <w:gridCol w:w="1840"/>
        <w:gridCol w:w="1440"/>
      </w:tblGrid>
      <w:tr w:rsidR="00506638" w:rsidRPr="002F0096" w:rsidTr="00AD7D14">
        <w:trPr>
          <w:trHeight w:val="810"/>
        </w:trPr>
        <w:tc>
          <w:tcPr>
            <w:tcW w:w="960" w:type="dxa"/>
            <w:tcBorders>
              <w:top w:val="nil"/>
              <w:left w:val="nil"/>
              <w:bottom w:val="nil"/>
              <w:right w:val="nil"/>
            </w:tcBorders>
            <w:shd w:val="clear" w:color="auto" w:fill="auto"/>
            <w:noWrap/>
            <w:vAlign w:val="bottom"/>
            <w:hideMark/>
          </w:tcPr>
          <w:p w:rsidR="00506638" w:rsidRPr="002F0096" w:rsidRDefault="00506638" w:rsidP="00AD7D14">
            <w:pPr>
              <w:rPr>
                <w:color w:val="000000"/>
              </w:rPr>
            </w:pP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6638" w:rsidRPr="002F0096" w:rsidRDefault="00506638" w:rsidP="00AD7D14">
            <w:pPr>
              <w:jc w:val="center"/>
              <w:rPr>
                <w:color w:val="000000"/>
              </w:rPr>
            </w:pPr>
            <w:r w:rsidRPr="002F0096">
              <w:rPr>
                <w:color w:val="000000"/>
              </w:rPr>
              <w:t xml:space="preserve">Total # of Respondents </w:t>
            </w:r>
          </w:p>
        </w:tc>
        <w:tc>
          <w:tcPr>
            <w:tcW w:w="1736" w:type="dxa"/>
            <w:tcBorders>
              <w:top w:val="single" w:sz="4" w:space="0" w:color="auto"/>
              <w:left w:val="nil"/>
              <w:bottom w:val="single" w:sz="4" w:space="0" w:color="auto"/>
              <w:right w:val="single" w:sz="4" w:space="0" w:color="auto"/>
            </w:tcBorders>
            <w:shd w:val="clear" w:color="auto" w:fill="auto"/>
            <w:noWrap/>
            <w:vAlign w:val="bottom"/>
          </w:tcPr>
          <w:p w:rsidR="00506638" w:rsidRPr="002F0096" w:rsidRDefault="00506638" w:rsidP="00AD7D14">
            <w:pPr>
              <w:jc w:val="center"/>
              <w:rPr>
                <w:b/>
                <w:bCs/>
                <w:color w:val="000000"/>
              </w:rPr>
            </w:pPr>
            <w:r>
              <w:rPr>
                <w:b/>
                <w:bCs/>
                <w:color w:val="000000"/>
              </w:rPr>
              <w:t>1,459</w:t>
            </w:r>
          </w:p>
        </w:tc>
        <w:tc>
          <w:tcPr>
            <w:tcW w:w="1840" w:type="dxa"/>
            <w:tcBorders>
              <w:top w:val="nil"/>
              <w:left w:val="nil"/>
              <w:bottom w:val="nil"/>
              <w:right w:val="nil"/>
            </w:tcBorders>
            <w:shd w:val="clear" w:color="auto" w:fill="auto"/>
            <w:noWrap/>
            <w:vAlign w:val="bottom"/>
            <w:hideMark/>
          </w:tcPr>
          <w:p w:rsidR="00506638" w:rsidRPr="002F0096" w:rsidRDefault="00506638" w:rsidP="00AD7D14">
            <w:pPr>
              <w:rPr>
                <w:color w:val="000000"/>
              </w:rPr>
            </w:pPr>
          </w:p>
        </w:tc>
        <w:tc>
          <w:tcPr>
            <w:tcW w:w="1440" w:type="dxa"/>
            <w:tcBorders>
              <w:top w:val="nil"/>
              <w:left w:val="nil"/>
              <w:bottom w:val="nil"/>
              <w:right w:val="nil"/>
            </w:tcBorders>
            <w:shd w:val="clear" w:color="auto" w:fill="auto"/>
            <w:noWrap/>
            <w:vAlign w:val="bottom"/>
            <w:hideMark/>
          </w:tcPr>
          <w:p w:rsidR="00506638" w:rsidRPr="002F0096" w:rsidRDefault="00506638" w:rsidP="00AD7D14">
            <w:pPr>
              <w:rPr>
                <w:color w:val="000000"/>
              </w:rPr>
            </w:pPr>
          </w:p>
        </w:tc>
      </w:tr>
      <w:tr w:rsidR="00506638" w:rsidRPr="002F0096" w:rsidTr="00AD7D14">
        <w:trPr>
          <w:trHeight w:val="855"/>
        </w:trPr>
        <w:tc>
          <w:tcPr>
            <w:tcW w:w="960" w:type="dxa"/>
            <w:tcBorders>
              <w:top w:val="nil"/>
              <w:left w:val="nil"/>
              <w:bottom w:val="nil"/>
              <w:right w:val="nil"/>
            </w:tcBorders>
            <w:shd w:val="clear" w:color="auto" w:fill="auto"/>
            <w:noWrap/>
            <w:vAlign w:val="bottom"/>
            <w:hideMark/>
          </w:tcPr>
          <w:p w:rsidR="00506638" w:rsidRPr="002F0096" w:rsidRDefault="00506638" w:rsidP="00AD7D14">
            <w:pPr>
              <w:rPr>
                <w:color w:val="000000"/>
              </w:rPr>
            </w:pPr>
          </w:p>
        </w:tc>
        <w:tc>
          <w:tcPr>
            <w:tcW w:w="2020" w:type="dxa"/>
            <w:tcBorders>
              <w:top w:val="nil"/>
              <w:left w:val="single" w:sz="4" w:space="0" w:color="auto"/>
              <w:bottom w:val="single" w:sz="4" w:space="0" w:color="auto"/>
              <w:right w:val="single" w:sz="4" w:space="0" w:color="auto"/>
            </w:tcBorders>
            <w:shd w:val="clear" w:color="auto" w:fill="auto"/>
            <w:vAlign w:val="bottom"/>
            <w:hideMark/>
          </w:tcPr>
          <w:p w:rsidR="00506638" w:rsidRPr="002F0096" w:rsidRDefault="00506638" w:rsidP="00AD7D14">
            <w:pPr>
              <w:jc w:val="center"/>
              <w:rPr>
                <w:color w:val="000000"/>
              </w:rPr>
            </w:pPr>
            <w:r w:rsidRPr="002F0096">
              <w:rPr>
                <w:color w:val="000000"/>
              </w:rPr>
              <w:t xml:space="preserve">Total # of Respondents </w:t>
            </w:r>
            <w:r>
              <w:rPr>
                <w:color w:val="000000"/>
              </w:rPr>
              <w:t>that Drove</w:t>
            </w:r>
          </w:p>
        </w:tc>
        <w:tc>
          <w:tcPr>
            <w:tcW w:w="1736" w:type="dxa"/>
            <w:tcBorders>
              <w:top w:val="nil"/>
              <w:left w:val="nil"/>
              <w:bottom w:val="single" w:sz="4" w:space="0" w:color="auto"/>
              <w:right w:val="single" w:sz="4" w:space="0" w:color="auto"/>
            </w:tcBorders>
            <w:shd w:val="clear" w:color="auto" w:fill="auto"/>
            <w:noWrap/>
            <w:vAlign w:val="bottom"/>
          </w:tcPr>
          <w:p w:rsidR="00506638" w:rsidRPr="002F0096" w:rsidRDefault="00506638" w:rsidP="00AD7D14">
            <w:pPr>
              <w:jc w:val="center"/>
              <w:rPr>
                <w:b/>
                <w:bCs/>
                <w:color w:val="000000"/>
              </w:rPr>
            </w:pPr>
            <w:r>
              <w:rPr>
                <w:b/>
                <w:bCs/>
                <w:color w:val="000000"/>
              </w:rPr>
              <w:t>1,182</w:t>
            </w:r>
          </w:p>
        </w:tc>
        <w:tc>
          <w:tcPr>
            <w:tcW w:w="1840" w:type="dxa"/>
            <w:tcBorders>
              <w:top w:val="nil"/>
              <w:left w:val="nil"/>
              <w:bottom w:val="nil"/>
              <w:right w:val="nil"/>
            </w:tcBorders>
            <w:shd w:val="clear" w:color="auto" w:fill="auto"/>
            <w:noWrap/>
            <w:vAlign w:val="bottom"/>
            <w:hideMark/>
          </w:tcPr>
          <w:p w:rsidR="00506638" w:rsidRPr="002F0096" w:rsidRDefault="00506638" w:rsidP="00AD7D14">
            <w:pPr>
              <w:rPr>
                <w:color w:val="000000"/>
              </w:rPr>
            </w:pPr>
          </w:p>
        </w:tc>
        <w:tc>
          <w:tcPr>
            <w:tcW w:w="1440" w:type="dxa"/>
            <w:tcBorders>
              <w:top w:val="nil"/>
              <w:left w:val="nil"/>
              <w:bottom w:val="nil"/>
              <w:right w:val="nil"/>
            </w:tcBorders>
            <w:shd w:val="clear" w:color="auto" w:fill="auto"/>
            <w:noWrap/>
            <w:vAlign w:val="bottom"/>
            <w:hideMark/>
          </w:tcPr>
          <w:p w:rsidR="00506638" w:rsidRPr="002F0096" w:rsidRDefault="00506638" w:rsidP="00AD7D14">
            <w:pPr>
              <w:rPr>
                <w:color w:val="000000"/>
              </w:rPr>
            </w:pPr>
          </w:p>
        </w:tc>
      </w:tr>
      <w:tr w:rsidR="00506638" w:rsidRPr="002F0096" w:rsidTr="00AD7D14">
        <w:trPr>
          <w:trHeight w:val="915"/>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6638" w:rsidRPr="002F0096" w:rsidRDefault="00506638" w:rsidP="00AD7D14">
            <w:pPr>
              <w:jc w:val="center"/>
              <w:rPr>
                <w:color w:val="000000"/>
              </w:rPr>
            </w:pPr>
            <w:r w:rsidRPr="002F0096">
              <w:rPr>
                <w:color w:val="000000"/>
              </w:rPr>
              <w:t># of People</w:t>
            </w:r>
          </w:p>
        </w:tc>
        <w:tc>
          <w:tcPr>
            <w:tcW w:w="2020" w:type="dxa"/>
            <w:tcBorders>
              <w:top w:val="nil"/>
              <w:left w:val="nil"/>
              <w:bottom w:val="single" w:sz="4" w:space="0" w:color="auto"/>
              <w:right w:val="single" w:sz="4" w:space="0" w:color="auto"/>
            </w:tcBorders>
            <w:shd w:val="clear" w:color="auto" w:fill="auto"/>
            <w:noWrap/>
            <w:vAlign w:val="bottom"/>
            <w:hideMark/>
          </w:tcPr>
          <w:p w:rsidR="00506638" w:rsidRPr="002F0096" w:rsidRDefault="00506638" w:rsidP="00AD7D14">
            <w:pPr>
              <w:jc w:val="center"/>
              <w:rPr>
                <w:color w:val="000000"/>
              </w:rPr>
            </w:pPr>
            <w:r w:rsidRPr="002F0096">
              <w:rPr>
                <w:color w:val="000000"/>
              </w:rPr>
              <w:t># of Miles</w:t>
            </w:r>
          </w:p>
        </w:tc>
        <w:tc>
          <w:tcPr>
            <w:tcW w:w="1736" w:type="dxa"/>
            <w:tcBorders>
              <w:top w:val="nil"/>
              <w:left w:val="nil"/>
              <w:bottom w:val="single" w:sz="4" w:space="0" w:color="auto"/>
              <w:right w:val="single" w:sz="4" w:space="0" w:color="auto"/>
            </w:tcBorders>
            <w:shd w:val="clear" w:color="auto" w:fill="auto"/>
            <w:vAlign w:val="bottom"/>
            <w:hideMark/>
          </w:tcPr>
          <w:p w:rsidR="00506638" w:rsidRPr="002F0096" w:rsidRDefault="00506638" w:rsidP="00AD7D14">
            <w:pPr>
              <w:jc w:val="center"/>
              <w:rPr>
                <w:color w:val="000000"/>
              </w:rPr>
            </w:pPr>
            <w:r w:rsidRPr="002F0096">
              <w:rPr>
                <w:color w:val="000000"/>
              </w:rPr>
              <w:t>Reimbursement Cost  Per Mile</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506638" w:rsidRPr="002F0096" w:rsidRDefault="00506638" w:rsidP="00AD7D14">
            <w:pPr>
              <w:jc w:val="center"/>
              <w:rPr>
                <w:color w:val="000000"/>
              </w:rPr>
            </w:pPr>
            <w:r w:rsidRPr="002F0096">
              <w:rPr>
                <w:color w:val="000000"/>
              </w:rPr>
              <w:t>Total Reimbursement for mileage listed for one person</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506638" w:rsidRPr="002F0096" w:rsidRDefault="00506638" w:rsidP="00AD7D14">
            <w:pPr>
              <w:jc w:val="center"/>
              <w:rPr>
                <w:color w:val="000000"/>
              </w:rPr>
            </w:pPr>
            <w:r w:rsidRPr="002F0096">
              <w:rPr>
                <w:color w:val="000000"/>
              </w:rPr>
              <w:t>Totals</w:t>
            </w:r>
          </w:p>
        </w:tc>
      </w:tr>
      <w:tr w:rsidR="00506638" w:rsidRPr="002F0096" w:rsidTr="00AD7D1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506638" w:rsidRPr="00E810F5" w:rsidRDefault="00506638" w:rsidP="00AD7D14">
            <w:pPr>
              <w:jc w:val="center"/>
              <w:rPr>
                <w:color w:val="000000"/>
              </w:rPr>
            </w:pPr>
            <w:r w:rsidRPr="00E810F5">
              <w:rPr>
                <w:color w:val="000000"/>
              </w:rPr>
              <w:t>395</w:t>
            </w:r>
          </w:p>
        </w:tc>
        <w:tc>
          <w:tcPr>
            <w:tcW w:w="2020" w:type="dxa"/>
            <w:tcBorders>
              <w:top w:val="nil"/>
              <w:left w:val="nil"/>
              <w:bottom w:val="single" w:sz="4" w:space="0" w:color="auto"/>
              <w:right w:val="single" w:sz="4" w:space="0" w:color="auto"/>
            </w:tcBorders>
            <w:shd w:val="clear" w:color="auto" w:fill="auto"/>
            <w:noWrap/>
            <w:vAlign w:val="bottom"/>
            <w:hideMark/>
          </w:tcPr>
          <w:p w:rsidR="00506638" w:rsidRPr="002F0096" w:rsidRDefault="00506638" w:rsidP="00AD7D14">
            <w:pPr>
              <w:jc w:val="center"/>
              <w:rPr>
                <w:color w:val="000000"/>
              </w:rPr>
            </w:pPr>
            <w:r w:rsidRPr="002F0096">
              <w:rPr>
                <w:color w:val="000000"/>
              </w:rPr>
              <w:t>10</w:t>
            </w:r>
          </w:p>
        </w:tc>
        <w:tc>
          <w:tcPr>
            <w:tcW w:w="1736" w:type="dxa"/>
            <w:tcBorders>
              <w:top w:val="nil"/>
              <w:left w:val="nil"/>
              <w:bottom w:val="single" w:sz="4" w:space="0" w:color="auto"/>
              <w:right w:val="single" w:sz="4" w:space="0" w:color="auto"/>
            </w:tcBorders>
            <w:shd w:val="clear" w:color="auto" w:fill="auto"/>
            <w:noWrap/>
            <w:vAlign w:val="bottom"/>
            <w:hideMark/>
          </w:tcPr>
          <w:p w:rsidR="00506638" w:rsidRPr="002F0096" w:rsidRDefault="00506638" w:rsidP="00AD7D14">
            <w:pPr>
              <w:jc w:val="center"/>
              <w:rPr>
                <w:color w:val="000000"/>
              </w:rPr>
            </w:pPr>
            <w:r w:rsidRPr="002F0096">
              <w:rPr>
                <w:color w:val="000000"/>
              </w:rPr>
              <w:t>$0.56</w:t>
            </w:r>
          </w:p>
        </w:tc>
        <w:tc>
          <w:tcPr>
            <w:tcW w:w="1840" w:type="dxa"/>
            <w:tcBorders>
              <w:top w:val="nil"/>
              <w:left w:val="nil"/>
              <w:bottom w:val="single" w:sz="4" w:space="0" w:color="auto"/>
              <w:right w:val="single" w:sz="4" w:space="0" w:color="auto"/>
            </w:tcBorders>
            <w:shd w:val="clear" w:color="auto" w:fill="auto"/>
            <w:noWrap/>
            <w:vAlign w:val="bottom"/>
          </w:tcPr>
          <w:p w:rsidR="00506638" w:rsidRPr="002F0096" w:rsidRDefault="00506638" w:rsidP="00AD7D14">
            <w:pPr>
              <w:jc w:val="center"/>
              <w:rPr>
                <w:color w:val="000000"/>
              </w:rPr>
            </w:pPr>
            <w:r>
              <w:rPr>
                <w:color w:val="000000"/>
              </w:rPr>
              <w:t>$5.60</w:t>
            </w:r>
          </w:p>
        </w:tc>
        <w:tc>
          <w:tcPr>
            <w:tcW w:w="1440" w:type="dxa"/>
            <w:tcBorders>
              <w:top w:val="nil"/>
              <w:left w:val="nil"/>
              <w:bottom w:val="single" w:sz="4" w:space="0" w:color="auto"/>
              <w:right w:val="single" w:sz="4" w:space="0" w:color="auto"/>
            </w:tcBorders>
            <w:shd w:val="clear" w:color="auto" w:fill="auto"/>
            <w:vAlign w:val="center"/>
          </w:tcPr>
          <w:p w:rsidR="00506638" w:rsidRPr="00E810F5" w:rsidRDefault="00506638" w:rsidP="00AD7D14">
            <w:pPr>
              <w:jc w:val="center"/>
              <w:rPr>
                <w:color w:val="000000"/>
              </w:rPr>
            </w:pPr>
            <w:r w:rsidRPr="00E810F5">
              <w:rPr>
                <w:color w:val="000000"/>
              </w:rPr>
              <w:t xml:space="preserve">$2,212 </w:t>
            </w:r>
          </w:p>
        </w:tc>
      </w:tr>
      <w:tr w:rsidR="00506638" w:rsidRPr="002F0096" w:rsidTr="00AD7D1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506638" w:rsidRPr="00E810F5" w:rsidRDefault="00506638" w:rsidP="00AD7D14">
            <w:pPr>
              <w:jc w:val="center"/>
              <w:rPr>
                <w:color w:val="000000"/>
              </w:rPr>
            </w:pPr>
            <w:r w:rsidRPr="00E810F5">
              <w:rPr>
                <w:color w:val="000000"/>
              </w:rPr>
              <w:t>394</w:t>
            </w:r>
          </w:p>
        </w:tc>
        <w:tc>
          <w:tcPr>
            <w:tcW w:w="2020" w:type="dxa"/>
            <w:tcBorders>
              <w:top w:val="nil"/>
              <w:left w:val="nil"/>
              <w:bottom w:val="single" w:sz="4" w:space="0" w:color="auto"/>
              <w:right w:val="single" w:sz="4" w:space="0" w:color="auto"/>
            </w:tcBorders>
            <w:shd w:val="clear" w:color="auto" w:fill="auto"/>
            <w:noWrap/>
            <w:vAlign w:val="bottom"/>
            <w:hideMark/>
          </w:tcPr>
          <w:p w:rsidR="00506638" w:rsidRPr="002F0096" w:rsidRDefault="00506638" w:rsidP="00AD7D14">
            <w:pPr>
              <w:jc w:val="center"/>
              <w:rPr>
                <w:color w:val="000000"/>
              </w:rPr>
            </w:pPr>
            <w:r w:rsidRPr="002F0096">
              <w:rPr>
                <w:color w:val="000000"/>
              </w:rPr>
              <w:t>25</w:t>
            </w:r>
          </w:p>
        </w:tc>
        <w:tc>
          <w:tcPr>
            <w:tcW w:w="1736" w:type="dxa"/>
            <w:tcBorders>
              <w:top w:val="nil"/>
              <w:left w:val="nil"/>
              <w:bottom w:val="single" w:sz="4" w:space="0" w:color="auto"/>
              <w:right w:val="single" w:sz="4" w:space="0" w:color="auto"/>
            </w:tcBorders>
            <w:shd w:val="clear" w:color="auto" w:fill="auto"/>
            <w:noWrap/>
            <w:vAlign w:val="bottom"/>
            <w:hideMark/>
          </w:tcPr>
          <w:p w:rsidR="00506638" w:rsidRPr="002F0096" w:rsidRDefault="00506638" w:rsidP="00AD7D14">
            <w:pPr>
              <w:jc w:val="center"/>
              <w:rPr>
                <w:color w:val="000000"/>
              </w:rPr>
            </w:pPr>
            <w:r w:rsidRPr="002F0096">
              <w:rPr>
                <w:color w:val="000000"/>
              </w:rPr>
              <w:t>$0.56</w:t>
            </w:r>
          </w:p>
        </w:tc>
        <w:tc>
          <w:tcPr>
            <w:tcW w:w="1840" w:type="dxa"/>
            <w:tcBorders>
              <w:top w:val="nil"/>
              <w:left w:val="nil"/>
              <w:bottom w:val="single" w:sz="4" w:space="0" w:color="auto"/>
              <w:right w:val="single" w:sz="4" w:space="0" w:color="auto"/>
            </w:tcBorders>
            <w:shd w:val="clear" w:color="auto" w:fill="auto"/>
            <w:noWrap/>
            <w:vAlign w:val="bottom"/>
          </w:tcPr>
          <w:p w:rsidR="00506638" w:rsidRPr="002F0096" w:rsidRDefault="00506638" w:rsidP="00AD7D14">
            <w:pPr>
              <w:jc w:val="center"/>
              <w:rPr>
                <w:color w:val="000000"/>
              </w:rPr>
            </w:pPr>
            <w:r>
              <w:rPr>
                <w:color w:val="000000"/>
              </w:rPr>
              <w:t>$14.00</w:t>
            </w:r>
          </w:p>
        </w:tc>
        <w:tc>
          <w:tcPr>
            <w:tcW w:w="1440" w:type="dxa"/>
            <w:tcBorders>
              <w:top w:val="nil"/>
              <w:left w:val="nil"/>
              <w:bottom w:val="single" w:sz="4" w:space="0" w:color="auto"/>
              <w:right w:val="single" w:sz="4" w:space="0" w:color="auto"/>
            </w:tcBorders>
            <w:shd w:val="clear" w:color="auto" w:fill="auto"/>
            <w:vAlign w:val="center"/>
          </w:tcPr>
          <w:p w:rsidR="00506638" w:rsidRPr="00E810F5" w:rsidRDefault="00506638" w:rsidP="00AD7D14">
            <w:pPr>
              <w:jc w:val="center"/>
              <w:rPr>
                <w:color w:val="000000"/>
              </w:rPr>
            </w:pPr>
            <w:r w:rsidRPr="00E810F5">
              <w:rPr>
                <w:color w:val="000000"/>
              </w:rPr>
              <w:t xml:space="preserve">$5,516 </w:t>
            </w:r>
          </w:p>
        </w:tc>
      </w:tr>
      <w:tr w:rsidR="00506638" w:rsidRPr="002F0096" w:rsidTr="00AD7D1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506638" w:rsidRPr="00E810F5" w:rsidRDefault="00506638" w:rsidP="00AD7D14">
            <w:pPr>
              <w:jc w:val="center"/>
              <w:rPr>
                <w:color w:val="000000"/>
              </w:rPr>
            </w:pPr>
            <w:r w:rsidRPr="00E810F5">
              <w:rPr>
                <w:color w:val="000000"/>
              </w:rPr>
              <w:t>394</w:t>
            </w:r>
          </w:p>
        </w:tc>
        <w:tc>
          <w:tcPr>
            <w:tcW w:w="2020" w:type="dxa"/>
            <w:tcBorders>
              <w:top w:val="nil"/>
              <w:left w:val="nil"/>
              <w:bottom w:val="single" w:sz="4" w:space="0" w:color="auto"/>
              <w:right w:val="single" w:sz="4" w:space="0" w:color="auto"/>
            </w:tcBorders>
            <w:shd w:val="clear" w:color="auto" w:fill="auto"/>
            <w:noWrap/>
            <w:vAlign w:val="bottom"/>
            <w:hideMark/>
          </w:tcPr>
          <w:p w:rsidR="00506638" w:rsidRPr="002F0096" w:rsidRDefault="00506638" w:rsidP="00AD7D14">
            <w:pPr>
              <w:jc w:val="center"/>
              <w:rPr>
                <w:color w:val="000000"/>
              </w:rPr>
            </w:pPr>
            <w:r w:rsidRPr="002F0096">
              <w:rPr>
                <w:color w:val="000000"/>
              </w:rPr>
              <w:t>50</w:t>
            </w:r>
          </w:p>
        </w:tc>
        <w:tc>
          <w:tcPr>
            <w:tcW w:w="1736" w:type="dxa"/>
            <w:tcBorders>
              <w:top w:val="nil"/>
              <w:left w:val="nil"/>
              <w:bottom w:val="single" w:sz="4" w:space="0" w:color="auto"/>
              <w:right w:val="single" w:sz="4" w:space="0" w:color="auto"/>
            </w:tcBorders>
            <w:shd w:val="clear" w:color="auto" w:fill="auto"/>
            <w:noWrap/>
            <w:vAlign w:val="bottom"/>
            <w:hideMark/>
          </w:tcPr>
          <w:p w:rsidR="00506638" w:rsidRPr="002F0096" w:rsidRDefault="00506638" w:rsidP="00AD7D14">
            <w:pPr>
              <w:jc w:val="center"/>
              <w:rPr>
                <w:color w:val="000000"/>
              </w:rPr>
            </w:pPr>
            <w:r w:rsidRPr="002F0096">
              <w:rPr>
                <w:color w:val="000000"/>
              </w:rPr>
              <w:t>$0.56</w:t>
            </w:r>
          </w:p>
        </w:tc>
        <w:tc>
          <w:tcPr>
            <w:tcW w:w="1840" w:type="dxa"/>
            <w:tcBorders>
              <w:top w:val="nil"/>
              <w:left w:val="nil"/>
              <w:bottom w:val="single" w:sz="4" w:space="0" w:color="auto"/>
              <w:right w:val="single" w:sz="4" w:space="0" w:color="auto"/>
            </w:tcBorders>
            <w:shd w:val="clear" w:color="auto" w:fill="auto"/>
            <w:noWrap/>
            <w:vAlign w:val="bottom"/>
          </w:tcPr>
          <w:p w:rsidR="00506638" w:rsidRPr="002F0096" w:rsidRDefault="00506638" w:rsidP="00AD7D14">
            <w:pPr>
              <w:jc w:val="center"/>
              <w:rPr>
                <w:color w:val="000000"/>
              </w:rPr>
            </w:pPr>
            <w:r>
              <w:rPr>
                <w:color w:val="000000"/>
              </w:rPr>
              <w:t>$28.00</w:t>
            </w:r>
          </w:p>
        </w:tc>
        <w:tc>
          <w:tcPr>
            <w:tcW w:w="1440" w:type="dxa"/>
            <w:tcBorders>
              <w:top w:val="nil"/>
              <w:left w:val="nil"/>
              <w:bottom w:val="single" w:sz="4" w:space="0" w:color="auto"/>
              <w:right w:val="single" w:sz="4" w:space="0" w:color="auto"/>
            </w:tcBorders>
            <w:shd w:val="clear" w:color="auto" w:fill="auto"/>
            <w:vAlign w:val="center"/>
          </w:tcPr>
          <w:p w:rsidR="00506638" w:rsidRPr="00E810F5" w:rsidRDefault="00506638" w:rsidP="00AD7D14">
            <w:pPr>
              <w:jc w:val="center"/>
              <w:rPr>
                <w:color w:val="000000"/>
              </w:rPr>
            </w:pPr>
            <w:r w:rsidRPr="00E810F5">
              <w:rPr>
                <w:color w:val="000000"/>
              </w:rPr>
              <w:t xml:space="preserve">$11,032 </w:t>
            </w:r>
          </w:p>
        </w:tc>
      </w:tr>
      <w:tr w:rsidR="00506638" w:rsidRPr="002F0096" w:rsidTr="00AD7D14">
        <w:trPr>
          <w:trHeight w:val="300"/>
        </w:trPr>
        <w:tc>
          <w:tcPr>
            <w:tcW w:w="960" w:type="dxa"/>
            <w:tcBorders>
              <w:top w:val="nil"/>
              <w:left w:val="nil"/>
              <w:bottom w:val="nil"/>
              <w:right w:val="nil"/>
            </w:tcBorders>
            <w:shd w:val="clear" w:color="auto" w:fill="auto"/>
            <w:noWrap/>
            <w:vAlign w:val="bottom"/>
            <w:hideMark/>
          </w:tcPr>
          <w:p w:rsidR="00506638" w:rsidRPr="002F0096" w:rsidRDefault="00506638" w:rsidP="00AD7D14">
            <w:pPr>
              <w:rPr>
                <w:color w:val="000000"/>
              </w:rPr>
            </w:pPr>
          </w:p>
        </w:tc>
        <w:tc>
          <w:tcPr>
            <w:tcW w:w="2020" w:type="dxa"/>
            <w:tcBorders>
              <w:top w:val="nil"/>
              <w:left w:val="nil"/>
              <w:bottom w:val="nil"/>
              <w:right w:val="nil"/>
            </w:tcBorders>
            <w:shd w:val="clear" w:color="auto" w:fill="auto"/>
            <w:noWrap/>
            <w:vAlign w:val="bottom"/>
            <w:hideMark/>
          </w:tcPr>
          <w:p w:rsidR="00506638" w:rsidRPr="002F0096" w:rsidRDefault="00506638" w:rsidP="00AD7D14">
            <w:pPr>
              <w:rPr>
                <w:color w:val="000000"/>
              </w:rPr>
            </w:pPr>
          </w:p>
        </w:tc>
        <w:tc>
          <w:tcPr>
            <w:tcW w:w="1736" w:type="dxa"/>
            <w:tcBorders>
              <w:top w:val="nil"/>
              <w:left w:val="nil"/>
              <w:bottom w:val="nil"/>
              <w:right w:val="nil"/>
            </w:tcBorders>
            <w:shd w:val="clear" w:color="auto" w:fill="auto"/>
            <w:noWrap/>
            <w:vAlign w:val="bottom"/>
            <w:hideMark/>
          </w:tcPr>
          <w:p w:rsidR="00506638" w:rsidRPr="002F0096" w:rsidRDefault="00506638" w:rsidP="00AD7D14">
            <w:pPr>
              <w:rPr>
                <w:color w:val="000000"/>
              </w:rPr>
            </w:pPr>
          </w:p>
        </w:tc>
        <w:tc>
          <w:tcPr>
            <w:tcW w:w="1840" w:type="dxa"/>
            <w:tcBorders>
              <w:top w:val="nil"/>
              <w:left w:val="nil"/>
              <w:bottom w:val="nil"/>
              <w:right w:val="nil"/>
            </w:tcBorders>
            <w:shd w:val="clear" w:color="auto" w:fill="auto"/>
            <w:noWrap/>
            <w:vAlign w:val="bottom"/>
            <w:hideMark/>
          </w:tcPr>
          <w:p w:rsidR="00506638" w:rsidRPr="002F0096" w:rsidRDefault="00506638" w:rsidP="00AD7D14">
            <w:pPr>
              <w:rPr>
                <w:color w:val="000000"/>
              </w:rPr>
            </w:pP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506638" w:rsidRPr="002F0096" w:rsidRDefault="00506638" w:rsidP="00AD7D14">
            <w:pPr>
              <w:jc w:val="center"/>
              <w:rPr>
                <w:b/>
                <w:color w:val="000000"/>
              </w:rPr>
            </w:pPr>
            <w:r>
              <w:rPr>
                <w:b/>
                <w:color w:val="000000"/>
              </w:rPr>
              <w:t>$18,760</w:t>
            </w:r>
          </w:p>
        </w:tc>
      </w:tr>
    </w:tbl>
    <w:p w:rsidR="00506638" w:rsidRDefault="00506638" w:rsidP="00506638"/>
    <w:p w:rsidR="00506638" w:rsidRDefault="00506638" w:rsidP="00506638">
      <w:r>
        <w:t xml:space="preserve">The estimated grand total cost for all respondents is $38, 830 (680 + 19,390 + 18,760).  </w:t>
      </w:r>
    </w:p>
    <w:p w:rsidR="00506638" w:rsidRDefault="00506638" w:rsidP="00506638"/>
    <w:p w:rsidR="00506638" w:rsidRDefault="00506638" w:rsidP="00506638">
      <w:r w:rsidRPr="00775C77">
        <w:t xml:space="preserve">There is no consular fee associated with this service.  </w:t>
      </w:r>
    </w:p>
    <w:p w:rsidR="00506638" w:rsidRDefault="00506638" w:rsidP="00506638">
      <w:pPr>
        <w:spacing w:after="120"/>
        <w:contextualSpacing/>
      </w:pPr>
      <w:r>
        <w:rPr>
          <w:b/>
        </w:rPr>
        <w:tab/>
      </w:r>
      <w:r>
        <w:rPr>
          <w:b/>
        </w:rPr>
        <w:tab/>
      </w:r>
      <w:r>
        <w:rPr>
          <w:b/>
        </w:rPr>
        <w:tab/>
      </w:r>
      <w:r>
        <w:rPr>
          <w:b/>
        </w:rPr>
        <w:tab/>
      </w:r>
      <w:r>
        <w:rPr>
          <w:b/>
        </w:rPr>
        <w:tab/>
      </w:r>
      <w:r>
        <w:rPr>
          <w:b/>
        </w:rPr>
        <w:tab/>
      </w:r>
      <w:r>
        <w:rPr>
          <w:b/>
        </w:rPr>
        <w:tab/>
      </w:r>
      <w:r>
        <w:rPr>
          <w:b/>
        </w:rPr>
        <w:tab/>
      </w:r>
      <w:r>
        <w:rPr>
          <w:b/>
        </w:rPr>
        <w:tab/>
        <w:t xml:space="preserve">                                </w:t>
      </w:r>
      <w:r w:rsidRPr="00775C77">
        <w:rPr>
          <w:b/>
        </w:rPr>
        <w:t>14</w:t>
      </w:r>
      <w:r w:rsidRPr="00775C77">
        <w:rPr>
          <w:b/>
          <w:i/>
        </w:rPr>
        <w:t>.</w:t>
      </w:r>
      <w:r w:rsidRPr="00CE4953">
        <w:rPr>
          <w:b/>
        </w:rPr>
        <w:t xml:space="preserve"> </w:t>
      </w:r>
      <w:r>
        <w:t xml:space="preserve">The projected annual cost to the federal government is as follows: for Calendar Year (CY) CY 2016, 1,326 applicants x $135 x .25 hours per application is $44,753; CY 2017, 1,443 applicants x $135 x .25 hours per applications is $48,701; CY 2018, 1,429 applicants x $135 x .25 hours per applications is $48,229.  Averaged over the three years, the cost is $47,228.  The hourly rate for Consular Officer </w:t>
      </w:r>
      <w:proofErr w:type="gramStart"/>
      <w:r>
        <w:t>time</w:t>
      </w:r>
      <w:proofErr w:type="gramEnd"/>
      <w:r>
        <w:t xml:space="preserve"> ($135/hour) is used because the forms are processed by overseas Foreign Service Officers at embassies and consulates overseas.  </w:t>
      </w:r>
    </w:p>
    <w:p w:rsidR="00506638" w:rsidRDefault="00506638" w:rsidP="00506638">
      <w:pPr>
        <w:spacing w:after="120"/>
        <w:contextualSpacing/>
      </w:pPr>
      <w:r w:rsidRPr="00775C77">
        <w:rPr>
          <w:b/>
          <w:i/>
        </w:rPr>
        <w:t xml:space="preserve"> </w:t>
      </w:r>
    </w:p>
    <w:p w:rsidR="00506638" w:rsidRDefault="00506638" w:rsidP="00506638">
      <w:r w:rsidRPr="00775C77">
        <w:rPr>
          <w:b/>
        </w:rPr>
        <w:lastRenderedPageBreak/>
        <w:t>15</w:t>
      </w:r>
      <w:r w:rsidRPr="00775C77">
        <w:rPr>
          <w:b/>
          <w:i/>
        </w:rPr>
        <w:t xml:space="preserve">. </w:t>
      </w:r>
      <w:r>
        <w:rPr>
          <w:b/>
          <w:i/>
        </w:rPr>
        <w:t xml:space="preserve"> </w:t>
      </w:r>
      <w:r w:rsidRPr="00775C77">
        <w:t xml:space="preserve">The number of respondents varies from year to year depending on the number of citizens in need.  </w:t>
      </w:r>
      <w:r>
        <w:t xml:space="preserve">Major events that occur during any fiscal year can drastically enlarge the average number of responses received across all U.S. posts abroad.  The higher burden hour numbers correspond to an increase in respondents. </w:t>
      </w:r>
    </w:p>
    <w:p w:rsidR="00506638" w:rsidRDefault="00506638" w:rsidP="00506638"/>
    <w:p w:rsidR="00506638" w:rsidRPr="00B43290" w:rsidRDefault="00506638" w:rsidP="00506638">
      <w:pPr>
        <w:spacing w:after="240"/>
        <w:rPr>
          <w:b/>
        </w:rPr>
      </w:pPr>
      <w:r w:rsidRPr="00775C77">
        <w:rPr>
          <w:b/>
        </w:rPr>
        <w:t>16</w:t>
      </w:r>
      <w:r w:rsidRPr="00775C77">
        <w:rPr>
          <w:b/>
          <w:i/>
        </w:rPr>
        <w:t xml:space="preserve">.  </w:t>
      </w:r>
      <w:r w:rsidRPr="00775C77">
        <w:t>General tabula</w:t>
      </w:r>
      <w:r>
        <w:t>tions of information regarding a</w:t>
      </w:r>
      <w:r w:rsidRPr="00775C77">
        <w:t>pplication</w:t>
      </w:r>
      <w:r>
        <w:t>s</w:t>
      </w:r>
      <w:r w:rsidRPr="00775C77">
        <w:t xml:space="preserve"> for </w:t>
      </w:r>
      <w:r>
        <w:t xml:space="preserve">Repatriation and EMDA loans </w:t>
      </w:r>
      <w:r w:rsidRPr="00775C77">
        <w:t xml:space="preserve">are maintained in the “Consular Package,” the Consular Workload Statistical System (CWSS) system. </w:t>
      </w:r>
      <w:r>
        <w:t xml:space="preserve"> </w:t>
      </w:r>
      <w:r w:rsidRPr="00775C77">
        <w:t xml:space="preserve">This contains raw data broken down by the Foreign Service post issuing the report.  Until the debt is paid in full, records of emergency </w:t>
      </w:r>
      <w:r>
        <w:t xml:space="preserve">repatriation and EMDA </w:t>
      </w:r>
      <w:r w:rsidRPr="00775C77">
        <w:t xml:space="preserve">loans are maintained in the files of the Department of State, Passport Services, filed alphabetically by the name of the subject, the automated case record system of the Office of </w:t>
      </w:r>
      <w:r>
        <w:t>American Citizens Services and C</w:t>
      </w:r>
      <w:r w:rsidRPr="00775C77">
        <w:t>risis Management</w:t>
      </w:r>
      <w:r>
        <w:t>,</w:t>
      </w:r>
      <w:r w:rsidRPr="00775C77">
        <w:t xml:space="preserve"> and the Bureau</w:t>
      </w:r>
      <w:r>
        <w:t xml:space="preserve"> of the Comptroller and Global Financial Services</w:t>
      </w:r>
      <w:r w:rsidRPr="00775C77">
        <w:t xml:space="preserve">, Accounts Receivable </w:t>
      </w:r>
      <w:r>
        <w:t>Branch</w:t>
      </w:r>
      <w:r w:rsidRPr="00775C77">
        <w:t>.</w:t>
      </w:r>
    </w:p>
    <w:p w:rsidR="00506638" w:rsidRPr="00775C77" w:rsidRDefault="00506638" w:rsidP="00506638">
      <w:pPr>
        <w:spacing w:after="240"/>
      </w:pPr>
      <w:r w:rsidRPr="00775C77">
        <w:rPr>
          <w:b/>
        </w:rPr>
        <w:t>17</w:t>
      </w:r>
      <w:r w:rsidRPr="00775C77">
        <w:rPr>
          <w:b/>
          <w:i/>
        </w:rPr>
        <w:t xml:space="preserve">.  </w:t>
      </w:r>
      <w:r>
        <w:t>T</w:t>
      </w:r>
      <w:r w:rsidRPr="00775C77">
        <w:t xml:space="preserve">he </w:t>
      </w:r>
      <w:r>
        <w:t xml:space="preserve">OMB </w:t>
      </w:r>
      <w:r w:rsidRPr="00775C77">
        <w:t>expiration date will be displayed.</w:t>
      </w:r>
    </w:p>
    <w:p w:rsidR="00506638" w:rsidRPr="00775C77" w:rsidRDefault="00506638" w:rsidP="00506638">
      <w:pPr>
        <w:spacing w:after="240"/>
      </w:pPr>
      <w:r w:rsidRPr="00775C77">
        <w:rPr>
          <w:b/>
        </w:rPr>
        <w:t>18</w:t>
      </w:r>
      <w:r w:rsidRPr="00775C77">
        <w:rPr>
          <w:b/>
          <w:i/>
        </w:rPr>
        <w:t xml:space="preserve">.  </w:t>
      </w:r>
      <w:r w:rsidRPr="00775C77">
        <w:t>No exceptions are requested.</w:t>
      </w:r>
    </w:p>
    <w:p w:rsidR="00506638" w:rsidRPr="00775C77" w:rsidRDefault="00506638" w:rsidP="00506638">
      <w:pPr>
        <w:pStyle w:val="Heading2"/>
        <w:snapToGrid/>
        <w:spacing w:before="0" w:after="240"/>
        <w:rPr>
          <w:rFonts w:eastAsia="Times New Roman"/>
          <w:bCs/>
          <w:szCs w:val="24"/>
        </w:rPr>
      </w:pPr>
      <w:r w:rsidRPr="00775C77">
        <w:rPr>
          <w:rFonts w:eastAsia="Times New Roman"/>
          <w:bCs/>
          <w:szCs w:val="24"/>
        </w:rPr>
        <w:t>B.  STATISTICAL METHODS</w:t>
      </w:r>
    </w:p>
    <w:p w:rsidR="00506638" w:rsidRPr="00775C77" w:rsidRDefault="00506638" w:rsidP="00506638">
      <w:r w:rsidRPr="00775C77">
        <w:t>This collection does not employ statistical methods.</w:t>
      </w:r>
    </w:p>
    <w:p w:rsidR="00506638" w:rsidRPr="004D2891" w:rsidRDefault="00506638" w:rsidP="00506638"/>
    <w:p w:rsidR="00506638" w:rsidRPr="004D2891" w:rsidRDefault="00506638" w:rsidP="00506638"/>
    <w:p w:rsidR="000842FF" w:rsidRDefault="000842FF">
      <w:bookmarkStart w:id="2" w:name="_GoBack"/>
      <w:bookmarkEnd w:id="2"/>
    </w:p>
    <w:sectPr w:rsidR="000842FF" w:rsidSect="009566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38"/>
    <w:rsid w:val="000842FF"/>
    <w:rsid w:val="00506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6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06638"/>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6638"/>
    <w:rPr>
      <w:rFonts w:ascii="Times New Roman" w:eastAsia="Arial Unicode MS" w:hAnsi="Times New Roman" w:cs="Times New Roman"/>
      <w:b/>
      <w:sz w:val="24"/>
      <w:szCs w:val="20"/>
    </w:rPr>
  </w:style>
  <w:style w:type="paragraph" w:styleId="BodyText2">
    <w:name w:val="Body Text 2"/>
    <w:basedOn w:val="Normal"/>
    <w:link w:val="BodyText2Char"/>
    <w:rsid w:val="00506638"/>
    <w:rPr>
      <w:rFonts w:ascii="Courier New" w:hAnsi="Courier New" w:cs="Courier New"/>
      <w:b/>
      <w:i/>
      <w:sz w:val="20"/>
    </w:rPr>
  </w:style>
  <w:style w:type="character" w:customStyle="1" w:styleId="BodyText2Char">
    <w:name w:val="Body Text 2 Char"/>
    <w:basedOn w:val="DefaultParagraphFont"/>
    <w:link w:val="BodyText2"/>
    <w:rsid w:val="00506638"/>
    <w:rPr>
      <w:rFonts w:ascii="Courier New" w:eastAsia="Times New Roman" w:hAnsi="Courier New" w:cs="Courier New"/>
      <w:b/>
      <w:i/>
      <w:sz w:val="20"/>
      <w:szCs w:val="24"/>
    </w:rPr>
  </w:style>
  <w:style w:type="character" w:styleId="Hyperlink">
    <w:name w:val="Hyperlink"/>
    <w:basedOn w:val="DefaultParagraphFont"/>
    <w:rsid w:val="00506638"/>
    <w:rPr>
      <w:color w:val="0000FF"/>
      <w:u w:val="single"/>
    </w:rPr>
  </w:style>
  <w:style w:type="character" w:customStyle="1" w:styleId="ptext-1">
    <w:name w:val="ptext-1"/>
    <w:basedOn w:val="DefaultParagraphFont"/>
    <w:rsid w:val="00506638"/>
    <w:rPr>
      <w:b w:val="0"/>
      <w:bCs w:val="0"/>
    </w:rPr>
  </w:style>
  <w:style w:type="character" w:customStyle="1" w:styleId="ptext-3">
    <w:name w:val="ptext-3"/>
    <w:basedOn w:val="DefaultParagraphFont"/>
    <w:rsid w:val="00506638"/>
    <w:rPr>
      <w:b w:val="0"/>
      <w:bCs w:val="0"/>
    </w:rPr>
  </w:style>
  <w:style w:type="character" w:customStyle="1" w:styleId="ptext-4">
    <w:name w:val="ptext-4"/>
    <w:basedOn w:val="DefaultParagraphFont"/>
    <w:rsid w:val="00506638"/>
    <w:rPr>
      <w:b w:val="0"/>
      <w:bCs w:val="0"/>
    </w:rPr>
  </w:style>
  <w:style w:type="character" w:styleId="CommentReference">
    <w:name w:val="annotation reference"/>
    <w:basedOn w:val="DefaultParagraphFont"/>
    <w:semiHidden/>
    <w:rsid w:val="00506638"/>
    <w:rPr>
      <w:sz w:val="16"/>
      <w:szCs w:val="16"/>
    </w:rPr>
  </w:style>
  <w:style w:type="paragraph" w:styleId="ListParagraph">
    <w:name w:val="List Paragraph"/>
    <w:basedOn w:val="Normal"/>
    <w:uiPriority w:val="34"/>
    <w:qFormat/>
    <w:rsid w:val="00506638"/>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6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06638"/>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6638"/>
    <w:rPr>
      <w:rFonts w:ascii="Times New Roman" w:eastAsia="Arial Unicode MS" w:hAnsi="Times New Roman" w:cs="Times New Roman"/>
      <w:b/>
      <w:sz w:val="24"/>
      <w:szCs w:val="20"/>
    </w:rPr>
  </w:style>
  <w:style w:type="paragraph" w:styleId="BodyText2">
    <w:name w:val="Body Text 2"/>
    <w:basedOn w:val="Normal"/>
    <w:link w:val="BodyText2Char"/>
    <w:rsid w:val="00506638"/>
    <w:rPr>
      <w:rFonts w:ascii="Courier New" w:hAnsi="Courier New" w:cs="Courier New"/>
      <w:b/>
      <w:i/>
      <w:sz w:val="20"/>
    </w:rPr>
  </w:style>
  <w:style w:type="character" w:customStyle="1" w:styleId="BodyText2Char">
    <w:name w:val="Body Text 2 Char"/>
    <w:basedOn w:val="DefaultParagraphFont"/>
    <w:link w:val="BodyText2"/>
    <w:rsid w:val="00506638"/>
    <w:rPr>
      <w:rFonts w:ascii="Courier New" w:eastAsia="Times New Roman" w:hAnsi="Courier New" w:cs="Courier New"/>
      <w:b/>
      <w:i/>
      <w:sz w:val="20"/>
      <w:szCs w:val="24"/>
    </w:rPr>
  </w:style>
  <w:style w:type="character" w:styleId="Hyperlink">
    <w:name w:val="Hyperlink"/>
    <w:basedOn w:val="DefaultParagraphFont"/>
    <w:rsid w:val="00506638"/>
    <w:rPr>
      <w:color w:val="0000FF"/>
      <w:u w:val="single"/>
    </w:rPr>
  </w:style>
  <w:style w:type="character" w:customStyle="1" w:styleId="ptext-1">
    <w:name w:val="ptext-1"/>
    <w:basedOn w:val="DefaultParagraphFont"/>
    <w:rsid w:val="00506638"/>
    <w:rPr>
      <w:b w:val="0"/>
      <w:bCs w:val="0"/>
    </w:rPr>
  </w:style>
  <w:style w:type="character" w:customStyle="1" w:styleId="ptext-3">
    <w:name w:val="ptext-3"/>
    <w:basedOn w:val="DefaultParagraphFont"/>
    <w:rsid w:val="00506638"/>
    <w:rPr>
      <w:b w:val="0"/>
      <w:bCs w:val="0"/>
    </w:rPr>
  </w:style>
  <w:style w:type="character" w:customStyle="1" w:styleId="ptext-4">
    <w:name w:val="ptext-4"/>
    <w:basedOn w:val="DefaultParagraphFont"/>
    <w:rsid w:val="00506638"/>
    <w:rPr>
      <w:b w:val="0"/>
      <w:bCs w:val="0"/>
    </w:rPr>
  </w:style>
  <w:style w:type="character" w:styleId="CommentReference">
    <w:name w:val="annotation reference"/>
    <w:basedOn w:val="DefaultParagraphFont"/>
    <w:semiHidden/>
    <w:rsid w:val="00506638"/>
    <w:rPr>
      <w:sz w:val="16"/>
      <w:szCs w:val="16"/>
    </w:rPr>
  </w:style>
  <w:style w:type="paragraph" w:styleId="ListParagraph">
    <w:name w:val="List Paragraph"/>
    <w:basedOn w:val="Normal"/>
    <w:uiPriority w:val="34"/>
    <w:qFormat/>
    <w:rsid w:val="00506638"/>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22/2671" TargetMode="External"/><Relationship Id="rId3" Type="http://schemas.openxmlformats.org/officeDocument/2006/relationships/settings" Target="settings.xml"/><Relationship Id="rId7" Type="http://schemas.openxmlformats.org/officeDocument/2006/relationships/hyperlink" Target="https://www.law.cornell.edu/uscode/text/22/267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law.cornell.edu/uscode/text/22/2671" TargetMode="External"/><Relationship Id="rId5" Type="http://schemas.openxmlformats.org/officeDocument/2006/relationships/hyperlink" Target="https://www.law.cornell.edu/uscode/text/22/267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1</cp:revision>
  <dcterms:created xsi:type="dcterms:W3CDTF">2017-06-28T16:29:00Z</dcterms:created>
  <dcterms:modified xsi:type="dcterms:W3CDTF">2017-06-28T16:31:00Z</dcterms:modified>
</cp:coreProperties>
</file>