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48" w:rsidRPr="00F87A66" w:rsidRDefault="009E3D48" w:rsidP="009E3D48">
      <w:pPr>
        <w:jc w:val="center"/>
        <w:rPr>
          <w:rFonts w:asciiTheme="minorHAnsi" w:hAnsiTheme="minorHAnsi"/>
          <w:b/>
          <w:bCs/>
          <w:sz w:val="22"/>
        </w:rPr>
      </w:pPr>
      <w:bookmarkStart w:id="0" w:name="_GoBack"/>
      <w:bookmarkEnd w:id="0"/>
      <w:r w:rsidRPr="00F87A66">
        <w:rPr>
          <w:rFonts w:asciiTheme="minorHAnsi" w:hAnsiTheme="minorHAnsi"/>
          <w:b/>
          <w:bCs/>
          <w:sz w:val="22"/>
        </w:rPr>
        <w:t>SUPPORTING STATEMENT</w:t>
      </w:r>
    </w:p>
    <w:p w:rsidR="00A24315" w:rsidRDefault="00A24315" w:rsidP="009E3D48">
      <w:pPr>
        <w:jc w:val="center"/>
        <w:rPr>
          <w:rFonts w:asciiTheme="minorHAnsi" w:hAnsiTheme="minorHAnsi"/>
          <w:b/>
          <w:bCs/>
          <w:sz w:val="22"/>
        </w:rPr>
      </w:pPr>
      <w:r w:rsidRPr="00F87A66">
        <w:rPr>
          <w:rFonts w:asciiTheme="minorHAnsi" w:hAnsiTheme="minorHAnsi"/>
          <w:b/>
          <w:bCs/>
          <w:sz w:val="22"/>
        </w:rPr>
        <w:t>Internal Revenue Service (IRS)</w:t>
      </w:r>
    </w:p>
    <w:p w:rsidR="00EF6EB3" w:rsidRDefault="00EF6EB3" w:rsidP="009E3D48">
      <w:pPr>
        <w:jc w:val="center"/>
        <w:rPr>
          <w:rFonts w:asciiTheme="minorHAnsi" w:hAnsiTheme="minorHAnsi"/>
          <w:b/>
          <w:bCs/>
          <w:sz w:val="22"/>
        </w:rPr>
      </w:pPr>
      <w:r w:rsidRPr="00EF6EB3">
        <w:rPr>
          <w:rFonts w:asciiTheme="minorHAnsi" w:hAnsiTheme="minorHAnsi"/>
          <w:b/>
          <w:bCs/>
          <w:sz w:val="22"/>
        </w:rPr>
        <w:t>Reverse Like-kind Exchanges</w:t>
      </w:r>
    </w:p>
    <w:p w:rsidR="00F13210" w:rsidRPr="00F13210" w:rsidRDefault="00F13210" w:rsidP="00F13210">
      <w:pPr>
        <w:jc w:val="center"/>
        <w:rPr>
          <w:rFonts w:asciiTheme="minorHAnsi" w:hAnsiTheme="minorHAnsi"/>
          <w:b/>
          <w:bCs/>
          <w:sz w:val="22"/>
        </w:rPr>
      </w:pPr>
      <w:r w:rsidRPr="00F13210">
        <w:rPr>
          <w:rFonts w:asciiTheme="minorHAnsi" w:hAnsiTheme="minorHAnsi"/>
          <w:b/>
          <w:bCs/>
          <w:sz w:val="22"/>
        </w:rPr>
        <w:t>Revenue Procedure 2000-37</w:t>
      </w:r>
    </w:p>
    <w:p w:rsidR="00182BE3" w:rsidRDefault="00F13210" w:rsidP="00F13210">
      <w:pPr>
        <w:jc w:val="center"/>
        <w:rPr>
          <w:rFonts w:asciiTheme="minorHAnsi" w:hAnsiTheme="minorHAnsi"/>
          <w:b/>
          <w:bCs/>
          <w:sz w:val="22"/>
        </w:rPr>
      </w:pPr>
      <w:r>
        <w:rPr>
          <w:rFonts w:asciiTheme="minorHAnsi" w:hAnsiTheme="minorHAnsi"/>
          <w:b/>
          <w:bCs/>
          <w:sz w:val="22"/>
        </w:rPr>
        <w:t>(</w:t>
      </w:r>
      <w:r w:rsidRPr="00F13210">
        <w:rPr>
          <w:rFonts w:asciiTheme="minorHAnsi" w:hAnsiTheme="minorHAnsi"/>
          <w:b/>
          <w:bCs/>
          <w:sz w:val="22"/>
        </w:rPr>
        <w:t>as modified by RP 2004-51)</w:t>
      </w:r>
      <w:r w:rsidR="008A247E" w:rsidRPr="008A247E">
        <w:rPr>
          <w:rFonts w:asciiTheme="minorHAnsi" w:hAnsiTheme="minorHAnsi"/>
          <w:b/>
          <w:bCs/>
          <w:sz w:val="22"/>
        </w:rPr>
        <w:t xml:space="preserve"> </w:t>
      </w:r>
    </w:p>
    <w:p w:rsidR="00F87A66" w:rsidRPr="00F87A66" w:rsidRDefault="00F87A66" w:rsidP="009E3D48">
      <w:pPr>
        <w:jc w:val="center"/>
        <w:rPr>
          <w:rFonts w:asciiTheme="minorHAnsi" w:hAnsiTheme="minorHAnsi"/>
          <w:b/>
          <w:bCs/>
          <w:sz w:val="22"/>
        </w:rPr>
      </w:pPr>
      <w:r>
        <w:rPr>
          <w:rFonts w:asciiTheme="minorHAnsi" w:hAnsiTheme="minorHAnsi"/>
          <w:b/>
          <w:bCs/>
          <w:sz w:val="22"/>
        </w:rPr>
        <w:t>OMB Control Number 1545-</w:t>
      </w:r>
      <w:r w:rsidR="008A247E">
        <w:rPr>
          <w:rFonts w:asciiTheme="minorHAnsi" w:hAnsiTheme="minorHAnsi"/>
          <w:b/>
          <w:bCs/>
          <w:sz w:val="22"/>
        </w:rPr>
        <w:t>1</w:t>
      </w:r>
      <w:r w:rsidR="00F13210">
        <w:rPr>
          <w:rFonts w:asciiTheme="minorHAnsi" w:hAnsiTheme="minorHAnsi"/>
          <w:b/>
          <w:bCs/>
          <w:sz w:val="22"/>
        </w:rPr>
        <w:t>701</w:t>
      </w:r>
    </w:p>
    <w:p w:rsidR="009E3D48" w:rsidRPr="00DC1585" w:rsidRDefault="009E3D48" w:rsidP="009E3D48">
      <w:pPr>
        <w:rPr>
          <w:rFonts w:asciiTheme="minorHAnsi" w:hAnsiTheme="minorHAnsi"/>
          <w:b/>
          <w:bCs/>
          <w:sz w:val="22"/>
          <w:u w:val="single"/>
        </w:rPr>
      </w:pPr>
    </w:p>
    <w:p w:rsidR="009E3D48" w:rsidRDefault="009E3D48" w:rsidP="009E3D48">
      <w:pPr>
        <w:pStyle w:val="ListParagraph"/>
        <w:numPr>
          <w:ilvl w:val="0"/>
          <w:numId w:val="1"/>
        </w:numPr>
        <w:tabs>
          <w:tab w:val="left" w:pos="540"/>
        </w:tabs>
        <w:ind w:left="540" w:hanging="540"/>
        <w:rPr>
          <w:rFonts w:asciiTheme="minorHAnsi" w:hAnsiTheme="minorHAnsi"/>
          <w:b/>
          <w:sz w:val="22"/>
          <w:u w:val="single"/>
        </w:rPr>
      </w:pPr>
      <w:r w:rsidRPr="001D050E">
        <w:rPr>
          <w:rFonts w:asciiTheme="minorHAnsi" w:hAnsiTheme="minorHAnsi"/>
          <w:b/>
          <w:sz w:val="22"/>
          <w:u w:val="single"/>
        </w:rPr>
        <w:t>CIR</w:t>
      </w:r>
      <w:r w:rsidRPr="00DC1585">
        <w:rPr>
          <w:rFonts w:asciiTheme="minorHAnsi" w:hAnsiTheme="minorHAnsi"/>
          <w:b/>
          <w:sz w:val="22"/>
          <w:u w:val="single"/>
        </w:rPr>
        <w:t xml:space="preserve">CUMSTANCES NECESSITATING COLLECTION OF INFORMATION </w:t>
      </w:r>
    </w:p>
    <w:p w:rsidR="00197CEF" w:rsidRPr="00197CEF" w:rsidRDefault="00197CEF" w:rsidP="00197CEF">
      <w:pPr>
        <w:ind w:left="648" w:right="-72" w:hanging="720"/>
        <w:rPr>
          <w:rFonts w:asciiTheme="minorHAnsi" w:hAnsiTheme="minorHAnsi"/>
          <w:b/>
          <w:sz w:val="22"/>
          <w:u w:val="single"/>
        </w:rPr>
      </w:pPr>
      <w:r>
        <w:rPr>
          <w:rFonts w:ascii="Courier" w:hAnsi="Courier" w:cs="Courier"/>
        </w:rPr>
        <w:t xml:space="preserve">    </w:t>
      </w:r>
      <w:r>
        <w:rPr>
          <w:rFonts w:asciiTheme="minorHAnsi" w:hAnsiTheme="minorHAnsi"/>
          <w:b/>
          <w:sz w:val="22"/>
          <w:u w:val="single"/>
        </w:rPr>
        <w:t xml:space="preserve">  </w:t>
      </w:r>
    </w:p>
    <w:p w:rsidR="00F13210" w:rsidRPr="00F13210" w:rsidRDefault="00F13210" w:rsidP="00F13210">
      <w:pPr>
        <w:pStyle w:val="Default"/>
        <w:tabs>
          <w:tab w:val="left" w:pos="540"/>
          <w:tab w:val="left" w:pos="720"/>
        </w:tabs>
        <w:ind w:left="540"/>
        <w:rPr>
          <w:rFonts w:asciiTheme="minorHAnsi" w:hAnsiTheme="minorHAnsi"/>
          <w:sz w:val="22"/>
        </w:rPr>
      </w:pPr>
      <w:bookmarkStart w:id="1" w:name="_Hlk3889996"/>
      <w:r w:rsidRPr="00F13210">
        <w:rPr>
          <w:rFonts w:asciiTheme="minorHAnsi" w:hAnsiTheme="minorHAnsi"/>
          <w:sz w:val="22"/>
        </w:rPr>
        <w:t xml:space="preserve">On April 25, 1991, the Treasury Department and the Service promulgated final regulations under §1.1031(k) 1 providing rules for deferred like-kind exchanges under §1031(a)(3).  The preamble to the final regulations states that the deferred exchange rules under § 1031(a)(3) do not apply to reverse-Starker exchanges and consequently that the final regulations do not apply to such exchanges.  T.D. 8346, 1991 1 C.B. 150, 151; see Starker v. United States, 602 F.2d 1341 (9th Cir. 1979).  However, the preamble indicates that Treasury and the Service will continue to study the applicability of the general rule of §1031(a)(1) to these transactions.  T.D. 8346, 1991-1 C.B. 150, 151. </w:t>
      </w:r>
    </w:p>
    <w:p w:rsidR="00F13210" w:rsidRPr="00F13210" w:rsidRDefault="00F13210" w:rsidP="00F13210">
      <w:pPr>
        <w:pStyle w:val="Default"/>
        <w:tabs>
          <w:tab w:val="left" w:pos="540"/>
          <w:tab w:val="left" w:pos="720"/>
        </w:tabs>
        <w:ind w:left="540"/>
        <w:rPr>
          <w:rFonts w:asciiTheme="minorHAnsi" w:hAnsiTheme="minorHAnsi"/>
          <w:sz w:val="22"/>
        </w:rPr>
      </w:pPr>
    </w:p>
    <w:p w:rsidR="00F13210" w:rsidRPr="00F13210" w:rsidRDefault="00F13210" w:rsidP="00F13210">
      <w:pPr>
        <w:pStyle w:val="Default"/>
        <w:tabs>
          <w:tab w:val="left" w:pos="540"/>
          <w:tab w:val="left" w:pos="720"/>
        </w:tabs>
        <w:ind w:left="540"/>
        <w:rPr>
          <w:rFonts w:asciiTheme="minorHAnsi" w:hAnsiTheme="minorHAnsi"/>
          <w:sz w:val="22"/>
        </w:rPr>
      </w:pPr>
      <w:r w:rsidRPr="00F13210">
        <w:rPr>
          <w:rFonts w:asciiTheme="minorHAnsi" w:hAnsiTheme="minorHAnsi"/>
          <w:sz w:val="22"/>
        </w:rPr>
        <w:t xml:space="preserve">Since the promulgation of the final regulations under §1.1031(k) 1, taxpayers have engaged in a wide variety of transactions, including so-called “parking” transactions, to facilitate reverse like-kind exchanges.  Parking transactions typically are designed to “park” the desired replacement property with an accommodation party until such time as the taxpayer arranges for the transfer of the relinquished property to the ultimate transferee in a simultaneous or deferred exchange.  Once such a transfer is arranged, the taxpayer transfers the relinquished property to the accommodation party in exchange for the replacement property, and the accommodation party then transfers the relinquished property to the ultimate transferee.  In other situations, an accommodation party may acquire the desired replacement property on behalf of the taxpayer and immediately exchange such property with the taxpayer for the relinquished property, thereafter holding the relinquished property until the taxpayer arranges for a transfer of such property to the ultimate transferee.  In the parking arrangements, taxpayers attempt to arrange the transaction so that the accommodation party has enough of the benefits and burdens relating to the property so that the accommodation party will be treated as the owner for federal income tax purposes. </w:t>
      </w:r>
    </w:p>
    <w:p w:rsidR="00F13210" w:rsidRPr="00F13210" w:rsidRDefault="00F13210" w:rsidP="00F13210">
      <w:pPr>
        <w:pStyle w:val="Default"/>
        <w:tabs>
          <w:tab w:val="left" w:pos="540"/>
          <w:tab w:val="left" w:pos="720"/>
        </w:tabs>
        <w:ind w:left="540"/>
        <w:rPr>
          <w:rFonts w:asciiTheme="minorHAnsi" w:hAnsiTheme="minorHAnsi"/>
          <w:sz w:val="22"/>
        </w:rPr>
      </w:pPr>
    </w:p>
    <w:p w:rsidR="00F13210" w:rsidRPr="00F13210" w:rsidRDefault="00F13210" w:rsidP="00F13210">
      <w:pPr>
        <w:pStyle w:val="Default"/>
        <w:tabs>
          <w:tab w:val="left" w:pos="540"/>
          <w:tab w:val="left" w:pos="720"/>
        </w:tabs>
        <w:ind w:left="540"/>
        <w:rPr>
          <w:rFonts w:asciiTheme="minorHAnsi" w:hAnsiTheme="minorHAnsi"/>
          <w:sz w:val="22"/>
        </w:rPr>
      </w:pPr>
      <w:bookmarkStart w:id="2" w:name="_Hlk14255615"/>
      <w:r w:rsidRPr="00F13210">
        <w:rPr>
          <w:rFonts w:asciiTheme="minorHAnsi" w:hAnsiTheme="minorHAnsi"/>
          <w:sz w:val="22"/>
        </w:rPr>
        <w:t xml:space="preserve">Treasury and the Service have determined that it is in the best interest of sound tax administration to provide taxpayers with a workable means of qualifying their transactions under §1031 in situations where the taxpayer has a genuine intent to accomplish a like-kind exchange at the time that it arranges for the acquisition of the replacement property and </w:t>
      </w:r>
      <w:r w:rsidR="000436BB" w:rsidRPr="00F13210">
        <w:rPr>
          <w:rFonts w:asciiTheme="minorHAnsi" w:hAnsiTheme="minorHAnsi"/>
          <w:sz w:val="22"/>
        </w:rPr>
        <w:t>accomplishes</w:t>
      </w:r>
      <w:r w:rsidRPr="00F13210">
        <w:rPr>
          <w:rFonts w:asciiTheme="minorHAnsi" w:hAnsiTheme="minorHAnsi"/>
          <w:sz w:val="22"/>
        </w:rPr>
        <w:t xml:space="preserve"> the exchange within a short time thereafter.  Accordingly, this revenue procedure provides safe harbors that allow the taxpayer to acquire many of the benefits and burdens associated with the replacement property (or retain many of the benefits and burdens associated with the relinquished property) while still treating the accommodation party as the owner of the property for federal income tax purposes, thereby enabling the taxpayer to accomplish a qualifying like-kind exchange.</w:t>
      </w:r>
    </w:p>
    <w:bookmarkEnd w:id="2"/>
    <w:p w:rsidR="00F13210" w:rsidRPr="00F13210" w:rsidRDefault="00F13210" w:rsidP="00F13210">
      <w:pPr>
        <w:pStyle w:val="Default"/>
        <w:tabs>
          <w:tab w:val="left" w:pos="540"/>
          <w:tab w:val="left" w:pos="720"/>
        </w:tabs>
        <w:ind w:left="540"/>
        <w:rPr>
          <w:rFonts w:asciiTheme="minorHAnsi" w:hAnsiTheme="minorHAnsi"/>
          <w:sz w:val="22"/>
        </w:rPr>
      </w:pPr>
    </w:p>
    <w:p w:rsidR="00F13210" w:rsidRPr="00F13210" w:rsidRDefault="00F13210" w:rsidP="00F13210">
      <w:pPr>
        <w:pStyle w:val="Default"/>
        <w:tabs>
          <w:tab w:val="left" w:pos="540"/>
          <w:tab w:val="left" w:pos="720"/>
        </w:tabs>
        <w:ind w:left="540"/>
        <w:rPr>
          <w:rFonts w:asciiTheme="minorHAnsi" w:hAnsiTheme="minorHAnsi"/>
          <w:sz w:val="22"/>
        </w:rPr>
      </w:pPr>
      <w:r w:rsidRPr="00F13210">
        <w:rPr>
          <w:rFonts w:asciiTheme="minorHAnsi" w:hAnsiTheme="minorHAnsi"/>
          <w:sz w:val="22"/>
        </w:rPr>
        <w:t xml:space="preserve">However, in order to avoid whipsaw abuses by the taxpayer and the accommodation party, it is necessary for this revenue procedure to include rules requiring that within five business days after the transfer of qualified indicia of ownership of the property to the accommodation party the taxpayer and the accommodation party must enter into a written agreement (the “qualified </w:t>
      </w:r>
      <w:r w:rsidRPr="00F13210">
        <w:rPr>
          <w:rFonts w:asciiTheme="minorHAnsi" w:hAnsiTheme="minorHAnsi"/>
          <w:sz w:val="22"/>
        </w:rPr>
        <w:lastRenderedPageBreak/>
        <w:t>exchange accommodation agreement”) that provides that the accommodation party is holding the property for the benefit of the taxpayer in order to facilitate an exchange under §1031 and this revenue procedure and that the taxpayer and the accommodation party agree to report the acquisition, holding, and disposition of the property as provided in this revenue procedure.  The agreement must specify that the accommodation party will be treated as the beneficial owner of the property for all federal income tax purposes.  Both parties must report the federal income tax attributes of the property on their federal income tax returns in a manner consistent with this agreement.</w:t>
      </w:r>
    </w:p>
    <w:p w:rsidR="00F13210" w:rsidRPr="00F13210" w:rsidRDefault="00F13210" w:rsidP="00F13210">
      <w:pPr>
        <w:pStyle w:val="Default"/>
        <w:tabs>
          <w:tab w:val="left" w:pos="540"/>
          <w:tab w:val="left" w:pos="720"/>
        </w:tabs>
        <w:ind w:left="540"/>
        <w:rPr>
          <w:rFonts w:asciiTheme="minorHAnsi" w:hAnsiTheme="minorHAnsi"/>
          <w:sz w:val="22"/>
        </w:rPr>
      </w:pPr>
    </w:p>
    <w:p w:rsidR="00F13210" w:rsidRPr="00F13210" w:rsidRDefault="00F13210" w:rsidP="00F13210">
      <w:pPr>
        <w:pStyle w:val="Default"/>
        <w:tabs>
          <w:tab w:val="left" w:pos="540"/>
          <w:tab w:val="left" w:pos="720"/>
        </w:tabs>
        <w:ind w:left="540"/>
        <w:rPr>
          <w:rFonts w:asciiTheme="minorHAnsi" w:hAnsiTheme="minorHAnsi"/>
          <w:sz w:val="22"/>
        </w:rPr>
      </w:pPr>
      <w:r w:rsidRPr="00F13210">
        <w:rPr>
          <w:rFonts w:asciiTheme="minorHAnsi" w:hAnsiTheme="minorHAnsi"/>
          <w:sz w:val="22"/>
        </w:rPr>
        <w:t>Revenue procedure 2004-51 (2004-33 I.R.B. 294), modifies sections 1 and 4 of Rev. Proc. 2000–37(2000–2 C.B. 308), to provide that Rev. Proc. 2000–37 does not apply if the taxpayer owns the property intended to qualify as replacement property before initiating a qualified exchange accommodation arrangement (QEAA).</w:t>
      </w:r>
    </w:p>
    <w:p w:rsidR="00E37E63" w:rsidRDefault="00576A09" w:rsidP="00745F68">
      <w:pPr>
        <w:pStyle w:val="Default"/>
        <w:tabs>
          <w:tab w:val="left" w:pos="540"/>
          <w:tab w:val="left" w:pos="720"/>
        </w:tabs>
        <w:ind w:left="540" w:hanging="90"/>
        <w:rPr>
          <w:rFonts w:asciiTheme="minorHAnsi" w:hAnsiTheme="minorHAnsi"/>
          <w:sz w:val="22"/>
        </w:rPr>
      </w:pPr>
      <w:r w:rsidRPr="00576A09">
        <w:rPr>
          <w:rFonts w:asciiTheme="minorHAnsi" w:hAnsiTheme="minorHAnsi"/>
          <w:sz w:val="22"/>
        </w:rPr>
        <w:t xml:space="preserve">   </w:t>
      </w:r>
      <w:bookmarkEnd w:id="1"/>
      <w:r w:rsidR="00E37E63">
        <w:rPr>
          <w:rFonts w:asciiTheme="minorHAnsi" w:hAnsiTheme="minorHAnsi"/>
          <w:sz w:val="22"/>
        </w:rPr>
        <w:t xml:space="preserve"> </w:t>
      </w: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USE OF DATA </w:t>
      </w:r>
    </w:p>
    <w:p w:rsidR="009E3D48" w:rsidRPr="00F87A66" w:rsidRDefault="009E3D48" w:rsidP="009E3D48">
      <w:pPr>
        <w:tabs>
          <w:tab w:val="left" w:pos="540"/>
        </w:tabs>
        <w:ind w:left="540" w:hanging="540"/>
        <w:rPr>
          <w:rFonts w:asciiTheme="minorHAnsi" w:hAnsiTheme="minorHAnsi"/>
          <w:sz w:val="22"/>
        </w:rPr>
      </w:pPr>
    </w:p>
    <w:p w:rsidR="00E20185" w:rsidRDefault="00F13210" w:rsidP="00E37E63">
      <w:pPr>
        <w:widowControl w:val="0"/>
        <w:autoSpaceDE w:val="0"/>
        <w:autoSpaceDN w:val="0"/>
        <w:adjustRightInd w:val="0"/>
        <w:ind w:left="540"/>
        <w:rPr>
          <w:rFonts w:asciiTheme="minorHAnsi" w:eastAsia="Times New Roman" w:hAnsiTheme="minorHAnsi" w:cs="Times New Roman"/>
          <w:sz w:val="22"/>
        </w:rPr>
      </w:pPr>
      <w:r w:rsidRPr="00F13210">
        <w:rPr>
          <w:rFonts w:asciiTheme="minorHAnsi" w:eastAsia="Times New Roman" w:hAnsiTheme="minorHAnsi" w:cs="Times New Roman"/>
          <w:sz w:val="22"/>
        </w:rPr>
        <w:t xml:space="preserve">The information will be used to enable the IRS to police these transactions by audit and to </w:t>
      </w:r>
      <w:r w:rsidR="003F254D">
        <w:rPr>
          <w:rFonts w:asciiTheme="minorHAnsi" w:eastAsia="Times New Roman" w:hAnsiTheme="minorHAnsi" w:cs="Times New Roman"/>
          <w:sz w:val="22"/>
        </w:rPr>
        <w:t>e</w:t>
      </w:r>
      <w:r w:rsidRPr="00F13210">
        <w:rPr>
          <w:rFonts w:asciiTheme="minorHAnsi" w:eastAsia="Times New Roman" w:hAnsiTheme="minorHAnsi" w:cs="Times New Roman"/>
          <w:sz w:val="22"/>
        </w:rPr>
        <w:t xml:space="preserve">nsure that the parties to the agreement are treating the tax attributes of the exchange and the exchange property consistently.                       </w:t>
      </w:r>
      <w:r w:rsidR="00182BE3" w:rsidRPr="00182BE3">
        <w:rPr>
          <w:rFonts w:asciiTheme="minorHAnsi" w:eastAsia="Times New Roman" w:hAnsiTheme="minorHAnsi" w:cs="Times New Roman"/>
          <w:sz w:val="22"/>
        </w:rPr>
        <w:t xml:space="preserve">  </w:t>
      </w:r>
    </w:p>
    <w:p w:rsidR="00E37E63" w:rsidRPr="00E37E63" w:rsidRDefault="00E37E63" w:rsidP="00E37E63">
      <w:pPr>
        <w:widowControl w:val="0"/>
        <w:autoSpaceDE w:val="0"/>
        <w:autoSpaceDN w:val="0"/>
        <w:adjustRightInd w:val="0"/>
        <w:ind w:left="540"/>
        <w:rPr>
          <w:rFonts w:asciiTheme="minorHAnsi" w:eastAsia="Times New Roman" w:hAnsiTheme="minorHAnsi" w:cs="Times New Roman"/>
          <w:sz w:val="22"/>
        </w:rPr>
      </w:pPr>
    </w:p>
    <w:p w:rsidR="009E3D48" w:rsidRPr="00583C88" w:rsidRDefault="009E3D48" w:rsidP="009E3D48">
      <w:pPr>
        <w:pStyle w:val="ListParagraph"/>
        <w:numPr>
          <w:ilvl w:val="0"/>
          <w:numId w:val="1"/>
        </w:numPr>
        <w:tabs>
          <w:tab w:val="left" w:pos="540"/>
        </w:tabs>
        <w:ind w:left="540" w:hanging="540"/>
        <w:rPr>
          <w:rFonts w:asciiTheme="minorHAnsi" w:hAnsiTheme="minorHAnsi"/>
          <w:b/>
          <w:sz w:val="22"/>
          <w:u w:val="single"/>
        </w:rPr>
      </w:pPr>
      <w:r w:rsidRPr="00583C88">
        <w:rPr>
          <w:rFonts w:asciiTheme="minorHAnsi" w:hAnsiTheme="minorHAnsi"/>
          <w:b/>
          <w:sz w:val="22"/>
          <w:u w:val="single"/>
        </w:rPr>
        <w:t xml:space="preserve">USE OF IMPROVED INFORMATION TECHNOLOGY TO REDUCE BURDEN </w:t>
      </w:r>
    </w:p>
    <w:p w:rsidR="009E3D48" w:rsidRPr="00F87A66" w:rsidRDefault="009E3D48" w:rsidP="009E3D48">
      <w:pPr>
        <w:tabs>
          <w:tab w:val="left" w:pos="540"/>
        </w:tabs>
        <w:ind w:left="540" w:hanging="540"/>
        <w:rPr>
          <w:rFonts w:asciiTheme="minorHAnsi" w:hAnsiTheme="minorHAnsi"/>
          <w:sz w:val="22"/>
        </w:rPr>
      </w:pPr>
    </w:p>
    <w:p w:rsidR="00801000" w:rsidRPr="00801000" w:rsidRDefault="00867DE2" w:rsidP="00801000">
      <w:pPr>
        <w:ind w:left="540"/>
        <w:rPr>
          <w:rFonts w:asciiTheme="minorHAnsi" w:hAnsiTheme="minorHAnsi"/>
          <w:sz w:val="22"/>
        </w:rPr>
      </w:pPr>
      <w:r>
        <w:rPr>
          <w:rFonts w:asciiTheme="minorHAnsi" w:hAnsiTheme="minorHAnsi"/>
          <w:sz w:val="22"/>
        </w:rPr>
        <w:t>IRS</w:t>
      </w:r>
      <w:r w:rsidRPr="00453AD3">
        <w:rPr>
          <w:rFonts w:asciiTheme="minorHAnsi" w:hAnsiTheme="minorHAnsi"/>
          <w:sz w:val="22"/>
        </w:rPr>
        <w:t xml:space="preserve"> ha</w:t>
      </w:r>
      <w:r>
        <w:rPr>
          <w:rFonts w:asciiTheme="minorHAnsi" w:hAnsiTheme="minorHAnsi"/>
          <w:sz w:val="22"/>
        </w:rPr>
        <w:t>s</w:t>
      </w:r>
      <w:r w:rsidRPr="00453AD3">
        <w:rPr>
          <w:rFonts w:asciiTheme="minorHAnsi" w:hAnsiTheme="minorHAnsi"/>
          <w:sz w:val="22"/>
        </w:rPr>
        <w:t xml:space="preserve"> no plans to offer electronic </w:t>
      </w:r>
      <w:r>
        <w:rPr>
          <w:rFonts w:asciiTheme="minorHAnsi" w:hAnsiTheme="minorHAnsi"/>
          <w:sz w:val="22"/>
        </w:rPr>
        <w:t>enabling</w:t>
      </w:r>
      <w:r w:rsidRPr="00453AD3">
        <w:rPr>
          <w:rFonts w:asciiTheme="minorHAnsi" w:hAnsiTheme="minorHAnsi"/>
          <w:sz w:val="22"/>
        </w:rPr>
        <w:t xml:space="preserve"> because this is record keeping requirement.</w:t>
      </w:r>
      <w:r w:rsidR="00C25CB7">
        <w:rPr>
          <w:rFonts w:asciiTheme="minorHAnsi" w:hAnsiTheme="minorHAnsi"/>
          <w:sz w:val="22"/>
        </w:rPr>
        <w:t xml:space="preserve"> </w:t>
      </w:r>
    </w:p>
    <w:p w:rsidR="00E20185" w:rsidRPr="00F87A66" w:rsidRDefault="00E20185" w:rsidP="00801000">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w:t>
      </w:r>
      <w:r w:rsidRPr="003F254D">
        <w:rPr>
          <w:rFonts w:asciiTheme="minorHAnsi" w:hAnsiTheme="minorHAnsi"/>
          <w:b/>
          <w:sz w:val="22"/>
          <w:u w:val="single"/>
        </w:rPr>
        <w:t>FFOR</w:t>
      </w:r>
      <w:r w:rsidRPr="00DC1585">
        <w:rPr>
          <w:rFonts w:asciiTheme="minorHAnsi" w:hAnsiTheme="minorHAnsi"/>
          <w:b/>
          <w:sz w:val="22"/>
          <w:u w:val="single"/>
        </w:rPr>
        <w:t xml:space="preserve">TS TO IDENTIFY DUPLICATION </w:t>
      </w:r>
    </w:p>
    <w:p w:rsidR="009E3D48" w:rsidRPr="00F87A66" w:rsidRDefault="009E3D48" w:rsidP="009E3D48">
      <w:pPr>
        <w:tabs>
          <w:tab w:val="left" w:pos="540"/>
        </w:tabs>
        <w:ind w:left="540" w:hanging="540"/>
        <w:rPr>
          <w:rFonts w:asciiTheme="minorHAnsi" w:hAnsiTheme="minorHAnsi"/>
          <w:sz w:val="22"/>
        </w:rPr>
      </w:pPr>
    </w:p>
    <w:p w:rsidR="001D050E"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3F254D" w:rsidRPr="003F254D">
        <w:rPr>
          <w:rFonts w:asciiTheme="minorHAnsi" w:hAnsiTheme="minorHAnsi"/>
          <w:sz w:val="22"/>
        </w:rPr>
        <w:t xml:space="preserve">The information obtained through this collection is unique and is not already available or use or adaption from another source.  </w:t>
      </w:r>
      <w:r w:rsidR="00A24315" w:rsidRPr="00F87A66">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F86E0A">
        <w:rPr>
          <w:rFonts w:asciiTheme="minorHAnsi" w:hAnsiTheme="minorHAnsi"/>
          <w:b/>
          <w:sz w:val="22"/>
          <w:u w:val="single"/>
        </w:rPr>
        <w:t>M</w:t>
      </w:r>
      <w:r w:rsidRPr="00EF6EB3">
        <w:rPr>
          <w:rFonts w:asciiTheme="minorHAnsi" w:hAnsiTheme="minorHAnsi"/>
          <w:b/>
          <w:sz w:val="22"/>
          <w:u w:val="single"/>
        </w:rPr>
        <w:t>ETH</w:t>
      </w:r>
      <w:r w:rsidRPr="00C25CB7">
        <w:rPr>
          <w:rFonts w:asciiTheme="minorHAnsi" w:hAnsiTheme="minorHAnsi"/>
          <w:b/>
          <w:sz w:val="22"/>
          <w:u w:val="single"/>
        </w:rPr>
        <w:t>OD</w:t>
      </w:r>
      <w:r w:rsidRPr="00DC1585">
        <w:rPr>
          <w:rFonts w:asciiTheme="minorHAnsi" w:hAnsiTheme="minorHAnsi"/>
          <w:b/>
          <w:sz w:val="22"/>
          <w:u w:val="single"/>
        </w:rPr>
        <w:t xml:space="preserve">S TO MINIMIZE BURDEN ON SMALL BUSINESSES OR OTHER SMALL ENTITIES </w:t>
      </w:r>
    </w:p>
    <w:p w:rsidR="009E3D48" w:rsidRPr="00F87A66" w:rsidRDefault="009E3D48" w:rsidP="009E3D48">
      <w:pPr>
        <w:tabs>
          <w:tab w:val="left" w:pos="540"/>
        </w:tabs>
        <w:ind w:left="540" w:hanging="540"/>
        <w:rPr>
          <w:rFonts w:asciiTheme="minorHAnsi" w:hAnsiTheme="minorHAnsi"/>
          <w:sz w:val="22"/>
        </w:rPr>
      </w:pPr>
    </w:p>
    <w:p w:rsidR="009E3D48" w:rsidRDefault="00F816AF" w:rsidP="00C25CB7">
      <w:pPr>
        <w:tabs>
          <w:tab w:val="left" w:pos="540"/>
        </w:tabs>
        <w:ind w:left="540"/>
        <w:rPr>
          <w:rFonts w:asciiTheme="minorHAnsi" w:hAnsiTheme="minorHAnsi"/>
          <w:sz w:val="22"/>
        </w:rPr>
      </w:pPr>
      <w:r w:rsidRPr="00F816AF">
        <w:rPr>
          <w:rFonts w:asciiTheme="minorHAnsi" w:hAnsiTheme="minorHAnsi"/>
          <w:sz w:val="22"/>
        </w:rPr>
        <w:t xml:space="preserve">Treasury and the Service have determined that it is in the best interest of sound tax administration to provide taxpayers with a workable means of qualifying their transactions under §1031 in situations where the taxpayer has a genuine intent to accomplish a like-kind exchange at the time that it arranges for the acquisition of the replacement property and </w:t>
      </w:r>
      <w:r w:rsidR="000436BB" w:rsidRPr="00F816AF">
        <w:rPr>
          <w:rFonts w:asciiTheme="minorHAnsi" w:hAnsiTheme="minorHAnsi"/>
          <w:sz w:val="22"/>
        </w:rPr>
        <w:t>accomplishes</w:t>
      </w:r>
      <w:r w:rsidRPr="00F816AF">
        <w:rPr>
          <w:rFonts w:asciiTheme="minorHAnsi" w:hAnsiTheme="minorHAnsi"/>
          <w:sz w:val="22"/>
        </w:rPr>
        <w:t xml:space="preserve"> the exchange within a short time thereafter.  Accordingly, this revenue procedure provides safe harbors that allow the taxpayer to acquire many of the benefits and burdens associated with the replacement property (or retain many of the benefits and burdens associated with the relinquished property) while still treating the accommodation party as the owner of the property for federal income tax purposes, thereby enabling the taxpayer to accomplish a qualifying like-kind exchange.</w:t>
      </w:r>
      <w:r w:rsidR="00BE131C">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B860C5">
        <w:rPr>
          <w:rFonts w:asciiTheme="minorHAnsi" w:hAnsiTheme="minorHAnsi"/>
          <w:b/>
          <w:sz w:val="22"/>
          <w:u w:val="single"/>
        </w:rPr>
        <w:t>CON</w:t>
      </w:r>
      <w:r w:rsidRPr="00DC1585">
        <w:rPr>
          <w:rFonts w:asciiTheme="minorHAnsi" w:hAnsiTheme="minorHAnsi"/>
          <w:b/>
          <w:sz w:val="22"/>
          <w:u w:val="single"/>
        </w:rPr>
        <w:t xml:space="preserve">SEQUENCES OF LESS FREQUENT COLLECTION ON FEDERAL PROGRAMS OR POLICY ACTIVITIES </w:t>
      </w:r>
    </w:p>
    <w:p w:rsidR="009E3D48" w:rsidRPr="00F87A66" w:rsidRDefault="009E3D48" w:rsidP="009E3D48">
      <w:pPr>
        <w:tabs>
          <w:tab w:val="left" w:pos="540"/>
        </w:tabs>
        <w:ind w:left="540" w:hanging="540"/>
        <w:rPr>
          <w:rFonts w:asciiTheme="minorHAnsi" w:hAnsiTheme="minorHAnsi"/>
          <w:sz w:val="22"/>
        </w:rPr>
      </w:pPr>
    </w:p>
    <w:p w:rsidR="00A24315"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 xml:space="preserve">The information required is needed to verify compliance with the Internal Revenue Code </w:t>
      </w:r>
      <w:r w:rsidR="00F86E0A">
        <w:rPr>
          <w:rFonts w:asciiTheme="minorHAnsi" w:hAnsiTheme="minorHAnsi"/>
          <w:sz w:val="22"/>
        </w:rPr>
        <w:t xml:space="preserve">section </w:t>
      </w:r>
      <w:r w:rsidR="00F13210">
        <w:rPr>
          <w:rFonts w:asciiTheme="minorHAnsi" w:hAnsiTheme="minorHAnsi"/>
          <w:sz w:val="22"/>
        </w:rPr>
        <w:t>1301</w:t>
      </w:r>
      <w:r w:rsidR="00F86E0A" w:rsidRPr="00F86E0A">
        <w:rPr>
          <w:rFonts w:asciiTheme="minorHAnsi" w:hAnsiTheme="minorHAnsi"/>
          <w:sz w:val="22"/>
        </w:rPr>
        <w:t xml:space="preserve"> </w:t>
      </w:r>
      <w:r w:rsidR="00A24315" w:rsidRPr="00F87A66">
        <w:rPr>
          <w:rFonts w:asciiTheme="minorHAnsi" w:hAnsiTheme="minorHAnsi"/>
          <w:sz w:val="22"/>
        </w:rPr>
        <w:t xml:space="preserve">of the Treasury </w:t>
      </w:r>
      <w:r w:rsidR="00A24315" w:rsidRPr="006A7D3C">
        <w:rPr>
          <w:rFonts w:asciiTheme="minorHAnsi" w:hAnsiTheme="minorHAnsi"/>
          <w:sz w:val="22"/>
        </w:rPr>
        <w:t>Regulat</w:t>
      </w:r>
      <w:r w:rsidR="00A24315" w:rsidRPr="00F87A66">
        <w:rPr>
          <w:rFonts w:asciiTheme="minorHAnsi" w:hAnsiTheme="minorHAnsi"/>
          <w:sz w:val="22"/>
        </w:rPr>
        <w:t>ion</w:t>
      </w:r>
      <w:r w:rsidR="00745F68">
        <w:rPr>
          <w:rFonts w:asciiTheme="minorHAnsi" w:hAnsiTheme="minorHAnsi"/>
          <w:sz w:val="22"/>
        </w:rPr>
        <w:t>s</w:t>
      </w:r>
      <w:r w:rsidR="00A24315" w:rsidRPr="00F87A66">
        <w:rPr>
          <w:rFonts w:asciiTheme="minorHAnsi" w:hAnsiTheme="minorHAnsi"/>
          <w:sz w:val="22"/>
        </w:rPr>
        <w:t>. A less frequent collection of taxes and tax information could adversely affect the government’s effectiveness and would reduce the oversight of the public in ensuring compliance with Internal Revenue Code and hinder the IRS from meeting its mission.</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CB358B">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SPECIAL CIRCUMSTANCES REQUIRING DATA COLLECTION TO BE INCONSISTENT WITH GUIDELINES IN 5 CFR 1320.5(d)(2)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583C88">
        <w:rPr>
          <w:rFonts w:asciiTheme="minorHAnsi" w:hAnsiTheme="minorHAnsi"/>
          <w:sz w:val="22"/>
        </w:rPr>
        <w:t>There are no special circumstances requiring data collection to be inconsistent with Guidelines in</w:t>
      </w:r>
      <w:r w:rsidR="00A24315" w:rsidRPr="00F87A66">
        <w:rPr>
          <w:rFonts w:asciiTheme="minorHAnsi" w:hAnsiTheme="minorHAnsi"/>
          <w:sz w:val="22"/>
        </w:rPr>
        <w:t xml:space="preserve"> 5 CFR 1320.5(d)(2).</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EF6EB3">
        <w:rPr>
          <w:rFonts w:asciiTheme="minorHAnsi" w:hAnsiTheme="minorHAnsi"/>
          <w:b/>
          <w:sz w:val="22"/>
          <w:u w:val="single"/>
        </w:rPr>
        <w:t>CONSUL</w:t>
      </w:r>
      <w:r w:rsidRPr="00583C88">
        <w:rPr>
          <w:rFonts w:asciiTheme="minorHAnsi" w:hAnsiTheme="minorHAnsi"/>
          <w:b/>
          <w:sz w:val="22"/>
          <w:u w:val="single"/>
        </w:rPr>
        <w:t>T</w:t>
      </w:r>
      <w:r w:rsidRPr="00DC1585">
        <w:rPr>
          <w:rFonts w:asciiTheme="minorHAnsi" w:hAnsiTheme="minorHAnsi"/>
          <w:b/>
          <w:sz w:val="22"/>
          <w:u w:val="single"/>
        </w:rPr>
        <w:t xml:space="preserve">ATION WITH INDIVIDUALS OUTSIDE OF THE AGENCY ON AVAILABILITY OF DATA, FREQUENCY OF COLLECTION, CLARITY OF INSTRUCTIONS AND FORMS, AND DATA ELEMENTS </w:t>
      </w:r>
    </w:p>
    <w:p w:rsidR="009E3D48" w:rsidRDefault="009E3D48" w:rsidP="009E3D48">
      <w:pPr>
        <w:tabs>
          <w:tab w:val="left" w:pos="540"/>
        </w:tabs>
        <w:ind w:left="540" w:hanging="540"/>
        <w:rPr>
          <w:szCs w:val="24"/>
        </w:rPr>
      </w:pPr>
    </w:p>
    <w:p w:rsidR="00183523" w:rsidRDefault="009E3D48" w:rsidP="004606C9">
      <w:pPr>
        <w:tabs>
          <w:tab w:val="left" w:pos="540"/>
        </w:tabs>
        <w:ind w:left="540" w:hanging="540"/>
        <w:rPr>
          <w:rFonts w:asciiTheme="minorHAnsi" w:hAnsiTheme="minorHAnsi"/>
          <w:sz w:val="22"/>
        </w:rPr>
      </w:pPr>
      <w:r>
        <w:rPr>
          <w:szCs w:val="24"/>
        </w:rPr>
        <w:tab/>
      </w:r>
      <w:r w:rsidR="004606C9" w:rsidRPr="004606C9">
        <w:rPr>
          <w:rFonts w:asciiTheme="minorHAnsi" w:hAnsiTheme="minorHAnsi"/>
          <w:sz w:val="22"/>
        </w:rPr>
        <w:t>In response to the Federal Register notice dated</w:t>
      </w:r>
      <w:r w:rsidR="00277A26">
        <w:rPr>
          <w:rFonts w:asciiTheme="minorHAnsi" w:hAnsiTheme="minorHAnsi"/>
          <w:sz w:val="22"/>
        </w:rPr>
        <w:t xml:space="preserve"> </w:t>
      </w:r>
      <w:r w:rsidR="00EF6EB3">
        <w:rPr>
          <w:rFonts w:asciiTheme="minorHAnsi" w:hAnsiTheme="minorHAnsi"/>
          <w:sz w:val="22"/>
        </w:rPr>
        <w:t xml:space="preserve">June 10, </w:t>
      </w:r>
      <w:r w:rsidR="00132F0E">
        <w:rPr>
          <w:rFonts w:asciiTheme="minorHAnsi" w:hAnsiTheme="minorHAnsi"/>
          <w:sz w:val="22"/>
        </w:rPr>
        <w:t xml:space="preserve">2019 </w:t>
      </w:r>
      <w:r w:rsidR="004606C9" w:rsidRPr="00DD050B">
        <w:rPr>
          <w:rFonts w:asciiTheme="minorHAnsi" w:hAnsiTheme="minorHAnsi"/>
          <w:sz w:val="22"/>
        </w:rPr>
        <w:t>(8</w:t>
      </w:r>
      <w:r w:rsidR="00DD050B" w:rsidRPr="00DD050B">
        <w:rPr>
          <w:rFonts w:asciiTheme="minorHAnsi" w:hAnsiTheme="minorHAnsi"/>
          <w:sz w:val="22"/>
        </w:rPr>
        <w:t>4</w:t>
      </w:r>
      <w:r w:rsidR="004606C9" w:rsidRPr="00DD050B">
        <w:rPr>
          <w:rFonts w:asciiTheme="minorHAnsi" w:hAnsiTheme="minorHAnsi"/>
          <w:sz w:val="22"/>
        </w:rPr>
        <w:t xml:space="preserve"> FR</w:t>
      </w:r>
      <w:r w:rsidR="00FD1B34" w:rsidRPr="00FD1B34">
        <w:t xml:space="preserve"> </w:t>
      </w:r>
      <w:r w:rsidR="00EF6EB3" w:rsidRPr="00EF6EB3">
        <w:rPr>
          <w:rFonts w:asciiTheme="minorHAnsi" w:hAnsiTheme="minorHAnsi" w:cstheme="minorHAnsi"/>
          <w:sz w:val="22"/>
        </w:rPr>
        <w:t>26935</w:t>
      </w:r>
      <w:r w:rsidR="00A163F1">
        <w:rPr>
          <w:rFonts w:asciiTheme="minorHAnsi" w:hAnsiTheme="minorHAnsi"/>
          <w:sz w:val="22"/>
        </w:rPr>
        <w:t>)</w:t>
      </w:r>
      <w:r w:rsidR="004606C9" w:rsidRPr="004606C9">
        <w:rPr>
          <w:rFonts w:asciiTheme="minorHAnsi" w:hAnsiTheme="minorHAnsi"/>
          <w:sz w:val="22"/>
        </w:rPr>
        <w:t>, we received no comments during the comment period regarding these regulations</w:t>
      </w:r>
      <w:r w:rsidR="004606C9" w:rsidRPr="00583C88">
        <w:rPr>
          <w:rFonts w:asciiTheme="minorHAnsi" w:hAnsiTheme="minorHAnsi"/>
          <w:sz w:val="22"/>
        </w:rPr>
        <w:t>.</w:t>
      </w:r>
      <w:r w:rsidR="004606C9" w:rsidRPr="004606C9">
        <w:rPr>
          <w:rFonts w:asciiTheme="minorHAnsi" w:hAnsiTheme="minorHAnsi"/>
          <w:sz w:val="22"/>
        </w:rPr>
        <w:t xml:space="preserve">  </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EXPLANATION OF DECISION TO PROVIDE ANY PAYMENT OR GIFT TO RESPONDENTS </w:t>
      </w:r>
    </w:p>
    <w:p w:rsidR="009E3D48" w:rsidRPr="00F87A66" w:rsidRDefault="009E3D48" w:rsidP="009E3D48">
      <w:pPr>
        <w:tabs>
          <w:tab w:val="left" w:pos="540"/>
        </w:tabs>
        <w:ind w:left="540" w:hanging="540"/>
        <w:rPr>
          <w:rFonts w:asciiTheme="minorHAnsi" w:hAnsiTheme="minorHAnsi"/>
          <w:sz w:val="22"/>
        </w:rPr>
      </w:pPr>
    </w:p>
    <w:p w:rsidR="00A24315"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r w:rsidR="00A24315" w:rsidRPr="00F87A66">
        <w:rPr>
          <w:rFonts w:asciiTheme="minorHAnsi" w:hAnsiTheme="minorHAnsi"/>
          <w:sz w:val="22"/>
        </w:rPr>
        <w:t>No payment or gift has been provided to any respondents.</w:t>
      </w:r>
    </w:p>
    <w:p w:rsidR="009E3D48" w:rsidRPr="00F87A66" w:rsidRDefault="009E3D48" w:rsidP="009E3D48">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ASSURANCE OF CONFIDENTIALITY OF RESPONSES </w:t>
      </w:r>
    </w:p>
    <w:p w:rsidR="009E3D48" w:rsidRPr="00F87A66" w:rsidRDefault="009E3D48" w:rsidP="009E3D48">
      <w:pPr>
        <w:tabs>
          <w:tab w:val="left" w:pos="540"/>
        </w:tabs>
        <w:ind w:left="540" w:hanging="540"/>
        <w:rPr>
          <w:rFonts w:asciiTheme="minorHAnsi" w:hAnsiTheme="minorHAnsi"/>
          <w:sz w:val="22"/>
        </w:rPr>
      </w:pPr>
    </w:p>
    <w:p w:rsidR="009E3D48"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t>Generally, tax returns and tax return information are confidential as required by 26 U.S.C. 6103.</w:t>
      </w:r>
    </w:p>
    <w:p w:rsidR="00183523" w:rsidRPr="00DC1585" w:rsidRDefault="00183523"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EF6EB3">
        <w:rPr>
          <w:rFonts w:asciiTheme="minorHAnsi" w:hAnsiTheme="minorHAnsi"/>
          <w:b/>
          <w:sz w:val="22"/>
          <w:u w:val="single"/>
        </w:rPr>
        <w:t>JUSTIFIC</w:t>
      </w:r>
      <w:r w:rsidRPr="00DC1585">
        <w:rPr>
          <w:rFonts w:asciiTheme="minorHAnsi" w:hAnsiTheme="minorHAnsi"/>
          <w:b/>
          <w:sz w:val="22"/>
          <w:u w:val="single"/>
        </w:rPr>
        <w:t xml:space="preserve">ATION OF SENSITIVE QUESTIONS </w:t>
      </w:r>
    </w:p>
    <w:p w:rsidR="009E3D48" w:rsidRPr="00F87A66" w:rsidRDefault="009E3D48" w:rsidP="009E3D48">
      <w:pPr>
        <w:tabs>
          <w:tab w:val="left" w:pos="540"/>
        </w:tabs>
        <w:ind w:left="540" w:hanging="540"/>
        <w:rPr>
          <w:rFonts w:asciiTheme="minorHAnsi" w:hAnsiTheme="minorHAnsi"/>
          <w:b/>
          <w:sz w:val="22"/>
        </w:rPr>
      </w:pPr>
    </w:p>
    <w:p w:rsidR="00617F74" w:rsidRPr="00617F74" w:rsidRDefault="00F13210" w:rsidP="00F86E0A">
      <w:pPr>
        <w:ind w:left="540"/>
        <w:rPr>
          <w:rFonts w:asciiTheme="minorHAnsi" w:hAnsiTheme="minorHAnsi"/>
          <w:sz w:val="22"/>
        </w:rPr>
      </w:pPr>
      <w:r w:rsidRPr="00F13210">
        <w:rPr>
          <w:rFonts w:asciiTheme="minorHAnsi" w:hAnsiTheme="minorHAnsi"/>
          <w:sz w:val="22"/>
        </w:rPr>
        <w:t>No personally identifiable information (PII) is collected.</w:t>
      </w:r>
    </w:p>
    <w:p w:rsidR="00617F74" w:rsidRPr="00617F74" w:rsidRDefault="00617F74" w:rsidP="00617F74">
      <w:pPr>
        <w:ind w:left="540"/>
        <w:rPr>
          <w:rFonts w:asciiTheme="minorHAnsi" w:hAnsiTheme="minorHAnsi"/>
          <w:sz w:val="22"/>
        </w:rPr>
      </w:pPr>
    </w:p>
    <w:p w:rsidR="00B860C5" w:rsidRPr="00F86E0A" w:rsidRDefault="009E3D48" w:rsidP="005078BE">
      <w:pPr>
        <w:pStyle w:val="ListParagraph"/>
        <w:numPr>
          <w:ilvl w:val="0"/>
          <w:numId w:val="1"/>
        </w:numPr>
        <w:tabs>
          <w:tab w:val="left" w:pos="540"/>
        </w:tabs>
        <w:ind w:left="540" w:hanging="540"/>
        <w:rPr>
          <w:rFonts w:asciiTheme="minorHAnsi" w:hAnsiTheme="minorHAnsi"/>
          <w:sz w:val="22"/>
        </w:rPr>
      </w:pPr>
      <w:r w:rsidRPr="00EF6EB3">
        <w:rPr>
          <w:rFonts w:asciiTheme="minorHAnsi" w:hAnsiTheme="minorHAnsi"/>
          <w:b/>
          <w:sz w:val="22"/>
          <w:u w:val="single"/>
        </w:rPr>
        <w:t>ESTIMATED</w:t>
      </w:r>
      <w:r w:rsidRPr="00F86E0A">
        <w:rPr>
          <w:rFonts w:asciiTheme="minorHAnsi" w:hAnsiTheme="minorHAnsi"/>
          <w:b/>
          <w:sz w:val="22"/>
          <w:u w:val="single"/>
        </w:rPr>
        <w:t xml:space="preserve"> BURDEN OF INFORMATION COLLECTION </w:t>
      </w:r>
    </w:p>
    <w:p w:rsidR="00F86E0A" w:rsidRDefault="00F86E0A" w:rsidP="00F86E0A">
      <w:pPr>
        <w:tabs>
          <w:tab w:val="left" w:pos="540"/>
        </w:tabs>
        <w:rPr>
          <w:rFonts w:asciiTheme="minorHAnsi" w:hAnsiTheme="minorHAnsi"/>
          <w:sz w:val="22"/>
        </w:rPr>
      </w:pPr>
    </w:p>
    <w:p w:rsidR="00F86E0A" w:rsidRPr="00F86E0A" w:rsidRDefault="00F46223" w:rsidP="00F46223">
      <w:pPr>
        <w:ind w:left="540"/>
        <w:rPr>
          <w:rFonts w:asciiTheme="minorHAnsi" w:hAnsiTheme="minorHAnsi"/>
          <w:sz w:val="22"/>
        </w:rPr>
      </w:pPr>
      <w:r w:rsidRPr="00F46223">
        <w:rPr>
          <w:rFonts w:asciiTheme="minorHAnsi" w:hAnsiTheme="minorHAnsi"/>
          <w:sz w:val="22"/>
        </w:rPr>
        <w:t>The collection of information is contained in section 4.02(3) of this revenue procedure.  It requires taxpayers and exchange accommodation titleholders to enter into a written agreement that the exchange accommodation titleholder will be treated as the beneficial owner of the property for federal income tax purposes. We estimate that the taxpayers will enter into approximately 1,600 written agreements, pursuant to this provision, annually.  The estimated annual burden per taxpayer to provide the information required by section 4.02(3) of this revenue procedure is one (1) hour, and the total annual reporting and/or recordkeeping burden is +3,200 hours (1 hour X 2 taxpayers X 1,600 written agreements).</w:t>
      </w:r>
      <w:r w:rsidR="00F86E0A">
        <w:rPr>
          <w:rFonts w:asciiTheme="minorHAnsi" w:hAnsiTheme="minorHAnsi"/>
          <w:sz w:val="22"/>
        </w:rPr>
        <w:t xml:space="preserve"> </w:t>
      </w:r>
    </w:p>
    <w:p w:rsidR="00641BA3" w:rsidRPr="00641BA3" w:rsidRDefault="00641BA3" w:rsidP="00641BA3">
      <w:pPr>
        <w:tabs>
          <w:tab w:val="left" w:pos="540"/>
        </w:tabs>
        <w:rPr>
          <w:rFonts w:asciiTheme="minorHAnsi" w:hAnsiTheme="minorHAnsi"/>
          <w:sz w:val="22"/>
        </w:rPr>
      </w:pPr>
    </w:p>
    <w:tbl>
      <w:tblPr>
        <w:tblW w:w="10185" w:type="dxa"/>
        <w:tblInd w:w="93" w:type="dxa"/>
        <w:tblLayout w:type="fixed"/>
        <w:tblLook w:val="04A0" w:firstRow="1" w:lastRow="0" w:firstColumn="1" w:lastColumn="0" w:noHBand="0" w:noVBand="1"/>
      </w:tblPr>
      <w:tblGrid>
        <w:gridCol w:w="1635"/>
        <w:gridCol w:w="3060"/>
        <w:gridCol w:w="990"/>
        <w:gridCol w:w="1170"/>
        <w:gridCol w:w="1080"/>
        <w:gridCol w:w="990"/>
        <w:gridCol w:w="1260"/>
      </w:tblGrid>
      <w:tr w:rsidR="00A648C2" w:rsidTr="00A648C2">
        <w:trPr>
          <w:trHeight w:val="675"/>
        </w:trPr>
        <w:tc>
          <w:tcPr>
            <w:tcW w:w="1635" w:type="dxa"/>
            <w:tcBorders>
              <w:top w:val="single" w:sz="8" w:space="0" w:color="auto"/>
              <w:left w:val="single" w:sz="8" w:space="0" w:color="auto"/>
              <w:bottom w:val="single" w:sz="8" w:space="0" w:color="auto"/>
              <w:right w:val="single" w:sz="8" w:space="0" w:color="auto"/>
            </w:tcBorders>
            <w:noWrap/>
            <w:vAlign w:val="center"/>
            <w:hideMark/>
          </w:tcPr>
          <w:p w:rsidR="00A648C2" w:rsidRPr="008208C7" w:rsidRDefault="00F86E0A">
            <w:pPr>
              <w:keepNext/>
              <w:keepLines/>
              <w:widowControl w:val="0"/>
              <w:autoSpaceDN w:val="0"/>
              <w:jc w:val="center"/>
              <w:rPr>
                <w:rFonts w:ascii="Arial Narrow" w:hAnsi="Arial Narrow" w:cs="Calibri"/>
                <w:color w:val="000000"/>
                <w:sz w:val="20"/>
                <w:szCs w:val="20"/>
                <w:highlight w:val="yellow"/>
              </w:rPr>
            </w:pPr>
            <w:r w:rsidRPr="00F86E0A">
              <w:rPr>
                <w:rFonts w:ascii="Arial Narrow" w:hAnsi="Arial Narrow" w:cs="Calibri"/>
                <w:color w:val="000000"/>
                <w:sz w:val="20"/>
                <w:szCs w:val="20"/>
              </w:rPr>
              <w:t>Rev. Proc.</w:t>
            </w:r>
          </w:p>
        </w:tc>
        <w:tc>
          <w:tcPr>
            <w:tcW w:w="3060" w:type="dxa"/>
            <w:tcBorders>
              <w:top w:val="single" w:sz="8" w:space="0" w:color="auto"/>
              <w:left w:val="nil"/>
              <w:bottom w:val="single" w:sz="8" w:space="0" w:color="auto"/>
              <w:right w:val="single" w:sz="8" w:space="0" w:color="auto"/>
            </w:tcBorders>
            <w:noWrap/>
            <w:vAlign w:val="center"/>
            <w:hideMark/>
          </w:tcPr>
          <w:p w:rsidR="00A648C2" w:rsidRPr="008208C7" w:rsidRDefault="00A648C2">
            <w:pPr>
              <w:keepNext/>
              <w:keepLines/>
              <w:widowControl w:val="0"/>
              <w:autoSpaceDN w:val="0"/>
              <w:jc w:val="center"/>
              <w:rPr>
                <w:rFonts w:ascii="Arial Narrow" w:hAnsi="Arial Narrow" w:cs="Calibri"/>
                <w:color w:val="000000"/>
                <w:sz w:val="20"/>
                <w:szCs w:val="20"/>
                <w:highlight w:val="yellow"/>
              </w:rPr>
            </w:pPr>
            <w:r w:rsidRPr="002E0ED0">
              <w:rPr>
                <w:rFonts w:ascii="Arial Narrow" w:hAnsi="Arial Narrow" w:cs="Calibri"/>
                <w:color w:val="000000"/>
                <w:sz w:val="20"/>
                <w:szCs w:val="20"/>
              </w:rPr>
              <w:t>Desc</w:t>
            </w:r>
            <w:r w:rsidRPr="00583C88">
              <w:rPr>
                <w:rFonts w:ascii="Arial Narrow" w:hAnsi="Arial Narrow" w:cs="Calibri"/>
                <w:color w:val="000000"/>
                <w:sz w:val="20"/>
                <w:szCs w:val="20"/>
              </w:rPr>
              <w:t>ription</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 Respondents</w:t>
            </w:r>
          </w:p>
        </w:tc>
        <w:tc>
          <w:tcPr>
            <w:tcW w:w="1170" w:type="dxa"/>
            <w:tcBorders>
              <w:top w:val="single" w:sz="8" w:space="0" w:color="auto"/>
              <w:left w:val="nil"/>
              <w:bottom w:val="single" w:sz="8" w:space="0" w:color="auto"/>
              <w:right w:val="single" w:sz="8" w:space="0" w:color="auto"/>
            </w:tcBorders>
            <w:vAlign w:val="center"/>
            <w:hideMark/>
          </w:tcPr>
          <w:p w:rsidR="00A648C2" w:rsidRDefault="00A648C2">
            <w:pPr>
              <w:keepNext/>
              <w:keepLines/>
              <w:jc w:val="center"/>
              <w:rPr>
                <w:rFonts w:ascii="Arial Narrow" w:hAnsi="Arial Narrow" w:cs="Calibri"/>
                <w:color w:val="000000"/>
                <w:sz w:val="20"/>
                <w:szCs w:val="20"/>
              </w:rPr>
            </w:pPr>
            <w:r>
              <w:rPr>
                <w:rFonts w:ascii="Arial Narrow" w:hAnsi="Arial Narrow" w:cs="Calibri"/>
                <w:color w:val="000000"/>
                <w:sz w:val="20"/>
                <w:szCs w:val="20"/>
              </w:rPr>
              <w:t># Responses Per Respondent-</w:t>
            </w:r>
          </w:p>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Approximate</w:t>
            </w:r>
          </w:p>
        </w:tc>
        <w:tc>
          <w:tcPr>
            <w:tcW w:w="108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Annual Responses</w:t>
            </w:r>
          </w:p>
        </w:tc>
        <w:tc>
          <w:tcPr>
            <w:tcW w:w="99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Hours Per Response</w:t>
            </w:r>
          </w:p>
        </w:tc>
        <w:tc>
          <w:tcPr>
            <w:tcW w:w="1260" w:type="dxa"/>
            <w:tcBorders>
              <w:top w:val="single" w:sz="8" w:space="0" w:color="auto"/>
              <w:left w:val="nil"/>
              <w:bottom w:val="single" w:sz="8" w:space="0" w:color="auto"/>
              <w:right w:val="single" w:sz="8" w:space="0" w:color="auto"/>
            </w:tcBorders>
            <w:vAlign w:val="center"/>
            <w:hideMark/>
          </w:tcPr>
          <w:p w:rsidR="00A648C2" w:rsidRDefault="00A648C2">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Total Burden</w:t>
            </w:r>
          </w:p>
        </w:tc>
      </w:tr>
      <w:tr w:rsidR="00A648C2" w:rsidTr="00E37E63">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A648C2" w:rsidRPr="00D04DF8" w:rsidRDefault="00F46223">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2000-37</w:t>
            </w:r>
          </w:p>
        </w:tc>
        <w:tc>
          <w:tcPr>
            <w:tcW w:w="3060" w:type="dxa"/>
            <w:tcBorders>
              <w:top w:val="single" w:sz="8" w:space="0" w:color="auto"/>
              <w:left w:val="single" w:sz="8" w:space="0" w:color="auto"/>
              <w:bottom w:val="single" w:sz="8" w:space="0" w:color="auto"/>
              <w:right w:val="single" w:sz="8" w:space="0" w:color="auto"/>
            </w:tcBorders>
            <w:vAlign w:val="center"/>
          </w:tcPr>
          <w:p w:rsidR="00A648C2" w:rsidRDefault="00F46223" w:rsidP="005E6135">
            <w:pPr>
              <w:keepNext/>
              <w:keepLines/>
              <w:widowControl w:val="0"/>
              <w:autoSpaceDN w:val="0"/>
              <w:rPr>
                <w:rFonts w:ascii="Arial Narrow" w:hAnsi="Arial Narrow" w:cs="Calibri"/>
                <w:color w:val="000000"/>
                <w:sz w:val="20"/>
                <w:szCs w:val="20"/>
              </w:rPr>
            </w:pPr>
            <w:r w:rsidRPr="00F46223">
              <w:rPr>
                <w:rFonts w:ascii="Arial Narrow" w:hAnsi="Arial Narrow" w:cs="Calibri"/>
                <w:color w:val="000000"/>
                <w:sz w:val="20"/>
                <w:szCs w:val="20"/>
              </w:rPr>
              <w:t>written agreement</w:t>
            </w:r>
            <w:r>
              <w:rPr>
                <w:rFonts w:ascii="Arial Narrow" w:hAnsi="Arial Narrow" w:cs="Calibri"/>
                <w:color w:val="000000"/>
                <w:sz w:val="20"/>
                <w:szCs w:val="20"/>
              </w:rPr>
              <w:t xml:space="preserve"> (section 4.02(3))</w:t>
            </w:r>
          </w:p>
        </w:tc>
        <w:tc>
          <w:tcPr>
            <w:tcW w:w="990" w:type="dxa"/>
            <w:tcBorders>
              <w:top w:val="single" w:sz="8" w:space="0" w:color="auto"/>
              <w:left w:val="nil"/>
              <w:bottom w:val="single" w:sz="8" w:space="0" w:color="auto"/>
              <w:right w:val="single" w:sz="8" w:space="0" w:color="auto"/>
            </w:tcBorders>
            <w:noWrap/>
            <w:vAlign w:val="center"/>
          </w:tcPr>
          <w:p w:rsidR="00A648C2" w:rsidRDefault="00F4622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1,600</w:t>
            </w:r>
          </w:p>
        </w:tc>
        <w:tc>
          <w:tcPr>
            <w:tcW w:w="1170" w:type="dxa"/>
            <w:tcBorders>
              <w:top w:val="single" w:sz="8" w:space="0" w:color="auto"/>
              <w:left w:val="nil"/>
              <w:bottom w:val="single" w:sz="8" w:space="0" w:color="auto"/>
              <w:right w:val="single" w:sz="8" w:space="0" w:color="auto"/>
            </w:tcBorders>
            <w:noWrap/>
            <w:vAlign w:val="center"/>
          </w:tcPr>
          <w:p w:rsidR="00A648C2" w:rsidRDefault="00EF6EB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2</w:t>
            </w:r>
          </w:p>
        </w:tc>
        <w:tc>
          <w:tcPr>
            <w:tcW w:w="1080" w:type="dxa"/>
            <w:tcBorders>
              <w:top w:val="single" w:sz="8" w:space="0" w:color="auto"/>
              <w:left w:val="nil"/>
              <w:bottom w:val="single" w:sz="8" w:space="0" w:color="auto"/>
              <w:right w:val="single" w:sz="8" w:space="0" w:color="auto"/>
            </w:tcBorders>
            <w:noWrap/>
            <w:vAlign w:val="center"/>
          </w:tcPr>
          <w:p w:rsidR="00A648C2" w:rsidRDefault="00EF6EB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3,200</w:t>
            </w:r>
          </w:p>
        </w:tc>
        <w:tc>
          <w:tcPr>
            <w:tcW w:w="990" w:type="dxa"/>
            <w:tcBorders>
              <w:top w:val="single" w:sz="8" w:space="0" w:color="auto"/>
              <w:left w:val="nil"/>
              <w:bottom w:val="single" w:sz="8" w:space="0" w:color="auto"/>
              <w:right w:val="single" w:sz="8" w:space="0" w:color="auto"/>
            </w:tcBorders>
            <w:noWrap/>
            <w:vAlign w:val="center"/>
          </w:tcPr>
          <w:p w:rsidR="00A648C2" w:rsidRDefault="00EF6EB3"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1</w:t>
            </w:r>
          </w:p>
        </w:tc>
        <w:tc>
          <w:tcPr>
            <w:tcW w:w="1260" w:type="dxa"/>
            <w:tcBorders>
              <w:top w:val="single" w:sz="8" w:space="0" w:color="auto"/>
              <w:left w:val="nil"/>
              <w:bottom w:val="single" w:sz="8" w:space="0" w:color="auto"/>
              <w:right w:val="single" w:sz="8" w:space="0" w:color="auto"/>
            </w:tcBorders>
            <w:noWrap/>
            <w:vAlign w:val="center"/>
          </w:tcPr>
          <w:p w:rsidR="00A648C2" w:rsidRDefault="00EF6EB3"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3,200</w:t>
            </w:r>
          </w:p>
        </w:tc>
      </w:tr>
      <w:tr w:rsidR="00E823E6" w:rsidTr="006007BC">
        <w:trPr>
          <w:trHeight w:val="345"/>
        </w:trPr>
        <w:tc>
          <w:tcPr>
            <w:tcW w:w="1635" w:type="dxa"/>
            <w:tcBorders>
              <w:top w:val="single" w:sz="8" w:space="0" w:color="auto"/>
              <w:left w:val="single" w:sz="8" w:space="0" w:color="auto"/>
              <w:bottom w:val="single" w:sz="8" w:space="0" w:color="auto"/>
              <w:right w:val="single" w:sz="8" w:space="0" w:color="auto"/>
            </w:tcBorders>
            <w:noWrap/>
            <w:vAlign w:val="center"/>
          </w:tcPr>
          <w:p w:rsidR="00E823E6" w:rsidRPr="00D04DF8" w:rsidRDefault="00E823E6">
            <w:pPr>
              <w:keepNext/>
              <w:keepLines/>
              <w:widowControl w:val="0"/>
              <w:autoSpaceDN w:val="0"/>
              <w:jc w:val="center"/>
              <w:rPr>
                <w:rFonts w:ascii="Arial Narrow" w:hAnsi="Arial Narrow" w:cs="Arial"/>
                <w:color w:val="000000"/>
                <w:sz w:val="20"/>
                <w:szCs w:val="20"/>
              </w:rPr>
            </w:pPr>
            <w:r w:rsidRPr="00583C88">
              <w:rPr>
                <w:rFonts w:ascii="Arial Narrow" w:hAnsi="Arial Narrow" w:cs="Calibri"/>
                <w:color w:val="000000"/>
                <w:sz w:val="20"/>
                <w:szCs w:val="20"/>
              </w:rPr>
              <w:t>TOTAL</w:t>
            </w:r>
          </w:p>
        </w:tc>
        <w:tc>
          <w:tcPr>
            <w:tcW w:w="3060" w:type="dxa"/>
            <w:tcBorders>
              <w:top w:val="single" w:sz="8" w:space="0" w:color="auto"/>
              <w:left w:val="single" w:sz="8" w:space="0" w:color="auto"/>
              <w:bottom w:val="single" w:sz="8" w:space="0" w:color="auto"/>
              <w:right w:val="single" w:sz="8" w:space="0" w:color="auto"/>
            </w:tcBorders>
            <w:vAlign w:val="center"/>
          </w:tcPr>
          <w:p w:rsidR="00E823E6" w:rsidRDefault="00E823E6" w:rsidP="005E6135">
            <w:pPr>
              <w:keepNext/>
              <w:keepLines/>
              <w:widowControl w:val="0"/>
              <w:autoSpaceDN w:val="0"/>
              <w:rPr>
                <w:rFonts w:ascii="Arial Narrow" w:hAnsi="Arial Narrow" w:cs="Calibri"/>
                <w:color w:val="000000"/>
                <w:sz w:val="20"/>
                <w:szCs w:val="20"/>
              </w:rPr>
            </w:pPr>
          </w:p>
        </w:tc>
        <w:tc>
          <w:tcPr>
            <w:tcW w:w="990" w:type="dxa"/>
            <w:tcBorders>
              <w:top w:val="single" w:sz="8" w:space="0" w:color="auto"/>
              <w:left w:val="nil"/>
              <w:bottom w:val="single" w:sz="8" w:space="0" w:color="auto"/>
              <w:right w:val="single" w:sz="8" w:space="0" w:color="auto"/>
            </w:tcBorders>
            <w:noWrap/>
            <w:vAlign w:val="center"/>
          </w:tcPr>
          <w:p w:rsidR="00E823E6" w:rsidRPr="00641BA3" w:rsidRDefault="00EF6EB3">
            <w:pPr>
              <w:keepNext/>
              <w:keepLines/>
              <w:widowControl w:val="0"/>
              <w:autoSpaceDN w:val="0"/>
              <w:jc w:val="center"/>
              <w:rPr>
                <w:rFonts w:ascii="Arial Narrow" w:hAnsi="Arial Narrow" w:cs="Arial"/>
                <w:color w:val="000000"/>
                <w:sz w:val="20"/>
                <w:szCs w:val="20"/>
              </w:rPr>
            </w:pPr>
            <w:r>
              <w:rPr>
                <w:rFonts w:ascii="Arial Narrow" w:hAnsi="Arial Narrow" w:cs="Arial"/>
                <w:color w:val="000000"/>
                <w:sz w:val="20"/>
                <w:szCs w:val="20"/>
              </w:rPr>
              <w:t>1,600</w:t>
            </w:r>
          </w:p>
        </w:tc>
        <w:tc>
          <w:tcPr>
            <w:tcW w:w="1170" w:type="dxa"/>
            <w:tcBorders>
              <w:top w:val="single" w:sz="8" w:space="0" w:color="auto"/>
              <w:left w:val="nil"/>
              <w:bottom w:val="single" w:sz="8" w:space="0" w:color="auto"/>
              <w:right w:val="single" w:sz="8" w:space="0" w:color="auto"/>
            </w:tcBorders>
            <w:noWrap/>
            <w:vAlign w:val="center"/>
          </w:tcPr>
          <w:p w:rsidR="00E823E6" w:rsidRDefault="00E823E6">
            <w:pPr>
              <w:keepNext/>
              <w:keepLines/>
              <w:widowControl w:val="0"/>
              <w:autoSpaceDN w:val="0"/>
              <w:jc w:val="center"/>
              <w:rPr>
                <w:rFonts w:ascii="Arial Narrow" w:hAnsi="Arial Narrow" w:cs="Calibri"/>
                <w:color w:val="000000"/>
                <w:sz w:val="20"/>
                <w:szCs w:val="20"/>
              </w:rPr>
            </w:pPr>
          </w:p>
        </w:tc>
        <w:tc>
          <w:tcPr>
            <w:tcW w:w="1080" w:type="dxa"/>
            <w:tcBorders>
              <w:top w:val="single" w:sz="8" w:space="0" w:color="auto"/>
              <w:left w:val="nil"/>
              <w:bottom w:val="single" w:sz="8" w:space="0" w:color="auto"/>
              <w:right w:val="single" w:sz="8" w:space="0" w:color="auto"/>
            </w:tcBorders>
            <w:noWrap/>
            <w:vAlign w:val="center"/>
          </w:tcPr>
          <w:p w:rsidR="00E823E6" w:rsidRDefault="00EF6EB3">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3,200</w:t>
            </w:r>
          </w:p>
        </w:tc>
        <w:tc>
          <w:tcPr>
            <w:tcW w:w="990" w:type="dxa"/>
            <w:tcBorders>
              <w:top w:val="single" w:sz="8" w:space="0" w:color="auto"/>
              <w:left w:val="nil"/>
              <w:bottom w:val="single" w:sz="8" w:space="0" w:color="auto"/>
              <w:right w:val="single" w:sz="8" w:space="0" w:color="auto"/>
            </w:tcBorders>
            <w:noWrap/>
            <w:vAlign w:val="center"/>
          </w:tcPr>
          <w:p w:rsidR="00E823E6" w:rsidRDefault="00E823E6" w:rsidP="00F87A66">
            <w:pPr>
              <w:keepNext/>
              <w:keepLines/>
              <w:widowControl w:val="0"/>
              <w:autoSpaceDN w:val="0"/>
              <w:jc w:val="center"/>
              <w:rPr>
                <w:rFonts w:ascii="Arial Narrow" w:hAnsi="Arial Narrow" w:cs="Calibri"/>
                <w:color w:val="000000"/>
                <w:sz w:val="20"/>
                <w:szCs w:val="20"/>
              </w:rPr>
            </w:pPr>
          </w:p>
        </w:tc>
        <w:tc>
          <w:tcPr>
            <w:tcW w:w="1260" w:type="dxa"/>
            <w:tcBorders>
              <w:top w:val="single" w:sz="8" w:space="0" w:color="auto"/>
              <w:left w:val="nil"/>
              <w:bottom w:val="single" w:sz="8" w:space="0" w:color="auto"/>
              <w:right w:val="single" w:sz="8" w:space="0" w:color="auto"/>
            </w:tcBorders>
            <w:noWrap/>
            <w:vAlign w:val="center"/>
          </w:tcPr>
          <w:p w:rsidR="00E823E6" w:rsidRDefault="00EF6EB3" w:rsidP="00F87A66">
            <w:pPr>
              <w:keepNext/>
              <w:keepLines/>
              <w:widowControl w:val="0"/>
              <w:autoSpaceDN w:val="0"/>
              <w:jc w:val="center"/>
              <w:rPr>
                <w:rFonts w:ascii="Arial Narrow" w:hAnsi="Arial Narrow" w:cs="Calibri"/>
                <w:color w:val="000000"/>
                <w:sz w:val="20"/>
                <w:szCs w:val="20"/>
              </w:rPr>
            </w:pPr>
            <w:r>
              <w:rPr>
                <w:rFonts w:ascii="Arial Narrow" w:hAnsi="Arial Narrow" w:cs="Calibri"/>
                <w:color w:val="000000"/>
                <w:sz w:val="20"/>
                <w:szCs w:val="20"/>
              </w:rPr>
              <w:t>3,200</w:t>
            </w:r>
          </w:p>
        </w:tc>
      </w:tr>
    </w:tbl>
    <w:p w:rsidR="009E3D48" w:rsidRDefault="0047046A" w:rsidP="006007BC">
      <w:pPr>
        <w:autoSpaceDE w:val="0"/>
        <w:autoSpaceDN w:val="0"/>
        <w:adjustRightInd w:val="0"/>
        <w:ind w:left="540"/>
        <w:rPr>
          <w:rFonts w:cs="Times New Roman"/>
          <w:szCs w:val="24"/>
        </w:rPr>
      </w:pPr>
      <w:r>
        <w:rPr>
          <w:rFonts w:cs="Times New Roman"/>
          <w:szCs w:val="24"/>
        </w:rPr>
        <w:tab/>
      </w:r>
      <w:r w:rsidRPr="00DC1585">
        <w:rPr>
          <w:rFonts w:cs="Times New Roman"/>
          <w:szCs w:val="24"/>
        </w:rPr>
        <w:tab/>
      </w:r>
    </w:p>
    <w:p w:rsidR="00F86E0A" w:rsidRDefault="00F86E0A" w:rsidP="006007BC">
      <w:pPr>
        <w:autoSpaceDE w:val="0"/>
        <w:autoSpaceDN w:val="0"/>
        <w:adjustRightInd w:val="0"/>
        <w:ind w:left="540"/>
        <w:rPr>
          <w:szCs w:val="24"/>
        </w:rPr>
      </w:pPr>
    </w:p>
    <w:p w:rsidR="00EF6EB3" w:rsidRPr="00DC1585" w:rsidRDefault="00EF6EB3" w:rsidP="006007BC">
      <w:pPr>
        <w:autoSpaceDE w:val="0"/>
        <w:autoSpaceDN w:val="0"/>
        <w:adjustRightInd w:val="0"/>
        <w:ind w:left="540"/>
        <w:rPr>
          <w:szCs w:val="24"/>
        </w:rPr>
      </w:pPr>
    </w:p>
    <w:p w:rsidR="009E3D48" w:rsidRPr="00DC1585" w:rsidRDefault="009E3D48" w:rsidP="006007BC">
      <w:pPr>
        <w:pStyle w:val="ListParagraph"/>
        <w:numPr>
          <w:ilvl w:val="0"/>
          <w:numId w:val="1"/>
        </w:numPr>
        <w:tabs>
          <w:tab w:val="left" w:pos="540"/>
        </w:tabs>
        <w:ind w:left="540" w:hanging="810"/>
        <w:rPr>
          <w:rFonts w:asciiTheme="minorHAnsi" w:hAnsiTheme="minorHAnsi"/>
          <w:b/>
          <w:sz w:val="22"/>
          <w:u w:val="single"/>
        </w:rPr>
      </w:pPr>
      <w:r w:rsidRPr="00DC1585">
        <w:rPr>
          <w:rFonts w:asciiTheme="minorHAnsi" w:hAnsiTheme="minorHAnsi"/>
          <w:b/>
          <w:sz w:val="22"/>
          <w:u w:val="single"/>
        </w:rPr>
        <w:t xml:space="preserve">ESTIMATED TOTAL ANNUAL COST BURDEN TO RESPONDENTS </w:t>
      </w:r>
    </w:p>
    <w:p w:rsidR="009E3D48" w:rsidRPr="00F87A66" w:rsidRDefault="009E3D48" w:rsidP="009E3D48">
      <w:pPr>
        <w:tabs>
          <w:tab w:val="left" w:pos="540"/>
        </w:tabs>
        <w:ind w:left="540" w:hanging="540"/>
        <w:rPr>
          <w:rFonts w:asciiTheme="minorHAnsi" w:hAnsiTheme="minorHAnsi"/>
          <w:b/>
          <w:sz w:val="22"/>
        </w:rPr>
      </w:pPr>
    </w:p>
    <w:p w:rsidR="00F46223" w:rsidRPr="00F87A66" w:rsidRDefault="009E3D48" w:rsidP="009E3D48">
      <w:pPr>
        <w:tabs>
          <w:tab w:val="left" w:pos="540"/>
        </w:tabs>
        <w:ind w:left="540" w:hanging="540"/>
        <w:rPr>
          <w:rFonts w:asciiTheme="minorHAnsi" w:hAnsiTheme="minorHAnsi"/>
          <w:sz w:val="22"/>
        </w:rPr>
      </w:pPr>
      <w:r w:rsidRPr="00F87A66">
        <w:rPr>
          <w:rFonts w:asciiTheme="minorHAnsi" w:hAnsiTheme="minorHAnsi"/>
          <w:sz w:val="22"/>
        </w:rPr>
        <w:tab/>
      </w:r>
      <w:bookmarkStart w:id="3" w:name="_Hlk5220256"/>
      <w:r w:rsidR="00A648C2" w:rsidRPr="00F87A66">
        <w:rPr>
          <w:rFonts w:asciiTheme="minorHAnsi" w:hAnsiTheme="minorHAnsi"/>
          <w:sz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r w:rsidR="009302A1">
        <w:rPr>
          <w:rFonts w:asciiTheme="minorHAnsi" w:hAnsiTheme="minorHAnsi"/>
          <w:sz w:val="22"/>
        </w:rPr>
        <w:t xml:space="preserve">   </w:t>
      </w:r>
      <w:bookmarkEnd w:id="3"/>
    </w:p>
    <w:p w:rsidR="009E3D48" w:rsidRPr="00DC1585" w:rsidRDefault="009E3D48"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E7194C">
        <w:rPr>
          <w:rFonts w:asciiTheme="minorHAnsi" w:hAnsiTheme="minorHAnsi"/>
          <w:b/>
          <w:sz w:val="22"/>
          <w:u w:val="single"/>
        </w:rPr>
        <w:t>ES</w:t>
      </w:r>
      <w:r w:rsidRPr="00EF6EB3">
        <w:rPr>
          <w:rFonts w:asciiTheme="minorHAnsi" w:hAnsiTheme="minorHAnsi"/>
          <w:b/>
          <w:sz w:val="22"/>
          <w:u w:val="single"/>
        </w:rPr>
        <w:t>TIMATED</w:t>
      </w:r>
      <w:r w:rsidRPr="00DC1585">
        <w:rPr>
          <w:rFonts w:asciiTheme="minorHAnsi" w:hAnsiTheme="minorHAnsi"/>
          <w:b/>
          <w:sz w:val="22"/>
          <w:u w:val="single"/>
        </w:rPr>
        <w:t xml:space="preserve"> ANNUALIZED COST TO THE FEDERAL GOVERNMENT </w:t>
      </w:r>
    </w:p>
    <w:p w:rsidR="00D463E0" w:rsidRDefault="00D463E0" w:rsidP="009E3D48">
      <w:pPr>
        <w:tabs>
          <w:tab w:val="left" w:pos="540"/>
        </w:tabs>
        <w:ind w:left="540" w:hanging="540"/>
        <w:rPr>
          <w:rFonts w:asciiTheme="minorHAnsi" w:hAnsiTheme="minorHAnsi"/>
          <w:b/>
          <w:sz w:val="22"/>
        </w:rPr>
      </w:pPr>
    </w:p>
    <w:p w:rsidR="00F240B3" w:rsidRDefault="00F86E0A" w:rsidP="00F240B3">
      <w:pPr>
        <w:tabs>
          <w:tab w:val="left" w:pos="540"/>
        </w:tabs>
        <w:ind w:left="540" w:hanging="540"/>
        <w:rPr>
          <w:rFonts w:asciiTheme="minorHAnsi" w:hAnsiTheme="minorHAnsi"/>
          <w:sz w:val="22"/>
        </w:rPr>
      </w:pPr>
      <w:r>
        <w:rPr>
          <w:rFonts w:asciiTheme="minorHAnsi" w:hAnsiTheme="minorHAnsi"/>
          <w:b/>
          <w:sz w:val="22"/>
        </w:rPr>
        <w:t xml:space="preserve">           </w:t>
      </w:r>
      <w:r w:rsidRPr="00F86E0A">
        <w:rPr>
          <w:rFonts w:asciiTheme="minorHAnsi" w:hAnsiTheme="minorHAnsi"/>
          <w:sz w:val="22"/>
        </w:rPr>
        <w:t xml:space="preserve">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   </w:t>
      </w:r>
    </w:p>
    <w:p w:rsidR="00F86E0A" w:rsidRPr="00F86E0A" w:rsidRDefault="00F86E0A" w:rsidP="00F240B3">
      <w:pPr>
        <w:tabs>
          <w:tab w:val="left" w:pos="540"/>
        </w:tabs>
        <w:ind w:left="540" w:hanging="540"/>
        <w:rPr>
          <w:rFonts w:asciiTheme="minorHAnsi" w:hAnsiTheme="minorHAnsi"/>
          <w:sz w:val="22"/>
        </w:rPr>
      </w:pPr>
    </w:p>
    <w:p w:rsidR="00DB3926"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EF6EB3">
        <w:rPr>
          <w:rFonts w:asciiTheme="minorHAnsi" w:hAnsiTheme="minorHAnsi"/>
          <w:b/>
          <w:sz w:val="22"/>
          <w:u w:val="single"/>
        </w:rPr>
        <w:t>REASON</w:t>
      </w:r>
      <w:r w:rsidRPr="00583C88">
        <w:rPr>
          <w:rFonts w:asciiTheme="minorHAnsi" w:hAnsiTheme="minorHAnsi"/>
          <w:b/>
          <w:sz w:val="22"/>
          <w:u w:val="single"/>
        </w:rPr>
        <w:t>S</w:t>
      </w:r>
      <w:r w:rsidRPr="00DC1585">
        <w:rPr>
          <w:rFonts w:asciiTheme="minorHAnsi" w:hAnsiTheme="minorHAnsi"/>
          <w:b/>
          <w:sz w:val="22"/>
          <w:u w:val="single"/>
        </w:rPr>
        <w:t xml:space="preserve"> FOR CHANGE IN BURDEN </w:t>
      </w:r>
    </w:p>
    <w:p w:rsidR="00DB3926" w:rsidRPr="00F87A66" w:rsidRDefault="00DB3926" w:rsidP="00DB3926">
      <w:pPr>
        <w:pStyle w:val="ListParagraph"/>
        <w:tabs>
          <w:tab w:val="left" w:pos="540"/>
        </w:tabs>
        <w:ind w:left="540"/>
        <w:rPr>
          <w:rFonts w:asciiTheme="minorHAnsi" w:hAnsiTheme="minorHAnsi"/>
          <w:b/>
          <w:sz w:val="22"/>
        </w:rPr>
      </w:pPr>
    </w:p>
    <w:p w:rsidR="00CB358B" w:rsidRDefault="00F86E0A" w:rsidP="00F86E0A">
      <w:pPr>
        <w:tabs>
          <w:tab w:val="left" w:pos="540"/>
        </w:tabs>
        <w:ind w:left="540"/>
        <w:rPr>
          <w:rFonts w:asciiTheme="minorHAnsi" w:hAnsiTheme="minorHAnsi"/>
          <w:sz w:val="22"/>
        </w:rPr>
      </w:pPr>
      <w:r>
        <w:rPr>
          <w:rFonts w:asciiTheme="minorHAnsi" w:hAnsiTheme="minorHAnsi"/>
          <w:sz w:val="22"/>
        </w:rPr>
        <w:t>There have been no changes that would affect burden.</w:t>
      </w:r>
    </w:p>
    <w:p w:rsidR="0084728B" w:rsidRDefault="0084728B" w:rsidP="00DB3926">
      <w:pPr>
        <w:tabs>
          <w:tab w:val="left" w:pos="540"/>
        </w:tabs>
        <w:ind w:left="540" w:hanging="540"/>
        <w:rPr>
          <w:rFonts w:asciiTheme="minorHAnsi" w:hAnsiTheme="minorHAnsi"/>
          <w:sz w:val="22"/>
        </w:rPr>
      </w:pPr>
    </w:p>
    <w:tbl>
      <w:tblPr>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503"/>
        <w:gridCol w:w="1314"/>
        <w:gridCol w:w="1315"/>
        <w:gridCol w:w="1315"/>
        <w:gridCol w:w="1315"/>
        <w:gridCol w:w="1315"/>
        <w:gridCol w:w="1313"/>
      </w:tblGrid>
      <w:tr w:rsidR="0084728B" w:rsidRPr="0084728B" w:rsidTr="00D45E9D">
        <w:tc>
          <w:tcPr>
            <w:tcW w:w="801"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84728B" w:rsidRPr="0084728B" w:rsidRDefault="0084728B" w:rsidP="0084728B">
            <w:pPr>
              <w:jc w:val="center"/>
              <w:rPr>
                <w:rFonts w:asciiTheme="minorHAnsi" w:eastAsia="Times New Roman" w:hAnsiTheme="minorHAnsi" w:cs="Arial"/>
                <w:b/>
                <w:bCs/>
                <w:color w:val="000000"/>
                <w:sz w:val="18"/>
                <w:szCs w:val="18"/>
              </w:rPr>
            </w:pPr>
            <w:r w:rsidRPr="0084728B">
              <w:rPr>
                <w:rFonts w:asciiTheme="minorHAnsi" w:eastAsia="Times New Roman" w:hAnsiTheme="minorHAnsi" w:cs="Arial"/>
                <w:b/>
                <w:bCs/>
                <w:color w:val="000000"/>
                <w:sz w:val="18"/>
                <w:szCs w:val="18"/>
              </w:rPr>
              <w:t>Previously Approved</w:t>
            </w:r>
          </w:p>
        </w:tc>
      </w:tr>
      <w:tr w:rsidR="0084728B" w:rsidRPr="0084728B" w:rsidTr="00C2679C">
        <w:tc>
          <w:tcPr>
            <w:tcW w:w="0" w:type="auto"/>
            <w:tcBorders>
              <w:top w:val="outset" w:sz="6" w:space="0" w:color="auto"/>
              <w:left w:val="outset" w:sz="6" w:space="0" w:color="auto"/>
              <w:bottom w:val="outset" w:sz="6" w:space="0" w:color="auto"/>
              <w:right w:val="outset" w:sz="6" w:space="0" w:color="auto"/>
            </w:tcBorders>
            <w:hideMark/>
          </w:tcPr>
          <w:p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Number of Responses</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EF6EB3"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1,600</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EF6EB3"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3,200</w:t>
            </w:r>
          </w:p>
        </w:tc>
      </w:tr>
      <w:tr w:rsidR="0084728B" w:rsidRPr="0084728B" w:rsidTr="00C2679C">
        <w:tc>
          <w:tcPr>
            <w:tcW w:w="0" w:type="auto"/>
            <w:tcBorders>
              <w:top w:val="outset" w:sz="6" w:space="0" w:color="auto"/>
              <w:left w:val="outset" w:sz="6" w:space="0" w:color="auto"/>
              <w:bottom w:val="outset" w:sz="6" w:space="0" w:color="auto"/>
              <w:right w:val="outset" w:sz="6" w:space="0" w:color="auto"/>
            </w:tcBorders>
            <w:hideMark/>
          </w:tcPr>
          <w:p w:rsidR="0084728B" w:rsidRPr="0084728B" w:rsidRDefault="0084728B" w:rsidP="0084728B">
            <w:pPr>
              <w:rPr>
                <w:rFonts w:asciiTheme="minorHAnsi" w:eastAsia="Times New Roman" w:hAnsiTheme="minorHAnsi" w:cs="Arial"/>
                <w:color w:val="000000"/>
                <w:sz w:val="18"/>
                <w:szCs w:val="18"/>
              </w:rPr>
            </w:pPr>
            <w:r w:rsidRPr="0084728B">
              <w:rPr>
                <w:rFonts w:asciiTheme="minorHAnsi" w:eastAsia="Times New Roman" w:hAnsiTheme="minorHAnsi" w:cs="Arial"/>
                <w:color w:val="000000"/>
                <w:sz w:val="18"/>
                <w:szCs w:val="18"/>
              </w:rPr>
              <w:t>Annual Time Burden (Hr)</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EF6EB3"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1,600</w:t>
            </w: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84728B" w:rsidP="0084728B">
            <w:pPr>
              <w:rPr>
                <w:rFonts w:asciiTheme="minorHAnsi" w:eastAsia="Times New Roman" w:hAnsiTheme="minorHAnsi" w:cs="Arial"/>
                <w:color w:val="000000"/>
                <w:sz w:val="18"/>
                <w:szCs w:val="18"/>
              </w:rPr>
            </w:pPr>
          </w:p>
        </w:tc>
        <w:tc>
          <w:tcPr>
            <w:tcW w:w="0" w:type="auto"/>
            <w:tcBorders>
              <w:top w:val="outset" w:sz="6" w:space="0" w:color="auto"/>
              <w:left w:val="outset" w:sz="6" w:space="0" w:color="auto"/>
              <w:bottom w:val="outset" w:sz="6" w:space="0" w:color="auto"/>
              <w:right w:val="outset" w:sz="6" w:space="0" w:color="auto"/>
            </w:tcBorders>
          </w:tcPr>
          <w:p w:rsidR="0084728B" w:rsidRPr="0084728B" w:rsidRDefault="00EF6EB3" w:rsidP="0084728B">
            <w:pPr>
              <w:rPr>
                <w:rFonts w:asciiTheme="minorHAnsi" w:eastAsia="Times New Roman" w:hAnsiTheme="minorHAnsi" w:cs="Arial"/>
                <w:color w:val="000000"/>
                <w:sz w:val="18"/>
                <w:szCs w:val="18"/>
              </w:rPr>
            </w:pPr>
            <w:r>
              <w:rPr>
                <w:rFonts w:asciiTheme="minorHAnsi" w:eastAsia="Times New Roman" w:hAnsiTheme="minorHAnsi" w:cs="Arial"/>
                <w:color w:val="000000"/>
                <w:sz w:val="18"/>
                <w:szCs w:val="18"/>
              </w:rPr>
              <w:t>3,</w:t>
            </w:r>
            <w:r w:rsidR="002E0ED0">
              <w:rPr>
                <w:rFonts w:asciiTheme="minorHAnsi" w:eastAsia="Times New Roman" w:hAnsiTheme="minorHAnsi" w:cs="Arial"/>
                <w:color w:val="000000"/>
                <w:sz w:val="18"/>
                <w:szCs w:val="18"/>
              </w:rPr>
              <w:t>200</w:t>
            </w:r>
          </w:p>
        </w:tc>
      </w:tr>
    </w:tbl>
    <w:p w:rsidR="0084728B" w:rsidRDefault="0084728B" w:rsidP="00DB3926">
      <w:pPr>
        <w:tabs>
          <w:tab w:val="left" w:pos="540"/>
        </w:tabs>
        <w:ind w:left="540" w:hanging="540"/>
        <w:rPr>
          <w:rFonts w:asciiTheme="minorHAnsi" w:hAnsiTheme="minorHAnsi"/>
          <w:sz w:val="22"/>
        </w:rPr>
      </w:pPr>
    </w:p>
    <w:p w:rsidR="00583C88" w:rsidRDefault="00583C88" w:rsidP="00DB3926">
      <w:pPr>
        <w:tabs>
          <w:tab w:val="left" w:pos="540"/>
        </w:tabs>
        <w:ind w:left="540" w:hanging="540"/>
        <w:rPr>
          <w:rFonts w:asciiTheme="minorHAnsi" w:hAnsiTheme="minorHAnsi"/>
          <w:sz w:val="22"/>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PLANS FOR TABULATION, STATISTICAL ANALYSIS AND PUBLICATION </w:t>
      </w:r>
    </w:p>
    <w:p w:rsidR="009E3D48" w:rsidRPr="00F87A66" w:rsidRDefault="009E3D48" w:rsidP="009E3D48">
      <w:pPr>
        <w:tabs>
          <w:tab w:val="left" w:pos="540"/>
        </w:tabs>
        <w:ind w:left="540" w:hanging="540"/>
        <w:rPr>
          <w:rFonts w:asciiTheme="minorHAnsi" w:hAnsiTheme="minorHAnsi"/>
          <w:sz w:val="22"/>
        </w:rPr>
      </w:pPr>
    </w:p>
    <w:p w:rsidR="0004104E" w:rsidRPr="00F87A66" w:rsidRDefault="0004104E" w:rsidP="0004104E">
      <w:pPr>
        <w:tabs>
          <w:tab w:val="left" w:pos="540"/>
        </w:tabs>
        <w:ind w:left="540" w:hanging="540"/>
        <w:rPr>
          <w:rFonts w:asciiTheme="minorHAnsi" w:hAnsiTheme="minorHAnsi"/>
          <w:sz w:val="22"/>
        </w:rPr>
      </w:pPr>
      <w:r w:rsidRPr="00F87A66">
        <w:rPr>
          <w:rFonts w:asciiTheme="minorHAnsi" w:hAnsiTheme="minorHAnsi"/>
          <w:sz w:val="22"/>
        </w:rPr>
        <w:tab/>
      </w:r>
      <w:r w:rsidR="00A648C2" w:rsidRPr="00F87A66">
        <w:rPr>
          <w:rFonts w:asciiTheme="minorHAnsi" w:hAnsiTheme="minorHAnsi"/>
          <w:sz w:val="22"/>
        </w:rPr>
        <w:t>There are no plans for tabulation, statistical analysis, and publication.</w:t>
      </w:r>
    </w:p>
    <w:p w:rsidR="00D463E0" w:rsidRPr="00DC1585" w:rsidRDefault="00D463E0" w:rsidP="009E3D48">
      <w:pPr>
        <w:tabs>
          <w:tab w:val="left" w:pos="540"/>
        </w:tabs>
        <w:ind w:left="540" w:hanging="540"/>
        <w:rPr>
          <w:rFonts w:asciiTheme="minorHAnsi" w:hAnsiTheme="minorHAnsi"/>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 xml:space="preserve">REASONS WHY DISPLAYING THE OMB EXPIRATION DATE IS INAPPROPRIATE </w:t>
      </w:r>
    </w:p>
    <w:p w:rsidR="009E3D48" w:rsidRPr="00F87A66" w:rsidRDefault="009E3D48" w:rsidP="009E3D48">
      <w:pPr>
        <w:tabs>
          <w:tab w:val="left" w:pos="540"/>
        </w:tabs>
        <w:ind w:left="540" w:hanging="540"/>
        <w:rPr>
          <w:rFonts w:asciiTheme="minorHAnsi" w:hAnsiTheme="minorHAnsi"/>
          <w:b/>
          <w:sz w:val="22"/>
        </w:rPr>
      </w:pPr>
    </w:p>
    <w:p w:rsidR="0004104E" w:rsidRPr="00F87A66" w:rsidRDefault="004606C9" w:rsidP="004606C9">
      <w:pPr>
        <w:tabs>
          <w:tab w:val="left" w:pos="540"/>
        </w:tabs>
        <w:ind w:left="540"/>
        <w:rPr>
          <w:rFonts w:asciiTheme="minorHAnsi" w:hAnsiTheme="minorHAnsi"/>
          <w:sz w:val="22"/>
        </w:rPr>
      </w:pPr>
      <w:r w:rsidRPr="004606C9">
        <w:rPr>
          <w:rFonts w:asciiTheme="minorHAnsi" w:hAnsiTheme="minorHAnsi"/>
          <w:sz w:val="22"/>
        </w:rPr>
        <w:t xml:space="preserve">IRS believes that displaying the OMB expiration date is inappropriate because it could cause confusion by leading taxpayers to believe that the </w:t>
      </w:r>
      <w:r>
        <w:rPr>
          <w:rFonts w:asciiTheme="minorHAnsi" w:hAnsiTheme="minorHAnsi"/>
          <w:sz w:val="22"/>
        </w:rPr>
        <w:t xml:space="preserve">regulations </w:t>
      </w:r>
      <w:r w:rsidRPr="004606C9">
        <w:rPr>
          <w:rFonts w:asciiTheme="minorHAnsi" w:hAnsiTheme="minorHAnsi"/>
          <w:sz w:val="22"/>
        </w:rPr>
        <w:t>sunsets</w:t>
      </w:r>
      <w:r>
        <w:rPr>
          <w:rFonts w:asciiTheme="minorHAnsi" w:hAnsiTheme="minorHAnsi"/>
          <w:sz w:val="22"/>
        </w:rPr>
        <w:t xml:space="preserve"> </w:t>
      </w:r>
      <w:r w:rsidRPr="004606C9">
        <w:rPr>
          <w:rFonts w:asciiTheme="minorHAnsi" w:hAnsiTheme="minorHAnsi"/>
          <w:sz w:val="22"/>
        </w:rPr>
        <w:t>as of the expiration date.  Taxpayers are not likely to be aware that the Service intends to request renewal of the OMB approval and obtain a new expiration date before the old one expires</w:t>
      </w:r>
      <w:r>
        <w:rPr>
          <w:rFonts w:asciiTheme="minorHAnsi" w:hAnsiTheme="minorHAnsi"/>
          <w:sz w:val="22"/>
        </w:rPr>
        <w:t>.</w:t>
      </w:r>
    </w:p>
    <w:p w:rsidR="00D463E0" w:rsidRPr="00DC1585" w:rsidRDefault="00D463E0" w:rsidP="009E3D48">
      <w:pPr>
        <w:tabs>
          <w:tab w:val="left" w:pos="540"/>
        </w:tabs>
        <w:ind w:left="540" w:hanging="540"/>
        <w:rPr>
          <w:rFonts w:asciiTheme="minorHAnsi" w:hAnsiTheme="minorHAnsi"/>
          <w:b/>
          <w:sz w:val="22"/>
          <w:u w:val="single"/>
        </w:rPr>
      </w:pPr>
    </w:p>
    <w:p w:rsidR="009E3D48" w:rsidRPr="00DC1585" w:rsidRDefault="009E3D48" w:rsidP="009E3D48">
      <w:pPr>
        <w:pStyle w:val="ListParagraph"/>
        <w:numPr>
          <w:ilvl w:val="0"/>
          <w:numId w:val="1"/>
        </w:numPr>
        <w:tabs>
          <w:tab w:val="left" w:pos="540"/>
        </w:tabs>
        <w:ind w:left="540" w:hanging="540"/>
        <w:rPr>
          <w:rFonts w:asciiTheme="minorHAnsi" w:hAnsiTheme="minorHAnsi"/>
          <w:b/>
          <w:sz w:val="22"/>
          <w:u w:val="single"/>
        </w:rPr>
      </w:pPr>
      <w:r w:rsidRPr="00DC1585">
        <w:rPr>
          <w:rFonts w:asciiTheme="minorHAnsi" w:hAnsiTheme="minorHAnsi"/>
          <w:b/>
          <w:sz w:val="22"/>
          <w:u w:val="single"/>
        </w:rPr>
        <w:t>EXCEPTIONS TO THE CERTIFICATION STATEMENT</w:t>
      </w:r>
    </w:p>
    <w:p w:rsidR="009E3D48" w:rsidRPr="00F87A66" w:rsidRDefault="009E3D48" w:rsidP="009E3D48">
      <w:pPr>
        <w:tabs>
          <w:tab w:val="left" w:pos="540"/>
        </w:tabs>
        <w:ind w:left="540" w:hanging="540"/>
        <w:rPr>
          <w:rFonts w:asciiTheme="minorHAnsi" w:hAnsiTheme="minorHAnsi"/>
          <w:sz w:val="22"/>
        </w:rPr>
      </w:pPr>
    </w:p>
    <w:p w:rsidR="00A648C2" w:rsidRPr="00F87A66" w:rsidRDefault="00A648C2" w:rsidP="00A648C2">
      <w:pPr>
        <w:ind w:left="540"/>
        <w:rPr>
          <w:rFonts w:asciiTheme="minorHAnsi" w:hAnsiTheme="minorHAnsi"/>
          <w:sz w:val="22"/>
        </w:rPr>
      </w:pPr>
      <w:r w:rsidRPr="00F87A66">
        <w:rPr>
          <w:rFonts w:asciiTheme="minorHAnsi" w:hAnsiTheme="minorHAnsi"/>
          <w:sz w:val="22"/>
        </w:rPr>
        <w:t xml:space="preserve"> There are no exceptions to the certification statement.</w:t>
      </w:r>
    </w:p>
    <w:p w:rsidR="0004104E" w:rsidRPr="00F87A66" w:rsidRDefault="0004104E" w:rsidP="0004104E">
      <w:pPr>
        <w:tabs>
          <w:tab w:val="left" w:pos="540"/>
        </w:tabs>
        <w:ind w:left="540" w:hanging="540"/>
        <w:rPr>
          <w:rFonts w:asciiTheme="minorHAnsi" w:hAnsiTheme="minorHAnsi"/>
          <w:sz w:val="22"/>
        </w:rPr>
      </w:pPr>
    </w:p>
    <w:p w:rsidR="0004104E"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Note:</w:t>
      </w:r>
      <w:r w:rsidRPr="00F87A66">
        <w:rPr>
          <w:rFonts w:asciiTheme="minorHAnsi" w:hAnsiTheme="minorHAnsi"/>
          <w:sz w:val="22"/>
        </w:rPr>
        <w:tab/>
        <w:t>The following paragraph applies to all of the collections of information in this submission:</w:t>
      </w:r>
    </w:p>
    <w:p w:rsidR="00CB358B" w:rsidRPr="00F87A66" w:rsidRDefault="00CB358B" w:rsidP="0004104E">
      <w:pPr>
        <w:tabs>
          <w:tab w:val="left" w:pos="720"/>
        </w:tabs>
        <w:ind w:left="720" w:hanging="720"/>
        <w:rPr>
          <w:rFonts w:asciiTheme="minorHAnsi" w:hAnsiTheme="minorHAnsi"/>
          <w:sz w:val="22"/>
        </w:rPr>
      </w:pPr>
    </w:p>
    <w:p w:rsidR="00D463E0" w:rsidRPr="00F87A66" w:rsidRDefault="0004104E" w:rsidP="0004104E">
      <w:pPr>
        <w:tabs>
          <w:tab w:val="left" w:pos="720"/>
        </w:tabs>
        <w:ind w:left="720" w:hanging="720"/>
        <w:rPr>
          <w:rFonts w:asciiTheme="minorHAnsi" w:hAnsiTheme="minorHAnsi"/>
          <w:sz w:val="22"/>
        </w:rPr>
      </w:pPr>
      <w:r w:rsidRPr="00F87A66">
        <w:rPr>
          <w:rFonts w:asciiTheme="minorHAnsi" w:hAnsiTheme="minorHAnsi"/>
          <w:sz w:val="22"/>
        </w:rPr>
        <w:tab/>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D463E0" w:rsidRPr="00F87A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E2" w:rsidRDefault="000179E2" w:rsidP="009E3D48">
      <w:r>
        <w:separator/>
      </w:r>
    </w:p>
  </w:endnote>
  <w:endnote w:type="continuationSeparator" w:id="0">
    <w:p w:rsidR="000179E2" w:rsidRDefault="000179E2" w:rsidP="009E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00687"/>
      <w:docPartObj>
        <w:docPartGallery w:val="Page Numbers (Bottom of Page)"/>
        <w:docPartUnique/>
      </w:docPartObj>
    </w:sdtPr>
    <w:sdtEndPr>
      <w:rPr>
        <w:noProof/>
      </w:rPr>
    </w:sdtEndPr>
    <w:sdtContent>
      <w:p w:rsidR="001B5BD6" w:rsidRDefault="001B5BD6">
        <w:pPr>
          <w:pStyle w:val="Footer"/>
          <w:jc w:val="right"/>
        </w:pPr>
        <w:r>
          <w:fldChar w:fldCharType="begin"/>
        </w:r>
        <w:r>
          <w:instrText xml:space="preserve"> PAGE   \* MERGEFORMAT </w:instrText>
        </w:r>
        <w:r>
          <w:fldChar w:fldCharType="separate"/>
        </w:r>
        <w:r w:rsidR="00360C5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E2" w:rsidRDefault="000179E2" w:rsidP="009E3D48">
      <w:r>
        <w:separator/>
      </w:r>
    </w:p>
  </w:footnote>
  <w:footnote w:type="continuationSeparator" w:id="0">
    <w:p w:rsidR="000179E2" w:rsidRDefault="000179E2" w:rsidP="009E3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219D"/>
    <w:multiLevelType w:val="hybridMultilevel"/>
    <w:tmpl w:val="5C5E0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48"/>
    <w:rsid w:val="000104BB"/>
    <w:rsid w:val="000179E2"/>
    <w:rsid w:val="000300B4"/>
    <w:rsid w:val="0004104E"/>
    <w:rsid w:val="000436BB"/>
    <w:rsid w:val="000720DB"/>
    <w:rsid w:val="0007317C"/>
    <w:rsid w:val="000841A5"/>
    <w:rsid w:val="00097F65"/>
    <w:rsid w:val="000D26FB"/>
    <w:rsid w:val="0012304F"/>
    <w:rsid w:val="0012312C"/>
    <w:rsid w:val="00132F0E"/>
    <w:rsid w:val="00144CE5"/>
    <w:rsid w:val="00153E5B"/>
    <w:rsid w:val="001616BC"/>
    <w:rsid w:val="0016207D"/>
    <w:rsid w:val="00163E8B"/>
    <w:rsid w:val="0017712A"/>
    <w:rsid w:val="00182BE3"/>
    <w:rsid w:val="00183523"/>
    <w:rsid w:val="00187B33"/>
    <w:rsid w:val="00190335"/>
    <w:rsid w:val="0019453D"/>
    <w:rsid w:val="00197CEF"/>
    <w:rsid w:val="001B5BD6"/>
    <w:rsid w:val="001D050E"/>
    <w:rsid w:val="001D1550"/>
    <w:rsid w:val="001E6DAA"/>
    <w:rsid w:val="001F656C"/>
    <w:rsid w:val="00235AD5"/>
    <w:rsid w:val="002456AB"/>
    <w:rsid w:val="002600AF"/>
    <w:rsid w:val="002736EC"/>
    <w:rsid w:val="00277A26"/>
    <w:rsid w:val="002911BE"/>
    <w:rsid w:val="002A463C"/>
    <w:rsid w:val="002C05CE"/>
    <w:rsid w:val="002C7C4B"/>
    <w:rsid w:val="002E0ED0"/>
    <w:rsid w:val="002E399E"/>
    <w:rsid w:val="00313D91"/>
    <w:rsid w:val="003178E8"/>
    <w:rsid w:val="00360C5C"/>
    <w:rsid w:val="003709BF"/>
    <w:rsid w:val="00377A8D"/>
    <w:rsid w:val="003965E9"/>
    <w:rsid w:val="003F254D"/>
    <w:rsid w:val="003F6658"/>
    <w:rsid w:val="00453441"/>
    <w:rsid w:val="00455DF9"/>
    <w:rsid w:val="004606C9"/>
    <w:rsid w:val="0047046A"/>
    <w:rsid w:val="004A6CD9"/>
    <w:rsid w:val="004C6454"/>
    <w:rsid w:val="004E6B1C"/>
    <w:rsid w:val="005247E6"/>
    <w:rsid w:val="00550E5B"/>
    <w:rsid w:val="00576A09"/>
    <w:rsid w:val="00583C88"/>
    <w:rsid w:val="005B773F"/>
    <w:rsid w:val="005D75B6"/>
    <w:rsid w:val="005E6135"/>
    <w:rsid w:val="006007BC"/>
    <w:rsid w:val="006031DF"/>
    <w:rsid w:val="00617F74"/>
    <w:rsid w:val="00637C90"/>
    <w:rsid w:val="00641BA3"/>
    <w:rsid w:val="00651FD9"/>
    <w:rsid w:val="006546DD"/>
    <w:rsid w:val="00694B45"/>
    <w:rsid w:val="006A4019"/>
    <w:rsid w:val="006A7D3C"/>
    <w:rsid w:val="006B08BA"/>
    <w:rsid w:val="00700CA4"/>
    <w:rsid w:val="00716113"/>
    <w:rsid w:val="00732204"/>
    <w:rsid w:val="00736DBB"/>
    <w:rsid w:val="00745F68"/>
    <w:rsid w:val="00750E5E"/>
    <w:rsid w:val="00770EAA"/>
    <w:rsid w:val="007C611A"/>
    <w:rsid w:val="00801000"/>
    <w:rsid w:val="008208C7"/>
    <w:rsid w:val="0084728B"/>
    <w:rsid w:val="00867DE2"/>
    <w:rsid w:val="00895855"/>
    <w:rsid w:val="008A247E"/>
    <w:rsid w:val="008B7538"/>
    <w:rsid w:val="008C61F0"/>
    <w:rsid w:val="008F35C9"/>
    <w:rsid w:val="009015EE"/>
    <w:rsid w:val="009078DC"/>
    <w:rsid w:val="009302A1"/>
    <w:rsid w:val="00946CFC"/>
    <w:rsid w:val="0096150B"/>
    <w:rsid w:val="00964FD7"/>
    <w:rsid w:val="00996DDD"/>
    <w:rsid w:val="009975B2"/>
    <w:rsid w:val="009A2892"/>
    <w:rsid w:val="009B164F"/>
    <w:rsid w:val="009E3D48"/>
    <w:rsid w:val="00A163F1"/>
    <w:rsid w:val="00A24315"/>
    <w:rsid w:val="00A35947"/>
    <w:rsid w:val="00A633B2"/>
    <w:rsid w:val="00A648C2"/>
    <w:rsid w:val="00A751EF"/>
    <w:rsid w:val="00A873B0"/>
    <w:rsid w:val="00AA034F"/>
    <w:rsid w:val="00AC6E22"/>
    <w:rsid w:val="00AE0BE9"/>
    <w:rsid w:val="00B041DE"/>
    <w:rsid w:val="00B23E9D"/>
    <w:rsid w:val="00B248B3"/>
    <w:rsid w:val="00B70C5C"/>
    <w:rsid w:val="00B860C5"/>
    <w:rsid w:val="00BD1F42"/>
    <w:rsid w:val="00BE131C"/>
    <w:rsid w:val="00C14F69"/>
    <w:rsid w:val="00C25CB7"/>
    <w:rsid w:val="00C2679C"/>
    <w:rsid w:val="00C526C2"/>
    <w:rsid w:val="00C5319F"/>
    <w:rsid w:val="00CA65F8"/>
    <w:rsid w:val="00CB358B"/>
    <w:rsid w:val="00CF61FE"/>
    <w:rsid w:val="00D01D12"/>
    <w:rsid w:val="00D01E6A"/>
    <w:rsid w:val="00D04DF8"/>
    <w:rsid w:val="00D07FD5"/>
    <w:rsid w:val="00D463E0"/>
    <w:rsid w:val="00D47DDC"/>
    <w:rsid w:val="00D91961"/>
    <w:rsid w:val="00D92C35"/>
    <w:rsid w:val="00DB3926"/>
    <w:rsid w:val="00DC1585"/>
    <w:rsid w:val="00DD050B"/>
    <w:rsid w:val="00DF446C"/>
    <w:rsid w:val="00DF6A65"/>
    <w:rsid w:val="00E20185"/>
    <w:rsid w:val="00E26FB6"/>
    <w:rsid w:val="00E378C3"/>
    <w:rsid w:val="00E37E63"/>
    <w:rsid w:val="00E7194C"/>
    <w:rsid w:val="00E729D0"/>
    <w:rsid w:val="00E80358"/>
    <w:rsid w:val="00E823E6"/>
    <w:rsid w:val="00EB0140"/>
    <w:rsid w:val="00EB5D43"/>
    <w:rsid w:val="00EB6683"/>
    <w:rsid w:val="00EC0F2D"/>
    <w:rsid w:val="00ED3A16"/>
    <w:rsid w:val="00EF6EB3"/>
    <w:rsid w:val="00F011BC"/>
    <w:rsid w:val="00F02F40"/>
    <w:rsid w:val="00F13210"/>
    <w:rsid w:val="00F240B3"/>
    <w:rsid w:val="00F46223"/>
    <w:rsid w:val="00F816AF"/>
    <w:rsid w:val="00F82330"/>
    <w:rsid w:val="00F86E0A"/>
    <w:rsid w:val="00F87A66"/>
    <w:rsid w:val="00F972DB"/>
    <w:rsid w:val="00FB0C4B"/>
    <w:rsid w:val="00FB42DF"/>
    <w:rsid w:val="00FB7B94"/>
    <w:rsid w:val="00FC0613"/>
    <w:rsid w:val="00FD1B34"/>
    <w:rsid w:val="00FD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D48"/>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9E3D48"/>
    <w:pPr>
      <w:ind w:left="720"/>
      <w:contextualSpacing/>
    </w:pPr>
  </w:style>
  <w:style w:type="paragraph" w:styleId="Header">
    <w:name w:val="header"/>
    <w:basedOn w:val="Normal"/>
    <w:link w:val="HeaderChar"/>
    <w:uiPriority w:val="99"/>
    <w:unhideWhenUsed/>
    <w:rsid w:val="009E3D48"/>
    <w:pPr>
      <w:tabs>
        <w:tab w:val="center" w:pos="4680"/>
        <w:tab w:val="right" w:pos="9360"/>
      </w:tabs>
    </w:pPr>
  </w:style>
  <w:style w:type="character" w:customStyle="1" w:styleId="HeaderChar">
    <w:name w:val="Header Char"/>
    <w:basedOn w:val="DefaultParagraphFont"/>
    <w:link w:val="Header"/>
    <w:uiPriority w:val="99"/>
    <w:rsid w:val="009E3D48"/>
  </w:style>
  <w:style w:type="paragraph" w:styleId="Footer">
    <w:name w:val="footer"/>
    <w:basedOn w:val="Normal"/>
    <w:link w:val="FooterChar"/>
    <w:uiPriority w:val="99"/>
    <w:unhideWhenUsed/>
    <w:rsid w:val="009E3D48"/>
    <w:pPr>
      <w:tabs>
        <w:tab w:val="center" w:pos="4680"/>
        <w:tab w:val="right" w:pos="9360"/>
      </w:tabs>
    </w:pPr>
  </w:style>
  <w:style w:type="character" w:customStyle="1" w:styleId="FooterChar">
    <w:name w:val="Footer Char"/>
    <w:basedOn w:val="DefaultParagraphFont"/>
    <w:link w:val="Footer"/>
    <w:uiPriority w:val="99"/>
    <w:rsid w:val="009E3D48"/>
  </w:style>
  <w:style w:type="paragraph" w:styleId="BalloonText">
    <w:name w:val="Balloon Text"/>
    <w:basedOn w:val="Normal"/>
    <w:link w:val="BalloonTextChar"/>
    <w:uiPriority w:val="99"/>
    <w:semiHidden/>
    <w:unhideWhenUsed/>
    <w:rsid w:val="00DB3926"/>
    <w:rPr>
      <w:rFonts w:ascii="Tahoma" w:hAnsi="Tahoma" w:cs="Tahoma"/>
      <w:sz w:val="16"/>
      <w:szCs w:val="16"/>
    </w:rPr>
  </w:style>
  <w:style w:type="character" w:customStyle="1" w:styleId="BalloonTextChar">
    <w:name w:val="Balloon Text Char"/>
    <w:basedOn w:val="DefaultParagraphFont"/>
    <w:link w:val="BalloonText"/>
    <w:uiPriority w:val="99"/>
    <w:semiHidden/>
    <w:rsid w:val="00DB3926"/>
    <w:rPr>
      <w:rFonts w:ascii="Tahoma" w:hAnsi="Tahoma" w:cs="Tahoma"/>
      <w:sz w:val="16"/>
      <w:szCs w:val="16"/>
    </w:rPr>
  </w:style>
  <w:style w:type="character" w:styleId="Hyperlink">
    <w:name w:val="Hyperlink"/>
    <w:basedOn w:val="DefaultParagraphFont"/>
    <w:uiPriority w:val="99"/>
    <w:unhideWhenUsed/>
    <w:rsid w:val="00F972DB"/>
    <w:rPr>
      <w:color w:val="0000FF" w:themeColor="hyperlink"/>
      <w:u w:val="single"/>
    </w:rPr>
  </w:style>
  <w:style w:type="character" w:customStyle="1" w:styleId="UnresolvedMention1">
    <w:name w:val="Unresolved Mention1"/>
    <w:basedOn w:val="DefaultParagraphFont"/>
    <w:uiPriority w:val="99"/>
    <w:semiHidden/>
    <w:unhideWhenUsed/>
    <w:rsid w:val="001D1550"/>
    <w:rPr>
      <w:color w:val="808080"/>
      <w:shd w:val="clear" w:color="auto" w:fill="E6E6E6"/>
    </w:rPr>
  </w:style>
  <w:style w:type="character" w:customStyle="1" w:styleId="UnresolvedMention2">
    <w:name w:val="Unresolved Mention2"/>
    <w:basedOn w:val="DefaultParagraphFont"/>
    <w:uiPriority w:val="99"/>
    <w:semiHidden/>
    <w:unhideWhenUsed/>
    <w:rsid w:val="00182BE3"/>
    <w:rPr>
      <w:color w:val="808080"/>
      <w:shd w:val="clear" w:color="auto" w:fill="E6E6E6"/>
    </w:rPr>
  </w:style>
  <w:style w:type="character" w:customStyle="1" w:styleId="UnresolvedMention3">
    <w:name w:val="Unresolved Mention3"/>
    <w:basedOn w:val="DefaultParagraphFont"/>
    <w:uiPriority w:val="99"/>
    <w:semiHidden/>
    <w:unhideWhenUsed/>
    <w:rsid w:val="00617F74"/>
    <w:rPr>
      <w:color w:val="808080"/>
      <w:shd w:val="clear" w:color="auto" w:fill="E6E6E6"/>
    </w:rPr>
  </w:style>
  <w:style w:type="character" w:customStyle="1" w:styleId="UnresolvedMention4">
    <w:name w:val="Unresolved Mention4"/>
    <w:basedOn w:val="DefaultParagraphFont"/>
    <w:uiPriority w:val="99"/>
    <w:semiHidden/>
    <w:unhideWhenUsed/>
    <w:rsid w:val="00BE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7386">
      <w:bodyDiv w:val="1"/>
      <w:marLeft w:val="0"/>
      <w:marRight w:val="0"/>
      <w:marTop w:val="0"/>
      <w:marBottom w:val="0"/>
      <w:divBdr>
        <w:top w:val="none" w:sz="0" w:space="0" w:color="auto"/>
        <w:left w:val="none" w:sz="0" w:space="0" w:color="auto"/>
        <w:bottom w:val="none" w:sz="0" w:space="0" w:color="auto"/>
        <w:right w:val="none" w:sz="0" w:space="0" w:color="auto"/>
      </w:divBdr>
      <w:divsChild>
        <w:div w:id="1261259205">
          <w:marLeft w:val="0"/>
          <w:marRight w:val="0"/>
          <w:marTop w:val="0"/>
          <w:marBottom w:val="0"/>
          <w:divBdr>
            <w:top w:val="none" w:sz="0" w:space="0" w:color="auto"/>
            <w:left w:val="none" w:sz="0" w:space="0" w:color="auto"/>
            <w:bottom w:val="none" w:sz="0" w:space="0" w:color="auto"/>
            <w:right w:val="none" w:sz="0" w:space="0" w:color="auto"/>
          </w:divBdr>
          <w:divsChild>
            <w:div w:id="1959486449">
              <w:marLeft w:val="0"/>
              <w:marRight w:val="0"/>
              <w:marTop w:val="0"/>
              <w:marBottom w:val="0"/>
              <w:divBdr>
                <w:top w:val="single" w:sz="6" w:space="11" w:color="FCFCFC"/>
                <w:left w:val="single" w:sz="6" w:space="11" w:color="ECECEC"/>
                <w:bottom w:val="single" w:sz="6" w:space="4" w:color="ECECEC"/>
                <w:right w:val="single" w:sz="6" w:space="11" w:color="ECECEC"/>
              </w:divBdr>
              <w:divsChild>
                <w:div w:id="19396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717">
      <w:bodyDiv w:val="1"/>
      <w:marLeft w:val="0"/>
      <w:marRight w:val="0"/>
      <w:marTop w:val="0"/>
      <w:marBottom w:val="0"/>
      <w:divBdr>
        <w:top w:val="none" w:sz="0" w:space="0" w:color="auto"/>
        <w:left w:val="none" w:sz="0" w:space="0" w:color="auto"/>
        <w:bottom w:val="none" w:sz="0" w:space="0" w:color="auto"/>
        <w:right w:val="none" w:sz="0" w:space="0" w:color="auto"/>
      </w:divBdr>
      <w:divsChild>
        <w:div w:id="863207060">
          <w:marLeft w:val="0"/>
          <w:marRight w:val="0"/>
          <w:marTop w:val="0"/>
          <w:marBottom w:val="0"/>
          <w:divBdr>
            <w:top w:val="none" w:sz="0" w:space="0" w:color="auto"/>
            <w:left w:val="none" w:sz="0" w:space="0" w:color="auto"/>
            <w:bottom w:val="none" w:sz="0" w:space="0" w:color="auto"/>
            <w:right w:val="none" w:sz="0" w:space="0" w:color="auto"/>
          </w:divBdr>
          <w:divsChild>
            <w:div w:id="401878300">
              <w:marLeft w:val="0"/>
              <w:marRight w:val="0"/>
              <w:marTop w:val="0"/>
              <w:marBottom w:val="0"/>
              <w:divBdr>
                <w:top w:val="single" w:sz="6" w:space="11" w:color="FCFCFC"/>
                <w:left w:val="single" w:sz="6" w:space="11" w:color="ECECEC"/>
                <w:bottom w:val="single" w:sz="6" w:space="4" w:color="ECECEC"/>
                <w:right w:val="single" w:sz="6" w:space="11" w:color="ECECEC"/>
              </w:divBdr>
              <w:divsChild>
                <w:div w:id="11277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9508">
      <w:bodyDiv w:val="1"/>
      <w:marLeft w:val="0"/>
      <w:marRight w:val="0"/>
      <w:marTop w:val="0"/>
      <w:marBottom w:val="0"/>
      <w:divBdr>
        <w:top w:val="none" w:sz="0" w:space="0" w:color="auto"/>
        <w:left w:val="none" w:sz="0" w:space="0" w:color="auto"/>
        <w:bottom w:val="none" w:sz="0" w:space="0" w:color="auto"/>
        <w:right w:val="none" w:sz="0" w:space="0" w:color="auto"/>
      </w:divBdr>
      <w:divsChild>
        <w:div w:id="268005342">
          <w:marLeft w:val="0"/>
          <w:marRight w:val="0"/>
          <w:marTop w:val="0"/>
          <w:marBottom w:val="0"/>
          <w:divBdr>
            <w:top w:val="none" w:sz="0" w:space="0" w:color="auto"/>
            <w:left w:val="none" w:sz="0" w:space="0" w:color="auto"/>
            <w:bottom w:val="none" w:sz="0" w:space="0" w:color="auto"/>
            <w:right w:val="none" w:sz="0" w:space="0" w:color="auto"/>
          </w:divBdr>
          <w:divsChild>
            <w:div w:id="1408305563">
              <w:marLeft w:val="0"/>
              <w:marRight w:val="0"/>
              <w:marTop w:val="0"/>
              <w:marBottom w:val="0"/>
              <w:divBdr>
                <w:top w:val="single" w:sz="6" w:space="11" w:color="FCFCFC"/>
                <w:left w:val="single" w:sz="6" w:space="11" w:color="ECECEC"/>
                <w:bottom w:val="single" w:sz="6" w:space="4" w:color="ECECEC"/>
                <w:right w:val="single" w:sz="6" w:space="11" w:color="ECECEC"/>
              </w:divBdr>
              <w:divsChild>
                <w:div w:id="11141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4336">
      <w:bodyDiv w:val="1"/>
      <w:marLeft w:val="0"/>
      <w:marRight w:val="0"/>
      <w:marTop w:val="0"/>
      <w:marBottom w:val="0"/>
      <w:divBdr>
        <w:top w:val="none" w:sz="0" w:space="0" w:color="auto"/>
        <w:left w:val="none" w:sz="0" w:space="0" w:color="auto"/>
        <w:bottom w:val="none" w:sz="0" w:space="0" w:color="auto"/>
        <w:right w:val="none" w:sz="0" w:space="0" w:color="auto"/>
      </w:divBdr>
    </w:div>
    <w:div w:id="1646885409">
      <w:bodyDiv w:val="1"/>
      <w:marLeft w:val="0"/>
      <w:marRight w:val="0"/>
      <w:marTop w:val="0"/>
      <w:marBottom w:val="0"/>
      <w:divBdr>
        <w:top w:val="none" w:sz="0" w:space="0" w:color="auto"/>
        <w:left w:val="none" w:sz="0" w:space="0" w:color="auto"/>
        <w:bottom w:val="none" w:sz="0" w:space="0" w:color="auto"/>
        <w:right w:val="none" w:sz="0" w:space="0" w:color="auto"/>
      </w:divBdr>
    </w:div>
    <w:div w:id="1733698947">
      <w:bodyDiv w:val="1"/>
      <w:marLeft w:val="0"/>
      <w:marRight w:val="0"/>
      <w:marTop w:val="0"/>
      <w:marBottom w:val="0"/>
      <w:divBdr>
        <w:top w:val="none" w:sz="0" w:space="0" w:color="auto"/>
        <w:left w:val="none" w:sz="0" w:space="0" w:color="auto"/>
        <w:bottom w:val="none" w:sz="0" w:space="0" w:color="auto"/>
        <w:right w:val="none" w:sz="0" w:space="0" w:color="auto"/>
      </w:divBdr>
      <w:divsChild>
        <w:div w:id="1703436581">
          <w:marLeft w:val="0"/>
          <w:marRight w:val="0"/>
          <w:marTop w:val="0"/>
          <w:marBottom w:val="0"/>
          <w:divBdr>
            <w:top w:val="none" w:sz="0" w:space="0" w:color="auto"/>
            <w:left w:val="none" w:sz="0" w:space="0" w:color="auto"/>
            <w:bottom w:val="none" w:sz="0" w:space="0" w:color="auto"/>
            <w:right w:val="none" w:sz="0" w:space="0" w:color="auto"/>
          </w:divBdr>
          <w:divsChild>
            <w:div w:id="411050069">
              <w:marLeft w:val="0"/>
              <w:marRight w:val="0"/>
              <w:marTop w:val="0"/>
              <w:marBottom w:val="0"/>
              <w:divBdr>
                <w:top w:val="single" w:sz="6" w:space="11" w:color="FCFCFC"/>
                <w:left w:val="single" w:sz="6" w:space="11" w:color="ECECEC"/>
                <w:bottom w:val="single" w:sz="6" w:space="4" w:color="ECECEC"/>
                <w:right w:val="single" w:sz="6" w:space="11" w:color="ECECEC"/>
              </w:divBdr>
              <w:divsChild>
                <w:div w:id="14981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598">
      <w:bodyDiv w:val="1"/>
      <w:marLeft w:val="0"/>
      <w:marRight w:val="0"/>
      <w:marTop w:val="0"/>
      <w:marBottom w:val="0"/>
      <w:divBdr>
        <w:top w:val="none" w:sz="0" w:space="0" w:color="auto"/>
        <w:left w:val="none" w:sz="0" w:space="0" w:color="auto"/>
        <w:bottom w:val="none" w:sz="0" w:space="0" w:color="auto"/>
        <w:right w:val="none" w:sz="0" w:space="0" w:color="auto"/>
      </w:divBdr>
      <w:divsChild>
        <w:div w:id="297153879">
          <w:marLeft w:val="0"/>
          <w:marRight w:val="0"/>
          <w:marTop w:val="0"/>
          <w:marBottom w:val="0"/>
          <w:divBdr>
            <w:top w:val="none" w:sz="0" w:space="0" w:color="auto"/>
            <w:left w:val="none" w:sz="0" w:space="0" w:color="auto"/>
            <w:bottom w:val="none" w:sz="0" w:space="0" w:color="auto"/>
            <w:right w:val="none" w:sz="0" w:space="0" w:color="auto"/>
          </w:divBdr>
          <w:divsChild>
            <w:div w:id="497159229">
              <w:marLeft w:val="0"/>
              <w:marRight w:val="0"/>
              <w:marTop w:val="0"/>
              <w:marBottom w:val="0"/>
              <w:divBdr>
                <w:top w:val="single" w:sz="6" w:space="11" w:color="FCFCFC"/>
                <w:left w:val="single" w:sz="6" w:space="11" w:color="ECECEC"/>
                <w:bottom w:val="single" w:sz="6" w:space="4" w:color="ECECEC"/>
                <w:right w:val="single" w:sz="6" w:space="11" w:color="ECECEC"/>
              </w:divBdr>
              <w:divsChild>
                <w:div w:id="254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303">
      <w:bodyDiv w:val="1"/>
      <w:marLeft w:val="0"/>
      <w:marRight w:val="0"/>
      <w:marTop w:val="0"/>
      <w:marBottom w:val="0"/>
      <w:divBdr>
        <w:top w:val="none" w:sz="0" w:space="0" w:color="auto"/>
        <w:left w:val="none" w:sz="0" w:space="0" w:color="auto"/>
        <w:bottom w:val="none" w:sz="0" w:space="0" w:color="auto"/>
        <w:right w:val="none" w:sz="0" w:space="0" w:color="auto"/>
      </w:divBdr>
    </w:div>
    <w:div w:id="21064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368E-D2DD-4591-A1CB-06E61C63D4AC}">
  <ds:schemaRefs>
    <ds:schemaRef ds:uri="http://schemas.microsoft.com/sharepoint/v3/contenttype/forms"/>
  </ds:schemaRefs>
</ds:datastoreItem>
</file>

<file path=customXml/itemProps2.xml><?xml version="1.0" encoding="utf-8"?>
<ds:datastoreItem xmlns:ds="http://schemas.openxmlformats.org/officeDocument/2006/customXml" ds:itemID="{F074B5DB-4E90-4BD4-805A-ECD632C02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A731E-91C6-48AA-9E5A-5F99ACDFC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BA9D49-CD67-4392-AA95-5262D1DE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Dawn</dc:creator>
  <cp:lastModifiedBy>SYSTEM</cp:lastModifiedBy>
  <cp:revision>2</cp:revision>
  <dcterms:created xsi:type="dcterms:W3CDTF">2019-07-25T14:53:00Z</dcterms:created>
  <dcterms:modified xsi:type="dcterms:W3CDTF">2019-07-25T14:53:00Z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