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EB05A2">
        <w:rPr>
          <w:rFonts w:ascii="Courier New" w:eastAsia="Times New Roman" w:hAnsi="Courier New" w:cs="Courier New"/>
          <w:sz w:val="20"/>
          <w:szCs w:val="20"/>
        </w:rPr>
        <w:t>[Federal Register Volume 84, Number 67 (Monday, April 8, 2019)]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[Pages 13945-13946]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EB05A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B05A2">
        <w:rPr>
          <w:rFonts w:ascii="Courier New" w:eastAsia="Times New Roman" w:hAnsi="Courier New" w:cs="Courier New"/>
          <w:sz w:val="20"/>
          <w:szCs w:val="20"/>
        </w:rPr>
        <w:t>]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[FR Doc No: 2019-06772]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[Docket No. USCG-2019-0253]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Budget; OMB Control Number: 1625-0042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1625-0042,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Requirements for Lightering of Oil and Hazardous Material Cargoes, and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Advance Notice of Transfer; without change. Our ICR describes the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Before submitting this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ICR to OIRA, the Coast Guard is inviting comments as described below.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June 7, 2019.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number [USCG-2019-0253] to the Coast Guard using the Federal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EB05A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B05A2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A copy of the ICR available through the docket on the internet at </w:t>
      </w:r>
    </w:p>
    <w:p w:rsidR="00EB05A2" w:rsidRPr="00EB05A2" w:rsidRDefault="002F77DE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7" w:history="1">
        <w:r w:rsidR="00EB05A2" w:rsidRPr="00EB05A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="00EB05A2" w:rsidRPr="00EB05A2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This notice relies on the authority of the Paperwork Reduction Act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In response to your comments, we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may revise this ICR or decide not to seek an extension of approval for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the Collection. We will consider all comments and material received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during the comment period.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[USCG-2019-0253], and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must be received by June 7, 2019.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EB05A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B05A2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EB05A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B05A2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EB05A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B05A2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EB05A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B05A2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Title: Requirements for Lightering of Oil and Hazardous Material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Cargoes, and Advance Notice of Transfer.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OMB Control Number: 1625-0042.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Summary: The information for this report allows the U.S. Coast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Guard to provide timely response to an emergency and minimize the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environmental damage from an oil or hazardous material spill. The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information also allows the Coast Guard to control the location and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procedures for lightering activities. It also provides advance notice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of transfers at certain facilities.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[[Page 13946]]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Need: Section 3715 of Title 46 U.S.C. authorizes the Coast Guard to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establish lightering regulations. Title 33 CFR 156.200 to 156.330 and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156.400 to 156.430 prescribes the Coast Guard regulations for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lightering, including pre-arrival notice, reporting of incidents and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operating conditions. Section 1225 of 33 U.S.C. authorizes the Coast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Guard to prescribe advance notice of transfer regulations. Title 33 CFR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156.118 prescribe the regulations.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Forms: CG-4020, 4 Hour Advance Notice of Transfer.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Why is Coast Guard Proposing a New Form: The Coast Guard proposes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the use of a new form CG-4020--4 Hour Advance Notice of Transfer,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because we believe that the form will improve communications and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enhance information exchange accuracy. The optional form provides a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facility representative with a simple means of complying with the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existing advance notice of transfer requirements in 33 CFR 156.118.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Respondents: Owners, masters and agents of lightering vessels, and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facility representatives.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372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hours to 985 hours a year, due to an increase in the estimated annual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   Dated: April 2, 2019.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>[FR Doc. 2019-06772 Filed 4-5-19; 8:45 am]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5A2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05A2" w:rsidRPr="00EB05A2" w:rsidRDefault="00EB05A2" w:rsidP="00EB0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EB05A2" w:rsidRDefault="003020E6" w:rsidP="00EB05A2"/>
    <w:sectPr w:rsidR="003020E6" w:rsidRPr="00EB0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74"/>
    <w:rsid w:val="00057374"/>
    <w:rsid w:val="002F77DE"/>
    <w:rsid w:val="003020E6"/>
    <w:rsid w:val="00C57FCA"/>
    <w:rsid w:val="00EB05A2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2019-04-09T10:30:00Z</cp:lastPrinted>
  <dcterms:created xsi:type="dcterms:W3CDTF">2019-06-27T18:53:00Z</dcterms:created>
  <dcterms:modified xsi:type="dcterms:W3CDTF">2019-06-27T18:53:00Z</dcterms:modified>
</cp:coreProperties>
</file>