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C06C1"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E7BDB26"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2093341F" w14:textId="77777777" w:rsidR="00320387" w:rsidRDefault="00320387" w:rsidP="00320387">
      <w:pPr>
        <w:keepNext/>
        <w:numPr>
          <w:ilvl w:val="12"/>
          <w:numId w:val="0"/>
        </w:numPr>
        <w:ind w:left="360"/>
      </w:pPr>
    </w:p>
    <w:p w14:paraId="4A4351B8" w14:textId="39F47285" w:rsidR="00673568" w:rsidRDefault="00403427" w:rsidP="00403427">
      <w:pPr>
        <w:ind w:left="360"/>
        <w:rPr>
          <w:bCs/>
          <w:iCs/>
        </w:rPr>
      </w:pPr>
      <w:r>
        <w:t>The Transportation Security Administration</w:t>
      </w:r>
      <w:r w:rsidR="008077A2">
        <w:t xml:space="preserve"> </w:t>
      </w:r>
      <w:r>
        <w:t xml:space="preserve">(TSA) </w:t>
      </w:r>
      <w:r w:rsidR="008077A2">
        <w:t xml:space="preserve">has broad </w:t>
      </w:r>
      <w:r w:rsidR="001521EA">
        <w:t xml:space="preserve">statutory authority </w:t>
      </w:r>
      <w:r>
        <w:t xml:space="preserve">for “security in all modes of transportation </w:t>
      </w:r>
      <w:r w:rsidR="00FD2767">
        <w:t>…</w:t>
      </w:r>
      <w:r>
        <w:t xml:space="preserve"> including security responsibilities </w:t>
      </w:r>
      <w:r w:rsidR="00FD2767">
        <w:t>…</w:t>
      </w:r>
      <w:r>
        <w:t xml:space="preserve"> over modes of transportation that are exercised by the Department of Transportation.”</w:t>
      </w:r>
      <w:r>
        <w:rPr>
          <w:rStyle w:val="FootnoteReference"/>
        </w:rPr>
        <w:footnoteReference w:id="1"/>
      </w:r>
      <w:r>
        <w:t xml:space="preserve"> Consistent with this authority, </w:t>
      </w:r>
      <w:r>
        <w:rPr>
          <w:bCs/>
          <w:iCs/>
        </w:rPr>
        <w:t xml:space="preserve">TSA is the </w:t>
      </w:r>
      <w:r w:rsidR="001A763E">
        <w:rPr>
          <w:bCs/>
          <w:iCs/>
        </w:rPr>
        <w:t>F</w:t>
      </w:r>
      <w:r>
        <w:rPr>
          <w:bCs/>
          <w:iCs/>
        </w:rPr>
        <w:t>ederal agency responsible for “</w:t>
      </w:r>
      <w:r w:rsidRPr="00B0197D">
        <w:rPr>
          <w:bCs/>
          <w:iCs/>
        </w:rPr>
        <w:t>assess</w:t>
      </w:r>
      <w:r>
        <w:rPr>
          <w:bCs/>
          <w:iCs/>
        </w:rPr>
        <w:t xml:space="preserve">[ing] </w:t>
      </w:r>
      <w:r w:rsidRPr="00B0197D">
        <w:rPr>
          <w:bCs/>
          <w:iCs/>
        </w:rPr>
        <w:t>the security of each surface transportation mode</w:t>
      </w:r>
      <w:r>
        <w:rPr>
          <w:bCs/>
          <w:iCs/>
        </w:rPr>
        <w:t xml:space="preserve"> </w:t>
      </w:r>
      <w:r w:rsidRPr="00C61FAE">
        <w:rPr>
          <w:bCs/>
          <w:iCs/>
        </w:rPr>
        <w:t>and evaluat</w:t>
      </w:r>
      <w:r w:rsidR="007F5DB6">
        <w:rPr>
          <w:bCs/>
          <w:iCs/>
        </w:rPr>
        <w:t>[ing]</w:t>
      </w:r>
      <w:r w:rsidRPr="00C61FAE">
        <w:rPr>
          <w:bCs/>
          <w:iCs/>
        </w:rPr>
        <w:t xml:space="preserve"> the effectiveness and efficiency of current Federal Government surface transportation security initiatives</w:t>
      </w:r>
      <w:r>
        <w:rPr>
          <w:bCs/>
          <w:iCs/>
        </w:rPr>
        <w:t>.”</w:t>
      </w:r>
      <w:r w:rsidR="001521EA">
        <w:rPr>
          <w:rStyle w:val="FootnoteReference"/>
          <w:bCs/>
          <w:iCs/>
        </w:rPr>
        <w:footnoteReference w:id="2"/>
      </w:r>
    </w:p>
    <w:p w14:paraId="3CB47F51" w14:textId="77777777" w:rsidR="00673568" w:rsidRDefault="00673568" w:rsidP="00403427">
      <w:pPr>
        <w:ind w:left="360"/>
        <w:rPr>
          <w:bCs/>
          <w:iCs/>
        </w:rPr>
      </w:pPr>
    </w:p>
    <w:p w14:paraId="738529C7" w14:textId="521CA609" w:rsidR="004C46D1" w:rsidRDefault="00CA1C55" w:rsidP="001521EA">
      <w:pPr>
        <w:ind w:left="360"/>
      </w:pPr>
      <w:r>
        <w:rPr>
          <w:rFonts w:cs="Times New Roman"/>
        </w:rPr>
        <w:t xml:space="preserve">The FAA Reauthorization Act of 2018 </w:t>
      </w:r>
      <w:r w:rsidR="00606BE3">
        <w:rPr>
          <w:rFonts w:cs="Times New Roman"/>
        </w:rPr>
        <w:t>(</w:t>
      </w:r>
      <w:r w:rsidR="001A763E" w:rsidRPr="001A763E">
        <w:rPr>
          <w:rFonts w:cs="Times New Roman"/>
        </w:rPr>
        <w:t xml:space="preserve">H.R. 302, </w:t>
      </w:r>
      <w:r w:rsidR="001A763E">
        <w:rPr>
          <w:rFonts w:cs="Times New Roman"/>
        </w:rPr>
        <w:t xml:space="preserve">Pub. L. </w:t>
      </w:r>
      <w:r w:rsidR="00606BE3">
        <w:rPr>
          <w:rFonts w:cs="Times New Roman"/>
        </w:rPr>
        <w:t>115-254</w:t>
      </w:r>
      <w:r w:rsidR="001A763E">
        <w:rPr>
          <w:rFonts w:cs="Times New Roman"/>
        </w:rPr>
        <w:t>,</w:t>
      </w:r>
      <w:r w:rsidR="00606BE3">
        <w:rPr>
          <w:rFonts w:cs="Times New Roman"/>
        </w:rPr>
        <w:t xml:space="preserve"> </w:t>
      </w:r>
      <w:r w:rsidR="001A763E">
        <w:t xml:space="preserve">132 Stat. 3186, </w:t>
      </w:r>
      <w:r w:rsidR="001A763E">
        <w:rPr>
          <w:rFonts w:cs="Times New Roman"/>
        </w:rPr>
        <w:t xml:space="preserve">Oct. </w:t>
      </w:r>
      <w:r w:rsidR="00606BE3">
        <w:rPr>
          <w:rFonts w:cs="Times New Roman"/>
        </w:rPr>
        <w:t xml:space="preserve">5, 2018) </w:t>
      </w:r>
      <w:r>
        <w:rPr>
          <w:rFonts w:cs="Times New Roman"/>
        </w:rPr>
        <w:t xml:space="preserve">(the “Act”) directs </w:t>
      </w:r>
      <w:r w:rsidR="009A673E">
        <w:rPr>
          <w:rFonts w:cs="Times New Roman"/>
        </w:rPr>
        <w:t>the</w:t>
      </w:r>
      <w:r w:rsidR="001521EA">
        <w:rPr>
          <w:rFonts w:cs="Times New Roman"/>
        </w:rPr>
        <w:t xml:space="preserve"> Secretary o</w:t>
      </w:r>
      <w:r w:rsidR="009A673E">
        <w:rPr>
          <w:rFonts w:cs="Times New Roman"/>
        </w:rPr>
        <w:t xml:space="preserve">f Homeland Security </w:t>
      </w:r>
      <w:r>
        <w:rPr>
          <w:rFonts w:cs="Times New Roman"/>
        </w:rPr>
        <w:t>to conduct a survey</w:t>
      </w:r>
      <w:r>
        <w:rPr>
          <w:rStyle w:val="FootnoteReference"/>
          <w:rFonts w:cs="Times New Roman"/>
        </w:rPr>
        <w:footnoteReference w:id="3"/>
      </w:r>
      <w:r>
        <w:rPr>
          <w:rFonts w:cs="Times New Roman"/>
        </w:rPr>
        <w:t xml:space="preserve"> </w:t>
      </w:r>
      <w:r w:rsidR="004C46D1">
        <w:t>of public and private stakeholders responsible for securing surface transportation assets regarding resource challenges</w:t>
      </w:r>
      <w:r w:rsidR="00BC5C2A">
        <w:t>,</w:t>
      </w:r>
      <w:r w:rsidR="004C46D1">
        <w:rPr>
          <w:rFonts w:cs="Times New Roman"/>
        </w:rPr>
        <w:t xml:space="preserve"> including</w:t>
      </w:r>
      <w:r w:rsidR="00BC5C2A">
        <w:rPr>
          <w:rFonts w:cs="Times New Roman"/>
        </w:rPr>
        <w:t xml:space="preserve"> </w:t>
      </w:r>
      <w:r w:rsidR="00BC5C2A">
        <w:t xml:space="preserve">the availability of Federal funding, associated with securing such assets that provides an opportunity for respondents to set forth information on specific </w:t>
      </w:r>
      <w:r>
        <w:rPr>
          <w:rFonts w:cs="Times New Roman"/>
        </w:rPr>
        <w:t xml:space="preserve">unmet security needs. </w:t>
      </w:r>
      <w:r w:rsidR="004C46D1">
        <w:rPr>
          <w:rFonts w:cs="Times New Roman"/>
        </w:rPr>
        <w:t>Section 1983(</w:t>
      </w:r>
      <w:r w:rsidR="00FB3735">
        <w:rPr>
          <w:rFonts w:cs="Times New Roman"/>
        </w:rPr>
        <w:t>b</w:t>
      </w:r>
      <w:r w:rsidR="004C46D1">
        <w:rPr>
          <w:rFonts w:cs="Times New Roman"/>
        </w:rPr>
        <w:t xml:space="preserve">) of the Act requires </w:t>
      </w:r>
      <w:r w:rsidR="00FB3735">
        <w:rPr>
          <w:rFonts w:cs="Times New Roman"/>
        </w:rPr>
        <w:t xml:space="preserve">submission of a report </w:t>
      </w:r>
      <w:r w:rsidR="001521EA">
        <w:rPr>
          <w:rFonts w:cs="Times New Roman"/>
        </w:rPr>
        <w:t>to the appropriate Congressional committees regarding the survey results and the efforts of DHS to address any identified security vulnerabilities.</w:t>
      </w:r>
    </w:p>
    <w:p w14:paraId="2DA32320" w14:textId="16676202" w:rsidR="001521EA" w:rsidRDefault="001521EA" w:rsidP="001A763E">
      <w:pPr>
        <w:ind w:left="360"/>
      </w:pPr>
    </w:p>
    <w:p w14:paraId="1727914A" w14:textId="7AAED6EA" w:rsidR="001521EA" w:rsidRDefault="001521EA" w:rsidP="001A763E">
      <w:pPr>
        <w:ind w:left="360"/>
        <w:rPr>
          <w:rFonts w:cs="Times New Roman"/>
        </w:rPr>
      </w:pPr>
      <w:r>
        <w:t xml:space="preserve">The Federal Emergency Management Agency (FEMA) </w:t>
      </w:r>
      <w:r>
        <w:rPr>
          <w:rFonts w:cs="Times New Roman"/>
          <w:szCs w:val="24"/>
        </w:rPr>
        <w:t xml:space="preserve">is the fiduciary agent and Federal awarding agency for </w:t>
      </w:r>
      <w:r>
        <w:t xml:space="preserve">grant funding appropriate to DHS for surface transportation security enhancements. As memorialized in a Memorandum of Understanding between FEMA and TSA, TSA supports the grant process for surface transportation through numerous activities, </w:t>
      </w:r>
      <w:r>
        <w:lastRenderedPageBreak/>
        <w:t xml:space="preserve">including </w:t>
      </w:r>
      <w:r>
        <w:rPr>
          <w:bCs/>
        </w:rPr>
        <w:t>stakeholder outreach and soliciting feedback for program improvements from surface transportation security partners.</w:t>
      </w:r>
    </w:p>
    <w:p w14:paraId="6DD79E73" w14:textId="77777777" w:rsidR="004C46D1" w:rsidRDefault="004C46D1" w:rsidP="00403427">
      <w:pPr>
        <w:ind w:left="360"/>
        <w:rPr>
          <w:rFonts w:cs="Times New Roman"/>
        </w:rPr>
      </w:pPr>
    </w:p>
    <w:p w14:paraId="429043F7" w14:textId="54787910" w:rsidR="00673568" w:rsidRDefault="0001796C" w:rsidP="00403427">
      <w:pPr>
        <w:ind w:left="360"/>
        <w:rPr>
          <w:rFonts w:cs="Times New Roman"/>
          <w:color w:val="auto"/>
        </w:rPr>
      </w:pPr>
      <w:r>
        <w:rPr>
          <w:rFonts w:cs="Times New Roman"/>
        </w:rPr>
        <w:t>In light of th</w:t>
      </w:r>
      <w:r w:rsidR="00606BE3">
        <w:rPr>
          <w:rFonts w:cs="Times New Roman"/>
        </w:rPr>
        <w:t>e</w:t>
      </w:r>
      <w:r>
        <w:rPr>
          <w:rFonts w:cs="Times New Roman"/>
        </w:rPr>
        <w:t xml:space="preserve"> </w:t>
      </w:r>
      <w:r w:rsidR="00B147DE">
        <w:rPr>
          <w:rFonts w:cs="Times New Roman"/>
        </w:rPr>
        <w:t xml:space="preserve">Act’s </w:t>
      </w:r>
      <w:r w:rsidR="00565822">
        <w:rPr>
          <w:rFonts w:cs="Times New Roman"/>
        </w:rPr>
        <w:t>mandate</w:t>
      </w:r>
      <w:r w:rsidR="00B147DE">
        <w:rPr>
          <w:rFonts w:cs="Times New Roman"/>
        </w:rPr>
        <w:t>s</w:t>
      </w:r>
      <w:r>
        <w:rPr>
          <w:rFonts w:cs="Times New Roman"/>
        </w:rPr>
        <w:t xml:space="preserve"> </w:t>
      </w:r>
      <w:r w:rsidR="008E401E">
        <w:rPr>
          <w:rFonts w:cs="Times New Roman"/>
        </w:rPr>
        <w:t>and consistent with the above authorities</w:t>
      </w:r>
      <w:r w:rsidR="00826C83">
        <w:rPr>
          <w:rFonts w:cs="Times New Roman"/>
        </w:rPr>
        <w:t xml:space="preserve"> and agreements with FEMA, </w:t>
      </w:r>
      <w:r w:rsidR="008E401E">
        <w:rPr>
          <w:szCs w:val="24"/>
        </w:rPr>
        <w:t>TSA</w:t>
      </w:r>
      <w:r w:rsidR="009A673E">
        <w:rPr>
          <w:szCs w:val="24"/>
        </w:rPr>
        <w:t xml:space="preserve"> is </w:t>
      </w:r>
      <w:r w:rsidR="006033EC">
        <w:rPr>
          <w:szCs w:val="24"/>
        </w:rPr>
        <w:t xml:space="preserve">now seeking </w:t>
      </w:r>
      <w:r w:rsidR="00FB3735">
        <w:rPr>
          <w:rFonts w:cs="Times New Roman"/>
        </w:rPr>
        <w:t xml:space="preserve">review and approval under the Paperwork Reduction Act </w:t>
      </w:r>
      <w:r>
        <w:rPr>
          <w:rFonts w:cs="Times New Roman"/>
        </w:rPr>
        <w:t>to conduct this survey.</w:t>
      </w:r>
    </w:p>
    <w:p w14:paraId="338C4548"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274A99E0"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73FDDB1F" w14:textId="5B176130" w:rsidR="007549CF" w:rsidRDefault="007549CF" w:rsidP="00C75184">
      <w:pPr>
        <w:keepNext/>
        <w:ind w:left="360"/>
        <w:jc w:val="both"/>
        <w:rPr>
          <w:bCs/>
          <w:iCs/>
        </w:rPr>
      </w:pPr>
    </w:p>
    <w:p w14:paraId="73BEBE57" w14:textId="77777777" w:rsidR="00B81F71" w:rsidRDefault="005D3C41" w:rsidP="00B81F71">
      <w:pPr>
        <w:keepNext/>
        <w:ind w:left="360"/>
        <w:jc w:val="both"/>
        <w:rPr>
          <w:bCs/>
          <w:iCs/>
        </w:rPr>
      </w:pPr>
      <w:r>
        <w:rPr>
          <w:bCs/>
          <w:iCs/>
        </w:rPr>
        <w:t xml:space="preserve">TSA will use the survey to </w:t>
      </w:r>
      <w:r w:rsidR="008C28B9">
        <w:rPr>
          <w:bCs/>
          <w:iCs/>
        </w:rPr>
        <w:t xml:space="preserve">solicit information from </w:t>
      </w:r>
      <w:r w:rsidRPr="005D3C41">
        <w:rPr>
          <w:bCs/>
          <w:iCs/>
        </w:rPr>
        <w:t xml:space="preserve">public and private stakeholders </w:t>
      </w:r>
      <w:r>
        <w:rPr>
          <w:bCs/>
          <w:iCs/>
        </w:rPr>
        <w:t xml:space="preserve">about the </w:t>
      </w:r>
      <w:r w:rsidRPr="005D3C41">
        <w:rPr>
          <w:bCs/>
          <w:iCs/>
        </w:rPr>
        <w:t xml:space="preserve">challenges </w:t>
      </w:r>
      <w:r>
        <w:rPr>
          <w:bCs/>
          <w:iCs/>
        </w:rPr>
        <w:t xml:space="preserve">of </w:t>
      </w:r>
      <w:r w:rsidRPr="005D3C41">
        <w:rPr>
          <w:bCs/>
          <w:iCs/>
        </w:rPr>
        <w:t>securing surface transportation assets</w:t>
      </w:r>
      <w:r>
        <w:rPr>
          <w:bCs/>
          <w:iCs/>
        </w:rPr>
        <w:t>.</w:t>
      </w:r>
      <w:r w:rsidR="00B81F71">
        <w:rPr>
          <w:bCs/>
          <w:iCs/>
        </w:rPr>
        <w:t xml:space="preserve">  </w:t>
      </w:r>
    </w:p>
    <w:p w14:paraId="64749D06" w14:textId="77777777" w:rsidR="00B81F71" w:rsidRDefault="00B81F71" w:rsidP="00B81F71">
      <w:pPr>
        <w:keepNext/>
        <w:ind w:left="360"/>
        <w:jc w:val="both"/>
        <w:rPr>
          <w:bCs/>
          <w:iCs/>
        </w:rPr>
      </w:pPr>
    </w:p>
    <w:p w14:paraId="6CCC2FAB" w14:textId="297E1190" w:rsidR="007549CF" w:rsidRDefault="00A61474" w:rsidP="00B81F71">
      <w:pPr>
        <w:keepNext/>
        <w:ind w:left="360"/>
        <w:jc w:val="both"/>
        <w:rPr>
          <w:bCs/>
          <w:iCs/>
        </w:rPr>
      </w:pPr>
      <w:r>
        <w:rPr>
          <w:bCs/>
          <w:iCs/>
        </w:rPr>
        <w:t>T</w:t>
      </w:r>
      <w:r w:rsidR="007549CF" w:rsidRPr="007549CF">
        <w:rPr>
          <w:bCs/>
          <w:iCs/>
        </w:rPr>
        <w:t xml:space="preserve">he information collected </w:t>
      </w:r>
      <w:r w:rsidR="00CB0BDF">
        <w:rPr>
          <w:bCs/>
          <w:iCs/>
        </w:rPr>
        <w:t>in th</w:t>
      </w:r>
      <w:r w:rsidR="008550B1">
        <w:rPr>
          <w:bCs/>
          <w:iCs/>
        </w:rPr>
        <w:t>is one-time</w:t>
      </w:r>
      <w:r w:rsidR="00CB0BDF">
        <w:rPr>
          <w:bCs/>
          <w:iCs/>
        </w:rPr>
        <w:t xml:space="preserve"> survey </w:t>
      </w:r>
      <w:r w:rsidR="007549CF" w:rsidRPr="007549CF">
        <w:rPr>
          <w:bCs/>
          <w:iCs/>
        </w:rPr>
        <w:t>will be used as follows:</w:t>
      </w:r>
    </w:p>
    <w:p w14:paraId="40CE0161" w14:textId="77777777" w:rsidR="006033EC" w:rsidRPr="007549CF" w:rsidRDefault="006033EC" w:rsidP="007549CF">
      <w:pPr>
        <w:ind w:left="360"/>
        <w:jc w:val="both"/>
        <w:rPr>
          <w:bCs/>
          <w:iCs/>
        </w:rPr>
      </w:pPr>
    </w:p>
    <w:p w14:paraId="6B170040" w14:textId="6B92B46B" w:rsidR="007549CF" w:rsidRDefault="00703FCB" w:rsidP="00C75184">
      <w:pPr>
        <w:ind w:left="360"/>
        <w:rPr>
          <w:bCs/>
        </w:rPr>
      </w:pPr>
      <w:r>
        <w:tab/>
      </w:r>
      <w:r w:rsidR="007549CF" w:rsidRPr="007549CF">
        <w:t xml:space="preserve">1.  To develop a baseline understanding of </w:t>
      </w:r>
      <w:r w:rsidR="00A22FD4">
        <w:rPr>
          <w:bCs/>
        </w:rPr>
        <w:t xml:space="preserve">surface </w:t>
      </w:r>
      <w:r w:rsidR="007549CF" w:rsidRPr="007549CF">
        <w:rPr>
          <w:bCs/>
        </w:rPr>
        <w:t xml:space="preserve">transportation </w:t>
      </w:r>
      <w:r w:rsidR="0001796C">
        <w:rPr>
          <w:bCs/>
        </w:rPr>
        <w:t>operator</w:t>
      </w:r>
      <w:r w:rsidR="00A22FD4">
        <w:rPr>
          <w:bCs/>
        </w:rPr>
        <w:t>s</w:t>
      </w:r>
      <w:r w:rsidR="000444D6">
        <w:rPr>
          <w:bCs/>
        </w:rPr>
        <w:t>’</w:t>
      </w:r>
      <w:r w:rsidR="00A22FD4">
        <w:rPr>
          <w:bCs/>
        </w:rPr>
        <w:t xml:space="preserve"> security budgets and </w:t>
      </w:r>
      <w:r w:rsidR="0001796C">
        <w:rPr>
          <w:bCs/>
        </w:rPr>
        <w:t xml:space="preserve">of </w:t>
      </w:r>
      <w:r w:rsidR="00A22FD4">
        <w:rPr>
          <w:bCs/>
        </w:rPr>
        <w:t>the gap</w:t>
      </w:r>
      <w:r w:rsidR="0001796C">
        <w:rPr>
          <w:bCs/>
        </w:rPr>
        <w:t>, if any,</w:t>
      </w:r>
      <w:r w:rsidR="00A22FD4">
        <w:rPr>
          <w:bCs/>
        </w:rPr>
        <w:t xml:space="preserve"> between available funding and stakeholders’ perceived security needs.</w:t>
      </w:r>
    </w:p>
    <w:p w14:paraId="6C7176C8" w14:textId="79D5F01E" w:rsidR="00E5769A" w:rsidRPr="007549CF" w:rsidRDefault="00703FCB" w:rsidP="00703FCB">
      <w:pPr>
        <w:ind w:left="360"/>
        <w:rPr>
          <w:bCs/>
        </w:rPr>
      </w:pPr>
      <w:r>
        <w:rPr>
          <w:bCs/>
        </w:rPr>
        <w:tab/>
      </w:r>
      <w:r w:rsidR="00E5769A">
        <w:rPr>
          <w:bCs/>
        </w:rPr>
        <w:t xml:space="preserve">2.  To identify resources across the Department available to stakeholders </w:t>
      </w:r>
      <w:r w:rsidR="00E5769A">
        <w:t>to address any identified security vulnerabilities.</w:t>
      </w:r>
    </w:p>
    <w:p w14:paraId="57E6C746" w14:textId="77777777" w:rsidR="007549CF" w:rsidRPr="007549CF" w:rsidRDefault="007549CF" w:rsidP="00E5769A">
      <w:pPr>
        <w:ind w:left="360"/>
        <w:rPr>
          <w:bCs/>
        </w:rPr>
      </w:pPr>
      <w:r w:rsidRPr="007549CF">
        <w:rPr>
          <w:bCs/>
        </w:rPr>
        <w:tab/>
      </w:r>
      <w:r w:rsidR="00E5769A">
        <w:rPr>
          <w:bCs/>
        </w:rPr>
        <w:t>3</w:t>
      </w:r>
      <w:r w:rsidRPr="007549CF">
        <w:rPr>
          <w:bCs/>
        </w:rPr>
        <w:t>.  To</w:t>
      </w:r>
      <w:r w:rsidR="000444D6">
        <w:rPr>
          <w:bCs/>
        </w:rPr>
        <w:t xml:space="preserve"> </w:t>
      </w:r>
      <w:r w:rsidR="00E5769A">
        <w:rPr>
          <w:bCs/>
        </w:rPr>
        <w:t>report to</w:t>
      </w:r>
      <w:r w:rsidR="000444D6">
        <w:rPr>
          <w:bCs/>
        </w:rPr>
        <w:t xml:space="preserve"> leadership in</w:t>
      </w:r>
      <w:r w:rsidR="00A22FD4">
        <w:rPr>
          <w:bCs/>
        </w:rPr>
        <w:t xml:space="preserve"> TSA, DHS, and Congress o</w:t>
      </w:r>
      <w:r w:rsidR="000444D6">
        <w:rPr>
          <w:bCs/>
        </w:rPr>
        <w:t>n</w:t>
      </w:r>
      <w:r w:rsidR="00A22FD4">
        <w:rPr>
          <w:bCs/>
        </w:rPr>
        <w:t xml:space="preserve"> those resource needs, </w:t>
      </w:r>
      <w:r w:rsidR="00E5769A">
        <w:rPr>
          <w:bCs/>
        </w:rPr>
        <w:t xml:space="preserve">in order </w:t>
      </w:r>
      <w:r w:rsidR="00A22FD4">
        <w:rPr>
          <w:bCs/>
        </w:rPr>
        <w:t xml:space="preserve">to inform future </w:t>
      </w:r>
      <w:r w:rsidR="00E5769A">
        <w:rPr>
          <w:bCs/>
        </w:rPr>
        <w:t>F</w:t>
      </w:r>
      <w:r w:rsidR="00A22FD4">
        <w:rPr>
          <w:bCs/>
        </w:rPr>
        <w:t>ederal budget</w:t>
      </w:r>
      <w:r w:rsidR="00C77E3C">
        <w:rPr>
          <w:bCs/>
        </w:rPr>
        <w:t xml:space="preserve"> formulation</w:t>
      </w:r>
      <w:r w:rsidR="00A22FD4">
        <w:rPr>
          <w:bCs/>
        </w:rPr>
        <w:t xml:space="preserve"> and </w:t>
      </w:r>
      <w:r w:rsidR="001E7E58">
        <w:rPr>
          <w:bCs/>
        </w:rPr>
        <w:t>grant making</w:t>
      </w:r>
      <w:r w:rsidR="00A22FD4">
        <w:rPr>
          <w:bCs/>
        </w:rPr>
        <w:t xml:space="preserve"> decisions.</w:t>
      </w:r>
    </w:p>
    <w:p w14:paraId="4B77A291" w14:textId="395F3A0B" w:rsidR="007549CF" w:rsidRPr="007549CF" w:rsidRDefault="00E5769A" w:rsidP="00E5769A">
      <w:pPr>
        <w:ind w:left="360"/>
        <w:rPr>
          <w:bCs/>
        </w:rPr>
      </w:pPr>
      <w:r>
        <w:rPr>
          <w:bCs/>
        </w:rPr>
        <w:tab/>
        <w:t>4</w:t>
      </w:r>
      <w:r w:rsidR="007549CF" w:rsidRPr="007549CF">
        <w:rPr>
          <w:bCs/>
        </w:rPr>
        <w:t>.  To inform TSA’s development of security strategies, priorities</w:t>
      </w:r>
      <w:r w:rsidR="00130D9F">
        <w:rPr>
          <w:bCs/>
        </w:rPr>
        <w:t>,</w:t>
      </w:r>
      <w:r w:rsidR="007549CF" w:rsidRPr="007549CF">
        <w:rPr>
          <w:bCs/>
        </w:rPr>
        <w:t xml:space="preserve"> </w:t>
      </w:r>
      <w:r>
        <w:rPr>
          <w:bCs/>
        </w:rPr>
        <w:t xml:space="preserve">and </w:t>
      </w:r>
      <w:r w:rsidR="007549CF" w:rsidRPr="007549CF">
        <w:rPr>
          <w:bCs/>
        </w:rPr>
        <w:t>programs</w:t>
      </w:r>
      <w:r>
        <w:rPr>
          <w:bCs/>
        </w:rPr>
        <w:t>, as well as stakeholder outreach efforts,</w:t>
      </w:r>
      <w:r w:rsidR="007549CF" w:rsidRPr="007549CF">
        <w:rPr>
          <w:bCs/>
        </w:rPr>
        <w:t xml:space="preserve"> </w:t>
      </w:r>
      <w:r w:rsidR="00D43CCA">
        <w:rPr>
          <w:bCs/>
        </w:rPr>
        <w:t xml:space="preserve">that ensure </w:t>
      </w:r>
      <w:r w:rsidR="007549CF" w:rsidRPr="007549CF">
        <w:rPr>
          <w:bCs/>
        </w:rPr>
        <w:t>the most effective application of available resources</w:t>
      </w:r>
      <w:r w:rsidR="00CA1C88">
        <w:rPr>
          <w:bCs/>
        </w:rPr>
        <w:t>.</w:t>
      </w:r>
    </w:p>
    <w:p w14:paraId="0D248D9E" w14:textId="77777777" w:rsidR="00963897" w:rsidRDefault="00963897" w:rsidP="007549CF">
      <w:pPr>
        <w:numPr>
          <w:ilvl w:val="12"/>
          <w:numId w:val="0"/>
        </w:numPr>
      </w:pPr>
    </w:p>
    <w:p w14:paraId="4E598FC2"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CECE981" w14:textId="77777777" w:rsidR="00320387" w:rsidRDefault="00320387" w:rsidP="00320387">
      <w:pPr>
        <w:keepNext/>
        <w:numPr>
          <w:ilvl w:val="12"/>
          <w:numId w:val="0"/>
        </w:numPr>
        <w:ind w:left="360"/>
      </w:pPr>
    </w:p>
    <w:p w14:paraId="07C6E683" w14:textId="1593542C" w:rsidR="00320387" w:rsidRDefault="00C50658" w:rsidP="00963897">
      <w:pPr>
        <w:numPr>
          <w:ilvl w:val="12"/>
          <w:numId w:val="0"/>
        </w:numPr>
        <w:ind w:left="360"/>
        <w:rPr>
          <w:bCs/>
          <w:iCs/>
        </w:rPr>
      </w:pPr>
      <w:r>
        <w:rPr>
          <w:bCs/>
          <w:iCs/>
        </w:rPr>
        <w:t>In compliance with GPEA, t</w:t>
      </w:r>
      <w:r w:rsidR="00963897" w:rsidRPr="00AF1407">
        <w:rPr>
          <w:bCs/>
          <w:iCs/>
        </w:rPr>
        <w:t>h</w:t>
      </w:r>
      <w:r w:rsidR="00744B2D">
        <w:rPr>
          <w:bCs/>
          <w:iCs/>
        </w:rPr>
        <w:t>is</w:t>
      </w:r>
      <w:r w:rsidR="00040CCF">
        <w:rPr>
          <w:bCs/>
          <w:iCs/>
        </w:rPr>
        <w:t xml:space="preserve"> </w:t>
      </w:r>
      <w:r w:rsidR="00744B2D">
        <w:rPr>
          <w:bCs/>
          <w:iCs/>
        </w:rPr>
        <w:t xml:space="preserve">one-time </w:t>
      </w:r>
      <w:r w:rsidR="00040CCF">
        <w:rPr>
          <w:bCs/>
          <w:iCs/>
        </w:rPr>
        <w:t>survey will be conducted using</w:t>
      </w:r>
      <w:r w:rsidR="00705BA8">
        <w:rPr>
          <w:bCs/>
          <w:iCs/>
        </w:rPr>
        <w:t xml:space="preserve"> the TSA website and</w:t>
      </w:r>
      <w:r w:rsidR="00040CCF">
        <w:rPr>
          <w:bCs/>
          <w:iCs/>
        </w:rPr>
        <w:t xml:space="preserve"> Survey Monkey software, enabling respondents to fill out the survey from any </w:t>
      </w:r>
      <w:r w:rsidR="00E257AD">
        <w:rPr>
          <w:bCs/>
          <w:iCs/>
        </w:rPr>
        <w:t>smart phone</w:t>
      </w:r>
      <w:r w:rsidR="00BC5C2A">
        <w:rPr>
          <w:bCs/>
          <w:iCs/>
        </w:rPr>
        <w:t>, tablet,</w:t>
      </w:r>
      <w:r w:rsidR="00E257AD">
        <w:rPr>
          <w:bCs/>
          <w:iCs/>
        </w:rPr>
        <w:t xml:space="preserve"> or </w:t>
      </w:r>
      <w:r w:rsidR="00040CCF">
        <w:rPr>
          <w:bCs/>
          <w:iCs/>
        </w:rPr>
        <w:t>computer with internet connectivity.</w:t>
      </w:r>
      <w:r w:rsidR="00213673">
        <w:rPr>
          <w:bCs/>
          <w:iCs/>
        </w:rPr>
        <w:t xml:space="preserve"> The feature to collect the respondents’ IP addresses will be </w:t>
      </w:r>
      <w:r w:rsidR="008F4689">
        <w:rPr>
          <w:bCs/>
          <w:iCs/>
        </w:rPr>
        <w:t>disabled.</w:t>
      </w:r>
      <w:r w:rsidR="00417D79">
        <w:rPr>
          <w:bCs/>
          <w:iCs/>
        </w:rPr>
        <w:t xml:space="preserve"> </w:t>
      </w:r>
      <w:r w:rsidR="00040CCF">
        <w:rPr>
          <w:bCs/>
          <w:iCs/>
        </w:rPr>
        <w:t>The survey results will be compiled for analytical purposes</w:t>
      </w:r>
      <w:r w:rsidR="00963897" w:rsidRPr="00AF1407">
        <w:rPr>
          <w:bCs/>
          <w:iCs/>
        </w:rPr>
        <w:t>.</w:t>
      </w:r>
      <w:r w:rsidR="00130D9F">
        <w:rPr>
          <w:bCs/>
          <w:iCs/>
        </w:rPr>
        <w:t xml:space="preserve"> </w:t>
      </w:r>
      <w:r w:rsidR="00703FCB">
        <w:rPr>
          <w:bCs/>
          <w:iCs/>
        </w:rPr>
        <w:t xml:space="preserve"> </w:t>
      </w:r>
      <w:r>
        <w:rPr>
          <w:bCs/>
          <w:iCs/>
        </w:rPr>
        <w:t>Conducting the survey e</w:t>
      </w:r>
      <w:r w:rsidR="00130D9F">
        <w:rPr>
          <w:bCs/>
          <w:iCs/>
        </w:rPr>
        <w:t>lectronic</w:t>
      </w:r>
      <w:r>
        <w:rPr>
          <w:bCs/>
          <w:iCs/>
        </w:rPr>
        <w:t>ally</w:t>
      </w:r>
      <w:r w:rsidR="00130D9F">
        <w:rPr>
          <w:bCs/>
          <w:iCs/>
        </w:rPr>
        <w:t xml:space="preserve"> will be less labor intensive and less costly than</w:t>
      </w:r>
      <w:r w:rsidR="00342BE6">
        <w:rPr>
          <w:bCs/>
          <w:iCs/>
        </w:rPr>
        <w:t xml:space="preserve"> requir</w:t>
      </w:r>
      <w:r w:rsidR="00130D9F">
        <w:rPr>
          <w:bCs/>
          <w:iCs/>
        </w:rPr>
        <w:t>ing participants to submit surveys in hard copy.</w:t>
      </w:r>
    </w:p>
    <w:p w14:paraId="7485F199" w14:textId="77777777" w:rsidR="00963897" w:rsidRDefault="00963897" w:rsidP="00320387">
      <w:pPr>
        <w:numPr>
          <w:ilvl w:val="12"/>
          <w:numId w:val="0"/>
        </w:numPr>
      </w:pPr>
    </w:p>
    <w:p w14:paraId="51927BC2" w14:textId="77777777" w:rsidR="00320387" w:rsidRDefault="00320387" w:rsidP="00320387">
      <w:pPr>
        <w:keepNext/>
        <w:numPr>
          <w:ilvl w:val="0"/>
          <w:numId w:val="1"/>
        </w:numPr>
        <w:tabs>
          <w:tab w:val="left" w:pos="360"/>
        </w:tabs>
        <w:rPr>
          <w:b/>
          <w:i/>
        </w:rPr>
      </w:pPr>
      <w:r>
        <w:rPr>
          <w:b/>
          <w:i/>
        </w:rPr>
        <w:lastRenderedPageBreak/>
        <w:t>Describe efforts to identify duplication.  Show specifically why any similar information already available cannot be used or modified for use for the purpose(s) described in Item 2 above.</w:t>
      </w:r>
    </w:p>
    <w:p w14:paraId="7BA2A102" w14:textId="77777777" w:rsidR="00320387" w:rsidRDefault="00320387" w:rsidP="00320387">
      <w:pPr>
        <w:keepNext/>
        <w:numPr>
          <w:ilvl w:val="12"/>
          <w:numId w:val="0"/>
        </w:numPr>
        <w:ind w:left="360"/>
      </w:pPr>
    </w:p>
    <w:p w14:paraId="2907BA45" w14:textId="66E87F6F" w:rsidR="00320387" w:rsidRPr="00040CCF" w:rsidRDefault="007B0D59" w:rsidP="00040CCF">
      <w:pPr>
        <w:ind w:left="360"/>
        <w:rPr>
          <w:color w:val="auto"/>
        </w:rPr>
      </w:pPr>
      <w:r w:rsidRPr="00AF1407">
        <w:t>TSA is sensitive to the burden on the industry from complying with requests for information and has taken appropriate steps to avoid overlap where possible.</w:t>
      </w:r>
      <w:r>
        <w:t xml:space="preserve"> In this regard, </w:t>
      </w:r>
      <w:r w:rsidR="009A673E">
        <w:rPr>
          <w:szCs w:val="24"/>
        </w:rPr>
        <w:t xml:space="preserve">TSA has coordinated this </w:t>
      </w:r>
      <w:r w:rsidR="008F08B6">
        <w:rPr>
          <w:szCs w:val="24"/>
        </w:rPr>
        <w:t>effort</w:t>
      </w:r>
      <w:r w:rsidR="009A673E">
        <w:rPr>
          <w:szCs w:val="24"/>
        </w:rPr>
        <w:t xml:space="preserve"> with the FEMA because the survey has implications for </w:t>
      </w:r>
      <w:r w:rsidR="00FB3735">
        <w:rPr>
          <w:szCs w:val="24"/>
        </w:rPr>
        <w:t>F</w:t>
      </w:r>
      <w:r w:rsidR="009A673E">
        <w:rPr>
          <w:szCs w:val="24"/>
        </w:rPr>
        <w:t>ederal grant programs administered by FEMA</w:t>
      </w:r>
      <w:r>
        <w:rPr>
          <w:szCs w:val="24"/>
        </w:rPr>
        <w:t xml:space="preserve"> and determined that FEMA does not have an exi</w:t>
      </w:r>
      <w:r w:rsidR="00633D00">
        <w:rPr>
          <w:szCs w:val="24"/>
        </w:rPr>
        <w:t>s</w:t>
      </w:r>
      <w:r>
        <w:rPr>
          <w:szCs w:val="24"/>
        </w:rPr>
        <w:t xml:space="preserve">ting collection for the information required by the Act </w:t>
      </w:r>
      <w:r w:rsidR="009A673E">
        <w:rPr>
          <w:szCs w:val="24"/>
        </w:rPr>
        <w:t xml:space="preserve">. </w:t>
      </w:r>
      <w:r w:rsidR="00EC51D4">
        <w:rPr>
          <w:szCs w:val="24"/>
        </w:rPr>
        <w:t xml:space="preserve">In addition, </w:t>
      </w:r>
      <w:r w:rsidR="00963897" w:rsidRPr="00AF1407">
        <w:rPr>
          <w:color w:val="auto"/>
        </w:rPr>
        <w:t xml:space="preserve">TSA </w:t>
      </w:r>
      <w:r w:rsidR="00F84FDE">
        <w:rPr>
          <w:color w:val="auto"/>
        </w:rPr>
        <w:t>is aware of</w:t>
      </w:r>
      <w:r w:rsidR="00963897" w:rsidRPr="00AF1407">
        <w:rPr>
          <w:color w:val="auto"/>
        </w:rPr>
        <w:t xml:space="preserve"> information </w:t>
      </w:r>
      <w:r w:rsidR="004D5D07">
        <w:rPr>
          <w:color w:val="auto"/>
        </w:rPr>
        <w:t xml:space="preserve">collected by </w:t>
      </w:r>
      <w:r w:rsidR="001D1B66">
        <w:rPr>
          <w:color w:val="auto"/>
        </w:rPr>
        <w:t>its</w:t>
      </w:r>
      <w:r w:rsidR="00963897" w:rsidRPr="00AF1407">
        <w:rPr>
          <w:color w:val="auto"/>
        </w:rPr>
        <w:t xml:space="preserve"> Federal partners </w:t>
      </w:r>
      <w:r w:rsidR="00EC51D4">
        <w:rPr>
          <w:color w:val="auto"/>
        </w:rPr>
        <w:t>regarding surface stakeholders,</w:t>
      </w:r>
      <w:r w:rsidR="00EC51D4" w:rsidRPr="00AF1407">
        <w:rPr>
          <w:color w:val="auto"/>
        </w:rPr>
        <w:t xml:space="preserve"> </w:t>
      </w:r>
      <w:r w:rsidR="00963897" w:rsidRPr="00AF1407">
        <w:rPr>
          <w:color w:val="auto"/>
        </w:rPr>
        <w:t xml:space="preserve">but </w:t>
      </w:r>
      <w:r w:rsidR="00EC51D4">
        <w:rPr>
          <w:color w:val="auto"/>
        </w:rPr>
        <w:t xml:space="preserve">the available data will not satisfy the congressional intent. TSA </w:t>
      </w:r>
      <w:r w:rsidR="00963897" w:rsidRPr="00AF1407">
        <w:rPr>
          <w:color w:val="auto"/>
        </w:rPr>
        <w:t xml:space="preserve">has found no </w:t>
      </w:r>
      <w:r w:rsidR="00130D9F">
        <w:rPr>
          <w:color w:val="auto"/>
        </w:rPr>
        <w:t>existing</w:t>
      </w:r>
      <w:r w:rsidR="00963897" w:rsidRPr="00AF1407">
        <w:rPr>
          <w:color w:val="auto"/>
        </w:rPr>
        <w:t xml:space="preserve"> </w:t>
      </w:r>
      <w:r w:rsidR="004D5D07">
        <w:rPr>
          <w:color w:val="auto"/>
        </w:rPr>
        <w:t>collection that can</w:t>
      </w:r>
      <w:r w:rsidR="00040CCF">
        <w:rPr>
          <w:color w:val="auto"/>
        </w:rPr>
        <w:t xml:space="preserve"> supply the information the Act requires TSA to</w:t>
      </w:r>
      <w:r w:rsidR="00F84FDE">
        <w:rPr>
          <w:color w:val="auto"/>
        </w:rPr>
        <w:t xml:space="preserve"> compile</w:t>
      </w:r>
      <w:r w:rsidR="00040CCF">
        <w:rPr>
          <w:color w:val="auto"/>
        </w:rPr>
        <w:t xml:space="preserve">. </w:t>
      </w:r>
    </w:p>
    <w:p w14:paraId="2881BC50" w14:textId="77777777" w:rsidR="00963897" w:rsidRDefault="00963897" w:rsidP="00320387">
      <w:pPr>
        <w:numPr>
          <w:ilvl w:val="12"/>
          <w:numId w:val="0"/>
        </w:numPr>
        <w:ind w:left="360"/>
      </w:pPr>
    </w:p>
    <w:p w14:paraId="7B7F76A6" w14:textId="77777777" w:rsidR="00320387" w:rsidRDefault="00320387" w:rsidP="00320387">
      <w:pPr>
        <w:numPr>
          <w:ilvl w:val="12"/>
          <w:numId w:val="0"/>
        </w:numPr>
      </w:pPr>
    </w:p>
    <w:p w14:paraId="63F7B849"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3165BDA2" w14:textId="77777777" w:rsidR="00320387" w:rsidRDefault="00320387" w:rsidP="00320387">
      <w:pPr>
        <w:keepNext/>
        <w:numPr>
          <w:ilvl w:val="12"/>
          <w:numId w:val="0"/>
        </w:numPr>
        <w:ind w:left="360"/>
      </w:pPr>
    </w:p>
    <w:p w14:paraId="2728C605" w14:textId="6B090507" w:rsidR="00D85C23" w:rsidRDefault="00D85C23" w:rsidP="00D85C23">
      <w:pPr>
        <w:numPr>
          <w:ilvl w:val="12"/>
          <w:numId w:val="0"/>
        </w:numPr>
        <w:ind w:left="360"/>
      </w:pPr>
      <w:r>
        <w:t>Although TSA plans to collect information from businesses of all sizes,</w:t>
      </w:r>
      <w:r w:rsidR="00FA220D">
        <w:t xml:space="preserve"> TSA anticipates </w:t>
      </w:r>
      <w:r w:rsidR="001E7E58">
        <w:t>that this</w:t>
      </w:r>
      <w:r w:rsidR="00FA220D">
        <w:t xml:space="preserve"> survey will be a</w:t>
      </w:r>
      <w:r>
        <w:t xml:space="preserve"> minimal potential burden to small businesses or other small entities.</w:t>
      </w:r>
    </w:p>
    <w:p w14:paraId="6241834F" w14:textId="77777777" w:rsidR="00320387" w:rsidRDefault="00320387" w:rsidP="00320387">
      <w:pPr>
        <w:numPr>
          <w:ilvl w:val="12"/>
          <w:numId w:val="0"/>
        </w:numPr>
      </w:pPr>
    </w:p>
    <w:p w14:paraId="06575135"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5ED31A1F" w14:textId="77777777" w:rsidR="00320387" w:rsidRDefault="00320387" w:rsidP="00320387">
      <w:pPr>
        <w:keepNext/>
        <w:numPr>
          <w:ilvl w:val="12"/>
          <w:numId w:val="0"/>
        </w:numPr>
        <w:ind w:left="360"/>
      </w:pPr>
    </w:p>
    <w:p w14:paraId="639DF61E" w14:textId="6992DC10" w:rsidR="00D85C23" w:rsidRPr="00AF1407" w:rsidRDefault="00D85C23" w:rsidP="009C371B">
      <w:pPr>
        <w:numPr>
          <w:ilvl w:val="12"/>
          <w:numId w:val="0"/>
        </w:numPr>
        <w:ind w:left="360"/>
      </w:pPr>
      <w:r w:rsidRPr="00AF1407">
        <w:t xml:space="preserve">If this collection is not conducted, </w:t>
      </w:r>
      <w:r w:rsidR="00503977">
        <w:t xml:space="preserve">TSA will be unable to comply with the data collection and reporting requirements of </w:t>
      </w:r>
      <w:r w:rsidR="00826C83">
        <w:t xml:space="preserve">section </w:t>
      </w:r>
      <w:r w:rsidR="00503977">
        <w:t xml:space="preserve">1983 of the Act. Additionally, </w:t>
      </w:r>
      <w:r w:rsidR="00B80803" w:rsidRPr="00AF1407">
        <w:t>TSA will be unable to assess</w:t>
      </w:r>
      <w:r w:rsidR="008C7616">
        <w:t xml:space="preserve"> surface transportation</w:t>
      </w:r>
      <w:r w:rsidR="00B80803" w:rsidRPr="00AF1407">
        <w:t xml:space="preserve"> </w:t>
      </w:r>
      <w:r w:rsidR="008C7616">
        <w:t>stakeholders’</w:t>
      </w:r>
      <w:r w:rsidR="00B80803" w:rsidRPr="00AF1407">
        <w:t xml:space="preserve"> security</w:t>
      </w:r>
      <w:r w:rsidR="008C7616">
        <w:t xml:space="preserve"> resource needs</w:t>
      </w:r>
      <w:r w:rsidR="00B80803" w:rsidRPr="00AF1407">
        <w:t>, and will, therefore, be unable to fully exercise its oversight authority</w:t>
      </w:r>
      <w:r w:rsidR="00826C83">
        <w:t>.</w:t>
      </w:r>
      <w:r w:rsidR="00826C83">
        <w:rPr>
          <w:rStyle w:val="FootnoteReference"/>
        </w:rPr>
        <w:footnoteReference w:id="4"/>
      </w:r>
    </w:p>
    <w:p w14:paraId="3DF7DB74" w14:textId="77777777" w:rsidR="00DE1035" w:rsidRDefault="00DE1035" w:rsidP="00DE1035">
      <w:pPr>
        <w:numPr>
          <w:ilvl w:val="12"/>
          <w:numId w:val="0"/>
        </w:numPr>
        <w:ind w:left="360"/>
      </w:pPr>
    </w:p>
    <w:p w14:paraId="68AAC2F6"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7A063EB1" w14:textId="77777777" w:rsidR="00320387" w:rsidRDefault="00320387" w:rsidP="00320387">
      <w:pPr>
        <w:keepNext/>
        <w:numPr>
          <w:ilvl w:val="12"/>
          <w:numId w:val="0"/>
        </w:numPr>
        <w:ind w:left="360"/>
      </w:pPr>
    </w:p>
    <w:p w14:paraId="5C9FF8A5" w14:textId="77777777" w:rsidR="008E2102" w:rsidRDefault="008E2102" w:rsidP="008E2102">
      <w:pPr>
        <w:numPr>
          <w:ilvl w:val="12"/>
          <w:numId w:val="0"/>
        </w:numPr>
        <w:ind w:left="360"/>
      </w:pPr>
      <w:r>
        <w:t>TSA will conduct this collection in a manner consistent with the general information collection guidelines in 5 CFR 1320.5(d)(2).</w:t>
      </w:r>
    </w:p>
    <w:p w14:paraId="0012C4F6" w14:textId="77777777" w:rsidR="00320387" w:rsidRDefault="00320387" w:rsidP="00320387">
      <w:pPr>
        <w:numPr>
          <w:ilvl w:val="12"/>
          <w:numId w:val="0"/>
        </w:numPr>
      </w:pPr>
    </w:p>
    <w:p w14:paraId="6B1ABDDF"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BF3102A" w14:textId="77777777" w:rsidR="00320387" w:rsidRDefault="00320387" w:rsidP="00320387">
      <w:pPr>
        <w:keepNext/>
        <w:numPr>
          <w:ilvl w:val="12"/>
          <w:numId w:val="0"/>
        </w:numPr>
        <w:ind w:left="360"/>
      </w:pPr>
    </w:p>
    <w:p w14:paraId="36C02859" w14:textId="69830DFC" w:rsidR="00B6527F" w:rsidRDefault="00826C83" w:rsidP="00E75EEF">
      <w:pPr>
        <w:pStyle w:val="IndexHeading"/>
        <w:keepNext w:val="0"/>
        <w:numPr>
          <w:ilvl w:val="12"/>
          <w:numId w:val="0"/>
        </w:numPr>
        <w:spacing w:line="240" w:lineRule="auto"/>
        <w:ind w:left="360"/>
        <w:rPr>
          <w:rFonts w:ascii="Times New Roman" w:hAnsi="Times New Roman"/>
          <w:szCs w:val="24"/>
        </w:rPr>
      </w:pPr>
      <w:r>
        <w:rPr>
          <w:rFonts w:ascii="Times New Roman" w:hAnsi="Times New Roman"/>
          <w:szCs w:val="24"/>
        </w:rPr>
        <w:t xml:space="preserve">As part of its mission and responsibilities, </w:t>
      </w:r>
      <w:r w:rsidR="00E75EEF" w:rsidRPr="00E75EEF">
        <w:rPr>
          <w:rFonts w:ascii="Times New Roman" w:hAnsi="Times New Roman"/>
          <w:szCs w:val="24"/>
        </w:rPr>
        <w:t xml:space="preserve">TSA is in continuous dialogue </w:t>
      </w:r>
      <w:r w:rsidR="001E7E58" w:rsidRPr="00E75EEF">
        <w:rPr>
          <w:rFonts w:ascii="Times New Roman" w:hAnsi="Times New Roman"/>
          <w:szCs w:val="24"/>
        </w:rPr>
        <w:t xml:space="preserve">with </w:t>
      </w:r>
      <w:r w:rsidR="007D6275">
        <w:rPr>
          <w:rFonts w:ascii="Times New Roman" w:hAnsi="Times New Roman"/>
          <w:szCs w:val="24"/>
        </w:rPr>
        <w:t xml:space="preserve">surface </w:t>
      </w:r>
      <w:r w:rsidR="001E7E58" w:rsidRPr="00E75EEF">
        <w:rPr>
          <w:rFonts w:ascii="Times New Roman" w:hAnsi="Times New Roman"/>
          <w:szCs w:val="24"/>
        </w:rPr>
        <w:t>transportation</w:t>
      </w:r>
      <w:r w:rsidR="00E75EEF" w:rsidRPr="00E75EEF">
        <w:rPr>
          <w:rFonts w:ascii="Times New Roman" w:hAnsi="Times New Roman"/>
          <w:szCs w:val="24"/>
        </w:rPr>
        <w:t xml:space="preserve"> system stakeholders. </w:t>
      </w:r>
      <w:r w:rsidR="00C36ED1">
        <w:rPr>
          <w:rFonts w:ascii="Times New Roman" w:hAnsi="Times New Roman"/>
          <w:szCs w:val="24"/>
        </w:rPr>
        <w:t>Also, as stated above, TSA has coordinated this effort with FEMA, including their review of the TSA proposed survey. FEMA supports TSA as the lead agency for conducting the survey and submitting this ICR.</w:t>
      </w:r>
    </w:p>
    <w:p w14:paraId="1CC62BEC" w14:textId="00B4DE9C" w:rsidR="006033EC" w:rsidRDefault="006033EC" w:rsidP="00417D79">
      <w:pPr>
        <w:pStyle w:val="Index1"/>
      </w:pPr>
    </w:p>
    <w:p w14:paraId="4C091635" w14:textId="599C6E29" w:rsidR="006033EC" w:rsidRDefault="006033EC" w:rsidP="006033EC">
      <w:pPr>
        <w:numPr>
          <w:ilvl w:val="12"/>
          <w:numId w:val="0"/>
        </w:numPr>
        <w:ind w:left="360"/>
      </w:pPr>
      <w:r>
        <w:t xml:space="preserve">As required by 5 CFR 1320.8(d), TSA published in the </w:t>
      </w:r>
      <w:r w:rsidRPr="00AC3FF0">
        <w:rPr>
          <w:i/>
        </w:rPr>
        <w:t>Federal Register</w:t>
      </w:r>
      <w:r>
        <w:t xml:space="preserve"> a 60-day notice for public comment on March 21</w:t>
      </w:r>
      <w:r w:rsidRPr="00AC3FF0">
        <w:t>, 201</w:t>
      </w:r>
      <w:r>
        <w:t>9</w:t>
      </w:r>
      <w:r w:rsidRPr="003E70EE">
        <w:t xml:space="preserve"> (</w:t>
      </w:r>
      <w:r>
        <w:t>84</w:t>
      </w:r>
      <w:r w:rsidRPr="003E70EE">
        <w:t xml:space="preserve"> FR </w:t>
      </w:r>
      <w:r>
        <w:t xml:space="preserve">10524) and a 30-day notice on </w:t>
      </w:r>
      <w:r w:rsidR="00891239" w:rsidRPr="00891239">
        <w:t>June 7</w:t>
      </w:r>
      <w:r w:rsidRPr="00891239">
        <w:t>, 2019</w:t>
      </w:r>
      <w:r>
        <w:t xml:space="preserve"> </w:t>
      </w:r>
      <w:r w:rsidRPr="00106ED1">
        <w:t xml:space="preserve">(84 FR </w:t>
      </w:r>
      <w:r w:rsidR="00106ED1" w:rsidRPr="00106ED1">
        <w:t>26695</w:t>
      </w:r>
      <w:r w:rsidRPr="00106ED1">
        <w:t>. Consistent with the requirements of Executive Order (E.O.) 13771, Reducing Regulation and Controlling Regulatory Costs, and E.O. 13777, Enforcing the Regulatory Reform Agenda, each notice included a specific request for comments on the extent to which this request for information could be modified to reduce the burden on respondents. TSA has received no comments in response to the notices.</w:t>
      </w:r>
    </w:p>
    <w:p w14:paraId="35CCADC9" w14:textId="77777777" w:rsidR="006033EC" w:rsidRPr="006033EC" w:rsidRDefault="006033EC" w:rsidP="00417D79"/>
    <w:p w14:paraId="094C3F97"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4D3041AC" w14:textId="77777777" w:rsidR="00320387" w:rsidRDefault="00320387" w:rsidP="00320387">
      <w:pPr>
        <w:keepNext/>
        <w:numPr>
          <w:ilvl w:val="12"/>
          <w:numId w:val="0"/>
        </w:numPr>
        <w:ind w:left="360"/>
      </w:pPr>
    </w:p>
    <w:p w14:paraId="6CE9D485" w14:textId="27087D88" w:rsidR="00651B0D" w:rsidRDefault="003462FE" w:rsidP="003462FE">
      <w:pPr>
        <w:numPr>
          <w:ilvl w:val="12"/>
          <w:numId w:val="0"/>
        </w:numPr>
        <w:ind w:left="360"/>
      </w:pPr>
      <w:r>
        <w:t>TSA will</w:t>
      </w:r>
      <w:r w:rsidR="00651B0D">
        <w:t xml:space="preserve"> </w:t>
      </w:r>
      <w:r w:rsidR="00F869E2">
        <w:t xml:space="preserve">not </w:t>
      </w:r>
      <w:r w:rsidR="00651B0D">
        <w:t>provide</w:t>
      </w:r>
      <w:r w:rsidR="00F869E2">
        <w:t xml:space="preserve"> payment or gifts to </w:t>
      </w:r>
      <w:r>
        <w:t>respondents.</w:t>
      </w:r>
    </w:p>
    <w:p w14:paraId="618AF43E" w14:textId="77777777" w:rsidR="003462FE" w:rsidRDefault="003462FE" w:rsidP="00320387">
      <w:pPr>
        <w:numPr>
          <w:ilvl w:val="12"/>
          <w:numId w:val="0"/>
        </w:numPr>
      </w:pPr>
    </w:p>
    <w:p w14:paraId="2AC8C72A"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738D6B86" w14:textId="77777777" w:rsidR="00320387" w:rsidRDefault="00320387" w:rsidP="00320387">
      <w:pPr>
        <w:keepNext/>
        <w:numPr>
          <w:ilvl w:val="12"/>
          <w:numId w:val="0"/>
        </w:numPr>
        <w:ind w:left="360"/>
      </w:pPr>
    </w:p>
    <w:p w14:paraId="1362E8A5" w14:textId="147531F3" w:rsidR="003462FE" w:rsidRPr="00AF1407" w:rsidRDefault="00EA3AA6" w:rsidP="009C371B">
      <w:pPr>
        <w:autoSpaceDE w:val="0"/>
        <w:autoSpaceDN w:val="0"/>
        <w:adjustRightInd w:val="0"/>
        <w:ind w:left="360"/>
        <w:rPr>
          <w:rFonts w:ascii="Arial" w:hAnsi="Arial"/>
          <w:color w:val="auto"/>
          <w:sz w:val="20"/>
        </w:rPr>
      </w:pPr>
      <w:r>
        <w:rPr>
          <w:rFonts w:cs="Times New Roman"/>
          <w:color w:val="auto"/>
          <w:szCs w:val="24"/>
        </w:rPr>
        <w:t xml:space="preserve">While TSA does not offer any assurance of confidentiality, </w:t>
      </w:r>
      <w:r w:rsidR="00734E82">
        <w:rPr>
          <w:rFonts w:cs="Times New Roman"/>
          <w:color w:val="auto"/>
          <w:szCs w:val="24"/>
        </w:rPr>
        <w:t xml:space="preserve">to the extent </w:t>
      </w:r>
      <w:r w:rsidR="002352F3">
        <w:rPr>
          <w:rFonts w:cs="Times New Roman"/>
          <w:color w:val="auto"/>
          <w:szCs w:val="24"/>
        </w:rPr>
        <w:t xml:space="preserve">portions of </w:t>
      </w:r>
      <w:r>
        <w:rPr>
          <w:rFonts w:cs="Times New Roman"/>
          <w:color w:val="auto"/>
          <w:szCs w:val="24"/>
        </w:rPr>
        <w:t xml:space="preserve">the information provided by respondents </w:t>
      </w:r>
      <w:r w:rsidR="00D004BE">
        <w:rPr>
          <w:rFonts w:cs="Times New Roman"/>
          <w:color w:val="auto"/>
          <w:szCs w:val="24"/>
        </w:rPr>
        <w:t>may be</w:t>
      </w:r>
      <w:r w:rsidR="002352F3">
        <w:rPr>
          <w:rFonts w:cs="Times New Roman"/>
          <w:color w:val="auto"/>
          <w:szCs w:val="24"/>
        </w:rPr>
        <w:t xml:space="preserve"> designated </w:t>
      </w:r>
      <w:r w:rsidR="003462FE" w:rsidRPr="00AF1407">
        <w:rPr>
          <w:rFonts w:cs="Times New Roman"/>
          <w:color w:val="auto"/>
          <w:szCs w:val="24"/>
        </w:rPr>
        <w:t>Sensitive Security Information</w:t>
      </w:r>
      <w:r w:rsidR="0082690C">
        <w:rPr>
          <w:rFonts w:cs="Times New Roman"/>
          <w:color w:val="auto"/>
          <w:szCs w:val="24"/>
        </w:rPr>
        <w:t xml:space="preserve"> (SSI)</w:t>
      </w:r>
      <w:r w:rsidR="00CA1C88">
        <w:rPr>
          <w:rFonts w:cs="Times New Roman"/>
          <w:color w:val="auto"/>
          <w:szCs w:val="24"/>
        </w:rPr>
        <w:t xml:space="preserve">, as determined by the TSA SSI Office, </w:t>
      </w:r>
      <w:r w:rsidR="00734E82">
        <w:rPr>
          <w:rFonts w:cs="Times New Roman"/>
          <w:color w:val="auto"/>
          <w:szCs w:val="24"/>
        </w:rPr>
        <w:t xml:space="preserve">the responses </w:t>
      </w:r>
      <w:r w:rsidR="00D004BE">
        <w:rPr>
          <w:rFonts w:cs="Times New Roman"/>
          <w:color w:val="auto"/>
          <w:szCs w:val="24"/>
        </w:rPr>
        <w:t xml:space="preserve">would be </w:t>
      </w:r>
      <w:r w:rsidR="003462FE" w:rsidRPr="00AF1407">
        <w:rPr>
          <w:rFonts w:cs="Times New Roman"/>
          <w:color w:val="auto"/>
          <w:szCs w:val="24"/>
        </w:rPr>
        <w:t xml:space="preserve">handled </w:t>
      </w:r>
      <w:r>
        <w:rPr>
          <w:rFonts w:cs="Times New Roman"/>
          <w:color w:val="auto"/>
          <w:szCs w:val="24"/>
        </w:rPr>
        <w:t>in accordance with</w:t>
      </w:r>
      <w:r w:rsidR="003462FE" w:rsidRPr="00AF1407">
        <w:rPr>
          <w:rFonts w:cs="Times New Roman"/>
          <w:color w:val="auto"/>
          <w:szCs w:val="24"/>
        </w:rPr>
        <w:t xml:space="preserve"> 49 CFR parts 15 and 1520.</w:t>
      </w:r>
      <w:r w:rsidR="006033EC">
        <w:rPr>
          <w:rFonts w:cs="Times New Roman"/>
          <w:color w:val="auto"/>
          <w:szCs w:val="24"/>
        </w:rPr>
        <w:t xml:space="preserve"> This collection is non-privacy sensitive as it does not collect personally identifiable information.</w:t>
      </w:r>
    </w:p>
    <w:p w14:paraId="5483CA3F" w14:textId="77777777" w:rsidR="00320387" w:rsidRDefault="00320387" w:rsidP="00320387">
      <w:pPr>
        <w:numPr>
          <w:ilvl w:val="12"/>
          <w:numId w:val="0"/>
        </w:numPr>
      </w:pPr>
    </w:p>
    <w:p w14:paraId="5EF2B797"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2079FA7E" w14:textId="77777777" w:rsidR="00320387" w:rsidRDefault="00320387" w:rsidP="00C75184">
      <w:pPr>
        <w:keepNext/>
        <w:numPr>
          <w:ilvl w:val="12"/>
          <w:numId w:val="0"/>
        </w:numPr>
        <w:ind w:left="360"/>
      </w:pPr>
    </w:p>
    <w:p w14:paraId="3B6358A2" w14:textId="3D1545C2" w:rsidR="00320387" w:rsidRDefault="003462FE" w:rsidP="00C75184">
      <w:pPr>
        <w:numPr>
          <w:ilvl w:val="12"/>
          <w:numId w:val="0"/>
        </w:numPr>
        <w:ind w:left="360"/>
        <w:jc w:val="both"/>
      </w:pPr>
      <w:r w:rsidRPr="00AF1407">
        <w:t>TSA does not ask questions of a private or sensitive nature.</w:t>
      </w:r>
    </w:p>
    <w:p w14:paraId="6D4C250E" w14:textId="77777777" w:rsidR="00D004BE" w:rsidRDefault="00D004BE" w:rsidP="00320387">
      <w:pPr>
        <w:numPr>
          <w:ilvl w:val="12"/>
          <w:numId w:val="0"/>
        </w:numPr>
      </w:pPr>
    </w:p>
    <w:p w14:paraId="1D3671A4" w14:textId="77777777" w:rsidR="00320387" w:rsidRDefault="00320387" w:rsidP="00320387">
      <w:pPr>
        <w:keepNext/>
        <w:numPr>
          <w:ilvl w:val="0"/>
          <w:numId w:val="1"/>
        </w:numPr>
        <w:tabs>
          <w:tab w:val="left" w:pos="360"/>
        </w:tabs>
        <w:rPr>
          <w:b/>
          <w:i/>
        </w:rPr>
      </w:pPr>
      <w:r>
        <w:rPr>
          <w:b/>
          <w:i/>
        </w:rPr>
        <w:t xml:space="preserve">Provide estimates of hour </w:t>
      </w:r>
      <w:r w:rsidR="000E43E6">
        <w:rPr>
          <w:b/>
          <w:i/>
        </w:rPr>
        <w:t xml:space="preserve">and cost </w:t>
      </w:r>
      <w:r>
        <w:rPr>
          <w:b/>
          <w:i/>
        </w:rPr>
        <w:t>burden of the collection of information.</w:t>
      </w:r>
    </w:p>
    <w:p w14:paraId="4CB25541" w14:textId="77777777" w:rsidR="00320387" w:rsidRDefault="00320387" w:rsidP="00320387">
      <w:pPr>
        <w:keepNext/>
        <w:numPr>
          <w:ilvl w:val="12"/>
          <w:numId w:val="0"/>
        </w:numPr>
        <w:ind w:left="360"/>
      </w:pPr>
    </w:p>
    <w:p w14:paraId="3BA347E9" w14:textId="07B4147B" w:rsidR="00650657" w:rsidRDefault="00B07C2A" w:rsidP="00C75184">
      <w:pPr>
        <w:numPr>
          <w:ilvl w:val="12"/>
          <w:numId w:val="0"/>
        </w:numPr>
        <w:ind w:left="360"/>
        <w:rPr>
          <w:rFonts w:eastAsia="Calibri" w:cs="Times New Roman"/>
        </w:rPr>
      </w:pPr>
      <w:r>
        <w:rPr>
          <w:rFonts w:eastAsia="Calibri" w:cs="Times New Roman"/>
        </w:rPr>
        <w:t>This collection of information will occur once. The annual burden is for the single collection of information through a voluntary stakeholder survey</w:t>
      </w:r>
      <w:r w:rsidR="00EA5A2B">
        <w:rPr>
          <w:rFonts w:eastAsia="Calibri" w:cs="Times New Roman"/>
        </w:rPr>
        <w:t>, which</w:t>
      </w:r>
      <w:r>
        <w:rPr>
          <w:rFonts w:eastAsia="Calibri" w:cs="Times New Roman"/>
        </w:rPr>
        <w:t xml:space="preserve"> asks </w:t>
      </w:r>
      <w:r w:rsidR="00EA5A2B">
        <w:rPr>
          <w:rFonts w:eastAsia="Calibri" w:cs="Times New Roman"/>
        </w:rPr>
        <w:t xml:space="preserve">the </w:t>
      </w:r>
      <w:r>
        <w:rPr>
          <w:rFonts w:eastAsia="Calibri" w:cs="Times New Roman"/>
        </w:rPr>
        <w:t>stakeholder</w:t>
      </w:r>
      <w:r w:rsidR="00EA5A2B" w:rsidRPr="00EA5A2B">
        <w:rPr>
          <w:rFonts w:eastAsia="Calibri" w:cs="Times New Roman"/>
        </w:rPr>
        <w:t xml:space="preserve"> </w:t>
      </w:r>
      <w:r w:rsidR="00EA5A2B">
        <w:rPr>
          <w:rFonts w:eastAsia="Calibri" w:cs="Times New Roman"/>
        </w:rPr>
        <w:t>to gather pertinent data.</w:t>
      </w:r>
      <w:r>
        <w:rPr>
          <w:rFonts w:eastAsia="Calibri" w:cs="Times New Roman"/>
        </w:rPr>
        <w:t xml:space="preserve"> TSA estimates each stakeholder that responds will take on average two hours to gather information and submit their response.</w:t>
      </w:r>
    </w:p>
    <w:p w14:paraId="4AC261D4" w14:textId="77777777" w:rsidR="00886994" w:rsidRDefault="00886994" w:rsidP="00C75184">
      <w:pPr>
        <w:numPr>
          <w:ilvl w:val="12"/>
          <w:numId w:val="0"/>
        </w:numPr>
        <w:ind w:left="360"/>
        <w:rPr>
          <w:rFonts w:eastAsia="Calibri" w:cs="Times New Roman"/>
        </w:rPr>
      </w:pPr>
    </w:p>
    <w:p w14:paraId="578C6763" w14:textId="5903ECDA" w:rsidR="00B07C2A" w:rsidRDefault="00B07C2A" w:rsidP="00C75184">
      <w:pPr>
        <w:numPr>
          <w:ilvl w:val="12"/>
          <w:numId w:val="0"/>
        </w:numPr>
        <w:ind w:left="360"/>
        <w:rPr>
          <w:rFonts w:eastAsia="Calibri" w:cs="Times New Roman"/>
        </w:rPr>
      </w:pPr>
      <w:r>
        <w:rPr>
          <w:rFonts w:eastAsia="Calibri" w:cs="Times New Roman"/>
        </w:rPr>
        <w:t xml:space="preserve">Based on the duration of availability of the survey, TSA estimates that 20 percent of stakeholders that receive the survey will submit a response. The following table is a summary of the number of stakeholders by transportation mode </w:t>
      </w:r>
      <w:r w:rsidR="00BC5C2A">
        <w:rPr>
          <w:rFonts w:eastAsia="Calibri" w:cs="Times New Roman"/>
        </w:rPr>
        <w:t xml:space="preserve">from which </w:t>
      </w:r>
      <w:r>
        <w:rPr>
          <w:rFonts w:eastAsia="Calibri" w:cs="Times New Roman"/>
        </w:rPr>
        <w:t>TSA anticipates receiving the survey</w:t>
      </w:r>
      <w:r w:rsidR="00BC5C2A">
        <w:rPr>
          <w:rFonts w:eastAsia="Calibri" w:cs="Times New Roman"/>
        </w:rPr>
        <w:t xml:space="preserve"> results</w:t>
      </w:r>
      <w:r>
        <w:rPr>
          <w:rFonts w:eastAsia="Calibri" w:cs="Times New Roman"/>
        </w:rPr>
        <w:t xml:space="preserve">. </w:t>
      </w:r>
      <w:r w:rsidR="00650657">
        <w:rPr>
          <w:rFonts w:eastAsia="Calibri" w:cs="Times New Roman"/>
        </w:rPr>
        <w:t>TSA estimates 64</w:t>
      </w:r>
      <w:r w:rsidR="000B169B">
        <w:rPr>
          <w:rFonts w:eastAsia="Calibri" w:cs="Times New Roman"/>
        </w:rPr>
        <w:t>1</w:t>
      </w:r>
      <w:r w:rsidR="00650657">
        <w:rPr>
          <w:rStyle w:val="FootnoteReference"/>
          <w:rFonts w:eastAsia="Calibri" w:cs="Times New Roman"/>
        </w:rPr>
        <w:footnoteReference w:id="5"/>
      </w:r>
      <w:r w:rsidR="00650657">
        <w:rPr>
          <w:rFonts w:eastAsia="Calibri" w:cs="Times New Roman"/>
        </w:rPr>
        <w:t xml:space="preserve"> responses based on 3,20</w:t>
      </w:r>
      <w:r w:rsidR="000B169B">
        <w:rPr>
          <w:rFonts w:eastAsia="Calibri" w:cs="Times New Roman"/>
        </w:rPr>
        <w:t>7</w:t>
      </w:r>
      <w:r w:rsidR="00650657">
        <w:rPr>
          <w:rFonts w:eastAsia="Calibri" w:cs="Times New Roman"/>
        </w:rPr>
        <w:t xml:space="preserve"> stakeholders multiplied by the 20 percent response rate.</w:t>
      </w:r>
    </w:p>
    <w:p w14:paraId="707D6CB0" w14:textId="64F924EE" w:rsidR="004D169D" w:rsidRPr="00886994" w:rsidRDefault="004D169D" w:rsidP="00886994">
      <w:pPr>
        <w:keepNext/>
        <w:numPr>
          <w:ilvl w:val="12"/>
          <w:numId w:val="0"/>
        </w:numPr>
        <w:ind w:left="360"/>
        <w:jc w:val="center"/>
        <w:rPr>
          <w:rFonts w:eastAsia="Calibri" w:cs="Times New Roman"/>
          <w:b/>
        </w:rPr>
      </w:pPr>
    </w:p>
    <w:tbl>
      <w:tblPr>
        <w:tblStyle w:val="TableGrid"/>
        <w:tblW w:w="4570" w:type="pct"/>
        <w:jc w:val="center"/>
        <w:tblLook w:val="04A0" w:firstRow="1" w:lastRow="0" w:firstColumn="1" w:lastColumn="0" w:noHBand="0" w:noVBand="1"/>
      </w:tblPr>
      <w:tblGrid>
        <w:gridCol w:w="3405"/>
        <w:gridCol w:w="2671"/>
        <w:gridCol w:w="2676"/>
      </w:tblGrid>
      <w:tr w:rsidR="00BA6B5C" w14:paraId="1B4C2AC0" w14:textId="77777777" w:rsidTr="00BA6B5C">
        <w:trPr>
          <w:trHeight w:val="315"/>
          <w:jc w:val="center"/>
        </w:trPr>
        <w:tc>
          <w:tcPr>
            <w:tcW w:w="5000" w:type="pct"/>
            <w:gridSpan w:val="3"/>
          </w:tcPr>
          <w:p w14:paraId="5F50013B" w14:textId="3A24D1C3" w:rsidR="00BA6B5C" w:rsidRDefault="00BA6B5C" w:rsidP="00C75184">
            <w:pPr>
              <w:keepNext/>
              <w:numPr>
                <w:ilvl w:val="12"/>
                <w:numId w:val="0"/>
              </w:numPr>
              <w:ind w:left="360"/>
              <w:jc w:val="center"/>
              <w:rPr>
                <w:rFonts w:eastAsia="Calibri" w:cs="Times New Roman"/>
              </w:rPr>
            </w:pPr>
            <w:r w:rsidRPr="00886994">
              <w:rPr>
                <w:rFonts w:eastAsia="Calibri" w:cs="Times New Roman"/>
                <w:b/>
              </w:rPr>
              <w:t>Table 1</w:t>
            </w:r>
            <w:r>
              <w:rPr>
                <w:rFonts w:eastAsia="Calibri" w:cs="Times New Roman"/>
                <w:b/>
              </w:rPr>
              <w:t xml:space="preserve">. </w:t>
            </w:r>
            <w:r w:rsidRPr="00886994">
              <w:rPr>
                <w:rFonts w:eastAsia="Calibri" w:cs="Times New Roman"/>
                <w:b/>
              </w:rPr>
              <w:t xml:space="preserve"> Estimated Number of Stakeholder Recipients by Transportation Mode</w:t>
            </w:r>
          </w:p>
        </w:tc>
      </w:tr>
      <w:tr w:rsidR="00B07C2A" w14:paraId="1D18A0FC" w14:textId="1E294B22" w:rsidTr="00214B61">
        <w:trPr>
          <w:trHeight w:val="315"/>
          <w:jc w:val="center"/>
        </w:trPr>
        <w:tc>
          <w:tcPr>
            <w:tcW w:w="1945" w:type="pct"/>
          </w:tcPr>
          <w:p w14:paraId="6A712772" w14:textId="51BEF841" w:rsidR="00B07C2A" w:rsidRPr="00C75184" w:rsidRDefault="00B07C2A" w:rsidP="00C75184">
            <w:pPr>
              <w:keepNext/>
              <w:numPr>
                <w:ilvl w:val="12"/>
                <w:numId w:val="0"/>
              </w:numPr>
              <w:jc w:val="center"/>
              <w:rPr>
                <w:rFonts w:eastAsia="Calibri" w:cs="Times New Roman"/>
                <w:b/>
              </w:rPr>
            </w:pPr>
            <w:r w:rsidRPr="00C75184">
              <w:rPr>
                <w:rFonts w:eastAsia="Calibri" w:cs="Times New Roman"/>
                <w:b/>
              </w:rPr>
              <w:t>Industry</w:t>
            </w:r>
          </w:p>
        </w:tc>
        <w:tc>
          <w:tcPr>
            <w:tcW w:w="1526" w:type="pct"/>
          </w:tcPr>
          <w:p w14:paraId="12032113" w14:textId="1BA7113B" w:rsidR="00B07C2A" w:rsidRPr="00C75184" w:rsidRDefault="00B07C2A" w:rsidP="00C75184">
            <w:pPr>
              <w:keepNext/>
              <w:numPr>
                <w:ilvl w:val="12"/>
                <w:numId w:val="0"/>
              </w:numPr>
              <w:jc w:val="center"/>
              <w:rPr>
                <w:rFonts w:eastAsia="Calibri" w:cs="Times New Roman"/>
                <w:b/>
              </w:rPr>
            </w:pPr>
            <w:r w:rsidRPr="00C75184">
              <w:rPr>
                <w:rFonts w:eastAsia="Calibri" w:cs="Times New Roman"/>
                <w:b/>
              </w:rPr>
              <w:t>Stakeholder Recipients</w:t>
            </w:r>
          </w:p>
        </w:tc>
        <w:tc>
          <w:tcPr>
            <w:tcW w:w="1528" w:type="pct"/>
          </w:tcPr>
          <w:p w14:paraId="313421CB" w14:textId="1DAA05FC" w:rsidR="00B07C2A" w:rsidRPr="00C75184" w:rsidRDefault="00B07C2A" w:rsidP="00C75184">
            <w:pPr>
              <w:keepNext/>
              <w:numPr>
                <w:ilvl w:val="12"/>
                <w:numId w:val="0"/>
              </w:numPr>
              <w:jc w:val="center"/>
              <w:rPr>
                <w:rFonts w:eastAsia="Calibri" w:cs="Times New Roman"/>
                <w:b/>
              </w:rPr>
            </w:pPr>
            <w:r w:rsidRPr="00C75184">
              <w:rPr>
                <w:rFonts w:eastAsia="Calibri" w:cs="Times New Roman"/>
                <w:b/>
              </w:rPr>
              <w:t>Stakeholder Responses</w:t>
            </w:r>
          </w:p>
        </w:tc>
      </w:tr>
      <w:tr w:rsidR="00B07C2A" w14:paraId="226DCF91" w14:textId="3801410D" w:rsidTr="00214B61">
        <w:trPr>
          <w:trHeight w:val="649"/>
          <w:jc w:val="center"/>
        </w:trPr>
        <w:tc>
          <w:tcPr>
            <w:tcW w:w="1945" w:type="pct"/>
          </w:tcPr>
          <w:p w14:paraId="3B49AC9D" w14:textId="68664B76" w:rsidR="00B07C2A" w:rsidRDefault="00B07C2A" w:rsidP="00BA6B5C">
            <w:pPr>
              <w:numPr>
                <w:ilvl w:val="12"/>
                <w:numId w:val="0"/>
              </w:numPr>
              <w:rPr>
                <w:rFonts w:eastAsia="Calibri" w:cs="Times New Roman"/>
              </w:rPr>
            </w:pPr>
            <w:r>
              <w:rPr>
                <w:rFonts w:eastAsia="Calibri" w:cs="Times New Roman"/>
              </w:rPr>
              <w:t>Freight Railroads, Rail Shippers and Receivers</w:t>
            </w:r>
          </w:p>
        </w:tc>
        <w:tc>
          <w:tcPr>
            <w:tcW w:w="1526" w:type="pct"/>
          </w:tcPr>
          <w:p w14:paraId="146FDC94" w14:textId="54A1B1D0" w:rsidR="00B07C2A" w:rsidRDefault="00B07C2A" w:rsidP="00BA6B5C">
            <w:pPr>
              <w:numPr>
                <w:ilvl w:val="12"/>
                <w:numId w:val="0"/>
              </w:numPr>
              <w:jc w:val="right"/>
              <w:rPr>
                <w:rFonts w:eastAsia="Calibri" w:cs="Times New Roman"/>
              </w:rPr>
            </w:pPr>
            <w:r>
              <w:rPr>
                <w:rFonts w:eastAsia="Calibri" w:cs="Times New Roman"/>
              </w:rPr>
              <w:t>739</w:t>
            </w:r>
          </w:p>
        </w:tc>
        <w:tc>
          <w:tcPr>
            <w:tcW w:w="1528" w:type="pct"/>
          </w:tcPr>
          <w:p w14:paraId="232958D1" w14:textId="77DAAF25" w:rsidR="00B07C2A" w:rsidRDefault="00B07C2A" w:rsidP="00BA6B5C">
            <w:pPr>
              <w:numPr>
                <w:ilvl w:val="12"/>
                <w:numId w:val="0"/>
              </w:numPr>
              <w:jc w:val="right"/>
              <w:rPr>
                <w:rFonts w:eastAsia="Calibri" w:cs="Times New Roman"/>
              </w:rPr>
            </w:pPr>
            <w:r w:rsidRPr="00EF3DB2">
              <w:t>14</w:t>
            </w:r>
            <w:r w:rsidR="00650657">
              <w:t>9</w:t>
            </w:r>
          </w:p>
        </w:tc>
      </w:tr>
      <w:tr w:rsidR="00B07C2A" w14:paraId="43026419" w14:textId="044117DB" w:rsidTr="00214B61">
        <w:trPr>
          <w:trHeight w:val="315"/>
          <w:jc w:val="center"/>
        </w:trPr>
        <w:tc>
          <w:tcPr>
            <w:tcW w:w="1945" w:type="pct"/>
          </w:tcPr>
          <w:p w14:paraId="69C0B12F" w14:textId="0F0C6E3B" w:rsidR="00B07C2A" w:rsidRDefault="00B07C2A" w:rsidP="00BA6B5C">
            <w:pPr>
              <w:numPr>
                <w:ilvl w:val="12"/>
                <w:numId w:val="0"/>
              </w:numPr>
              <w:rPr>
                <w:rFonts w:eastAsia="Calibri" w:cs="Times New Roman"/>
              </w:rPr>
            </w:pPr>
            <w:r>
              <w:rPr>
                <w:rFonts w:eastAsia="Calibri" w:cs="Times New Roman"/>
              </w:rPr>
              <w:t>Highway Motor Carriers</w:t>
            </w:r>
          </w:p>
        </w:tc>
        <w:tc>
          <w:tcPr>
            <w:tcW w:w="1526" w:type="pct"/>
          </w:tcPr>
          <w:p w14:paraId="205A4B2B" w14:textId="09240F08" w:rsidR="00B07C2A" w:rsidRDefault="00B07C2A" w:rsidP="00BA6B5C">
            <w:pPr>
              <w:numPr>
                <w:ilvl w:val="12"/>
                <w:numId w:val="0"/>
              </w:numPr>
              <w:jc w:val="right"/>
              <w:rPr>
                <w:rFonts w:eastAsia="Calibri" w:cs="Times New Roman"/>
              </w:rPr>
            </w:pPr>
            <w:r>
              <w:rPr>
                <w:rFonts w:eastAsia="Calibri" w:cs="Times New Roman"/>
              </w:rPr>
              <w:t>189</w:t>
            </w:r>
          </w:p>
        </w:tc>
        <w:tc>
          <w:tcPr>
            <w:tcW w:w="1528" w:type="pct"/>
          </w:tcPr>
          <w:p w14:paraId="503CDC70" w14:textId="13F47EA2" w:rsidR="00B07C2A" w:rsidRDefault="00B07C2A" w:rsidP="00BA6B5C">
            <w:pPr>
              <w:numPr>
                <w:ilvl w:val="12"/>
                <w:numId w:val="0"/>
              </w:numPr>
              <w:jc w:val="right"/>
              <w:rPr>
                <w:rFonts w:eastAsia="Calibri" w:cs="Times New Roman"/>
              </w:rPr>
            </w:pPr>
            <w:r w:rsidRPr="00EF3DB2">
              <w:t>3</w:t>
            </w:r>
            <w:r w:rsidR="00650657">
              <w:t>8</w:t>
            </w:r>
          </w:p>
        </w:tc>
      </w:tr>
      <w:tr w:rsidR="00B07C2A" w14:paraId="3007B817" w14:textId="49E19126" w:rsidTr="00214B61">
        <w:trPr>
          <w:trHeight w:val="315"/>
          <w:jc w:val="center"/>
        </w:trPr>
        <w:tc>
          <w:tcPr>
            <w:tcW w:w="1945" w:type="pct"/>
          </w:tcPr>
          <w:p w14:paraId="4DC6E4C1" w14:textId="1C2AE4C0" w:rsidR="00B07C2A" w:rsidRDefault="00B07C2A" w:rsidP="00BA6B5C">
            <w:pPr>
              <w:numPr>
                <w:ilvl w:val="12"/>
                <w:numId w:val="0"/>
              </w:numPr>
              <w:rPr>
                <w:rFonts w:eastAsia="Calibri" w:cs="Times New Roman"/>
              </w:rPr>
            </w:pPr>
            <w:r>
              <w:rPr>
                <w:rFonts w:eastAsia="Calibri" w:cs="Times New Roman"/>
              </w:rPr>
              <w:t>Mass Transit and Passenger Rail</w:t>
            </w:r>
          </w:p>
        </w:tc>
        <w:tc>
          <w:tcPr>
            <w:tcW w:w="1526" w:type="pct"/>
          </w:tcPr>
          <w:p w14:paraId="62429980" w14:textId="72FBC08A" w:rsidR="00B07C2A" w:rsidRDefault="00B07C2A" w:rsidP="00BA6B5C">
            <w:pPr>
              <w:numPr>
                <w:ilvl w:val="12"/>
                <w:numId w:val="0"/>
              </w:numPr>
              <w:jc w:val="right"/>
              <w:rPr>
                <w:rFonts w:eastAsia="Calibri" w:cs="Times New Roman"/>
              </w:rPr>
            </w:pPr>
            <w:r>
              <w:rPr>
                <w:rFonts w:eastAsia="Calibri" w:cs="Times New Roman"/>
              </w:rPr>
              <w:t>599</w:t>
            </w:r>
          </w:p>
        </w:tc>
        <w:tc>
          <w:tcPr>
            <w:tcW w:w="1528" w:type="pct"/>
          </w:tcPr>
          <w:p w14:paraId="6D8A3E30" w14:textId="35AE33D8" w:rsidR="00B07C2A" w:rsidRDefault="00B07C2A" w:rsidP="00BA6B5C">
            <w:pPr>
              <w:numPr>
                <w:ilvl w:val="12"/>
                <w:numId w:val="0"/>
              </w:numPr>
              <w:jc w:val="right"/>
              <w:rPr>
                <w:rFonts w:eastAsia="Calibri" w:cs="Times New Roman"/>
              </w:rPr>
            </w:pPr>
            <w:r w:rsidRPr="00EF3DB2">
              <w:t>1</w:t>
            </w:r>
            <w:r w:rsidR="00650657">
              <w:t>20</w:t>
            </w:r>
          </w:p>
        </w:tc>
      </w:tr>
      <w:tr w:rsidR="00B07C2A" w14:paraId="15601EB1" w14:textId="6B809A0A" w:rsidTr="00214B61">
        <w:trPr>
          <w:trHeight w:val="315"/>
          <w:jc w:val="center"/>
        </w:trPr>
        <w:tc>
          <w:tcPr>
            <w:tcW w:w="1945" w:type="pct"/>
          </w:tcPr>
          <w:p w14:paraId="332E161C" w14:textId="5ADAE434" w:rsidR="00B07C2A" w:rsidRDefault="00B07C2A" w:rsidP="00BA6B5C">
            <w:pPr>
              <w:numPr>
                <w:ilvl w:val="12"/>
                <w:numId w:val="0"/>
              </w:numPr>
              <w:rPr>
                <w:rFonts w:eastAsia="Calibri" w:cs="Times New Roman"/>
              </w:rPr>
            </w:pPr>
            <w:r>
              <w:rPr>
                <w:rFonts w:eastAsia="Calibri" w:cs="Times New Roman"/>
              </w:rPr>
              <w:t>Pipeline Operators</w:t>
            </w:r>
          </w:p>
        </w:tc>
        <w:tc>
          <w:tcPr>
            <w:tcW w:w="1526" w:type="pct"/>
          </w:tcPr>
          <w:p w14:paraId="0A12FC27" w14:textId="5182BDFE" w:rsidR="00B07C2A" w:rsidRDefault="00B07C2A" w:rsidP="00BA6B5C">
            <w:pPr>
              <w:numPr>
                <w:ilvl w:val="12"/>
                <w:numId w:val="0"/>
              </w:numPr>
              <w:jc w:val="right"/>
              <w:rPr>
                <w:rFonts w:eastAsia="Calibri" w:cs="Times New Roman"/>
              </w:rPr>
            </w:pPr>
            <w:r>
              <w:rPr>
                <w:rFonts w:eastAsia="Calibri" w:cs="Times New Roman"/>
              </w:rPr>
              <w:t>1,680</w:t>
            </w:r>
          </w:p>
        </w:tc>
        <w:tc>
          <w:tcPr>
            <w:tcW w:w="1528" w:type="pct"/>
          </w:tcPr>
          <w:p w14:paraId="3FA27356" w14:textId="05417E13" w:rsidR="00B07C2A" w:rsidRDefault="00B07C2A" w:rsidP="00BA6B5C">
            <w:pPr>
              <w:numPr>
                <w:ilvl w:val="12"/>
                <w:numId w:val="0"/>
              </w:numPr>
              <w:jc w:val="right"/>
              <w:rPr>
                <w:rFonts w:eastAsia="Calibri" w:cs="Times New Roman"/>
              </w:rPr>
            </w:pPr>
            <w:r w:rsidRPr="00EF3DB2">
              <w:t>336</w:t>
            </w:r>
          </w:p>
        </w:tc>
      </w:tr>
      <w:tr w:rsidR="00B07C2A" w14:paraId="428B0CE2" w14:textId="562F6DE7" w:rsidTr="00214B61">
        <w:trPr>
          <w:trHeight w:val="298"/>
          <w:jc w:val="center"/>
        </w:trPr>
        <w:tc>
          <w:tcPr>
            <w:tcW w:w="1945" w:type="pct"/>
          </w:tcPr>
          <w:p w14:paraId="23861A75" w14:textId="2A310F06" w:rsidR="00B07C2A" w:rsidRPr="00B07C2A" w:rsidRDefault="00B07C2A" w:rsidP="00320387">
            <w:pPr>
              <w:keepNext/>
              <w:numPr>
                <w:ilvl w:val="12"/>
                <w:numId w:val="0"/>
              </w:numPr>
              <w:rPr>
                <w:rFonts w:eastAsia="Calibri" w:cs="Times New Roman"/>
                <w:b/>
              </w:rPr>
            </w:pPr>
            <w:r w:rsidRPr="00B07C2A">
              <w:rPr>
                <w:rFonts w:eastAsia="Calibri" w:cs="Times New Roman"/>
                <w:b/>
              </w:rPr>
              <w:t>Total</w:t>
            </w:r>
          </w:p>
        </w:tc>
        <w:tc>
          <w:tcPr>
            <w:tcW w:w="1526" w:type="pct"/>
          </w:tcPr>
          <w:p w14:paraId="6AB1D025" w14:textId="66CFC811" w:rsidR="00B07C2A" w:rsidRPr="00B07C2A" w:rsidRDefault="00B07C2A" w:rsidP="00B07C2A">
            <w:pPr>
              <w:keepNext/>
              <w:numPr>
                <w:ilvl w:val="12"/>
                <w:numId w:val="0"/>
              </w:numPr>
              <w:jc w:val="right"/>
              <w:rPr>
                <w:rFonts w:eastAsia="Calibri" w:cs="Times New Roman"/>
                <w:b/>
              </w:rPr>
            </w:pPr>
            <w:r w:rsidRPr="00B07C2A">
              <w:rPr>
                <w:rFonts w:eastAsia="Calibri" w:cs="Times New Roman"/>
                <w:b/>
              </w:rPr>
              <w:t>3,20</w:t>
            </w:r>
            <w:r w:rsidR="00886994">
              <w:rPr>
                <w:rFonts w:eastAsia="Calibri" w:cs="Times New Roman"/>
                <w:b/>
              </w:rPr>
              <w:t>7</w:t>
            </w:r>
          </w:p>
        </w:tc>
        <w:tc>
          <w:tcPr>
            <w:tcW w:w="1528" w:type="pct"/>
          </w:tcPr>
          <w:p w14:paraId="74981194" w14:textId="550CDB06" w:rsidR="00B07C2A" w:rsidRPr="00B07C2A" w:rsidRDefault="00650657" w:rsidP="00B07C2A">
            <w:pPr>
              <w:keepNext/>
              <w:numPr>
                <w:ilvl w:val="12"/>
                <w:numId w:val="0"/>
              </w:numPr>
              <w:jc w:val="right"/>
              <w:rPr>
                <w:rFonts w:eastAsia="Calibri" w:cs="Times New Roman"/>
                <w:b/>
              </w:rPr>
            </w:pPr>
            <w:r>
              <w:rPr>
                <w:rFonts w:eastAsia="Calibri" w:cs="Times New Roman"/>
                <w:b/>
              </w:rPr>
              <w:t>64</w:t>
            </w:r>
            <w:r w:rsidR="00886994">
              <w:rPr>
                <w:rFonts w:eastAsia="Calibri" w:cs="Times New Roman"/>
                <w:b/>
              </w:rPr>
              <w:t>1</w:t>
            </w:r>
          </w:p>
        </w:tc>
      </w:tr>
    </w:tbl>
    <w:p w14:paraId="4D18CC6C" w14:textId="1005BF25" w:rsidR="00B07C2A" w:rsidRDefault="00650657" w:rsidP="00C75184">
      <w:pPr>
        <w:numPr>
          <w:ilvl w:val="12"/>
          <w:numId w:val="0"/>
        </w:numPr>
        <w:ind w:left="360"/>
        <w:rPr>
          <w:rFonts w:eastAsia="Calibri" w:cs="Times New Roman"/>
        </w:rPr>
      </w:pPr>
      <w:r>
        <w:rPr>
          <w:rFonts w:eastAsia="Calibri" w:cs="Times New Roman"/>
        </w:rPr>
        <w:t>Note: Totals may not sum due to rounding.</w:t>
      </w:r>
    </w:p>
    <w:p w14:paraId="0065F887" w14:textId="77777777" w:rsidR="00650657" w:rsidRPr="00B07C2A" w:rsidRDefault="00650657" w:rsidP="00C75184">
      <w:pPr>
        <w:numPr>
          <w:ilvl w:val="12"/>
          <w:numId w:val="0"/>
        </w:numPr>
        <w:ind w:left="360"/>
        <w:rPr>
          <w:rFonts w:eastAsia="Calibri" w:cs="Times New Roman"/>
        </w:rPr>
      </w:pPr>
    </w:p>
    <w:p w14:paraId="16BF801F" w14:textId="2163D79F" w:rsidR="00036254" w:rsidRDefault="00650657" w:rsidP="00320387">
      <w:pPr>
        <w:numPr>
          <w:ilvl w:val="12"/>
          <w:numId w:val="0"/>
        </w:numPr>
        <w:ind w:left="360"/>
      </w:pPr>
      <w:r>
        <w:t>TSA estimates a total of 1,28</w:t>
      </w:r>
      <w:r w:rsidR="00886994">
        <w:t>2.8</w:t>
      </w:r>
      <w:r>
        <w:t xml:space="preserve"> hours, based on 64</w:t>
      </w:r>
      <w:r w:rsidR="00886994">
        <w:t>1</w:t>
      </w:r>
      <w:r>
        <w:t xml:space="preserve"> responses multiplied by </w:t>
      </w:r>
      <w:r w:rsidR="007F5E66">
        <w:t>two</w:t>
      </w:r>
      <w:r>
        <w:t xml:space="preserve"> hours. TSA then multiplies the total hours </w:t>
      </w:r>
      <w:r w:rsidR="00214B61">
        <w:t>(</w:t>
      </w:r>
      <w:r>
        <w:t>1,28</w:t>
      </w:r>
      <w:r w:rsidR="00886994">
        <w:t>2.8</w:t>
      </w:r>
      <w:r w:rsidR="00214B61">
        <w:t>)</w:t>
      </w:r>
      <w:r>
        <w:t xml:space="preserve"> by </w:t>
      </w:r>
      <w:r w:rsidR="00214B61">
        <w:t xml:space="preserve">the </w:t>
      </w:r>
      <w:r>
        <w:t xml:space="preserve">weighted </w:t>
      </w:r>
      <w:r w:rsidR="00CB6B52">
        <w:t>average fully-</w:t>
      </w:r>
      <w:r>
        <w:t>loaded</w:t>
      </w:r>
      <w:r w:rsidR="00CB6B52">
        <w:rPr>
          <w:rStyle w:val="FootnoteReference"/>
        </w:rPr>
        <w:footnoteReference w:id="6"/>
      </w:r>
      <w:r>
        <w:t xml:space="preserve"> </w:t>
      </w:r>
      <w:r w:rsidR="00CB6B52">
        <w:t xml:space="preserve">wage </w:t>
      </w:r>
      <w:r>
        <w:t xml:space="preserve">rate for all four industries </w:t>
      </w:r>
      <w:r w:rsidR="00214B61">
        <w:t>(</w:t>
      </w:r>
      <w:r>
        <w:t>$87.84</w:t>
      </w:r>
      <w:r w:rsidR="00214B61">
        <w:t>)</w:t>
      </w:r>
      <w:r>
        <w:rPr>
          <w:rStyle w:val="FootnoteReference"/>
        </w:rPr>
        <w:footnoteReference w:id="7"/>
      </w:r>
      <w:r>
        <w:t xml:space="preserve"> to estimate a </w:t>
      </w:r>
      <w:r w:rsidR="00B43275">
        <w:t>one-time</w:t>
      </w:r>
      <w:r>
        <w:t xml:space="preserve"> cost of </w:t>
      </w:r>
      <w:r w:rsidRPr="000B169B">
        <w:t>$</w:t>
      </w:r>
      <w:r w:rsidR="000B169B" w:rsidRPr="000B169B">
        <w:t>112,68</w:t>
      </w:r>
      <w:r w:rsidR="00886047">
        <w:t>3</w:t>
      </w:r>
      <w:r w:rsidRPr="000B169B">
        <w:t>.</w:t>
      </w:r>
    </w:p>
    <w:p w14:paraId="32561792" w14:textId="77777777" w:rsidR="00214B61" w:rsidRDefault="00214B61" w:rsidP="00320387">
      <w:pPr>
        <w:numPr>
          <w:ilvl w:val="12"/>
          <w:numId w:val="0"/>
        </w:numPr>
        <w:ind w:left="360"/>
      </w:pPr>
    </w:p>
    <w:p w14:paraId="4BA2D331"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408CE5E7" w14:textId="77777777" w:rsidR="00320387" w:rsidRDefault="00320387" w:rsidP="00320387">
      <w:pPr>
        <w:keepNext/>
        <w:numPr>
          <w:ilvl w:val="12"/>
          <w:numId w:val="0"/>
        </w:numPr>
        <w:ind w:left="360"/>
      </w:pPr>
    </w:p>
    <w:p w14:paraId="785CA65B" w14:textId="71AFB52D" w:rsidR="007D6275" w:rsidRPr="00886994" w:rsidRDefault="0036350E" w:rsidP="00C75184">
      <w:pPr>
        <w:numPr>
          <w:ilvl w:val="12"/>
          <w:numId w:val="0"/>
        </w:numPr>
        <w:ind w:left="360"/>
        <w:rPr>
          <w:rFonts w:eastAsia="Calibri" w:cs="Times New Roman"/>
        </w:rPr>
      </w:pPr>
      <w:r>
        <w:rPr>
          <w:rFonts w:eastAsia="Calibri" w:cs="Times New Roman"/>
        </w:rPr>
        <w:t>There are no costs burdens to respondents for this collection besides opportunity costs in question 12.</w:t>
      </w:r>
    </w:p>
    <w:p w14:paraId="1566F04A" w14:textId="77777777" w:rsidR="007D6275" w:rsidRDefault="007D6275" w:rsidP="00C75184">
      <w:pPr>
        <w:numPr>
          <w:ilvl w:val="12"/>
          <w:numId w:val="0"/>
        </w:numPr>
        <w:ind w:left="360"/>
      </w:pPr>
    </w:p>
    <w:p w14:paraId="291D0AD8"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5A35D0A4" w14:textId="77777777" w:rsidR="00320387" w:rsidRDefault="00320387" w:rsidP="00320387">
      <w:pPr>
        <w:keepNext/>
        <w:numPr>
          <w:ilvl w:val="12"/>
          <w:numId w:val="0"/>
        </w:numPr>
        <w:ind w:left="360"/>
      </w:pPr>
    </w:p>
    <w:p w14:paraId="5D920B0D" w14:textId="07BCC18A" w:rsidR="007D6275" w:rsidRPr="00886994" w:rsidRDefault="00E66DDD" w:rsidP="00C75184">
      <w:pPr>
        <w:numPr>
          <w:ilvl w:val="12"/>
          <w:numId w:val="0"/>
        </w:numPr>
        <w:ind w:left="360"/>
        <w:rPr>
          <w:rFonts w:eastAsia="Calibri" w:cs="Times New Roman"/>
        </w:rPr>
      </w:pPr>
      <w:r>
        <w:rPr>
          <w:rFonts w:eastAsia="Calibri" w:cs="Times New Roman"/>
        </w:rPr>
        <w:t>TSA estimate</w:t>
      </w:r>
      <w:r w:rsidR="00C25396">
        <w:rPr>
          <w:rFonts w:eastAsia="Calibri" w:cs="Times New Roman"/>
        </w:rPr>
        <w:t>s</w:t>
      </w:r>
      <w:r>
        <w:rPr>
          <w:rFonts w:eastAsia="Calibri" w:cs="Times New Roman"/>
        </w:rPr>
        <w:t xml:space="preserve"> three </w:t>
      </w:r>
      <w:r w:rsidR="0036350E">
        <w:rPr>
          <w:rFonts w:eastAsia="Calibri" w:cs="Times New Roman"/>
        </w:rPr>
        <w:t xml:space="preserve">staff members </w:t>
      </w:r>
      <w:r w:rsidR="004F379F">
        <w:rPr>
          <w:rFonts w:eastAsia="Calibri" w:cs="Times New Roman"/>
        </w:rPr>
        <w:t>who</w:t>
      </w:r>
      <w:r w:rsidR="0036350E">
        <w:rPr>
          <w:rFonts w:eastAsia="Calibri" w:cs="Times New Roman"/>
        </w:rPr>
        <w:t xml:space="preserve"> are I, J</w:t>
      </w:r>
      <w:r w:rsidR="004F379F">
        <w:rPr>
          <w:rFonts w:eastAsia="Calibri" w:cs="Times New Roman"/>
        </w:rPr>
        <w:t>,</w:t>
      </w:r>
      <w:r w:rsidR="0036350E">
        <w:rPr>
          <w:rFonts w:eastAsia="Calibri" w:cs="Times New Roman"/>
        </w:rPr>
        <w:t xml:space="preserve"> and K </w:t>
      </w:r>
      <w:r w:rsidR="0057250E">
        <w:rPr>
          <w:rFonts w:eastAsia="Calibri" w:cs="Times New Roman"/>
        </w:rPr>
        <w:t>pay band</w:t>
      </w:r>
      <w:r w:rsidR="0036350E">
        <w:rPr>
          <w:rFonts w:eastAsia="Calibri" w:cs="Times New Roman"/>
        </w:rPr>
        <w:t xml:space="preserve"> employees will each spend 24 hours reviewing and analyzing the data submitted through the survey. This equates to 72 hours for the Federal burden, and TSA multiplies </w:t>
      </w:r>
      <w:r>
        <w:rPr>
          <w:rFonts w:eastAsia="Calibri" w:cs="Times New Roman"/>
        </w:rPr>
        <w:t xml:space="preserve">the total hours </w:t>
      </w:r>
      <w:r w:rsidR="0036350E">
        <w:rPr>
          <w:rFonts w:eastAsia="Calibri" w:cs="Times New Roman"/>
        </w:rPr>
        <w:t>by the average fully-loaded hourly rate of $70.59</w:t>
      </w:r>
      <w:r w:rsidR="0036350E">
        <w:rPr>
          <w:rStyle w:val="FootnoteReference"/>
          <w:rFonts w:eastAsia="Calibri" w:cs="Times New Roman"/>
        </w:rPr>
        <w:footnoteReference w:id="8"/>
      </w:r>
      <w:r w:rsidR="0036350E">
        <w:rPr>
          <w:rFonts w:eastAsia="Calibri" w:cs="Times New Roman"/>
        </w:rPr>
        <w:t xml:space="preserve"> to estimate the one time Federal cost of $5,08</w:t>
      </w:r>
      <w:r w:rsidR="00886047">
        <w:rPr>
          <w:rFonts w:eastAsia="Calibri" w:cs="Times New Roman"/>
        </w:rPr>
        <w:t>3</w:t>
      </w:r>
      <w:r w:rsidR="0036350E">
        <w:rPr>
          <w:rFonts w:eastAsia="Calibri" w:cs="Times New Roman"/>
        </w:rPr>
        <w:t>.</w:t>
      </w:r>
    </w:p>
    <w:p w14:paraId="46BEEC01" w14:textId="77777777" w:rsidR="00621851" w:rsidRPr="00AF1407" w:rsidRDefault="00621851" w:rsidP="00C65468">
      <w:pPr>
        <w:numPr>
          <w:ilvl w:val="12"/>
          <w:numId w:val="0"/>
        </w:numPr>
        <w:ind w:firstLine="360"/>
        <w:jc w:val="both"/>
        <w:rPr>
          <w:rFonts w:cs="Times New Roman"/>
          <w:szCs w:val="24"/>
        </w:rPr>
      </w:pPr>
    </w:p>
    <w:p w14:paraId="2570CCFD"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7374CB97" w14:textId="77777777" w:rsidR="00320387" w:rsidRDefault="00320387" w:rsidP="00320387">
      <w:pPr>
        <w:keepNext/>
        <w:numPr>
          <w:ilvl w:val="12"/>
          <w:numId w:val="0"/>
        </w:numPr>
        <w:ind w:left="360"/>
      </w:pPr>
    </w:p>
    <w:p w14:paraId="62B35D35" w14:textId="77777777" w:rsidR="00AF08CC" w:rsidRDefault="00AF08CC" w:rsidP="00C75184">
      <w:pPr>
        <w:numPr>
          <w:ilvl w:val="12"/>
          <w:numId w:val="0"/>
        </w:numPr>
        <w:ind w:left="360"/>
      </w:pPr>
      <w:r>
        <w:t>This is a new collection.</w:t>
      </w:r>
    </w:p>
    <w:p w14:paraId="160BB61D"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5A5633AD"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8095614" w14:textId="77777777" w:rsidR="00320387" w:rsidRDefault="00320387" w:rsidP="00320387">
      <w:pPr>
        <w:keepNext/>
        <w:numPr>
          <w:ilvl w:val="12"/>
          <w:numId w:val="0"/>
        </w:numPr>
        <w:ind w:left="360"/>
      </w:pPr>
    </w:p>
    <w:p w14:paraId="59381C20" w14:textId="28F87C24" w:rsidR="00F565E4" w:rsidRPr="00F565E4" w:rsidRDefault="00F565E4" w:rsidP="00C75184">
      <w:pPr>
        <w:numPr>
          <w:ilvl w:val="12"/>
          <w:numId w:val="0"/>
        </w:numPr>
        <w:ind w:left="360"/>
      </w:pPr>
      <w:r>
        <w:t xml:space="preserve">Upon approval and initiation of this information collection, </w:t>
      </w:r>
      <w:r w:rsidR="00826C83">
        <w:t xml:space="preserve">section </w:t>
      </w:r>
      <w:r>
        <w:t xml:space="preserve">1983(b) of the Act requires TSA to </w:t>
      </w:r>
      <w:r w:rsidRPr="00F565E4">
        <w:t>report to the appropriate committees of Congress</w:t>
      </w:r>
      <w:r w:rsidR="001D1B66">
        <w:t>,</w:t>
      </w:r>
      <w:r w:rsidRPr="00F565E4">
        <w:t xml:space="preserve"> </w:t>
      </w:r>
      <w:r>
        <w:t>not later than 120 days after beginning the stakeholder</w:t>
      </w:r>
      <w:r w:rsidRPr="00F565E4">
        <w:t xml:space="preserve"> </w:t>
      </w:r>
      <w:r>
        <w:t>survey</w:t>
      </w:r>
      <w:r w:rsidR="001D1B66">
        <w:t>,</w:t>
      </w:r>
      <w:r>
        <w:t xml:space="preserve"> </w:t>
      </w:r>
      <w:r w:rsidRPr="00F565E4">
        <w:t xml:space="preserve">regarding the results and </w:t>
      </w:r>
      <w:r w:rsidR="008F01E6">
        <w:t>DHS</w:t>
      </w:r>
      <w:r w:rsidRPr="00F565E4">
        <w:t>’s efforts to address any identified security vulnerabilities.</w:t>
      </w:r>
      <w:r>
        <w:t xml:space="preserve"> </w:t>
      </w:r>
      <w:r w:rsidR="000D2C85">
        <w:t xml:space="preserve">To comply with the provisions of the Act, the survey site will be available for stakeholder response for a </w:t>
      </w:r>
      <w:r w:rsidR="00C25396">
        <w:t>2</w:t>
      </w:r>
      <w:r w:rsidR="007F5E66">
        <w:t>1</w:t>
      </w:r>
      <w:r w:rsidR="00FA4522">
        <w:t>-</w:t>
      </w:r>
      <w:r w:rsidR="000D2C85">
        <w:t>day period. Upon completion of the response period,</w:t>
      </w:r>
      <w:r w:rsidR="00451796">
        <w:t xml:space="preserve"> TSA will compile</w:t>
      </w:r>
      <w:r w:rsidR="000D2C85">
        <w:t xml:space="preserve"> results and </w:t>
      </w:r>
      <w:r w:rsidR="00451796">
        <w:t>draft the required</w:t>
      </w:r>
      <w:r w:rsidR="000D2C85">
        <w:t xml:space="preserve"> report over an additional </w:t>
      </w:r>
      <w:r w:rsidR="007D0200">
        <w:t>30-day</w:t>
      </w:r>
      <w:r w:rsidR="000D2C85">
        <w:t xml:space="preserve"> timeframe. The remaining </w:t>
      </w:r>
      <w:r w:rsidR="007F5E66">
        <w:t>time</w:t>
      </w:r>
      <w:r w:rsidR="000D2C85">
        <w:t xml:space="preserve"> prior to the statutory deadline </w:t>
      </w:r>
      <w:r w:rsidR="007D0200">
        <w:t>will</w:t>
      </w:r>
      <w:r w:rsidR="000D2C85">
        <w:t xml:space="preserve"> be used for agency and department review and revision of the draft document, approval of the final document, and submission of the report to the appropriate committees of Congress.</w:t>
      </w:r>
    </w:p>
    <w:p w14:paraId="589BCFD0"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C8056BF"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28CC4B7" w14:textId="77777777" w:rsidR="00320387" w:rsidRDefault="00320387" w:rsidP="00320387">
      <w:pPr>
        <w:keepNext/>
        <w:numPr>
          <w:ilvl w:val="12"/>
          <w:numId w:val="0"/>
        </w:numPr>
        <w:ind w:left="360"/>
      </w:pPr>
    </w:p>
    <w:p w14:paraId="3D63668A" w14:textId="77777777" w:rsidR="007D6275" w:rsidRDefault="007D6275" w:rsidP="00C75184">
      <w:pPr>
        <w:tabs>
          <w:tab w:val="left" w:pos="360"/>
        </w:tabs>
        <w:ind w:left="360"/>
        <w:jc w:val="both"/>
      </w:pPr>
      <w:r w:rsidRPr="00455340">
        <w:rPr>
          <w:rFonts w:cs="Times New Roman"/>
          <w:szCs w:val="24"/>
        </w:rPr>
        <w:t>TSA is not seeking such approval.</w:t>
      </w:r>
    </w:p>
    <w:p w14:paraId="29618F9B" w14:textId="77777777" w:rsidR="00320387" w:rsidRDefault="00320387" w:rsidP="00320387">
      <w:pPr>
        <w:numPr>
          <w:ilvl w:val="12"/>
          <w:numId w:val="0"/>
        </w:numPr>
        <w:tabs>
          <w:tab w:val="left" w:pos="360"/>
        </w:tabs>
      </w:pPr>
    </w:p>
    <w:p w14:paraId="1ECEEE20"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0391F9AD" w14:textId="77777777" w:rsidR="00320387" w:rsidRDefault="00320387" w:rsidP="00320387">
      <w:pPr>
        <w:keepNext/>
        <w:numPr>
          <w:ilvl w:val="12"/>
          <w:numId w:val="0"/>
        </w:numPr>
        <w:ind w:left="360"/>
      </w:pPr>
    </w:p>
    <w:p w14:paraId="0C8F6B9F" w14:textId="3EEC2D7D" w:rsidR="007D6275" w:rsidRDefault="007D6275" w:rsidP="00C75184">
      <w:pPr>
        <w:numPr>
          <w:ilvl w:val="12"/>
          <w:numId w:val="0"/>
        </w:numPr>
        <w:ind w:left="360"/>
      </w:pPr>
      <w:r>
        <w:t>TSA is not seeking any exceptions to the statement in Item 19.</w:t>
      </w:r>
    </w:p>
    <w:sectPr w:rsidR="007D6275"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3094D" w14:textId="77777777" w:rsidR="004823DA" w:rsidRDefault="004823DA">
      <w:r>
        <w:separator/>
      </w:r>
    </w:p>
  </w:endnote>
  <w:endnote w:type="continuationSeparator" w:id="0">
    <w:p w14:paraId="059CD157" w14:textId="77777777" w:rsidR="004823DA" w:rsidRDefault="0048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BDBB1" w14:textId="77777777" w:rsidR="00214B61" w:rsidRDefault="00214B61">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B6EBD" w14:textId="77777777" w:rsidR="004823DA" w:rsidRDefault="004823DA">
      <w:r>
        <w:separator/>
      </w:r>
    </w:p>
  </w:footnote>
  <w:footnote w:type="continuationSeparator" w:id="0">
    <w:p w14:paraId="421A839D" w14:textId="77777777" w:rsidR="004823DA" w:rsidRDefault="004823DA">
      <w:r>
        <w:continuationSeparator/>
      </w:r>
    </w:p>
  </w:footnote>
  <w:footnote w:id="1">
    <w:p w14:paraId="1510EF75" w14:textId="3FB451F7" w:rsidR="00214B61" w:rsidRDefault="00214B61" w:rsidP="00403427">
      <w:pPr>
        <w:pStyle w:val="FootnoteText"/>
      </w:pPr>
      <w:r>
        <w:rPr>
          <w:rStyle w:val="FootnoteReference"/>
        </w:rPr>
        <w:footnoteRef/>
      </w:r>
      <w:r>
        <w:t xml:space="preserve"> </w:t>
      </w:r>
      <w:r w:rsidR="001521EA" w:rsidRPr="00EA4AB8">
        <w:rPr>
          <w:i/>
        </w:rPr>
        <w:t>See</w:t>
      </w:r>
      <w:r w:rsidR="001521EA">
        <w:t xml:space="preserve"> </w:t>
      </w:r>
      <w:r w:rsidR="00DF277B">
        <w:t>s</w:t>
      </w:r>
      <w:r w:rsidR="001521EA">
        <w:t>ection 101 of the Aviation and Transportation Security Act (ATSA), Pub. L. 107-71, 115 Stat. 597 (Nov. 19, 2001), codified at 49 U.S.C. 114 (ATSA created TSA and established the agency’s primary federal role to enhance security for all modes of transportation). Section 403(2) of the Homeland Security Act of 2002 (HSA), Pub. L. 107-296, 116 Stat. 2135 (Nov. 25, 2002), transferred all functions related to transportation security, including those of the Secretary of Transportation and the Under Secretary of Transportation for Security, to the Secretary of Homeland Security. Pursuant to Department of Homeland Security (DHS) Delegation Number 7060.2, the Secretary delegated to the Administrator, subject to the Secretary’s guidance and control, the authority vested in the Secretary with respect to TSA, including that in sec. 403(2) of the HSA.</w:t>
      </w:r>
    </w:p>
  </w:footnote>
  <w:footnote w:id="2">
    <w:p w14:paraId="7A487AE4" w14:textId="6F82B248" w:rsidR="001521EA" w:rsidRDefault="001521EA">
      <w:pPr>
        <w:pStyle w:val="FootnoteText"/>
      </w:pPr>
      <w:r>
        <w:rPr>
          <w:rStyle w:val="FootnoteReference"/>
        </w:rPr>
        <w:footnoteRef/>
      </w:r>
      <w:r>
        <w:t xml:space="preserve"> </w:t>
      </w:r>
      <w:r>
        <w:rPr>
          <w:i/>
        </w:rPr>
        <w:t xml:space="preserve">See </w:t>
      </w:r>
      <w:r>
        <w:rPr>
          <w:bCs/>
          <w:iCs/>
        </w:rPr>
        <w:t>Executive Order (E.O.) 13416, section 3(a) (Dec. 5, 2006).</w:t>
      </w:r>
    </w:p>
  </w:footnote>
  <w:footnote w:id="3">
    <w:p w14:paraId="45BF1726" w14:textId="4638F103" w:rsidR="00214B61" w:rsidRDefault="00214B61" w:rsidP="00CA1C55">
      <w:pPr>
        <w:pStyle w:val="FootnoteText"/>
      </w:pPr>
      <w:r>
        <w:rPr>
          <w:rStyle w:val="FootnoteReference"/>
        </w:rPr>
        <w:footnoteRef/>
      </w:r>
      <w:r>
        <w:t xml:space="preserve"> SEC. 1983. SURFACE TRANSPORTATION STAKEHOLDER SURVEY.</w:t>
      </w:r>
    </w:p>
    <w:p w14:paraId="4EE7D6C2" w14:textId="77777777" w:rsidR="00214B61" w:rsidRDefault="00214B61" w:rsidP="00CA1C55">
      <w:pPr>
        <w:pStyle w:val="FootnoteText"/>
      </w:pPr>
      <w:r>
        <w:t>(a) In General.—Not later than 120 days after the date of enactment of this Act, the Secretary shall begin conducting a survey of public and private stakeholders responsible for securing surface transportation assets regarding resource challenges, including the availability of Federal funding, associated with securing such assets that provides an opportunity for respondents to set forth information on specific unmet needs.</w:t>
      </w:r>
    </w:p>
    <w:p w14:paraId="2F26B508" w14:textId="071A523D" w:rsidR="00214B61" w:rsidRDefault="00214B61" w:rsidP="00CA1C55">
      <w:pPr>
        <w:pStyle w:val="FootnoteText"/>
      </w:pPr>
      <w:r>
        <w:t>(b) Report.—Not later than 120 days after beginning the survey required under subsection (a), the Secretary shall report to the appropriate committees of Congress regarding the results of such survey and the Department of Homeland Security’s efforts to address any identified security vulnerabilities.</w:t>
      </w:r>
    </w:p>
  </w:footnote>
  <w:footnote w:id="4">
    <w:p w14:paraId="3A2382CC" w14:textId="77A16F56" w:rsidR="00826C83" w:rsidRPr="00826C83" w:rsidRDefault="00826C83">
      <w:pPr>
        <w:pStyle w:val="FootnoteText"/>
      </w:pPr>
      <w:r>
        <w:rPr>
          <w:rStyle w:val="FootnoteReference"/>
        </w:rPr>
        <w:footnoteRef/>
      </w:r>
      <w:r>
        <w:t xml:space="preserve"> </w:t>
      </w:r>
      <w:r>
        <w:rPr>
          <w:i/>
        </w:rPr>
        <w:t>See supra</w:t>
      </w:r>
      <w:r>
        <w:t>, n. 1.</w:t>
      </w:r>
    </w:p>
  </w:footnote>
  <w:footnote w:id="5">
    <w:p w14:paraId="53C7DDFB" w14:textId="0C26892D" w:rsidR="00214B61" w:rsidRDefault="00214B61">
      <w:pPr>
        <w:pStyle w:val="FootnoteText"/>
      </w:pPr>
      <w:r>
        <w:rPr>
          <w:rStyle w:val="FootnoteReference"/>
        </w:rPr>
        <w:footnoteRef/>
      </w:r>
      <w:r>
        <w:t xml:space="preserve"> 641.4 = 3,207 x 0.2.</w:t>
      </w:r>
    </w:p>
  </w:footnote>
  <w:footnote w:id="6">
    <w:p w14:paraId="653EA9F1" w14:textId="3D456AF2" w:rsidR="00214B61" w:rsidRDefault="00214B61">
      <w:pPr>
        <w:pStyle w:val="FootnoteText"/>
      </w:pPr>
      <w:r>
        <w:rPr>
          <w:rStyle w:val="FootnoteReference"/>
        </w:rPr>
        <w:footnoteRef/>
      </w:r>
      <w:r>
        <w:t xml:space="preserve"> </w:t>
      </w:r>
      <w:r w:rsidRPr="00CB6B52">
        <w:t>A fully-loaded wage rate account</w:t>
      </w:r>
      <w:r>
        <w:t>s</w:t>
      </w:r>
      <w:r w:rsidRPr="00CB6B52">
        <w:t xml:space="preserve"> for non-wage components of employee compensation, such as healthcare and retirement benefits.</w:t>
      </w:r>
    </w:p>
  </w:footnote>
  <w:footnote w:id="7">
    <w:p w14:paraId="0D484D7B" w14:textId="01520E29" w:rsidR="00214B61" w:rsidRDefault="00214B61">
      <w:pPr>
        <w:pStyle w:val="FootnoteText"/>
      </w:pPr>
      <w:r>
        <w:rPr>
          <w:rStyle w:val="FootnoteReference"/>
        </w:rPr>
        <w:footnoteRef/>
      </w:r>
      <w:r>
        <w:t xml:space="preserve"> Weighted average fully loaded compensation for four industries is based on the Standard Occupational Code (SOC) 11-0000 Management Occupations mean hourly wage rate from Bureau of Labor Statistics multiplied by each industry’s respective compensation factor. The unloaded wage rate for</w:t>
      </w:r>
      <w:r w:rsidRPr="00CB6B52">
        <w:t xml:space="preserve"> </w:t>
      </w:r>
      <w:r>
        <w:t xml:space="preserve">Management Occupations </w:t>
      </w:r>
      <w:r w:rsidR="00417D79">
        <w:t>in NAICS</w:t>
      </w:r>
      <w:r>
        <w:t xml:space="preserve"> 482000 Rail Transportation, 485100-Urban Transit Systems,</w:t>
      </w:r>
      <w:r w:rsidRPr="00CB6B52">
        <w:t>485500</w:t>
      </w:r>
      <w:r>
        <w:t xml:space="preserve"> Charter Bus and </w:t>
      </w:r>
      <w:r w:rsidRPr="00CB6B52">
        <w:t>484000 - Truck Transportation</w:t>
      </w:r>
      <w:r>
        <w:t xml:space="preserve">, and </w:t>
      </w:r>
      <w:r w:rsidRPr="00CB6B52">
        <w:t>486000 - Pipeline Transporta</w:t>
      </w:r>
      <w:r>
        <w:t>tion was $52.</w:t>
      </w:r>
      <w:r w:rsidR="00B43275">
        <w:t>25, $</w:t>
      </w:r>
      <w:r>
        <w:t>50.52, $50.</w:t>
      </w:r>
      <w:r w:rsidR="0057250E">
        <w:t>72, $</w:t>
      </w:r>
      <w:r>
        <w:t>66.36, respectively</w:t>
      </w:r>
      <w:r w:rsidRPr="00CB6B52">
        <w:t xml:space="preserve">. BLS. May 2017 National Industry-Specific Occupational Employment and Wage Estimates. Last modified March 30, 2018 (accessed </w:t>
      </w:r>
      <w:r>
        <w:t>November 28,2018</w:t>
      </w:r>
      <w:r w:rsidRPr="00CB6B52">
        <w:t>)</w:t>
      </w:r>
      <w:r>
        <w:t xml:space="preserve">; </w:t>
      </w:r>
      <w:hyperlink r:id="rId1" w:history="1">
        <w:r w:rsidRPr="00C75184">
          <w:rPr>
            <w:rStyle w:val="Hyperlink"/>
            <w:u w:val="none"/>
          </w:rPr>
          <w:t>https://www.bls.gov/oes/2017/may/naics3_482000.htm</w:t>
        </w:r>
      </w:hyperlink>
      <w:r>
        <w:t xml:space="preserve">, </w:t>
      </w:r>
      <w:hyperlink r:id="rId2" w:history="1">
        <w:r w:rsidRPr="00C75184">
          <w:rPr>
            <w:rStyle w:val="Hyperlink"/>
            <w:u w:val="none"/>
          </w:rPr>
          <w:t>https://www.bls.gov/oes/2017/may/naics4_485100.htm</w:t>
        </w:r>
      </w:hyperlink>
      <w:r w:rsidRPr="00214B61">
        <w:t xml:space="preserve">, </w:t>
      </w:r>
      <w:hyperlink r:id="rId3" w:history="1">
        <w:r w:rsidRPr="00C75184">
          <w:rPr>
            <w:rStyle w:val="Hyperlink"/>
            <w:u w:val="none"/>
          </w:rPr>
          <w:t>https://www.bls.gov/oes/2017/may/naics4_485500.htm</w:t>
        </w:r>
      </w:hyperlink>
      <w:r w:rsidRPr="00214B61">
        <w:t xml:space="preserve">, </w:t>
      </w:r>
      <w:hyperlink r:id="rId4" w:history="1">
        <w:r w:rsidRPr="00C75184">
          <w:rPr>
            <w:rStyle w:val="Hyperlink"/>
            <w:u w:val="none"/>
          </w:rPr>
          <w:t>https://www.bls.gov/oes/2017/may/naics3_484000.htm</w:t>
        </w:r>
      </w:hyperlink>
      <w:r w:rsidRPr="00214B61">
        <w:t xml:space="preserve">, </w:t>
      </w:r>
      <w:hyperlink r:id="rId5" w:history="1">
        <w:r w:rsidRPr="00C75184">
          <w:rPr>
            <w:rStyle w:val="Hyperlink"/>
            <w:u w:val="none"/>
          </w:rPr>
          <w:t>https://www.bls.gov/oes/2017/may/naics3_486000.htm</w:t>
        </w:r>
      </w:hyperlink>
      <w:r>
        <w:t xml:space="preserve">. TSA multiplied each unloaded hourly rate by 1.44, the BLS Employer </w:t>
      </w:r>
      <w:r w:rsidRPr="00A04073">
        <w:t>Costs for Employee Compensation</w:t>
      </w:r>
      <w:r>
        <w:t xml:space="preserve"> (ECEC) for Rail </w:t>
      </w:r>
      <w:r w:rsidR="00B43275">
        <w:t>Transportation</w:t>
      </w:r>
      <w:r>
        <w:t xml:space="preserve">, Charter Bus and Truck Transportation, and Pipeline industries, All Workers. </w:t>
      </w:r>
      <w:r w:rsidRPr="00C75184">
        <w:rPr>
          <w:i/>
        </w:rPr>
        <w:t>See</w:t>
      </w:r>
      <w:r>
        <w:t xml:space="preserve"> Table 9: Employer Costs Per Hour Worked for Employee Compensation and Costs as A Percent of Total Compensation: Private Industry. TSA multiplied the Urban Transit Systems unloaded hourly rate by 1.73, the BLS ECEC for the state and local workers. </w:t>
      </w:r>
      <w:r w:rsidRPr="00C75184">
        <w:rPr>
          <w:i/>
        </w:rPr>
        <w:t>See</w:t>
      </w:r>
      <w:r>
        <w:t xml:space="preserve"> Table 4: </w:t>
      </w:r>
      <w:r w:rsidRPr="00527D1D">
        <w:t>Employer Costs Per Hour Worked for Employee Compensation and Costs as A Percent of Total Compensation: State and Local Government Workers, By Occupational and Industry Group</w:t>
      </w:r>
      <w:r>
        <w:t xml:space="preserve">. TSA divided the Total Compensation by Wage &amp; Salaries for the last four available quarters to get 1.44 and 1.73, for the private sector and State and local workers, respectively. </w:t>
      </w:r>
      <w:r w:rsidRPr="00C94613">
        <w:t>Average of: June 2018, March 2018, December 2017, and September 2017 reports</w:t>
      </w:r>
      <w:r>
        <w:t xml:space="preserve">; </w:t>
      </w:r>
      <w:r w:rsidRPr="00FF447A">
        <w:t>https://www.bls.gov/bls/news-release/ecec.htm</w:t>
      </w:r>
      <w:r>
        <w:t>.</w:t>
      </w:r>
    </w:p>
  </w:footnote>
  <w:footnote w:id="8">
    <w:p w14:paraId="22CC0989" w14:textId="7C49C4B7" w:rsidR="00214B61" w:rsidRDefault="00214B61">
      <w:pPr>
        <w:pStyle w:val="FootnoteText"/>
      </w:pPr>
      <w:r>
        <w:rPr>
          <w:rStyle w:val="FootnoteReference"/>
        </w:rPr>
        <w:footnoteRef/>
      </w:r>
      <w:r>
        <w:t xml:space="preserve"> TSA used the average fully loaded hourly rate based on 2,087 hours, and Office of Personnel Management (OPM) standard for Federal employees. The average of </w:t>
      </w:r>
      <w:r w:rsidRPr="00886047">
        <w:t xml:space="preserve">$70.59186 </w:t>
      </w:r>
      <w:r>
        <w:t>was calculated by the I-band rate of $53.61, the J-band rate of $72.72, and K-band of $85.44 divided by three.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E306E" w14:textId="1B5711B9" w:rsidR="00214B61" w:rsidRDefault="00214B6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720DB">
      <w:rPr>
        <w:rStyle w:val="PageNumber"/>
        <w:rFonts w:ascii="Times New Roman" w:hAnsi="Times New Roman"/>
        <w:noProof/>
        <w:sz w:val="24"/>
      </w:rPr>
      <w:t>2</w:t>
    </w:r>
    <w:r>
      <w:rPr>
        <w:rStyle w:val="PageNumber"/>
        <w:rFonts w:ascii="Times New Roman" w:hAnsi="Times New Roman"/>
        <w:sz w:val="24"/>
      </w:rPr>
      <w:fldChar w:fldCharType="end"/>
    </w:r>
  </w:p>
  <w:p w14:paraId="4D84E75E" w14:textId="77777777" w:rsidR="00214B61" w:rsidRPr="00320387" w:rsidRDefault="00214B61">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B62B8" w14:textId="47EDD5B8" w:rsidR="00214B61" w:rsidRDefault="00214B61">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A3A3B51" w14:textId="77777777" w:rsidR="00214B61" w:rsidRDefault="00214B61">
    <w:pPr>
      <w:jc w:val="center"/>
      <w:rPr>
        <w:rFonts w:cs="Times New Roman"/>
        <w:b/>
        <w:sz w:val="28"/>
      </w:rPr>
    </w:pPr>
  </w:p>
  <w:p w14:paraId="3702612D" w14:textId="58504DF2" w:rsidR="00214B61" w:rsidRPr="00673568" w:rsidRDefault="00214B61" w:rsidP="00403427">
    <w:pPr>
      <w:jc w:val="center"/>
      <w:rPr>
        <w:rFonts w:cs="Times New Roman"/>
        <w:b/>
        <w:sz w:val="28"/>
      </w:rPr>
    </w:pPr>
    <w:r w:rsidRPr="00673568">
      <w:rPr>
        <w:rFonts w:cs="Times New Roman"/>
        <w:b/>
        <w:color w:val="auto"/>
      </w:rPr>
      <w:t>SURFACE TRANSPORTATION STAKEHOLDER SURVEY</w:t>
    </w:r>
  </w:p>
  <w:p w14:paraId="7156D183" w14:textId="77777777" w:rsidR="00214B61" w:rsidRPr="00673568" w:rsidRDefault="00214B61" w:rsidP="00403427">
    <w:pPr>
      <w:jc w:val="center"/>
      <w:rPr>
        <w:rFonts w:cs="Times New Roman"/>
        <w:b/>
        <w:sz w:val="28"/>
      </w:rPr>
    </w:pPr>
  </w:p>
  <w:p w14:paraId="2AB08A73" w14:textId="721CFA57" w:rsidR="00214B61" w:rsidRDefault="00214B61" w:rsidP="00403427">
    <w:pPr>
      <w:jc w:val="center"/>
      <w:rPr>
        <w:rFonts w:cs="Times New Roman"/>
        <w:b/>
        <w:sz w:val="28"/>
      </w:rPr>
    </w:pPr>
    <w:r>
      <w:rPr>
        <w:rFonts w:cs="Times New Roman"/>
        <w:b/>
        <w:sz w:val="28"/>
      </w:rPr>
      <w:t>1652-NEW</w:t>
    </w:r>
  </w:p>
  <w:p w14:paraId="51BC1AFE" w14:textId="77777777" w:rsidR="00214B61" w:rsidRDefault="00214B61" w:rsidP="00403427">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4DEE667F"/>
    <w:multiLevelType w:val="hybridMultilevel"/>
    <w:tmpl w:val="F14A4A46"/>
    <w:lvl w:ilvl="0" w:tplc="67269274">
      <w:start w:val="1"/>
      <w:numFmt w:val="lowerLetter"/>
      <w:lvlText w:val="(%1)"/>
      <w:lvlJc w:val="left"/>
      <w:pPr>
        <w:ind w:left="720" w:hanging="360"/>
      </w:pPr>
      <w:rPr>
        <w:rFonts w:cs="Arial"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796C"/>
    <w:rsid w:val="000327CD"/>
    <w:rsid w:val="00036254"/>
    <w:rsid w:val="00036ABE"/>
    <w:rsid w:val="00040CCF"/>
    <w:rsid w:val="0004252D"/>
    <w:rsid w:val="0004396A"/>
    <w:rsid w:val="000444D6"/>
    <w:rsid w:val="00046AAF"/>
    <w:rsid w:val="0004700B"/>
    <w:rsid w:val="00061B1C"/>
    <w:rsid w:val="00062785"/>
    <w:rsid w:val="000629B9"/>
    <w:rsid w:val="000656D9"/>
    <w:rsid w:val="00071919"/>
    <w:rsid w:val="00086D43"/>
    <w:rsid w:val="00087F14"/>
    <w:rsid w:val="000A20D6"/>
    <w:rsid w:val="000A7B78"/>
    <w:rsid w:val="000B169B"/>
    <w:rsid w:val="000B5809"/>
    <w:rsid w:val="000C4BFF"/>
    <w:rsid w:val="000C4F6D"/>
    <w:rsid w:val="000D2C85"/>
    <w:rsid w:val="000E2993"/>
    <w:rsid w:val="000E43E6"/>
    <w:rsid w:val="00106482"/>
    <w:rsid w:val="00106ED1"/>
    <w:rsid w:val="00113277"/>
    <w:rsid w:val="00115195"/>
    <w:rsid w:val="001152D2"/>
    <w:rsid w:val="001164CF"/>
    <w:rsid w:val="00120520"/>
    <w:rsid w:val="00120A21"/>
    <w:rsid w:val="00122E98"/>
    <w:rsid w:val="00123028"/>
    <w:rsid w:val="00130D9F"/>
    <w:rsid w:val="00135918"/>
    <w:rsid w:val="0014395A"/>
    <w:rsid w:val="00150C0C"/>
    <w:rsid w:val="001521EA"/>
    <w:rsid w:val="00155F2A"/>
    <w:rsid w:val="001712BD"/>
    <w:rsid w:val="0018021B"/>
    <w:rsid w:val="001805CD"/>
    <w:rsid w:val="00186C03"/>
    <w:rsid w:val="0018771E"/>
    <w:rsid w:val="00191BE9"/>
    <w:rsid w:val="0019213E"/>
    <w:rsid w:val="001A167F"/>
    <w:rsid w:val="001A3469"/>
    <w:rsid w:val="001A5D20"/>
    <w:rsid w:val="001A7224"/>
    <w:rsid w:val="001A763E"/>
    <w:rsid w:val="001C3834"/>
    <w:rsid w:val="001D1B66"/>
    <w:rsid w:val="001D3A9B"/>
    <w:rsid w:val="001E7E58"/>
    <w:rsid w:val="001F0F36"/>
    <w:rsid w:val="001F2C1A"/>
    <w:rsid w:val="001F5B99"/>
    <w:rsid w:val="00201FAD"/>
    <w:rsid w:val="00213673"/>
    <w:rsid w:val="00214B61"/>
    <w:rsid w:val="00225AB9"/>
    <w:rsid w:val="002317B5"/>
    <w:rsid w:val="002346B7"/>
    <w:rsid w:val="002352F3"/>
    <w:rsid w:val="0024480B"/>
    <w:rsid w:val="00245200"/>
    <w:rsid w:val="00252610"/>
    <w:rsid w:val="00263523"/>
    <w:rsid w:val="002643DB"/>
    <w:rsid w:val="00264B21"/>
    <w:rsid w:val="002807FA"/>
    <w:rsid w:val="00280D1D"/>
    <w:rsid w:val="00282BD0"/>
    <w:rsid w:val="002853ED"/>
    <w:rsid w:val="00290802"/>
    <w:rsid w:val="0029418F"/>
    <w:rsid w:val="002A3A47"/>
    <w:rsid w:val="002A4558"/>
    <w:rsid w:val="002B3913"/>
    <w:rsid w:val="002B49E3"/>
    <w:rsid w:val="002B58FB"/>
    <w:rsid w:val="002B652F"/>
    <w:rsid w:val="002C0FC8"/>
    <w:rsid w:val="002C1989"/>
    <w:rsid w:val="002D1ADA"/>
    <w:rsid w:val="002F15EA"/>
    <w:rsid w:val="00300EC3"/>
    <w:rsid w:val="003055FC"/>
    <w:rsid w:val="00317D59"/>
    <w:rsid w:val="00320387"/>
    <w:rsid w:val="00326B83"/>
    <w:rsid w:val="00341916"/>
    <w:rsid w:val="00342BE6"/>
    <w:rsid w:val="003462FE"/>
    <w:rsid w:val="00351B3C"/>
    <w:rsid w:val="00356D09"/>
    <w:rsid w:val="00356EB7"/>
    <w:rsid w:val="0036350E"/>
    <w:rsid w:val="00365E58"/>
    <w:rsid w:val="00370224"/>
    <w:rsid w:val="003726CE"/>
    <w:rsid w:val="003755D5"/>
    <w:rsid w:val="0037575E"/>
    <w:rsid w:val="00375D9F"/>
    <w:rsid w:val="003776D7"/>
    <w:rsid w:val="0038343A"/>
    <w:rsid w:val="00385F31"/>
    <w:rsid w:val="003A49B0"/>
    <w:rsid w:val="003A5714"/>
    <w:rsid w:val="003A6A69"/>
    <w:rsid w:val="003B20CC"/>
    <w:rsid w:val="003B3DB6"/>
    <w:rsid w:val="003B6CA9"/>
    <w:rsid w:val="003B7937"/>
    <w:rsid w:val="003C0F11"/>
    <w:rsid w:val="003C6551"/>
    <w:rsid w:val="003D174D"/>
    <w:rsid w:val="003D3B1A"/>
    <w:rsid w:val="003E78BC"/>
    <w:rsid w:val="003F0306"/>
    <w:rsid w:val="003F1ABB"/>
    <w:rsid w:val="00403427"/>
    <w:rsid w:val="004169BF"/>
    <w:rsid w:val="00417D79"/>
    <w:rsid w:val="004228C5"/>
    <w:rsid w:val="004243D1"/>
    <w:rsid w:val="0042548F"/>
    <w:rsid w:val="00447364"/>
    <w:rsid w:val="004504A0"/>
    <w:rsid w:val="00451796"/>
    <w:rsid w:val="00481F31"/>
    <w:rsid w:val="004823DA"/>
    <w:rsid w:val="00482EF2"/>
    <w:rsid w:val="0048396E"/>
    <w:rsid w:val="004A4E6D"/>
    <w:rsid w:val="004B1E81"/>
    <w:rsid w:val="004B2663"/>
    <w:rsid w:val="004B36C2"/>
    <w:rsid w:val="004B6FD9"/>
    <w:rsid w:val="004C15D5"/>
    <w:rsid w:val="004C2FC1"/>
    <w:rsid w:val="004C46D1"/>
    <w:rsid w:val="004D169D"/>
    <w:rsid w:val="004D572C"/>
    <w:rsid w:val="004D5A97"/>
    <w:rsid w:val="004D5D07"/>
    <w:rsid w:val="004E77C8"/>
    <w:rsid w:val="004E7809"/>
    <w:rsid w:val="004E7F18"/>
    <w:rsid w:val="004F379F"/>
    <w:rsid w:val="004F4468"/>
    <w:rsid w:val="004F7596"/>
    <w:rsid w:val="00501D5E"/>
    <w:rsid w:val="00502E33"/>
    <w:rsid w:val="00503977"/>
    <w:rsid w:val="00517946"/>
    <w:rsid w:val="00520E35"/>
    <w:rsid w:val="00524D03"/>
    <w:rsid w:val="005258C8"/>
    <w:rsid w:val="00527B6D"/>
    <w:rsid w:val="00527D1D"/>
    <w:rsid w:val="005330D0"/>
    <w:rsid w:val="0053582D"/>
    <w:rsid w:val="00550349"/>
    <w:rsid w:val="00551AFC"/>
    <w:rsid w:val="00565822"/>
    <w:rsid w:val="005716A1"/>
    <w:rsid w:val="0057250E"/>
    <w:rsid w:val="00574957"/>
    <w:rsid w:val="005A6E47"/>
    <w:rsid w:val="005C0438"/>
    <w:rsid w:val="005C784B"/>
    <w:rsid w:val="005D3C41"/>
    <w:rsid w:val="005D76D9"/>
    <w:rsid w:val="005E7A43"/>
    <w:rsid w:val="005F4510"/>
    <w:rsid w:val="005F4AAC"/>
    <w:rsid w:val="006033EC"/>
    <w:rsid w:val="006058CD"/>
    <w:rsid w:val="00605B58"/>
    <w:rsid w:val="00606BE3"/>
    <w:rsid w:val="00613435"/>
    <w:rsid w:val="00621851"/>
    <w:rsid w:val="00623456"/>
    <w:rsid w:val="00624421"/>
    <w:rsid w:val="0062486F"/>
    <w:rsid w:val="00625C2A"/>
    <w:rsid w:val="00626A1C"/>
    <w:rsid w:val="00626D07"/>
    <w:rsid w:val="006272A5"/>
    <w:rsid w:val="00633D00"/>
    <w:rsid w:val="0064219E"/>
    <w:rsid w:val="00644D3E"/>
    <w:rsid w:val="00650657"/>
    <w:rsid w:val="00651B0D"/>
    <w:rsid w:val="00661D9B"/>
    <w:rsid w:val="006661D2"/>
    <w:rsid w:val="006713F2"/>
    <w:rsid w:val="00673058"/>
    <w:rsid w:val="00673568"/>
    <w:rsid w:val="0067413F"/>
    <w:rsid w:val="00683921"/>
    <w:rsid w:val="00694EB7"/>
    <w:rsid w:val="00695ADC"/>
    <w:rsid w:val="006B0F66"/>
    <w:rsid w:val="006B1167"/>
    <w:rsid w:val="006B701C"/>
    <w:rsid w:val="006C4809"/>
    <w:rsid w:val="006D710D"/>
    <w:rsid w:val="006D7E69"/>
    <w:rsid w:val="006E115B"/>
    <w:rsid w:val="006E268A"/>
    <w:rsid w:val="006E5306"/>
    <w:rsid w:val="006E7595"/>
    <w:rsid w:val="006F024B"/>
    <w:rsid w:val="006F1637"/>
    <w:rsid w:val="00703FCB"/>
    <w:rsid w:val="00705B7E"/>
    <w:rsid w:val="00705BA8"/>
    <w:rsid w:val="00707217"/>
    <w:rsid w:val="00712335"/>
    <w:rsid w:val="00723913"/>
    <w:rsid w:val="00734E82"/>
    <w:rsid w:val="00744B2D"/>
    <w:rsid w:val="007549CF"/>
    <w:rsid w:val="00762E88"/>
    <w:rsid w:val="00763FEF"/>
    <w:rsid w:val="00772C15"/>
    <w:rsid w:val="0077302F"/>
    <w:rsid w:val="00782A71"/>
    <w:rsid w:val="0079555E"/>
    <w:rsid w:val="00795836"/>
    <w:rsid w:val="007B0D59"/>
    <w:rsid w:val="007B480C"/>
    <w:rsid w:val="007B588C"/>
    <w:rsid w:val="007B6DA7"/>
    <w:rsid w:val="007B7021"/>
    <w:rsid w:val="007C4DFC"/>
    <w:rsid w:val="007D0200"/>
    <w:rsid w:val="007D0E61"/>
    <w:rsid w:val="007D6275"/>
    <w:rsid w:val="007E43C6"/>
    <w:rsid w:val="007F0E6D"/>
    <w:rsid w:val="007F5DB6"/>
    <w:rsid w:val="007F5E66"/>
    <w:rsid w:val="008003FC"/>
    <w:rsid w:val="008077A2"/>
    <w:rsid w:val="00822778"/>
    <w:rsid w:val="0082690C"/>
    <w:rsid w:val="00826C83"/>
    <w:rsid w:val="0083037F"/>
    <w:rsid w:val="00846DA9"/>
    <w:rsid w:val="008478A5"/>
    <w:rsid w:val="00847D87"/>
    <w:rsid w:val="008550B1"/>
    <w:rsid w:val="00865C3E"/>
    <w:rsid w:val="00866568"/>
    <w:rsid w:val="0087146C"/>
    <w:rsid w:val="00874FFD"/>
    <w:rsid w:val="0088204B"/>
    <w:rsid w:val="00882FAA"/>
    <w:rsid w:val="00886047"/>
    <w:rsid w:val="00886994"/>
    <w:rsid w:val="00891239"/>
    <w:rsid w:val="00895370"/>
    <w:rsid w:val="008A13E1"/>
    <w:rsid w:val="008A6204"/>
    <w:rsid w:val="008A7AAF"/>
    <w:rsid w:val="008C28B9"/>
    <w:rsid w:val="008C694A"/>
    <w:rsid w:val="008C742E"/>
    <w:rsid w:val="008C7616"/>
    <w:rsid w:val="008D3104"/>
    <w:rsid w:val="008E1C64"/>
    <w:rsid w:val="008E2102"/>
    <w:rsid w:val="008E401E"/>
    <w:rsid w:val="008E73BA"/>
    <w:rsid w:val="008F01E6"/>
    <w:rsid w:val="008F08B6"/>
    <w:rsid w:val="008F4689"/>
    <w:rsid w:val="009004FA"/>
    <w:rsid w:val="00904E1F"/>
    <w:rsid w:val="00917871"/>
    <w:rsid w:val="00920611"/>
    <w:rsid w:val="00922240"/>
    <w:rsid w:val="00926DA7"/>
    <w:rsid w:val="00946767"/>
    <w:rsid w:val="00950989"/>
    <w:rsid w:val="0095098B"/>
    <w:rsid w:val="00952A5D"/>
    <w:rsid w:val="00952E90"/>
    <w:rsid w:val="00952F9F"/>
    <w:rsid w:val="009566FA"/>
    <w:rsid w:val="00963897"/>
    <w:rsid w:val="00963D06"/>
    <w:rsid w:val="00974D52"/>
    <w:rsid w:val="0097653A"/>
    <w:rsid w:val="00980018"/>
    <w:rsid w:val="00981ECA"/>
    <w:rsid w:val="009941A9"/>
    <w:rsid w:val="009A05E5"/>
    <w:rsid w:val="009A3618"/>
    <w:rsid w:val="009A63DA"/>
    <w:rsid w:val="009A673E"/>
    <w:rsid w:val="009B3CC7"/>
    <w:rsid w:val="009B5580"/>
    <w:rsid w:val="009B5EB1"/>
    <w:rsid w:val="009C371B"/>
    <w:rsid w:val="009E4E7D"/>
    <w:rsid w:val="00A04073"/>
    <w:rsid w:val="00A0755C"/>
    <w:rsid w:val="00A14147"/>
    <w:rsid w:val="00A21FFD"/>
    <w:rsid w:val="00A22FD4"/>
    <w:rsid w:val="00A276F2"/>
    <w:rsid w:val="00A34E3D"/>
    <w:rsid w:val="00A36F78"/>
    <w:rsid w:val="00A36F9A"/>
    <w:rsid w:val="00A37E27"/>
    <w:rsid w:val="00A41154"/>
    <w:rsid w:val="00A419E5"/>
    <w:rsid w:val="00A60C92"/>
    <w:rsid w:val="00A61474"/>
    <w:rsid w:val="00A63F3F"/>
    <w:rsid w:val="00A65AE7"/>
    <w:rsid w:val="00A87203"/>
    <w:rsid w:val="00A95E94"/>
    <w:rsid w:val="00AA22A8"/>
    <w:rsid w:val="00AA2BDA"/>
    <w:rsid w:val="00AA7968"/>
    <w:rsid w:val="00AB578C"/>
    <w:rsid w:val="00AB596E"/>
    <w:rsid w:val="00AC27A1"/>
    <w:rsid w:val="00AD495D"/>
    <w:rsid w:val="00AE21F5"/>
    <w:rsid w:val="00AE4C18"/>
    <w:rsid w:val="00AE7098"/>
    <w:rsid w:val="00AF08CC"/>
    <w:rsid w:val="00AF335B"/>
    <w:rsid w:val="00AF419A"/>
    <w:rsid w:val="00B040F7"/>
    <w:rsid w:val="00B07C2A"/>
    <w:rsid w:val="00B147DE"/>
    <w:rsid w:val="00B14C1F"/>
    <w:rsid w:val="00B17CAA"/>
    <w:rsid w:val="00B246E8"/>
    <w:rsid w:val="00B31DD0"/>
    <w:rsid w:val="00B32560"/>
    <w:rsid w:val="00B3338C"/>
    <w:rsid w:val="00B4032A"/>
    <w:rsid w:val="00B43275"/>
    <w:rsid w:val="00B50699"/>
    <w:rsid w:val="00B52981"/>
    <w:rsid w:val="00B54588"/>
    <w:rsid w:val="00B56496"/>
    <w:rsid w:val="00B6527F"/>
    <w:rsid w:val="00B7062D"/>
    <w:rsid w:val="00B7141B"/>
    <w:rsid w:val="00B80803"/>
    <w:rsid w:val="00B81BD3"/>
    <w:rsid w:val="00B81F71"/>
    <w:rsid w:val="00B96231"/>
    <w:rsid w:val="00B97D95"/>
    <w:rsid w:val="00BA4E08"/>
    <w:rsid w:val="00BA6B5C"/>
    <w:rsid w:val="00BA7BA8"/>
    <w:rsid w:val="00BB13E7"/>
    <w:rsid w:val="00BB4855"/>
    <w:rsid w:val="00BC46CD"/>
    <w:rsid w:val="00BC5C2A"/>
    <w:rsid w:val="00BD45E3"/>
    <w:rsid w:val="00BE332B"/>
    <w:rsid w:val="00BE7243"/>
    <w:rsid w:val="00BF7A18"/>
    <w:rsid w:val="00C02A4A"/>
    <w:rsid w:val="00C05EC6"/>
    <w:rsid w:val="00C2535C"/>
    <w:rsid w:val="00C25396"/>
    <w:rsid w:val="00C35354"/>
    <w:rsid w:val="00C36ED1"/>
    <w:rsid w:val="00C40C22"/>
    <w:rsid w:val="00C44EA2"/>
    <w:rsid w:val="00C50658"/>
    <w:rsid w:val="00C65468"/>
    <w:rsid w:val="00C74149"/>
    <w:rsid w:val="00C75184"/>
    <w:rsid w:val="00C76932"/>
    <w:rsid w:val="00C77E3C"/>
    <w:rsid w:val="00C83241"/>
    <w:rsid w:val="00C9280E"/>
    <w:rsid w:val="00C94613"/>
    <w:rsid w:val="00CA1330"/>
    <w:rsid w:val="00CA1C55"/>
    <w:rsid w:val="00CA1C88"/>
    <w:rsid w:val="00CA3BD6"/>
    <w:rsid w:val="00CB0BDF"/>
    <w:rsid w:val="00CB2EF0"/>
    <w:rsid w:val="00CB6B52"/>
    <w:rsid w:val="00CD36A4"/>
    <w:rsid w:val="00CE0E04"/>
    <w:rsid w:val="00CE1CBF"/>
    <w:rsid w:val="00CE220E"/>
    <w:rsid w:val="00CE2C06"/>
    <w:rsid w:val="00CF213B"/>
    <w:rsid w:val="00CF6CBE"/>
    <w:rsid w:val="00D004BE"/>
    <w:rsid w:val="00D03791"/>
    <w:rsid w:val="00D10EB8"/>
    <w:rsid w:val="00D11002"/>
    <w:rsid w:val="00D20108"/>
    <w:rsid w:val="00D2447E"/>
    <w:rsid w:val="00D32902"/>
    <w:rsid w:val="00D338C3"/>
    <w:rsid w:val="00D43CCA"/>
    <w:rsid w:val="00D545BE"/>
    <w:rsid w:val="00D55A77"/>
    <w:rsid w:val="00D61F80"/>
    <w:rsid w:val="00D85C23"/>
    <w:rsid w:val="00D906BA"/>
    <w:rsid w:val="00D92C38"/>
    <w:rsid w:val="00D935DA"/>
    <w:rsid w:val="00D94DF1"/>
    <w:rsid w:val="00D96A66"/>
    <w:rsid w:val="00DB1ADD"/>
    <w:rsid w:val="00DC0774"/>
    <w:rsid w:val="00DC1857"/>
    <w:rsid w:val="00DE1035"/>
    <w:rsid w:val="00DE45C6"/>
    <w:rsid w:val="00DE5BE9"/>
    <w:rsid w:val="00DF277B"/>
    <w:rsid w:val="00E03975"/>
    <w:rsid w:val="00E10D9C"/>
    <w:rsid w:val="00E257AD"/>
    <w:rsid w:val="00E328EB"/>
    <w:rsid w:val="00E35C94"/>
    <w:rsid w:val="00E43523"/>
    <w:rsid w:val="00E5769A"/>
    <w:rsid w:val="00E66DDD"/>
    <w:rsid w:val="00E75EEF"/>
    <w:rsid w:val="00E8473C"/>
    <w:rsid w:val="00EA0D46"/>
    <w:rsid w:val="00EA3AA6"/>
    <w:rsid w:val="00EA4989"/>
    <w:rsid w:val="00EA5A2B"/>
    <w:rsid w:val="00EB2A8E"/>
    <w:rsid w:val="00EC1932"/>
    <w:rsid w:val="00EC51D4"/>
    <w:rsid w:val="00ED0FF1"/>
    <w:rsid w:val="00ED3FE2"/>
    <w:rsid w:val="00EF39A8"/>
    <w:rsid w:val="00EF5322"/>
    <w:rsid w:val="00EF6BC9"/>
    <w:rsid w:val="00F04CEA"/>
    <w:rsid w:val="00F15DC2"/>
    <w:rsid w:val="00F24693"/>
    <w:rsid w:val="00F37D9E"/>
    <w:rsid w:val="00F505DF"/>
    <w:rsid w:val="00F52E3F"/>
    <w:rsid w:val="00F565E4"/>
    <w:rsid w:val="00F61D7A"/>
    <w:rsid w:val="00F720DB"/>
    <w:rsid w:val="00F84FDE"/>
    <w:rsid w:val="00F869E2"/>
    <w:rsid w:val="00F90CF7"/>
    <w:rsid w:val="00F93406"/>
    <w:rsid w:val="00F97D64"/>
    <w:rsid w:val="00FA10F7"/>
    <w:rsid w:val="00FA220D"/>
    <w:rsid w:val="00FA4522"/>
    <w:rsid w:val="00FB3735"/>
    <w:rsid w:val="00FD2767"/>
    <w:rsid w:val="00FD5E36"/>
    <w:rsid w:val="00FD5FCF"/>
    <w:rsid w:val="00FF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E3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417D79"/>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F1637"/>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417D79"/>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F1637"/>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1853">
      <w:bodyDiv w:val="1"/>
      <w:marLeft w:val="0"/>
      <w:marRight w:val="0"/>
      <w:marTop w:val="0"/>
      <w:marBottom w:val="0"/>
      <w:divBdr>
        <w:top w:val="none" w:sz="0" w:space="0" w:color="auto"/>
        <w:left w:val="none" w:sz="0" w:space="0" w:color="auto"/>
        <w:bottom w:val="none" w:sz="0" w:space="0" w:color="auto"/>
        <w:right w:val="none" w:sz="0" w:space="0" w:color="auto"/>
      </w:divBdr>
    </w:div>
    <w:div w:id="377322267">
      <w:bodyDiv w:val="1"/>
      <w:marLeft w:val="0"/>
      <w:marRight w:val="0"/>
      <w:marTop w:val="0"/>
      <w:marBottom w:val="0"/>
      <w:divBdr>
        <w:top w:val="none" w:sz="0" w:space="0" w:color="auto"/>
        <w:left w:val="none" w:sz="0" w:space="0" w:color="auto"/>
        <w:bottom w:val="none" w:sz="0" w:space="0" w:color="auto"/>
        <w:right w:val="none" w:sz="0" w:space="0" w:color="auto"/>
      </w:divBdr>
      <w:divsChild>
        <w:div w:id="1885290451">
          <w:marLeft w:val="0"/>
          <w:marRight w:val="0"/>
          <w:marTop w:val="0"/>
          <w:marBottom w:val="0"/>
          <w:divBdr>
            <w:top w:val="none" w:sz="0" w:space="0" w:color="auto"/>
            <w:left w:val="none" w:sz="0" w:space="0" w:color="auto"/>
            <w:bottom w:val="none" w:sz="0" w:space="0" w:color="auto"/>
            <w:right w:val="none" w:sz="0" w:space="0" w:color="auto"/>
          </w:divBdr>
          <w:divsChild>
            <w:div w:id="1824925995">
              <w:marLeft w:val="0"/>
              <w:marRight w:val="0"/>
              <w:marTop w:val="0"/>
              <w:marBottom w:val="0"/>
              <w:divBdr>
                <w:top w:val="none" w:sz="0" w:space="0" w:color="auto"/>
                <w:left w:val="none" w:sz="0" w:space="0" w:color="auto"/>
                <w:bottom w:val="none" w:sz="0" w:space="0" w:color="auto"/>
                <w:right w:val="none" w:sz="0" w:space="0" w:color="auto"/>
              </w:divBdr>
              <w:divsChild>
                <w:div w:id="1690327236">
                  <w:marLeft w:val="0"/>
                  <w:marRight w:val="0"/>
                  <w:marTop w:val="0"/>
                  <w:marBottom w:val="0"/>
                  <w:divBdr>
                    <w:top w:val="none" w:sz="0" w:space="0" w:color="auto"/>
                    <w:left w:val="none" w:sz="0" w:space="0" w:color="auto"/>
                    <w:bottom w:val="none" w:sz="0" w:space="0" w:color="auto"/>
                    <w:right w:val="none" w:sz="0" w:space="0" w:color="auto"/>
                  </w:divBdr>
                  <w:divsChild>
                    <w:div w:id="904607734">
                      <w:marLeft w:val="0"/>
                      <w:marRight w:val="0"/>
                      <w:marTop w:val="0"/>
                      <w:marBottom w:val="0"/>
                      <w:divBdr>
                        <w:top w:val="none" w:sz="0" w:space="0" w:color="auto"/>
                        <w:left w:val="none" w:sz="0" w:space="0" w:color="auto"/>
                        <w:bottom w:val="none" w:sz="0" w:space="0" w:color="auto"/>
                        <w:right w:val="none" w:sz="0" w:space="0" w:color="auto"/>
                      </w:divBdr>
                      <w:divsChild>
                        <w:div w:id="1888105570">
                          <w:marLeft w:val="0"/>
                          <w:marRight w:val="0"/>
                          <w:marTop w:val="0"/>
                          <w:marBottom w:val="0"/>
                          <w:divBdr>
                            <w:top w:val="none" w:sz="0" w:space="0" w:color="auto"/>
                            <w:left w:val="none" w:sz="0" w:space="0" w:color="auto"/>
                            <w:bottom w:val="none" w:sz="0" w:space="0" w:color="auto"/>
                            <w:right w:val="none" w:sz="0" w:space="0" w:color="auto"/>
                          </w:divBdr>
                          <w:divsChild>
                            <w:div w:id="322512827">
                              <w:marLeft w:val="0"/>
                              <w:marRight w:val="0"/>
                              <w:marTop w:val="0"/>
                              <w:marBottom w:val="0"/>
                              <w:divBdr>
                                <w:top w:val="none" w:sz="0" w:space="0" w:color="auto"/>
                                <w:left w:val="none" w:sz="0" w:space="0" w:color="auto"/>
                                <w:bottom w:val="none" w:sz="0" w:space="0" w:color="auto"/>
                                <w:right w:val="none" w:sz="0" w:space="0" w:color="auto"/>
                              </w:divBdr>
                            </w:div>
                            <w:div w:id="1261838435">
                              <w:marLeft w:val="0"/>
                              <w:marRight w:val="0"/>
                              <w:marTop w:val="0"/>
                              <w:marBottom w:val="0"/>
                              <w:divBdr>
                                <w:top w:val="none" w:sz="0" w:space="0" w:color="auto"/>
                                <w:left w:val="none" w:sz="0" w:space="0" w:color="auto"/>
                                <w:bottom w:val="none" w:sz="0" w:space="0" w:color="auto"/>
                                <w:right w:val="none" w:sz="0" w:space="0" w:color="auto"/>
                              </w:divBdr>
                              <w:divsChild>
                                <w:div w:id="959263559">
                                  <w:marLeft w:val="0"/>
                                  <w:marRight w:val="0"/>
                                  <w:marTop w:val="0"/>
                                  <w:marBottom w:val="0"/>
                                  <w:divBdr>
                                    <w:top w:val="none" w:sz="0" w:space="0" w:color="auto"/>
                                    <w:left w:val="none" w:sz="0" w:space="0" w:color="auto"/>
                                    <w:bottom w:val="none" w:sz="0" w:space="0" w:color="auto"/>
                                    <w:right w:val="none" w:sz="0" w:space="0" w:color="auto"/>
                                  </w:divBdr>
                                </w:div>
                                <w:div w:id="2001960687">
                                  <w:marLeft w:val="0"/>
                                  <w:marRight w:val="0"/>
                                  <w:marTop w:val="0"/>
                                  <w:marBottom w:val="0"/>
                                  <w:divBdr>
                                    <w:top w:val="none" w:sz="0" w:space="0" w:color="auto"/>
                                    <w:left w:val="none" w:sz="0" w:space="0" w:color="auto"/>
                                    <w:bottom w:val="none" w:sz="0" w:space="0" w:color="auto"/>
                                    <w:right w:val="none" w:sz="0" w:space="0" w:color="auto"/>
                                  </w:divBdr>
                                  <w:divsChild>
                                    <w:div w:id="323625725">
                                      <w:marLeft w:val="0"/>
                                      <w:marRight w:val="0"/>
                                      <w:marTop w:val="0"/>
                                      <w:marBottom w:val="0"/>
                                      <w:divBdr>
                                        <w:top w:val="none" w:sz="0" w:space="0" w:color="auto"/>
                                        <w:left w:val="none" w:sz="0" w:space="0" w:color="auto"/>
                                        <w:bottom w:val="none" w:sz="0" w:space="0" w:color="auto"/>
                                        <w:right w:val="none" w:sz="0" w:space="0" w:color="auto"/>
                                      </w:divBdr>
                                    </w:div>
                                    <w:div w:id="1697123738">
                                      <w:marLeft w:val="0"/>
                                      <w:marRight w:val="0"/>
                                      <w:marTop w:val="0"/>
                                      <w:marBottom w:val="0"/>
                                      <w:divBdr>
                                        <w:top w:val="none" w:sz="0" w:space="0" w:color="auto"/>
                                        <w:left w:val="none" w:sz="0" w:space="0" w:color="auto"/>
                                        <w:bottom w:val="none" w:sz="0" w:space="0" w:color="auto"/>
                                        <w:right w:val="none" w:sz="0" w:space="0" w:color="auto"/>
                                      </w:divBdr>
                                    </w:div>
                                    <w:div w:id="1370842305">
                                      <w:marLeft w:val="0"/>
                                      <w:marRight w:val="0"/>
                                      <w:marTop w:val="0"/>
                                      <w:marBottom w:val="0"/>
                                      <w:divBdr>
                                        <w:top w:val="none" w:sz="0" w:space="0" w:color="auto"/>
                                        <w:left w:val="none" w:sz="0" w:space="0" w:color="auto"/>
                                        <w:bottom w:val="none" w:sz="0" w:space="0" w:color="auto"/>
                                        <w:right w:val="none" w:sz="0" w:space="0" w:color="auto"/>
                                      </w:divBdr>
                                    </w:div>
                                    <w:div w:id="1786843710">
                                      <w:marLeft w:val="0"/>
                                      <w:marRight w:val="0"/>
                                      <w:marTop w:val="0"/>
                                      <w:marBottom w:val="0"/>
                                      <w:divBdr>
                                        <w:top w:val="none" w:sz="0" w:space="0" w:color="auto"/>
                                        <w:left w:val="none" w:sz="0" w:space="0" w:color="auto"/>
                                        <w:bottom w:val="none" w:sz="0" w:space="0" w:color="auto"/>
                                        <w:right w:val="none" w:sz="0" w:space="0" w:color="auto"/>
                                      </w:divBdr>
                                    </w:div>
                                    <w:div w:id="1823429869">
                                      <w:marLeft w:val="0"/>
                                      <w:marRight w:val="0"/>
                                      <w:marTop w:val="0"/>
                                      <w:marBottom w:val="0"/>
                                      <w:divBdr>
                                        <w:top w:val="none" w:sz="0" w:space="0" w:color="auto"/>
                                        <w:left w:val="none" w:sz="0" w:space="0" w:color="auto"/>
                                        <w:bottom w:val="none" w:sz="0" w:space="0" w:color="auto"/>
                                        <w:right w:val="none" w:sz="0" w:space="0" w:color="auto"/>
                                      </w:divBdr>
                                    </w:div>
                                    <w:div w:id="7675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7784">
                              <w:marLeft w:val="0"/>
                              <w:marRight w:val="0"/>
                              <w:marTop w:val="0"/>
                              <w:marBottom w:val="0"/>
                              <w:divBdr>
                                <w:top w:val="none" w:sz="0" w:space="0" w:color="auto"/>
                                <w:left w:val="none" w:sz="0" w:space="0" w:color="auto"/>
                                <w:bottom w:val="none" w:sz="0" w:space="0" w:color="auto"/>
                                <w:right w:val="none" w:sz="0" w:space="0" w:color="auto"/>
                              </w:divBdr>
                              <w:divsChild>
                                <w:div w:id="1264531617">
                                  <w:marLeft w:val="0"/>
                                  <w:marRight w:val="0"/>
                                  <w:marTop w:val="0"/>
                                  <w:marBottom w:val="0"/>
                                  <w:divBdr>
                                    <w:top w:val="none" w:sz="0" w:space="0" w:color="auto"/>
                                    <w:left w:val="none" w:sz="0" w:space="0" w:color="auto"/>
                                    <w:bottom w:val="none" w:sz="0" w:space="0" w:color="auto"/>
                                    <w:right w:val="none" w:sz="0" w:space="0" w:color="auto"/>
                                  </w:divBdr>
                                  <w:divsChild>
                                    <w:div w:id="2128236028">
                                      <w:marLeft w:val="0"/>
                                      <w:marRight w:val="0"/>
                                      <w:marTop w:val="0"/>
                                      <w:marBottom w:val="0"/>
                                      <w:divBdr>
                                        <w:top w:val="none" w:sz="0" w:space="0" w:color="auto"/>
                                        <w:left w:val="none" w:sz="0" w:space="0" w:color="auto"/>
                                        <w:bottom w:val="none" w:sz="0" w:space="0" w:color="auto"/>
                                        <w:right w:val="none" w:sz="0" w:space="0" w:color="auto"/>
                                      </w:divBdr>
                                      <w:divsChild>
                                        <w:div w:id="1259632328">
                                          <w:marLeft w:val="0"/>
                                          <w:marRight w:val="0"/>
                                          <w:marTop w:val="0"/>
                                          <w:marBottom w:val="0"/>
                                          <w:divBdr>
                                            <w:top w:val="none" w:sz="0" w:space="0" w:color="auto"/>
                                            <w:left w:val="none" w:sz="0" w:space="0" w:color="auto"/>
                                            <w:bottom w:val="none" w:sz="0" w:space="0" w:color="auto"/>
                                            <w:right w:val="none" w:sz="0" w:space="0" w:color="auto"/>
                                          </w:divBdr>
                                          <w:divsChild>
                                            <w:div w:id="417824396">
                                              <w:marLeft w:val="0"/>
                                              <w:marRight w:val="0"/>
                                              <w:marTop w:val="0"/>
                                              <w:marBottom w:val="0"/>
                                              <w:divBdr>
                                                <w:top w:val="none" w:sz="0" w:space="0" w:color="auto"/>
                                                <w:left w:val="none" w:sz="0" w:space="0" w:color="auto"/>
                                                <w:bottom w:val="none" w:sz="0" w:space="0" w:color="auto"/>
                                                <w:right w:val="none" w:sz="0" w:space="0" w:color="auto"/>
                                              </w:divBdr>
                                            </w:div>
                                            <w:div w:id="2084060969">
                                              <w:marLeft w:val="0"/>
                                              <w:marRight w:val="0"/>
                                              <w:marTop w:val="0"/>
                                              <w:marBottom w:val="0"/>
                                              <w:divBdr>
                                                <w:top w:val="none" w:sz="0" w:space="0" w:color="auto"/>
                                                <w:left w:val="none" w:sz="0" w:space="0" w:color="auto"/>
                                                <w:bottom w:val="none" w:sz="0" w:space="0" w:color="auto"/>
                                                <w:right w:val="none" w:sz="0" w:space="0" w:color="auto"/>
                                              </w:divBdr>
                                            </w:div>
                                            <w:div w:id="555161132">
                                              <w:marLeft w:val="0"/>
                                              <w:marRight w:val="0"/>
                                              <w:marTop w:val="0"/>
                                              <w:marBottom w:val="0"/>
                                              <w:divBdr>
                                                <w:top w:val="none" w:sz="0" w:space="0" w:color="auto"/>
                                                <w:left w:val="none" w:sz="0" w:space="0" w:color="auto"/>
                                                <w:bottom w:val="none" w:sz="0" w:space="0" w:color="auto"/>
                                                <w:right w:val="none" w:sz="0" w:space="0" w:color="auto"/>
                                              </w:divBdr>
                                            </w:div>
                                            <w:div w:id="778449758">
                                              <w:marLeft w:val="0"/>
                                              <w:marRight w:val="0"/>
                                              <w:marTop w:val="0"/>
                                              <w:marBottom w:val="0"/>
                                              <w:divBdr>
                                                <w:top w:val="none" w:sz="0" w:space="0" w:color="auto"/>
                                                <w:left w:val="none" w:sz="0" w:space="0" w:color="auto"/>
                                                <w:bottom w:val="none" w:sz="0" w:space="0" w:color="auto"/>
                                                <w:right w:val="none" w:sz="0" w:space="0" w:color="auto"/>
                                              </w:divBdr>
                                            </w:div>
                                            <w:div w:id="11185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9766620">
      <w:bodyDiv w:val="1"/>
      <w:marLeft w:val="0"/>
      <w:marRight w:val="0"/>
      <w:marTop w:val="0"/>
      <w:marBottom w:val="0"/>
      <w:divBdr>
        <w:top w:val="none" w:sz="0" w:space="0" w:color="auto"/>
        <w:left w:val="none" w:sz="0" w:space="0" w:color="auto"/>
        <w:bottom w:val="none" w:sz="0" w:space="0" w:color="auto"/>
        <w:right w:val="none" w:sz="0" w:space="0" w:color="auto"/>
      </w:divBdr>
    </w:div>
    <w:div w:id="527111175">
      <w:bodyDiv w:val="1"/>
      <w:marLeft w:val="0"/>
      <w:marRight w:val="0"/>
      <w:marTop w:val="0"/>
      <w:marBottom w:val="0"/>
      <w:divBdr>
        <w:top w:val="none" w:sz="0" w:space="0" w:color="auto"/>
        <w:left w:val="none" w:sz="0" w:space="0" w:color="auto"/>
        <w:bottom w:val="none" w:sz="0" w:space="0" w:color="auto"/>
        <w:right w:val="none" w:sz="0" w:space="0" w:color="auto"/>
      </w:divBdr>
    </w:div>
    <w:div w:id="638801937">
      <w:bodyDiv w:val="1"/>
      <w:marLeft w:val="0"/>
      <w:marRight w:val="0"/>
      <w:marTop w:val="0"/>
      <w:marBottom w:val="0"/>
      <w:divBdr>
        <w:top w:val="none" w:sz="0" w:space="0" w:color="auto"/>
        <w:left w:val="none" w:sz="0" w:space="0" w:color="auto"/>
        <w:bottom w:val="none" w:sz="0" w:space="0" w:color="auto"/>
        <w:right w:val="none" w:sz="0" w:space="0" w:color="auto"/>
      </w:divBdr>
    </w:div>
    <w:div w:id="12348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7/may/naics4_485500.htm" TargetMode="External"/><Relationship Id="rId2" Type="http://schemas.openxmlformats.org/officeDocument/2006/relationships/hyperlink" Target="https://www.bls.gov/oes/2017/may/naics4_485100.htm" TargetMode="External"/><Relationship Id="rId1" Type="http://schemas.openxmlformats.org/officeDocument/2006/relationships/hyperlink" Target="https://www.bls.gov/oes/2017/may/naics3_482000.htm" TargetMode="External"/><Relationship Id="rId5" Type="http://schemas.openxmlformats.org/officeDocument/2006/relationships/hyperlink" Target="https://www.bls.gov/oes/2017/may/naics3_486000.htm" TargetMode="External"/><Relationship Id="rId4" Type="http://schemas.openxmlformats.org/officeDocument/2006/relationships/hyperlink" Target="https://www.bls.gov/oes/2017/may/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7" ma:contentTypeDescription="Create a new document." ma:contentTypeScope="" ma:versionID="28081d840783e0ea3d208f40021b16a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b0ebaa1f48f6440d5af0eb2a43e8200d"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fa24db8-b43c-4576-b9f3-d527095e9577">TSADT-783092807-16935</_dlc_DocId>
    <_dlc_DocIdUrl xmlns="dfa24db8-b43c-4576-b9f3-d527095e9577">
      <Url>https://apps2013.ishare.tsa.dhs.gov/sites/gel/OIT/_layouts/15/DocIdRedir.aspx?ID=TSADT-783092807-16935</Url>
      <Description>TSADT-783092807-16935</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2.xml><?xml version="1.0" encoding="utf-8"?>
<ds:datastoreItem xmlns:ds="http://schemas.openxmlformats.org/officeDocument/2006/customXml" ds:itemID="{C438AF2C-1236-4676-AFC9-AA9F393FD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B088F774-2D29-4E0E-9140-BD198667BE97}">
  <ds:schemaRefs>
    <ds:schemaRef ds:uri="http://schemas.microsoft.com/sharepoint/events"/>
  </ds:schemaRefs>
</ds:datastoreItem>
</file>

<file path=customXml/itemProps5.xml><?xml version="1.0" encoding="utf-8"?>
<ds:datastoreItem xmlns:ds="http://schemas.openxmlformats.org/officeDocument/2006/customXml" ds:itemID="{991FD336-411C-4853-A5E3-C195EDFB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TSK Comments on 83i Supplemental Supporting Stmt Only</vt:lpstr>
    </vt:vector>
  </TitlesOfParts>
  <Company>Transportation Security Administration</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83i Supplemental Supporting Stmt Only</dc:title>
  <dc:creator>marisa.mullen</dc:creator>
  <cp:keywords>5000.22</cp:keywords>
  <cp:lastModifiedBy>SYSTEM</cp:lastModifiedBy>
  <cp:revision>2</cp:revision>
  <cp:lastPrinted>2019-05-17T19:46:00Z</cp:lastPrinted>
  <dcterms:created xsi:type="dcterms:W3CDTF">2019-06-07T12:02:00Z</dcterms:created>
  <dcterms:modified xsi:type="dcterms:W3CDTF">2019-06-07T12:02:00Z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554367a2-ed38-4e1b-9e56-ecd3fd88a7cc</vt:lpwstr>
  </property>
  <property fmtid="{D5CDD505-2E9C-101B-9397-08002B2CF9AE}" pid="4" name="_NewReviewCycle">
    <vt:lpwstr/>
  </property>
  <property fmtid="{D5CDD505-2E9C-101B-9397-08002B2CF9AE}" pid="5" name="_dlc_DocId">
    <vt:lpwstr>2MNXFYDWMX7Y-461-2537</vt:lpwstr>
  </property>
  <property fmtid="{D5CDD505-2E9C-101B-9397-08002B2CF9AE}" pid="6" name="_dlc_DocIdUrl">
    <vt:lpwstr>https://team.ishare.tsa.dhs.gov/sites/oit/bmo/PRA/_layouts/DocIdRedir.aspx?ID=2MNXFYDWMX7Y-461-25372MNXFYDWMX7Y-461-2537</vt:lpwstr>
  </property>
  <property fmtid="{D5CDD505-2E9C-101B-9397-08002B2CF9AE}" pid="7" name="Day Notice">
    <vt:lpwstr>N/A</vt:lpwstr>
  </property>
  <property fmtid="{D5CDD505-2E9C-101B-9397-08002B2CF9AE}" pid="8" name="Type of Request">
    <vt:lpwstr>Revision</vt:lpwstr>
  </property>
  <property fmtid="{D5CDD505-2E9C-101B-9397-08002B2CF9AE}" pid="9" name="Supplementary Document">
    <vt:lpwstr>Supporting Statement</vt:lpwstr>
  </property>
  <property fmtid="{D5CDD505-2E9C-101B-9397-08002B2CF9AE}" pid="10" name="Legacy">
    <vt:lpwstr>N/A</vt:lpwstr>
  </property>
  <property fmtid="{D5CDD505-2E9C-101B-9397-08002B2CF9AE}" pid="11" name="Renewal Year">
    <vt:lpwstr>FY15</vt:lpwstr>
  </property>
  <property fmtid="{D5CDD505-2E9C-101B-9397-08002B2CF9AE}" pid="12" name="_docset_NoMedatataSyncRequired">
    <vt:lpwstr>False</vt:lpwstr>
  </property>
</Properties>
</file>